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32D77" w:rsidR="00CF17DE" w:rsidP="00F22803" w:rsidRDefault="00CF17DE" w14:paraId="70BEAF91" w14:textId="55889A9D">
      <w:pPr>
        <w:pStyle w:val="titlebar"/>
        <w:rPr>
          <w:sz w:val="26"/>
          <w:szCs w:val="26"/>
        </w:rPr>
      </w:pPr>
      <w:r w:rsidRPr="00732D77">
        <w:rPr>
          <w:sz w:val="26"/>
          <w:szCs w:val="26"/>
        </w:rPr>
        <w:t>PUBLIC UTILITIES COMMISSION OF THE STATE OF CALIFORNIA</w:t>
      </w:r>
    </w:p>
    <w:p w:rsidR="00CF17DE" w:rsidP="00F22803" w:rsidRDefault="00CF17DE" w14:paraId="5E624470" w14:textId="0347B95C"/>
    <w:p w:rsidRPr="004F7E5D" w:rsidR="003A05B2" w:rsidP="004F7E5D" w:rsidRDefault="00593807" w14:paraId="5B065C25" w14:textId="0FB6FFAF">
      <w:pPr>
        <w:tabs>
          <w:tab w:val="right" w:pos="8820"/>
        </w:tabs>
        <w:ind w:left="7200"/>
        <w:rPr>
          <w:b/>
          <w:bCs/>
        </w:rPr>
      </w:pPr>
      <w:r>
        <w:tab/>
      </w:r>
      <w:r w:rsidR="004F7E5D">
        <w:tab/>
      </w:r>
      <w:r w:rsidRPr="004F7E5D" w:rsidR="004F7E5D">
        <w:rPr>
          <w:b/>
          <w:bCs/>
        </w:rPr>
        <w:t xml:space="preserve">       </w:t>
      </w:r>
      <w:r w:rsidR="004F7E5D">
        <w:rPr>
          <w:b/>
          <w:bCs/>
        </w:rPr>
        <w:t xml:space="preserve">                                    </w:t>
      </w:r>
      <w:r w:rsidRPr="004F7E5D" w:rsidR="004F7E5D">
        <w:rPr>
          <w:b/>
          <w:bCs/>
        </w:rPr>
        <w:t>Item# 26 (Rev.1)</w:t>
      </w:r>
    </w:p>
    <w:p w:rsidR="003A05B2" w:rsidP="1DE32884" w:rsidRDefault="00A14538" w14:paraId="41593225" w14:textId="723A14A1">
      <w:pPr>
        <w:tabs>
          <w:tab w:val="right" w:pos="8820"/>
        </w:tabs>
        <w:rPr>
          <w:b/>
          <w:bCs/>
        </w:rPr>
      </w:pPr>
      <w:r>
        <w:rPr>
          <w:b/>
        </w:rPr>
        <w:tab/>
      </w:r>
      <w:r w:rsidRPr="1DE32884" w:rsidR="36E85DB5">
        <w:rPr>
          <w:b/>
          <w:bCs/>
        </w:rPr>
        <w:t xml:space="preserve"> </w:t>
      </w:r>
      <w:r w:rsidRPr="1DE32884" w:rsidR="003A05B2">
        <w:rPr>
          <w:b/>
          <w:bCs/>
        </w:rPr>
        <w:t xml:space="preserve">Agenda ID </w:t>
      </w:r>
      <w:r w:rsidRPr="1DE32884">
        <w:rPr>
          <w:b/>
          <w:bCs/>
        </w:rPr>
        <w:t>#</w:t>
      </w:r>
      <w:r w:rsidRPr="1DE32884" w:rsidR="00CC462D">
        <w:rPr>
          <w:b/>
          <w:bCs/>
        </w:rPr>
        <w:t>23080</w:t>
      </w:r>
      <w:r w:rsidRPr="1DE32884" w:rsidR="003A05B2">
        <w:rPr>
          <w:b/>
          <w:bCs/>
        </w:rPr>
        <w:t xml:space="preserve"> </w:t>
      </w:r>
    </w:p>
    <w:p w:rsidR="003A05B2" w:rsidP="00005CA4" w:rsidRDefault="003A05B2" w14:paraId="7AE852C7" w14:textId="274CDEC1">
      <w:pPr>
        <w:tabs>
          <w:tab w:val="right" w:pos="8820"/>
        </w:tabs>
        <w:rPr>
          <w:rFonts w:eastAsia="Palatino Linotype"/>
          <w:b/>
        </w:rPr>
      </w:pPr>
      <w:r w:rsidRPr="00D865A9">
        <w:rPr>
          <w:rFonts w:eastAsia="Palatino Linotype"/>
          <w:b/>
        </w:rPr>
        <w:t>ENERGY DIVISION</w:t>
      </w:r>
      <w:r>
        <w:tab/>
      </w:r>
      <w:r w:rsidR="00EE6805">
        <w:t xml:space="preserve">        </w:t>
      </w:r>
      <w:r w:rsidR="00005CA4">
        <w:t xml:space="preserve">      </w:t>
      </w:r>
      <w:r w:rsidRPr="00D865A9">
        <w:rPr>
          <w:rFonts w:eastAsia="Palatino Linotype"/>
          <w:b/>
        </w:rPr>
        <w:t xml:space="preserve">RESOLUTION </w:t>
      </w:r>
      <w:r w:rsidR="006B5F74">
        <w:rPr>
          <w:rFonts w:eastAsia="Palatino Linotype"/>
          <w:b/>
        </w:rPr>
        <w:t>E-5355</w:t>
      </w:r>
    </w:p>
    <w:p w:rsidRPr="00D865A9" w:rsidR="003A05B2" w:rsidP="1DE32884" w:rsidRDefault="00A14538" w14:paraId="6A61AFB6" w14:textId="4F20EDD0">
      <w:pPr>
        <w:tabs>
          <w:tab w:val="right" w:pos="8820"/>
        </w:tabs>
        <w:rPr>
          <w:b/>
          <w:bCs/>
        </w:rPr>
      </w:pPr>
      <w:r>
        <w:rPr>
          <w:b/>
        </w:rPr>
        <w:tab/>
      </w:r>
      <w:r w:rsidRPr="1DE32884" w:rsidR="29168FBF">
        <w:rPr>
          <w:b/>
          <w:bCs/>
        </w:rPr>
        <w:t xml:space="preserve"> </w:t>
      </w:r>
      <w:r w:rsidRPr="1DE32884" w:rsidR="007E0F99">
        <w:rPr>
          <w:b/>
          <w:bCs/>
        </w:rPr>
        <w:t xml:space="preserve">December </w:t>
      </w:r>
      <w:r w:rsidRPr="1DE32884" w:rsidR="009311E1">
        <w:rPr>
          <w:b/>
          <w:bCs/>
        </w:rPr>
        <w:t>19</w:t>
      </w:r>
      <w:r w:rsidRPr="1DE32884" w:rsidR="007E0F99">
        <w:rPr>
          <w:b/>
          <w:bCs/>
        </w:rPr>
        <w:t>, 2024</w:t>
      </w:r>
    </w:p>
    <w:p w:rsidRPr="00D865A9" w:rsidR="00CF17DE" w:rsidP="003A05B2" w:rsidRDefault="003A05B2" w14:paraId="3DBC912E" w14:textId="49B6ADBD">
      <w:r w:rsidRPr="00D865A9">
        <w:rPr>
          <w:b/>
        </w:rPr>
        <w:tab/>
      </w:r>
    </w:p>
    <w:p w:rsidR="00CF17DE" w:rsidP="00F22803" w:rsidRDefault="00CF17DE" w14:paraId="061A7957" w14:textId="77777777"/>
    <w:p w:rsidRPr="00A14538" w:rsidR="00CF17DE" w:rsidP="00F22803" w:rsidRDefault="00CF17DE" w14:paraId="40ADBA19" w14:textId="644C09C0">
      <w:pPr>
        <w:pStyle w:val="mainex"/>
        <w:rPr>
          <w:spacing w:val="0"/>
          <w:sz w:val="26"/>
          <w:szCs w:val="26"/>
          <w:u w:val="single"/>
        </w:rPr>
      </w:pPr>
      <w:bookmarkStart w:name="_Ref404993683" w:id="0"/>
      <w:r w:rsidRPr="00A14538">
        <w:rPr>
          <w:spacing w:val="0"/>
          <w:sz w:val="26"/>
          <w:szCs w:val="26"/>
          <w:u w:val="single"/>
        </w:rPr>
        <w:t>R</w:t>
      </w:r>
      <w:r w:rsidRPr="00A14538" w:rsidR="00A14538">
        <w:rPr>
          <w:spacing w:val="0"/>
          <w:sz w:val="26"/>
          <w:szCs w:val="26"/>
          <w:u w:val="single"/>
        </w:rPr>
        <w:t xml:space="preserve"> </w:t>
      </w:r>
      <w:r w:rsidRPr="00A14538">
        <w:rPr>
          <w:spacing w:val="0"/>
          <w:sz w:val="26"/>
          <w:szCs w:val="26"/>
          <w:u w:val="single"/>
        </w:rPr>
        <w:t>E</w:t>
      </w:r>
      <w:r w:rsidRPr="00A14538" w:rsidR="00A14538">
        <w:rPr>
          <w:spacing w:val="0"/>
          <w:sz w:val="26"/>
          <w:szCs w:val="26"/>
          <w:u w:val="single"/>
        </w:rPr>
        <w:t xml:space="preserve"> </w:t>
      </w:r>
      <w:r w:rsidRPr="00A14538">
        <w:rPr>
          <w:spacing w:val="0"/>
          <w:sz w:val="26"/>
          <w:szCs w:val="26"/>
          <w:u w:val="single"/>
        </w:rPr>
        <w:t>S</w:t>
      </w:r>
      <w:r w:rsidRPr="00A14538" w:rsidR="00A14538">
        <w:rPr>
          <w:spacing w:val="0"/>
          <w:sz w:val="26"/>
          <w:szCs w:val="26"/>
          <w:u w:val="single"/>
        </w:rPr>
        <w:t xml:space="preserve"> </w:t>
      </w:r>
      <w:r w:rsidRPr="00A14538">
        <w:rPr>
          <w:spacing w:val="0"/>
          <w:sz w:val="26"/>
          <w:szCs w:val="26"/>
          <w:u w:val="single"/>
        </w:rPr>
        <w:t>O</w:t>
      </w:r>
      <w:r w:rsidRPr="00A14538" w:rsidR="00A14538">
        <w:rPr>
          <w:spacing w:val="0"/>
          <w:sz w:val="26"/>
          <w:szCs w:val="26"/>
          <w:u w:val="single"/>
        </w:rPr>
        <w:t xml:space="preserve"> </w:t>
      </w:r>
      <w:r w:rsidRPr="00A14538">
        <w:rPr>
          <w:spacing w:val="0"/>
          <w:sz w:val="26"/>
          <w:szCs w:val="26"/>
          <w:u w:val="single"/>
        </w:rPr>
        <w:t>L</w:t>
      </w:r>
      <w:r w:rsidRPr="00A14538" w:rsidR="00A14538">
        <w:rPr>
          <w:spacing w:val="0"/>
          <w:sz w:val="26"/>
          <w:szCs w:val="26"/>
          <w:u w:val="single"/>
        </w:rPr>
        <w:t xml:space="preserve"> </w:t>
      </w:r>
      <w:r w:rsidRPr="00A14538">
        <w:rPr>
          <w:spacing w:val="0"/>
          <w:sz w:val="26"/>
          <w:szCs w:val="26"/>
          <w:u w:val="single"/>
        </w:rPr>
        <w:t>U</w:t>
      </w:r>
      <w:r w:rsidRPr="00A14538" w:rsidR="00A14538">
        <w:rPr>
          <w:spacing w:val="0"/>
          <w:sz w:val="26"/>
          <w:szCs w:val="26"/>
          <w:u w:val="single"/>
        </w:rPr>
        <w:t xml:space="preserve"> </w:t>
      </w:r>
      <w:r w:rsidRPr="00A14538">
        <w:rPr>
          <w:spacing w:val="0"/>
          <w:sz w:val="26"/>
          <w:szCs w:val="26"/>
          <w:u w:val="single"/>
        </w:rPr>
        <w:t>T</w:t>
      </w:r>
      <w:r w:rsidRPr="00A14538" w:rsidR="00A14538">
        <w:rPr>
          <w:spacing w:val="0"/>
          <w:sz w:val="26"/>
          <w:szCs w:val="26"/>
          <w:u w:val="single"/>
        </w:rPr>
        <w:t xml:space="preserve"> </w:t>
      </w:r>
      <w:r w:rsidRPr="00A14538">
        <w:rPr>
          <w:spacing w:val="0"/>
          <w:sz w:val="26"/>
          <w:szCs w:val="26"/>
          <w:u w:val="single"/>
        </w:rPr>
        <w:t>I</w:t>
      </w:r>
      <w:r w:rsidRPr="00A14538" w:rsidR="00A14538">
        <w:rPr>
          <w:spacing w:val="0"/>
          <w:sz w:val="26"/>
          <w:szCs w:val="26"/>
          <w:u w:val="single"/>
        </w:rPr>
        <w:t xml:space="preserve"> </w:t>
      </w:r>
      <w:r w:rsidRPr="00A14538">
        <w:rPr>
          <w:spacing w:val="0"/>
          <w:sz w:val="26"/>
          <w:szCs w:val="26"/>
          <w:u w:val="single"/>
        </w:rPr>
        <w:t>O</w:t>
      </w:r>
      <w:r w:rsidRPr="00A14538" w:rsidR="00A14538">
        <w:rPr>
          <w:spacing w:val="0"/>
          <w:sz w:val="26"/>
          <w:szCs w:val="26"/>
          <w:u w:val="single"/>
        </w:rPr>
        <w:t xml:space="preserve"> </w:t>
      </w:r>
      <w:r w:rsidRPr="00A14538">
        <w:rPr>
          <w:spacing w:val="0"/>
          <w:sz w:val="26"/>
          <w:szCs w:val="26"/>
          <w:u w:val="single"/>
        </w:rPr>
        <w:t>N</w:t>
      </w:r>
    </w:p>
    <w:p w:rsidR="00CF17DE" w:rsidP="00F22803" w:rsidRDefault="00CF17DE" w14:paraId="63C93376" w14:textId="77777777"/>
    <w:p w:rsidR="00841EFD" w:rsidP="00841EFD" w:rsidRDefault="00841EFD" w14:paraId="375E2257" w14:textId="2D1EF5DC">
      <w:pPr>
        <w:pStyle w:val="Res-Caption"/>
      </w:pPr>
      <w:r w:rsidRPr="5CC7B567">
        <w:t xml:space="preserve">Resolution </w:t>
      </w:r>
      <w:r w:rsidR="006B5F74">
        <w:t>E-5355.</w:t>
      </w:r>
      <w:r w:rsidR="00736372">
        <w:t xml:space="preserve">  </w:t>
      </w:r>
      <w:r w:rsidRPr="5CC7B567">
        <w:rPr>
          <w:rFonts w:eastAsia="Palatino Linotype" w:cs="Palatino Linotype"/>
          <w:color w:val="000000" w:themeColor="text1"/>
        </w:rPr>
        <w:t>Implementation of San Diego Gas &amp; Electric Company’s Income-Graduated Fixed Charges Pursuant to Ordering Paragraph 3(c) of Decision 24-05-028</w:t>
      </w:r>
    </w:p>
    <w:p w:rsidRPr="00D865A9" w:rsidR="00DA23B3" w:rsidP="00F22803" w:rsidRDefault="00DA23B3" w14:paraId="0DD4BA21" w14:textId="77777777">
      <w:pPr>
        <w:pStyle w:val="Res-Caption"/>
      </w:pPr>
    </w:p>
    <w:p w:rsidRPr="00D865A9" w:rsidR="00DF35CC" w:rsidP="00F22803" w:rsidRDefault="00801D70" w14:paraId="5B232953" w14:textId="77777777">
      <w:pPr>
        <w:pStyle w:val="Res-Caption"/>
      </w:pPr>
      <w:r w:rsidRPr="773C8125">
        <w:t>PROPOSED OUTCOME:</w:t>
      </w:r>
      <w:r w:rsidRPr="773C8125" w:rsidR="00142FB8">
        <w:t xml:space="preserve"> </w:t>
      </w:r>
    </w:p>
    <w:p w:rsidR="00A26F67" w:rsidP="002620C2" w:rsidRDefault="1372EE6D" w14:paraId="2466A9ED" w14:textId="1A643727">
      <w:pPr>
        <w:pStyle w:val="Res-Caption"/>
        <w:numPr>
          <w:ilvl w:val="0"/>
          <w:numId w:val="4"/>
        </w:numPr>
      </w:pPr>
      <w:r>
        <w:t xml:space="preserve">Approves with modifications San Diego Gas </w:t>
      </w:r>
      <w:r w:rsidR="470EC03C">
        <w:t>&amp;</w:t>
      </w:r>
      <w:r>
        <w:t xml:space="preserve"> Electric Company’s</w:t>
      </w:r>
      <w:r w:rsidR="00D708FB">
        <w:t xml:space="preserve"> (SDG&amp;E)</w:t>
      </w:r>
      <w:r w:rsidR="009B4DC7">
        <w:t xml:space="preserve"> request to imp</w:t>
      </w:r>
      <w:r w:rsidR="00A66F63">
        <w:t>lement the</w:t>
      </w:r>
      <w:r>
        <w:t xml:space="preserve"> fixed charge</w:t>
      </w:r>
      <w:r w:rsidR="00D761D8">
        <w:t xml:space="preserve"> </w:t>
      </w:r>
      <w:r w:rsidR="26B3286A">
        <w:t xml:space="preserve">pursuant to Decision </w:t>
      </w:r>
      <w:r w:rsidR="00213FD5">
        <w:t>(D.)</w:t>
      </w:r>
      <w:r w:rsidR="26B3286A">
        <w:t xml:space="preserve"> 24-05-028</w:t>
      </w:r>
      <w:r w:rsidR="59859036">
        <w:t xml:space="preserve">, which includes </w:t>
      </w:r>
      <w:r w:rsidR="004D7305">
        <w:t xml:space="preserve">modifications to </w:t>
      </w:r>
      <w:r w:rsidR="091CE5FF">
        <w:t>SDG&amp;E’s</w:t>
      </w:r>
      <w:r w:rsidR="59859036">
        <w:t xml:space="preserve"> proposals for rate design, tier assignments (</w:t>
      </w:r>
      <w:r w:rsidR="03F7C85E">
        <w:t xml:space="preserve">including </w:t>
      </w:r>
      <w:r w:rsidR="59859036">
        <w:t>deed-restricted aff</w:t>
      </w:r>
      <w:r w:rsidR="61347B62">
        <w:t xml:space="preserve">ordable housing), marketing, education, </w:t>
      </w:r>
      <w:r w:rsidR="779EFDF2">
        <w:t>and outreach, facilitation contractor, and S</w:t>
      </w:r>
      <w:r w:rsidR="5334664D">
        <w:t>DG&amp;E</w:t>
      </w:r>
      <w:r w:rsidR="779EFDF2">
        <w:t>’s</w:t>
      </w:r>
      <w:r w:rsidR="5E8C6805">
        <w:t xml:space="preserve"> </w:t>
      </w:r>
      <w:r w:rsidR="6CBCFCF4">
        <w:t xml:space="preserve">additional </w:t>
      </w:r>
      <w:r w:rsidR="5E8C6805">
        <w:t>implementation budget.</w:t>
      </w:r>
    </w:p>
    <w:p w:rsidRPr="00D865A9" w:rsidR="00E470C8" w:rsidP="7A143A03" w:rsidRDefault="00E470C8" w14:paraId="78719D0B" w14:textId="520C9CE9">
      <w:pPr>
        <w:pStyle w:val="Res-Caption"/>
        <w:ind w:left="1440"/>
      </w:pPr>
    </w:p>
    <w:p w:rsidRPr="00D865A9" w:rsidR="00F51F8B" w:rsidP="00F22803" w:rsidRDefault="00F51F8B" w14:paraId="5348E825" w14:textId="77777777">
      <w:pPr>
        <w:pStyle w:val="Res-Caption"/>
      </w:pPr>
      <w:r w:rsidRPr="00D865A9">
        <w:t>SAFETY CONSIDERATIONS:</w:t>
      </w:r>
    </w:p>
    <w:p w:rsidRPr="00E36778" w:rsidR="00E36778" w:rsidP="6B419D23" w:rsidRDefault="00E36778" w14:paraId="4E817672" w14:textId="63FE18E0">
      <w:pPr>
        <w:pStyle w:val="Res-Caption"/>
        <w:numPr>
          <w:ilvl w:val="0"/>
          <w:numId w:val="3"/>
        </w:numPr>
        <w:ind w:right="630"/>
      </w:pPr>
      <w:r w:rsidRPr="00E36778">
        <w:t xml:space="preserve">There </w:t>
      </w:r>
      <w:proofErr w:type="gramStart"/>
      <w:r w:rsidRPr="00E36778">
        <w:t>are</w:t>
      </w:r>
      <w:proofErr w:type="gramEnd"/>
      <w:r w:rsidRPr="00E36778">
        <w:t xml:space="preserve"> no safety considerations associated with this </w:t>
      </w:r>
      <w:r w:rsidR="65D738E0">
        <w:t>R</w:t>
      </w:r>
      <w:r w:rsidRPr="00E36778">
        <w:t>esolution.</w:t>
      </w:r>
      <w:r w:rsidRPr="16F83DF1">
        <w:rPr>
          <w:rFonts w:eastAsia="Palatino Linotype" w:cs="Palatino Linotype"/>
        </w:rPr>
        <w:t xml:space="preserve"> </w:t>
      </w:r>
      <w:r>
        <w:t xml:space="preserve">  </w:t>
      </w:r>
    </w:p>
    <w:p w:rsidRPr="00D865A9" w:rsidR="00F572F1" w:rsidP="00F22803" w:rsidRDefault="00F572F1" w14:paraId="664CBB61" w14:textId="77777777">
      <w:pPr>
        <w:pStyle w:val="Res-Caption"/>
      </w:pPr>
    </w:p>
    <w:p w:rsidRPr="00D865A9" w:rsidR="00801D70" w:rsidP="00F22803" w:rsidRDefault="00801D70" w14:paraId="28BD615D" w14:textId="77777777">
      <w:pPr>
        <w:pStyle w:val="Res-Caption"/>
      </w:pPr>
      <w:r w:rsidRPr="00D865A9">
        <w:t xml:space="preserve">ESTIMATED COST:  </w:t>
      </w:r>
    </w:p>
    <w:p w:rsidR="003B28DC" w:rsidP="002620C2" w:rsidRDefault="00B51F20" w14:paraId="14013F68" w14:textId="7C333E57">
      <w:pPr>
        <w:pStyle w:val="Res-Caption"/>
        <w:numPr>
          <w:ilvl w:val="0"/>
          <w:numId w:val="3"/>
        </w:numPr>
        <w:rPr>
          <w:rFonts w:eastAsia="Times New Roman" w:cs="Times New Roman"/>
          <w:color w:val="000000" w:themeColor="text1"/>
        </w:rPr>
      </w:pPr>
      <w:r>
        <w:rPr>
          <w:rFonts w:eastAsia="Segoe UI" w:cs="Segoe UI"/>
          <w:color w:val="333333"/>
        </w:rPr>
        <w:t>Authorizes</w:t>
      </w:r>
      <w:r w:rsidRPr="7F49A116">
        <w:rPr>
          <w:rFonts w:eastAsia="Segoe UI" w:cs="Segoe UI"/>
          <w:color w:val="333333"/>
        </w:rPr>
        <w:t xml:space="preserve"> </w:t>
      </w:r>
      <w:r w:rsidRPr="7F49A116" w:rsidR="524D48D9">
        <w:rPr>
          <w:rFonts w:eastAsia="Segoe UI" w:cs="Segoe UI"/>
          <w:color w:val="333333"/>
        </w:rPr>
        <w:t>an additional</w:t>
      </w:r>
      <w:r w:rsidRPr="7F49A116" w:rsidR="00B0424C">
        <w:rPr>
          <w:rFonts w:eastAsia="Segoe UI" w:cs="Segoe UI"/>
          <w:color w:val="333333"/>
        </w:rPr>
        <w:t xml:space="preserve"> incremental</w:t>
      </w:r>
      <w:r w:rsidRPr="7F49A116" w:rsidR="00EB500C">
        <w:rPr>
          <w:rFonts w:eastAsia="Segoe UI" w:cs="Segoe UI"/>
          <w:color w:val="333333"/>
        </w:rPr>
        <w:t xml:space="preserve"> budget of</w:t>
      </w:r>
      <w:r w:rsidRPr="7F49A116" w:rsidR="019132F5">
        <w:rPr>
          <w:rFonts w:eastAsia="Segoe UI" w:cs="Segoe UI"/>
          <w:color w:val="333333"/>
        </w:rPr>
        <w:t xml:space="preserve"> </w:t>
      </w:r>
      <w:r w:rsidR="00547CA9">
        <w:t>$</w:t>
      </w:r>
      <w:r w:rsidR="00D01CB9">
        <w:t>4</w:t>
      </w:r>
      <w:r w:rsidR="68C3411A">
        <w:t>.</w:t>
      </w:r>
      <w:r w:rsidR="00D75FC5">
        <w:t>0</w:t>
      </w:r>
      <w:r w:rsidR="55B25196">
        <w:t>0</w:t>
      </w:r>
      <w:r w:rsidR="004012B0">
        <w:t>3</w:t>
      </w:r>
      <w:r w:rsidR="264392C4">
        <w:t xml:space="preserve"> million </w:t>
      </w:r>
      <w:r w:rsidRPr="7F49A116" w:rsidR="00EB500C">
        <w:rPr>
          <w:rFonts w:eastAsia="Segoe UI" w:cs="Segoe UI"/>
          <w:color w:val="333333"/>
        </w:rPr>
        <w:t xml:space="preserve">for costs associated with implementing </w:t>
      </w:r>
      <w:r w:rsidRPr="7F49A116" w:rsidR="00293CBE">
        <w:rPr>
          <w:rFonts w:eastAsia="Segoe UI" w:cs="Segoe UI"/>
          <w:color w:val="333333"/>
        </w:rPr>
        <w:t xml:space="preserve">the </w:t>
      </w:r>
      <w:r w:rsidRPr="7F49A116" w:rsidR="00EB500C">
        <w:rPr>
          <w:rFonts w:eastAsia="Segoe UI" w:cs="Segoe UI"/>
          <w:color w:val="333333"/>
        </w:rPr>
        <w:t>deed-restricted affordable housing tier assignment, the marketing</w:t>
      </w:r>
      <w:r w:rsidRPr="7F49A116" w:rsidR="00E50966">
        <w:rPr>
          <w:rFonts w:eastAsia="Segoe UI" w:cs="Segoe UI"/>
          <w:color w:val="333333"/>
        </w:rPr>
        <w:t>,</w:t>
      </w:r>
      <w:r w:rsidRPr="7F49A116" w:rsidR="00EB500C">
        <w:rPr>
          <w:rFonts w:eastAsia="Segoe UI" w:cs="Segoe UI"/>
          <w:color w:val="333333"/>
        </w:rPr>
        <w:t xml:space="preserve"> education</w:t>
      </w:r>
      <w:r w:rsidRPr="7F49A116" w:rsidR="59BB088F">
        <w:rPr>
          <w:rFonts w:eastAsia="Segoe UI" w:cs="Segoe UI"/>
          <w:color w:val="333333"/>
        </w:rPr>
        <w:t>,</w:t>
      </w:r>
      <w:r w:rsidRPr="7F49A116" w:rsidR="00EB500C">
        <w:rPr>
          <w:rFonts w:eastAsia="Segoe UI" w:cs="Segoe UI"/>
          <w:color w:val="333333"/>
        </w:rPr>
        <w:t xml:space="preserve"> and outreach plan, and the facilitation contractor as required by</w:t>
      </w:r>
      <w:r w:rsidRPr="7F49A116" w:rsidR="524D48D9">
        <w:rPr>
          <w:rFonts w:eastAsia="Segoe UI" w:cs="Segoe UI"/>
          <w:color w:val="333333"/>
        </w:rPr>
        <w:t xml:space="preserve"> </w:t>
      </w:r>
      <w:r w:rsidRPr="7F49A116" w:rsidR="2C7571BE">
        <w:rPr>
          <w:rFonts w:eastAsia="Segoe UI" w:cs="Segoe UI"/>
          <w:color w:val="333333"/>
        </w:rPr>
        <w:t>D.</w:t>
      </w:r>
      <w:r w:rsidRPr="7F49A116" w:rsidR="2837ED26">
        <w:rPr>
          <w:rFonts w:eastAsia="Segoe UI" w:cs="Segoe UI"/>
          <w:color w:val="333333"/>
        </w:rPr>
        <w:t xml:space="preserve"> 24-05-0</w:t>
      </w:r>
      <w:r w:rsidRPr="7F49A116" w:rsidR="63910E1D">
        <w:rPr>
          <w:rFonts w:eastAsia="Segoe UI" w:cs="Segoe UI"/>
          <w:color w:val="333333"/>
        </w:rPr>
        <w:t>28</w:t>
      </w:r>
      <w:r w:rsidRPr="7F49A116" w:rsidR="002C6847">
        <w:rPr>
          <w:rFonts w:eastAsia="Segoe UI" w:cs="Segoe UI"/>
          <w:color w:val="333333"/>
        </w:rPr>
        <w:t>.</w:t>
      </w:r>
      <w:r w:rsidRPr="7F49A116" w:rsidR="00EB500C">
        <w:rPr>
          <w:rFonts w:eastAsia="Segoe UI" w:cs="Segoe UI"/>
          <w:color w:val="333333"/>
        </w:rPr>
        <w:t xml:space="preserve"> </w:t>
      </w:r>
      <w:r w:rsidRPr="7F49A116" w:rsidR="59BB088F">
        <w:rPr>
          <w:rFonts w:eastAsia="Segoe UI" w:cs="Segoe UI"/>
          <w:color w:val="333333"/>
        </w:rPr>
        <w:t>The Commission did not approve</w:t>
      </w:r>
      <w:r w:rsidRPr="7F49A116" w:rsidR="00EB500C">
        <w:rPr>
          <w:rFonts w:eastAsia="Segoe UI" w:cs="Segoe UI"/>
          <w:color w:val="333333"/>
        </w:rPr>
        <w:t xml:space="preserve"> these </w:t>
      </w:r>
      <w:r w:rsidRPr="7F49A116" w:rsidR="59BB088F">
        <w:rPr>
          <w:rFonts w:eastAsia="Segoe UI" w:cs="Segoe UI"/>
          <w:color w:val="333333"/>
        </w:rPr>
        <w:t>budgets</w:t>
      </w:r>
      <w:r w:rsidRPr="7F49A116" w:rsidR="00EB500C">
        <w:rPr>
          <w:rFonts w:eastAsia="Segoe UI" w:cs="Segoe UI"/>
          <w:color w:val="333333"/>
        </w:rPr>
        <w:t xml:space="preserve"> in D.24-05-028, </w:t>
      </w:r>
      <w:r w:rsidRPr="7F49A116" w:rsidR="6B552B87">
        <w:rPr>
          <w:rFonts w:eastAsia="Segoe UI" w:cs="Segoe UI"/>
          <w:color w:val="333333"/>
        </w:rPr>
        <w:t xml:space="preserve">as </w:t>
      </w:r>
      <w:proofErr w:type="gramStart"/>
      <w:r w:rsidRPr="7F49A116" w:rsidR="6B552B87">
        <w:rPr>
          <w:rFonts w:eastAsia="Segoe UI" w:cs="Segoe UI"/>
          <w:color w:val="333333"/>
        </w:rPr>
        <w:t xml:space="preserve">the </w:t>
      </w:r>
      <w:r w:rsidR="00F228A1">
        <w:rPr>
          <w:rFonts w:eastAsia="Segoe UI" w:cs="Segoe UI"/>
          <w:color w:val="333333"/>
        </w:rPr>
        <w:t xml:space="preserve"> </w:t>
      </w:r>
      <w:r w:rsidRPr="7F49A116" w:rsidR="6B552B87">
        <w:rPr>
          <w:rFonts w:eastAsia="Segoe UI" w:cs="Segoe UI"/>
          <w:color w:val="333333"/>
        </w:rPr>
        <w:t>Decision</w:t>
      </w:r>
      <w:proofErr w:type="gramEnd"/>
      <w:r w:rsidRPr="7F49A116" w:rsidR="00EB500C">
        <w:rPr>
          <w:rFonts w:eastAsia="Segoe UI" w:cs="Segoe UI"/>
          <w:color w:val="333333"/>
        </w:rPr>
        <w:t xml:space="preserve"> directed </w:t>
      </w:r>
      <w:r w:rsidRPr="7F49A116" w:rsidR="59BB088F">
        <w:rPr>
          <w:rFonts w:eastAsia="Segoe UI" w:cs="Segoe UI"/>
          <w:color w:val="333333"/>
        </w:rPr>
        <w:t xml:space="preserve">SDG&amp;E </w:t>
      </w:r>
      <w:r w:rsidRPr="7F49A116" w:rsidR="00EB500C">
        <w:rPr>
          <w:rFonts w:eastAsia="Segoe UI" w:cs="Segoe UI"/>
          <w:color w:val="333333"/>
        </w:rPr>
        <w:t xml:space="preserve">to </w:t>
      </w:r>
      <w:r w:rsidRPr="7F49A116" w:rsidR="00691FB3">
        <w:rPr>
          <w:rFonts w:eastAsia="Segoe UI" w:cs="Segoe UI"/>
          <w:color w:val="333333"/>
        </w:rPr>
        <w:t>request budget authorization</w:t>
      </w:r>
      <w:r w:rsidRPr="7F49A116" w:rsidR="00EB500C">
        <w:rPr>
          <w:rFonts w:eastAsia="Segoe UI" w:cs="Segoe UI"/>
          <w:color w:val="333333"/>
        </w:rPr>
        <w:t xml:space="preserve"> in </w:t>
      </w:r>
      <w:r w:rsidRPr="7F49A116" w:rsidR="59BB088F">
        <w:rPr>
          <w:rFonts w:eastAsia="Segoe UI" w:cs="Segoe UI"/>
          <w:color w:val="333333"/>
        </w:rPr>
        <w:t>the Tier 3</w:t>
      </w:r>
      <w:r w:rsidRPr="7F49A116" w:rsidR="00EB500C">
        <w:rPr>
          <w:rFonts w:eastAsia="Segoe UI" w:cs="Segoe UI"/>
          <w:color w:val="333333"/>
        </w:rPr>
        <w:t xml:space="preserve"> </w:t>
      </w:r>
      <w:r w:rsidRPr="7F49A116" w:rsidR="61CAA012">
        <w:rPr>
          <w:rFonts w:eastAsia="Segoe UI" w:cs="Segoe UI"/>
          <w:color w:val="333333"/>
        </w:rPr>
        <w:t>AL</w:t>
      </w:r>
      <w:r w:rsidRPr="7F49A116" w:rsidR="59BB088F">
        <w:rPr>
          <w:rFonts w:eastAsia="Segoe UI" w:cs="Segoe UI"/>
          <w:color w:val="333333"/>
        </w:rPr>
        <w:t xml:space="preserve"> to implement the fixed charge</w:t>
      </w:r>
      <w:r w:rsidRPr="7F49A116" w:rsidR="00EB500C">
        <w:rPr>
          <w:rFonts w:eastAsia="Times New Roman" w:cs="Times New Roman"/>
          <w:color w:val="000000" w:themeColor="text1"/>
        </w:rPr>
        <w:t>.</w:t>
      </w:r>
    </w:p>
    <w:p w:rsidRPr="00D865A9" w:rsidR="000C50E3" w:rsidP="1DE32884" w:rsidRDefault="000C50E3" w14:paraId="7FD1037D" w14:textId="2915A5D5">
      <w:pPr>
        <w:pStyle w:val="Res-Caption"/>
        <w:ind w:left="1440"/>
        <w:rPr>
          <w:rFonts w:eastAsia="Times New Roman" w:cs="Times New Roman"/>
          <w:color w:val="000000" w:themeColor="text1"/>
        </w:rPr>
      </w:pPr>
    </w:p>
    <w:p w:rsidRPr="00D865A9" w:rsidR="00CF17DE" w:rsidP="00F22803" w:rsidRDefault="00CF17DE" w14:paraId="414B5F5B" w14:textId="77777777">
      <w:pPr>
        <w:pStyle w:val="Res-Caption"/>
      </w:pPr>
    </w:p>
    <w:p w:rsidRPr="00C32691" w:rsidR="00425A10" w:rsidP="00C90839" w:rsidRDefault="00841EFD" w14:paraId="17FC3E7D" w14:textId="1FD4FC56">
      <w:pPr>
        <w:ind w:left="720"/>
      </w:pPr>
      <w:r>
        <w:t xml:space="preserve">By Advice Letter 4492-E, </w:t>
      </w:r>
      <w:r w:rsidR="0F46B62F">
        <w:t>submitted</w:t>
      </w:r>
      <w:r>
        <w:t xml:space="preserve"> </w:t>
      </w:r>
      <w:r w:rsidR="444A0A21">
        <w:t>August 13, 20</w:t>
      </w:r>
      <w:r w:rsidR="1383D60A">
        <w:t>24</w:t>
      </w:r>
      <w:r w:rsidR="00642279">
        <w:t xml:space="preserve">, </w:t>
      </w:r>
      <w:r w:rsidR="1383D60A">
        <w:t xml:space="preserve">Advice Letter </w:t>
      </w:r>
      <w:r w:rsidR="003D3B84">
        <w:t>4492</w:t>
      </w:r>
      <w:r w:rsidR="1383D60A">
        <w:t>-E</w:t>
      </w:r>
      <w:r w:rsidR="00FE1E22">
        <w:t>-A</w:t>
      </w:r>
      <w:r w:rsidR="00356D26">
        <w:t>,</w:t>
      </w:r>
      <w:r w:rsidR="1383D60A">
        <w:t xml:space="preserve"> </w:t>
      </w:r>
      <w:r w:rsidR="5715CCA6">
        <w:t>submitted</w:t>
      </w:r>
      <w:r w:rsidR="00053C23">
        <w:t xml:space="preserve"> </w:t>
      </w:r>
      <w:r w:rsidR="098145E9">
        <w:t>September 1</w:t>
      </w:r>
      <w:r w:rsidR="00C24EA9">
        <w:t>6</w:t>
      </w:r>
      <w:r w:rsidR="098145E9">
        <w:t>, 20</w:t>
      </w:r>
      <w:r w:rsidR="00053C23">
        <w:t>24</w:t>
      </w:r>
      <w:r w:rsidR="00642279">
        <w:t xml:space="preserve">, and </w:t>
      </w:r>
      <w:r w:rsidR="00C90839">
        <w:t xml:space="preserve">Advice Letter </w:t>
      </w:r>
      <w:r w:rsidR="003D3B84">
        <w:t>4492</w:t>
      </w:r>
      <w:r w:rsidR="00C90839">
        <w:t>-E-</w:t>
      </w:r>
      <w:r w:rsidR="003D3B84">
        <w:t>B</w:t>
      </w:r>
      <w:r w:rsidR="3D40C24C">
        <w:t>,</w:t>
      </w:r>
      <w:r w:rsidR="00C90839">
        <w:t xml:space="preserve"> </w:t>
      </w:r>
      <w:r w:rsidR="4B5EA948">
        <w:t>submitted</w:t>
      </w:r>
      <w:r w:rsidR="00C90839">
        <w:t xml:space="preserve"> </w:t>
      </w:r>
      <w:r w:rsidR="00C24EA9">
        <w:br/>
        <w:t>Octo</w:t>
      </w:r>
      <w:r w:rsidR="7C8B0420">
        <w:t xml:space="preserve">ber </w:t>
      </w:r>
      <w:r w:rsidR="00C24EA9">
        <w:t>9</w:t>
      </w:r>
      <w:r w:rsidR="7C8B0420">
        <w:t>, 2024</w:t>
      </w:r>
      <w:r w:rsidR="00C90839">
        <w:t>.</w:t>
      </w:r>
    </w:p>
    <w:p w:rsidRPr="00D865A9" w:rsidR="00CF17DE" w:rsidP="7984425D" w:rsidRDefault="00CF17DE" w14:paraId="2BFCF270" w14:textId="141A3188">
      <w:pPr>
        <w:pStyle w:val="Res-Caption"/>
        <w:jc w:val="center"/>
      </w:pPr>
      <w:r w:rsidRPr="00D865A9">
        <w:lastRenderedPageBreak/>
        <w:t xml:space="preserve"> __________________________________________________________</w:t>
      </w:r>
    </w:p>
    <w:p w:rsidRPr="00D865A9" w:rsidR="00CF17DE" w:rsidP="00F22803" w:rsidRDefault="00CF17DE" w14:paraId="21ED6BB6" w14:textId="77777777"/>
    <w:p w:rsidRPr="00D865A9" w:rsidR="00CF17DE" w:rsidP="00F22803" w:rsidRDefault="00CF17DE" w14:paraId="2C49E15C" w14:textId="77777777">
      <w:pPr>
        <w:pStyle w:val="Heading1"/>
      </w:pPr>
      <w:r w:rsidRPr="00D865A9">
        <w:t>Summary</w:t>
      </w:r>
      <w:bookmarkEnd w:id="0"/>
    </w:p>
    <w:p w:rsidR="00820AE1" w:rsidP="0072740B" w:rsidRDefault="00510B01" w14:paraId="6C9B52D5" w14:textId="29D7DCF4">
      <w:r w:rsidRPr="00510B01">
        <w:t>This Resolution approves with modifications San Diego Gas &amp; Electric Company’s (SDG&amp;E) Advice Letter (AL) 4492-E</w:t>
      </w:r>
      <w:r w:rsidR="00FE071B">
        <w:t xml:space="preserve">, </w:t>
      </w:r>
      <w:r w:rsidRPr="00510B01">
        <w:t>AL 4492-E-A</w:t>
      </w:r>
      <w:r w:rsidR="00FE071B">
        <w:t xml:space="preserve">, and </w:t>
      </w:r>
      <w:r w:rsidRPr="00601DE5" w:rsidR="00FE071B">
        <w:t>AL 4492-</w:t>
      </w:r>
      <w:r w:rsidR="70D2A64C">
        <w:t>E-</w:t>
      </w:r>
      <w:r w:rsidRPr="00601DE5" w:rsidR="00FE071B">
        <w:t>B</w:t>
      </w:r>
      <w:r w:rsidRPr="00510B01">
        <w:t xml:space="preserve"> to implement an income-graduated fixed charge (IGFC or fixed charge) for residential customers </w:t>
      </w:r>
      <w:r w:rsidR="00246546">
        <w:t>pursuant</w:t>
      </w:r>
      <w:r w:rsidRPr="00510B01">
        <w:t xml:space="preserve"> to Decision (D.) 24-05-028 (Decision) to accelerate the state’s clean energy transition. The Decision changes how large investor-owned utilities (IOUs) bill residential customers for infrastructure-related costs. The fixed charge not only shrinks the price for a unit of electricity for all customers, but also makes it more affordable to electrify homes and vehicles, regardless of income or where someone lives.</w:t>
      </w:r>
    </w:p>
    <w:p w:rsidR="00510B01" w:rsidP="0072740B" w:rsidRDefault="00510B01" w14:paraId="46C1A8F7" w14:textId="77777777"/>
    <w:p w:rsidR="00BD7D42" w:rsidP="0072740B" w:rsidRDefault="00770436" w14:paraId="1BE3216F" w14:textId="6DF7BB53">
      <w:r w:rsidRPr="00770436">
        <w:t xml:space="preserve">The fixed charge will be applied based on income tiers, with lower-income customers paying a lower charge and higher-income customers paying a higher charge. This </w:t>
      </w:r>
      <w:r w:rsidR="002E685F">
        <w:t>approach</w:t>
      </w:r>
      <w:r w:rsidRPr="00770436">
        <w:t xml:space="preserve"> ensures that the burden of the fixed charge is distributed fairly and does not disproportionately affect lower-income households, including customers participating in the California Alternate Rates for Energy (CARE) and Family Electric Rate Assistance (FERA) programs</w:t>
      </w:r>
      <w:r w:rsidRPr="006F6CC4" w:rsidR="00BD7D42">
        <w:t>.</w:t>
      </w:r>
      <w:r w:rsidR="00B0301E">
        <w:rPr>
          <w:rStyle w:val="FootnoteReference"/>
        </w:rPr>
        <w:footnoteReference w:id="2"/>
      </w:r>
    </w:p>
    <w:p w:rsidR="008027FC" w:rsidP="0072740B" w:rsidRDefault="008027FC" w14:paraId="6A0A6054" w14:textId="77777777"/>
    <w:p w:rsidR="00BD7D42" w:rsidP="0072740B" w:rsidRDefault="00BD7D42" w14:paraId="738654EF" w14:textId="36CA87A6">
      <w:r w:rsidRPr="00BD7D42">
        <w:t xml:space="preserve">The </w:t>
      </w:r>
      <w:r w:rsidR="7A89BCF3">
        <w:t>Decision</w:t>
      </w:r>
      <w:r w:rsidRPr="00BD7D42">
        <w:t xml:space="preserve"> require</w:t>
      </w:r>
      <w:r w:rsidR="004B60F1">
        <w:t>d</w:t>
      </w:r>
      <w:r w:rsidRPr="00BD7D42">
        <w:t xml:space="preserve"> </w:t>
      </w:r>
      <w:r w:rsidR="7A89BCF3">
        <w:t xml:space="preserve">that </w:t>
      </w:r>
      <w:r w:rsidRPr="00BD7D42">
        <w:t>SDG&amp;E remove minimum bills</w:t>
      </w:r>
      <w:r w:rsidR="00EC16B3">
        <w:t xml:space="preserve"> from residential customer bills</w:t>
      </w:r>
      <w:r w:rsidR="0015343C">
        <w:t xml:space="preserve"> (where applicable)</w:t>
      </w:r>
      <w:r w:rsidR="098F637A">
        <w:t>. The Decision also require</w:t>
      </w:r>
      <w:r w:rsidR="004B60F1">
        <w:t>d</w:t>
      </w:r>
      <w:r w:rsidR="098F637A">
        <w:t xml:space="preserve"> SDG&amp;E</w:t>
      </w:r>
      <w:r w:rsidRPr="00BD7D42">
        <w:t xml:space="preserve"> </w:t>
      </w:r>
      <w:r w:rsidR="1D5CCA0E">
        <w:t xml:space="preserve">to </w:t>
      </w:r>
      <w:r w:rsidR="00A75CB3">
        <w:t>launch</w:t>
      </w:r>
      <w:r w:rsidRPr="00BD7D42">
        <w:t xml:space="preserve"> a</w:t>
      </w:r>
      <w:r w:rsidR="00FC7EB1">
        <w:t>n effective</w:t>
      </w:r>
      <w:r w:rsidRPr="00BD7D42">
        <w:t xml:space="preserve"> marketing</w:t>
      </w:r>
      <w:r w:rsidR="00AB4CA4">
        <w:t>,</w:t>
      </w:r>
      <w:r w:rsidRPr="00BD7D42">
        <w:t xml:space="preserve"> education</w:t>
      </w:r>
      <w:r w:rsidR="54E0C502">
        <w:t>,</w:t>
      </w:r>
      <w:r w:rsidRPr="00BD7D42">
        <w:t xml:space="preserve"> and outreach (ME&amp;O)</w:t>
      </w:r>
      <w:r w:rsidR="0072740B">
        <w:t xml:space="preserve"> campaign</w:t>
      </w:r>
      <w:r w:rsidR="3F829305">
        <w:t>. Specifically, the Decision required that</w:t>
      </w:r>
      <w:r w:rsidR="009F6677">
        <w:t xml:space="preserve"> </w:t>
      </w:r>
      <w:r w:rsidR="3F829305">
        <w:t>the ME&amp;O</w:t>
      </w:r>
      <w:r w:rsidR="009F6677">
        <w:t xml:space="preserve"> </w:t>
      </w:r>
      <w:r w:rsidR="3F829305">
        <w:t xml:space="preserve">campaign </w:t>
      </w:r>
      <w:r w:rsidRPr="00BD7D42">
        <w:t xml:space="preserve">address the following topics: </w:t>
      </w:r>
    </w:p>
    <w:p w:rsidRPr="00BD7D42" w:rsidR="00773D48" w:rsidP="00BD7D42" w:rsidRDefault="00773D48" w14:paraId="5D6223A5" w14:textId="77777777"/>
    <w:p w:rsidRPr="00BD7D42" w:rsidR="00BD7D42" w:rsidP="00C401B7" w:rsidRDefault="00BD7D42" w14:paraId="03754076" w14:textId="4F4ABE4D">
      <w:pPr>
        <w:pStyle w:val="ListParagraph"/>
        <w:numPr>
          <w:ilvl w:val="0"/>
          <w:numId w:val="11"/>
        </w:numPr>
        <w:spacing w:after="80"/>
        <w:contextualSpacing w:val="0"/>
      </w:pPr>
      <w:r w:rsidRPr="00BD7D42">
        <w:t xml:space="preserve">When the new fixed charge will be </w:t>
      </w:r>
      <w:proofErr w:type="gramStart"/>
      <w:r w:rsidRPr="00BD7D42">
        <w:t>applied;</w:t>
      </w:r>
      <w:proofErr w:type="gramEnd"/>
      <w:r w:rsidRPr="00BD7D42">
        <w:t xml:space="preserve"> </w:t>
      </w:r>
    </w:p>
    <w:p w:rsidRPr="00BD7D42" w:rsidR="00BD7D42" w:rsidP="00C401B7" w:rsidRDefault="00BD7D42" w14:paraId="4436B2D4" w14:textId="5E02B558">
      <w:pPr>
        <w:pStyle w:val="ListParagraph"/>
        <w:numPr>
          <w:ilvl w:val="0"/>
          <w:numId w:val="11"/>
        </w:numPr>
        <w:spacing w:after="80"/>
        <w:contextualSpacing w:val="0"/>
      </w:pPr>
      <w:r w:rsidRPr="00BD7D42">
        <w:t xml:space="preserve">Why and how the new fixed charge will reduce volumetric </w:t>
      </w:r>
      <w:proofErr w:type="gramStart"/>
      <w:r w:rsidRPr="00BD7D42">
        <w:t>rates;</w:t>
      </w:r>
      <w:proofErr w:type="gramEnd"/>
      <w:r w:rsidRPr="00BD7D42">
        <w:t xml:space="preserve"> </w:t>
      </w:r>
    </w:p>
    <w:p w:rsidRPr="00BD7D42" w:rsidR="00BD7D42" w:rsidP="00C401B7" w:rsidRDefault="00BD7D42" w14:paraId="01773F31" w14:textId="26D764C7">
      <w:pPr>
        <w:pStyle w:val="ListParagraph"/>
        <w:numPr>
          <w:ilvl w:val="0"/>
          <w:numId w:val="11"/>
        </w:numPr>
        <w:spacing w:after="80"/>
        <w:contextualSpacing w:val="0"/>
      </w:pPr>
      <w:r w:rsidRPr="00BD7D42">
        <w:t xml:space="preserve">The amount of the fixed charge and how the fixed charge will affect customers’ </w:t>
      </w:r>
      <w:proofErr w:type="gramStart"/>
      <w:r w:rsidRPr="00BD7D42">
        <w:t>bills;</w:t>
      </w:r>
      <w:proofErr w:type="gramEnd"/>
      <w:r w:rsidRPr="00BD7D42">
        <w:t xml:space="preserve"> </w:t>
      </w:r>
    </w:p>
    <w:p w:rsidRPr="00BD7D42" w:rsidR="00BD7D42" w:rsidP="00C401B7" w:rsidRDefault="00BD7D42" w14:paraId="56BFFBEA" w14:textId="768D7B4E">
      <w:pPr>
        <w:pStyle w:val="ListParagraph"/>
        <w:numPr>
          <w:ilvl w:val="0"/>
          <w:numId w:val="11"/>
        </w:numPr>
        <w:spacing w:after="80"/>
        <w:contextualSpacing w:val="0"/>
      </w:pPr>
      <w:r w:rsidRPr="00BD7D42">
        <w:t xml:space="preserve">How tiers will be assigned and how to move to a different income </w:t>
      </w:r>
      <w:proofErr w:type="gramStart"/>
      <w:r w:rsidRPr="00BD7D42">
        <w:t>tier;</w:t>
      </w:r>
      <w:proofErr w:type="gramEnd"/>
      <w:r w:rsidRPr="00BD7D42">
        <w:t xml:space="preserve"> </w:t>
      </w:r>
    </w:p>
    <w:p w:rsidRPr="00BD7D42" w:rsidR="00BD7D42" w:rsidP="00C401B7" w:rsidRDefault="00BD7D42" w14:paraId="1E3013EE" w14:textId="15E0C807">
      <w:pPr>
        <w:pStyle w:val="ListParagraph"/>
        <w:numPr>
          <w:ilvl w:val="0"/>
          <w:numId w:val="11"/>
        </w:numPr>
        <w:spacing w:after="80"/>
        <w:contextualSpacing w:val="0"/>
      </w:pPr>
      <w:r w:rsidRPr="00BD7D42">
        <w:t xml:space="preserve">Different rate options and rate comparison </w:t>
      </w:r>
      <w:proofErr w:type="gramStart"/>
      <w:r w:rsidRPr="00BD7D42">
        <w:t>tools;</w:t>
      </w:r>
      <w:proofErr w:type="gramEnd"/>
      <w:r w:rsidRPr="00BD7D42">
        <w:t xml:space="preserve"> </w:t>
      </w:r>
    </w:p>
    <w:p w:rsidRPr="00BD7D42" w:rsidR="00BD7D42" w:rsidP="00C401B7" w:rsidRDefault="00BD7D42" w14:paraId="35796130" w14:textId="76ED672C">
      <w:pPr>
        <w:pStyle w:val="ListParagraph"/>
        <w:numPr>
          <w:ilvl w:val="0"/>
          <w:numId w:val="11"/>
        </w:numPr>
        <w:spacing w:after="80"/>
        <w:contextualSpacing w:val="0"/>
      </w:pPr>
      <w:r w:rsidRPr="00BD7D42">
        <w:t>Options to enroll in</w:t>
      </w:r>
      <w:r w:rsidR="00DD7EDD">
        <w:t xml:space="preserve"> </w:t>
      </w:r>
      <w:r w:rsidRPr="00BD7D42">
        <w:t xml:space="preserve">CARE or FERA and other ways to manage energy </w:t>
      </w:r>
      <w:proofErr w:type="gramStart"/>
      <w:r w:rsidRPr="00BD7D42">
        <w:t>costs;</w:t>
      </w:r>
      <w:proofErr w:type="gramEnd"/>
      <w:r w:rsidRPr="00BD7D42">
        <w:t xml:space="preserve"> </w:t>
      </w:r>
    </w:p>
    <w:p w:rsidRPr="00BD7D42" w:rsidR="00BD7D42" w:rsidP="00C401B7" w:rsidRDefault="00BD7D42" w14:paraId="0C922C1B" w14:textId="47E30B67">
      <w:pPr>
        <w:pStyle w:val="ListParagraph"/>
        <w:numPr>
          <w:ilvl w:val="0"/>
          <w:numId w:val="11"/>
        </w:numPr>
        <w:spacing w:after="80"/>
        <w:contextualSpacing w:val="0"/>
      </w:pPr>
      <w:r w:rsidRPr="00BD7D42">
        <w:lastRenderedPageBreak/>
        <w:t xml:space="preserve">Assure CARE and FERA customers that their assistance program discounts will not be affected by the fixed charge and that they may see lower bills </w:t>
      </w:r>
      <w:proofErr w:type="gramStart"/>
      <w:r w:rsidRPr="00BD7D42">
        <w:t>as a result of</w:t>
      </w:r>
      <w:proofErr w:type="gramEnd"/>
      <w:r w:rsidRPr="00BD7D42">
        <w:t xml:space="preserve"> the fixed charge; and </w:t>
      </w:r>
    </w:p>
    <w:p w:rsidR="00BD7D42" w:rsidP="00C401B7" w:rsidRDefault="00BD7D42" w14:paraId="5EB2CE17" w14:textId="54AF1359">
      <w:pPr>
        <w:pStyle w:val="ListParagraph"/>
        <w:numPr>
          <w:ilvl w:val="0"/>
          <w:numId w:val="11"/>
        </w:numPr>
        <w:spacing w:after="80"/>
        <w:contextualSpacing w:val="0"/>
      </w:pPr>
      <w:r w:rsidRPr="00BD7D42">
        <w:t>Why and how the fixed charge will encourage the adoption of electrification technologies and associated reduced use of fossil fuels and how customers can find rebates to electrify.</w:t>
      </w:r>
      <w:r w:rsidR="00184BA9">
        <w:rPr>
          <w:rStyle w:val="FootnoteReference"/>
        </w:rPr>
        <w:footnoteReference w:id="3"/>
      </w:r>
    </w:p>
    <w:p w:rsidRPr="00BD7D42" w:rsidR="00847B7B" w:rsidP="00847B7B" w:rsidRDefault="00847B7B" w14:paraId="1486154A" w14:textId="77777777">
      <w:pPr>
        <w:pStyle w:val="ListParagraph"/>
        <w:spacing w:after="80"/>
        <w:contextualSpacing w:val="0"/>
      </w:pPr>
    </w:p>
    <w:p w:rsidRPr="00C34776" w:rsidR="00C06951" w:rsidP="5266621B" w:rsidRDefault="00C06951" w14:paraId="402192E3" w14:textId="2A8CEF1B">
      <w:pPr>
        <w:spacing w:line="259" w:lineRule="auto"/>
      </w:pPr>
      <w:r>
        <w:t xml:space="preserve">The California Public Utilities Commission (Commission or CPUC) </w:t>
      </w:r>
      <w:r w:rsidR="53CACD47">
        <w:t>directs</w:t>
      </w:r>
      <w:r>
        <w:t xml:space="preserve"> SDG&amp;E to modify its implementation plan according to the direction provided in this Resolution on issues raised in </w:t>
      </w:r>
      <w:r w:rsidR="0E7DBB2D">
        <w:t>protest</w:t>
      </w:r>
      <w:r>
        <w:t xml:space="preserve"> to the AL and on aspects of SDG&amp;E’s implementation plan </w:t>
      </w:r>
      <w:r w:rsidR="687FEF1A">
        <w:t>that</w:t>
      </w:r>
      <w:r>
        <w:t xml:space="preserve"> warrant clarification.</w:t>
      </w:r>
      <w:r w:rsidR="008F5D73">
        <w:t xml:space="preserve"> </w:t>
      </w:r>
      <w:r w:rsidR="00200FC5">
        <w:t xml:space="preserve">This Resolution directs SDG&amp;E to submit a Tier 2 </w:t>
      </w:r>
      <w:r w:rsidR="00F320EB">
        <w:t>AL</w:t>
      </w:r>
      <w:r w:rsidR="00200FC5">
        <w:t xml:space="preserve"> within 60 days of </w:t>
      </w:r>
      <w:r w:rsidR="414E52E1">
        <w:t>the issuance of</w:t>
      </w:r>
      <w:r w:rsidR="00200FC5">
        <w:t xml:space="preserve"> this Resolution</w:t>
      </w:r>
      <w:r w:rsidR="003E535B">
        <w:t xml:space="preserve"> to address the requirements of its ME&amp;O plan</w:t>
      </w:r>
      <w:r w:rsidR="00200FC5">
        <w:t>.</w:t>
      </w:r>
      <w:r w:rsidR="008F5D73">
        <w:t xml:space="preserve"> This </w:t>
      </w:r>
      <w:r w:rsidR="000623F7">
        <w:t>R</w:t>
      </w:r>
      <w:r w:rsidR="008F5D73">
        <w:t xml:space="preserve">esolution also directs SDG&amp;E to submit a Tier 2 </w:t>
      </w:r>
      <w:r w:rsidR="53BA9F36">
        <w:t>AL</w:t>
      </w:r>
      <w:r w:rsidR="008F5D73">
        <w:t xml:space="preserve"> within 90 days of </w:t>
      </w:r>
      <w:r w:rsidR="00FD3688">
        <w:t>the issuance</w:t>
      </w:r>
      <w:r w:rsidR="008F5D73">
        <w:t xml:space="preserve"> of this Resolution </w:t>
      </w:r>
      <w:r w:rsidR="009531E6">
        <w:t xml:space="preserve">to </w:t>
      </w:r>
      <w:r w:rsidR="00403233">
        <w:t>provide redlined changes to its volumetric rate components of all residential tariffs active in 2025, including legacy rates</w:t>
      </w:r>
      <w:r w:rsidR="4DB2BF8D">
        <w:t>. In addition, SDG&amp;E will need to</w:t>
      </w:r>
      <w:r w:rsidR="00497248">
        <w:t xml:space="preserve"> submit a Tier 1 </w:t>
      </w:r>
      <w:r w:rsidR="41C1F65F">
        <w:t>AL</w:t>
      </w:r>
      <w:r w:rsidR="00497248">
        <w:t xml:space="preserve"> within 30 days before the fixed charge is implemented to provide final redlined tariffs.</w:t>
      </w:r>
    </w:p>
    <w:p w:rsidRPr="00D6291A" w:rsidR="00D708FB" w:rsidP="00D6291A" w:rsidRDefault="00D708FB" w14:paraId="6BBB8324" w14:textId="77777777">
      <w:pPr>
        <w:rPr>
          <w:rFonts w:eastAsia="Palatino Linotype" w:cs="Palatino Linotype"/>
          <w:color w:val="000000" w:themeColor="text1"/>
        </w:rPr>
      </w:pPr>
    </w:p>
    <w:p w:rsidRPr="00D6291A" w:rsidR="00D6291A" w:rsidP="00D6291A" w:rsidRDefault="00D6291A" w14:paraId="39B546A7" w14:textId="3E01E39F">
      <w:pPr>
        <w:pStyle w:val="Heading1"/>
      </w:pPr>
      <w:r w:rsidRPr="00D6291A">
        <w:t>BACKGROUND</w:t>
      </w:r>
    </w:p>
    <w:p w:rsidRPr="00D6291A" w:rsidR="00D6291A" w:rsidP="00D6291A" w:rsidRDefault="00D6291A" w14:paraId="7A64419E" w14:textId="46A7B2DF">
      <w:pPr>
        <w:rPr>
          <w:rFonts w:eastAsia="Palatino Linotype" w:cs="Palatino Linotype"/>
          <w:color w:val="000000" w:themeColor="text1"/>
        </w:rPr>
      </w:pPr>
      <w:r w:rsidRPr="00D6291A">
        <w:rPr>
          <w:rFonts w:eastAsia="Palatino Linotype" w:cs="Palatino Linotype"/>
          <w:color w:val="000000" w:themeColor="text1"/>
        </w:rPr>
        <w:t>On June 30, 2022, California Assembly Bill (AB</w:t>
      </w:r>
      <w:r w:rsidR="00FB40AB">
        <w:rPr>
          <w:rFonts w:eastAsia="Palatino Linotype" w:cs="Palatino Linotype"/>
          <w:color w:val="000000" w:themeColor="text1"/>
        </w:rPr>
        <w:t>)</w:t>
      </w:r>
      <w:r w:rsidRPr="00D6291A">
        <w:rPr>
          <w:rFonts w:eastAsia="Palatino Linotype" w:cs="Palatino Linotype"/>
          <w:color w:val="000000" w:themeColor="text1"/>
        </w:rPr>
        <w:t xml:space="preserve"> 205 </w:t>
      </w:r>
      <w:r w:rsidRPr="3AD9A19F" w:rsidR="2E55A73E">
        <w:rPr>
          <w:rFonts w:eastAsia="Palatino Linotype" w:cs="Palatino Linotype"/>
          <w:color w:val="000000" w:themeColor="text1"/>
        </w:rPr>
        <w:t xml:space="preserve">(Stats. 2022, </w:t>
      </w:r>
      <w:proofErr w:type="spellStart"/>
      <w:r w:rsidRPr="3AD9A19F" w:rsidR="2E55A73E">
        <w:rPr>
          <w:rFonts w:eastAsia="Palatino Linotype" w:cs="Palatino Linotype"/>
          <w:color w:val="000000" w:themeColor="text1"/>
        </w:rPr>
        <w:t>ch.</w:t>
      </w:r>
      <w:proofErr w:type="spellEnd"/>
      <w:r w:rsidRPr="3AD9A19F" w:rsidR="2E55A73E">
        <w:rPr>
          <w:rFonts w:eastAsia="Palatino Linotype" w:cs="Palatino Linotype"/>
          <w:color w:val="000000" w:themeColor="text1"/>
        </w:rPr>
        <w:t xml:space="preserve"> 61)</w:t>
      </w:r>
      <w:r w:rsidRPr="00D6291A">
        <w:rPr>
          <w:rFonts w:eastAsia="Palatino Linotype" w:cs="Palatino Linotype"/>
          <w:color w:val="000000" w:themeColor="text1"/>
        </w:rPr>
        <w:t xml:space="preserve"> became law, paving the way for the</w:t>
      </w:r>
      <w:r w:rsidR="000F1D54">
        <w:rPr>
          <w:rFonts w:eastAsia="Palatino Linotype" w:cs="Palatino Linotype"/>
          <w:color w:val="000000" w:themeColor="text1"/>
        </w:rPr>
        <w:t xml:space="preserve"> </w:t>
      </w:r>
      <w:r w:rsidRPr="00D6291A">
        <w:rPr>
          <w:rFonts w:eastAsia="Palatino Linotype" w:cs="Palatino Linotype"/>
          <w:color w:val="000000" w:themeColor="text1"/>
        </w:rPr>
        <w:t xml:space="preserve">Commission to adopt </w:t>
      </w:r>
      <w:r w:rsidRPr="3AD9A19F">
        <w:rPr>
          <w:rFonts w:eastAsia="Palatino Linotype" w:cs="Palatino Linotype"/>
          <w:color w:val="000000" w:themeColor="text1"/>
        </w:rPr>
        <w:t xml:space="preserve">a </w:t>
      </w:r>
      <w:r w:rsidRPr="3AD9A19F" w:rsidR="3C789AF6">
        <w:rPr>
          <w:rFonts w:eastAsia="Palatino Linotype" w:cs="Palatino Linotype"/>
          <w:color w:val="000000" w:themeColor="text1"/>
        </w:rPr>
        <w:t>more</w:t>
      </w:r>
      <w:r w:rsidRPr="00D6291A">
        <w:rPr>
          <w:rFonts w:eastAsia="Palatino Linotype" w:cs="Palatino Linotype"/>
          <w:color w:val="000000" w:themeColor="text1"/>
        </w:rPr>
        <w:t xml:space="preserve"> equitable rate structure for residential customers and to direct the electric IOUs to collect a reasonable portion of the fixed costs of providing electric service for residential customers.</w:t>
      </w:r>
    </w:p>
    <w:p w:rsidRPr="00D6291A" w:rsidR="00D6291A" w:rsidP="00D6291A" w:rsidRDefault="00D6291A" w14:paraId="73363924" w14:textId="417603E5">
      <w:pPr>
        <w:rPr>
          <w:rFonts w:eastAsia="Palatino Linotype" w:cs="Palatino Linotype"/>
          <w:color w:val="000000" w:themeColor="text1"/>
        </w:rPr>
      </w:pPr>
    </w:p>
    <w:p w:rsidRPr="00D6291A" w:rsidR="00D6291A" w:rsidP="00D6291A" w:rsidRDefault="00D6291A" w14:paraId="023B05E7" w14:textId="4747591D">
      <w:pPr>
        <w:rPr>
          <w:rFonts w:eastAsia="Palatino Linotype" w:cs="Palatino Linotype"/>
          <w:color w:val="000000" w:themeColor="text1"/>
        </w:rPr>
      </w:pPr>
      <w:r w:rsidRPr="00D6291A">
        <w:rPr>
          <w:rFonts w:eastAsia="Palatino Linotype" w:cs="Palatino Linotype"/>
          <w:color w:val="000000" w:themeColor="text1"/>
        </w:rPr>
        <w:t xml:space="preserve">On July 14, 2022, the Commission initiated Rulemaking (R.) 22-07-005 to establish demand flexibility policies and modify electric rates to advance the following objectives: (a) enhance the reliability of California’s electric system; (b) make electric bills more affordable and equitable; (c) reduce the curtailment of renewable energy and greenhouse gas emissions associated with meeting the state’s future system load; (d) enable widespread electrification of buildings and transportation to meet the state’s climate goals; (e) reduce long-term system costs through more efficient pricing of electricity; and (f) enable participation in demand flexibility by both bundled and unbundled customers. Phase 1 of R.22-07-005 is organized into two concurrent tracks, </w:t>
      </w:r>
      <w:r w:rsidRPr="00D6291A">
        <w:rPr>
          <w:rFonts w:eastAsia="Palatino Linotype" w:cs="Palatino Linotype"/>
          <w:color w:val="000000" w:themeColor="text1"/>
        </w:rPr>
        <w:lastRenderedPageBreak/>
        <w:t xml:space="preserve">and Track A established the fixed charge for residential rates for all electric </w:t>
      </w:r>
      <w:r w:rsidRPr="35275654" w:rsidR="65CD039F">
        <w:rPr>
          <w:rFonts w:eastAsia="Palatino Linotype" w:cs="Palatino Linotype"/>
          <w:color w:val="000000" w:themeColor="text1"/>
        </w:rPr>
        <w:t>IOUs</w:t>
      </w:r>
      <w:r w:rsidRPr="00D6291A">
        <w:rPr>
          <w:rFonts w:eastAsia="Palatino Linotype" w:cs="Palatino Linotype"/>
          <w:color w:val="000000" w:themeColor="text1"/>
        </w:rPr>
        <w:t xml:space="preserve"> in accordance with AB 205</w:t>
      </w:r>
      <w:r w:rsidRPr="3AD9A19F">
        <w:rPr>
          <w:rFonts w:eastAsia="Palatino Linotype" w:cs="Palatino Linotype"/>
          <w:color w:val="000000" w:themeColor="text1"/>
        </w:rPr>
        <w:t>,</w:t>
      </w:r>
      <w:r w:rsidRPr="00D6291A">
        <w:rPr>
          <w:rFonts w:eastAsia="Palatino Linotype" w:cs="Palatino Linotype"/>
          <w:color w:val="000000" w:themeColor="text1"/>
        </w:rPr>
        <w:t xml:space="preserve"> including small and multi-jurisdictional electric utilities.</w:t>
      </w:r>
    </w:p>
    <w:p w:rsidRPr="00D6291A" w:rsidR="00D6291A" w:rsidP="00D6291A" w:rsidRDefault="00D6291A" w14:paraId="2D5E3115" w14:textId="6E5490DA">
      <w:pPr>
        <w:rPr>
          <w:rFonts w:eastAsia="Palatino Linotype" w:cs="Palatino Linotype"/>
          <w:color w:val="000000" w:themeColor="text1"/>
        </w:rPr>
      </w:pPr>
    </w:p>
    <w:p w:rsidRPr="00D6291A" w:rsidR="00D6291A" w:rsidP="00D6291A" w:rsidRDefault="00D6291A" w14:paraId="118DB505" w14:textId="3257C84E">
      <w:pPr>
        <w:rPr>
          <w:rFonts w:eastAsia="Palatino Linotype" w:cs="Palatino Linotype"/>
          <w:color w:val="000000" w:themeColor="text1"/>
        </w:rPr>
      </w:pPr>
      <w:r w:rsidRPr="00D6291A">
        <w:rPr>
          <w:rFonts w:eastAsia="Palatino Linotype" w:cs="Palatino Linotype"/>
          <w:color w:val="000000" w:themeColor="text1"/>
        </w:rPr>
        <w:t>On May 15, 2024, the Commission adopted the Decision, authorizing all electric IOUs—</w:t>
      </w:r>
      <w:r w:rsidR="00BB6382">
        <w:rPr>
          <w:rFonts w:eastAsia="Palatino Linotype" w:cs="Palatino Linotype"/>
          <w:color w:val="000000" w:themeColor="text1"/>
        </w:rPr>
        <w:t>Pacific Gas and Electric (</w:t>
      </w:r>
      <w:r w:rsidRPr="00D6291A">
        <w:rPr>
          <w:rFonts w:eastAsia="Palatino Linotype" w:cs="Palatino Linotype"/>
          <w:color w:val="000000" w:themeColor="text1"/>
        </w:rPr>
        <w:t>PG&amp;E</w:t>
      </w:r>
      <w:r w:rsidR="00BB6382">
        <w:rPr>
          <w:rFonts w:eastAsia="Palatino Linotype" w:cs="Palatino Linotype"/>
          <w:color w:val="000000" w:themeColor="text1"/>
        </w:rPr>
        <w:t>)</w:t>
      </w:r>
      <w:r w:rsidRPr="00D6291A">
        <w:rPr>
          <w:rFonts w:eastAsia="Palatino Linotype" w:cs="Palatino Linotype"/>
          <w:color w:val="000000" w:themeColor="text1"/>
        </w:rPr>
        <w:t xml:space="preserve">, </w:t>
      </w:r>
      <w:r w:rsidR="00BB6382">
        <w:rPr>
          <w:rFonts w:eastAsia="Palatino Linotype" w:cs="Palatino Linotype"/>
          <w:color w:val="000000" w:themeColor="text1"/>
        </w:rPr>
        <w:t>Southern California Edison (</w:t>
      </w:r>
      <w:r w:rsidRPr="00D6291A">
        <w:rPr>
          <w:rFonts w:eastAsia="Palatino Linotype" w:cs="Palatino Linotype"/>
          <w:color w:val="000000" w:themeColor="text1"/>
        </w:rPr>
        <w:t>SCE</w:t>
      </w:r>
      <w:r w:rsidR="00BB6382">
        <w:rPr>
          <w:rFonts w:eastAsia="Palatino Linotype" w:cs="Palatino Linotype"/>
          <w:color w:val="000000" w:themeColor="text1"/>
        </w:rPr>
        <w:t>)</w:t>
      </w:r>
      <w:r w:rsidRPr="00D6291A">
        <w:rPr>
          <w:rFonts w:eastAsia="Palatino Linotype" w:cs="Palatino Linotype"/>
          <w:color w:val="000000" w:themeColor="text1"/>
        </w:rPr>
        <w:t>, SDG&amp;E (collectively, Large Utilities), Bear Valley Electric Service, Inc., Liberty Utilities</w:t>
      </w:r>
      <w:r w:rsidRPr="145E0790" w:rsidR="07273010">
        <w:rPr>
          <w:rFonts w:eastAsia="Palatino Linotype" w:cs="Palatino Linotype"/>
          <w:color w:val="000000" w:themeColor="text1"/>
        </w:rPr>
        <w:t>,</w:t>
      </w:r>
      <w:r w:rsidRPr="00D6291A">
        <w:rPr>
          <w:rFonts w:eastAsia="Palatino Linotype" w:cs="Palatino Linotype"/>
          <w:color w:val="000000" w:themeColor="text1"/>
        </w:rPr>
        <w:t xml:space="preserve"> and PacifiCorp d/b/a Pacific Power (collectively, Small Utilities)—to change the structure of residential customer bills in accordance with AB 205. </w:t>
      </w:r>
      <w:r w:rsidRPr="2FF37069">
        <w:rPr>
          <w:rFonts w:eastAsia="Palatino Linotype" w:cs="Palatino Linotype"/>
          <w:color w:val="000000" w:themeColor="text1"/>
        </w:rPr>
        <w:t>Th</w:t>
      </w:r>
      <w:r w:rsidRPr="2FF37069" w:rsidR="7317E013">
        <w:rPr>
          <w:rFonts w:eastAsia="Palatino Linotype" w:cs="Palatino Linotype"/>
          <w:color w:val="000000" w:themeColor="text1"/>
        </w:rPr>
        <w:t>e</w:t>
      </w:r>
      <w:r w:rsidRPr="00D6291A">
        <w:rPr>
          <w:rFonts w:eastAsia="Palatino Linotype" w:cs="Palatino Linotype"/>
          <w:color w:val="000000" w:themeColor="text1"/>
        </w:rPr>
        <w:t xml:space="preserve"> Decision requires the IOUs to change the structure of residential customer bills by shifting the recovery of a portion of fixed costs from volumetric rates to a separate, fixed amount on bills without changing the total costs that utilities may recover from customers. As a result, </w:t>
      </w:r>
      <w:r w:rsidRPr="32F6DAF8">
        <w:rPr>
          <w:rFonts w:eastAsia="Palatino Linotype" w:cs="Palatino Linotype"/>
          <w:color w:val="000000" w:themeColor="text1"/>
        </w:rPr>
        <w:t>th</w:t>
      </w:r>
      <w:r w:rsidRPr="32F6DAF8" w:rsidR="33816651">
        <w:rPr>
          <w:rFonts w:eastAsia="Palatino Linotype" w:cs="Palatino Linotype"/>
          <w:color w:val="000000" w:themeColor="text1"/>
        </w:rPr>
        <w:t>e</w:t>
      </w:r>
      <w:r w:rsidRPr="00D6291A">
        <w:rPr>
          <w:rFonts w:eastAsia="Palatino Linotype" w:cs="Palatino Linotype"/>
          <w:color w:val="000000" w:themeColor="text1"/>
        </w:rPr>
        <w:t xml:space="preserve"> Decision reduces the volumetric price of electricity (in cents per kilowatt</w:t>
      </w:r>
      <w:r w:rsidR="00D70209">
        <w:rPr>
          <w:rFonts w:eastAsia="Palatino Linotype" w:cs="Palatino Linotype"/>
          <w:color w:val="000000" w:themeColor="text1"/>
        </w:rPr>
        <w:t>-</w:t>
      </w:r>
      <w:r w:rsidRPr="00D6291A">
        <w:rPr>
          <w:rFonts w:eastAsia="Palatino Linotype" w:cs="Palatino Linotype"/>
          <w:color w:val="000000" w:themeColor="text1"/>
        </w:rPr>
        <w:t>hour</w:t>
      </w:r>
      <w:r w:rsidR="00D70209">
        <w:rPr>
          <w:rFonts w:eastAsia="Palatino Linotype" w:cs="Palatino Linotype"/>
          <w:color w:val="000000" w:themeColor="text1"/>
        </w:rPr>
        <w:t xml:space="preserve"> (kWh)</w:t>
      </w:r>
      <w:r w:rsidRPr="00D6291A">
        <w:rPr>
          <w:rFonts w:eastAsia="Palatino Linotype" w:cs="Palatino Linotype"/>
          <w:color w:val="000000" w:themeColor="text1"/>
        </w:rPr>
        <w:t>) for all residential customers of electric IOUs. This billing structure does not impose new fees</w:t>
      </w:r>
      <w:r w:rsidRPr="3AD9A19F" w:rsidR="502B00AF">
        <w:rPr>
          <w:rFonts w:eastAsia="Palatino Linotype" w:cs="Palatino Linotype"/>
          <w:color w:val="000000" w:themeColor="text1"/>
        </w:rPr>
        <w:t xml:space="preserve">: </w:t>
      </w:r>
      <w:r w:rsidRPr="00D6291A">
        <w:rPr>
          <w:rFonts w:eastAsia="Palatino Linotype" w:cs="Palatino Linotype"/>
          <w:color w:val="000000" w:themeColor="text1"/>
        </w:rPr>
        <w:t>it simply reallocates how existing costs are shared among customers.</w:t>
      </w:r>
    </w:p>
    <w:p w:rsidRPr="00D6291A" w:rsidR="00D6291A" w:rsidP="00D6291A" w:rsidRDefault="00D6291A" w14:paraId="046648C0" w14:textId="77777777">
      <w:pPr>
        <w:rPr>
          <w:rFonts w:eastAsia="Palatino Linotype" w:cs="Palatino Linotype"/>
          <w:color w:val="000000" w:themeColor="text1"/>
        </w:rPr>
      </w:pPr>
      <w:r w:rsidRPr="00D6291A">
        <w:rPr>
          <w:rFonts w:eastAsia="Palatino Linotype" w:cs="Palatino Linotype"/>
          <w:color w:val="000000" w:themeColor="text1"/>
        </w:rPr>
        <w:t>  </w:t>
      </w:r>
    </w:p>
    <w:p w:rsidRPr="00D6291A" w:rsidR="00D6291A" w:rsidP="00D6291A" w:rsidRDefault="00D6291A" w14:paraId="6301AF9C" w14:textId="69F7CF2F">
      <w:pPr>
        <w:rPr>
          <w:rFonts w:eastAsia="Palatino Linotype" w:cs="Palatino Linotype"/>
          <w:color w:val="000000" w:themeColor="text1"/>
        </w:rPr>
      </w:pPr>
      <w:r w:rsidRPr="00D6291A">
        <w:rPr>
          <w:rFonts w:eastAsia="Palatino Linotype" w:cs="Palatino Linotype"/>
          <w:color w:val="000000" w:themeColor="text1"/>
        </w:rPr>
        <w:t>D.24-05-028 adopted a gradual, incremental approach to implementing AB 205 requirements, including offering fixed charge amounts. The adopted billing structure will offer discounts based on the existing income-verification processes of the utilities’ CARE</w:t>
      </w:r>
      <w:r w:rsidR="003D6421">
        <w:rPr>
          <w:rFonts w:eastAsia="Palatino Linotype" w:cs="Palatino Linotype"/>
          <w:color w:val="000000" w:themeColor="text1"/>
        </w:rPr>
        <w:t xml:space="preserve"> </w:t>
      </w:r>
      <w:r w:rsidRPr="00D6291A">
        <w:rPr>
          <w:rFonts w:eastAsia="Palatino Linotype" w:cs="Palatino Linotype"/>
          <w:color w:val="000000" w:themeColor="text1"/>
        </w:rPr>
        <w:t>and FERA programs. In the next phase of this proceeding</w:t>
      </w:r>
      <w:r w:rsidR="00F06BC1">
        <w:rPr>
          <w:rFonts w:eastAsia="Palatino Linotype" w:cs="Palatino Linotype"/>
          <w:color w:val="000000" w:themeColor="text1"/>
        </w:rPr>
        <w:t xml:space="preserve"> or a successor proceeding</w:t>
      </w:r>
      <w:r w:rsidRPr="00D6291A">
        <w:rPr>
          <w:rFonts w:eastAsia="Palatino Linotype" w:cs="Palatino Linotype"/>
          <w:color w:val="000000" w:themeColor="text1"/>
        </w:rPr>
        <w:t xml:space="preserve">, the Commission will consider improvements to the new billing structure based on the initial implementation results and a working group </w:t>
      </w:r>
      <w:r w:rsidRPr="3AD9A19F">
        <w:rPr>
          <w:rFonts w:eastAsia="Palatino Linotype" w:cs="Palatino Linotype"/>
          <w:color w:val="000000" w:themeColor="text1"/>
        </w:rPr>
        <w:t>proposal.</w:t>
      </w:r>
    </w:p>
    <w:p w:rsidRPr="00D6291A" w:rsidR="00D6291A" w:rsidP="00D6291A" w:rsidRDefault="00D6291A" w14:paraId="52BAE6E9" w14:textId="08556EF9">
      <w:pPr>
        <w:rPr>
          <w:rFonts w:eastAsia="Palatino Linotype" w:cs="Palatino Linotype"/>
          <w:color w:val="000000" w:themeColor="text1"/>
        </w:rPr>
      </w:pPr>
    </w:p>
    <w:p w:rsidRPr="00D6291A" w:rsidR="00D6291A" w:rsidP="00D6291A" w:rsidRDefault="00D6291A" w14:paraId="6739606B" w14:textId="25817B17">
      <w:pPr>
        <w:rPr>
          <w:rFonts w:eastAsia="Palatino Linotype" w:cs="Palatino Linotype"/>
          <w:color w:val="000000" w:themeColor="text1"/>
        </w:rPr>
      </w:pPr>
      <w:r w:rsidRPr="00D6291A">
        <w:rPr>
          <w:rFonts w:eastAsia="Palatino Linotype" w:cs="Palatino Linotype"/>
          <w:color w:val="000000" w:themeColor="text1"/>
        </w:rPr>
        <w:t>D.24-05-028 directed SCE and SDG&amp;E to apply the adopted changes to residential customer bills during the fourth quarter of 2025 (between October 1, 2025, and December 15, 2025) and PG&amp;E to apply the adopted changes to residential customer bills during the first quarter of 2026 (between January 1, 2026, and March 31, 2026), implementing the adopted billing structure below through a Tier 3 advice letter as follows:</w:t>
      </w:r>
    </w:p>
    <w:p w:rsidRPr="00D6291A" w:rsidR="00D6291A" w:rsidP="00D6291A" w:rsidRDefault="00D6291A" w14:paraId="1F34D8AB" w14:textId="299E2BE6">
      <w:pPr>
        <w:rPr>
          <w:rFonts w:eastAsia="Palatino Linotype" w:cs="Palatino Linotype"/>
          <w:color w:val="000000" w:themeColor="text1"/>
        </w:rPr>
      </w:pPr>
    </w:p>
    <w:p w:rsidRPr="00140308" w:rsidR="00D6291A" w:rsidP="00C401B7" w:rsidRDefault="00D6291A" w14:paraId="4968CBE5" w14:textId="77777777">
      <w:pPr>
        <w:pStyle w:val="ListParagraph"/>
        <w:numPr>
          <w:ilvl w:val="0"/>
          <w:numId w:val="22"/>
        </w:numPr>
        <w:spacing w:after="80"/>
        <w:contextualSpacing w:val="0"/>
        <w:rPr>
          <w:rFonts w:eastAsia="Palatino Linotype" w:cs="Palatino Linotype"/>
          <w:color w:val="000000" w:themeColor="text1"/>
        </w:rPr>
      </w:pPr>
      <w:r w:rsidRPr="00140308">
        <w:rPr>
          <w:rFonts w:eastAsia="Palatino Linotype" w:cs="Palatino Linotype"/>
          <w:b/>
          <w:bCs/>
          <w:color w:val="000000" w:themeColor="text1"/>
        </w:rPr>
        <w:t>Tier 1:</w:t>
      </w:r>
      <w:r w:rsidRPr="00140308">
        <w:rPr>
          <w:rFonts w:eastAsia="Palatino Linotype" w:cs="Palatino Linotype"/>
          <w:color w:val="000000" w:themeColor="text1"/>
        </w:rPr>
        <w:t>  Customers enrolled in the CARE program shall automatically pay the lowest discounted fixed amount (approximately $6 per month).  </w:t>
      </w:r>
    </w:p>
    <w:p w:rsidRPr="00140308" w:rsidR="00D6291A" w:rsidP="00C401B7" w:rsidRDefault="00D6291A" w14:paraId="5462FDBC" w14:textId="77777777">
      <w:pPr>
        <w:pStyle w:val="ListParagraph"/>
        <w:numPr>
          <w:ilvl w:val="0"/>
          <w:numId w:val="22"/>
        </w:numPr>
        <w:spacing w:after="80"/>
        <w:contextualSpacing w:val="0"/>
        <w:rPr>
          <w:rFonts w:eastAsia="Palatino Linotype" w:cs="Palatino Linotype"/>
          <w:color w:val="000000" w:themeColor="text1"/>
        </w:rPr>
      </w:pPr>
      <w:r w:rsidRPr="00140308">
        <w:rPr>
          <w:rFonts w:eastAsia="Palatino Linotype" w:cs="Palatino Linotype"/>
          <w:b/>
          <w:bCs/>
          <w:color w:val="000000" w:themeColor="text1"/>
        </w:rPr>
        <w:t>Tier 2:</w:t>
      </w:r>
      <w:r w:rsidRPr="00140308">
        <w:rPr>
          <w:rFonts w:eastAsia="Palatino Linotype" w:cs="Palatino Linotype"/>
          <w:color w:val="000000" w:themeColor="text1"/>
        </w:rPr>
        <w:t>  Customers enrolled in the FERA program or who live in affordable housing restricted to residents with incomes at or below 80 percent of Area Median Income shall automatically pay a discounted fixed amount (approximately $12 per month). </w:t>
      </w:r>
    </w:p>
    <w:p w:rsidRPr="00140308" w:rsidR="00D6291A" w:rsidP="00C401B7" w:rsidRDefault="00D6291A" w14:paraId="74AD0490" w14:textId="08099FDC">
      <w:pPr>
        <w:pStyle w:val="ListParagraph"/>
        <w:numPr>
          <w:ilvl w:val="0"/>
          <w:numId w:val="22"/>
        </w:numPr>
        <w:spacing w:after="80"/>
        <w:contextualSpacing w:val="0"/>
        <w:rPr>
          <w:rFonts w:eastAsia="Palatino Linotype" w:cs="Palatino Linotype"/>
          <w:color w:val="000000" w:themeColor="text1"/>
        </w:rPr>
      </w:pPr>
      <w:r w:rsidRPr="00140308">
        <w:rPr>
          <w:rFonts w:eastAsia="Palatino Linotype" w:cs="Palatino Linotype"/>
          <w:b/>
          <w:bCs/>
          <w:color w:val="000000" w:themeColor="text1"/>
        </w:rPr>
        <w:t>Tier 3:</w:t>
      </w:r>
      <w:r w:rsidRPr="00140308">
        <w:rPr>
          <w:rFonts w:eastAsia="Palatino Linotype" w:cs="Palatino Linotype"/>
          <w:color w:val="000000" w:themeColor="text1"/>
        </w:rPr>
        <w:t xml:space="preserve">  All other customers will pay a fixed amount of $24.15 per month. In accordance with AB 205, the revenues from the fixed charges will be used to </w:t>
      </w:r>
      <w:r w:rsidR="00927ECB">
        <w:rPr>
          <w:rFonts w:eastAsia="Palatino Linotype" w:cs="Palatino Linotype"/>
          <w:color w:val="000000" w:themeColor="text1"/>
        </w:rPr>
        <w:br/>
      </w:r>
      <w:r w:rsidRPr="00140308">
        <w:rPr>
          <w:rFonts w:eastAsia="Palatino Linotype" w:cs="Palatino Linotype"/>
          <w:color w:val="000000" w:themeColor="text1"/>
        </w:rPr>
        <w:t xml:space="preserve">(a) ensure that a low-income customer with average electricity usage will realize </w:t>
      </w:r>
      <w:r w:rsidRPr="00140308">
        <w:rPr>
          <w:rFonts w:eastAsia="Palatino Linotype" w:cs="Palatino Linotype"/>
          <w:color w:val="000000" w:themeColor="text1"/>
        </w:rPr>
        <w:lastRenderedPageBreak/>
        <w:t>bill savings in each baseline territory without changes to usage, and (b) reduce volumetric rates for all residential customers.  </w:t>
      </w:r>
    </w:p>
    <w:p w:rsidRPr="00D6291A" w:rsidR="00D6291A" w:rsidP="00D6291A" w:rsidRDefault="00D6291A" w14:paraId="2C94FE67" w14:textId="77777777">
      <w:pPr>
        <w:rPr>
          <w:rFonts w:eastAsia="Palatino Linotype" w:cs="Palatino Linotype"/>
          <w:color w:val="000000" w:themeColor="text1"/>
        </w:rPr>
      </w:pPr>
      <w:r w:rsidRPr="00D6291A">
        <w:rPr>
          <w:rFonts w:eastAsia="Palatino Linotype" w:cs="Palatino Linotype"/>
          <w:color w:val="000000" w:themeColor="text1"/>
        </w:rPr>
        <w:t>  </w:t>
      </w:r>
    </w:p>
    <w:p w:rsidR="00D6291A" w:rsidP="00D6291A" w:rsidRDefault="00D6291A" w14:paraId="1B4B3AF5" w14:textId="5F5636FD">
      <w:pPr>
        <w:rPr>
          <w:rFonts w:eastAsia="Palatino Linotype" w:cs="Palatino Linotype"/>
          <w:color w:val="000000" w:themeColor="text1"/>
        </w:rPr>
      </w:pPr>
      <w:r w:rsidRPr="00D6291A">
        <w:rPr>
          <w:rFonts w:eastAsia="Palatino Linotype" w:cs="Palatino Linotype"/>
          <w:color w:val="000000" w:themeColor="text1"/>
        </w:rPr>
        <w:t xml:space="preserve">The new billing structure will apply to all residential rates of the electric </w:t>
      </w:r>
      <w:r w:rsidRPr="35275654" w:rsidR="5EAD5ACE">
        <w:rPr>
          <w:rFonts w:eastAsia="Palatino Linotype" w:cs="Palatino Linotype"/>
          <w:color w:val="000000" w:themeColor="text1"/>
        </w:rPr>
        <w:t>IOUs</w:t>
      </w:r>
      <w:r w:rsidRPr="00D6291A">
        <w:rPr>
          <w:rFonts w:eastAsia="Palatino Linotype" w:cs="Palatino Linotype"/>
          <w:color w:val="000000" w:themeColor="text1"/>
        </w:rPr>
        <w:t>, except for master-metered rates that are not sub-metered, separately metered electric vehicle rates for customers whose primary meter has a fixed charge, or rate schedules that are scheduled to be eliminated by the second quarter of 2026. The revenues from fixed charges will be applied to reduce volumetric rates equally across all time-of-use (TOU) periods. Th</w:t>
      </w:r>
      <w:r w:rsidR="00DF71A7">
        <w:rPr>
          <w:rFonts w:eastAsia="Palatino Linotype" w:cs="Palatino Linotype"/>
          <w:color w:val="000000" w:themeColor="text1"/>
        </w:rPr>
        <w:t>e D</w:t>
      </w:r>
      <w:r w:rsidRPr="00D6291A">
        <w:rPr>
          <w:rFonts w:eastAsia="Palatino Linotype" w:cs="Palatino Linotype"/>
          <w:color w:val="000000" w:themeColor="text1"/>
        </w:rPr>
        <w:t>ecision approve</w:t>
      </w:r>
      <w:r w:rsidR="00DF71A7">
        <w:rPr>
          <w:rFonts w:eastAsia="Palatino Linotype" w:cs="Palatino Linotype"/>
          <w:color w:val="000000" w:themeColor="text1"/>
        </w:rPr>
        <w:t>d</w:t>
      </w:r>
      <w:r w:rsidRPr="00D6291A">
        <w:rPr>
          <w:rFonts w:eastAsia="Palatino Linotype" w:cs="Palatino Linotype"/>
          <w:color w:val="000000" w:themeColor="text1"/>
        </w:rPr>
        <w:t xml:space="preserve"> an aggregate total of up to $35.6 million for the implementation costs of </w:t>
      </w:r>
      <w:r w:rsidR="00DF2712">
        <w:rPr>
          <w:rFonts w:eastAsia="Palatino Linotype" w:cs="Palatino Linotype"/>
          <w:color w:val="000000" w:themeColor="text1"/>
        </w:rPr>
        <w:t>the Large IOUs.</w:t>
      </w:r>
      <w:r w:rsidRPr="00D6291A">
        <w:rPr>
          <w:rFonts w:eastAsia="Palatino Linotype" w:cs="Palatino Linotype"/>
          <w:color w:val="000000" w:themeColor="text1"/>
        </w:rPr>
        <w:t> </w:t>
      </w:r>
    </w:p>
    <w:p w:rsidR="007C1238" w:rsidP="00D6291A" w:rsidRDefault="007C1238" w14:paraId="47DF4653" w14:textId="77777777">
      <w:pPr>
        <w:rPr>
          <w:rFonts w:eastAsia="Palatino Linotype" w:cs="Palatino Linotype"/>
          <w:color w:val="000000" w:themeColor="text1"/>
        </w:rPr>
      </w:pPr>
    </w:p>
    <w:p w:rsidR="007C1238" w:rsidP="00D6291A" w:rsidRDefault="00060E61" w14:paraId="35C69F55" w14:textId="5AFDD476">
      <w:pPr>
        <w:rPr>
          <w:rFonts w:eastAsia="Palatino Linotype" w:cs="Palatino Linotype"/>
          <w:color w:val="000000" w:themeColor="text1"/>
        </w:rPr>
      </w:pPr>
      <w:r>
        <w:rPr>
          <w:rFonts w:eastAsia="Palatino Linotype" w:cs="Palatino Linotype"/>
          <w:color w:val="000000" w:themeColor="text1"/>
        </w:rPr>
        <w:t xml:space="preserve">D.24-05-028 established an </w:t>
      </w:r>
      <w:r w:rsidRPr="0067199D">
        <w:rPr>
          <w:rFonts w:eastAsia="Palatino Linotype" w:cs="Palatino Linotype"/>
          <w:color w:val="000000" w:themeColor="text1"/>
        </w:rPr>
        <w:t>Implementation Working Group</w:t>
      </w:r>
      <w:r>
        <w:rPr>
          <w:rFonts w:eastAsia="Palatino Linotype" w:cs="Palatino Linotype"/>
          <w:color w:val="000000" w:themeColor="text1"/>
        </w:rPr>
        <w:t xml:space="preserve"> (IWG) that</w:t>
      </w:r>
      <w:r w:rsidRPr="0067199D">
        <w:rPr>
          <w:rFonts w:eastAsia="Palatino Linotype" w:cs="Palatino Linotype"/>
          <w:color w:val="000000" w:themeColor="text1"/>
        </w:rPr>
        <w:t xml:space="preserve"> will be convened and facilitated by the Commission’s staff to assess and evaluat</w:t>
      </w:r>
      <w:r>
        <w:rPr>
          <w:rFonts w:eastAsia="Palatino Linotype" w:cs="Palatino Linotype"/>
          <w:color w:val="000000" w:themeColor="text1"/>
        </w:rPr>
        <w:t>e</w:t>
      </w:r>
      <w:r w:rsidRPr="0067199D">
        <w:rPr>
          <w:rFonts w:eastAsia="Palatino Linotype" w:cs="Palatino Linotype"/>
          <w:color w:val="000000" w:themeColor="text1"/>
        </w:rPr>
        <w:t xml:space="preserve"> fixed charges</w:t>
      </w:r>
      <w:r>
        <w:rPr>
          <w:rFonts w:eastAsia="Palatino Linotype" w:cs="Palatino Linotype"/>
          <w:color w:val="000000" w:themeColor="text1"/>
        </w:rPr>
        <w:t xml:space="preserve"> and</w:t>
      </w:r>
      <w:r w:rsidRPr="0067199D">
        <w:rPr>
          <w:rFonts w:eastAsia="Palatino Linotype" w:cs="Palatino Linotype"/>
          <w:color w:val="000000" w:themeColor="text1"/>
        </w:rPr>
        <w:t xml:space="preserve"> (a) identify problems with implementation and ME&amp;O efforts and suggest solutions at meetings, and (b) provide written recommendations to the Commission’s staff about how lessons learned from the implementation of </w:t>
      </w:r>
      <w:r>
        <w:rPr>
          <w:rFonts w:eastAsia="Palatino Linotype" w:cs="Palatino Linotype"/>
          <w:color w:val="000000" w:themeColor="text1"/>
        </w:rPr>
        <w:t>the fixed</w:t>
      </w:r>
      <w:r w:rsidRPr="0067199D">
        <w:rPr>
          <w:rFonts w:eastAsia="Palatino Linotype" w:cs="Palatino Linotype"/>
          <w:color w:val="000000" w:themeColor="text1"/>
        </w:rPr>
        <w:t xml:space="preserve"> charge should influence the design of future fixed charges or alternative rate mechanisms</w:t>
      </w:r>
      <w:r w:rsidR="007C1238">
        <w:rPr>
          <w:rFonts w:eastAsia="Palatino Linotype" w:cs="Palatino Linotype"/>
          <w:color w:val="000000" w:themeColor="text1"/>
        </w:rPr>
        <w:t>.</w:t>
      </w:r>
      <w:r w:rsidR="00AC59E2">
        <w:rPr>
          <w:rStyle w:val="FootnoteReference"/>
          <w:rFonts w:eastAsia="Palatino Linotype" w:cs="Palatino Linotype"/>
          <w:color w:val="000000" w:themeColor="text1"/>
        </w:rPr>
        <w:footnoteReference w:id="4"/>
      </w:r>
    </w:p>
    <w:p w:rsidRPr="00D6291A" w:rsidR="00D6291A" w:rsidP="00D6291A" w:rsidRDefault="00D6291A" w14:paraId="30218B64" w14:textId="77777777">
      <w:pPr>
        <w:rPr>
          <w:rFonts w:eastAsia="Palatino Linotype" w:cs="Palatino Linotype"/>
          <w:color w:val="000000" w:themeColor="text1"/>
        </w:rPr>
      </w:pPr>
      <w:r w:rsidRPr="00D6291A">
        <w:rPr>
          <w:rFonts w:eastAsia="Palatino Linotype" w:cs="Palatino Linotype"/>
          <w:color w:val="000000" w:themeColor="text1"/>
        </w:rPr>
        <w:t>  </w:t>
      </w:r>
    </w:p>
    <w:p w:rsidR="00D6291A" w:rsidP="00D6291A" w:rsidRDefault="00D6291A" w14:paraId="11ED529F" w14:textId="147A32C9">
      <w:pPr>
        <w:rPr>
          <w:rFonts w:eastAsia="Palatino Linotype" w:cs="Palatino Linotype"/>
          <w:color w:val="000000" w:themeColor="text1"/>
        </w:rPr>
      </w:pPr>
      <w:r w:rsidRPr="00D6291A">
        <w:rPr>
          <w:rFonts w:eastAsia="Palatino Linotype" w:cs="Palatino Linotype"/>
          <w:color w:val="000000" w:themeColor="text1"/>
        </w:rPr>
        <w:t xml:space="preserve">As directed in D.24-05-028 for implementation of the fixed charge, </w:t>
      </w:r>
      <w:r w:rsidR="00140308">
        <w:rPr>
          <w:rFonts w:eastAsia="Palatino Linotype" w:cs="Palatino Linotype"/>
          <w:color w:val="000000" w:themeColor="text1"/>
        </w:rPr>
        <w:t>SDG&amp;E</w:t>
      </w:r>
      <w:r w:rsidRPr="00D6291A">
        <w:rPr>
          <w:rFonts w:eastAsia="Palatino Linotype" w:cs="Palatino Linotype"/>
          <w:color w:val="000000" w:themeColor="text1"/>
        </w:rPr>
        <w:t xml:space="preserve"> </w:t>
      </w:r>
      <w:r w:rsidR="00213348">
        <w:rPr>
          <w:rFonts w:eastAsia="Palatino Linotype" w:cs="Palatino Linotype"/>
          <w:color w:val="000000" w:themeColor="text1"/>
        </w:rPr>
        <w:br/>
      </w:r>
      <w:r w:rsidRPr="00D6291A">
        <w:rPr>
          <w:rFonts w:eastAsia="Palatino Linotype" w:cs="Palatino Linotype"/>
          <w:color w:val="000000" w:themeColor="text1"/>
        </w:rPr>
        <w:t xml:space="preserve">(1) submitted a Tier 1 AL on June </w:t>
      </w:r>
      <w:r w:rsidRPr="009B5883" w:rsidR="009B5883">
        <w:rPr>
          <w:rFonts w:eastAsia="Palatino Linotype" w:cs="Palatino Linotype"/>
          <w:color w:val="000000" w:themeColor="text1"/>
        </w:rPr>
        <w:t>14</w:t>
      </w:r>
      <w:r w:rsidRPr="009B5883">
        <w:rPr>
          <w:rFonts w:eastAsia="Palatino Linotype" w:cs="Palatino Linotype"/>
          <w:color w:val="000000" w:themeColor="text1"/>
        </w:rPr>
        <w:t>,</w:t>
      </w:r>
      <w:r w:rsidRPr="00D6291A">
        <w:rPr>
          <w:rFonts w:eastAsia="Palatino Linotype" w:cs="Palatino Linotype"/>
          <w:color w:val="000000" w:themeColor="text1"/>
        </w:rPr>
        <w:t xml:space="preserve"> 2024, to establish a new IGFC memorandum account (IGFCMA) and a new IGFC balancing account (IGFCBA);</w:t>
      </w:r>
      <w:r w:rsidR="00492AD3">
        <w:rPr>
          <w:rStyle w:val="FootnoteReference"/>
          <w:rFonts w:eastAsia="Palatino Linotype" w:cs="Palatino Linotype"/>
          <w:color w:val="000000" w:themeColor="text1"/>
        </w:rPr>
        <w:footnoteReference w:id="5"/>
      </w:r>
      <w:r w:rsidRPr="00D6291A">
        <w:rPr>
          <w:rFonts w:eastAsia="Palatino Linotype" w:cs="Palatino Linotype"/>
          <w:color w:val="000000" w:themeColor="text1"/>
        </w:rPr>
        <w:t xml:space="preserve"> (2) conferred with PG&amp;E and </w:t>
      </w:r>
      <w:r w:rsidR="00140308">
        <w:rPr>
          <w:rFonts w:eastAsia="Palatino Linotype" w:cs="Palatino Linotype"/>
          <w:color w:val="000000" w:themeColor="text1"/>
        </w:rPr>
        <w:t>SCE</w:t>
      </w:r>
      <w:r w:rsidRPr="00D6291A">
        <w:rPr>
          <w:rFonts w:eastAsia="Palatino Linotype" w:cs="Palatino Linotype"/>
          <w:color w:val="000000" w:themeColor="text1"/>
        </w:rPr>
        <w:t xml:space="preserve"> and the Commission’s Energy Division staff on June 24, 2024, to develop</w:t>
      </w:r>
      <w:r w:rsidR="009855FC">
        <w:rPr>
          <w:rFonts w:eastAsia="Palatino Linotype" w:cs="Palatino Linotype"/>
          <w:color w:val="000000" w:themeColor="text1"/>
        </w:rPr>
        <w:t xml:space="preserve"> </w:t>
      </w:r>
      <w:r w:rsidRPr="00D6291A">
        <w:rPr>
          <w:rFonts w:eastAsia="Palatino Linotype" w:cs="Palatino Linotype"/>
          <w:color w:val="000000" w:themeColor="text1"/>
        </w:rPr>
        <w:t>consistent</w:t>
      </w:r>
      <w:r w:rsidR="009855FC">
        <w:rPr>
          <w:rFonts w:eastAsia="Palatino Linotype" w:cs="Palatino Linotype"/>
          <w:color w:val="000000" w:themeColor="text1"/>
        </w:rPr>
        <w:t xml:space="preserve"> ME&amp;O</w:t>
      </w:r>
      <w:r w:rsidRPr="00D6291A">
        <w:rPr>
          <w:rFonts w:eastAsia="Palatino Linotype" w:cs="Palatino Linotype"/>
          <w:color w:val="000000" w:themeColor="text1"/>
        </w:rPr>
        <w:t xml:space="preserve"> terminology, high-level messages, and metrics;</w:t>
      </w:r>
      <w:r w:rsidR="009D4CEB">
        <w:rPr>
          <w:rStyle w:val="FootnoteReference"/>
          <w:rFonts w:eastAsia="Palatino Linotype" w:cs="Palatino Linotype"/>
          <w:color w:val="000000" w:themeColor="text1"/>
        </w:rPr>
        <w:footnoteReference w:id="6"/>
      </w:r>
      <w:r w:rsidRPr="00D6291A">
        <w:rPr>
          <w:rFonts w:eastAsia="Palatino Linotype" w:cs="Palatino Linotype"/>
          <w:color w:val="000000" w:themeColor="text1"/>
        </w:rPr>
        <w:t xml:space="preserve"> and (3) collaborated with PG&amp;E and </w:t>
      </w:r>
      <w:r w:rsidR="00F9719C">
        <w:rPr>
          <w:rFonts w:eastAsia="Palatino Linotype" w:cs="Palatino Linotype"/>
          <w:color w:val="000000" w:themeColor="text1"/>
        </w:rPr>
        <w:t>SCE</w:t>
      </w:r>
      <w:r w:rsidRPr="00D6291A">
        <w:rPr>
          <w:rFonts w:eastAsia="Palatino Linotype" w:cs="Palatino Linotype"/>
          <w:color w:val="000000" w:themeColor="text1"/>
        </w:rPr>
        <w:t xml:space="preserve"> to invite parties to the joint </w:t>
      </w:r>
      <w:r w:rsidR="00D20005">
        <w:rPr>
          <w:rFonts w:eastAsia="Palatino Linotype" w:cs="Palatino Linotype"/>
          <w:color w:val="000000" w:themeColor="text1"/>
        </w:rPr>
        <w:t>Energy Division</w:t>
      </w:r>
      <w:r w:rsidRPr="00D6291A">
        <w:rPr>
          <w:rFonts w:eastAsia="Palatino Linotype" w:cs="Palatino Linotype"/>
          <w:color w:val="000000" w:themeColor="text1"/>
        </w:rPr>
        <w:t xml:space="preserve"> and Large IOUs’ Fixed Charge ME&amp;O Workshop held on July 10, 2024.</w:t>
      </w:r>
      <w:r w:rsidR="0048005C">
        <w:rPr>
          <w:rStyle w:val="FootnoteReference"/>
          <w:rFonts w:eastAsia="Palatino Linotype" w:cs="Palatino Linotype"/>
          <w:color w:val="000000" w:themeColor="text1"/>
        </w:rPr>
        <w:footnoteReference w:id="7"/>
      </w:r>
      <w:r w:rsidRPr="00D6291A">
        <w:rPr>
          <w:rFonts w:eastAsia="Palatino Linotype" w:cs="Palatino Linotype"/>
          <w:color w:val="000000" w:themeColor="text1"/>
        </w:rPr>
        <w:t> </w:t>
      </w:r>
    </w:p>
    <w:p w:rsidRPr="00D6291A" w:rsidR="00D6291A" w:rsidP="00D6291A" w:rsidRDefault="00D6291A" w14:paraId="588768B0" w14:textId="77777777">
      <w:pPr>
        <w:rPr>
          <w:rFonts w:eastAsia="Palatino Linotype" w:cs="Palatino Linotype"/>
          <w:color w:val="000000" w:themeColor="text1"/>
        </w:rPr>
      </w:pPr>
      <w:r w:rsidRPr="00D6291A">
        <w:rPr>
          <w:rFonts w:eastAsia="Palatino Linotype" w:cs="Palatino Linotype"/>
          <w:color w:val="000000" w:themeColor="text1"/>
        </w:rPr>
        <w:t>  </w:t>
      </w:r>
    </w:p>
    <w:p w:rsidR="002403CE" w:rsidP="00F22803" w:rsidRDefault="002A7CBE" w14:paraId="7ED5ADC6" w14:textId="0668C4CB">
      <w:pPr>
        <w:rPr>
          <w:rFonts w:eastAsia="Palatino Linotype" w:cs="Palatino Linotype"/>
          <w:color w:val="000000" w:themeColor="text1"/>
        </w:rPr>
      </w:pPr>
      <w:r w:rsidRPr="002A7CBE">
        <w:rPr>
          <w:rFonts w:eastAsia="Palatino Linotype" w:cs="Palatino Linotype"/>
          <w:color w:val="000000" w:themeColor="text1"/>
        </w:rPr>
        <w:t>To comply with</w:t>
      </w:r>
      <w:r w:rsidR="006A1E49">
        <w:rPr>
          <w:rFonts w:eastAsia="Palatino Linotype" w:cs="Palatino Linotype"/>
          <w:color w:val="000000" w:themeColor="text1"/>
        </w:rPr>
        <w:t xml:space="preserve"> the </w:t>
      </w:r>
      <w:r w:rsidRPr="002A7CBE">
        <w:rPr>
          <w:rFonts w:eastAsia="Palatino Linotype" w:cs="Palatino Linotype"/>
          <w:color w:val="000000" w:themeColor="text1"/>
        </w:rPr>
        <w:t>Decision’s Ordering Paragraph (OP) 3(c),</w:t>
      </w:r>
      <w:r w:rsidR="006A1E49">
        <w:rPr>
          <w:rFonts w:eastAsia="Palatino Linotype" w:cs="Palatino Linotype"/>
          <w:color w:val="000000" w:themeColor="text1"/>
        </w:rPr>
        <w:t xml:space="preserve"> SDG&amp;E</w:t>
      </w:r>
      <w:r w:rsidR="00826678">
        <w:rPr>
          <w:rFonts w:eastAsia="Palatino Linotype" w:cs="Palatino Linotype"/>
          <w:color w:val="000000" w:themeColor="text1"/>
        </w:rPr>
        <w:t xml:space="preserve"> submitted</w:t>
      </w:r>
      <w:r w:rsidRPr="002A7CBE">
        <w:rPr>
          <w:rFonts w:eastAsia="Palatino Linotype" w:cs="Palatino Linotype"/>
          <w:color w:val="000000" w:themeColor="text1"/>
        </w:rPr>
        <w:t xml:space="preserve"> its Tier 3 AL on August 13, 2024, requesting Commission approval to implement its fixed charge for residential customers, remove minimum bills for residential customers (if applicable), and propose a ME&amp;O plan. On September 16, 2024, SDG&amp;E filed </w:t>
      </w:r>
      <w:r w:rsidRPr="55305894" w:rsidR="2013BD16">
        <w:rPr>
          <w:rFonts w:eastAsia="Palatino Linotype" w:cs="Palatino Linotype"/>
          <w:color w:val="000000" w:themeColor="text1"/>
        </w:rPr>
        <w:t xml:space="preserve">a </w:t>
      </w:r>
      <w:r w:rsidR="007A2669">
        <w:rPr>
          <w:rFonts w:eastAsia="Palatino Linotype" w:cs="Palatino Linotype"/>
          <w:color w:val="000000" w:themeColor="text1"/>
        </w:rPr>
        <w:t xml:space="preserve">partial </w:t>
      </w:r>
      <w:r w:rsidRPr="002A7CBE">
        <w:rPr>
          <w:rFonts w:eastAsia="Palatino Linotype" w:cs="Palatino Linotype"/>
          <w:color w:val="000000" w:themeColor="text1"/>
        </w:rPr>
        <w:t>supplemental AL 4492-E-A to</w:t>
      </w:r>
      <w:r w:rsidR="003E267E">
        <w:rPr>
          <w:rFonts w:eastAsia="Palatino Linotype" w:cs="Palatino Linotype"/>
          <w:color w:val="000000" w:themeColor="text1"/>
        </w:rPr>
        <w:t xml:space="preserve"> </w:t>
      </w:r>
      <w:r w:rsidRPr="002A7CBE">
        <w:rPr>
          <w:rFonts w:eastAsia="Palatino Linotype" w:cs="Palatino Linotype"/>
          <w:color w:val="000000" w:themeColor="text1"/>
        </w:rPr>
        <w:t>correct</w:t>
      </w:r>
      <w:r w:rsidR="003E267E">
        <w:rPr>
          <w:rFonts w:eastAsia="Palatino Linotype" w:cs="Palatino Linotype"/>
          <w:color w:val="000000" w:themeColor="text1"/>
        </w:rPr>
        <w:t xml:space="preserve"> </w:t>
      </w:r>
      <w:r w:rsidRPr="002A7CBE">
        <w:rPr>
          <w:rFonts w:eastAsia="Palatino Linotype" w:cs="Palatino Linotype"/>
          <w:color w:val="000000" w:themeColor="text1"/>
        </w:rPr>
        <w:t xml:space="preserve">a calculation error in its </w:t>
      </w:r>
      <w:r w:rsidRPr="35275654" w:rsidR="63C15D7F">
        <w:rPr>
          <w:rFonts w:eastAsia="Palatino Linotype" w:cs="Palatino Linotype"/>
          <w:color w:val="000000" w:themeColor="text1"/>
        </w:rPr>
        <w:t>deed-restricted affordable housing</w:t>
      </w:r>
      <w:r w:rsidRPr="35275654" w:rsidR="7FDA99E4">
        <w:rPr>
          <w:rFonts w:eastAsia="Palatino Linotype" w:cs="Palatino Linotype"/>
          <w:color w:val="000000" w:themeColor="text1"/>
        </w:rPr>
        <w:t xml:space="preserve"> </w:t>
      </w:r>
      <w:r w:rsidRPr="35275654" w:rsidR="667181AD">
        <w:rPr>
          <w:rFonts w:eastAsia="Palatino Linotype" w:cs="Palatino Linotype"/>
          <w:color w:val="000000" w:themeColor="text1"/>
        </w:rPr>
        <w:t>(</w:t>
      </w:r>
      <w:r w:rsidRPr="002A7CBE">
        <w:rPr>
          <w:rFonts w:eastAsia="Palatino Linotype" w:cs="Palatino Linotype"/>
          <w:color w:val="000000" w:themeColor="text1"/>
        </w:rPr>
        <w:t>DRAH</w:t>
      </w:r>
      <w:r w:rsidRPr="35275654" w:rsidR="6048D693">
        <w:rPr>
          <w:rFonts w:eastAsia="Palatino Linotype" w:cs="Palatino Linotype"/>
          <w:color w:val="000000" w:themeColor="text1"/>
        </w:rPr>
        <w:t>)</w:t>
      </w:r>
      <w:r w:rsidRPr="002A7CBE">
        <w:rPr>
          <w:rFonts w:eastAsia="Palatino Linotype" w:cs="Palatino Linotype"/>
          <w:color w:val="000000" w:themeColor="text1"/>
        </w:rPr>
        <w:t xml:space="preserve"> budget.</w:t>
      </w:r>
      <w:r w:rsidR="003E267E">
        <w:rPr>
          <w:rFonts w:eastAsia="Palatino Linotype" w:cs="Palatino Linotype"/>
          <w:color w:val="000000" w:themeColor="text1"/>
        </w:rPr>
        <w:t xml:space="preserve"> </w:t>
      </w:r>
      <w:r w:rsidRPr="002A7CBE">
        <w:rPr>
          <w:rFonts w:eastAsia="Palatino Linotype" w:cs="Palatino Linotype"/>
          <w:color w:val="000000" w:themeColor="text1"/>
        </w:rPr>
        <w:t>SDG&amp;E</w:t>
      </w:r>
      <w:r w:rsidR="003E267E">
        <w:rPr>
          <w:rFonts w:eastAsia="Palatino Linotype" w:cs="Palatino Linotype"/>
          <w:color w:val="000000" w:themeColor="text1"/>
        </w:rPr>
        <w:t xml:space="preserve"> </w:t>
      </w:r>
      <w:r w:rsidRPr="002A7CBE">
        <w:rPr>
          <w:rFonts w:eastAsia="Palatino Linotype" w:cs="Palatino Linotype"/>
          <w:color w:val="000000" w:themeColor="text1"/>
        </w:rPr>
        <w:t>clarified that</w:t>
      </w:r>
      <w:r w:rsidR="003E267E">
        <w:rPr>
          <w:rFonts w:eastAsia="Palatino Linotype" w:cs="Palatino Linotype"/>
          <w:color w:val="000000" w:themeColor="text1"/>
        </w:rPr>
        <w:t xml:space="preserve"> </w:t>
      </w:r>
      <w:r w:rsidRPr="002A7CBE">
        <w:rPr>
          <w:rFonts w:eastAsia="Palatino Linotype" w:cs="Palatino Linotype"/>
          <w:color w:val="000000" w:themeColor="text1"/>
        </w:rPr>
        <w:t>it is not</w:t>
      </w:r>
      <w:r w:rsidR="003E267E">
        <w:rPr>
          <w:rFonts w:eastAsia="Palatino Linotype" w:cs="Palatino Linotype"/>
          <w:color w:val="000000" w:themeColor="text1"/>
        </w:rPr>
        <w:t xml:space="preserve"> </w:t>
      </w:r>
      <w:r w:rsidRPr="002A7CBE">
        <w:rPr>
          <w:rFonts w:eastAsia="Palatino Linotype" w:cs="Palatino Linotype"/>
          <w:color w:val="000000" w:themeColor="text1"/>
        </w:rPr>
        <w:t>altering</w:t>
      </w:r>
      <w:r w:rsidR="003E267E">
        <w:rPr>
          <w:rFonts w:eastAsia="Palatino Linotype" w:cs="Palatino Linotype"/>
          <w:color w:val="000000" w:themeColor="text1"/>
        </w:rPr>
        <w:t xml:space="preserve"> </w:t>
      </w:r>
      <w:r w:rsidRPr="002A7CBE">
        <w:rPr>
          <w:rFonts w:eastAsia="Palatino Linotype" w:cs="Palatino Linotype"/>
          <w:color w:val="000000" w:themeColor="text1"/>
        </w:rPr>
        <w:t>its underlying annual budget methodology, and there are no additional errors in the table calculation</w:t>
      </w:r>
      <w:r w:rsidR="00190029">
        <w:rPr>
          <w:rFonts w:eastAsia="Palatino Linotype" w:cs="Palatino Linotype"/>
          <w:color w:val="000000" w:themeColor="text1"/>
        </w:rPr>
        <w:t>.</w:t>
      </w:r>
      <w:r w:rsidR="00D517C3">
        <w:rPr>
          <w:rFonts w:eastAsia="Palatino Linotype" w:cs="Palatino Linotype"/>
          <w:color w:val="000000" w:themeColor="text1"/>
        </w:rPr>
        <w:t xml:space="preserve"> </w:t>
      </w:r>
      <w:r w:rsidRPr="00FE099D" w:rsidR="00D517C3">
        <w:rPr>
          <w:rFonts w:eastAsia="Palatino Linotype" w:cs="Palatino Linotype"/>
          <w:color w:val="000000" w:themeColor="text1"/>
        </w:rPr>
        <w:t xml:space="preserve">On </w:t>
      </w:r>
      <w:r w:rsidRPr="00FE099D" w:rsidR="009D0FCA">
        <w:rPr>
          <w:rFonts w:eastAsia="Palatino Linotype" w:cs="Palatino Linotype"/>
          <w:color w:val="000000" w:themeColor="text1"/>
        </w:rPr>
        <w:lastRenderedPageBreak/>
        <w:t>October 9, 2024</w:t>
      </w:r>
      <w:r w:rsidRPr="00FE099D" w:rsidR="00D517C3">
        <w:rPr>
          <w:rFonts w:eastAsia="Palatino Linotype" w:cs="Palatino Linotype"/>
          <w:color w:val="000000" w:themeColor="text1"/>
        </w:rPr>
        <w:t>, SDG&amp;E filed</w:t>
      </w:r>
      <w:r w:rsidRPr="00FE099D" w:rsidR="000D0A49">
        <w:rPr>
          <w:rFonts w:eastAsia="Palatino Linotype" w:cs="Palatino Linotype"/>
          <w:color w:val="000000" w:themeColor="text1"/>
        </w:rPr>
        <w:t xml:space="preserve"> </w:t>
      </w:r>
      <w:r w:rsidR="00C80B6F">
        <w:rPr>
          <w:rFonts w:eastAsia="Palatino Linotype" w:cs="Palatino Linotype"/>
          <w:color w:val="000000" w:themeColor="text1"/>
        </w:rPr>
        <w:t xml:space="preserve">AL </w:t>
      </w:r>
      <w:r w:rsidRPr="00FE099D" w:rsidR="000D0A49">
        <w:rPr>
          <w:rFonts w:eastAsia="Palatino Linotype" w:cs="Palatino Linotype"/>
          <w:color w:val="000000" w:themeColor="text1"/>
        </w:rPr>
        <w:t>4492-E-B</w:t>
      </w:r>
      <w:r w:rsidR="005C0333">
        <w:rPr>
          <w:rFonts w:eastAsia="Palatino Linotype" w:cs="Palatino Linotype"/>
          <w:color w:val="000000" w:themeColor="text1"/>
        </w:rPr>
        <w:t xml:space="preserve">, a second </w:t>
      </w:r>
      <w:r w:rsidR="00A90F33">
        <w:rPr>
          <w:rFonts w:eastAsia="Palatino Linotype" w:cs="Palatino Linotype"/>
          <w:color w:val="000000" w:themeColor="text1"/>
        </w:rPr>
        <w:t>partial supplemental AL,</w:t>
      </w:r>
      <w:r w:rsidRPr="00FE099D" w:rsidR="000D0A49">
        <w:rPr>
          <w:rFonts w:eastAsia="Palatino Linotype" w:cs="Palatino Linotype"/>
          <w:color w:val="000000" w:themeColor="text1"/>
        </w:rPr>
        <w:t xml:space="preserve"> to correct</w:t>
      </w:r>
      <w:r w:rsidRPr="00FE099D" w:rsidR="00C91C3E">
        <w:rPr>
          <w:rFonts w:eastAsia="Palatino Linotype" w:cs="Palatino Linotype"/>
          <w:color w:val="000000" w:themeColor="text1"/>
        </w:rPr>
        <w:t xml:space="preserve"> errors in the ME&amp;O budget</w:t>
      </w:r>
      <w:r w:rsidR="00C91C3E">
        <w:rPr>
          <w:rFonts w:eastAsia="Palatino Linotype" w:cs="Palatino Linotype"/>
          <w:color w:val="000000" w:themeColor="text1"/>
        </w:rPr>
        <w:t>.</w:t>
      </w:r>
    </w:p>
    <w:p w:rsidRPr="002A7CBE" w:rsidR="008D20EF" w:rsidP="00F22803" w:rsidRDefault="008D20EF" w14:paraId="56E797F6" w14:textId="77777777"/>
    <w:p w:rsidRPr="00D865A9" w:rsidR="00CF17DE" w:rsidP="00F22803" w:rsidRDefault="00394B3A" w14:paraId="66788129" w14:textId="77777777">
      <w:pPr>
        <w:pStyle w:val="Heading1"/>
      </w:pPr>
      <w:r w:rsidRPr="00D865A9">
        <w:t>Notice</w:t>
      </w:r>
    </w:p>
    <w:p w:rsidR="00CF17DE" w:rsidP="00F22803" w:rsidRDefault="00CF17DE" w14:paraId="37FFE207" w14:textId="58F692C0">
      <w:r w:rsidRPr="00D865A9">
        <w:t xml:space="preserve">Notice of AL </w:t>
      </w:r>
      <w:r w:rsidR="003952B6">
        <w:t xml:space="preserve">4492-E </w:t>
      </w:r>
      <w:r w:rsidRPr="00D865A9">
        <w:t xml:space="preserve">was made by publication in the Commission’s Daily Calendar.  </w:t>
      </w:r>
      <w:r w:rsidR="00B755F8">
        <w:t>SDG&amp;E</w:t>
      </w:r>
      <w:r w:rsidRPr="00D865A9">
        <w:t xml:space="preserve"> states that a copy of the </w:t>
      </w:r>
      <w:r w:rsidR="00E94B9D">
        <w:t>AL</w:t>
      </w:r>
      <w:r w:rsidRPr="00D865A9">
        <w:t xml:space="preserve"> </w:t>
      </w:r>
      <w:r w:rsidR="00181044">
        <w:t>and its supplement</w:t>
      </w:r>
      <w:r w:rsidRPr="00D865A9">
        <w:t xml:space="preserve"> w</w:t>
      </w:r>
      <w:r w:rsidR="00181044">
        <w:t>ere</w:t>
      </w:r>
      <w:r w:rsidRPr="00D865A9">
        <w:t xml:space="preserve"> mailed and distributed in accordance with Sec</w:t>
      </w:r>
      <w:r w:rsidRPr="00D865A9" w:rsidR="00A1526C">
        <w:t xml:space="preserve">tion </w:t>
      </w:r>
      <w:r w:rsidRPr="00D865A9" w:rsidR="0069631C">
        <w:t>4</w:t>
      </w:r>
      <w:r w:rsidRPr="00D865A9" w:rsidR="00E928CF">
        <w:t xml:space="preserve"> of General Order </w:t>
      </w:r>
      <w:r w:rsidR="002F26E8">
        <w:t>(GO)</w:t>
      </w:r>
      <w:r w:rsidRPr="00D865A9" w:rsidR="00E928CF">
        <w:t xml:space="preserve"> 96-B</w:t>
      </w:r>
      <w:r w:rsidRPr="00D865A9">
        <w:t xml:space="preserve">. </w:t>
      </w:r>
    </w:p>
    <w:p w:rsidRPr="00D865A9" w:rsidR="00686172" w:rsidP="00F22803" w:rsidRDefault="00686172" w14:paraId="4CB25947" w14:textId="77777777"/>
    <w:p w:rsidRPr="00D865A9" w:rsidR="00CF17DE" w:rsidP="00F22803" w:rsidRDefault="00CF17DE" w14:paraId="7F509E4C" w14:textId="3AF4B86C">
      <w:pPr>
        <w:pStyle w:val="Heading1"/>
      </w:pPr>
      <w:r w:rsidRPr="00D865A9">
        <w:t>Protests</w:t>
      </w:r>
    </w:p>
    <w:p w:rsidR="00CF17DE" w:rsidP="00F22803" w:rsidRDefault="0038773E" w14:paraId="6BE8E21F" w14:textId="009E6ED8">
      <w:pPr>
        <w:rPr>
          <w:rFonts w:eastAsia="Palatino Linotype" w:cs="Palatino Linotype"/>
          <w:color w:val="000000" w:themeColor="text1"/>
        </w:rPr>
      </w:pPr>
      <w:r>
        <w:rPr>
          <w:rFonts w:eastAsia="Palatino Linotype" w:cs="Palatino Linotype"/>
          <w:color w:val="000000" w:themeColor="text1"/>
        </w:rPr>
        <w:t xml:space="preserve">SDG&amp;E’s </w:t>
      </w:r>
      <w:r w:rsidRPr="35275654" w:rsidR="49D9BFA7">
        <w:rPr>
          <w:rFonts w:eastAsia="Palatino Linotype" w:cs="Palatino Linotype"/>
          <w:color w:val="000000" w:themeColor="text1"/>
        </w:rPr>
        <w:t>AL</w:t>
      </w:r>
      <w:r>
        <w:rPr>
          <w:rFonts w:eastAsia="Palatino Linotype" w:cs="Palatino Linotype"/>
          <w:color w:val="000000" w:themeColor="text1"/>
        </w:rPr>
        <w:t xml:space="preserve"> </w:t>
      </w:r>
      <w:r w:rsidRPr="339B2D72" w:rsidR="716CCC6D">
        <w:rPr>
          <w:rFonts w:eastAsia="Palatino Linotype" w:cs="Palatino Linotype"/>
          <w:color w:val="000000" w:themeColor="text1"/>
        </w:rPr>
        <w:t xml:space="preserve">4492-E was </w:t>
      </w:r>
      <w:r>
        <w:rPr>
          <w:rFonts w:eastAsia="Palatino Linotype" w:cs="Palatino Linotype"/>
          <w:color w:val="000000" w:themeColor="text1"/>
        </w:rPr>
        <w:t xml:space="preserve">timely </w:t>
      </w:r>
      <w:r w:rsidRPr="339B2D72" w:rsidR="716CCC6D">
        <w:rPr>
          <w:rFonts w:eastAsia="Palatino Linotype" w:cs="Palatino Linotype"/>
          <w:color w:val="000000" w:themeColor="text1"/>
        </w:rPr>
        <w:t xml:space="preserve">protested </w:t>
      </w:r>
      <w:r w:rsidRPr="0352F329" w:rsidR="1955D033">
        <w:rPr>
          <w:rFonts w:eastAsia="Palatino Linotype" w:cs="Palatino Linotype"/>
          <w:color w:val="000000" w:themeColor="text1"/>
        </w:rPr>
        <w:t>on September 3, 2024,</w:t>
      </w:r>
      <w:r w:rsidRPr="0352F329" w:rsidR="716CCC6D">
        <w:rPr>
          <w:rFonts w:eastAsia="Palatino Linotype" w:cs="Palatino Linotype"/>
          <w:color w:val="000000" w:themeColor="text1"/>
        </w:rPr>
        <w:t xml:space="preserve"> </w:t>
      </w:r>
      <w:r w:rsidRPr="339B2D72" w:rsidR="716CCC6D">
        <w:rPr>
          <w:rFonts w:eastAsia="Palatino Linotype" w:cs="Palatino Linotype"/>
          <w:color w:val="000000" w:themeColor="text1"/>
        </w:rPr>
        <w:t>b</w:t>
      </w:r>
      <w:r w:rsidR="00AC415F">
        <w:rPr>
          <w:rFonts w:eastAsia="Palatino Linotype" w:cs="Palatino Linotype"/>
          <w:color w:val="000000" w:themeColor="text1"/>
        </w:rPr>
        <w:t>y</w:t>
      </w:r>
      <w:r w:rsidR="00264A8B">
        <w:rPr>
          <w:rFonts w:eastAsia="Palatino Linotype" w:cs="Palatino Linotype"/>
          <w:color w:val="000000" w:themeColor="text1"/>
        </w:rPr>
        <w:t xml:space="preserve"> the</w:t>
      </w:r>
      <w:r w:rsidR="008903AC">
        <w:rPr>
          <w:rFonts w:eastAsia="Palatino Linotype" w:cs="Palatino Linotype"/>
          <w:color w:val="000000" w:themeColor="text1"/>
        </w:rPr>
        <w:t xml:space="preserve"> </w:t>
      </w:r>
      <w:r w:rsidR="00DC67E8">
        <w:rPr>
          <w:rFonts w:eastAsia="Palatino Linotype" w:cs="Palatino Linotype"/>
          <w:color w:val="000000" w:themeColor="text1"/>
        </w:rPr>
        <w:t>Public Advocates</w:t>
      </w:r>
      <w:r w:rsidR="00B755F8">
        <w:rPr>
          <w:rFonts w:eastAsia="Palatino Linotype" w:cs="Palatino Linotype"/>
          <w:color w:val="000000" w:themeColor="text1"/>
        </w:rPr>
        <w:t xml:space="preserve"> Office at the California Public Utilities Commission</w:t>
      </w:r>
      <w:r w:rsidR="00FA2E79">
        <w:rPr>
          <w:rFonts w:eastAsia="Palatino Linotype" w:cs="Palatino Linotype"/>
          <w:color w:val="000000" w:themeColor="text1"/>
        </w:rPr>
        <w:t xml:space="preserve"> (Cal Advocates),</w:t>
      </w:r>
      <w:r w:rsidR="00477F57">
        <w:rPr>
          <w:rFonts w:eastAsia="Palatino Linotype" w:cs="Palatino Linotype"/>
          <w:color w:val="000000" w:themeColor="text1"/>
        </w:rPr>
        <w:t xml:space="preserve"> </w:t>
      </w:r>
      <w:r w:rsidR="00264A8B">
        <w:rPr>
          <w:rFonts w:eastAsia="Palatino Linotype" w:cs="Palatino Linotype"/>
          <w:color w:val="000000" w:themeColor="text1"/>
        </w:rPr>
        <w:t xml:space="preserve">the </w:t>
      </w:r>
      <w:r w:rsidR="008F7268">
        <w:rPr>
          <w:rFonts w:eastAsia="Palatino Linotype" w:cs="Palatino Linotype"/>
          <w:color w:val="000000" w:themeColor="text1"/>
        </w:rPr>
        <w:t>Solar Energy</w:t>
      </w:r>
      <w:r w:rsidR="003E71EA">
        <w:rPr>
          <w:rFonts w:eastAsia="Palatino Linotype" w:cs="Palatino Linotype"/>
          <w:color w:val="000000" w:themeColor="text1"/>
        </w:rPr>
        <w:t xml:space="preserve"> Industries Association (SEIA)</w:t>
      </w:r>
      <w:r w:rsidR="009C5832">
        <w:rPr>
          <w:rFonts w:eastAsia="Palatino Linotype" w:cs="Palatino Linotype"/>
          <w:color w:val="000000" w:themeColor="text1"/>
        </w:rPr>
        <w:t>,</w:t>
      </w:r>
      <w:r w:rsidR="00264A8B">
        <w:rPr>
          <w:rFonts w:eastAsia="Palatino Linotype" w:cs="Palatino Linotype"/>
          <w:color w:val="000000" w:themeColor="text1"/>
        </w:rPr>
        <w:t xml:space="preserve"> jointly by The Utility Reform </w:t>
      </w:r>
      <w:r w:rsidR="005F64C3">
        <w:rPr>
          <w:rFonts w:eastAsia="Palatino Linotype" w:cs="Palatino Linotype"/>
          <w:color w:val="000000" w:themeColor="text1"/>
        </w:rPr>
        <w:t>Network and the Natural Resources Defense Council (TURN/NRDC</w:t>
      </w:r>
      <w:r w:rsidRPr="0352F329" w:rsidR="005F64C3">
        <w:rPr>
          <w:rFonts w:eastAsia="Palatino Linotype" w:cs="Palatino Linotype"/>
          <w:color w:val="000000" w:themeColor="text1"/>
        </w:rPr>
        <w:t>)</w:t>
      </w:r>
      <w:r w:rsidR="00AC415F">
        <w:rPr>
          <w:rFonts w:eastAsia="Palatino Linotype" w:cs="Palatino Linotype"/>
          <w:color w:val="000000" w:themeColor="text1"/>
        </w:rPr>
        <w:t xml:space="preserve"> and the Center for Accessible Technology (C4AT)</w:t>
      </w:r>
      <w:r w:rsidR="008336FB">
        <w:rPr>
          <w:rFonts w:eastAsia="Palatino Linotype" w:cs="Palatino Linotype"/>
          <w:color w:val="000000" w:themeColor="text1"/>
        </w:rPr>
        <w:t xml:space="preserve"> </w:t>
      </w:r>
      <w:r w:rsidRPr="0352F329" w:rsidR="00672C14">
        <w:rPr>
          <w:rFonts w:eastAsia="Palatino Linotype" w:cs="Palatino Linotype"/>
          <w:color w:val="000000" w:themeColor="text1"/>
        </w:rPr>
        <w:t>and</w:t>
      </w:r>
      <w:r w:rsidRPr="0352F329" w:rsidR="78B6C06E">
        <w:rPr>
          <w:rFonts w:eastAsia="Palatino Linotype" w:cs="Palatino Linotype"/>
          <w:color w:val="000000" w:themeColor="text1"/>
        </w:rPr>
        <w:t xml:space="preserve"> </w:t>
      </w:r>
      <w:r w:rsidR="008336FB">
        <w:rPr>
          <w:rFonts w:eastAsia="Palatino Linotype" w:cs="Palatino Linotype"/>
          <w:color w:val="000000" w:themeColor="text1"/>
        </w:rPr>
        <w:t>on September</w:t>
      </w:r>
      <w:r w:rsidR="001B77BD">
        <w:rPr>
          <w:rFonts w:eastAsia="Palatino Linotype" w:cs="Palatino Linotype"/>
          <w:color w:val="000000" w:themeColor="text1"/>
        </w:rPr>
        <w:t xml:space="preserve"> </w:t>
      </w:r>
      <w:r w:rsidRPr="0352F329" w:rsidR="78B6C06E">
        <w:rPr>
          <w:rFonts w:eastAsia="Palatino Linotype" w:cs="Palatino Linotype"/>
          <w:color w:val="000000" w:themeColor="text1"/>
        </w:rPr>
        <w:t>4</w:t>
      </w:r>
      <w:r w:rsidR="001B77BD">
        <w:rPr>
          <w:rFonts w:eastAsia="Palatino Linotype" w:cs="Palatino Linotype"/>
          <w:color w:val="000000" w:themeColor="text1"/>
        </w:rPr>
        <w:t>, 2024</w:t>
      </w:r>
      <w:r w:rsidR="00672C14">
        <w:rPr>
          <w:rFonts w:eastAsia="Palatino Linotype" w:cs="Palatino Linotype"/>
          <w:color w:val="000000" w:themeColor="text1"/>
        </w:rPr>
        <w:t>, by</w:t>
      </w:r>
      <w:r w:rsidR="00C35DD9">
        <w:rPr>
          <w:rFonts w:eastAsia="Palatino Linotype" w:cs="Palatino Linotype"/>
          <w:color w:val="000000" w:themeColor="text1"/>
        </w:rPr>
        <w:t xml:space="preserve"> the California Environmental Justice Alliance (CEJA) </w:t>
      </w:r>
      <w:r w:rsidR="00B872DF">
        <w:rPr>
          <w:rFonts w:eastAsia="Palatino Linotype" w:cs="Palatino Linotype"/>
          <w:color w:val="000000" w:themeColor="text1"/>
        </w:rPr>
        <w:t xml:space="preserve">(collectively, </w:t>
      </w:r>
      <w:r w:rsidR="008B530A">
        <w:rPr>
          <w:rFonts w:eastAsia="Palatino Linotype" w:cs="Palatino Linotype"/>
          <w:color w:val="000000" w:themeColor="text1"/>
        </w:rPr>
        <w:t>Protest Parties)</w:t>
      </w:r>
      <w:r w:rsidR="002B558D">
        <w:rPr>
          <w:rFonts w:eastAsia="Palatino Linotype" w:cs="Palatino Linotype"/>
          <w:color w:val="000000" w:themeColor="text1"/>
        </w:rPr>
        <w:t>.</w:t>
      </w:r>
      <w:r w:rsidR="000E4681">
        <w:rPr>
          <w:rFonts w:eastAsia="Palatino Linotype" w:cs="Palatino Linotype"/>
          <w:color w:val="000000" w:themeColor="text1"/>
        </w:rPr>
        <w:t xml:space="preserve"> On September 10, 2024, SDG&amp;E </w:t>
      </w:r>
      <w:r w:rsidR="00892349">
        <w:rPr>
          <w:rFonts w:eastAsia="Palatino Linotype" w:cs="Palatino Linotype"/>
          <w:color w:val="000000" w:themeColor="text1"/>
        </w:rPr>
        <w:t>filed its reply to the protests.</w:t>
      </w:r>
      <w:r w:rsidR="0081050B">
        <w:rPr>
          <w:rFonts w:eastAsia="Palatino Linotype" w:cs="Palatino Linotype"/>
          <w:color w:val="000000" w:themeColor="text1"/>
        </w:rPr>
        <w:t xml:space="preserve"> </w:t>
      </w:r>
    </w:p>
    <w:p w:rsidR="00C52942" w:rsidP="00F22803" w:rsidRDefault="00C52942" w14:paraId="22B2F209" w14:textId="77777777">
      <w:pPr>
        <w:rPr>
          <w:rFonts w:eastAsia="Palatino Linotype" w:cs="Palatino Linotype"/>
          <w:color w:val="000000" w:themeColor="text1"/>
        </w:rPr>
      </w:pPr>
    </w:p>
    <w:p w:rsidR="00C52942" w:rsidP="00F22803" w:rsidRDefault="00C52942" w14:paraId="70E1F047" w14:textId="7172AC56">
      <w:pPr>
        <w:rPr>
          <w:rFonts w:eastAsia="Palatino Linotype" w:cs="Palatino Linotype"/>
          <w:color w:val="000000" w:themeColor="text1"/>
        </w:rPr>
      </w:pPr>
      <w:r>
        <w:rPr>
          <w:rFonts w:eastAsia="Palatino Linotype" w:cs="Palatino Linotype"/>
          <w:color w:val="000000" w:themeColor="text1"/>
        </w:rPr>
        <w:t xml:space="preserve">The Protest Parties contested several aspects of SDG&amp;E’s implementation plan, which are summarized below in the following sections: (1) </w:t>
      </w:r>
      <w:r w:rsidR="00BD74E4">
        <w:rPr>
          <w:rFonts w:eastAsia="Palatino Linotype" w:cs="Palatino Linotype"/>
          <w:color w:val="000000" w:themeColor="text1"/>
        </w:rPr>
        <w:t xml:space="preserve">rate design, </w:t>
      </w:r>
      <w:r w:rsidR="00C32AB7">
        <w:rPr>
          <w:rFonts w:eastAsia="Palatino Linotype" w:cs="Palatino Linotype"/>
          <w:color w:val="000000" w:themeColor="text1"/>
        </w:rPr>
        <w:t>(2) tier assignment</w:t>
      </w:r>
      <w:r w:rsidR="008C34F7">
        <w:rPr>
          <w:rFonts w:eastAsia="Palatino Linotype" w:cs="Palatino Linotype"/>
          <w:color w:val="000000" w:themeColor="text1"/>
        </w:rPr>
        <w:t>s</w:t>
      </w:r>
      <w:r w:rsidR="00C46578">
        <w:rPr>
          <w:rFonts w:eastAsia="Palatino Linotype" w:cs="Palatino Linotype"/>
          <w:color w:val="000000" w:themeColor="text1"/>
        </w:rPr>
        <w:t xml:space="preserve"> (includ</w:t>
      </w:r>
      <w:r w:rsidR="00392F39">
        <w:rPr>
          <w:rFonts w:eastAsia="Palatino Linotype" w:cs="Palatino Linotype"/>
          <w:color w:val="000000" w:themeColor="text1"/>
        </w:rPr>
        <w:t>ing</w:t>
      </w:r>
      <w:r w:rsidR="00675DAF">
        <w:rPr>
          <w:rFonts w:eastAsia="Palatino Linotype" w:cs="Palatino Linotype"/>
          <w:color w:val="000000" w:themeColor="text1"/>
        </w:rPr>
        <w:t xml:space="preserve"> the</w:t>
      </w:r>
      <w:r w:rsidR="00C46578">
        <w:rPr>
          <w:rFonts w:eastAsia="Palatino Linotype" w:cs="Palatino Linotype"/>
          <w:color w:val="000000" w:themeColor="text1"/>
        </w:rPr>
        <w:t xml:space="preserve"> DRAH implementation)</w:t>
      </w:r>
      <w:r w:rsidR="00C32AB7">
        <w:rPr>
          <w:rFonts w:eastAsia="Palatino Linotype" w:cs="Palatino Linotype"/>
          <w:color w:val="000000" w:themeColor="text1"/>
        </w:rPr>
        <w:t>, (3)</w:t>
      </w:r>
      <w:r w:rsidR="005507B3">
        <w:rPr>
          <w:rFonts w:eastAsia="Palatino Linotype" w:cs="Palatino Linotype"/>
          <w:color w:val="000000" w:themeColor="text1"/>
        </w:rPr>
        <w:t xml:space="preserve"> </w:t>
      </w:r>
      <w:r w:rsidR="0087002A">
        <w:rPr>
          <w:rFonts w:eastAsia="Palatino Linotype" w:cs="Palatino Linotype"/>
          <w:color w:val="000000" w:themeColor="text1"/>
        </w:rPr>
        <w:t xml:space="preserve">proposed </w:t>
      </w:r>
      <w:r w:rsidR="005507B3">
        <w:rPr>
          <w:rFonts w:eastAsia="Palatino Linotype" w:cs="Palatino Linotype"/>
          <w:color w:val="000000" w:themeColor="text1"/>
        </w:rPr>
        <w:t>ME&amp;O plan</w:t>
      </w:r>
      <w:r w:rsidR="00616B9F">
        <w:rPr>
          <w:rFonts w:eastAsia="Palatino Linotype" w:cs="Palatino Linotype"/>
          <w:color w:val="000000" w:themeColor="text1"/>
        </w:rPr>
        <w:t>,</w:t>
      </w:r>
      <w:r w:rsidR="005507B3">
        <w:rPr>
          <w:rFonts w:eastAsia="Palatino Linotype" w:cs="Palatino Linotype"/>
          <w:color w:val="000000" w:themeColor="text1"/>
        </w:rPr>
        <w:t xml:space="preserve"> and </w:t>
      </w:r>
      <w:r w:rsidR="00071B11">
        <w:rPr>
          <w:rFonts w:eastAsia="Palatino Linotype" w:cs="Palatino Linotype"/>
          <w:color w:val="000000" w:themeColor="text1"/>
        </w:rPr>
        <w:t>(</w:t>
      </w:r>
      <w:r w:rsidR="00742D06">
        <w:rPr>
          <w:rFonts w:eastAsia="Palatino Linotype" w:cs="Palatino Linotype"/>
          <w:color w:val="000000" w:themeColor="text1"/>
        </w:rPr>
        <w:t>4</w:t>
      </w:r>
      <w:r w:rsidR="00071B11">
        <w:rPr>
          <w:rFonts w:eastAsia="Palatino Linotype" w:cs="Palatino Linotype"/>
          <w:color w:val="000000" w:themeColor="text1"/>
        </w:rPr>
        <w:t>) total</w:t>
      </w:r>
      <w:r w:rsidR="00D75B41">
        <w:rPr>
          <w:rFonts w:eastAsia="Palatino Linotype" w:cs="Palatino Linotype"/>
          <w:color w:val="000000" w:themeColor="text1"/>
        </w:rPr>
        <w:t xml:space="preserve"> estimated</w:t>
      </w:r>
      <w:r w:rsidR="00071B11">
        <w:rPr>
          <w:rFonts w:eastAsia="Palatino Linotype" w:cs="Palatino Linotype"/>
          <w:color w:val="000000" w:themeColor="text1"/>
        </w:rPr>
        <w:t xml:space="preserve"> implementation </w:t>
      </w:r>
      <w:r w:rsidR="00D75B41">
        <w:rPr>
          <w:rFonts w:eastAsia="Palatino Linotype" w:cs="Palatino Linotype"/>
          <w:color w:val="000000" w:themeColor="text1"/>
        </w:rPr>
        <w:t>budget</w:t>
      </w:r>
      <w:r w:rsidR="00C7204E">
        <w:rPr>
          <w:rFonts w:eastAsia="Palatino Linotype" w:cs="Palatino Linotype"/>
          <w:color w:val="000000" w:themeColor="text1"/>
        </w:rPr>
        <w:t>.</w:t>
      </w:r>
    </w:p>
    <w:p w:rsidR="00F11704" w:rsidP="00F22803" w:rsidRDefault="00F11704" w14:paraId="75633592" w14:textId="77777777">
      <w:pPr>
        <w:rPr>
          <w:rFonts w:eastAsia="Palatino Linotype" w:cs="Palatino Linotype"/>
          <w:color w:val="000000" w:themeColor="text1"/>
        </w:rPr>
      </w:pPr>
    </w:p>
    <w:p w:rsidR="1DE32884" w:rsidP="1DE32884" w:rsidRDefault="1DE32884" w14:paraId="30A00A26" w14:textId="3849479E">
      <w:pPr>
        <w:rPr>
          <w:rFonts w:eastAsia="Palatino Linotype" w:cs="Palatino Linotype"/>
          <w:color w:val="000000" w:themeColor="text1"/>
        </w:rPr>
      </w:pPr>
    </w:p>
    <w:p w:rsidRPr="00CB2428" w:rsidR="339B2D72" w:rsidP="00DA215C" w:rsidRDefault="13F75905" w14:paraId="520860E4" w14:textId="3AED0B65">
      <w:pPr>
        <w:pStyle w:val="Heading2"/>
        <w:ind w:left="360"/>
      </w:pPr>
      <w:r w:rsidRPr="339B2D72">
        <w:t>Rate Design</w:t>
      </w:r>
    </w:p>
    <w:p w:rsidR="00525C20" w:rsidP="00525C20" w:rsidRDefault="00525C20" w14:paraId="0099ED19" w14:textId="51FCF4AE">
      <w:pPr>
        <w:pStyle w:val="Heading3"/>
      </w:pPr>
      <w:r>
        <w:t>1.1</w:t>
      </w:r>
      <w:r w:rsidR="000A0632">
        <w:t>.</w:t>
      </w:r>
      <w:r>
        <w:tab/>
      </w:r>
      <w:r w:rsidRPr="339B2D72" w:rsidR="13F75905">
        <w:t>TURN/NRDC</w:t>
      </w:r>
      <w:r w:rsidR="00E34C3B">
        <w:t>’</w:t>
      </w:r>
      <w:r w:rsidR="008F039C">
        <w:t>s</w:t>
      </w:r>
      <w:r w:rsidR="00E34C3B">
        <w:t xml:space="preserve"> Protest</w:t>
      </w:r>
      <w:r w:rsidRPr="339B2D72" w:rsidR="13F75905">
        <w:t xml:space="preserve"> </w:t>
      </w:r>
    </w:p>
    <w:p w:rsidR="13F75905" w:rsidP="339B2D72" w:rsidRDefault="00FF5D91" w14:paraId="11E5B25C" w14:textId="79568C51">
      <w:pPr>
        <w:rPr>
          <w:rFonts w:eastAsia="Palatino Linotype" w:cs="Palatino Linotype"/>
          <w:color w:val="000000" w:themeColor="text1"/>
        </w:rPr>
      </w:pPr>
      <w:r w:rsidRPr="00FF5D91">
        <w:rPr>
          <w:rFonts w:eastAsia="Palatino Linotype" w:cs="Palatino Linotype"/>
          <w:color w:val="000000" w:themeColor="text1"/>
        </w:rPr>
        <w:t>TURN/NRDC</w:t>
      </w:r>
      <w:r w:rsidRPr="00FF5D91" w:rsidDel="00C26365">
        <w:rPr>
          <w:rFonts w:eastAsia="Palatino Linotype" w:cs="Palatino Linotype"/>
          <w:color w:val="000000" w:themeColor="text1"/>
        </w:rPr>
        <w:t xml:space="preserve"> </w:t>
      </w:r>
      <w:r w:rsidR="001C01E1">
        <w:rPr>
          <w:rFonts w:eastAsia="Palatino Linotype" w:cs="Palatino Linotype"/>
          <w:color w:val="000000" w:themeColor="text1"/>
        </w:rPr>
        <w:t>recommended</w:t>
      </w:r>
      <w:r w:rsidR="00C26365">
        <w:rPr>
          <w:rFonts w:eastAsia="Palatino Linotype" w:cs="Palatino Linotype"/>
          <w:color w:val="000000" w:themeColor="text1"/>
        </w:rPr>
        <w:t xml:space="preserve"> rejecting</w:t>
      </w:r>
      <w:r w:rsidRPr="00FF5D91">
        <w:rPr>
          <w:rFonts w:eastAsia="Palatino Linotype" w:cs="Palatino Linotype"/>
          <w:color w:val="000000" w:themeColor="text1"/>
        </w:rPr>
        <w:t xml:space="preserve"> SDG&amp;</w:t>
      </w:r>
      <w:proofErr w:type="gramStart"/>
      <w:r w:rsidRPr="00FF5D91">
        <w:rPr>
          <w:rFonts w:eastAsia="Palatino Linotype" w:cs="Palatino Linotype"/>
          <w:color w:val="000000" w:themeColor="text1"/>
        </w:rPr>
        <w:t>E’s</w:t>
      </w:r>
      <w:proofErr w:type="gramEnd"/>
      <w:r w:rsidRPr="00FF5D91">
        <w:rPr>
          <w:rFonts w:eastAsia="Palatino Linotype" w:cs="Palatino Linotype"/>
          <w:color w:val="000000" w:themeColor="text1"/>
        </w:rPr>
        <w:t xml:space="preserve"> proposed “one-time change” to volumetric distribution rates on an equal cent per kWh for all residential TOU schedules</w:t>
      </w:r>
      <w:r w:rsidR="0099741E">
        <w:rPr>
          <w:rFonts w:eastAsia="Palatino Linotype" w:cs="Palatino Linotype"/>
          <w:color w:val="000000" w:themeColor="text1"/>
        </w:rPr>
        <w:t>.</w:t>
      </w:r>
      <w:r w:rsidR="00F63BC0">
        <w:rPr>
          <w:rStyle w:val="FootnoteReference"/>
          <w:rFonts w:eastAsia="Palatino Linotype" w:cs="Palatino Linotype"/>
          <w:color w:val="000000" w:themeColor="text1"/>
        </w:rPr>
        <w:footnoteReference w:id="8"/>
      </w:r>
      <w:r w:rsidRPr="339B2D72" w:rsidR="2EDB7D5F">
        <w:rPr>
          <w:rFonts w:eastAsia="Palatino Linotype" w:cs="Palatino Linotype"/>
          <w:color w:val="000000" w:themeColor="text1"/>
        </w:rPr>
        <w:t xml:space="preserve"> </w:t>
      </w:r>
      <w:r w:rsidRPr="004A02AF" w:rsidR="004A02AF">
        <w:rPr>
          <w:rFonts w:eastAsia="Palatino Linotype" w:cs="Palatino Linotype"/>
          <w:color w:val="000000" w:themeColor="text1"/>
        </w:rPr>
        <w:t>They cited that the impact of this charge on residential schedules was unclear. TURN/NRDC suggested SDG&amp;E should present actual values using current rates to differentiate how the one-time charge may be different from applying a scaling factor to each of the residential volumetric residential rates</w:t>
      </w:r>
      <w:r w:rsidR="009253A6">
        <w:rPr>
          <w:rFonts w:eastAsia="Palatino Linotype" w:cs="Palatino Linotype"/>
          <w:color w:val="000000" w:themeColor="text1"/>
        </w:rPr>
        <w:t>.</w:t>
      </w:r>
      <w:r w:rsidR="00F63BC0">
        <w:rPr>
          <w:rStyle w:val="FootnoteReference"/>
          <w:rFonts w:eastAsia="Palatino Linotype" w:cs="Palatino Linotype"/>
          <w:color w:val="000000" w:themeColor="text1"/>
        </w:rPr>
        <w:footnoteReference w:id="9"/>
      </w:r>
    </w:p>
    <w:p w:rsidR="00EC1E76" w:rsidP="339B2D72" w:rsidRDefault="00EC1E76" w14:paraId="2C4F8E32" w14:textId="77777777">
      <w:pPr>
        <w:rPr>
          <w:rFonts w:eastAsia="Palatino Linotype" w:cs="Palatino Linotype"/>
          <w:color w:val="000000" w:themeColor="text1"/>
        </w:rPr>
      </w:pPr>
    </w:p>
    <w:p w:rsidR="00525C20" w:rsidP="00525C20" w:rsidRDefault="00525C20" w14:paraId="77275345" w14:textId="7043A4E7">
      <w:pPr>
        <w:pStyle w:val="Heading3"/>
      </w:pPr>
      <w:r>
        <w:lastRenderedPageBreak/>
        <w:t>1.2</w:t>
      </w:r>
      <w:r w:rsidR="000A0632">
        <w:t>.</w:t>
      </w:r>
      <w:r>
        <w:t xml:space="preserve"> </w:t>
      </w:r>
      <w:r>
        <w:tab/>
      </w:r>
      <w:r w:rsidRPr="00F047DB" w:rsidR="00EC1E76">
        <w:t>CEJA</w:t>
      </w:r>
      <w:r w:rsidR="00E34C3B">
        <w:t>’s Protest</w:t>
      </w:r>
      <w:r w:rsidR="00EC1E76">
        <w:t xml:space="preserve"> </w:t>
      </w:r>
    </w:p>
    <w:p w:rsidR="009F1CEB" w:rsidP="339B2D72" w:rsidRDefault="002E0657" w14:paraId="6F17D6D9" w14:textId="0D1E5934">
      <w:pPr>
        <w:rPr>
          <w:rFonts w:eastAsia="Palatino Linotype" w:cs="Palatino Linotype"/>
          <w:color w:val="000000" w:themeColor="text1"/>
        </w:rPr>
      </w:pPr>
      <w:r w:rsidRPr="002E0657">
        <w:rPr>
          <w:rFonts w:eastAsia="Palatino Linotype" w:cs="Palatino Linotype"/>
          <w:color w:val="000000" w:themeColor="text1"/>
        </w:rPr>
        <w:t>CEJA</w:t>
      </w:r>
      <w:r w:rsidRPr="002E0657" w:rsidDel="000D0FDC">
        <w:rPr>
          <w:rFonts w:eastAsia="Palatino Linotype" w:cs="Palatino Linotype"/>
          <w:color w:val="000000" w:themeColor="text1"/>
        </w:rPr>
        <w:t xml:space="preserve"> </w:t>
      </w:r>
      <w:r w:rsidR="000D0FDC">
        <w:rPr>
          <w:rFonts w:eastAsia="Palatino Linotype" w:cs="Palatino Linotype"/>
          <w:color w:val="000000" w:themeColor="text1"/>
        </w:rPr>
        <w:t>contended</w:t>
      </w:r>
      <w:r w:rsidRPr="002E0657">
        <w:rPr>
          <w:rFonts w:eastAsia="Palatino Linotype" w:cs="Palatino Linotype"/>
          <w:color w:val="000000" w:themeColor="text1"/>
        </w:rPr>
        <w:t xml:space="preserve"> the analysis, calculations, or data in the AL contained material errors or omissions. It alleged the relief requested in the AL is unjust, </w:t>
      </w:r>
      <w:r w:rsidRPr="002E0657" w:rsidR="00783B46">
        <w:rPr>
          <w:rFonts w:eastAsia="Palatino Linotype" w:cs="Palatino Linotype"/>
          <w:color w:val="000000" w:themeColor="text1"/>
        </w:rPr>
        <w:t>unreasonable</w:t>
      </w:r>
      <w:r w:rsidRPr="002E0657">
        <w:rPr>
          <w:rFonts w:eastAsia="Palatino Linotype" w:cs="Palatino Linotype"/>
          <w:color w:val="000000" w:themeColor="text1"/>
        </w:rPr>
        <w:t>, or discriminatory per GO 96-B</w:t>
      </w:r>
      <w:r w:rsidR="00792185">
        <w:rPr>
          <w:rFonts w:eastAsia="Palatino Linotype" w:cs="Palatino Linotype"/>
          <w:color w:val="000000" w:themeColor="text1"/>
        </w:rPr>
        <w:t>,</w:t>
      </w:r>
      <w:r w:rsidRPr="002E0657">
        <w:rPr>
          <w:rFonts w:eastAsia="Palatino Linotype" w:cs="Palatino Linotype"/>
          <w:color w:val="000000" w:themeColor="text1"/>
        </w:rPr>
        <w:t xml:space="preserve"> </w:t>
      </w:r>
      <w:r w:rsidR="00792185">
        <w:rPr>
          <w:rFonts w:eastAsia="Palatino Linotype" w:cs="Palatino Linotype"/>
          <w:color w:val="000000" w:themeColor="text1"/>
        </w:rPr>
        <w:t xml:space="preserve">Rule </w:t>
      </w:r>
      <w:r w:rsidRPr="002E0657">
        <w:rPr>
          <w:rFonts w:eastAsia="Palatino Linotype" w:cs="Palatino Linotype"/>
          <w:color w:val="000000" w:themeColor="text1"/>
        </w:rPr>
        <w:t>7.4.2</w:t>
      </w:r>
      <w:r w:rsidR="009253A6">
        <w:rPr>
          <w:rFonts w:eastAsia="Palatino Linotype" w:cs="Palatino Linotype"/>
          <w:color w:val="000000" w:themeColor="text1"/>
        </w:rPr>
        <w:t>.</w:t>
      </w:r>
      <w:r w:rsidR="00F63BC0">
        <w:rPr>
          <w:rStyle w:val="FootnoteReference"/>
          <w:rFonts w:eastAsia="Palatino Linotype" w:cs="Palatino Linotype"/>
          <w:color w:val="000000" w:themeColor="text1"/>
        </w:rPr>
        <w:footnoteReference w:id="10"/>
      </w:r>
      <w:r w:rsidR="00AB3A46">
        <w:rPr>
          <w:rFonts w:eastAsia="Palatino Linotype" w:cs="Palatino Linotype"/>
          <w:color w:val="000000" w:themeColor="text1"/>
        </w:rPr>
        <w:t xml:space="preserve"> </w:t>
      </w:r>
      <w:r w:rsidR="000D0FDC">
        <w:rPr>
          <w:rFonts w:eastAsia="Palatino Linotype" w:cs="Palatino Linotype"/>
          <w:color w:val="000000" w:themeColor="text1"/>
        </w:rPr>
        <w:t>CEJA</w:t>
      </w:r>
      <w:r w:rsidRPr="7C837F08" w:rsidR="00762AF7">
        <w:rPr>
          <w:rFonts w:eastAsia="Palatino Linotype" w:cs="Palatino Linotype"/>
          <w:color w:val="000000" w:themeColor="text1"/>
        </w:rPr>
        <w:t xml:space="preserve"> argued that ratepayers from different IOUs would pay different costs, and that Tier 1 and 2 customers would also be disadvantaged by the </w:t>
      </w:r>
      <w:r w:rsidR="00762AF7">
        <w:rPr>
          <w:rFonts w:eastAsia="Palatino Linotype" w:cs="Palatino Linotype"/>
          <w:color w:val="000000" w:themeColor="text1"/>
        </w:rPr>
        <w:t>c</w:t>
      </w:r>
      <w:r w:rsidRPr="7C837F08" w:rsidR="00762AF7">
        <w:rPr>
          <w:rFonts w:eastAsia="Palatino Linotype" w:cs="Palatino Linotype"/>
          <w:color w:val="000000" w:themeColor="text1"/>
        </w:rPr>
        <w:t xml:space="preserve">ost </w:t>
      </w:r>
      <w:r w:rsidR="00762AF7">
        <w:rPr>
          <w:rFonts w:eastAsia="Palatino Linotype" w:cs="Palatino Linotype"/>
          <w:color w:val="000000" w:themeColor="text1"/>
        </w:rPr>
        <w:t>l</w:t>
      </w:r>
      <w:r w:rsidRPr="7C837F08" w:rsidR="00762AF7">
        <w:rPr>
          <w:rFonts w:eastAsia="Palatino Linotype" w:cs="Palatino Linotype"/>
          <w:color w:val="000000" w:themeColor="text1"/>
        </w:rPr>
        <w:t>ayer</w:t>
      </w:r>
      <w:r w:rsidR="00C03AE6">
        <w:rPr>
          <w:rFonts w:eastAsia="Palatino Linotype" w:cs="Palatino Linotype"/>
          <w:color w:val="000000" w:themeColor="text1"/>
        </w:rPr>
        <w:t>ing</w:t>
      </w:r>
      <w:r w:rsidRPr="7C837F08" w:rsidR="00762AF7">
        <w:rPr>
          <w:rFonts w:eastAsia="Palatino Linotype" w:cs="Palatino Linotype"/>
          <w:color w:val="000000" w:themeColor="text1"/>
        </w:rPr>
        <w:t xml:space="preserve"> methods chosen. CEJA protested </w:t>
      </w:r>
      <w:r w:rsidR="00762AF7">
        <w:rPr>
          <w:rFonts w:eastAsia="Palatino Linotype" w:cs="Palatino Linotype"/>
          <w:color w:val="000000" w:themeColor="text1"/>
        </w:rPr>
        <w:t>SDG&amp;E’s</w:t>
      </w:r>
      <w:r w:rsidRPr="7C837F08" w:rsidR="00762AF7">
        <w:rPr>
          <w:rFonts w:eastAsia="Palatino Linotype" w:cs="Palatino Linotype"/>
          <w:color w:val="000000" w:themeColor="text1"/>
        </w:rPr>
        <w:t xml:space="preserve"> illustrative </w:t>
      </w:r>
      <w:r w:rsidR="00667745">
        <w:rPr>
          <w:rFonts w:eastAsia="Palatino Linotype" w:cs="Palatino Linotype"/>
          <w:color w:val="000000" w:themeColor="text1"/>
        </w:rPr>
        <w:t>C</w:t>
      </w:r>
      <w:r w:rsidRPr="7C837F08" w:rsidR="00762AF7">
        <w:rPr>
          <w:rFonts w:eastAsia="Palatino Linotype" w:cs="Palatino Linotype"/>
          <w:color w:val="000000" w:themeColor="text1"/>
        </w:rPr>
        <w:t xml:space="preserve">ost </w:t>
      </w:r>
      <w:r w:rsidR="00667745">
        <w:rPr>
          <w:rFonts w:eastAsia="Palatino Linotype" w:cs="Palatino Linotype"/>
          <w:color w:val="000000" w:themeColor="text1"/>
        </w:rPr>
        <w:t>L</w:t>
      </w:r>
      <w:r w:rsidRPr="7C837F08" w:rsidR="00762AF7">
        <w:rPr>
          <w:rFonts w:eastAsia="Palatino Linotype" w:cs="Palatino Linotype"/>
          <w:color w:val="000000" w:themeColor="text1"/>
        </w:rPr>
        <w:t xml:space="preserve">ayering in </w:t>
      </w:r>
      <w:r w:rsidR="00762AF7">
        <w:rPr>
          <w:rFonts w:eastAsia="Palatino Linotype" w:cs="Palatino Linotype"/>
          <w:color w:val="000000" w:themeColor="text1"/>
        </w:rPr>
        <w:t>AL 4492</w:t>
      </w:r>
      <w:r w:rsidRPr="7C837F08" w:rsidR="00762AF7">
        <w:rPr>
          <w:rFonts w:eastAsia="Palatino Linotype" w:cs="Palatino Linotype"/>
          <w:color w:val="000000" w:themeColor="text1"/>
        </w:rPr>
        <w:t>-E</w:t>
      </w:r>
      <w:r w:rsidR="00C03AE6">
        <w:rPr>
          <w:rFonts w:eastAsia="Palatino Linotype" w:cs="Palatino Linotype"/>
          <w:color w:val="000000" w:themeColor="text1"/>
        </w:rPr>
        <w:t>, observing that</w:t>
      </w:r>
      <w:r w:rsidRPr="7C837F08" w:rsidDel="00C03AE6" w:rsidR="00762AF7">
        <w:rPr>
          <w:rFonts w:eastAsia="Palatino Linotype" w:cs="Palatino Linotype"/>
          <w:color w:val="000000" w:themeColor="text1"/>
        </w:rPr>
        <w:t xml:space="preserve"> </w:t>
      </w:r>
      <w:r w:rsidRPr="7C837F08" w:rsidR="00762AF7">
        <w:rPr>
          <w:rFonts w:eastAsia="Palatino Linotype" w:cs="Palatino Linotype"/>
          <w:color w:val="000000" w:themeColor="text1"/>
        </w:rPr>
        <w:t xml:space="preserve">no </w:t>
      </w:r>
      <w:r w:rsidR="00E131C7">
        <w:rPr>
          <w:rFonts w:eastAsia="Palatino Linotype" w:cs="Palatino Linotype"/>
          <w:color w:val="000000" w:themeColor="text1"/>
        </w:rPr>
        <w:t>P</w:t>
      </w:r>
      <w:r w:rsidR="00762AF7">
        <w:rPr>
          <w:rFonts w:eastAsia="Palatino Linotype" w:cs="Palatino Linotype"/>
          <w:color w:val="000000" w:themeColor="text1"/>
        </w:rPr>
        <w:t xml:space="preserve">ublic </w:t>
      </w:r>
      <w:r w:rsidR="00E131C7">
        <w:rPr>
          <w:rFonts w:eastAsia="Palatino Linotype" w:cs="Palatino Linotype"/>
          <w:color w:val="000000" w:themeColor="text1"/>
        </w:rPr>
        <w:t>P</w:t>
      </w:r>
      <w:r w:rsidR="00762AF7">
        <w:rPr>
          <w:rFonts w:eastAsia="Palatino Linotype" w:cs="Palatino Linotype"/>
          <w:color w:val="000000" w:themeColor="text1"/>
        </w:rPr>
        <w:t xml:space="preserve">urpose </w:t>
      </w:r>
      <w:r w:rsidR="00E131C7">
        <w:rPr>
          <w:rFonts w:eastAsia="Palatino Linotype" w:cs="Palatino Linotype"/>
          <w:color w:val="000000" w:themeColor="text1"/>
        </w:rPr>
        <w:t>P</w:t>
      </w:r>
      <w:r w:rsidR="00762AF7">
        <w:rPr>
          <w:rFonts w:eastAsia="Palatino Linotype" w:cs="Palatino Linotype"/>
          <w:color w:val="000000" w:themeColor="text1"/>
        </w:rPr>
        <w:t>rogram (</w:t>
      </w:r>
      <w:r w:rsidRPr="7C837F08" w:rsidR="00762AF7">
        <w:rPr>
          <w:rFonts w:eastAsia="Palatino Linotype" w:cs="Palatino Linotype"/>
          <w:color w:val="000000" w:themeColor="text1"/>
        </w:rPr>
        <w:t>PPP</w:t>
      </w:r>
      <w:r w:rsidR="00762AF7">
        <w:rPr>
          <w:rFonts w:eastAsia="Palatino Linotype" w:cs="Palatino Linotype"/>
          <w:color w:val="000000" w:themeColor="text1"/>
        </w:rPr>
        <w:t>)</w:t>
      </w:r>
      <w:r w:rsidRPr="7C837F08" w:rsidR="00762AF7">
        <w:rPr>
          <w:rFonts w:eastAsia="Palatino Linotype" w:cs="Palatino Linotype"/>
          <w:color w:val="000000" w:themeColor="text1"/>
        </w:rPr>
        <w:t xml:space="preserve"> costs were shown in Tier 1 and Tier 2 fixed charges</w:t>
      </w:r>
      <w:r w:rsidR="00797200">
        <w:rPr>
          <w:rFonts w:eastAsia="Palatino Linotype" w:cs="Palatino Linotype"/>
          <w:color w:val="000000" w:themeColor="text1"/>
        </w:rPr>
        <w:t>.</w:t>
      </w:r>
      <w:r w:rsidR="00AB3A46">
        <w:rPr>
          <w:rStyle w:val="FootnoteReference"/>
          <w:rFonts w:eastAsia="Palatino Linotype" w:cs="Palatino Linotype"/>
          <w:color w:val="000000" w:themeColor="text1"/>
        </w:rPr>
        <w:footnoteReference w:id="11"/>
      </w:r>
      <w:r w:rsidR="00AB3A46">
        <w:rPr>
          <w:rFonts w:eastAsia="Palatino Linotype" w:cs="Palatino Linotype"/>
          <w:color w:val="000000" w:themeColor="text1"/>
        </w:rPr>
        <w:t xml:space="preserve"> </w:t>
      </w:r>
      <w:r w:rsidR="000D0FDC">
        <w:rPr>
          <w:rFonts w:eastAsia="Palatino Linotype" w:cs="Palatino Linotype"/>
          <w:color w:val="000000" w:themeColor="text1"/>
        </w:rPr>
        <w:t>CEJA</w:t>
      </w:r>
      <w:r w:rsidRPr="006025AB" w:rsidR="006025AB">
        <w:rPr>
          <w:rFonts w:eastAsia="Palatino Linotype" w:cs="Palatino Linotype"/>
          <w:color w:val="000000" w:themeColor="text1"/>
        </w:rPr>
        <w:t xml:space="preserve"> </w:t>
      </w:r>
      <w:r w:rsidR="00C03AE6">
        <w:rPr>
          <w:rFonts w:eastAsia="Palatino Linotype" w:cs="Palatino Linotype"/>
          <w:color w:val="000000" w:themeColor="text1"/>
        </w:rPr>
        <w:t>asserted</w:t>
      </w:r>
      <w:r w:rsidRPr="006025AB" w:rsidR="00C03AE6">
        <w:rPr>
          <w:rFonts w:eastAsia="Palatino Linotype" w:cs="Palatino Linotype"/>
          <w:color w:val="000000" w:themeColor="text1"/>
        </w:rPr>
        <w:t xml:space="preserve"> </w:t>
      </w:r>
      <w:r w:rsidRPr="006025AB" w:rsidR="006025AB">
        <w:rPr>
          <w:rFonts w:eastAsia="Palatino Linotype" w:cs="Palatino Linotype"/>
          <w:color w:val="000000" w:themeColor="text1"/>
        </w:rPr>
        <w:t>that the SDG&amp;E Cost Layering methodology could lead to higher volumetric rates for low-income customers.</w:t>
      </w:r>
      <w:r w:rsidRPr="09AB6C42">
        <w:rPr>
          <w:rStyle w:val="FootnoteReference"/>
          <w:rFonts w:eastAsia="Palatino Linotype" w:cs="Palatino Linotype"/>
          <w:color w:val="000000" w:themeColor="text1"/>
        </w:rPr>
        <w:footnoteReference w:id="12"/>
      </w:r>
      <w:r w:rsidRPr="006025AB" w:rsidR="006025AB">
        <w:rPr>
          <w:rFonts w:eastAsia="Palatino Linotype" w:cs="Palatino Linotype"/>
          <w:color w:val="000000" w:themeColor="text1"/>
        </w:rPr>
        <w:t xml:space="preserve"> </w:t>
      </w:r>
    </w:p>
    <w:p w:rsidR="009F1CEB" w:rsidP="339B2D72" w:rsidRDefault="009F1CEB" w14:paraId="27BA715E" w14:textId="77777777">
      <w:pPr>
        <w:rPr>
          <w:rFonts w:eastAsia="Palatino Linotype" w:cs="Palatino Linotype"/>
          <w:color w:val="000000" w:themeColor="text1"/>
        </w:rPr>
      </w:pPr>
    </w:p>
    <w:p w:rsidR="00EC1E76" w:rsidP="339B2D72" w:rsidRDefault="006025AB" w14:paraId="6B77B471" w14:textId="03FEF747">
      <w:pPr>
        <w:rPr>
          <w:rFonts w:eastAsia="Palatino Linotype" w:cs="Palatino Linotype"/>
          <w:color w:val="000000" w:themeColor="text1"/>
        </w:rPr>
      </w:pPr>
      <w:r w:rsidRPr="006025AB">
        <w:rPr>
          <w:rFonts w:eastAsia="Palatino Linotype" w:cs="Palatino Linotype"/>
          <w:color w:val="000000" w:themeColor="text1"/>
        </w:rPr>
        <w:t>CEJA recommended the Commission require SDG&amp;E and SCE layer CARE-exempt PPP costs into the IGFC immediately after the Marginal Customer Access Costs (MCAC) in a similar manner to PG&amp;E</w:t>
      </w:r>
      <w:r w:rsidR="00D36F30">
        <w:rPr>
          <w:rFonts w:eastAsia="Palatino Linotype" w:cs="Palatino Linotype"/>
          <w:color w:val="000000" w:themeColor="text1"/>
        </w:rPr>
        <w:t>.</w:t>
      </w:r>
      <w:r w:rsidR="00AB3A46">
        <w:rPr>
          <w:rStyle w:val="FootnoteReference"/>
          <w:rFonts w:eastAsia="Palatino Linotype" w:cs="Palatino Linotype"/>
          <w:color w:val="000000" w:themeColor="text1"/>
        </w:rPr>
        <w:footnoteReference w:id="13"/>
      </w:r>
      <w:r w:rsidR="006F469E">
        <w:rPr>
          <w:rFonts w:eastAsia="Palatino Linotype" w:cs="Palatino Linotype"/>
          <w:color w:val="000000" w:themeColor="text1"/>
        </w:rPr>
        <w:t xml:space="preserve"> </w:t>
      </w:r>
      <w:r w:rsidR="009F1CEB">
        <w:rPr>
          <w:rFonts w:eastAsia="Palatino Linotype" w:cs="Palatino Linotype"/>
          <w:color w:val="000000" w:themeColor="text1"/>
        </w:rPr>
        <w:t xml:space="preserve">Moreover, </w:t>
      </w:r>
      <w:r w:rsidRPr="007F2E46" w:rsidR="007F2E46">
        <w:rPr>
          <w:rFonts w:eastAsia="Palatino Linotype" w:cs="Palatino Linotype"/>
          <w:color w:val="000000" w:themeColor="text1"/>
        </w:rPr>
        <w:t>CEJA also took issue with the “illustrative” nature of the IOU Cost Layering methodologies, requesting the Commission establish a consistent Cost Layering order and methodology with the IOUs</w:t>
      </w:r>
      <w:r w:rsidR="00D36F30">
        <w:rPr>
          <w:rFonts w:eastAsia="Palatino Linotype" w:cs="Palatino Linotype"/>
          <w:color w:val="000000" w:themeColor="text1"/>
        </w:rPr>
        <w:t>.</w:t>
      </w:r>
      <w:r w:rsidR="00194D06">
        <w:rPr>
          <w:rStyle w:val="FootnoteReference"/>
          <w:rFonts w:eastAsia="Palatino Linotype" w:cs="Palatino Linotype"/>
          <w:color w:val="000000" w:themeColor="text1"/>
        </w:rPr>
        <w:footnoteReference w:id="14"/>
      </w:r>
      <w:r w:rsidR="00255821">
        <w:rPr>
          <w:rFonts w:eastAsia="Palatino Linotype" w:cs="Palatino Linotype"/>
          <w:color w:val="000000" w:themeColor="text1"/>
        </w:rPr>
        <w:t xml:space="preserve"> It also suggested that the Commission require each IOU show a “100% of Costs” calculation in a sim</w:t>
      </w:r>
      <w:r w:rsidR="00E71A9B">
        <w:rPr>
          <w:rFonts w:eastAsia="Palatino Linotype" w:cs="Palatino Linotype"/>
          <w:color w:val="000000" w:themeColor="text1"/>
        </w:rPr>
        <w:t xml:space="preserve">ilar manner to SCE </w:t>
      </w:r>
      <w:r w:rsidR="009A687F">
        <w:rPr>
          <w:rFonts w:eastAsia="Palatino Linotype" w:cs="Palatino Linotype"/>
          <w:color w:val="000000" w:themeColor="text1"/>
        </w:rPr>
        <w:t>AL</w:t>
      </w:r>
      <w:r w:rsidR="00E71A9B">
        <w:rPr>
          <w:rFonts w:eastAsia="Palatino Linotype" w:cs="Palatino Linotype"/>
          <w:color w:val="000000" w:themeColor="text1"/>
        </w:rPr>
        <w:t xml:space="preserve"> 5358-E</w:t>
      </w:r>
      <w:r w:rsidR="00C04054">
        <w:rPr>
          <w:rFonts w:eastAsia="Palatino Linotype" w:cs="Palatino Linotype"/>
          <w:color w:val="000000" w:themeColor="text1"/>
        </w:rPr>
        <w:t xml:space="preserve"> as this would be helpful for understanding Cost Layering methodologies</w:t>
      </w:r>
      <w:r w:rsidR="00D36F30">
        <w:rPr>
          <w:rFonts w:eastAsia="Palatino Linotype" w:cs="Palatino Linotype"/>
          <w:color w:val="000000" w:themeColor="text1"/>
        </w:rPr>
        <w:t>.</w:t>
      </w:r>
      <w:r w:rsidR="00194D06">
        <w:rPr>
          <w:rStyle w:val="FootnoteReference"/>
          <w:rFonts w:eastAsia="Palatino Linotype" w:cs="Palatino Linotype"/>
          <w:color w:val="000000" w:themeColor="text1"/>
        </w:rPr>
        <w:footnoteReference w:id="15"/>
      </w:r>
      <w:r w:rsidR="00E71A9B">
        <w:rPr>
          <w:rFonts w:eastAsia="Palatino Linotype" w:cs="Palatino Linotype"/>
          <w:color w:val="000000" w:themeColor="text1"/>
        </w:rPr>
        <w:t xml:space="preserve"> </w:t>
      </w:r>
    </w:p>
    <w:p w:rsidR="339B2D72" w:rsidP="339B2D72" w:rsidRDefault="339B2D72" w14:paraId="452C8A8F" w14:textId="1A98C74D">
      <w:pPr>
        <w:rPr>
          <w:rFonts w:eastAsia="Palatino Linotype" w:cs="Palatino Linotype"/>
          <w:color w:val="000000" w:themeColor="text1"/>
        </w:rPr>
      </w:pPr>
    </w:p>
    <w:p w:rsidR="1DE32884" w:rsidP="1DE32884" w:rsidRDefault="1DE32884" w14:paraId="6D81F270" w14:textId="15590C3F">
      <w:pPr>
        <w:rPr>
          <w:rFonts w:eastAsia="Palatino Linotype" w:cs="Palatino Linotype"/>
          <w:color w:val="000000" w:themeColor="text1"/>
        </w:rPr>
      </w:pPr>
    </w:p>
    <w:p w:rsidR="00525C20" w:rsidP="00525C20" w:rsidRDefault="00525C20" w14:paraId="0B44025B" w14:textId="6E1A2F1F">
      <w:pPr>
        <w:pStyle w:val="Heading3"/>
      </w:pPr>
      <w:r>
        <w:t>1.3</w:t>
      </w:r>
      <w:r w:rsidR="000A0632">
        <w:t>.</w:t>
      </w:r>
      <w:r>
        <w:tab/>
      </w:r>
      <w:r w:rsidRPr="7C837F08" w:rsidR="00B14506">
        <w:t>SEIA</w:t>
      </w:r>
      <w:r w:rsidR="00E34C3B">
        <w:t>’s Protest</w:t>
      </w:r>
    </w:p>
    <w:p w:rsidR="00072CA3" w:rsidP="339B2D72" w:rsidRDefault="004200D2" w14:paraId="054777C2" w14:textId="72FB2C3D">
      <w:pPr>
        <w:rPr>
          <w:rFonts w:eastAsia="Palatino Linotype" w:cs="Palatino Linotype"/>
          <w:color w:val="000000" w:themeColor="text1"/>
        </w:rPr>
      </w:pPr>
      <w:r w:rsidRPr="7C837F08">
        <w:rPr>
          <w:rFonts w:eastAsia="Palatino Linotype" w:cs="Palatino Linotype"/>
          <w:color w:val="000000" w:themeColor="text1"/>
        </w:rPr>
        <w:t xml:space="preserve">SEIA recommended the Commission direct </w:t>
      </w:r>
      <w:r>
        <w:rPr>
          <w:rFonts w:eastAsia="Palatino Linotype" w:cs="Palatino Linotype"/>
          <w:color w:val="000000" w:themeColor="text1"/>
        </w:rPr>
        <w:t>SDG&amp;E</w:t>
      </w:r>
      <w:r w:rsidRPr="7C837F08">
        <w:rPr>
          <w:rFonts w:eastAsia="Palatino Linotype" w:cs="Palatino Linotype"/>
          <w:color w:val="000000" w:themeColor="text1"/>
        </w:rPr>
        <w:t xml:space="preserve"> to file a supplemental </w:t>
      </w:r>
      <w:r w:rsidR="003246BF">
        <w:rPr>
          <w:rFonts w:eastAsia="Palatino Linotype" w:cs="Palatino Linotype"/>
          <w:color w:val="000000" w:themeColor="text1"/>
        </w:rPr>
        <w:t>AL</w:t>
      </w:r>
      <w:r w:rsidRPr="7C837F08">
        <w:rPr>
          <w:rFonts w:eastAsia="Palatino Linotype" w:cs="Palatino Linotype"/>
          <w:color w:val="000000" w:themeColor="text1"/>
        </w:rPr>
        <w:t xml:space="preserve"> to </w:t>
      </w:r>
      <w:r>
        <w:rPr>
          <w:rFonts w:eastAsia="Palatino Linotype" w:cs="Palatino Linotype"/>
          <w:color w:val="000000" w:themeColor="text1"/>
        </w:rPr>
        <w:t>address</w:t>
      </w:r>
      <w:r w:rsidRPr="7C837F08">
        <w:rPr>
          <w:rFonts w:eastAsia="Palatino Linotype" w:cs="Palatino Linotype"/>
          <w:color w:val="000000" w:themeColor="text1"/>
        </w:rPr>
        <w:t xml:space="preserve"> </w:t>
      </w:r>
      <w:r w:rsidRPr="7C837F08" w:rsidR="00275323">
        <w:rPr>
          <w:rFonts w:eastAsia="Palatino Linotype" w:cs="Palatino Linotype"/>
          <w:color w:val="000000" w:themeColor="text1"/>
        </w:rPr>
        <w:t>several</w:t>
      </w:r>
      <w:r w:rsidRPr="7C837F08">
        <w:rPr>
          <w:rFonts w:eastAsia="Palatino Linotype" w:cs="Palatino Linotype"/>
          <w:color w:val="000000" w:themeColor="text1"/>
        </w:rPr>
        <w:t xml:space="preserve"> issues. Firstly, </w:t>
      </w:r>
      <w:r w:rsidR="000E5DC2">
        <w:rPr>
          <w:rFonts w:eastAsia="Palatino Linotype" w:cs="Palatino Linotype"/>
          <w:color w:val="000000" w:themeColor="text1"/>
        </w:rPr>
        <w:t xml:space="preserve">SEIA </w:t>
      </w:r>
      <w:r w:rsidR="00D07B9D">
        <w:rPr>
          <w:rFonts w:eastAsia="Palatino Linotype" w:cs="Palatino Linotype"/>
          <w:color w:val="000000" w:themeColor="text1"/>
        </w:rPr>
        <w:t xml:space="preserve">asserts that </w:t>
      </w:r>
      <w:r w:rsidRPr="7C837F08">
        <w:rPr>
          <w:rFonts w:eastAsia="Palatino Linotype" w:cs="Palatino Linotype"/>
          <w:color w:val="000000" w:themeColor="text1"/>
        </w:rPr>
        <w:t xml:space="preserve">the supplemental should show the volumetric rate reduction in </w:t>
      </w:r>
      <w:r w:rsidR="005F2814">
        <w:rPr>
          <w:rFonts w:eastAsia="Palatino Linotype" w:cs="Palatino Linotype"/>
          <w:color w:val="000000" w:themeColor="text1"/>
        </w:rPr>
        <w:t xml:space="preserve">dollars per </w:t>
      </w:r>
      <w:r w:rsidRPr="7C837F08">
        <w:rPr>
          <w:rFonts w:eastAsia="Palatino Linotype" w:cs="Palatino Linotype"/>
          <w:color w:val="000000" w:themeColor="text1"/>
        </w:rPr>
        <w:t xml:space="preserve">kWh and </w:t>
      </w:r>
      <w:r w:rsidR="003246BF">
        <w:rPr>
          <w:rFonts w:eastAsia="Palatino Linotype" w:cs="Palatino Linotype"/>
          <w:color w:val="000000" w:themeColor="text1"/>
        </w:rPr>
        <w:t>percentage</w:t>
      </w:r>
      <w:r w:rsidRPr="7C837F08">
        <w:rPr>
          <w:rFonts w:eastAsia="Palatino Linotype" w:cs="Palatino Linotype"/>
          <w:color w:val="000000" w:themeColor="text1"/>
        </w:rPr>
        <w:t xml:space="preserve"> for each TOU period for each residential rate schedule that the IGFC is applicable to</w:t>
      </w:r>
      <w:r w:rsidR="003246BF">
        <w:rPr>
          <w:rFonts w:eastAsia="Palatino Linotype" w:cs="Palatino Linotype"/>
          <w:color w:val="000000" w:themeColor="text1"/>
        </w:rPr>
        <w:t>.</w:t>
      </w:r>
      <w:r w:rsidR="00275323">
        <w:rPr>
          <w:rStyle w:val="FootnoteReference"/>
          <w:rFonts w:eastAsia="Palatino Linotype" w:cs="Palatino Linotype"/>
          <w:color w:val="000000" w:themeColor="text1"/>
        </w:rPr>
        <w:footnoteReference w:id="16"/>
      </w:r>
      <w:r w:rsidRPr="7C837F08">
        <w:rPr>
          <w:rFonts w:eastAsia="Palatino Linotype" w:cs="Palatino Linotype"/>
          <w:color w:val="000000" w:themeColor="text1"/>
        </w:rPr>
        <w:t xml:space="preserve"> </w:t>
      </w:r>
      <w:r w:rsidR="00D07B9D">
        <w:rPr>
          <w:rFonts w:eastAsia="Palatino Linotype" w:cs="Palatino Linotype"/>
          <w:color w:val="000000" w:themeColor="text1"/>
        </w:rPr>
        <w:t>In addition, SEIA notes that t</w:t>
      </w:r>
      <w:r w:rsidRPr="7C837F08">
        <w:rPr>
          <w:rFonts w:eastAsia="Palatino Linotype" w:cs="Palatino Linotype"/>
          <w:color w:val="000000" w:themeColor="text1"/>
        </w:rPr>
        <w:t>his supplemental should include the associated workpapers</w:t>
      </w:r>
      <w:r w:rsidRPr="7C837F08" w:rsidR="3E427F95">
        <w:rPr>
          <w:rFonts w:eastAsia="Palatino Linotype" w:cs="Palatino Linotype"/>
          <w:color w:val="000000" w:themeColor="text1"/>
        </w:rPr>
        <w:t>,</w:t>
      </w:r>
      <w:r w:rsidRPr="7C837F08">
        <w:rPr>
          <w:rFonts w:eastAsia="Palatino Linotype" w:cs="Palatino Linotype"/>
          <w:color w:val="000000" w:themeColor="text1"/>
        </w:rPr>
        <w:t xml:space="preserve"> and volumetric reductions should be based on today's rates even if they are illustrative. Secondly, </w:t>
      </w:r>
      <w:r w:rsidR="000E5DC2">
        <w:rPr>
          <w:rFonts w:eastAsia="Palatino Linotype" w:cs="Palatino Linotype"/>
          <w:color w:val="000000" w:themeColor="text1"/>
        </w:rPr>
        <w:t xml:space="preserve">SEIA argues that </w:t>
      </w:r>
      <w:r w:rsidR="008D6C20">
        <w:rPr>
          <w:rFonts w:eastAsia="Palatino Linotype" w:cs="Palatino Linotype"/>
          <w:color w:val="000000" w:themeColor="text1"/>
        </w:rPr>
        <w:t>SDG&amp;E</w:t>
      </w:r>
      <w:r w:rsidRPr="7C837F08">
        <w:rPr>
          <w:rFonts w:eastAsia="Palatino Linotype" w:cs="Palatino Linotype"/>
          <w:color w:val="000000" w:themeColor="text1"/>
        </w:rPr>
        <w:t xml:space="preserve"> should provide exemplary rates for any rate schedule where the impact on volumetric rates is not an equal cents per kWh rate reduction</w:t>
      </w:r>
      <w:r w:rsidRPr="7C837F08" w:rsidR="4AEC862E">
        <w:rPr>
          <w:rFonts w:eastAsia="Palatino Linotype" w:cs="Palatino Linotype"/>
          <w:color w:val="000000" w:themeColor="text1"/>
        </w:rPr>
        <w:t>.</w:t>
      </w:r>
      <w:r w:rsidR="00275323">
        <w:rPr>
          <w:rStyle w:val="FootnoteReference"/>
          <w:rFonts w:eastAsia="Palatino Linotype" w:cs="Palatino Linotype"/>
          <w:color w:val="000000" w:themeColor="text1"/>
        </w:rPr>
        <w:footnoteReference w:id="17"/>
      </w:r>
      <w:r w:rsidR="009C5CD4">
        <w:rPr>
          <w:rFonts w:eastAsia="Palatino Linotype" w:cs="Palatino Linotype"/>
          <w:color w:val="000000" w:themeColor="text1"/>
        </w:rPr>
        <w:t xml:space="preserve"> </w:t>
      </w:r>
    </w:p>
    <w:p w:rsidR="006C6A38" w:rsidP="339B2D72" w:rsidRDefault="009C5CD4" w14:paraId="049228FF" w14:textId="698F423C">
      <w:pPr>
        <w:rPr>
          <w:rFonts w:eastAsia="Palatino Linotype" w:cs="Palatino Linotype"/>
          <w:color w:val="000000" w:themeColor="text1"/>
        </w:rPr>
      </w:pPr>
      <w:r>
        <w:rPr>
          <w:rFonts w:eastAsia="Palatino Linotype" w:cs="Palatino Linotype"/>
          <w:color w:val="000000" w:themeColor="text1"/>
        </w:rPr>
        <w:lastRenderedPageBreak/>
        <w:t xml:space="preserve">Thirdly, </w:t>
      </w:r>
      <w:r w:rsidR="003C575D">
        <w:rPr>
          <w:rFonts w:eastAsia="Palatino Linotype" w:cs="Palatino Linotype"/>
          <w:color w:val="000000" w:themeColor="text1"/>
        </w:rPr>
        <w:t>SEIA requested further information of SDG&amp;E’s proposal for “a one-time change to the volumetric distribution rate</w:t>
      </w:r>
      <w:r w:rsidR="003B09CA">
        <w:rPr>
          <w:rFonts w:eastAsia="Palatino Linotype" w:cs="Palatino Linotype"/>
          <w:color w:val="000000" w:themeColor="text1"/>
        </w:rPr>
        <w:t xml:space="preserve"> design methodology</w:t>
      </w:r>
      <w:r w:rsidR="00151BD8">
        <w:rPr>
          <w:rFonts w:eastAsia="Palatino Linotype" w:cs="Palatino Linotype"/>
          <w:color w:val="000000" w:themeColor="text1"/>
        </w:rPr>
        <w:t>.</w:t>
      </w:r>
      <w:r w:rsidR="003B09CA">
        <w:rPr>
          <w:rFonts w:eastAsia="Palatino Linotype" w:cs="Palatino Linotype"/>
          <w:color w:val="000000" w:themeColor="text1"/>
        </w:rPr>
        <w:t xml:space="preserve">” Specifically, SEIA </w:t>
      </w:r>
      <w:r w:rsidR="00A833CA">
        <w:rPr>
          <w:rFonts w:eastAsia="Palatino Linotype" w:cs="Palatino Linotype"/>
          <w:color w:val="000000" w:themeColor="text1"/>
        </w:rPr>
        <w:t>requested SDG&amp;E explain the differen</w:t>
      </w:r>
      <w:r w:rsidR="0068311F">
        <w:rPr>
          <w:rFonts w:eastAsia="Palatino Linotype" w:cs="Palatino Linotype"/>
          <w:color w:val="000000" w:themeColor="text1"/>
        </w:rPr>
        <w:t>ce</w:t>
      </w:r>
      <w:r w:rsidR="00A833CA">
        <w:rPr>
          <w:rFonts w:eastAsia="Palatino Linotype" w:cs="Palatino Linotype"/>
          <w:color w:val="000000" w:themeColor="text1"/>
        </w:rPr>
        <w:t xml:space="preserve"> in volumetric rate reduction for default residential rates that do or do not presently have a fixed charge</w:t>
      </w:r>
      <w:r w:rsidR="00CE2CFC">
        <w:rPr>
          <w:rFonts w:eastAsia="Palatino Linotype" w:cs="Palatino Linotype"/>
          <w:color w:val="000000" w:themeColor="text1"/>
        </w:rPr>
        <w:t xml:space="preserve"> such as the TOU-ELEC and EV-TOU-5 rates</w:t>
      </w:r>
      <w:r w:rsidR="00151BD8">
        <w:rPr>
          <w:rFonts w:eastAsia="Palatino Linotype" w:cs="Palatino Linotype"/>
          <w:color w:val="000000" w:themeColor="text1"/>
        </w:rPr>
        <w:t>.</w:t>
      </w:r>
      <w:r w:rsidR="0007764F">
        <w:rPr>
          <w:rStyle w:val="FootnoteReference"/>
          <w:rFonts w:eastAsia="Palatino Linotype" w:cs="Palatino Linotype"/>
          <w:color w:val="000000" w:themeColor="text1"/>
        </w:rPr>
        <w:footnoteReference w:id="18"/>
      </w:r>
      <w:r w:rsidR="00A561E5">
        <w:rPr>
          <w:rFonts w:eastAsia="Palatino Linotype" w:cs="Palatino Linotype"/>
          <w:color w:val="000000" w:themeColor="text1"/>
        </w:rPr>
        <w:t xml:space="preserve"> SEIA </w:t>
      </w:r>
      <w:r w:rsidR="33B3CD06">
        <w:rPr>
          <w:rFonts w:eastAsia="Palatino Linotype" w:cs="Palatino Linotype"/>
          <w:color w:val="000000" w:themeColor="text1"/>
        </w:rPr>
        <w:t>expressed</w:t>
      </w:r>
      <w:r w:rsidR="00A561E5">
        <w:rPr>
          <w:rFonts w:eastAsia="Palatino Linotype" w:cs="Palatino Linotype"/>
          <w:color w:val="000000" w:themeColor="text1"/>
        </w:rPr>
        <w:t xml:space="preserve"> concern that a smaller increase in fixed charges for </w:t>
      </w:r>
      <w:r w:rsidR="00C94BE5">
        <w:rPr>
          <w:rFonts w:eastAsia="Palatino Linotype" w:cs="Palatino Linotype"/>
          <w:color w:val="000000" w:themeColor="text1"/>
        </w:rPr>
        <w:t xml:space="preserve">electrification rates with existing fixed charges </w:t>
      </w:r>
      <w:r w:rsidR="004F2014">
        <w:rPr>
          <w:rFonts w:eastAsia="Palatino Linotype" w:cs="Palatino Linotype"/>
          <w:color w:val="000000" w:themeColor="text1"/>
        </w:rPr>
        <w:t>may</w:t>
      </w:r>
      <w:r w:rsidR="00C94BE5">
        <w:rPr>
          <w:rFonts w:eastAsia="Palatino Linotype" w:cs="Palatino Linotype"/>
          <w:color w:val="000000" w:themeColor="text1"/>
        </w:rPr>
        <w:t xml:space="preserve"> lead to </w:t>
      </w:r>
      <w:r w:rsidR="008A18B1">
        <w:rPr>
          <w:rFonts w:eastAsia="Palatino Linotype" w:cs="Palatino Linotype"/>
          <w:color w:val="000000" w:themeColor="text1"/>
        </w:rPr>
        <w:t>higher</w:t>
      </w:r>
      <w:r w:rsidR="00C94BE5">
        <w:rPr>
          <w:rFonts w:eastAsia="Palatino Linotype" w:cs="Palatino Linotype"/>
          <w:color w:val="000000" w:themeColor="text1"/>
        </w:rPr>
        <w:t xml:space="preserve"> volumetric rate </w:t>
      </w:r>
      <w:r w:rsidR="008A18B1">
        <w:rPr>
          <w:rFonts w:eastAsia="Palatino Linotype" w:cs="Palatino Linotype"/>
          <w:color w:val="000000" w:themeColor="text1"/>
        </w:rPr>
        <w:t xml:space="preserve">reductions if not scaled properly </w:t>
      </w:r>
      <w:r w:rsidR="00C94BE5">
        <w:rPr>
          <w:rFonts w:eastAsia="Palatino Linotype" w:cs="Palatino Linotype"/>
          <w:color w:val="000000" w:themeColor="text1"/>
        </w:rPr>
        <w:t>and may lead to a cost shift from default to electrification customers who may need to foot the bill</w:t>
      </w:r>
      <w:r w:rsidR="00151BD8">
        <w:rPr>
          <w:rFonts w:eastAsia="Palatino Linotype" w:cs="Palatino Linotype"/>
          <w:color w:val="000000" w:themeColor="text1"/>
        </w:rPr>
        <w:t>.</w:t>
      </w:r>
      <w:r w:rsidR="0068311F">
        <w:rPr>
          <w:rStyle w:val="FootnoteReference"/>
          <w:rFonts w:eastAsia="Palatino Linotype" w:cs="Palatino Linotype"/>
          <w:color w:val="000000" w:themeColor="text1"/>
        </w:rPr>
        <w:footnoteReference w:id="19"/>
      </w:r>
      <w:r w:rsidR="00A833CA">
        <w:rPr>
          <w:rFonts w:eastAsia="Palatino Linotype" w:cs="Palatino Linotype"/>
          <w:color w:val="000000" w:themeColor="text1"/>
        </w:rPr>
        <w:t xml:space="preserve"> </w:t>
      </w:r>
    </w:p>
    <w:p w:rsidR="006C6A38" w:rsidP="339B2D72" w:rsidRDefault="006C6A38" w14:paraId="396AF3D3" w14:textId="77777777">
      <w:pPr>
        <w:rPr>
          <w:rFonts w:eastAsia="Palatino Linotype" w:cs="Palatino Linotype"/>
          <w:color w:val="000000" w:themeColor="text1"/>
        </w:rPr>
      </w:pPr>
    </w:p>
    <w:p w:rsidR="18053BBC" w:rsidP="339B2D72" w:rsidRDefault="00B92497" w14:paraId="49219F3A" w14:textId="1D35F0FE">
      <w:pPr>
        <w:rPr>
          <w:rFonts w:eastAsia="Palatino Linotype" w:cs="Palatino Linotype"/>
          <w:color w:val="000000" w:themeColor="text1"/>
        </w:rPr>
      </w:pPr>
      <w:r>
        <w:rPr>
          <w:rFonts w:eastAsia="Palatino Linotype" w:cs="Palatino Linotype"/>
          <w:color w:val="000000" w:themeColor="text1"/>
        </w:rPr>
        <w:t xml:space="preserve">Fourthly, SEIA requests an explanation of whether SDG&amp;E’s proposal to not adjust the super off-peak rate in Schedule EV-TOU-5 is consistent with D. 24-05-028. </w:t>
      </w:r>
      <w:r w:rsidR="004214A1">
        <w:rPr>
          <w:rFonts w:eastAsia="Palatino Linotype" w:cs="Palatino Linotype"/>
          <w:color w:val="000000" w:themeColor="text1"/>
        </w:rPr>
        <w:t>It also requests clarity on whether other TOU periods for EV-TOU-5 will change even if the super-off-peak rates change</w:t>
      </w:r>
      <w:r w:rsidR="00334DA0">
        <w:rPr>
          <w:rFonts w:eastAsia="Palatino Linotype" w:cs="Palatino Linotype"/>
          <w:color w:val="000000" w:themeColor="text1"/>
        </w:rPr>
        <w:t>.</w:t>
      </w:r>
      <w:r w:rsidR="00BF3D3F">
        <w:rPr>
          <w:rStyle w:val="FootnoteReference"/>
          <w:rFonts w:eastAsia="Palatino Linotype" w:cs="Palatino Linotype"/>
          <w:color w:val="000000" w:themeColor="text1"/>
        </w:rPr>
        <w:footnoteReference w:id="20"/>
      </w:r>
      <w:r w:rsidR="004214A1">
        <w:rPr>
          <w:rFonts w:eastAsia="Palatino Linotype" w:cs="Palatino Linotype"/>
          <w:color w:val="000000" w:themeColor="text1"/>
        </w:rPr>
        <w:t xml:space="preserve"> </w:t>
      </w:r>
      <w:r w:rsidR="002C22B8">
        <w:rPr>
          <w:rFonts w:eastAsia="Palatino Linotype" w:cs="Palatino Linotype"/>
          <w:color w:val="000000" w:themeColor="text1"/>
        </w:rPr>
        <w:t xml:space="preserve">Finally, SEIA also requested redline changes to each of the residential tariffs </w:t>
      </w:r>
      <w:r w:rsidR="00911A29">
        <w:rPr>
          <w:rFonts w:eastAsia="Palatino Linotype" w:cs="Palatino Linotype"/>
          <w:color w:val="000000" w:themeColor="text1"/>
        </w:rPr>
        <w:t xml:space="preserve">impacted </w:t>
      </w:r>
      <w:r w:rsidR="002C22B8">
        <w:rPr>
          <w:rFonts w:eastAsia="Palatino Linotype" w:cs="Palatino Linotype"/>
          <w:color w:val="000000" w:themeColor="text1"/>
        </w:rPr>
        <w:t>by the IGFC be included in supplementals</w:t>
      </w:r>
      <w:r w:rsidR="00334DA0">
        <w:rPr>
          <w:rFonts w:eastAsia="Palatino Linotype" w:cs="Palatino Linotype"/>
          <w:color w:val="000000" w:themeColor="text1"/>
        </w:rPr>
        <w:t>.</w:t>
      </w:r>
      <w:r w:rsidR="00BF3D3F">
        <w:rPr>
          <w:rStyle w:val="FootnoteReference"/>
          <w:rFonts w:eastAsia="Palatino Linotype" w:cs="Palatino Linotype"/>
          <w:color w:val="000000" w:themeColor="text1"/>
        </w:rPr>
        <w:footnoteReference w:id="21"/>
      </w:r>
      <w:r w:rsidR="008F5362">
        <w:rPr>
          <w:rFonts w:eastAsia="Palatino Linotype" w:cs="Palatino Linotype"/>
          <w:color w:val="000000" w:themeColor="text1"/>
        </w:rPr>
        <w:t xml:space="preserve"> S</w:t>
      </w:r>
      <w:r w:rsidR="00FD517D">
        <w:rPr>
          <w:rFonts w:eastAsia="Palatino Linotype" w:cs="Palatino Linotype"/>
          <w:color w:val="000000" w:themeColor="text1"/>
        </w:rPr>
        <w:t>E</w:t>
      </w:r>
      <w:r w:rsidR="008F5362">
        <w:rPr>
          <w:rFonts w:eastAsia="Palatino Linotype" w:cs="Palatino Linotype"/>
          <w:color w:val="000000" w:themeColor="text1"/>
        </w:rPr>
        <w:t xml:space="preserve">IA suggested that </w:t>
      </w:r>
      <w:r w:rsidR="00FD517D">
        <w:rPr>
          <w:rFonts w:eastAsia="Palatino Linotype" w:cs="Palatino Linotype"/>
          <w:color w:val="000000" w:themeColor="text1"/>
        </w:rPr>
        <w:t>the issues above should be addressed throug</w:t>
      </w:r>
      <w:r w:rsidR="00F825A1">
        <w:rPr>
          <w:rFonts w:eastAsia="Palatino Linotype" w:cs="Palatino Linotype"/>
          <w:color w:val="000000" w:themeColor="text1"/>
        </w:rPr>
        <w:t xml:space="preserve">h a Commission resolution after which SDG&amp;E can finalize rates through a Tier 1 </w:t>
      </w:r>
      <w:r w:rsidR="00145914">
        <w:rPr>
          <w:rFonts w:eastAsia="Palatino Linotype" w:cs="Palatino Linotype"/>
          <w:color w:val="000000" w:themeColor="text1"/>
        </w:rPr>
        <w:t>AL</w:t>
      </w:r>
      <w:r w:rsidR="00F825A1">
        <w:rPr>
          <w:rFonts w:eastAsia="Palatino Linotype" w:cs="Palatino Linotype"/>
          <w:color w:val="000000" w:themeColor="text1"/>
        </w:rPr>
        <w:t xml:space="preserve"> prior to implementation.</w:t>
      </w:r>
    </w:p>
    <w:p w:rsidR="12B71603" w:rsidP="12B71603" w:rsidRDefault="12B71603" w14:paraId="31B9CD7D" w14:textId="78D1DCDD">
      <w:pPr>
        <w:rPr>
          <w:rFonts w:eastAsia="Palatino Linotype" w:cs="Palatino Linotype"/>
          <w:color w:val="000000" w:themeColor="text1"/>
        </w:rPr>
      </w:pPr>
    </w:p>
    <w:p w:rsidR="00E75387" w:rsidP="00213348" w:rsidRDefault="00C01E77" w14:paraId="4DFC99D5" w14:textId="7E4CDB5D">
      <w:pPr>
        <w:pStyle w:val="Heading3"/>
        <w:keepNext/>
      </w:pPr>
      <w:r>
        <w:t>1.4.</w:t>
      </w:r>
      <w:r>
        <w:tab/>
        <w:t xml:space="preserve">SDG&amp;E’s </w:t>
      </w:r>
      <w:r w:rsidR="007862CB">
        <w:t>Reply to Protests</w:t>
      </w:r>
    </w:p>
    <w:p w:rsidR="38E0D822" w:rsidP="00213348" w:rsidRDefault="006C15B3" w14:paraId="123BC8F8" w14:textId="574BC0A3">
      <w:pPr>
        <w:keepNext/>
        <w:rPr>
          <w:rStyle w:val="FootnoteReference"/>
          <w:rFonts w:eastAsia="Palatino Linotype" w:cs="Palatino Linotype"/>
          <w:color w:val="000000" w:themeColor="text1"/>
        </w:rPr>
      </w:pPr>
      <w:r>
        <w:rPr>
          <w:rFonts w:eastAsia="Palatino Linotype" w:cs="Palatino Linotype"/>
          <w:color w:val="000000" w:themeColor="text1"/>
        </w:rPr>
        <w:t>SDG&amp;E</w:t>
      </w:r>
      <w:r w:rsidRPr="12B71603" w:rsidR="38E0D822">
        <w:rPr>
          <w:rFonts w:eastAsia="Palatino Linotype" w:cs="Palatino Linotype"/>
          <w:color w:val="000000" w:themeColor="text1"/>
        </w:rPr>
        <w:t xml:space="preserve"> explained that it would submit revisions to all eligible tariffs in a Tier 1 implementation </w:t>
      </w:r>
      <w:r w:rsidR="00145914">
        <w:rPr>
          <w:rFonts w:eastAsia="Palatino Linotype" w:cs="Palatino Linotype"/>
          <w:color w:val="000000" w:themeColor="text1"/>
        </w:rPr>
        <w:t>AL</w:t>
      </w:r>
      <w:r w:rsidRPr="12B71603" w:rsidR="38E0D822">
        <w:rPr>
          <w:rFonts w:eastAsia="Palatino Linotype" w:cs="Palatino Linotype"/>
          <w:color w:val="000000" w:themeColor="text1"/>
        </w:rPr>
        <w:t xml:space="preserve"> just before the fixed charge is implemented in</w:t>
      </w:r>
      <w:r w:rsidR="00334DA0">
        <w:rPr>
          <w:rFonts w:eastAsia="Palatino Linotype" w:cs="Palatino Linotype"/>
          <w:color w:val="000000" w:themeColor="text1"/>
        </w:rPr>
        <w:t xml:space="preserve"> the fourth quarter of </w:t>
      </w:r>
      <w:r w:rsidRPr="12B71603" w:rsidR="38E0D822">
        <w:rPr>
          <w:rFonts w:eastAsia="Palatino Linotype" w:cs="Palatino Linotype"/>
          <w:color w:val="000000" w:themeColor="text1"/>
        </w:rPr>
        <w:t>2025</w:t>
      </w:r>
      <w:r w:rsidRPr="12B71603" w:rsidR="223EC2EE">
        <w:rPr>
          <w:rFonts w:eastAsia="Palatino Linotype" w:cs="Palatino Linotype"/>
          <w:color w:val="000000" w:themeColor="text1"/>
        </w:rPr>
        <w:t>.</w:t>
      </w:r>
      <w:r w:rsidRPr="54B0A1A7">
        <w:rPr>
          <w:rStyle w:val="FootnoteReference"/>
          <w:rFonts w:eastAsia="Palatino Linotype" w:cs="Palatino Linotype"/>
          <w:color w:val="000000" w:themeColor="text1"/>
        </w:rPr>
        <w:footnoteReference w:id="22"/>
      </w:r>
      <w:r w:rsidRPr="12B71603" w:rsidR="38E0D822">
        <w:rPr>
          <w:rFonts w:eastAsia="Palatino Linotype" w:cs="Palatino Linotype"/>
          <w:color w:val="000000" w:themeColor="text1"/>
        </w:rPr>
        <w:t xml:space="preserve"> This </w:t>
      </w:r>
      <w:r w:rsidR="00334DA0">
        <w:rPr>
          <w:rFonts w:eastAsia="Palatino Linotype" w:cs="Palatino Linotype"/>
          <w:color w:val="000000" w:themeColor="text1"/>
        </w:rPr>
        <w:t>supplemental AL</w:t>
      </w:r>
      <w:r w:rsidRPr="12B71603" w:rsidR="1D8A9771">
        <w:rPr>
          <w:rFonts w:eastAsia="Palatino Linotype" w:cs="Palatino Linotype"/>
          <w:color w:val="000000" w:themeColor="text1"/>
        </w:rPr>
        <w:t xml:space="preserve"> </w:t>
      </w:r>
      <w:r w:rsidRPr="12B71603" w:rsidR="38E0D822">
        <w:rPr>
          <w:rFonts w:eastAsia="Palatino Linotype" w:cs="Palatino Linotype"/>
          <w:color w:val="000000" w:themeColor="text1"/>
        </w:rPr>
        <w:t xml:space="preserve">would include necessary tariff and rate updates based on </w:t>
      </w:r>
      <w:r w:rsidRPr="12B71603" w:rsidR="00925776">
        <w:rPr>
          <w:rFonts w:eastAsia="Palatino Linotype" w:cs="Palatino Linotype"/>
          <w:color w:val="000000" w:themeColor="text1"/>
        </w:rPr>
        <w:t>the</w:t>
      </w:r>
      <w:r w:rsidRPr="12B71603" w:rsidR="27BBE052">
        <w:rPr>
          <w:rFonts w:eastAsia="Palatino Linotype" w:cs="Palatino Linotype"/>
          <w:color w:val="000000" w:themeColor="text1"/>
        </w:rPr>
        <w:t xml:space="preserve"> latest</w:t>
      </w:r>
      <w:r w:rsidRPr="12B71603" w:rsidR="00925776">
        <w:rPr>
          <w:rFonts w:eastAsia="Palatino Linotype" w:cs="Palatino Linotype"/>
          <w:color w:val="000000" w:themeColor="text1"/>
        </w:rPr>
        <w:t xml:space="preserve"> </w:t>
      </w:r>
      <w:r w:rsidRPr="12B71603" w:rsidR="38E0D822">
        <w:rPr>
          <w:rFonts w:eastAsia="Palatino Linotype" w:cs="Palatino Linotype"/>
          <w:color w:val="000000" w:themeColor="text1"/>
        </w:rPr>
        <w:t xml:space="preserve">authorized revenues. SDG&amp;E noted that using a Tier 1 </w:t>
      </w:r>
      <w:r w:rsidR="00145914">
        <w:rPr>
          <w:rFonts w:eastAsia="Palatino Linotype" w:cs="Palatino Linotype"/>
          <w:color w:val="000000" w:themeColor="text1"/>
        </w:rPr>
        <w:t>AL</w:t>
      </w:r>
      <w:r w:rsidRPr="12B71603" w:rsidR="38E0D822">
        <w:rPr>
          <w:rFonts w:eastAsia="Palatino Linotype" w:cs="Palatino Linotype"/>
          <w:color w:val="000000" w:themeColor="text1"/>
        </w:rPr>
        <w:t xml:space="preserve"> immediately prior to implementation is standard practice, ensuring the rate impacts accurately reflect the conditions at the time</w:t>
      </w:r>
      <w:r w:rsidRPr="12B71603" w:rsidR="252498C8">
        <w:rPr>
          <w:rFonts w:eastAsia="Palatino Linotype" w:cs="Palatino Linotype"/>
          <w:color w:val="000000" w:themeColor="text1"/>
        </w:rPr>
        <w:t>.</w:t>
      </w:r>
      <w:r w:rsidRPr="101FE2B7">
        <w:rPr>
          <w:rStyle w:val="FootnoteReference"/>
          <w:rFonts w:eastAsia="Palatino Linotype" w:cs="Palatino Linotype"/>
          <w:color w:val="000000" w:themeColor="text1"/>
        </w:rPr>
        <w:footnoteReference w:id="23"/>
      </w:r>
      <w:r w:rsidRPr="12B71603" w:rsidR="56C69389">
        <w:rPr>
          <w:rFonts w:eastAsia="Palatino Linotype" w:cs="Palatino Linotype"/>
          <w:color w:val="000000" w:themeColor="text1"/>
        </w:rPr>
        <w:t xml:space="preserve"> SDG&amp;E also noted that the Decision does not mandate revised tariff sheets for each residential rate schedule in the Tier 3 </w:t>
      </w:r>
      <w:r w:rsidR="0072731F">
        <w:rPr>
          <w:rFonts w:eastAsia="Palatino Linotype" w:cs="Palatino Linotype"/>
          <w:color w:val="000000" w:themeColor="text1"/>
        </w:rPr>
        <w:t>A</w:t>
      </w:r>
      <w:r w:rsidR="009E01EA">
        <w:rPr>
          <w:rFonts w:eastAsia="Palatino Linotype" w:cs="Palatino Linotype"/>
          <w:color w:val="000000" w:themeColor="text1"/>
        </w:rPr>
        <w:t>L</w:t>
      </w:r>
      <w:r w:rsidRPr="12B71603" w:rsidR="56C69389">
        <w:rPr>
          <w:rFonts w:eastAsia="Palatino Linotype" w:cs="Palatino Linotype"/>
          <w:color w:val="000000" w:themeColor="text1"/>
        </w:rPr>
        <w:t>. The illustrative revisions were provided voluntarily for transparency, and it believed developing exact tariff revisions at present is premature</w:t>
      </w:r>
      <w:r w:rsidR="00901FE1">
        <w:rPr>
          <w:rFonts w:eastAsia="Palatino Linotype" w:cs="Palatino Linotype"/>
          <w:color w:val="000000" w:themeColor="text1"/>
        </w:rPr>
        <w:t>.</w:t>
      </w:r>
      <w:r w:rsidR="00901FE1">
        <w:rPr>
          <w:rStyle w:val="FootnoteReference"/>
          <w:rFonts w:eastAsia="Palatino Linotype" w:cs="Palatino Linotype"/>
          <w:color w:val="000000" w:themeColor="text1"/>
        </w:rPr>
        <w:footnoteReference w:id="24"/>
      </w:r>
      <w:r w:rsidRPr="12B71603" w:rsidR="52EDF303">
        <w:rPr>
          <w:rFonts w:eastAsia="Palatino Linotype" w:cs="Palatino Linotype"/>
          <w:color w:val="000000" w:themeColor="text1"/>
        </w:rPr>
        <w:t xml:space="preserve"> </w:t>
      </w:r>
    </w:p>
    <w:p w:rsidR="006707D7" w:rsidP="339B2D72" w:rsidRDefault="006707D7" w14:paraId="175D7982" w14:textId="77777777">
      <w:pPr>
        <w:rPr>
          <w:rFonts w:eastAsia="Palatino Linotype" w:cs="Palatino Linotype"/>
          <w:color w:val="000000" w:themeColor="text1"/>
        </w:rPr>
      </w:pPr>
    </w:p>
    <w:p w:rsidR="00CB0783" w:rsidP="00DA215C" w:rsidRDefault="00052DE9" w14:paraId="0BE32C49" w14:textId="1275739E">
      <w:pPr>
        <w:pStyle w:val="Heading2"/>
        <w:ind w:left="360"/>
      </w:pPr>
      <w:r>
        <w:lastRenderedPageBreak/>
        <w:t>Tier Assignments</w:t>
      </w:r>
    </w:p>
    <w:p w:rsidRPr="008564A5" w:rsidR="00052DE9" w:rsidP="008564A5" w:rsidRDefault="75D62853" w14:paraId="0CE929D6" w14:textId="0617F75E">
      <w:pPr>
        <w:pStyle w:val="Heading3"/>
      </w:pPr>
      <w:r w:rsidRPr="008564A5">
        <w:t>2.1</w:t>
      </w:r>
      <w:r w:rsidR="00352567">
        <w:t>.</w:t>
      </w:r>
      <w:r w:rsidRPr="008564A5" w:rsidR="00310401">
        <w:tab/>
        <w:t xml:space="preserve">Cal </w:t>
      </w:r>
      <w:r w:rsidRPr="008564A5" w:rsidR="00E336C1">
        <w:t>Advocates’ Protest</w:t>
      </w:r>
    </w:p>
    <w:p w:rsidR="00A71447" w:rsidP="00751D58" w:rsidRDefault="000D008A" w14:paraId="04EA37C3" w14:textId="0686C090">
      <w:r>
        <w:t xml:space="preserve">In its protest, Cal Advocates </w:t>
      </w:r>
      <w:r w:rsidR="003E68A7">
        <w:t>pointed</w:t>
      </w:r>
      <w:r w:rsidR="00F52D76">
        <w:t xml:space="preserve"> to several items in SDG&amp;</w:t>
      </w:r>
      <w:proofErr w:type="gramStart"/>
      <w:r w:rsidR="00F52D76">
        <w:t>E’s</w:t>
      </w:r>
      <w:proofErr w:type="gramEnd"/>
      <w:r w:rsidR="00F52D76">
        <w:t xml:space="preserve"> </w:t>
      </w:r>
      <w:r w:rsidR="00751D58">
        <w:t xml:space="preserve">proposed DRAH budget </w:t>
      </w:r>
      <w:r w:rsidR="001E1C32">
        <w:t xml:space="preserve">which </w:t>
      </w:r>
      <w:r w:rsidR="00751D58">
        <w:t>require additional scrutiny. First,</w:t>
      </w:r>
      <w:r w:rsidR="00A36AD3">
        <w:t xml:space="preserve"> </w:t>
      </w:r>
      <w:r w:rsidR="00751D58">
        <w:t>SDG&amp;E’s estimate of $384,000 for customer care center costs far exceeds SCE’s estimate of</w:t>
      </w:r>
      <w:r w:rsidR="00A36AD3">
        <w:t xml:space="preserve"> </w:t>
      </w:r>
      <w:r w:rsidR="00751D58">
        <w:t>$121,000 and PG&amp;E’s estimate of $149,000</w:t>
      </w:r>
      <w:r w:rsidR="001338EB">
        <w:t>.</w:t>
      </w:r>
      <w:r w:rsidR="009539B0">
        <w:rPr>
          <w:rStyle w:val="FootnoteReference"/>
        </w:rPr>
        <w:footnoteReference w:id="25"/>
      </w:r>
      <w:r w:rsidR="00751D58">
        <w:t xml:space="preserve"> </w:t>
      </w:r>
      <w:r w:rsidR="006E284A">
        <w:t>Cal Advocates asserts</w:t>
      </w:r>
      <w:r w:rsidR="00751D58">
        <w:t xml:space="preserve"> SDG&amp;E’s estimate is significantly higher than</w:t>
      </w:r>
      <w:r w:rsidR="00A36AD3">
        <w:t xml:space="preserve"> </w:t>
      </w:r>
      <w:r w:rsidR="00751D58">
        <w:t>those of its peers, even though SDG&amp;E’s residential ratepayer population is much smaller, with</w:t>
      </w:r>
      <w:r w:rsidR="0009027D">
        <w:t xml:space="preserve"> </w:t>
      </w:r>
      <w:r w:rsidR="00751D58">
        <w:t>just 1.356 million residential ratepayers compared to PG&amp;E’s 4.962 million and SCE’s 4.576</w:t>
      </w:r>
      <w:r w:rsidR="00FB2413">
        <w:t xml:space="preserve"> </w:t>
      </w:r>
      <w:r w:rsidR="00751D58">
        <w:t>million</w:t>
      </w:r>
      <w:r w:rsidR="00412A2B">
        <w:t>.</w:t>
      </w:r>
      <w:r w:rsidR="0096082C">
        <w:rPr>
          <w:rStyle w:val="FootnoteReference"/>
        </w:rPr>
        <w:footnoteReference w:id="26"/>
      </w:r>
    </w:p>
    <w:p w:rsidR="00037561" w:rsidP="00751D58" w:rsidRDefault="00037561" w14:paraId="0DB6FE69" w14:textId="77777777"/>
    <w:p w:rsidR="00D90858" w:rsidP="00D90858" w:rsidRDefault="00D90858" w14:paraId="762AC277" w14:textId="711B1843">
      <w:r w:rsidRPr="00D90858">
        <w:t xml:space="preserve">Second, </w:t>
      </w:r>
      <w:r w:rsidR="00676287">
        <w:t>Cal</w:t>
      </w:r>
      <w:r w:rsidR="00037561">
        <w:t xml:space="preserve"> </w:t>
      </w:r>
      <w:r w:rsidR="00676287">
        <w:t>A</w:t>
      </w:r>
      <w:r w:rsidR="00037561">
        <w:t>dvocates</w:t>
      </w:r>
      <w:r w:rsidR="00676287">
        <w:t xml:space="preserve"> </w:t>
      </w:r>
      <w:r w:rsidR="008A64BD">
        <w:t>noted</w:t>
      </w:r>
      <w:r w:rsidR="00676287">
        <w:t xml:space="preserve"> that</w:t>
      </w:r>
      <w:r w:rsidRPr="00D90858">
        <w:t xml:space="preserve"> SDG&amp;E’s estimate of $990,000 for IT costs associated with the DRAH budget </w:t>
      </w:r>
      <w:r w:rsidR="001152FB">
        <w:t>c</w:t>
      </w:r>
      <w:r w:rsidRPr="00D90858">
        <w:t>ategory</w:t>
      </w:r>
      <w:r>
        <w:t xml:space="preserve"> </w:t>
      </w:r>
      <w:r w:rsidRPr="00D90858">
        <w:t>appears inflated.</w:t>
      </w:r>
      <w:r w:rsidRPr="00D90858">
        <w:rPr>
          <w:b/>
          <w:bCs/>
        </w:rPr>
        <w:t xml:space="preserve"> </w:t>
      </w:r>
      <w:r w:rsidRPr="00D90858">
        <w:t xml:space="preserve">SDG&amp;E </w:t>
      </w:r>
      <w:r w:rsidR="001A3D25">
        <w:t>stated</w:t>
      </w:r>
      <w:r w:rsidRPr="00D90858">
        <w:t xml:space="preserve"> that this estimate will cover the costs of tracking DRAH</w:t>
      </w:r>
      <w:r w:rsidR="008B778E">
        <w:t xml:space="preserve"> </w:t>
      </w:r>
      <w:r w:rsidRPr="00D90858">
        <w:t>properties and customers in its billing system; a process that automatically updates DRAH data;</w:t>
      </w:r>
      <w:r w:rsidR="008B778E">
        <w:t xml:space="preserve"> </w:t>
      </w:r>
      <w:r w:rsidRPr="00D90858">
        <w:t>development of electronic intake forms and the online portal for the DRAH self-attestation</w:t>
      </w:r>
      <w:r w:rsidR="008B778E">
        <w:t xml:space="preserve"> </w:t>
      </w:r>
      <w:r w:rsidRPr="00D90858">
        <w:t xml:space="preserve">process; and an automated customer communications process. </w:t>
      </w:r>
      <w:r w:rsidR="00343F26">
        <w:t>Cal Advocates also notes that “</w:t>
      </w:r>
      <w:r w:rsidRPr="00D90858">
        <w:t>SDG&amp;E’s estimate for IT costs</w:t>
      </w:r>
      <w:r w:rsidR="008B778E">
        <w:t xml:space="preserve"> </w:t>
      </w:r>
      <w:r w:rsidRPr="00D90858">
        <w:t>also far exceed PG&amp;E’s $227,000</w:t>
      </w:r>
      <w:r w:rsidRPr="00D90858">
        <w:rPr>
          <w:b/>
          <w:bCs/>
        </w:rPr>
        <w:t xml:space="preserve"> </w:t>
      </w:r>
      <w:r w:rsidRPr="00D90858">
        <w:t>and SCE’s $65,000</w:t>
      </w:r>
      <w:r w:rsidRPr="00D90858">
        <w:rPr>
          <w:b/>
          <w:bCs/>
        </w:rPr>
        <w:t xml:space="preserve"> </w:t>
      </w:r>
      <w:r w:rsidRPr="00D90858">
        <w:t>estimates for the same work</w:t>
      </w:r>
      <w:r w:rsidR="002271A4">
        <w:t>.”</w:t>
      </w:r>
      <w:r w:rsidR="00E0724C">
        <w:t xml:space="preserve"> </w:t>
      </w:r>
      <w:r w:rsidRPr="004F229E" w:rsidR="00E0724C">
        <w:t>Staff notes that Cal Advocates, in citing the $227,000</w:t>
      </w:r>
      <w:r w:rsidRPr="004F229E" w:rsidR="00E0724C">
        <w:rPr>
          <w:rStyle w:val="FootnoteReference"/>
        </w:rPr>
        <w:footnoteReference w:id="27"/>
      </w:r>
      <w:r w:rsidRPr="004F229E" w:rsidR="00E0724C">
        <w:t xml:space="preserve"> cost for PG&amp;E, is comparing SDG&amp;E’s $990,000 for IT costs to two separate categories of costs in PG&amp;E’s budget; a more apt comparison would be the $79,200 that PG&amp;E estimated would be needed for IT costs related to the DRAH self-attestation process.</w:t>
      </w:r>
    </w:p>
    <w:p w:rsidRPr="00D90858" w:rsidR="00037561" w:rsidP="00D90858" w:rsidRDefault="00037561" w14:paraId="7FB0CB02" w14:textId="77777777"/>
    <w:p w:rsidR="00904120" w:rsidP="006E0FB3" w:rsidRDefault="00D97E80" w14:paraId="6E4499CD" w14:textId="26C2C41C">
      <w:r>
        <w:t xml:space="preserve">Cal Advocates </w:t>
      </w:r>
      <w:r w:rsidR="00373FC9">
        <w:t>recommended</w:t>
      </w:r>
      <w:r>
        <w:t xml:space="preserve"> that the Commission </w:t>
      </w:r>
      <w:r w:rsidR="007B5530">
        <w:t xml:space="preserve">require </w:t>
      </w:r>
      <w:r w:rsidRPr="007B5530" w:rsidR="007B5530">
        <w:t xml:space="preserve">SDG&amp;E to submit a supplemental </w:t>
      </w:r>
      <w:r w:rsidR="00FC3AD4">
        <w:t>AL</w:t>
      </w:r>
      <w:r w:rsidRPr="007B5530" w:rsidR="007B5530">
        <w:t xml:space="preserve"> </w:t>
      </w:r>
      <w:r w:rsidR="00135158">
        <w:t xml:space="preserve">with a </w:t>
      </w:r>
      <w:r w:rsidRPr="00904120" w:rsidR="00135158">
        <w:t>detailed</w:t>
      </w:r>
      <w:r w:rsidR="00135158">
        <w:t xml:space="preserve"> </w:t>
      </w:r>
      <w:r w:rsidRPr="00904120" w:rsidR="00135158">
        <w:t>breakdown of its IT cost estimates, including detailed descriptions of each item and an</w:t>
      </w:r>
      <w:r w:rsidR="00135158">
        <w:t xml:space="preserve"> </w:t>
      </w:r>
      <w:r w:rsidRPr="00904120" w:rsidR="00135158">
        <w:t xml:space="preserve">explanation as to why each cost item is incremental to funding included in its </w:t>
      </w:r>
      <w:r w:rsidR="00AE1204">
        <w:t>General Rate Case</w:t>
      </w:r>
      <w:r w:rsidRPr="00904120" w:rsidR="00135158">
        <w:t xml:space="preserve"> </w:t>
      </w:r>
      <w:r w:rsidR="00AE1204">
        <w:t>(</w:t>
      </w:r>
      <w:r w:rsidRPr="00904120" w:rsidR="00135158">
        <w:t>GRC</w:t>
      </w:r>
      <w:r w:rsidR="00AE1204">
        <w:t>)</w:t>
      </w:r>
      <w:r w:rsidRPr="00904120" w:rsidR="00135158">
        <w:t xml:space="preserve"> authorized</w:t>
      </w:r>
      <w:r w:rsidR="00135158">
        <w:t xml:space="preserve"> </w:t>
      </w:r>
      <w:r w:rsidRPr="00904120" w:rsidR="00135158">
        <w:t>revenue requirement.</w:t>
      </w:r>
    </w:p>
    <w:p w:rsidRPr="00E336C1" w:rsidR="00375AF6" w:rsidP="006E0FB3" w:rsidRDefault="00375AF6" w14:paraId="72FBF3F0" w14:textId="77777777"/>
    <w:p w:rsidR="00E336C1" w:rsidP="00C401B7" w:rsidRDefault="00E336C1" w14:paraId="53D0F1BA" w14:textId="41348730">
      <w:pPr>
        <w:pStyle w:val="Heading3"/>
        <w:numPr>
          <w:ilvl w:val="1"/>
          <w:numId w:val="23"/>
        </w:numPr>
      </w:pPr>
      <w:r>
        <w:t>C</w:t>
      </w:r>
      <w:r w:rsidR="008E7676">
        <w:t>4</w:t>
      </w:r>
      <w:r>
        <w:t>AT’s Protest</w:t>
      </w:r>
    </w:p>
    <w:p w:rsidR="007F2473" w:rsidP="007F2473" w:rsidRDefault="007F2473" w14:paraId="1CF03870" w14:textId="2DAA4865">
      <w:r>
        <w:t>In its protest,</w:t>
      </w:r>
      <w:r w:rsidDel="00685068">
        <w:t xml:space="preserve"> </w:t>
      </w:r>
      <w:r w:rsidR="00685068">
        <w:t>C</w:t>
      </w:r>
      <w:r w:rsidR="008E7676">
        <w:t>4</w:t>
      </w:r>
      <w:r w:rsidR="00935197">
        <w:t xml:space="preserve">AT </w:t>
      </w:r>
      <w:r w:rsidR="00AD6F07">
        <w:t>highlighted</w:t>
      </w:r>
      <w:r>
        <w:t xml:space="preserve"> language in the Decision which appears to conflate CARE </w:t>
      </w:r>
      <w:r w:rsidRPr="003B6C3C">
        <w:rPr>
          <w:i/>
          <w:iCs/>
        </w:rPr>
        <w:t>eligibility</w:t>
      </w:r>
      <w:r>
        <w:t xml:space="preserve"> with CARE </w:t>
      </w:r>
      <w:r w:rsidRPr="003B6C3C">
        <w:rPr>
          <w:i/>
          <w:iCs/>
        </w:rPr>
        <w:t>enrollment</w:t>
      </w:r>
      <w:r>
        <w:t xml:space="preserve"> and argues that the Decision directed IOUs to </w:t>
      </w:r>
      <w:r>
        <w:lastRenderedPageBreak/>
        <w:t>base Tier 1 assignment on “</w:t>
      </w:r>
      <w:r w:rsidRPr="00683BBF">
        <w:t xml:space="preserve">CARE </w:t>
      </w:r>
      <w:r w:rsidRPr="00683BBF">
        <w:rPr>
          <w:i/>
          <w:iCs/>
        </w:rPr>
        <w:t xml:space="preserve">eligibility, </w:t>
      </w:r>
      <w:r w:rsidRPr="00683BBF">
        <w:t>not CARE enrollment.</w:t>
      </w:r>
      <w:r>
        <w:t>”</w:t>
      </w:r>
      <w:r w:rsidR="00C40135">
        <w:rPr>
          <w:rStyle w:val="FootnoteReference"/>
        </w:rPr>
        <w:footnoteReference w:id="28"/>
      </w:r>
      <w:r>
        <w:t xml:space="preserve"> It further argues that “w</w:t>
      </w:r>
      <w:r w:rsidRPr="007717DF">
        <w:t xml:space="preserve">hile the Decision does not provide such a process, it is still incumbent upon the IOUs to effectuate the actual language for tier assignment based on CARE eligibility rather than program enrollment. </w:t>
      </w:r>
      <w:r w:rsidR="00B23A67">
        <w:t>C4AT argues that by</w:t>
      </w:r>
      <w:r w:rsidRPr="007717DF" w:rsidR="00B23A67">
        <w:t xml:space="preserve"> failing to do so, the IOUs do not properly implement the requirements of D.24-05-028</w:t>
      </w:r>
      <w:r w:rsidR="00B23A67">
        <w:t>” by insinuating that the IOUs must effectuate a requirement that “all customers in households under the CARE cutoff should be assigned to Tier 1.”</w:t>
      </w:r>
      <w:r w:rsidR="009D21C2">
        <w:t>C4AT argues that by</w:t>
      </w:r>
      <w:r w:rsidRPr="007717DF">
        <w:t xml:space="preserve"> failing to do so, the IOUs do not properly implement the requirements of D.24-05-028</w:t>
      </w:r>
      <w:r>
        <w:t>”</w:t>
      </w:r>
      <w:r w:rsidR="00FD5748">
        <w:rPr>
          <w:rStyle w:val="FootnoteReference"/>
        </w:rPr>
        <w:footnoteReference w:id="29"/>
      </w:r>
      <w:r>
        <w:t xml:space="preserve"> by insinuating that </w:t>
      </w:r>
      <w:r w:rsidR="0086720C">
        <w:t>the IOUs</w:t>
      </w:r>
      <w:r>
        <w:t xml:space="preserve"> must effectuate a requirement that “all customers in households under the CARE cutoff should be assigned to Tier 1.”</w:t>
      </w:r>
      <w:r w:rsidR="003712D0">
        <w:rPr>
          <w:rStyle w:val="FootnoteReference"/>
        </w:rPr>
        <w:footnoteReference w:id="30"/>
      </w:r>
    </w:p>
    <w:p w:rsidRPr="00E336C1" w:rsidR="00E336C1" w:rsidP="00E336C1" w:rsidRDefault="00E336C1" w14:paraId="2073E528" w14:textId="77777777"/>
    <w:p w:rsidR="00E336C1" w:rsidP="00E336C1" w:rsidRDefault="00E336C1" w14:paraId="405BFE71" w14:textId="00A38335">
      <w:pPr>
        <w:pStyle w:val="Heading3"/>
      </w:pPr>
      <w:r>
        <w:t>2.</w:t>
      </w:r>
      <w:r w:rsidR="00F12C30">
        <w:t>3</w:t>
      </w:r>
      <w:r w:rsidR="000A0632">
        <w:t>.</w:t>
      </w:r>
      <w:r>
        <w:tab/>
        <w:t>SDG&amp;E’s Protest Reply</w:t>
      </w:r>
    </w:p>
    <w:p w:rsidR="007F6B49" w:rsidP="00E336C1" w:rsidRDefault="00C274E0" w14:paraId="44257466" w14:textId="546E4DFE">
      <w:r w:rsidRPr="00C274E0">
        <w:t xml:space="preserve">SDG&amp;E disagrees with Cal Advocates’ recommendation that the Commission require SDG&amp;E to submit a </w:t>
      </w:r>
      <w:r w:rsidR="008672D3">
        <w:t>s</w:t>
      </w:r>
      <w:r w:rsidR="00C87CA4">
        <w:t xml:space="preserve">upplemental </w:t>
      </w:r>
      <w:r w:rsidR="008672D3">
        <w:t xml:space="preserve">AL </w:t>
      </w:r>
      <w:r w:rsidRPr="00C274E0">
        <w:t>with additional details on identifying DRAH customers for assignment to Tier 2</w:t>
      </w:r>
      <w:r w:rsidR="0077645F">
        <w:t>.</w:t>
      </w:r>
    </w:p>
    <w:p w:rsidR="008E7676" w:rsidP="006F3019" w:rsidRDefault="008E7676" w14:paraId="1ED9FDDD" w14:textId="77777777"/>
    <w:p w:rsidR="007D01C6" w:rsidP="006F3019" w:rsidRDefault="00506F9C" w14:paraId="29B50F9D" w14:textId="1CEBD0E7">
      <w:r>
        <w:t xml:space="preserve">In response to </w:t>
      </w:r>
      <w:r w:rsidR="006F3019">
        <w:t xml:space="preserve">the </w:t>
      </w:r>
      <w:r>
        <w:t xml:space="preserve">Cal </w:t>
      </w:r>
      <w:r w:rsidR="006F3019">
        <w:t>Advocate</w:t>
      </w:r>
      <w:r w:rsidR="0077645F">
        <w:t>s</w:t>
      </w:r>
      <w:r w:rsidR="006F3019">
        <w:t xml:space="preserve"> assertion that </w:t>
      </w:r>
      <w:r w:rsidRPr="00F47079" w:rsidR="00F47079">
        <w:t>that SDG&amp;E’s IT costs associated with DRAH of $990,000 appear inflated</w:t>
      </w:r>
      <w:r w:rsidR="00304F54">
        <w:t>,</w:t>
      </w:r>
      <w:r w:rsidRPr="00F47079" w:rsidR="00F47079">
        <w:t xml:space="preserve"> SDG&amp;E explained in the AL that “SDG&amp;E does not currently have a system in place to track DRAH status associated with either customers or properties. </w:t>
      </w:r>
      <w:proofErr w:type="gramStart"/>
      <w:r w:rsidRPr="00F47079" w:rsidR="00F47079">
        <w:t>In order to</w:t>
      </w:r>
      <w:proofErr w:type="gramEnd"/>
      <w:r w:rsidRPr="00F47079" w:rsidR="00F47079">
        <w:t xml:space="preserve"> effectively track DRAH properties and customers, SDG&amp;E will have to build this capability into our billing system, which will require a vendor interface to automatically process updates to DRAH data</w:t>
      </w:r>
      <w:r w:rsidR="0077645F">
        <w:t>.</w:t>
      </w:r>
      <w:r w:rsidRPr="00F47079" w:rsidR="00F47079">
        <w:t>”</w:t>
      </w:r>
      <w:r w:rsidR="00B41F86">
        <w:rPr>
          <w:rStyle w:val="FootnoteReference"/>
        </w:rPr>
        <w:footnoteReference w:id="31"/>
      </w:r>
    </w:p>
    <w:p w:rsidR="0077645F" w:rsidP="006F3019" w:rsidRDefault="0077645F" w14:paraId="69AEF1BC" w14:textId="77777777"/>
    <w:p w:rsidRPr="00A21146" w:rsidR="00A21146" w:rsidP="00F25970" w:rsidRDefault="00F47079" w14:paraId="07FC3CFE" w14:textId="3C502439">
      <w:r w:rsidRPr="00F47079">
        <w:t xml:space="preserve">SDG&amp;E </w:t>
      </w:r>
      <w:r w:rsidR="00DF2DEC">
        <w:t>further assert</w:t>
      </w:r>
      <w:r w:rsidR="00386693">
        <w:t>ed</w:t>
      </w:r>
      <w:r w:rsidR="00B746CE">
        <w:t>: “SDG&amp;E</w:t>
      </w:r>
      <w:r w:rsidRPr="00F47079">
        <w:t xml:space="preserve"> will build a fully integrated and automated DRAH process into SDG&amp;E’s billing system to avoid re-occurring costs where manual intervention may be needed. These estimated costs are unique to SDG&amp;E. SDG&amp;E does not have insight into PG&amp;E’s and SCE’s DRAH scope of work to handle DRAH in their respective billing systems.</w:t>
      </w:r>
      <w:r w:rsidR="00DF2DEC">
        <w:t>”</w:t>
      </w:r>
      <w:r w:rsidR="00A57897">
        <w:rPr>
          <w:rStyle w:val="FootnoteReference"/>
        </w:rPr>
        <w:footnoteReference w:id="32"/>
      </w:r>
      <w:r w:rsidR="0077645F">
        <w:t xml:space="preserve"> </w:t>
      </w:r>
      <w:r w:rsidR="00A21146">
        <w:t xml:space="preserve">SDG&amp;E further asserts that </w:t>
      </w:r>
      <w:r w:rsidR="00F25970">
        <w:t>its</w:t>
      </w:r>
      <w:r w:rsidRPr="00A21146" w:rsidR="00A21146">
        <w:t xml:space="preserve"> information is sufficiently detailed and meets the requirements of D.24-05-028. </w:t>
      </w:r>
    </w:p>
    <w:p w:rsidRPr="00E336C1" w:rsidR="006A209D" w:rsidP="00E336C1" w:rsidRDefault="006A209D" w14:paraId="1C252F3F" w14:textId="77777777"/>
    <w:p w:rsidRPr="00AC13C2" w:rsidR="00EB65AE" w:rsidP="001B1955" w:rsidRDefault="006E78A1" w14:paraId="56932C32" w14:textId="13C6F952">
      <w:pPr>
        <w:pStyle w:val="Heading2"/>
        <w:ind w:left="360"/>
      </w:pPr>
      <w:r>
        <w:lastRenderedPageBreak/>
        <w:t xml:space="preserve">Proposed </w:t>
      </w:r>
      <w:r w:rsidR="006707D7">
        <w:t>ME&amp;O Plan</w:t>
      </w:r>
    </w:p>
    <w:p w:rsidR="00A21F54" w:rsidP="004716A9" w:rsidRDefault="00165EB0" w14:paraId="6E997C13" w14:textId="31B5A636">
      <w:pPr>
        <w:pStyle w:val="Heading3"/>
      </w:pPr>
      <w:r>
        <w:t>3</w:t>
      </w:r>
      <w:r w:rsidR="004E0E81">
        <w:t>.1</w:t>
      </w:r>
      <w:r w:rsidR="000A0632">
        <w:t>.</w:t>
      </w:r>
      <w:r w:rsidR="004E0E81">
        <w:tab/>
      </w:r>
      <w:r w:rsidR="00EA0958">
        <w:t>Cal Advocates</w:t>
      </w:r>
      <w:r w:rsidR="0040175C">
        <w:t>’ Protest</w:t>
      </w:r>
    </w:p>
    <w:p w:rsidR="00F30559" w:rsidP="746CAED1" w:rsidRDefault="00A21F54" w14:paraId="679D9FE6" w14:textId="3B6D539A">
      <w:pPr>
        <w:spacing w:line="259" w:lineRule="auto"/>
      </w:pPr>
      <w:r w:rsidRPr="00FE2B1C">
        <w:t xml:space="preserve">Cal Advocates recommended that the Commission </w:t>
      </w:r>
      <w:r w:rsidR="008214FB">
        <w:t xml:space="preserve">(1) </w:t>
      </w:r>
      <w:r w:rsidRPr="00FE2B1C">
        <w:t xml:space="preserve">reject </w:t>
      </w:r>
      <w:r>
        <w:t>SDG&amp;E</w:t>
      </w:r>
      <w:r w:rsidRPr="00FE2B1C">
        <w:t>’s ME&amp;O plan because it fails to meet D.24-05-028’s required level of detail on ME&amp;O budget justification and messaging topics</w:t>
      </w:r>
      <w:r w:rsidR="008214FB">
        <w:t>,</w:t>
      </w:r>
      <w:r w:rsidRPr="00FE2B1C">
        <w:t xml:space="preserve"> and </w:t>
      </w:r>
      <w:r w:rsidR="008214FB">
        <w:t xml:space="preserve">(2) </w:t>
      </w:r>
      <w:r w:rsidRPr="00FE2B1C">
        <w:t xml:space="preserve">require </w:t>
      </w:r>
      <w:r>
        <w:t>SDG&amp;E</w:t>
      </w:r>
      <w:r w:rsidRPr="00FE2B1C">
        <w:t xml:space="preserve"> to submit a supplemental </w:t>
      </w:r>
      <w:r w:rsidR="69D3CFA2">
        <w:t>AL</w:t>
      </w:r>
      <w:r w:rsidRPr="00FE2B1C">
        <w:t xml:space="preserve"> </w:t>
      </w:r>
      <w:r w:rsidR="00A64E43">
        <w:t xml:space="preserve">that provides adequate detail on </w:t>
      </w:r>
      <w:r w:rsidRPr="00FE2B1C">
        <w:t>ME&amp;O budget</w:t>
      </w:r>
      <w:r w:rsidR="00CE5113">
        <w:t xml:space="preserve"> line-item</w:t>
      </w:r>
      <w:r w:rsidR="00624510">
        <w:t xml:space="preserve"> justifications</w:t>
      </w:r>
      <w:r w:rsidR="00937DCE">
        <w:t>,</w:t>
      </w:r>
      <w:r w:rsidR="004F418C">
        <w:t xml:space="preserve"> </w:t>
      </w:r>
      <w:r w:rsidRPr="00FE2B1C">
        <w:t>messaging on rate options, and customer enrollment in CARE and FERA programs.</w:t>
      </w:r>
      <w:r w:rsidR="00922CC2">
        <w:rPr>
          <w:rStyle w:val="FootnoteReference"/>
        </w:rPr>
        <w:footnoteReference w:id="33"/>
      </w:r>
      <w:r w:rsidR="00C3065C">
        <w:rPr>
          <w:rFonts w:ascii="Times New Roman" w:hAnsi="Times New Roman" w:cs="Times New Roman"/>
        </w:rPr>
        <w:t xml:space="preserve"> </w:t>
      </w:r>
      <w:r w:rsidR="0094188F">
        <w:t xml:space="preserve">The </w:t>
      </w:r>
      <w:r w:rsidRPr="00FE2B1C" w:rsidR="0094188F">
        <w:t xml:space="preserve">supplemental </w:t>
      </w:r>
      <w:r w:rsidR="0AB888A2">
        <w:t>AL</w:t>
      </w:r>
      <w:r w:rsidRPr="00FE2B1C" w:rsidR="0094188F">
        <w:t xml:space="preserve"> would enable the </w:t>
      </w:r>
      <w:r w:rsidR="00104511">
        <w:t>Commission,</w:t>
      </w:r>
      <w:r w:rsidRPr="00FE2B1C" w:rsidR="0094188F">
        <w:t xml:space="preserve"> interested stakeholders, and the </w:t>
      </w:r>
      <w:r w:rsidR="0094188F">
        <w:t>IWG</w:t>
      </w:r>
      <w:r w:rsidRPr="00FE2B1C" w:rsidR="0094188F">
        <w:t xml:space="preserve"> to review these plans and evaluate costs for reasonableness and efficacy that </w:t>
      </w:r>
      <w:r w:rsidR="0094188F">
        <w:t>SDG&amp;E</w:t>
      </w:r>
      <w:r w:rsidRPr="00FE2B1C" w:rsidR="0094188F">
        <w:t xml:space="preserve"> will seek to recover in rates.</w:t>
      </w:r>
      <w:r w:rsidR="0094188F">
        <w:t xml:space="preserve"> </w:t>
      </w:r>
    </w:p>
    <w:p w:rsidR="00F30559" w:rsidP="746CAED1" w:rsidRDefault="00F30559" w14:paraId="7588BB8E" w14:textId="77777777">
      <w:pPr>
        <w:spacing w:line="259" w:lineRule="auto"/>
      </w:pPr>
    </w:p>
    <w:p w:rsidRPr="009C3ABF" w:rsidR="00207E83" w:rsidP="746CAED1" w:rsidRDefault="005378D3" w14:paraId="6C10ADF1" w14:textId="7BFADB98">
      <w:pPr>
        <w:spacing w:line="259" w:lineRule="auto"/>
      </w:pPr>
      <w:r>
        <w:t>Cal Advocates</w:t>
      </w:r>
      <w:r w:rsidR="00F43F20">
        <w:t xml:space="preserve"> asserted </w:t>
      </w:r>
      <w:r>
        <w:t>t</w:t>
      </w:r>
      <w:r w:rsidRPr="00FE2B1C" w:rsidR="0094188F">
        <w:t>he</w:t>
      </w:r>
      <w:r w:rsidR="0094188F">
        <w:t xml:space="preserve"> budget line-item justifications in the</w:t>
      </w:r>
      <w:r w:rsidRPr="00FE2B1C" w:rsidR="0094188F">
        <w:t xml:space="preserve"> supplemental </w:t>
      </w:r>
      <w:r w:rsidR="76CDED7B">
        <w:t>AL</w:t>
      </w:r>
      <w:r w:rsidRPr="00FE2B1C" w:rsidR="0094188F">
        <w:t xml:space="preserve"> should clearly explain how S</w:t>
      </w:r>
      <w:r w:rsidR="0094188F">
        <w:t>DG&amp;E</w:t>
      </w:r>
      <w:r w:rsidRPr="00FE2B1C" w:rsidR="0094188F">
        <w:t xml:space="preserve"> arrived at each of its budget lines, including </w:t>
      </w:r>
      <w:r w:rsidR="004C161D">
        <w:br/>
      </w:r>
      <w:r w:rsidRPr="00FE2B1C" w:rsidR="0094188F">
        <w:t xml:space="preserve">(1) identification of all sub-costs and how they were calculated, (2) documentation of previously incurred costs </w:t>
      </w:r>
      <w:r w:rsidR="009427E0">
        <w:t>which</w:t>
      </w:r>
      <w:r w:rsidRPr="00FE2B1C" w:rsidR="0094188F">
        <w:t xml:space="preserve"> S</w:t>
      </w:r>
      <w:r w:rsidR="0094188F">
        <w:t>DG&amp;E</w:t>
      </w:r>
      <w:r w:rsidRPr="00FE2B1C" w:rsidR="0094188F">
        <w:t xml:space="preserve"> used to inform its cost estimates, (3) an explanation how each budget line is incremental to previously authorized ME&amp;O budgets and to other budget lines in the ME&amp;O plan, and (4) documentation of the methods used to estimate it</w:t>
      </w:r>
      <w:r w:rsidR="001940E4">
        <w:t>s</w:t>
      </w:r>
      <w:r w:rsidRPr="00FE2B1C" w:rsidR="0094188F">
        <w:t xml:space="preserve"> costs, the specific staff and agency sub-costs of each budget line, and the historical costs that S</w:t>
      </w:r>
      <w:r w:rsidR="0094188F">
        <w:t>DG&amp;E</w:t>
      </w:r>
      <w:r w:rsidRPr="00FE2B1C" w:rsidR="0094188F">
        <w:t xml:space="preserve"> used to estimate these budgets.</w:t>
      </w:r>
      <w:r w:rsidR="0003281F">
        <w:rPr>
          <w:rStyle w:val="FootnoteReference"/>
        </w:rPr>
        <w:footnoteReference w:id="34"/>
      </w:r>
      <w:r w:rsidRPr="00FE2B1C" w:rsidR="0094188F">
        <w:t xml:space="preserve"> </w:t>
      </w:r>
    </w:p>
    <w:p w:rsidR="00207E83" w:rsidP="00A21F54" w:rsidRDefault="00207E83" w14:paraId="00AD4C9F" w14:textId="77777777">
      <w:pPr>
        <w:rPr>
          <w:rFonts w:ascii="Times New Roman" w:hAnsi="Times New Roman" w:cs="Times New Roman"/>
        </w:rPr>
      </w:pPr>
    </w:p>
    <w:p w:rsidR="00E24A88" w:rsidP="00EA0958" w:rsidRDefault="00365FA1" w14:paraId="61710129" w14:textId="16674F00">
      <w:r>
        <w:t xml:space="preserve">Cal Advocates </w:t>
      </w:r>
      <w:r w:rsidR="00A31A20">
        <w:t>argued</w:t>
      </w:r>
      <w:r>
        <w:t xml:space="preserve"> </w:t>
      </w:r>
      <w:r w:rsidR="003F6D9F">
        <w:t>SDG&amp;E’s</w:t>
      </w:r>
      <w:r w:rsidR="008E207C">
        <w:t xml:space="preserve"> ME&amp;O plan provides</w:t>
      </w:r>
      <w:r w:rsidR="00D40479">
        <w:t xml:space="preserve"> </w:t>
      </w:r>
      <w:r w:rsidR="004D5E20">
        <w:t>broad descriptions of the types of activities or expenditures</w:t>
      </w:r>
      <w:r w:rsidR="007474F2">
        <w:t xml:space="preserve"> </w:t>
      </w:r>
      <w:r w:rsidR="005802E1">
        <w:t>and does not explain how it arrived</w:t>
      </w:r>
      <w:r w:rsidR="0002147B">
        <w:t xml:space="preserve"> at each line-item</w:t>
      </w:r>
      <w:r w:rsidR="00E715BF">
        <w:t>’s total cost</w:t>
      </w:r>
      <w:r w:rsidR="000005A4">
        <w:t>:</w:t>
      </w:r>
    </w:p>
    <w:p w:rsidR="005323C2" w:rsidP="00350E36" w:rsidRDefault="00F84C75" w14:paraId="571C0F87" w14:textId="3825B527">
      <w:pPr>
        <w:ind w:left="720" w:right="720"/>
      </w:pPr>
      <w:r w:rsidRPr="00F84C75">
        <w:t>For example, SDG&amp;E</w:t>
      </w:r>
      <w:r w:rsidRPr="00F84C75" w:rsidDel="0008499E">
        <w:t xml:space="preserve"> </w:t>
      </w:r>
      <w:r w:rsidRPr="00F84C75" w:rsidR="0008499E">
        <w:t>request</w:t>
      </w:r>
      <w:r w:rsidR="0008499E">
        <w:t>s</w:t>
      </w:r>
      <w:r w:rsidRPr="00F84C75">
        <w:t xml:space="preserve"> $985,000 for “direct communications” which it states will include costs of email and direct mail outreach.</w:t>
      </w:r>
      <w:r>
        <w:rPr>
          <w:rStyle w:val="FootnoteReference"/>
        </w:rPr>
        <w:footnoteReference w:id="35"/>
      </w:r>
      <w:r w:rsidRPr="00F84C75">
        <w:t xml:space="preserve"> However, SDG&amp;E does not provide any information on how it calculated this budget, including the breakdown between email and direct mail costs, how many messages customers will receive on each channel, or the </w:t>
      </w:r>
      <w:r w:rsidR="004C161D">
        <w:br/>
      </w:r>
      <w:r w:rsidRPr="00F84C75">
        <w:t>sub-costs of each channel. SDG&amp;E also request</w:t>
      </w:r>
      <w:r>
        <w:t>ed</w:t>
      </w:r>
      <w:r w:rsidRPr="00F84C75">
        <w:t xml:space="preserve"> a combined $820,000 for “agency support” and</w:t>
      </w:r>
      <w:r w:rsidR="006A592B">
        <w:t xml:space="preserve"> </w:t>
      </w:r>
      <w:r w:rsidRPr="006A592B" w:rsidR="006A592B">
        <w:t>“internal labor”</w:t>
      </w:r>
      <w:r w:rsidR="006A592B">
        <w:rPr>
          <w:rStyle w:val="FootnoteReference"/>
        </w:rPr>
        <w:footnoteReference w:id="36"/>
      </w:r>
      <w:r w:rsidRPr="006A592B" w:rsidR="006A592B">
        <w:t xml:space="preserve"> without providing any written narrative or documentation on how it estimated those budgets or what kinds of activities they would fund. </w:t>
      </w:r>
      <w:r w:rsidR="00E5770B">
        <w:t>Moreover</w:t>
      </w:r>
      <w:r w:rsidRPr="006A592B" w:rsidR="006A592B">
        <w:t xml:space="preserve">, none of SDG&amp;E’s budget </w:t>
      </w:r>
      <w:r w:rsidRPr="006A592B" w:rsidR="006A592B">
        <w:lastRenderedPageBreak/>
        <w:t>line explanations include</w:t>
      </w:r>
      <w:r w:rsidRPr="006A592B" w:rsidR="6A41D305">
        <w:t>d</w:t>
      </w:r>
      <w:r w:rsidRPr="006A592B" w:rsidR="006A592B">
        <w:t xml:space="preserve"> a description of how costs are incremental to previously authorized budgets, as required by D.24-05-028</w:t>
      </w:r>
      <w:r w:rsidR="00CD11B0">
        <w:t>.</w:t>
      </w:r>
      <w:r w:rsidR="00DD4180">
        <w:rPr>
          <w:rStyle w:val="FootnoteReference"/>
        </w:rPr>
        <w:footnoteReference w:id="37"/>
      </w:r>
      <w:r w:rsidR="009C3ABF">
        <w:t xml:space="preserve"> </w:t>
      </w:r>
    </w:p>
    <w:p w:rsidR="005323C2" w:rsidP="00EA0958" w:rsidRDefault="005323C2" w14:paraId="2B2EF2C9" w14:textId="77777777"/>
    <w:p w:rsidR="00A21F54" w:rsidP="00EA0958" w:rsidRDefault="00A21F54" w14:paraId="0F7B02EE" w14:textId="61C75C1D">
      <w:r w:rsidRPr="00FE2B1C">
        <w:t>In response to a data request from Cal Advocates,</w:t>
      </w:r>
      <w:r w:rsidR="006715FE">
        <w:rPr>
          <w:rStyle w:val="FootnoteReference"/>
        </w:rPr>
        <w:footnoteReference w:id="38"/>
      </w:r>
      <w:r w:rsidRPr="00FE2B1C">
        <w:t xml:space="preserve"> </w:t>
      </w:r>
      <w:r>
        <w:t>SDG&amp;E</w:t>
      </w:r>
      <w:r w:rsidR="00DB7FEE">
        <w:t xml:space="preserve"> provided additional </w:t>
      </w:r>
      <w:r w:rsidR="004C161D">
        <w:br/>
      </w:r>
      <w:r w:rsidR="00DB7FEE">
        <w:t>sub-costs</w:t>
      </w:r>
      <w:r w:rsidR="007D66BC">
        <w:t>, its method for estimating budgets, and documentation of relevant historical costs for some of its budget lines but</w:t>
      </w:r>
      <w:r w:rsidRPr="00FE2B1C">
        <w:t xml:space="preserve"> failed to fully clarify how it arrived at each of its requested budget lines</w:t>
      </w:r>
      <w:r w:rsidR="003E5863">
        <w:t xml:space="preserve">. </w:t>
      </w:r>
      <w:r w:rsidR="00224321">
        <w:t xml:space="preserve">For example, SDG&amp;E provided documentation of previously incurred direct mail costs, which did not align with the per-customer costs it cites in </w:t>
      </w:r>
      <w:r w:rsidR="00001C7E">
        <w:t>its</w:t>
      </w:r>
      <w:r w:rsidR="00224321">
        <w:t xml:space="preserve"> data response</w:t>
      </w:r>
      <w:r w:rsidR="00001C7E">
        <w:rPr>
          <w:rStyle w:val="FootnoteReference"/>
        </w:rPr>
        <w:footnoteReference w:id="39"/>
      </w:r>
      <w:r w:rsidR="00224321">
        <w:t xml:space="preserve"> and several budget lines include costs for internal labor. SDG&amp;E acknowledged that it has not yet confirmed whether this labor will be covered by existing, hired staff or incremental hires.</w:t>
      </w:r>
      <w:r w:rsidR="00224321">
        <w:rPr>
          <w:rStyle w:val="FootnoteReference"/>
        </w:rPr>
        <w:footnoteReference w:id="40"/>
      </w:r>
      <w:r w:rsidR="00001C7E">
        <w:t xml:space="preserve"> </w:t>
      </w:r>
      <w:r w:rsidR="00F65750">
        <w:t xml:space="preserve">According </w:t>
      </w:r>
      <w:r w:rsidR="002C13B3">
        <w:t xml:space="preserve">to </w:t>
      </w:r>
      <w:r w:rsidR="00F65750">
        <w:t>Cal Advocates, t</w:t>
      </w:r>
      <w:r w:rsidR="00001C7E">
        <w:t>hese issue</w:t>
      </w:r>
      <w:r w:rsidR="00FA2B5A">
        <w:t>s</w:t>
      </w:r>
      <w:r w:rsidR="00001C7E">
        <w:t xml:space="preserve"> warrant further review by the Commission and parties to this proceeding before SDG&amp;E’s ME&amp;</w:t>
      </w:r>
      <w:r w:rsidR="00FA2B5A">
        <w:t>O</w:t>
      </w:r>
      <w:r w:rsidR="00001C7E">
        <w:t xml:space="preserve"> plan receive</w:t>
      </w:r>
      <w:r w:rsidR="00FA2B5A">
        <w:t>s</w:t>
      </w:r>
      <w:r w:rsidR="00001C7E">
        <w:t xml:space="preserve"> approval.</w:t>
      </w:r>
      <w:r w:rsidR="00680400">
        <w:rPr>
          <w:rStyle w:val="FootnoteReference"/>
        </w:rPr>
        <w:footnoteReference w:id="41"/>
      </w:r>
    </w:p>
    <w:p w:rsidR="001D262C" w:rsidP="00EA0958" w:rsidRDefault="001D262C" w14:paraId="37DCA175" w14:textId="77777777"/>
    <w:p w:rsidR="009439B9" w:rsidP="00FE2B1C" w:rsidRDefault="004C13FA" w14:paraId="0421A115" w14:textId="7123512B">
      <w:pPr>
        <w:rPr>
          <w:rFonts w:ascii="Times New Roman" w:hAnsi="Times New Roman" w:cs="Times New Roman"/>
        </w:rPr>
      </w:pPr>
      <w:r w:rsidRPr="004C13FA">
        <w:t xml:space="preserve">Cal Advocates </w:t>
      </w:r>
      <w:r w:rsidR="002A132B">
        <w:t xml:space="preserve">also </w:t>
      </w:r>
      <w:r w:rsidR="00C92A13">
        <w:t>argued</w:t>
      </w:r>
      <w:r w:rsidRPr="004C13FA">
        <w:t xml:space="preserve"> SDG&amp;E failed to specify how it will communicate with customers on (1) how </w:t>
      </w:r>
      <w:r w:rsidR="00773DDE">
        <w:t>customers</w:t>
      </w:r>
      <w:r w:rsidRPr="004C13FA">
        <w:t xml:space="preserve"> can switch assigned tiers, (2) various rate options for </w:t>
      </w:r>
      <w:r w:rsidR="00773DDE">
        <w:t>customers</w:t>
      </w:r>
      <w:r w:rsidRPr="004C13FA">
        <w:t xml:space="preserve"> to manage their bills, and (3) options to enroll in CARE and FERA.</w:t>
      </w:r>
      <w:r w:rsidR="00F77753">
        <w:rPr>
          <w:rStyle w:val="FootnoteReference"/>
        </w:rPr>
        <w:footnoteReference w:id="42"/>
      </w:r>
      <w:r w:rsidRPr="004C13FA">
        <w:t> In response to a data request from Cal Advocates,</w:t>
      </w:r>
      <w:r w:rsidR="008309D9">
        <w:rPr>
          <w:rStyle w:val="FootnoteReference"/>
        </w:rPr>
        <w:footnoteReference w:id="43"/>
      </w:r>
      <w:r w:rsidRPr="004C13FA">
        <w:t xml:space="preserve"> SDG&amp;E shared additional details, and</w:t>
      </w:r>
      <w:r w:rsidR="00974702">
        <w:t xml:space="preserve"> Cal Advocates recommended that</w:t>
      </w:r>
      <w:r w:rsidRPr="004C13FA">
        <w:t xml:space="preserve"> this information should be submitted in a supplemental AL so that the Commission, other parties in this proceeding, and the IWG can have the opportunity to review these plans for reasonableness and efficacy.</w:t>
      </w:r>
      <w:r w:rsidR="00955FDD">
        <w:rPr>
          <w:rStyle w:val="FootnoteReference"/>
        </w:rPr>
        <w:footnoteReference w:id="44"/>
      </w:r>
      <w:r w:rsidRPr="00FE2B1C" w:rsidR="00FE2B1C">
        <w:rPr>
          <w:rFonts w:ascii="Times New Roman" w:hAnsi="Times New Roman" w:cs="Times New Roman"/>
        </w:rPr>
        <w:t> </w:t>
      </w:r>
    </w:p>
    <w:p w:rsidR="009439B9" w:rsidP="00FE2B1C" w:rsidRDefault="009439B9" w14:paraId="79C62D11" w14:textId="77777777">
      <w:pPr>
        <w:rPr>
          <w:rFonts w:ascii="Times New Roman" w:hAnsi="Times New Roman" w:cs="Times New Roman"/>
        </w:rPr>
      </w:pPr>
    </w:p>
    <w:p w:rsidR="00224321" w:rsidP="0084587F" w:rsidRDefault="00B46D37" w14:paraId="1459EAFD" w14:textId="1F0192D3">
      <w:r>
        <w:t xml:space="preserve">Finally, </w:t>
      </w:r>
      <w:r w:rsidR="00CF5CD5">
        <w:t>Cal Advocates</w:t>
      </w:r>
      <w:r w:rsidR="00422A0F">
        <w:t xml:space="preserve"> recommended that the Commission require SDG&amp;E</w:t>
      </w:r>
      <w:r w:rsidR="00D32180">
        <w:t xml:space="preserve"> to report its ME&amp;O metrics by customer tier</w:t>
      </w:r>
      <w:r w:rsidR="00410DE2">
        <w:t xml:space="preserve"> </w:t>
      </w:r>
      <w:r w:rsidR="00662CEB">
        <w:t>or audience</w:t>
      </w:r>
      <w:r w:rsidR="007E246B">
        <w:t xml:space="preserve"> because </w:t>
      </w:r>
      <w:r w:rsidR="00354D00">
        <w:t>SDG&amp;E does not</w:t>
      </w:r>
      <w:r w:rsidR="007B0162">
        <w:t xml:space="preserve"> provide </w:t>
      </w:r>
      <w:r w:rsidR="00801B59">
        <w:t xml:space="preserve">enough information to evaluate the efficacy of its ME&amp;O plan in </w:t>
      </w:r>
      <w:r w:rsidR="006B1421">
        <w:t xml:space="preserve">educating </w:t>
      </w:r>
      <w:r w:rsidR="00C97B0A">
        <w:t>different customer tiers</w:t>
      </w:r>
      <w:r w:rsidR="00173349">
        <w:t xml:space="preserve"> nor does </w:t>
      </w:r>
      <w:r w:rsidR="008855BB">
        <w:t>SDG&amp;E</w:t>
      </w:r>
      <w:r w:rsidR="0073213B">
        <w:t xml:space="preserve"> provide</w:t>
      </w:r>
      <w:r w:rsidR="00E977F4">
        <w:t xml:space="preserve"> a detailed media plan</w:t>
      </w:r>
      <w:r w:rsidR="00A63D21">
        <w:t xml:space="preserve"> or information on which channels</w:t>
      </w:r>
      <w:r w:rsidR="000D458F">
        <w:t xml:space="preserve"> (i.e., paid media, integrated communications</w:t>
      </w:r>
      <w:r w:rsidR="002655ED">
        <w:t>, direct mail, email)</w:t>
      </w:r>
      <w:r w:rsidR="00A57528">
        <w:t xml:space="preserve"> it intends </w:t>
      </w:r>
      <w:r w:rsidR="002947D7">
        <w:t xml:space="preserve">to use to </w:t>
      </w:r>
      <w:r w:rsidR="002947D7">
        <w:lastRenderedPageBreak/>
        <w:t>reach each group</w:t>
      </w:r>
      <w:r w:rsidR="00A12E73">
        <w:t>, the frequency of messages to each group using each channel, or the allocation of budgets across each group.</w:t>
      </w:r>
      <w:r w:rsidR="00B85BFC">
        <w:rPr>
          <w:rStyle w:val="FootnoteReference"/>
        </w:rPr>
        <w:footnoteReference w:id="45"/>
      </w:r>
    </w:p>
    <w:p w:rsidR="00224321" w:rsidP="0084587F" w:rsidRDefault="00224321" w14:paraId="745AD149" w14:textId="77777777"/>
    <w:p w:rsidR="00431BD6" w:rsidP="0084587F" w:rsidRDefault="00D56343" w14:paraId="5003673D" w14:textId="5DDE1923">
      <w:r>
        <w:t xml:space="preserve">Cal Advocates </w:t>
      </w:r>
      <w:r w:rsidR="007934CE">
        <w:t>stated it</w:t>
      </w:r>
      <w:r>
        <w:t xml:space="preserve"> consulted with SDG&amp;E</w:t>
      </w:r>
      <w:r w:rsidR="00AD416C">
        <w:t xml:space="preserve"> on </w:t>
      </w:r>
      <w:r w:rsidR="001504EB">
        <w:t>SDG&amp;E’s</w:t>
      </w:r>
      <w:r w:rsidR="00AD416C">
        <w:t xml:space="preserve"> plans and ability to disaggregate its reporting ME&amp;</w:t>
      </w:r>
      <w:r w:rsidR="004949BE">
        <w:t>O</w:t>
      </w:r>
      <w:r w:rsidR="00AD416C">
        <w:t xml:space="preserve"> metrics</w:t>
      </w:r>
      <w:r w:rsidR="00036CD5">
        <w:t xml:space="preserve"> by</w:t>
      </w:r>
      <w:r w:rsidR="00232D21">
        <w:t xml:space="preserve"> customer tier</w:t>
      </w:r>
      <w:r w:rsidR="00A57562">
        <w:t xml:space="preserve"> and a customer’s CARE, FERA, DRAH or solar status, and</w:t>
      </w:r>
      <w:r w:rsidR="00D71C51">
        <w:t xml:space="preserve"> SDG&amp;E </w:t>
      </w:r>
      <w:r w:rsidR="00EF14DF">
        <w:t xml:space="preserve">confirmed that </w:t>
      </w:r>
      <w:r w:rsidR="00737665">
        <w:t>it</w:t>
      </w:r>
      <w:r w:rsidR="00EF14DF">
        <w:t xml:space="preserve"> </w:t>
      </w:r>
      <w:r w:rsidR="00FA11D6">
        <w:t>is capable of reporting on the number and type of outbound messages sent via email and direct mail</w:t>
      </w:r>
      <w:r w:rsidR="00E1167F">
        <w:t xml:space="preserve"> by tier and DRAH status</w:t>
      </w:r>
      <w:r w:rsidR="009B6BD6">
        <w:t>,</w:t>
      </w:r>
      <w:r w:rsidR="00CA3FD0">
        <w:t xml:space="preserve"> number of </w:t>
      </w:r>
      <w:r w:rsidR="008024A7">
        <w:t>impressions</w:t>
      </w:r>
      <w:r w:rsidR="00CA3FD0">
        <w:t xml:space="preserve"> and reach of paid media by certain target audience demographics</w:t>
      </w:r>
      <w:r w:rsidR="00181577">
        <w:t>,</w:t>
      </w:r>
      <w:r w:rsidR="004F095E">
        <w:rPr>
          <w:rStyle w:val="FootnoteReference"/>
        </w:rPr>
        <w:footnoteReference w:id="46"/>
      </w:r>
      <w:r w:rsidR="00181577">
        <w:t xml:space="preserve"> which include language, income level, and low-income zip codes</w:t>
      </w:r>
      <w:r w:rsidR="008024A7">
        <w:t>, and behavioral targeting for solar users</w:t>
      </w:r>
      <w:r w:rsidR="00D35BD4">
        <w:t xml:space="preserve">. </w:t>
      </w:r>
      <w:r w:rsidR="006201DA">
        <w:t>According to Cal Advocates,</w:t>
      </w:r>
      <w:r w:rsidR="00160C9F">
        <w:t xml:space="preserve"> SDG&amp;E stated i</w:t>
      </w:r>
      <w:r w:rsidR="00D35BD4">
        <w:t>n the same data request</w:t>
      </w:r>
      <w:r w:rsidR="00160C9F">
        <w:t xml:space="preserve"> that</w:t>
      </w:r>
      <w:r w:rsidR="00D35BD4">
        <w:t xml:space="preserve"> it </w:t>
      </w:r>
      <w:r w:rsidR="009F11B4">
        <w:t>cannot</w:t>
      </w:r>
      <w:r w:rsidR="00886289">
        <w:t xml:space="preserve"> disaggregate</w:t>
      </w:r>
      <w:r w:rsidR="008B16FF">
        <w:t xml:space="preserve"> reporting on bill messages</w:t>
      </w:r>
      <w:r w:rsidR="00024C4A">
        <w:t xml:space="preserve"> by tier</w:t>
      </w:r>
      <w:r w:rsidR="00854ABB">
        <w:t xml:space="preserve">, </w:t>
      </w:r>
      <w:r w:rsidR="001A7479">
        <w:t>on paid media impres</w:t>
      </w:r>
      <w:r w:rsidR="008738AA">
        <w:t>sions</w:t>
      </w:r>
      <w:r w:rsidR="008B16FF">
        <w:t xml:space="preserve"> by customer </w:t>
      </w:r>
      <w:r w:rsidR="002F0103">
        <w:t>status</w:t>
      </w:r>
      <w:r w:rsidR="00854ABB">
        <w:t xml:space="preserve">, </w:t>
      </w:r>
      <w:r w:rsidR="001A0B02">
        <w:t xml:space="preserve">nor intends </w:t>
      </w:r>
      <w:r w:rsidR="007A10E1">
        <w:t>to</w:t>
      </w:r>
      <w:r w:rsidR="004778F6">
        <w:t xml:space="preserve"> report on</w:t>
      </w:r>
      <w:r w:rsidR="00854ABB">
        <w:t xml:space="preserve"> ME&amp;O dollars spent</w:t>
      </w:r>
      <w:r w:rsidR="00FE7525">
        <w:t xml:space="preserve"> </w:t>
      </w:r>
      <w:r w:rsidR="00C83869">
        <w:t>by</w:t>
      </w:r>
      <w:r w:rsidR="00FE7525">
        <w:t xml:space="preserve"> tier or </w:t>
      </w:r>
      <w:r w:rsidR="00533712">
        <w:t>customer status</w:t>
      </w:r>
      <w:r w:rsidR="002A0141">
        <w:t>.</w:t>
      </w:r>
      <w:r w:rsidR="00F521B7">
        <w:rPr>
          <w:rStyle w:val="FootnoteReference"/>
        </w:rPr>
        <w:footnoteReference w:id="47"/>
      </w:r>
      <w:r w:rsidR="000554B8">
        <w:t xml:space="preserve"> </w:t>
      </w:r>
    </w:p>
    <w:p w:rsidR="00431BD6" w:rsidP="0084587F" w:rsidRDefault="00431BD6" w14:paraId="5FECC851" w14:textId="77777777"/>
    <w:p w:rsidR="00D56343" w:rsidP="0084587F" w:rsidRDefault="00431BD6" w14:paraId="21C69BA3" w14:textId="4D0FAB9C">
      <w:r>
        <w:t>Cal Advocates conclude</w:t>
      </w:r>
      <w:r w:rsidR="01F0CD20">
        <w:t>d</w:t>
      </w:r>
      <w:r>
        <w:t xml:space="preserve"> </w:t>
      </w:r>
      <w:r w:rsidR="00A422AF">
        <w:t>by asking</w:t>
      </w:r>
      <w:r>
        <w:t xml:space="preserve"> that</w:t>
      </w:r>
      <w:r w:rsidR="00FA4407">
        <w:t xml:space="preserve"> the Commis</w:t>
      </w:r>
      <w:r w:rsidR="00432F01">
        <w:t>sion</w:t>
      </w:r>
      <w:r w:rsidR="00C74F3C">
        <w:t xml:space="preserve"> should</w:t>
      </w:r>
      <w:r w:rsidR="00432F01">
        <w:t xml:space="preserve"> require SDG&amp;E</w:t>
      </w:r>
      <w:r w:rsidR="00423D8B">
        <w:t xml:space="preserve"> to provide </w:t>
      </w:r>
      <w:r w:rsidR="00071CAF">
        <w:t xml:space="preserve">disaggregated reporting so that the </w:t>
      </w:r>
      <w:r w:rsidR="00FE2A6E">
        <w:t>Commission</w:t>
      </w:r>
      <w:r w:rsidR="00071CAF">
        <w:t xml:space="preserve"> and members of the IWG are better able to evaluate the efficacy of SDG&amp;E’s outreach</w:t>
      </w:r>
      <w:r w:rsidR="00237C7D">
        <w:t xml:space="preserve"> </w:t>
      </w:r>
      <w:r w:rsidR="00C66839">
        <w:t>to various customer groups and hold SDG&amp;E accountable to meet the objectives of the ME&amp;O plan.</w:t>
      </w:r>
      <w:r w:rsidR="00F40AEB">
        <w:rPr>
          <w:rStyle w:val="FootnoteReference"/>
        </w:rPr>
        <w:footnoteReference w:id="48"/>
      </w:r>
    </w:p>
    <w:p w:rsidR="00FE2B1C" w:rsidP="00FE2B1C" w:rsidRDefault="00FE2B1C" w14:paraId="58C53366" w14:textId="42768737"/>
    <w:p w:rsidRPr="00FE2B1C" w:rsidR="00FE2B1C" w:rsidP="004716A9" w:rsidRDefault="00193FDA" w14:paraId="5C1EF2C5" w14:textId="20B63CE9">
      <w:pPr>
        <w:pStyle w:val="Heading3"/>
      </w:pPr>
      <w:r>
        <w:t>3</w:t>
      </w:r>
      <w:r w:rsidR="004E0E81">
        <w:t>.2</w:t>
      </w:r>
      <w:r w:rsidR="000A0632">
        <w:t>.</w:t>
      </w:r>
      <w:r>
        <w:tab/>
      </w:r>
      <w:r w:rsidR="007A0E52">
        <w:t>TURN/NRDC’s Protest</w:t>
      </w:r>
    </w:p>
    <w:p w:rsidRPr="00FE2B1C" w:rsidR="00FE2B1C" w:rsidP="00FE2B1C" w:rsidRDefault="008C7D51" w14:paraId="2A5456D2" w14:textId="13B6F9DD">
      <w:r w:rsidRPr="004F5E35">
        <w:t xml:space="preserve">TURN/NRDC </w:t>
      </w:r>
      <w:r w:rsidR="00C7097E">
        <w:t>recommended that</w:t>
      </w:r>
      <w:r w:rsidRPr="004F5E35">
        <w:t xml:space="preserve"> the Commission require (1) the ME&amp;O plans to target CARE- and FERA-eligible households </w:t>
      </w:r>
      <w:r w:rsidR="00576E24">
        <w:t>and expand customer segmentation to include customers not yet enrolled in CARE and FERA to increase enrollment</w:t>
      </w:r>
      <w:r w:rsidRPr="004F5E35">
        <w:t>, (2) initiate direct outreach to customers at least 120 days before implementation of the fixed charge and follow best practices</w:t>
      </w:r>
      <w:r w:rsidR="00576E24">
        <w:t xml:space="preserve"> for accessible communications</w:t>
      </w:r>
      <w:r w:rsidR="7CB413F5">
        <w:t>, (3)</w:t>
      </w:r>
      <w:r w:rsidR="00576E24">
        <w:t xml:space="preserve"> </w:t>
      </w:r>
      <w:r w:rsidR="723D66E3">
        <w:t>prioritize</w:t>
      </w:r>
      <w:r w:rsidRPr="004F5E35">
        <w:t xml:space="preserve"> hard-to-reach (HTR) customers, and (</w:t>
      </w:r>
      <w:r w:rsidR="000D1DD8">
        <w:t>4</w:t>
      </w:r>
      <w:r w:rsidRPr="004F5E35">
        <w:t>) implement the fixed charge in a timely manner</w:t>
      </w:r>
      <w:r w:rsidRPr="00FE2B1C">
        <w:t>.</w:t>
      </w:r>
      <w:r>
        <w:rPr>
          <w:rStyle w:val="FootnoteReference"/>
        </w:rPr>
        <w:footnoteReference w:id="49"/>
      </w:r>
    </w:p>
    <w:p w:rsidRPr="00FE2B1C" w:rsidR="00FE2B1C" w:rsidP="00FE2B1C" w:rsidRDefault="00FE2B1C" w14:paraId="0093754F" w14:textId="77777777">
      <w:r w:rsidRPr="00FE2B1C">
        <w:t> </w:t>
      </w:r>
    </w:p>
    <w:p w:rsidR="007560AC" w:rsidP="007560AC" w:rsidRDefault="00DF3436" w14:paraId="2093994D" w14:textId="362BFC25">
      <w:r>
        <w:t>TURN/NRDC</w:t>
      </w:r>
      <w:r w:rsidR="004A4602">
        <w:t xml:space="preserve"> </w:t>
      </w:r>
      <w:r w:rsidR="007E141D">
        <w:t>argued</w:t>
      </w:r>
      <w:r w:rsidR="004A4602">
        <w:t xml:space="preserve"> that</w:t>
      </w:r>
      <w:r w:rsidR="00341AF7">
        <w:t xml:space="preserve"> the IOUs do not present ME&amp;O strategies </w:t>
      </w:r>
      <w:r w:rsidR="00FC2071">
        <w:t>to increase CARE and FERA enrollment before the fixed charge goes into effect</w:t>
      </w:r>
      <w:r w:rsidR="004C3079">
        <w:t xml:space="preserve"> and that the Decision </w:t>
      </w:r>
      <w:r w:rsidR="00FC6741">
        <w:t xml:space="preserve">established </w:t>
      </w:r>
      <w:r w:rsidR="00AA5A5B">
        <w:t>ME&amp;</w:t>
      </w:r>
      <w:r w:rsidR="00662687">
        <w:t>O outreach and messaging</w:t>
      </w:r>
      <w:r w:rsidR="00C57A5F">
        <w:t xml:space="preserve"> </w:t>
      </w:r>
      <w:r w:rsidR="00005986">
        <w:t xml:space="preserve">include options to enroll </w:t>
      </w:r>
      <w:r w:rsidR="002119FA">
        <w:t>customers in CARE and FERA</w:t>
      </w:r>
      <w:r w:rsidR="00703E49">
        <w:t>.</w:t>
      </w:r>
      <w:r w:rsidR="006822CC">
        <w:rPr>
          <w:rStyle w:val="FootnoteReference"/>
        </w:rPr>
        <w:footnoteReference w:id="50"/>
      </w:r>
      <w:r w:rsidR="00617A22">
        <w:t xml:space="preserve"> They recommended that the ME&amp;O plans should expand customer </w:t>
      </w:r>
      <w:r w:rsidR="00CD7ACA">
        <w:lastRenderedPageBreak/>
        <w:t>segmentation to include customers not yet enrolled in CARE and FERA and leverage the tools to contact potential CARE/FERA customers that the Commission al</w:t>
      </w:r>
      <w:r w:rsidR="00AC7D36">
        <w:t xml:space="preserve">ready </w:t>
      </w:r>
      <w:r w:rsidR="00A36412">
        <w:t>funded</w:t>
      </w:r>
      <w:r w:rsidR="006942A7">
        <w:t xml:space="preserve"> through D.21-06-015, such as CARE and FERA household propensity models, and deploy specific outreach including a FERA customer bill comparison (before and after the fixed charge) to customers who return a </w:t>
      </w:r>
      <w:r w:rsidR="0053654C">
        <w:t>FERA eligibility score.</w:t>
      </w:r>
      <w:r w:rsidR="00150894">
        <w:rPr>
          <w:rStyle w:val="FootnoteReference"/>
        </w:rPr>
        <w:footnoteReference w:id="51"/>
      </w:r>
      <w:r w:rsidR="00FA04E7">
        <w:t xml:space="preserve"> </w:t>
      </w:r>
      <w:r w:rsidR="007560AC">
        <w:t>They indicated that i</w:t>
      </w:r>
      <w:r w:rsidRPr="005C6960" w:rsidR="007560AC">
        <w:t>f the Governor signs Senate Bill 113</w:t>
      </w:r>
      <w:r w:rsidR="007560AC">
        <w:t>0,</w:t>
      </w:r>
      <w:r w:rsidRPr="005C6960" w:rsidR="007560AC">
        <w:rPr>
          <w:rStyle w:val="FootnoteReference"/>
        </w:rPr>
        <w:footnoteReference w:id="52"/>
      </w:r>
      <w:r w:rsidRPr="005C6960" w:rsidR="007560AC">
        <w:t xml:space="preserve"> the Commission should find that the ME&amp;O proposals in all three ALs</w:t>
      </w:r>
      <w:r w:rsidRPr="005C6960" w:rsidR="007560AC">
        <w:rPr>
          <w:rStyle w:val="FootnoteReference"/>
        </w:rPr>
        <w:footnoteReference w:id="53"/>
      </w:r>
      <w:r w:rsidRPr="005C6960" w:rsidR="007560AC">
        <w:t xml:space="preserve"> for increasing FERA enrollment are inadequate.</w:t>
      </w:r>
      <w:r w:rsidR="00291952">
        <w:t xml:space="preserve"> TURN/NRDC also recommended</w:t>
      </w:r>
      <w:r w:rsidR="00F407C7">
        <w:t xml:space="preserve"> that the IOUs incorporate information explaining eligibility for a discount tier of the fixed charge into existing and planned CARE/FERA ME&amp;O communications.</w:t>
      </w:r>
    </w:p>
    <w:p w:rsidR="00C65553" w:rsidP="00FE2B1C" w:rsidRDefault="00C65553" w14:paraId="18DE18EE" w14:textId="77777777"/>
    <w:p w:rsidR="009D2CD7" w:rsidP="24BD05D3" w:rsidRDefault="18A33445" w14:paraId="35AF7CAD" w14:textId="429826C8">
      <w:pPr>
        <w:rPr>
          <w:rFonts w:eastAsia="Palatino Linotype" w:cs="Palatino Linotype"/>
        </w:rPr>
      </w:pPr>
      <w:r w:rsidRPr="24BD05D3">
        <w:rPr>
          <w:rFonts w:eastAsia="Palatino Linotype" w:cs="Palatino Linotype"/>
        </w:rPr>
        <w:t xml:space="preserve">TURN/NRDC recommended that the Commission </w:t>
      </w:r>
      <w:r w:rsidRPr="24BD05D3" w:rsidR="00E85C2E">
        <w:rPr>
          <w:rFonts w:eastAsia="Palatino Linotype" w:cs="Palatino Linotype"/>
        </w:rPr>
        <w:t>require</w:t>
      </w:r>
      <w:r w:rsidRPr="24BD05D3">
        <w:rPr>
          <w:rFonts w:eastAsia="Palatino Linotype" w:cs="Palatino Linotype"/>
        </w:rPr>
        <w:t xml:space="preserve"> the IOUs to</w:t>
      </w:r>
      <w:r w:rsidR="00F407C7">
        <w:rPr>
          <w:rFonts w:eastAsia="Palatino Linotype" w:cs="Palatino Linotype"/>
        </w:rPr>
        <w:t xml:space="preserve"> initiate direct</w:t>
      </w:r>
      <w:r w:rsidRPr="24BD05D3">
        <w:rPr>
          <w:rFonts w:eastAsia="Palatino Linotype" w:cs="Palatino Linotype"/>
        </w:rPr>
        <w:t xml:space="preserve"> </w:t>
      </w:r>
      <w:r w:rsidRPr="751D8873" w:rsidR="0799D24B">
        <w:rPr>
          <w:rFonts w:eastAsia="Palatino Linotype" w:cs="Palatino Linotype"/>
        </w:rPr>
        <w:t>out</w:t>
      </w:r>
      <w:r w:rsidRPr="751D8873">
        <w:rPr>
          <w:rFonts w:eastAsia="Palatino Linotype" w:cs="Palatino Linotype"/>
        </w:rPr>
        <w:t>reach</w:t>
      </w:r>
      <w:r w:rsidR="00F407C7">
        <w:rPr>
          <w:rFonts w:eastAsia="Palatino Linotype" w:cs="Palatino Linotype"/>
        </w:rPr>
        <w:t xml:space="preserve"> to</w:t>
      </w:r>
      <w:r w:rsidRPr="751D8873" w:rsidR="4EEA87AD">
        <w:rPr>
          <w:rFonts w:eastAsia="Palatino Linotype" w:cs="Palatino Linotype"/>
        </w:rPr>
        <w:t xml:space="preserve"> </w:t>
      </w:r>
      <w:r w:rsidRPr="24BD05D3">
        <w:rPr>
          <w:rFonts w:eastAsia="Palatino Linotype" w:cs="Palatino Linotype"/>
        </w:rPr>
        <w:t>customers at least 120 days before implementation</w:t>
      </w:r>
      <w:r w:rsidR="009D2CD7">
        <w:rPr>
          <w:rFonts w:eastAsia="Palatino Linotype" w:cs="Palatino Linotype"/>
        </w:rPr>
        <w:t xml:space="preserve"> and</w:t>
      </w:r>
      <w:r w:rsidRPr="24BD05D3">
        <w:rPr>
          <w:rFonts w:eastAsia="Palatino Linotype" w:cs="Palatino Linotype"/>
        </w:rPr>
        <w:t xml:space="preserve"> follow best practices for accessible communications to reach customers who may need to take action to enroll in the correct </w:t>
      </w:r>
      <w:r w:rsidRPr="264B9B03">
        <w:rPr>
          <w:rFonts w:eastAsia="Palatino Linotype" w:cs="Palatino Linotype"/>
        </w:rPr>
        <w:t>ti</w:t>
      </w:r>
      <w:r w:rsidRPr="264B9B03" w:rsidR="55D28B73">
        <w:rPr>
          <w:rFonts w:eastAsia="Palatino Linotype" w:cs="Palatino Linotype"/>
        </w:rPr>
        <w:t>er</w:t>
      </w:r>
      <w:r w:rsidR="009D2CD7">
        <w:rPr>
          <w:rFonts w:eastAsia="Palatino Linotype" w:cs="Palatino Linotype"/>
        </w:rPr>
        <w:t xml:space="preserve">. For example, </w:t>
      </w:r>
      <w:r w:rsidRPr="24BD05D3" w:rsidR="009D2CD7">
        <w:rPr>
          <w:rFonts w:eastAsia="Palatino Linotype" w:cs="Palatino Linotype"/>
        </w:rPr>
        <w:t xml:space="preserve">PG&amp;E plans to initiate direct communication </w:t>
      </w:r>
      <w:r w:rsidR="002C08BE">
        <w:rPr>
          <w:rFonts w:eastAsia="Palatino Linotype" w:cs="Palatino Linotype"/>
        </w:rPr>
        <w:t>with</w:t>
      </w:r>
      <w:r w:rsidRPr="24BD05D3" w:rsidR="009D2CD7">
        <w:rPr>
          <w:rFonts w:eastAsia="Palatino Linotype" w:cs="Palatino Linotype"/>
        </w:rPr>
        <w:t xml:space="preserve">in </w:t>
      </w:r>
      <w:r w:rsidR="009E1D5D">
        <w:rPr>
          <w:rFonts w:eastAsia="Palatino Linotype" w:cs="Palatino Linotype"/>
        </w:rPr>
        <w:br/>
      </w:r>
      <w:r w:rsidRPr="24BD05D3" w:rsidR="009D2CD7">
        <w:rPr>
          <w:rFonts w:eastAsia="Palatino Linotype" w:cs="Palatino Linotype"/>
        </w:rPr>
        <w:t>45 days, SCE 120 days, and SDG&amp;E 90 days before implementation.</w:t>
      </w:r>
      <w:r w:rsidR="00F62979">
        <w:rPr>
          <w:rStyle w:val="FootnoteReference"/>
          <w:rFonts w:eastAsia="Palatino Linotype" w:cs="Palatino Linotype"/>
        </w:rPr>
        <w:footnoteReference w:id="54"/>
      </w:r>
    </w:p>
    <w:p w:rsidR="009D2CD7" w:rsidP="24BD05D3" w:rsidRDefault="009D2CD7" w14:paraId="34BD164A" w14:textId="77777777">
      <w:pPr>
        <w:rPr>
          <w:rFonts w:eastAsia="Palatino Linotype" w:cs="Palatino Linotype"/>
        </w:rPr>
      </w:pPr>
    </w:p>
    <w:p w:rsidR="18A33445" w:rsidP="24BD05D3" w:rsidRDefault="00F86EAF" w14:paraId="07542CA1" w14:textId="76264AC7">
      <w:pPr>
        <w:rPr>
          <w:rFonts w:eastAsia="Palatino Linotype" w:cs="Palatino Linotype"/>
        </w:rPr>
      </w:pPr>
      <w:r>
        <w:rPr>
          <w:rFonts w:eastAsia="Palatino Linotype" w:cs="Palatino Linotype"/>
        </w:rPr>
        <w:t xml:space="preserve">TURN/NRDC recommended the Commission require the </w:t>
      </w:r>
      <w:r w:rsidR="0050592A">
        <w:rPr>
          <w:rFonts w:eastAsia="Palatino Linotype" w:cs="Palatino Linotype"/>
        </w:rPr>
        <w:t xml:space="preserve">IOUs to </w:t>
      </w:r>
      <w:r w:rsidRPr="24BD05D3" w:rsidR="18A33445">
        <w:rPr>
          <w:rFonts w:eastAsia="Palatino Linotype" w:cs="Palatino Linotype"/>
        </w:rPr>
        <w:t>prioritize HTR customers</w:t>
      </w:r>
      <w:r w:rsidR="0050592A">
        <w:rPr>
          <w:rFonts w:eastAsia="Palatino Linotype" w:cs="Palatino Linotype"/>
        </w:rPr>
        <w:t xml:space="preserve">, </w:t>
      </w:r>
      <w:r w:rsidR="00DF09E3">
        <w:rPr>
          <w:rFonts w:eastAsia="Palatino Linotype" w:cs="Palatino Linotype"/>
        </w:rPr>
        <w:t>as previously raised by C4AT.</w:t>
      </w:r>
      <w:r w:rsidR="00EB6B1B">
        <w:rPr>
          <w:rStyle w:val="FootnoteReference"/>
          <w:rFonts w:eastAsia="Palatino Linotype" w:cs="Palatino Linotype"/>
        </w:rPr>
        <w:footnoteReference w:id="55"/>
      </w:r>
      <w:r w:rsidR="00DF09E3">
        <w:rPr>
          <w:rFonts w:eastAsia="Palatino Linotype" w:cs="Palatino Linotype"/>
        </w:rPr>
        <w:t xml:space="preserve"> </w:t>
      </w:r>
      <w:r w:rsidR="006A4248">
        <w:rPr>
          <w:rFonts w:eastAsia="Palatino Linotype" w:cs="Palatino Linotype"/>
        </w:rPr>
        <w:t>They indicated a</w:t>
      </w:r>
      <w:r w:rsidRPr="24BD05D3" w:rsidR="18A33445">
        <w:rPr>
          <w:rFonts w:eastAsia="Palatino Linotype" w:cs="Palatino Linotype"/>
        </w:rPr>
        <w:t xml:space="preserve">ll IOUs commit to developing in-language messaging and working with </w:t>
      </w:r>
      <w:r w:rsidR="00F87366">
        <w:rPr>
          <w:rFonts w:eastAsia="Palatino Linotype" w:cs="Palatino Linotype"/>
        </w:rPr>
        <w:t>c</w:t>
      </w:r>
      <w:r w:rsidR="00D35DD7">
        <w:rPr>
          <w:rFonts w:eastAsia="Palatino Linotype" w:cs="Palatino Linotype"/>
        </w:rPr>
        <w:t>ommunity-</w:t>
      </w:r>
      <w:r w:rsidR="00F87366">
        <w:rPr>
          <w:rFonts w:eastAsia="Palatino Linotype" w:cs="Palatino Linotype"/>
        </w:rPr>
        <w:t>b</w:t>
      </w:r>
      <w:r w:rsidR="00D35DD7">
        <w:rPr>
          <w:rFonts w:eastAsia="Palatino Linotype" w:cs="Palatino Linotype"/>
        </w:rPr>
        <w:t xml:space="preserve">ased </w:t>
      </w:r>
      <w:r w:rsidR="00F87366">
        <w:rPr>
          <w:rFonts w:eastAsia="Palatino Linotype" w:cs="Palatino Linotype"/>
        </w:rPr>
        <w:t>o</w:t>
      </w:r>
      <w:r w:rsidR="00D35DD7">
        <w:rPr>
          <w:rFonts w:eastAsia="Palatino Linotype" w:cs="Palatino Linotype"/>
        </w:rPr>
        <w:t>rganizations (</w:t>
      </w:r>
      <w:r w:rsidRPr="24BD05D3" w:rsidR="18A33445">
        <w:rPr>
          <w:rFonts w:eastAsia="Palatino Linotype" w:cs="Palatino Linotype"/>
        </w:rPr>
        <w:t>CBOs</w:t>
      </w:r>
      <w:r w:rsidR="00D35DD7">
        <w:rPr>
          <w:rFonts w:eastAsia="Palatino Linotype" w:cs="Palatino Linotype"/>
        </w:rPr>
        <w:t>)</w:t>
      </w:r>
      <w:r w:rsidRPr="24BD05D3" w:rsidR="18A33445">
        <w:rPr>
          <w:rFonts w:eastAsia="Palatino Linotype" w:cs="Palatino Linotype"/>
        </w:rPr>
        <w:t xml:space="preserve"> to contact HTR customers.</w:t>
      </w:r>
      <w:r w:rsidR="004E5EAA">
        <w:rPr>
          <w:rFonts w:eastAsia="Palatino Linotype" w:cs="Palatino Linotype"/>
        </w:rPr>
        <w:t xml:space="preserve"> </w:t>
      </w:r>
      <w:r w:rsidR="00D70DAF">
        <w:rPr>
          <w:rFonts w:eastAsia="Palatino Linotype" w:cs="Palatino Linotype"/>
        </w:rPr>
        <w:t xml:space="preserve">However, </w:t>
      </w:r>
      <w:r w:rsidRPr="24BD05D3" w:rsidR="18A33445">
        <w:rPr>
          <w:rFonts w:eastAsia="Palatino Linotype" w:cs="Palatino Linotype"/>
        </w:rPr>
        <w:t>SCE and PG&amp;E should be required to clarify, like SDG&amp;E, that their ME&amp;O plans include explicit funding for supporting CBOs.</w:t>
      </w:r>
      <w:r w:rsidR="00C21BF2">
        <w:rPr>
          <w:rStyle w:val="FootnoteReference"/>
          <w:rFonts w:eastAsia="Palatino Linotype" w:cs="Palatino Linotype"/>
        </w:rPr>
        <w:footnoteReference w:id="56"/>
      </w:r>
    </w:p>
    <w:p w:rsidRPr="00FE2B1C" w:rsidR="00FE2B1C" w:rsidP="00FE2B1C" w:rsidRDefault="00FE2B1C" w14:paraId="323FFEEE" w14:textId="1F563989"/>
    <w:p w:rsidR="00FE2B1C" w:rsidP="00FE2B1C" w:rsidRDefault="005F489E" w14:paraId="5C23B728" w14:textId="053DEB99">
      <w:r w:rsidRPr="00030801">
        <w:t>Finally, TURN/NRDC recommended that each IOU be required to implement the fixed charge in a timely manner and that the Commission establish that failure to implement on schedule constitutes IOU noncompliance, which could result in disallowing some portion of IGFCMA costs or other forms of financial penalty</w:t>
      </w:r>
      <w:r w:rsidRPr="00FE2B1C" w:rsidR="00FE2B1C">
        <w:t>.</w:t>
      </w:r>
      <w:r w:rsidR="00F928C0">
        <w:t xml:space="preserve"> </w:t>
      </w:r>
      <w:r w:rsidR="0029082B">
        <w:t xml:space="preserve">TURN/NRDC indicated </w:t>
      </w:r>
      <w:r w:rsidR="00F928C0">
        <w:lastRenderedPageBreak/>
        <w:t>SDG&amp;E does not specify a starting date within the timeframe outlined in the Decision for implementation</w:t>
      </w:r>
      <w:r w:rsidR="007543A1">
        <w:t>.</w:t>
      </w:r>
      <w:r w:rsidR="006B4B88">
        <w:rPr>
          <w:rStyle w:val="FootnoteReference"/>
        </w:rPr>
        <w:footnoteReference w:id="57"/>
      </w:r>
      <w:r w:rsidRPr="00FE2B1C" w:rsidR="00FE2B1C">
        <w:t> </w:t>
      </w:r>
    </w:p>
    <w:p w:rsidR="007F46E0" w:rsidP="00FE2B1C" w:rsidRDefault="007F46E0" w14:paraId="312DC105" w14:textId="77777777"/>
    <w:p w:rsidR="1DE32884" w:rsidP="1DE32884" w:rsidRDefault="1DE32884" w14:paraId="35337EB1" w14:textId="4DFA579A"/>
    <w:p w:rsidRPr="00FE2B1C" w:rsidR="00FE2B1C" w:rsidP="004716A9" w:rsidRDefault="001B7131" w14:paraId="61364EB0" w14:textId="300686E4">
      <w:pPr>
        <w:pStyle w:val="Heading3"/>
      </w:pPr>
      <w:r>
        <w:t>3</w:t>
      </w:r>
      <w:r w:rsidR="004E0E81">
        <w:t>.3</w:t>
      </w:r>
      <w:r w:rsidR="000A0632">
        <w:t>.</w:t>
      </w:r>
      <w:r w:rsidR="004E0E81">
        <w:tab/>
      </w:r>
      <w:r w:rsidR="007F46E0">
        <w:t>SEIA’s Protest</w:t>
      </w:r>
    </w:p>
    <w:p w:rsidR="00F16B31" w:rsidRDefault="00612D80" w14:paraId="2D0FA002" w14:textId="4D580E8F">
      <w:r w:rsidRPr="00612D80">
        <w:t>SEIA recommended that SDG&amp;E submit a supplemental to (1) correct errors in its ME&amp;O basic messaging, (2) address customers, even some low-income customers, who will see bill increases in their overall bill due to implementing the flat rate, and</w:t>
      </w:r>
      <w:r w:rsidR="009E1D5D">
        <w:br/>
      </w:r>
      <w:r w:rsidRPr="00612D80">
        <w:t>(3) provide customers with individual bill impacts, if feasible</w:t>
      </w:r>
      <w:r w:rsidR="24EE2FFA">
        <w:t>.</w:t>
      </w:r>
      <w:r w:rsidR="0027080F">
        <w:rPr>
          <w:rStyle w:val="FootnoteReference"/>
        </w:rPr>
        <w:footnoteReference w:id="58"/>
      </w:r>
      <w:r w:rsidRPr="006808C7" w:rsidR="3BEBA27E">
        <w:t xml:space="preserve"> </w:t>
      </w:r>
      <w:r w:rsidRPr="006808C7" w:rsidR="006808C7">
        <w:t>SEIA argued that certain aspects of SDG&amp;E's messaging are unclear and incorrect and, for purposes of accuracy and IOU message alignment, must be revised and clarified and that the Commission should direct SDG&amp;E to use language explaining the fixed charge similar to what SCE has put forth in its AL</w:t>
      </w:r>
      <w:r w:rsidR="0027080F">
        <w:t>.</w:t>
      </w:r>
      <w:r w:rsidR="0023160C">
        <w:rPr>
          <w:rStyle w:val="FootnoteReference"/>
        </w:rPr>
        <w:footnoteReference w:id="59"/>
      </w:r>
      <w:r w:rsidR="0027080F">
        <w:t xml:space="preserve"> </w:t>
      </w:r>
    </w:p>
    <w:p w:rsidR="00F16B31" w:rsidRDefault="00F16B31" w14:paraId="2B87CAA5" w14:textId="77777777"/>
    <w:p w:rsidR="00F16B31" w:rsidP="00FE2B1C" w:rsidRDefault="00612D80" w14:paraId="175F009B" w14:textId="22AC1876">
      <w:r w:rsidRPr="00612D80">
        <w:t>SEIA also argued that SDG&amp;E should ensure educational materials are explicit that not all customers will see bills decreased, explain why that is the case, and provide information on how customers can mitigate the impact of the increase by including steps to reduce usage, to shift load to lower-priced off-peak periods, and to invest in load-reducing distributed energy resources.</w:t>
      </w:r>
      <w:r w:rsidR="00761966">
        <w:rPr>
          <w:rStyle w:val="FootnoteReference"/>
        </w:rPr>
        <w:footnoteReference w:id="60"/>
      </w:r>
      <w:r w:rsidRPr="00612D80">
        <w:t xml:space="preserve"> </w:t>
      </w:r>
      <w:r w:rsidR="00401FC6">
        <w:t>SEIA further argued that w</w:t>
      </w:r>
      <w:r w:rsidRPr="00612D80">
        <w:t>hile SDG&amp;E's ME&amp;O plan places significant emphasis on the fact that due to the fixed charge, the price customers pay per kWh will be less than what they are paying now, SEIA indicated that SDG&amp;E does not address that for specific customers this reduction will not make up for the required payment of a fixed charge</w:t>
      </w:r>
      <w:r w:rsidR="24EE2FFA">
        <w:t>.</w:t>
      </w:r>
      <w:r w:rsidR="008A5D7A">
        <w:rPr>
          <w:rStyle w:val="FootnoteReference"/>
        </w:rPr>
        <w:footnoteReference w:id="61"/>
      </w:r>
      <w:r w:rsidR="24EE2FFA">
        <w:t xml:space="preserve"> </w:t>
      </w:r>
    </w:p>
    <w:p w:rsidR="00F16B31" w:rsidP="00FE2B1C" w:rsidRDefault="00F16B31" w14:paraId="4B670DE3" w14:textId="77777777"/>
    <w:p w:rsidR="00773DDE" w:rsidP="00FE2B1C" w:rsidRDefault="00612D80" w14:paraId="7A3B924D" w14:textId="3C2F5968">
      <w:r w:rsidRPr="00612D80">
        <w:t xml:space="preserve">SEIA also recommended that the Commission direct SDG&amp;E to provide individual bill impacts to customers. </w:t>
      </w:r>
      <w:r w:rsidR="00FA1D0D">
        <w:t>SEIA stated that i</w:t>
      </w:r>
      <w:r w:rsidRPr="00612D80">
        <w:t xml:space="preserve">f SDG&amp;E's billing system precludes it from providing individual bill impacts, then the Commission should require SDG&amp;E to provide narrowly targeted sample bills, </w:t>
      </w:r>
      <w:proofErr w:type="gramStart"/>
      <w:r w:rsidRPr="00612D80">
        <w:t>taking into account</w:t>
      </w:r>
      <w:proofErr w:type="gramEnd"/>
      <w:r w:rsidRPr="00612D80">
        <w:t xml:space="preserve"> the geographic location of the customer, the annual average usage level, and whether the customer has solar </w:t>
      </w:r>
      <w:r w:rsidRPr="00612D80" w:rsidR="434D0272">
        <w:t>and</w:t>
      </w:r>
      <w:r w:rsidRPr="00612D80">
        <w:t xml:space="preserve"> storage or an electric vehicle if known</w:t>
      </w:r>
      <w:r w:rsidR="24EE2FFA">
        <w:t>.</w:t>
      </w:r>
      <w:r w:rsidR="006F3717">
        <w:rPr>
          <w:rStyle w:val="FootnoteReference"/>
        </w:rPr>
        <w:footnoteReference w:id="62"/>
      </w:r>
      <w:r w:rsidR="24EE2FFA">
        <w:t xml:space="preserve"> </w:t>
      </w:r>
    </w:p>
    <w:p w:rsidR="0023160C" w:rsidP="004E0615" w:rsidRDefault="0023160C" w14:paraId="5C9A1566" w14:textId="77777777"/>
    <w:p w:rsidR="00B0368A" w:rsidP="00B872DA" w:rsidRDefault="001B7131" w14:paraId="4E0C72AD" w14:textId="64587403">
      <w:pPr>
        <w:pStyle w:val="Heading3"/>
      </w:pPr>
      <w:r>
        <w:lastRenderedPageBreak/>
        <w:t>3</w:t>
      </w:r>
      <w:r w:rsidR="00642A63">
        <w:t>.4</w:t>
      </w:r>
      <w:r w:rsidR="000A0632">
        <w:t>.</w:t>
      </w:r>
      <w:r w:rsidR="006B5B6D">
        <w:tab/>
        <w:t>C4AT’s Protest</w:t>
      </w:r>
    </w:p>
    <w:p w:rsidR="0094105A" w:rsidP="00FE2B1C" w:rsidRDefault="0094105A" w14:paraId="3274D6CA" w14:textId="79C220AF">
      <w:pPr>
        <w:rPr>
          <w:vertAlign w:val="superscript"/>
        </w:rPr>
      </w:pPr>
      <w:r w:rsidRPr="00FE2B1C">
        <w:t xml:space="preserve">C4AT </w:t>
      </w:r>
      <w:r w:rsidR="00E91297">
        <w:t xml:space="preserve">argued that the IOUs’ ALs do not appropriately implement the tier placement requirements </w:t>
      </w:r>
      <w:r w:rsidR="00AE3EBD">
        <w:t>of</w:t>
      </w:r>
      <w:r w:rsidR="00E91297">
        <w:t xml:space="preserve"> D.24-05-028 and</w:t>
      </w:r>
      <w:r w:rsidRPr="00FE2B1C">
        <w:t xml:space="preserve"> that the Commission </w:t>
      </w:r>
      <w:r w:rsidR="00E91297">
        <w:t xml:space="preserve">should </w:t>
      </w:r>
      <w:r w:rsidRPr="00FE2B1C">
        <w:t xml:space="preserve">require the IOUs to provide information on how they will communicate </w:t>
      </w:r>
      <w:r w:rsidR="00162754">
        <w:t>Tier 1</w:t>
      </w:r>
      <w:r w:rsidR="0007518B">
        <w:t xml:space="preserve"> assignment</w:t>
      </w:r>
      <w:r w:rsidR="00E85317">
        <w:t>s</w:t>
      </w:r>
      <w:r w:rsidRPr="00FE2B1C">
        <w:t xml:space="preserve"> to customers </w:t>
      </w:r>
      <w:r w:rsidR="006923D9">
        <w:t>enrolled in CARE</w:t>
      </w:r>
      <w:r w:rsidR="00E91297">
        <w:t>, with no action necessary for those enrolled in CARE and a process in place for those not enrolled in CARE</w:t>
      </w:r>
      <w:r w:rsidRPr="00FE2B1C">
        <w:t xml:space="preserve"> as part of the overall ME&amp;O plan.</w:t>
      </w:r>
      <w:r w:rsidR="00BC70CB">
        <w:rPr>
          <w:rStyle w:val="FootnoteReference"/>
        </w:rPr>
        <w:footnoteReference w:id="63"/>
      </w:r>
    </w:p>
    <w:p w:rsidR="00E85317" w:rsidP="00FE2B1C" w:rsidRDefault="00E85317" w14:paraId="3748C4A2" w14:textId="77777777">
      <w:pPr>
        <w:rPr>
          <w:vertAlign w:val="superscript"/>
        </w:rPr>
      </w:pPr>
    </w:p>
    <w:p w:rsidR="0618A592" w:rsidP="2C5F1708" w:rsidRDefault="001B7131" w14:paraId="533B0B91" w14:textId="30677966">
      <w:pPr>
        <w:pStyle w:val="Heading3"/>
      </w:pPr>
      <w:r>
        <w:t>3</w:t>
      </w:r>
      <w:r w:rsidR="40948263">
        <w:t>.5.</w:t>
      </w:r>
      <w:r w:rsidR="40948263">
        <w:tab/>
      </w:r>
      <w:r w:rsidR="7613DF9C">
        <w:t>CEJA</w:t>
      </w:r>
      <w:r w:rsidR="00C5683E">
        <w:t>’s Protest</w:t>
      </w:r>
      <w:r w:rsidR="40948263">
        <w:t> </w:t>
      </w:r>
    </w:p>
    <w:p w:rsidR="0B261F63" w:rsidP="0618A592" w:rsidRDefault="0B261F63" w14:paraId="797D65E3" w14:textId="19C8F940">
      <w:pPr>
        <w:rPr>
          <w:vertAlign w:val="superscript"/>
        </w:rPr>
      </w:pPr>
      <w:r w:rsidRPr="00C5683E">
        <w:t xml:space="preserve">CEJA </w:t>
      </w:r>
      <w:r w:rsidR="01747D94">
        <w:t>recommended</w:t>
      </w:r>
      <w:r w:rsidRPr="00C5683E">
        <w:t xml:space="preserve"> that SDG&amp;E update its AL with a line-item that breaks out the budge</w:t>
      </w:r>
      <w:r w:rsidRPr="00C5683E" w:rsidR="7DF1129B">
        <w:t>t cost of the estimate</w:t>
      </w:r>
      <w:r w:rsidR="7DF1129B">
        <w:t xml:space="preserve"> </w:t>
      </w:r>
      <w:r w:rsidR="22583EF6">
        <w:t>for</w:t>
      </w:r>
      <w:r w:rsidRPr="00C5683E" w:rsidR="7DF1129B">
        <w:t xml:space="preserve"> the customer rate tool </w:t>
      </w:r>
      <w:r w:rsidR="00AB62E0">
        <w:t>in its ME&amp;O budget</w:t>
      </w:r>
      <w:r w:rsidRPr="00C5683E" w:rsidR="7DF1129B">
        <w:t xml:space="preserve"> to demonstrate that SDG&amp;E is not budgeting more for this task than D.24-05-028 approved.</w:t>
      </w:r>
      <w:r w:rsidR="00D133FE">
        <w:rPr>
          <w:rStyle w:val="FootnoteReference"/>
        </w:rPr>
        <w:footnoteReference w:id="64"/>
      </w:r>
    </w:p>
    <w:p w:rsidRPr="00FE2B1C" w:rsidR="00FE2B1C" w:rsidP="00FE2B1C" w:rsidRDefault="00FE2B1C" w14:paraId="67BABB3B" w14:textId="77777777">
      <w:r w:rsidRPr="00FE2B1C">
        <w:t> </w:t>
      </w:r>
    </w:p>
    <w:p w:rsidRPr="00FE2B1C" w:rsidR="00FE2B1C" w:rsidP="00114308" w:rsidRDefault="001B7131" w14:paraId="01ADB4CF" w14:textId="0CA8FD86">
      <w:pPr>
        <w:pStyle w:val="Heading3"/>
      </w:pPr>
      <w:r>
        <w:t>3</w:t>
      </w:r>
      <w:r w:rsidR="00114308">
        <w:t>.</w:t>
      </w:r>
      <w:r w:rsidR="2A0F691E">
        <w:t>6</w:t>
      </w:r>
      <w:r w:rsidR="000A0632">
        <w:t>.</w:t>
      </w:r>
      <w:r w:rsidR="00114308">
        <w:tab/>
      </w:r>
      <w:r w:rsidRPr="00FE2B1C" w:rsidR="00FE2B1C">
        <w:t>S</w:t>
      </w:r>
      <w:r w:rsidR="00AB7A25">
        <w:t>DG&amp;E</w:t>
      </w:r>
      <w:r w:rsidRPr="00FE2B1C" w:rsidR="00FE2B1C">
        <w:t>’s Reply to Protests </w:t>
      </w:r>
    </w:p>
    <w:p w:rsidR="00FE2B1C" w:rsidP="00FE2B1C" w:rsidRDefault="00FE2B1C" w14:paraId="7FFE0BAA" w14:textId="31E9104F">
      <w:r w:rsidRPr="00FE2B1C">
        <w:t>S</w:t>
      </w:r>
      <w:r w:rsidR="00AB7A25">
        <w:t>DG&amp;E</w:t>
      </w:r>
      <w:r w:rsidR="00DA741A">
        <w:t xml:space="preserve"> disagree</w:t>
      </w:r>
      <w:r w:rsidR="009B4EDA">
        <w:t>d</w:t>
      </w:r>
      <w:r w:rsidR="00DA741A">
        <w:t xml:space="preserve"> with </w:t>
      </w:r>
      <w:r w:rsidR="00467695">
        <w:t>Cal Advocates</w:t>
      </w:r>
      <w:r w:rsidR="0010143D">
        <w:t xml:space="preserve"> that it failed to provide s</w:t>
      </w:r>
      <w:r w:rsidR="00FA5B62">
        <w:t>ufficient justification for its</w:t>
      </w:r>
      <w:r w:rsidR="009B4EDA">
        <w:t xml:space="preserve"> ME&amp;O budget and</w:t>
      </w:r>
      <w:r w:rsidR="00467695">
        <w:t xml:space="preserve"> </w:t>
      </w:r>
      <w:r w:rsidRPr="00FE2B1C">
        <w:t>argued that its proposed ME&amp;O plan and budget level of details comply with the Decision and</w:t>
      </w:r>
      <w:r w:rsidR="009B4EDA">
        <w:t xml:space="preserve"> that it</w:t>
      </w:r>
      <w:r w:rsidRPr="00FE2B1C">
        <w:t xml:space="preserve"> provided all explanations, justifications, and supporting evidence as requested in Cal Advocates’ data request.</w:t>
      </w:r>
      <w:r w:rsidR="00F850E9">
        <w:rPr>
          <w:rStyle w:val="FootnoteReference"/>
        </w:rPr>
        <w:footnoteReference w:id="65"/>
      </w:r>
      <w:r w:rsidR="009A7F30">
        <w:rPr>
          <w:vertAlign w:val="superscript"/>
        </w:rPr>
        <w:t xml:space="preserve"> </w:t>
      </w:r>
      <w:r w:rsidR="008F456B">
        <w:rPr>
          <w:vertAlign w:val="superscript"/>
        </w:rPr>
        <w:t xml:space="preserve"> </w:t>
      </w:r>
      <w:r w:rsidR="008F456B">
        <w:t>SDG&amp;E indicated it is attempting to</w:t>
      </w:r>
      <w:r w:rsidR="005130EE">
        <w:t xml:space="preserve"> keep ME&amp;O costs to a minimum and </w:t>
      </w:r>
      <w:r w:rsidR="00C64180">
        <w:t>will continue to look for cost efficiencies and savings throughout each phase of the fixed charge rollout.</w:t>
      </w:r>
      <w:r w:rsidR="00045E67">
        <w:t xml:space="preserve"> SDG&amp;E</w:t>
      </w:r>
      <w:r w:rsidR="002223A8">
        <w:t xml:space="preserve"> contended its</w:t>
      </w:r>
      <w:r w:rsidR="00045E67">
        <w:t xml:space="preserve"> ME&amp;</w:t>
      </w:r>
      <w:r w:rsidR="005F309F">
        <w:t>O</w:t>
      </w:r>
      <w:r w:rsidR="00045E67">
        <w:t xml:space="preserve"> plan and subsequent data request response </w:t>
      </w:r>
      <w:r w:rsidR="005F309F">
        <w:t>included the planned activities and estimated expenditures</w:t>
      </w:r>
      <w:r w:rsidR="00C64180">
        <w:t xml:space="preserve"> and request</w:t>
      </w:r>
      <w:r w:rsidR="002223A8">
        <w:t>ed</w:t>
      </w:r>
      <w:r w:rsidR="00C64180">
        <w:t xml:space="preserve"> that the Commission approve</w:t>
      </w:r>
      <w:r w:rsidR="00C12A80">
        <w:t xml:space="preserve"> </w:t>
      </w:r>
      <w:r w:rsidR="002223A8">
        <w:t>its ME&amp;O plan</w:t>
      </w:r>
      <w:r w:rsidR="002E4757">
        <w:t>.</w:t>
      </w:r>
      <w:r w:rsidR="005B0E17">
        <w:rPr>
          <w:rStyle w:val="FootnoteReference"/>
        </w:rPr>
        <w:footnoteReference w:id="66"/>
      </w:r>
    </w:p>
    <w:p w:rsidR="00806556" w:rsidP="00FE2B1C" w:rsidRDefault="00806556" w14:paraId="6E28BAB4" w14:textId="77777777"/>
    <w:p w:rsidR="00FE2B1C" w:rsidP="00FE2B1C" w:rsidRDefault="004C18C9" w14:paraId="501267E1" w14:textId="2FA67301">
      <w:r>
        <w:t xml:space="preserve">SDG&amp;E contended that </w:t>
      </w:r>
      <w:r w:rsidRPr="00E21EEF">
        <w:t>Cal Advocates' recommendation that the Commission mandate SDG&amp;E to report ME&amp;O metrics by customer tier or audience is outside the scope of the Decision and misaligned with practical constraints.</w:t>
      </w:r>
      <w:r w:rsidRPr="692BF8B6">
        <w:rPr>
          <w:rStyle w:val="FootnoteReference"/>
        </w:rPr>
        <w:footnoteReference w:id="67"/>
      </w:r>
      <w:r>
        <w:t xml:space="preserve"> SDG&amp;E indicated</w:t>
      </w:r>
      <w:r w:rsidRPr="00B13417" w:rsidR="00B13417">
        <w:t xml:space="preserve"> its ME&amp;O metrics meet the requirements of the Decision</w:t>
      </w:r>
      <w:r w:rsidRPr="00B13417" w:rsidR="368E3435">
        <w:t>;</w:t>
      </w:r>
      <w:r w:rsidRPr="00B13417" w:rsidR="00B13417">
        <w:t xml:space="preserve"> and due to system limitations, customer privacy, and the untraceable nature of some tactics, direct linkage to specific customers is not always feasible</w:t>
      </w:r>
      <w:r w:rsidR="00137FF7">
        <w:t>.</w:t>
      </w:r>
      <w:r w:rsidRPr="00B13417" w:rsidR="00B13417">
        <w:t xml:space="preserve"> SDG&amp;E</w:t>
      </w:r>
      <w:r w:rsidR="00137FF7">
        <w:t xml:space="preserve"> stated it</w:t>
      </w:r>
      <w:r w:rsidRPr="00B13417" w:rsidR="00B13417">
        <w:t xml:space="preserve"> can report on impressions by demographics (such as language and zip code)</w:t>
      </w:r>
      <w:r w:rsidR="00542EB6">
        <w:t>, but the</w:t>
      </w:r>
      <w:r w:rsidRPr="00B13417" w:rsidR="00B13417">
        <w:t xml:space="preserve"> reports do not correspond with customer tiers </w:t>
      </w:r>
      <w:r w:rsidRPr="00B13417" w:rsidR="00B13417">
        <w:lastRenderedPageBreak/>
        <w:t>or enrollment status.</w:t>
      </w:r>
      <w:r w:rsidR="00206A04">
        <w:rPr>
          <w:rStyle w:val="FootnoteReference"/>
        </w:rPr>
        <w:footnoteReference w:id="68"/>
      </w:r>
      <w:r w:rsidRPr="00B13417" w:rsidR="00B13417">
        <w:t> </w:t>
      </w:r>
      <w:r w:rsidR="00542EB6">
        <w:t>SDG&amp;E further explained w</w:t>
      </w:r>
      <w:r w:rsidRPr="00B13417" w:rsidR="00B13417">
        <w:t>here it is possible to associate touchpoints with individual customers, such as bill messaging or direct mail, manual labor and related costs are required to disaggregate the data by tier or DRAH status. SDG&amp;E</w:t>
      </w:r>
      <w:r w:rsidR="00B7490E">
        <w:t xml:space="preserve"> indicated it</w:t>
      </w:r>
      <w:r w:rsidRPr="00B13417" w:rsidR="00B13417">
        <w:t xml:space="preserve"> can prepare to provide these results if necessary</w:t>
      </w:r>
      <w:r w:rsidR="002E61D9">
        <w:t xml:space="preserve"> and</w:t>
      </w:r>
      <w:r w:rsidRPr="00B13417" w:rsidR="00B13417">
        <w:t xml:space="preserve"> that a more acceptable tool for assessing efficacy would be a customer survey tied to customer accounts, tier, and DRAH status, which SDG&amp;E intends to deploy in the first quarter of 2025.</w:t>
      </w:r>
      <w:r w:rsidR="002078EB">
        <w:rPr>
          <w:rStyle w:val="FootnoteReference"/>
        </w:rPr>
        <w:footnoteReference w:id="69"/>
      </w:r>
      <w:r w:rsidRPr="00FE2B1C" w:rsidR="00FE2B1C">
        <w:t> </w:t>
      </w:r>
    </w:p>
    <w:p w:rsidRPr="00FE2B1C" w:rsidR="00B13417" w:rsidP="00FE2B1C" w:rsidRDefault="00B13417" w14:paraId="5FD6467B" w14:textId="77777777"/>
    <w:p w:rsidRPr="00FE2B1C" w:rsidR="00FE2B1C" w:rsidP="00FE2B1C" w:rsidRDefault="00FE2B1C" w14:paraId="6D27FB87" w14:textId="3892A719">
      <w:r w:rsidRPr="00FE2B1C">
        <w:t>In response to TURN/NRDC’s assertion that the IOUs do not present specific ME&amp;O strategies to increase CARE and FERA enrollment,</w:t>
      </w:r>
      <w:r w:rsidR="00210BB0">
        <w:rPr>
          <w:rStyle w:val="FootnoteReference"/>
        </w:rPr>
        <w:footnoteReference w:id="70"/>
      </w:r>
      <w:r w:rsidRPr="00FE2B1C">
        <w:t xml:space="preserve"> S</w:t>
      </w:r>
      <w:r w:rsidR="00AB7A25">
        <w:t>DG&amp;E</w:t>
      </w:r>
      <w:r w:rsidRPr="00FE2B1C">
        <w:t xml:space="preserve"> </w:t>
      </w:r>
      <w:r w:rsidR="00AF59D8">
        <w:t>explained</w:t>
      </w:r>
      <w:r w:rsidRPr="00FE2B1C">
        <w:t xml:space="preserve"> that </w:t>
      </w:r>
      <w:r w:rsidR="00AF59D8">
        <w:t xml:space="preserve">it has existing programs for outreach </w:t>
      </w:r>
      <w:r w:rsidR="00393C5E">
        <w:t>to</w:t>
      </w:r>
      <w:r w:rsidR="00AF59D8">
        <w:t xml:space="preserve"> CARE</w:t>
      </w:r>
      <w:r w:rsidR="007B7127">
        <w:t>-</w:t>
      </w:r>
      <w:r w:rsidR="00393C5E">
        <w:t xml:space="preserve"> </w:t>
      </w:r>
      <w:r w:rsidR="00347F4D">
        <w:t>a</w:t>
      </w:r>
      <w:r w:rsidR="00AF59D8">
        <w:t>nd FERA</w:t>
      </w:r>
      <w:r w:rsidR="00347F4D">
        <w:t>-</w:t>
      </w:r>
      <w:r w:rsidR="00AF59D8">
        <w:t>eligible house</w:t>
      </w:r>
      <w:r w:rsidR="002872BE">
        <w:t>holds</w:t>
      </w:r>
      <w:r w:rsidRPr="00FE2B1C">
        <w:t xml:space="preserve"> and </w:t>
      </w:r>
      <w:r w:rsidR="00A20F7F">
        <w:t>that</w:t>
      </w:r>
      <w:r w:rsidR="00A86146">
        <w:t xml:space="preserve"> it</w:t>
      </w:r>
      <w:r w:rsidRPr="00FE2B1C">
        <w:t xml:space="preserve"> is incorrect to suggest that </w:t>
      </w:r>
      <w:r w:rsidR="00AB7A25">
        <w:t>SDG&amp;E</w:t>
      </w:r>
      <w:r w:rsidRPr="00FE2B1C">
        <w:t xml:space="preserve"> divert the fixed charge ME&amp;O funding to CARE and FERA enrollment as the requested costs are additional and dedicated to the fixed charge ME&amp;O campaign.</w:t>
      </w:r>
      <w:r w:rsidR="00946715">
        <w:rPr>
          <w:rStyle w:val="FootnoteReference"/>
        </w:rPr>
        <w:footnoteReference w:id="71"/>
      </w:r>
      <w:r w:rsidRPr="00FE2B1C">
        <w:t xml:space="preserve"> S</w:t>
      </w:r>
      <w:r w:rsidR="00AB7A25">
        <w:t>DG&amp;E</w:t>
      </w:r>
      <w:r w:rsidRPr="00FE2B1C">
        <w:t xml:space="preserve"> intends to incorporate the fixed charge into its CARE and FERA materials where feasible, including capitation agencies, CBOs, and other low-income program venues to reach CARE and FERA-eligible customers. During Phase 2</w:t>
      </w:r>
      <w:r w:rsidR="00231746">
        <w:t xml:space="preserve"> (Inform)</w:t>
      </w:r>
      <w:r w:rsidRPr="00FE2B1C">
        <w:t xml:space="preserve"> communications, S</w:t>
      </w:r>
      <w:r w:rsidR="00AB7A25">
        <w:t>DG&amp;E</w:t>
      </w:r>
      <w:r w:rsidRPr="00FE2B1C">
        <w:t xml:space="preserve"> </w:t>
      </w:r>
      <w:r w:rsidR="00107BBD">
        <w:t>stated it</w:t>
      </w:r>
      <w:r w:rsidRPr="00FE2B1C">
        <w:t xml:space="preserve"> will inform customers via email or direct mail about the fixed charge.</w:t>
      </w:r>
      <w:r w:rsidR="006959E4">
        <w:rPr>
          <w:rStyle w:val="FootnoteReference"/>
        </w:rPr>
        <w:footnoteReference w:id="72"/>
      </w:r>
      <w:r w:rsidRPr="00FE2B1C">
        <w:t> </w:t>
      </w:r>
    </w:p>
    <w:p w:rsidRPr="00FE2B1C" w:rsidR="00FE2B1C" w:rsidP="00FE2B1C" w:rsidRDefault="00FE2B1C" w14:paraId="31E94D40" w14:textId="77777777">
      <w:r w:rsidRPr="00FE2B1C">
        <w:t> </w:t>
      </w:r>
    </w:p>
    <w:p w:rsidR="00F61107" w:rsidP="145E0790" w:rsidRDefault="00A36F42" w14:paraId="60AEE315" w14:textId="3FFFF720">
      <w:pPr>
        <w:spacing w:line="259" w:lineRule="auto"/>
        <w:rPr>
          <w:rFonts w:cs="Palatino Linotype"/>
        </w:rPr>
      </w:pPr>
      <w:r>
        <w:t>Based on</w:t>
      </w:r>
      <w:r w:rsidRPr="00F61107" w:rsidR="00F61107">
        <w:t xml:space="preserve"> TURN/NRDC's recommendation that the Commission order the IOUs to align on direct outreach to customers instead of current proposals (SCE up to 120 days, SDG&amp;E at 90 days, and PG&amp;E approximately 45 days) with at least 120 days before implementation,</w:t>
      </w:r>
      <w:r w:rsidR="004B43F2">
        <w:rPr>
          <w:rStyle w:val="FootnoteReference"/>
        </w:rPr>
        <w:footnoteReference w:id="73"/>
      </w:r>
      <w:r w:rsidRPr="00F61107" w:rsidR="00F61107">
        <w:t xml:space="preserve"> SDG&amp;E contended it is not opposed to initiating direct outreach up to 120 days</w:t>
      </w:r>
      <w:r w:rsidR="00927E1D">
        <w:t>; b</w:t>
      </w:r>
      <w:r w:rsidR="00E77B36">
        <w:t>ut its</w:t>
      </w:r>
      <w:r w:rsidRPr="00F61107" w:rsidR="00F61107">
        <w:t xml:space="preserve"> research findings and previous experience support </w:t>
      </w:r>
      <w:r w:rsidR="00927E1D">
        <w:t>its</w:t>
      </w:r>
      <w:r w:rsidRPr="00F61107" w:rsidR="00F61107">
        <w:t xml:space="preserve"> proposed outreach timeline, which </w:t>
      </w:r>
      <w:r w:rsidR="09510D48">
        <w:t>SDG&amp;E</w:t>
      </w:r>
      <w:r w:rsidR="1D5B92A5">
        <w:t xml:space="preserve"> believe</w:t>
      </w:r>
      <w:r w:rsidR="2FFE0581">
        <w:t>s</w:t>
      </w:r>
      <w:r w:rsidRPr="00F61107" w:rsidR="00F61107">
        <w:t xml:space="preserve"> align with the Commission's goal.</w:t>
      </w:r>
      <w:r w:rsidRPr="00F61107" w:rsidR="3641D32B">
        <w:t xml:space="preserve"> It found that customers are less likely to take notice or action if the information is presented too far in advance. </w:t>
      </w:r>
      <w:r w:rsidRPr="00F61107" w:rsidR="00F61107">
        <w:t xml:space="preserve"> Based on SDG&amp;E's April 2024 online survey, an average of 62% </w:t>
      </w:r>
      <w:r w:rsidRPr="00F61107" w:rsidR="54AC27CB">
        <w:t xml:space="preserve">of the customers </w:t>
      </w:r>
      <w:r w:rsidRPr="00F61107" w:rsidR="00F61107">
        <w:t xml:space="preserve">responded </w:t>
      </w:r>
      <w:r w:rsidRPr="00F61107" w:rsidR="724F7D34">
        <w:t>they</w:t>
      </w:r>
      <w:r w:rsidRPr="00F61107" w:rsidR="63F2329B">
        <w:t xml:space="preserve"> </w:t>
      </w:r>
      <w:r w:rsidRPr="00F61107" w:rsidR="1596CF17">
        <w:t xml:space="preserve">prefer </w:t>
      </w:r>
      <w:r w:rsidRPr="00F61107" w:rsidR="71E43E02">
        <w:t xml:space="preserve">being </w:t>
      </w:r>
      <w:r w:rsidR="04AD3F3F">
        <w:t>notified</w:t>
      </w:r>
      <w:r w:rsidRPr="00F61107" w:rsidR="1596CF17">
        <w:t xml:space="preserve"> within </w:t>
      </w:r>
      <w:r w:rsidRPr="00F61107" w:rsidR="00F61107">
        <w:t xml:space="preserve">90 days or less, while 32% </w:t>
      </w:r>
      <w:r w:rsidRPr="00F61107" w:rsidR="71FD3898">
        <w:t>of the customers</w:t>
      </w:r>
      <w:r w:rsidRPr="00F61107" w:rsidR="63F2329B">
        <w:t xml:space="preserve"> </w:t>
      </w:r>
      <w:r w:rsidRPr="00F61107" w:rsidR="00F61107">
        <w:t xml:space="preserve">responded </w:t>
      </w:r>
      <w:r w:rsidRPr="00F61107" w:rsidR="31538B8C">
        <w:t xml:space="preserve">they prefer </w:t>
      </w:r>
      <w:r w:rsidR="074FC9D2">
        <w:t>being contacted</w:t>
      </w:r>
      <w:r w:rsidRPr="00F61107" w:rsidR="63F2329B">
        <w:t xml:space="preserve"> </w:t>
      </w:r>
      <w:r w:rsidRPr="00F61107" w:rsidR="00F61107">
        <w:t>more than 90 days</w:t>
      </w:r>
      <w:r w:rsidRPr="00F61107" w:rsidR="61D56710">
        <w:t xml:space="preserve"> in advance</w:t>
      </w:r>
      <w:r w:rsidRPr="00F61107" w:rsidR="63F2329B">
        <w:t>.</w:t>
      </w:r>
      <w:r w:rsidRPr="00F61107" w:rsidR="00F61107">
        <w:t xml:space="preserve"> In addition, SDG&amp;E already plans to initiate other tactics in Phase 1 (Awareness) more than 120 days in advance, including </w:t>
      </w:r>
      <w:r w:rsidR="08651F37">
        <w:t>HTR</w:t>
      </w:r>
      <w:r w:rsidR="20D55DDD">
        <w:t xml:space="preserve"> customers</w:t>
      </w:r>
      <w:r w:rsidRPr="00F61107" w:rsidR="63F2329B">
        <w:t>.</w:t>
      </w:r>
      <w:r w:rsidR="002438A1">
        <w:rPr>
          <w:rStyle w:val="FootnoteReference"/>
        </w:rPr>
        <w:footnoteReference w:id="74"/>
      </w:r>
      <w:r w:rsidRPr="35275654" w:rsidR="46C3C6A5">
        <w:rPr>
          <w:rFonts w:ascii="Times New Roman" w:hAnsi="Times New Roman" w:cs="Times New Roman"/>
        </w:rPr>
        <w:t> </w:t>
      </w:r>
      <w:r w:rsidRPr="00F61107" w:rsidR="63F2329B">
        <w:rPr>
          <w:rFonts w:cs="Palatino Linotype"/>
        </w:rPr>
        <w:t> </w:t>
      </w:r>
    </w:p>
    <w:p w:rsidRPr="00FE2B1C" w:rsidR="00FE2B1C" w:rsidP="00FE2B1C" w:rsidRDefault="00FE2B1C" w14:paraId="251867A7" w14:textId="766A2233">
      <w:r w:rsidRPr="00FE2B1C">
        <w:lastRenderedPageBreak/>
        <w:t> </w:t>
      </w:r>
    </w:p>
    <w:p w:rsidR="00D77EA3" w:rsidP="52100967" w:rsidRDefault="00D77EA3" w14:paraId="4A07633C" w14:textId="19E0CE78">
      <w:pPr>
        <w:spacing w:line="259" w:lineRule="auto"/>
      </w:pPr>
      <w:r w:rsidRPr="00D77EA3">
        <w:t>To address TURN/NRDC’s recommendation for the IOUs to target customers eligible for CARE or FERA but not enrolled, SDG&amp;E responded that it has existing programs for outreach to CARE</w:t>
      </w:r>
      <w:r w:rsidR="00971581">
        <w:t>-</w:t>
      </w:r>
      <w:r w:rsidRPr="00D77EA3">
        <w:t xml:space="preserve"> and FERA-eligible households aimed at increasing enrollment.</w:t>
      </w:r>
      <w:r w:rsidR="002B7B12">
        <w:rPr>
          <w:rStyle w:val="FootnoteReference"/>
        </w:rPr>
        <w:footnoteReference w:id="75"/>
      </w:r>
      <w:r w:rsidR="00837F53">
        <w:t xml:space="preserve"> </w:t>
      </w:r>
      <w:r w:rsidRPr="00D77EA3">
        <w:t>SDG&amp;E argued it is factually inaccurate to assert that the fixed charge ME&amp;O funding should be used for CARE and FERA enrollment when the requested costs are incremental and should be used for fixed charge awareness, education, and engagement</w:t>
      </w:r>
      <w:r w:rsidRPr="00D77EA3" w:rsidR="476CE166">
        <w:t xml:space="preserve"> regarding the fixed charge changes</w:t>
      </w:r>
      <w:r w:rsidRPr="00D77EA3">
        <w:t>.</w:t>
      </w:r>
      <w:r w:rsidR="00621446">
        <w:rPr>
          <w:rStyle w:val="FootnoteReference"/>
        </w:rPr>
        <w:footnoteReference w:id="76"/>
      </w:r>
      <w:r w:rsidRPr="00D77EA3">
        <w:t xml:space="preserve"> As stated in the SDG&amp;E ME&amp;O plan, SDG&amp;E will integrate information about the fixed charge into CARE and FERA materials as much as possible. Still, those materials are designed for program enrollment and space for secondary information may be limited. SDG&amp;E also intends to include information about CARE and FERA (Tiers 1 and 2) assignments and the option to request tier assignments in relevant fixed charge ME&amp;O tactics, including DRAH customers </w:t>
      </w:r>
      <w:r w:rsidR="458C8F4C">
        <w:t>who</w:t>
      </w:r>
      <w:r w:rsidRPr="00D77EA3">
        <w:t xml:space="preserve"> are required to self-attest.</w:t>
      </w:r>
    </w:p>
    <w:p w:rsidR="00EB0816" w:rsidP="00144757" w:rsidRDefault="00FE2B1C" w14:paraId="06E6DC5A" w14:textId="52D15C40">
      <w:r w:rsidRPr="00FE2B1C">
        <w:t>   </w:t>
      </w:r>
    </w:p>
    <w:p w:rsidR="005B4A4C" w:rsidP="00144757" w:rsidRDefault="00DF605D" w14:paraId="75EB74EB" w14:textId="2DF28E2A">
      <w:r w:rsidRPr="00DF605D">
        <w:t xml:space="preserve">TURN/NRDC recommended that the Commission require each IOU to implement the flat rate in a timely manner, and SDG&amp;E responded that it would implement the fixed charge between October 1, 2025, and December 15, 2025, in compliance with </w:t>
      </w:r>
      <w:r w:rsidR="002972AA">
        <w:br/>
      </w:r>
      <w:r w:rsidRPr="00DF605D">
        <w:t>D.24-05-028.</w:t>
      </w:r>
      <w:r w:rsidR="009F4AC5">
        <w:rPr>
          <w:rStyle w:val="FootnoteReference"/>
        </w:rPr>
        <w:footnoteReference w:id="77"/>
      </w:r>
      <w:r w:rsidRPr="00DF605D">
        <w:t>  </w:t>
      </w:r>
    </w:p>
    <w:p w:rsidR="00DF605D" w:rsidP="00144757" w:rsidRDefault="00DF605D" w14:paraId="46E2425E" w14:textId="77777777"/>
    <w:p w:rsidR="005B4A4C" w:rsidP="005B4A4C" w:rsidRDefault="005B4A4C" w14:paraId="5A88E8FD" w14:textId="656D477A">
      <w:r w:rsidRPr="00144757">
        <w:t xml:space="preserve">In response to SEIA’s recommendation that SDG&amp;E submit a supplemental AL that includes individual bill impacts, SDG&amp;E </w:t>
      </w:r>
      <w:r w:rsidR="005E4333">
        <w:t>disavows any intention</w:t>
      </w:r>
      <w:r w:rsidRPr="00144757">
        <w:t xml:space="preserve"> to provide individual bill impacts to customers.</w:t>
      </w:r>
      <w:r w:rsidR="00416B17">
        <w:rPr>
          <w:rStyle w:val="FootnoteReference"/>
        </w:rPr>
        <w:footnoteReference w:id="78"/>
      </w:r>
      <w:r w:rsidRPr="00144757">
        <w:t xml:space="preserve"> Instead, SDG&amp;E contended that its proposal for sample bill impacts would minimize costs and complexity and support timely implementation. </w:t>
      </w:r>
      <w:r w:rsidR="001F7426">
        <w:t>SDG&amp;E maintains that this</w:t>
      </w:r>
      <w:r w:rsidRPr="00144757">
        <w:t xml:space="preserve"> approach ensures that final rates can be configured, tested, and validated up to 120 days before implementation, allowing for direct notifications to start. </w:t>
      </w:r>
      <w:r w:rsidR="00F7640F">
        <w:t>SDG&amp;E asser</w:t>
      </w:r>
      <w:r w:rsidR="009215EE">
        <w:t>t</w:t>
      </w:r>
      <w:r w:rsidR="00F7640F">
        <w:t>s that i</w:t>
      </w:r>
      <w:r w:rsidRPr="00144757" w:rsidR="00F7640F">
        <w:t xml:space="preserve">t </w:t>
      </w:r>
      <w:r w:rsidRPr="00144757">
        <w:t xml:space="preserve">is unlikely </w:t>
      </w:r>
      <w:r w:rsidR="00F7640F">
        <w:t>to</w:t>
      </w:r>
      <w:r w:rsidRPr="00144757">
        <w:t xml:space="preserve"> know the final rates at implementation time ahead of the second and third quarter of 2025 when configuring the IT system and customer communications would begin. SDG&amp;E</w:t>
      </w:r>
      <w:r w:rsidRPr="00144757" w:rsidDel="007A5A58">
        <w:t xml:space="preserve"> </w:t>
      </w:r>
      <w:r w:rsidR="007A5A58">
        <w:t>promises to</w:t>
      </w:r>
      <w:r w:rsidRPr="00144757">
        <w:t xml:space="preserve"> provide three sample bill impacts for customers in every fixed charge tier, including one for each low, medium-, and high-usage customer in the four climate zones. </w:t>
      </w:r>
      <w:r w:rsidRPr="00144757" w:rsidR="310F8AAF">
        <w:t xml:space="preserve"> </w:t>
      </w:r>
      <w:r w:rsidR="009B743D">
        <w:t>SDG&amp;E argues that t</w:t>
      </w:r>
      <w:r w:rsidRPr="00144757">
        <w:t>hese sample bill impacts may show savings for some customers and cost increases for others, but they provide a fair and transparent view of the potential impacts.</w:t>
      </w:r>
    </w:p>
    <w:p w:rsidRPr="00FE2B1C" w:rsidR="005B4A4C" w:rsidP="005B4A4C" w:rsidRDefault="005B4A4C" w14:paraId="515F0801" w14:textId="77777777">
      <w:r w:rsidRPr="00FE2B1C">
        <w:lastRenderedPageBreak/>
        <w:t> </w:t>
      </w:r>
    </w:p>
    <w:p w:rsidR="005B4A4C" w:rsidP="00144757" w:rsidRDefault="005B4A4C" w14:paraId="17DED472" w14:textId="17FF3298">
      <w:r w:rsidRPr="003B7A33">
        <w:t xml:space="preserve">SEIA recommended for accuracy and IOU alignment that SDG&amp;E correct its proposed basic messaging using language </w:t>
      </w:r>
      <w:proofErr w:type="gramStart"/>
      <w:r w:rsidRPr="003B7A33">
        <w:t>similar to</w:t>
      </w:r>
      <w:proofErr w:type="gramEnd"/>
      <w:r w:rsidRPr="003B7A33">
        <w:t xml:space="preserve"> SCE and submit a supplemental </w:t>
      </w:r>
      <w:r w:rsidR="00222937">
        <w:t>AL</w:t>
      </w:r>
      <w:r w:rsidRPr="003B7A33">
        <w:t xml:space="preserve"> providing language explaining the fixed charge, and correct statements that the </w:t>
      </w:r>
      <w:r w:rsidRPr="003B7A33" w:rsidR="64855C06">
        <w:t>fixed charge</w:t>
      </w:r>
      <w:r w:rsidRPr="003B7A33">
        <w:t xml:space="preserve"> affects existing rate plans.</w:t>
      </w:r>
      <w:r w:rsidRPr="003B7A33" w:rsidR="009B67A6">
        <w:t xml:space="preserve"> </w:t>
      </w:r>
      <w:r w:rsidRPr="003B7A33">
        <w:t>SDG&amp;E respond</w:t>
      </w:r>
      <w:r w:rsidR="009B67A6">
        <w:t>ed</w:t>
      </w:r>
      <w:r w:rsidRPr="003B7A33">
        <w:t xml:space="preserve"> that its messaging is preliminary</w:t>
      </w:r>
      <w:r w:rsidR="009B67A6">
        <w:t>, and it</w:t>
      </w:r>
      <w:r w:rsidRPr="003B7A33">
        <w:t xml:space="preserve"> will continue to modify </w:t>
      </w:r>
      <w:r w:rsidR="009B67A6">
        <w:t>the messaging</w:t>
      </w:r>
      <w:r w:rsidRPr="003B7A33">
        <w:t xml:space="preserve"> by collaborating with the other IOUs and the </w:t>
      </w:r>
      <w:r w:rsidR="009B67A6">
        <w:t>IWG</w:t>
      </w:r>
      <w:r w:rsidRPr="003B7A33">
        <w:t>. SDG&amp;E</w:t>
      </w:r>
      <w:r w:rsidRPr="003B7A33" w:rsidDel="00410E6A">
        <w:t xml:space="preserve"> </w:t>
      </w:r>
      <w:r w:rsidR="00410E6A">
        <w:t>states an intention</w:t>
      </w:r>
      <w:r w:rsidRPr="003B7A33">
        <w:t xml:space="preserve"> to conduct research in the second quarter of 2025 to test approved final messages with targeted customer segments and incorporate feedback before distributing any customer-facing materials.</w:t>
      </w:r>
      <w:r w:rsidR="00BA6E43">
        <w:rPr>
          <w:rStyle w:val="FootnoteReference"/>
        </w:rPr>
        <w:footnoteReference w:id="79"/>
      </w:r>
    </w:p>
    <w:p w:rsidR="008B2BBA" w:rsidP="00144757" w:rsidRDefault="008B2BBA" w14:paraId="70998ABF" w14:textId="77777777"/>
    <w:p w:rsidR="00213D22" w:rsidP="00144757" w:rsidRDefault="0090452F" w14:paraId="44F3B7EC" w14:textId="6EC9AC19">
      <w:r w:rsidRPr="0090452F">
        <w:t xml:space="preserve">In response to C4AT, SDG&amp;E indicated its plan for enrolling CARE customers in Tier 1 and communicating to customers how to determine </w:t>
      </w:r>
      <w:r w:rsidR="00EA3334">
        <w:t>enrollment</w:t>
      </w:r>
      <w:r w:rsidRPr="0090452F" w:rsidR="00EA3334">
        <w:t xml:space="preserve"> </w:t>
      </w:r>
      <w:r w:rsidRPr="0090452F">
        <w:t>for Tier 1 complies with D.24-05-018</w:t>
      </w:r>
      <w:r w:rsidR="0014434A">
        <w:t xml:space="preserve">.  </w:t>
      </w:r>
      <w:r w:rsidR="00C11E31">
        <w:t xml:space="preserve">Moreover, SDG&amp;E </w:t>
      </w:r>
      <w:r w:rsidR="00EF0B94">
        <w:t xml:space="preserve">further explained </w:t>
      </w:r>
      <w:r w:rsidR="7704F13A">
        <w:t>that</w:t>
      </w:r>
      <w:r w:rsidRPr="0090452F">
        <w:t xml:space="preserve"> C4AT's assertion that SDG&amp;E does not address how it will communicate options for non-enrolled CARE</w:t>
      </w:r>
      <w:r w:rsidR="00F85CA8">
        <w:t>-eligible</w:t>
      </w:r>
      <w:r w:rsidRPr="0090452F">
        <w:t xml:space="preserve"> customers ignores SDG&amp;E's </w:t>
      </w:r>
      <w:r w:rsidR="00E31EBA">
        <w:t>inte</w:t>
      </w:r>
      <w:r w:rsidR="008E6752">
        <w:t>nded</w:t>
      </w:r>
      <w:r w:rsidRPr="0090452F">
        <w:t xml:space="preserve"> messaging </w:t>
      </w:r>
      <w:r w:rsidR="008E6752">
        <w:t xml:space="preserve">strategy </w:t>
      </w:r>
      <w:r w:rsidR="001F733D">
        <w:t xml:space="preserve">outlined </w:t>
      </w:r>
      <w:r w:rsidRPr="0090452F">
        <w:t>in its ME&amp;O plan and the emphasis on using existing CARE/FERA processes as required by the Decision</w:t>
      </w:r>
      <w:r w:rsidRPr="00390AA9" w:rsidR="00390AA9">
        <w:t>.</w:t>
      </w:r>
      <w:r w:rsidR="00D40950">
        <w:rPr>
          <w:rStyle w:val="FootnoteReference"/>
        </w:rPr>
        <w:footnoteReference w:id="80"/>
      </w:r>
      <w:r w:rsidRPr="00C02EF7" w:rsidR="00C02EF7">
        <w:t xml:space="preserve"> </w:t>
      </w:r>
      <w:r w:rsidR="00FD4551">
        <w:t xml:space="preserve">Specifically, </w:t>
      </w:r>
      <w:r w:rsidRPr="00C02EF7" w:rsidR="00C02EF7">
        <w:t xml:space="preserve">SDG&amp;E stated it presented in AL 4492-E its intent to </w:t>
      </w:r>
      <w:r w:rsidRPr="00C02EF7" w:rsidR="60A51D24">
        <w:t>communicate to</w:t>
      </w:r>
      <w:r w:rsidRPr="00C02EF7" w:rsidR="00C02EF7">
        <w:t xml:space="preserve"> CARE customers that their Tier 1 placements are dependent on their enrollment in the program. In essence, C4AT requests that the Commission order the IOUs to create some new process to determine CARE eligibility via income verification or some other means not specified and to use funds not </w:t>
      </w:r>
      <w:r w:rsidR="6B6FC874">
        <w:t>grante</w:t>
      </w:r>
      <w:r w:rsidR="0043682E">
        <w:t>d.</w:t>
      </w:r>
      <w:r w:rsidRPr="00C02EF7" w:rsidR="67EA6DB0">
        <w:t xml:space="preserve"> </w:t>
      </w:r>
      <w:r w:rsidRPr="00C02EF7" w:rsidR="69CF9FB0">
        <w:t>However, t</w:t>
      </w:r>
      <w:r w:rsidRPr="00C02EF7" w:rsidR="67EA6DB0">
        <w:t>he Decision directed the Large IOUs to use existing enrollment process</w:t>
      </w:r>
      <w:r w:rsidRPr="00C02EF7" w:rsidR="1D95F5B8">
        <w:t>es</w:t>
      </w:r>
      <w:r w:rsidRPr="00C02EF7" w:rsidR="67EA6DB0">
        <w:t xml:space="preserve"> for CARE and FERA.</w:t>
      </w:r>
      <w:r w:rsidRPr="00C02EF7" w:rsidR="00C02EF7">
        <w:t xml:space="preserve"> SDG&amp;E further stated customers are free to use currently available processes, and </w:t>
      </w:r>
      <w:r w:rsidRPr="00C02EF7" w:rsidR="13281FEF">
        <w:t xml:space="preserve">its </w:t>
      </w:r>
      <w:r w:rsidRPr="00C02EF7" w:rsidR="00C02EF7">
        <w:t xml:space="preserve">messaging encouraging </w:t>
      </w:r>
      <w:r w:rsidR="00882576">
        <w:t xml:space="preserve">these </w:t>
      </w:r>
      <w:r w:rsidRPr="00C02EF7" w:rsidR="00C02EF7">
        <w:t xml:space="preserve">customers is part of its </w:t>
      </w:r>
      <w:r w:rsidR="00882576">
        <w:t>ME&amp;O</w:t>
      </w:r>
      <w:r w:rsidR="00A65E56">
        <w:t xml:space="preserve"> plan</w:t>
      </w:r>
      <w:r w:rsidRPr="00C02EF7" w:rsidR="00C02EF7">
        <w:t>. SDG&amp;E requested that the Commission reject C4AT's request to create a new process for customers as it contradicts the Commission's Decision to expedite the first phase of the fixed charge.</w:t>
      </w:r>
    </w:p>
    <w:p w:rsidR="0011577B" w:rsidP="00144757" w:rsidRDefault="0011577B" w14:paraId="51FE4420" w14:textId="77777777"/>
    <w:p w:rsidR="00213D22" w:rsidP="00144757" w:rsidRDefault="00C83F23" w14:paraId="3BA02198" w14:textId="1BCAF98E">
      <w:r>
        <w:t xml:space="preserve">Regarding </w:t>
      </w:r>
      <w:r w:rsidR="00213D22">
        <w:t>CEJA</w:t>
      </w:r>
      <w:r>
        <w:t>’s protest</w:t>
      </w:r>
      <w:r w:rsidR="00213D22">
        <w:t xml:space="preserve">, </w:t>
      </w:r>
      <w:r w:rsidRPr="00213D22" w:rsidR="00213D22">
        <w:t xml:space="preserve">SDG&amp;E </w:t>
      </w:r>
      <w:r w:rsidR="00213D22">
        <w:t xml:space="preserve">indicated that it </w:t>
      </w:r>
      <w:r w:rsidRPr="00213D22" w:rsidR="00213D22">
        <w:t>did not include any requested amount for rate comparison tools in the ME&amp;O budget</w:t>
      </w:r>
      <w:r>
        <w:t>, because t</w:t>
      </w:r>
      <w:r w:rsidRPr="00213D22" w:rsidR="00213D22">
        <w:t xml:space="preserve">he rate comparison tool is captured in the approved budget in </w:t>
      </w:r>
      <w:r w:rsidR="00213D22">
        <w:t>“</w:t>
      </w:r>
      <w:r w:rsidRPr="00213D22" w:rsidR="00213D22">
        <w:t>Table 7: Large Utilities’ Approved Implementation Budgets</w:t>
      </w:r>
      <w:r w:rsidR="00213D22">
        <w:t>” of D.24-0</w:t>
      </w:r>
      <w:r w:rsidR="004D261B">
        <w:t>5</w:t>
      </w:r>
      <w:r w:rsidR="00213D22">
        <w:t>-028.</w:t>
      </w:r>
      <w:r w:rsidR="00213D22">
        <w:rPr>
          <w:rStyle w:val="FootnoteReference"/>
        </w:rPr>
        <w:footnoteReference w:id="81"/>
      </w:r>
    </w:p>
    <w:p w:rsidR="00BA48D5" w:rsidP="00144757" w:rsidRDefault="00BA48D5" w14:paraId="7DB44BDE" w14:textId="77777777"/>
    <w:p w:rsidR="00BA48D5" w:rsidP="00DA215C" w:rsidRDefault="00C96F45" w14:paraId="1B91F8EA" w14:textId="56F02839">
      <w:pPr>
        <w:pStyle w:val="Heading2"/>
        <w:ind w:left="360"/>
      </w:pPr>
      <w:r>
        <w:t>Total Implementation Budget</w:t>
      </w:r>
    </w:p>
    <w:p w:rsidR="006B74D5" w:rsidP="002620C2" w:rsidRDefault="00A63574" w14:paraId="27F4CE3E" w14:textId="060CD566">
      <w:pPr>
        <w:pStyle w:val="Heading3"/>
        <w:numPr>
          <w:ilvl w:val="1"/>
          <w:numId w:val="5"/>
        </w:numPr>
      </w:pPr>
      <w:r>
        <w:t>Cal Advocates</w:t>
      </w:r>
      <w:r w:rsidR="00AC78FE">
        <w:t>’ Protest</w:t>
      </w:r>
    </w:p>
    <w:p w:rsidRPr="00A63574" w:rsidR="00A63574" w:rsidP="0008236F" w:rsidRDefault="00ED2B48" w14:paraId="7B3F3E2B" w14:textId="31A89317">
      <w:r>
        <w:lastRenderedPageBreak/>
        <w:t>Cal Advo</w:t>
      </w:r>
      <w:r w:rsidR="00046638">
        <w:t>cates recommended that the Commission require SDG&amp;E to submit a supplemental AL that includes adequate detail on a budget estimate for identifying DRAH customers for assignment in Tier 2</w:t>
      </w:r>
      <w:r w:rsidR="00C50450">
        <w:t xml:space="preserve"> and</w:t>
      </w:r>
      <w:r w:rsidR="00D22948">
        <w:t xml:space="preserve"> </w:t>
      </w:r>
      <w:r w:rsidR="00BC0EFC">
        <w:t>explain</w:t>
      </w:r>
      <w:r w:rsidR="008B6947">
        <w:t xml:space="preserve"> why </w:t>
      </w:r>
      <w:r w:rsidR="003065BB">
        <w:t>each cost is incremental</w:t>
      </w:r>
      <w:r w:rsidR="00696224">
        <w:t xml:space="preserve"> to funding included </w:t>
      </w:r>
      <w:r w:rsidR="00BD42E4">
        <w:t xml:space="preserve">in its </w:t>
      </w:r>
      <w:r w:rsidR="00E71562">
        <w:t>GRC</w:t>
      </w:r>
      <w:r w:rsidR="00BD42E4">
        <w:t xml:space="preserve"> a</w:t>
      </w:r>
      <w:r w:rsidR="00587CCC">
        <w:t>uthorized revenue requirement</w:t>
      </w:r>
      <w:r w:rsidR="00046638">
        <w:t>.</w:t>
      </w:r>
      <w:r w:rsidR="004F085B">
        <w:t xml:space="preserve"> Cal Advocates argued</w:t>
      </w:r>
      <w:r w:rsidR="00EC3857">
        <w:t xml:space="preserve"> es</w:t>
      </w:r>
      <w:r w:rsidR="00446FC8">
        <w:t>timates of SD</w:t>
      </w:r>
      <w:r w:rsidR="00F94991">
        <w:t>G&amp;E’s</w:t>
      </w:r>
      <w:r w:rsidR="00A067B8">
        <w:t xml:space="preserve"> DRAH</w:t>
      </w:r>
      <w:r w:rsidR="003C72ED">
        <w:t xml:space="preserve"> implementation</w:t>
      </w:r>
      <w:r w:rsidR="00A067B8">
        <w:t xml:space="preserve"> budget require </w:t>
      </w:r>
      <w:r w:rsidR="00C47F7E">
        <w:t>additional scru</w:t>
      </w:r>
      <w:r w:rsidR="009B3972">
        <w:t xml:space="preserve">tiny: </w:t>
      </w:r>
      <w:r w:rsidR="00872647">
        <w:br/>
      </w:r>
      <w:r w:rsidR="009B3972">
        <w:t xml:space="preserve">(1) </w:t>
      </w:r>
      <w:r w:rsidR="00806BA9">
        <w:t>$384,000 for customer care center costs far exceed SCE’s estimate of $121,000</w:t>
      </w:r>
      <w:r w:rsidR="000B3480">
        <w:t xml:space="preserve"> and PG&amp;E’s $140,000</w:t>
      </w:r>
      <w:r w:rsidR="00500DC0">
        <w:t xml:space="preserve"> </w:t>
      </w:r>
      <w:r w:rsidR="3E51785F">
        <w:t>wh</w:t>
      </w:r>
      <w:r w:rsidR="7F6C117D">
        <w:t>ich</w:t>
      </w:r>
      <w:r w:rsidR="00B20089">
        <w:t xml:space="preserve"> have</w:t>
      </w:r>
      <w:r w:rsidR="00500DC0">
        <w:t xml:space="preserve"> higher residential</w:t>
      </w:r>
      <w:r w:rsidR="00FD3F4F">
        <w:t xml:space="preserve"> populations</w:t>
      </w:r>
      <w:r w:rsidR="00F93C5C">
        <w:t>;</w:t>
      </w:r>
      <w:r w:rsidR="00B20089">
        <w:t xml:space="preserve"> and</w:t>
      </w:r>
      <w:r w:rsidR="00F93C5C">
        <w:t xml:space="preserve"> (2) </w:t>
      </w:r>
      <w:r w:rsidR="003A66BF">
        <w:t>$900,000 for IT costs</w:t>
      </w:r>
      <w:r w:rsidR="00E713D0">
        <w:t xml:space="preserve"> appear inflated</w:t>
      </w:r>
      <w:r w:rsidR="00D32C36">
        <w:t xml:space="preserve"> and</w:t>
      </w:r>
      <w:r w:rsidR="005D7D81">
        <w:t xml:space="preserve"> are</w:t>
      </w:r>
      <w:r w:rsidR="004A1CFF">
        <w:t xml:space="preserve"> higher than</w:t>
      </w:r>
      <w:r w:rsidR="00E15166">
        <w:t xml:space="preserve"> SCE’s</w:t>
      </w:r>
      <w:r w:rsidR="00EF1BB3">
        <w:t xml:space="preserve"> $65,000 and PG&amp;E’s </w:t>
      </w:r>
      <w:r w:rsidR="003C72ED">
        <w:t>$</w:t>
      </w:r>
      <w:r w:rsidR="00EF1BB3">
        <w:t>227,000</w:t>
      </w:r>
      <w:r w:rsidR="004266D0">
        <w:t>.</w:t>
      </w:r>
      <w:r w:rsidR="00917EA3">
        <w:rPr>
          <w:rStyle w:val="FootnoteReference"/>
        </w:rPr>
        <w:footnoteReference w:id="82"/>
      </w:r>
    </w:p>
    <w:p w:rsidR="006B74D5" w:rsidP="00A61233" w:rsidRDefault="006B74D5" w14:paraId="0485449B" w14:textId="77777777"/>
    <w:p w:rsidR="003E45EF" w:rsidP="003E45EF" w:rsidRDefault="0022415B" w14:paraId="43497596" w14:textId="7C3653D0">
      <w:pPr>
        <w:pStyle w:val="Heading3"/>
      </w:pPr>
      <w:r>
        <w:t>4.</w:t>
      </w:r>
      <w:r w:rsidR="00F95054">
        <w:t>2</w:t>
      </w:r>
      <w:r w:rsidR="006C316E">
        <w:t>.</w:t>
      </w:r>
      <w:r>
        <w:t xml:space="preserve"> TURN</w:t>
      </w:r>
      <w:r w:rsidR="00AE50BC">
        <w:t>/NRDC</w:t>
      </w:r>
      <w:r w:rsidR="002726B2">
        <w:t>’s Protest</w:t>
      </w:r>
    </w:p>
    <w:p w:rsidR="00317652" w:rsidP="00AD239C" w:rsidRDefault="009635DD" w14:paraId="1865BF8F" w14:textId="3A503FEB">
      <w:r w:rsidRPr="009635DD">
        <w:t xml:space="preserve">TURN/NRDC </w:t>
      </w:r>
      <w:r w:rsidR="00263782">
        <w:t>asserted that</w:t>
      </w:r>
      <w:r w:rsidRPr="009635DD">
        <w:t xml:space="preserve"> the IOUs must demonstrate that implementation costs are reasonable and incremental before seeking recovery of the IGFCMA and, </w:t>
      </w:r>
      <w:r w:rsidRPr="009635DD" w:rsidR="78542253">
        <w:t>like</w:t>
      </w:r>
      <w:r w:rsidRPr="009635DD">
        <w:t xml:space="preserve"> Cal Advocates,</w:t>
      </w:r>
      <w:r w:rsidR="009F325E">
        <w:rPr>
          <w:rStyle w:val="FootnoteReference"/>
        </w:rPr>
        <w:footnoteReference w:id="83"/>
      </w:r>
      <w:r w:rsidRPr="009635DD">
        <w:t xml:space="preserve"> recommended that the IOUs must explain how requested costs are incremental to preexisting budgets for billing system upgrades, customer support, and ME&amp;O.</w:t>
      </w:r>
      <w:r w:rsidR="004B6D71">
        <w:rPr>
          <w:rStyle w:val="FootnoteReference"/>
        </w:rPr>
        <w:footnoteReference w:id="84"/>
      </w:r>
      <w:r w:rsidRPr="009635DD">
        <w:t xml:space="preserve"> TURN/NRDC further emphasized this should be an explicit requirement for each IOU before costs are recorded in the IGFCMA</w:t>
      </w:r>
      <w:r w:rsidR="005073F0">
        <w:t>.</w:t>
      </w:r>
      <w:r w:rsidR="00E54F34">
        <w:t xml:space="preserve"> To meet these requirements, SDG&amp;E could indicate, like SCE did,</w:t>
      </w:r>
      <w:r w:rsidR="00A25F28">
        <w:rPr>
          <w:rStyle w:val="FootnoteReference"/>
        </w:rPr>
        <w:footnoteReference w:id="85"/>
      </w:r>
      <w:r w:rsidR="00E54F34">
        <w:t xml:space="preserve"> that </w:t>
      </w:r>
      <w:r w:rsidR="004F733C">
        <w:t>p</w:t>
      </w:r>
      <w:r w:rsidR="000C0809">
        <w:t>rior to recording any such</w:t>
      </w:r>
      <w:r w:rsidR="003D0D4A">
        <w:t xml:space="preserve"> costs </w:t>
      </w:r>
      <w:r w:rsidR="00646DFA">
        <w:t xml:space="preserve">in </w:t>
      </w:r>
      <w:r w:rsidR="253834DB">
        <w:t>t</w:t>
      </w:r>
      <w:r w:rsidR="00646DFA">
        <w:t>he IGFCMA, SDG&amp;E will determine whether any portion of such costs may be covered</w:t>
      </w:r>
      <w:r w:rsidR="00242B64">
        <w:t xml:space="preserve"> by previously authorized GRC funds.</w:t>
      </w:r>
    </w:p>
    <w:p w:rsidR="00317652" w:rsidP="00AD239C" w:rsidRDefault="00317652" w14:paraId="4DEA7FCC" w14:textId="77777777"/>
    <w:p w:rsidR="003E45EF" w:rsidP="00AD239C" w:rsidRDefault="00801B09" w14:paraId="494C8654" w14:textId="4B4CD940">
      <w:r>
        <w:t>TURN/NRDC</w:t>
      </w:r>
      <w:r w:rsidRPr="00317652" w:rsidR="00317652">
        <w:t xml:space="preserve"> </w:t>
      </w:r>
      <w:r w:rsidR="0026142A">
        <w:t xml:space="preserve">also </w:t>
      </w:r>
      <w:r w:rsidRPr="00317652" w:rsidR="00317652">
        <w:t>recommend</w:t>
      </w:r>
      <w:r w:rsidR="00370E28">
        <w:t>ed</w:t>
      </w:r>
      <w:r w:rsidRPr="00317652" w:rsidR="00317652">
        <w:t xml:space="preserve"> that the IOUs present their incremental implementation and ME&amp;O budgets with the same time intervals and line-item breakdowns to allow for transparent comparison by the Commission and intervenors and reconcile and explain differences between the IOUs to carry out the same activities.</w:t>
      </w:r>
      <w:r w:rsidR="005073F0">
        <w:rPr>
          <w:rStyle w:val="FootnoteReference"/>
        </w:rPr>
        <w:footnoteReference w:id="86"/>
      </w:r>
      <w:r w:rsidR="005073F0">
        <w:t xml:space="preserve"> </w:t>
      </w:r>
    </w:p>
    <w:p w:rsidR="592FCA80" w:rsidP="592FCA80" w:rsidRDefault="592FCA80" w14:paraId="4051197B" w14:textId="71FA98BB"/>
    <w:p w:rsidR="5C5A3EFC" w:rsidP="00E141E2" w:rsidRDefault="5C5A3EFC" w14:paraId="73C77464" w14:textId="4B3A40DB">
      <w:pPr>
        <w:pStyle w:val="Heading3"/>
      </w:pPr>
      <w:r>
        <w:t>4.</w:t>
      </w:r>
      <w:r w:rsidR="00F95054">
        <w:t>3</w:t>
      </w:r>
      <w:r w:rsidR="000A0632">
        <w:t>.</w:t>
      </w:r>
      <w:r>
        <w:tab/>
        <w:t xml:space="preserve">CEJA </w:t>
      </w:r>
    </w:p>
    <w:p w:rsidR="66528E5C" w:rsidP="00A34E31" w:rsidRDefault="66528E5C" w14:paraId="6A3E2853" w14:textId="2326F13B">
      <w:pPr>
        <w:rPr>
          <w:rStyle w:val="FootnoteReference"/>
          <w:b/>
        </w:rPr>
      </w:pPr>
      <w:r>
        <w:t xml:space="preserve">CEJA </w:t>
      </w:r>
      <w:r w:rsidR="5C5A3EFC">
        <w:t>argued</w:t>
      </w:r>
      <w:r w:rsidR="5B899F4F">
        <w:t xml:space="preserve"> SDG&amp;E’s AL contains </w:t>
      </w:r>
      <w:r w:rsidR="6ED5058E">
        <w:t>material errors for</w:t>
      </w:r>
      <w:r w:rsidR="00E141E2">
        <w:t xml:space="preserve"> the</w:t>
      </w:r>
      <w:r w:rsidR="091650FF">
        <w:t xml:space="preserve"> to</w:t>
      </w:r>
      <w:r w:rsidR="02873C53">
        <w:t>t</w:t>
      </w:r>
      <w:r w:rsidR="091650FF">
        <w:t xml:space="preserve">al category costs for DRAH Data &amp; Program Management </w:t>
      </w:r>
      <w:r w:rsidR="00E141E2">
        <w:t>of</w:t>
      </w:r>
      <w:r w:rsidR="091650FF">
        <w:t xml:space="preserve"> $376,500 and should read $494,450</w:t>
      </w:r>
      <w:r w:rsidR="3E56F0F6">
        <w:t>.</w:t>
      </w:r>
      <w:r w:rsidRPr="7210D5F2" w:rsidR="361EB6D4">
        <w:rPr>
          <w:rStyle w:val="FootnoteReference"/>
        </w:rPr>
        <w:t xml:space="preserve"> </w:t>
      </w:r>
    </w:p>
    <w:p w:rsidR="66528E5C" w:rsidP="3094FB46" w:rsidRDefault="361EB6D4" w14:paraId="237FA2AD" w14:textId="2D7D06DD">
      <w:pPr>
        <w:rPr>
          <w:vertAlign w:val="superscript"/>
        </w:rPr>
      </w:pPr>
      <w:r>
        <w:t xml:space="preserve">CEJA recommended that SDG&amp;E update its AL with a line-item </w:t>
      </w:r>
      <w:r w:rsidR="17A50CEA">
        <w:t xml:space="preserve">accounting </w:t>
      </w:r>
      <w:r>
        <w:t xml:space="preserve">that breaks out the budget cost of the estimate for the customer rate tool </w:t>
      </w:r>
      <w:r w:rsidR="00AF390C">
        <w:t>in its ME&amp;O budget</w:t>
      </w:r>
      <w:r>
        <w:t xml:space="preserve"> to </w:t>
      </w:r>
      <w:r>
        <w:lastRenderedPageBreak/>
        <w:t>demonstrate that SDG&amp;E is not budgeting more for this task than D.24-05-028 approved.</w:t>
      </w:r>
      <w:r w:rsidRPr="592FCA80" w:rsidR="002F7583">
        <w:rPr>
          <w:rStyle w:val="FootnoteReference"/>
        </w:rPr>
        <w:footnoteReference w:id="87"/>
      </w:r>
    </w:p>
    <w:p w:rsidR="0022038E" w:rsidP="00AD239C" w:rsidRDefault="0022038E" w14:paraId="7F88436F" w14:textId="77777777"/>
    <w:p w:rsidR="0022038E" w:rsidP="00800F8F" w:rsidRDefault="0022038E" w14:paraId="13465330" w14:textId="14D6F9C9">
      <w:pPr>
        <w:pStyle w:val="Heading3"/>
      </w:pPr>
      <w:r>
        <w:t>4.</w:t>
      </w:r>
      <w:r w:rsidR="00E71535">
        <w:t>4</w:t>
      </w:r>
      <w:r w:rsidR="000A0632">
        <w:t>.</w:t>
      </w:r>
      <w:r w:rsidR="00800F8F">
        <w:t xml:space="preserve"> SDG&amp;E’s Reply to Protests</w:t>
      </w:r>
    </w:p>
    <w:p w:rsidR="00C12271" w:rsidP="00E90426" w:rsidRDefault="007931DB" w14:paraId="6B221998" w14:textId="3BD74E2E">
      <w:r>
        <w:t>SDG&amp;E</w:t>
      </w:r>
      <w:r w:rsidR="006164C2">
        <w:t xml:space="preserve"> contended that Cal Advocates incorrectly states its proposed DRAH estimated b</w:t>
      </w:r>
      <w:r w:rsidR="00DB46C9">
        <w:t>udget of $3</w:t>
      </w:r>
      <w:r w:rsidR="007221E7">
        <w:t>84,000</w:t>
      </w:r>
      <w:r w:rsidR="00AA2591">
        <w:t xml:space="preserve"> for customer care far exceeds</w:t>
      </w:r>
      <w:r w:rsidR="00727543">
        <w:t xml:space="preserve"> SC</w:t>
      </w:r>
      <w:r w:rsidR="00DB6CA9">
        <w:t>E’s</w:t>
      </w:r>
      <w:r w:rsidR="006E1269">
        <w:t xml:space="preserve"> costs of $121,000.</w:t>
      </w:r>
      <w:r w:rsidR="005F5D0B">
        <w:t xml:space="preserve"> SDG&amp;E explained that SCE’s estimated budget for customer care </w:t>
      </w:r>
      <w:r w:rsidR="00EC06BB">
        <w:t xml:space="preserve">center costs </w:t>
      </w:r>
      <w:r w:rsidR="005F5D0B">
        <w:t>for 2025</w:t>
      </w:r>
      <w:r w:rsidR="7189E55B">
        <w:t xml:space="preserve"> through </w:t>
      </w:r>
      <w:r w:rsidR="005F5D0B">
        <w:t>2028 is $338,</w:t>
      </w:r>
      <w:r w:rsidR="00EE2CBF">
        <w:t>668</w:t>
      </w:r>
      <w:r w:rsidR="00984627">
        <w:t xml:space="preserve"> based on </w:t>
      </w:r>
      <w:r w:rsidR="005D52DB">
        <w:t>its</w:t>
      </w:r>
      <w:r w:rsidR="00984627">
        <w:t xml:space="preserve"> estimated average handling time and </w:t>
      </w:r>
      <w:r w:rsidR="00F42198">
        <w:t>current</w:t>
      </w:r>
      <w:r w:rsidR="00984627">
        <w:t xml:space="preserve"> processes.</w:t>
      </w:r>
      <w:r w:rsidR="00FA1B24">
        <w:t xml:space="preserve"> SDG&amp;E estimated</w:t>
      </w:r>
      <w:r w:rsidR="00E21744">
        <w:t xml:space="preserve"> approximately 50% of custom</w:t>
      </w:r>
      <w:r w:rsidR="0004194A">
        <w:t>er</w:t>
      </w:r>
      <w:r w:rsidR="00AE1204">
        <w:t>s</w:t>
      </w:r>
      <w:r w:rsidR="0004194A">
        <w:t xml:space="preserve"> who receive outreach would contact its Customer Care Center</w:t>
      </w:r>
      <w:r w:rsidR="00F254F1">
        <w:t>, but its average handle time per call</w:t>
      </w:r>
      <w:r w:rsidR="00467596">
        <w:t xml:space="preserve">, which differs for each IOU, </w:t>
      </w:r>
      <w:r w:rsidR="00F254F1">
        <w:t>was lower than SCE’</w:t>
      </w:r>
      <w:r w:rsidR="00C4081A">
        <w:t>s</w:t>
      </w:r>
      <w:r w:rsidR="00B6334D">
        <w:t>.</w:t>
      </w:r>
      <w:r w:rsidR="006758FE">
        <w:t xml:space="preserve"> </w:t>
      </w:r>
    </w:p>
    <w:p w:rsidR="00506BA5" w:rsidP="00E90426" w:rsidRDefault="00506BA5" w14:paraId="761152B9" w14:textId="77777777"/>
    <w:p w:rsidR="007931DB" w:rsidP="00E90426" w:rsidRDefault="006758FE" w14:paraId="65BB265B" w14:textId="03F66C6E">
      <w:r>
        <w:t>SDG&amp;E also explained</w:t>
      </w:r>
      <w:r w:rsidR="00161AE8">
        <w:t xml:space="preserve"> </w:t>
      </w:r>
      <w:r w:rsidR="007B58D2">
        <w:t>the estimate</w:t>
      </w:r>
      <w:r w:rsidR="006B4234">
        <w:t>d</w:t>
      </w:r>
      <w:r w:rsidR="00161AE8">
        <w:t xml:space="preserve"> $9</w:t>
      </w:r>
      <w:r w:rsidR="006C5B4E">
        <w:t>9</w:t>
      </w:r>
      <w:r w:rsidR="00161AE8">
        <w:t>0,000 IT costs</w:t>
      </w:r>
      <w:r w:rsidR="005F52FB">
        <w:t xml:space="preserve"> and</w:t>
      </w:r>
      <w:r>
        <w:t xml:space="preserve"> that i</w:t>
      </w:r>
      <w:r w:rsidR="00945EDA">
        <w:t>t</w:t>
      </w:r>
      <w:r w:rsidR="0018596A">
        <w:t xml:space="preserve"> does not have a system in place to track DRAH stat</w:t>
      </w:r>
      <w:r w:rsidR="005F52FB">
        <w:t>us</w:t>
      </w:r>
      <w:r w:rsidR="002A1999">
        <w:t xml:space="preserve"> and </w:t>
      </w:r>
      <w:r w:rsidR="2523E145">
        <w:t>plans to</w:t>
      </w:r>
      <w:r w:rsidR="00C972D1">
        <w:t xml:space="preserve"> b</w:t>
      </w:r>
      <w:r w:rsidR="002A1999">
        <w:t>u</w:t>
      </w:r>
      <w:r w:rsidR="00C972D1">
        <w:t>ild</w:t>
      </w:r>
      <w:r w:rsidR="00AD489D">
        <w:t xml:space="preserve"> this capability</w:t>
      </w:r>
      <w:r w:rsidR="002841A5">
        <w:t xml:space="preserve"> into its billing system</w:t>
      </w:r>
      <w:r w:rsidR="002A1999">
        <w:t>,</w:t>
      </w:r>
      <w:r w:rsidR="00F74ADF">
        <w:t xml:space="preserve"> </w:t>
      </w:r>
      <w:r w:rsidR="00DE0CED">
        <w:t>which will require a</w:t>
      </w:r>
      <w:r w:rsidR="00E84507">
        <w:t xml:space="preserve"> vendor interact</w:t>
      </w:r>
      <w:r w:rsidR="008B3230">
        <w:t>ion</w:t>
      </w:r>
      <w:r w:rsidR="00E84507">
        <w:t xml:space="preserve"> to automatically process updates to the DRAH data</w:t>
      </w:r>
      <w:r w:rsidR="005168A0">
        <w:t>.</w:t>
      </w:r>
      <w:r w:rsidR="004C3617">
        <w:t xml:space="preserve"> SDG&amp;E</w:t>
      </w:r>
      <w:r w:rsidDel="00755791" w:rsidR="004C3617">
        <w:t xml:space="preserve"> </w:t>
      </w:r>
      <w:r w:rsidR="00755791">
        <w:t>promises to</w:t>
      </w:r>
      <w:r w:rsidR="004C3617">
        <w:t xml:space="preserve"> build a fully integrated and automated DRAH process into its billing system to avoid re</w:t>
      </w:r>
      <w:r w:rsidR="00F74ADF">
        <w:t>curring</w:t>
      </w:r>
      <w:r w:rsidR="004C3617">
        <w:t xml:space="preserve"> costs where manual intervention may be needed.</w:t>
      </w:r>
      <w:r w:rsidR="00433B05">
        <w:t xml:space="preserve"> </w:t>
      </w:r>
      <w:r w:rsidR="00755791">
        <w:t>SDG&amp;E contends t</w:t>
      </w:r>
      <w:r w:rsidR="00433B05">
        <w:t xml:space="preserve">hese </w:t>
      </w:r>
      <w:r w:rsidR="00B65B4B">
        <w:t>estimated costs are unique to SDG&amp;E</w:t>
      </w:r>
      <w:r w:rsidR="0064678C">
        <w:t>.</w:t>
      </w:r>
      <w:r w:rsidR="003D6605">
        <w:rPr>
          <w:rStyle w:val="FootnoteReference"/>
        </w:rPr>
        <w:footnoteReference w:id="88"/>
      </w:r>
    </w:p>
    <w:p w:rsidR="00506BA5" w:rsidP="00E90426" w:rsidRDefault="00506BA5" w14:paraId="1F4D1DE8" w14:textId="77777777"/>
    <w:p w:rsidR="003E45EF" w:rsidP="00E90426" w:rsidRDefault="00A466EC" w14:paraId="637D88C0" w14:textId="453FA8D0">
      <w:r w:rsidRPr="00A466EC">
        <w:t>In its reply</w:t>
      </w:r>
      <w:r w:rsidR="008373C8">
        <w:t xml:space="preserve"> to address TURN</w:t>
      </w:r>
      <w:r w:rsidR="001737E5">
        <w:t>/</w:t>
      </w:r>
      <w:r w:rsidR="008373C8">
        <w:t>NRDC</w:t>
      </w:r>
      <w:r w:rsidRPr="00A466EC">
        <w:t>, SDG&amp;E explained that it has already addressed th</w:t>
      </w:r>
      <w:r w:rsidR="00091AE5">
        <w:t>is</w:t>
      </w:r>
      <w:r w:rsidRPr="00A466EC">
        <w:t xml:space="preserve"> requirement in D.24-05-028 to comply with the Decision. </w:t>
      </w:r>
      <w:r w:rsidRPr="00A466EC" w:rsidR="2F4DE790">
        <w:t xml:space="preserve"> </w:t>
      </w:r>
      <w:r w:rsidRPr="00A466EC">
        <w:t xml:space="preserve">SDG&amp;E requested to establish new </w:t>
      </w:r>
      <w:r w:rsidR="00E36958">
        <w:t>fixed charge</w:t>
      </w:r>
      <w:r w:rsidRPr="00A466EC">
        <w:t xml:space="preserve"> memorandum and balancing accounts through AL 4459-E and AL 4459-E-A, and </w:t>
      </w:r>
      <w:r w:rsidRPr="00A466EC" w:rsidR="4DF8B1AE">
        <w:t>ED</w:t>
      </w:r>
      <w:r w:rsidRPr="00A466EC">
        <w:t xml:space="preserve"> approved the request on June 26, 2024. SDG&amp;E affirmed that the implementation costs in AL 4492-E are incremental and that it will track these costs in the IGFCMA and seek recovery through a GRC or another proceeding.</w:t>
      </w:r>
      <w:r w:rsidR="007C6476">
        <w:rPr>
          <w:rStyle w:val="FootnoteReference"/>
        </w:rPr>
        <w:footnoteReference w:id="89"/>
      </w:r>
    </w:p>
    <w:p w:rsidR="001737E5" w:rsidP="00E90426" w:rsidRDefault="001737E5" w14:paraId="1B1E8830" w14:textId="77777777"/>
    <w:p w:rsidR="003B7A33" w:rsidP="043E9ECE" w:rsidRDefault="001737E5" w14:paraId="355C27DB" w14:textId="37EE1C29">
      <w:r>
        <w:t xml:space="preserve">In AL 4492-E-A, SDG&amp;E </w:t>
      </w:r>
      <w:r w:rsidR="007556CD">
        <w:t>addressed CEJA</w:t>
      </w:r>
      <w:r w:rsidR="007900C8">
        <w:t xml:space="preserve">’s concern about </w:t>
      </w:r>
      <w:r w:rsidR="00A431F0">
        <w:t>the cost of</w:t>
      </w:r>
      <w:r w:rsidR="007900C8">
        <w:t xml:space="preserve"> SDG&amp;E’s</w:t>
      </w:r>
      <w:r w:rsidR="00A431F0">
        <w:t xml:space="preserve"> rate comparison tool and</w:t>
      </w:r>
      <w:r w:rsidRPr="00BE54D6" w:rsidR="00BE54D6">
        <w:t xml:space="preserve"> </w:t>
      </w:r>
      <w:r w:rsidR="00356E87">
        <w:t>c</w:t>
      </w:r>
      <w:r w:rsidRPr="00BE54D6" w:rsidR="00BE54D6">
        <w:t>larifie</w:t>
      </w:r>
      <w:r w:rsidR="00356E87">
        <w:t>d</w:t>
      </w:r>
      <w:r w:rsidRPr="00BE54D6" w:rsidR="00BE54D6">
        <w:t xml:space="preserve"> its </w:t>
      </w:r>
      <w:r w:rsidR="00A91C48">
        <w:t>implementation costs</w:t>
      </w:r>
      <w:r w:rsidRPr="00BE54D6" w:rsidR="00BE54D6">
        <w:t xml:space="preserve"> did not include any requested amount for rate comparison tools in the ME&amp;O budget. The cost for rate comparison tools is captured in the Customer Rates Tools Updates approved budget in</w:t>
      </w:r>
      <w:r w:rsidR="007556CD">
        <w:t xml:space="preserve"> </w:t>
      </w:r>
      <w:r w:rsidR="004E41C4">
        <w:br/>
      </w:r>
      <w:r w:rsidR="007556CD">
        <w:t>D.24-05-028</w:t>
      </w:r>
      <w:r w:rsidR="00A431F0">
        <w:t>’s Table 7</w:t>
      </w:r>
      <w:r w:rsidR="007556CD">
        <w:t>.</w:t>
      </w:r>
      <w:r w:rsidR="00962153">
        <w:rPr>
          <w:rStyle w:val="FootnoteReference"/>
        </w:rPr>
        <w:footnoteReference w:id="90"/>
      </w:r>
      <w:r w:rsidR="00CB3797">
        <w:t xml:space="preserve"> This supplement</w:t>
      </w:r>
      <w:r w:rsidR="006940A7">
        <w:t>al filing</w:t>
      </w:r>
      <w:r w:rsidR="00CB3797">
        <w:t xml:space="preserve"> also </w:t>
      </w:r>
      <w:r w:rsidR="00083D55">
        <w:t xml:space="preserve">corrected </w:t>
      </w:r>
      <w:r w:rsidR="006169D6">
        <w:t xml:space="preserve">the mathematical error </w:t>
      </w:r>
      <w:r w:rsidR="00DC4C27">
        <w:t>identified in CEJA’s</w:t>
      </w:r>
      <w:r w:rsidR="00DF73B8">
        <w:t xml:space="preserve"> </w:t>
      </w:r>
      <w:r w:rsidR="007954EC">
        <w:t>protest,</w:t>
      </w:r>
      <w:r w:rsidR="001A717A">
        <w:t xml:space="preserve"> so </w:t>
      </w:r>
      <w:r w:rsidR="00A14E9A">
        <w:t>SDG&amp;</w:t>
      </w:r>
      <w:proofErr w:type="gramStart"/>
      <w:r w:rsidR="00A14E9A">
        <w:t>E’s</w:t>
      </w:r>
      <w:proofErr w:type="gramEnd"/>
      <w:r w:rsidR="00A14E9A">
        <w:t xml:space="preserve"> proposed </w:t>
      </w:r>
      <w:r w:rsidR="00650431">
        <w:t xml:space="preserve">DRAH Data and Program </w:t>
      </w:r>
      <w:r w:rsidR="00650431">
        <w:lastRenderedPageBreak/>
        <w:t xml:space="preserve">Management costs </w:t>
      </w:r>
      <w:r w:rsidR="00571820">
        <w:t>are reflected in the total.</w:t>
      </w:r>
      <w:r w:rsidR="000F3CD3">
        <w:br/>
      </w:r>
    </w:p>
    <w:p w:rsidRPr="00D865A9" w:rsidR="00CF17DE" w:rsidP="00F22803" w:rsidRDefault="00CF17DE" w14:paraId="23E10AE5" w14:textId="52069645">
      <w:pPr>
        <w:pStyle w:val="Heading1"/>
      </w:pPr>
      <w:r w:rsidRPr="00D865A9">
        <w:t>Discussion</w:t>
      </w:r>
    </w:p>
    <w:p w:rsidR="00B44573" w:rsidP="00B44573" w:rsidRDefault="00A32525" w14:paraId="2B867BAA" w14:textId="68342399">
      <w:pPr>
        <w:rPr>
          <w:rFonts w:eastAsia="Palatino Linotype" w:cs="Palatino Linotype"/>
          <w:color w:val="000000" w:themeColor="text1"/>
        </w:rPr>
      </w:pPr>
      <w:r w:rsidRPr="00D865A9">
        <w:t>The Commission</w:t>
      </w:r>
      <w:r w:rsidRPr="00D865A9" w:rsidR="00CF17DE">
        <w:t xml:space="preserve"> has reviewed</w:t>
      </w:r>
      <w:r w:rsidRPr="00D865A9">
        <w:t xml:space="preserve"> the </w:t>
      </w:r>
      <w:r w:rsidR="00216FC7">
        <w:t>AL</w:t>
      </w:r>
      <w:r w:rsidRPr="00D865A9">
        <w:t>, protest</w:t>
      </w:r>
      <w:r w:rsidR="00056763">
        <w:t>s</w:t>
      </w:r>
      <w:r w:rsidRPr="00D865A9">
        <w:t>,</w:t>
      </w:r>
      <w:r w:rsidR="00056763">
        <w:t xml:space="preserve"> protest repl</w:t>
      </w:r>
      <w:r w:rsidR="00971581">
        <w:t>y</w:t>
      </w:r>
      <w:r w:rsidR="00C43426">
        <w:t xml:space="preserve">, supplemental </w:t>
      </w:r>
      <w:r w:rsidR="5C2DF46C">
        <w:t>AL</w:t>
      </w:r>
      <w:r w:rsidR="0DCF2796">
        <w:t>s</w:t>
      </w:r>
      <w:r w:rsidR="00CC0F60">
        <w:t>, and</w:t>
      </w:r>
      <w:r w:rsidR="005B1FD1">
        <w:t xml:space="preserve"> SDG&amp;E’s</w:t>
      </w:r>
      <w:r w:rsidR="00CC0F60">
        <w:t xml:space="preserve"> responses </w:t>
      </w:r>
      <w:r w:rsidR="007843B3">
        <w:t>to</w:t>
      </w:r>
      <w:r w:rsidR="00CC0F60">
        <w:t xml:space="preserve"> </w:t>
      </w:r>
      <w:r w:rsidR="00E90F9A">
        <w:t xml:space="preserve">data requests </w:t>
      </w:r>
      <w:r w:rsidR="00064307">
        <w:t xml:space="preserve">submitted by </w:t>
      </w:r>
      <w:r w:rsidR="00CC0F60">
        <w:t>Cal Adv</w:t>
      </w:r>
      <w:r w:rsidR="005B1FD1">
        <w:t>ocates</w:t>
      </w:r>
      <w:r w:rsidR="00760694">
        <w:t xml:space="preserve"> and </w:t>
      </w:r>
      <w:r w:rsidR="5BF1582E">
        <w:t>E</w:t>
      </w:r>
      <w:r w:rsidR="46FBA473">
        <w:t>nergy Division staff</w:t>
      </w:r>
      <w:r w:rsidR="005569B0">
        <w:t xml:space="preserve">. We </w:t>
      </w:r>
      <w:r w:rsidR="00601A57">
        <w:t>address</w:t>
      </w:r>
      <w:r w:rsidR="00FF0D27">
        <w:t xml:space="preserve"> issues</w:t>
      </w:r>
      <w:r w:rsidR="00E77F94">
        <w:t xml:space="preserve"> </w:t>
      </w:r>
      <w:r w:rsidR="00B44573">
        <w:t xml:space="preserve">raised in the following sections: </w:t>
      </w:r>
      <w:r w:rsidR="00B44573">
        <w:rPr>
          <w:rFonts w:eastAsia="Palatino Linotype" w:cs="Palatino Linotype"/>
          <w:color w:val="000000" w:themeColor="text1"/>
        </w:rPr>
        <w:t>(1) rate design, (2) tier assignments (including DRAH implementation), (3) ME&amp;O plan, and (4) total estimated implementation budget.</w:t>
      </w:r>
    </w:p>
    <w:p w:rsidRPr="00D865A9" w:rsidR="00CA25DC" w:rsidP="005D6181" w:rsidRDefault="00CA25DC" w14:paraId="624009C3" w14:textId="0621DE70"/>
    <w:p w:rsidRPr="0067681A" w:rsidR="0067681A" w:rsidP="00714C33" w:rsidRDefault="0067681A" w14:paraId="11D4EAB9" w14:textId="4779307F">
      <w:pPr>
        <w:pStyle w:val="Heading2"/>
        <w:ind w:left="360"/>
      </w:pPr>
      <w:r w:rsidRPr="0067681A">
        <w:t xml:space="preserve">Rate Design </w:t>
      </w:r>
    </w:p>
    <w:p w:rsidR="3CB1CDD8" w:rsidP="00805FB3" w:rsidRDefault="0CB57F14" w14:paraId="35ABAD63" w14:textId="6A05B434">
      <w:pPr>
        <w:pStyle w:val="Heading3"/>
      </w:pPr>
      <w:r>
        <w:t xml:space="preserve">5.1. </w:t>
      </w:r>
      <w:r w:rsidR="3CB1CDD8">
        <w:t>Fixed Charge Calculation</w:t>
      </w:r>
    </w:p>
    <w:p w:rsidR="2C3F904C" w:rsidP="00F9268E" w:rsidRDefault="3CB1CDD8" w14:paraId="0DF810D0" w14:textId="3E6D1C98">
      <w:r>
        <w:t xml:space="preserve">In AL 4492-E, SDG&amp;E provided a comprehensive breakdown of its fixed charge calculation </w:t>
      </w:r>
      <w:proofErr w:type="gramStart"/>
      <w:r>
        <w:t>in order to</w:t>
      </w:r>
      <w:proofErr w:type="gramEnd"/>
      <w:r>
        <w:t xml:space="preserve"> comply with the </w:t>
      </w:r>
      <w:r w:rsidR="00907494">
        <w:t>D</w:t>
      </w:r>
      <w:r w:rsidRPr="0F70E7EE" w:rsidR="24C68C14">
        <w:t>ecision.</w:t>
      </w:r>
    </w:p>
    <w:p w:rsidR="3CB1CDD8" w:rsidRDefault="3CB1CDD8" w14:paraId="634E6863" w14:textId="469B820E">
      <w:r>
        <w:t xml:space="preserve"> </w:t>
      </w:r>
    </w:p>
    <w:p w:rsidR="3CB1CDD8" w:rsidRDefault="3CB1CDD8" w14:paraId="5AD0244C" w14:textId="2297874E">
      <w:r>
        <w:t xml:space="preserve">First, SDG&amp;E reiterated its intention to follow the precise fixed charge values listed in D.24-05-028, Conclusion of Law </w:t>
      </w:r>
      <w:r w:rsidR="00954379">
        <w:t>(COL)</w:t>
      </w:r>
      <w:r w:rsidRPr="4C0AC032" w:rsidR="39C5DC80">
        <w:t xml:space="preserve"> </w:t>
      </w:r>
      <w:r>
        <w:t>23.</w:t>
      </w:r>
    </w:p>
    <w:p w:rsidR="33C875E7" w:rsidRDefault="33C875E7" w14:paraId="7AC49B70" w14:textId="77777777"/>
    <w:p w:rsidR="3CB1CDD8" w:rsidRDefault="3CB1CDD8" w14:paraId="5D1FB35A" w14:textId="0BD92844">
      <w:r>
        <w:t xml:space="preserve">Second, SDG&amp;E proposes to enhance its billing forecast process to include DRAH customer-month determinants and sub-meter determinants. Residential customer-months will be allocated into four categories: Tier 1, Tier 2 (with separate categories for FERA and DRAH, and Tier 3. While FERA and DRAH customers fall under Tier 2, non-FERA customers in Tier 2 will not benefit from the FERA discount and will contribute to recovering FERA-exempt PPP costs. </w:t>
      </w:r>
    </w:p>
    <w:p w:rsidR="33C875E7" w:rsidRDefault="33C875E7" w14:paraId="06BCB15B" w14:textId="77777777"/>
    <w:p w:rsidR="3CB1CDD8" w:rsidRDefault="3CB1CDD8" w14:paraId="4E279D08" w14:textId="647B8F44">
      <w:r>
        <w:t xml:space="preserve">Third, SDG&amp;E will calculate the revenue cap that could be collected from </w:t>
      </w:r>
      <w:r w:rsidR="00242D43">
        <w:t>f</w:t>
      </w:r>
      <w:r w:rsidRPr="4F72FB3C" w:rsidR="4FF1E0E0">
        <w:t xml:space="preserve">ixed </w:t>
      </w:r>
      <w:r w:rsidR="00242D43">
        <w:t>c</w:t>
      </w:r>
      <w:r w:rsidRPr="4F72FB3C" w:rsidR="4FF1E0E0">
        <w:t>harges</w:t>
      </w:r>
      <w:r>
        <w:t xml:space="preserve"> by multiplying the </w:t>
      </w:r>
      <w:r w:rsidR="00242D43">
        <w:t>f</w:t>
      </w:r>
      <w:r w:rsidRPr="4F72FB3C" w:rsidR="4FF1E0E0">
        <w:t xml:space="preserve">ixed </w:t>
      </w:r>
      <w:r w:rsidR="00242D43">
        <w:t>c</w:t>
      </w:r>
      <w:r w:rsidRPr="4F72FB3C" w:rsidR="4FF1E0E0">
        <w:t>harge</w:t>
      </w:r>
      <w:r>
        <w:t xml:space="preserve"> tiers by the billing determinants.</w:t>
      </w:r>
    </w:p>
    <w:p w:rsidR="33C875E7" w:rsidRDefault="33C875E7" w14:paraId="113667BA" w14:textId="77777777"/>
    <w:p w:rsidR="3CB1CDD8" w:rsidRDefault="3CB1CDD8" w14:paraId="056BD4D7" w14:textId="12AC0EE9">
      <w:r>
        <w:t xml:space="preserve">Fourth, SDG&amp;E will update its billing forecast to include DRAH and sub-meter determinants. Residential customer-months will be categorized into Tier 1, Tier 2 (FERA and DRAH), and Tier 3. Non-FERA Tier 2 customers will not receive the FERA discount and will help recover FERA-exempt program costs. If the revenue cap is met, only a portion of the revenue requirements will be collected through </w:t>
      </w:r>
      <w:r w:rsidR="00167CCB">
        <w:t>f</w:t>
      </w:r>
      <w:r w:rsidRPr="77CE4E06" w:rsidR="427D5417">
        <w:t xml:space="preserve">ixed </w:t>
      </w:r>
      <w:r w:rsidR="00167CCB">
        <w:t>c</w:t>
      </w:r>
      <w:r w:rsidRPr="77CE4E06" w:rsidR="427D5417">
        <w:t>harges.</w:t>
      </w:r>
    </w:p>
    <w:p w:rsidR="33C875E7" w:rsidRDefault="33C875E7" w14:paraId="699A032C" w14:textId="77777777"/>
    <w:p w:rsidR="3CB1CDD8" w:rsidRDefault="3CB1CDD8" w14:paraId="7A8F5E99" w14:textId="289BFCBA">
      <w:r>
        <w:t xml:space="preserve">Fifth, SDG&amp;E will calculate the revenue requirement for each </w:t>
      </w:r>
      <w:r w:rsidR="00167CCB">
        <w:t>f</w:t>
      </w:r>
      <w:r w:rsidRPr="3B405A7C" w:rsidR="6A7A2A86">
        <w:t xml:space="preserve">ixed </w:t>
      </w:r>
      <w:r w:rsidR="00167CCB">
        <w:t>c</w:t>
      </w:r>
      <w:r w:rsidRPr="3B405A7C" w:rsidR="6A7A2A86">
        <w:t xml:space="preserve">harge </w:t>
      </w:r>
      <w:r>
        <w:t xml:space="preserve">tier by adjusting distribution components. For Tier 1 (CARE), the process involves removing CARE-exempt PPP costs and then applying a ~35% CARE discount to the remainder. </w:t>
      </w:r>
      <w:r>
        <w:lastRenderedPageBreak/>
        <w:t xml:space="preserve">An additional </w:t>
      </w:r>
      <w:r w:rsidR="00167CCB">
        <w:t>f</w:t>
      </w:r>
      <w:r w:rsidRPr="2A6980D7" w:rsidR="0B29C071">
        <w:t xml:space="preserve">ixed </w:t>
      </w:r>
      <w:r w:rsidR="00167CCB">
        <w:t>c</w:t>
      </w:r>
      <w:r w:rsidRPr="2A6980D7" w:rsidR="0B29C071">
        <w:t>harge</w:t>
      </w:r>
      <w:r>
        <w:t xml:space="preserve"> discount ensures the final Tier 1 charge is $6/month. Tier 2 (FERA) works similarly, by removing FERA-exempt PPP, then applying an 18% discount to the remainder to achieve a final charge of $12.08/month. For Tier 2 (DRAH), the discount ensures the charge also totals $12.08/month. Tier 3’s charges help fund the discounts for the lower tiers beyond those covered by CARE and FERA.</w:t>
      </w:r>
    </w:p>
    <w:p w:rsidR="33C875E7" w:rsidRDefault="33C875E7" w14:paraId="2E646DB2" w14:textId="77777777"/>
    <w:p w:rsidR="00762BC9" w:rsidRDefault="3CB1CDD8" w14:paraId="1E322AA0" w14:textId="46F75689">
      <w:r>
        <w:t xml:space="preserve">Sixth, SDG&amp;E </w:t>
      </w:r>
      <w:r w:rsidR="1F4441FE">
        <w:t>plans to</w:t>
      </w:r>
      <w:r>
        <w:t xml:space="preserve"> reduce volumetric rates based on revenues from the </w:t>
      </w:r>
      <w:r w:rsidR="00167CCB">
        <w:t>f</w:t>
      </w:r>
      <w:r w:rsidRPr="5E23CA89" w:rsidR="265B6563">
        <w:t xml:space="preserve">ixed </w:t>
      </w:r>
      <w:r w:rsidR="00167CCB">
        <w:t>c</w:t>
      </w:r>
      <w:r w:rsidRPr="5E23CA89" w:rsidR="265B6563">
        <w:t>harge.</w:t>
      </w:r>
      <w:r>
        <w:t xml:space="preserve"> Default residential rates will see their volumetric components reduced equally by cents per kWh</w:t>
      </w:r>
      <w:r w:rsidRPr="5E23CA89" w:rsidR="265B6563">
        <w:t>.</w:t>
      </w:r>
      <w:r>
        <w:t xml:space="preserve"> Conversely, optional rates, especially time-varying rates will be reduced equally by percentage across all time periods. Non-distribution components like </w:t>
      </w:r>
      <w:r w:rsidR="0ECF241F">
        <w:t>PPP</w:t>
      </w:r>
      <w:r w:rsidR="1DA06D30">
        <w:t>s</w:t>
      </w:r>
      <w:r>
        <w:t xml:space="preserve"> will also be reduced in proportion to </w:t>
      </w:r>
      <w:r w:rsidR="00167CCB">
        <w:t>f</w:t>
      </w:r>
      <w:r w:rsidRPr="5E23CA89" w:rsidR="265B6563">
        <w:t xml:space="preserve">ixed </w:t>
      </w:r>
      <w:r w:rsidR="00167CCB">
        <w:t>c</w:t>
      </w:r>
      <w:r w:rsidRPr="5E23CA89" w:rsidR="265B6563">
        <w:t>harge</w:t>
      </w:r>
      <w:r>
        <w:t xml:space="preserve"> revenues. </w:t>
      </w:r>
    </w:p>
    <w:p w:rsidR="00762BC9" w:rsidRDefault="00762BC9" w14:paraId="4B11FA33" w14:textId="77777777"/>
    <w:p w:rsidR="3CB1CDD8" w:rsidRDefault="3CB1CDD8" w14:paraId="3779887D" w14:textId="290353C8">
      <w:r>
        <w:t xml:space="preserve">For distribution rates, which include CARE and FERA discounts, SDG&amp;E proposed that the total revenue collected from volumetric rates will decrease by the amount collected through the </w:t>
      </w:r>
      <w:r w:rsidR="00167CCB">
        <w:t>f</w:t>
      </w:r>
      <w:r w:rsidRPr="5E23CA89" w:rsidR="265B6563">
        <w:t xml:space="preserve">ixed </w:t>
      </w:r>
      <w:r w:rsidR="00167CCB">
        <w:t>c</w:t>
      </w:r>
      <w:r w:rsidRPr="5E23CA89" w:rsidR="265B6563">
        <w:t>harge.</w:t>
      </w:r>
      <w:r>
        <w:t xml:space="preserve"> For SDG&amp;E’s default and optional non-electrification rates which are flat across all time periods, this method results in an equal cents per kWh reduction. However, SDG&amp;E notes optional electrification rates such as EV-TOU, </w:t>
      </w:r>
      <w:r w:rsidR="00F000ED">
        <w:br/>
      </w:r>
      <w:r>
        <w:t xml:space="preserve">EV-TOU-2, and EV-TOU-5 would not result in an equal cents per kWh reduction due to time-varying distribution rates in peak periods. To comply with the </w:t>
      </w:r>
      <w:r w:rsidR="757575D7">
        <w:t>D</w:t>
      </w:r>
      <w:r w:rsidRPr="5E23CA89" w:rsidR="265B6563">
        <w:t>ecision</w:t>
      </w:r>
      <w:r>
        <w:t xml:space="preserve">, SDG&amp;E proposed a “one-time” adjustment to reduce the volumetric distribution rates for all residential schedules on an equal cent per kWh for all TOU periods except for </w:t>
      </w:r>
      <w:r w:rsidR="00F000ED">
        <w:br/>
      </w:r>
      <w:r>
        <w:t>EV-TOU-5's super-off-peak period.</w:t>
      </w:r>
    </w:p>
    <w:p w:rsidR="33C875E7" w:rsidP="33C875E7" w:rsidRDefault="33C875E7" w14:paraId="7ACEBBBD" w14:textId="3C99E8F6">
      <w:pPr>
        <w:rPr>
          <w:color w:val="FF0000"/>
        </w:rPr>
      </w:pPr>
    </w:p>
    <w:p w:rsidR="4B004E10" w:rsidP="33C875E7" w:rsidRDefault="3CB1CDD8" w14:paraId="05E2626D" w14:textId="595957F2">
      <w:pPr>
        <w:rPr>
          <w:color w:val="000000" w:themeColor="text1"/>
        </w:rPr>
      </w:pPr>
      <w:r w:rsidRPr="33C875E7">
        <w:rPr>
          <w:color w:val="000000" w:themeColor="text1"/>
        </w:rPr>
        <w:t xml:space="preserve">Upon review of SDG&amp;E’s proposed fixed charge calculation outlined in </w:t>
      </w:r>
      <w:r w:rsidRPr="35275654" w:rsidR="1997E57C">
        <w:rPr>
          <w:color w:val="000000" w:themeColor="text1"/>
        </w:rPr>
        <w:t xml:space="preserve">AL </w:t>
      </w:r>
      <w:r w:rsidRPr="33C875E7">
        <w:rPr>
          <w:color w:val="000000" w:themeColor="text1"/>
        </w:rPr>
        <w:t xml:space="preserve">4492-E, the Commission finds the methodology to be acceptable and aligned with the requirements of D.24-05-028, </w:t>
      </w:r>
      <w:r w:rsidRPr="11515300" w:rsidR="5EA09169">
        <w:rPr>
          <w:color w:val="000000" w:themeColor="text1"/>
        </w:rPr>
        <w:t>C</w:t>
      </w:r>
      <w:r w:rsidR="009B3401">
        <w:rPr>
          <w:color w:val="000000" w:themeColor="text1"/>
        </w:rPr>
        <w:t>OL</w:t>
      </w:r>
      <w:r w:rsidRPr="11515300" w:rsidR="5EA09169">
        <w:rPr>
          <w:color w:val="000000" w:themeColor="text1"/>
        </w:rPr>
        <w:t xml:space="preserve"> 23.</w:t>
      </w:r>
      <w:r w:rsidRPr="33C875E7">
        <w:rPr>
          <w:color w:val="000000" w:themeColor="text1"/>
        </w:rPr>
        <w:t xml:space="preserve"> However, SDG&amp;E’s approach to volumetric distribution rate reduction for EV-TOU-5's super-off-peak period and its “one-time” adjustment will be discussed in greater detail in </w:t>
      </w:r>
      <w:r w:rsidR="00827C56">
        <w:rPr>
          <w:color w:val="000000" w:themeColor="text1"/>
        </w:rPr>
        <w:t xml:space="preserve">the </w:t>
      </w:r>
      <w:r w:rsidRPr="33C875E7">
        <w:rPr>
          <w:color w:val="000000" w:themeColor="text1"/>
        </w:rPr>
        <w:t>following sections.</w:t>
      </w:r>
    </w:p>
    <w:p w:rsidR="68EB36D5" w:rsidRDefault="68EB36D5" w14:paraId="7CC38A36" w14:textId="77777777"/>
    <w:p w:rsidR="3CB1CDD8" w:rsidP="14E412CD" w:rsidRDefault="3CB1CDD8" w14:paraId="471E2313" w14:textId="26CE3181">
      <w:pPr>
        <w:pStyle w:val="Heading3"/>
      </w:pPr>
      <w:r>
        <w:t>5.2.</w:t>
      </w:r>
      <w:r w:rsidR="246741B3">
        <w:t xml:space="preserve"> </w:t>
      </w:r>
      <w:r>
        <w:t>Methodology and Loading Order</w:t>
      </w:r>
      <w:r w:rsidRPr="61AF8A60">
        <w:rPr>
          <w:rStyle w:val="FootnoteReference"/>
        </w:rPr>
        <w:footnoteReference w:id="91"/>
      </w:r>
    </w:p>
    <w:p w:rsidR="68EB36D5" w:rsidP="68EB36D5" w:rsidRDefault="68EB36D5" w14:paraId="57834914" w14:textId="1958C7E4">
      <w:pPr>
        <w:rPr>
          <w:color w:val="000000" w:themeColor="text1"/>
        </w:rPr>
      </w:pPr>
    </w:p>
    <w:p w:rsidR="3CB1CDD8" w:rsidP="68EB36D5" w:rsidRDefault="3CB1CDD8" w14:paraId="2F308CBB" w14:textId="38218620">
      <w:pPr>
        <w:rPr>
          <w:color w:val="000000" w:themeColor="text1"/>
        </w:rPr>
      </w:pPr>
      <w:r w:rsidRPr="68EB36D5">
        <w:rPr>
          <w:color w:val="000000" w:themeColor="text1"/>
        </w:rPr>
        <w:lastRenderedPageBreak/>
        <w:t xml:space="preserve">In AL 4492-E, SDG&amp;E provided a tabulated breakdown of the cost categories it intended to load into each of the </w:t>
      </w:r>
      <w:r w:rsidRPr="35275654" w:rsidR="5E5D31DB">
        <w:rPr>
          <w:color w:val="000000" w:themeColor="text1"/>
        </w:rPr>
        <w:t>IGFC</w:t>
      </w:r>
      <w:r w:rsidRPr="68EB36D5">
        <w:rPr>
          <w:color w:val="000000" w:themeColor="text1"/>
        </w:rPr>
        <w:t xml:space="preserve"> tiers.</w:t>
      </w:r>
    </w:p>
    <w:p w:rsidR="68EB36D5" w:rsidP="68EB36D5" w:rsidRDefault="68EB36D5" w14:paraId="048153C5" w14:textId="77777777">
      <w:pPr>
        <w:rPr>
          <w:color w:val="000000" w:themeColor="text1"/>
        </w:rPr>
      </w:pPr>
    </w:p>
    <w:p w:rsidR="1DE32884" w:rsidP="1DE32884" w:rsidRDefault="1DE32884" w14:paraId="2012021F" w14:textId="2D42BD01">
      <w:pPr>
        <w:rPr>
          <w:color w:val="000000" w:themeColor="text1"/>
        </w:rPr>
      </w:pPr>
    </w:p>
    <w:p w:rsidR="1DE32884" w:rsidP="1DE32884" w:rsidRDefault="1DE32884" w14:paraId="5A47D0DD" w14:textId="3950A754">
      <w:pPr>
        <w:rPr>
          <w:color w:val="000000" w:themeColor="text1"/>
        </w:rPr>
      </w:pPr>
    </w:p>
    <w:p w:rsidR="1DE32884" w:rsidP="1DE32884" w:rsidRDefault="1DE32884" w14:paraId="31741D0F" w14:textId="4261AA18">
      <w:pPr>
        <w:rPr>
          <w:color w:val="000000" w:themeColor="text1"/>
        </w:rPr>
      </w:pPr>
    </w:p>
    <w:p w:rsidR="5A904B83" w:rsidP="68EB36D5" w:rsidRDefault="3CB1CDD8" w14:paraId="3CA17642" w14:textId="68204ED3">
      <w:pPr>
        <w:jc w:val="center"/>
        <w:rPr>
          <w:b/>
          <w:bCs/>
          <w:color w:val="000000" w:themeColor="text1"/>
        </w:rPr>
      </w:pPr>
      <w:r w:rsidRPr="68EB36D5">
        <w:rPr>
          <w:b/>
          <w:bCs/>
          <w:color w:val="000000" w:themeColor="text1"/>
        </w:rPr>
        <w:t xml:space="preserve">Table </w:t>
      </w:r>
      <w:r w:rsidR="0072231D">
        <w:rPr>
          <w:b/>
          <w:bCs/>
          <w:color w:val="000000" w:themeColor="text1"/>
        </w:rPr>
        <w:t>1</w:t>
      </w:r>
      <w:r w:rsidRPr="68EB36D5">
        <w:rPr>
          <w:b/>
          <w:bCs/>
          <w:color w:val="000000" w:themeColor="text1"/>
        </w:rPr>
        <w:t>: SDG&amp;E’s Fixed Charge by Tier and Component (Sample)</w:t>
      </w:r>
    </w:p>
    <w:p w:rsidR="68EB36D5" w:rsidP="68EB36D5" w:rsidRDefault="68EB36D5" w14:paraId="278FC40C" w14:textId="77777777">
      <w:pPr>
        <w:jc w:val="center"/>
        <w:rPr>
          <w:b/>
          <w:bCs/>
          <w:color w:val="000000" w:themeColor="text1"/>
        </w:rPr>
      </w:pPr>
    </w:p>
    <w:p w:rsidR="3CB1CDD8" w:rsidP="68EB36D5" w:rsidRDefault="3CB1CDD8" w14:paraId="66A2905F" w14:textId="1963BB85">
      <w:pPr>
        <w:pStyle w:val="sub2"/>
        <w:ind w:firstLine="0"/>
        <w:jc w:val="center"/>
      </w:pPr>
      <w:r>
        <w:rPr>
          <w:noProof/>
        </w:rPr>
        <w:drawing>
          <wp:inline distT="0" distB="0" distL="0" distR="0" wp14:anchorId="2FBFF4E4" wp14:editId="74AE8A37">
            <wp:extent cx="5779008" cy="2601212"/>
            <wp:effectExtent l="0" t="0" r="0" b="8890"/>
            <wp:docPr id="1140706991" name="Picture 78707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079380"/>
                    <pic:cNvPicPr/>
                  </pic:nvPicPr>
                  <pic:blipFill>
                    <a:blip r:embed="rId11">
                      <a:extLst>
                        <a:ext uri="{28A0092B-C50C-407E-A947-70E740481C1C}">
                          <a14:useLocalDpi xmlns:a14="http://schemas.microsoft.com/office/drawing/2010/main" val="0"/>
                        </a:ext>
                      </a:extLst>
                    </a:blip>
                    <a:srcRect t="13043"/>
                    <a:stretch>
                      <a:fillRect/>
                    </a:stretch>
                  </pic:blipFill>
                  <pic:spPr>
                    <a:xfrm>
                      <a:off x="0" y="0"/>
                      <a:ext cx="5779008" cy="2601212"/>
                    </a:xfrm>
                    <a:prstGeom prst="rect">
                      <a:avLst/>
                    </a:prstGeom>
                  </pic:spPr>
                </pic:pic>
              </a:graphicData>
            </a:graphic>
          </wp:inline>
        </w:drawing>
      </w:r>
    </w:p>
    <w:p w:rsidR="68EB36D5" w:rsidRDefault="68EB36D5" w14:paraId="385999D8" w14:textId="77777777"/>
    <w:p w:rsidR="3CB1CDD8" w:rsidRDefault="3CB1CDD8" w14:paraId="27FFC09D" w14:textId="1A7917AB">
      <w:r>
        <w:t xml:space="preserve">SDG&amp;E emphasized that the loading order provided in </w:t>
      </w:r>
      <w:r w:rsidR="16C10E27">
        <w:t xml:space="preserve">AL </w:t>
      </w:r>
      <w:r>
        <w:t xml:space="preserve">4492-E is largely illustrative. It proposed to recover 100% of MCAC as noted in D.24-05-028, </w:t>
      </w:r>
      <w:r w:rsidR="0F80C1F0">
        <w:t>C</w:t>
      </w:r>
      <w:r w:rsidR="009B3401">
        <w:t>OL</w:t>
      </w:r>
      <w:r>
        <w:t xml:space="preserve"> 23, and tentatively lists the </w:t>
      </w:r>
      <w:r w:rsidR="0F80C1F0">
        <w:t>Lo</w:t>
      </w:r>
      <w:r w:rsidR="00382E4B">
        <w:t>cal</w:t>
      </w:r>
      <w:r>
        <w:t xml:space="preserve"> Generation Charge (LGC) as the next cost category to be collected in fixed charges, followed by other </w:t>
      </w:r>
      <w:r w:rsidR="0DD1D638">
        <w:t>non-</w:t>
      </w:r>
      <w:r>
        <w:t xml:space="preserve">Distribution costs, in order of priority. SDG&amp;E notably excluded the recovery of any PPP costs in its fixed charge proposal and stated that it refrained because PPP recovers a variety of programs, some of which CARE and FERA customers are exempt from paying. It argued doing so would increase the complexity of converting the PPP rate component to a </w:t>
      </w:r>
      <w:r w:rsidR="00E179E1">
        <w:t>f</w:t>
      </w:r>
      <w:r w:rsidR="37D3C2DB">
        <w:t xml:space="preserve">ixed </w:t>
      </w:r>
      <w:r w:rsidR="00E179E1">
        <w:t>c</w:t>
      </w:r>
      <w:r w:rsidR="37D3C2DB">
        <w:t>harge.</w:t>
      </w:r>
      <w:r>
        <w:t xml:space="preserve"> SDG&amp;E plans to reassess this Cost Layering “loading order” prioritization at every rate change as revenue requirements and updated forecasts of customers enrolled in each income tier changes.</w:t>
      </w:r>
    </w:p>
    <w:p w:rsidR="68EB36D5" w:rsidRDefault="68EB36D5" w14:paraId="0B8AB0BD" w14:textId="77777777"/>
    <w:p w:rsidR="3CB1CDD8" w:rsidP="68EB36D5" w:rsidRDefault="3CB1CDD8" w14:paraId="07510AB9" w14:textId="21E54BA3">
      <w:pPr>
        <w:spacing w:line="259" w:lineRule="auto"/>
      </w:pPr>
      <w:r>
        <w:t>CEJA protested SDG&amp;E’s AL 4492-E arguing that the Cost Layering methodology utilized was unjust and unreasonable given that ratepayers from different IOUs would pay different costs.</w:t>
      </w:r>
      <w:r w:rsidRPr="68EB36D5">
        <w:rPr>
          <w:rStyle w:val="FootnoteReference"/>
        </w:rPr>
        <w:footnoteReference w:id="92"/>
      </w:r>
      <w:r>
        <w:t xml:space="preserve"> They also cited that Tier 1 and Tier 2 customers would be </w:t>
      </w:r>
      <w:r>
        <w:lastRenderedPageBreak/>
        <w:t>disadvantaged by the Cost Layer (“loading order”) methods chosen given that no PPP costs were shown as being collected in SDG&amp;E’s illustrative Tier 1 and Tier 2 fixed charges.</w:t>
      </w:r>
      <w:r w:rsidRPr="68EB36D5">
        <w:rPr>
          <w:rStyle w:val="FootnoteReference"/>
        </w:rPr>
        <w:footnoteReference w:id="93"/>
      </w:r>
      <w:r>
        <w:t xml:space="preserve"> Instead, they argued that CARE-exempt PPP costs should be loaded into </w:t>
      </w:r>
      <w:r w:rsidR="009C0306">
        <w:br/>
      </w:r>
      <w:r>
        <w:t>Tier 2 and Tier 3 fixed charges after the MCAC component followed by Non-Exempt PPP costs.</w:t>
      </w:r>
      <w:r w:rsidRPr="68EB36D5">
        <w:rPr>
          <w:rStyle w:val="FootnoteReference"/>
        </w:rPr>
        <w:footnoteReference w:id="94"/>
      </w:r>
      <w:r>
        <w:t xml:space="preserve"> CEJA also identified the “illustrative” nature of SDG&amp;E’s fixed charge methodology as concerning and cautioned against IOUs having the capacity to change the loading order with little to no oversight.</w:t>
      </w:r>
      <w:r w:rsidRPr="68EB36D5">
        <w:rPr>
          <w:rStyle w:val="FootnoteReference"/>
          <w:rFonts w:eastAsia="Palatino Linotype" w:cs="Palatino Linotype"/>
          <w:color w:val="000000" w:themeColor="text1"/>
        </w:rPr>
        <w:footnoteReference w:id="95"/>
      </w:r>
    </w:p>
    <w:p w:rsidR="68EB36D5" w:rsidRDefault="68EB36D5" w14:paraId="47274209" w14:textId="77777777"/>
    <w:p w:rsidR="3CB1CDD8" w:rsidRDefault="3CB1CDD8" w14:paraId="0B70A21D" w14:textId="33469756">
      <w:pPr>
        <w:rPr>
          <w:rFonts w:eastAsia="Palatino Linotype" w:cs="Palatino Linotype"/>
          <w:color w:val="000000" w:themeColor="text1"/>
        </w:rPr>
      </w:pPr>
      <w:r w:rsidRPr="3FADB8F3">
        <w:rPr>
          <w:rFonts w:eastAsia="Palatino Linotype" w:cs="Palatino Linotype"/>
          <w:color w:val="000000" w:themeColor="text1"/>
        </w:rPr>
        <w:t xml:space="preserve">The original decision was not prescriptive in establishing </w:t>
      </w:r>
      <w:r w:rsidRPr="3FADB8F3" w:rsidR="5F1FA230">
        <w:rPr>
          <w:rFonts w:eastAsia="Palatino Linotype" w:cs="Palatino Linotype"/>
          <w:color w:val="000000" w:themeColor="text1"/>
        </w:rPr>
        <w:t>a</w:t>
      </w:r>
      <w:r w:rsidRPr="3FADB8F3" w:rsidR="00296277">
        <w:rPr>
          <w:rFonts w:eastAsia="Palatino Linotype" w:cs="Palatino Linotype"/>
          <w:color w:val="000000" w:themeColor="text1"/>
        </w:rPr>
        <w:t xml:space="preserve"> </w:t>
      </w:r>
      <w:r w:rsidRPr="3FADB8F3">
        <w:rPr>
          <w:rFonts w:eastAsia="Palatino Linotype" w:cs="Palatino Linotype"/>
          <w:color w:val="000000" w:themeColor="text1"/>
        </w:rPr>
        <w:t xml:space="preserve">loading order for all IOUs to follow beyond recovering 100% of MCACs in the fixed charge. </w:t>
      </w:r>
      <w:r w:rsidRPr="3FADB8F3" w:rsidR="06FE6D1F">
        <w:rPr>
          <w:rFonts w:eastAsia="Palatino Linotype" w:cs="Palatino Linotype"/>
          <w:color w:val="000000" w:themeColor="text1"/>
        </w:rPr>
        <w:t xml:space="preserve">As such, it is appropriate for Energy Division </w:t>
      </w:r>
      <w:r w:rsidR="00273502">
        <w:rPr>
          <w:rFonts w:eastAsia="Palatino Linotype" w:cs="Palatino Linotype"/>
          <w:color w:val="000000" w:themeColor="text1"/>
        </w:rPr>
        <w:t>S</w:t>
      </w:r>
      <w:r w:rsidRPr="3FADB8F3" w:rsidR="06FE6D1F">
        <w:rPr>
          <w:rFonts w:eastAsia="Palatino Linotype" w:cs="Palatino Linotype"/>
          <w:color w:val="000000" w:themeColor="text1"/>
        </w:rPr>
        <w:t>taff</w:t>
      </w:r>
      <w:r w:rsidRPr="3FADB8F3">
        <w:rPr>
          <w:rFonts w:eastAsia="Palatino Linotype" w:cs="Palatino Linotype"/>
          <w:color w:val="000000" w:themeColor="text1"/>
        </w:rPr>
        <w:t xml:space="preserve"> to provide IOUs with a level of discretion regarding the recovery of </w:t>
      </w:r>
      <w:r w:rsidRPr="3FADB8F3" w:rsidR="06FE6D1F">
        <w:rPr>
          <w:rFonts w:eastAsia="Palatino Linotype" w:cs="Palatino Linotype"/>
          <w:color w:val="000000" w:themeColor="text1"/>
        </w:rPr>
        <w:t xml:space="preserve">authorized </w:t>
      </w:r>
      <w:r w:rsidRPr="3FADB8F3">
        <w:rPr>
          <w:rFonts w:eastAsia="Palatino Linotype" w:cs="Palatino Linotype"/>
          <w:color w:val="000000" w:themeColor="text1"/>
        </w:rPr>
        <w:t xml:space="preserve">cost components in fixed charges and </w:t>
      </w:r>
      <w:r w:rsidRPr="3FADB8F3" w:rsidR="06FE6D1F">
        <w:rPr>
          <w:rFonts w:eastAsia="Palatino Linotype" w:cs="Palatino Linotype"/>
          <w:color w:val="000000" w:themeColor="text1"/>
        </w:rPr>
        <w:t>aims to maintain this flexibility for IOUs. CEJA’s concerns regarding SDG&amp;E’s loading order and the potential impact on low-income customers through their volumetric rates are well-represented in the record. However, it is important to reiterate that CARE-Exempt PPP costs exist as a separate cost component to protect CARE customers receiving the Tier 1 fixed charge and CARE-Exempt costs are not included in the fixed charge or volumetric rates that CARE customers pay. As such, requiring SDG&amp;E to include these costs in the loading order for the Tier 2 or Tier 3 fixed charges would have no impact on the fixed charge or volumetric rates paid by CARE customers because those customers are already shielded from these costs.</w:t>
      </w:r>
      <w:r w:rsidRPr="3FADB8F3" w:rsidR="2F5A8C08">
        <w:rPr>
          <w:rFonts w:eastAsia="Palatino Linotype" w:cs="Palatino Linotype"/>
          <w:color w:val="000000" w:themeColor="text1"/>
        </w:rPr>
        <w:t xml:space="preserve"> </w:t>
      </w:r>
      <w:r w:rsidR="007E525C">
        <w:t xml:space="preserve">This is consistent with </w:t>
      </w:r>
      <w:r w:rsidR="007C009B">
        <w:t xml:space="preserve">the provisions of AB 205 and </w:t>
      </w:r>
      <w:r w:rsidR="00C6398E">
        <w:t xml:space="preserve">OP 6 of </w:t>
      </w:r>
      <w:r>
        <w:t xml:space="preserve">D.24-05-028, </w:t>
      </w:r>
      <w:r w:rsidR="007E525C">
        <w:t xml:space="preserve">which require </w:t>
      </w:r>
      <w:r w:rsidR="75DA975A">
        <w:t>that</w:t>
      </w:r>
      <w:r w:rsidR="71F1B285">
        <w:t xml:space="preserve"> the fixed charge </w:t>
      </w:r>
      <w:r w:rsidR="75DA975A">
        <w:t>should</w:t>
      </w:r>
      <w:r>
        <w:t xml:space="preserve"> lower the average monthly bill for low-income ratepayer</w:t>
      </w:r>
      <w:r w:rsidR="00F707C8">
        <w:t>s</w:t>
      </w:r>
      <w:r>
        <w:t xml:space="preserve"> with average electricity usage in each baseline territory. </w:t>
      </w:r>
    </w:p>
    <w:p w:rsidR="68EB36D5" w:rsidRDefault="68EB36D5" w14:paraId="2D810634" w14:textId="77777777"/>
    <w:p w:rsidR="3CB1CDD8" w:rsidRDefault="00E67596" w14:paraId="54442196" w14:textId="4C8AA461">
      <w:r>
        <w:t xml:space="preserve">Energy Division </w:t>
      </w:r>
      <w:r w:rsidR="00D37778">
        <w:t>S</w:t>
      </w:r>
      <w:r w:rsidR="0748965F">
        <w:t>taff</w:t>
      </w:r>
      <w:r w:rsidR="3CB1CDD8">
        <w:t xml:space="preserve"> modelled </w:t>
      </w:r>
      <w:proofErr w:type="gramStart"/>
      <w:r w:rsidR="3CB1CDD8">
        <w:t>a number of</w:t>
      </w:r>
      <w:proofErr w:type="gramEnd"/>
      <w:r w:rsidR="3CB1CDD8">
        <w:t xml:space="preserve"> fixed charge caps and cost allocation configurations for the fixed charge as part of its recommendations in D.24-05-028 and is satisfied that average monthly bills for low-income ratepayers in California will see a reduction regardless of the fixed charge loading order </w:t>
      </w:r>
      <w:r w:rsidR="00BD7F04">
        <w:t>and impacts</w:t>
      </w:r>
      <w:r w:rsidR="3CB1CDD8">
        <w:t xml:space="preserve"> on volumetric rates. </w:t>
      </w:r>
      <w:r>
        <w:t xml:space="preserve">Energy Division </w:t>
      </w:r>
      <w:r w:rsidR="002379B2">
        <w:t>Staff</w:t>
      </w:r>
      <w:r w:rsidR="3CB1CDD8">
        <w:t xml:space="preserve"> has reviewed the protests</w:t>
      </w:r>
      <w:r w:rsidDel="00093EE2" w:rsidR="3CB1CDD8">
        <w:t xml:space="preserve"> </w:t>
      </w:r>
      <w:r w:rsidR="3CB1CDD8">
        <w:t xml:space="preserve">and SDG&amp;E’s proposed fixed charge methodology and loading order in AL 4492-E and finds that the AL contains sufficient detail regarding the loading order or “cost layering” of the </w:t>
      </w:r>
      <w:r w:rsidR="00E179E1">
        <w:t>f</w:t>
      </w:r>
      <w:r w:rsidRPr="543F98BC" w:rsidR="0748965F">
        <w:t xml:space="preserve">ixed </w:t>
      </w:r>
      <w:r w:rsidR="00E179E1">
        <w:t>c</w:t>
      </w:r>
      <w:r w:rsidRPr="543F98BC" w:rsidR="0748965F">
        <w:t>harge</w:t>
      </w:r>
      <w:r w:rsidR="3CB1CDD8">
        <w:t>.</w:t>
      </w:r>
      <w:r w:rsidR="4817C1E2">
        <w:t xml:space="preserve"> </w:t>
      </w:r>
    </w:p>
    <w:p w:rsidR="229F50CB" w:rsidP="229F50CB" w:rsidRDefault="229F50CB" w14:paraId="05E4A662" w14:textId="4569BA08"/>
    <w:p w:rsidR="406A77CD" w:rsidP="406A77CD" w:rsidRDefault="5604207A" w14:paraId="29A88D5F" w14:textId="7DD10A2E">
      <w:r w:rsidRPr="3E1E1AD6">
        <w:rPr>
          <w:color w:val="000000" w:themeColor="text1"/>
        </w:rPr>
        <w:t>Furthermore</w:t>
      </w:r>
      <w:r w:rsidRPr="406A77CD">
        <w:rPr>
          <w:color w:val="000000" w:themeColor="text1"/>
        </w:rPr>
        <w:t xml:space="preserve">, CEJA suggested in its protest that SDG&amp;E include a column in its fixed charge table showing “100% of the costs” to represent the total sum of all eligible cost </w:t>
      </w:r>
      <w:r w:rsidRPr="406A77CD">
        <w:rPr>
          <w:color w:val="000000" w:themeColor="text1"/>
        </w:rPr>
        <w:lastRenderedPageBreak/>
        <w:t xml:space="preserve">components in the fixed charge. </w:t>
      </w:r>
      <w:proofErr w:type="gramStart"/>
      <w:r w:rsidRPr="406A77CD">
        <w:rPr>
          <w:color w:val="000000" w:themeColor="text1"/>
        </w:rPr>
        <w:t>In light of</w:t>
      </w:r>
      <w:proofErr w:type="gramEnd"/>
      <w:r w:rsidRPr="406A77CD">
        <w:rPr>
          <w:color w:val="000000" w:themeColor="text1"/>
        </w:rPr>
        <w:t xml:space="preserve"> our finding that maintaining flexibility in the IGFC cost layering methodology is reasonable and our requirement that SDG&amp;E update its loading order and tariffs prior to implementation of the IGFC, this request is moot.</w:t>
      </w:r>
      <w:r w:rsidRPr="781EA8C0" w:rsidR="30C054B0">
        <w:rPr>
          <w:color w:val="000000" w:themeColor="text1"/>
        </w:rPr>
        <w:t xml:space="preserve"> </w:t>
      </w:r>
      <w:r w:rsidRPr="61AF8A60" w:rsidR="338308CB">
        <w:rPr>
          <w:color w:val="000000" w:themeColor="text1"/>
        </w:rPr>
        <w:t>T</w:t>
      </w:r>
      <w:r w:rsidR="338308CB">
        <w:t>he</w:t>
      </w:r>
      <w:r w:rsidR="30C054B0">
        <w:t xml:space="preserve"> CPUC agrees with </w:t>
      </w:r>
      <w:r w:rsidR="00E67596">
        <w:t xml:space="preserve">Energy Division </w:t>
      </w:r>
      <w:r w:rsidR="30C054B0">
        <w:t>Staff’s assessment while also acknowledging the concerns raised by CEJA regarding the illustrative nature of the fixed charge cost component loading order proposed by SDG&amp;E in AL 4492-E</w:t>
      </w:r>
      <w:r w:rsidR="2CFCCF19">
        <w:t>.</w:t>
      </w:r>
    </w:p>
    <w:p w:rsidR="6EA9A507" w:rsidP="6EA9A507" w:rsidRDefault="6EA9A507" w14:paraId="7B8A02CB" w14:textId="5DEFECCD"/>
    <w:p w:rsidR="68EB36D5" w:rsidRDefault="5604207A" w14:paraId="594CE581" w14:textId="795FC9C5">
      <w:r>
        <w:t>W</w:t>
      </w:r>
      <w:r w:rsidR="4394A61F">
        <w:t>hil</w:t>
      </w:r>
      <w:r w:rsidR="004C6B2D">
        <w:t>e</w:t>
      </w:r>
      <w:r w:rsidR="4817C1E2">
        <w:t xml:space="preserve"> the description of the “Fixed Charge Calculation” in Section 4.5 of AL 4492-E is </w:t>
      </w:r>
      <w:r w:rsidR="63C96B3C">
        <w:t xml:space="preserve">largely </w:t>
      </w:r>
      <w:r w:rsidR="4817C1E2">
        <w:t>correct</w:t>
      </w:r>
      <w:r w:rsidR="166713C7">
        <w:t xml:space="preserve">, </w:t>
      </w:r>
      <w:r w:rsidR="00E67596">
        <w:t>Energy Division</w:t>
      </w:r>
      <w:r w:rsidR="09412249">
        <w:t xml:space="preserve"> Staff also notes that </w:t>
      </w:r>
      <w:r w:rsidR="60311B06">
        <w:t>the</w:t>
      </w:r>
      <w:r w:rsidR="166713C7">
        <w:t xml:space="preserve"> illustrative table (Table 4) in Section 4.4 is incorrectly calculated</w:t>
      </w:r>
      <w:r w:rsidR="1BF9D0B9">
        <w:t xml:space="preserve"> and not </w:t>
      </w:r>
      <w:r w:rsidR="6AC83799">
        <w:t>consistent</w:t>
      </w:r>
      <w:r w:rsidR="1BF9D0B9">
        <w:t xml:space="preserve"> with </w:t>
      </w:r>
      <w:r w:rsidR="009B3401">
        <w:t>COL</w:t>
      </w:r>
      <w:r w:rsidR="6017E180">
        <w:t xml:space="preserve"> </w:t>
      </w:r>
      <w:r w:rsidR="1BF9D0B9">
        <w:t xml:space="preserve">11 </w:t>
      </w:r>
      <w:r w:rsidR="3FA214C2">
        <w:t>as described in D.24-05-028</w:t>
      </w:r>
      <w:r w:rsidR="166713C7">
        <w:t xml:space="preserve">. </w:t>
      </w:r>
      <w:r w:rsidR="00E67596">
        <w:t>Energy Division</w:t>
      </w:r>
      <w:r w:rsidR="166713C7">
        <w:t xml:space="preserve"> Staff recognize that the table is </w:t>
      </w:r>
      <w:r w:rsidR="5D046264">
        <w:t>illustrative and may not include accurate MCAC or LGC values</w:t>
      </w:r>
      <w:r w:rsidR="40E5B13B">
        <w:t>.</w:t>
      </w:r>
      <w:r w:rsidR="24752FAC">
        <w:t xml:space="preserve"> </w:t>
      </w:r>
      <w:r w:rsidR="268DB521">
        <w:t>N</w:t>
      </w:r>
      <w:r w:rsidR="2B22A1F4">
        <w:t>onetheless</w:t>
      </w:r>
      <w:r w:rsidR="000C0C16">
        <w:t>,</w:t>
      </w:r>
      <w:r w:rsidR="5D046264">
        <w:t xml:space="preserve"> this Resolution </w:t>
      </w:r>
      <w:r w:rsidR="002E2E73">
        <w:t>is a useful</w:t>
      </w:r>
      <w:r w:rsidR="000C1A2B">
        <w:t xml:space="preserve"> </w:t>
      </w:r>
      <w:r w:rsidR="5D046264">
        <w:t>opportunity to clarify the cor</w:t>
      </w:r>
      <w:r w:rsidR="1199DB7E">
        <w:t>rect Fixed Charge Tier Composition and Fixed Charge calculation, especially for Tier 1 and 2 customers and their respective discounts.</w:t>
      </w:r>
    </w:p>
    <w:p w:rsidR="68EB36D5" w:rsidRDefault="68EB36D5" w14:paraId="5091049B" w14:textId="43C218BF"/>
    <w:p w:rsidR="4F5A20D4" w:rsidP="4F5A20D4" w:rsidRDefault="1199DB7E" w14:paraId="10BE2C09" w14:textId="74937D96">
      <w:r>
        <w:t>In Table 4 of</w:t>
      </w:r>
      <w:r w:rsidR="5C75E4AD">
        <w:t xml:space="preserve"> </w:t>
      </w:r>
      <w:r w:rsidR="6BE52DD7">
        <w:t>AL</w:t>
      </w:r>
      <w:r>
        <w:t xml:space="preserve"> 4492-E, SDG&amp;E </w:t>
      </w:r>
      <w:r w:rsidR="667EC9F7">
        <w:t xml:space="preserve">erroneously </w:t>
      </w:r>
      <w:r w:rsidR="0854C423">
        <w:t>calculates</w:t>
      </w:r>
      <w:r>
        <w:t xml:space="preserve"> </w:t>
      </w:r>
      <w:r w:rsidR="0854C423">
        <w:t xml:space="preserve">the “Low-Income Program Discount” as $8.45 and the </w:t>
      </w:r>
      <w:r w:rsidR="283566D1">
        <w:t>“</w:t>
      </w:r>
      <w:r w:rsidR="0854C423">
        <w:t>Fixed Charge Discount</w:t>
      </w:r>
      <w:r w:rsidR="47A2633E">
        <w:t>”</w:t>
      </w:r>
      <w:r w:rsidR="0854C423">
        <w:t xml:space="preserve"> </w:t>
      </w:r>
      <w:r w:rsidR="53652635">
        <w:t>as</w:t>
      </w:r>
      <w:r w:rsidR="0854C423">
        <w:t xml:space="preserve"> $5.08</w:t>
      </w:r>
      <w:r w:rsidR="6FF47D1B">
        <w:t>,</w:t>
      </w:r>
      <w:r w:rsidR="6D711CEF">
        <w:t xml:space="preserve"> based on illustrative </w:t>
      </w:r>
      <w:r w:rsidR="009C0306">
        <w:br/>
      </w:r>
      <w:r w:rsidR="6D711CEF">
        <w:t>non-CARE</w:t>
      </w:r>
      <w:r w:rsidR="2C571AED">
        <w:t>-</w:t>
      </w:r>
      <w:r w:rsidR="6D711CEF">
        <w:t xml:space="preserve">exempt </w:t>
      </w:r>
      <w:r w:rsidR="2DB4C5C1">
        <w:t>M</w:t>
      </w:r>
      <w:r w:rsidR="6D711CEF">
        <w:t xml:space="preserve">CAC and LGC values of $11.20 and $8.33 respectively. </w:t>
      </w:r>
      <w:r w:rsidR="71119BD3">
        <w:t xml:space="preserve">It appears that SDG&amp;E </w:t>
      </w:r>
      <w:r w:rsidR="0432D89D">
        <w:t xml:space="preserve">calculated the </w:t>
      </w:r>
      <w:r w:rsidR="281590A0">
        <w:t xml:space="preserve">“Low-Income Program Discount” by taking the Tier 3 fixed charge of $24.15 and multiplying this by </w:t>
      </w:r>
      <w:r w:rsidR="37284297">
        <w:t>35%</w:t>
      </w:r>
      <w:r w:rsidR="381E3350">
        <w:t xml:space="preserve">, </w:t>
      </w:r>
      <w:r w:rsidR="2950DA37">
        <w:t>resulting in</w:t>
      </w:r>
      <w:r w:rsidR="4E0CF417">
        <w:t xml:space="preserve"> </w:t>
      </w:r>
      <w:r w:rsidR="348F5D74">
        <w:t xml:space="preserve">$8.45 </w:t>
      </w:r>
      <w:r w:rsidR="03103762">
        <w:t xml:space="preserve">per </w:t>
      </w:r>
      <w:r w:rsidR="348F5D74">
        <w:t>Table 4</w:t>
      </w:r>
      <w:r w:rsidR="37284297">
        <w:t xml:space="preserve">. The “Fixed Charge Discount” was therefore calculated by </w:t>
      </w:r>
      <w:r w:rsidR="7AD08236">
        <w:t>enumerating the delta between t</w:t>
      </w:r>
      <w:r w:rsidR="74D74F2B">
        <w:t xml:space="preserve">his </w:t>
      </w:r>
      <w:r w:rsidR="7AD08236">
        <w:t xml:space="preserve">incorrect </w:t>
      </w:r>
      <w:r w:rsidR="156FA464">
        <w:t>“</w:t>
      </w:r>
      <w:r w:rsidR="7AD08236">
        <w:t xml:space="preserve">Low-Income </w:t>
      </w:r>
      <w:r w:rsidR="156FA464">
        <w:t xml:space="preserve">Program Discount” </w:t>
      </w:r>
      <w:r w:rsidR="5122744B">
        <w:t>and the sum of the MCAC and LGC values</w:t>
      </w:r>
      <w:r w:rsidR="35EA89FF">
        <w:t>. T</w:t>
      </w:r>
      <w:r w:rsidR="3C1859A7">
        <w:t xml:space="preserve">his </w:t>
      </w:r>
      <w:r w:rsidR="62FA81CA">
        <w:t>erroneous</w:t>
      </w:r>
      <w:r w:rsidR="5122744B">
        <w:t xml:space="preserve"> “Fixed Charge Discount” was listed in </w:t>
      </w:r>
      <w:r w:rsidR="787196BA">
        <w:t xml:space="preserve">AL </w:t>
      </w:r>
      <w:r w:rsidR="5122744B">
        <w:t xml:space="preserve">4492-E as $5.08. </w:t>
      </w:r>
      <w:r w:rsidR="7101AF43">
        <w:t xml:space="preserve">In the table below, </w:t>
      </w:r>
      <w:r w:rsidR="00E67596">
        <w:t>Energy Division</w:t>
      </w:r>
      <w:r w:rsidR="7101AF43">
        <w:t xml:space="preserve"> Staff lists the correct Fixed Charge calculation.</w:t>
      </w:r>
    </w:p>
    <w:p w:rsidR="6280E992" w:rsidP="6280E992" w:rsidRDefault="6280E992" w14:paraId="2CD48DBD" w14:textId="7CF79DA4"/>
    <w:p w:rsidR="3D467038" w:rsidP="4F5A20D4" w:rsidRDefault="3D467038" w14:paraId="554B3BCA" w14:textId="40540303">
      <w:pPr>
        <w:jc w:val="center"/>
        <w:rPr>
          <w:b/>
        </w:rPr>
      </w:pPr>
      <w:r w:rsidRPr="6280E992">
        <w:rPr>
          <w:b/>
          <w:bCs/>
        </w:rPr>
        <w:t xml:space="preserve">Table 2: </w:t>
      </w:r>
      <w:r w:rsidR="00E67596">
        <w:rPr>
          <w:b/>
          <w:bCs/>
        </w:rPr>
        <w:t>Energy Division</w:t>
      </w:r>
      <w:r w:rsidRPr="6280E992" w:rsidR="4090B571">
        <w:rPr>
          <w:b/>
          <w:bCs/>
        </w:rPr>
        <w:t xml:space="preserve"> Staff Corrections to SDG&amp;E’s Fixed Charge Methodology</w:t>
      </w:r>
    </w:p>
    <w:p w:rsidR="5B9D21B0" w:rsidP="5B9D21B0" w:rsidRDefault="5B9D21B0" w14:paraId="0A41A222" w14:textId="066C92E9"/>
    <w:tbl>
      <w:tblPr>
        <w:tblStyle w:val="GridTable4-Accent1"/>
        <w:tblW w:w="0" w:type="auto"/>
        <w:tblLayout w:type="fixed"/>
        <w:tblLook w:val="06A0" w:firstRow="1" w:lastRow="0" w:firstColumn="1" w:lastColumn="0" w:noHBand="1" w:noVBand="1"/>
      </w:tblPr>
      <w:tblGrid>
        <w:gridCol w:w="3465"/>
        <w:gridCol w:w="1474"/>
        <w:gridCol w:w="1474"/>
        <w:gridCol w:w="1474"/>
        <w:gridCol w:w="1474"/>
      </w:tblGrid>
      <w:tr w:rsidR="544982B4" w:rsidTr="3C0F3EE8" w14:paraId="3A3222DE" w14:textId="77777777">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361" w:type="dxa"/>
            <w:gridSpan w:val="5"/>
            <w:tcBorders>
              <w:bottom w:val="none" w:color="4F81BD" w:themeColor="accent1" w:sz="4" w:space="0"/>
            </w:tcBorders>
            <w:shd w:val="clear" w:color="auto" w:fill="1F497D" w:themeFill="text2"/>
          </w:tcPr>
          <w:p w:rsidR="544982B4" w:rsidP="6F5BB01B" w:rsidRDefault="2944AC0A" w14:paraId="5BFC68D4" w14:textId="31E27E26">
            <w:pPr>
              <w:jc w:val="center"/>
            </w:pPr>
            <w:r>
              <w:t xml:space="preserve">Fixed Charge by Tier and Component – </w:t>
            </w:r>
            <w:r w:rsidR="003314D4">
              <w:t xml:space="preserve">Energy Division </w:t>
            </w:r>
            <w:r>
              <w:t>Staff Corrections</w:t>
            </w:r>
          </w:p>
        </w:tc>
      </w:tr>
      <w:tr w:rsidR="00BA28B3" w:rsidTr="3C0F3EE8" w14:paraId="4FAA4EA1"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95B3D7" w:themeColor="accent1" w:themeTint="99" w:sz="4" w:space="0"/>
              <w:left w:val="none" w:color="95B3D7" w:themeColor="accent1" w:themeTint="99" w:sz="4" w:space="0"/>
              <w:bottom w:val="single" w:color="000000" w:themeColor="text1" w:sz="12" w:space="0"/>
              <w:right w:val="none" w:color="95B3D7" w:themeColor="accent1" w:themeTint="99" w:sz="4" w:space="0"/>
            </w:tcBorders>
            <w:shd w:val="clear" w:color="auto" w:fill="C6D9F1" w:themeFill="text2" w:themeFillTint="33"/>
          </w:tcPr>
          <w:p w:rsidR="544982B4" w:rsidP="544982B4" w:rsidRDefault="544982B4" w14:paraId="268F2586" w14:textId="53193AFE"/>
        </w:tc>
        <w:tc>
          <w:tcPr>
            <w:tcW w:w="1474" w:type="dxa"/>
            <w:tcBorders>
              <w:top w:val="none" w:color="95B3D7" w:themeColor="accent1" w:themeTint="99" w:sz="4" w:space="0"/>
              <w:left w:val="none" w:color="95B3D7" w:themeColor="accent1" w:themeTint="99" w:sz="4" w:space="0"/>
              <w:bottom w:val="single" w:color="000000" w:themeColor="text1" w:sz="12" w:space="0"/>
              <w:right w:val="none" w:color="95B3D7" w:themeColor="accent1" w:themeTint="99" w:sz="4" w:space="0"/>
            </w:tcBorders>
            <w:shd w:val="clear" w:color="auto" w:fill="C6D9F1" w:themeFill="text2" w:themeFillTint="33"/>
          </w:tcPr>
          <w:p w:rsidR="544982B4" w:rsidP="5C2D5262" w:rsidRDefault="2944AC0A" w14:paraId="2738BCD7" w14:textId="6B33AB37">
            <w:pPr>
              <w:jc w:val="center"/>
              <w:cnfStyle w:val="000000000000" w:firstRow="0" w:lastRow="0" w:firstColumn="0" w:lastColumn="0" w:oddVBand="0" w:evenVBand="0" w:oddHBand="0" w:evenHBand="0" w:firstRowFirstColumn="0" w:firstRowLastColumn="0" w:lastRowFirstColumn="0" w:lastRowLastColumn="0"/>
            </w:pPr>
            <w:r>
              <w:t>Tier 1</w:t>
            </w:r>
          </w:p>
        </w:tc>
        <w:tc>
          <w:tcPr>
            <w:tcW w:w="1474" w:type="dxa"/>
            <w:tcBorders>
              <w:top w:val="none" w:color="95B3D7" w:themeColor="accent1" w:themeTint="99" w:sz="4" w:space="0"/>
              <w:left w:val="none" w:color="95B3D7" w:themeColor="accent1" w:themeTint="99" w:sz="4" w:space="0"/>
              <w:bottom w:val="single" w:color="000000" w:themeColor="text1" w:sz="12" w:space="0"/>
              <w:right w:val="none" w:color="95B3D7" w:themeColor="accent1" w:themeTint="99" w:sz="4" w:space="0"/>
            </w:tcBorders>
            <w:shd w:val="clear" w:color="auto" w:fill="C6D9F1" w:themeFill="text2" w:themeFillTint="33"/>
          </w:tcPr>
          <w:p w:rsidR="544982B4" w:rsidP="5C2D5262" w:rsidRDefault="2944AC0A" w14:paraId="4082E482" w14:textId="46D51A8B">
            <w:pPr>
              <w:jc w:val="center"/>
              <w:cnfStyle w:val="000000000000" w:firstRow="0" w:lastRow="0" w:firstColumn="0" w:lastColumn="0" w:oddVBand="0" w:evenVBand="0" w:oddHBand="0" w:evenHBand="0" w:firstRowFirstColumn="0" w:firstRowLastColumn="0" w:lastRowFirstColumn="0" w:lastRowLastColumn="0"/>
            </w:pPr>
            <w:r>
              <w:t>Tier 2 (FERA)</w:t>
            </w:r>
          </w:p>
        </w:tc>
        <w:tc>
          <w:tcPr>
            <w:tcW w:w="1474" w:type="dxa"/>
            <w:tcBorders>
              <w:top w:val="none" w:color="95B3D7" w:themeColor="accent1" w:themeTint="99" w:sz="4" w:space="0"/>
              <w:left w:val="none" w:color="95B3D7" w:themeColor="accent1" w:themeTint="99" w:sz="4" w:space="0"/>
              <w:bottom w:val="single" w:color="000000" w:themeColor="text1" w:sz="12" w:space="0"/>
              <w:right w:val="none" w:color="95B3D7" w:themeColor="accent1" w:themeTint="99" w:sz="4" w:space="0"/>
            </w:tcBorders>
            <w:shd w:val="clear" w:color="auto" w:fill="C6D9F1" w:themeFill="text2" w:themeFillTint="33"/>
          </w:tcPr>
          <w:p w:rsidR="544982B4" w:rsidP="5C2D5262" w:rsidRDefault="2944AC0A" w14:paraId="22F4658B" w14:textId="47F66729">
            <w:pPr>
              <w:jc w:val="center"/>
              <w:cnfStyle w:val="000000000000" w:firstRow="0" w:lastRow="0" w:firstColumn="0" w:lastColumn="0" w:oddVBand="0" w:evenVBand="0" w:oddHBand="0" w:evenHBand="0" w:firstRowFirstColumn="0" w:firstRowLastColumn="0" w:lastRowFirstColumn="0" w:lastRowLastColumn="0"/>
            </w:pPr>
            <w:r>
              <w:t>Tier 3 (DRAH)</w:t>
            </w:r>
          </w:p>
        </w:tc>
        <w:tc>
          <w:tcPr>
            <w:tcW w:w="1474" w:type="dxa"/>
            <w:tcBorders>
              <w:top w:val="none" w:color="95B3D7" w:themeColor="accent1" w:themeTint="99" w:sz="4" w:space="0"/>
              <w:left w:val="none" w:color="95B3D7" w:themeColor="accent1" w:themeTint="99" w:sz="4" w:space="0"/>
              <w:bottom w:val="single" w:color="000000" w:themeColor="text1" w:sz="12" w:space="0"/>
              <w:right w:val="none" w:color="95B3D7" w:themeColor="accent1" w:themeTint="99" w:sz="4" w:space="0"/>
            </w:tcBorders>
            <w:shd w:val="clear" w:color="auto" w:fill="C6D9F1" w:themeFill="text2" w:themeFillTint="33"/>
          </w:tcPr>
          <w:p w:rsidR="544982B4" w:rsidP="5C2D5262" w:rsidRDefault="2944AC0A" w14:paraId="4D30215E" w14:textId="3B8E8391">
            <w:pPr>
              <w:jc w:val="center"/>
              <w:cnfStyle w:val="000000000000" w:firstRow="0" w:lastRow="0" w:firstColumn="0" w:lastColumn="0" w:oddVBand="0" w:evenVBand="0" w:oddHBand="0" w:evenHBand="0" w:firstRowFirstColumn="0" w:firstRowLastColumn="0" w:lastRowFirstColumn="0" w:lastRowLastColumn="0"/>
            </w:pPr>
            <w:r>
              <w:t>Tier 3</w:t>
            </w:r>
          </w:p>
        </w:tc>
      </w:tr>
      <w:tr w:rsidR="544982B4" w:rsidTr="65000877" w14:paraId="3DFD2C91"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single" w:color="000000" w:themeColor="text1" w:sz="12" w:space="0"/>
              <w:left w:val="single" w:color="000000" w:themeColor="text1" w:sz="12" w:space="0"/>
              <w:bottom w:val="none" w:color="000000" w:themeColor="text1" w:sz="12" w:space="0"/>
              <w:right w:val="none" w:color="000000" w:themeColor="text1" w:sz="12" w:space="0"/>
            </w:tcBorders>
          </w:tcPr>
          <w:p w:rsidR="544982B4" w:rsidP="544982B4" w:rsidRDefault="6D30E756" w14:paraId="7FB5A120" w14:textId="103A3ABF">
            <w:r>
              <w:t>Distribution</w:t>
            </w: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44982B4" w:rsidP="5C2D5262" w:rsidRDefault="544982B4" w14:paraId="68CF06B4" w14:textId="53193AFE">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44982B4" w:rsidP="5C2D5262" w:rsidRDefault="544982B4" w14:paraId="4EFC8DB3" w14:textId="53193AFE">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44982B4" w:rsidP="5C2D5262" w:rsidRDefault="544982B4" w14:paraId="4D5FF4D7" w14:textId="53193AFE">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single" w:color="000000" w:themeColor="text1" w:sz="12" w:space="0"/>
              <w:left w:val="none" w:color="000000" w:themeColor="text1" w:sz="12" w:space="0"/>
              <w:bottom w:val="none" w:color="000000" w:themeColor="text1" w:sz="12" w:space="0"/>
              <w:right w:val="single" w:color="000000" w:themeColor="text1" w:sz="12" w:space="0"/>
            </w:tcBorders>
            <w:shd w:val="clear" w:color="auto" w:fill="D9D9D9" w:themeFill="background1" w:themeFillShade="D9"/>
          </w:tcPr>
          <w:p w:rsidR="544982B4" w:rsidP="5C2D5262" w:rsidRDefault="544982B4" w14:paraId="572122A9" w14:textId="53193AFE">
            <w:pPr>
              <w:jc w:val="center"/>
              <w:cnfStyle w:val="000000000000" w:firstRow="0" w:lastRow="0" w:firstColumn="0" w:lastColumn="0" w:oddVBand="0" w:evenVBand="0" w:oddHBand="0" w:evenHBand="0" w:firstRowFirstColumn="0" w:firstRowLastColumn="0" w:lastRowFirstColumn="0" w:lastRowLastColumn="0"/>
            </w:pPr>
          </w:p>
        </w:tc>
      </w:tr>
      <w:tr w:rsidR="544982B4" w:rsidTr="3C0F3EE8" w14:paraId="74A0AB0E"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44982B4" w:rsidP="6875BC9E" w:rsidRDefault="6D30E756" w14:paraId="5FE73C8B" w14:textId="67174949">
            <w:pPr>
              <w:ind w:left="720"/>
            </w:pPr>
            <w:r>
              <w:t>MCAC</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53EF40E3" w14:paraId="5B5FF5A7" w14:textId="383C1714">
            <w:pPr>
              <w:jc w:val="center"/>
              <w:cnfStyle w:val="000000000000" w:firstRow="0" w:lastRow="0" w:firstColumn="0" w:lastColumn="0" w:oddVBand="0" w:evenVBand="0" w:oddHBand="0" w:evenHBand="0" w:firstRowFirstColumn="0" w:firstRowLastColumn="0" w:lastRowFirstColumn="0" w:lastRowLastColumn="0"/>
            </w:pPr>
            <w:r>
              <w:t>$11.20</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53EF40E3" w14:paraId="2C040452" w14:textId="5E83E1FB">
            <w:pPr>
              <w:jc w:val="center"/>
              <w:cnfStyle w:val="000000000000" w:firstRow="0" w:lastRow="0" w:firstColumn="0" w:lastColumn="0" w:oddVBand="0" w:evenVBand="0" w:oddHBand="0" w:evenHBand="0" w:firstRowFirstColumn="0" w:firstRowLastColumn="0" w:lastRowFirstColumn="0" w:lastRowLastColumn="0"/>
            </w:pPr>
            <w:r>
              <w:t>$11.20</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53EF40E3" w14:paraId="6CCBBE37" w14:textId="11653C4E">
            <w:pPr>
              <w:jc w:val="center"/>
              <w:cnfStyle w:val="000000000000" w:firstRow="0" w:lastRow="0" w:firstColumn="0" w:lastColumn="0" w:oddVBand="0" w:evenVBand="0" w:oddHBand="0" w:evenHBand="0" w:firstRowFirstColumn="0" w:firstRowLastColumn="0" w:lastRowFirstColumn="0" w:lastRowLastColumn="0"/>
            </w:pPr>
            <w:r>
              <w:t>$11.20</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44982B4" w:rsidP="5C2D5262" w:rsidRDefault="53EF40E3" w14:paraId="521EF025" w14:textId="46D4F9A3">
            <w:pPr>
              <w:jc w:val="center"/>
              <w:cnfStyle w:val="000000000000" w:firstRow="0" w:lastRow="0" w:firstColumn="0" w:lastColumn="0" w:oddVBand="0" w:evenVBand="0" w:oddHBand="0" w:evenHBand="0" w:firstRowFirstColumn="0" w:firstRowLastColumn="0" w:lastRowFirstColumn="0" w:lastRowLastColumn="0"/>
            </w:pPr>
            <w:r>
              <w:t>$11.20</w:t>
            </w:r>
          </w:p>
        </w:tc>
      </w:tr>
      <w:tr w:rsidR="544982B4" w:rsidTr="3C0F3EE8" w14:paraId="20C217D3"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44982B4" w:rsidP="11B109A7" w:rsidRDefault="6D30E756" w14:paraId="333A4A1C" w14:textId="08D04F8C">
            <w:pPr>
              <w:ind w:left="720"/>
            </w:pPr>
            <w:r>
              <w:t>Low-Income Program Discount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Pr="00234D40" w:rsidR="544982B4" w:rsidP="5C2D5262" w:rsidRDefault="3256CB47" w14:paraId="2A3D5A96" w14:textId="29FA2CBD">
            <w:pPr>
              <w:jc w:val="center"/>
              <w:cnfStyle w:val="000000000000" w:firstRow="0" w:lastRow="0" w:firstColumn="0" w:lastColumn="0" w:oddVBand="0" w:evenVBand="0" w:oddHBand="0" w:evenHBand="0" w:firstRowFirstColumn="0" w:firstRowLastColumn="0" w:lastRowFirstColumn="0" w:lastRowLastColumn="0"/>
              <w:rPr>
                <w:color w:val="FF0000"/>
              </w:rPr>
            </w:pPr>
            <w:r w:rsidRPr="55877E94">
              <w:rPr>
                <w:color w:val="FF0000"/>
              </w:rPr>
              <w:t>($6.</w:t>
            </w:r>
            <w:r w:rsidRPr="522AA0CC" w:rsidR="00C70645">
              <w:rPr>
                <w:color w:val="FF0000"/>
              </w:rPr>
              <w:t>84</w:t>
            </w:r>
            <w:r w:rsidRPr="55877E94">
              <w:rPr>
                <w:color w:val="FF0000"/>
              </w:rPr>
              <w: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Pr="00234D40" w:rsidR="544982B4" w:rsidP="5C2D5262" w:rsidRDefault="3237C698" w14:paraId="0F51DD2D" w14:textId="3F428CA6">
            <w:pPr>
              <w:jc w:val="center"/>
              <w:cnfStyle w:val="000000000000" w:firstRow="0" w:lastRow="0" w:firstColumn="0" w:lastColumn="0" w:oddVBand="0" w:evenVBand="0" w:oddHBand="0" w:evenHBand="0" w:firstRowFirstColumn="0" w:firstRowLastColumn="0" w:lastRowFirstColumn="0" w:lastRowLastColumn="0"/>
              <w:rPr>
                <w:color w:val="FF0000"/>
              </w:rPr>
            </w:pPr>
            <w:r w:rsidRPr="55877E94">
              <w:rPr>
                <w:color w:val="FF0000"/>
              </w:rPr>
              <w:t>(</w:t>
            </w:r>
            <w:r w:rsidRPr="55877E94" w:rsidR="3256CB47">
              <w:rPr>
                <w:color w:val="FF0000"/>
              </w:rPr>
              <w:t>$3.52</w:t>
            </w:r>
            <w:r w:rsidRPr="55877E94" w:rsidR="77326154">
              <w:rPr>
                <w:color w:val="FF0000"/>
              </w:rPr>
              <w: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3256CB47" w14:paraId="1F7E9C74" w14:textId="61C6B52A">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44982B4" w:rsidP="5C2D5262" w:rsidRDefault="3256CB47" w14:paraId="44F4E0AA" w14:textId="7D9DF710">
            <w:pPr>
              <w:jc w:val="center"/>
              <w:cnfStyle w:val="000000000000" w:firstRow="0" w:lastRow="0" w:firstColumn="0" w:lastColumn="0" w:oddVBand="0" w:evenVBand="0" w:oddHBand="0" w:evenHBand="0" w:firstRowFirstColumn="0" w:firstRowLastColumn="0" w:lastRowFirstColumn="0" w:lastRowLastColumn="0"/>
            </w:pPr>
            <w:r>
              <w:t>0.00</w:t>
            </w:r>
          </w:p>
        </w:tc>
      </w:tr>
      <w:tr w:rsidR="544982B4" w:rsidTr="3C0F3EE8" w14:paraId="5D5C0912"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44982B4" w:rsidP="11B109A7" w:rsidRDefault="6D30E756" w14:paraId="283D6FE8" w14:textId="633CD453">
            <w:pPr>
              <w:ind w:left="720"/>
            </w:pPr>
            <w:r>
              <w:t>Fixed Charge Discount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13B409FE" w14:paraId="04302BD2" w14:textId="1322FAE8">
            <w:pPr>
              <w:jc w:val="center"/>
              <w:cnfStyle w:val="000000000000" w:firstRow="0" w:lastRow="0" w:firstColumn="0" w:lastColumn="0" w:oddVBand="0" w:evenVBand="0" w:oddHBand="0" w:evenHBand="0" w:firstRowFirstColumn="0" w:firstRowLastColumn="0" w:lastRowFirstColumn="0" w:lastRowLastColumn="0"/>
              <w:rPr>
                <w:color w:val="FF0000"/>
              </w:rPr>
            </w:pPr>
            <w:r w:rsidRPr="3FD5494D">
              <w:rPr>
                <w:color w:val="FF0000"/>
              </w:rPr>
              <w:t>($</w:t>
            </w:r>
            <w:r w:rsidR="00771398">
              <w:rPr>
                <w:color w:val="FF0000"/>
              </w:rPr>
              <w:t>6.</w:t>
            </w:r>
            <w:r w:rsidRPr="75FDFD5D" w:rsidR="00C70645">
              <w:rPr>
                <w:color w:val="FF0000"/>
              </w:rPr>
              <w:t>69</w:t>
            </w:r>
            <w:r w:rsidRPr="3FD5494D">
              <w:rPr>
                <w:color w:val="FF0000"/>
              </w:rPr>
              <w: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1E5388EF" w14:paraId="210FB71A" w14:textId="34055057">
            <w:pPr>
              <w:jc w:val="center"/>
              <w:cnfStyle w:val="000000000000" w:firstRow="0" w:lastRow="0" w:firstColumn="0" w:lastColumn="0" w:oddVBand="0" w:evenVBand="0" w:oddHBand="0" w:evenHBand="0" w:firstRowFirstColumn="0" w:firstRowLastColumn="0" w:lastRowFirstColumn="0" w:lastRowLastColumn="0"/>
              <w:rPr>
                <w:color w:val="FF0000"/>
              </w:rPr>
            </w:pPr>
            <w:r w:rsidRPr="17824360">
              <w:rPr>
                <w:color w:val="FF0000"/>
              </w:rPr>
              <w:t>($</w:t>
            </w:r>
            <w:r w:rsidRPr="42A91BEF">
              <w:rPr>
                <w:color w:val="FF0000"/>
              </w:rPr>
              <w:t>3.</w:t>
            </w:r>
            <w:r w:rsidRPr="1AC8B219" w:rsidR="29A7B69B">
              <w:rPr>
                <w:color w:val="FF0000"/>
              </w:rPr>
              <w:t>9</w:t>
            </w:r>
            <w:r w:rsidRPr="1AC8B219" w:rsidR="3B15577D">
              <w:rPr>
                <w:color w:val="FF0000"/>
              </w:rPr>
              <w:t>3</w:t>
            </w:r>
            <w:r w:rsidRPr="42A91BEF">
              <w:rPr>
                <w:color w:val="FF0000"/>
              </w:rPr>
              <w: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1E5388EF" w14:paraId="1981787A" w14:textId="33E1A8CC">
            <w:pPr>
              <w:jc w:val="center"/>
              <w:cnfStyle w:val="000000000000" w:firstRow="0" w:lastRow="0" w:firstColumn="0" w:lastColumn="0" w:oddVBand="0" w:evenVBand="0" w:oddHBand="0" w:evenHBand="0" w:firstRowFirstColumn="0" w:firstRowLastColumn="0" w:lastRowFirstColumn="0" w:lastRowLastColumn="0"/>
              <w:rPr>
                <w:color w:val="FF0000"/>
              </w:rPr>
            </w:pPr>
            <w:r w:rsidRPr="42A91BEF">
              <w:rPr>
                <w:color w:val="FF0000"/>
              </w:rPr>
              <w:t>($7.45)</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44982B4" w:rsidP="5C2D5262" w:rsidRDefault="746F1588" w14:paraId="6705E7BF" w14:textId="67B3779C">
            <w:pPr>
              <w:jc w:val="center"/>
              <w:cnfStyle w:val="000000000000" w:firstRow="0" w:lastRow="0" w:firstColumn="0" w:lastColumn="0" w:oddVBand="0" w:evenVBand="0" w:oddHBand="0" w:evenHBand="0" w:firstRowFirstColumn="0" w:firstRowLastColumn="0" w:lastRowFirstColumn="0" w:lastRowLastColumn="0"/>
            </w:pPr>
            <w:r>
              <w:t>$4.62</w:t>
            </w:r>
          </w:p>
        </w:tc>
      </w:tr>
      <w:tr w:rsidR="544982B4" w:rsidTr="3C0F3EE8" w14:paraId="448A8C72"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single" w:color="000000" w:themeColor="text1" w:sz="12" w:space="0"/>
              <w:right w:val="none" w:color="000000" w:themeColor="text1" w:sz="12" w:space="0"/>
            </w:tcBorders>
          </w:tcPr>
          <w:p w:rsidR="544982B4" w:rsidP="11B109A7" w:rsidRDefault="6D30E756" w14:paraId="28EAF9AD" w14:textId="5DA2D9DA">
            <w:pPr>
              <w:ind w:left="720"/>
            </w:pPr>
            <w:r>
              <w:t>Net Distribution</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44982B4" w:rsidP="5C2D5262" w:rsidRDefault="64B92994" w14:paraId="39A630ED" w14:textId="4B779AA9">
            <w:pPr>
              <w:jc w:val="center"/>
              <w:cnfStyle w:val="000000000000" w:firstRow="0" w:lastRow="0" w:firstColumn="0" w:lastColumn="0" w:oddVBand="0" w:evenVBand="0" w:oddHBand="0" w:evenHBand="0" w:firstRowFirstColumn="0" w:firstRowLastColumn="0" w:lastRowFirstColumn="0" w:lastRowLastColumn="0"/>
              <w:rPr>
                <w:color w:val="FF0000"/>
              </w:rPr>
            </w:pPr>
            <w:r w:rsidRPr="3FD5494D">
              <w:rPr>
                <w:color w:val="FF0000"/>
              </w:rPr>
              <w:t>($2.33)</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44982B4" w:rsidP="5C2D5262" w:rsidRDefault="64B92994" w14:paraId="7AB14DD8" w14:textId="021DB218">
            <w:pPr>
              <w:jc w:val="center"/>
              <w:cnfStyle w:val="000000000000" w:firstRow="0" w:lastRow="0" w:firstColumn="0" w:lastColumn="0" w:oddVBand="0" w:evenVBand="0" w:oddHBand="0" w:evenHBand="0" w:firstRowFirstColumn="0" w:firstRowLastColumn="0" w:lastRowFirstColumn="0" w:lastRowLastColumn="0"/>
            </w:pPr>
            <w:r w:rsidRPr="5E3CA414">
              <w:t>$3.</w:t>
            </w:r>
            <w:r w:rsidR="0D947302">
              <w:t>7</w:t>
            </w:r>
            <w:r w:rsidR="3B15577D">
              <w:t>5</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44982B4" w:rsidP="5C2D5262" w:rsidRDefault="64B92994" w14:paraId="1A9D9BB3" w14:textId="46A923C1">
            <w:pPr>
              <w:jc w:val="center"/>
              <w:cnfStyle w:val="000000000000" w:firstRow="0" w:lastRow="0" w:firstColumn="0" w:lastColumn="0" w:oddVBand="0" w:evenVBand="0" w:oddHBand="0" w:evenHBand="0" w:firstRowFirstColumn="0" w:firstRowLastColumn="0" w:lastRowFirstColumn="0" w:lastRowLastColumn="0"/>
            </w:pPr>
            <w:r>
              <w:t>$3.</w:t>
            </w:r>
            <w:r w:rsidR="0D947302">
              <w:t>7</w:t>
            </w:r>
            <w:r w:rsidR="56E07C30">
              <w:t>5</w:t>
            </w:r>
          </w:p>
        </w:tc>
        <w:tc>
          <w:tcPr>
            <w:tcW w:w="1474" w:type="dxa"/>
            <w:tcBorders>
              <w:top w:val="none" w:color="000000" w:themeColor="text1" w:sz="12" w:space="0"/>
              <w:left w:val="none" w:color="000000" w:themeColor="text1" w:sz="12" w:space="0"/>
              <w:bottom w:val="single" w:color="000000" w:themeColor="text1" w:sz="12" w:space="0"/>
              <w:right w:val="single" w:color="000000" w:themeColor="text1" w:sz="12" w:space="0"/>
            </w:tcBorders>
          </w:tcPr>
          <w:p w:rsidR="544982B4" w:rsidP="5C2D5262" w:rsidRDefault="2372D0AA" w14:paraId="7738A32E" w14:textId="53756C76">
            <w:pPr>
              <w:jc w:val="center"/>
              <w:cnfStyle w:val="000000000000" w:firstRow="0" w:lastRow="0" w:firstColumn="0" w:lastColumn="0" w:oddVBand="0" w:evenVBand="0" w:oddHBand="0" w:evenHBand="0" w:firstRowFirstColumn="0" w:firstRowLastColumn="0" w:lastRowFirstColumn="0" w:lastRowLastColumn="0"/>
            </w:pPr>
            <w:r>
              <w:t>$15.82</w:t>
            </w:r>
          </w:p>
        </w:tc>
      </w:tr>
      <w:tr w:rsidR="544982B4" w:rsidTr="3C0F3EE8" w14:paraId="7C272DDC"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single" w:color="000000" w:themeColor="text1" w:sz="12" w:space="0"/>
              <w:left w:val="single" w:color="000000" w:themeColor="text1" w:sz="12" w:space="0"/>
              <w:bottom w:val="none" w:color="000000" w:themeColor="text1" w:sz="12" w:space="0"/>
              <w:right w:val="none" w:color="000000" w:themeColor="text1" w:sz="12" w:space="0"/>
            </w:tcBorders>
          </w:tcPr>
          <w:p w:rsidR="544982B4" w:rsidP="11B109A7" w:rsidRDefault="6D30E756" w14:paraId="1B4B4CEE" w14:textId="0552ED53">
            <w:pPr>
              <w:spacing w:line="259" w:lineRule="auto"/>
            </w:pPr>
            <w:r>
              <w:t>ND</w:t>
            </w: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4FA9A62E" w14:paraId="375228B6" w14:textId="4CBF9A0D">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4FA9A62E" w14:paraId="2ECC9206" w14:textId="3FEA02C7">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single" w:color="000000" w:themeColor="text1" w:sz="12" w:space="0"/>
              <w:left w:val="none" w:color="000000" w:themeColor="text1" w:sz="12" w:space="0"/>
              <w:bottom w:val="none" w:color="000000" w:themeColor="text1" w:sz="12" w:space="0"/>
              <w:right w:val="none" w:color="000000" w:themeColor="text1" w:sz="12" w:space="0"/>
            </w:tcBorders>
          </w:tcPr>
          <w:p w:rsidR="544982B4" w:rsidP="5C2D5262" w:rsidRDefault="4FA9A62E" w14:paraId="68ABC8E2" w14:textId="09D6B1D8">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single" w:color="000000" w:themeColor="text1" w:sz="12" w:space="0"/>
              <w:left w:val="none" w:color="000000" w:themeColor="text1" w:sz="12" w:space="0"/>
              <w:bottom w:val="none" w:color="000000" w:themeColor="text1" w:sz="12" w:space="0"/>
              <w:right w:val="single" w:color="000000" w:themeColor="text1" w:sz="12" w:space="0"/>
            </w:tcBorders>
          </w:tcPr>
          <w:p w:rsidR="544982B4" w:rsidP="5C2D5262" w:rsidRDefault="4FA9A62E" w14:paraId="0096AD8E" w14:textId="30C6F515">
            <w:pPr>
              <w:jc w:val="center"/>
              <w:cnfStyle w:val="000000000000" w:firstRow="0" w:lastRow="0" w:firstColumn="0" w:lastColumn="0" w:oddVBand="0" w:evenVBand="0" w:oddHBand="0" w:evenHBand="0" w:firstRowFirstColumn="0" w:firstRowLastColumn="0" w:lastRowFirstColumn="0" w:lastRowLastColumn="0"/>
            </w:pPr>
            <w:r>
              <w:t>$0.00</w:t>
            </w:r>
          </w:p>
        </w:tc>
      </w:tr>
      <w:tr w:rsidR="5CF96CD9" w:rsidTr="3C0F3EE8" w14:paraId="4E07FFFE"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CF96CD9" w:rsidP="5CF96CD9" w:rsidRDefault="6D30E756" w14:paraId="7EF386C0" w14:textId="4515DBBD">
            <w:r>
              <w:t>LGC</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36FB2ADC" w14:paraId="2D300E52" w14:textId="0AC4397B">
            <w:pPr>
              <w:jc w:val="center"/>
              <w:cnfStyle w:val="000000000000" w:firstRow="0" w:lastRow="0" w:firstColumn="0" w:lastColumn="0" w:oddVBand="0" w:evenVBand="0" w:oddHBand="0" w:evenHBand="0" w:firstRowFirstColumn="0" w:firstRowLastColumn="0" w:lastRowFirstColumn="0" w:lastRowLastColumn="0"/>
            </w:pPr>
            <w:r>
              <w:t>$8.33</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36FB2ADC" w14:paraId="1BEBA74A" w14:textId="476CB736">
            <w:pPr>
              <w:jc w:val="center"/>
              <w:cnfStyle w:val="000000000000" w:firstRow="0" w:lastRow="0" w:firstColumn="0" w:lastColumn="0" w:oddVBand="0" w:evenVBand="0" w:oddHBand="0" w:evenHBand="0" w:firstRowFirstColumn="0" w:firstRowLastColumn="0" w:lastRowFirstColumn="0" w:lastRowLastColumn="0"/>
            </w:pPr>
            <w:r>
              <w:t>$8.33</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36FB2ADC" w14:paraId="37B05EA8" w14:textId="1EE553AE">
            <w:pPr>
              <w:jc w:val="center"/>
              <w:cnfStyle w:val="000000000000" w:firstRow="0" w:lastRow="0" w:firstColumn="0" w:lastColumn="0" w:oddVBand="0" w:evenVBand="0" w:oddHBand="0" w:evenHBand="0" w:firstRowFirstColumn="0" w:firstRowLastColumn="0" w:lastRowFirstColumn="0" w:lastRowLastColumn="0"/>
            </w:pPr>
            <w:r>
              <w:t>$8.33</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CF96CD9" w:rsidP="5CF96CD9" w:rsidRDefault="36FB2ADC" w14:paraId="084D01B8" w14:textId="7D4BBECC">
            <w:pPr>
              <w:jc w:val="center"/>
              <w:cnfStyle w:val="000000000000" w:firstRow="0" w:lastRow="0" w:firstColumn="0" w:lastColumn="0" w:oddVBand="0" w:evenVBand="0" w:oddHBand="0" w:evenHBand="0" w:firstRowFirstColumn="0" w:firstRowLastColumn="0" w:lastRowFirstColumn="0" w:lastRowLastColumn="0"/>
            </w:pPr>
            <w:r>
              <w:t>$8.33</w:t>
            </w:r>
          </w:p>
        </w:tc>
      </w:tr>
      <w:tr w:rsidR="5CF96CD9" w:rsidTr="60F52FC2" w14:paraId="251D3062"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CF96CD9" w:rsidP="5CF96CD9" w:rsidRDefault="6D30E756" w14:paraId="2FD97554" w14:textId="3BC28FF7">
            <w:r>
              <w:lastRenderedPageBreak/>
              <w:t>PPP</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CF96CD9" w:rsidP="5CF96CD9" w:rsidRDefault="5CF96CD9" w14:paraId="7711A2BA" w14:textId="4E1B12AB">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CF96CD9" w:rsidP="5CF96CD9" w:rsidRDefault="5CF96CD9" w14:paraId="069C8E8A" w14:textId="76F8BBBB">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shd w:val="clear" w:color="auto" w:fill="D9D9D9" w:themeFill="background1" w:themeFillShade="D9"/>
          </w:tcPr>
          <w:p w:rsidR="5CF96CD9" w:rsidP="5CF96CD9" w:rsidRDefault="5CF96CD9" w14:paraId="4828B679" w14:textId="236E69D3">
            <w:pPr>
              <w:jc w:val="center"/>
              <w:cnfStyle w:val="000000000000" w:firstRow="0" w:lastRow="0" w:firstColumn="0" w:lastColumn="0" w:oddVBand="0" w:evenVBand="0" w:oddHBand="0" w:evenHBand="0" w:firstRowFirstColumn="0" w:firstRowLastColumn="0" w:lastRowFirstColumn="0" w:lastRowLastColumn="0"/>
            </w:pP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shd w:val="clear" w:color="auto" w:fill="D9D9D9" w:themeFill="background1" w:themeFillShade="D9"/>
          </w:tcPr>
          <w:p w:rsidR="5CF96CD9" w:rsidP="5CF96CD9" w:rsidRDefault="5CF96CD9" w14:paraId="66683756" w14:textId="7B518FE5">
            <w:pPr>
              <w:jc w:val="center"/>
              <w:cnfStyle w:val="000000000000" w:firstRow="0" w:lastRow="0" w:firstColumn="0" w:lastColumn="0" w:oddVBand="0" w:evenVBand="0" w:oddHBand="0" w:evenHBand="0" w:firstRowFirstColumn="0" w:firstRowLastColumn="0" w:lastRowFirstColumn="0" w:lastRowLastColumn="0"/>
            </w:pPr>
          </w:p>
        </w:tc>
      </w:tr>
      <w:tr w:rsidR="5CF96CD9" w:rsidTr="3C0F3EE8" w14:paraId="147BDCD4"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CF96CD9" w:rsidP="7998EF89" w:rsidRDefault="6D30E756" w14:paraId="290F173E" w14:textId="6A2B8985">
            <w:pPr>
              <w:ind w:left="720"/>
            </w:pPr>
            <w:r>
              <w:t>Non-Exempt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7CD090FE" w14:paraId="599155D1" w14:textId="756AB3F9">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7CD090FE" w14:paraId="142F0EF7" w14:textId="361E9ED4">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7CD090FE" w14:paraId="57FBACF4" w14:textId="24245A63">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CF96CD9" w:rsidP="5CF96CD9" w:rsidRDefault="7CD090FE" w14:paraId="6A351C71" w14:textId="01111B00">
            <w:pPr>
              <w:jc w:val="center"/>
              <w:cnfStyle w:val="000000000000" w:firstRow="0" w:lastRow="0" w:firstColumn="0" w:lastColumn="0" w:oddVBand="0" w:evenVBand="0" w:oddHBand="0" w:evenHBand="0" w:firstRowFirstColumn="0" w:firstRowLastColumn="0" w:lastRowFirstColumn="0" w:lastRowLastColumn="0"/>
            </w:pPr>
            <w:r>
              <w:t>$0.00</w:t>
            </w:r>
          </w:p>
        </w:tc>
      </w:tr>
      <w:tr w:rsidR="5CF96CD9" w:rsidTr="3C0F3EE8" w14:paraId="610309D4"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none" w:color="000000" w:themeColor="text1" w:sz="12" w:space="0"/>
              <w:right w:val="none" w:color="000000" w:themeColor="text1" w:sz="12" w:space="0"/>
            </w:tcBorders>
          </w:tcPr>
          <w:p w:rsidR="5CF96CD9" w:rsidP="7998EF89" w:rsidRDefault="6D30E756" w14:paraId="40A3277B" w14:textId="71A92F9C">
            <w:pPr>
              <w:ind w:left="720"/>
            </w:pPr>
            <w:r>
              <w:t>CARE Exempt</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2402ADE6" w14:paraId="3699DBD6" w14:textId="149CE9FA">
            <w:pPr>
              <w:jc w:val="center"/>
              <w:cnfStyle w:val="000000000000" w:firstRow="0" w:lastRow="0" w:firstColumn="0" w:lastColumn="0" w:oddVBand="0" w:evenVBand="0" w:oddHBand="0" w:evenHBand="0" w:firstRowFirstColumn="0" w:firstRowLastColumn="0" w:lastRowFirstColumn="0" w:lastRowLastColumn="0"/>
            </w:pPr>
            <w:r>
              <w:t>N/A</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10C49C3C" w14:paraId="5E0C3DA5" w14:textId="17AA6BC3">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none" w:color="000000" w:themeColor="text1" w:sz="12" w:space="0"/>
            </w:tcBorders>
          </w:tcPr>
          <w:p w:rsidR="5CF96CD9" w:rsidP="5CF96CD9" w:rsidRDefault="10C49C3C" w14:paraId="0DC7DC66" w14:textId="5F711A0D">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none" w:color="000000" w:themeColor="text1" w:sz="12" w:space="0"/>
              <w:right w:val="single" w:color="000000" w:themeColor="text1" w:sz="12" w:space="0"/>
            </w:tcBorders>
          </w:tcPr>
          <w:p w:rsidR="5CF96CD9" w:rsidP="5CF96CD9" w:rsidRDefault="10C49C3C" w14:paraId="177D9B70" w14:textId="313869F9">
            <w:pPr>
              <w:jc w:val="center"/>
              <w:cnfStyle w:val="000000000000" w:firstRow="0" w:lastRow="0" w:firstColumn="0" w:lastColumn="0" w:oddVBand="0" w:evenVBand="0" w:oddHBand="0" w:evenHBand="0" w:firstRowFirstColumn="0" w:firstRowLastColumn="0" w:lastRowFirstColumn="0" w:lastRowLastColumn="0"/>
            </w:pPr>
            <w:r>
              <w:t>$0.00</w:t>
            </w:r>
          </w:p>
        </w:tc>
      </w:tr>
      <w:tr w:rsidR="5CF96CD9" w:rsidTr="3C0F3EE8" w14:paraId="36162467"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none" w:color="000000" w:themeColor="text1" w:sz="12" w:space="0"/>
              <w:left w:val="single" w:color="000000" w:themeColor="text1" w:sz="12" w:space="0"/>
              <w:bottom w:val="single" w:color="000000" w:themeColor="text1" w:sz="12" w:space="0"/>
              <w:right w:val="none" w:color="000000" w:themeColor="text1" w:sz="12" w:space="0"/>
            </w:tcBorders>
          </w:tcPr>
          <w:p w:rsidR="5CF96CD9" w:rsidP="7998EF89" w:rsidRDefault="6D30E756" w14:paraId="41902C72" w14:textId="5A455A71">
            <w:pPr>
              <w:ind w:left="720"/>
            </w:pPr>
            <w:r>
              <w:t>CARE and FERA Exempt</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CF96CD9" w:rsidP="5CF96CD9" w:rsidRDefault="6F7C7067" w14:paraId="207D4192" w14:textId="5C6A889E">
            <w:pPr>
              <w:jc w:val="center"/>
              <w:cnfStyle w:val="000000000000" w:firstRow="0" w:lastRow="0" w:firstColumn="0" w:lastColumn="0" w:oddVBand="0" w:evenVBand="0" w:oddHBand="0" w:evenHBand="0" w:firstRowFirstColumn="0" w:firstRowLastColumn="0" w:lastRowFirstColumn="0" w:lastRowLastColumn="0"/>
            </w:pPr>
            <w:r>
              <w:t>N/A</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CF96CD9" w:rsidP="5CF96CD9" w:rsidRDefault="6F7C7067" w14:paraId="771BB6A9" w14:textId="388C4D56">
            <w:pPr>
              <w:jc w:val="center"/>
              <w:cnfStyle w:val="000000000000" w:firstRow="0" w:lastRow="0" w:firstColumn="0" w:lastColumn="0" w:oddVBand="0" w:evenVBand="0" w:oddHBand="0" w:evenHBand="0" w:firstRowFirstColumn="0" w:firstRowLastColumn="0" w:lastRowFirstColumn="0" w:lastRowLastColumn="0"/>
            </w:pPr>
            <w:r>
              <w:t>N/A</w:t>
            </w:r>
          </w:p>
        </w:tc>
        <w:tc>
          <w:tcPr>
            <w:tcW w:w="1474" w:type="dxa"/>
            <w:tcBorders>
              <w:top w:val="none" w:color="000000" w:themeColor="text1" w:sz="12" w:space="0"/>
              <w:left w:val="none" w:color="000000" w:themeColor="text1" w:sz="12" w:space="0"/>
              <w:bottom w:val="single" w:color="000000" w:themeColor="text1" w:sz="12" w:space="0"/>
              <w:right w:val="none" w:color="000000" w:themeColor="text1" w:sz="12" w:space="0"/>
            </w:tcBorders>
          </w:tcPr>
          <w:p w:rsidR="5CF96CD9" w:rsidP="5CF96CD9" w:rsidRDefault="705B89A8" w14:paraId="30DFEB27" w14:textId="76B403E5">
            <w:pPr>
              <w:jc w:val="center"/>
              <w:cnfStyle w:val="000000000000" w:firstRow="0" w:lastRow="0" w:firstColumn="0" w:lastColumn="0" w:oddVBand="0" w:evenVBand="0" w:oddHBand="0" w:evenHBand="0" w:firstRowFirstColumn="0" w:firstRowLastColumn="0" w:lastRowFirstColumn="0" w:lastRowLastColumn="0"/>
            </w:pPr>
            <w:r>
              <w:t>$0.00</w:t>
            </w:r>
          </w:p>
        </w:tc>
        <w:tc>
          <w:tcPr>
            <w:tcW w:w="1474" w:type="dxa"/>
            <w:tcBorders>
              <w:top w:val="none" w:color="000000" w:themeColor="text1" w:sz="12" w:space="0"/>
              <w:left w:val="none" w:color="000000" w:themeColor="text1" w:sz="12" w:space="0"/>
              <w:bottom w:val="single" w:color="000000" w:themeColor="text1" w:sz="12" w:space="0"/>
              <w:right w:val="single" w:color="000000" w:themeColor="text1" w:sz="12" w:space="0"/>
            </w:tcBorders>
          </w:tcPr>
          <w:p w:rsidR="5CF96CD9" w:rsidP="5CF96CD9" w:rsidRDefault="705B89A8" w14:paraId="5154D7EF" w14:textId="4FC1FAAB">
            <w:pPr>
              <w:jc w:val="center"/>
              <w:cnfStyle w:val="000000000000" w:firstRow="0" w:lastRow="0" w:firstColumn="0" w:lastColumn="0" w:oddVBand="0" w:evenVBand="0" w:oddHBand="0" w:evenHBand="0" w:firstRowFirstColumn="0" w:firstRowLastColumn="0" w:lastRowFirstColumn="0" w:lastRowLastColumn="0"/>
            </w:pPr>
            <w:r>
              <w:t>$0.00</w:t>
            </w:r>
          </w:p>
        </w:tc>
      </w:tr>
      <w:tr w:rsidR="0753FE5A" w:rsidTr="3C0F3EE8" w14:paraId="2E015EE3" w14:textId="77777777">
        <w:trPr>
          <w:trHeight w:val="300"/>
        </w:trPr>
        <w:tc>
          <w:tcPr>
            <w:cnfStyle w:val="001000000000" w:firstRow="0" w:lastRow="0" w:firstColumn="1" w:lastColumn="0" w:oddVBand="0" w:evenVBand="0" w:oddHBand="0" w:evenHBand="0" w:firstRowFirstColumn="0" w:firstRowLastColumn="0" w:lastRowFirstColumn="0" w:lastRowLastColumn="0"/>
            <w:tcW w:w="3465" w:type="dxa"/>
            <w:tcBorders>
              <w:top w:val="single" w:color="000000" w:themeColor="text1" w:sz="12" w:space="0"/>
              <w:left w:val="single" w:color="000000" w:themeColor="text1" w:sz="12" w:space="0"/>
              <w:bottom w:val="single" w:color="000000" w:themeColor="text1" w:sz="12" w:space="0"/>
              <w:right w:val="none" w:color="000000" w:themeColor="text1" w:sz="12" w:space="0"/>
            </w:tcBorders>
            <w:shd w:val="clear" w:color="auto" w:fill="EAF1DD" w:themeFill="accent3" w:themeFillTint="33"/>
          </w:tcPr>
          <w:p w:rsidR="0753FE5A" w:rsidP="0753FE5A" w:rsidRDefault="6F4C610E" w14:paraId="44BC6F8E" w14:textId="7A00FE3B">
            <w:r>
              <w:t>Total</w:t>
            </w:r>
          </w:p>
        </w:tc>
        <w:tc>
          <w:tcPr>
            <w:tcW w:w="1474" w:type="dxa"/>
            <w:tcBorders>
              <w:top w:val="single" w:color="000000" w:themeColor="text1" w:sz="12" w:space="0"/>
              <w:left w:val="none" w:color="000000" w:themeColor="text1" w:sz="12" w:space="0"/>
              <w:bottom w:val="single" w:color="000000" w:themeColor="text1" w:sz="12" w:space="0"/>
              <w:right w:val="none" w:color="000000" w:themeColor="text1" w:sz="12" w:space="0"/>
            </w:tcBorders>
            <w:shd w:val="clear" w:color="auto" w:fill="EAF1DD" w:themeFill="accent3" w:themeFillTint="33"/>
          </w:tcPr>
          <w:p w:rsidR="0753FE5A" w:rsidP="0753FE5A" w:rsidRDefault="6F4C610E" w14:paraId="5E25A158" w14:textId="54962182">
            <w:pPr>
              <w:jc w:val="center"/>
              <w:cnfStyle w:val="000000000000" w:firstRow="0" w:lastRow="0" w:firstColumn="0" w:lastColumn="0" w:oddVBand="0" w:evenVBand="0" w:oddHBand="0" w:evenHBand="0" w:firstRowFirstColumn="0" w:firstRowLastColumn="0" w:lastRowFirstColumn="0" w:lastRowLastColumn="0"/>
              <w:rPr>
                <w:b/>
              </w:rPr>
            </w:pPr>
            <w:r w:rsidRPr="5C97BDFE">
              <w:rPr>
                <w:b/>
              </w:rPr>
              <w:t>$6.00</w:t>
            </w:r>
          </w:p>
        </w:tc>
        <w:tc>
          <w:tcPr>
            <w:tcW w:w="1474" w:type="dxa"/>
            <w:tcBorders>
              <w:top w:val="single" w:color="000000" w:themeColor="text1" w:sz="12" w:space="0"/>
              <w:left w:val="none" w:color="000000" w:themeColor="text1" w:sz="12" w:space="0"/>
              <w:bottom w:val="single" w:color="000000" w:themeColor="text1" w:sz="12" w:space="0"/>
              <w:right w:val="none" w:color="000000" w:themeColor="text1" w:sz="12" w:space="0"/>
            </w:tcBorders>
            <w:shd w:val="clear" w:color="auto" w:fill="EAF1DD" w:themeFill="accent3" w:themeFillTint="33"/>
          </w:tcPr>
          <w:p w:rsidR="0753FE5A" w:rsidP="0753FE5A" w:rsidRDefault="6F4C610E" w14:paraId="05D2F684" w14:textId="6DBFDCA1">
            <w:pPr>
              <w:jc w:val="center"/>
              <w:cnfStyle w:val="000000000000" w:firstRow="0" w:lastRow="0" w:firstColumn="0" w:lastColumn="0" w:oddVBand="0" w:evenVBand="0" w:oddHBand="0" w:evenHBand="0" w:firstRowFirstColumn="0" w:firstRowLastColumn="0" w:lastRowFirstColumn="0" w:lastRowLastColumn="0"/>
              <w:rPr>
                <w:b/>
              </w:rPr>
            </w:pPr>
            <w:r w:rsidRPr="5C97BDFE">
              <w:rPr>
                <w:b/>
              </w:rPr>
              <w:t>$12.08</w:t>
            </w:r>
          </w:p>
        </w:tc>
        <w:tc>
          <w:tcPr>
            <w:tcW w:w="1474" w:type="dxa"/>
            <w:tcBorders>
              <w:top w:val="single" w:color="000000" w:themeColor="text1" w:sz="12" w:space="0"/>
              <w:left w:val="none" w:color="000000" w:themeColor="text1" w:sz="12" w:space="0"/>
              <w:bottom w:val="single" w:color="000000" w:themeColor="text1" w:sz="12" w:space="0"/>
              <w:right w:val="none" w:color="000000" w:themeColor="text1" w:sz="12" w:space="0"/>
            </w:tcBorders>
            <w:shd w:val="clear" w:color="auto" w:fill="EAF1DD" w:themeFill="accent3" w:themeFillTint="33"/>
          </w:tcPr>
          <w:p w:rsidR="0753FE5A" w:rsidP="0753FE5A" w:rsidRDefault="6F4C610E" w14:paraId="3A380BC6" w14:textId="270330CB">
            <w:pPr>
              <w:jc w:val="center"/>
              <w:cnfStyle w:val="000000000000" w:firstRow="0" w:lastRow="0" w:firstColumn="0" w:lastColumn="0" w:oddVBand="0" w:evenVBand="0" w:oddHBand="0" w:evenHBand="0" w:firstRowFirstColumn="0" w:firstRowLastColumn="0" w:lastRowFirstColumn="0" w:lastRowLastColumn="0"/>
              <w:rPr>
                <w:b/>
              </w:rPr>
            </w:pPr>
            <w:r w:rsidRPr="5C97BDFE">
              <w:rPr>
                <w:b/>
              </w:rPr>
              <w:t>$12.08</w:t>
            </w:r>
          </w:p>
        </w:tc>
        <w:tc>
          <w:tcPr>
            <w:tcW w:w="1474" w:type="dxa"/>
            <w:tcBorders>
              <w:top w:val="single" w:color="000000" w:themeColor="text1" w:sz="12" w:space="0"/>
              <w:left w:val="none" w:color="000000" w:themeColor="text1" w:sz="12" w:space="0"/>
              <w:bottom w:val="single" w:color="000000" w:themeColor="text1" w:sz="12" w:space="0"/>
              <w:right w:val="single" w:color="000000" w:themeColor="text1" w:sz="12" w:space="0"/>
            </w:tcBorders>
            <w:shd w:val="clear" w:color="auto" w:fill="EAF1DD" w:themeFill="accent3" w:themeFillTint="33"/>
          </w:tcPr>
          <w:p w:rsidR="0753FE5A" w:rsidP="0753FE5A" w:rsidRDefault="6F4C610E" w14:paraId="7BC40638" w14:textId="33232067">
            <w:pPr>
              <w:jc w:val="center"/>
              <w:cnfStyle w:val="000000000000" w:firstRow="0" w:lastRow="0" w:firstColumn="0" w:lastColumn="0" w:oddVBand="0" w:evenVBand="0" w:oddHBand="0" w:evenHBand="0" w:firstRowFirstColumn="0" w:firstRowLastColumn="0" w:lastRowFirstColumn="0" w:lastRowLastColumn="0"/>
              <w:rPr>
                <w:b/>
              </w:rPr>
            </w:pPr>
            <w:r w:rsidRPr="5C97BDFE">
              <w:rPr>
                <w:b/>
              </w:rPr>
              <w:t>$24.15</w:t>
            </w:r>
          </w:p>
        </w:tc>
      </w:tr>
    </w:tbl>
    <w:p w:rsidR="5B9D21B0" w:rsidP="5B9D21B0" w:rsidRDefault="5B9D21B0" w14:paraId="005158A1" w14:textId="3A98C4BE"/>
    <w:p w:rsidR="3CB1CDD8" w:rsidP="75A1C80C" w:rsidRDefault="6E3BD988" w14:paraId="7248130E" w14:textId="42F35DD7">
      <w:r>
        <w:t xml:space="preserve">In </w:t>
      </w:r>
      <w:r w:rsidR="00046BAA">
        <w:t>Energy Division</w:t>
      </w:r>
      <w:r>
        <w:t xml:space="preserve"> Staff’s example, SDG&amp;E should first sum all non-CARE-exempt costs</w:t>
      </w:r>
      <w:r w:rsidR="00BE0455">
        <w:t xml:space="preserve"> (i.e., all </w:t>
      </w:r>
      <w:r w:rsidR="00695252">
        <w:t>costs that CARE customers are not exempt</w:t>
      </w:r>
      <w:r w:rsidR="00D41E25">
        <w:t xml:space="preserve"> from paying) that are being proposed for recovery through the fixed charge</w:t>
      </w:r>
      <w:r>
        <w:t>. For the Tier 1 illustrative example, this includes summing the MCAC and LGC</w:t>
      </w:r>
      <w:r w:rsidR="705D157E">
        <w:t xml:space="preserve">, totaling $19.53. SDG&amp;E’s </w:t>
      </w:r>
      <w:r w:rsidR="4F297660">
        <w:t>currently effective</w:t>
      </w:r>
      <w:r w:rsidR="705D157E">
        <w:t xml:space="preserve"> CARE discount </w:t>
      </w:r>
      <w:r w:rsidR="6111DC71">
        <w:t>(3</w:t>
      </w:r>
      <w:r w:rsidR="00C70645">
        <w:t>5</w:t>
      </w:r>
      <w:r w:rsidR="6111DC71">
        <w:t>%)</w:t>
      </w:r>
      <w:r w:rsidR="705D157E">
        <w:t xml:space="preserve"> should then be applied </w:t>
      </w:r>
      <w:r w:rsidR="7DD65276">
        <w:t>resulting in a “Low-Income Program Discount” of $6</w:t>
      </w:r>
      <w:r w:rsidR="51C59B5D">
        <w:t>.</w:t>
      </w:r>
      <w:r w:rsidR="00A23D2E">
        <w:t>84</w:t>
      </w:r>
      <w:r w:rsidR="7DD65276">
        <w:t>.</w:t>
      </w:r>
      <w:r w:rsidRPr="0FC98BD5">
        <w:rPr>
          <w:rStyle w:val="FootnoteReference"/>
        </w:rPr>
        <w:footnoteReference w:id="96"/>
      </w:r>
      <w:r w:rsidR="7DD65276">
        <w:t xml:space="preserve"> The “Fixed Charge Discount” is therefore </w:t>
      </w:r>
      <w:r w:rsidR="6B1221A0">
        <w:t>negative ($</w:t>
      </w:r>
      <w:r w:rsidR="00771398">
        <w:t>6.</w:t>
      </w:r>
      <w:r w:rsidR="009C5B79">
        <w:t>69</w:t>
      </w:r>
      <w:r w:rsidR="6B1221A0">
        <w:t>)</w:t>
      </w:r>
      <w:r w:rsidR="45D4C08E">
        <w:t xml:space="preserve"> which is</w:t>
      </w:r>
      <w:r w:rsidR="7DD65276">
        <w:t xml:space="preserve"> the delta between the </w:t>
      </w:r>
      <w:r w:rsidR="46C54A3B">
        <w:t>Tier 1 fixed charge of $6, and the</w:t>
      </w:r>
      <w:r w:rsidR="7DD65276">
        <w:t xml:space="preserve"> summation of the MCAC</w:t>
      </w:r>
      <w:r w:rsidR="1E5F3D10">
        <w:t>,</w:t>
      </w:r>
      <w:r w:rsidR="7DD65276">
        <w:t xml:space="preserve"> </w:t>
      </w:r>
      <w:r w:rsidR="00C40AF5">
        <w:t xml:space="preserve">the </w:t>
      </w:r>
      <w:r w:rsidR="00261F3A">
        <w:t>Low-Income Program</w:t>
      </w:r>
      <w:r w:rsidR="00C40AF5">
        <w:t xml:space="preserve"> discount, </w:t>
      </w:r>
      <w:r w:rsidR="00771398">
        <w:t xml:space="preserve">and </w:t>
      </w:r>
      <w:r w:rsidR="00261F3A">
        <w:t xml:space="preserve">the </w:t>
      </w:r>
      <w:r w:rsidR="7DD65276">
        <w:t>LGC</w:t>
      </w:r>
      <w:r w:rsidR="64F110FD">
        <w:t>.</w:t>
      </w:r>
      <w:r w:rsidR="44AB4ABE">
        <w:t xml:space="preserve"> The Tier 2 (FERA) “Low-Income Program Discount” and “Fixed Charge Discount” should </w:t>
      </w:r>
      <w:r w:rsidR="16014B68">
        <w:t>also be calculated in a similar manner with SDG&amp;E’s 18% FERA discount</w:t>
      </w:r>
      <w:r w:rsidR="270CD455">
        <w:t xml:space="preserve"> being first applied to the sum of non-CARE-exempt costs</w:t>
      </w:r>
      <w:r w:rsidR="16014B68">
        <w:t>.</w:t>
      </w:r>
    </w:p>
    <w:p w:rsidR="75A1C80C" w:rsidP="75A1C80C" w:rsidRDefault="75A1C80C" w14:paraId="2E17BC2D" w14:textId="6CDED0FC"/>
    <w:p w:rsidR="3CB1CDD8" w:rsidP="68EB36D5" w:rsidRDefault="336CA950" w14:paraId="6629EC09" w14:textId="1F8816CF">
      <w:pPr>
        <w:spacing w:line="259" w:lineRule="auto"/>
      </w:pPr>
      <w:r>
        <w:t xml:space="preserve">In </w:t>
      </w:r>
      <w:r w:rsidR="3E476FFF">
        <w:t>conclusion</w:t>
      </w:r>
      <w:r>
        <w:t>,</w:t>
      </w:r>
      <w:r w:rsidR="36874D70">
        <w:t xml:space="preserve"> the</w:t>
      </w:r>
      <w:r w:rsidR="0748965F">
        <w:t xml:space="preserve"> </w:t>
      </w:r>
      <w:r w:rsidR="000C1A2B">
        <w:t xml:space="preserve">Commission </w:t>
      </w:r>
      <w:r w:rsidR="0748965F">
        <w:t>find</w:t>
      </w:r>
      <w:r w:rsidR="53CE3B5C">
        <w:t>s</w:t>
      </w:r>
      <w:r w:rsidR="3CB1CDD8">
        <w:t xml:space="preserve"> the cost </w:t>
      </w:r>
      <w:r w:rsidR="00893221">
        <w:t>layering methodology</w:t>
      </w:r>
      <w:r w:rsidR="3CB1CDD8">
        <w:t xml:space="preserve"> satisfactory and </w:t>
      </w:r>
      <w:r w:rsidR="0748965F">
        <w:t>recognize</w:t>
      </w:r>
      <w:r w:rsidR="000C1A2B">
        <w:t>s</w:t>
      </w:r>
      <w:r w:rsidR="0748965F">
        <w:t xml:space="preserve"> </w:t>
      </w:r>
      <w:r w:rsidR="00A35BB3">
        <w:t>the</w:t>
      </w:r>
      <w:r w:rsidR="3CB1CDD8">
        <w:t xml:space="preserve"> need for flexibility for </w:t>
      </w:r>
      <w:r w:rsidR="00A35BB3">
        <w:t xml:space="preserve">SDG&amp;E </w:t>
      </w:r>
      <w:r w:rsidR="00B3564C">
        <w:t xml:space="preserve">and the other large </w:t>
      </w:r>
      <w:r w:rsidR="3CB1CDD8">
        <w:t xml:space="preserve">IOUs to make </w:t>
      </w:r>
      <w:r w:rsidR="00B3564C">
        <w:t>minor</w:t>
      </w:r>
      <w:r w:rsidR="3CB1CDD8">
        <w:t xml:space="preserve"> adjustments to the loading order in subsequent years based on changes in the revenue requirements of individual cost components after an annual true-up. </w:t>
      </w:r>
      <w:r w:rsidR="009E7767">
        <w:t xml:space="preserve">Accordingly, </w:t>
      </w:r>
      <w:r w:rsidR="008F52CF">
        <w:t>we</w:t>
      </w:r>
      <w:r w:rsidR="267E8D0F">
        <w:t xml:space="preserve"> </w:t>
      </w:r>
      <w:r w:rsidR="3CB1CDD8">
        <w:t xml:space="preserve">direct SDG&amp;E to file a Tier 2 AL </w:t>
      </w:r>
      <w:r w:rsidR="7F7F4175">
        <w:t>within</w:t>
      </w:r>
      <w:r w:rsidR="37E803B2">
        <w:t xml:space="preserve"> </w:t>
      </w:r>
      <w:r w:rsidR="3CB1CDD8">
        <w:t xml:space="preserve">90 days </w:t>
      </w:r>
      <w:r w:rsidR="5099BBFB">
        <w:t>after</w:t>
      </w:r>
      <w:r w:rsidR="391A9CB8">
        <w:t xml:space="preserve"> the </w:t>
      </w:r>
      <w:r w:rsidR="5099BBFB">
        <w:t>adoption of this Resolution</w:t>
      </w:r>
      <w:r w:rsidR="47C53F79">
        <w:t xml:space="preserve"> with a finalized loading order and cost </w:t>
      </w:r>
      <w:r w:rsidR="3CB1CDD8">
        <w:t xml:space="preserve">component breakdown using </w:t>
      </w:r>
      <w:r w:rsidR="00E13B11">
        <w:t>updated</w:t>
      </w:r>
      <w:r w:rsidR="3CB1CDD8">
        <w:t xml:space="preserve"> revenue </w:t>
      </w:r>
      <w:r w:rsidR="008F52CF">
        <w:t xml:space="preserve">requirement </w:t>
      </w:r>
      <w:r w:rsidR="3CB1CDD8">
        <w:t>data.</w:t>
      </w:r>
      <w:r w:rsidR="14E95D41">
        <w:t xml:space="preserve"> </w:t>
      </w:r>
      <w:r w:rsidR="630CD30F">
        <w:t xml:space="preserve">In this </w:t>
      </w:r>
      <w:r w:rsidR="40A368A0">
        <w:t>AL,</w:t>
      </w:r>
      <w:r w:rsidR="630CD30F">
        <w:t xml:space="preserve"> SDG&amp;E </w:t>
      </w:r>
      <w:r w:rsidR="40A368A0">
        <w:t>must also</w:t>
      </w:r>
      <w:r w:rsidR="630CD30F">
        <w:t xml:space="preserve"> provide a loading order using the correct fixed charge </w:t>
      </w:r>
      <w:r w:rsidR="2535235C">
        <w:t>and discount</w:t>
      </w:r>
      <w:r w:rsidR="630CD30F">
        <w:t xml:space="preserve"> calculation for </w:t>
      </w:r>
      <w:r w:rsidR="40A368A0">
        <w:t xml:space="preserve">fixed charge </w:t>
      </w:r>
      <w:r w:rsidR="630CD30F">
        <w:t xml:space="preserve">Tiers 1 </w:t>
      </w:r>
      <w:r w:rsidR="40A368A0">
        <w:t xml:space="preserve">(CARE) </w:t>
      </w:r>
      <w:r w:rsidR="630CD30F">
        <w:t xml:space="preserve">and </w:t>
      </w:r>
      <w:r w:rsidR="00BC2903">
        <w:br/>
      </w:r>
      <w:r w:rsidR="630CD30F">
        <w:t xml:space="preserve">2 </w:t>
      </w:r>
      <w:r w:rsidR="40A368A0">
        <w:t>(FERA</w:t>
      </w:r>
      <w:r w:rsidR="376C9BE1">
        <w:t xml:space="preserve"> and DRAH</w:t>
      </w:r>
      <w:r w:rsidR="6921911D">
        <w:t xml:space="preserve">). </w:t>
      </w:r>
      <w:r w:rsidR="4D46C9D9">
        <w:t xml:space="preserve">SDG&amp;E </w:t>
      </w:r>
      <w:r w:rsidR="4549732E">
        <w:t>must</w:t>
      </w:r>
      <w:r w:rsidR="4D46C9D9">
        <w:t xml:space="preserve"> include the correct CARE </w:t>
      </w:r>
      <w:r w:rsidR="4DA2C7B5">
        <w:t xml:space="preserve">and FERA </w:t>
      </w:r>
      <w:r w:rsidR="4D46C9D9">
        <w:t>discount percentage</w:t>
      </w:r>
      <w:r w:rsidR="41F7691C">
        <w:t>s</w:t>
      </w:r>
      <w:r w:rsidR="4D46C9D9">
        <w:t xml:space="preserve"> in this Tier 2 AL with a citation to the latest ruling or decision that establishes </w:t>
      </w:r>
      <w:r w:rsidR="388971D4">
        <w:t xml:space="preserve">these </w:t>
      </w:r>
      <w:r w:rsidR="4D46C9D9">
        <w:t>value</w:t>
      </w:r>
      <w:r w:rsidR="0DEA0FFA">
        <w:t>s</w:t>
      </w:r>
      <w:r w:rsidR="630CD30F">
        <w:t>.</w:t>
      </w:r>
    </w:p>
    <w:p w:rsidR="33C875E7" w:rsidP="705D794C" w:rsidRDefault="33C875E7" w14:paraId="4F40AD6E" w14:textId="5254997A">
      <w:pPr>
        <w:pStyle w:val="sub1"/>
        <w:spacing w:line="259" w:lineRule="auto"/>
      </w:pPr>
    </w:p>
    <w:p w:rsidR="1DE32884" w:rsidP="1DE32884" w:rsidRDefault="1DE32884" w14:paraId="3CD779FF" w14:textId="6758A2CB">
      <w:pPr>
        <w:pStyle w:val="sub1"/>
        <w:spacing w:line="259" w:lineRule="auto"/>
      </w:pPr>
    </w:p>
    <w:p w:rsidR="3AA76C68" w:rsidP="00B40D90" w:rsidRDefault="4E60BF8D" w14:paraId="0915EE14" w14:textId="22C7ED13">
      <w:pPr>
        <w:pStyle w:val="Heading3"/>
      </w:pPr>
      <w:r>
        <w:t>5.3</w:t>
      </w:r>
      <w:r w:rsidR="5C5FC181">
        <w:t xml:space="preserve">. </w:t>
      </w:r>
      <w:r w:rsidR="28EF6A45">
        <w:t>Revisions to Eligible Tariffs</w:t>
      </w:r>
      <w:r w:rsidR="005C7FE5">
        <w:t xml:space="preserve">, </w:t>
      </w:r>
      <w:r w:rsidR="00136E42">
        <w:t>I</w:t>
      </w:r>
      <w:r w:rsidR="6D55088E">
        <w:t>ncl</w:t>
      </w:r>
      <w:r w:rsidR="00E63052">
        <w:t>uding</w:t>
      </w:r>
      <w:r w:rsidR="6D55088E">
        <w:t xml:space="preserve"> Minimum Bills, and Fixed Charge Exclusions</w:t>
      </w:r>
    </w:p>
    <w:p w:rsidR="4ECCB493" w:rsidP="009C4F1F" w:rsidRDefault="6D55088E" w14:paraId="1AA62BE7" w14:textId="7C172D30">
      <w:r>
        <w:lastRenderedPageBreak/>
        <w:t xml:space="preserve">SDG&amp;E proposes to remove the minimum bill from eligible residential rate schedules and replace the “monthly service fee” or “basic service fee” with a </w:t>
      </w:r>
      <w:r w:rsidR="00E179E1">
        <w:t>f</w:t>
      </w:r>
      <w:r>
        <w:t xml:space="preserve">ixed </w:t>
      </w:r>
      <w:r w:rsidR="00E179E1">
        <w:t>c</w:t>
      </w:r>
      <w:r>
        <w:t>harge line item. It also proposed to update</w:t>
      </w:r>
      <w:r w:rsidR="00D37778">
        <w:t xml:space="preserve"> the</w:t>
      </w:r>
      <w:r>
        <w:t xml:space="preserve"> “Rates” and “UDC Rates” tables to reflect Tier 1 (CARE), Tier 2 (FERA and DRAH), and Tier 3 </w:t>
      </w:r>
      <w:r w:rsidR="00E179E1">
        <w:t>f</w:t>
      </w:r>
      <w:r>
        <w:t xml:space="preserve">ixed </w:t>
      </w:r>
      <w:r w:rsidR="6FBA6717">
        <w:t>c</w:t>
      </w:r>
      <w:r>
        <w:t xml:space="preserve">harges. Additional language </w:t>
      </w:r>
      <w:r w:rsidR="60641232">
        <w:t xml:space="preserve">in rate schedules </w:t>
      </w:r>
      <w:r>
        <w:t xml:space="preserve">will clarify that the </w:t>
      </w:r>
      <w:r w:rsidR="00B97FA5">
        <w:t>IGFC</w:t>
      </w:r>
      <w:r>
        <w:t xml:space="preserve"> is a flat monthly charge, with tier placement determined by CARE or FERA participation or DRAH</w:t>
      </w:r>
      <w:r w:rsidR="006B1524">
        <w:t xml:space="preserve"> eligibility</w:t>
      </w:r>
      <w:r>
        <w:t xml:space="preserve">. </w:t>
      </w:r>
      <w:r w:rsidR="2713FD96">
        <w:t xml:space="preserve">SDG&amp;E states that </w:t>
      </w:r>
      <w:r>
        <w:t xml:space="preserve">DRAH placement will apply to customers living in affordable rental homes restricted by federal or state subsidy rules. Schedules E-CARE and FERA will also be updated to reflect the removal of the minimum bill, replaced by the lower </w:t>
      </w:r>
      <w:r w:rsidR="0029686E">
        <w:t xml:space="preserve">Tier 1 </w:t>
      </w:r>
      <w:r w:rsidR="0099125D">
        <w:t>f</w:t>
      </w:r>
      <w:r>
        <w:t xml:space="preserve">ixed </w:t>
      </w:r>
      <w:r w:rsidR="0099125D">
        <w:t>c</w:t>
      </w:r>
      <w:r>
        <w:t>harge.</w:t>
      </w:r>
      <w:r w:rsidR="0C11D244">
        <w:t xml:space="preserve"> This proposal was uncontested, and the </w:t>
      </w:r>
      <w:r w:rsidR="0029686E">
        <w:t xml:space="preserve">CPUC </w:t>
      </w:r>
      <w:r w:rsidR="3F3BF426">
        <w:t>finds it reasonable</w:t>
      </w:r>
      <w:r w:rsidR="0C11D244">
        <w:t>.</w:t>
      </w:r>
    </w:p>
    <w:p w:rsidR="229EC4F9" w:rsidP="0067072B" w:rsidRDefault="229EC4F9" w14:paraId="07268491" w14:textId="6CEA3B6B"/>
    <w:p w:rsidRPr="00E83888" w:rsidR="747A5405" w:rsidP="00B40D90" w:rsidRDefault="4B6AE050" w14:paraId="4EBAEE8A" w14:textId="235E6A36">
      <w:pPr>
        <w:pStyle w:val="Heading3"/>
      </w:pPr>
      <w:r>
        <w:t>5.4.</w:t>
      </w:r>
      <w:r w:rsidR="4401E8C1">
        <w:t xml:space="preserve"> </w:t>
      </w:r>
      <w:r w:rsidRPr="00E83888" w:rsidR="229399E2">
        <w:t xml:space="preserve">Low-Income and </w:t>
      </w:r>
      <w:r w:rsidRPr="00E83888" w:rsidR="0E8E2CD4">
        <w:t>Medical Baseline Treatment</w:t>
      </w:r>
    </w:p>
    <w:p w:rsidR="0D9CA6D0" w:rsidP="009C4F1F" w:rsidRDefault="270E81D9" w14:paraId="0CDC40F8" w14:textId="05622ADF">
      <w:r>
        <w:t xml:space="preserve">In its </w:t>
      </w:r>
      <w:r w:rsidR="00CB495E">
        <w:t>AL</w:t>
      </w:r>
      <w:r>
        <w:t xml:space="preserve">, SDG&amp;E noted that customers enrolled in CARE and FERA will continue to receive an additional line-item discount on their volumetric rate component charges. Similarly, rate discounts for </w:t>
      </w:r>
      <w:r w:rsidR="002F10FE">
        <w:t>M</w:t>
      </w:r>
      <w:r>
        <w:t xml:space="preserve">edical </w:t>
      </w:r>
      <w:r w:rsidR="002F10FE">
        <w:t>B</w:t>
      </w:r>
      <w:r>
        <w:t>aseline</w:t>
      </w:r>
      <w:r w:rsidR="6FDDFC6B">
        <w:t xml:space="preserve">, </w:t>
      </w:r>
      <w:r w:rsidR="00B56DF0">
        <w:t>Disadvantaged Community – Green Tariff (</w:t>
      </w:r>
      <w:r>
        <w:t>DAC-GT</w:t>
      </w:r>
      <w:r w:rsidR="00B56DF0">
        <w:t>)</w:t>
      </w:r>
      <w:r w:rsidR="139E35E0">
        <w:t>, and Community Solar Green Tariff (CS-GT</w:t>
      </w:r>
      <w:r w:rsidR="00B56DF0">
        <w:t>)</w:t>
      </w:r>
      <w:r>
        <w:t xml:space="preserve"> customers will be applied to volumetric rate component charges only.</w:t>
      </w:r>
    </w:p>
    <w:p w:rsidR="009C4F1F" w:rsidP="009C4F1F" w:rsidRDefault="009C4F1F" w14:paraId="47ED249C" w14:textId="77777777"/>
    <w:p w:rsidR="29F5BB17" w:rsidP="3DDB3018" w:rsidRDefault="29F5BB17" w14:paraId="225474B5" w14:textId="2AE39D55">
      <w:pPr>
        <w:rPr>
          <w:rFonts w:eastAsia="Palatino Linotype" w:cs="Palatino Linotype"/>
        </w:rPr>
      </w:pPr>
      <w:r w:rsidRPr="3DDB3018">
        <w:rPr>
          <w:rFonts w:eastAsia="Palatino Linotype" w:cs="Palatino Linotype"/>
          <w:color w:val="000000" w:themeColor="text1"/>
        </w:rPr>
        <w:t>This proposal was uncontested</w:t>
      </w:r>
      <w:r w:rsidR="003226E9">
        <w:rPr>
          <w:rFonts w:eastAsia="Palatino Linotype" w:cs="Palatino Linotype"/>
          <w:color w:val="000000" w:themeColor="text1"/>
        </w:rPr>
        <w:t>.</w:t>
      </w:r>
      <w:r w:rsidR="008D2F74">
        <w:rPr>
          <w:rFonts w:eastAsia="Palatino Linotype" w:cs="Palatino Linotype"/>
          <w:color w:val="000000" w:themeColor="text1"/>
        </w:rPr>
        <w:t xml:space="preserve"> T</w:t>
      </w:r>
      <w:r w:rsidRPr="3DDB3018">
        <w:rPr>
          <w:rFonts w:eastAsia="Palatino Linotype" w:cs="Palatino Linotype"/>
          <w:color w:val="000000" w:themeColor="text1"/>
        </w:rPr>
        <w:t>he Commission direct</w:t>
      </w:r>
      <w:r w:rsidR="00115FAC">
        <w:rPr>
          <w:rFonts w:eastAsia="Palatino Linotype" w:cs="Palatino Linotype"/>
          <w:color w:val="000000" w:themeColor="text1"/>
        </w:rPr>
        <w:t>s</w:t>
      </w:r>
      <w:r w:rsidRPr="3DDB3018">
        <w:rPr>
          <w:rFonts w:eastAsia="Palatino Linotype" w:cs="Palatino Linotype"/>
          <w:color w:val="000000" w:themeColor="text1"/>
        </w:rPr>
        <w:t xml:space="preserve"> </w:t>
      </w:r>
      <w:r w:rsidRPr="128D34FF">
        <w:rPr>
          <w:rFonts w:eastAsia="Palatino Linotype" w:cs="Palatino Linotype"/>
          <w:color w:val="000000" w:themeColor="text1"/>
        </w:rPr>
        <w:t>SDG</w:t>
      </w:r>
      <w:r w:rsidRPr="3DDB3018">
        <w:rPr>
          <w:rFonts w:eastAsia="Palatino Linotype" w:cs="Palatino Linotype"/>
          <w:color w:val="000000" w:themeColor="text1"/>
        </w:rPr>
        <w:t xml:space="preserve">&amp;E to expand on this approach </w:t>
      </w:r>
      <w:r w:rsidR="00D2504B">
        <w:rPr>
          <w:rFonts w:eastAsia="Palatino Linotype" w:cs="Palatino Linotype"/>
          <w:color w:val="000000" w:themeColor="text1"/>
        </w:rPr>
        <w:t xml:space="preserve">and rationale </w:t>
      </w:r>
      <w:r w:rsidRPr="3DDB3018">
        <w:rPr>
          <w:rFonts w:eastAsia="Palatino Linotype" w:cs="Palatino Linotype"/>
          <w:color w:val="000000" w:themeColor="text1"/>
        </w:rPr>
        <w:t xml:space="preserve">in a </w:t>
      </w:r>
      <w:r w:rsidR="00DB2AFE">
        <w:rPr>
          <w:rFonts w:eastAsia="Palatino Linotype" w:cs="Palatino Linotype"/>
          <w:color w:val="000000" w:themeColor="text1"/>
        </w:rPr>
        <w:t>subsequent</w:t>
      </w:r>
      <w:r w:rsidRPr="3DDB3018">
        <w:rPr>
          <w:rFonts w:eastAsia="Palatino Linotype" w:cs="Palatino Linotype"/>
          <w:color w:val="000000" w:themeColor="text1"/>
        </w:rPr>
        <w:t xml:space="preserve"> Tier 2 AL to ensure that parties </w:t>
      </w:r>
      <w:proofErr w:type="gramStart"/>
      <w:r w:rsidRPr="3DDB3018">
        <w:rPr>
          <w:rFonts w:eastAsia="Palatino Linotype" w:cs="Palatino Linotype"/>
          <w:color w:val="000000" w:themeColor="text1"/>
        </w:rPr>
        <w:t>have the opportunity to</w:t>
      </w:r>
      <w:proofErr w:type="gramEnd"/>
      <w:r w:rsidRPr="3DDB3018">
        <w:rPr>
          <w:rFonts w:eastAsia="Palatino Linotype" w:cs="Palatino Linotype"/>
          <w:color w:val="000000" w:themeColor="text1"/>
        </w:rPr>
        <w:t xml:space="preserve"> review the proposal in greater detail.</w:t>
      </w:r>
    </w:p>
    <w:p w:rsidR="0D9CA6D0" w:rsidP="003918E2" w:rsidRDefault="0D9CA6D0" w14:paraId="172E6741" w14:textId="430D0F3E"/>
    <w:p w:rsidR="00A8015C" w:rsidP="00BC2903" w:rsidRDefault="17318D00" w14:paraId="7EA9E321" w14:textId="663299B4">
      <w:pPr>
        <w:pStyle w:val="Heading3"/>
        <w:keepNext/>
      </w:pPr>
      <w:r>
        <w:t>5.5</w:t>
      </w:r>
      <w:r w:rsidR="72BDC9F9">
        <w:t xml:space="preserve">. </w:t>
      </w:r>
      <w:r w:rsidR="00C41A94">
        <w:t>Volumetric Rates</w:t>
      </w:r>
    </w:p>
    <w:p w:rsidR="62AFD733" w:rsidP="00BC2903" w:rsidRDefault="43F50560" w14:paraId="59069323" w14:textId="6311E303">
      <w:pPr>
        <w:keepNext/>
      </w:pPr>
      <w:r>
        <w:t>TURN/NRDC and SEIA protested SDG&amp;E’s fixed charge calculation methodology</w:t>
      </w:r>
      <w:r w:rsidR="00E526E6">
        <w:t xml:space="preserve"> in terms of</w:t>
      </w:r>
      <w:r w:rsidDel="00E526E6">
        <w:t xml:space="preserve"> </w:t>
      </w:r>
      <w:r>
        <w:t xml:space="preserve">its proposed </w:t>
      </w:r>
      <w:r w:rsidR="05EAB768">
        <w:t>“</w:t>
      </w:r>
      <w:r>
        <w:t>one-time change</w:t>
      </w:r>
      <w:r w:rsidR="0042F6D1">
        <w:t>”</w:t>
      </w:r>
      <w:r>
        <w:t xml:space="preserve"> to its volumetric distribution rate design methodology.</w:t>
      </w:r>
      <w:r w:rsidR="00026F71">
        <w:rPr>
          <w:rStyle w:val="FootnoteReference"/>
        </w:rPr>
        <w:footnoteReference w:id="97"/>
      </w:r>
      <w:r>
        <w:t xml:space="preserve"> </w:t>
      </w:r>
      <w:r w:rsidR="75E0DAD2">
        <w:t xml:space="preserve">In subsequent conversations with </w:t>
      </w:r>
      <w:r w:rsidR="003314D4">
        <w:t>Energy Division</w:t>
      </w:r>
      <w:r w:rsidR="75E0DAD2">
        <w:t xml:space="preserve"> Staff, SDG&amp;E </w:t>
      </w:r>
      <w:r w:rsidR="1A68A6BA">
        <w:t>clarified that the “one-time change” referred to its inten</w:t>
      </w:r>
      <w:r w:rsidR="00B8249C">
        <w:t>t</w:t>
      </w:r>
      <w:r w:rsidR="1A68A6BA">
        <w:t xml:space="preserve"> to apply the equal cent per kWh methodology to reduce volumetric distribution rates. </w:t>
      </w:r>
      <w:r w:rsidR="00256EE3">
        <w:t xml:space="preserve">As </w:t>
      </w:r>
      <w:r w:rsidR="1A68A6BA">
        <w:t>SDG&amp;E normally adjusts</w:t>
      </w:r>
      <w:r w:rsidR="00256EE3">
        <w:t xml:space="preserve"> its</w:t>
      </w:r>
      <w:r w:rsidDel="00256EE3" w:rsidR="1A68A6BA">
        <w:t xml:space="preserve"> </w:t>
      </w:r>
      <w:r w:rsidR="68173B69">
        <w:t>rates on an equal percent method,</w:t>
      </w:r>
      <w:r w:rsidDel="00256EE3" w:rsidR="68173B69">
        <w:t xml:space="preserve"> </w:t>
      </w:r>
      <w:r w:rsidR="68173B69">
        <w:t xml:space="preserve">the need to deviate from this will occur on a </w:t>
      </w:r>
      <w:r w:rsidR="00BC2903">
        <w:br/>
      </w:r>
      <w:r w:rsidR="68173B69">
        <w:t xml:space="preserve">“one-time” basis as part of the </w:t>
      </w:r>
      <w:r w:rsidR="00256EE3">
        <w:t>IGFC</w:t>
      </w:r>
      <w:r w:rsidR="68173B69">
        <w:t xml:space="preserve"> implementation.</w:t>
      </w:r>
      <w:r w:rsidR="5B718D37">
        <w:t xml:space="preserve"> The</w:t>
      </w:r>
      <w:r w:rsidDel="00256EE3" w:rsidR="5B718D37">
        <w:t xml:space="preserve"> </w:t>
      </w:r>
      <w:r w:rsidR="00256EE3">
        <w:t xml:space="preserve">CPUC </w:t>
      </w:r>
      <w:r w:rsidR="5B718D37">
        <w:t xml:space="preserve">finds this approach by SDG&amp;E to be </w:t>
      </w:r>
      <w:r w:rsidR="00D11058">
        <w:t xml:space="preserve">reasonable </w:t>
      </w:r>
      <w:proofErr w:type="gramStart"/>
      <w:r w:rsidR="00D11058">
        <w:t>in light of</w:t>
      </w:r>
      <w:proofErr w:type="gramEnd"/>
      <w:r w:rsidR="00D11058">
        <w:t xml:space="preserve"> th</w:t>
      </w:r>
      <w:r w:rsidR="00787320">
        <w:t xml:space="preserve">is </w:t>
      </w:r>
      <w:r w:rsidR="00BF578B">
        <w:t xml:space="preserve">unique </w:t>
      </w:r>
      <w:r w:rsidR="00787320">
        <w:t>deviation from purely volumetric rates</w:t>
      </w:r>
      <w:r w:rsidR="5B718D37">
        <w:t>.</w:t>
      </w:r>
      <w:r w:rsidR="07616440">
        <w:t xml:space="preserve"> </w:t>
      </w:r>
    </w:p>
    <w:p w:rsidR="009C4F1F" w:rsidP="00177D69" w:rsidRDefault="009C4F1F" w14:paraId="6161E16E" w14:textId="750AF3EA"/>
    <w:p w:rsidR="62AFD733" w:rsidP="00177D69" w:rsidRDefault="7EFA1A2A" w14:paraId="23BC7EBA" w14:textId="403ED9BC">
      <w:pPr>
        <w:rPr>
          <w:rFonts w:eastAsia="Palatino Linotype" w:cs="Palatino Linotype"/>
        </w:rPr>
      </w:pPr>
      <w:r w:rsidRPr="58359871">
        <w:t>SEIA also protested SDG&amp;</w:t>
      </w:r>
      <w:r w:rsidRPr="645F6D0F">
        <w:t>E</w:t>
      </w:r>
      <w:r w:rsidRPr="645F6D0F" w:rsidR="67ED54B3">
        <w:t>’s proposal</w:t>
      </w:r>
      <w:r w:rsidRPr="58359871">
        <w:t xml:space="preserve"> to keep the super-off-peak volumetric </w:t>
      </w:r>
      <w:r w:rsidRPr="58359871" w:rsidR="1FE31F20">
        <w:t xml:space="preserve">distribution </w:t>
      </w:r>
      <w:r w:rsidRPr="58359871">
        <w:t xml:space="preserve">rates </w:t>
      </w:r>
      <w:r w:rsidRPr="58359871" w:rsidR="4096E2E2">
        <w:t xml:space="preserve">for tariff EV-TOU-5 unadjusted and </w:t>
      </w:r>
      <w:r w:rsidRPr="58359871" w:rsidR="04C146B0">
        <w:t>consistent</w:t>
      </w:r>
      <w:r w:rsidRPr="58359871" w:rsidR="4096E2E2">
        <w:t xml:space="preserve"> with </w:t>
      </w:r>
      <w:r w:rsidRPr="58359871" w:rsidR="4D612364">
        <w:t>D.21-07-010</w:t>
      </w:r>
      <w:r w:rsidR="4D612364">
        <w:t>.</w:t>
      </w:r>
      <w:r w:rsidR="007A25D3">
        <w:rPr>
          <w:rStyle w:val="FootnoteReference"/>
        </w:rPr>
        <w:footnoteReference w:id="98"/>
      </w:r>
      <w:r w:rsidRPr="07E386FF" w:rsidR="4D612364">
        <w:t xml:space="preserve"> </w:t>
      </w:r>
      <w:r w:rsidRPr="00D38D7B" w:rsidR="5FCDF34F">
        <w:lastRenderedPageBreak/>
        <w:t>SDG&amp;E had noted</w:t>
      </w:r>
      <w:r w:rsidRPr="774D915C" w:rsidR="5FCDF34F">
        <w:t xml:space="preserve"> that the </w:t>
      </w:r>
      <w:r w:rsidRPr="0847474D" w:rsidR="5FCDF34F">
        <w:t xml:space="preserve">super-off-peak </w:t>
      </w:r>
      <w:r w:rsidRPr="6AFB0FD1" w:rsidR="5FCDF34F">
        <w:t xml:space="preserve">distribution rate for this </w:t>
      </w:r>
      <w:r w:rsidRPr="781CCB5C" w:rsidR="5FCDF34F">
        <w:t xml:space="preserve">tariff was </w:t>
      </w:r>
      <w:r w:rsidRPr="57A11B0A" w:rsidR="5FCDF34F">
        <w:t>set at $</w:t>
      </w:r>
      <w:r w:rsidRPr="73223E61" w:rsidR="5FCDF34F">
        <w:t>0.</w:t>
      </w:r>
      <w:r w:rsidRPr="13A691BD" w:rsidR="5FCDF34F">
        <w:t>01496/</w:t>
      </w:r>
      <w:r w:rsidRPr="3926C66C" w:rsidR="5FCDF34F">
        <w:t xml:space="preserve">kWh and was not intended to </w:t>
      </w:r>
      <w:r w:rsidRPr="6A0F1FF4" w:rsidR="5FCDF34F">
        <w:t xml:space="preserve">scale with revenue </w:t>
      </w:r>
      <w:r w:rsidRPr="17B6461F" w:rsidR="5FCDF34F">
        <w:t xml:space="preserve">requirement </w:t>
      </w:r>
      <w:r w:rsidRPr="0AE02050" w:rsidR="5FCDF34F">
        <w:t>changes,</w:t>
      </w:r>
      <w:r w:rsidRPr="6EA330C3" w:rsidR="5FCDF34F">
        <w:t xml:space="preserve"> nor </w:t>
      </w:r>
      <w:r w:rsidR="379D130B">
        <w:t>be</w:t>
      </w:r>
      <w:r w:rsidR="5FCDF34F">
        <w:t xml:space="preserve"> impacted by the fixed charge implementation.</w:t>
      </w:r>
      <w:r w:rsidR="784AABB8">
        <w:t xml:space="preserve"> </w:t>
      </w:r>
      <w:r w:rsidR="744769B0">
        <w:t>In correspondence with E</w:t>
      </w:r>
      <w:r w:rsidR="35666756">
        <w:t>nergy Division</w:t>
      </w:r>
      <w:r w:rsidR="7158DEA7">
        <w:t xml:space="preserve"> </w:t>
      </w:r>
      <w:r w:rsidR="00705208">
        <w:t>S</w:t>
      </w:r>
      <w:r w:rsidR="744769B0">
        <w:t xml:space="preserve">taff, </w:t>
      </w:r>
      <w:r w:rsidRPr="11515300" w:rsidR="3F751115">
        <w:rPr>
          <w:rFonts w:eastAsia="Palatino Linotype" w:cs="Palatino Linotype"/>
        </w:rPr>
        <w:t>SDG&amp;E</w:t>
      </w:r>
      <w:r w:rsidRPr="11515300" w:rsidR="640A121B">
        <w:rPr>
          <w:rFonts w:eastAsia="Palatino Linotype" w:cs="Palatino Linotype"/>
        </w:rPr>
        <w:t xml:space="preserve"> noted</w:t>
      </w:r>
      <w:r w:rsidRPr="11515300" w:rsidR="3F751115">
        <w:rPr>
          <w:rFonts w:eastAsia="Palatino Linotype" w:cs="Palatino Linotype"/>
        </w:rPr>
        <w:t xml:space="preserve"> its intention to update the super-off-peak volumetric</w:t>
      </w:r>
      <w:r w:rsidRPr="11515300" w:rsidR="0173C1D0">
        <w:rPr>
          <w:rFonts w:eastAsia="Palatino Linotype" w:cs="Palatino Linotype"/>
        </w:rPr>
        <w:t xml:space="preserve"> </w:t>
      </w:r>
      <w:r w:rsidRPr="11515300" w:rsidR="3F751115">
        <w:rPr>
          <w:rFonts w:eastAsia="Palatino Linotype" w:cs="Palatino Linotype"/>
        </w:rPr>
        <w:t>distribution rate</w:t>
      </w:r>
      <w:r w:rsidRPr="11515300" w:rsidR="7FFAF20B">
        <w:rPr>
          <w:rFonts w:eastAsia="Palatino Linotype" w:cs="Palatino Linotype"/>
        </w:rPr>
        <w:t xml:space="preserve"> for EV-TOU-5 according to</w:t>
      </w:r>
      <w:r w:rsidRPr="11515300" w:rsidR="3F751115">
        <w:rPr>
          <w:rFonts w:eastAsia="Palatino Linotype" w:cs="Palatino Linotype"/>
        </w:rPr>
        <w:t xml:space="preserve"> the partial settlement</w:t>
      </w:r>
      <w:r w:rsidRPr="11515300" w:rsidR="3AE625F1">
        <w:rPr>
          <w:rFonts w:eastAsia="Palatino Linotype" w:cs="Palatino Linotype"/>
        </w:rPr>
        <w:t xml:space="preserve"> for its 2024 GRC Phase 2 </w:t>
      </w:r>
      <w:r w:rsidR="00BC2903">
        <w:rPr>
          <w:rFonts w:eastAsia="Palatino Linotype" w:cs="Palatino Linotype"/>
        </w:rPr>
        <w:br/>
      </w:r>
      <w:r w:rsidRPr="11515300" w:rsidR="3AE625F1">
        <w:rPr>
          <w:rFonts w:eastAsia="Palatino Linotype" w:cs="Palatino Linotype"/>
        </w:rPr>
        <w:t xml:space="preserve">(A.23-01-008). </w:t>
      </w:r>
      <w:r w:rsidRPr="11515300" w:rsidR="00B23A67">
        <w:rPr>
          <w:rFonts w:eastAsia="Palatino Linotype" w:cs="Palatino Linotype"/>
        </w:rPr>
        <w:t xml:space="preserve"> </w:t>
      </w:r>
      <w:r w:rsidRPr="406F77B5" w:rsidR="00B23A67">
        <w:rPr>
          <w:rFonts w:eastAsia="Palatino Linotype" w:cs="Palatino Linotype"/>
        </w:rPr>
        <w:t>The</w:t>
      </w:r>
      <w:r w:rsidRPr="11515300" w:rsidDel="00D630BF" w:rsidR="00B23A67">
        <w:rPr>
          <w:rFonts w:eastAsia="Palatino Linotype" w:cs="Palatino Linotype"/>
        </w:rPr>
        <w:t xml:space="preserve"> </w:t>
      </w:r>
      <w:r w:rsidR="00B23A67">
        <w:rPr>
          <w:rFonts w:eastAsia="Palatino Linotype" w:cs="Palatino Linotype"/>
        </w:rPr>
        <w:t>Commission</w:t>
      </w:r>
      <w:r w:rsidRPr="4176EAB1" w:rsidR="00B23A67">
        <w:rPr>
          <w:rFonts w:eastAsia="Palatino Linotype" w:cs="Palatino Linotype"/>
        </w:rPr>
        <w:t xml:space="preserve"> </w:t>
      </w:r>
      <w:r w:rsidRPr="41154A8A" w:rsidR="00B23A67">
        <w:rPr>
          <w:rFonts w:eastAsia="Palatino Linotype" w:cs="Palatino Linotype"/>
        </w:rPr>
        <w:t xml:space="preserve">recognizes that this issue is being </w:t>
      </w:r>
      <w:r w:rsidRPr="16E1F21B" w:rsidR="00B23A67">
        <w:rPr>
          <w:rFonts w:eastAsia="Palatino Linotype" w:cs="Palatino Linotype"/>
        </w:rPr>
        <w:t xml:space="preserve">litigated in </w:t>
      </w:r>
      <w:r w:rsidRPr="6838C40C" w:rsidR="00B23A67">
        <w:rPr>
          <w:rFonts w:eastAsia="Palatino Linotype" w:cs="Palatino Linotype"/>
        </w:rPr>
        <w:t xml:space="preserve">SDG&amp;E’s ongoing GRC Phase </w:t>
      </w:r>
      <w:r w:rsidRPr="6838C40C" w:rsidR="005461A7">
        <w:rPr>
          <w:rFonts w:eastAsia="Palatino Linotype" w:cs="Palatino Linotype"/>
        </w:rPr>
        <w:t>2</w:t>
      </w:r>
      <w:r w:rsidRPr="7495E7C1" w:rsidR="005461A7">
        <w:rPr>
          <w:rFonts w:eastAsia="Palatino Linotype" w:cs="Palatino Linotype"/>
        </w:rPr>
        <w:t xml:space="preserve"> and</w:t>
      </w:r>
      <w:r w:rsidRPr="1DFEB3CD" w:rsidR="00B23A67">
        <w:rPr>
          <w:rFonts w:eastAsia="Palatino Linotype" w:cs="Palatino Linotype"/>
        </w:rPr>
        <w:t xml:space="preserve"> </w:t>
      </w:r>
      <w:r w:rsidRPr="0CBA6BEC" w:rsidR="00B23A67">
        <w:rPr>
          <w:rFonts w:eastAsia="Palatino Linotype" w:cs="Palatino Linotype"/>
        </w:rPr>
        <w:t>will leave this issue to be adjudicated in that proceeding</w:t>
      </w:r>
      <w:r w:rsidRPr="7495E7C1" w:rsidR="033CBF73">
        <w:rPr>
          <w:rFonts w:eastAsia="Palatino Linotype" w:cs="Palatino Linotype"/>
        </w:rPr>
        <w:t>.</w:t>
      </w:r>
      <w:r w:rsidR="033CBF73">
        <w:rPr>
          <w:rFonts w:eastAsia="Palatino Linotype" w:cs="Palatino Linotype"/>
        </w:rPr>
        <w:t xml:space="preserve"> </w:t>
      </w:r>
    </w:p>
    <w:p w:rsidR="009C4F1F" w:rsidP="00177D69" w:rsidRDefault="009C4F1F" w14:paraId="1C843874" w14:textId="77777777">
      <w:pPr>
        <w:rPr>
          <w:color w:val="FF0000"/>
        </w:rPr>
      </w:pPr>
    </w:p>
    <w:p w:rsidR="00990AAC" w:rsidP="00177D69" w:rsidRDefault="3C222EB4" w14:paraId="7AEFCEF6" w14:textId="5CF14A0B">
      <w:pPr>
        <w:rPr>
          <w:rFonts w:eastAsia="Palatino Linotype" w:cs="Palatino Linotype"/>
          <w:color w:val="000000" w:themeColor="text1"/>
        </w:rPr>
      </w:pPr>
      <w:r w:rsidRPr="3D89E4ED">
        <w:t xml:space="preserve">Finally, SDG&amp;E provided an illustrative tariff presentation of the fixed charge in </w:t>
      </w:r>
      <w:r w:rsidR="00537C03">
        <w:br/>
      </w:r>
      <w:r w:rsidR="11139A0C">
        <w:t xml:space="preserve">AL </w:t>
      </w:r>
      <w:r w:rsidRPr="3D89E4ED">
        <w:t>4492-E</w:t>
      </w:r>
      <w:r w:rsidRPr="3D89E4ED" w:rsidR="36686A71">
        <w:t>. SDG&amp;E did not provide changes to volumetric</w:t>
      </w:r>
      <w:r w:rsidR="36686A71">
        <w:t xml:space="preserve"> </w:t>
      </w:r>
      <w:r w:rsidRPr="0A6131C5" w:rsidR="7540FAC6">
        <w:rPr>
          <w:rFonts w:eastAsia="Palatino Linotype" w:cs="Palatino Linotype"/>
        </w:rPr>
        <w:t>distribution</w:t>
      </w:r>
      <w:r w:rsidRPr="0A6131C5" w:rsidR="36686A71">
        <w:rPr>
          <w:rFonts w:eastAsia="Palatino Linotype" w:cs="Palatino Linotype"/>
        </w:rPr>
        <w:t xml:space="preserve"> </w:t>
      </w:r>
      <w:r w:rsidRPr="3D89E4ED" w:rsidR="36686A71">
        <w:t>rates in its example using EV-TOU-5 as an illustrative tariff sheet.</w:t>
      </w:r>
      <w:r w:rsidRPr="3D89E4ED" w:rsidR="37880AB4">
        <w:t xml:space="preserve"> </w:t>
      </w:r>
      <w:r w:rsidRPr="3D89E4ED" w:rsidR="37880AB4">
        <w:rPr>
          <w:rFonts w:eastAsia="Palatino Linotype" w:cs="Palatino Linotype"/>
          <w:color w:val="000000" w:themeColor="text1"/>
        </w:rPr>
        <w:t xml:space="preserve">SEIA raised a </w:t>
      </w:r>
      <w:r w:rsidRPr="3DB2BE83" w:rsidR="37880AB4">
        <w:rPr>
          <w:rFonts w:eastAsia="Palatino Linotype" w:cs="Palatino Linotype"/>
          <w:color w:val="000000" w:themeColor="text1"/>
        </w:rPr>
        <w:t>concern in</w:t>
      </w:r>
      <w:r w:rsidRPr="3D89E4ED" w:rsidR="37880AB4">
        <w:rPr>
          <w:rFonts w:eastAsia="Palatino Linotype" w:cs="Palatino Linotype"/>
          <w:color w:val="000000" w:themeColor="text1"/>
        </w:rPr>
        <w:t xml:space="preserve"> its protests regarding the treatment of time-varying residential schedules with an existing fixed charge and the impact that this may have on volumetric rate reductions</w:t>
      </w:r>
      <w:r w:rsidRPr="6280E992" w:rsidR="73E273A6">
        <w:rPr>
          <w:rFonts w:eastAsia="Palatino Linotype" w:cs="Palatino Linotype"/>
          <w:color w:val="000000" w:themeColor="text1"/>
        </w:rPr>
        <w:t>.</w:t>
      </w:r>
      <w:r w:rsidRPr="6280E992">
        <w:rPr>
          <w:rStyle w:val="FootnoteReference"/>
          <w:rFonts w:eastAsia="Palatino Linotype" w:cs="Palatino Linotype"/>
          <w:color w:val="000000" w:themeColor="text1"/>
        </w:rPr>
        <w:footnoteReference w:id="99"/>
      </w:r>
      <w:r w:rsidRPr="3D89E4ED" w:rsidR="37880AB4">
        <w:rPr>
          <w:rFonts w:eastAsia="Palatino Linotype" w:cs="Palatino Linotype"/>
          <w:color w:val="000000" w:themeColor="text1"/>
        </w:rPr>
        <w:t xml:space="preserve"> </w:t>
      </w:r>
      <w:r w:rsidRPr="12B71603" w:rsidR="223615D7">
        <w:rPr>
          <w:rFonts w:eastAsia="Palatino Linotype" w:cs="Palatino Linotype"/>
          <w:color w:val="000000" w:themeColor="text1"/>
        </w:rPr>
        <w:t xml:space="preserve">SDG&amp;E replied to SEIA’s protests reaffirming the position it held in </w:t>
      </w:r>
      <w:r w:rsidR="001C1DE4">
        <w:rPr>
          <w:rFonts w:eastAsia="Palatino Linotype" w:cs="Palatino Linotype"/>
          <w:color w:val="000000" w:themeColor="text1"/>
        </w:rPr>
        <w:t xml:space="preserve">AL </w:t>
      </w:r>
      <w:r w:rsidRPr="12B71603" w:rsidR="223615D7">
        <w:rPr>
          <w:rFonts w:eastAsia="Palatino Linotype" w:cs="Palatino Linotype"/>
          <w:color w:val="000000" w:themeColor="text1"/>
        </w:rPr>
        <w:t xml:space="preserve">4492-E regarding the filing of Tier 1 and 2 </w:t>
      </w:r>
      <w:r w:rsidR="0068309F">
        <w:rPr>
          <w:rFonts w:eastAsia="Palatino Linotype" w:cs="Palatino Linotype"/>
          <w:color w:val="000000" w:themeColor="text1"/>
        </w:rPr>
        <w:t>ALs</w:t>
      </w:r>
      <w:r w:rsidRPr="12B71603" w:rsidR="223615D7">
        <w:rPr>
          <w:rFonts w:eastAsia="Palatino Linotype" w:cs="Palatino Linotype"/>
          <w:color w:val="000000" w:themeColor="text1"/>
        </w:rPr>
        <w:t xml:space="preserve"> at a later date </w:t>
      </w:r>
      <w:r w:rsidRPr="12B71603" w:rsidR="72A26C69">
        <w:rPr>
          <w:rFonts w:eastAsia="Palatino Linotype" w:cs="Palatino Linotype"/>
          <w:color w:val="000000" w:themeColor="text1"/>
        </w:rPr>
        <w:t>to provide tariff schedule updates</w:t>
      </w:r>
      <w:r w:rsidRPr="6280E992" w:rsidR="0E282F71">
        <w:rPr>
          <w:rFonts w:eastAsia="Palatino Linotype" w:cs="Palatino Linotype"/>
          <w:color w:val="000000" w:themeColor="text1"/>
        </w:rPr>
        <w:t>.</w:t>
      </w:r>
      <w:r w:rsidRPr="6280E992">
        <w:rPr>
          <w:rStyle w:val="FootnoteReference"/>
          <w:rFonts w:eastAsia="Palatino Linotype" w:cs="Palatino Linotype"/>
          <w:color w:val="000000" w:themeColor="text1"/>
        </w:rPr>
        <w:footnoteReference w:id="100"/>
      </w:r>
      <w:r w:rsidRPr="12B71603" w:rsidR="223615D7">
        <w:rPr>
          <w:rFonts w:eastAsia="Palatino Linotype" w:cs="Palatino Linotype"/>
          <w:color w:val="000000" w:themeColor="text1"/>
        </w:rPr>
        <w:t xml:space="preserve"> </w:t>
      </w:r>
      <w:r w:rsidRPr="02021398" w:rsidR="1C7270FE">
        <w:rPr>
          <w:rFonts w:eastAsia="Palatino Linotype" w:cs="Palatino Linotype"/>
          <w:color w:val="000000" w:themeColor="text1"/>
        </w:rPr>
        <w:t>E</w:t>
      </w:r>
      <w:r w:rsidRPr="02021398" w:rsidR="7638A869">
        <w:rPr>
          <w:rFonts w:eastAsia="Palatino Linotype" w:cs="Palatino Linotype"/>
          <w:color w:val="000000" w:themeColor="text1"/>
        </w:rPr>
        <w:t>nergy Division</w:t>
      </w:r>
      <w:r w:rsidR="00AB6271">
        <w:rPr>
          <w:rFonts w:eastAsia="Palatino Linotype" w:cs="Palatino Linotype"/>
          <w:color w:val="000000" w:themeColor="text1"/>
        </w:rPr>
        <w:t xml:space="preserve"> </w:t>
      </w:r>
      <w:r w:rsidRPr="02021398" w:rsidR="7D4ADD27">
        <w:rPr>
          <w:rFonts w:eastAsia="Palatino Linotype" w:cs="Palatino Linotype"/>
          <w:color w:val="000000" w:themeColor="text1"/>
        </w:rPr>
        <w:t>s</w:t>
      </w:r>
      <w:r w:rsidRPr="02021398" w:rsidR="1C7270FE">
        <w:rPr>
          <w:rFonts w:eastAsia="Palatino Linotype" w:cs="Palatino Linotype"/>
          <w:color w:val="000000" w:themeColor="text1"/>
        </w:rPr>
        <w:t>taff</w:t>
      </w:r>
      <w:r w:rsidRPr="3D89E4ED" w:rsidR="37880AB4">
        <w:rPr>
          <w:rFonts w:eastAsia="Palatino Linotype" w:cs="Palatino Linotype"/>
          <w:color w:val="000000" w:themeColor="text1"/>
        </w:rPr>
        <w:t xml:space="preserve"> reiterate</w:t>
      </w:r>
      <w:r w:rsidR="00D630BF">
        <w:rPr>
          <w:rFonts w:eastAsia="Palatino Linotype" w:cs="Palatino Linotype"/>
          <w:color w:val="000000" w:themeColor="text1"/>
        </w:rPr>
        <w:t>s</w:t>
      </w:r>
      <w:r w:rsidRPr="3D89E4ED" w:rsidR="37880AB4">
        <w:rPr>
          <w:rFonts w:eastAsia="Palatino Linotype" w:cs="Palatino Linotype"/>
          <w:color w:val="000000" w:themeColor="text1"/>
        </w:rPr>
        <w:t xml:space="preserve"> that D.24-05-028 authorized </w:t>
      </w:r>
      <w:r w:rsidR="00B17E39">
        <w:rPr>
          <w:rFonts w:eastAsia="Palatino Linotype" w:cs="Palatino Linotype"/>
          <w:color w:val="000000" w:themeColor="text1"/>
        </w:rPr>
        <w:t>the process by which</w:t>
      </w:r>
      <w:r w:rsidRPr="3D89E4ED" w:rsidR="00B17E39">
        <w:rPr>
          <w:rFonts w:eastAsia="Palatino Linotype" w:cs="Palatino Linotype"/>
          <w:color w:val="000000" w:themeColor="text1"/>
        </w:rPr>
        <w:t xml:space="preserve"> </w:t>
      </w:r>
      <w:r w:rsidRPr="3D89E4ED" w:rsidR="37880AB4">
        <w:rPr>
          <w:rFonts w:eastAsia="Palatino Linotype" w:cs="Palatino Linotype"/>
          <w:color w:val="000000" w:themeColor="text1"/>
        </w:rPr>
        <w:t>IOUs reduce the volumetric components of rate schedules. The Decision affirmed</w:t>
      </w:r>
      <w:r w:rsidRPr="0B322417" w:rsidR="4938DF5F">
        <w:rPr>
          <w:rFonts w:eastAsia="Palatino Linotype" w:cs="Palatino Linotype"/>
          <w:color w:val="000000" w:themeColor="text1"/>
        </w:rPr>
        <w:t xml:space="preserve"> in C</w:t>
      </w:r>
      <w:r w:rsidR="009B3401">
        <w:rPr>
          <w:rFonts w:eastAsia="Palatino Linotype" w:cs="Palatino Linotype"/>
          <w:color w:val="000000" w:themeColor="text1"/>
        </w:rPr>
        <w:t>OL</w:t>
      </w:r>
      <w:r w:rsidRPr="0B322417" w:rsidR="4938DF5F">
        <w:rPr>
          <w:rFonts w:eastAsia="Palatino Linotype" w:cs="Palatino Linotype"/>
          <w:color w:val="000000" w:themeColor="text1"/>
        </w:rPr>
        <w:t xml:space="preserve"> 31</w:t>
      </w:r>
      <w:r w:rsidRPr="3D89E4ED" w:rsidR="37880AB4">
        <w:rPr>
          <w:rFonts w:eastAsia="Palatino Linotype" w:cs="Palatino Linotype"/>
          <w:color w:val="000000" w:themeColor="text1"/>
        </w:rPr>
        <w:t xml:space="preserve"> that an equal percentage basis would be appropriate for any schedule where an equal cents per kWh reduction would result in distribution rate components that are less than zero. </w:t>
      </w:r>
    </w:p>
    <w:p w:rsidR="00990AAC" w:rsidP="00177D69" w:rsidRDefault="00990AAC" w14:paraId="239E1A1F" w14:textId="77777777">
      <w:pPr>
        <w:rPr>
          <w:rFonts w:eastAsia="Palatino Linotype" w:cs="Palatino Linotype"/>
          <w:color w:val="000000" w:themeColor="text1"/>
        </w:rPr>
      </w:pPr>
    </w:p>
    <w:p w:rsidR="3C222EB4" w:rsidP="7D60D80C" w:rsidRDefault="7409D38D" w14:paraId="718EAD9C" w14:textId="68B58807">
      <w:pPr>
        <w:spacing w:line="259" w:lineRule="auto"/>
        <w:rPr>
          <w:rFonts w:eastAsia="Palatino Linotype" w:cs="Palatino Linotype"/>
          <w:color w:val="000000" w:themeColor="text1"/>
        </w:rPr>
      </w:pPr>
      <w:r w:rsidRPr="73B74680">
        <w:rPr>
          <w:rFonts w:eastAsia="Palatino Linotype" w:cs="Palatino Linotype"/>
          <w:color w:val="000000" w:themeColor="text1"/>
        </w:rPr>
        <w:t xml:space="preserve">SEIA argues </w:t>
      </w:r>
      <w:r w:rsidRPr="2A1A95FE">
        <w:rPr>
          <w:rFonts w:eastAsia="Palatino Linotype" w:cs="Palatino Linotype"/>
          <w:color w:val="000000" w:themeColor="text1"/>
        </w:rPr>
        <w:t>SDG&amp;E</w:t>
      </w:r>
      <w:r w:rsidRPr="22E2824B" w:rsidR="3828F1A5">
        <w:rPr>
          <w:rFonts w:eastAsia="Palatino Linotype" w:cs="Palatino Linotype"/>
          <w:color w:val="000000" w:themeColor="text1"/>
        </w:rPr>
        <w:t xml:space="preserve"> </w:t>
      </w:r>
      <w:r w:rsidRPr="22E2824B" w:rsidR="37880AB4">
        <w:rPr>
          <w:rFonts w:eastAsia="Palatino Linotype" w:cs="Palatino Linotype"/>
          <w:color w:val="000000" w:themeColor="text1"/>
        </w:rPr>
        <w:t xml:space="preserve">was not clear in its </w:t>
      </w:r>
      <w:r w:rsidR="00B40814">
        <w:rPr>
          <w:rFonts w:eastAsia="Palatino Linotype" w:cs="Palatino Linotype"/>
          <w:color w:val="000000" w:themeColor="text1"/>
        </w:rPr>
        <w:t>AL</w:t>
      </w:r>
      <w:r w:rsidRPr="22E2824B" w:rsidR="37880AB4">
        <w:rPr>
          <w:rFonts w:eastAsia="Palatino Linotype" w:cs="Palatino Linotype"/>
          <w:color w:val="000000" w:themeColor="text1"/>
        </w:rPr>
        <w:t xml:space="preserve"> as to w</w:t>
      </w:r>
      <w:r w:rsidRPr="22E2824B" w:rsidR="6F45A55B">
        <w:rPr>
          <w:rFonts w:eastAsia="Palatino Linotype" w:cs="Palatino Linotype"/>
          <w:color w:val="000000" w:themeColor="text1"/>
        </w:rPr>
        <w:t xml:space="preserve">hich </w:t>
      </w:r>
      <w:r w:rsidRPr="22E2824B" w:rsidR="37880AB4">
        <w:rPr>
          <w:rFonts w:eastAsia="Palatino Linotype" w:cs="Palatino Linotype"/>
          <w:color w:val="000000" w:themeColor="text1"/>
        </w:rPr>
        <w:t xml:space="preserve">schedules </w:t>
      </w:r>
      <w:r w:rsidRPr="22E2824B" w:rsidR="5303C022">
        <w:rPr>
          <w:rFonts w:eastAsia="Palatino Linotype" w:cs="Palatino Linotype"/>
          <w:color w:val="000000" w:themeColor="text1"/>
        </w:rPr>
        <w:t>would</w:t>
      </w:r>
      <w:r w:rsidRPr="22E2824B" w:rsidR="37880AB4">
        <w:rPr>
          <w:rFonts w:eastAsia="Palatino Linotype" w:cs="Palatino Linotype"/>
          <w:color w:val="000000" w:themeColor="text1"/>
        </w:rPr>
        <w:t xml:space="preserve"> re</w:t>
      </w:r>
      <w:r w:rsidRPr="22E2824B" w:rsidR="454F3D6F">
        <w:rPr>
          <w:rFonts w:eastAsia="Palatino Linotype" w:cs="Palatino Linotype"/>
          <w:color w:val="000000" w:themeColor="text1"/>
        </w:rPr>
        <w:t xml:space="preserve">ceive </w:t>
      </w:r>
      <w:r w:rsidRPr="22E2824B" w:rsidR="37880AB4">
        <w:rPr>
          <w:rFonts w:eastAsia="Palatino Linotype" w:cs="Palatino Linotype"/>
          <w:color w:val="000000" w:themeColor="text1"/>
        </w:rPr>
        <w:t xml:space="preserve">an equal percentage basis </w:t>
      </w:r>
      <w:r w:rsidRPr="22E2824B" w:rsidR="3A003C70">
        <w:rPr>
          <w:rFonts w:eastAsia="Palatino Linotype" w:cs="Palatino Linotype"/>
          <w:color w:val="000000" w:themeColor="text1"/>
        </w:rPr>
        <w:t>or equal</w:t>
      </w:r>
      <w:r w:rsidRPr="22E2824B" w:rsidR="37880AB4">
        <w:rPr>
          <w:rFonts w:eastAsia="Palatino Linotype" w:cs="Palatino Linotype"/>
          <w:color w:val="000000" w:themeColor="text1"/>
        </w:rPr>
        <w:t xml:space="preserve"> </w:t>
      </w:r>
      <w:r w:rsidRPr="22E2824B" w:rsidR="3A003C70">
        <w:rPr>
          <w:rFonts w:eastAsia="Palatino Linotype" w:cs="Palatino Linotype"/>
          <w:color w:val="000000" w:themeColor="text1"/>
        </w:rPr>
        <w:t>cents</w:t>
      </w:r>
      <w:r w:rsidRPr="22E2824B" w:rsidR="37880AB4">
        <w:rPr>
          <w:rFonts w:eastAsia="Palatino Linotype" w:cs="Palatino Linotype"/>
          <w:color w:val="000000" w:themeColor="text1"/>
        </w:rPr>
        <w:t xml:space="preserve"> </w:t>
      </w:r>
      <w:r w:rsidRPr="22E2824B" w:rsidR="3A003C70">
        <w:rPr>
          <w:rFonts w:eastAsia="Palatino Linotype" w:cs="Palatino Linotype"/>
          <w:color w:val="000000" w:themeColor="text1"/>
        </w:rPr>
        <w:t>per kWh</w:t>
      </w:r>
      <w:r w:rsidRPr="22E2824B" w:rsidR="37880AB4">
        <w:rPr>
          <w:rFonts w:eastAsia="Palatino Linotype" w:cs="Palatino Linotype"/>
          <w:color w:val="000000" w:themeColor="text1"/>
        </w:rPr>
        <w:t xml:space="preserve"> distribution component reduction. SEIA’s suggestion that S</w:t>
      </w:r>
      <w:r w:rsidRPr="22E2824B" w:rsidR="5856E548">
        <w:rPr>
          <w:rFonts w:eastAsia="Palatino Linotype" w:cs="Palatino Linotype"/>
          <w:color w:val="000000" w:themeColor="text1"/>
        </w:rPr>
        <w:t>DG&amp;E</w:t>
      </w:r>
      <w:r w:rsidRPr="22E2824B" w:rsidR="37880AB4">
        <w:rPr>
          <w:rFonts w:eastAsia="Palatino Linotype" w:cs="Palatino Linotype"/>
          <w:color w:val="000000" w:themeColor="text1"/>
        </w:rPr>
        <w:t xml:space="preserve"> </w:t>
      </w:r>
      <w:r w:rsidRPr="3D89E4ED" w:rsidR="37880AB4">
        <w:rPr>
          <w:rFonts w:eastAsia="Palatino Linotype" w:cs="Palatino Linotype"/>
          <w:color w:val="000000" w:themeColor="text1"/>
        </w:rPr>
        <w:t xml:space="preserve">file a supplemental to </w:t>
      </w:r>
      <w:r w:rsidRPr="145E0790" w:rsidR="01AE50A3">
        <w:rPr>
          <w:rFonts w:eastAsia="Palatino Linotype" w:cs="Palatino Linotype"/>
          <w:color w:val="000000" w:themeColor="text1"/>
        </w:rPr>
        <w:t>AL</w:t>
      </w:r>
      <w:r w:rsidRPr="145E0790" w:rsidR="4A53A275">
        <w:rPr>
          <w:rFonts w:eastAsia="Palatino Linotype" w:cs="Palatino Linotype"/>
          <w:color w:val="000000" w:themeColor="text1"/>
        </w:rPr>
        <w:t xml:space="preserve"> </w:t>
      </w:r>
      <w:r w:rsidRPr="22E2824B" w:rsidR="08D869C9">
        <w:rPr>
          <w:rFonts w:eastAsia="Palatino Linotype" w:cs="Palatino Linotype"/>
          <w:color w:val="000000" w:themeColor="text1"/>
        </w:rPr>
        <w:t>4492</w:t>
      </w:r>
      <w:r w:rsidRPr="3D89E4ED" w:rsidR="37880AB4">
        <w:rPr>
          <w:rFonts w:eastAsia="Palatino Linotype" w:cs="Palatino Linotype"/>
          <w:color w:val="000000" w:themeColor="text1"/>
        </w:rPr>
        <w:t xml:space="preserve">-E providing redlined changes to each residential </w:t>
      </w:r>
      <w:r w:rsidRPr="5D9B3BB0" w:rsidR="37880AB4">
        <w:rPr>
          <w:rFonts w:eastAsia="Palatino Linotype" w:cs="Palatino Linotype"/>
          <w:color w:val="000000" w:themeColor="text1"/>
        </w:rPr>
        <w:t>tariff</w:t>
      </w:r>
      <w:r w:rsidRPr="3D89E4ED" w:rsidR="37880AB4">
        <w:rPr>
          <w:rFonts w:eastAsia="Palatino Linotype" w:cs="Palatino Linotype"/>
          <w:color w:val="000000" w:themeColor="text1"/>
        </w:rPr>
        <w:t xml:space="preserve"> impacted by the IGFC</w:t>
      </w:r>
      <w:r w:rsidR="003519D4">
        <w:rPr>
          <w:rFonts w:eastAsia="Palatino Linotype" w:cs="Palatino Linotype"/>
          <w:color w:val="000000" w:themeColor="text1"/>
        </w:rPr>
        <w:t xml:space="preserve"> has merit</w:t>
      </w:r>
      <w:r w:rsidRPr="3D89E4ED" w:rsidR="37880AB4">
        <w:rPr>
          <w:rFonts w:eastAsia="Palatino Linotype" w:cs="Palatino Linotype"/>
          <w:color w:val="000000" w:themeColor="text1"/>
        </w:rPr>
        <w:t xml:space="preserve">. </w:t>
      </w:r>
      <w:r w:rsidRPr="7D60D80C" w:rsidR="37880AB4">
        <w:rPr>
          <w:rFonts w:eastAsia="Palatino Linotype" w:cs="Palatino Linotype"/>
          <w:color w:val="000000" w:themeColor="text1"/>
        </w:rPr>
        <w:t xml:space="preserve">The Commission </w:t>
      </w:r>
      <w:r w:rsidRPr="7D60D80C" w:rsidR="20AE8DF5">
        <w:rPr>
          <w:rFonts w:eastAsia="Palatino Linotype" w:cs="Palatino Linotype"/>
          <w:color w:val="000000" w:themeColor="text1"/>
        </w:rPr>
        <w:t>will direct</w:t>
      </w:r>
      <w:r w:rsidRPr="7D60D80C" w:rsidR="37880AB4">
        <w:rPr>
          <w:rFonts w:eastAsia="Palatino Linotype" w:cs="Palatino Linotype"/>
          <w:color w:val="000000" w:themeColor="text1"/>
        </w:rPr>
        <w:t xml:space="preserve"> S</w:t>
      </w:r>
      <w:r w:rsidRPr="7D60D80C" w:rsidR="09D295E9">
        <w:rPr>
          <w:rFonts w:eastAsia="Palatino Linotype" w:cs="Palatino Linotype"/>
          <w:color w:val="000000" w:themeColor="text1"/>
        </w:rPr>
        <w:t>DG&amp;</w:t>
      </w:r>
      <w:r w:rsidRPr="7D60D80C" w:rsidR="20AE8DF5">
        <w:rPr>
          <w:rFonts w:eastAsia="Palatino Linotype" w:cs="Palatino Linotype"/>
          <w:color w:val="000000" w:themeColor="text1"/>
        </w:rPr>
        <w:t>E</w:t>
      </w:r>
      <w:r w:rsidRPr="7D60D80C" w:rsidR="37880AB4">
        <w:rPr>
          <w:rFonts w:eastAsia="Palatino Linotype" w:cs="Palatino Linotype"/>
          <w:color w:val="000000" w:themeColor="text1"/>
        </w:rPr>
        <w:t xml:space="preserve"> </w:t>
      </w:r>
      <w:r w:rsidRPr="7D60D80C" w:rsidR="6D0E1B01">
        <w:rPr>
          <w:rFonts w:eastAsia="Palatino Linotype" w:cs="Palatino Linotype"/>
          <w:color w:val="000000" w:themeColor="text1"/>
        </w:rPr>
        <w:t>to submit</w:t>
      </w:r>
      <w:r w:rsidRPr="7D60D80C" w:rsidR="37880AB4">
        <w:rPr>
          <w:rFonts w:eastAsia="Palatino Linotype" w:cs="Palatino Linotype"/>
          <w:color w:val="000000" w:themeColor="text1"/>
        </w:rPr>
        <w:t xml:space="preserve"> </w:t>
      </w:r>
      <w:r w:rsidRPr="7D60D80C" w:rsidR="7B56CBAE">
        <w:rPr>
          <w:rFonts w:eastAsia="Palatino Linotype" w:cs="Palatino Linotype"/>
          <w:color w:val="000000" w:themeColor="text1"/>
        </w:rPr>
        <w:t xml:space="preserve">illustrative </w:t>
      </w:r>
      <w:r w:rsidRPr="7D60D80C" w:rsidR="37880AB4">
        <w:rPr>
          <w:rFonts w:eastAsia="Palatino Linotype" w:cs="Palatino Linotype"/>
          <w:color w:val="000000" w:themeColor="text1"/>
        </w:rPr>
        <w:t xml:space="preserve">redlined changes to </w:t>
      </w:r>
      <w:r w:rsidRPr="7D60D80C" w:rsidR="63D94B1B">
        <w:rPr>
          <w:rFonts w:eastAsia="Palatino Linotype" w:cs="Palatino Linotype"/>
          <w:color w:val="000000" w:themeColor="text1"/>
        </w:rPr>
        <w:t xml:space="preserve">the volumetric rate components of </w:t>
      </w:r>
      <w:r w:rsidRPr="7D60D80C" w:rsidR="3F5064DE">
        <w:rPr>
          <w:rFonts w:eastAsia="Palatino Linotype" w:cs="Palatino Linotype"/>
          <w:color w:val="000000" w:themeColor="text1"/>
        </w:rPr>
        <w:t>all</w:t>
      </w:r>
      <w:r w:rsidRPr="7D60D80C" w:rsidR="37880AB4">
        <w:rPr>
          <w:rFonts w:eastAsia="Palatino Linotype" w:cs="Palatino Linotype"/>
          <w:color w:val="000000" w:themeColor="text1"/>
        </w:rPr>
        <w:t xml:space="preserve"> residential tariffs </w:t>
      </w:r>
      <w:r w:rsidRPr="7D60D80C" w:rsidR="6D0E1B01">
        <w:rPr>
          <w:rFonts w:eastAsia="Palatino Linotype" w:cs="Palatino Linotype"/>
          <w:color w:val="000000" w:themeColor="text1"/>
        </w:rPr>
        <w:t>through</w:t>
      </w:r>
      <w:r w:rsidRPr="7D60D80C" w:rsidR="37880AB4">
        <w:rPr>
          <w:rFonts w:eastAsia="Palatino Linotype" w:cs="Palatino Linotype"/>
          <w:color w:val="000000" w:themeColor="text1"/>
        </w:rPr>
        <w:t xml:space="preserve"> a Tier </w:t>
      </w:r>
      <w:r w:rsidRPr="7D60D80C" w:rsidR="11EC09C7">
        <w:rPr>
          <w:rFonts w:eastAsia="Palatino Linotype" w:cs="Palatino Linotype"/>
          <w:color w:val="000000" w:themeColor="text1"/>
        </w:rPr>
        <w:t xml:space="preserve">2 AL within 90 days after the Resolution is </w:t>
      </w:r>
      <w:r w:rsidR="00CB3A52">
        <w:rPr>
          <w:rFonts w:eastAsia="Palatino Linotype" w:cs="Palatino Linotype"/>
          <w:color w:val="000000" w:themeColor="text1"/>
        </w:rPr>
        <w:t>adopted</w:t>
      </w:r>
      <w:r w:rsidRPr="7D60D80C" w:rsidR="11EC09C7">
        <w:rPr>
          <w:rFonts w:eastAsia="Palatino Linotype" w:cs="Palatino Linotype"/>
          <w:color w:val="000000" w:themeColor="text1"/>
        </w:rPr>
        <w:t>. SDG&amp;E</w:t>
      </w:r>
      <w:r w:rsidRPr="7D60D80C" w:rsidR="52E2FEE6">
        <w:rPr>
          <w:rFonts w:eastAsia="Palatino Linotype" w:cs="Palatino Linotype"/>
          <w:color w:val="000000" w:themeColor="text1"/>
        </w:rPr>
        <w:t xml:space="preserve"> </w:t>
      </w:r>
      <w:r w:rsidRPr="7D60D80C" w:rsidR="6D0E1B01">
        <w:rPr>
          <w:rFonts w:eastAsia="Palatino Linotype" w:cs="Palatino Linotype"/>
          <w:color w:val="000000" w:themeColor="text1"/>
        </w:rPr>
        <w:t xml:space="preserve">must </w:t>
      </w:r>
      <w:r w:rsidRPr="7D60D80C" w:rsidR="6FA2FB7F">
        <w:rPr>
          <w:rFonts w:eastAsia="Palatino Linotype" w:cs="Palatino Linotype"/>
          <w:color w:val="000000" w:themeColor="text1"/>
        </w:rPr>
        <w:t xml:space="preserve">clearly </w:t>
      </w:r>
      <w:r w:rsidRPr="7D60D80C" w:rsidR="6D0E1B01">
        <w:rPr>
          <w:rFonts w:eastAsia="Palatino Linotype" w:cs="Palatino Linotype"/>
          <w:color w:val="000000" w:themeColor="text1"/>
        </w:rPr>
        <w:t>specify</w:t>
      </w:r>
      <w:r w:rsidRPr="7D60D80C" w:rsidR="6FA2FB7F">
        <w:rPr>
          <w:rFonts w:eastAsia="Palatino Linotype" w:cs="Palatino Linotype"/>
          <w:color w:val="000000" w:themeColor="text1"/>
        </w:rPr>
        <w:t xml:space="preserve"> </w:t>
      </w:r>
      <w:r w:rsidRPr="7D60D80C" w:rsidR="52E2FEE6">
        <w:rPr>
          <w:rFonts w:eastAsia="Palatino Linotype" w:cs="Palatino Linotype"/>
          <w:color w:val="000000" w:themeColor="text1"/>
        </w:rPr>
        <w:t xml:space="preserve">in this </w:t>
      </w:r>
      <w:r w:rsidRPr="7D60D80C" w:rsidR="1C71E5E3">
        <w:rPr>
          <w:rFonts w:eastAsia="Palatino Linotype" w:cs="Palatino Linotype"/>
          <w:color w:val="000000" w:themeColor="text1"/>
        </w:rPr>
        <w:t xml:space="preserve">Tier 2 </w:t>
      </w:r>
      <w:r w:rsidRPr="7D60D80C" w:rsidR="0087714A">
        <w:rPr>
          <w:rFonts w:eastAsia="Palatino Linotype" w:cs="Palatino Linotype"/>
          <w:color w:val="000000" w:themeColor="text1"/>
        </w:rPr>
        <w:t>A</w:t>
      </w:r>
      <w:r w:rsidRPr="7D60D80C" w:rsidR="00B40814">
        <w:rPr>
          <w:rFonts w:eastAsia="Palatino Linotype" w:cs="Palatino Linotype"/>
          <w:color w:val="000000" w:themeColor="text1"/>
        </w:rPr>
        <w:t>L</w:t>
      </w:r>
      <w:r w:rsidRPr="7D60D80C" w:rsidR="52E2FEE6">
        <w:rPr>
          <w:rFonts w:eastAsia="Palatino Linotype" w:cs="Palatino Linotype"/>
          <w:color w:val="000000" w:themeColor="text1"/>
        </w:rPr>
        <w:t xml:space="preserve"> which residential </w:t>
      </w:r>
      <w:r w:rsidRPr="7D60D80C" w:rsidR="6D0E1B01">
        <w:rPr>
          <w:rFonts w:eastAsia="Palatino Linotype" w:cs="Palatino Linotype"/>
          <w:color w:val="000000" w:themeColor="text1"/>
        </w:rPr>
        <w:t>tariffs will</w:t>
      </w:r>
      <w:r w:rsidRPr="7D60D80C" w:rsidR="52E2FEE6">
        <w:rPr>
          <w:rFonts w:eastAsia="Palatino Linotype" w:cs="Palatino Linotype"/>
          <w:color w:val="000000" w:themeColor="text1"/>
        </w:rPr>
        <w:t xml:space="preserve"> receive </w:t>
      </w:r>
      <w:r w:rsidRPr="7D60D80C" w:rsidR="6D0E1B01">
        <w:rPr>
          <w:rFonts w:eastAsia="Palatino Linotype" w:cs="Palatino Linotype"/>
          <w:color w:val="000000" w:themeColor="text1"/>
        </w:rPr>
        <w:t xml:space="preserve">either </w:t>
      </w:r>
      <w:r w:rsidRPr="7D60D80C" w:rsidR="52E2FEE6">
        <w:rPr>
          <w:rFonts w:eastAsia="Palatino Linotype" w:cs="Palatino Linotype"/>
          <w:color w:val="000000" w:themeColor="text1"/>
        </w:rPr>
        <w:t>an equal cents</w:t>
      </w:r>
      <w:r w:rsidRPr="7D60D80C" w:rsidR="6D0E1B01">
        <w:rPr>
          <w:rFonts w:eastAsia="Palatino Linotype" w:cs="Palatino Linotype"/>
          <w:color w:val="000000" w:themeColor="text1"/>
        </w:rPr>
        <w:t>-</w:t>
      </w:r>
      <w:r w:rsidRPr="7D60D80C" w:rsidR="52E2FEE6">
        <w:rPr>
          <w:rFonts w:eastAsia="Palatino Linotype" w:cs="Palatino Linotype"/>
          <w:color w:val="000000" w:themeColor="text1"/>
        </w:rPr>
        <w:t>per</w:t>
      </w:r>
      <w:r w:rsidRPr="7D60D80C" w:rsidR="6D0E1B01">
        <w:rPr>
          <w:rFonts w:eastAsia="Palatino Linotype" w:cs="Palatino Linotype"/>
          <w:color w:val="000000" w:themeColor="text1"/>
        </w:rPr>
        <w:t>-kWh</w:t>
      </w:r>
      <w:r w:rsidRPr="7D60D80C" w:rsidR="52E2FEE6">
        <w:rPr>
          <w:rFonts w:eastAsia="Palatino Linotype" w:cs="Palatino Linotype"/>
          <w:color w:val="000000" w:themeColor="text1"/>
        </w:rPr>
        <w:t xml:space="preserve"> reduction </w:t>
      </w:r>
      <w:r w:rsidRPr="7D60D80C" w:rsidR="0EA65BD3">
        <w:rPr>
          <w:rFonts w:eastAsia="Palatino Linotype" w:cs="Palatino Linotype"/>
          <w:color w:val="000000" w:themeColor="text1"/>
        </w:rPr>
        <w:t xml:space="preserve">or </w:t>
      </w:r>
      <w:r w:rsidRPr="7D60D80C" w:rsidR="6D0E1B01">
        <w:rPr>
          <w:rFonts w:eastAsia="Palatino Linotype" w:cs="Palatino Linotype"/>
          <w:color w:val="000000" w:themeColor="text1"/>
        </w:rPr>
        <w:t xml:space="preserve">an </w:t>
      </w:r>
      <w:r w:rsidRPr="7D60D80C" w:rsidR="52E2FEE6">
        <w:rPr>
          <w:rFonts w:eastAsia="Palatino Linotype" w:cs="Palatino Linotype"/>
          <w:color w:val="000000" w:themeColor="text1"/>
        </w:rPr>
        <w:t>equal percentage</w:t>
      </w:r>
      <w:r w:rsidRPr="7D60D80C" w:rsidR="6D0E1B01">
        <w:rPr>
          <w:rFonts w:eastAsia="Palatino Linotype" w:cs="Palatino Linotype"/>
          <w:color w:val="000000" w:themeColor="text1"/>
        </w:rPr>
        <w:t>-based reduction to distribution volumetric rates, the quantum of this reduction</w:t>
      </w:r>
      <w:r w:rsidRPr="7D60D80C" w:rsidR="3B7123D3">
        <w:rPr>
          <w:rFonts w:eastAsia="Palatino Linotype" w:cs="Palatino Linotype"/>
          <w:color w:val="000000" w:themeColor="text1"/>
        </w:rPr>
        <w:t xml:space="preserve">, and </w:t>
      </w:r>
      <w:r w:rsidRPr="7D60D80C" w:rsidR="6D0E1B01">
        <w:rPr>
          <w:rFonts w:eastAsia="Palatino Linotype" w:cs="Palatino Linotype"/>
          <w:color w:val="000000" w:themeColor="text1"/>
        </w:rPr>
        <w:t xml:space="preserve">the rationale for applying each method. </w:t>
      </w:r>
      <w:r w:rsidRPr="7D60D80C" w:rsidR="11EC09C7">
        <w:rPr>
          <w:rFonts w:eastAsia="Palatino Linotype" w:cs="Palatino Linotype"/>
          <w:color w:val="000000" w:themeColor="text1"/>
        </w:rPr>
        <w:t xml:space="preserve">SDG&amp;E must also specify in this Tier 2 AL the proposed loading order and cost component breakdown for each tier of the </w:t>
      </w:r>
      <w:r w:rsidRPr="35275654" w:rsidR="707D584F">
        <w:rPr>
          <w:rFonts w:eastAsia="Palatino Linotype" w:cs="Palatino Linotype"/>
          <w:color w:val="000000" w:themeColor="text1"/>
        </w:rPr>
        <w:t>f</w:t>
      </w:r>
      <w:r w:rsidRPr="35275654" w:rsidR="6E3680F5">
        <w:rPr>
          <w:rFonts w:eastAsia="Palatino Linotype" w:cs="Palatino Linotype"/>
          <w:color w:val="000000" w:themeColor="text1"/>
        </w:rPr>
        <w:t xml:space="preserve">ixed </w:t>
      </w:r>
      <w:r w:rsidRPr="35275654" w:rsidR="637BBDD7">
        <w:rPr>
          <w:rFonts w:eastAsia="Palatino Linotype" w:cs="Palatino Linotype"/>
          <w:color w:val="000000" w:themeColor="text1"/>
        </w:rPr>
        <w:t>c</w:t>
      </w:r>
      <w:r w:rsidRPr="7D60D80C" w:rsidR="11EC09C7">
        <w:rPr>
          <w:rFonts w:eastAsia="Palatino Linotype" w:cs="Palatino Linotype"/>
          <w:color w:val="000000" w:themeColor="text1"/>
        </w:rPr>
        <w:t xml:space="preserve">harge utilizing the latest revenue requirement data. </w:t>
      </w:r>
      <w:r w:rsidRPr="7D60D80C" w:rsidR="6D0E1B01">
        <w:rPr>
          <w:rFonts w:eastAsia="Palatino Linotype" w:cs="Palatino Linotype"/>
          <w:color w:val="000000" w:themeColor="text1"/>
        </w:rPr>
        <w:t xml:space="preserve">This future </w:t>
      </w:r>
      <w:r w:rsidRPr="7D60D80C" w:rsidR="27B9F41B">
        <w:rPr>
          <w:rFonts w:eastAsia="Palatino Linotype" w:cs="Palatino Linotype"/>
          <w:color w:val="000000" w:themeColor="text1"/>
        </w:rPr>
        <w:t>Tier 2</w:t>
      </w:r>
      <w:r w:rsidRPr="7D60D80C" w:rsidR="2D052693">
        <w:rPr>
          <w:rFonts w:eastAsia="Palatino Linotype" w:cs="Palatino Linotype"/>
          <w:color w:val="000000" w:themeColor="text1"/>
        </w:rPr>
        <w:t xml:space="preserve"> filing</w:t>
      </w:r>
      <w:r w:rsidRPr="7D60D80C" w:rsidR="37880AB4">
        <w:rPr>
          <w:rFonts w:eastAsia="Palatino Linotype" w:cs="Palatino Linotype"/>
          <w:color w:val="000000" w:themeColor="text1"/>
        </w:rPr>
        <w:t xml:space="preserve"> </w:t>
      </w:r>
      <w:r w:rsidRPr="7D60D80C" w:rsidR="6D0E1B01">
        <w:rPr>
          <w:rFonts w:eastAsia="Palatino Linotype" w:cs="Palatino Linotype"/>
          <w:color w:val="000000" w:themeColor="text1"/>
        </w:rPr>
        <w:t>will</w:t>
      </w:r>
      <w:r w:rsidRPr="7D60D80C" w:rsidR="37880AB4">
        <w:rPr>
          <w:rFonts w:eastAsia="Palatino Linotype" w:cs="Palatino Linotype"/>
          <w:color w:val="000000" w:themeColor="text1"/>
        </w:rPr>
        <w:t xml:space="preserve"> allow S</w:t>
      </w:r>
      <w:r w:rsidRPr="7D60D80C" w:rsidR="3F02E921">
        <w:rPr>
          <w:rFonts w:eastAsia="Palatino Linotype" w:cs="Palatino Linotype"/>
          <w:color w:val="000000" w:themeColor="text1"/>
        </w:rPr>
        <w:t xml:space="preserve">DG&amp;E </w:t>
      </w:r>
      <w:r w:rsidRPr="7D60D80C" w:rsidR="37880AB4">
        <w:rPr>
          <w:rFonts w:eastAsia="Palatino Linotype" w:cs="Palatino Linotype"/>
          <w:color w:val="000000" w:themeColor="text1"/>
        </w:rPr>
        <w:t xml:space="preserve">to provide more accurate </w:t>
      </w:r>
      <w:r w:rsidRPr="7D60D80C" w:rsidR="11EC09C7">
        <w:rPr>
          <w:rFonts w:eastAsia="Palatino Linotype" w:cs="Palatino Linotype"/>
          <w:color w:val="000000" w:themeColor="text1"/>
        </w:rPr>
        <w:t>illustrative</w:t>
      </w:r>
      <w:r w:rsidRPr="7D60D80C" w:rsidR="37880AB4">
        <w:rPr>
          <w:rFonts w:eastAsia="Palatino Linotype" w:cs="Palatino Linotype"/>
          <w:color w:val="000000" w:themeColor="text1"/>
        </w:rPr>
        <w:t xml:space="preserve"> tariffs and volumetric rate reductions by </w:t>
      </w:r>
      <w:r w:rsidRPr="7D60D80C" w:rsidR="6D0E1B01">
        <w:rPr>
          <w:rFonts w:eastAsia="Palatino Linotype" w:cs="Palatino Linotype"/>
          <w:color w:val="000000" w:themeColor="text1"/>
        </w:rPr>
        <w:t>accounting for</w:t>
      </w:r>
      <w:r w:rsidRPr="7D60D80C" w:rsidR="37880AB4">
        <w:rPr>
          <w:rFonts w:eastAsia="Palatino Linotype" w:cs="Palatino Linotype"/>
          <w:color w:val="000000" w:themeColor="text1"/>
        </w:rPr>
        <w:t xml:space="preserve"> annual true-up adjustments and changes </w:t>
      </w:r>
      <w:r w:rsidRPr="7D60D80C" w:rsidR="6D0E1B01">
        <w:rPr>
          <w:rFonts w:eastAsia="Palatino Linotype" w:cs="Palatino Linotype"/>
          <w:color w:val="000000" w:themeColor="text1"/>
        </w:rPr>
        <w:t>in</w:t>
      </w:r>
      <w:r w:rsidRPr="7D60D80C" w:rsidR="37880AB4">
        <w:rPr>
          <w:rFonts w:eastAsia="Palatino Linotype" w:cs="Palatino Linotype"/>
          <w:color w:val="000000" w:themeColor="text1"/>
        </w:rPr>
        <w:t xml:space="preserve"> revenue requirements.</w:t>
      </w:r>
      <w:r w:rsidRPr="7D60D80C" w:rsidR="11EC09C7">
        <w:rPr>
          <w:rFonts w:eastAsia="Palatino Linotype" w:cs="Palatino Linotype"/>
          <w:color w:val="000000" w:themeColor="text1"/>
        </w:rPr>
        <w:t xml:space="preserve"> The Commission will also direct the SDG&amp;E to file a Tier 1 AL at least 30 days before the date of the </w:t>
      </w:r>
      <w:r w:rsidRPr="7D60D80C" w:rsidR="11EC09C7">
        <w:rPr>
          <w:rFonts w:eastAsia="Palatino Linotype" w:cs="Palatino Linotype"/>
          <w:color w:val="000000" w:themeColor="text1"/>
        </w:rPr>
        <w:lastRenderedPageBreak/>
        <w:t xml:space="preserve">implementation of the fixed charge in </w:t>
      </w:r>
      <w:r w:rsidR="00433903">
        <w:rPr>
          <w:rFonts w:eastAsia="Palatino Linotype" w:cs="Palatino Linotype"/>
          <w:color w:val="000000" w:themeColor="text1"/>
        </w:rPr>
        <w:t>the fourth quarter of</w:t>
      </w:r>
      <w:r w:rsidRPr="7D60D80C" w:rsidR="11EC09C7">
        <w:rPr>
          <w:rFonts w:eastAsia="Palatino Linotype" w:cs="Palatino Linotype"/>
          <w:color w:val="000000" w:themeColor="text1"/>
        </w:rPr>
        <w:t xml:space="preserve"> 2025 to finalize the changes to volumetric rate components of all residential tariffs</w:t>
      </w:r>
      <w:r w:rsidRPr="7D60D80C" w:rsidR="58004FD5">
        <w:rPr>
          <w:rFonts w:eastAsia="Palatino Linotype" w:cs="Palatino Linotype"/>
          <w:color w:val="000000" w:themeColor="text1"/>
        </w:rPr>
        <w:t>.</w:t>
      </w:r>
    </w:p>
    <w:p w:rsidR="00177D69" w:rsidP="009C4F1F" w:rsidRDefault="00177D69" w14:paraId="2AF1A658" w14:textId="54E24465"/>
    <w:p w:rsidR="001F1F64" w:rsidP="00FE279E" w:rsidRDefault="001F1F64" w14:paraId="0517F1AC" w14:textId="193B3632">
      <w:pPr>
        <w:pStyle w:val="Heading2"/>
        <w:ind w:left="360"/>
      </w:pPr>
      <w:r>
        <w:t>Tier Assignment</w:t>
      </w:r>
      <w:r w:rsidR="005D7C77">
        <w:t>s</w:t>
      </w:r>
      <w:r w:rsidRPr="0067681A">
        <w:t xml:space="preserve"> </w:t>
      </w:r>
    </w:p>
    <w:p w:rsidRPr="001E6462" w:rsidR="00434859" w:rsidP="00434859" w:rsidRDefault="00434859" w14:paraId="6E49D257" w14:textId="2A9EB3CA">
      <w:r>
        <w:t xml:space="preserve">By statute, the new </w:t>
      </w:r>
      <w:r w:rsidR="3AE28CDB">
        <w:t>IGFC</w:t>
      </w:r>
      <w:r>
        <w:t xml:space="preserve"> tier structure must enable the Commission to ensure that the proposed fixed charges result in </w:t>
      </w:r>
      <w:r w:rsidRPr="001B46B5">
        <w:t>low-income ratepayer</w:t>
      </w:r>
      <w:r>
        <w:t xml:space="preserve">s </w:t>
      </w:r>
      <w:r w:rsidRPr="00846AAC">
        <w:t>with average electricity usage</w:t>
      </w:r>
      <w:r w:rsidRPr="001B46B5">
        <w:t xml:space="preserve"> in each baseline territory realiz</w:t>
      </w:r>
      <w:r w:rsidR="006D11C4">
        <w:t>ing</w:t>
      </w:r>
      <w:r w:rsidRPr="001B46B5">
        <w:t xml:space="preserve"> a lower average monthly bill without making any changes in usage.</w:t>
      </w:r>
      <w:r>
        <w:t xml:space="preserve"> The Decision also recognized an opportunity to address multiple concerns for customers with modest incomes but do not qualify for CARE or FERA.</w:t>
      </w:r>
      <w:r>
        <w:rPr>
          <w:rStyle w:val="FootnoteReference"/>
        </w:rPr>
        <w:footnoteReference w:id="101"/>
      </w:r>
      <w:r>
        <w:t xml:space="preserve">  To that end, the Decision designated </w:t>
      </w:r>
      <w:r w:rsidRPr="001E6462">
        <w:t>three tiers of income-graduated fixed charges:</w:t>
      </w:r>
    </w:p>
    <w:p w:rsidR="00434859" w:rsidP="00C401B7" w:rsidRDefault="00434859" w14:paraId="14D7B677" w14:textId="629E6EE3">
      <w:pPr>
        <w:pStyle w:val="ListParagraph"/>
        <w:numPr>
          <w:ilvl w:val="0"/>
          <w:numId w:val="15"/>
        </w:numPr>
        <w:spacing w:before="80" w:after="80"/>
        <w:contextualSpacing w:val="0"/>
      </w:pPr>
      <w:r w:rsidRPr="0013016E">
        <w:rPr>
          <w:u w:val="single"/>
        </w:rPr>
        <w:t>Tier 1</w:t>
      </w:r>
      <w:r w:rsidRPr="001E6462">
        <w:t>: Customers enrolled in the CARE program will automatically be</w:t>
      </w:r>
      <w:r>
        <w:t xml:space="preserve"> </w:t>
      </w:r>
      <w:r w:rsidRPr="001E6462">
        <w:t>assigned to pay the lowest discounted fixed charge amount of</w:t>
      </w:r>
      <w:r>
        <w:t xml:space="preserve"> </w:t>
      </w:r>
      <w:r w:rsidRPr="001E6462">
        <w:t xml:space="preserve">$6 per month for </w:t>
      </w:r>
      <w:r w:rsidR="00C161D8">
        <w:t>SD</w:t>
      </w:r>
      <w:r w:rsidRPr="00FC5BE6">
        <w:t>G</w:t>
      </w:r>
      <w:r w:rsidRPr="001E6462">
        <w:t>&amp;E.</w:t>
      </w:r>
      <w:r>
        <w:t xml:space="preserve">  Customers take no action.</w:t>
      </w:r>
      <w:r>
        <w:tab/>
        <w:t xml:space="preserve"> </w:t>
      </w:r>
    </w:p>
    <w:p w:rsidR="00434859" w:rsidP="00C401B7" w:rsidRDefault="00434859" w14:paraId="327FBFCF" w14:textId="5B316926">
      <w:pPr>
        <w:pStyle w:val="ListParagraph"/>
        <w:numPr>
          <w:ilvl w:val="0"/>
          <w:numId w:val="15"/>
        </w:numPr>
        <w:spacing w:before="80" w:after="80"/>
      </w:pPr>
      <w:r w:rsidRPr="007B6240">
        <w:rPr>
          <w:u w:val="single"/>
        </w:rPr>
        <w:t>Tier 2</w:t>
      </w:r>
      <w:r w:rsidRPr="001E6462">
        <w:t>: Customers enrolled in the FERA program or who are</w:t>
      </w:r>
      <w:r>
        <w:t xml:space="preserve"> </w:t>
      </w:r>
      <w:r w:rsidRPr="001E6462">
        <w:t>demonstrated to live in affordable housing restricted to residents with</w:t>
      </w:r>
      <w:r>
        <w:t xml:space="preserve"> </w:t>
      </w:r>
      <w:r w:rsidRPr="001E6462">
        <w:t>incomes at or below 80 percent of Area Median Income, will be</w:t>
      </w:r>
      <w:r>
        <w:t xml:space="preserve"> </w:t>
      </w:r>
      <w:r w:rsidRPr="001E6462">
        <w:t xml:space="preserve">assigned to pay a discounted fixed charge amount of $12 per month for </w:t>
      </w:r>
      <w:r w:rsidR="00C161D8">
        <w:t>SD</w:t>
      </w:r>
      <w:r w:rsidRPr="00FC5BE6">
        <w:t>G</w:t>
      </w:r>
      <w:r w:rsidRPr="001E6462">
        <w:t>&amp;E.</w:t>
      </w:r>
      <w:r>
        <w:t xml:space="preserve"> Customers enrolled in FERA will not need to </w:t>
      </w:r>
      <w:proofErr w:type="gramStart"/>
      <w:r>
        <w:t>take action</w:t>
      </w:r>
      <w:proofErr w:type="gramEnd"/>
      <w:r w:rsidR="00C161D8">
        <w:t>.</w:t>
      </w:r>
      <w:r>
        <w:t xml:space="preserve"> Customers who live in </w:t>
      </w:r>
      <w:r w:rsidR="649FFFB7">
        <w:t>DRAH</w:t>
      </w:r>
      <w:r>
        <w:t>—but are not already enrolled in CARE—should be assigned to a Tier 2 Fixed Charge; at this time, there is no automatic process to enable this process.</w:t>
      </w:r>
    </w:p>
    <w:p w:rsidRPr="00FC5BE6" w:rsidR="00FC5BE6" w:rsidP="00C401B7" w:rsidRDefault="00434859" w14:paraId="0D18A3A8" w14:textId="1F9A7BAC">
      <w:pPr>
        <w:pStyle w:val="ListParagraph"/>
        <w:numPr>
          <w:ilvl w:val="0"/>
          <w:numId w:val="15"/>
        </w:numPr>
        <w:spacing w:before="80" w:after="80"/>
        <w:contextualSpacing w:val="0"/>
      </w:pPr>
      <w:r w:rsidRPr="007B6240">
        <w:rPr>
          <w:u w:val="single"/>
        </w:rPr>
        <w:t>Tier 3</w:t>
      </w:r>
      <w:r w:rsidRPr="001E6462">
        <w:t>: All other customers (not qualified for either Tier 1 or Tier 2) will</w:t>
      </w:r>
      <w:r>
        <w:t xml:space="preserve"> </w:t>
      </w:r>
      <w:r w:rsidRPr="001E6462">
        <w:t xml:space="preserve">be assigned to pay the initial fixed charge amount of $24.15 per month, for </w:t>
      </w:r>
      <w:r w:rsidR="00015AD9">
        <w:t>SD</w:t>
      </w:r>
      <w:r w:rsidRPr="00FC5BE6">
        <w:t xml:space="preserve">G&amp;E. </w:t>
      </w:r>
    </w:p>
    <w:p w:rsidRPr="00CC40B6" w:rsidR="00434859" w:rsidP="00FC5BE6" w:rsidRDefault="00434859" w14:paraId="072EBEDE" w14:textId="77777777"/>
    <w:p w:rsidR="00070E60" w:rsidP="00FC5BE6" w:rsidRDefault="00324019" w14:paraId="4E3E2309" w14:textId="619D8A62">
      <w:r>
        <w:t xml:space="preserve">The Decision is </w:t>
      </w:r>
      <w:r w:rsidR="00FB3B3E">
        <w:t>clear that it</w:t>
      </w:r>
      <w:r w:rsidDel="00FB3B3E" w:rsidR="00F01C8D">
        <w:t xml:space="preserve"> </w:t>
      </w:r>
      <w:r w:rsidDel="00FB3B3E" w:rsidR="00434859">
        <w:t>“</w:t>
      </w:r>
      <w:r w:rsidRPr="00307C5B" w:rsidR="00434859">
        <w:t>does not modify any of the income verification processes or rules of the Large Utilities’ CARE or FERA programs.</w:t>
      </w:r>
      <w:r w:rsidR="00434859">
        <w:t>”</w:t>
      </w:r>
      <w:r w:rsidR="00434859">
        <w:rPr>
          <w:rStyle w:val="FootnoteReference"/>
        </w:rPr>
        <w:footnoteReference w:id="102"/>
      </w:r>
      <w:r w:rsidR="00434859">
        <w:t xml:space="preserve"> </w:t>
      </w:r>
      <w:r w:rsidRPr="00FC5BE6" w:rsidR="00434859">
        <w:t xml:space="preserve">The Decision also created </w:t>
      </w:r>
      <w:r w:rsidRPr="00FC5BE6" w:rsidR="00214064">
        <w:t>the IWG</w:t>
      </w:r>
      <w:r w:rsidRPr="00FC5BE6" w:rsidR="00434859">
        <w:t xml:space="preserve">, which would evaluate the Large Utilities’ </w:t>
      </w:r>
      <w:r w:rsidRPr="00FC5BE6" w:rsidR="00C26F5A">
        <w:t>IGFC</w:t>
      </w:r>
      <w:r w:rsidRPr="00FC5BE6" w:rsidR="00434859">
        <w:t xml:space="preserve"> </w:t>
      </w:r>
      <w:r w:rsidR="00492BE8">
        <w:t xml:space="preserve">implementation </w:t>
      </w:r>
      <w:r w:rsidRPr="00FC5BE6" w:rsidR="4A78AF35">
        <w:t>every quarter</w:t>
      </w:r>
      <w:r w:rsidRPr="00FC5BE6" w:rsidR="41C0711B">
        <w:t xml:space="preserve">, </w:t>
      </w:r>
      <w:r w:rsidRPr="00FC5BE6" w:rsidR="20A74C31">
        <w:t>requiring</w:t>
      </w:r>
      <w:r w:rsidRPr="00FC5BE6" w:rsidR="00434859">
        <w:t xml:space="preserve"> </w:t>
      </w:r>
      <w:r w:rsidRPr="00FC5BE6" w:rsidR="00177160">
        <w:t>E</w:t>
      </w:r>
      <w:r w:rsidRPr="00FC5BE6" w:rsidR="524F4EBC">
        <w:t>nergy Division</w:t>
      </w:r>
      <w:r w:rsidRPr="00FC5BE6" w:rsidR="00177160">
        <w:t xml:space="preserve"> </w:t>
      </w:r>
      <w:r w:rsidR="00302D03">
        <w:t>S</w:t>
      </w:r>
      <w:r w:rsidRPr="00FC5BE6" w:rsidR="00177160">
        <w:t xml:space="preserve">taff </w:t>
      </w:r>
      <w:r w:rsidRPr="00FC5BE6" w:rsidR="00434859">
        <w:t xml:space="preserve">to prepare annual evaluation reports, and anticipate future Commission Decisions to address recommendations by the </w:t>
      </w:r>
      <w:r w:rsidRPr="00FC5BE6" w:rsidR="000C0E04">
        <w:t>IWG</w:t>
      </w:r>
      <w:r w:rsidRPr="00FC5BE6" w:rsidR="00434859">
        <w:t>.</w:t>
      </w:r>
      <w:r w:rsidR="00CD6453">
        <w:t xml:space="preserve"> It is appropriate</w:t>
      </w:r>
      <w:r w:rsidR="00177160">
        <w:t xml:space="preserve"> and reasonable</w:t>
      </w:r>
      <w:r w:rsidR="00CD6453">
        <w:t xml:space="preserve"> for the IWG to continue evaluating and improving this new process.</w:t>
      </w:r>
    </w:p>
    <w:p w:rsidRPr="00FC5BE6" w:rsidR="00FC5BE6" w:rsidP="00FC5BE6" w:rsidRDefault="00FC5BE6" w14:paraId="794738AC" w14:textId="77777777"/>
    <w:p w:rsidR="009C5B18" w:rsidP="00FC5BE6" w:rsidRDefault="00070E60" w14:paraId="3DE5113D" w14:textId="73D2BE8B">
      <w:r>
        <w:t xml:space="preserve">In general, the Commission finds </w:t>
      </w:r>
      <w:bookmarkStart w:name="_Hlk180730666" w:id="2"/>
      <w:r>
        <w:t xml:space="preserve">SDG&amp;E’s Tier Assignment strategy </w:t>
      </w:r>
      <w:r w:rsidR="00150DBB">
        <w:t>reasonable an</w:t>
      </w:r>
      <w:r w:rsidR="00DE1281">
        <w:t>d direct</w:t>
      </w:r>
      <w:r w:rsidR="000D3232">
        <w:t>s</w:t>
      </w:r>
      <w:r w:rsidR="00DE1281">
        <w:t xml:space="preserve"> SDG&amp;E to </w:t>
      </w:r>
      <w:r w:rsidR="004E1BFF">
        <w:t xml:space="preserve">further </w:t>
      </w:r>
      <w:r w:rsidR="00851D83">
        <w:t xml:space="preserve">consult with the IWG before </w:t>
      </w:r>
      <w:r w:rsidR="001B28AC">
        <w:t xml:space="preserve">implementing the </w:t>
      </w:r>
      <w:r w:rsidR="00C05966">
        <w:t xml:space="preserve">tier </w:t>
      </w:r>
      <w:r w:rsidR="00C05966">
        <w:lastRenderedPageBreak/>
        <w:t>assignments</w:t>
      </w:r>
      <w:r w:rsidR="00187F70">
        <w:t xml:space="preserve"> to coordinate actions across </w:t>
      </w:r>
      <w:r w:rsidRPr="00FC5BE6" w:rsidR="62580EC2">
        <w:t>IOUs</w:t>
      </w:r>
      <w:r w:rsidR="001B28AC">
        <w:t>.</w:t>
      </w:r>
      <w:r w:rsidR="00112ACB">
        <w:t xml:space="preserve"> </w:t>
      </w:r>
      <w:bookmarkEnd w:id="2"/>
      <w:r w:rsidR="00E74744">
        <w:t xml:space="preserve">Tier </w:t>
      </w:r>
      <w:r w:rsidRPr="00FC5BE6" w:rsidR="008D1738">
        <w:t>a</w:t>
      </w:r>
      <w:r w:rsidRPr="00FC5BE6" w:rsidR="260BCC37">
        <w:t xml:space="preserve">ssignment </w:t>
      </w:r>
      <w:r w:rsidRPr="00FC5BE6" w:rsidR="7DDBBD75">
        <w:t>r</w:t>
      </w:r>
      <w:r w:rsidRPr="00FC5BE6" w:rsidR="00E74744">
        <w:t>eporting</w:t>
      </w:r>
      <w:r w:rsidR="00E74744">
        <w:t xml:space="preserve"> and </w:t>
      </w:r>
      <w:r w:rsidRPr="00FC5BE6" w:rsidR="1DAE403F">
        <w:t>m</w:t>
      </w:r>
      <w:r w:rsidRPr="00FC5BE6" w:rsidR="00E74744">
        <w:t>etrics</w:t>
      </w:r>
      <w:r w:rsidR="00E74744">
        <w:t xml:space="preserve"> are addressed in Section 7.9 of this </w:t>
      </w:r>
      <w:r w:rsidRPr="00FC5BE6" w:rsidR="4E407E97">
        <w:t>R</w:t>
      </w:r>
      <w:r w:rsidRPr="00FC5BE6" w:rsidR="00E74744">
        <w:t>esolution</w:t>
      </w:r>
      <w:r w:rsidRPr="00FC5BE6" w:rsidR="7BB20175">
        <w:t>.</w:t>
      </w:r>
    </w:p>
    <w:p w:rsidR="587875E2" w:rsidP="004A1743" w:rsidRDefault="587875E2" w14:paraId="0EC73263" w14:textId="6E4E515E"/>
    <w:p w:rsidRPr="0067681A" w:rsidR="001F1F64" w:rsidP="001F1F64" w:rsidRDefault="0094665C" w14:paraId="029EFC19" w14:textId="2BCEEB9F">
      <w:pPr>
        <w:pStyle w:val="Heading3"/>
      </w:pPr>
      <w:r>
        <w:t>6</w:t>
      </w:r>
      <w:r w:rsidR="001F1F64">
        <w:t>.1</w:t>
      </w:r>
      <w:r w:rsidR="00FF068C">
        <w:t>.</w:t>
      </w:r>
      <w:r w:rsidR="001F1F64">
        <w:tab/>
      </w:r>
      <w:r w:rsidRPr="0067681A" w:rsidR="001F1F64">
        <w:t xml:space="preserve">Tier </w:t>
      </w:r>
      <w:r w:rsidR="00BD7414">
        <w:t xml:space="preserve">1 </w:t>
      </w:r>
      <w:r w:rsidRPr="0067681A" w:rsidR="001F1F64">
        <w:t>Assignment</w:t>
      </w:r>
    </w:p>
    <w:p w:rsidR="005260F0" w:rsidP="00FC5BE6" w:rsidRDefault="005260F0" w14:paraId="5BF6E88D" w14:textId="22F6164F">
      <w:r>
        <w:t>Consistent with the Decision, SDG&amp;E</w:t>
      </w:r>
      <w:r w:rsidRPr="00D5107C">
        <w:t xml:space="preserve"> </w:t>
      </w:r>
      <w:r>
        <w:t xml:space="preserve">proposes to </w:t>
      </w:r>
      <w:r w:rsidRPr="00D5107C">
        <w:t xml:space="preserve">automatically default all customers </w:t>
      </w:r>
      <w:r>
        <w:t xml:space="preserve">onto the </w:t>
      </w:r>
      <w:r w:rsidRPr="00D5107C">
        <w:t xml:space="preserve">Tier 1 </w:t>
      </w:r>
      <w:r w:rsidR="7BA1F28A">
        <w:t>f</w:t>
      </w:r>
      <w:r w:rsidR="5B70B327">
        <w:t xml:space="preserve">ixed </w:t>
      </w:r>
      <w:r w:rsidR="72AF382E">
        <w:t>c</w:t>
      </w:r>
      <w:r>
        <w:t>harge rate of $6 per month for those customers</w:t>
      </w:r>
      <w:r w:rsidRPr="00D5107C">
        <w:t xml:space="preserve"> who</w:t>
      </w:r>
      <w:r>
        <w:t xml:space="preserve"> </w:t>
      </w:r>
      <w:r w:rsidRPr="00D5107C">
        <w:t xml:space="preserve">are already enrolled in the CARE </w:t>
      </w:r>
      <w:r>
        <w:t>p</w:t>
      </w:r>
      <w:r w:rsidRPr="00D5107C">
        <w:t>rogram</w:t>
      </w:r>
      <w:r w:rsidR="007105C4">
        <w:t xml:space="preserve">. If a customer’s CARE status changes, they will be moved to the appropriate </w:t>
      </w:r>
      <w:r w:rsidR="00C171DF">
        <w:t>tier.</w:t>
      </w:r>
    </w:p>
    <w:p w:rsidR="008D1738" w:rsidP="00FC5BE6" w:rsidRDefault="008D1738" w14:paraId="7C723A55" w14:textId="77777777"/>
    <w:p w:rsidR="005260F0" w:rsidP="00FC5BE6" w:rsidRDefault="005260F0" w14:paraId="2A4442D7" w14:textId="2FB25E3D">
      <w:r>
        <w:t xml:space="preserve">The process proposed by SDG&amp;E is consistent with the Decision’s Finding of </w:t>
      </w:r>
      <w:r w:rsidR="00537C03">
        <w:br/>
      </w:r>
      <w:r>
        <w:t xml:space="preserve">Fact </w:t>
      </w:r>
      <w:r w:rsidR="00AD5705">
        <w:t>(FOF)</w:t>
      </w:r>
      <w:r>
        <w:t xml:space="preserve"> 7: </w:t>
      </w:r>
    </w:p>
    <w:p w:rsidRPr="0003549B" w:rsidR="005260F0" w:rsidP="005260F0" w:rsidRDefault="005260F0" w14:paraId="17C4EEE0" w14:textId="1FB939C1">
      <w:pPr>
        <w:spacing w:before="120"/>
        <w:ind w:left="720"/>
      </w:pPr>
      <w:r>
        <w:t>7</w:t>
      </w:r>
      <w:r w:rsidR="00B56459">
        <w:t>.</w:t>
      </w:r>
      <w:r>
        <w:t xml:space="preserve"> </w:t>
      </w:r>
      <w:r w:rsidRPr="0003549B">
        <w:t xml:space="preserve">It is reasonable for the income-graduated fixed charges authorized by this decision to rely on utilities’ </w:t>
      </w:r>
      <w:r w:rsidRPr="0003549B">
        <w:rPr>
          <w:b/>
          <w:bCs/>
          <w:i/>
          <w:iCs/>
        </w:rPr>
        <w:t>existing</w:t>
      </w:r>
      <w:r w:rsidRPr="0003549B">
        <w:t xml:space="preserve"> CARE and FERA income verification processes.</w:t>
      </w:r>
      <w:r w:rsidR="00BA28B3">
        <w:rPr>
          <w:rStyle w:val="FootnoteReference"/>
        </w:rPr>
        <w:footnoteReference w:id="103"/>
      </w:r>
      <w:r>
        <w:t xml:space="preserve"> [emphasis added]</w:t>
      </w:r>
    </w:p>
    <w:p w:rsidR="004A1743" w:rsidP="004A1743" w:rsidRDefault="004A1743" w14:paraId="589193D2" w14:textId="77777777"/>
    <w:p w:rsidR="005260F0" w:rsidP="004A1743" w:rsidRDefault="005260F0" w14:paraId="790CC6C3" w14:textId="68D6269F">
      <w:r>
        <w:t>In its protest, C</w:t>
      </w:r>
      <w:r w:rsidR="000246D1">
        <w:t>4</w:t>
      </w:r>
      <w:r>
        <w:t>AT asserts that the lowest Tier 1 rate should be assigned to all customers who are CARE-</w:t>
      </w:r>
      <w:r w:rsidRPr="006956B8">
        <w:rPr>
          <w:i/>
          <w:iCs/>
        </w:rPr>
        <w:t>eligible</w:t>
      </w:r>
      <w:r>
        <w:t xml:space="preserve">, not just </w:t>
      </w:r>
      <w:r w:rsidRPr="00163D21">
        <w:rPr>
          <w:i/>
          <w:iCs/>
        </w:rPr>
        <w:t>enrolled</w:t>
      </w:r>
      <w:r>
        <w:t xml:space="preserve"> in CARE, despite there being no means or budget </w:t>
      </w:r>
      <w:r w:rsidR="007F16AE">
        <w:t>detailed</w:t>
      </w:r>
      <w:r w:rsidR="009F4BE2">
        <w:t xml:space="preserve"> </w:t>
      </w:r>
      <w:r>
        <w:t xml:space="preserve">in the Decision for </w:t>
      </w:r>
      <w:r w:rsidR="007704A7">
        <w:t>implementing</w:t>
      </w:r>
      <w:r>
        <w:t xml:space="preserve"> this process. </w:t>
      </w:r>
      <w:r w:rsidR="007704A7">
        <w:t>Nevertheless,</w:t>
      </w:r>
      <w:r>
        <w:t xml:space="preserve"> C</w:t>
      </w:r>
      <w:r w:rsidR="000246D1">
        <w:t>4</w:t>
      </w:r>
      <w:r>
        <w:t>AT notes “</w:t>
      </w:r>
      <w:r w:rsidRPr="00163D21">
        <w:t>it is still incumbent upon the IOUs to effectuate the actual language for tier assignment based on CARE eligibility rather than program enrollment</w:t>
      </w:r>
      <w:r>
        <w:t>.” C</w:t>
      </w:r>
      <w:r w:rsidR="000246D1">
        <w:t>4</w:t>
      </w:r>
      <w:r>
        <w:t xml:space="preserve">AT </w:t>
      </w:r>
      <w:r w:rsidR="002A213A">
        <w:t>likens</w:t>
      </w:r>
      <w:r>
        <w:t xml:space="preserve"> this </w:t>
      </w:r>
      <w:r w:rsidR="00ED78F2">
        <w:t>proposed interpretation</w:t>
      </w:r>
      <w:r w:rsidR="00336AEB">
        <w:t xml:space="preserve"> </w:t>
      </w:r>
      <w:r w:rsidR="00D90F8E">
        <w:t xml:space="preserve">of </w:t>
      </w:r>
      <w:r w:rsidR="00BB12A5">
        <w:t>the Decision’s FOF 7</w:t>
      </w:r>
      <w:r>
        <w:t xml:space="preserve"> to the proposed </w:t>
      </w:r>
      <w:r w:rsidR="00537C03">
        <w:br/>
      </w:r>
      <w:r>
        <w:t xml:space="preserve">self-attestation process, in which customers who live in </w:t>
      </w:r>
      <w:r w:rsidR="1F37F6D6">
        <w:t>DRAH</w:t>
      </w:r>
      <w:r>
        <w:t xml:space="preserve"> but are not currently assigned to CARE or FERA be provided an opportunity to self-attest to meeting the CARE or FERA eligibility requirements.</w:t>
      </w:r>
    </w:p>
    <w:p w:rsidR="004A1743" w:rsidP="004A1743" w:rsidRDefault="004A1743" w14:paraId="4D92A4F6" w14:textId="77777777"/>
    <w:p w:rsidR="008D1738" w:rsidP="004A1743" w:rsidRDefault="005260F0" w14:paraId="1CD1A63B" w14:textId="7A3C31B6">
      <w:r>
        <w:t xml:space="preserve">While the Commission appreciates the importance of ensuring that </w:t>
      </w:r>
      <w:r w:rsidR="00A55D79">
        <w:t>the IOUs</w:t>
      </w:r>
      <w:r>
        <w:t xml:space="preserve"> conduct sufficient outreach to low-income households which may be eligible</w:t>
      </w:r>
      <w:r w:rsidR="00B40FBE">
        <w:t xml:space="preserve">, </w:t>
      </w:r>
      <w:r>
        <w:t xml:space="preserve">but not </w:t>
      </w:r>
      <w:r w:rsidR="00482F33">
        <w:t>enrolled in</w:t>
      </w:r>
      <w:r>
        <w:t xml:space="preserve"> CARE or FERA</w:t>
      </w:r>
      <w:r w:rsidR="00482F33">
        <w:t>, we do</w:t>
      </w:r>
      <w:r>
        <w:t xml:space="preserve"> not agree that implementation of the </w:t>
      </w:r>
      <w:r w:rsidR="00B40FBE">
        <w:t>IGFC</w:t>
      </w:r>
      <w:r>
        <w:t xml:space="preserve"> should be dependent on this additional enrollment process beyond the opportunities contemplated in the Decision. The attestation</w:t>
      </w:r>
      <w:r w:rsidR="008B673A">
        <w:t xml:space="preserve"> </w:t>
      </w:r>
      <w:r>
        <w:t>process was specifically described as a practical opportunity to “</w:t>
      </w:r>
      <w:r w:rsidRPr="00EA425A">
        <w:t>increase the number of customers that participate in the middle tier, avoid additional income verification requirements for customers beyond the existing CARE and FERA processes, and provide a discounted fixed charge for customers who have modest incomes but do not qualify for CARE or FERA.</w:t>
      </w:r>
      <w:r>
        <w:t>”</w:t>
      </w:r>
      <w:r>
        <w:rPr>
          <w:rStyle w:val="FootnoteReference"/>
        </w:rPr>
        <w:footnoteReference w:id="104"/>
      </w:r>
      <w:r>
        <w:t xml:space="preserve"> </w:t>
      </w:r>
      <w:r w:rsidR="00923FBA">
        <w:t xml:space="preserve">Furthermore, it is not clear why there needs to be </w:t>
      </w:r>
      <w:r w:rsidR="00107DE8">
        <w:t>an opportunity to enroll a customer in the correct fixed charge tier</w:t>
      </w:r>
      <w:r w:rsidR="0019444F">
        <w:t xml:space="preserve"> if they </w:t>
      </w:r>
      <w:r w:rsidR="0019444F">
        <w:lastRenderedPageBreak/>
        <w:t xml:space="preserve">are found to be eligible for CARE or FERA </w:t>
      </w:r>
      <w:r w:rsidR="003A3A32">
        <w:t>while keeping them</w:t>
      </w:r>
      <w:r w:rsidR="00C574B5">
        <w:t xml:space="preserve"> unenrolled in the </w:t>
      </w:r>
      <w:r w:rsidR="00664169">
        <w:t xml:space="preserve">appropriate </w:t>
      </w:r>
      <w:r w:rsidR="00C574B5">
        <w:t xml:space="preserve">low-income </w:t>
      </w:r>
      <w:r w:rsidR="003A3A32">
        <w:t>discount program.</w:t>
      </w:r>
      <w:r>
        <w:t xml:space="preserve"> </w:t>
      </w:r>
      <w:r w:rsidR="00664169">
        <w:t>Instead, SDG&amp;E could simply enroll those customers in the</w:t>
      </w:r>
      <w:r w:rsidDel="00664169">
        <w:t xml:space="preserve"> </w:t>
      </w:r>
      <w:r w:rsidR="00E01A7D">
        <w:t>CARE or FERA program</w:t>
      </w:r>
      <w:r w:rsidR="005C5944">
        <w:t>, which would also result in them receiving the correct fixed charge amount.</w:t>
      </w:r>
    </w:p>
    <w:p w:rsidR="004A1743" w:rsidP="004A1743" w:rsidRDefault="004A1743" w14:paraId="5D0D121F" w14:textId="77777777"/>
    <w:p w:rsidR="005260F0" w:rsidP="000246D1" w:rsidRDefault="00AF644E" w14:paraId="6B7DE20B" w14:textId="2525CBEF">
      <w:r>
        <w:t>For the reason</w:t>
      </w:r>
      <w:r w:rsidR="003963A5">
        <w:t>s</w:t>
      </w:r>
      <w:r>
        <w:t xml:space="preserve"> </w:t>
      </w:r>
      <w:r w:rsidR="00B438BF">
        <w:t>stated above, C</w:t>
      </w:r>
      <w:r w:rsidR="000246D1">
        <w:t>4</w:t>
      </w:r>
      <w:r w:rsidR="00B438BF">
        <w:t xml:space="preserve">AT’s request to </w:t>
      </w:r>
      <w:r w:rsidR="00F309DC">
        <w:t xml:space="preserve">establish </w:t>
      </w:r>
      <w:r w:rsidR="008502EF">
        <w:t xml:space="preserve">Tier 1 </w:t>
      </w:r>
      <w:r w:rsidR="086F7C82">
        <w:t>f</w:t>
      </w:r>
      <w:r w:rsidR="008502EF">
        <w:t xml:space="preserve">ixed charge </w:t>
      </w:r>
      <w:r w:rsidR="005E6600">
        <w:t xml:space="preserve">enrollment by eligibility rather than by enrollment in CARE is </w:t>
      </w:r>
      <w:r w:rsidR="00834212">
        <w:t xml:space="preserve">declined </w:t>
      </w:r>
      <w:r w:rsidR="005E6600">
        <w:t>at this tim</w:t>
      </w:r>
      <w:r w:rsidR="00210F55">
        <w:t xml:space="preserve">e. </w:t>
      </w:r>
      <w:r w:rsidR="005260F0">
        <w:t xml:space="preserve">Stakeholders are strongly encouraged to further suggest modifications to </w:t>
      </w:r>
      <w:r w:rsidR="0A6D3301">
        <w:t xml:space="preserve">the </w:t>
      </w:r>
      <w:r w:rsidR="5B70B327">
        <w:t>Large Utilities</w:t>
      </w:r>
      <w:r w:rsidR="034F9A56">
        <w:t>’</w:t>
      </w:r>
      <w:r w:rsidR="005260F0">
        <w:t xml:space="preserve"> </w:t>
      </w:r>
      <w:r w:rsidR="00D97AD8">
        <w:t>IGFC</w:t>
      </w:r>
      <w:r w:rsidR="005260F0">
        <w:t xml:space="preserve"> </w:t>
      </w:r>
      <w:r w:rsidR="00BB425B">
        <w:t>implementation</w:t>
      </w:r>
      <w:r w:rsidR="005260F0">
        <w:t xml:space="preserve"> </w:t>
      </w:r>
      <w:r w:rsidR="00BA333C">
        <w:t xml:space="preserve">through the IWG, </w:t>
      </w:r>
      <w:r w:rsidR="005260F0">
        <w:t xml:space="preserve">which can be incorporated into future phases of the </w:t>
      </w:r>
      <w:r w:rsidR="01860FA4">
        <w:t>IGFC</w:t>
      </w:r>
      <w:r w:rsidR="005260F0">
        <w:t>.</w:t>
      </w:r>
    </w:p>
    <w:p w:rsidR="00F06DC2" w:rsidP="000246D1" w:rsidRDefault="00E25FAA" w14:paraId="2E6CD463" w14:textId="207B2CA5">
      <w:pPr>
        <w:pStyle w:val="Heading3"/>
      </w:pPr>
      <w:r>
        <w:t xml:space="preserve">6.2 </w:t>
      </w:r>
      <w:r w:rsidR="00B860F0">
        <w:tab/>
      </w:r>
      <w:r w:rsidRPr="0067681A" w:rsidR="001F1F64">
        <w:t>Tier 2 Assignment</w:t>
      </w:r>
    </w:p>
    <w:p w:rsidRPr="00040214" w:rsidR="00040214" w:rsidP="00040214" w:rsidRDefault="00040214" w14:paraId="46382F87" w14:textId="1A98BB05">
      <w:r w:rsidRPr="00C31AFE">
        <w:t>Under D.24-05-028</w:t>
      </w:r>
      <w:r w:rsidR="00A22EF7">
        <w:t>,</w:t>
      </w:r>
      <w:r w:rsidRPr="00C31AFE">
        <w:t xml:space="preserve"> </w:t>
      </w:r>
      <w:r>
        <w:t xml:space="preserve">the </w:t>
      </w:r>
      <w:r w:rsidRPr="00C31AFE">
        <w:t xml:space="preserve">Tier 2 </w:t>
      </w:r>
      <w:r w:rsidR="6652827A">
        <w:t>f</w:t>
      </w:r>
      <w:r>
        <w:t xml:space="preserve">ixed </w:t>
      </w:r>
      <w:r w:rsidR="792AA6AE">
        <w:t>c</w:t>
      </w:r>
      <w:r>
        <w:t xml:space="preserve">harge designation will apply to </w:t>
      </w:r>
      <w:r w:rsidRPr="00C31AFE">
        <w:t xml:space="preserve">customers who are </w:t>
      </w:r>
      <w:r>
        <w:t xml:space="preserve">already </w:t>
      </w:r>
      <w:r w:rsidRPr="00C31AFE">
        <w:t xml:space="preserve">enrolled in FERA as well as </w:t>
      </w:r>
      <w:r>
        <w:t>customers</w:t>
      </w:r>
      <w:r w:rsidR="5DC9BE56">
        <w:t xml:space="preserve"> who</w:t>
      </w:r>
      <w:r>
        <w:t xml:space="preserve"> </w:t>
      </w:r>
      <w:r w:rsidR="00AF0E1F">
        <w:t>are</w:t>
      </w:r>
      <w:r>
        <w:t xml:space="preserve"> </w:t>
      </w:r>
      <w:r w:rsidRPr="00C31AFE">
        <w:t xml:space="preserve">residents </w:t>
      </w:r>
      <w:r>
        <w:t>of D</w:t>
      </w:r>
      <w:r w:rsidR="1EDA744B">
        <w:t>RAH</w:t>
      </w:r>
      <w:r>
        <w:t xml:space="preserve"> units </w:t>
      </w:r>
      <w:r w:rsidRPr="00C31AFE">
        <w:t>who are</w:t>
      </w:r>
      <w:r>
        <w:t xml:space="preserve"> </w:t>
      </w:r>
      <w:r w:rsidRPr="00C31AFE">
        <w:t xml:space="preserve">not </w:t>
      </w:r>
      <w:r>
        <w:t xml:space="preserve">already </w:t>
      </w:r>
      <w:r w:rsidRPr="00C31AFE">
        <w:t>enrolled in CARE</w:t>
      </w:r>
      <w:r>
        <w:t xml:space="preserve"> or FERA</w:t>
      </w:r>
      <w:r w:rsidRPr="00C31AFE">
        <w:t xml:space="preserve">. </w:t>
      </w:r>
      <w:r>
        <w:t xml:space="preserve">While the three large IOUs track FERA eligibility and can assign them to the Tier 2 </w:t>
      </w:r>
      <w:r w:rsidR="2DEAB84E">
        <w:t>f</w:t>
      </w:r>
      <w:r>
        <w:t xml:space="preserve">ixed </w:t>
      </w:r>
      <w:r w:rsidR="0FCBC826">
        <w:t>c</w:t>
      </w:r>
      <w:r>
        <w:t xml:space="preserve">harge designation relatively easily, there is no process for tracking DRAH status by premise or customer.  </w:t>
      </w:r>
    </w:p>
    <w:p w:rsidR="00A96FEE" w:rsidP="00C401B7" w:rsidRDefault="00A96FEE" w14:paraId="448E11AD" w14:textId="5173E2E8">
      <w:pPr>
        <w:pStyle w:val="Heading4"/>
        <w:numPr>
          <w:ilvl w:val="2"/>
          <w:numId w:val="17"/>
        </w:numPr>
      </w:pPr>
      <w:r w:rsidRPr="0067681A">
        <w:t>Tier 2 Assignment</w:t>
      </w:r>
      <w:r>
        <w:t xml:space="preserve"> by FERA Status</w:t>
      </w:r>
    </w:p>
    <w:p w:rsidR="00ED01D9" w:rsidP="003C745A" w:rsidRDefault="009744F0" w14:paraId="6110C26A" w14:textId="360D56C8">
      <w:pPr>
        <w:spacing w:before="120"/>
      </w:pPr>
      <w:r>
        <w:t xml:space="preserve">SDG&amp;E </w:t>
      </w:r>
      <w:r w:rsidR="002344E8">
        <w:t>propose</w:t>
      </w:r>
      <w:r w:rsidR="00F74BF6">
        <w:t>d</w:t>
      </w:r>
      <w:r w:rsidR="002344E8">
        <w:t xml:space="preserve"> to automatically assign FERA customers into Tier 2, </w:t>
      </w:r>
      <w:proofErr w:type="gramStart"/>
      <w:r w:rsidR="002344E8">
        <w:t>similar to</w:t>
      </w:r>
      <w:proofErr w:type="gramEnd"/>
      <w:r w:rsidR="002344E8">
        <w:t xml:space="preserve"> how CARE customers will be automatically assigned to Tier 1.</w:t>
      </w:r>
    </w:p>
    <w:p w:rsidRPr="00DB55FC" w:rsidR="00DB55FC" w:rsidP="003C745A" w:rsidRDefault="00DB55FC" w14:paraId="42FAADC8" w14:textId="47E4C8E7">
      <w:pPr>
        <w:spacing w:before="120"/>
      </w:pPr>
      <w:r w:rsidRPr="00DB55FC">
        <w:t>PG&amp;E</w:t>
      </w:r>
      <w:r w:rsidR="00234DC6">
        <w:t>, in its implementation advice letter</w:t>
      </w:r>
      <w:r w:rsidRPr="00DB55FC">
        <w:t xml:space="preserve"> propose</w:t>
      </w:r>
      <w:r w:rsidRPr="00DB55FC" w:rsidR="2CB688D5">
        <w:t>d</w:t>
      </w:r>
      <w:r w:rsidRPr="00DB55FC">
        <w:t xml:space="preserve"> modest changes to the CARE and FERA applications: moving forward, propose</w:t>
      </w:r>
      <w:r w:rsidR="00F74BF6">
        <w:t>d</w:t>
      </w:r>
      <w:r w:rsidRPr="00DB55FC">
        <w:t xml:space="preserve"> to include information regarding DRAH status through CARE and FERA applications as a cost-effective means to </w:t>
      </w:r>
      <w:r w:rsidR="00326946">
        <w:t xml:space="preserve">improve data collection </w:t>
      </w:r>
      <w:r w:rsidR="003D0B2A">
        <w:t>regarding deed restricted housing</w:t>
      </w:r>
      <w:r>
        <w:t>.</w:t>
      </w:r>
      <w:r w:rsidR="00477B2F">
        <w:rPr>
          <w:rStyle w:val="FootnoteReference"/>
        </w:rPr>
        <w:footnoteReference w:id="105"/>
      </w:r>
      <w:r w:rsidR="00A4742D">
        <w:t xml:space="preserve"> </w:t>
      </w:r>
      <w:r>
        <w:rPr>
          <w:rFonts w:eastAsia="Palatino Linotype" w:cs="Palatino Linotype"/>
          <w:color w:val="000000" w:themeColor="text1"/>
        </w:rPr>
        <w:t>T</w:t>
      </w:r>
      <w:r w:rsidRPr="3DDB3018">
        <w:rPr>
          <w:rFonts w:eastAsia="Palatino Linotype" w:cs="Palatino Linotype"/>
          <w:color w:val="000000" w:themeColor="text1"/>
        </w:rPr>
        <w:t xml:space="preserve">he Commission </w:t>
      </w:r>
      <w:r w:rsidRPr="3DDB3018" w:rsidR="00B60471">
        <w:rPr>
          <w:rFonts w:eastAsia="Palatino Linotype" w:cs="Palatino Linotype"/>
          <w:color w:val="000000" w:themeColor="text1"/>
        </w:rPr>
        <w:t>direct</w:t>
      </w:r>
      <w:r w:rsidR="00B60471">
        <w:rPr>
          <w:rFonts w:eastAsia="Palatino Linotype" w:cs="Palatino Linotype"/>
          <w:color w:val="000000" w:themeColor="text1"/>
        </w:rPr>
        <w:t>s</w:t>
      </w:r>
      <w:r w:rsidRPr="3DDB3018" w:rsidR="00B60471">
        <w:rPr>
          <w:rFonts w:eastAsia="Palatino Linotype" w:cs="Palatino Linotype"/>
          <w:color w:val="000000" w:themeColor="text1"/>
        </w:rPr>
        <w:t xml:space="preserve"> </w:t>
      </w:r>
      <w:r w:rsidRPr="128D34FF" w:rsidR="00B60471">
        <w:rPr>
          <w:rFonts w:eastAsia="Palatino Linotype" w:cs="Palatino Linotype"/>
          <w:color w:val="000000" w:themeColor="text1"/>
        </w:rPr>
        <w:t>SDG</w:t>
      </w:r>
      <w:r w:rsidRPr="3DDB3018" w:rsidR="00B60471">
        <w:rPr>
          <w:rFonts w:eastAsia="Palatino Linotype" w:cs="Palatino Linotype"/>
          <w:color w:val="000000" w:themeColor="text1"/>
        </w:rPr>
        <w:t xml:space="preserve">&amp;E to </w:t>
      </w:r>
      <w:r w:rsidR="00BB6D8F">
        <w:rPr>
          <w:rFonts w:eastAsia="Palatino Linotype" w:cs="Palatino Linotype"/>
          <w:color w:val="000000" w:themeColor="text1"/>
        </w:rPr>
        <w:t xml:space="preserve">describe whether </w:t>
      </w:r>
      <w:r w:rsidR="00B271EB">
        <w:rPr>
          <w:rFonts w:eastAsia="Palatino Linotype" w:cs="Palatino Linotype"/>
          <w:color w:val="000000" w:themeColor="text1"/>
        </w:rPr>
        <w:t>it</w:t>
      </w:r>
      <w:r w:rsidR="00BB6D8F">
        <w:rPr>
          <w:rFonts w:eastAsia="Palatino Linotype" w:cs="Palatino Linotype"/>
          <w:color w:val="000000" w:themeColor="text1"/>
        </w:rPr>
        <w:t xml:space="preserve"> </w:t>
      </w:r>
      <w:r w:rsidR="00BD5481">
        <w:rPr>
          <w:rFonts w:eastAsia="Palatino Linotype" w:cs="Palatino Linotype"/>
          <w:color w:val="000000" w:themeColor="text1"/>
        </w:rPr>
        <w:t>propose</w:t>
      </w:r>
      <w:r w:rsidR="00B271EB">
        <w:rPr>
          <w:rFonts w:eastAsia="Palatino Linotype" w:cs="Palatino Linotype"/>
          <w:color w:val="000000" w:themeColor="text1"/>
        </w:rPr>
        <w:t>s</w:t>
      </w:r>
      <w:r w:rsidR="00BB6D8F">
        <w:rPr>
          <w:rFonts w:eastAsia="Palatino Linotype" w:cs="Palatino Linotype"/>
          <w:color w:val="000000" w:themeColor="text1"/>
        </w:rPr>
        <w:t xml:space="preserve"> a similar approach</w:t>
      </w:r>
      <w:r w:rsidR="00B60471">
        <w:rPr>
          <w:rFonts w:eastAsia="Palatino Linotype" w:cs="Palatino Linotype"/>
          <w:color w:val="000000" w:themeColor="text1"/>
        </w:rPr>
        <w:t xml:space="preserve"> </w:t>
      </w:r>
      <w:r w:rsidRPr="3DDB3018" w:rsidR="00B60471">
        <w:rPr>
          <w:rFonts w:eastAsia="Palatino Linotype" w:cs="Palatino Linotype"/>
          <w:color w:val="000000" w:themeColor="text1"/>
        </w:rPr>
        <w:t xml:space="preserve">in a </w:t>
      </w:r>
      <w:r w:rsidR="00B60471">
        <w:rPr>
          <w:rFonts w:eastAsia="Palatino Linotype" w:cs="Palatino Linotype"/>
          <w:color w:val="000000" w:themeColor="text1"/>
        </w:rPr>
        <w:t>subsequent</w:t>
      </w:r>
      <w:r w:rsidRPr="3DDB3018" w:rsidR="00B60471">
        <w:rPr>
          <w:rFonts w:eastAsia="Palatino Linotype" w:cs="Palatino Linotype"/>
          <w:color w:val="000000" w:themeColor="text1"/>
        </w:rPr>
        <w:t xml:space="preserve"> Tier 2 AL to ensure that parties have the opportunity to review the proposal in greater detail</w:t>
      </w:r>
      <w:r w:rsidRPr="00DB55FC">
        <w:t>.</w:t>
      </w:r>
    </w:p>
    <w:p w:rsidR="00F52C57" w:rsidP="00DE2267" w:rsidRDefault="00F52C57" w14:paraId="369353B5" w14:textId="77777777"/>
    <w:p w:rsidR="00EB460D" w:rsidP="008452D1" w:rsidRDefault="00B27050" w14:paraId="23F359FC" w14:textId="109CCCEA">
      <w:pPr>
        <w:pStyle w:val="Heading4"/>
        <w:numPr>
          <w:ilvl w:val="0"/>
          <w:numId w:val="0"/>
        </w:numPr>
        <w:ind w:left="1980" w:hanging="720"/>
      </w:pPr>
      <w:r>
        <w:t>6.2.</w:t>
      </w:r>
      <w:r w:rsidR="008452D1">
        <w:t>2</w:t>
      </w:r>
      <w:r w:rsidR="008452D1">
        <w:tab/>
      </w:r>
      <w:r w:rsidRPr="0067681A" w:rsidR="00EB460D">
        <w:t>Tier 2 Assignment</w:t>
      </w:r>
      <w:r w:rsidR="00EB460D">
        <w:t xml:space="preserve"> by DRAH Status</w:t>
      </w:r>
    </w:p>
    <w:p w:rsidR="00A524BB" w:rsidP="005467A5" w:rsidRDefault="00807243" w14:paraId="69F3E039" w14:textId="19847E1C">
      <w:r>
        <w:t xml:space="preserve">The Decision </w:t>
      </w:r>
      <w:r w:rsidR="00070B0C">
        <w:t xml:space="preserve">creates a new class of customers, </w:t>
      </w:r>
      <w:r w:rsidR="00C95D10">
        <w:t>residents of deed-restricted affordable rental properties</w:t>
      </w:r>
      <w:r w:rsidR="00A62546">
        <w:t xml:space="preserve">. </w:t>
      </w:r>
      <w:r w:rsidR="001756FC">
        <w:t>Through various deed-restriction</w:t>
      </w:r>
      <w:r w:rsidR="00FE0D70">
        <w:t>s</w:t>
      </w:r>
      <w:r w:rsidR="001756FC">
        <w:t xml:space="preserve"> tied to the </w:t>
      </w:r>
      <w:r w:rsidR="005323AB">
        <w:t xml:space="preserve">premises, these homes </w:t>
      </w:r>
      <w:r w:rsidR="002F0CB0">
        <w:t>are</w:t>
      </w:r>
      <w:r w:rsidR="00A524BB">
        <w:t xml:space="preserve"> generally available to households with incomes at or below 80 percent of Area Median Income</w:t>
      </w:r>
      <w:r w:rsidR="006D5B2C">
        <w:t xml:space="preserve">. </w:t>
      </w:r>
      <w:r w:rsidR="00E623A7">
        <w:t xml:space="preserve">Many California customers </w:t>
      </w:r>
      <w:r w:rsidR="0056549F">
        <w:t>in locations with high Area Median Incomes do not qualify for CARE or FERA, which is based on Federal Poverty Guidelines</w:t>
      </w:r>
      <w:r w:rsidR="00F55828">
        <w:t>, which are substantially lower than incomes in parts of California</w:t>
      </w:r>
      <w:r w:rsidR="0056549F">
        <w:t>.</w:t>
      </w:r>
      <w:r w:rsidR="00352860">
        <w:t xml:space="preserve">  </w:t>
      </w:r>
      <w:r w:rsidR="00A56F2E">
        <w:t xml:space="preserve">For </w:t>
      </w:r>
      <w:r w:rsidR="00A56F2E">
        <w:lastRenderedPageBreak/>
        <w:t xml:space="preserve">example, </w:t>
      </w:r>
      <w:r w:rsidR="007B42A3">
        <w:t xml:space="preserve">200% of the Federal Poverty Level for </w:t>
      </w:r>
      <w:r w:rsidR="005856ED">
        <w:t xml:space="preserve">a household of </w:t>
      </w:r>
      <w:r w:rsidR="000A2A70">
        <w:t xml:space="preserve">two </w:t>
      </w:r>
      <w:r w:rsidR="005856ED">
        <w:t xml:space="preserve">is </w:t>
      </w:r>
      <w:r w:rsidR="005B2203">
        <w:t>$40,880</w:t>
      </w:r>
      <w:r w:rsidR="00B22829">
        <w:rPr>
          <w:rStyle w:val="FootnoteReference"/>
        </w:rPr>
        <w:footnoteReference w:id="106"/>
      </w:r>
      <w:r w:rsidR="005B2203">
        <w:t xml:space="preserve"> per year, </w:t>
      </w:r>
      <w:r w:rsidR="00B22829">
        <w:t xml:space="preserve">while the average median income </w:t>
      </w:r>
      <w:r w:rsidR="004D7815">
        <w:t xml:space="preserve">in </w:t>
      </w:r>
      <w:r w:rsidR="00DB750D">
        <w:t xml:space="preserve">San Francisco is </w:t>
      </w:r>
      <w:r w:rsidR="00646B77">
        <w:t>$</w:t>
      </w:r>
      <w:r w:rsidR="006D7C86">
        <w:t>136,</w:t>
      </w:r>
      <w:r w:rsidR="00E9400E">
        <w:t>689</w:t>
      </w:r>
      <w:r w:rsidR="00646B77">
        <w:t>.</w:t>
      </w:r>
      <w:r w:rsidR="008A3EAD">
        <w:rPr>
          <w:rStyle w:val="FootnoteReference"/>
        </w:rPr>
        <w:footnoteReference w:id="107"/>
      </w:r>
      <w:r w:rsidR="009331B2">
        <w:t xml:space="preserve"> Theref</w:t>
      </w:r>
      <w:r w:rsidR="00DD4136">
        <w:t xml:space="preserve">ore, in certain areas, a </w:t>
      </w:r>
      <w:r w:rsidR="004F1D34">
        <w:t xml:space="preserve">substantial group </w:t>
      </w:r>
      <w:r w:rsidR="009B347F">
        <w:t>of customers who are eligible for housing assistance</w:t>
      </w:r>
      <w:r w:rsidR="004F1D34">
        <w:t xml:space="preserve"> </w:t>
      </w:r>
      <w:r w:rsidR="00FE6972">
        <w:t xml:space="preserve">may be eligible for </w:t>
      </w:r>
      <w:r w:rsidR="002105DF">
        <w:t xml:space="preserve">bill savings </w:t>
      </w:r>
      <w:r w:rsidR="00677D17">
        <w:t>through</w:t>
      </w:r>
      <w:r w:rsidR="002105DF">
        <w:t xml:space="preserve"> the lower Tier 2 fixed charge</w:t>
      </w:r>
      <w:r w:rsidR="00816110">
        <w:t>, but neither CARE nor FERA eligible</w:t>
      </w:r>
      <w:r w:rsidR="002105DF">
        <w:t>.</w:t>
      </w:r>
    </w:p>
    <w:p w:rsidR="005467A5" w:rsidP="005467A5" w:rsidRDefault="005467A5" w14:paraId="711A537F" w14:textId="77777777"/>
    <w:p w:rsidRPr="006B1940" w:rsidR="006B15B8" w:rsidP="005467A5" w:rsidRDefault="003B249B" w14:paraId="597F282E" w14:textId="2EFC28D3">
      <w:r>
        <w:t xml:space="preserve">The </w:t>
      </w:r>
      <w:r w:rsidR="001354F1">
        <w:t xml:space="preserve">Commission directed the IOUs to include a proposal </w:t>
      </w:r>
      <w:r w:rsidR="00F84962">
        <w:t xml:space="preserve">in their </w:t>
      </w:r>
      <w:r w:rsidR="4B4D1863">
        <w:t>ALs</w:t>
      </w:r>
      <w:r w:rsidR="00F84962">
        <w:t xml:space="preserve"> </w:t>
      </w:r>
      <w:r w:rsidR="001354F1">
        <w:t xml:space="preserve">to </w:t>
      </w:r>
      <w:r w:rsidR="007668C9">
        <w:t>identify and assign these customers to the correct fixed charge tier</w:t>
      </w:r>
      <w:r w:rsidRPr="00F62771" w:rsidR="00F62771">
        <w:t>.</w:t>
      </w:r>
      <w:r w:rsidR="004B46A5">
        <w:rPr>
          <w:rStyle w:val="FootnoteReference"/>
        </w:rPr>
        <w:footnoteReference w:id="108"/>
      </w:r>
      <w:r w:rsidRPr="00F62771" w:rsidR="00F62771">
        <w:t xml:space="preserve"> </w:t>
      </w:r>
      <w:r w:rsidR="006A34C7">
        <w:t xml:space="preserve">One reason why </w:t>
      </w:r>
      <w:r w:rsidR="00F81F76">
        <w:t>t</w:t>
      </w:r>
      <w:r w:rsidR="00C069D4">
        <w:t xml:space="preserve">his approach </w:t>
      </w:r>
      <w:r w:rsidR="006A34C7">
        <w:t xml:space="preserve">was adopted </w:t>
      </w:r>
      <w:r w:rsidR="00F81F76">
        <w:t xml:space="preserve">is because it would </w:t>
      </w:r>
      <w:r w:rsidR="00C069D4">
        <w:t xml:space="preserve">not </w:t>
      </w:r>
      <w:r w:rsidRPr="00F62771" w:rsidR="00F62771">
        <w:t xml:space="preserve">require any customer to share </w:t>
      </w:r>
      <w:r w:rsidR="00896B1A">
        <w:t xml:space="preserve">additional </w:t>
      </w:r>
      <w:r w:rsidRPr="00F62771" w:rsidR="00F62771">
        <w:t>income data with a utility.</w:t>
      </w:r>
      <w:r w:rsidR="00E5791B">
        <w:t xml:space="preserve"> </w:t>
      </w:r>
      <w:r w:rsidR="00A9025A">
        <w:t xml:space="preserve">The Commission </w:t>
      </w:r>
      <w:r w:rsidR="00286E02">
        <w:t xml:space="preserve">therefore </w:t>
      </w:r>
      <w:r w:rsidR="00115BB1">
        <w:t xml:space="preserve">found it reasonable </w:t>
      </w:r>
      <w:r w:rsidR="00B75911">
        <w:t xml:space="preserve">to </w:t>
      </w:r>
      <w:r w:rsidR="008C64CB">
        <w:t xml:space="preserve">assign </w:t>
      </w:r>
      <w:r w:rsidR="002F018C">
        <w:t>customers who live in an affordable rental property</w:t>
      </w:r>
      <w:r w:rsidR="003F7021">
        <w:t xml:space="preserve"> listed in a </w:t>
      </w:r>
      <w:r w:rsidRPr="003F7021" w:rsidR="003F7021">
        <w:t>statewide database of such homes maintained by the California Housing Partnership</w:t>
      </w:r>
      <w:r w:rsidR="00A702C4">
        <w:t xml:space="preserve"> </w:t>
      </w:r>
      <w:r w:rsidRPr="003F7021" w:rsidR="2C42FFB9">
        <w:t>(CHP)</w:t>
      </w:r>
      <w:r w:rsidR="2A80FAE4">
        <w:t xml:space="preserve"> </w:t>
      </w:r>
      <w:r w:rsidR="00A702C4">
        <w:t xml:space="preserve">who are </w:t>
      </w:r>
      <w:r w:rsidR="00743791">
        <w:t xml:space="preserve">not already enrolled in CARE </w:t>
      </w:r>
      <w:r w:rsidR="000821CE">
        <w:t xml:space="preserve">or FERA </w:t>
      </w:r>
      <w:r w:rsidR="005E3944">
        <w:t xml:space="preserve">to </w:t>
      </w:r>
      <w:r w:rsidR="00FC162A">
        <w:t xml:space="preserve">be assigned </w:t>
      </w:r>
      <w:r w:rsidR="002F726F">
        <w:t xml:space="preserve">to </w:t>
      </w:r>
      <w:r w:rsidR="007D4A0F">
        <w:t xml:space="preserve">the </w:t>
      </w:r>
      <w:r w:rsidR="002F726F">
        <w:t xml:space="preserve">Tier 2 </w:t>
      </w:r>
      <w:r w:rsidR="007D4A0F">
        <w:t xml:space="preserve">fixed charge </w:t>
      </w:r>
      <w:r w:rsidR="002F726F">
        <w:t>through a self-attestation process</w:t>
      </w:r>
      <w:r w:rsidR="00EA4CF3">
        <w:t>.</w:t>
      </w:r>
      <w:r w:rsidR="006B15B8">
        <w:rPr>
          <w:rStyle w:val="FootnoteReference"/>
        </w:rPr>
        <w:footnoteReference w:id="109"/>
      </w:r>
      <w:r w:rsidR="00376DC6">
        <w:t xml:space="preserve"> </w:t>
      </w:r>
      <w:r w:rsidR="006B15B8">
        <w:t xml:space="preserve">  </w:t>
      </w:r>
    </w:p>
    <w:p w:rsidR="00FA4486" w:rsidP="00CA6FED" w:rsidRDefault="00FA4486" w14:paraId="009506BC" w14:textId="77777777"/>
    <w:p w:rsidR="00C86098" w:rsidP="005467A5" w:rsidRDefault="006B1940" w14:paraId="0D72D5ED" w14:textId="56890B08">
      <w:r w:rsidRPr="006B1940">
        <w:t xml:space="preserve">The </w:t>
      </w:r>
      <w:r w:rsidR="00537CFE">
        <w:t xml:space="preserve">CHP </w:t>
      </w:r>
      <w:r w:rsidRPr="006B1940">
        <w:t xml:space="preserve">was created by the </w:t>
      </w:r>
      <w:r w:rsidR="008A1524">
        <w:t xml:space="preserve">California </w:t>
      </w:r>
      <w:r w:rsidRPr="006B1940">
        <w:t xml:space="preserve">Legislature in 1988 as a </w:t>
      </w:r>
      <w:r w:rsidR="0042147D">
        <w:t xml:space="preserve">private </w:t>
      </w:r>
      <w:r w:rsidRPr="006B1940">
        <w:t xml:space="preserve">nonprofit organization </w:t>
      </w:r>
      <w:r w:rsidR="00845CC8">
        <w:t xml:space="preserve">with a public mission, </w:t>
      </w:r>
      <w:r w:rsidRPr="006B1940">
        <w:t xml:space="preserve">to create and preserve </w:t>
      </w:r>
      <w:r w:rsidR="00756FBB">
        <w:t xml:space="preserve">housing that is </w:t>
      </w:r>
      <w:r w:rsidRPr="00756FBB" w:rsidR="00756FBB">
        <w:t>sustainable and affordable to working families, homeless, veterans, seniors and the disabled</w:t>
      </w:r>
      <w:r w:rsidR="006A4DC8">
        <w:t>.</w:t>
      </w:r>
      <w:r w:rsidR="00AC77C7">
        <w:rPr>
          <w:rStyle w:val="FootnoteReference"/>
        </w:rPr>
        <w:footnoteReference w:id="110"/>
      </w:r>
      <w:r w:rsidR="006A4DC8">
        <w:t xml:space="preserve"> </w:t>
      </w:r>
      <w:r w:rsidR="001B06D0">
        <w:t xml:space="preserve">CHP maintains </w:t>
      </w:r>
      <w:r w:rsidR="00394D5E">
        <w:t xml:space="preserve">the </w:t>
      </w:r>
      <w:r w:rsidRPr="00C86098" w:rsidR="00C86098">
        <w:t>Preservation Database, an inventory of federal</w:t>
      </w:r>
      <w:r w:rsidR="00C86098">
        <w:t xml:space="preserve"> and state-subsidized affordable rental properties, many of which also receive local subsidies</w:t>
      </w:r>
      <w:r w:rsidR="00413819">
        <w:t xml:space="preserve">.  </w:t>
      </w:r>
    </w:p>
    <w:p w:rsidR="005467A5" w:rsidP="005467A5" w:rsidRDefault="005467A5" w14:paraId="4DB993CB" w14:textId="77777777"/>
    <w:p w:rsidR="007A0568" w:rsidP="005467A5" w:rsidRDefault="00F92908" w14:paraId="679E48C9" w14:textId="128ED46C">
      <w:r>
        <w:t xml:space="preserve">SDG&amp;E </w:t>
      </w:r>
      <w:r w:rsidR="00962A55">
        <w:t xml:space="preserve">received a list of 710 properties </w:t>
      </w:r>
      <w:r w:rsidR="00932650">
        <w:t>from</w:t>
      </w:r>
      <w:r w:rsidR="00176881">
        <w:t xml:space="preserve"> the CHP </w:t>
      </w:r>
      <w:r w:rsidR="00413819">
        <w:t xml:space="preserve">Preservation Database, </w:t>
      </w:r>
      <w:r w:rsidR="00962A55">
        <w:t xml:space="preserve">which consisted of </w:t>
      </w:r>
      <w:r w:rsidR="27DBDB86">
        <w:t xml:space="preserve">approximately </w:t>
      </w:r>
      <w:r w:rsidR="00D82525">
        <w:t xml:space="preserve">57,000 </w:t>
      </w:r>
      <w:r w:rsidR="00D86C43">
        <w:t xml:space="preserve">units </w:t>
      </w:r>
      <w:r w:rsidR="002226CC">
        <w:t>in</w:t>
      </w:r>
      <w:r w:rsidR="00665D73">
        <w:t xml:space="preserve"> </w:t>
      </w:r>
      <w:r w:rsidR="00413819">
        <w:t xml:space="preserve">its service </w:t>
      </w:r>
      <w:r w:rsidR="00665D73">
        <w:t>territory</w:t>
      </w:r>
      <w:r w:rsidR="00CF64FC">
        <w:t xml:space="preserve">; however, only </w:t>
      </w:r>
      <w:r w:rsidR="54B762AB">
        <w:t xml:space="preserve">approximately </w:t>
      </w:r>
      <w:r w:rsidR="00CF64FC">
        <w:t>22</w:t>
      </w:r>
      <w:r w:rsidR="00BC7E3A">
        <w:t xml:space="preserve">,000 units were found in SDG&amp;E’s billing system. </w:t>
      </w:r>
      <w:r w:rsidR="00FC0972">
        <w:t xml:space="preserve">Rather than </w:t>
      </w:r>
      <w:r w:rsidR="00672E7C">
        <w:t xml:space="preserve">searching for and </w:t>
      </w:r>
      <w:r w:rsidR="00FC0972">
        <w:t xml:space="preserve">contacting the remaining </w:t>
      </w:r>
      <w:r w:rsidR="38DF97EB">
        <w:t xml:space="preserve">approximately </w:t>
      </w:r>
      <w:r w:rsidR="00447B69">
        <w:t>4</w:t>
      </w:r>
      <w:r w:rsidR="00B775A8">
        <w:t>5</w:t>
      </w:r>
      <w:r w:rsidR="00447B69">
        <w:t xml:space="preserve">,000 households individually, </w:t>
      </w:r>
      <w:r w:rsidR="00C872DE">
        <w:t>SDG&amp;E found that</w:t>
      </w:r>
      <w:r w:rsidR="00A03226">
        <w:t xml:space="preserve"> “b</w:t>
      </w:r>
      <w:r w:rsidRPr="00A03226" w:rsidR="00A03226">
        <w:t>ased on the current CHP data available to SDG&amp;E,</w:t>
      </w:r>
      <w:r w:rsidR="00A03226">
        <w:t xml:space="preserve"> </w:t>
      </w:r>
      <w:r w:rsidR="1F6542A1">
        <w:t xml:space="preserve">approximately </w:t>
      </w:r>
      <w:r w:rsidRPr="00A03226" w:rsidR="00A03226">
        <w:t>43,000 units are associated with properties that are considered 80% or more affordable. Because</w:t>
      </w:r>
      <w:r w:rsidR="00A03226">
        <w:t xml:space="preserve"> </w:t>
      </w:r>
      <w:r w:rsidRPr="00A03226" w:rsidR="00A03226">
        <w:t>of this, SDG&amp;E proposes defaulting all customers not on CARE or FERA in DRAH properties that are</w:t>
      </w:r>
      <w:r w:rsidR="00A03226">
        <w:t xml:space="preserve"> </w:t>
      </w:r>
      <w:r w:rsidRPr="00A03226" w:rsidR="00A03226">
        <w:t>designated to maintain at least 80% or more affordable units to Tier 2, without the need for the</w:t>
      </w:r>
      <w:r w:rsidR="00A03226">
        <w:t xml:space="preserve"> </w:t>
      </w:r>
      <w:r w:rsidRPr="00A03226" w:rsidR="00A03226">
        <w:t xml:space="preserve">customer to </w:t>
      </w:r>
      <w:proofErr w:type="gramStart"/>
      <w:r w:rsidRPr="00A03226" w:rsidR="00A03226">
        <w:t>take action</w:t>
      </w:r>
      <w:proofErr w:type="gramEnd"/>
      <w:r w:rsidR="00DD7FFA">
        <w:t>.</w:t>
      </w:r>
      <w:r w:rsidR="005A128E">
        <w:t>”</w:t>
      </w:r>
      <w:r w:rsidR="00BB6EF0">
        <w:rPr>
          <w:rStyle w:val="FootnoteReference"/>
        </w:rPr>
        <w:footnoteReference w:id="111"/>
      </w:r>
      <w:r w:rsidR="00DD7FFA">
        <w:t xml:space="preserve"> </w:t>
      </w:r>
    </w:p>
    <w:p w:rsidR="005467A5" w:rsidP="005467A5" w:rsidRDefault="005467A5" w14:paraId="1AB0EF8A" w14:textId="77777777"/>
    <w:p w:rsidR="00A03226" w:rsidP="005467A5" w:rsidRDefault="005862E3" w14:paraId="2277BA24" w14:textId="43917B14">
      <w:r w:rsidRPr="005862E3">
        <w:lastRenderedPageBreak/>
        <w:t xml:space="preserve">All three IOUs propose to follow this same threshold to automatically default </w:t>
      </w:r>
      <w:r w:rsidRPr="005862E3">
        <w:rPr>
          <w:i/>
          <w:iCs/>
        </w:rPr>
        <w:t>all</w:t>
      </w:r>
      <w:r w:rsidRPr="005862E3">
        <w:t xml:space="preserve"> customers in housing developments with 80% or more of housing units designated </w:t>
      </w:r>
      <w:r>
        <w:t xml:space="preserve">as </w:t>
      </w:r>
      <w:r w:rsidR="00D91B06">
        <w:t>affordable</w:t>
      </w:r>
      <w:r w:rsidRPr="005862E3">
        <w:t xml:space="preserve"> </w:t>
      </w:r>
      <w:r w:rsidRPr="005862E3">
        <w:rPr>
          <w:i/>
          <w:iCs/>
        </w:rPr>
        <w:t xml:space="preserve">as assumed to be a DRAH unit </w:t>
      </w:r>
      <w:r w:rsidRPr="005862E3">
        <w:t>for the Tier 2 assignment, if they are not already CARE</w:t>
      </w:r>
      <w:r w:rsidR="00774863">
        <w:t>-</w:t>
      </w:r>
      <w:r w:rsidRPr="005862E3">
        <w:t xml:space="preserve"> or FERA-assigned. </w:t>
      </w:r>
      <w:r w:rsidRPr="009001A0" w:rsidR="009001A0">
        <w:t xml:space="preserve">Defaulting all units in these properties to Tier 2 status would enable </w:t>
      </w:r>
      <w:r w:rsidR="00854A91">
        <w:t>SD</w:t>
      </w:r>
      <w:r w:rsidRPr="009001A0" w:rsidR="009001A0">
        <w:t xml:space="preserve">G&amp;E to place </w:t>
      </w:r>
      <w:proofErr w:type="gramStart"/>
      <w:r w:rsidRPr="009001A0" w:rsidR="009001A0">
        <w:t>the vast majority of</w:t>
      </w:r>
      <w:proofErr w:type="gramEnd"/>
      <w:r w:rsidRPr="009001A0" w:rsidR="009001A0">
        <w:t xml:space="preserve"> </w:t>
      </w:r>
      <w:r w:rsidR="1E46D34F">
        <w:t>DR</w:t>
      </w:r>
      <w:r w:rsidR="3820FDD2">
        <w:t>A</w:t>
      </w:r>
      <w:r w:rsidR="1E46D34F">
        <w:t>H</w:t>
      </w:r>
      <w:r w:rsidRPr="009001A0" w:rsidR="009001A0">
        <w:t xml:space="preserve">-qualified customers into the appropriate tier without creating an additional administrative burden to these customers and to </w:t>
      </w:r>
      <w:r w:rsidR="00854A91">
        <w:t>SD</w:t>
      </w:r>
      <w:r w:rsidRPr="009001A0" w:rsidR="009001A0">
        <w:t xml:space="preserve">G&amp;E. It was not protested by any party and is </w:t>
      </w:r>
      <w:r w:rsidR="00A1552D">
        <w:t xml:space="preserve">generally </w:t>
      </w:r>
      <w:r w:rsidRPr="009001A0" w:rsidR="009001A0">
        <w:t>reasonable</w:t>
      </w:r>
      <w:r w:rsidR="004C53DA">
        <w:t>.</w:t>
      </w:r>
    </w:p>
    <w:p w:rsidRPr="003334E5" w:rsidR="001F1F64" w:rsidP="00C401B7" w:rsidRDefault="004A4C0C" w14:paraId="390F94D5" w14:textId="6A605404">
      <w:pPr>
        <w:pStyle w:val="Heading4"/>
        <w:numPr>
          <w:ilvl w:val="2"/>
          <w:numId w:val="19"/>
        </w:numPr>
      </w:pPr>
      <w:r>
        <w:t>DRAH</w:t>
      </w:r>
      <w:r w:rsidRPr="0067681A" w:rsidR="001F1F64">
        <w:t xml:space="preserve"> Implementation </w:t>
      </w:r>
      <w:r w:rsidRPr="00924656" w:rsidR="002828CB">
        <w:t>and Budget</w:t>
      </w:r>
    </w:p>
    <w:p w:rsidR="00AD3877" w:rsidP="000A5DB6" w:rsidRDefault="003721EA" w14:paraId="54D5EFEA" w14:textId="7841C2F6">
      <w:r>
        <w:t xml:space="preserve">The Commission </w:t>
      </w:r>
      <w:r w:rsidR="009845A4">
        <w:t xml:space="preserve">approved </w:t>
      </w:r>
      <w:r>
        <w:t>SDG&amp;E’s Fixed Charge Implementation Budget and Cost Recovery plans with substantial modifications</w:t>
      </w:r>
      <w:r w:rsidR="00CA2639">
        <w:t xml:space="preserve"> in D.24-05-028</w:t>
      </w:r>
      <w:r>
        <w:t>.</w:t>
      </w:r>
      <w:r>
        <w:rPr>
          <w:rStyle w:val="FootnoteReference"/>
        </w:rPr>
        <w:footnoteReference w:id="112"/>
      </w:r>
      <w:r w:rsidR="00E35F0D">
        <w:t xml:space="preserve"> </w:t>
      </w:r>
      <w:r w:rsidR="00571470">
        <w:t>Specifically</w:t>
      </w:r>
      <w:r w:rsidR="009845A4">
        <w:t xml:space="preserve">, in </w:t>
      </w:r>
      <w:r w:rsidR="007D7CE6">
        <w:t xml:space="preserve">evaluating </w:t>
      </w:r>
      <w:r w:rsidR="00940DB1">
        <w:t xml:space="preserve">the IOUs </w:t>
      </w:r>
      <w:r w:rsidR="00A22E9A">
        <w:t>budget request for the customer rates tools</w:t>
      </w:r>
      <w:r w:rsidR="003920D3">
        <w:t xml:space="preserve">, </w:t>
      </w:r>
      <w:r w:rsidR="00745FAF">
        <w:t>the Commission already noted “</w:t>
      </w:r>
      <w:r w:rsidRPr="00097875" w:rsidR="00745FAF">
        <w:t>SDG&amp;E did not provide a justification for why their proposed</w:t>
      </w:r>
      <w:r w:rsidR="00550B7D">
        <w:t xml:space="preserve"> </w:t>
      </w:r>
      <w:r w:rsidRPr="00097875" w:rsidR="00745FAF">
        <w:t>costs are twice as high as</w:t>
      </w:r>
      <w:r w:rsidR="00745FAF">
        <w:t xml:space="preserve"> PG&amp;E’s proposed costs.”</w:t>
      </w:r>
      <w:r w:rsidR="00745FAF">
        <w:rPr>
          <w:rStyle w:val="FootnoteReference"/>
        </w:rPr>
        <w:footnoteReference w:id="113"/>
      </w:r>
      <w:r w:rsidR="00745FAF">
        <w:t xml:space="preserve"> </w:t>
      </w:r>
      <w:r w:rsidR="006C443F">
        <w:t xml:space="preserve">These </w:t>
      </w:r>
      <w:r w:rsidR="002605F1">
        <w:t>i</w:t>
      </w:r>
      <w:r w:rsidR="001169F9">
        <w:t xml:space="preserve">mplementation </w:t>
      </w:r>
      <w:r w:rsidR="002605F1">
        <w:t>b</w:t>
      </w:r>
      <w:r w:rsidR="001169F9">
        <w:t>udgets</w:t>
      </w:r>
      <w:r w:rsidR="00671349">
        <w:t xml:space="preserve">, as submitted, </w:t>
      </w:r>
      <w:r w:rsidR="00FC7E10">
        <w:t xml:space="preserve">were based on </w:t>
      </w:r>
      <w:r w:rsidR="0080340E">
        <w:t xml:space="preserve">the IOUs’ </w:t>
      </w:r>
      <w:r w:rsidR="00FC7E10">
        <w:t>own fixed charge proposal</w:t>
      </w:r>
      <w:r w:rsidR="00B1114A">
        <w:t>s</w:t>
      </w:r>
      <w:r w:rsidR="00FC7E10">
        <w:t xml:space="preserve">, which did not include </w:t>
      </w:r>
      <w:r w:rsidR="00F63885">
        <w:t xml:space="preserve">the </w:t>
      </w:r>
      <w:r w:rsidR="00CF3A73">
        <w:t xml:space="preserve">TURN/NRDC </w:t>
      </w:r>
      <w:r w:rsidR="00671349">
        <w:t xml:space="preserve">proposal to additionally ascribe the benefits of a lower Tier 2 Fixed Charge to customers </w:t>
      </w:r>
      <w:r w:rsidR="00B8518A">
        <w:t xml:space="preserve">who are </w:t>
      </w:r>
      <w:r w:rsidR="00671349">
        <w:t xml:space="preserve">neither CARE nor FERA customers, but who do live in </w:t>
      </w:r>
      <w:r w:rsidRPr="000A5DB6" w:rsidR="211EA882">
        <w:t>DRAH</w:t>
      </w:r>
      <w:r w:rsidRPr="000A5DB6" w:rsidR="4A6A0945">
        <w:t>.</w:t>
      </w:r>
      <w:r w:rsidR="00D0116F">
        <w:t xml:space="preserve"> </w:t>
      </w:r>
      <w:r w:rsidR="00D240F0">
        <w:t>As this was not an IOU proposal</w:t>
      </w:r>
      <w:r w:rsidRPr="000A5DB6" w:rsidR="20FD66BB">
        <w:t>,</w:t>
      </w:r>
      <w:r w:rsidR="00426092">
        <w:t xml:space="preserve"> no IOU budgets were submitted; thus, </w:t>
      </w:r>
      <w:r w:rsidR="00D240F0">
        <w:t xml:space="preserve">the Decision deferred </w:t>
      </w:r>
      <w:r w:rsidR="00502962">
        <w:t xml:space="preserve">DRAH </w:t>
      </w:r>
      <w:r w:rsidR="00D240F0">
        <w:t>implementation details (and budgets) to th</w:t>
      </w:r>
      <w:r w:rsidR="5527C876">
        <w:t>e current</w:t>
      </w:r>
      <w:r w:rsidR="00D240F0">
        <w:t xml:space="preserve"> Tier 3 Advice Letter process.</w:t>
      </w:r>
      <w:r w:rsidR="009D2703">
        <w:t xml:space="preserve">  </w:t>
      </w:r>
    </w:p>
    <w:p w:rsidRPr="000A5DB6" w:rsidR="000A5DB6" w:rsidP="000A5DB6" w:rsidRDefault="000A5DB6" w14:paraId="321FC622" w14:textId="77777777"/>
    <w:p w:rsidR="00EE02FB" w:rsidP="000A5DB6" w:rsidRDefault="003626A8" w14:paraId="66C19FAF" w14:textId="6770D6AD">
      <w:r>
        <w:t xml:space="preserve">SDG&amp;E requests </w:t>
      </w:r>
      <w:r w:rsidR="009F640A">
        <w:t xml:space="preserve">an overall budget of </w:t>
      </w:r>
      <w:r w:rsidR="002B452E">
        <w:t>$1,868,450</w:t>
      </w:r>
      <w:r w:rsidR="00F941EF">
        <w:rPr>
          <w:rStyle w:val="FootnoteReference"/>
        </w:rPr>
        <w:footnoteReference w:id="114"/>
      </w:r>
      <w:r w:rsidR="003F3DC2">
        <w:t xml:space="preserve"> to implement </w:t>
      </w:r>
      <w:r w:rsidR="005B0C6F">
        <w:t>and enroll customer</w:t>
      </w:r>
      <w:r w:rsidR="003A4297">
        <w:t>s</w:t>
      </w:r>
      <w:r w:rsidR="005B0C6F">
        <w:t xml:space="preserve"> for </w:t>
      </w:r>
      <w:r w:rsidR="004E28E4">
        <w:t xml:space="preserve">a </w:t>
      </w:r>
      <w:r w:rsidR="008145F0">
        <w:t xml:space="preserve">new </w:t>
      </w:r>
      <w:r w:rsidR="0066773E">
        <w:t xml:space="preserve">category </w:t>
      </w:r>
      <w:r w:rsidR="00E05DA4">
        <w:t xml:space="preserve">of </w:t>
      </w:r>
      <w:r w:rsidR="00837A26">
        <w:t xml:space="preserve">fixed charges </w:t>
      </w:r>
      <w:r w:rsidR="00A1485D">
        <w:t xml:space="preserve">based on residence in </w:t>
      </w:r>
      <w:r w:rsidRPr="000A5DB6" w:rsidR="06DB7536">
        <w:t>DRAH</w:t>
      </w:r>
      <w:r w:rsidRPr="000A5DB6" w:rsidR="5064EC3E">
        <w:t>.</w:t>
      </w:r>
      <w:r w:rsidR="001F30F8">
        <w:t xml:space="preserve">  </w:t>
      </w:r>
      <w:r w:rsidR="00797E3E">
        <w:t xml:space="preserve">In </w:t>
      </w:r>
      <w:r w:rsidR="006374EC">
        <w:t>c</w:t>
      </w:r>
      <w:r w:rsidR="00797E3E">
        <w:t>omparison,</w:t>
      </w:r>
      <w:r w:rsidR="00D2536D">
        <w:t xml:space="preserve"> </w:t>
      </w:r>
      <w:r w:rsidR="00296E65">
        <w:t xml:space="preserve">PG&amp;E </w:t>
      </w:r>
      <w:r w:rsidR="00FD4E58">
        <w:t xml:space="preserve">requests </w:t>
      </w:r>
      <w:r w:rsidR="00D72838">
        <w:t>$</w:t>
      </w:r>
      <w:r w:rsidRPr="00D72838" w:rsidR="00D72838">
        <w:t>965,283</w:t>
      </w:r>
      <w:r w:rsidR="00C708F9">
        <w:rPr>
          <w:rStyle w:val="FootnoteReference"/>
        </w:rPr>
        <w:footnoteReference w:id="115"/>
      </w:r>
      <w:r w:rsidR="006374EC">
        <w:t xml:space="preserve"> and SCE requests </w:t>
      </w:r>
      <w:r w:rsidR="004D42CE">
        <w:t>$</w:t>
      </w:r>
      <w:r w:rsidRPr="006374EC" w:rsidR="006374EC">
        <w:t>588,218</w:t>
      </w:r>
      <w:r w:rsidR="00BB60F1">
        <w:rPr>
          <w:rStyle w:val="FootnoteReference"/>
        </w:rPr>
        <w:footnoteReference w:id="116"/>
      </w:r>
      <w:r w:rsidRPr="006374EC" w:rsidR="006374EC">
        <w:t xml:space="preserve"> </w:t>
      </w:r>
      <w:r w:rsidR="006E0843">
        <w:t xml:space="preserve">to </w:t>
      </w:r>
      <w:r w:rsidR="00BB60F1">
        <w:t xml:space="preserve">implement </w:t>
      </w:r>
      <w:r w:rsidR="007E5ADD">
        <w:t xml:space="preserve">the same new process. </w:t>
      </w:r>
      <w:r w:rsidR="00797E3E">
        <w:t xml:space="preserve"> </w:t>
      </w:r>
      <w:r w:rsidR="00DF2A01">
        <w:t xml:space="preserve">It is reasonable to ascribe some costs to this new process; however, the Commission agrees with </w:t>
      </w:r>
      <w:r w:rsidRPr="000A5DB6" w:rsidR="5448D13D">
        <w:t>Cal Advocates’</w:t>
      </w:r>
      <w:r w:rsidR="00DF2A01">
        <w:t xml:space="preserve"> overall assessment that “</w:t>
      </w:r>
      <w:r w:rsidRPr="0075452E" w:rsidR="00DF2A01">
        <w:t>Several items pertaining to SDG&amp;E’s proposed DRAH budget require additional scrutiny.</w:t>
      </w:r>
      <w:r w:rsidR="00366E37">
        <w:t>”</w:t>
      </w:r>
      <w:r w:rsidR="00DF2A01">
        <w:rPr>
          <w:rStyle w:val="FootnoteReference"/>
        </w:rPr>
        <w:footnoteReference w:id="117"/>
      </w:r>
      <w:r w:rsidR="00BC7DA7">
        <w:t xml:space="preserve"> </w:t>
      </w:r>
      <w:r w:rsidR="007405E7">
        <w:t xml:space="preserve">While SDG&amp;E has </w:t>
      </w:r>
      <w:r w:rsidR="00EE5BD6">
        <w:t xml:space="preserve">asserted that their </w:t>
      </w:r>
      <w:r w:rsidR="0039175A">
        <w:t>“</w:t>
      </w:r>
      <w:r w:rsidRPr="00EE02FB" w:rsidR="00EE02FB">
        <w:t>estimated costs are unique to SDG&amp;E</w:t>
      </w:r>
      <w:r w:rsidRPr="000A5DB6" w:rsidR="02BCDB44">
        <w:t>,</w:t>
      </w:r>
      <w:r w:rsidRPr="00EE02FB" w:rsidR="00EE02FB">
        <w:t xml:space="preserve"> SDG&amp;E does not have insight into PG&amp;E’s and SCE’s DRAH scope of work to handle DRAH in their respective billing systems</w:t>
      </w:r>
      <w:r w:rsidR="00AA077B">
        <w:t>,”</w:t>
      </w:r>
      <w:r w:rsidR="0039175A">
        <w:rPr>
          <w:rStyle w:val="FootnoteReference"/>
        </w:rPr>
        <w:footnoteReference w:id="118"/>
      </w:r>
      <w:r w:rsidR="00AA077B">
        <w:t xml:space="preserve"> the Commission finds SDG&amp;E’s request to be unusually high.</w:t>
      </w:r>
    </w:p>
    <w:p w:rsidRPr="000A5DB6" w:rsidR="000A5DB6" w:rsidP="000A5DB6" w:rsidRDefault="000A5DB6" w14:paraId="6B5172C5" w14:textId="77777777"/>
    <w:p w:rsidR="00CB51F4" w:rsidP="000A5DB6" w:rsidRDefault="00BE5D1C" w14:paraId="03D8BE3F" w14:textId="26C161D2">
      <w:r>
        <w:lastRenderedPageBreak/>
        <w:t>The Commission</w:t>
      </w:r>
      <w:r w:rsidR="00AB5852">
        <w:t xml:space="preserve"> also </w:t>
      </w:r>
      <w:r w:rsidR="0007483E">
        <w:t xml:space="preserve">finds </w:t>
      </w:r>
      <w:r w:rsidR="006A62C3">
        <w:t xml:space="preserve">SDG&amp;E’s </w:t>
      </w:r>
      <w:r w:rsidR="00B25873">
        <w:t>estimates for anticipated call volume to be unexpectedly high</w:t>
      </w:r>
      <w:r w:rsidR="00477BE6">
        <w:t xml:space="preserve"> and adjusted </w:t>
      </w:r>
      <w:r>
        <w:t>the requested call center budget</w:t>
      </w:r>
      <w:r w:rsidRPr="000A5DB6" w:rsidR="00C14981">
        <w:t xml:space="preserve"> </w:t>
      </w:r>
      <w:r w:rsidR="00C14981">
        <w:t>accor</w:t>
      </w:r>
      <w:r w:rsidR="00B4600A">
        <w:t>dingly</w:t>
      </w:r>
      <w:r w:rsidR="00B02FD3">
        <w:t xml:space="preserve"> in </w:t>
      </w:r>
      <w:r w:rsidR="000B52D9">
        <w:br/>
      </w:r>
      <w:r w:rsidR="00B02FD3">
        <w:t>D.24-05-028</w:t>
      </w:r>
      <w:r w:rsidRPr="000A5DB6" w:rsidR="00552F2A">
        <w:t>.</w:t>
      </w:r>
      <w:r w:rsidR="001D3DCD">
        <w:t xml:space="preserve">  </w:t>
      </w:r>
      <w:r w:rsidR="004761EB">
        <w:t xml:space="preserve">In this AL, SDG&amp;E again requests </w:t>
      </w:r>
      <w:r w:rsidR="005242CB">
        <w:t xml:space="preserve">a notably high budget to accomplish </w:t>
      </w:r>
      <w:r w:rsidR="00F1635D">
        <w:t xml:space="preserve">the same task as </w:t>
      </w:r>
      <w:r w:rsidR="005242CB">
        <w:t xml:space="preserve">other IOUs, for </w:t>
      </w:r>
      <w:r w:rsidR="00F1635D">
        <w:t xml:space="preserve">far </w:t>
      </w:r>
      <w:r w:rsidR="005242CB">
        <w:t>fewer customers.</w:t>
      </w:r>
      <w:r w:rsidR="170F29FE">
        <w:t xml:space="preserve"> </w:t>
      </w:r>
      <w:r w:rsidR="00703373">
        <w:t xml:space="preserve">As noted in section </w:t>
      </w:r>
      <w:r w:rsidR="00CF169B">
        <w:t xml:space="preserve">2.1 of this resolution, Cal Advocates </w:t>
      </w:r>
      <w:r w:rsidR="00D565F9">
        <w:t>asserted</w:t>
      </w:r>
      <w:r w:rsidR="00CF169B">
        <w:t xml:space="preserve"> in its protest that SDG&amp;E’s numbers are again unsubstantiated, lack sufficient detail, and </w:t>
      </w:r>
      <w:r w:rsidR="002554E0">
        <w:t xml:space="preserve">require more review, and requested that </w:t>
      </w:r>
      <w:r w:rsidR="005D3E7C">
        <w:t>SDG&amp;E file a supplement with more detail</w:t>
      </w:r>
      <w:r w:rsidR="003A713A">
        <w:t xml:space="preserve">. </w:t>
      </w:r>
      <w:r w:rsidR="001D3DCD">
        <w:t>In its AL and two subsequent supplemental filings, SDG&amp;E again fail</w:t>
      </w:r>
      <w:r w:rsidR="00D565F9">
        <w:t>ed</w:t>
      </w:r>
      <w:r w:rsidR="001D3DCD">
        <w:t xml:space="preserve"> to provide meaningful details</w:t>
      </w:r>
      <w:r w:rsidR="00CB51F4">
        <w:t>.</w:t>
      </w:r>
    </w:p>
    <w:p w:rsidRPr="000A5DB6" w:rsidR="000A5DB6" w:rsidP="000A5DB6" w:rsidRDefault="000A5DB6" w14:paraId="3D17949F" w14:textId="77777777"/>
    <w:p w:rsidR="009C53C7" w:rsidP="000A5DB6" w:rsidRDefault="00CB51F4" w14:paraId="3C347E29" w14:textId="3AF31307">
      <w:r>
        <w:t>Finally, S</w:t>
      </w:r>
      <w:r w:rsidR="00D94992">
        <w:t>D</w:t>
      </w:r>
      <w:r>
        <w:t xml:space="preserve">G&amp;E did </w:t>
      </w:r>
      <w:r w:rsidR="00975CB6">
        <w:t xml:space="preserve">eventually </w:t>
      </w:r>
      <w:r>
        <w:t xml:space="preserve">provide a breakdown of its </w:t>
      </w:r>
      <w:r w:rsidR="001A1CD6">
        <w:t>proposed DRAH budget</w:t>
      </w:r>
      <w:r>
        <w:rPr>
          <w:rStyle w:val="FootnoteReference"/>
        </w:rPr>
        <w:footnoteReference w:id="119"/>
      </w:r>
      <w:r w:rsidR="54AB63BA">
        <w:t xml:space="preserve"> </w:t>
      </w:r>
      <w:r>
        <w:t xml:space="preserve">through a </w:t>
      </w:r>
      <w:r w:rsidR="00A721B7">
        <w:t xml:space="preserve">Data Request Response </w:t>
      </w:r>
      <w:r w:rsidR="00C635FA">
        <w:t>to</w:t>
      </w:r>
      <w:r w:rsidRPr="000A5DB6" w:rsidR="00C635FA">
        <w:t xml:space="preserve"> </w:t>
      </w:r>
      <w:r w:rsidR="00A721B7">
        <w:t>Energy Division</w:t>
      </w:r>
      <w:r w:rsidR="00ED5A56">
        <w:t>.</w:t>
      </w:r>
      <w:r w:rsidR="00A721B7">
        <w:t xml:space="preserve"> </w:t>
      </w:r>
      <w:r w:rsidR="00ED5A56">
        <w:t>E</w:t>
      </w:r>
      <w:r w:rsidR="00A721B7">
        <w:t>ven then, SDG&amp;E included scant details or justification for its underlying assumption</w:t>
      </w:r>
      <w:r w:rsidR="009C53C7">
        <w:t>s</w:t>
      </w:r>
      <w:r w:rsidR="00A721B7">
        <w:t xml:space="preserve">. </w:t>
      </w:r>
      <w:r w:rsidR="00D02631">
        <w:t xml:space="preserve">In comparing these costs </w:t>
      </w:r>
      <w:r w:rsidR="00792A9B">
        <w:t xml:space="preserve">to those proposed by PG&amp;E and SCE </w:t>
      </w:r>
      <w:r w:rsidR="0077242C">
        <w:t xml:space="preserve">in their </w:t>
      </w:r>
      <w:r w:rsidR="00FD60C5">
        <w:t xml:space="preserve">Implementation ALs, </w:t>
      </w:r>
      <w:r w:rsidR="00D75375">
        <w:t xml:space="preserve">there are </w:t>
      </w:r>
      <w:r w:rsidR="00474650">
        <w:t xml:space="preserve">two </w:t>
      </w:r>
      <w:r w:rsidR="003B2571">
        <w:t>co</w:t>
      </w:r>
      <w:r w:rsidR="00F242FF">
        <w:t>st categories</w:t>
      </w:r>
      <w:r w:rsidR="00AF5CF3">
        <w:t xml:space="preserve"> where SDG&amp;E is proposing to spend significantly more money for </w:t>
      </w:r>
      <w:r w:rsidR="00CE0637">
        <w:t>a similar scope of work and has failed to justify why their costs are so high</w:t>
      </w:r>
      <w:r w:rsidR="4C6B7829">
        <w:t>, especially in relation to a smaller number of customers in comparison to the other IOUs</w:t>
      </w:r>
      <w:r w:rsidR="00CE0637">
        <w:t>.</w:t>
      </w:r>
      <w:r w:rsidR="00A721B7">
        <w:t xml:space="preserve"> </w:t>
      </w:r>
    </w:p>
    <w:p w:rsidRPr="000A5DB6" w:rsidR="00B27050" w:rsidP="000A5DB6" w:rsidRDefault="00B27050" w14:paraId="43EC62BD" w14:textId="77777777"/>
    <w:p w:rsidR="0000513D" w:rsidP="00C03C3A" w:rsidRDefault="00A721B7" w14:paraId="405ABA89" w14:textId="6E1CAC5C">
      <w:r>
        <w:t xml:space="preserve">For these reasons, </w:t>
      </w:r>
      <w:r w:rsidR="001D3DCD">
        <w:t xml:space="preserve">the Commission finds SDG&amp;E’s </w:t>
      </w:r>
      <w:r w:rsidR="00A67188">
        <w:t xml:space="preserve">DRAH </w:t>
      </w:r>
      <w:r w:rsidR="001D3DCD">
        <w:t xml:space="preserve">implementation budget to be </w:t>
      </w:r>
      <w:r w:rsidR="00A67188">
        <w:t xml:space="preserve">unacceptably high and </w:t>
      </w:r>
      <w:r w:rsidR="003519D4">
        <w:t xml:space="preserve">directs </w:t>
      </w:r>
      <w:r w:rsidR="007E307E">
        <w:t>a $1,</w:t>
      </w:r>
      <w:r w:rsidR="00361FD5">
        <w:t>102,84</w:t>
      </w:r>
      <w:r w:rsidR="00316ED8">
        <w:t>2</w:t>
      </w:r>
      <w:r w:rsidR="007E307E">
        <w:t xml:space="preserve"> reduction in </w:t>
      </w:r>
      <w:r w:rsidR="003519D4">
        <w:t xml:space="preserve">SDG&amp;E’s </w:t>
      </w:r>
      <w:r w:rsidR="007E307E">
        <w:t xml:space="preserve">DRAH </w:t>
      </w:r>
      <w:r w:rsidR="000F5725">
        <w:t xml:space="preserve">Implementation costs from </w:t>
      </w:r>
      <w:r w:rsidR="00901797">
        <w:t>$</w:t>
      </w:r>
      <w:r w:rsidR="000F5725">
        <w:t>1,868,080</w:t>
      </w:r>
      <w:r w:rsidR="552188C4">
        <w:t xml:space="preserve"> as requested in their corrected supplement, </w:t>
      </w:r>
      <w:r w:rsidR="00A42D38">
        <w:br/>
      </w:r>
      <w:r w:rsidR="552188C4">
        <w:t>4492-E-A,</w:t>
      </w:r>
      <w:r w:rsidR="000F5725">
        <w:t xml:space="preserve"> to </w:t>
      </w:r>
      <w:r w:rsidR="003519D4">
        <w:t xml:space="preserve">an authorized amount of </w:t>
      </w:r>
      <w:r w:rsidR="00226AB4">
        <w:t>$</w:t>
      </w:r>
      <w:r w:rsidR="00BC12BC">
        <w:t xml:space="preserve">765,609. </w:t>
      </w:r>
      <w:r w:rsidR="00E77C55">
        <w:t xml:space="preserve">The reductions are summarized in </w:t>
      </w:r>
      <w:r w:rsidR="00A67188">
        <w:t>Table 3</w:t>
      </w:r>
      <w:r w:rsidR="009B3CA8">
        <w:t xml:space="preserve"> and described in more detail in the following sections.</w:t>
      </w:r>
      <w:r w:rsidR="004339A2">
        <w:t xml:space="preserve"> </w:t>
      </w:r>
      <w:r w:rsidR="0000513D">
        <w:t xml:space="preserve">The Commission </w:t>
      </w:r>
      <w:r w:rsidR="00B32DE3">
        <w:t xml:space="preserve">notes </w:t>
      </w:r>
      <w:r w:rsidR="0000513D">
        <w:t xml:space="preserve">a discrepancy between the </w:t>
      </w:r>
      <w:r w:rsidR="00ED6F9E">
        <w:t>costs</w:t>
      </w:r>
      <w:r w:rsidR="0000513D">
        <w:t xml:space="preserve"> under column AL 4492-E</w:t>
      </w:r>
      <w:r w:rsidR="008C2D41">
        <w:t xml:space="preserve"> </w:t>
      </w:r>
      <w:r w:rsidR="00781F90">
        <w:t>and what was included in</w:t>
      </w:r>
      <w:r w:rsidR="008C2D41">
        <w:t xml:space="preserve"> SDG&amp;E’s workpapers</w:t>
      </w:r>
      <w:r w:rsidR="00773556">
        <w:t xml:space="preserve">. </w:t>
      </w:r>
      <w:r w:rsidR="00E36B8F">
        <w:t>This discrepancy was corrected in SDG&amp;E’s supplemental filing, A</w:t>
      </w:r>
      <w:r w:rsidR="000D56C1">
        <w:t>L 4492-E-A</w:t>
      </w:r>
      <w:r w:rsidR="009E173B">
        <w:t xml:space="preserve">. SDG&amp;E’s </w:t>
      </w:r>
      <w:r w:rsidR="00E05081">
        <w:t>filings also appear to</w:t>
      </w:r>
      <w:r w:rsidR="2D4C171B">
        <w:t xml:space="preserve"> </w:t>
      </w:r>
      <w:r w:rsidR="50C24908">
        <w:t xml:space="preserve">somewhat </w:t>
      </w:r>
      <w:r w:rsidR="00E05081">
        <w:t xml:space="preserve">“round up” </w:t>
      </w:r>
      <w:r w:rsidR="250F4AEF">
        <w:t xml:space="preserve">some </w:t>
      </w:r>
      <w:r w:rsidR="003B5748">
        <w:t>estimated budgets</w:t>
      </w:r>
      <w:r w:rsidR="00E05278">
        <w:t xml:space="preserve"> as presented in their workpapers. </w:t>
      </w:r>
      <w:r w:rsidR="001238A5">
        <w:t xml:space="preserve">The Commission’s approved budget amounts are based on adjustments to </w:t>
      </w:r>
      <w:r w:rsidR="008E71A7">
        <w:t xml:space="preserve">the </w:t>
      </w:r>
      <w:r w:rsidR="005F78E4">
        <w:t xml:space="preserve">un-rounded </w:t>
      </w:r>
      <w:r w:rsidR="008E71A7">
        <w:t xml:space="preserve">budget values </w:t>
      </w:r>
      <w:r w:rsidR="00756762">
        <w:t xml:space="preserve">detailed in </w:t>
      </w:r>
      <w:r w:rsidR="001238A5">
        <w:t xml:space="preserve">SDG&amp;E’s </w:t>
      </w:r>
      <w:r w:rsidR="00575AD5">
        <w:t>workpapers</w:t>
      </w:r>
      <w:r w:rsidR="00756762">
        <w:t>, rather than the rounded-</w:t>
      </w:r>
      <w:r w:rsidR="41D5F95A">
        <w:t xml:space="preserve">up </w:t>
      </w:r>
      <w:r w:rsidR="00756762">
        <w:t xml:space="preserve">budget requests in SDG&amp;E’s </w:t>
      </w:r>
      <w:r w:rsidR="00052AD6">
        <w:t>supplemental filing</w:t>
      </w:r>
      <w:r w:rsidR="00756762">
        <w:t>.</w:t>
      </w:r>
      <w:r w:rsidR="45918746">
        <w:t xml:space="preserve"> The change is, likewise, an adjustment </w:t>
      </w:r>
      <w:r w:rsidR="4D285800">
        <w:t>from</w:t>
      </w:r>
      <w:r w:rsidR="45918746">
        <w:t xml:space="preserve"> the detailed numbers supplied in SDG&amp;E’s workpapers</w:t>
      </w:r>
      <w:r w:rsidR="080DB5DB">
        <w:t>.</w:t>
      </w:r>
    </w:p>
    <w:p w:rsidRPr="000A5DB6" w:rsidR="000A5DB6" w:rsidP="000A5DB6" w:rsidRDefault="000A5DB6" w14:paraId="38895C45" w14:textId="77777777"/>
    <w:p w:rsidR="00334714" w:rsidP="000A5DB6" w:rsidRDefault="00A72C8F" w14:paraId="08933374" w14:textId="2E638BB5">
      <w:pPr>
        <w:keepNext/>
        <w:jc w:val="center"/>
        <w:rPr>
          <w:b/>
        </w:rPr>
      </w:pPr>
      <w:r w:rsidRPr="2B25D360">
        <w:rPr>
          <w:b/>
        </w:rPr>
        <w:t xml:space="preserve">Table </w:t>
      </w:r>
      <w:r w:rsidRPr="3BCE1348" w:rsidR="00D14A58">
        <w:rPr>
          <w:b/>
        </w:rPr>
        <w:t>3</w:t>
      </w:r>
      <w:r w:rsidRPr="3BCE1348">
        <w:rPr>
          <w:b/>
        </w:rPr>
        <w:t>:</w:t>
      </w:r>
      <w:r w:rsidRPr="4E4CC23C">
        <w:rPr>
          <w:b/>
        </w:rPr>
        <w:t xml:space="preserve"> </w:t>
      </w:r>
      <w:r w:rsidRPr="4E4CC23C" w:rsidR="00334714">
        <w:rPr>
          <w:b/>
        </w:rPr>
        <w:t>SDG&amp;E's DRAH Proposed and Approved Budgets</w:t>
      </w:r>
    </w:p>
    <w:p w:rsidR="00FD237E" w:rsidP="000A5DB6" w:rsidRDefault="00FD237E" w14:paraId="3DAF1421" w14:textId="77777777">
      <w:pPr>
        <w:keepNext/>
        <w:jc w:val="center"/>
        <w:rPr>
          <w:b/>
        </w:rPr>
      </w:pPr>
    </w:p>
    <w:tbl>
      <w:tblPr>
        <w:tblW w:w="9920" w:type="dxa"/>
        <w:jc w:val="center"/>
        <w:tblLook w:val="04A0" w:firstRow="1" w:lastRow="0" w:firstColumn="1" w:lastColumn="0" w:noHBand="0" w:noVBand="1"/>
      </w:tblPr>
      <w:tblGrid>
        <w:gridCol w:w="2745"/>
        <w:gridCol w:w="1545"/>
        <w:gridCol w:w="1500"/>
        <w:gridCol w:w="1605"/>
        <w:gridCol w:w="1275"/>
        <w:gridCol w:w="1250"/>
      </w:tblGrid>
      <w:tr w:rsidRPr="00A24B5C" w:rsidR="00B56459" w:rsidTr="6C9CC8B2" w14:paraId="34318FED" w14:textId="77777777">
        <w:trPr>
          <w:trHeight w:val="300"/>
          <w:jc w:val="center"/>
        </w:trPr>
        <w:tc>
          <w:tcPr>
            <w:tcW w:w="2745" w:type="dxa"/>
            <w:tcBorders>
              <w:top w:val="single" w:color="auto" w:sz="4" w:space="0"/>
              <w:left w:val="single" w:color="auto" w:sz="4" w:space="0"/>
              <w:bottom w:val="single" w:color="auto" w:sz="4" w:space="0"/>
              <w:right w:val="single" w:color="auto" w:sz="4" w:space="0"/>
            </w:tcBorders>
            <w:shd w:val="clear" w:color="auto" w:fill="203764"/>
            <w:noWrap/>
            <w:vAlign w:val="bottom"/>
            <w:hideMark/>
          </w:tcPr>
          <w:p w:rsidRPr="00A24B5C" w:rsidR="00A24B5C" w:rsidP="00A24B5C" w:rsidRDefault="00A24B5C" w14:paraId="7E9F1D31" w14:textId="77777777">
            <w:pPr>
              <w:rPr>
                <w:rFonts w:eastAsia="Times New Roman" w:cs="Calibri"/>
                <w:color w:val="FFFFFF"/>
                <w:sz w:val="20"/>
                <w:szCs w:val="20"/>
              </w:rPr>
            </w:pPr>
            <w:r w:rsidRPr="00A24B5C">
              <w:rPr>
                <w:rFonts w:eastAsia="Times New Roman" w:cs="Calibri"/>
                <w:color w:val="FFFFFF"/>
                <w:sz w:val="20"/>
                <w:szCs w:val="20"/>
              </w:rPr>
              <w:t>DRAH Budget Category</w:t>
            </w:r>
          </w:p>
        </w:tc>
        <w:tc>
          <w:tcPr>
            <w:tcW w:w="1545" w:type="dxa"/>
            <w:tcBorders>
              <w:top w:val="single" w:color="auto" w:sz="4" w:space="0"/>
              <w:left w:val="nil"/>
              <w:bottom w:val="single" w:color="auto" w:sz="4" w:space="0"/>
              <w:right w:val="single" w:color="auto" w:sz="4" w:space="0"/>
            </w:tcBorders>
            <w:shd w:val="clear" w:color="auto" w:fill="203764"/>
            <w:noWrap/>
            <w:vAlign w:val="bottom"/>
            <w:hideMark/>
          </w:tcPr>
          <w:p w:rsidRPr="00A24B5C" w:rsidR="00A24B5C" w:rsidP="00A24B5C" w:rsidRDefault="00A24B5C" w14:paraId="392FE307" w14:textId="77777777">
            <w:pPr>
              <w:jc w:val="center"/>
              <w:rPr>
                <w:rFonts w:eastAsia="Times New Roman" w:cs="Calibri"/>
                <w:b/>
                <w:color w:val="FFFFFF"/>
                <w:sz w:val="20"/>
                <w:szCs w:val="20"/>
              </w:rPr>
            </w:pPr>
            <w:hyperlink w:history="1" r:id="rId12">
              <w:r w:rsidRPr="00A24B5C">
                <w:rPr>
                  <w:rFonts w:eastAsia="Times New Roman" w:cs="Calibri"/>
                  <w:b/>
                  <w:color w:val="FFFFFF"/>
                  <w:sz w:val="20"/>
                  <w:szCs w:val="20"/>
                </w:rPr>
                <w:t>AL 4492-E</w:t>
              </w:r>
            </w:hyperlink>
          </w:p>
        </w:tc>
        <w:tc>
          <w:tcPr>
            <w:tcW w:w="1500" w:type="dxa"/>
            <w:tcBorders>
              <w:top w:val="single" w:color="auto" w:sz="4" w:space="0"/>
              <w:left w:val="nil"/>
              <w:bottom w:val="single" w:color="auto" w:sz="4" w:space="0"/>
              <w:right w:val="single" w:color="auto" w:sz="4" w:space="0"/>
            </w:tcBorders>
            <w:shd w:val="clear" w:color="auto" w:fill="203764"/>
            <w:noWrap/>
            <w:vAlign w:val="bottom"/>
            <w:hideMark/>
          </w:tcPr>
          <w:p w:rsidRPr="00A24B5C" w:rsidR="00A24B5C" w:rsidP="00A24B5C" w:rsidRDefault="0058393E" w14:paraId="7D2551B1" w14:textId="1B9B78D6">
            <w:pPr>
              <w:jc w:val="center"/>
              <w:rPr>
                <w:rFonts w:eastAsia="Times New Roman" w:cs="Calibri"/>
                <w:b/>
                <w:color w:val="FFFFFF"/>
                <w:sz w:val="20"/>
                <w:szCs w:val="20"/>
              </w:rPr>
            </w:pPr>
            <w:r w:rsidRPr="0058393E">
              <w:rPr>
                <w:b/>
                <w:bCs/>
                <w:sz w:val="22"/>
                <w:szCs w:val="22"/>
              </w:rPr>
              <w:t xml:space="preserve">SDG&amp;E </w:t>
            </w:r>
            <w:hyperlink w:history="1" r:id="rId13">
              <w:r w:rsidRPr="00A24B5C" w:rsidR="00A24B5C">
                <w:rPr>
                  <w:rFonts w:eastAsia="Times New Roman" w:cs="Calibri"/>
                  <w:b/>
                  <w:color w:val="FFFFFF"/>
                  <w:sz w:val="20"/>
                  <w:szCs w:val="20"/>
                </w:rPr>
                <w:t>Workpapers</w:t>
              </w:r>
            </w:hyperlink>
          </w:p>
        </w:tc>
        <w:tc>
          <w:tcPr>
            <w:tcW w:w="1605" w:type="dxa"/>
            <w:tcBorders>
              <w:top w:val="single" w:color="auto" w:sz="4" w:space="0"/>
              <w:left w:val="nil"/>
              <w:bottom w:val="single" w:color="auto" w:sz="4" w:space="0"/>
              <w:right w:val="single" w:color="auto" w:sz="4" w:space="0"/>
            </w:tcBorders>
            <w:shd w:val="clear" w:color="auto" w:fill="203764"/>
            <w:noWrap/>
            <w:vAlign w:val="bottom"/>
            <w:hideMark/>
          </w:tcPr>
          <w:p w:rsidR="00082C73" w:rsidP="00A24B5C" w:rsidRDefault="00082C73" w14:paraId="5F1A70F1" w14:textId="017473D5">
            <w:pPr>
              <w:jc w:val="center"/>
              <w:rPr>
                <w:rFonts w:eastAsia="Times New Roman" w:cs="Calibri"/>
                <w:b/>
                <w:color w:val="FFFFFF" w:themeColor="background1"/>
                <w:sz w:val="20"/>
                <w:szCs w:val="20"/>
              </w:rPr>
            </w:pPr>
            <w:r>
              <w:rPr>
                <w:rFonts w:eastAsia="Times New Roman" w:cs="Calibri"/>
                <w:b/>
                <w:color w:val="FFFFFF" w:themeColor="background1"/>
                <w:sz w:val="20"/>
                <w:szCs w:val="20"/>
              </w:rPr>
              <w:t>S</w:t>
            </w:r>
            <w:r w:rsidR="001838E2">
              <w:rPr>
                <w:rFonts w:eastAsia="Times New Roman" w:cs="Calibri"/>
                <w:b/>
                <w:color w:val="FFFFFF" w:themeColor="background1"/>
                <w:sz w:val="20"/>
                <w:szCs w:val="20"/>
              </w:rPr>
              <w:t>upplement</w:t>
            </w:r>
          </w:p>
          <w:p w:rsidRPr="00A24B5C" w:rsidR="00A24B5C" w:rsidP="00A24B5C" w:rsidRDefault="49C8C4C6" w14:paraId="1BBBDE73" w14:textId="6C8C580A">
            <w:pPr>
              <w:jc w:val="center"/>
              <w:rPr>
                <w:rFonts w:eastAsia="Times New Roman" w:cs="Calibri"/>
                <w:b/>
                <w:color w:val="FFFFFF"/>
                <w:sz w:val="20"/>
                <w:szCs w:val="20"/>
              </w:rPr>
            </w:pPr>
            <w:r w:rsidRPr="006C4767">
              <w:rPr>
                <w:rFonts w:eastAsia="Times New Roman" w:cs="Calibri"/>
                <w:b/>
                <w:color w:val="FFFFFF" w:themeColor="background1"/>
                <w:sz w:val="20"/>
                <w:szCs w:val="20"/>
              </w:rPr>
              <w:t xml:space="preserve">AL </w:t>
            </w:r>
            <w:hyperlink r:id="rId14">
              <w:r w:rsidRPr="006C4767" w:rsidR="00A24B5C">
                <w:rPr>
                  <w:rFonts w:eastAsia="Times New Roman" w:cs="Calibri"/>
                  <w:b/>
                  <w:color w:val="FFFFFF" w:themeColor="background1"/>
                  <w:sz w:val="20"/>
                  <w:szCs w:val="20"/>
                </w:rPr>
                <w:t>4492-E-A</w:t>
              </w:r>
            </w:hyperlink>
          </w:p>
        </w:tc>
        <w:tc>
          <w:tcPr>
            <w:tcW w:w="1275" w:type="dxa"/>
            <w:tcBorders>
              <w:top w:val="single" w:color="auto" w:sz="4" w:space="0"/>
              <w:left w:val="nil"/>
              <w:bottom w:val="single" w:color="auto" w:sz="4" w:space="0"/>
              <w:right w:val="single" w:color="auto" w:sz="4" w:space="0"/>
            </w:tcBorders>
            <w:shd w:val="clear" w:color="auto" w:fill="203764"/>
            <w:noWrap/>
            <w:vAlign w:val="bottom"/>
            <w:hideMark/>
          </w:tcPr>
          <w:p w:rsidRPr="00A24B5C" w:rsidR="00A24B5C" w:rsidP="00A24B5C" w:rsidRDefault="00A24B5C" w14:paraId="1151B207" w14:textId="2ED55B6D">
            <w:pPr>
              <w:jc w:val="center"/>
              <w:rPr>
                <w:rFonts w:eastAsia="Times New Roman" w:cs="Calibri"/>
                <w:b/>
                <w:color w:val="FFFFFF"/>
                <w:sz w:val="20"/>
                <w:szCs w:val="20"/>
              </w:rPr>
            </w:pPr>
            <w:hyperlink r:id="rId15">
              <w:r w:rsidRPr="006C4767">
                <w:rPr>
                  <w:rFonts w:eastAsia="Times New Roman" w:cs="Calibri"/>
                  <w:b/>
                  <w:color w:val="FFFFFF" w:themeColor="background1"/>
                  <w:sz w:val="20"/>
                  <w:szCs w:val="20"/>
                </w:rPr>
                <w:t>Approve</w:t>
              </w:r>
              <w:r w:rsidRPr="006C4767" w:rsidR="1871E70D">
                <w:rPr>
                  <w:rFonts w:eastAsia="Times New Roman" w:cs="Calibri"/>
                  <w:b/>
                  <w:color w:val="FFFFFF" w:themeColor="background1"/>
                  <w:sz w:val="20"/>
                  <w:szCs w:val="20"/>
                </w:rPr>
                <w:t>d</w:t>
              </w:r>
            </w:hyperlink>
          </w:p>
        </w:tc>
        <w:tc>
          <w:tcPr>
            <w:tcW w:w="1250" w:type="dxa"/>
            <w:tcBorders>
              <w:top w:val="single" w:color="auto" w:sz="4" w:space="0"/>
              <w:left w:val="nil"/>
              <w:bottom w:val="single" w:color="auto" w:sz="4" w:space="0"/>
              <w:right w:val="single" w:color="auto" w:sz="4" w:space="0"/>
            </w:tcBorders>
            <w:shd w:val="clear" w:color="auto" w:fill="203764"/>
            <w:noWrap/>
            <w:vAlign w:val="bottom"/>
            <w:hideMark/>
          </w:tcPr>
          <w:p w:rsidRPr="00A24B5C" w:rsidR="00A24B5C" w:rsidP="00A24B5C" w:rsidRDefault="00A24B5C" w14:paraId="06277EA1" w14:textId="77777777">
            <w:pPr>
              <w:jc w:val="center"/>
              <w:rPr>
                <w:rFonts w:eastAsia="Times New Roman" w:cs="Calibri"/>
                <w:b/>
                <w:bCs/>
                <w:color w:val="FFFFFF"/>
                <w:sz w:val="20"/>
                <w:szCs w:val="20"/>
              </w:rPr>
            </w:pPr>
            <w:r w:rsidRPr="00A24B5C">
              <w:rPr>
                <w:rFonts w:eastAsia="Times New Roman" w:cs="Calibri"/>
                <w:b/>
                <w:bCs/>
                <w:color w:val="FFFFFF"/>
                <w:sz w:val="20"/>
                <w:szCs w:val="20"/>
              </w:rPr>
              <w:t>Change</w:t>
            </w:r>
          </w:p>
        </w:tc>
      </w:tr>
      <w:tr w:rsidRPr="00A24B5C" w:rsidR="006A20CC" w:rsidTr="6C9CC8B2" w14:paraId="37715B58" w14:textId="77777777">
        <w:trPr>
          <w:trHeight w:val="300"/>
          <w:jc w:val="center"/>
        </w:trPr>
        <w:tc>
          <w:tcPr>
            <w:tcW w:w="2745" w:type="dxa"/>
            <w:tcBorders>
              <w:top w:val="nil"/>
              <w:left w:val="single" w:color="auto" w:sz="4" w:space="0"/>
              <w:bottom w:val="single" w:color="auto" w:sz="4" w:space="0"/>
              <w:right w:val="single" w:color="auto" w:sz="4" w:space="0"/>
            </w:tcBorders>
            <w:shd w:val="clear" w:color="auto" w:fill="auto"/>
            <w:noWrap/>
            <w:vAlign w:val="bottom"/>
            <w:hideMark/>
          </w:tcPr>
          <w:p w:rsidRPr="00A24B5C" w:rsidR="00A24B5C" w:rsidP="00A24B5C" w:rsidRDefault="00A24B5C" w14:paraId="6C6B3BBB" w14:textId="77777777">
            <w:pPr>
              <w:rPr>
                <w:rFonts w:eastAsia="Times New Roman" w:cs="Calibri"/>
                <w:color w:val="000000"/>
                <w:sz w:val="20"/>
                <w:szCs w:val="20"/>
              </w:rPr>
            </w:pPr>
            <w:r w:rsidRPr="00A24B5C">
              <w:rPr>
                <w:rFonts w:eastAsia="Times New Roman" w:cs="Calibri"/>
                <w:color w:val="000000"/>
                <w:sz w:val="20"/>
                <w:szCs w:val="20"/>
              </w:rPr>
              <w:t>IT Billing Systems</w:t>
            </w:r>
          </w:p>
        </w:tc>
        <w:tc>
          <w:tcPr>
            <w:tcW w:w="154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68DF5D75" w14:textId="77777777">
            <w:pPr>
              <w:jc w:val="center"/>
              <w:rPr>
                <w:rFonts w:eastAsia="Times New Roman" w:cs="Calibri"/>
                <w:color w:val="000000"/>
                <w:sz w:val="20"/>
                <w:szCs w:val="20"/>
              </w:rPr>
            </w:pPr>
            <w:r w:rsidRPr="00A24B5C">
              <w:rPr>
                <w:rFonts w:eastAsia="Times New Roman" w:cs="Calibri"/>
                <w:color w:val="000000"/>
                <w:sz w:val="20"/>
                <w:szCs w:val="20"/>
              </w:rPr>
              <w:t xml:space="preserve">$990,000 </w:t>
            </w:r>
          </w:p>
        </w:tc>
        <w:tc>
          <w:tcPr>
            <w:tcW w:w="150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5C113A54" w14:textId="77777777">
            <w:pPr>
              <w:jc w:val="center"/>
              <w:rPr>
                <w:rFonts w:eastAsia="Times New Roman" w:cs="Calibri"/>
                <w:color w:val="000000"/>
                <w:sz w:val="20"/>
                <w:szCs w:val="20"/>
              </w:rPr>
            </w:pPr>
            <w:r w:rsidRPr="00A24B5C">
              <w:rPr>
                <w:rFonts w:eastAsia="Times New Roman" w:cs="Calibri"/>
                <w:color w:val="000000"/>
                <w:sz w:val="20"/>
                <w:szCs w:val="20"/>
              </w:rPr>
              <w:t xml:space="preserve">$990,000 </w:t>
            </w:r>
          </w:p>
        </w:tc>
        <w:tc>
          <w:tcPr>
            <w:tcW w:w="160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1BF786C7" w14:textId="77777777">
            <w:pPr>
              <w:jc w:val="center"/>
              <w:rPr>
                <w:rFonts w:eastAsia="Times New Roman" w:cs="Calibri"/>
                <w:color w:val="000000"/>
                <w:sz w:val="20"/>
                <w:szCs w:val="20"/>
              </w:rPr>
            </w:pPr>
            <w:r w:rsidRPr="00A24B5C">
              <w:rPr>
                <w:rFonts w:eastAsia="Times New Roman" w:cs="Calibri"/>
                <w:color w:val="000000"/>
                <w:sz w:val="20"/>
                <w:szCs w:val="20"/>
              </w:rPr>
              <w:t xml:space="preserve">$990,000 </w:t>
            </w:r>
          </w:p>
        </w:tc>
        <w:tc>
          <w:tcPr>
            <w:tcW w:w="127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01FA471B" w14:textId="77777777">
            <w:pPr>
              <w:jc w:val="center"/>
              <w:rPr>
                <w:rFonts w:eastAsia="Times New Roman" w:cs="Calibri"/>
                <w:color w:val="000000"/>
                <w:sz w:val="20"/>
                <w:szCs w:val="20"/>
              </w:rPr>
            </w:pPr>
            <w:r w:rsidRPr="00A24B5C">
              <w:rPr>
                <w:rFonts w:eastAsia="Times New Roman" w:cs="Calibri"/>
                <w:color w:val="000000"/>
                <w:sz w:val="20"/>
                <w:szCs w:val="20"/>
              </w:rPr>
              <w:t xml:space="preserve">$79,200 </w:t>
            </w:r>
          </w:p>
        </w:tc>
        <w:tc>
          <w:tcPr>
            <w:tcW w:w="125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79867CDE" w14:textId="77777777">
            <w:pPr>
              <w:jc w:val="center"/>
              <w:rPr>
                <w:rFonts w:eastAsia="Times New Roman" w:cs="Calibri"/>
                <w:color w:val="000000"/>
                <w:sz w:val="20"/>
                <w:szCs w:val="20"/>
              </w:rPr>
            </w:pPr>
            <w:r w:rsidRPr="00A24B5C">
              <w:rPr>
                <w:rFonts w:eastAsia="Times New Roman" w:cs="Calibri"/>
                <w:color w:val="FF0000"/>
                <w:sz w:val="20"/>
                <w:szCs w:val="20"/>
              </w:rPr>
              <w:t>($910,800)</w:t>
            </w:r>
          </w:p>
        </w:tc>
      </w:tr>
      <w:tr w:rsidRPr="00A24B5C" w:rsidR="006A20CC" w:rsidTr="6C9CC8B2" w14:paraId="5EF06625" w14:textId="77777777">
        <w:trPr>
          <w:trHeight w:val="300"/>
          <w:jc w:val="center"/>
        </w:trPr>
        <w:tc>
          <w:tcPr>
            <w:tcW w:w="2745" w:type="dxa"/>
            <w:tcBorders>
              <w:top w:val="nil"/>
              <w:left w:val="single" w:color="auto" w:sz="4" w:space="0"/>
              <w:bottom w:val="single" w:color="auto" w:sz="4" w:space="0"/>
              <w:right w:val="single" w:color="auto" w:sz="4" w:space="0"/>
            </w:tcBorders>
            <w:shd w:val="clear" w:color="auto" w:fill="auto"/>
            <w:noWrap/>
            <w:vAlign w:val="bottom"/>
            <w:hideMark/>
          </w:tcPr>
          <w:p w:rsidRPr="00A24B5C" w:rsidR="00A24B5C" w:rsidP="00A24B5C" w:rsidRDefault="00A24B5C" w14:paraId="12CA11C5" w14:textId="77777777">
            <w:pPr>
              <w:rPr>
                <w:rFonts w:eastAsia="Times New Roman" w:cs="Calibri"/>
                <w:color w:val="000000"/>
                <w:sz w:val="20"/>
                <w:szCs w:val="20"/>
              </w:rPr>
            </w:pPr>
            <w:r w:rsidRPr="00A24B5C">
              <w:rPr>
                <w:rFonts w:eastAsia="Times New Roman" w:cs="Calibri"/>
                <w:color w:val="000000"/>
                <w:sz w:val="20"/>
                <w:szCs w:val="20"/>
              </w:rPr>
              <w:t>Customer Care Center</w:t>
            </w:r>
          </w:p>
        </w:tc>
        <w:tc>
          <w:tcPr>
            <w:tcW w:w="154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6D185B06" w14:textId="77777777">
            <w:pPr>
              <w:jc w:val="center"/>
              <w:rPr>
                <w:rFonts w:eastAsia="Times New Roman" w:cs="Calibri"/>
                <w:color w:val="000000"/>
                <w:sz w:val="20"/>
                <w:szCs w:val="20"/>
              </w:rPr>
            </w:pPr>
            <w:r w:rsidRPr="00A24B5C">
              <w:rPr>
                <w:rFonts w:eastAsia="Times New Roman" w:cs="Calibri"/>
                <w:color w:val="000000"/>
                <w:sz w:val="20"/>
                <w:szCs w:val="20"/>
              </w:rPr>
              <w:t xml:space="preserve">$384,000 </w:t>
            </w:r>
          </w:p>
        </w:tc>
        <w:tc>
          <w:tcPr>
            <w:tcW w:w="150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5A68F8AD" w14:textId="77777777">
            <w:pPr>
              <w:jc w:val="center"/>
              <w:rPr>
                <w:rFonts w:eastAsia="Times New Roman" w:cs="Calibri"/>
                <w:color w:val="000000"/>
                <w:sz w:val="20"/>
                <w:szCs w:val="20"/>
              </w:rPr>
            </w:pPr>
            <w:r w:rsidRPr="00A24B5C">
              <w:rPr>
                <w:rFonts w:eastAsia="Times New Roman" w:cs="Calibri"/>
                <w:color w:val="000000"/>
                <w:sz w:val="20"/>
                <w:szCs w:val="20"/>
              </w:rPr>
              <w:t xml:space="preserve">$383,917 </w:t>
            </w:r>
          </w:p>
        </w:tc>
        <w:tc>
          <w:tcPr>
            <w:tcW w:w="160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0818FCA9" w14:textId="77777777">
            <w:pPr>
              <w:jc w:val="center"/>
              <w:rPr>
                <w:rFonts w:eastAsia="Times New Roman" w:cs="Calibri"/>
                <w:color w:val="000000"/>
                <w:sz w:val="20"/>
                <w:szCs w:val="20"/>
              </w:rPr>
            </w:pPr>
            <w:r w:rsidRPr="00A24B5C">
              <w:rPr>
                <w:rFonts w:eastAsia="Times New Roman" w:cs="Calibri"/>
                <w:color w:val="000000"/>
                <w:sz w:val="20"/>
                <w:szCs w:val="20"/>
              </w:rPr>
              <w:t xml:space="preserve">$384,000 </w:t>
            </w:r>
          </w:p>
        </w:tc>
        <w:tc>
          <w:tcPr>
            <w:tcW w:w="127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41A1A3E1" w14:textId="77777777">
            <w:pPr>
              <w:jc w:val="center"/>
              <w:rPr>
                <w:rFonts w:eastAsia="Times New Roman" w:cs="Calibri"/>
                <w:color w:val="000000"/>
                <w:sz w:val="20"/>
                <w:szCs w:val="20"/>
              </w:rPr>
            </w:pPr>
            <w:r w:rsidRPr="00A24B5C">
              <w:rPr>
                <w:rFonts w:eastAsia="Times New Roman" w:cs="Calibri"/>
                <w:color w:val="000000"/>
                <w:sz w:val="20"/>
                <w:szCs w:val="20"/>
              </w:rPr>
              <w:t xml:space="preserve">$191,959 </w:t>
            </w:r>
          </w:p>
        </w:tc>
        <w:tc>
          <w:tcPr>
            <w:tcW w:w="125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7118C953" w14:textId="77777777">
            <w:pPr>
              <w:jc w:val="center"/>
              <w:rPr>
                <w:rFonts w:eastAsia="Times New Roman" w:cs="Calibri"/>
                <w:color w:val="000000"/>
                <w:sz w:val="20"/>
                <w:szCs w:val="20"/>
              </w:rPr>
            </w:pPr>
            <w:r w:rsidRPr="00A24B5C">
              <w:rPr>
                <w:rFonts w:eastAsia="Times New Roman" w:cs="Calibri"/>
                <w:color w:val="FF0000"/>
                <w:sz w:val="20"/>
                <w:szCs w:val="20"/>
              </w:rPr>
              <w:t>($192,042)</w:t>
            </w:r>
          </w:p>
        </w:tc>
      </w:tr>
      <w:tr w:rsidRPr="00A24B5C" w:rsidR="006A20CC" w:rsidTr="6C9CC8B2" w14:paraId="12F2CEF3" w14:textId="77777777">
        <w:trPr>
          <w:trHeight w:val="300"/>
          <w:jc w:val="center"/>
        </w:trPr>
        <w:tc>
          <w:tcPr>
            <w:tcW w:w="2745" w:type="dxa"/>
            <w:tcBorders>
              <w:top w:val="nil"/>
              <w:left w:val="single" w:color="auto" w:sz="4" w:space="0"/>
              <w:bottom w:val="single" w:color="auto" w:sz="4" w:space="0"/>
              <w:right w:val="single" w:color="auto" w:sz="4" w:space="0"/>
            </w:tcBorders>
            <w:shd w:val="clear" w:color="auto" w:fill="auto"/>
            <w:noWrap/>
            <w:vAlign w:val="bottom"/>
            <w:hideMark/>
          </w:tcPr>
          <w:p w:rsidRPr="00A24B5C" w:rsidR="00A24B5C" w:rsidP="00A24B5C" w:rsidRDefault="00A24B5C" w14:paraId="478B6FFC" w14:textId="5CE29C41">
            <w:pPr>
              <w:rPr>
                <w:rFonts w:eastAsia="Times New Roman" w:cs="Calibri"/>
                <w:color w:val="000000"/>
                <w:sz w:val="20"/>
                <w:szCs w:val="20"/>
              </w:rPr>
            </w:pPr>
            <w:r w:rsidRPr="00A24B5C">
              <w:rPr>
                <w:rFonts w:eastAsia="Times New Roman" w:cs="Calibri"/>
                <w:color w:val="000000" w:themeColor="text1"/>
                <w:sz w:val="20"/>
                <w:szCs w:val="20"/>
              </w:rPr>
              <w:lastRenderedPageBreak/>
              <w:t>DRAH Data &amp; Prog</w:t>
            </w:r>
            <w:r w:rsidRPr="15814C80" w:rsidR="00BE006D">
              <w:rPr>
                <w:rFonts w:eastAsia="Times New Roman" w:cs="Calibri"/>
                <w:color w:val="000000" w:themeColor="text1"/>
                <w:sz w:val="20"/>
                <w:szCs w:val="20"/>
              </w:rPr>
              <w:t>.</w:t>
            </w:r>
            <w:r w:rsidRPr="15814C80">
              <w:rPr>
                <w:rFonts w:eastAsia="Times New Roman" w:cs="Calibri"/>
                <w:color w:val="000000" w:themeColor="text1"/>
                <w:sz w:val="20"/>
                <w:szCs w:val="20"/>
              </w:rPr>
              <w:t xml:space="preserve"> </w:t>
            </w:r>
            <w:r w:rsidRPr="15814C80" w:rsidR="00FF11E9">
              <w:rPr>
                <w:rFonts w:eastAsia="Times New Roman" w:cs="Calibri"/>
                <w:color w:val="000000" w:themeColor="text1"/>
                <w:sz w:val="20"/>
                <w:szCs w:val="20"/>
              </w:rPr>
              <w:t>Mgmt</w:t>
            </w:r>
            <w:r w:rsidRPr="15814C80" w:rsidR="7B688E05">
              <w:rPr>
                <w:rFonts w:eastAsia="Times New Roman" w:cs="Calibri"/>
                <w:color w:val="000000" w:themeColor="text1"/>
                <w:sz w:val="20"/>
                <w:szCs w:val="20"/>
              </w:rPr>
              <w:t>.</w:t>
            </w:r>
          </w:p>
        </w:tc>
        <w:tc>
          <w:tcPr>
            <w:tcW w:w="154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4B53E885" w14:textId="4929C429">
            <w:pPr>
              <w:jc w:val="center"/>
              <w:rPr>
                <w:rFonts w:eastAsia="Times New Roman" w:cs="Calibri"/>
                <w:color w:val="000000"/>
                <w:sz w:val="20"/>
                <w:szCs w:val="20"/>
              </w:rPr>
            </w:pPr>
            <w:r w:rsidRPr="00A24B5C">
              <w:rPr>
                <w:rFonts w:eastAsia="Times New Roman" w:cs="Calibri"/>
                <w:color w:val="000000"/>
                <w:sz w:val="20"/>
                <w:szCs w:val="20"/>
              </w:rPr>
              <w:t xml:space="preserve">$376,500 </w:t>
            </w:r>
            <w:r w:rsidRPr="001D2CE7" w:rsidR="00820C25">
              <w:rPr>
                <w:rFonts w:eastAsia="Times New Roman" w:cs="Calibri"/>
                <w:b/>
                <w:i/>
                <w:color w:val="000000" w:themeColor="text1"/>
                <w:sz w:val="20"/>
                <w:szCs w:val="20"/>
              </w:rPr>
              <w:t>[sic]</w:t>
            </w:r>
          </w:p>
        </w:tc>
        <w:tc>
          <w:tcPr>
            <w:tcW w:w="150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6D0C0537" w14:textId="77777777">
            <w:pPr>
              <w:jc w:val="center"/>
              <w:rPr>
                <w:rFonts w:eastAsia="Times New Roman" w:cs="Calibri"/>
                <w:color w:val="000000"/>
                <w:sz w:val="20"/>
                <w:szCs w:val="20"/>
              </w:rPr>
            </w:pPr>
            <w:r w:rsidRPr="00A24B5C">
              <w:rPr>
                <w:rFonts w:eastAsia="Times New Roman" w:cs="Calibri"/>
                <w:color w:val="000000"/>
                <w:sz w:val="20"/>
                <w:szCs w:val="20"/>
              </w:rPr>
              <w:t xml:space="preserve">$494,163 </w:t>
            </w:r>
          </w:p>
        </w:tc>
        <w:tc>
          <w:tcPr>
            <w:tcW w:w="160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0130F317" w14:textId="77777777">
            <w:pPr>
              <w:jc w:val="center"/>
              <w:rPr>
                <w:rFonts w:eastAsia="Times New Roman" w:cs="Calibri"/>
                <w:sz w:val="20"/>
                <w:szCs w:val="20"/>
              </w:rPr>
            </w:pPr>
            <w:r w:rsidRPr="00A24B5C">
              <w:rPr>
                <w:rFonts w:eastAsia="Times New Roman" w:cs="Calibri"/>
                <w:sz w:val="20"/>
                <w:szCs w:val="20"/>
              </w:rPr>
              <w:t xml:space="preserve">$494,450 </w:t>
            </w:r>
          </w:p>
        </w:tc>
        <w:tc>
          <w:tcPr>
            <w:tcW w:w="127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4DEA603E" w14:textId="77777777">
            <w:pPr>
              <w:jc w:val="center"/>
              <w:rPr>
                <w:rFonts w:eastAsia="Times New Roman" w:cs="Calibri"/>
                <w:sz w:val="20"/>
                <w:szCs w:val="20"/>
              </w:rPr>
            </w:pPr>
            <w:r w:rsidRPr="00A24B5C">
              <w:rPr>
                <w:rFonts w:eastAsia="Times New Roman" w:cs="Calibri"/>
                <w:sz w:val="20"/>
                <w:szCs w:val="20"/>
              </w:rPr>
              <w:t xml:space="preserve">$494,450 </w:t>
            </w:r>
          </w:p>
        </w:tc>
        <w:tc>
          <w:tcPr>
            <w:tcW w:w="125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337B0EC8" w14:textId="77777777">
            <w:pPr>
              <w:jc w:val="center"/>
              <w:rPr>
                <w:rFonts w:eastAsia="Times New Roman" w:cs="Calibri"/>
                <w:color w:val="000000"/>
                <w:sz w:val="20"/>
                <w:szCs w:val="20"/>
              </w:rPr>
            </w:pPr>
            <w:r w:rsidRPr="00A24B5C">
              <w:rPr>
                <w:rFonts w:eastAsia="Times New Roman" w:cs="Calibri"/>
                <w:color w:val="000000"/>
                <w:sz w:val="20"/>
                <w:szCs w:val="20"/>
              </w:rPr>
              <w:t xml:space="preserve">$0 </w:t>
            </w:r>
          </w:p>
        </w:tc>
      </w:tr>
      <w:tr w:rsidRPr="00A24B5C" w:rsidR="006A20CC" w:rsidTr="6C9CC8B2" w14:paraId="783B1A0B" w14:textId="77777777">
        <w:trPr>
          <w:trHeight w:val="300"/>
          <w:jc w:val="center"/>
        </w:trPr>
        <w:tc>
          <w:tcPr>
            <w:tcW w:w="2745" w:type="dxa"/>
            <w:tcBorders>
              <w:top w:val="nil"/>
              <w:left w:val="single" w:color="auto" w:sz="4" w:space="0"/>
              <w:bottom w:val="single" w:color="auto" w:sz="4" w:space="0"/>
              <w:right w:val="single" w:color="auto" w:sz="4" w:space="0"/>
            </w:tcBorders>
            <w:shd w:val="clear" w:color="auto" w:fill="auto"/>
            <w:noWrap/>
            <w:vAlign w:val="bottom"/>
            <w:hideMark/>
          </w:tcPr>
          <w:p w:rsidRPr="00A24B5C" w:rsidR="00A24B5C" w:rsidP="2AF85D1D" w:rsidRDefault="00A24B5C" w14:paraId="07F9EDEA" w14:textId="1804C49F">
            <w:pPr>
              <w:jc w:val="right"/>
              <w:rPr>
                <w:rFonts w:eastAsia="Times New Roman" w:cs="Calibri"/>
                <w:b/>
                <w:color w:val="000000"/>
                <w:sz w:val="20"/>
                <w:szCs w:val="20"/>
              </w:rPr>
            </w:pPr>
            <w:r w:rsidRPr="2AF85D1D">
              <w:rPr>
                <w:rFonts w:eastAsia="Times New Roman" w:cs="Calibri"/>
                <w:b/>
                <w:color w:val="000000" w:themeColor="text1"/>
                <w:sz w:val="20"/>
                <w:szCs w:val="20"/>
              </w:rPr>
              <w:t>Total</w:t>
            </w:r>
          </w:p>
        </w:tc>
        <w:tc>
          <w:tcPr>
            <w:tcW w:w="154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1A28CEE0" w14:textId="6B77F5DA">
            <w:pPr>
              <w:jc w:val="center"/>
              <w:rPr>
                <w:rFonts w:eastAsia="Times New Roman" w:cs="Calibri"/>
                <w:b/>
                <w:color w:val="000000"/>
                <w:sz w:val="20"/>
                <w:szCs w:val="20"/>
              </w:rPr>
            </w:pPr>
            <w:r w:rsidRPr="2AF85D1D">
              <w:rPr>
                <w:rFonts w:eastAsia="Times New Roman" w:cs="Calibri"/>
                <w:b/>
                <w:color w:val="000000" w:themeColor="text1"/>
                <w:sz w:val="20"/>
                <w:szCs w:val="20"/>
              </w:rPr>
              <w:t xml:space="preserve">$1,868,450 </w:t>
            </w:r>
          </w:p>
        </w:tc>
        <w:tc>
          <w:tcPr>
            <w:tcW w:w="1500"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2A9528F0" w14:textId="77777777">
            <w:pPr>
              <w:jc w:val="center"/>
              <w:rPr>
                <w:rFonts w:eastAsia="Times New Roman" w:cs="Calibri"/>
                <w:b/>
                <w:color w:val="000000"/>
                <w:sz w:val="20"/>
                <w:szCs w:val="20"/>
              </w:rPr>
            </w:pPr>
            <w:r w:rsidRPr="2AF85D1D">
              <w:rPr>
                <w:rFonts w:eastAsia="Times New Roman" w:cs="Calibri"/>
                <w:b/>
                <w:color w:val="000000" w:themeColor="text1"/>
                <w:sz w:val="20"/>
                <w:szCs w:val="20"/>
              </w:rPr>
              <w:t xml:space="preserve">$1,868,080 </w:t>
            </w:r>
          </w:p>
        </w:tc>
        <w:tc>
          <w:tcPr>
            <w:tcW w:w="160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3750568E" w14:textId="77777777">
            <w:pPr>
              <w:jc w:val="center"/>
              <w:rPr>
                <w:rFonts w:eastAsia="Times New Roman" w:cs="Calibri"/>
                <w:b/>
                <w:color w:val="000000"/>
                <w:sz w:val="20"/>
                <w:szCs w:val="20"/>
              </w:rPr>
            </w:pPr>
            <w:r w:rsidRPr="2AF85D1D">
              <w:rPr>
                <w:rFonts w:eastAsia="Times New Roman" w:cs="Calibri"/>
                <w:b/>
                <w:color w:val="000000" w:themeColor="text1"/>
                <w:sz w:val="20"/>
                <w:szCs w:val="20"/>
              </w:rPr>
              <w:t xml:space="preserve">$1,868,450 </w:t>
            </w:r>
          </w:p>
        </w:tc>
        <w:tc>
          <w:tcPr>
            <w:tcW w:w="1275" w:type="dxa"/>
            <w:tcBorders>
              <w:top w:val="nil"/>
              <w:left w:val="nil"/>
              <w:bottom w:val="single" w:color="auto" w:sz="4" w:space="0"/>
              <w:right w:val="single" w:color="auto" w:sz="4" w:space="0"/>
            </w:tcBorders>
            <w:shd w:val="clear" w:color="auto" w:fill="auto"/>
            <w:noWrap/>
            <w:vAlign w:val="bottom"/>
            <w:hideMark/>
          </w:tcPr>
          <w:p w:rsidRPr="00A24B5C" w:rsidR="00A24B5C" w:rsidP="00A24B5C" w:rsidRDefault="00A24B5C" w14:paraId="2015577C" w14:textId="77777777">
            <w:pPr>
              <w:jc w:val="center"/>
              <w:rPr>
                <w:rFonts w:eastAsia="Times New Roman" w:cs="Calibri"/>
                <w:b/>
                <w:color w:val="000000"/>
                <w:sz w:val="20"/>
                <w:szCs w:val="20"/>
              </w:rPr>
            </w:pPr>
            <w:r w:rsidRPr="2AF85D1D">
              <w:rPr>
                <w:rFonts w:eastAsia="Times New Roman" w:cs="Calibri"/>
                <w:b/>
                <w:color w:val="000000" w:themeColor="text1"/>
                <w:sz w:val="20"/>
                <w:szCs w:val="20"/>
              </w:rPr>
              <w:t xml:space="preserve">$765,609 </w:t>
            </w:r>
          </w:p>
        </w:tc>
        <w:tc>
          <w:tcPr>
            <w:tcW w:w="1250" w:type="dxa"/>
            <w:tcBorders>
              <w:top w:val="nil"/>
              <w:left w:val="nil"/>
              <w:bottom w:val="single" w:color="auto" w:sz="4" w:space="0"/>
              <w:right w:val="single" w:color="auto" w:sz="4" w:space="0"/>
            </w:tcBorders>
            <w:shd w:val="clear" w:color="auto" w:fill="auto"/>
            <w:noWrap/>
            <w:vAlign w:val="bottom"/>
            <w:hideMark/>
          </w:tcPr>
          <w:p w:rsidRPr="00A24B5C" w:rsidR="00A24B5C" w:rsidP="6C9CC8B2" w:rsidRDefault="00A24B5C" w14:paraId="6DC9F7FA" w14:textId="26EA734E">
            <w:pPr>
              <w:jc w:val="center"/>
              <w:rPr>
                <w:rFonts w:eastAsia="Times New Roman" w:cs="Calibri"/>
                <w:b/>
                <w:bCs/>
                <w:color w:val="000000"/>
                <w:sz w:val="20"/>
                <w:szCs w:val="20"/>
              </w:rPr>
            </w:pPr>
            <w:r w:rsidRPr="6C9CC8B2">
              <w:rPr>
                <w:rFonts w:eastAsia="Times New Roman" w:cs="Calibri"/>
                <w:b/>
                <w:bCs/>
                <w:color w:val="FF0000"/>
                <w:sz w:val="20"/>
                <w:szCs w:val="20"/>
              </w:rPr>
              <w:t>$1,102,842</w:t>
            </w:r>
          </w:p>
        </w:tc>
      </w:tr>
    </w:tbl>
    <w:p w:rsidRPr="004F229E" w:rsidR="004F229E" w:rsidP="0040137F" w:rsidRDefault="004F229E" w14:paraId="34E82F53" w14:textId="77777777"/>
    <w:p w:rsidRPr="001D3DCD" w:rsidR="006D7D28" w:rsidP="00C401B7" w:rsidRDefault="006D7D28" w14:paraId="3D6AC23A" w14:textId="77777777">
      <w:pPr>
        <w:pStyle w:val="Heading5"/>
        <w:numPr>
          <w:ilvl w:val="3"/>
          <w:numId w:val="19"/>
        </w:numPr>
        <w:spacing w:before="0" w:after="0" w:line="240" w:lineRule="auto"/>
        <w:rPr>
          <w:i/>
          <w:iCs/>
        </w:rPr>
      </w:pPr>
      <w:r>
        <w:t>DRAH</w:t>
      </w:r>
      <w:r w:rsidRPr="0067681A">
        <w:t xml:space="preserve"> </w:t>
      </w:r>
      <w:r>
        <w:t xml:space="preserve">IT Costs </w:t>
      </w:r>
    </w:p>
    <w:p w:rsidR="006D7D28" w:rsidP="004F229E" w:rsidRDefault="006D7D28" w14:paraId="43A9F39A" w14:textId="183715CF">
      <w:r w:rsidRPr="00EC1EA4">
        <w:t>Cal Advocates raised concern</w:t>
      </w:r>
      <w:r>
        <w:t>s</w:t>
      </w:r>
      <w:r w:rsidRPr="00EC1EA4">
        <w:t xml:space="preserve"> </w:t>
      </w:r>
      <w:r w:rsidR="00762CD8">
        <w:t>in its protest</w:t>
      </w:r>
      <w:r w:rsidRPr="00EC1EA4">
        <w:t xml:space="preserve"> that SDG&amp;E's $990,000 </w:t>
      </w:r>
      <w:r w:rsidRPr="00EC1EA4" w:rsidR="00590FC5">
        <w:t xml:space="preserve">estimate </w:t>
      </w:r>
      <w:r w:rsidRPr="00EC1EA4">
        <w:t>for IT costs associated with the DRAH budget category appears inflated</w:t>
      </w:r>
      <w:r w:rsidR="005D1011">
        <w:t>.</w:t>
      </w:r>
      <w:r w:rsidR="00DF4C48">
        <w:rPr>
          <w:rStyle w:val="FootnoteReference"/>
        </w:rPr>
        <w:footnoteReference w:id="120"/>
      </w:r>
      <w:r w:rsidR="005D1011">
        <w:t xml:space="preserve"> It noted </w:t>
      </w:r>
      <w:r w:rsidR="006338D7">
        <w:t>for</w:t>
      </w:r>
      <w:r w:rsidR="005D1011">
        <w:t xml:space="preserve"> example where </w:t>
      </w:r>
      <w:r w:rsidR="00075D47">
        <w:t>“</w:t>
      </w:r>
      <w:r w:rsidRPr="00EC1EA4">
        <w:t>SDG&amp;E's estimate far exceeds PG&amp;E's $227,000 and SCE's $65,000 estimates for the same work.</w:t>
      </w:r>
      <w:r w:rsidR="00075D47">
        <w:t>”</w:t>
      </w:r>
      <w:r w:rsidRPr="00EC1EA4">
        <w:t xml:space="preserve"> </w:t>
      </w:r>
      <w:r w:rsidR="00FD237E">
        <w:t>E</w:t>
      </w:r>
      <w:r w:rsidR="4EF202C8">
        <w:t>nergy Division</w:t>
      </w:r>
      <w:r w:rsidR="00FD237E">
        <w:t xml:space="preserve"> </w:t>
      </w:r>
      <w:r w:rsidR="000B5052">
        <w:t>S</w:t>
      </w:r>
      <w:r w:rsidR="003654EC">
        <w:t>taff notes that Cal Advocates</w:t>
      </w:r>
      <w:r w:rsidR="008433AB">
        <w:t xml:space="preserve">, in citing </w:t>
      </w:r>
      <w:r w:rsidR="007F104D">
        <w:t>the $227,000</w:t>
      </w:r>
      <w:r w:rsidR="00943711">
        <w:rPr>
          <w:rStyle w:val="FootnoteReference"/>
        </w:rPr>
        <w:footnoteReference w:id="121"/>
      </w:r>
      <w:r w:rsidR="007F104D">
        <w:t xml:space="preserve"> cost for PG&amp;E, is comparing </w:t>
      </w:r>
      <w:r w:rsidR="00645F5D">
        <w:t xml:space="preserve">SDG&amp;E’s $990,000 for IT costs to </w:t>
      </w:r>
      <w:r w:rsidR="003152C3">
        <w:t xml:space="preserve">two separate categories of costs in PG&amp;E’s budget; a more apt comparison would be </w:t>
      </w:r>
      <w:r w:rsidR="002C6743">
        <w:t xml:space="preserve">the $79,200 that PG&amp;E estimated would be needed for </w:t>
      </w:r>
      <w:r w:rsidR="00DC44C6">
        <w:t xml:space="preserve">IT costs related to the DRAH self-attestation process. </w:t>
      </w:r>
      <w:r w:rsidRPr="00EC1EA4">
        <w:t xml:space="preserve">In addition, Cal Advocates argued that SDG&amp;E's total </w:t>
      </w:r>
      <w:r w:rsidR="008F76D6">
        <w:t>DRAH</w:t>
      </w:r>
      <w:r w:rsidRPr="00EC1EA4">
        <w:t xml:space="preserve"> budget estimate alone rivals its peers' total budget estimates for </w:t>
      </w:r>
      <w:r w:rsidR="00CD4500">
        <w:t xml:space="preserve">the </w:t>
      </w:r>
      <w:r w:rsidR="007B42A5">
        <w:t xml:space="preserve">entire </w:t>
      </w:r>
      <w:r w:rsidR="003A5696">
        <w:t>IGFC implementation</w:t>
      </w:r>
      <w:r w:rsidRPr="00EC1EA4">
        <w:t xml:space="preserve">. Cal Advocates recommended that SDG&amp;E provide a cost-detailed breakdown of its IT cost estimates, including detailed descriptions of each item and why each </w:t>
      </w:r>
      <w:r w:rsidR="00E76B15">
        <w:t xml:space="preserve">cost </w:t>
      </w:r>
      <w:r w:rsidRPr="00EC1EA4">
        <w:t xml:space="preserve">item is incremental to funding included in its </w:t>
      </w:r>
      <w:r>
        <w:t>GRC</w:t>
      </w:r>
      <w:r w:rsidRPr="00EC1EA4">
        <w:t xml:space="preserve"> authorized revenue requirement. </w:t>
      </w:r>
    </w:p>
    <w:p w:rsidR="00B75471" w:rsidP="005B49F3" w:rsidRDefault="00930CF3" w14:paraId="2418DFCC" w14:textId="5BE27DFF">
      <w:pPr>
        <w:spacing w:before="288" w:beforeLines="120" w:after="120"/>
      </w:pPr>
      <w:r>
        <w:t xml:space="preserve">In its </w:t>
      </w:r>
      <w:r w:rsidR="00F00E0D">
        <w:t>r</w:t>
      </w:r>
      <w:r>
        <w:t xml:space="preserve">eply to </w:t>
      </w:r>
      <w:r w:rsidR="00193E71">
        <w:t>Cal</w:t>
      </w:r>
      <w:r w:rsidR="6AA76BCE">
        <w:t xml:space="preserve"> </w:t>
      </w:r>
      <w:r w:rsidR="00193E71">
        <w:t xml:space="preserve">Advocates’ </w:t>
      </w:r>
      <w:r w:rsidR="00F00E0D">
        <w:t xml:space="preserve">protest, </w:t>
      </w:r>
      <w:r w:rsidRPr="00F47079" w:rsidR="00E7712F">
        <w:t xml:space="preserve">SDG&amp;E </w:t>
      </w:r>
      <w:r w:rsidR="006D15FB">
        <w:t xml:space="preserve">merely </w:t>
      </w:r>
      <w:r w:rsidR="00F00E0D">
        <w:t xml:space="preserve">reasserts that it </w:t>
      </w:r>
      <w:r w:rsidRPr="00F47079" w:rsidR="00E7712F">
        <w:t xml:space="preserve">“does not currently have a system in place to track DRAH status associated with either customers or properties. </w:t>
      </w:r>
      <w:proofErr w:type="gramStart"/>
      <w:r w:rsidRPr="00F47079" w:rsidR="00E7712F">
        <w:t>In order to</w:t>
      </w:r>
      <w:proofErr w:type="gramEnd"/>
      <w:r w:rsidRPr="00F47079" w:rsidR="00E7712F">
        <w:t xml:space="preserve"> effectively track DRAH properties and customers, SDG&amp;E will have to build this capability into our billing system, which will require a vendor interface to automatically process updates to DRAH data</w:t>
      </w:r>
      <w:r w:rsidR="00007A0C">
        <w:t>”</w:t>
      </w:r>
      <w:r w:rsidR="007C6604">
        <w:rPr>
          <w:rStyle w:val="FootnoteReference"/>
        </w:rPr>
        <w:footnoteReference w:id="122"/>
      </w:r>
      <w:r w:rsidRPr="00F47079" w:rsidR="00B75471">
        <w:t xml:space="preserve"> and </w:t>
      </w:r>
      <w:r w:rsidR="007B2B66">
        <w:t>that it</w:t>
      </w:r>
      <w:r w:rsidRPr="00F47079" w:rsidR="00B75471">
        <w:t xml:space="preserve"> does not have insight into PG&amp;E’s and SCE’s DRAH scope of work to handle DRAH in their respective billing systems.</w:t>
      </w:r>
    </w:p>
    <w:p w:rsidR="003E7F76" w:rsidP="005B49F3" w:rsidRDefault="00C30CC5" w14:paraId="3C804982" w14:textId="163EF801">
      <w:pPr>
        <w:spacing w:before="288" w:beforeLines="120" w:after="120"/>
      </w:pPr>
      <w:r>
        <w:t xml:space="preserve">While SDG&amp;E did supply some </w:t>
      </w:r>
      <w:r w:rsidR="00E96327">
        <w:t>details</w:t>
      </w:r>
      <w:r>
        <w:t xml:space="preserve"> </w:t>
      </w:r>
      <w:r w:rsidR="00F930D7">
        <w:t xml:space="preserve">in </w:t>
      </w:r>
      <w:r w:rsidR="00844B0E">
        <w:t>subsequent workpapers as requested by Energy Division</w:t>
      </w:r>
      <w:r w:rsidR="00B0546D">
        <w:t xml:space="preserve">, </w:t>
      </w:r>
      <w:r w:rsidR="003E7F76">
        <w:t xml:space="preserve">these workpapers were lacking in sufficient detail for an adequate </w:t>
      </w:r>
      <w:r w:rsidR="00844B0E">
        <w:t>evaluation</w:t>
      </w:r>
      <w:r w:rsidR="003E7F76">
        <w:t xml:space="preserve">. There were no labor rates, </w:t>
      </w:r>
      <w:r w:rsidR="005F58E0">
        <w:t xml:space="preserve">hours needed, or </w:t>
      </w:r>
      <w:r w:rsidR="00B26693">
        <w:t>work steps</w:t>
      </w:r>
      <w:r w:rsidR="00DA7CCB">
        <w:t>;</w:t>
      </w:r>
      <w:r w:rsidR="000C3F8E">
        <w:t xml:space="preserve"> rather, SDG&amp;E simply presented</w:t>
      </w:r>
      <w:r w:rsidR="00E7444D">
        <w:t xml:space="preserve"> flat, very high costs</w:t>
      </w:r>
      <w:r w:rsidR="00B42953">
        <w:t>, which would all be spent in one year</w:t>
      </w:r>
      <w:r w:rsidR="00563555">
        <w:t xml:space="preserve">. </w:t>
      </w:r>
      <w:r w:rsidR="00AB592D">
        <w:t>The budget request is silent on</w:t>
      </w:r>
      <w:r w:rsidR="00563555">
        <w:t xml:space="preserve"> </w:t>
      </w:r>
      <w:r w:rsidR="00266191">
        <w:t>how this estimate was developed</w:t>
      </w:r>
      <w:r w:rsidRPr="004F229E" w:rsidR="00521016">
        <w:t>.</w:t>
      </w:r>
      <w:r w:rsidR="004F169C">
        <w:t xml:space="preserve"> Indeed</w:t>
      </w:r>
      <w:r w:rsidR="002F1163">
        <w:t>, this near</w:t>
      </w:r>
      <w:r w:rsidR="0053472F">
        <w:t>-</w:t>
      </w:r>
      <w:r w:rsidR="00610916">
        <w:t>million-dollar</w:t>
      </w:r>
      <w:r w:rsidR="0053472F">
        <w:t xml:space="preserve"> request </w:t>
      </w:r>
      <w:r w:rsidR="0031267B">
        <w:t xml:space="preserve">even included a </w:t>
      </w:r>
      <w:r w:rsidR="00045B08">
        <w:t xml:space="preserve">separate </w:t>
      </w:r>
      <w:r w:rsidR="0031267B">
        <w:t xml:space="preserve">line item </w:t>
      </w:r>
      <w:r w:rsidR="002417A2">
        <w:t>requesting</w:t>
      </w:r>
      <w:r w:rsidR="0031267B">
        <w:t xml:space="preserve"> </w:t>
      </w:r>
      <w:r w:rsidR="00AF6402">
        <w:t>$</w:t>
      </w:r>
      <w:r w:rsidR="006A4052">
        <w:t>295,000</w:t>
      </w:r>
      <w:r w:rsidR="00AF6402">
        <w:t xml:space="preserve"> in 2025 </w:t>
      </w:r>
      <w:r w:rsidR="00266191">
        <w:t xml:space="preserve">to </w:t>
      </w:r>
      <w:r w:rsidR="0031267B">
        <w:t>“</w:t>
      </w:r>
      <w:r w:rsidRPr="002417A2" w:rsidR="002417A2">
        <w:t xml:space="preserve">Design Build </w:t>
      </w:r>
      <w:r w:rsidRPr="002417A2" w:rsidR="002417A2">
        <w:lastRenderedPageBreak/>
        <w:t xml:space="preserve">and Validate New </w:t>
      </w:r>
      <w:r w:rsidRPr="00AF6402" w:rsidR="002417A2">
        <w:t>IGFC</w:t>
      </w:r>
      <w:r w:rsidRPr="002417A2" w:rsidR="002417A2">
        <w:t xml:space="preserve"> Within Billing System</w:t>
      </w:r>
      <w:r w:rsidR="00037AE7">
        <w:t>.</w:t>
      </w:r>
      <w:r w:rsidR="00DD5BA2">
        <w:t>”</w:t>
      </w:r>
      <w:r w:rsidR="00537873">
        <w:rPr>
          <w:rStyle w:val="FootnoteReference"/>
        </w:rPr>
        <w:footnoteReference w:id="123"/>
      </w:r>
      <w:r w:rsidR="00045B08">
        <w:t xml:space="preserve"> The Commissio</w:t>
      </w:r>
      <w:r w:rsidR="00B74961">
        <w:t xml:space="preserve">n has already </w:t>
      </w:r>
      <w:r w:rsidR="004C1118">
        <w:t>approve</w:t>
      </w:r>
      <w:r w:rsidR="00A53222">
        <w:t xml:space="preserve">d </w:t>
      </w:r>
      <w:r w:rsidR="00C22232">
        <w:t xml:space="preserve">an </w:t>
      </w:r>
      <w:r w:rsidR="000E67A3">
        <w:t>$8.307</w:t>
      </w:r>
      <w:r w:rsidR="00955B57">
        <w:t xml:space="preserve"> million</w:t>
      </w:r>
      <w:r w:rsidR="00F73E95">
        <w:rPr>
          <w:rStyle w:val="FootnoteReference"/>
        </w:rPr>
        <w:footnoteReference w:id="124"/>
      </w:r>
      <w:r w:rsidR="000E67A3">
        <w:t xml:space="preserve"> </w:t>
      </w:r>
      <w:r w:rsidR="00C22232">
        <w:t>fixed charge implementation budget for SDG&amp;</w:t>
      </w:r>
      <w:r w:rsidR="00E96327">
        <w:t>E and</w:t>
      </w:r>
      <w:r w:rsidR="00C22232">
        <w:t xml:space="preserve"> </w:t>
      </w:r>
      <w:r w:rsidR="00AE0A04">
        <w:t xml:space="preserve">notes the inappropriateness of asking for additional funds to </w:t>
      </w:r>
      <w:r w:rsidR="008F3E17">
        <w:t xml:space="preserve">implement fixed charges </w:t>
      </w:r>
      <w:r w:rsidR="00687A17">
        <w:t xml:space="preserve">within the billing system </w:t>
      </w:r>
      <w:r w:rsidRPr="004F229E" w:rsidR="008F3E17">
        <w:t>again here</w:t>
      </w:r>
      <w:r w:rsidRPr="004F229E" w:rsidR="002D72B3">
        <w:t>.</w:t>
      </w:r>
    </w:p>
    <w:p w:rsidR="009770D4" w:rsidP="005B49F3" w:rsidRDefault="00202CB9" w14:paraId="1559E0A6" w14:textId="44B18542">
      <w:pPr>
        <w:spacing w:before="288" w:beforeLines="120" w:after="120"/>
      </w:pPr>
      <w:r>
        <w:t>The Commission reminds SDG&amp;E that this DRAH process is new to all three IOUs</w:t>
      </w:r>
      <w:r w:rsidR="002C5162">
        <w:t xml:space="preserve">, but </w:t>
      </w:r>
      <w:r w:rsidR="009B4616">
        <w:t xml:space="preserve">the direction is the same: to </w:t>
      </w:r>
      <w:r w:rsidR="006B66E6">
        <w:t xml:space="preserve">review </w:t>
      </w:r>
      <w:r w:rsidR="00A75E54">
        <w:t xml:space="preserve">housing development-level </w:t>
      </w:r>
      <w:r w:rsidR="006B66E6">
        <w:t xml:space="preserve">data from the same information source, the </w:t>
      </w:r>
      <w:r w:rsidRPr="004F229E" w:rsidR="00CC4E6F">
        <w:t>C</w:t>
      </w:r>
      <w:r w:rsidRPr="004F229E" w:rsidR="5E75F20D">
        <w:t>HP</w:t>
      </w:r>
      <w:r w:rsidRPr="004F229E" w:rsidR="3F2A44B6">
        <w:t>’s</w:t>
      </w:r>
      <w:r w:rsidRPr="00466FEA" w:rsidR="00466FEA">
        <w:t xml:space="preserve"> Preservation Clearinghouse</w:t>
      </w:r>
      <w:r w:rsidR="005E5C20">
        <w:t xml:space="preserve">, </w:t>
      </w:r>
      <w:r w:rsidR="00771619">
        <w:t xml:space="preserve">and </w:t>
      </w:r>
      <w:r w:rsidR="00866C87">
        <w:t xml:space="preserve">apply this data to unit-specific </w:t>
      </w:r>
      <w:r w:rsidR="00885DCB">
        <w:t>premise or account-level detail.</w:t>
      </w:r>
      <w:r w:rsidR="003E0CD4">
        <w:t xml:space="preserve"> SDG&amp;E provides no valid reason why </w:t>
      </w:r>
      <w:r w:rsidR="007666C1">
        <w:t>its costs are so uniquely high. For these reason</w:t>
      </w:r>
      <w:r w:rsidR="00885DCB">
        <w:t>s</w:t>
      </w:r>
      <w:r w:rsidR="007666C1">
        <w:t xml:space="preserve">, </w:t>
      </w:r>
      <w:r w:rsidR="00112F4D">
        <w:t xml:space="preserve">the Commission authorizes SDG&amp;E </w:t>
      </w:r>
      <w:r w:rsidR="007A3CE3">
        <w:t>the same b</w:t>
      </w:r>
      <w:r w:rsidR="00CD52E1">
        <w:t xml:space="preserve">udget requested by </w:t>
      </w:r>
      <w:r w:rsidR="00771619">
        <w:t>PG&amp;</w:t>
      </w:r>
      <w:r w:rsidRPr="004F229E" w:rsidR="00771619">
        <w:t>E</w:t>
      </w:r>
      <w:r w:rsidR="00687A17">
        <w:t xml:space="preserve"> </w:t>
      </w:r>
      <w:r w:rsidR="00710F67">
        <w:t>of</w:t>
      </w:r>
      <w:r w:rsidR="002C2A96">
        <w:t xml:space="preserve"> $79,200</w:t>
      </w:r>
      <w:r w:rsidR="009E249C">
        <w:t xml:space="preserve"> </w:t>
      </w:r>
      <w:r w:rsidR="009770D4">
        <w:t xml:space="preserve">for </w:t>
      </w:r>
      <w:r w:rsidRPr="009770D4" w:rsidR="009770D4">
        <w:t xml:space="preserve">Billing </w:t>
      </w:r>
      <w:r w:rsidR="003C6089">
        <w:t xml:space="preserve">IT </w:t>
      </w:r>
      <w:r w:rsidRPr="009770D4" w:rsidR="009770D4">
        <w:t xml:space="preserve">System </w:t>
      </w:r>
      <w:r w:rsidRPr="009770D4" w:rsidR="17C67DC6">
        <w:t>Change</w:t>
      </w:r>
      <w:r w:rsidRPr="009770D4" w:rsidR="009770D4">
        <w:t xml:space="preserve"> </w:t>
      </w:r>
      <w:r w:rsidR="003C6089">
        <w:t>expenses</w:t>
      </w:r>
      <w:r w:rsidR="007F436B">
        <w:t xml:space="preserve"> </w:t>
      </w:r>
      <w:r w:rsidR="0052621C">
        <w:t>associated with DRAH</w:t>
      </w:r>
      <w:r w:rsidR="003C6089">
        <w:t xml:space="preserve">, rather than the $990,000 requested by </w:t>
      </w:r>
      <w:r w:rsidR="00771619">
        <w:t>SDG&amp;E</w:t>
      </w:r>
      <w:r w:rsidR="003C6089">
        <w:t xml:space="preserve">. </w:t>
      </w:r>
      <w:r w:rsidR="0052621C">
        <w:t xml:space="preserve">While </w:t>
      </w:r>
      <w:r w:rsidR="00D60F04">
        <w:t xml:space="preserve">the totality of </w:t>
      </w:r>
      <w:r w:rsidR="0001505E">
        <w:t>SCE’s</w:t>
      </w:r>
      <w:r w:rsidR="002C49AF">
        <w:t xml:space="preserve"> </w:t>
      </w:r>
      <w:r w:rsidRPr="004F229E" w:rsidR="6F1765AB">
        <w:t>p</w:t>
      </w:r>
      <w:r w:rsidRPr="004F229E" w:rsidR="24DED221">
        <w:t xml:space="preserve">roposed </w:t>
      </w:r>
      <w:r w:rsidRPr="004F229E" w:rsidR="4581913A">
        <w:t>b</w:t>
      </w:r>
      <w:r w:rsidRPr="004F229E" w:rsidR="24DED221">
        <w:t xml:space="preserve">udget </w:t>
      </w:r>
      <w:r w:rsidRPr="004F229E" w:rsidR="141555B6">
        <w:t>r</w:t>
      </w:r>
      <w:r w:rsidRPr="004F229E" w:rsidR="00EC721B">
        <w:t>equest</w:t>
      </w:r>
      <w:r w:rsidR="00EC721B">
        <w:t xml:space="preserve"> appears to be </w:t>
      </w:r>
      <w:r w:rsidR="00401073">
        <w:t>$65,000</w:t>
      </w:r>
      <w:r w:rsidR="001E4ADA">
        <w:rPr>
          <w:rStyle w:val="FootnoteReference"/>
        </w:rPr>
        <w:footnoteReference w:id="125"/>
      </w:r>
      <w:r w:rsidR="00401073">
        <w:t xml:space="preserve"> </w:t>
      </w:r>
      <w:r w:rsidR="00CB4FAB">
        <w:t xml:space="preserve">which could be a more appropriate proxy, </w:t>
      </w:r>
      <w:r w:rsidR="00943F65">
        <w:t xml:space="preserve">the </w:t>
      </w:r>
      <w:r w:rsidRPr="004F229E" w:rsidR="42F488AE">
        <w:t>C</w:t>
      </w:r>
      <w:r w:rsidRPr="004F229E" w:rsidR="00943F65">
        <w:t>ommission</w:t>
      </w:r>
      <w:r w:rsidR="00943F65">
        <w:t xml:space="preserve"> </w:t>
      </w:r>
      <w:r w:rsidR="00A018D4">
        <w:t xml:space="preserve">grants </w:t>
      </w:r>
      <w:r w:rsidR="0011655C">
        <w:t xml:space="preserve">SDG&amp;E </w:t>
      </w:r>
      <w:r w:rsidR="00C33733">
        <w:t xml:space="preserve">the </w:t>
      </w:r>
      <w:r w:rsidR="00120FC1">
        <w:t>slightly larger amount requested by PG&amp;E</w:t>
      </w:r>
      <w:r w:rsidR="001E269B">
        <w:t>.</w:t>
      </w:r>
    </w:p>
    <w:p w:rsidRPr="001D3DCD" w:rsidR="001D3DCD" w:rsidP="00C401B7" w:rsidRDefault="001D3DCD" w14:paraId="01E836CB" w14:textId="49EE38FB">
      <w:pPr>
        <w:pStyle w:val="Heading5"/>
        <w:numPr>
          <w:ilvl w:val="3"/>
          <w:numId w:val="19"/>
        </w:numPr>
        <w:rPr>
          <w:i/>
          <w:iCs/>
        </w:rPr>
      </w:pPr>
      <w:r>
        <w:t>DRAH</w:t>
      </w:r>
      <w:r w:rsidRPr="0067681A">
        <w:t xml:space="preserve"> </w:t>
      </w:r>
      <w:r>
        <w:t>Call Center Expenses</w:t>
      </w:r>
    </w:p>
    <w:p w:rsidR="001F1F64" w:rsidP="008F1149" w:rsidRDefault="001F1F64" w14:paraId="6C0E7353" w14:textId="2AE0C03F">
      <w:r w:rsidRPr="00EC1EA4">
        <w:t>Cal Advocates raised concerns about SDG&amp;E's DRAH budget, particularly the estimate of $384,000 for customer care center</w:t>
      </w:r>
      <w:r w:rsidR="00DB2432">
        <w:t xml:space="preserve"> costs</w:t>
      </w:r>
      <w:r w:rsidRPr="00EC1EA4">
        <w:t>. This figure is significantly higher than SCE's $121,000 and PG&amp;E's $149,000, despite SDG&amp;E serving a smaller residential population.</w:t>
      </w:r>
      <w:r w:rsidR="00DB2432">
        <w:rPr>
          <w:rStyle w:val="FootnoteReference"/>
        </w:rPr>
        <w:footnoteReference w:id="126"/>
      </w:r>
      <w:r w:rsidRPr="00EC1EA4">
        <w:t xml:space="preserve"> While SDG&amp;E has provided some context for this estimate, Cal Advocates recommended that the Commission order SDG&amp;E to submit a supplemental </w:t>
      </w:r>
      <w:r w:rsidR="00B40814">
        <w:t>AL</w:t>
      </w:r>
      <w:r w:rsidRPr="00EC1EA4">
        <w:t xml:space="preserve"> that provides detailed justifications for its higher estimates, including the rationale behind its estimated additional labor expenses.</w:t>
      </w:r>
    </w:p>
    <w:p w:rsidR="008F1149" w:rsidP="008F1149" w:rsidRDefault="008F1149" w14:paraId="6E9B31FB" w14:textId="77777777"/>
    <w:p w:rsidR="00EF0A40" w:rsidP="008F1149" w:rsidRDefault="004314CE" w14:paraId="0B204848" w14:textId="4EFB48EA">
      <w:r>
        <w:t>T</w:t>
      </w:r>
      <w:r w:rsidR="00660289">
        <w:t xml:space="preserve">he Commission </w:t>
      </w:r>
      <w:r>
        <w:t xml:space="preserve">notes </w:t>
      </w:r>
      <w:r w:rsidR="003269FF">
        <w:t xml:space="preserve">two </w:t>
      </w:r>
      <w:r>
        <w:t xml:space="preserve">key </w:t>
      </w:r>
      <w:r w:rsidR="001C0DDD">
        <w:t xml:space="preserve">assumptions SDG&amp;E makes, which are </w:t>
      </w:r>
      <w:r w:rsidR="00AD033A">
        <w:t xml:space="preserve">inconsistent with the other </w:t>
      </w:r>
      <w:r w:rsidR="1741C5C9">
        <w:t>IOUs</w:t>
      </w:r>
      <w:r w:rsidR="00046DCA">
        <w:t xml:space="preserve"> and lead to the substantially higher DRAH </w:t>
      </w:r>
      <w:r w:rsidR="003269FF">
        <w:t xml:space="preserve">call center expenses </w:t>
      </w:r>
      <w:r w:rsidR="009F2921">
        <w:t>claimed by SDG&amp;E</w:t>
      </w:r>
      <w:r w:rsidR="00AD033A">
        <w:t>.</w:t>
      </w:r>
      <w:r w:rsidR="006D0B23">
        <w:t xml:space="preserve">  </w:t>
      </w:r>
      <w:r w:rsidR="00416D5B">
        <w:t xml:space="preserve">Despite </w:t>
      </w:r>
      <w:r w:rsidR="00CA4957">
        <w:t xml:space="preserve">requesting substantial funds for an automated </w:t>
      </w:r>
      <w:r w:rsidR="0048234F">
        <w:br/>
      </w:r>
      <w:r w:rsidR="002C203B">
        <w:t xml:space="preserve">self-attestation </w:t>
      </w:r>
      <w:r w:rsidR="00832433">
        <w:t xml:space="preserve">process </w:t>
      </w:r>
      <w:r w:rsidR="00AB3B9E">
        <w:t xml:space="preserve">which </w:t>
      </w:r>
      <w:r w:rsidR="009E657A">
        <w:t>includes the development of intake forms, a portal for DRAH self-attestation, and automated customer communications</w:t>
      </w:r>
      <w:r w:rsidR="00D267C8">
        <w:t>,</w:t>
      </w:r>
      <w:r w:rsidR="009E657A">
        <w:rPr>
          <w:rStyle w:val="FootnoteReference"/>
        </w:rPr>
        <w:footnoteReference w:id="127"/>
      </w:r>
      <w:r w:rsidR="009E657A">
        <w:t xml:space="preserve"> SDG&amp;E further estimates that 50% </w:t>
      </w:r>
      <w:r w:rsidR="00995492">
        <w:t xml:space="preserve">of customers </w:t>
      </w:r>
      <w:r w:rsidRPr="00FE499E" w:rsidR="00FE499E">
        <w:t>who receive customer outreach will call to self-attest and is requesting</w:t>
      </w:r>
      <w:r w:rsidR="008F151A">
        <w:t xml:space="preserve"> </w:t>
      </w:r>
      <w:r w:rsidRPr="00FE499E" w:rsidR="00FE499E">
        <w:t>incremental resources to handle these requests.</w:t>
      </w:r>
      <w:r w:rsidR="00507D3E">
        <w:t xml:space="preserve"> In contrast, </w:t>
      </w:r>
      <w:r w:rsidR="000451E7">
        <w:t xml:space="preserve">SCE estimates </w:t>
      </w:r>
      <w:r w:rsidR="0075024A">
        <w:t>23%</w:t>
      </w:r>
      <w:r w:rsidR="00ED7B68">
        <w:rPr>
          <w:rStyle w:val="FootnoteReference"/>
        </w:rPr>
        <w:footnoteReference w:id="128"/>
      </w:r>
      <w:r w:rsidR="0075024A">
        <w:t xml:space="preserve"> of its </w:t>
      </w:r>
      <w:r w:rsidR="00CE5A2F">
        <w:t xml:space="preserve">eligible </w:t>
      </w:r>
      <w:r w:rsidR="0075024A">
        <w:t xml:space="preserve">customers will call, </w:t>
      </w:r>
      <w:r w:rsidR="00A92F1C">
        <w:t xml:space="preserve">while PG&amp;E assumes </w:t>
      </w:r>
      <w:r w:rsidR="00B82549">
        <w:t>30</w:t>
      </w:r>
      <w:r w:rsidR="00A92F1C">
        <w:t xml:space="preserve">% of </w:t>
      </w:r>
      <w:r w:rsidR="78912421">
        <w:t>its</w:t>
      </w:r>
      <w:r w:rsidR="00A92F1C">
        <w:t xml:space="preserve"> </w:t>
      </w:r>
      <w:r w:rsidR="0046133C">
        <w:lastRenderedPageBreak/>
        <w:t>eligible</w:t>
      </w:r>
      <w:r w:rsidR="00A92F1C">
        <w:t xml:space="preserve"> customers will call to self-attest.</w:t>
      </w:r>
      <w:r w:rsidR="007158DB">
        <w:rPr>
          <w:rStyle w:val="FootnoteReference"/>
        </w:rPr>
        <w:footnoteReference w:id="129"/>
      </w:r>
      <w:r w:rsidR="0094054D">
        <w:t xml:space="preserve"> </w:t>
      </w:r>
      <w:r w:rsidR="00E1119D">
        <w:t xml:space="preserve">The Commission finds a 25% call-back rate, the </w:t>
      </w:r>
      <w:r w:rsidR="005D22B2">
        <w:t xml:space="preserve">approximate </w:t>
      </w:r>
      <w:r w:rsidR="00E1119D">
        <w:t xml:space="preserve">average </w:t>
      </w:r>
      <w:r w:rsidR="005D22B2">
        <w:t>assumed by</w:t>
      </w:r>
      <w:r w:rsidR="00E1119D">
        <w:t xml:space="preserve"> SCE and PG&amp;E, to be more </w:t>
      </w:r>
      <w:r w:rsidR="005D22B2">
        <w:t>appropriate</w:t>
      </w:r>
      <w:r w:rsidR="00E1119D">
        <w:t>.</w:t>
      </w:r>
    </w:p>
    <w:p w:rsidRPr="008F1149" w:rsidR="008F1149" w:rsidP="008F1149" w:rsidRDefault="008F1149" w14:paraId="0E48962B" w14:textId="77777777"/>
    <w:p w:rsidR="00FE499E" w:rsidP="008F1149" w:rsidRDefault="0094054D" w14:paraId="7943596C" w14:textId="19290E21">
      <w:r>
        <w:t>SCE</w:t>
      </w:r>
      <w:r w:rsidR="009B28AD">
        <w:t xml:space="preserve"> also </w:t>
      </w:r>
      <w:r w:rsidR="006D3A07">
        <w:t xml:space="preserve">noted </w:t>
      </w:r>
      <w:r w:rsidR="00B614EE">
        <w:t xml:space="preserve">that it had originally incorrectly assumed </w:t>
      </w:r>
      <w:r w:rsidR="00514BCE">
        <w:t>“</w:t>
      </w:r>
      <w:r w:rsidRPr="00514BCE" w:rsidR="00514BCE">
        <w:t>a static number of customers would call into the call center</w:t>
      </w:r>
      <w:r w:rsidR="00514BCE">
        <w:t xml:space="preserve"> </w:t>
      </w:r>
      <w:r w:rsidRPr="00514BCE" w:rsidR="00514BCE">
        <w:t>each year and did not account for the fact that subsequent attestations in 2026 and</w:t>
      </w:r>
      <w:r w:rsidR="00726088">
        <w:t xml:space="preserve"> </w:t>
      </w:r>
      <w:r w:rsidRPr="00726088" w:rsidR="00726088">
        <w:t xml:space="preserve">beyond would only be required for customers new to </w:t>
      </w:r>
      <w:r w:rsidR="0048234F">
        <w:br/>
      </w:r>
      <w:r w:rsidRPr="00726088" w:rsidR="00726088">
        <w:t>deed-restricted affordable housing</w:t>
      </w:r>
      <w:r w:rsidR="00726088">
        <w:t xml:space="preserve"> </w:t>
      </w:r>
      <w:r w:rsidRPr="00726088" w:rsidR="00726088">
        <w:t>status</w:t>
      </w:r>
      <w:r w:rsidR="00726088">
        <w:t>.”</w:t>
      </w:r>
      <w:r w:rsidR="00726088">
        <w:rPr>
          <w:rStyle w:val="FootnoteReference"/>
        </w:rPr>
        <w:footnoteReference w:id="130"/>
      </w:r>
      <w:r w:rsidR="00123CB2">
        <w:t xml:space="preserve"> </w:t>
      </w:r>
      <w:r w:rsidR="00EF0A40">
        <w:t xml:space="preserve">In correcting their estimates, SCE lowers </w:t>
      </w:r>
      <w:r w:rsidRPr="008F1149" w:rsidR="25F34403">
        <w:t>its</w:t>
      </w:r>
      <w:r w:rsidR="00EF0A40">
        <w:t xml:space="preserve"> </w:t>
      </w:r>
      <w:r w:rsidR="00926E32">
        <w:t>call volumes after the first year by 50%.</w:t>
      </w:r>
      <w:r w:rsidR="00DF3B21">
        <w:t xml:space="preserve"> L</w:t>
      </w:r>
      <w:r w:rsidR="00F66B8C">
        <w:t>ikewise</w:t>
      </w:r>
      <w:r w:rsidR="00DF3B21">
        <w:t>, PG&amp;E</w:t>
      </w:r>
      <w:r w:rsidR="00F66B8C">
        <w:t xml:space="preserve"> assumed a 57% reduction in calls </w:t>
      </w:r>
      <w:r w:rsidR="00926E32">
        <w:t>after their first year</w:t>
      </w:r>
      <w:r w:rsidR="00CA460C">
        <w:t>,</w:t>
      </w:r>
      <w:r w:rsidR="003C0D76">
        <w:rPr>
          <w:rStyle w:val="FootnoteReference"/>
        </w:rPr>
        <w:footnoteReference w:id="131"/>
      </w:r>
      <w:r w:rsidR="00F66B8C">
        <w:t xml:space="preserve"> </w:t>
      </w:r>
      <w:r w:rsidR="00CA460C">
        <w:t xml:space="preserve">while </w:t>
      </w:r>
      <w:r w:rsidR="00123CB2">
        <w:t xml:space="preserve">SDG&amp;E had only decreased </w:t>
      </w:r>
      <w:r w:rsidRPr="008F1149" w:rsidR="485F74FA">
        <w:t>its</w:t>
      </w:r>
      <w:r w:rsidR="00123CB2">
        <w:t xml:space="preserve"> subsequent values by 30%</w:t>
      </w:r>
      <w:r w:rsidR="00CA460C">
        <w:t xml:space="preserve"> after the first year.</w:t>
      </w:r>
    </w:p>
    <w:p w:rsidRPr="008F1149" w:rsidR="008F1149" w:rsidP="008F1149" w:rsidRDefault="008F1149" w14:paraId="0AE2DB0E" w14:textId="77777777"/>
    <w:p w:rsidR="00C069AC" w:rsidP="00FF5D78" w:rsidRDefault="009309A6" w14:paraId="3F337030" w14:textId="01612778">
      <w:r>
        <w:t xml:space="preserve">For the reasons above, the Commission </w:t>
      </w:r>
      <w:r w:rsidR="0083264D">
        <w:t xml:space="preserve">finds SDG&amp;E’s </w:t>
      </w:r>
      <w:r w:rsidRPr="007716C6" w:rsidR="007716C6">
        <w:t>Customer Care Center Labor cost</w:t>
      </w:r>
      <w:r w:rsidR="007716C6">
        <w:t>s</w:t>
      </w:r>
      <w:r w:rsidRPr="007716C6" w:rsidR="007716C6">
        <w:t xml:space="preserve"> for Incremental Calls </w:t>
      </w:r>
      <w:r w:rsidR="007716C6">
        <w:t xml:space="preserve">to be </w:t>
      </w:r>
      <w:r w:rsidR="005C5D16">
        <w:t xml:space="preserve">unjustifiably high and </w:t>
      </w:r>
      <w:r>
        <w:t xml:space="preserve">reduces </w:t>
      </w:r>
      <w:r w:rsidR="007716C6">
        <w:t xml:space="preserve">them by </w:t>
      </w:r>
      <w:r w:rsidR="00CC3637">
        <w:t xml:space="preserve">50% to </w:t>
      </w:r>
      <w:r w:rsidR="00ED3CCD">
        <w:t>$192,042.</w:t>
      </w:r>
      <w:r w:rsidR="00ED3CCD">
        <w:rPr>
          <w:rStyle w:val="FootnoteReference"/>
        </w:rPr>
        <w:footnoteReference w:id="132"/>
      </w:r>
    </w:p>
    <w:p w:rsidRPr="008F1149" w:rsidR="008F1149" w:rsidP="008F1149" w:rsidRDefault="008F1149" w14:paraId="49D92189" w14:textId="77777777"/>
    <w:p w:rsidR="002E784B" w:rsidP="008F1149" w:rsidRDefault="002E784B" w14:paraId="55B16826" w14:textId="3E29FF10">
      <w:r>
        <w:t xml:space="preserve">While the Commission agrees with Cal </w:t>
      </w:r>
      <w:r w:rsidRPr="008F1149">
        <w:t>Advocates</w:t>
      </w:r>
      <w:r w:rsidR="008F1149">
        <w:t>’</w:t>
      </w:r>
      <w:r>
        <w:t xml:space="preserve"> position that SDG&amp;E’s DRAH implementation costs were unjustifiably high, it also recognizes the need to implement the </w:t>
      </w:r>
      <w:r w:rsidRPr="008F1149" w:rsidR="5BA66ADF">
        <w:t>IGFC</w:t>
      </w:r>
      <w:r>
        <w:t xml:space="preserve"> expeditiously. The Commission adopted Cal </w:t>
      </w:r>
      <w:r w:rsidRPr="008F1149" w:rsidR="50FE9F8D">
        <w:t>Advocates</w:t>
      </w:r>
      <w:r w:rsidRPr="008F1149" w:rsidR="7C2655EB">
        <w:t>’</w:t>
      </w:r>
      <w:r>
        <w:t xml:space="preserve"> position </w:t>
      </w:r>
      <w:r w:rsidR="00CD3B0A">
        <w:t xml:space="preserve">to </w:t>
      </w:r>
      <w:r>
        <w:t xml:space="preserve">require parties to record implementation costs in a </w:t>
      </w:r>
      <w:r w:rsidRPr="003F2704">
        <w:t>memorandum account to provide the Commission and parties an opportunity to conduct a review of the reasonableness of the costs</w:t>
      </w:r>
      <w:r>
        <w:t>.</w:t>
      </w:r>
      <w:r>
        <w:rPr>
          <w:rStyle w:val="FootnoteReference"/>
        </w:rPr>
        <w:footnoteReference w:id="133"/>
      </w:r>
      <w:r>
        <w:t xml:space="preserve"> Each </w:t>
      </w:r>
      <w:r w:rsidRPr="008F1149" w:rsidR="38EEE2D4">
        <w:t>L</w:t>
      </w:r>
      <w:r w:rsidRPr="008F1149" w:rsidR="009B62C1">
        <w:t>arge</w:t>
      </w:r>
      <w:r w:rsidR="009B62C1">
        <w:t xml:space="preserve"> </w:t>
      </w:r>
      <w:r>
        <w:t xml:space="preserve">IOU </w:t>
      </w:r>
      <w:r w:rsidR="009B62C1">
        <w:t xml:space="preserve">has </w:t>
      </w:r>
      <w:r>
        <w:t xml:space="preserve">since filed Tier 1 </w:t>
      </w:r>
      <w:r w:rsidRPr="008F1149" w:rsidR="496F3EDC">
        <w:t>ALs</w:t>
      </w:r>
      <w:r>
        <w:t xml:space="preserve">, per the Commission Decision, </w:t>
      </w:r>
      <w:r w:rsidR="004E1359">
        <w:t xml:space="preserve">to establish memorandum accounts </w:t>
      </w:r>
      <w:r>
        <w:t xml:space="preserve">where costs will be </w:t>
      </w:r>
      <w:r w:rsidR="004E1359">
        <w:t>recorded</w:t>
      </w:r>
      <w:r w:rsidRPr="008F1149">
        <w:t>.</w:t>
      </w:r>
      <w:r>
        <w:t xml:space="preserve"> The Commission </w:t>
      </w:r>
      <w:r w:rsidR="00B50CDF">
        <w:t>emphasizes that</w:t>
      </w:r>
      <w:r>
        <w:t xml:space="preserve"> each </w:t>
      </w:r>
      <w:r w:rsidR="004E1359">
        <w:t xml:space="preserve">cost recovery </w:t>
      </w:r>
      <w:r>
        <w:t xml:space="preserve">filing </w:t>
      </w:r>
      <w:r w:rsidR="00B50CDF">
        <w:t>should</w:t>
      </w:r>
      <w:r>
        <w:t xml:space="preserve"> contain sufficient detail for a reasonableness review including, but not limited to detailed workpapers in Excel format</w:t>
      </w:r>
      <w:r w:rsidRPr="008F1149" w:rsidR="00CD3B0A">
        <w:t xml:space="preserve">. </w:t>
      </w:r>
    </w:p>
    <w:p w:rsidRPr="00FD1D90" w:rsidR="00FD1D90" w:rsidP="00FF5D78" w:rsidRDefault="00757A38" w14:paraId="4CCBF1CB" w14:textId="2FD27921">
      <w:pPr>
        <w:pStyle w:val="Heading2"/>
        <w:ind w:left="360"/>
      </w:pPr>
      <w:r>
        <w:lastRenderedPageBreak/>
        <w:t xml:space="preserve">Proposed </w:t>
      </w:r>
      <w:r w:rsidRPr="00C02B69" w:rsidR="0067681A">
        <w:t>ME</w:t>
      </w:r>
      <w:r w:rsidRPr="0067681A" w:rsidR="0067681A">
        <w:t>&amp;O Plan</w:t>
      </w:r>
    </w:p>
    <w:p w:rsidR="000310E0" w:rsidP="000310E0" w:rsidRDefault="000310E0" w14:paraId="5D1355B1" w14:textId="771F03BB">
      <w:r>
        <w:t>In D.24-05-028, the Commission adopted an efficient process for developing ME&amp;O plans with consistent terminology, high-level messages, and metrics.</w:t>
      </w:r>
      <w:r w:rsidR="00C86885">
        <w:rPr>
          <w:rStyle w:val="FootnoteReference"/>
        </w:rPr>
        <w:footnoteReference w:id="134"/>
      </w:r>
      <w:r>
        <w:t xml:space="preserve"> SDG&amp;E’s proposed ME&amp;O approach will educate residential customers about how the </w:t>
      </w:r>
      <w:r w:rsidR="004C1D49">
        <w:t>f</w:t>
      </w:r>
      <w:r>
        <w:t xml:space="preserve">ixed </w:t>
      </w:r>
      <w:r w:rsidR="004C1D49">
        <w:t>c</w:t>
      </w:r>
      <w:r>
        <w:t>harge will help address equity and affordability issues and</w:t>
      </w:r>
      <w:r w:rsidR="00AD684B">
        <w:t>,</w:t>
      </w:r>
      <w:r>
        <w:t xml:space="preserve"> significantly, how it sets the stage for greater adoption of electrification in California by reducing volumetric rates for all residential customers. Effective communication before, during, and after the fixed charge implementation will be critical to providing a positive customer experience regarding the change in how they are billed for electricity.  </w:t>
      </w:r>
    </w:p>
    <w:p w:rsidR="000310E0" w:rsidP="000310E0" w:rsidRDefault="000310E0" w14:paraId="71585E02" w14:textId="77777777">
      <w:pPr>
        <w:rPr>
          <w:rFonts w:ascii="Times New Roman" w:hAnsi="Times New Roman" w:eastAsia="Times New Roman" w:cs="Times New Roman"/>
        </w:rPr>
      </w:pPr>
    </w:p>
    <w:p w:rsidR="008B1B0A" w:rsidP="00C401B7" w:rsidRDefault="008B1B0A" w14:paraId="00DD1787" w14:textId="169AD75A">
      <w:pPr>
        <w:pStyle w:val="Heading2"/>
        <w:numPr>
          <w:ilvl w:val="1"/>
          <w:numId w:val="16"/>
        </w:numPr>
      </w:pPr>
      <w:r>
        <w:t>ME&amp;O Guiding Principles</w:t>
      </w:r>
    </w:p>
    <w:p w:rsidR="000310E0" w:rsidP="000310E0" w:rsidRDefault="000310E0" w14:paraId="49CB44E3" w14:textId="37B681D6">
      <w:r>
        <w:t>The ME&amp;O approach outlined in the Joint IOU opening testimony</w:t>
      </w:r>
      <w:r w:rsidR="0020489B">
        <w:rPr>
          <w:rStyle w:val="FootnoteReference"/>
        </w:rPr>
        <w:footnoteReference w:id="135"/>
      </w:r>
      <w:r>
        <w:t xml:space="preserve"> demonstrated how SDG&amp;E proposes to test, adjust, and inform customers of the </w:t>
      </w:r>
      <w:r w:rsidR="1A332976">
        <w:t>f</w:t>
      </w:r>
      <w:r w:rsidR="1EA28612">
        <w:t xml:space="preserve">ixed </w:t>
      </w:r>
      <w:r w:rsidR="49750878">
        <w:t>c</w:t>
      </w:r>
      <w:r>
        <w:t xml:space="preserve">harge. After reviewing D.24-05-028, SDG&amp;E </w:t>
      </w:r>
      <w:r w:rsidR="00E44957">
        <w:t>stated it</w:t>
      </w:r>
      <w:r>
        <w:t xml:space="preserve"> maintained the general strategy and tactics outlined in the original Joint IOU testimony and made adjustments to reflect the approval of lower </w:t>
      </w:r>
      <w:r w:rsidR="005003D8">
        <w:t>f</w:t>
      </w:r>
      <w:r>
        <w:t xml:space="preserve">ixed </w:t>
      </w:r>
      <w:r w:rsidR="005003D8">
        <w:t>c</w:t>
      </w:r>
      <w:r>
        <w:t>harge amounts, no new income verification requirements outside of existing CARE and FERA certification practices, the inclusion of the requirement around self-attestation for DRAH, and new data from research SDG&amp;E conducted immediately following the issuance of the proposed decision.</w:t>
      </w:r>
      <w:r w:rsidR="00E44957">
        <w:rPr>
          <w:rStyle w:val="FootnoteReference"/>
        </w:rPr>
        <w:footnoteReference w:id="136"/>
      </w:r>
    </w:p>
    <w:p w:rsidRPr="00C716F2" w:rsidR="002702C2" w:rsidP="0053793B" w:rsidRDefault="002702C2" w14:paraId="5E05EA91" w14:textId="77777777"/>
    <w:p w:rsidRPr="0067681A" w:rsidR="00232E47" w:rsidP="00C401B7" w:rsidRDefault="00232E47" w14:paraId="1C4A1B5F" w14:textId="3BDB1276">
      <w:pPr>
        <w:pStyle w:val="Heading2"/>
        <w:numPr>
          <w:ilvl w:val="1"/>
          <w:numId w:val="16"/>
        </w:numPr>
      </w:pPr>
      <w:r w:rsidRPr="0067681A">
        <w:t>ME&amp;O Objectives and Strategies</w:t>
      </w:r>
    </w:p>
    <w:p w:rsidR="00232E47" w:rsidP="00496ED3" w:rsidRDefault="00232E47" w14:paraId="6208BD56" w14:textId="535EF371">
      <w:pPr>
        <w:pStyle w:val="sub3"/>
        <w:keepNext/>
        <w:spacing w:line="240" w:lineRule="auto"/>
        <w:ind w:firstLine="0"/>
      </w:pPr>
      <w:r>
        <w:t>SDG&amp;E</w:t>
      </w:r>
      <w:r w:rsidR="00660002">
        <w:t xml:space="preserve">’s </w:t>
      </w:r>
      <w:r>
        <w:t xml:space="preserve">proposed </w:t>
      </w:r>
      <w:r w:rsidRPr="00D36F22">
        <w:t xml:space="preserve">goals </w:t>
      </w:r>
      <w:r>
        <w:t xml:space="preserve">of its </w:t>
      </w:r>
      <w:r w:rsidRPr="00D36F22">
        <w:t>ME&amp;O are to:</w:t>
      </w:r>
      <w:r w:rsidR="004F67B1">
        <w:rPr>
          <w:rStyle w:val="FootnoteReference"/>
        </w:rPr>
        <w:footnoteReference w:id="137"/>
      </w:r>
      <w:r w:rsidRPr="00D36F22">
        <w:t xml:space="preserve"> </w:t>
      </w:r>
    </w:p>
    <w:p w:rsidR="00232E47" w:rsidP="00232E47" w:rsidRDefault="00232E47" w14:paraId="0454846E" w14:textId="77777777">
      <w:pPr>
        <w:pStyle w:val="sub3"/>
        <w:spacing w:line="240" w:lineRule="auto"/>
        <w:ind w:firstLine="0"/>
      </w:pPr>
    </w:p>
    <w:p w:rsidR="00232E47" w:rsidP="002620C2" w:rsidRDefault="00232E47" w14:paraId="396930ED" w14:textId="6EE569EB">
      <w:pPr>
        <w:pStyle w:val="sub3"/>
        <w:numPr>
          <w:ilvl w:val="0"/>
          <w:numId w:val="7"/>
        </w:numPr>
        <w:spacing w:after="80" w:line="240" w:lineRule="auto"/>
      </w:pPr>
      <w:r w:rsidRPr="00D36F22">
        <w:t xml:space="preserve">Educate residential customers on the way they are charged for electricity. Inform customers on how it will be changing, why and when the new structure is being applied, what the </w:t>
      </w:r>
      <w:r>
        <w:t>fixed charge</w:t>
      </w:r>
      <w:r w:rsidRPr="00D36F22">
        <w:t xml:space="preserve"> will be applied to, how their bill may be impacted, and helpful ways to manage energy costs. </w:t>
      </w:r>
    </w:p>
    <w:p w:rsidR="00232E47" w:rsidP="002620C2" w:rsidRDefault="00232E47" w14:paraId="1386BA15" w14:textId="79BE9A94">
      <w:pPr>
        <w:pStyle w:val="sub3"/>
        <w:numPr>
          <w:ilvl w:val="0"/>
          <w:numId w:val="7"/>
        </w:numPr>
        <w:spacing w:after="80" w:line="240" w:lineRule="auto"/>
      </w:pPr>
      <w:r w:rsidRPr="00D36F22">
        <w:t xml:space="preserve">Explain that the </w:t>
      </w:r>
      <w:r>
        <w:t>fixed charge</w:t>
      </w:r>
      <w:r w:rsidRPr="00D36F22">
        <w:t xml:space="preserve"> will be a separate line item shown on their bill rather than a change in rate design. </w:t>
      </w:r>
    </w:p>
    <w:p w:rsidR="00232E47" w:rsidP="002620C2" w:rsidRDefault="00232E47" w14:paraId="329D8422" w14:textId="45F19002">
      <w:pPr>
        <w:pStyle w:val="sub3"/>
        <w:numPr>
          <w:ilvl w:val="0"/>
          <w:numId w:val="7"/>
        </w:numPr>
        <w:spacing w:after="80" w:line="240" w:lineRule="auto"/>
      </w:pPr>
      <w:r w:rsidRPr="00D36F22">
        <w:t xml:space="preserve">Explain that the new </w:t>
      </w:r>
      <w:r>
        <w:t>fixed charge</w:t>
      </w:r>
      <w:r w:rsidRPr="00D36F22">
        <w:t xml:space="preserve"> line item on their bill had previously been embedded in their volumetric energy use charge (and that all customers’ </w:t>
      </w:r>
      <w:r w:rsidRPr="00D36F22">
        <w:lastRenderedPageBreak/>
        <w:t xml:space="preserve">volumetric charge may go down once the fixed costs are relocated to a separate line item.) </w:t>
      </w:r>
    </w:p>
    <w:p w:rsidR="00232E47" w:rsidP="002620C2" w:rsidRDefault="00232E47" w14:paraId="5FE2D149" w14:textId="77777777">
      <w:pPr>
        <w:pStyle w:val="sub3"/>
        <w:numPr>
          <w:ilvl w:val="0"/>
          <w:numId w:val="7"/>
        </w:numPr>
        <w:spacing w:after="80" w:line="240" w:lineRule="auto"/>
      </w:pPr>
      <w:r w:rsidRPr="00D36F22">
        <w:t xml:space="preserve">Assure CARE and FERA customers that their assistance program discounts will not be affected by the fixed charge, and that they may </w:t>
      </w:r>
      <w:proofErr w:type="gramStart"/>
      <w:r w:rsidRPr="00D36F22">
        <w:t>actually see</w:t>
      </w:r>
      <w:proofErr w:type="gramEnd"/>
      <w:r w:rsidRPr="00D36F22">
        <w:t xml:space="preserve"> lower bills as a result. </w:t>
      </w:r>
    </w:p>
    <w:p w:rsidR="00232E47" w:rsidP="002620C2" w:rsidRDefault="00232E47" w14:paraId="1B83BB8F" w14:textId="56627D4F">
      <w:pPr>
        <w:pStyle w:val="sub3"/>
        <w:numPr>
          <w:ilvl w:val="0"/>
          <w:numId w:val="7"/>
        </w:numPr>
        <w:spacing w:after="80" w:line="240" w:lineRule="auto"/>
      </w:pPr>
      <w:r w:rsidRPr="00D36F22">
        <w:t xml:space="preserve">Raise awareness for customers identified as residents of DRAH that they are eligible for a discounted </w:t>
      </w:r>
      <w:r>
        <w:t>fixed charge</w:t>
      </w:r>
      <w:r w:rsidRPr="00D36F22">
        <w:t xml:space="preserve"> if they self-attest. </w:t>
      </w:r>
    </w:p>
    <w:p w:rsidR="00FD7A79" w:rsidP="00FD7A79" w:rsidRDefault="00FD7A79" w14:paraId="085C523D" w14:textId="77777777">
      <w:pPr>
        <w:pStyle w:val="sub3"/>
        <w:spacing w:line="240" w:lineRule="auto"/>
        <w:ind w:firstLine="0"/>
      </w:pPr>
    </w:p>
    <w:p w:rsidR="00FD7A79" w:rsidP="00FD7A79" w:rsidRDefault="00FD7A79" w14:paraId="20DFCE45" w14:textId="4CA3840F">
      <w:pPr>
        <w:pStyle w:val="sub3"/>
        <w:spacing w:line="240" w:lineRule="auto"/>
        <w:ind w:firstLine="0"/>
      </w:pPr>
      <w:r>
        <w:t>SDG&amp;E’s ME&amp;O strategies include:</w:t>
      </w:r>
      <w:r w:rsidR="006E3A32">
        <w:rPr>
          <w:rStyle w:val="FootnoteReference"/>
        </w:rPr>
        <w:footnoteReference w:id="138"/>
      </w:r>
    </w:p>
    <w:p w:rsidR="00232E47" w:rsidP="00232E47" w:rsidRDefault="00232E47" w14:paraId="27BF0EDA" w14:textId="77777777">
      <w:pPr>
        <w:pStyle w:val="sub3"/>
        <w:spacing w:line="240" w:lineRule="auto"/>
        <w:ind w:firstLine="0"/>
      </w:pPr>
    </w:p>
    <w:p w:rsidR="00DC3826" w:rsidP="002620C2" w:rsidRDefault="00232E47" w14:paraId="2A51232E" w14:textId="2C77BBA1">
      <w:pPr>
        <w:pStyle w:val="sub3"/>
        <w:numPr>
          <w:ilvl w:val="0"/>
          <w:numId w:val="6"/>
        </w:numPr>
        <w:spacing w:after="80" w:line="240" w:lineRule="auto"/>
      </w:pPr>
      <w:r w:rsidRPr="45F8F8EE">
        <w:t xml:space="preserve">Using a multi-channel/multi-phased/integrated approach aimed at residential customers to maximize awareness, understanding, and acceptance by addressing perceptions and misperceptions of the </w:t>
      </w:r>
      <w:r>
        <w:t>fixed charge</w:t>
      </w:r>
      <w:r w:rsidR="00A06C8B">
        <w:t>.</w:t>
      </w:r>
    </w:p>
    <w:p w:rsidR="00232E47" w:rsidP="002620C2" w:rsidRDefault="00232E47" w14:paraId="42522179" w14:textId="4DBEC324">
      <w:pPr>
        <w:pStyle w:val="sub3"/>
        <w:numPr>
          <w:ilvl w:val="0"/>
          <w:numId w:val="6"/>
        </w:numPr>
        <w:spacing w:after="80" w:line="240" w:lineRule="auto"/>
      </w:pPr>
      <w:r w:rsidRPr="45F8F8EE">
        <w:t xml:space="preserve">Utilizing customer analytics data to reach the right customers with the right message. </w:t>
      </w:r>
    </w:p>
    <w:p w:rsidR="00232E47" w:rsidP="002620C2" w:rsidRDefault="00232E47" w14:paraId="63DAE803" w14:textId="77777777">
      <w:pPr>
        <w:pStyle w:val="sub3"/>
        <w:numPr>
          <w:ilvl w:val="0"/>
          <w:numId w:val="6"/>
        </w:numPr>
        <w:spacing w:after="80" w:line="240" w:lineRule="auto"/>
      </w:pPr>
      <w:r w:rsidRPr="45F8F8EE">
        <w:t>Providing simple, clear, and transparent communications.</w:t>
      </w:r>
    </w:p>
    <w:p w:rsidR="00232E47" w:rsidP="002620C2" w:rsidRDefault="00232E47" w14:paraId="600398C0" w14:textId="2CBD47A7">
      <w:pPr>
        <w:pStyle w:val="sub3"/>
        <w:numPr>
          <w:ilvl w:val="0"/>
          <w:numId w:val="6"/>
        </w:numPr>
        <w:spacing w:after="80" w:line="240" w:lineRule="auto"/>
      </w:pPr>
      <w:r w:rsidRPr="45F8F8EE">
        <w:t xml:space="preserve">Using customer insights and segmentation to tailor appropriate communications for subgroups more likely to need specialized outreach, such as Medical Baseline and any customers currently on a rate that includes a </w:t>
      </w:r>
      <w:r>
        <w:t xml:space="preserve">fixed </w:t>
      </w:r>
      <w:r w:rsidR="00B01324">
        <w:t>charge</w:t>
      </w:r>
      <w:r>
        <w:t xml:space="preserve"> </w:t>
      </w:r>
      <w:r w:rsidRPr="45F8F8EE">
        <w:t xml:space="preserve">amount. </w:t>
      </w:r>
    </w:p>
    <w:p w:rsidR="00232E47" w:rsidP="002620C2" w:rsidRDefault="00232E47" w14:paraId="0507D98B" w14:textId="77777777">
      <w:pPr>
        <w:pStyle w:val="sub3"/>
        <w:numPr>
          <w:ilvl w:val="0"/>
          <w:numId w:val="6"/>
        </w:numPr>
        <w:spacing w:after="80" w:line="240" w:lineRule="auto"/>
      </w:pPr>
      <w:r w:rsidRPr="45F8F8EE">
        <w:t xml:space="preserve">Providing in-language communication for multilingual customers. </w:t>
      </w:r>
    </w:p>
    <w:p w:rsidR="00232E47" w:rsidP="002620C2" w:rsidRDefault="00232E47" w14:paraId="19314A2B" w14:textId="77777777">
      <w:pPr>
        <w:pStyle w:val="sub3"/>
        <w:numPr>
          <w:ilvl w:val="0"/>
          <w:numId w:val="6"/>
        </w:numPr>
        <w:spacing w:after="80" w:line="240" w:lineRule="auto"/>
      </w:pPr>
      <w:r w:rsidRPr="45F8F8EE">
        <w:t xml:space="preserve">Offering and promoting online information to make it easy to inform and educate customers. </w:t>
      </w:r>
    </w:p>
    <w:p w:rsidR="00232E47" w:rsidP="002620C2" w:rsidRDefault="00232E47" w14:paraId="12F70E98" w14:textId="6B3AD9A1">
      <w:pPr>
        <w:pStyle w:val="sub3"/>
        <w:numPr>
          <w:ilvl w:val="0"/>
          <w:numId w:val="6"/>
        </w:numPr>
        <w:spacing w:after="80" w:line="240" w:lineRule="auto"/>
      </w:pPr>
      <w:r w:rsidRPr="45F8F8EE">
        <w:t>Leveraging CBO</w:t>
      </w:r>
      <w:r>
        <w:t>s</w:t>
      </w:r>
      <w:r w:rsidRPr="45F8F8EE">
        <w:t xml:space="preserve"> to notify and educate </w:t>
      </w:r>
      <w:r w:rsidR="00BE0334">
        <w:t>HTR</w:t>
      </w:r>
      <w:r w:rsidRPr="45F8F8EE">
        <w:t xml:space="preserve"> customers. </w:t>
      </w:r>
    </w:p>
    <w:p w:rsidR="00232E47" w:rsidP="002620C2" w:rsidRDefault="00232E47" w14:paraId="2AF78ED3" w14:textId="77777777">
      <w:pPr>
        <w:pStyle w:val="sub3"/>
        <w:numPr>
          <w:ilvl w:val="0"/>
          <w:numId w:val="6"/>
        </w:numPr>
        <w:spacing w:after="80" w:line="240" w:lineRule="auto"/>
      </w:pPr>
      <w:r w:rsidRPr="45F8F8EE">
        <w:t>Incorporating electrification messaging into currently planned communications to encourage using more clean energy and reduce costs.</w:t>
      </w:r>
    </w:p>
    <w:p w:rsidR="007A6BF2" w:rsidP="003906B0" w:rsidRDefault="007A6BF2" w14:paraId="73A8F5A2" w14:textId="345AB7AF"/>
    <w:p w:rsidR="00232E47" w:rsidP="00C401B7" w:rsidRDefault="00232E47" w14:paraId="493405CC" w14:textId="47251AC1">
      <w:pPr>
        <w:pStyle w:val="Heading2"/>
        <w:numPr>
          <w:ilvl w:val="1"/>
          <w:numId w:val="16"/>
        </w:numPr>
      </w:pPr>
      <w:r w:rsidRPr="0067681A">
        <w:t>Overarching Phased Approach</w:t>
      </w:r>
    </w:p>
    <w:p w:rsidR="00232E47" w:rsidP="00232E47" w:rsidRDefault="00146972" w14:paraId="6BCF3022" w14:textId="44B75822">
      <w:pPr>
        <w:pStyle w:val="sub3"/>
        <w:spacing w:line="240" w:lineRule="auto"/>
        <w:ind w:firstLine="0"/>
      </w:pPr>
      <w:r>
        <w:t>According to SDG&amp;E, r</w:t>
      </w:r>
      <w:r w:rsidRPr="00710214" w:rsidR="00232E47">
        <w:t xml:space="preserve">esearch findings from April 2024 show that customers' preferences vary when they want to learn about the </w:t>
      </w:r>
      <w:r w:rsidR="00232E47">
        <w:t xml:space="preserve">fixed </w:t>
      </w:r>
      <w:r w:rsidRPr="00710214" w:rsidR="00232E47">
        <w:t>charge.</w:t>
      </w:r>
      <w:r w:rsidR="004F67B1">
        <w:rPr>
          <w:rStyle w:val="FootnoteReference"/>
        </w:rPr>
        <w:footnoteReference w:id="139"/>
      </w:r>
      <w:r w:rsidRPr="00710214" w:rsidR="00232E47">
        <w:t xml:space="preserve"> SDG&amp;E proposed implementing ME&amp;O using a phased approach.</w:t>
      </w:r>
      <w:r w:rsidR="000D13D0">
        <w:rPr>
          <w:rStyle w:val="FootnoteReference"/>
        </w:rPr>
        <w:footnoteReference w:id="140"/>
      </w:r>
      <w:r w:rsidRPr="00710214" w:rsidR="00232E47">
        <w:t xml:space="preserve"> The first phase will focus on Awareness, the second on Education, and the third on Engagement. This strategy will </w:t>
      </w:r>
      <w:r w:rsidRPr="00710214" w:rsidR="00232E47">
        <w:lastRenderedPageBreak/>
        <w:t xml:space="preserve">guide the timing of tactics and the progression of messaging through the various marketing and outreach channels shown in Figure </w:t>
      </w:r>
      <w:r w:rsidR="00AE2C4A">
        <w:t>1</w:t>
      </w:r>
      <w:r w:rsidRPr="00710214" w:rsidR="00232E47">
        <w:t xml:space="preserve"> below</w:t>
      </w:r>
      <w:r w:rsidR="00232E47">
        <w:t>:</w:t>
      </w:r>
    </w:p>
    <w:p w:rsidR="00232E47" w:rsidP="00232E47" w:rsidRDefault="00232E47" w14:paraId="06767E11" w14:textId="77777777">
      <w:pPr>
        <w:pStyle w:val="sub3"/>
        <w:spacing w:line="240" w:lineRule="auto"/>
        <w:ind w:firstLine="0"/>
      </w:pPr>
    </w:p>
    <w:p w:rsidRPr="00497291" w:rsidR="00232E47" w:rsidP="00232E47" w:rsidRDefault="00232E47" w14:paraId="0ACF1371" w14:textId="51A9357B">
      <w:pPr>
        <w:pStyle w:val="sub3"/>
        <w:spacing w:line="240" w:lineRule="auto"/>
        <w:ind w:firstLine="0"/>
        <w:jc w:val="center"/>
        <w:rPr>
          <w:b/>
          <w:bCs/>
        </w:rPr>
      </w:pPr>
      <w:r w:rsidRPr="00497291">
        <w:rPr>
          <w:b/>
          <w:bCs/>
        </w:rPr>
        <w:t xml:space="preserve">Figure </w:t>
      </w:r>
      <w:r w:rsidRPr="774AD87E" w:rsidR="40ADCBAB">
        <w:rPr>
          <w:b/>
          <w:bCs/>
        </w:rPr>
        <w:t>1</w:t>
      </w:r>
      <w:r w:rsidRPr="00497291">
        <w:rPr>
          <w:b/>
          <w:bCs/>
        </w:rPr>
        <w:t>:  SDG&amp;E ME&amp;O Phased-Approach</w:t>
      </w:r>
      <w:r w:rsidR="00146972">
        <w:rPr>
          <w:rStyle w:val="FootnoteReference"/>
          <w:b/>
          <w:bCs/>
        </w:rPr>
        <w:footnoteReference w:id="141"/>
      </w:r>
    </w:p>
    <w:p w:rsidR="00232E47" w:rsidP="00232E47" w:rsidRDefault="00232E47" w14:paraId="4529918B" w14:textId="77777777">
      <w:pPr>
        <w:pStyle w:val="sub3"/>
        <w:spacing w:line="240" w:lineRule="auto"/>
        <w:ind w:firstLine="0"/>
      </w:pPr>
    </w:p>
    <w:p w:rsidR="00232E47" w:rsidP="00232E47" w:rsidRDefault="00232E47" w14:paraId="66C163E0" w14:textId="77777777">
      <w:pPr>
        <w:pStyle w:val="sub3"/>
        <w:spacing w:line="240" w:lineRule="auto"/>
        <w:ind w:firstLine="0"/>
        <w:jc w:val="center"/>
      </w:pPr>
      <w:r w:rsidRPr="000F1510">
        <w:rPr>
          <w:noProof/>
          <w:color w:val="2B579A"/>
          <w:shd w:val="clear" w:color="auto" w:fill="E6E6E6"/>
        </w:rPr>
        <w:drawing>
          <wp:inline distT="0" distB="0" distL="0" distR="0" wp14:anchorId="5FAF5E86" wp14:editId="44852B4B">
            <wp:extent cx="4972050" cy="1527810"/>
            <wp:effectExtent l="0" t="0" r="0" b="0"/>
            <wp:docPr id="268145838" name="Picture 1" descr="A diagram of a solar energy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45838" name="Picture 1" descr="A diagram of a solar energy system&#10;&#10;Description automatically generated with medium confidence"/>
                    <pic:cNvPicPr/>
                  </pic:nvPicPr>
                  <pic:blipFill rotWithShape="1">
                    <a:blip r:embed="rId16"/>
                    <a:srcRect l="3596" t="3279" r="494"/>
                    <a:stretch/>
                  </pic:blipFill>
                  <pic:spPr bwMode="auto">
                    <a:xfrm>
                      <a:off x="0" y="0"/>
                      <a:ext cx="4987355" cy="1532513"/>
                    </a:xfrm>
                    <a:prstGeom prst="rect">
                      <a:avLst/>
                    </a:prstGeom>
                    <a:ln>
                      <a:noFill/>
                    </a:ln>
                    <a:extLst>
                      <a:ext uri="{53640926-AAD7-44D8-BBD7-CCE9431645EC}">
                        <a14:shadowObscured xmlns:a14="http://schemas.microsoft.com/office/drawing/2010/main"/>
                      </a:ext>
                    </a:extLst>
                  </pic:spPr>
                </pic:pic>
              </a:graphicData>
            </a:graphic>
          </wp:inline>
        </w:drawing>
      </w:r>
    </w:p>
    <w:p w:rsidR="00232E47" w:rsidP="00232E47" w:rsidRDefault="00232E47" w14:paraId="2421752C" w14:textId="77777777">
      <w:pPr>
        <w:pStyle w:val="sub3"/>
        <w:spacing w:line="240" w:lineRule="auto"/>
        <w:ind w:firstLine="0"/>
      </w:pPr>
    </w:p>
    <w:p w:rsidR="00540A39" w:rsidP="00232E47" w:rsidRDefault="00540A39" w14:paraId="215A883C" w14:textId="77777777">
      <w:pPr>
        <w:pStyle w:val="sub3"/>
        <w:spacing w:line="240" w:lineRule="auto"/>
        <w:ind w:firstLine="0"/>
      </w:pPr>
    </w:p>
    <w:p w:rsidR="00232E47" w:rsidP="00C401B7" w:rsidRDefault="00232E47" w14:paraId="3298E8EF" w14:textId="08111783">
      <w:pPr>
        <w:pStyle w:val="sub3"/>
        <w:numPr>
          <w:ilvl w:val="0"/>
          <w:numId w:val="10"/>
        </w:numPr>
        <w:spacing w:line="240" w:lineRule="auto"/>
      </w:pPr>
      <w:r w:rsidRPr="00AD36FF">
        <w:rPr>
          <w:b/>
          <w:bCs/>
        </w:rPr>
        <w:t>Phase 1 – Awareness:</w:t>
      </w:r>
      <w:r w:rsidRPr="00A62B54">
        <w:t xml:space="preserve"> Beginning up to 6 months before implementation, the Awareness phase will set the context for what the </w:t>
      </w:r>
      <w:r w:rsidR="034FA436">
        <w:t>f</w:t>
      </w:r>
      <w:r w:rsidR="7DF94CEE">
        <w:t xml:space="preserve">ixed </w:t>
      </w:r>
      <w:r w:rsidR="0ADD6E47">
        <w:t>c</w:t>
      </w:r>
      <w:r w:rsidRPr="00A62B54">
        <w:t xml:space="preserve">harge is, why it is being implemented, and when it will take effect. Awareness messaging will include basic education around what goes into electric bills, such as the difference between electric generation charges and delivery charges. Tactics and messaging in this phase are broad, overarching, and conceptual. </w:t>
      </w:r>
    </w:p>
    <w:p w:rsidR="00232E47" w:rsidP="00232E47" w:rsidRDefault="00232E47" w14:paraId="2F2CEB66" w14:textId="77777777">
      <w:pPr>
        <w:pStyle w:val="sub3"/>
        <w:spacing w:line="240" w:lineRule="auto"/>
        <w:ind w:firstLine="0"/>
      </w:pPr>
    </w:p>
    <w:p w:rsidR="00232E47" w:rsidP="00C401B7" w:rsidRDefault="00232E47" w14:paraId="694F61F9" w14:textId="146C2FD8">
      <w:pPr>
        <w:pStyle w:val="sub3"/>
        <w:numPr>
          <w:ilvl w:val="0"/>
          <w:numId w:val="10"/>
        </w:numPr>
        <w:spacing w:line="240" w:lineRule="auto"/>
      </w:pPr>
      <w:r w:rsidRPr="00AD36FF">
        <w:rPr>
          <w:b/>
          <w:bCs/>
        </w:rPr>
        <w:t>Phase 2 – Education:</w:t>
      </w:r>
      <w:r w:rsidRPr="00A62B54">
        <w:t xml:space="preserve"> Up to 90 days prior to implementation, the Education phase will further explain bill impacts, including the </w:t>
      </w:r>
      <w:r w:rsidR="1A5E45D7">
        <w:t>f</w:t>
      </w:r>
      <w:r w:rsidR="7DF94CEE">
        <w:t xml:space="preserve">ixed </w:t>
      </w:r>
      <w:r w:rsidR="1326FF59">
        <w:t>c</w:t>
      </w:r>
      <w:r w:rsidRPr="00A62B54">
        <w:t xml:space="preserve">harge amount a customer has been assigned. These materials will remind customers when to expect to see the </w:t>
      </w:r>
      <w:r w:rsidR="0A46DB6C">
        <w:t>f</w:t>
      </w:r>
      <w:r w:rsidR="7DF94CEE">
        <w:t xml:space="preserve">ixed </w:t>
      </w:r>
      <w:r w:rsidR="31EF8669">
        <w:t>c</w:t>
      </w:r>
      <w:r w:rsidRPr="00A62B54">
        <w:t xml:space="preserve">harge on their </w:t>
      </w:r>
      <w:r w:rsidR="7DF94CEE">
        <w:t>bill</w:t>
      </w:r>
      <w:r w:rsidR="3A0B6186">
        <w:t>s</w:t>
      </w:r>
      <w:r w:rsidRPr="00A62B54">
        <w:t xml:space="preserve"> and reinforce available online resources where they can get more information, such as sample bill impacts. </w:t>
      </w:r>
    </w:p>
    <w:p w:rsidR="00232E47" w:rsidP="00232E47" w:rsidRDefault="00232E47" w14:paraId="256E76F5" w14:textId="77777777">
      <w:pPr>
        <w:pStyle w:val="sub3"/>
        <w:spacing w:line="240" w:lineRule="auto"/>
        <w:ind w:firstLine="0"/>
      </w:pPr>
    </w:p>
    <w:p w:rsidR="00232E47" w:rsidP="00C401B7" w:rsidRDefault="00232E47" w14:paraId="19D66541" w14:textId="77777777">
      <w:pPr>
        <w:pStyle w:val="sub3"/>
        <w:numPr>
          <w:ilvl w:val="0"/>
          <w:numId w:val="10"/>
        </w:numPr>
        <w:spacing w:line="240" w:lineRule="auto"/>
      </w:pPr>
      <w:r w:rsidRPr="00AD36FF">
        <w:rPr>
          <w:b/>
          <w:bCs/>
        </w:rPr>
        <w:t>Phase 3 – Engagement:</w:t>
      </w:r>
      <w:r w:rsidRPr="00A62B54">
        <w:t xml:space="preserve"> After implementation, the Engagement phase will focus on the total bill and rate education, including continued messaging around the move towards greater electrification, reinforcing desired behaviors to support the state’s decarbonization goals, environmental/cost-saving benefits of shifting use out of higher cost/higher emissions peak times and promoting other energy management solutions.</w:t>
      </w:r>
    </w:p>
    <w:p w:rsidR="00232E47" w:rsidP="00232E47" w:rsidRDefault="00232E47" w14:paraId="50F736B2" w14:textId="77777777">
      <w:pPr>
        <w:pStyle w:val="sub3"/>
        <w:spacing w:line="240" w:lineRule="auto"/>
        <w:ind w:firstLine="0"/>
      </w:pPr>
    </w:p>
    <w:p w:rsidR="00F77EF5" w:rsidP="00232E47" w:rsidRDefault="00232E47" w14:paraId="70BE9B94" w14:textId="11C822BD">
      <w:pPr>
        <w:pStyle w:val="sub3"/>
        <w:spacing w:line="240" w:lineRule="auto"/>
        <w:ind w:firstLine="0"/>
      </w:pPr>
      <w:r w:rsidRPr="00D867E8">
        <w:t>TURN/NRDC assert</w:t>
      </w:r>
      <w:r>
        <w:t>ed</w:t>
      </w:r>
      <w:r w:rsidRPr="00D867E8">
        <w:t xml:space="preserve"> that</w:t>
      </w:r>
      <w:r>
        <w:t xml:space="preserve"> </w:t>
      </w:r>
      <w:r w:rsidR="00896AB1">
        <w:t>t</w:t>
      </w:r>
      <w:r w:rsidRPr="00D867E8">
        <w:t>he Commission should require all three IOUs to initiate direct communications no later than 120 days prior to implementation.</w:t>
      </w:r>
      <w:r w:rsidR="00C44462">
        <w:rPr>
          <w:rStyle w:val="FootnoteReference"/>
        </w:rPr>
        <w:footnoteReference w:id="142"/>
      </w:r>
      <w:r w:rsidRPr="00D867E8">
        <w:t xml:space="preserve"> SDG&amp;E</w:t>
      </w:r>
      <w:r w:rsidR="008828F3">
        <w:t xml:space="preserve"> stated </w:t>
      </w:r>
      <w:r w:rsidR="008828F3">
        <w:lastRenderedPageBreak/>
        <w:t>it</w:t>
      </w:r>
      <w:r w:rsidRPr="00D867E8">
        <w:t xml:space="preserve"> is not opposed to initiating direct outreach up to 120 days prior to implementation</w:t>
      </w:r>
      <w:r w:rsidR="6C27653D">
        <w:t>;</w:t>
      </w:r>
      <w:r w:rsidRPr="00D867E8">
        <w:t xml:space="preserve"> however</w:t>
      </w:r>
      <w:r w:rsidR="0EA90392">
        <w:t>,</w:t>
      </w:r>
      <w:r w:rsidRPr="00D867E8">
        <w:t xml:space="preserve"> research findings and previous experience indicate</w:t>
      </w:r>
      <w:r w:rsidR="00443286">
        <w:t>d</w:t>
      </w:r>
      <w:r w:rsidRPr="00D867E8">
        <w:t xml:space="preserve"> that customers are less likely to take notice or action if the information is presented too far in advance.</w:t>
      </w:r>
      <w:r w:rsidR="00174BA5">
        <w:rPr>
          <w:rStyle w:val="FootnoteReference"/>
        </w:rPr>
        <w:footnoteReference w:id="143"/>
      </w:r>
    </w:p>
    <w:p w:rsidR="00F77EF5" w:rsidP="00232E47" w:rsidRDefault="00F77EF5" w14:paraId="0F3A5066" w14:textId="77777777">
      <w:pPr>
        <w:pStyle w:val="sub3"/>
        <w:spacing w:line="240" w:lineRule="auto"/>
        <w:ind w:firstLine="0"/>
      </w:pPr>
    </w:p>
    <w:p w:rsidR="00232E47" w:rsidP="00232E47" w:rsidRDefault="00232E47" w14:paraId="33D60BDE" w14:textId="72679D4D">
      <w:pPr>
        <w:pStyle w:val="sub3"/>
        <w:spacing w:line="240" w:lineRule="auto"/>
        <w:ind w:firstLine="0"/>
      </w:pPr>
      <w:r w:rsidRPr="00D867E8">
        <w:t xml:space="preserve">When </w:t>
      </w:r>
      <w:r w:rsidR="00C1420B">
        <w:t>SDG&amp;E</w:t>
      </w:r>
      <w:r w:rsidRPr="00D867E8">
        <w:t xml:space="preserve"> asked</w:t>
      </w:r>
      <w:r w:rsidR="008740EC">
        <w:t xml:space="preserve"> customers</w:t>
      </w:r>
      <w:r w:rsidR="00BD5D8A">
        <w:t>,</w:t>
      </w:r>
      <w:r w:rsidRPr="00D867E8">
        <w:t xml:space="preserve"> “How far in advance would you like to be notified before the fixed charge is implemented?” in </w:t>
      </w:r>
      <w:r w:rsidR="004E254E">
        <w:t>it</w:t>
      </w:r>
      <w:r w:rsidRPr="00D867E8">
        <w:t xml:space="preserve">s online survey from April 2024, an average of 62% responded 90 days or less, while 32% responded more than 90 days. Also, SDG&amp;E plans to initiate other tactics in Awareness Phase 1 more than 120 days in advance, including customer demographics defined as </w:t>
      </w:r>
      <w:r w:rsidR="00BD5D8A">
        <w:t>HTR</w:t>
      </w:r>
      <w:r w:rsidRPr="00D867E8">
        <w:t>.</w:t>
      </w:r>
      <w:r w:rsidR="004D1793">
        <w:rPr>
          <w:rStyle w:val="FootnoteReference"/>
        </w:rPr>
        <w:footnoteReference w:id="144"/>
      </w:r>
    </w:p>
    <w:p w:rsidR="00504AC2" w:rsidP="00232E47" w:rsidRDefault="00504AC2" w14:paraId="4C0B461E" w14:textId="77777777">
      <w:pPr>
        <w:pStyle w:val="sub3"/>
        <w:spacing w:line="240" w:lineRule="auto"/>
        <w:ind w:firstLine="0"/>
      </w:pPr>
    </w:p>
    <w:p w:rsidRPr="00966A0D" w:rsidR="00F2576C" w:rsidP="00F2576C" w:rsidRDefault="00FA79BF" w14:paraId="3CB96703" w14:textId="6C9C4F9E">
      <w:r>
        <w:t>The Commission finds it reasonable to allow the Large Utilities to determine the best time to initiate direct communications, based on research findings and previous experience with the TOU Transition,</w:t>
      </w:r>
      <w:r w:rsidR="00BD5D8A">
        <w:rPr>
          <w:rStyle w:val="FootnoteReference"/>
        </w:rPr>
        <w:footnoteReference w:id="145"/>
      </w:r>
      <w:r>
        <w:t xml:space="preserve"> as directed in D.24-05-028. </w:t>
      </w:r>
    </w:p>
    <w:p w:rsidR="00C40605" w:rsidP="00C401B7" w:rsidRDefault="00C40605" w14:paraId="61D59B21" w14:textId="2AD8A692">
      <w:pPr>
        <w:pStyle w:val="Heading3"/>
        <w:numPr>
          <w:ilvl w:val="1"/>
          <w:numId w:val="14"/>
        </w:numPr>
      </w:pPr>
      <w:r w:rsidRPr="0067681A">
        <w:t>Customer Segmentation</w:t>
      </w:r>
    </w:p>
    <w:p w:rsidR="000D2938" w:rsidP="00C40605" w:rsidRDefault="00C40605" w14:paraId="60831681" w14:textId="0128EC50">
      <w:pPr>
        <w:pStyle w:val="sub3"/>
        <w:spacing w:line="240" w:lineRule="auto"/>
        <w:ind w:firstLine="0"/>
      </w:pPr>
      <w:r>
        <w:t>SDG&amp;E proposed to rely on bill analysis, tier assignments of known customers, and research to determine target audiences, assess impacts, and determine customer segments warranting specialized messaging where possible. SDG&amp;E is planning a segmentation strategy that categorizes customers into similarly impacted groups such as CARE, FERA, DRAH, solar, and general (non-CARE/non-FERA) customers. Further</w:t>
      </w:r>
      <w:r w:rsidR="10199CE4">
        <w:t xml:space="preserve"> </w:t>
      </w:r>
      <w:r>
        <w:t>segmentation and tailored messaging may be necessary for niche customer types, including Percentage of Income Payment Plan, Medical Baseline, master</w:t>
      </w:r>
      <w:r w:rsidR="00142389">
        <w:t>-</w:t>
      </w:r>
      <w:r>
        <w:t>metered customers, customers on any rate with an existing fixed charge, and solar, based on legacy.</w:t>
      </w:r>
      <w:r w:rsidR="00CD0A93">
        <w:rPr>
          <w:rStyle w:val="FootnoteReference"/>
        </w:rPr>
        <w:footnoteReference w:id="146"/>
      </w:r>
      <w:r>
        <w:t xml:space="preserve"> </w:t>
      </w:r>
    </w:p>
    <w:p w:rsidR="000D2938" w:rsidP="00C40605" w:rsidRDefault="000D2938" w14:paraId="363B3707" w14:textId="77777777">
      <w:pPr>
        <w:pStyle w:val="sub3"/>
        <w:spacing w:line="240" w:lineRule="auto"/>
        <w:ind w:firstLine="0"/>
      </w:pPr>
    </w:p>
    <w:p w:rsidR="00C40605" w:rsidP="00C40605" w:rsidRDefault="00C40605" w14:paraId="5AAD3CEB" w14:textId="7762BFFA">
      <w:pPr>
        <w:pStyle w:val="sub3"/>
        <w:spacing w:line="240" w:lineRule="auto"/>
        <w:ind w:firstLine="0"/>
      </w:pPr>
      <w:r w:rsidRPr="00D76EB8">
        <w:t>SDG&amp;E</w:t>
      </w:r>
      <w:r w:rsidR="001C380F">
        <w:t xml:space="preserve"> stated it</w:t>
      </w:r>
      <w:r w:rsidRPr="00D76EB8">
        <w:t xml:space="preserve"> intends to customize its messaging to address the unique needs of each targeted segment. These segments may be adjusted as needed due to technological and data constraints.</w:t>
      </w:r>
      <w:r w:rsidR="00575318">
        <w:rPr>
          <w:rStyle w:val="FootnoteReference"/>
        </w:rPr>
        <w:footnoteReference w:id="147"/>
      </w:r>
      <w:r>
        <w:t xml:space="preserve"> Table </w:t>
      </w:r>
      <w:r w:rsidR="003A6A3D">
        <w:t>4</w:t>
      </w:r>
      <w:r>
        <w:t xml:space="preserve"> below provides SDG&amp;E’s sample customer segmentation for direct notification based on data available as of July 2024.</w:t>
      </w:r>
    </w:p>
    <w:p w:rsidR="00C40605" w:rsidP="00C40605" w:rsidRDefault="00C40605" w14:paraId="4306EDD8" w14:textId="77777777">
      <w:pPr>
        <w:pStyle w:val="sub3"/>
        <w:spacing w:line="240" w:lineRule="auto"/>
        <w:ind w:firstLine="0"/>
      </w:pPr>
    </w:p>
    <w:p w:rsidR="1DE32884" w:rsidP="1DE32884" w:rsidRDefault="1DE32884" w14:paraId="1DC8C6EF" w14:textId="2A402901">
      <w:pPr>
        <w:pStyle w:val="sub3"/>
        <w:spacing w:line="240" w:lineRule="auto"/>
        <w:ind w:firstLine="0"/>
      </w:pPr>
    </w:p>
    <w:p w:rsidR="1DE32884" w:rsidP="1DE32884" w:rsidRDefault="1DE32884" w14:paraId="0B2D9857" w14:textId="0B37B7A1">
      <w:pPr>
        <w:pStyle w:val="sub3"/>
        <w:spacing w:line="240" w:lineRule="auto"/>
        <w:ind w:firstLine="0"/>
      </w:pPr>
    </w:p>
    <w:p w:rsidR="1DE32884" w:rsidP="1DE32884" w:rsidRDefault="1DE32884" w14:paraId="6097D7EE" w14:textId="7C8002D4">
      <w:pPr>
        <w:pStyle w:val="sub3"/>
        <w:spacing w:line="240" w:lineRule="auto"/>
        <w:ind w:firstLine="0"/>
      </w:pPr>
    </w:p>
    <w:p w:rsidRPr="000E3F9A" w:rsidR="00C40605" w:rsidP="00C40605" w:rsidRDefault="00C40605" w14:paraId="7BDF5593" w14:textId="6D3AAAA6">
      <w:pPr>
        <w:pStyle w:val="sub3"/>
        <w:spacing w:line="240" w:lineRule="auto"/>
        <w:ind w:firstLine="0"/>
        <w:jc w:val="center"/>
        <w:rPr>
          <w:b/>
          <w:bCs/>
        </w:rPr>
      </w:pPr>
      <w:r w:rsidRPr="000E3F9A">
        <w:rPr>
          <w:b/>
          <w:bCs/>
        </w:rPr>
        <w:t xml:space="preserve">Table </w:t>
      </w:r>
      <w:r w:rsidRPr="334C630F" w:rsidR="206DDB84">
        <w:rPr>
          <w:b/>
          <w:bCs/>
        </w:rPr>
        <w:t>4</w:t>
      </w:r>
      <w:r w:rsidRPr="000E3F9A">
        <w:rPr>
          <w:b/>
          <w:bCs/>
        </w:rPr>
        <w:t>: Customer Segmentation for Direct Notification (Sample)</w:t>
      </w:r>
      <w:r w:rsidR="003436D9">
        <w:rPr>
          <w:rStyle w:val="FootnoteReference"/>
          <w:b/>
          <w:bCs/>
        </w:rPr>
        <w:footnoteReference w:id="148"/>
      </w:r>
    </w:p>
    <w:p w:rsidR="00C40605" w:rsidP="00C40605" w:rsidRDefault="00C40605" w14:paraId="41E2EE00" w14:textId="77777777">
      <w:pPr>
        <w:pStyle w:val="sub3"/>
        <w:spacing w:line="240" w:lineRule="auto"/>
        <w:ind w:firstLine="0"/>
      </w:pPr>
    </w:p>
    <w:p w:rsidR="00C40605" w:rsidP="00C40605" w:rsidRDefault="00C40605" w14:paraId="39D14ABF" w14:textId="77777777">
      <w:pPr>
        <w:pStyle w:val="sub3"/>
        <w:spacing w:line="240" w:lineRule="auto"/>
        <w:ind w:firstLine="0"/>
        <w:jc w:val="center"/>
      </w:pPr>
      <w:r w:rsidRPr="00482D81">
        <w:rPr>
          <w:noProof/>
        </w:rPr>
        <w:drawing>
          <wp:inline distT="0" distB="0" distL="0" distR="0" wp14:anchorId="0CAC8F6E" wp14:editId="53073997">
            <wp:extent cx="4618341" cy="2232850"/>
            <wp:effectExtent l="0" t="0" r="0" b="0"/>
            <wp:docPr id="566036933" name="Picture 1" descr="A blue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36933" name="Picture 1" descr="A blue and white table with numbers and text&#10;&#10;Description automatically generated"/>
                    <pic:cNvPicPr/>
                  </pic:nvPicPr>
                  <pic:blipFill rotWithShape="1">
                    <a:blip r:embed="rId17"/>
                    <a:srcRect l="1598" t="14002"/>
                    <a:stretch/>
                  </pic:blipFill>
                  <pic:spPr bwMode="auto">
                    <a:xfrm>
                      <a:off x="0" y="0"/>
                      <a:ext cx="4628515" cy="2237769"/>
                    </a:xfrm>
                    <a:prstGeom prst="rect">
                      <a:avLst/>
                    </a:prstGeom>
                    <a:ln>
                      <a:noFill/>
                    </a:ln>
                    <a:extLst>
                      <a:ext uri="{53640926-AAD7-44D8-BBD7-CCE9431645EC}">
                        <a14:shadowObscured xmlns:a14="http://schemas.microsoft.com/office/drawing/2010/main"/>
                      </a:ext>
                    </a:extLst>
                  </pic:spPr>
                </pic:pic>
              </a:graphicData>
            </a:graphic>
          </wp:inline>
        </w:drawing>
      </w:r>
    </w:p>
    <w:p w:rsidR="00C40605" w:rsidP="00C40605" w:rsidRDefault="00C40605" w14:paraId="2D2D4593" w14:textId="77777777">
      <w:pPr>
        <w:pStyle w:val="sub3"/>
        <w:spacing w:line="240" w:lineRule="auto"/>
        <w:ind w:firstLine="0"/>
      </w:pPr>
    </w:p>
    <w:p w:rsidR="001A107C" w:rsidP="009F1752" w:rsidRDefault="001A107C" w14:paraId="4B007DA5" w14:textId="77777777"/>
    <w:p w:rsidR="00C40605" w:rsidP="00C40605" w:rsidRDefault="00C40605" w14:paraId="3CD2D71E" w14:textId="6D7EA81F">
      <w:pPr>
        <w:pStyle w:val="sub3"/>
        <w:spacing w:line="240" w:lineRule="auto"/>
        <w:ind w:firstLine="0"/>
      </w:pPr>
      <w:r>
        <w:t>SDG&amp;E</w:t>
      </w:r>
      <w:r w:rsidR="001A107C">
        <w:t xml:space="preserve"> indicated it</w:t>
      </w:r>
      <w:r>
        <w:t xml:space="preserve"> will notify</w:t>
      </w:r>
      <w:r w:rsidRPr="00CF6503">
        <w:t xml:space="preserve"> CARE customers that they will receive the Tier 1 discounted </w:t>
      </w:r>
      <w:r>
        <w:t xml:space="preserve">fixed </w:t>
      </w:r>
      <w:r w:rsidR="00B01324">
        <w:t>charge</w:t>
      </w:r>
      <w:r>
        <w:t xml:space="preserve"> and </w:t>
      </w:r>
      <w:r w:rsidRPr="00CF6503">
        <w:t>include messaging that confirms the continuation of their CARE discount</w:t>
      </w:r>
      <w:r w:rsidR="4C2AF353">
        <w:t>;</w:t>
      </w:r>
      <w:r w:rsidRPr="00CF6503">
        <w:t xml:space="preserve"> and that if they are removed from the CARE program for any reason, they will automatically be transitioned to Tier 3. SDG&amp;E</w:t>
      </w:r>
      <w:r w:rsidR="001A107C">
        <w:t xml:space="preserve"> also indicated it</w:t>
      </w:r>
      <w:r w:rsidRPr="00CF6503">
        <w:t xml:space="preserve"> will leverage existing CARE materials, such as the confirmation welcome letter, to remind customers that their Tier 1 placement is dependent on their enrollment in the program.</w:t>
      </w:r>
      <w:r w:rsidR="00AF4464">
        <w:rPr>
          <w:rStyle w:val="FootnoteReference"/>
        </w:rPr>
        <w:footnoteReference w:id="149"/>
      </w:r>
      <w:r>
        <w:t xml:space="preserve"> </w:t>
      </w:r>
    </w:p>
    <w:p w:rsidR="00C40605" w:rsidP="00C40605" w:rsidRDefault="00C40605" w14:paraId="7F937502" w14:textId="77777777">
      <w:pPr>
        <w:pStyle w:val="sub3"/>
        <w:spacing w:line="240" w:lineRule="auto"/>
        <w:ind w:firstLine="0"/>
      </w:pPr>
    </w:p>
    <w:p w:rsidR="00C40605" w:rsidP="00C40605" w:rsidRDefault="001A107C" w14:paraId="56FCC922" w14:textId="31C36C47">
      <w:pPr>
        <w:pStyle w:val="sub3"/>
        <w:spacing w:line="240" w:lineRule="auto"/>
        <w:ind w:firstLine="0"/>
      </w:pPr>
      <w:r>
        <w:t xml:space="preserve">For FERA, </w:t>
      </w:r>
      <w:r w:rsidRPr="00CF6503" w:rsidR="00C40605">
        <w:t>SDG&amp;E</w:t>
      </w:r>
      <w:r>
        <w:t xml:space="preserve"> stated that it</w:t>
      </w:r>
      <w:r w:rsidRPr="00CF6503" w:rsidR="00C40605">
        <w:t xml:space="preserve"> will inform FERA customers that they will continue to receive their bill discount</w:t>
      </w:r>
      <w:r w:rsidR="00682E51">
        <w:t>s</w:t>
      </w:r>
      <w:r w:rsidRPr="00CF6503" w:rsidR="00C40605">
        <w:t xml:space="preserve"> and must remain </w:t>
      </w:r>
      <w:r w:rsidR="005D5B1B">
        <w:t>enrolled</w:t>
      </w:r>
      <w:r w:rsidRPr="00CF6503" w:rsidR="00C40605">
        <w:t xml:space="preserve"> in the program to maintain the Tier 2 discounted </w:t>
      </w:r>
      <w:r w:rsidR="00C40605">
        <w:t xml:space="preserve">fixed </w:t>
      </w:r>
      <w:r w:rsidR="00B01324">
        <w:t>charge</w:t>
      </w:r>
      <w:r w:rsidRPr="00CF6503" w:rsidR="00C40605">
        <w:t xml:space="preserve">. Messaging for non-defaulted Tier 2 DRAH customers will be tailored to include necessary self-attestation information and, if qualified, encourage </w:t>
      </w:r>
      <w:r w:rsidR="00762C3A">
        <w:t>customers</w:t>
      </w:r>
      <w:r w:rsidRPr="00CF6503" w:rsidR="00C40605">
        <w:t xml:space="preserve"> to sign up for FERA. If the unit number for the DRAH customer is unknown, SDG&amp;E will conduct direct outreach to the property owner to provide the applicable tenants with information to self-attest. If a customer resides in </w:t>
      </w:r>
      <w:r w:rsidR="00A3335C">
        <w:t>a</w:t>
      </w:r>
      <w:r w:rsidRPr="00CF6503" w:rsidR="00C40605">
        <w:t xml:space="preserve"> DRAH </w:t>
      </w:r>
      <w:r w:rsidR="00A3335C">
        <w:t>unit</w:t>
      </w:r>
      <w:r w:rsidRPr="00CF6503" w:rsidR="00C40605">
        <w:t xml:space="preserve"> and is already enrolled in CARE or FERA, the</w:t>
      </w:r>
      <w:r w:rsidR="00A3335C">
        <w:t xml:space="preserve"> customer</w:t>
      </w:r>
      <w:r w:rsidRPr="00CF6503" w:rsidR="00C40605">
        <w:t xml:space="preserve"> will receive the corresponding CARE or FERA messaging.</w:t>
      </w:r>
      <w:r w:rsidR="00162810">
        <w:rPr>
          <w:rStyle w:val="FootnoteReference"/>
        </w:rPr>
        <w:footnoteReference w:id="150"/>
      </w:r>
    </w:p>
    <w:p w:rsidR="00C40605" w:rsidP="00C40605" w:rsidRDefault="00C40605" w14:paraId="3ABCFD7C" w14:textId="77777777">
      <w:pPr>
        <w:pStyle w:val="sub3"/>
        <w:spacing w:line="240" w:lineRule="auto"/>
        <w:ind w:firstLine="0"/>
      </w:pPr>
    </w:p>
    <w:p w:rsidR="00721DE5" w:rsidP="00721DE5" w:rsidRDefault="004F6717" w14:paraId="25610346" w14:textId="7B9A5C15">
      <w:pPr>
        <w:pStyle w:val="sub3"/>
        <w:spacing w:line="240" w:lineRule="auto"/>
        <w:ind w:firstLine="0"/>
      </w:pPr>
      <w:r w:rsidRPr="004F6717">
        <w:t>For solar</w:t>
      </w:r>
      <w:r w:rsidRPr="00F718C4" w:rsidR="00C40605">
        <w:t xml:space="preserve"> customers</w:t>
      </w:r>
      <w:r w:rsidRPr="004F6717">
        <w:t xml:space="preserve">, SDG&amp;E indicated that it may </w:t>
      </w:r>
      <w:r w:rsidRPr="00F718C4" w:rsidR="00C40605">
        <w:t xml:space="preserve">further </w:t>
      </w:r>
      <w:r w:rsidRPr="004F6717">
        <w:t>segment this group</w:t>
      </w:r>
      <w:r w:rsidRPr="00F718C4" w:rsidR="00C40605">
        <w:t xml:space="preserve"> into </w:t>
      </w:r>
      <w:r w:rsidR="1A5B11DE">
        <w:t>Net Energy Metering</w:t>
      </w:r>
      <w:r w:rsidRPr="00F718C4" w:rsidR="00C40605">
        <w:t xml:space="preserve"> and Solar Billing Plan customers, with variations based on whether a </w:t>
      </w:r>
      <w:r w:rsidRPr="00F718C4" w:rsidR="00C40605">
        <w:lastRenderedPageBreak/>
        <w:t xml:space="preserve">customer is billed monthly or annually. Messaging will clarify how the monthly </w:t>
      </w:r>
      <w:r w:rsidR="00C40605">
        <w:t xml:space="preserve">fixed </w:t>
      </w:r>
      <w:r w:rsidR="00B01324">
        <w:t xml:space="preserve">charge </w:t>
      </w:r>
      <w:r w:rsidRPr="00F718C4" w:rsidR="00C40605">
        <w:t>will be applied and how it may impact their billing statements.</w:t>
      </w:r>
      <w:r w:rsidR="00802C8F">
        <w:rPr>
          <w:rStyle w:val="FootnoteReference"/>
        </w:rPr>
        <w:footnoteReference w:id="151"/>
      </w:r>
      <w:r w:rsidRPr="00F718C4" w:rsidR="00C40605">
        <w:t xml:space="preserve"> </w:t>
      </w:r>
    </w:p>
    <w:p w:rsidR="00425B4A" w:rsidP="00721DE5" w:rsidRDefault="00425B4A" w14:paraId="57CFF958" w14:textId="77777777">
      <w:pPr>
        <w:pStyle w:val="sub3"/>
        <w:spacing w:line="240" w:lineRule="auto"/>
        <w:ind w:firstLine="0"/>
      </w:pPr>
    </w:p>
    <w:p w:rsidR="00302A41" w:rsidP="0077361D" w:rsidRDefault="00425B4A" w14:paraId="692B2AE4" w14:textId="1CB34639">
      <w:pPr>
        <w:pStyle w:val="sub3"/>
        <w:spacing w:line="240" w:lineRule="auto"/>
        <w:ind w:firstLine="0"/>
      </w:pPr>
      <w:r>
        <w:t xml:space="preserve">Cal Advocates argued SDG&amp;E </w:t>
      </w:r>
      <w:r w:rsidR="005536A2">
        <w:t>failed to</w:t>
      </w:r>
      <w:r>
        <w:t xml:space="preserve"> specify how it will communicate with customers on options to enroll in CARE and FERA.</w:t>
      </w:r>
      <w:r w:rsidR="00A427D2">
        <w:rPr>
          <w:rStyle w:val="FootnoteReference"/>
        </w:rPr>
        <w:footnoteReference w:id="152"/>
      </w:r>
      <w:r w:rsidR="0077361D">
        <w:t xml:space="preserve"> </w:t>
      </w:r>
      <w:r w:rsidRPr="4535098C" w:rsidR="00302A41">
        <w:rPr>
          <w:rFonts w:eastAsia="Palatino Linotype" w:cs="Palatino Linotype"/>
          <w:color w:val="000000" w:themeColor="text1"/>
        </w:rPr>
        <w:t xml:space="preserve">TURN/NRDC </w:t>
      </w:r>
      <w:r w:rsidRPr="35275654" w:rsidR="7E1BA6D2">
        <w:rPr>
          <w:rFonts w:eastAsia="Palatino Linotype" w:cs="Palatino Linotype"/>
          <w:color w:val="000000" w:themeColor="text1"/>
        </w:rPr>
        <w:t>recommended</w:t>
      </w:r>
      <w:r w:rsidRPr="4535098C" w:rsidR="00302A41">
        <w:rPr>
          <w:rFonts w:eastAsia="Palatino Linotype" w:cs="Palatino Linotype"/>
          <w:color w:val="000000" w:themeColor="text1"/>
        </w:rPr>
        <w:t xml:space="preserve"> that the IOUs should target CARE- and FERA-eligible households and expand customer segmentation to include customers not yet enrolled in CARE and FERA to increase enrollment.</w:t>
      </w:r>
      <w:r w:rsidR="00234D40">
        <w:rPr>
          <w:rStyle w:val="FootnoteReference"/>
          <w:rFonts w:eastAsia="Palatino Linotype" w:cs="Palatino Linotype"/>
          <w:color w:val="000000" w:themeColor="text1"/>
        </w:rPr>
        <w:footnoteReference w:id="153"/>
      </w:r>
      <w:r w:rsidR="009B2E41">
        <w:rPr>
          <w:rFonts w:eastAsia="Palatino Linotype" w:cs="Palatino Linotype"/>
          <w:color w:val="000000" w:themeColor="text1"/>
          <w:vertAlign w:val="superscript"/>
        </w:rPr>
        <w:t xml:space="preserve"> </w:t>
      </w:r>
      <w:r w:rsidR="114D0EE4">
        <w:t>To address targeting CARE-and FERA-eligible households, SDG&amp;E indicated</w:t>
      </w:r>
      <w:r w:rsidR="00302A41">
        <w:t xml:space="preserve"> its ME&amp;O plan</w:t>
      </w:r>
      <w:r w:rsidR="5FCA9CA0">
        <w:t xml:space="preserve"> stated</w:t>
      </w:r>
      <w:r w:rsidR="00302A41">
        <w:t xml:space="preserve"> SDG&amp;E will integrate information about the fixed charge into CARE/FERA materials as possible, but those materials are for program enrollment and space for secondary data may be limited. SDG&amp;E</w:t>
      </w:r>
      <w:r w:rsidR="008E2F5A">
        <w:t xml:space="preserve"> stated it</w:t>
      </w:r>
      <w:r w:rsidR="00302A41">
        <w:t xml:space="preserve"> intends to leverage opportunities, such as the scheduled June 1 revisions to the CARE/FERA income guidelines, to add fixed charge content without incurring incremental costs. Further, SDG&amp;E intends to include information about CARE and FERA (Tier 1 and </w:t>
      </w:r>
      <w:r w:rsidR="00AE1B51">
        <w:br/>
      </w:r>
      <w:r w:rsidR="00302A41">
        <w:t>Tier 2) assignments and the option to request Tier reassignment in relevant fixed charge ME&amp;O tactics, including the DRAH customers that are required to self-attest.</w:t>
      </w:r>
      <w:r w:rsidR="008E2F5A">
        <w:rPr>
          <w:rStyle w:val="FootnoteReference"/>
        </w:rPr>
        <w:footnoteReference w:id="154"/>
      </w:r>
    </w:p>
    <w:p w:rsidR="00302A41" w:rsidP="00726E9D" w:rsidRDefault="00302A41" w14:paraId="1EC8DE8E" w14:textId="77777777"/>
    <w:p w:rsidR="00726E9D" w:rsidP="00726E9D" w:rsidRDefault="731123AB" w14:paraId="61B62BE0" w14:textId="07FCE229">
      <w:r>
        <w:t xml:space="preserve">Regarding </w:t>
      </w:r>
      <w:r w:rsidR="00726E9D">
        <w:t>TURN/</w:t>
      </w:r>
      <w:r>
        <w:t>NRDC’s recommendation</w:t>
      </w:r>
      <w:r w:rsidR="00726E9D">
        <w:t xml:space="preserve"> that the IOUs expand the customer segments to include customers eligible for CARE and FERA but </w:t>
      </w:r>
      <w:r w:rsidR="002369BD">
        <w:t>not yet enrolled</w:t>
      </w:r>
      <w:r>
        <w:t>, including expanding FERA enrollments due to SB 1130</w:t>
      </w:r>
      <w:r w:rsidR="00726E9D">
        <w:t>, SDG&amp;E responded that it had already approved funding for ongoing annual campaigns to increase enrollment in the CARE and FERA program and directed these campaigns at non-enrolled CARE and FERA-eligible customers. SDG&amp;E indicated it is factually incorrect to assert that it uses fixed</w:t>
      </w:r>
      <w:r>
        <w:t xml:space="preserve"> </w:t>
      </w:r>
      <w:r w:rsidR="00726E9D">
        <w:t xml:space="preserve">charge ME&amp;O funding for CARE and FERA enrollment when the </w:t>
      </w:r>
      <w:r w:rsidR="008E2F5A">
        <w:t>requested</w:t>
      </w:r>
      <w:r w:rsidR="00726E9D">
        <w:t xml:space="preserve"> costs for the fixed c</w:t>
      </w:r>
      <w:r w:rsidR="00824826">
        <w:t>harge</w:t>
      </w:r>
      <w:r w:rsidR="00726E9D">
        <w:t xml:space="preserve"> are incremental and designed for fixed</w:t>
      </w:r>
      <w:r>
        <w:t xml:space="preserve"> </w:t>
      </w:r>
      <w:r w:rsidR="00726E9D">
        <w:t>charge awareness, education, and engagement.</w:t>
      </w:r>
      <w:r w:rsidR="009A1E85">
        <w:rPr>
          <w:rStyle w:val="FootnoteReference"/>
        </w:rPr>
        <w:footnoteReference w:id="155"/>
      </w:r>
      <w:r w:rsidR="00726E9D">
        <w:t xml:space="preserve"> </w:t>
      </w:r>
    </w:p>
    <w:p w:rsidR="00703DD3" w:rsidP="00726E9D" w:rsidRDefault="00703DD3" w14:paraId="24011AB4" w14:textId="4E2E3E9F"/>
    <w:p w:rsidR="00A755FB" w:rsidP="00A755FB" w:rsidRDefault="00EF69A0" w14:paraId="6B952675" w14:textId="72E2A6E8">
      <w:r w:rsidRPr="00EF69A0">
        <w:t xml:space="preserve">The Commission </w:t>
      </w:r>
      <w:r w:rsidRPr="00A755FB" w:rsidR="00A755FB">
        <w:t xml:space="preserve">reiterates its role in setting goals for increased enrollment and considering budgets for CARE and FERA implementation costs through CARE and FERA program application proceedings, including addressing the requirements to expand FERA enrollment according to </w:t>
      </w:r>
      <w:r w:rsidR="002369BD">
        <w:t>SB</w:t>
      </w:r>
      <w:r w:rsidRPr="00A755FB" w:rsidR="00A755FB">
        <w:t xml:space="preserve"> 1130</w:t>
      </w:r>
      <w:r w:rsidR="003651A5">
        <w:t>.</w:t>
      </w:r>
      <w:r w:rsidRPr="00A755FB" w:rsidR="00A755FB">
        <w:t xml:space="preserve"> </w:t>
      </w:r>
      <w:r w:rsidRPr="00D4531D" w:rsidR="00D4531D">
        <w:t xml:space="preserve">It is important to note that SB 1130 is a new law not discussed in the Decision directing these ALs, and it is likely beyond the scope of this proceeding. </w:t>
      </w:r>
      <w:r w:rsidRPr="00A755FB" w:rsidR="00A755FB">
        <w:t xml:space="preserve"> While the Decision deems it reasonable for the Large Utilities to provide options to enroll in CARE or FERA and other ways to manage energy costs, </w:t>
      </w:r>
      <w:r w:rsidRPr="00A755FB" w:rsidR="00A755FB">
        <w:lastRenderedPageBreak/>
        <w:t>which will, in turn, increase CARE and FERA enrollment, it does not mandate the fixed charge ME&amp;O plan to increase enrollment.</w:t>
      </w:r>
      <w:r w:rsidR="00090C1C">
        <w:rPr>
          <w:rStyle w:val="FootnoteReference"/>
        </w:rPr>
        <w:footnoteReference w:id="156"/>
      </w:r>
      <w:r w:rsidRPr="00A755FB" w:rsidR="00090C1C">
        <w:t xml:space="preserve"> </w:t>
      </w:r>
    </w:p>
    <w:p w:rsidRPr="00A755FB" w:rsidR="00090C1C" w:rsidP="00A755FB" w:rsidRDefault="00090C1C" w14:paraId="707E075F" w14:textId="77777777"/>
    <w:p w:rsidR="00195B95" w:rsidP="6C9ADC8A" w:rsidRDefault="178ECE51" w14:paraId="159D3107" w14:textId="10A6482D">
      <w:pPr>
        <w:rPr>
          <w:rFonts w:eastAsia="Palatino Linotype" w:cs="Palatino Linotype"/>
        </w:rPr>
      </w:pPr>
      <w:r w:rsidRPr="6C9ADC8A">
        <w:rPr>
          <w:rFonts w:eastAsia="Palatino Linotype" w:cs="Palatino Linotype"/>
        </w:rPr>
        <w:t>We agree with S</w:t>
      </w:r>
      <w:r w:rsidR="002369BD">
        <w:rPr>
          <w:rFonts w:eastAsia="Palatino Linotype" w:cs="Palatino Linotype"/>
        </w:rPr>
        <w:t>DG&amp;E</w:t>
      </w:r>
      <w:r w:rsidRPr="6C9ADC8A">
        <w:rPr>
          <w:rFonts w:eastAsia="Palatino Linotype" w:cs="Palatino Linotype"/>
        </w:rPr>
        <w:t xml:space="preserve"> that funding for CARE and FERA enrollment is already authorized in D.21-05-016. Acknowledging PG&amp;E’s proposed integration plan for CARE and FERA leveraging ME&amp;O budgets previously authorized in D.21-06-015,</w:t>
      </w:r>
      <w:r w:rsidRPr="6C9ADC8A">
        <w:rPr>
          <w:rStyle w:val="FootnoteReference"/>
          <w:rFonts w:eastAsia="Palatino Linotype" w:cs="Palatino Linotype"/>
        </w:rPr>
        <w:footnoteReference w:id="157"/>
      </w:r>
      <w:r w:rsidRPr="6C9ADC8A" w:rsidR="07AFA7C4">
        <w:rPr>
          <w:rFonts w:eastAsia="Palatino Linotype" w:cs="Palatino Linotype"/>
        </w:rPr>
        <w:t xml:space="preserve"> which provides examples of key messages</w:t>
      </w:r>
      <w:r w:rsidRPr="6C9ADC8A" w:rsidR="78A4825C">
        <w:rPr>
          <w:rFonts w:eastAsia="Palatino Linotype" w:cs="Palatino Linotype"/>
        </w:rPr>
        <w:t xml:space="preserve"> and </w:t>
      </w:r>
      <w:r w:rsidRPr="2656D20A" w:rsidR="78A4825C">
        <w:rPr>
          <w:rFonts w:eastAsia="Palatino Linotype" w:cs="Palatino Linotype"/>
        </w:rPr>
        <w:t>communication</w:t>
      </w:r>
      <w:r w:rsidRPr="2656D20A" w:rsidR="14E8BDBD">
        <w:rPr>
          <w:rFonts w:eastAsia="Palatino Linotype" w:cs="Palatino Linotype"/>
        </w:rPr>
        <w:t xml:space="preserve"> channels</w:t>
      </w:r>
      <w:r w:rsidRPr="6C9ADC8A" w:rsidR="78A4825C">
        <w:rPr>
          <w:rFonts w:eastAsia="Palatino Linotype" w:cs="Palatino Linotype"/>
        </w:rPr>
        <w:t>,</w:t>
      </w:r>
      <w:r w:rsidRPr="6C9ADC8A">
        <w:rPr>
          <w:rFonts w:eastAsia="Palatino Linotype" w:cs="Palatino Linotype"/>
        </w:rPr>
        <w:t xml:space="preserve"> the Large IOUs shall </w:t>
      </w:r>
      <w:r w:rsidR="00462B43">
        <w:rPr>
          <w:rFonts w:eastAsia="Palatino Linotype" w:cs="Palatino Linotype"/>
        </w:rPr>
        <w:t>confer and submit</w:t>
      </w:r>
      <w:r w:rsidRPr="6C9ADC8A">
        <w:rPr>
          <w:rFonts w:eastAsia="Palatino Linotype" w:cs="Palatino Linotype"/>
        </w:rPr>
        <w:t xml:space="preserve"> consistent messaging and approaches for CARE and FERA</w:t>
      </w:r>
      <w:r w:rsidRPr="6C9ADC8A" w:rsidR="505BA123">
        <w:rPr>
          <w:rFonts w:eastAsia="Palatino Linotype" w:cs="Palatino Linotype"/>
        </w:rPr>
        <w:t xml:space="preserve"> </w:t>
      </w:r>
      <w:r w:rsidR="00302A41">
        <w:rPr>
          <w:rFonts w:eastAsia="Palatino Linotype" w:cs="Palatino Linotype"/>
        </w:rPr>
        <w:t>coordination and</w:t>
      </w:r>
      <w:r w:rsidRPr="6C9ADC8A">
        <w:rPr>
          <w:rFonts w:eastAsia="Palatino Linotype" w:cs="Palatino Linotype"/>
        </w:rPr>
        <w:t xml:space="preserve"> integration plans through a Tier 2 AL</w:t>
      </w:r>
      <w:r w:rsidRPr="6C9ADC8A" w:rsidR="0A529179">
        <w:rPr>
          <w:rFonts w:eastAsia="Palatino Linotype" w:cs="Palatino Linotype"/>
        </w:rPr>
        <w:t xml:space="preserve"> within 60 days of </w:t>
      </w:r>
      <w:r w:rsidR="00330061">
        <w:rPr>
          <w:rFonts w:eastAsia="Palatino Linotype" w:cs="Palatino Linotype"/>
        </w:rPr>
        <w:t>the issuance of</w:t>
      </w:r>
      <w:r w:rsidRPr="6C9ADC8A" w:rsidR="0A529179">
        <w:rPr>
          <w:rFonts w:eastAsia="Palatino Linotype" w:cs="Palatino Linotype"/>
        </w:rPr>
        <w:t xml:space="preserve"> this Resolution</w:t>
      </w:r>
      <w:r w:rsidRPr="6C9ADC8A">
        <w:rPr>
          <w:rFonts w:eastAsia="Palatino Linotype" w:cs="Palatino Linotype"/>
        </w:rPr>
        <w:t xml:space="preserve">. We find SDG&amp;E’s customer segmentation strategy reasonable and direct SDG&amp;E to refine its strategy based on feedback from the IWG before </w:t>
      </w:r>
      <w:r w:rsidRPr="00926056" w:rsidR="00926056">
        <w:rPr>
          <w:rFonts w:eastAsia="Palatino Linotype" w:cs="Palatino Linotype"/>
        </w:rPr>
        <w:t>initiating communications</w:t>
      </w:r>
      <w:r w:rsidR="006E1109">
        <w:rPr>
          <w:rFonts w:eastAsia="Palatino Linotype" w:cs="Palatino Linotype"/>
        </w:rPr>
        <w:t xml:space="preserve"> </w:t>
      </w:r>
      <w:r w:rsidR="002474DA">
        <w:rPr>
          <w:rFonts w:eastAsia="Palatino Linotype" w:cs="Palatino Linotype"/>
        </w:rPr>
        <w:t>with customers</w:t>
      </w:r>
      <w:r w:rsidRPr="6C9ADC8A">
        <w:rPr>
          <w:rFonts w:eastAsia="Palatino Linotype" w:cs="Palatino Linotype"/>
        </w:rPr>
        <w:t xml:space="preserve"> </w:t>
      </w:r>
      <w:r w:rsidR="00F971B3">
        <w:rPr>
          <w:rFonts w:eastAsia="Palatino Linotype" w:cs="Palatino Linotype"/>
        </w:rPr>
        <w:t>and</w:t>
      </w:r>
      <w:r w:rsidRPr="6C9ADC8A">
        <w:rPr>
          <w:rFonts w:eastAsia="Palatino Linotype" w:cs="Palatino Linotype"/>
        </w:rPr>
        <w:t xml:space="preserve"> </w:t>
      </w:r>
      <w:r w:rsidRPr="00926056" w:rsidR="00926056">
        <w:rPr>
          <w:rFonts w:eastAsia="Palatino Linotype" w:cs="Palatino Linotype"/>
        </w:rPr>
        <w:t>implementing</w:t>
      </w:r>
      <w:r w:rsidR="00F971B3">
        <w:rPr>
          <w:rFonts w:eastAsia="Palatino Linotype" w:cs="Palatino Linotype"/>
        </w:rPr>
        <w:t xml:space="preserve"> the fixed charge</w:t>
      </w:r>
      <w:r w:rsidRPr="6C9ADC8A">
        <w:rPr>
          <w:rFonts w:eastAsia="Palatino Linotype" w:cs="Palatino Linotype"/>
        </w:rPr>
        <w:t>.</w:t>
      </w:r>
    </w:p>
    <w:p w:rsidRPr="00D76EB8" w:rsidR="00EF69A0" w:rsidP="05D4C626" w:rsidRDefault="00EF69A0" w14:paraId="17BC7B7C" w14:textId="438613B9"/>
    <w:p w:rsidR="00675A94" w:rsidP="00C401B7" w:rsidRDefault="00675A94" w14:paraId="4701C499" w14:textId="01A2A447">
      <w:pPr>
        <w:pStyle w:val="Heading3"/>
        <w:numPr>
          <w:ilvl w:val="1"/>
          <w:numId w:val="14"/>
        </w:numPr>
      </w:pPr>
      <w:r w:rsidRPr="0067681A">
        <w:t>Terminology and High-Level Messages</w:t>
      </w:r>
    </w:p>
    <w:p w:rsidRPr="0058555B" w:rsidR="00675A94" w:rsidP="000C6710" w:rsidRDefault="00675A94" w14:paraId="29E00C3E" w14:textId="75BF049C">
      <w:pPr>
        <w:pStyle w:val="Heading4"/>
      </w:pPr>
      <w:r w:rsidRPr="002C6623">
        <w:t>Fixed Charge Terminology</w:t>
      </w:r>
    </w:p>
    <w:p w:rsidR="00675A94" w:rsidP="00675A94" w:rsidRDefault="00675A94" w14:paraId="134282D7" w14:textId="3C1A9E89">
      <w:r w:rsidRPr="0014702D">
        <w:t>While there was no clear preference for a fixed charge name from SDG&amp;E</w:t>
      </w:r>
      <w:r>
        <w:t>’s</w:t>
      </w:r>
      <w:r w:rsidRPr="0014702D">
        <w:t xml:space="preserve"> research, “Base Service</w:t>
      </w:r>
      <w:r>
        <w:t>s</w:t>
      </w:r>
      <w:r w:rsidRPr="0014702D">
        <w:t xml:space="preserve"> Charge” ranked slightly higher. In conjunction with the other IOUs, SDG&amp;E proposed to</w:t>
      </w:r>
      <w:r>
        <w:t xml:space="preserve"> use “Base Services Charge” for “fixed charge”</w:t>
      </w:r>
      <w:r w:rsidRPr="0014702D">
        <w:t xml:space="preserve"> </w:t>
      </w:r>
      <w:r>
        <w:t xml:space="preserve">and to </w:t>
      </w:r>
      <w:r w:rsidRPr="0014702D">
        <w:t xml:space="preserve">continue working on messaging alignment across all aspects of the fixed </w:t>
      </w:r>
      <w:r>
        <w:t>charge</w:t>
      </w:r>
      <w:r w:rsidRPr="0014702D">
        <w:t xml:space="preserve"> and presented</w:t>
      </w:r>
      <w:r w:rsidR="007917FF">
        <w:t xml:space="preserve"> </w:t>
      </w:r>
      <w:r w:rsidRPr="0014702D">
        <w:t>the following examples</w:t>
      </w:r>
      <w:r>
        <w:t>.</w:t>
      </w:r>
    </w:p>
    <w:p w:rsidR="0080095C" w:rsidP="00675A94" w:rsidRDefault="0080095C" w14:paraId="1D0AFA5C" w14:textId="77777777"/>
    <w:p w:rsidRPr="0014702D" w:rsidR="0080095C" w:rsidP="00675A94" w:rsidRDefault="0080095C" w14:paraId="54E74B5E" w14:textId="152E0CFB">
      <w:r>
        <w:t xml:space="preserve">We find the term “Base Services Charge” proposed by SDG&amp;E and the other Large IOUs to be a reasonable replacement for the term “fixed charge” </w:t>
      </w:r>
      <w:r w:rsidR="0098745B">
        <w:t>used</w:t>
      </w:r>
      <w:r>
        <w:t xml:space="preserve"> in D.24-05-028.</w:t>
      </w:r>
      <w:r>
        <w:rPr>
          <w:rStyle w:val="FootnoteReference"/>
        </w:rPr>
        <w:footnoteReference w:id="158"/>
      </w:r>
    </w:p>
    <w:p w:rsidR="00675A94" w:rsidP="00C2100F" w:rsidRDefault="00675A94" w14:paraId="79A21D30" w14:textId="77777777"/>
    <w:p w:rsidR="00675A94" w:rsidP="00C401B7" w:rsidRDefault="00675A94" w14:paraId="5B46A549" w14:textId="1160614C">
      <w:pPr>
        <w:pStyle w:val="Heading4"/>
        <w:numPr>
          <w:ilvl w:val="2"/>
          <w:numId w:val="18"/>
        </w:numPr>
      </w:pPr>
      <w:r w:rsidRPr="002C6623">
        <w:t>High-Level Messages</w:t>
      </w:r>
    </w:p>
    <w:p w:rsidR="00675A94" w:rsidP="002620C2" w:rsidRDefault="00675A94" w14:paraId="403FBC42" w14:textId="6E208145">
      <w:pPr>
        <w:pStyle w:val="ListParagraph"/>
        <w:numPr>
          <w:ilvl w:val="0"/>
          <w:numId w:val="8"/>
        </w:numPr>
        <w:spacing w:after="80"/>
        <w:contextualSpacing w:val="0"/>
      </w:pPr>
      <w:r w:rsidRPr="009E33EC">
        <w:rPr>
          <w:b/>
          <w:bCs/>
        </w:rPr>
        <w:t>The Why</w:t>
      </w:r>
      <w:r>
        <w:t xml:space="preserve">:  </w:t>
      </w:r>
      <w:r w:rsidRPr="0065466D">
        <w:t>Explain why the change is happening in clear and simple terms</w:t>
      </w:r>
      <w:r>
        <w:t xml:space="preserve">; </w:t>
      </w:r>
      <w:r w:rsidR="009C6479">
        <w:br/>
      </w:r>
      <w:r w:rsidRPr="0065466D">
        <w:t>e.g.</w:t>
      </w:r>
      <w:r>
        <w:t>,</w:t>
      </w:r>
      <w:r w:rsidRPr="0065466D">
        <w:t xml:space="preserve"> “In order to help make energy bills more transparent and encourage the use of cleaner energy and greater electrification, California state law Assembly Bill 205, requires SDG&amp;E and the other state utilities to adjust the way we bill residential customers.” </w:t>
      </w:r>
    </w:p>
    <w:p w:rsidRPr="004D20D1" w:rsidR="00675A94" w:rsidP="002620C2" w:rsidRDefault="00675A94" w14:paraId="6826088A" w14:textId="77777777">
      <w:pPr>
        <w:pStyle w:val="ListParagraph"/>
        <w:numPr>
          <w:ilvl w:val="0"/>
          <w:numId w:val="8"/>
        </w:numPr>
        <w:spacing w:after="80"/>
        <w:contextualSpacing w:val="0"/>
      </w:pPr>
      <w:r w:rsidRPr="009E33EC">
        <w:rPr>
          <w:b/>
          <w:bCs/>
        </w:rPr>
        <w:t>The What:</w:t>
      </w:r>
      <w:r>
        <w:t xml:space="preserve">  </w:t>
      </w:r>
      <w:r w:rsidRPr="0065466D">
        <w:t xml:space="preserve">Explain what the billing change will look like on monthly bills, using graphics where possible and provide segmented bill samples so customers can </w:t>
      </w:r>
      <w:r w:rsidRPr="004D20D1">
        <w:lastRenderedPageBreak/>
        <w:t xml:space="preserve">see what amounts go toward the fixed rate vs. usage charge, e.g. “A fixed monthly charge called Base Services Charge of $24.15 covers some of the cost of maintaining the electric grid and providing customer support. For customers enrolled in CARE or FERA (bill discounts), the fixed charge is $6 for CARE and $12.08 for FERA. A separate charge for every kilowatt-hour (kWh) used will be lower per kWh than comparable fully volumetric rates.” </w:t>
      </w:r>
    </w:p>
    <w:p w:rsidRPr="004D20D1" w:rsidR="00675A94" w:rsidP="002620C2" w:rsidRDefault="00675A94" w14:paraId="16228ACD" w14:textId="4EFA7923">
      <w:pPr>
        <w:pStyle w:val="ListParagraph"/>
        <w:numPr>
          <w:ilvl w:val="0"/>
          <w:numId w:val="8"/>
        </w:numPr>
        <w:spacing w:after="80"/>
        <w:contextualSpacing w:val="0"/>
      </w:pPr>
      <w:r w:rsidRPr="004D20D1">
        <w:t>Further make it clear this change affects everyone; but that existing plans are to be rolled into this program, e.g.</w:t>
      </w:r>
      <w:r w:rsidR="00BC0113">
        <w:t>,</w:t>
      </w:r>
      <w:r w:rsidRPr="004D20D1">
        <w:t xml:space="preserve"> “This change affects all customers including those with CARE or FERA bill discounts; solar and Time-of-Use rate plans, homeowners and renters. This billing structure change does not affect existing rate plans.” </w:t>
      </w:r>
    </w:p>
    <w:p w:rsidR="00675A94" w:rsidP="002620C2" w:rsidRDefault="00675A94" w14:paraId="463386D5" w14:textId="77777777">
      <w:pPr>
        <w:pStyle w:val="ListParagraph"/>
        <w:numPr>
          <w:ilvl w:val="0"/>
          <w:numId w:val="8"/>
        </w:numPr>
        <w:spacing w:after="80"/>
        <w:contextualSpacing w:val="0"/>
      </w:pPr>
      <w:r w:rsidRPr="009E33EC">
        <w:rPr>
          <w:b/>
          <w:bCs/>
        </w:rPr>
        <w:t>The When:</w:t>
      </w:r>
      <w:r>
        <w:t xml:space="preserve">  </w:t>
      </w:r>
      <w:r w:rsidRPr="0065466D">
        <w:t xml:space="preserve">Make it clear to customers when the change is happening, e.g. "In Q4 2025, all SDG&amp;E residential customers will see these changes to their bill.” </w:t>
      </w:r>
    </w:p>
    <w:p w:rsidR="00675A94" w:rsidP="002620C2" w:rsidRDefault="00675A94" w14:paraId="41C8613C" w14:textId="77777777">
      <w:pPr>
        <w:pStyle w:val="ListParagraph"/>
        <w:numPr>
          <w:ilvl w:val="0"/>
          <w:numId w:val="8"/>
        </w:numPr>
        <w:spacing w:after="80"/>
        <w:contextualSpacing w:val="0"/>
      </w:pPr>
      <w:r w:rsidRPr="009E33EC">
        <w:rPr>
          <w:b/>
          <w:bCs/>
        </w:rPr>
        <w:t>Support and Resources:</w:t>
      </w:r>
      <w:r>
        <w:t xml:space="preserve">  </w:t>
      </w:r>
      <w:r w:rsidRPr="0065466D">
        <w:t>Make online resources for questions, rate plan options clear and include a link to a Frequently Asked Questions (“FAQ”) page for topics not addressed, e.g. For more information on the new Fixed Charge, visit our landing page at…”</w:t>
      </w:r>
    </w:p>
    <w:p w:rsidR="00675A94" w:rsidP="00675A94" w:rsidRDefault="00675A94" w14:paraId="3F471C0E" w14:textId="77777777"/>
    <w:p w:rsidR="00FE01A8" w:rsidP="00FE01A8" w:rsidRDefault="00FE01A8" w14:paraId="108127BF" w14:textId="77777777">
      <w:pPr>
        <w:rPr>
          <w:rFonts w:ascii="Times New Roman" w:hAnsi="Times New Roman" w:cs="Times New Roman"/>
        </w:rPr>
      </w:pPr>
      <w:r w:rsidRPr="004C13FA">
        <w:t xml:space="preserve">Cal Advocates </w:t>
      </w:r>
      <w:r>
        <w:t>argued that</w:t>
      </w:r>
      <w:r w:rsidRPr="004C13FA">
        <w:t xml:space="preserve"> SDG&amp;E failed to specify how it will communicate with customers on how </w:t>
      </w:r>
      <w:r>
        <w:t>customers</w:t>
      </w:r>
      <w:r w:rsidRPr="004C13FA">
        <w:t xml:space="preserve"> can switch assigned tiers</w:t>
      </w:r>
      <w:r>
        <w:t xml:space="preserve"> and</w:t>
      </w:r>
      <w:r w:rsidRPr="004C13FA">
        <w:t xml:space="preserve"> various rate options for </w:t>
      </w:r>
      <w:r>
        <w:t>customers</w:t>
      </w:r>
      <w:r w:rsidRPr="004C13FA">
        <w:t xml:space="preserve"> to manage their bills. In response to a data request from Cal Advocates, SDG&amp;E shared additional details, and</w:t>
      </w:r>
      <w:r>
        <w:t xml:space="preserve"> Cal Advocates recommended that</w:t>
      </w:r>
      <w:r w:rsidRPr="004C13FA">
        <w:t xml:space="preserve"> this information should be submitted in a supplemental AL so that the Commission, other parties in this proceeding, and </w:t>
      </w:r>
      <w:r>
        <w:t xml:space="preserve">the </w:t>
      </w:r>
      <w:r w:rsidRPr="004C13FA">
        <w:t>IWG can have the opportunity to review these plans for reasonableness and efficacy.</w:t>
      </w:r>
      <w:r>
        <w:rPr>
          <w:rStyle w:val="FootnoteReference"/>
        </w:rPr>
        <w:footnoteReference w:id="159"/>
      </w:r>
      <w:r w:rsidRPr="00FE2B1C">
        <w:rPr>
          <w:rFonts w:ascii="Times New Roman" w:hAnsi="Times New Roman" w:cs="Times New Roman"/>
        </w:rPr>
        <w:t> </w:t>
      </w:r>
    </w:p>
    <w:p w:rsidR="6FA11215" w:rsidRDefault="6FA11215" w14:paraId="293115EC" w14:textId="7E82A8BB"/>
    <w:p w:rsidR="00675A94" w:rsidP="00675A94" w:rsidRDefault="00714753" w14:paraId="260C1616" w14:textId="231F50B8">
      <w:r w:rsidRPr="00612D80">
        <w:t>SEIA recommended that SDG&amp;E submit a supplemental to correct errors in its ME&amp;O basic messaging</w:t>
      </w:r>
      <w:r>
        <w:t xml:space="preserve"> and </w:t>
      </w:r>
      <w:r w:rsidRPr="00612D80">
        <w:t>address customers, even some low-income customers, who will see bill increases in their overall bill due to implementing the flat rate</w:t>
      </w:r>
      <w:r>
        <w:t xml:space="preserve">. </w:t>
      </w:r>
      <w:r w:rsidR="00675A94">
        <w:t>S</w:t>
      </w:r>
      <w:r w:rsidR="00B74EB0">
        <w:t>EI</w:t>
      </w:r>
      <w:r w:rsidR="00675A94">
        <w:t>A contended the concept of “maintaining the electric grid” in SDG&amp;E</w:t>
      </w:r>
      <w:r w:rsidR="00796AF8">
        <w:t>’s</w:t>
      </w:r>
      <w:r w:rsidR="00675A94">
        <w:t xml:space="preserve"> basic messaging is broad and does not clearly reflect the types of cost that the Commission determined can be collected in a fixed charge and recommended that the Commission direct SDG&amp;E to use the language explaining the fixed </w:t>
      </w:r>
      <w:r w:rsidR="00757AFF">
        <w:t>charge</w:t>
      </w:r>
      <w:r w:rsidR="00675A94">
        <w:t xml:space="preserve"> which is </w:t>
      </w:r>
      <w:proofErr w:type="gramStart"/>
      <w:r w:rsidR="00675A94">
        <w:t>similar to</w:t>
      </w:r>
      <w:proofErr w:type="gramEnd"/>
      <w:r w:rsidR="00675A94">
        <w:t xml:space="preserve"> that put forth by SCE in its implementation </w:t>
      </w:r>
      <w:r w:rsidR="00B40814">
        <w:t>AL</w:t>
      </w:r>
      <w:r w:rsidR="00675A94">
        <w:rPr>
          <w:rStyle w:val="FootnoteReference"/>
        </w:rPr>
        <w:footnoteReference w:id="160"/>
      </w:r>
      <w:r w:rsidR="00675A94">
        <w:t xml:space="preserve"> which states:</w:t>
      </w:r>
    </w:p>
    <w:p w:rsidR="00675A94" w:rsidP="00675A94" w:rsidRDefault="00675A94" w14:paraId="38B80B08" w14:textId="77777777"/>
    <w:p w:rsidR="00675A94" w:rsidP="00BA737F" w:rsidRDefault="00675A94" w14:paraId="078BFEDD" w14:textId="0F70AB38">
      <w:pPr>
        <w:ind w:left="720" w:right="900"/>
      </w:pPr>
      <w:r>
        <w:lastRenderedPageBreak/>
        <w:t>“The Bas</w:t>
      </w:r>
      <w:r w:rsidR="00725245">
        <w:t>e</w:t>
      </w:r>
      <w:r>
        <w:t xml:space="preserve"> Services Cha</w:t>
      </w:r>
      <w:r w:rsidR="00B74EB0">
        <w:t>r</w:t>
      </w:r>
      <w:r>
        <w:t>ge covers the cost of connecting you to the electric grid (e.g., transformers, line to connect to your home and meter equipment, etc.) and providing customer support.”</w:t>
      </w:r>
      <w:r>
        <w:rPr>
          <w:rStyle w:val="FootnoteReference"/>
        </w:rPr>
        <w:footnoteReference w:id="161"/>
      </w:r>
    </w:p>
    <w:p w:rsidR="00675A94" w:rsidP="00675A94" w:rsidRDefault="00675A94" w14:paraId="6DB30B29" w14:textId="5529C431"/>
    <w:p w:rsidR="00142B6A" w:rsidP="00142B6A" w:rsidRDefault="00675A94" w14:paraId="4E1E95DD" w14:textId="357592EC">
      <w:r>
        <w:t>SEIA also contended that SDG&amp;E’s statements intend to inform customers that the fixed charge “</w:t>
      </w:r>
      <w:r w:rsidRPr="00F4648B">
        <w:t xml:space="preserve">affects all customers including those with CARE or FERA bill discounts; solar and </w:t>
      </w:r>
      <w:r w:rsidR="00BE568A">
        <w:t>TOU</w:t>
      </w:r>
      <w:r w:rsidRPr="00F4648B">
        <w:t xml:space="preserve"> rate plans, homeowners and renters</w:t>
      </w:r>
      <w:r>
        <w:t>”</w:t>
      </w:r>
      <w:r w:rsidRPr="00F4648B">
        <w:t xml:space="preserve"> </w:t>
      </w:r>
      <w:r>
        <w:t>and “this billing structure cha</w:t>
      </w:r>
      <w:r w:rsidR="037C3E8E">
        <w:t>nge</w:t>
      </w:r>
      <w:r>
        <w:t xml:space="preserve"> does not impact existing rate plans” are contradictory and should be revised and clarified. </w:t>
      </w:r>
      <w:r w:rsidRPr="003B7A33" w:rsidR="00142B6A">
        <w:t xml:space="preserve">SEIA recommended for accuracy and IOU alignment that SDG&amp;E correct its proposed basic messaging using language </w:t>
      </w:r>
      <w:proofErr w:type="gramStart"/>
      <w:r w:rsidRPr="003B7A33" w:rsidR="00142B6A">
        <w:t>similar to</w:t>
      </w:r>
      <w:proofErr w:type="gramEnd"/>
      <w:r w:rsidRPr="003B7A33" w:rsidR="00142B6A">
        <w:t xml:space="preserve"> SCE </w:t>
      </w:r>
      <w:r w:rsidR="008E698D">
        <w:t xml:space="preserve">and </w:t>
      </w:r>
      <w:r w:rsidRPr="003B7A33" w:rsidR="00142B6A">
        <w:t>correct statements that the flat rate affects existing rate plans.</w:t>
      </w:r>
      <w:r w:rsidR="005913AE">
        <w:rPr>
          <w:rStyle w:val="FootnoteReference"/>
        </w:rPr>
        <w:footnoteReference w:id="162"/>
      </w:r>
      <w:r w:rsidRPr="003B7A33" w:rsidR="00142B6A">
        <w:t xml:space="preserve"> SDG&amp;E respond</w:t>
      </w:r>
      <w:r w:rsidR="00142B6A">
        <w:t>ed</w:t>
      </w:r>
      <w:r w:rsidRPr="003B7A33" w:rsidR="00142B6A">
        <w:t xml:space="preserve"> that its messaging is preliminary</w:t>
      </w:r>
      <w:r w:rsidR="00142B6A">
        <w:t>, and it</w:t>
      </w:r>
      <w:r w:rsidRPr="003B7A33" w:rsidR="00142B6A">
        <w:t xml:space="preserve"> will continue to modify </w:t>
      </w:r>
      <w:r w:rsidR="00142B6A">
        <w:t>the messaging</w:t>
      </w:r>
      <w:r w:rsidRPr="003B7A33" w:rsidR="00142B6A">
        <w:t xml:space="preserve"> by collaborating with the other IOUs and the </w:t>
      </w:r>
      <w:r w:rsidR="00142B6A">
        <w:t>IWG</w:t>
      </w:r>
      <w:r w:rsidRPr="003B7A33" w:rsidR="00142B6A">
        <w:t>. SDG&amp;E intends to conduct research in the second quarter of 2025 to test approved final messages with targeted customer segments and incorporate feedback before distributing any customer-facing materials.</w:t>
      </w:r>
      <w:r w:rsidR="005913AE">
        <w:rPr>
          <w:rStyle w:val="FootnoteReference"/>
        </w:rPr>
        <w:footnoteReference w:id="163"/>
      </w:r>
    </w:p>
    <w:p w:rsidR="00FE01A8" w:rsidP="00142B6A" w:rsidRDefault="00FE01A8" w14:paraId="752C63FC" w14:textId="77777777"/>
    <w:p w:rsidR="00FE01A8" w:rsidP="00142B6A" w:rsidRDefault="00FE01A8" w14:paraId="23839748" w14:textId="3C754327">
      <w:r>
        <w:t xml:space="preserve">In response to C4AT’s protest, we agree with SDG&amp;E that its messaging complies with the Decision to use existing processes for enrolled CARE customers. The Commission further discusses C4AT’s protest regarding the Large IOUs’ tier assignments in </w:t>
      </w:r>
      <w:r w:rsidR="002639F9">
        <w:br/>
      </w:r>
      <w:r>
        <w:t xml:space="preserve">Section 6.1 of this Resolution.  </w:t>
      </w:r>
    </w:p>
    <w:p w:rsidR="001148F1" w:rsidP="6FA11215" w:rsidRDefault="001148F1" w14:paraId="1A501DF4" w14:textId="1FF4C0F8">
      <w:pPr>
        <w:rPr>
          <w:rFonts w:ascii="Times New Roman" w:hAnsi="Times New Roman" w:cs="Times New Roman"/>
        </w:rPr>
      </w:pPr>
    </w:p>
    <w:p w:rsidR="00BB4679" w:rsidP="00044764" w:rsidRDefault="00BB4679" w14:paraId="11D67B9D" w14:textId="799E09E7">
      <w:r>
        <w:t xml:space="preserve">Although a sample, the information provided in SDG&amp;E’s basic messages should be accurate and comply with the requirements in D.24-05-028. </w:t>
      </w:r>
      <w:r w:rsidR="004D0D4A">
        <w:t xml:space="preserve">The Commission agrees with the above recommendations provided by Cal Advocates and SEIA and directs SDG&amp;E to file a Tier 2 AL </w:t>
      </w:r>
      <w:r w:rsidR="6ECE90C4">
        <w:t xml:space="preserve">within 60 days of </w:t>
      </w:r>
      <w:r w:rsidR="00C742CE">
        <w:t>the issuance of</w:t>
      </w:r>
      <w:r w:rsidR="6ECE90C4">
        <w:t xml:space="preserve"> this Resolution</w:t>
      </w:r>
      <w:r w:rsidR="004D0D4A">
        <w:t xml:space="preserve"> that </w:t>
      </w:r>
      <w:r w:rsidR="002639F9">
        <w:br/>
      </w:r>
      <w:r>
        <w:t xml:space="preserve">(1) </w:t>
      </w:r>
      <w:r w:rsidR="004D0D4A">
        <w:t>corrects all errors and misleading statements in its sample high-level messaging</w:t>
      </w:r>
      <w:r>
        <w:t xml:space="preserve"> </w:t>
      </w:r>
      <w:r w:rsidR="000B57FB">
        <w:t>and</w:t>
      </w:r>
      <w:r>
        <w:t xml:space="preserve"> (2) </w:t>
      </w:r>
      <w:r w:rsidR="00456820">
        <w:t>address</w:t>
      </w:r>
      <w:r w:rsidR="37627C02">
        <w:t>es</w:t>
      </w:r>
      <w:r w:rsidR="00456820">
        <w:t xml:space="preserve"> </w:t>
      </w:r>
      <w:r w:rsidR="004D0D4A">
        <w:t>how it will communicate how customers can switch assigned tiers and various rate options for customers to manage their bills</w:t>
      </w:r>
      <w:r w:rsidR="4153B328">
        <w:t>, consistent with current outreach IOUs conduct to customers about the rate options and bill management</w:t>
      </w:r>
      <w:r>
        <w:t>.</w:t>
      </w:r>
    </w:p>
    <w:p w:rsidR="00BB4679" w:rsidP="6FA11215" w:rsidRDefault="00BB4679" w14:paraId="1530D80A" w14:textId="77777777"/>
    <w:p w:rsidRPr="00507D08" w:rsidR="00044764" w:rsidP="00C401B7" w:rsidRDefault="00044764" w14:paraId="1FABA96C" w14:textId="6452EE5E">
      <w:pPr>
        <w:pStyle w:val="Heading4"/>
        <w:numPr>
          <w:ilvl w:val="1"/>
          <w:numId w:val="18"/>
        </w:numPr>
      </w:pPr>
      <w:r w:rsidRPr="0067681A">
        <w:t>Planned Customer Research</w:t>
      </w:r>
    </w:p>
    <w:p w:rsidR="00044764" w:rsidP="00044764" w:rsidRDefault="00044764" w14:paraId="178F4FBB" w14:textId="33FB8D3C">
      <w:pPr>
        <w:pStyle w:val="sub3"/>
        <w:spacing w:line="240" w:lineRule="auto"/>
        <w:ind w:firstLine="0"/>
      </w:pPr>
      <w:r w:rsidRPr="002E7965">
        <w:t xml:space="preserve">In 2025, SDG&amp;E plans to conduct another survey with impacted customer groups, including CARE, general, and solar. The survey will assess whether SDG&amp;E’s revised marketing materials explicitly and effectively address all the ancillary topics and </w:t>
      </w:r>
      <w:r w:rsidRPr="002E7965">
        <w:lastRenderedPageBreak/>
        <w:t xml:space="preserve">information customers need in the months leading up to the </w:t>
      </w:r>
      <w:r>
        <w:t xml:space="preserve">fixed </w:t>
      </w:r>
      <w:r w:rsidR="00B01324">
        <w:t>charge</w:t>
      </w:r>
      <w:r w:rsidRPr="002E7965">
        <w:t xml:space="preserve"> implementation. In the Spring of 2026, SDG&amp;E will conduct a final survey with customers in the same groups to assess the overall effectiveness of the ME&amp;O activity and identify where SDG&amp;E should allocate additional resources to ensure a successful transition and pinpoint ongoing engagement opportunities with customers.</w:t>
      </w:r>
    </w:p>
    <w:p w:rsidR="00325047" w:rsidP="00044764" w:rsidRDefault="00325047" w14:paraId="499DF9A2" w14:textId="77777777">
      <w:pPr>
        <w:pStyle w:val="sub3"/>
        <w:spacing w:line="240" w:lineRule="auto"/>
        <w:ind w:firstLine="0"/>
      </w:pPr>
    </w:p>
    <w:p w:rsidR="00325047" w:rsidP="00EC0ADD" w:rsidRDefault="00325047" w14:paraId="6A6881E3" w14:textId="0B101D0A">
      <w:pPr>
        <w:pStyle w:val="Heading4"/>
      </w:pPr>
      <w:r w:rsidRPr="00325047">
        <w:t>Integrated Campaign Tactics</w:t>
      </w:r>
    </w:p>
    <w:p w:rsidR="003F46DC" w:rsidP="003F46DC" w:rsidRDefault="003F46DC" w14:paraId="1AFF216C" w14:textId="55F41B79">
      <w:pPr>
        <w:pStyle w:val="sub3"/>
        <w:spacing w:line="240" w:lineRule="auto"/>
        <w:ind w:firstLine="0"/>
      </w:pPr>
      <w:r>
        <w:t xml:space="preserve">SDG&amp;E proposed its integrated campaign tactics, which will include a dedicated webpage, available at sdge.com/electric-billing, as the primary source of information for customers about the new fixed </w:t>
      </w:r>
      <w:r w:rsidR="00B01324">
        <w:t>charge</w:t>
      </w:r>
      <w:r>
        <w:t xml:space="preserve">. The campaign will also utilize earned media for media engagement; existing SDG&amp;E-owned channels (i.e., bill package, collateral, organic social media channels such as Facebook, X, Instagram, </w:t>
      </w:r>
      <w:proofErr w:type="spellStart"/>
      <w:r>
        <w:t>Nextdoor</w:t>
      </w:r>
      <w:proofErr w:type="spellEnd"/>
      <w:r>
        <w:t xml:space="preserve"> and/or YouTube; opportunities to integrate the fixed </w:t>
      </w:r>
      <w:r w:rsidR="00B01324">
        <w:t>charge</w:t>
      </w:r>
      <w:r>
        <w:t xml:space="preserve"> messaging into other relevant ME&amp;O efforts such as CARE and FERA; direct notification to inform and satisfy customers of their need to understand how the fixed </w:t>
      </w:r>
      <w:r w:rsidR="00B01324">
        <w:t>charge</w:t>
      </w:r>
      <w:r>
        <w:t xml:space="preserve"> may affect their electric bills; and paid media ads to support the customer journey through all phases of the communication</w:t>
      </w:r>
      <w:r w:rsidR="00511C09">
        <w:t>)</w:t>
      </w:r>
      <w:r>
        <w:t>.</w:t>
      </w:r>
      <w:r w:rsidR="4BAA8ADF">
        <w:t xml:space="preserve"> </w:t>
      </w:r>
      <w:r>
        <w:t>SDG&amp;E proposed deploying multiple touchpoints throughout the customer journey and beginning direct customer notification 90 days prior to implementation.</w:t>
      </w:r>
    </w:p>
    <w:p w:rsidRPr="00580535" w:rsidR="00675A94" w:rsidP="5E1BA1D2" w:rsidRDefault="00675A94" w14:paraId="380AA60B" w14:textId="654DE0D1">
      <w:pPr>
        <w:ind w:left="360"/>
      </w:pPr>
    </w:p>
    <w:p w:rsidR="00675A94" w:rsidP="00FF5D78" w:rsidRDefault="00675A94" w14:paraId="0B90BE1B" w14:textId="6FF51CD3">
      <w:pPr>
        <w:pStyle w:val="Heading4"/>
      </w:pPr>
      <w:r>
        <w:t>Community Engagement and Outreach</w:t>
      </w:r>
    </w:p>
    <w:p w:rsidR="00675A94" w:rsidP="0248D369" w:rsidRDefault="00675A94" w14:paraId="4D7E8883" w14:textId="0B9137DB">
      <w:pPr>
        <w:rPr>
          <w:rStyle w:val="FootnoteReference"/>
          <w:rFonts w:eastAsia="Palatino Linotype" w:cs="Palatino Linotype"/>
        </w:rPr>
      </w:pPr>
      <w:r>
        <w:t xml:space="preserve">SDG&amp;E proposed to leverage its network of approximately 200 CBOs or Energy Solutions Partner </w:t>
      </w:r>
      <w:r w:rsidR="005E7BB0">
        <w:t xml:space="preserve">(ESP) </w:t>
      </w:r>
      <w:r>
        <w:t xml:space="preserve">Network to help educate customers about the fixed </w:t>
      </w:r>
      <w:r w:rsidR="001075CC">
        <w:t>charge</w:t>
      </w:r>
      <w:r>
        <w:t>. During Phase 3, the focus of the messaging will shift toward electrification and remind customers that TOU still matters. Many of these CBOs are small grassroots agencies serving individuals with Access and Functional Needs, multicultural, multilingual, low-income, seniors, and Limited English Proficient audiences in communities of concern.</w:t>
      </w:r>
      <w:r w:rsidR="0130B83D">
        <w:t xml:space="preserve"> </w:t>
      </w:r>
      <w:r w:rsidR="00D66B34">
        <w:t xml:space="preserve">In </w:t>
      </w:r>
      <w:r w:rsidR="00AA4E2E">
        <w:t xml:space="preserve">its response to Cal Advocates’ data request, SDG&amp;E clarified that </w:t>
      </w:r>
      <w:r w:rsidR="008A731E">
        <w:t>reaching</w:t>
      </w:r>
      <w:r w:rsidR="00B62448">
        <w:t xml:space="preserve"> a commercial audience w</w:t>
      </w:r>
      <w:r w:rsidR="007B3612">
        <w:t>as</w:t>
      </w:r>
      <w:r w:rsidR="00B62448">
        <w:t xml:space="preserve"> removed from the total number of CBOs it will leverage</w:t>
      </w:r>
      <w:r w:rsidR="002B2C39">
        <w:t xml:space="preserve"> for</w:t>
      </w:r>
      <w:r w:rsidR="00A8129C">
        <w:t xml:space="preserve"> the fixed charge </w:t>
      </w:r>
      <w:r w:rsidR="0062431A">
        <w:t>and brought the total of t</w:t>
      </w:r>
      <w:r w:rsidR="0074049C">
        <w:t xml:space="preserve">argeted CBOs within SDG&amp;E’s </w:t>
      </w:r>
      <w:r w:rsidR="00A8129C">
        <w:t>ESP</w:t>
      </w:r>
      <w:r w:rsidR="0074049C">
        <w:t xml:space="preserve"> Network</w:t>
      </w:r>
      <w:r w:rsidR="00A8129C">
        <w:t xml:space="preserve"> from 200 to approximately 170.</w:t>
      </w:r>
      <w:r w:rsidR="00131352">
        <w:rPr>
          <w:rStyle w:val="FootnoteReference"/>
        </w:rPr>
        <w:footnoteReference w:id="164"/>
      </w:r>
      <w:r w:rsidRPr="0022336A" w:rsidR="0022336A">
        <w:t xml:space="preserve"> </w:t>
      </w:r>
    </w:p>
    <w:p w:rsidR="00F81BDE" w:rsidP="00675A94" w:rsidRDefault="00F81BDE" w14:paraId="05064C74" w14:textId="71730479">
      <w:pPr>
        <w:pStyle w:val="sub3"/>
        <w:spacing w:line="240" w:lineRule="auto"/>
        <w:ind w:firstLine="0"/>
      </w:pPr>
    </w:p>
    <w:p w:rsidR="00675A94" w:rsidP="00675A94" w:rsidRDefault="00675A94" w14:paraId="2B98A633" w14:textId="566713B1">
      <w:pPr>
        <w:pStyle w:val="sub3"/>
        <w:spacing w:line="240" w:lineRule="auto"/>
        <w:ind w:firstLine="0"/>
      </w:pPr>
      <w:r>
        <w:t xml:space="preserve">SDG&amp;E also proposed that its ME&amp;O activities will include outreach and education to SDG&amp;E employees prior to implementation and information to external stakeholders </w:t>
      </w:r>
      <w:r>
        <w:lastRenderedPageBreak/>
        <w:t xml:space="preserve">such as elected officials, </w:t>
      </w:r>
      <w:r w:rsidR="00EE0158">
        <w:t>T</w:t>
      </w:r>
      <w:r>
        <w:t xml:space="preserve">ribal leaders, third-party organizations, and CCAs to help them understand the fixed </w:t>
      </w:r>
      <w:r w:rsidR="00B01324">
        <w:t>charge</w:t>
      </w:r>
      <w:r>
        <w:t>'s origin, purpose, and benefits.</w:t>
      </w:r>
    </w:p>
    <w:p w:rsidR="00911268" w:rsidP="00675A94" w:rsidRDefault="00911268" w14:paraId="39A95B5E" w14:textId="77777777">
      <w:pPr>
        <w:pStyle w:val="sub3"/>
        <w:spacing w:line="240" w:lineRule="auto"/>
        <w:ind w:firstLine="0"/>
      </w:pPr>
    </w:p>
    <w:p w:rsidR="00911268" w:rsidP="00675A94" w:rsidRDefault="00B858D1" w14:paraId="259D2D18" w14:textId="71E0C11F">
      <w:pPr>
        <w:pStyle w:val="sub3"/>
        <w:spacing w:line="240" w:lineRule="auto"/>
        <w:ind w:firstLine="0"/>
      </w:pPr>
      <w:r>
        <w:t xml:space="preserve">TURN/NRDC recommended the IOUs </w:t>
      </w:r>
      <w:r w:rsidRPr="004F5E35">
        <w:t xml:space="preserve">follow best practices </w:t>
      </w:r>
      <w:r>
        <w:t>for accessible communications and</w:t>
      </w:r>
      <w:r w:rsidR="00492B31">
        <w:t xml:space="preserve"> </w:t>
      </w:r>
      <w:r w:rsidR="00FC06DC">
        <w:t>outreach</w:t>
      </w:r>
      <w:r w:rsidR="00492B31">
        <w:t xml:space="preserve"> </w:t>
      </w:r>
      <w:r w:rsidR="5590DEFB">
        <w:t>to</w:t>
      </w:r>
      <w:r w:rsidR="00492B31">
        <w:t xml:space="preserve"> </w:t>
      </w:r>
      <w:r w:rsidRPr="004F5E35">
        <w:t>HTR customers</w:t>
      </w:r>
      <w:r w:rsidR="00492B31">
        <w:t>.</w:t>
      </w:r>
      <w:r>
        <w:t xml:space="preserve"> </w:t>
      </w:r>
      <w:r w:rsidR="00824B90">
        <w:t>We f</w:t>
      </w:r>
      <w:r w:rsidR="00492B31">
        <w:t>ind</w:t>
      </w:r>
      <w:r w:rsidR="00824B90">
        <w:t xml:space="preserve"> SDG&amp;E’s</w:t>
      </w:r>
      <w:r w:rsidR="00C15570">
        <w:t xml:space="preserve"> approach</w:t>
      </w:r>
      <w:r w:rsidR="002E12A4">
        <w:t xml:space="preserve"> to reach HTR customers</w:t>
      </w:r>
      <w:r w:rsidR="00492B31">
        <w:t xml:space="preserve"> reasonable</w:t>
      </w:r>
      <w:r w:rsidR="002E12A4">
        <w:t xml:space="preserve"> and direct SDG&amp;E to</w:t>
      </w:r>
      <w:r w:rsidR="000A0389">
        <w:t xml:space="preserve"> demonstrate how </w:t>
      </w:r>
      <w:r w:rsidR="00C742CE">
        <w:t xml:space="preserve">its </w:t>
      </w:r>
      <w:r w:rsidR="000A0389">
        <w:t>messaging follows best practices for accessible communications to the IWG for feedback before</w:t>
      </w:r>
      <w:r w:rsidR="00BD34C7">
        <w:t xml:space="preserve"> initiating communications with customers and</w:t>
      </w:r>
      <w:r w:rsidR="000A0389">
        <w:t xml:space="preserve"> implement</w:t>
      </w:r>
      <w:r w:rsidR="00BD34C7">
        <w:t>ing</w:t>
      </w:r>
      <w:r w:rsidR="000A0389">
        <w:t xml:space="preserve"> the fixed charge.</w:t>
      </w:r>
    </w:p>
    <w:p w:rsidR="009C1434" w:rsidP="00675A94" w:rsidRDefault="009C1434" w14:paraId="426C20A1" w14:textId="77777777">
      <w:pPr>
        <w:pStyle w:val="sub3"/>
        <w:spacing w:line="240" w:lineRule="auto"/>
        <w:ind w:firstLine="0"/>
      </w:pPr>
    </w:p>
    <w:p w:rsidR="009C1434" w:rsidP="00C401B7" w:rsidRDefault="009C1434" w14:paraId="584B29BE" w14:textId="64C3D975">
      <w:pPr>
        <w:pStyle w:val="Heading4"/>
        <w:numPr>
          <w:ilvl w:val="1"/>
          <w:numId w:val="18"/>
        </w:numPr>
      </w:pPr>
      <w:r>
        <w:t>Sample Bill Impact</w:t>
      </w:r>
      <w:r w:rsidR="00D96ED6">
        <w:t xml:space="preserve"> Templates</w:t>
      </w:r>
    </w:p>
    <w:p w:rsidR="00D96ED6" w:rsidP="00D96ED6" w:rsidRDefault="00EB57CD" w14:paraId="34A48AC0" w14:textId="048B344B">
      <w:r>
        <w:t>SDG&amp;E proposed its</w:t>
      </w:r>
      <w:r w:rsidR="00D96ED6">
        <w:t xml:space="preserve"> sample bill details will include examples of the three levels of the fixed </w:t>
      </w:r>
      <w:r w:rsidR="00B01324">
        <w:t>charge</w:t>
      </w:r>
      <w:r w:rsidR="00D96ED6">
        <w:t>, point out the lower kWh prices shown at low, average, and high usage levels, and discuss the potential impact.</w:t>
      </w:r>
      <w:r w:rsidR="00FB0E48">
        <w:rPr>
          <w:rStyle w:val="FootnoteReference"/>
        </w:rPr>
        <w:footnoteReference w:id="165"/>
      </w:r>
      <w:r w:rsidR="00D96ED6">
        <w:t xml:space="preserve"> For example, SDG&amp;E provided the following sample bill impact depicted in Figure </w:t>
      </w:r>
      <w:r w:rsidR="00AE2C4A">
        <w:t>2</w:t>
      </w:r>
      <w:r w:rsidR="00D96ED6">
        <w:t xml:space="preserve"> below to illustrate monthly bill impacts for a CARE customer in the Inland climate zone based on rates as of March 1, 2024, with low usage of 200 kWh per month, average usage of 600 kWh per month, and high usage of 600 kWh per month.</w:t>
      </w:r>
    </w:p>
    <w:p w:rsidR="00D96ED6" w:rsidP="00D96ED6" w:rsidRDefault="00D96ED6" w14:paraId="276BAA10" w14:textId="77777777"/>
    <w:p w:rsidR="00D96ED6" w:rsidP="006B2774" w:rsidRDefault="00D96ED6" w14:paraId="6867F822" w14:textId="04224C64">
      <w:pPr>
        <w:keepNext/>
        <w:jc w:val="center"/>
        <w:rPr>
          <w:b/>
          <w:bCs/>
        </w:rPr>
      </w:pPr>
      <w:r w:rsidRPr="008D0521">
        <w:rPr>
          <w:b/>
          <w:bCs/>
        </w:rPr>
        <w:t xml:space="preserve">Figure </w:t>
      </w:r>
      <w:r w:rsidRPr="00DF367D" w:rsidR="3444906E">
        <w:rPr>
          <w:b/>
          <w:bCs/>
        </w:rPr>
        <w:t>2</w:t>
      </w:r>
      <w:r w:rsidRPr="008D0521">
        <w:rPr>
          <w:b/>
          <w:bCs/>
        </w:rPr>
        <w:t>:  SDG&amp;E’s Sample Bill Impacts for CARE Customers in Tier 1</w:t>
      </w:r>
      <w:r w:rsidR="00993FC4">
        <w:rPr>
          <w:rStyle w:val="FootnoteReference"/>
          <w:b/>
          <w:bCs/>
        </w:rPr>
        <w:footnoteReference w:id="166"/>
      </w:r>
    </w:p>
    <w:p w:rsidR="00D96ED6" w:rsidP="006B2774" w:rsidRDefault="00D96ED6" w14:paraId="77A725C3" w14:textId="77777777">
      <w:pPr>
        <w:keepNext/>
        <w:rPr>
          <w:b/>
          <w:bCs/>
        </w:rPr>
      </w:pPr>
    </w:p>
    <w:p w:rsidRPr="008D0521" w:rsidR="00D96ED6" w:rsidP="006B2774" w:rsidRDefault="00D96ED6" w14:paraId="62609BE1" w14:textId="77777777">
      <w:pPr>
        <w:keepNext/>
        <w:jc w:val="center"/>
        <w:rPr>
          <w:b/>
          <w:bCs/>
        </w:rPr>
      </w:pPr>
      <w:r w:rsidRPr="00A9666A">
        <w:rPr>
          <w:b/>
          <w:noProof/>
          <w:color w:val="2B579A"/>
          <w:shd w:val="clear" w:color="auto" w:fill="E6E6E6"/>
        </w:rPr>
        <w:drawing>
          <wp:inline distT="0" distB="0" distL="0" distR="0" wp14:anchorId="35E9F0FD" wp14:editId="02A52C3E">
            <wp:extent cx="5183579" cy="2310915"/>
            <wp:effectExtent l="0" t="0" r="2540" b="1270"/>
            <wp:docPr id="1144729095" name="Picture 1" descr="A graph of average us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29095" name="Picture 1" descr="A graph of average usage&#10;&#10;Description automatically generated with medium confidence"/>
                    <pic:cNvPicPr/>
                  </pic:nvPicPr>
                  <pic:blipFill rotWithShape="1">
                    <a:blip r:embed="rId18"/>
                    <a:srcRect l="1199" t="2650"/>
                    <a:stretch/>
                  </pic:blipFill>
                  <pic:spPr bwMode="auto">
                    <a:xfrm>
                      <a:off x="0" y="0"/>
                      <a:ext cx="5183579" cy="2310915"/>
                    </a:xfrm>
                    <a:prstGeom prst="rect">
                      <a:avLst/>
                    </a:prstGeom>
                    <a:ln>
                      <a:noFill/>
                    </a:ln>
                    <a:extLst>
                      <a:ext uri="{53640926-AAD7-44D8-BBD7-CCE9431645EC}">
                        <a14:shadowObscured xmlns:a14="http://schemas.microsoft.com/office/drawing/2010/main"/>
                      </a:ext>
                    </a:extLst>
                  </pic:spPr>
                </pic:pic>
              </a:graphicData>
            </a:graphic>
          </wp:inline>
        </w:drawing>
      </w:r>
    </w:p>
    <w:p w:rsidR="00D96ED6" w:rsidP="00D96ED6" w:rsidRDefault="00D96ED6" w14:paraId="2F48F243" w14:textId="77777777"/>
    <w:p w:rsidR="00D96ED6" w:rsidP="00D96ED6" w:rsidRDefault="00D96ED6" w14:paraId="1C82C0EB" w14:textId="33D52D6D">
      <w:r w:rsidRPr="000C188E">
        <w:t xml:space="preserve">SEIA contended that while SDG&amp;E's ME&amp;O plan emphasizes the </w:t>
      </w:r>
      <w:r>
        <w:t>fixed</w:t>
      </w:r>
      <w:r w:rsidRPr="000C188E">
        <w:t xml:space="preserve"> charge </w:t>
      </w:r>
      <w:r w:rsidR="00C33690">
        <w:t>and that the</w:t>
      </w:r>
      <w:r w:rsidRPr="000C188E">
        <w:t xml:space="preserve"> price customers will pay per kWh will be less than what they are paying now, SDG&amp;E does not address that for specific customers, this reduction will not make up for </w:t>
      </w:r>
      <w:r w:rsidRPr="000C188E">
        <w:lastRenderedPageBreak/>
        <w:t xml:space="preserve">the required payment of a </w:t>
      </w:r>
      <w:r>
        <w:t xml:space="preserve">fixed </w:t>
      </w:r>
      <w:r w:rsidRPr="000C188E">
        <w:t xml:space="preserve">charge. Similar to SCE's </w:t>
      </w:r>
      <w:r>
        <w:t xml:space="preserve">proposed ME&amp;O </w:t>
      </w:r>
      <w:r w:rsidRPr="000C188E">
        <w:t xml:space="preserve">plan to provide customer-specific information before the implementation of the </w:t>
      </w:r>
      <w:r>
        <w:t xml:space="preserve">fixed </w:t>
      </w:r>
      <w:r w:rsidR="00B01324">
        <w:t>charge</w:t>
      </w:r>
      <w:r w:rsidRPr="000C188E">
        <w:t xml:space="preserve"> and discuss steps customers can take to reduce their bills,</w:t>
      </w:r>
      <w:r>
        <w:rPr>
          <w:rStyle w:val="FootnoteReference"/>
        </w:rPr>
        <w:footnoteReference w:id="167"/>
      </w:r>
      <w:r w:rsidRPr="000C188E">
        <w:t xml:space="preserve"> SEIA recommended SDG&amp;E's educational materials must be explicit that not all customers will see a bill decrease and why that is the case, and also provide information on how customers can mitigate the impact of the increase and include steps to reduce usage, to shift load to lower-priced off-peak periods, and to invest in load-reducing distributed energy resource.</w:t>
      </w:r>
    </w:p>
    <w:p w:rsidR="00D96ED6" w:rsidP="00D96ED6" w:rsidRDefault="00D96ED6" w14:paraId="37983A13" w14:textId="42EB7F81"/>
    <w:p w:rsidR="003F36CD" w:rsidP="00D96ED6" w:rsidRDefault="004453CB" w14:paraId="0E4AD1D2" w14:textId="267EDFCC">
      <w:r>
        <w:t xml:space="preserve">SDG&amp;E should provide additional details on </w:t>
      </w:r>
      <w:r w:rsidR="00A00BC6">
        <w:t xml:space="preserve">what messaging it will provide to </w:t>
      </w:r>
      <w:r w:rsidR="003D213D">
        <w:t xml:space="preserve">all </w:t>
      </w:r>
      <w:r w:rsidR="00A00BC6">
        <w:t>customers</w:t>
      </w:r>
      <w:r w:rsidR="003D213D">
        <w:t xml:space="preserve">, including those </w:t>
      </w:r>
      <w:r w:rsidR="00A00BC6">
        <w:t>who are expected to experience bill increases</w:t>
      </w:r>
      <w:r w:rsidR="00D10E0B">
        <w:t>,</w:t>
      </w:r>
      <w:r w:rsidR="003D213D">
        <w:t xml:space="preserve"> </w:t>
      </w:r>
      <w:r w:rsidR="00A27A5C">
        <w:t>when it presents its final ME&amp;O plan</w:t>
      </w:r>
      <w:r w:rsidR="00D10E0B">
        <w:t xml:space="preserve"> to the IWG</w:t>
      </w:r>
      <w:r w:rsidR="00A27A5C">
        <w:t>.</w:t>
      </w:r>
    </w:p>
    <w:p w:rsidR="009C1DE6" w:rsidP="00D96ED6" w:rsidRDefault="009C1DE6" w14:paraId="08F34CBD" w14:textId="77777777"/>
    <w:p w:rsidR="00D96ED6" w:rsidP="00D96ED6" w:rsidRDefault="00D96ED6" w14:paraId="46632E58" w14:textId="15FA3588">
      <w:r>
        <w:t>SEIA also contended that the sample bill impacts would lead customers to believe that all customers in that climate zone will achieve bill savings, which is not the case and does not satisfy the customers</w:t>
      </w:r>
      <w:r w:rsidR="09E468FB">
        <w:t>’</w:t>
      </w:r>
      <w:r>
        <w:t xml:space="preserve"> need to understand how the fixed charge may affect their electric bills. SEIA recommended that the Commission direct SD</w:t>
      </w:r>
      <w:r w:rsidR="00BB080D">
        <w:t>G</w:t>
      </w:r>
      <w:r>
        <w:t>&amp;E to provide individualized bill impacts to customers; and if SDG&amp;E demonstrates to the Energy Division that its billing systems preclude</w:t>
      </w:r>
      <w:r w:rsidR="00710830">
        <w:t>s</w:t>
      </w:r>
      <w:r>
        <w:t xml:space="preserve"> it from providing individualized bill impacts, then the Commission should direct SDG&amp;E to provide sample bills that are narrowly targeted, taking into account the geographic location of the customer, annual average usage level, and whether the customer has solar or solar + storage or an electric vehicle, if known.</w:t>
      </w:r>
    </w:p>
    <w:p w:rsidR="00D96ED6" w:rsidP="00D96ED6" w:rsidRDefault="00D96ED6" w14:paraId="65F5BE9B" w14:textId="77777777"/>
    <w:p w:rsidR="00D96ED6" w:rsidP="00D96ED6" w:rsidRDefault="00D96ED6" w14:paraId="1F9E3BF1" w14:textId="10156AB5">
      <w:r>
        <w:t>SDG&amp;E</w:t>
      </w:r>
      <w:r w:rsidR="6046C1FF">
        <w:t xml:space="preserve"> indicated it</w:t>
      </w:r>
      <w:r w:rsidRPr="003C0B99">
        <w:t xml:space="preserve"> does not intend to provide individualized bill impacts to customers. Personalized impacts will add complexity, internal resource constraints, incur additional expense</w:t>
      </w:r>
      <w:r w:rsidR="004E2285">
        <w:t>s</w:t>
      </w:r>
      <w:r w:rsidRPr="003C0B99">
        <w:t xml:space="preserve"> and may create customer confusion. Final rates will need to be configured, tested, and validated up to 120 days prior to implementation at the start of direct notifications. It is unlikely that SDG&amp;E will know the final rates at implementation time ahead of </w:t>
      </w:r>
      <w:r w:rsidR="006773D0">
        <w:t>the first and second quarters of</w:t>
      </w:r>
      <w:r w:rsidRPr="003C0B99">
        <w:t xml:space="preserve"> 2025 when configuring the IT system and customer communications would begin. Unknown final pricing at that stage would potentially cause bill impacts to be inaccurate, leading to a poor customer experience if SDG&amp;E is required to provide personalized bill impacts at the individual level</w:t>
      </w:r>
      <w:r w:rsidR="0072724F">
        <w:t>.</w:t>
      </w:r>
      <w:r>
        <w:t xml:space="preserve"> </w:t>
      </w:r>
      <w:r w:rsidR="0072724F">
        <w:t>A</w:t>
      </w:r>
      <w:r>
        <w:t>dditional budget</w:t>
      </w:r>
      <w:r w:rsidRPr="003C0B99">
        <w:t xml:space="preserve"> would be needed for IT configuration requirements not currently scoped in this proceeding. </w:t>
      </w:r>
    </w:p>
    <w:p w:rsidRPr="003C0B99" w:rsidR="00D96ED6" w:rsidP="00D96ED6" w:rsidRDefault="00D96ED6" w14:paraId="146E5B27" w14:textId="77777777"/>
    <w:p w:rsidR="00D96ED6" w:rsidP="00D96ED6" w:rsidRDefault="00D96ED6" w14:paraId="1D74B9CB" w14:textId="5A9AB199">
      <w:r w:rsidRPr="003C0B99">
        <w:lastRenderedPageBreak/>
        <w:t>SDG&amp;E intends to provide three sample bill impacts for customers in every fixed charge tier, including one for low, medium</w:t>
      </w:r>
      <w:r w:rsidRPr="002F520B" w:rsidR="002F520B">
        <w:t>,</w:t>
      </w:r>
      <w:r w:rsidRPr="003C0B99">
        <w:t xml:space="preserve"> and high usage customers in each of the four climate zones, as illustrated </w:t>
      </w:r>
      <w:r>
        <w:t xml:space="preserve">in Figure </w:t>
      </w:r>
      <w:r w:rsidR="00512B76">
        <w:t>2</w:t>
      </w:r>
      <w:r>
        <w:t>.</w:t>
      </w:r>
      <w:r w:rsidRPr="003C0B99">
        <w:t xml:space="preserve"> The sample bill impacts may show savings for some customers</w:t>
      </w:r>
      <w:r w:rsidRPr="002F520B" w:rsidR="002F520B">
        <w:t xml:space="preserve"> and </w:t>
      </w:r>
      <w:r w:rsidRPr="003C0B99">
        <w:t xml:space="preserve">cost increases for others. Simple visuals will allow </w:t>
      </w:r>
      <w:r w:rsidRPr="002F520B" w:rsidR="002F520B">
        <w:t xml:space="preserve">customers </w:t>
      </w:r>
      <w:r w:rsidRPr="003C0B99">
        <w:t xml:space="preserve">to view bill impacts for their tier and </w:t>
      </w:r>
      <w:r w:rsidRPr="002F520B" w:rsidR="002F520B">
        <w:t>reasonably assess the</w:t>
      </w:r>
      <w:r w:rsidRPr="003C0B99">
        <w:t xml:space="preserve"> personal impact based on the amount of their average bill and how much electricity they use </w:t>
      </w:r>
      <w:proofErr w:type="gramStart"/>
      <w:r w:rsidRPr="003C0B99">
        <w:t>in a given</w:t>
      </w:r>
      <w:proofErr w:type="gramEnd"/>
      <w:r w:rsidRPr="003C0B99">
        <w:t xml:space="preserve"> month. While SDG&amp;E plans to only include the version of the low/medium/high use graphic that applies to a customer’s assigned tier in the direct notification (email/letter) to minimize confusion, each of the sample bill impact graphics for all tiers will be available on sdge.com so customers can compare bill impacts from one tier to another.</w:t>
      </w:r>
      <w:r w:rsidR="00BB5432">
        <w:rPr>
          <w:rStyle w:val="FootnoteReference"/>
        </w:rPr>
        <w:footnoteReference w:id="168"/>
      </w:r>
    </w:p>
    <w:p w:rsidR="002F520B" w:rsidP="00D96ED6" w:rsidRDefault="002F520B" w14:paraId="407E2FC7" w14:textId="77777777">
      <w:pPr>
        <w:rPr>
          <w:b/>
          <w:bCs/>
        </w:rPr>
      </w:pPr>
    </w:p>
    <w:p w:rsidR="006E4F3B" w:rsidP="00D96ED6" w:rsidRDefault="00370F75" w14:paraId="7222C174" w14:textId="44117081">
      <w:r w:rsidRPr="00370F75">
        <w:t>SDG&amp;E does not propose running solar-specific sample bill impacts because solar customers have a range of billing cadences, including annual billing and export compensation levels, that complicate generating solar-specific bill impacts. However, solar customers can still use the usage levels for imports they are billed on to estimate the fixed charge’s impact on non-nettable import charges.</w:t>
      </w:r>
      <w:r w:rsidR="00DD77A6">
        <w:rPr>
          <w:rStyle w:val="FootnoteReference"/>
        </w:rPr>
        <w:footnoteReference w:id="169"/>
      </w:r>
      <w:r w:rsidRPr="00370F75">
        <w:t xml:space="preserve"> </w:t>
      </w:r>
    </w:p>
    <w:p w:rsidR="00370F75" w:rsidP="00D96ED6" w:rsidRDefault="00370F75" w14:paraId="7F8D0E49" w14:textId="77777777"/>
    <w:p w:rsidR="00891B30" w:rsidP="00BC2E5D" w:rsidRDefault="006177EB" w14:paraId="6C2B8B4D" w14:textId="6FAD1844">
      <w:r>
        <w:t>T</w:t>
      </w:r>
      <w:r w:rsidRPr="0075078A" w:rsidR="0075078A">
        <w:t xml:space="preserve">he Commission agrees with SDG&amp;E’s approach to </w:t>
      </w:r>
      <w:r w:rsidRPr="0075078A" w:rsidR="008D0AEA">
        <w:t>providing</w:t>
      </w:r>
      <w:r w:rsidRPr="0075078A" w:rsidR="0075078A">
        <w:t xml:space="preserve"> sample bill impacts to customers </w:t>
      </w:r>
      <w:proofErr w:type="gramStart"/>
      <w:r w:rsidRPr="0075078A" w:rsidR="0075078A">
        <w:t>at this time</w:t>
      </w:r>
      <w:proofErr w:type="gramEnd"/>
      <w:r w:rsidRPr="0075078A" w:rsidR="0075078A">
        <w:t>.</w:t>
      </w:r>
    </w:p>
    <w:p w:rsidR="00E05D63" w:rsidP="00C401B7" w:rsidRDefault="00E05D63" w14:paraId="4D3C3B64" w14:textId="68E878BB">
      <w:pPr>
        <w:pStyle w:val="Heading4"/>
        <w:numPr>
          <w:ilvl w:val="1"/>
          <w:numId w:val="18"/>
        </w:numPr>
      </w:pPr>
      <w:r>
        <w:t>ME&amp;O Timeline</w:t>
      </w:r>
    </w:p>
    <w:p w:rsidR="00E05D63" w:rsidP="00E05D63" w:rsidRDefault="00E05D63" w14:paraId="0FF397C7" w14:textId="0145BA7A">
      <w:r w:rsidRPr="007243A8">
        <w:rPr>
          <w:rFonts w:eastAsia="Palatino Linotype" w:cs="Palatino Linotype"/>
        </w:rPr>
        <w:t xml:space="preserve">D.24-05-028 directed SDG&amp;E to implement the fixed </w:t>
      </w:r>
      <w:r>
        <w:rPr>
          <w:rFonts w:eastAsia="Palatino Linotype" w:cs="Palatino Linotype"/>
        </w:rPr>
        <w:t>charge</w:t>
      </w:r>
      <w:r w:rsidRPr="007243A8">
        <w:rPr>
          <w:rFonts w:eastAsia="Palatino Linotype" w:cs="Palatino Linotype"/>
        </w:rPr>
        <w:t xml:space="preserve"> in the fourth quarter of 2025 (between October 1, 2024, and December 15, 2025</w:t>
      </w:r>
      <w:r w:rsidRPr="6254EAA2">
        <w:rPr>
          <w:rFonts w:eastAsia="Palatino Linotype" w:cs="Palatino Linotype"/>
        </w:rPr>
        <w:t>).</w:t>
      </w:r>
      <w:r>
        <w:rPr>
          <w:rStyle w:val="FootnoteReference"/>
          <w:rFonts w:eastAsia="Palatino Linotype" w:cs="Palatino Linotype"/>
        </w:rPr>
        <w:footnoteReference w:id="170"/>
      </w:r>
      <w:r>
        <w:t xml:space="preserve"> </w:t>
      </w:r>
      <w:r w:rsidRPr="0071027C">
        <w:t>SDG&amp;E indicated the actual timing of ME&amp;O activities in Phase 1 (Awareness)</w:t>
      </w:r>
      <w:r w:rsidRPr="0071027C" w:rsidR="4D3D23A4">
        <w:t>,</w:t>
      </w:r>
      <w:r w:rsidRPr="0071027C">
        <w:t xml:space="preserve"> and it may shift Phase 2 (Education) based on the final fixed charge implementation date in the fourth quarter of 2025. </w:t>
      </w:r>
    </w:p>
    <w:p w:rsidR="00E05D63" w:rsidP="00E05D63" w:rsidRDefault="00E05D63" w14:paraId="2BEC1B04" w14:textId="196A8AC6"/>
    <w:p w:rsidR="00E05D63" w:rsidP="00E05D63" w:rsidRDefault="1FF1CEBA" w14:paraId="36766DCB" w14:textId="396C93A6">
      <w:r>
        <w:t xml:space="preserve">Figure 3 depicts SDG&amp;E’s ME&amp;O timeline. </w:t>
      </w:r>
      <w:r w:rsidRPr="0071027C" w:rsidR="00E05D63">
        <w:t>SDG&amp;E</w:t>
      </w:r>
      <w:r w:rsidRPr="0071027C" w:rsidR="6C9ACD86">
        <w:t xml:space="preserve"> indicated it</w:t>
      </w:r>
      <w:r w:rsidRPr="0071027C" w:rsidR="00E05D63">
        <w:t xml:space="preserve"> will </w:t>
      </w:r>
      <w:proofErr w:type="gramStart"/>
      <w:r w:rsidRPr="0071027C" w:rsidR="00E05D63">
        <w:t>make adjustments</w:t>
      </w:r>
      <w:proofErr w:type="gramEnd"/>
      <w:r w:rsidRPr="0071027C" w:rsidR="00E05D63">
        <w:t xml:space="preserve"> depending on whether the fixed charge implementation will occur at the beginning or end of the </w:t>
      </w:r>
      <w:r w:rsidR="00534538">
        <w:t>fourth</w:t>
      </w:r>
      <w:r w:rsidRPr="0071027C" w:rsidR="00534538">
        <w:t xml:space="preserve"> </w:t>
      </w:r>
      <w:r w:rsidRPr="0071027C" w:rsidR="00E05D63">
        <w:t xml:space="preserve">quarter of 2025. Phase 3 (Engagement) may continue for up to </w:t>
      </w:r>
      <w:r w:rsidR="00C7663C">
        <w:br/>
      </w:r>
      <w:r w:rsidRPr="0071027C" w:rsidR="00E05D63">
        <w:t>12 months after implementation.</w:t>
      </w:r>
      <w:r w:rsidRPr="77DFD902">
        <w:rPr>
          <w:rStyle w:val="FootnoteReference"/>
        </w:rPr>
        <w:footnoteReference w:id="171"/>
      </w:r>
      <w:r w:rsidRPr="0071027C" w:rsidR="00E05D63">
        <w:t> </w:t>
      </w:r>
    </w:p>
    <w:p w:rsidRPr="002E130D" w:rsidR="00BA7850" w:rsidP="00E05D63" w:rsidRDefault="00BA7850" w14:paraId="501710AE" w14:textId="77777777">
      <w:pPr>
        <w:rPr>
          <w:sz w:val="12"/>
          <w:szCs w:val="12"/>
        </w:rPr>
      </w:pPr>
    </w:p>
    <w:p w:rsidR="00E05D63" w:rsidP="00552FBC" w:rsidRDefault="00E05D63" w14:paraId="46F4D723" w14:textId="7B29EE86">
      <w:pPr>
        <w:pStyle w:val="sub2"/>
        <w:keepNext/>
        <w:spacing w:line="240" w:lineRule="auto"/>
        <w:ind w:firstLine="0"/>
        <w:jc w:val="center"/>
        <w:rPr>
          <w:b/>
          <w:bCs/>
          <w:noProof/>
        </w:rPr>
      </w:pPr>
      <w:r w:rsidRPr="008F528D">
        <w:rPr>
          <w:b/>
          <w:bCs/>
          <w:noProof/>
        </w:rPr>
        <w:lastRenderedPageBreak/>
        <w:t xml:space="preserve">Figure </w:t>
      </w:r>
      <w:r w:rsidRPr="6C9870E5" w:rsidR="08E3B311">
        <w:rPr>
          <w:b/>
          <w:bCs/>
          <w:noProof/>
        </w:rPr>
        <w:t>3</w:t>
      </w:r>
      <w:r w:rsidRPr="008F528D">
        <w:rPr>
          <w:b/>
          <w:bCs/>
          <w:noProof/>
        </w:rPr>
        <w:t>:  SDG&amp;E</w:t>
      </w:r>
      <w:r>
        <w:rPr>
          <w:b/>
          <w:bCs/>
          <w:noProof/>
        </w:rPr>
        <w:t>’s</w:t>
      </w:r>
      <w:r w:rsidRPr="008F528D">
        <w:rPr>
          <w:b/>
          <w:bCs/>
          <w:noProof/>
        </w:rPr>
        <w:t xml:space="preserve"> ME&amp;O Timeline</w:t>
      </w:r>
      <w:r w:rsidRPr="77DFD902">
        <w:rPr>
          <w:rStyle w:val="FootnoteReference"/>
          <w:b/>
          <w:bCs/>
          <w:noProof/>
        </w:rPr>
        <w:footnoteReference w:id="172"/>
      </w:r>
    </w:p>
    <w:p w:rsidRPr="00DF791A" w:rsidR="00E05D63" w:rsidP="00552FBC" w:rsidRDefault="00E05D63" w14:paraId="39EE33EE" w14:textId="77777777">
      <w:pPr>
        <w:pStyle w:val="sub2"/>
        <w:keepNext/>
        <w:spacing w:line="240" w:lineRule="auto"/>
        <w:ind w:firstLine="0"/>
        <w:jc w:val="center"/>
        <w:rPr>
          <w:b/>
          <w:bCs/>
          <w:noProof/>
          <w:sz w:val="14"/>
          <w:szCs w:val="14"/>
        </w:rPr>
      </w:pPr>
    </w:p>
    <w:p w:rsidR="00E05D63" w:rsidP="00552FBC" w:rsidRDefault="00E05D63" w14:paraId="123CEED3" w14:textId="3791702B">
      <w:pPr>
        <w:pStyle w:val="sub2"/>
        <w:keepNext/>
        <w:spacing w:line="240" w:lineRule="auto"/>
        <w:ind w:firstLine="0"/>
        <w:jc w:val="center"/>
      </w:pPr>
      <w:r w:rsidRPr="00BC4F3A">
        <w:rPr>
          <w:noProof/>
          <w:color w:val="2B579A"/>
          <w:shd w:val="clear" w:color="auto" w:fill="E6E6E6"/>
        </w:rPr>
        <w:drawing>
          <wp:inline distT="0" distB="0" distL="0" distR="0" wp14:anchorId="3614136F" wp14:editId="7509912F">
            <wp:extent cx="4892040" cy="4572000"/>
            <wp:effectExtent l="0" t="0" r="3810" b="3810"/>
            <wp:docPr id="1068872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2040" cy="4572000"/>
                    </a:xfrm>
                    <a:prstGeom prst="rect">
                      <a:avLst/>
                    </a:prstGeom>
                    <a:noFill/>
                    <a:ln>
                      <a:noFill/>
                    </a:ln>
                  </pic:spPr>
                </pic:pic>
              </a:graphicData>
            </a:graphic>
          </wp:inline>
        </w:drawing>
      </w:r>
    </w:p>
    <w:p w:rsidRPr="00A563F3" w:rsidR="00E05D63" w:rsidP="005C4B61" w:rsidRDefault="00E05D63" w14:paraId="4B4564E9" w14:textId="77777777">
      <w:pPr>
        <w:rPr>
          <w:b/>
          <w:bCs/>
          <w:sz w:val="18"/>
          <w:szCs w:val="18"/>
        </w:rPr>
      </w:pPr>
    </w:p>
    <w:p w:rsidR="00BD34C7" w:rsidP="00FC2F9B" w:rsidRDefault="00E05D63" w14:paraId="58B46E84" w14:textId="775B9072">
      <w:pPr>
        <w:pStyle w:val="sub2"/>
        <w:spacing w:line="240" w:lineRule="auto"/>
        <w:ind w:firstLine="0"/>
      </w:pPr>
      <w:r>
        <w:t xml:space="preserve">TURN/NRDC </w:t>
      </w:r>
      <w:r w:rsidR="00023534">
        <w:t>argued</w:t>
      </w:r>
      <w:r>
        <w:t xml:space="preserve"> that the IOUs should be required to implement the fixed charge in a timely manner and that SDG&amp;E does not offer a specific starting date within the fourth quarter of 2025.</w:t>
      </w:r>
      <w:r w:rsidRPr="77DFD902">
        <w:rPr>
          <w:rStyle w:val="FootnoteReference"/>
        </w:rPr>
        <w:footnoteReference w:id="173"/>
      </w:r>
      <w:r w:rsidR="000E5E5F">
        <w:t xml:space="preserve"> </w:t>
      </w:r>
      <w:r w:rsidRPr="00EF4216">
        <w:t>SDG&amp;E</w:t>
      </w:r>
      <w:r w:rsidR="000E5E5F">
        <w:t xml:space="preserve"> indicated it</w:t>
      </w:r>
      <w:r w:rsidRPr="00EF4216">
        <w:t xml:space="preserve"> will comply with D.24-05-028 to implement “</w:t>
      </w:r>
      <w:r w:rsidR="000E5E5F">
        <w:t>b</w:t>
      </w:r>
      <w:r w:rsidRPr="00EF4216">
        <w:t>etween October 1, 2025</w:t>
      </w:r>
      <w:r w:rsidRPr="00EF4216" w:rsidR="4D75C29C">
        <w:t>,</w:t>
      </w:r>
      <w:r w:rsidRPr="00EF4216">
        <w:t xml:space="preserve"> and December 15, 2025</w:t>
      </w:r>
      <w:r w:rsidRPr="00EF4216" w:rsidR="7013BA74">
        <w:t>.</w:t>
      </w:r>
      <w:r w:rsidRPr="00EF4216">
        <w:t>”</w:t>
      </w:r>
      <w:r w:rsidR="000E5E5F">
        <w:rPr>
          <w:rStyle w:val="FootnoteReference"/>
        </w:rPr>
        <w:footnoteReference w:id="174"/>
      </w:r>
      <w:r w:rsidR="005C3F1F">
        <w:t xml:space="preserve"> </w:t>
      </w:r>
    </w:p>
    <w:p w:rsidR="00BD34C7" w:rsidP="00FC2F9B" w:rsidRDefault="00BD34C7" w14:paraId="3A68ECEB" w14:textId="77777777">
      <w:pPr>
        <w:pStyle w:val="sub2"/>
        <w:spacing w:line="240" w:lineRule="auto"/>
        <w:ind w:firstLine="0"/>
      </w:pPr>
    </w:p>
    <w:p w:rsidR="00FC2F9B" w:rsidP="00FC2F9B" w:rsidRDefault="00E05D63" w14:paraId="40296F2A" w14:textId="1E4C4D77">
      <w:pPr>
        <w:pStyle w:val="sub2"/>
        <w:spacing w:line="240" w:lineRule="auto"/>
        <w:ind w:firstLine="0"/>
        <w:rPr>
          <w:rFonts w:eastAsia="Palatino Linotype" w:cs="Palatino Linotype"/>
          <w:b/>
          <w:color w:val="FF0000"/>
        </w:rPr>
      </w:pPr>
      <w:r w:rsidRPr="301A3CB9">
        <w:rPr>
          <w:rFonts w:eastAsia="Palatino Linotype" w:cs="Palatino Linotype"/>
        </w:rPr>
        <w:t xml:space="preserve">TURN/NRDC </w:t>
      </w:r>
      <w:r>
        <w:rPr>
          <w:rFonts w:eastAsia="Palatino Linotype" w:cs="Palatino Linotype"/>
        </w:rPr>
        <w:t xml:space="preserve">also </w:t>
      </w:r>
      <w:r w:rsidR="00023534">
        <w:rPr>
          <w:rFonts w:eastAsia="Palatino Linotype" w:cs="Palatino Linotype"/>
        </w:rPr>
        <w:t>argued</w:t>
      </w:r>
      <w:r>
        <w:rPr>
          <w:rFonts w:eastAsia="Palatino Linotype" w:cs="Palatino Linotype"/>
        </w:rPr>
        <w:t xml:space="preserve"> that</w:t>
      </w:r>
      <w:r w:rsidRPr="301A3CB9">
        <w:rPr>
          <w:rFonts w:eastAsia="Palatino Linotype" w:cs="Palatino Linotype"/>
        </w:rPr>
        <w:t xml:space="preserve"> the</w:t>
      </w:r>
      <w:r w:rsidR="00BE1A32">
        <w:rPr>
          <w:rFonts w:eastAsia="Palatino Linotype" w:cs="Palatino Linotype"/>
        </w:rPr>
        <w:t xml:space="preserve"> Commission </w:t>
      </w:r>
      <w:r w:rsidRPr="301A3CB9">
        <w:rPr>
          <w:rFonts w:eastAsia="Palatino Linotype" w:cs="Palatino Linotype"/>
          <w:color w:val="000000" w:themeColor="text1"/>
        </w:rPr>
        <w:t xml:space="preserve">should </w:t>
      </w:r>
      <w:r w:rsidR="00BE1A32">
        <w:rPr>
          <w:rFonts w:eastAsia="Palatino Linotype" w:cs="Palatino Linotype"/>
          <w:color w:val="000000" w:themeColor="text1"/>
        </w:rPr>
        <w:t>disallow</w:t>
      </w:r>
      <w:r w:rsidRPr="301A3CB9">
        <w:rPr>
          <w:rFonts w:eastAsia="Palatino Linotype" w:cs="Palatino Linotype"/>
          <w:color w:val="000000" w:themeColor="text1"/>
        </w:rPr>
        <w:t xml:space="preserve"> some portion of</w:t>
      </w:r>
      <w:r w:rsidR="000D4B5E">
        <w:rPr>
          <w:rFonts w:eastAsia="Palatino Linotype" w:cs="Palatino Linotype"/>
          <w:color w:val="000000" w:themeColor="text1"/>
        </w:rPr>
        <w:t xml:space="preserve"> the</w:t>
      </w:r>
      <w:r w:rsidRPr="301A3CB9">
        <w:rPr>
          <w:rFonts w:eastAsia="Palatino Linotype" w:cs="Palatino Linotype"/>
          <w:color w:val="000000" w:themeColor="text1"/>
        </w:rPr>
        <w:t xml:space="preserve"> IGFCMA costs or </w:t>
      </w:r>
      <w:r w:rsidR="000D4B5E">
        <w:rPr>
          <w:rFonts w:eastAsia="Palatino Linotype" w:cs="Palatino Linotype"/>
          <w:color w:val="000000" w:themeColor="text1"/>
        </w:rPr>
        <w:t>establish</w:t>
      </w:r>
      <w:r w:rsidR="00DB71B1">
        <w:rPr>
          <w:rFonts w:eastAsia="Palatino Linotype" w:cs="Palatino Linotype"/>
          <w:color w:val="000000" w:themeColor="text1"/>
        </w:rPr>
        <w:t xml:space="preserve"> </w:t>
      </w:r>
      <w:r w:rsidR="00841834">
        <w:rPr>
          <w:rFonts w:eastAsia="Palatino Linotype" w:cs="Palatino Linotype"/>
          <w:color w:val="000000" w:themeColor="text1"/>
        </w:rPr>
        <w:t>a</w:t>
      </w:r>
      <w:r w:rsidRPr="301A3CB9">
        <w:rPr>
          <w:rFonts w:eastAsia="Palatino Linotype" w:cs="Palatino Linotype"/>
          <w:color w:val="000000" w:themeColor="text1"/>
        </w:rPr>
        <w:t xml:space="preserve"> financial penalty</w:t>
      </w:r>
      <w:r w:rsidR="005C3F1F">
        <w:rPr>
          <w:rFonts w:eastAsia="Palatino Linotype" w:cs="Palatino Linotype"/>
          <w:color w:val="000000" w:themeColor="text1"/>
        </w:rPr>
        <w:t xml:space="preserve"> for failure to implement within the time frame outlined in the Decision</w:t>
      </w:r>
      <w:r w:rsidRPr="301A3CB9">
        <w:rPr>
          <w:rFonts w:eastAsia="Palatino Linotype" w:cs="Palatino Linotype"/>
          <w:color w:val="000000" w:themeColor="text1"/>
        </w:rPr>
        <w:t>.</w:t>
      </w:r>
      <w:r w:rsidR="0077065A">
        <w:rPr>
          <w:rStyle w:val="FootnoteReference"/>
          <w:rFonts w:eastAsia="Palatino Linotype" w:cs="Palatino Linotype"/>
          <w:color w:val="000000" w:themeColor="text1"/>
        </w:rPr>
        <w:footnoteReference w:id="175"/>
      </w:r>
      <w:r w:rsidR="002933BC">
        <w:rPr>
          <w:rFonts w:eastAsia="Palatino Linotype" w:cs="Palatino Linotype"/>
          <w:color w:val="000000" w:themeColor="text1"/>
        </w:rPr>
        <w:t xml:space="preserve"> </w:t>
      </w:r>
      <w:r w:rsidRPr="77525A93" w:rsidR="5CEE112E">
        <w:rPr>
          <w:rFonts w:eastAsia="Palatino Linotype" w:cs="Palatino Linotype"/>
        </w:rPr>
        <w:t xml:space="preserve">Because we have already specified a timeline for SDG&amp;E to implement the IGFC, and failure to comply with Commission orders renders </w:t>
      </w:r>
      <w:r w:rsidRPr="77525A93" w:rsidR="5CEE112E">
        <w:rPr>
          <w:rFonts w:eastAsia="Palatino Linotype" w:cs="Palatino Linotype"/>
        </w:rPr>
        <w:lastRenderedPageBreak/>
        <w:t xml:space="preserve">a utility subject to penalties, we do not see a need to provide additional </w:t>
      </w:r>
      <w:r w:rsidRPr="77525A93" w:rsidR="7AD4D28B">
        <w:rPr>
          <w:rFonts w:eastAsia="Palatino Linotype" w:cs="Palatino Linotype"/>
        </w:rPr>
        <w:t>penalties</w:t>
      </w:r>
      <w:r w:rsidRPr="77525A93" w:rsidR="5CEE112E">
        <w:rPr>
          <w:rFonts w:eastAsia="Palatino Linotype" w:cs="Palatino Linotype"/>
        </w:rPr>
        <w:t xml:space="preserve"> herein, especially given the complexity of this end</w:t>
      </w:r>
      <w:r w:rsidRPr="77525A93" w:rsidR="390F716E">
        <w:rPr>
          <w:rFonts w:eastAsia="Palatino Linotype" w:cs="Palatino Linotype"/>
        </w:rPr>
        <w:t>eavor.</w:t>
      </w:r>
    </w:p>
    <w:p w:rsidR="003323CF" w:rsidP="00606A71" w:rsidRDefault="003323CF" w14:paraId="505F811A" w14:textId="77777777"/>
    <w:p w:rsidRPr="003A7259" w:rsidR="00247EFB" w:rsidP="00247EFB" w:rsidRDefault="00247EFB" w14:paraId="0FE600B1" w14:textId="7DEDEEA8">
      <w:r>
        <w:t>Customer education and outreach are not just pivotal but integral to the successful implementation of the fixed charge. D.24-05-028 adopted an efficient process for developing ME&amp;O plans with consistent terminology, high-level messages, metrics, and the IWG to address oversight of ME&amp;O implementation. The Commission finds SDG&amp;</w:t>
      </w:r>
      <w:proofErr w:type="gramStart"/>
      <w:r>
        <w:t>E’s</w:t>
      </w:r>
      <w:proofErr w:type="gramEnd"/>
      <w:r>
        <w:t xml:space="preserve"> proposed ME&amp;O plan reasonable and approves the plan as modified in this Resolution. We direct SDG&amp;E to refine aspects of its plan based on feedback from the IWG before implementing the fixed charge and to present its final ME&amp;O Plan to the IWG </w:t>
      </w:r>
      <w:r w:rsidR="0F482663">
        <w:t>at least</w:t>
      </w:r>
      <w:r>
        <w:t xml:space="preserve"> </w:t>
      </w:r>
      <w:r w:rsidR="00780B9C">
        <w:t xml:space="preserve">90 </w:t>
      </w:r>
      <w:r>
        <w:t>days before initiating direct communications with customers</w:t>
      </w:r>
      <w:r w:rsidR="00E648E5">
        <w:t xml:space="preserve"> and implementing the fixed charge</w:t>
      </w:r>
      <w:r>
        <w:t>.</w:t>
      </w:r>
    </w:p>
    <w:p w:rsidR="00247EFB" w:rsidP="00606A71" w:rsidRDefault="00247EFB" w14:paraId="3EB06380" w14:textId="77777777"/>
    <w:p w:rsidR="006A040B" w:rsidP="00C401B7" w:rsidRDefault="006A040B" w14:paraId="0E2D53CF" w14:textId="141C9E51">
      <w:pPr>
        <w:pStyle w:val="Heading4"/>
        <w:numPr>
          <w:ilvl w:val="1"/>
          <w:numId w:val="18"/>
        </w:numPr>
      </w:pPr>
      <w:r>
        <w:t>M</w:t>
      </w:r>
      <w:r w:rsidR="00E423B3">
        <w:t>E&amp;O</w:t>
      </w:r>
      <w:r>
        <w:t xml:space="preserve"> </w:t>
      </w:r>
      <w:r w:rsidRPr="00FC06FB">
        <w:t>Reporting and Metrics</w:t>
      </w:r>
    </w:p>
    <w:p w:rsidR="00B92EE2" w:rsidP="006A040B" w:rsidRDefault="006A040B" w14:paraId="50FE3DED" w14:textId="670CD4D5">
      <w:r w:rsidRPr="006768AD">
        <w:t>SDG&amp;E plans to measure and track</w:t>
      </w:r>
      <w:r w:rsidR="00DE4089">
        <w:t xml:space="preserve"> key aspects of</w:t>
      </w:r>
      <w:r w:rsidRPr="006768AD">
        <w:t xml:space="preserve"> outreach data to monitor progress in reaching customers with messages about the </w:t>
      </w:r>
      <w:r>
        <w:t>f</w:t>
      </w:r>
      <w:r w:rsidRPr="006768AD">
        <w:t xml:space="preserve">ixed </w:t>
      </w:r>
      <w:r>
        <w:t>c</w:t>
      </w:r>
      <w:r w:rsidRPr="006768AD">
        <w:t xml:space="preserve">harge as directed in the Decision. SDG&amp;E will share metrics within 30 days of each calendar quarter to the service list of the proceeding and present quarterly to the </w:t>
      </w:r>
      <w:r>
        <w:t>IWG</w:t>
      </w:r>
      <w:r w:rsidR="00962511">
        <w:t xml:space="preserve">, along </w:t>
      </w:r>
      <w:r w:rsidRPr="006768AD" w:rsidR="00962511">
        <w:t>with any other reporting requirements directed by the Decision</w:t>
      </w:r>
      <w:r w:rsidRPr="006768AD">
        <w:t>.</w:t>
      </w:r>
      <w:r w:rsidR="00794334">
        <w:rPr>
          <w:rStyle w:val="FootnoteReference"/>
        </w:rPr>
        <w:footnoteReference w:id="176"/>
      </w:r>
      <w:r w:rsidRPr="006768AD">
        <w:t xml:space="preserve"> </w:t>
      </w:r>
    </w:p>
    <w:p w:rsidR="00B92EE2" w:rsidP="006A040B" w:rsidRDefault="00B92EE2" w14:paraId="26DDE2BB" w14:textId="26AA9D0F"/>
    <w:p w:rsidR="00443AD8" w:rsidP="006A040B" w:rsidRDefault="000440C7" w14:paraId="66DE1847" w14:textId="3CB94805">
      <w:r>
        <w:t xml:space="preserve">The </w:t>
      </w:r>
      <w:r w:rsidR="00443AD8">
        <w:t>ME&amp;O metrics</w:t>
      </w:r>
      <w:r>
        <w:t xml:space="preserve"> will include</w:t>
      </w:r>
      <w:r w:rsidR="00F97AF2">
        <w:t>:</w:t>
      </w:r>
      <w:r w:rsidRPr="000440C7">
        <w:rPr>
          <w:rStyle w:val="FootnoteReference"/>
        </w:rPr>
        <w:t xml:space="preserve"> </w:t>
      </w:r>
      <w:r>
        <w:rPr>
          <w:rStyle w:val="FootnoteReference"/>
        </w:rPr>
        <w:footnoteReference w:id="177"/>
      </w:r>
    </w:p>
    <w:p w:rsidR="006A7544" w:rsidP="006A7544" w:rsidRDefault="006A7544" w14:paraId="2DDEF8DE" w14:textId="1BE5E9DD"/>
    <w:p w:rsidR="006A040B" w:rsidP="00C401B7" w:rsidRDefault="006A040B" w14:paraId="53D8D071" w14:textId="3BB25B80">
      <w:pPr>
        <w:pStyle w:val="ListParagraph"/>
        <w:numPr>
          <w:ilvl w:val="0"/>
          <w:numId w:val="20"/>
        </w:numPr>
        <w:spacing w:after="80"/>
        <w:ind w:left="720"/>
        <w:contextualSpacing w:val="0"/>
      </w:pPr>
      <w:r w:rsidRPr="006768AD">
        <w:t xml:space="preserve">Number of press article </w:t>
      </w:r>
      <w:proofErr w:type="gramStart"/>
      <w:r w:rsidRPr="006768AD">
        <w:t>mentions</w:t>
      </w:r>
      <w:r w:rsidR="00023534">
        <w:t>;</w:t>
      </w:r>
      <w:proofErr w:type="gramEnd"/>
    </w:p>
    <w:p w:rsidR="006A040B" w:rsidP="00C401B7" w:rsidRDefault="006A040B" w14:paraId="3FC151D9" w14:textId="5776E214">
      <w:pPr>
        <w:pStyle w:val="ListParagraph"/>
        <w:numPr>
          <w:ilvl w:val="0"/>
          <w:numId w:val="20"/>
        </w:numPr>
        <w:spacing w:after="80"/>
        <w:ind w:left="720"/>
        <w:contextualSpacing w:val="0"/>
      </w:pPr>
      <w:r w:rsidRPr="006768AD">
        <w:t xml:space="preserve">Impressions and reach of paid </w:t>
      </w:r>
      <w:proofErr w:type="gramStart"/>
      <w:r w:rsidRPr="006768AD">
        <w:t>media</w:t>
      </w:r>
      <w:r w:rsidR="00023534">
        <w:t>;</w:t>
      </w:r>
      <w:proofErr w:type="gramEnd"/>
    </w:p>
    <w:p w:rsidR="006A040B" w:rsidP="00C401B7" w:rsidRDefault="006A040B" w14:paraId="766DC0A7" w14:textId="610A82B1">
      <w:pPr>
        <w:pStyle w:val="ListParagraph"/>
        <w:numPr>
          <w:ilvl w:val="0"/>
          <w:numId w:val="20"/>
        </w:numPr>
        <w:spacing w:after="80"/>
        <w:ind w:left="720"/>
        <w:contextualSpacing w:val="0"/>
      </w:pPr>
      <w:r w:rsidRPr="006768AD">
        <w:t xml:space="preserve">Number and type of outbound targeted communications and bill </w:t>
      </w:r>
      <w:proofErr w:type="gramStart"/>
      <w:r w:rsidRPr="006768AD">
        <w:t>messages</w:t>
      </w:r>
      <w:r w:rsidR="00023534">
        <w:t>;</w:t>
      </w:r>
      <w:proofErr w:type="gramEnd"/>
    </w:p>
    <w:p w:rsidR="006A040B" w:rsidP="00C401B7" w:rsidRDefault="006A040B" w14:paraId="6B84CA2A" w14:textId="3754E48D">
      <w:pPr>
        <w:pStyle w:val="ListParagraph"/>
        <w:numPr>
          <w:ilvl w:val="0"/>
          <w:numId w:val="20"/>
        </w:numPr>
        <w:spacing w:after="80"/>
        <w:ind w:left="720"/>
        <w:contextualSpacing w:val="0"/>
      </w:pPr>
      <w:r w:rsidRPr="006768AD">
        <w:t xml:space="preserve">ME&amp;O dollars </w:t>
      </w:r>
      <w:proofErr w:type="gramStart"/>
      <w:r w:rsidRPr="006768AD">
        <w:t>spent</w:t>
      </w:r>
      <w:r w:rsidR="00023534">
        <w:t>;</w:t>
      </w:r>
      <w:proofErr w:type="gramEnd"/>
    </w:p>
    <w:p w:rsidR="00610540" w:rsidP="00C401B7" w:rsidRDefault="000D52FC" w14:paraId="2DA9089C" w14:textId="2D43F41B">
      <w:pPr>
        <w:pStyle w:val="ListParagraph"/>
        <w:numPr>
          <w:ilvl w:val="0"/>
          <w:numId w:val="20"/>
        </w:numPr>
        <w:spacing w:after="80"/>
        <w:ind w:left="720"/>
        <w:contextualSpacing w:val="0"/>
      </w:pPr>
      <w:r>
        <w:t xml:space="preserve">Email open </w:t>
      </w:r>
      <w:r w:rsidR="00443AD8">
        <w:t>rate</w:t>
      </w:r>
      <w:r w:rsidR="00062397">
        <w:t>s</w:t>
      </w:r>
      <w:r>
        <w:t xml:space="preserve"> and cli</w:t>
      </w:r>
      <w:r w:rsidR="00705BB7">
        <w:t>ck through rates</w:t>
      </w:r>
      <w:r w:rsidR="00023534">
        <w:t>;</w:t>
      </w:r>
      <w:r w:rsidR="00AE426A">
        <w:t xml:space="preserve"> and</w:t>
      </w:r>
    </w:p>
    <w:p w:rsidR="00AE426A" w:rsidP="00C401B7" w:rsidRDefault="00195E6C" w14:paraId="0AF02029" w14:textId="2435557E">
      <w:pPr>
        <w:pStyle w:val="ListParagraph"/>
        <w:numPr>
          <w:ilvl w:val="0"/>
          <w:numId w:val="20"/>
        </w:numPr>
        <w:spacing w:after="80"/>
        <w:ind w:left="720"/>
        <w:contextualSpacing w:val="0"/>
      </w:pPr>
      <w:r>
        <w:t>Number of visits to SDG&amp;E’s dedicated website</w:t>
      </w:r>
      <w:r w:rsidR="00AE426A">
        <w:t>.</w:t>
      </w:r>
    </w:p>
    <w:p w:rsidR="00AE426A" w:rsidP="00BE505D" w:rsidRDefault="00AE426A" w14:paraId="4585A60E" w14:textId="34778550"/>
    <w:p w:rsidR="001C11BD" w:rsidP="00EC73E5" w:rsidRDefault="00AE426A" w14:paraId="074E1619" w14:textId="1D1F2368">
      <w:r>
        <w:t>SDG&amp;E will also report on</w:t>
      </w:r>
      <w:r w:rsidR="00226C14">
        <w:t xml:space="preserve"> the following metrics</w:t>
      </w:r>
      <w:r w:rsidR="00BC6D83">
        <w:t xml:space="preserve"> outlined in the Decision:</w:t>
      </w:r>
      <w:r w:rsidR="00BC6D83">
        <w:rPr>
          <w:rStyle w:val="FootnoteReference"/>
        </w:rPr>
        <w:footnoteReference w:id="178"/>
      </w:r>
      <w:r w:rsidRPr="006768AD" w:rsidR="00EC73E5">
        <w:t xml:space="preserve"> </w:t>
      </w:r>
    </w:p>
    <w:p w:rsidR="006A7544" w:rsidP="006A7544" w:rsidRDefault="006A7544" w14:paraId="59B277F9" w14:textId="77777777"/>
    <w:p w:rsidR="00195E6C" w:rsidP="00C401B7" w:rsidRDefault="001C11BD" w14:paraId="2EB182D2" w14:textId="3F4AF587">
      <w:pPr>
        <w:pStyle w:val="ListParagraph"/>
        <w:numPr>
          <w:ilvl w:val="0"/>
          <w:numId w:val="21"/>
        </w:numPr>
        <w:spacing w:after="80"/>
        <w:ind w:left="720"/>
        <w:contextualSpacing w:val="0"/>
      </w:pPr>
      <w:r>
        <w:t xml:space="preserve">Number of customers in </w:t>
      </w:r>
      <w:r w:rsidR="003779C0">
        <w:t xml:space="preserve">each </w:t>
      </w:r>
      <w:proofErr w:type="gramStart"/>
      <w:r w:rsidR="003779C0">
        <w:t>tier</w:t>
      </w:r>
      <w:r w:rsidR="00356FCF">
        <w:t>;</w:t>
      </w:r>
      <w:proofErr w:type="gramEnd"/>
    </w:p>
    <w:p w:rsidR="00334AFF" w:rsidP="00C401B7" w:rsidRDefault="00334AFF" w14:paraId="322B578B" w14:textId="6BFCB631">
      <w:pPr>
        <w:pStyle w:val="ListParagraph"/>
        <w:numPr>
          <w:ilvl w:val="0"/>
          <w:numId w:val="21"/>
        </w:numPr>
        <w:spacing w:after="80"/>
        <w:ind w:left="720"/>
        <w:contextualSpacing w:val="0"/>
      </w:pPr>
      <w:r>
        <w:lastRenderedPageBreak/>
        <w:t xml:space="preserve">Number of customers </w:t>
      </w:r>
      <w:r w:rsidR="009F471F">
        <w:t>who</w:t>
      </w:r>
      <w:r>
        <w:t xml:space="preserve"> </w:t>
      </w:r>
      <w:r w:rsidR="006151CA">
        <w:t>change</w:t>
      </w:r>
      <w:r>
        <w:t xml:space="preserve"> </w:t>
      </w:r>
      <w:proofErr w:type="gramStart"/>
      <w:r>
        <w:t>tiers</w:t>
      </w:r>
      <w:r w:rsidR="007F5391">
        <w:t>;</w:t>
      </w:r>
      <w:proofErr w:type="gramEnd"/>
    </w:p>
    <w:p w:rsidR="007F5391" w:rsidP="00C401B7" w:rsidRDefault="007F5391" w14:paraId="375B7F69" w14:textId="1D426100">
      <w:pPr>
        <w:pStyle w:val="ListParagraph"/>
        <w:numPr>
          <w:ilvl w:val="0"/>
          <w:numId w:val="21"/>
        </w:numPr>
        <w:spacing w:after="80"/>
        <w:ind w:left="720"/>
        <w:contextualSpacing w:val="0"/>
      </w:pPr>
      <w:r>
        <w:t xml:space="preserve">Average customer bill impacts for each tier and each baseline </w:t>
      </w:r>
      <w:proofErr w:type="gramStart"/>
      <w:r>
        <w:t>territory;</w:t>
      </w:r>
      <w:proofErr w:type="gramEnd"/>
    </w:p>
    <w:p w:rsidR="00923349" w:rsidP="00C401B7" w:rsidRDefault="00923349" w14:paraId="69AB45C4" w14:textId="5AAD2172">
      <w:pPr>
        <w:pStyle w:val="ListParagraph"/>
        <w:numPr>
          <w:ilvl w:val="0"/>
          <w:numId w:val="21"/>
        </w:numPr>
        <w:spacing w:after="80"/>
        <w:ind w:left="720"/>
        <w:contextualSpacing w:val="0"/>
      </w:pPr>
      <w:r>
        <w:t xml:space="preserve">Number </w:t>
      </w:r>
      <w:r w:rsidR="00FF21B4">
        <w:t xml:space="preserve">of related calls </w:t>
      </w:r>
      <w:r w:rsidR="0049366F">
        <w:t xml:space="preserve">or </w:t>
      </w:r>
      <w:r w:rsidR="0001226B">
        <w:t>email</w:t>
      </w:r>
      <w:r w:rsidR="0049366F">
        <w:t xml:space="preserve"> </w:t>
      </w:r>
      <w:proofErr w:type="gramStart"/>
      <w:r w:rsidR="0049366F">
        <w:t>received;</w:t>
      </w:r>
      <w:proofErr w:type="gramEnd"/>
    </w:p>
    <w:p w:rsidR="005E79F1" w:rsidP="00C401B7" w:rsidRDefault="005E79F1" w14:paraId="0BB60904" w14:textId="44244711">
      <w:pPr>
        <w:pStyle w:val="ListParagraph"/>
        <w:numPr>
          <w:ilvl w:val="0"/>
          <w:numId w:val="21"/>
        </w:numPr>
        <w:spacing w:after="80"/>
        <w:ind w:left="720"/>
        <w:contextualSpacing w:val="0"/>
      </w:pPr>
      <w:r>
        <w:t>Number of customers who were asked to verify their inco</w:t>
      </w:r>
      <w:r>
        <w:rPr>
          <w:rStyle w:val="normaltextrun"/>
        </w:rPr>
        <w:t>mes through the CARE and FERA programs;</w:t>
      </w:r>
      <w:r w:rsidR="002110D8">
        <w:rPr>
          <w:rStyle w:val="normaltextrun"/>
        </w:rPr>
        <w:t xml:space="preserve"> and</w:t>
      </w:r>
    </w:p>
    <w:p w:rsidRPr="005E79F1" w:rsidR="005E79F1" w:rsidP="00C401B7" w:rsidRDefault="005E79F1" w14:paraId="2E4F3DF8" w14:textId="55CF8470">
      <w:pPr>
        <w:pStyle w:val="ListParagraph"/>
        <w:numPr>
          <w:ilvl w:val="0"/>
          <w:numId w:val="21"/>
        </w:numPr>
        <w:spacing w:after="80"/>
        <w:ind w:left="720"/>
        <w:contextualSpacing w:val="0"/>
      </w:pPr>
      <w:r>
        <w:t>Number of customers who</w:t>
      </w:r>
      <w:r>
        <w:rPr>
          <w:rStyle w:val="normaltextrun"/>
        </w:rPr>
        <w:t xml:space="preserve"> successfully verified their incomes through the CARE and FERA programs</w:t>
      </w:r>
      <w:r w:rsidR="002110D8">
        <w:rPr>
          <w:rStyle w:val="normaltextrun"/>
        </w:rPr>
        <w:t>.</w:t>
      </w:r>
    </w:p>
    <w:p w:rsidR="006A040B" w:rsidP="006A040B" w:rsidRDefault="006A040B" w14:paraId="1B6DA351" w14:textId="4790600F"/>
    <w:p w:rsidR="006A040B" w:rsidP="006A040B" w:rsidRDefault="006A040B" w14:paraId="1421182F" w14:textId="5BC58B75">
      <w:r w:rsidRPr="006768AD">
        <w:t>Considering that most customers will transition during the same month, SDG&amp;E</w:t>
      </w:r>
      <w:r w:rsidR="00281D08">
        <w:t xml:space="preserve"> stated its</w:t>
      </w:r>
      <w:r w:rsidRPr="006768AD">
        <w:t xml:space="preserve"> </w:t>
      </w:r>
      <w:r w:rsidR="00200145">
        <w:t>ME&amp;O</w:t>
      </w:r>
      <w:r w:rsidRPr="006768AD">
        <w:t xml:space="preserve"> efforts will conclude up to one year after implementation</w:t>
      </w:r>
      <w:r>
        <w:t xml:space="preserve"> and </w:t>
      </w:r>
      <w:r w:rsidRPr="006768AD">
        <w:t>reporting for ME&amp;O specific analytics as outlined above would also cease at that point.</w:t>
      </w:r>
      <w:r w:rsidR="00A85B44">
        <w:rPr>
          <w:rStyle w:val="FootnoteReference"/>
        </w:rPr>
        <w:footnoteReference w:id="179"/>
      </w:r>
    </w:p>
    <w:p w:rsidR="00A85B44" w:rsidP="006A040B" w:rsidRDefault="00A85B44" w14:paraId="1CA16A8B" w14:textId="77777777"/>
    <w:p w:rsidR="00A85B44" w:rsidP="006A040B" w:rsidRDefault="00A85B44" w14:paraId="2F7C03B2" w14:textId="4D28F82F">
      <w:r w:rsidRPr="00A85B44">
        <w:t>SDG&amp;E</w:t>
      </w:r>
      <w:r>
        <w:t xml:space="preserve"> </w:t>
      </w:r>
      <w:r w:rsidR="00904D75">
        <w:t>stated</w:t>
      </w:r>
      <w:r>
        <w:t xml:space="preserve"> it</w:t>
      </w:r>
      <w:r w:rsidRPr="00A85B44">
        <w:t xml:space="preserve"> provides CARE and FERA statistics as part of its required annual and monthly low-income reports filed with the Commission</w:t>
      </w:r>
      <w:r w:rsidR="00904D75">
        <w:t>; and g</w:t>
      </w:r>
      <w:r w:rsidRPr="00A85B44">
        <w:t xml:space="preserve">iven that this relevant information is already reported, SDG&amp;E proposes no additional CARE or FERA reporting for the </w:t>
      </w:r>
      <w:r>
        <w:t>f</w:t>
      </w:r>
      <w:r w:rsidRPr="00A85B44">
        <w:t xml:space="preserve">ixed </w:t>
      </w:r>
      <w:r>
        <w:t>c</w:t>
      </w:r>
      <w:r w:rsidRPr="00A85B44">
        <w:t>harge.</w:t>
      </w:r>
    </w:p>
    <w:p w:rsidR="00F046F5" w:rsidP="006A040B" w:rsidRDefault="00F046F5" w14:paraId="532108CD" w14:textId="77777777"/>
    <w:p w:rsidR="007F74C8" w:rsidP="006A040B" w:rsidRDefault="00BC32C6" w14:paraId="1F8CFF45" w14:textId="28F24ED0">
      <w:r w:rsidRPr="00BC32C6">
        <w:t>We</w:t>
      </w:r>
      <w:r w:rsidR="00317CEE">
        <w:t xml:space="preserve"> direct </w:t>
      </w:r>
      <w:r w:rsidR="00AF0187">
        <w:t>SDG&amp;E</w:t>
      </w:r>
      <w:r w:rsidR="001B2D61">
        <w:t xml:space="preserve"> </w:t>
      </w:r>
      <w:r w:rsidR="004D178F">
        <w:t>to</w:t>
      </w:r>
      <w:r w:rsidR="001B2D61">
        <w:t xml:space="preserve"> </w:t>
      </w:r>
      <w:r w:rsidR="00583DF4">
        <w:t>include</w:t>
      </w:r>
      <w:r w:rsidR="001B2D61">
        <w:t xml:space="preserve"> </w:t>
      </w:r>
      <w:r w:rsidR="00DE3FE9">
        <w:t xml:space="preserve">the required </w:t>
      </w:r>
      <w:r w:rsidR="00FD7F53">
        <w:t xml:space="preserve">two </w:t>
      </w:r>
      <w:r w:rsidR="00DE3FE9">
        <w:t>metrics for CARE and FERA</w:t>
      </w:r>
      <w:r w:rsidRPr="00885ED7" w:rsidR="00DF205B">
        <w:t xml:space="preserve"> </w:t>
      </w:r>
      <w:r w:rsidR="007B3F3E">
        <w:t xml:space="preserve">as part </w:t>
      </w:r>
      <w:r w:rsidR="00225A1B">
        <w:t>of</w:t>
      </w:r>
      <w:r w:rsidRPr="00885ED7" w:rsidR="00DF205B">
        <w:t xml:space="preserve"> its quarterly reporting to the </w:t>
      </w:r>
      <w:r w:rsidR="00D51F48">
        <w:t>R.22-07-005</w:t>
      </w:r>
      <w:r w:rsidRPr="00885ED7" w:rsidR="00DF205B">
        <w:t xml:space="preserve"> service list and IWG for the fixed charge implementation</w:t>
      </w:r>
      <w:r w:rsidR="00DB6D48">
        <w:t>, separate from the</w:t>
      </w:r>
      <w:r w:rsidR="008065D2">
        <w:t xml:space="preserve"> CARE and FERA</w:t>
      </w:r>
      <w:r w:rsidR="00DB6D48">
        <w:t xml:space="preserve"> reporting </w:t>
      </w:r>
      <w:r w:rsidR="00927261">
        <w:t xml:space="preserve">required in </w:t>
      </w:r>
      <w:r w:rsidR="009543D3">
        <w:br/>
      </w:r>
      <w:r w:rsidR="00927261">
        <w:t>D.21-06-01</w:t>
      </w:r>
      <w:r w:rsidR="008065D2">
        <w:t>5</w:t>
      </w:r>
      <w:r w:rsidRPr="00885ED7" w:rsidR="00DF205B">
        <w:t xml:space="preserve">. The </w:t>
      </w:r>
      <w:r w:rsidR="00532E4F">
        <w:t xml:space="preserve">two </w:t>
      </w:r>
      <w:r w:rsidRPr="00885ED7" w:rsidR="00DF205B">
        <w:t>CARE and FERA reporting metrics are the "number of customers who were asked to verify their incomes through the CARE and FERA programs" and the "number of customers who successfully verified their incomes through the CARE and FERA programs."</w:t>
      </w:r>
      <w:r w:rsidR="00C906E3">
        <w:t xml:space="preserve"> </w:t>
      </w:r>
      <w:r w:rsidR="004C0E14">
        <w:t>The</w:t>
      </w:r>
      <w:r w:rsidR="003D2583">
        <w:t xml:space="preserve"> IWG </w:t>
      </w:r>
      <w:r w:rsidR="00AF66AC">
        <w:t>shall</w:t>
      </w:r>
      <w:r w:rsidR="003D2583">
        <w:t xml:space="preserve"> determine when ME&amp;O reporting for the fixed charge implementation ends based on </w:t>
      </w:r>
      <w:r w:rsidR="004C0E14">
        <w:t>each Large IOU’s</w:t>
      </w:r>
      <w:r w:rsidR="003D2583">
        <w:t xml:space="preserve"> implementation schedule.</w:t>
      </w:r>
      <w:r w:rsidR="00C26387">
        <w:t xml:space="preserve"> </w:t>
      </w:r>
    </w:p>
    <w:p w:rsidR="00BC32C6" w:rsidP="006A040B" w:rsidRDefault="00BC32C6" w14:paraId="10D3B62A" w14:textId="77777777"/>
    <w:p w:rsidR="00BA057C" w:rsidP="004A00FF" w:rsidRDefault="00BA057C" w14:paraId="4480BC6C" w14:textId="0342C289">
      <w:pPr>
        <w:rPr>
          <w:rFonts w:eastAsia="Palatino Linotype" w:cs="Palatino Linotype"/>
          <w:color w:val="000000" w:themeColor="text1"/>
        </w:rPr>
      </w:pPr>
      <w:r w:rsidRPr="004A00FF">
        <w:rPr>
          <w:rFonts w:eastAsia="Palatino Linotype" w:cs="Palatino Linotype"/>
          <w:color w:val="000000" w:themeColor="text1"/>
        </w:rPr>
        <w:t xml:space="preserve">Cal Advocates recommended that the Commission </w:t>
      </w:r>
      <w:r w:rsidRPr="004A00FF" w:rsidR="004A00FF">
        <w:rPr>
          <w:rFonts w:eastAsia="Palatino Linotype" w:cs="Palatino Linotype"/>
          <w:color w:val="000000" w:themeColor="text1"/>
        </w:rPr>
        <w:t>require</w:t>
      </w:r>
      <w:r w:rsidRPr="004A00FF">
        <w:rPr>
          <w:rFonts w:eastAsia="Palatino Linotype" w:cs="Palatino Linotype"/>
          <w:color w:val="000000" w:themeColor="text1"/>
        </w:rPr>
        <w:t xml:space="preserve"> </w:t>
      </w:r>
      <w:r w:rsidRPr="004A00FF" w:rsidR="004A00FF">
        <w:rPr>
          <w:rFonts w:eastAsia="Palatino Linotype" w:cs="Palatino Linotype"/>
          <w:color w:val="000000" w:themeColor="text1"/>
        </w:rPr>
        <w:t>SDG&amp;E</w:t>
      </w:r>
      <w:r w:rsidRPr="004A00FF">
        <w:rPr>
          <w:rFonts w:eastAsia="Palatino Linotype" w:cs="Palatino Linotype"/>
          <w:color w:val="000000" w:themeColor="text1"/>
        </w:rPr>
        <w:t xml:space="preserve"> to </w:t>
      </w:r>
      <w:r w:rsidRPr="004A00FF" w:rsidR="009821B7">
        <w:rPr>
          <w:rFonts w:eastAsia="Palatino Linotype" w:cs="Palatino Linotype"/>
          <w:color w:val="000000" w:themeColor="text1"/>
        </w:rPr>
        <w:t xml:space="preserve">report </w:t>
      </w:r>
      <w:r w:rsidR="00BE3850">
        <w:rPr>
          <w:rFonts w:eastAsia="Palatino Linotype" w:cs="Palatino Linotype"/>
          <w:color w:val="000000" w:themeColor="text1"/>
        </w:rPr>
        <w:t xml:space="preserve">ME&amp;O </w:t>
      </w:r>
      <w:r w:rsidRPr="004A00FF" w:rsidR="009821B7">
        <w:rPr>
          <w:rFonts w:eastAsia="Palatino Linotype" w:cs="Palatino Linotype"/>
          <w:color w:val="000000" w:themeColor="text1"/>
        </w:rPr>
        <w:t>metrics disaggregated by</w:t>
      </w:r>
      <w:r w:rsidRPr="004A00FF" w:rsidR="00B5784B">
        <w:rPr>
          <w:rFonts w:eastAsia="Palatino Linotype" w:cs="Palatino Linotype"/>
          <w:color w:val="000000" w:themeColor="text1"/>
        </w:rPr>
        <w:t xml:space="preserve"> tier</w:t>
      </w:r>
      <w:r w:rsidRPr="004A00FF" w:rsidR="00623043">
        <w:rPr>
          <w:rFonts w:eastAsia="Palatino Linotype" w:cs="Palatino Linotype"/>
          <w:color w:val="000000" w:themeColor="text1"/>
        </w:rPr>
        <w:t xml:space="preserve"> and </w:t>
      </w:r>
      <w:r w:rsidRPr="004A00FF" w:rsidR="004A00FF">
        <w:rPr>
          <w:rFonts w:eastAsia="Palatino Linotype" w:cs="Palatino Linotype"/>
          <w:color w:val="000000" w:themeColor="text1"/>
        </w:rPr>
        <w:t>customer status, such as Non-</w:t>
      </w:r>
      <w:r w:rsidRPr="004A00FF" w:rsidR="00623043">
        <w:rPr>
          <w:rFonts w:eastAsia="Palatino Linotype" w:cs="Palatino Linotype"/>
          <w:color w:val="000000" w:themeColor="text1"/>
        </w:rPr>
        <w:t>CARE</w:t>
      </w:r>
      <w:r w:rsidRPr="004A00FF" w:rsidR="004A00FF">
        <w:rPr>
          <w:rFonts w:eastAsia="Palatino Linotype" w:cs="Palatino Linotype"/>
          <w:color w:val="000000" w:themeColor="text1"/>
        </w:rPr>
        <w:t>/</w:t>
      </w:r>
      <w:r w:rsidRPr="004A00FF" w:rsidR="00623043">
        <w:rPr>
          <w:rFonts w:eastAsia="Palatino Linotype" w:cs="Palatino Linotype"/>
          <w:color w:val="000000" w:themeColor="text1"/>
        </w:rPr>
        <w:t xml:space="preserve">FERA, </w:t>
      </w:r>
      <w:r w:rsidRPr="004A00FF" w:rsidR="004A00FF">
        <w:rPr>
          <w:rFonts w:eastAsia="Palatino Linotype" w:cs="Palatino Linotype"/>
          <w:color w:val="000000" w:themeColor="text1"/>
        </w:rPr>
        <w:t xml:space="preserve">CARE, FERA, Solar, </w:t>
      </w:r>
      <w:r w:rsidRPr="004A00FF" w:rsidR="00623043">
        <w:rPr>
          <w:rFonts w:eastAsia="Palatino Linotype" w:cs="Palatino Linotype"/>
          <w:color w:val="000000" w:themeColor="text1"/>
        </w:rPr>
        <w:t>and DRAH</w:t>
      </w:r>
      <w:r w:rsidRPr="004A00FF" w:rsidR="004A00FF">
        <w:rPr>
          <w:rFonts w:eastAsia="Palatino Linotype" w:cs="Palatino Linotype"/>
          <w:color w:val="000000" w:themeColor="text1"/>
        </w:rPr>
        <w:t>.</w:t>
      </w:r>
      <w:r w:rsidRPr="004A00FF" w:rsidR="006A62AB">
        <w:rPr>
          <w:rFonts w:eastAsia="Palatino Linotype" w:cs="Palatino Linotype"/>
          <w:color w:val="000000" w:themeColor="text1"/>
        </w:rPr>
        <w:t xml:space="preserve"> Based on </w:t>
      </w:r>
      <w:r w:rsidRPr="004A00FF" w:rsidR="004A00FF">
        <w:rPr>
          <w:rFonts w:eastAsia="Palatino Linotype" w:cs="Palatino Linotype"/>
          <w:color w:val="000000" w:themeColor="text1"/>
        </w:rPr>
        <w:t>the requirements in D.24-05-028</w:t>
      </w:r>
      <w:r w:rsidR="00DA77E1">
        <w:t>,</w:t>
      </w:r>
      <w:r w:rsidR="001B070A">
        <w:rPr>
          <w:rStyle w:val="FootnoteReference"/>
        </w:rPr>
        <w:footnoteReference w:id="180"/>
      </w:r>
      <w:r w:rsidRPr="004A00FF" w:rsidR="004A00FF">
        <w:rPr>
          <w:rFonts w:eastAsia="Palatino Linotype" w:cs="Palatino Linotype"/>
          <w:color w:val="000000" w:themeColor="text1"/>
        </w:rPr>
        <w:t xml:space="preserve"> and </w:t>
      </w:r>
      <w:r w:rsidRPr="004A00FF" w:rsidR="006A62AB">
        <w:rPr>
          <w:rFonts w:eastAsia="Palatino Linotype" w:cs="Palatino Linotype"/>
          <w:color w:val="000000" w:themeColor="text1"/>
        </w:rPr>
        <w:t xml:space="preserve">each </w:t>
      </w:r>
      <w:r w:rsidRPr="004A00FF" w:rsidR="004A00FF">
        <w:rPr>
          <w:rFonts w:eastAsia="Palatino Linotype" w:cs="Palatino Linotype"/>
          <w:color w:val="000000" w:themeColor="text1"/>
        </w:rPr>
        <w:t xml:space="preserve">Large </w:t>
      </w:r>
      <w:r w:rsidR="00866F6F">
        <w:rPr>
          <w:rFonts w:eastAsia="Palatino Linotype" w:cs="Palatino Linotype"/>
          <w:color w:val="000000" w:themeColor="text1"/>
        </w:rPr>
        <w:t>IOU</w:t>
      </w:r>
      <w:r w:rsidR="000759C9">
        <w:rPr>
          <w:rFonts w:eastAsia="Palatino Linotype" w:cs="Palatino Linotype"/>
          <w:color w:val="000000" w:themeColor="text1"/>
        </w:rPr>
        <w:t>’</w:t>
      </w:r>
      <w:r w:rsidR="00866F6F">
        <w:rPr>
          <w:rFonts w:eastAsia="Palatino Linotype" w:cs="Palatino Linotype"/>
          <w:color w:val="000000" w:themeColor="text1"/>
        </w:rPr>
        <w:t>s</w:t>
      </w:r>
      <w:r w:rsidRPr="004A00FF" w:rsidR="004A00FF">
        <w:rPr>
          <w:rFonts w:eastAsia="Palatino Linotype" w:cs="Palatino Linotype"/>
          <w:color w:val="000000" w:themeColor="text1"/>
        </w:rPr>
        <w:t xml:space="preserve"> capabilities</w:t>
      </w:r>
      <w:r w:rsidRPr="004A00FF" w:rsidR="004E6CD2">
        <w:rPr>
          <w:rFonts w:eastAsia="Palatino Linotype" w:cs="Palatino Linotype"/>
          <w:color w:val="000000" w:themeColor="text1"/>
        </w:rPr>
        <w:t xml:space="preserve"> </w:t>
      </w:r>
      <w:r w:rsidR="001B070A">
        <w:rPr>
          <w:rFonts w:eastAsia="Palatino Linotype" w:cs="Palatino Linotype"/>
          <w:color w:val="000000" w:themeColor="text1"/>
        </w:rPr>
        <w:t>expressed in ALs and</w:t>
      </w:r>
      <w:r w:rsidRPr="004A00FF" w:rsidR="004E6CD2">
        <w:rPr>
          <w:rFonts w:eastAsia="Palatino Linotype" w:cs="Palatino Linotype"/>
          <w:color w:val="000000" w:themeColor="text1"/>
        </w:rPr>
        <w:t xml:space="preserve"> summarized </w:t>
      </w:r>
      <w:r w:rsidR="00D76B86">
        <w:rPr>
          <w:rFonts w:eastAsia="Palatino Linotype" w:cs="Palatino Linotype"/>
          <w:color w:val="000000" w:themeColor="text1"/>
        </w:rPr>
        <w:t>from ED’s data request</w:t>
      </w:r>
      <w:r w:rsidRPr="77DFD902">
        <w:rPr>
          <w:rStyle w:val="FootnoteReference"/>
          <w:rFonts w:eastAsia="Palatino Linotype" w:cs="Palatino Linotype"/>
          <w:color w:val="000000" w:themeColor="text1"/>
        </w:rPr>
        <w:footnoteReference w:id="181"/>
      </w:r>
      <w:r w:rsidRPr="004A00FF" w:rsidR="004E6CD2">
        <w:rPr>
          <w:rFonts w:eastAsia="Palatino Linotype" w:cs="Palatino Linotype"/>
          <w:color w:val="000000" w:themeColor="text1"/>
        </w:rPr>
        <w:t xml:space="preserve"> in </w:t>
      </w:r>
      <w:r w:rsidR="00F143B7">
        <w:rPr>
          <w:rFonts w:eastAsia="Palatino Linotype" w:cs="Palatino Linotype"/>
          <w:color w:val="000000" w:themeColor="text1"/>
        </w:rPr>
        <w:br/>
      </w:r>
      <w:r w:rsidRPr="004A00FF" w:rsidR="004E6CD2">
        <w:rPr>
          <w:rFonts w:eastAsia="Palatino Linotype" w:cs="Palatino Linotype"/>
          <w:color w:val="000000" w:themeColor="text1"/>
        </w:rPr>
        <w:t xml:space="preserve">Table </w:t>
      </w:r>
      <w:r w:rsidR="009001EC">
        <w:rPr>
          <w:rFonts w:eastAsia="Palatino Linotype" w:cs="Palatino Linotype"/>
          <w:color w:val="000000" w:themeColor="text1"/>
        </w:rPr>
        <w:t>5</w:t>
      </w:r>
      <w:r w:rsidRPr="004A00FF" w:rsidR="004E6CD2">
        <w:rPr>
          <w:rFonts w:eastAsia="Palatino Linotype" w:cs="Palatino Linotype"/>
          <w:color w:val="000000" w:themeColor="text1"/>
        </w:rPr>
        <w:t xml:space="preserve"> below</w:t>
      </w:r>
      <w:r w:rsidRPr="004A00FF" w:rsidR="00924C95">
        <w:rPr>
          <w:rFonts w:eastAsia="Palatino Linotype" w:cs="Palatino Linotype"/>
          <w:color w:val="000000" w:themeColor="text1"/>
        </w:rPr>
        <w:t xml:space="preserve">, </w:t>
      </w:r>
      <w:r w:rsidRPr="004A00FF" w:rsidR="004A00FF">
        <w:rPr>
          <w:rFonts w:eastAsia="Palatino Linotype" w:cs="Palatino Linotype"/>
          <w:color w:val="000000" w:themeColor="text1"/>
        </w:rPr>
        <w:t>th</w:t>
      </w:r>
      <w:r w:rsidR="00D51A43">
        <w:rPr>
          <w:rFonts w:eastAsia="Palatino Linotype" w:cs="Palatino Linotype"/>
          <w:color w:val="000000" w:themeColor="text1"/>
        </w:rPr>
        <w:t>e Large IOUs</w:t>
      </w:r>
      <w:r w:rsidRPr="004A00FF" w:rsidR="00924C95">
        <w:rPr>
          <w:rFonts w:eastAsia="Palatino Linotype" w:cs="Palatino Linotype"/>
          <w:color w:val="000000" w:themeColor="text1"/>
        </w:rPr>
        <w:t xml:space="preserve"> </w:t>
      </w:r>
      <w:r w:rsidRPr="004A00FF" w:rsidR="004E6CD2">
        <w:rPr>
          <w:rFonts w:eastAsia="Palatino Linotype" w:cs="Palatino Linotype"/>
          <w:color w:val="000000" w:themeColor="text1"/>
        </w:rPr>
        <w:t>can</w:t>
      </w:r>
      <w:r w:rsidRPr="004A00FF" w:rsidR="009E1CB6">
        <w:rPr>
          <w:rFonts w:eastAsia="Palatino Linotype" w:cs="Palatino Linotype"/>
          <w:color w:val="000000" w:themeColor="text1"/>
        </w:rPr>
        <w:t xml:space="preserve"> </w:t>
      </w:r>
      <w:r w:rsidRPr="004A00FF" w:rsidR="004A00FF">
        <w:rPr>
          <w:rFonts w:eastAsia="Palatino Linotype" w:cs="Palatino Linotype"/>
          <w:color w:val="000000" w:themeColor="text1"/>
        </w:rPr>
        <w:t>provide consistent</w:t>
      </w:r>
      <w:r w:rsidRPr="004A00FF" w:rsidR="004E6CD2">
        <w:rPr>
          <w:rFonts w:eastAsia="Palatino Linotype" w:cs="Palatino Linotype"/>
          <w:color w:val="000000" w:themeColor="text1"/>
        </w:rPr>
        <w:t xml:space="preserve"> disaggregated</w:t>
      </w:r>
      <w:r w:rsidRPr="004A00FF" w:rsidR="002A183D">
        <w:rPr>
          <w:rFonts w:eastAsia="Palatino Linotype" w:cs="Palatino Linotype"/>
          <w:color w:val="000000" w:themeColor="text1"/>
        </w:rPr>
        <w:t xml:space="preserve"> data for the </w:t>
      </w:r>
      <w:r w:rsidRPr="004A00FF" w:rsidR="001F7EB7">
        <w:rPr>
          <w:rFonts w:eastAsia="Palatino Linotype" w:cs="Palatino Linotype"/>
          <w:color w:val="000000" w:themeColor="text1"/>
        </w:rPr>
        <w:t>“</w:t>
      </w:r>
      <w:r w:rsidRPr="004A00FF" w:rsidR="002A183D">
        <w:rPr>
          <w:rFonts w:eastAsia="Palatino Linotype" w:cs="Palatino Linotype"/>
          <w:color w:val="000000" w:themeColor="text1"/>
        </w:rPr>
        <w:t>number and type of outbound targeted communications and bill messages</w:t>
      </w:r>
      <w:r w:rsidRPr="004A00FF" w:rsidR="001F7EB7">
        <w:rPr>
          <w:rFonts w:eastAsia="Palatino Linotype" w:cs="Palatino Linotype"/>
          <w:color w:val="000000" w:themeColor="text1"/>
        </w:rPr>
        <w:t>” and “email open rates.”</w:t>
      </w:r>
    </w:p>
    <w:p w:rsidR="004A00FF" w:rsidP="00070032" w:rsidRDefault="004A00FF" w14:paraId="73A2A447" w14:textId="77777777">
      <w:pPr>
        <w:jc w:val="center"/>
        <w:rPr>
          <w:b/>
          <w:bCs/>
        </w:rPr>
      </w:pPr>
    </w:p>
    <w:p w:rsidR="1DE32884" w:rsidP="1DE32884" w:rsidRDefault="1DE32884" w14:paraId="550262AA" w14:textId="0799BFB5">
      <w:pPr>
        <w:jc w:val="center"/>
        <w:rPr>
          <w:b/>
          <w:bCs/>
        </w:rPr>
      </w:pPr>
    </w:p>
    <w:p w:rsidR="1DE32884" w:rsidP="1DE32884" w:rsidRDefault="1DE32884" w14:paraId="2BC67DC4" w14:textId="6A7B7E6C">
      <w:pPr>
        <w:jc w:val="center"/>
        <w:rPr>
          <w:b/>
          <w:bCs/>
        </w:rPr>
      </w:pPr>
    </w:p>
    <w:p w:rsidRPr="00070032" w:rsidR="00871D37" w:rsidP="00070032" w:rsidRDefault="00FD0A8F" w14:paraId="0272D17B" w14:textId="6168CB53">
      <w:pPr>
        <w:jc w:val="center"/>
        <w:rPr>
          <w:b/>
          <w:bCs/>
        </w:rPr>
      </w:pPr>
      <w:r w:rsidRPr="00070032">
        <w:rPr>
          <w:b/>
          <w:bCs/>
        </w:rPr>
        <w:t xml:space="preserve">Table </w:t>
      </w:r>
      <w:r w:rsidRPr="4C6FF604" w:rsidR="42447E6D">
        <w:rPr>
          <w:b/>
          <w:bCs/>
        </w:rPr>
        <w:t>5</w:t>
      </w:r>
      <w:r w:rsidRPr="00070032">
        <w:rPr>
          <w:b/>
          <w:bCs/>
        </w:rPr>
        <w:t xml:space="preserve">: </w:t>
      </w:r>
      <w:r w:rsidR="00A43928">
        <w:rPr>
          <w:b/>
          <w:bCs/>
        </w:rPr>
        <w:t xml:space="preserve"> </w:t>
      </w:r>
      <w:r w:rsidRPr="00070032" w:rsidR="00070032">
        <w:rPr>
          <w:b/>
          <w:bCs/>
        </w:rPr>
        <w:t>Disaggregated ME&amp;O Metrics</w:t>
      </w:r>
    </w:p>
    <w:p w:rsidR="00871D37" w:rsidP="006A040B" w:rsidRDefault="00871D37" w14:paraId="348DE1CF" w14:textId="77777777"/>
    <w:tbl>
      <w:tblPr>
        <w:tblStyle w:val="TableGrid"/>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5"/>
        <w:gridCol w:w="2160"/>
        <w:gridCol w:w="1440"/>
        <w:gridCol w:w="3044"/>
      </w:tblGrid>
      <w:tr w:rsidR="007F74C8" w:rsidTr="00715B04" w14:paraId="445AC218" w14:textId="77777777">
        <w:trPr>
          <w:jc w:val="center"/>
        </w:trPr>
        <w:tc>
          <w:tcPr>
            <w:tcW w:w="3055" w:type="dxa"/>
            <w:shd w:val="clear" w:color="auto" w:fill="F2F2F2" w:themeFill="background1" w:themeFillShade="F2"/>
          </w:tcPr>
          <w:p w:rsidRPr="00933820" w:rsidR="007F74C8" w:rsidP="00083B37" w:rsidRDefault="007F74C8" w14:paraId="3A3F3853" w14:textId="6C4CFDE3">
            <w:pPr>
              <w:spacing w:before="0" w:after="0" w:line="240" w:lineRule="auto"/>
              <w:jc w:val="center"/>
              <w:rPr>
                <w:b/>
                <w:bCs/>
                <w:sz w:val="20"/>
                <w:szCs w:val="20"/>
              </w:rPr>
            </w:pPr>
            <w:r w:rsidRPr="00933820">
              <w:rPr>
                <w:b/>
                <w:bCs/>
                <w:sz w:val="20"/>
                <w:szCs w:val="20"/>
              </w:rPr>
              <w:t>Metric</w:t>
            </w:r>
          </w:p>
        </w:tc>
        <w:tc>
          <w:tcPr>
            <w:tcW w:w="2160" w:type="dxa"/>
            <w:shd w:val="clear" w:color="auto" w:fill="F2F2F2" w:themeFill="background1" w:themeFillShade="F2"/>
          </w:tcPr>
          <w:p w:rsidRPr="00933820" w:rsidR="007F74C8" w:rsidP="00083B37" w:rsidRDefault="00F33891" w14:paraId="26609ACD" w14:textId="6EAC273E">
            <w:pPr>
              <w:spacing w:before="0" w:after="0" w:line="240" w:lineRule="auto"/>
              <w:jc w:val="center"/>
              <w:rPr>
                <w:b/>
                <w:bCs/>
                <w:sz w:val="20"/>
                <w:szCs w:val="20"/>
              </w:rPr>
            </w:pPr>
            <w:r w:rsidRPr="00933820">
              <w:rPr>
                <w:b/>
                <w:bCs/>
                <w:sz w:val="20"/>
                <w:szCs w:val="20"/>
              </w:rPr>
              <w:t>PG&amp;E</w:t>
            </w:r>
          </w:p>
        </w:tc>
        <w:tc>
          <w:tcPr>
            <w:tcW w:w="1440" w:type="dxa"/>
            <w:shd w:val="clear" w:color="auto" w:fill="F2F2F2" w:themeFill="background1" w:themeFillShade="F2"/>
          </w:tcPr>
          <w:p w:rsidRPr="00933820" w:rsidR="007F74C8" w:rsidP="00083B37" w:rsidRDefault="00871D37" w14:paraId="631F6B5C" w14:textId="2D8880C1">
            <w:pPr>
              <w:spacing w:before="0" w:after="0" w:line="240" w:lineRule="auto"/>
              <w:jc w:val="center"/>
              <w:rPr>
                <w:b/>
                <w:bCs/>
                <w:sz w:val="20"/>
                <w:szCs w:val="20"/>
              </w:rPr>
            </w:pPr>
            <w:r w:rsidRPr="00933820">
              <w:rPr>
                <w:b/>
                <w:bCs/>
                <w:sz w:val="20"/>
                <w:szCs w:val="20"/>
              </w:rPr>
              <w:t>SDG&amp;E</w:t>
            </w:r>
          </w:p>
        </w:tc>
        <w:tc>
          <w:tcPr>
            <w:tcW w:w="3044" w:type="dxa"/>
            <w:shd w:val="clear" w:color="auto" w:fill="F2F2F2" w:themeFill="background1" w:themeFillShade="F2"/>
          </w:tcPr>
          <w:p w:rsidRPr="00933820" w:rsidR="007F74C8" w:rsidP="00083B37" w:rsidRDefault="00871D37" w14:paraId="47668DCD" w14:textId="079AA34F">
            <w:pPr>
              <w:spacing w:before="0" w:after="0" w:line="240" w:lineRule="auto"/>
              <w:jc w:val="center"/>
              <w:rPr>
                <w:b/>
                <w:bCs/>
                <w:sz w:val="20"/>
                <w:szCs w:val="20"/>
              </w:rPr>
            </w:pPr>
            <w:r w:rsidRPr="00933820">
              <w:rPr>
                <w:b/>
                <w:bCs/>
                <w:sz w:val="20"/>
                <w:szCs w:val="20"/>
              </w:rPr>
              <w:t>SCE</w:t>
            </w:r>
          </w:p>
        </w:tc>
      </w:tr>
      <w:tr w:rsidR="007F74C8" w:rsidTr="00715B04" w14:paraId="09F6C894" w14:textId="77777777">
        <w:trPr>
          <w:jc w:val="center"/>
        </w:trPr>
        <w:tc>
          <w:tcPr>
            <w:tcW w:w="3055" w:type="dxa"/>
          </w:tcPr>
          <w:p w:rsidRPr="00933820" w:rsidR="007F74C8" w:rsidP="00083B37" w:rsidRDefault="00070032" w14:paraId="68D4FDA4" w14:textId="62A87A84">
            <w:pPr>
              <w:spacing w:before="0" w:after="0" w:line="240" w:lineRule="auto"/>
              <w:rPr>
                <w:sz w:val="20"/>
                <w:szCs w:val="20"/>
              </w:rPr>
            </w:pPr>
            <w:r w:rsidRPr="00933820">
              <w:rPr>
                <w:sz w:val="20"/>
                <w:szCs w:val="20"/>
              </w:rPr>
              <w:t>Number of press article mentions</w:t>
            </w:r>
          </w:p>
        </w:tc>
        <w:tc>
          <w:tcPr>
            <w:tcW w:w="2160" w:type="dxa"/>
          </w:tcPr>
          <w:p w:rsidRPr="00933820" w:rsidR="007F74C8" w:rsidP="00083B37" w:rsidRDefault="00FD7B9E" w14:paraId="4E135E22" w14:textId="78E5AC01">
            <w:pPr>
              <w:spacing w:before="0" w:after="0" w:line="240" w:lineRule="auto"/>
              <w:jc w:val="center"/>
              <w:rPr>
                <w:sz w:val="20"/>
                <w:szCs w:val="20"/>
              </w:rPr>
            </w:pPr>
            <w:r>
              <w:rPr>
                <w:sz w:val="20"/>
                <w:szCs w:val="20"/>
              </w:rPr>
              <w:t>Not feasible; can report press mentions and circulation or reach as available from media outlet</w:t>
            </w:r>
          </w:p>
        </w:tc>
        <w:tc>
          <w:tcPr>
            <w:tcW w:w="1440" w:type="dxa"/>
          </w:tcPr>
          <w:p w:rsidRPr="00933820" w:rsidR="007F74C8" w:rsidP="00083B37" w:rsidRDefault="00200306" w14:paraId="580F2B39" w14:textId="06DA97A5">
            <w:pPr>
              <w:spacing w:before="0" w:after="0" w:line="240" w:lineRule="auto"/>
              <w:jc w:val="center"/>
              <w:rPr>
                <w:sz w:val="20"/>
                <w:szCs w:val="20"/>
              </w:rPr>
            </w:pPr>
            <w:r w:rsidRPr="00933820">
              <w:rPr>
                <w:sz w:val="20"/>
                <w:szCs w:val="20"/>
              </w:rPr>
              <w:t>Not feasible</w:t>
            </w:r>
          </w:p>
        </w:tc>
        <w:tc>
          <w:tcPr>
            <w:tcW w:w="3044" w:type="dxa"/>
          </w:tcPr>
          <w:p w:rsidRPr="00933820" w:rsidR="007F74C8" w:rsidP="00083B37" w:rsidRDefault="000425A6" w14:paraId="58FA009F" w14:textId="37E00D13">
            <w:pPr>
              <w:spacing w:before="0" w:after="0" w:line="240" w:lineRule="auto"/>
              <w:jc w:val="center"/>
              <w:rPr>
                <w:sz w:val="20"/>
                <w:szCs w:val="20"/>
              </w:rPr>
            </w:pPr>
            <w:r w:rsidRPr="00933820">
              <w:rPr>
                <w:sz w:val="20"/>
                <w:szCs w:val="20"/>
              </w:rPr>
              <w:t>Not feasible</w:t>
            </w:r>
            <w:r w:rsidRPr="00933820" w:rsidR="00C121E6">
              <w:rPr>
                <w:sz w:val="20"/>
                <w:szCs w:val="20"/>
              </w:rPr>
              <w:t xml:space="preserve"> due to lack of customer </w:t>
            </w:r>
            <w:r w:rsidRPr="00933820" w:rsidR="0056667E">
              <w:rPr>
                <w:sz w:val="20"/>
                <w:szCs w:val="20"/>
              </w:rPr>
              <w:t>identification</w:t>
            </w:r>
          </w:p>
        </w:tc>
      </w:tr>
      <w:tr w:rsidR="007F74C8" w:rsidTr="00715B04" w14:paraId="26B1DAE5" w14:textId="77777777">
        <w:trPr>
          <w:jc w:val="center"/>
        </w:trPr>
        <w:tc>
          <w:tcPr>
            <w:tcW w:w="3055" w:type="dxa"/>
          </w:tcPr>
          <w:p w:rsidRPr="00933820" w:rsidR="007F74C8" w:rsidP="00083B37" w:rsidRDefault="00394D93" w14:paraId="5B79900F" w14:textId="5DBEDCA5">
            <w:pPr>
              <w:spacing w:before="0" w:after="0" w:line="240" w:lineRule="auto"/>
              <w:rPr>
                <w:sz w:val="20"/>
                <w:szCs w:val="20"/>
              </w:rPr>
            </w:pPr>
            <w:r w:rsidRPr="00933820">
              <w:rPr>
                <w:sz w:val="20"/>
                <w:szCs w:val="20"/>
              </w:rPr>
              <w:t>Impressions and reach of paid media</w:t>
            </w:r>
          </w:p>
        </w:tc>
        <w:tc>
          <w:tcPr>
            <w:tcW w:w="2160" w:type="dxa"/>
          </w:tcPr>
          <w:p w:rsidRPr="00933820" w:rsidR="007F74C8" w:rsidP="00083B37" w:rsidRDefault="00CA72D5" w14:paraId="6198756D" w14:textId="7FFB7E5B">
            <w:pPr>
              <w:spacing w:before="0" w:after="0" w:line="240" w:lineRule="auto"/>
              <w:jc w:val="center"/>
              <w:rPr>
                <w:sz w:val="20"/>
                <w:szCs w:val="20"/>
              </w:rPr>
            </w:pPr>
            <w:r>
              <w:rPr>
                <w:sz w:val="20"/>
                <w:szCs w:val="20"/>
              </w:rPr>
              <w:t>Not feasible; will be reported by target audience/creative versions (example: General, Solar, Low-Income)</w:t>
            </w:r>
          </w:p>
        </w:tc>
        <w:tc>
          <w:tcPr>
            <w:tcW w:w="1440" w:type="dxa"/>
          </w:tcPr>
          <w:p w:rsidRPr="00933820" w:rsidR="007F74C8" w:rsidP="00083B37" w:rsidRDefault="00326FD0" w14:paraId="30DDB89B" w14:textId="29B8347F">
            <w:pPr>
              <w:spacing w:before="0" w:after="0" w:line="240" w:lineRule="auto"/>
              <w:jc w:val="center"/>
              <w:rPr>
                <w:sz w:val="20"/>
                <w:szCs w:val="20"/>
              </w:rPr>
            </w:pPr>
            <w:r w:rsidRPr="00933820">
              <w:rPr>
                <w:sz w:val="20"/>
                <w:szCs w:val="20"/>
              </w:rPr>
              <w:t>Not feasible</w:t>
            </w:r>
          </w:p>
        </w:tc>
        <w:tc>
          <w:tcPr>
            <w:tcW w:w="3044" w:type="dxa"/>
          </w:tcPr>
          <w:p w:rsidRPr="00933820" w:rsidR="007F74C8" w:rsidP="00083B37" w:rsidRDefault="0056667E" w14:paraId="44FFDC43" w14:textId="536EF7DA">
            <w:pPr>
              <w:spacing w:before="0" w:after="0" w:line="240" w:lineRule="auto"/>
              <w:jc w:val="center"/>
              <w:rPr>
                <w:sz w:val="20"/>
                <w:szCs w:val="20"/>
              </w:rPr>
            </w:pPr>
            <w:r w:rsidRPr="00933820">
              <w:rPr>
                <w:sz w:val="20"/>
                <w:szCs w:val="20"/>
              </w:rPr>
              <w:t>Not feasible due to lack of customer identification</w:t>
            </w:r>
          </w:p>
        </w:tc>
      </w:tr>
      <w:tr w:rsidR="007F74C8" w:rsidTr="00715B04" w14:paraId="633ED736" w14:textId="77777777">
        <w:trPr>
          <w:jc w:val="center"/>
        </w:trPr>
        <w:tc>
          <w:tcPr>
            <w:tcW w:w="3055" w:type="dxa"/>
            <w:shd w:val="clear" w:color="auto" w:fill="F2F2F2" w:themeFill="background1" w:themeFillShade="F2"/>
          </w:tcPr>
          <w:p w:rsidRPr="00933820" w:rsidR="007F74C8" w:rsidP="00083B37" w:rsidRDefault="00394D93" w14:paraId="102753E4" w14:textId="075B8ADB">
            <w:pPr>
              <w:spacing w:before="0" w:after="0" w:line="240" w:lineRule="auto"/>
              <w:rPr>
                <w:sz w:val="20"/>
                <w:szCs w:val="20"/>
              </w:rPr>
            </w:pPr>
            <w:r w:rsidRPr="00933820">
              <w:rPr>
                <w:sz w:val="20"/>
                <w:szCs w:val="20"/>
              </w:rPr>
              <w:t>Number and type of outbound targeted communications and bill messages</w:t>
            </w:r>
          </w:p>
        </w:tc>
        <w:tc>
          <w:tcPr>
            <w:tcW w:w="2160" w:type="dxa"/>
            <w:shd w:val="clear" w:color="auto" w:fill="F2F2F2" w:themeFill="background1" w:themeFillShade="F2"/>
          </w:tcPr>
          <w:p w:rsidRPr="00933820" w:rsidR="007F74C8" w:rsidP="00083B37" w:rsidRDefault="001F5802" w14:paraId="4FCA1D5B" w14:textId="2E09B3FA">
            <w:pPr>
              <w:spacing w:before="0" w:after="0" w:line="240" w:lineRule="auto"/>
              <w:jc w:val="center"/>
              <w:rPr>
                <w:sz w:val="20"/>
                <w:szCs w:val="20"/>
              </w:rPr>
            </w:pPr>
            <w:r>
              <w:rPr>
                <w:sz w:val="20"/>
                <w:szCs w:val="20"/>
              </w:rPr>
              <w:t>Feasible for direct target outreach</w:t>
            </w:r>
          </w:p>
        </w:tc>
        <w:tc>
          <w:tcPr>
            <w:tcW w:w="1440" w:type="dxa"/>
            <w:shd w:val="clear" w:color="auto" w:fill="F2F2F2" w:themeFill="background1" w:themeFillShade="F2"/>
          </w:tcPr>
          <w:p w:rsidRPr="00933820" w:rsidR="007F74C8" w:rsidP="00083B37" w:rsidRDefault="00326FD0" w14:paraId="17D5097F" w14:textId="76D30BFB">
            <w:pPr>
              <w:spacing w:before="0" w:after="0" w:line="240" w:lineRule="auto"/>
              <w:jc w:val="center"/>
              <w:rPr>
                <w:sz w:val="20"/>
                <w:szCs w:val="20"/>
              </w:rPr>
            </w:pPr>
            <w:r w:rsidRPr="00933820">
              <w:rPr>
                <w:sz w:val="20"/>
                <w:szCs w:val="20"/>
              </w:rPr>
              <w:t>Feasible</w:t>
            </w:r>
          </w:p>
        </w:tc>
        <w:tc>
          <w:tcPr>
            <w:tcW w:w="3044" w:type="dxa"/>
            <w:shd w:val="clear" w:color="auto" w:fill="F2F2F2" w:themeFill="background1" w:themeFillShade="F2"/>
          </w:tcPr>
          <w:p w:rsidRPr="00933820" w:rsidR="007F74C8" w:rsidP="00083B37" w:rsidRDefault="00300878" w14:paraId="62DA1404" w14:textId="76CDE998">
            <w:pPr>
              <w:spacing w:before="0" w:after="0" w:line="240" w:lineRule="auto"/>
              <w:jc w:val="center"/>
              <w:rPr>
                <w:sz w:val="20"/>
                <w:szCs w:val="20"/>
              </w:rPr>
            </w:pPr>
            <w:r w:rsidRPr="00933820">
              <w:rPr>
                <w:sz w:val="20"/>
                <w:szCs w:val="20"/>
              </w:rPr>
              <w:t>Feasible</w:t>
            </w:r>
          </w:p>
        </w:tc>
      </w:tr>
      <w:tr w:rsidR="007F74C8" w:rsidTr="00715B04" w14:paraId="55727979" w14:textId="77777777">
        <w:trPr>
          <w:jc w:val="center"/>
        </w:trPr>
        <w:tc>
          <w:tcPr>
            <w:tcW w:w="3055" w:type="dxa"/>
          </w:tcPr>
          <w:p w:rsidRPr="00933820" w:rsidR="007F74C8" w:rsidP="00083B37" w:rsidRDefault="00072C03" w14:paraId="7CD312D2" w14:textId="50F7B65A">
            <w:pPr>
              <w:spacing w:before="0" w:after="0" w:line="240" w:lineRule="auto"/>
              <w:rPr>
                <w:sz w:val="20"/>
                <w:szCs w:val="20"/>
              </w:rPr>
            </w:pPr>
            <w:r w:rsidRPr="00933820">
              <w:rPr>
                <w:sz w:val="20"/>
                <w:szCs w:val="20"/>
              </w:rPr>
              <w:t>Number of</w:t>
            </w:r>
            <w:r w:rsidRPr="00933820" w:rsidR="00511A4E">
              <w:rPr>
                <w:sz w:val="20"/>
                <w:szCs w:val="20"/>
              </w:rPr>
              <w:t xml:space="preserve"> related call</w:t>
            </w:r>
            <w:r w:rsidRPr="00933820" w:rsidR="00CB3826">
              <w:rPr>
                <w:sz w:val="20"/>
                <w:szCs w:val="20"/>
              </w:rPr>
              <w:t>s or emails received</w:t>
            </w:r>
          </w:p>
        </w:tc>
        <w:tc>
          <w:tcPr>
            <w:tcW w:w="2160" w:type="dxa"/>
          </w:tcPr>
          <w:p w:rsidRPr="00933820" w:rsidR="007F74C8" w:rsidP="00083B37" w:rsidRDefault="002F5174" w14:paraId="48860B2F" w14:textId="48BC1843">
            <w:pPr>
              <w:spacing w:before="0" w:after="0" w:line="240" w:lineRule="auto"/>
              <w:jc w:val="center"/>
              <w:rPr>
                <w:sz w:val="20"/>
                <w:szCs w:val="20"/>
              </w:rPr>
            </w:pPr>
            <w:r>
              <w:rPr>
                <w:sz w:val="20"/>
                <w:szCs w:val="20"/>
              </w:rPr>
              <w:t>Not feasible</w:t>
            </w:r>
          </w:p>
        </w:tc>
        <w:tc>
          <w:tcPr>
            <w:tcW w:w="1440" w:type="dxa"/>
          </w:tcPr>
          <w:p w:rsidRPr="00933820" w:rsidR="007F74C8" w:rsidP="00083B37" w:rsidRDefault="00050C98" w14:paraId="5967DE84" w14:textId="13430545">
            <w:pPr>
              <w:spacing w:before="0" w:after="0" w:line="240" w:lineRule="auto"/>
              <w:jc w:val="center"/>
              <w:rPr>
                <w:sz w:val="20"/>
                <w:szCs w:val="20"/>
              </w:rPr>
            </w:pPr>
            <w:r w:rsidRPr="00933820">
              <w:rPr>
                <w:sz w:val="20"/>
                <w:szCs w:val="20"/>
              </w:rPr>
              <w:t>Partially feasible</w:t>
            </w:r>
          </w:p>
        </w:tc>
        <w:tc>
          <w:tcPr>
            <w:tcW w:w="3044" w:type="dxa"/>
          </w:tcPr>
          <w:p w:rsidRPr="00933820" w:rsidR="007F74C8" w:rsidP="00083B37" w:rsidRDefault="00DD105F" w14:paraId="00D062FF" w14:textId="451EE9BF">
            <w:pPr>
              <w:spacing w:before="0" w:after="0" w:line="240" w:lineRule="auto"/>
              <w:jc w:val="center"/>
              <w:rPr>
                <w:sz w:val="20"/>
                <w:szCs w:val="20"/>
              </w:rPr>
            </w:pPr>
            <w:r w:rsidRPr="00933820">
              <w:rPr>
                <w:sz w:val="20"/>
                <w:szCs w:val="20"/>
              </w:rPr>
              <w:t>SCE does not offer email support. Limitation on disaggregated call data by tier</w:t>
            </w:r>
            <w:r w:rsidRPr="00933820" w:rsidR="007D33DA">
              <w:rPr>
                <w:sz w:val="20"/>
                <w:szCs w:val="20"/>
              </w:rPr>
              <w:t xml:space="preserve">, segment, and DRAH tatus due to high dependency and accuracy concerns with </w:t>
            </w:r>
            <w:r w:rsidRPr="00933820" w:rsidR="005B58AF">
              <w:rPr>
                <w:sz w:val="20"/>
                <w:szCs w:val="20"/>
              </w:rPr>
              <w:t>manual</w:t>
            </w:r>
            <w:r w:rsidRPr="00933820" w:rsidR="007D33DA">
              <w:rPr>
                <w:sz w:val="20"/>
                <w:szCs w:val="20"/>
              </w:rPr>
              <w:t xml:space="preserve"> agent call dispositions.</w:t>
            </w:r>
          </w:p>
        </w:tc>
      </w:tr>
      <w:tr w:rsidR="00023BA1" w:rsidTr="00715B04" w14:paraId="61B10586" w14:textId="77777777">
        <w:trPr>
          <w:jc w:val="center"/>
        </w:trPr>
        <w:tc>
          <w:tcPr>
            <w:tcW w:w="3055" w:type="dxa"/>
          </w:tcPr>
          <w:p w:rsidRPr="00933820" w:rsidR="00023BA1" w:rsidP="00083B37" w:rsidRDefault="00023BA1" w14:paraId="29D3E501" w14:textId="1238DD98">
            <w:pPr>
              <w:spacing w:before="0" w:after="0" w:line="240" w:lineRule="auto"/>
              <w:rPr>
                <w:sz w:val="20"/>
                <w:szCs w:val="20"/>
              </w:rPr>
            </w:pPr>
            <w:r w:rsidRPr="00933820">
              <w:rPr>
                <w:sz w:val="20"/>
                <w:szCs w:val="20"/>
              </w:rPr>
              <w:t>ME&amp;O dollars spent</w:t>
            </w:r>
          </w:p>
        </w:tc>
        <w:tc>
          <w:tcPr>
            <w:tcW w:w="2160" w:type="dxa"/>
          </w:tcPr>
          <w:p w:rsidRPr="00933820" w:rsidR="00023BA1" w:rsidP="00083B37" w:rsidRDefault="002B1FC8" w14:paraId="41052CB5" w14:textId="6B3DBA95">
            <w:pPr>
              <w:spacing w:before="0" w:after="0" w:line="240" w:lineRule="auto"/>
              <w:jc w:val="center"/>
              <w:rPr>
                <w:sz w:val="20"/>
                <w:szCs w:val="20"/>
              </w:rPr>
            </w:pPr>
            <w:r>
              <w:rPr>
                <w:sz w:val="20"/>
                <w:szCs w:val="20"/>
              </w:rPr>
              <w:t>Not feasible</w:t>
            </w:r>
          </w:p>
        </w:tc>
        <w:tc>
          <w:tcPr>
            <w:tcW w:w="1440" w:type="dxa"/>
          </w:tcPr>
          <w:p w:rsidRPr="00933820" w:rsidR="00023BA1" w:rsidP="00083B37" w:rsidRDefault="00023BA1" w14:paraId="7E90F152" w14:textId="4A635A03">
            <w:pPr>
              <w:spacing w:before="0" w:after="0" w:line="240" w:lineRule="auto"/>
              <w:jc w:val="center"/>
              <w:rPr>
                <w:sz w:val="20"/>
                <w:szCs w:val="20"/>
              </w:rPr>
            </w:pPr>
            <w:r w:rsidRPr="00933820">
              <w:rPr>
                <w:sz w:val="20"/>
                <w:szCs w:val="20"/>
              </w:rPr>
              <w:t>Not feasible</w:t>
            </w:r>
          </w:p>
        </w:tc>
        <w:tc>
          <w:tcPr>
            <w:tcW w:w="3044" w:type="dxa"/>
          </w:tcPr>
          <w:p w:rsidRPr="00933820" w:rsidR="00023BA1" w:rsidP="00083B37" w:rsidRDefault="00715C79" w14:paraId="1986C144" w14:textId="6DAE77FE">
            <w:pPr>
              <w:spacing w:before="0" w:after="0" w:line="240" w:lineRule="auto"/>
              <w:jc w:val="center"/>
              <w:rPr>
                <w:sz w:val="20"/>
                <w:szCs w:val="20"/>
              </w:rPr>
            </w:pPr>
            <w:r w:rsidRPr="00933820">
              <w:rPr>
                <w:sz w:val="20"/>
                <w:szCs w:val="20"/>
              </w:rPr>
              <w:t>Not feasible</w:t>
            </w:r>
            <w:r w:rsidRPr="00933820" w:rsidR="00AE7EB3">
              <w:rPr>
                <w:sz w:val="20"/>
                <w:szCs w:val="20"/>
              </w:rPr>
              <w:t xml:space="preserve"> as ME&amp;O budget breakdown is not disaggregated by tier, segment, and DRAH.</w:t>
            </w:r>
          </w:p>
        </w:tc>
      </w:tr>
      <w:tr w:rsidR="007F74C8" w:rsidTr="00715B04" w14:paraId="0A014209" w14:textId="77777777">
        <w:trPr>
          <w:jc w:val="center"/>
        </w:trPr>
        <w:tc>
          <w:tcPr>
            <w:tcW w:w="3055" w:type="dxa"/>
            <w:shd w:val="clear" w:color="auto" w:fill="F2F2F2" w:themeFill="background1" w:themeFillShade="F2"/>
          </w:tcPr>
          <w:p w:rsidRPr="00933820" w:rsidR="007F74C8" w:rsidP="00083B37" w:rsidRDefault="00063297" w14:paraId="23AAF093" w14:textId="07B55BA7">
            <w:pPr>
              <w:spacing w:before="0" w:after="0" w:line="240" w:lineRule="auto"/>
              <w:rPr>
                <w:sz w:val="20"/>
                <w:szCs w:val="20"/>
              </w:rPr>
            </w:pPr>
            <w:r w:rsidRPr="00933820">
              <w:rPr>
                <w:sz w:val="20"/>
                <w:szCs w:val="20"/>
              </w:rPr>
              <w:t>Email open rates and click-through rates</w:t>
            </w:r>
          </w:p>
        </w:tc>
        <w:tc>
          <w:tcPr>
            <w:tcW w:w="2160" w:type="dxa"/>
            <w:shd w:val="clear" w:color="auto" w:fill="F2F2F2" w:themeFill="background1" w:themeFillShade="F2"/>
          </w:tcPr>
          <w:p w:rsidRPr="00933820" w:rsidR="007F74C8" w:rsidP="00083B37" w:rsidRDefault="0070613F" w14:paraId="6FDBFFA1" w14:textId="36514227">
            <w:pPr>
              <w:spacing w:before="0" w:after="0" w:line="240" w:lineRule="auto"/>
              <w:jc w:val="center"/>
              <w:rPr>
                <w:sz w:val="20"/>
                <w:szCs w:val="20"/>
              </w:rPr>
            </w:pPr>
            <w:r>
              <w:rPr>
                <w:sz w:val="20"/>
                <w:szCs w:val="20"/>
              </w:rPr>
              <w:t xml:space="preserve">Feasible for email versions </w:t>
            </w:r>
            <w:r w:rsidR="00736AB8">
              <w:rPr>
                <w:sz w:val="20"/>
                <w:szCs w:val="20"/>
              </w:rPr>
              <w:t>(example: General, Solar, Low-Income)</w:t>
            </w:r>
          </w:p>
        </w:tc>
        <w:tc>
          <w:tcPr>
            <w:tcW w:w="1440" w:type="dxa"/>
            <w:shd w:val="clear" w:color="auto" w:fill="F2F2F2" w:themeFill="background1" w:themeFillShade="F2"/>
          </w:tcPr>
          <w:p w:rsidRPr="00933820" w:rsidR="007F74C8" w:rsidP="00083B37" w:rsidRDefault="00254500" w14:paraId="65EAC796" w14:textId="04F38A42">
            <w:pPr>
              <w:spacing w:before="0" w:after="0" w:line="240" w:lineRule="auto"/>
              <w:jc w:val="center"/>
              <w:rPr>
                <w:sz w:val="20"/>
                <w:szCs w:val="20"/>
              </w:rPr>
            </w:pPr>
            <w:r w:rsidRPr="00933820">
              <w:rPr>
                <w:sz w:val="20"/>
                <w:szCs w:val="20"/>
              </w:rPr>
              <w:t>F</w:t>
            </w:r>
            <w:r w:rsidRPr="00933820" w:rsidR="00F73490">
              <w:rPr>
                <w:sz w:val="20"/>
                <w:szCs w:val="20"/>
              </w:rPr>
              <w:t>easible</w:t>
            </w:r>
          </w:p>
        </w:tc>
        <w:tc>
          <w:tcPr>
            <w:tcW w:w="3044" w:type="dxa"/>
            <w:shd w:val="clear" w:color="auto" w:fill="F2F2F2" w:themeFill="background1" w:themeFillShade="F2"/>
          </w:tcPr>
          <w:p w:rsidRPr="00933820" w:rsidR="007F74C8" w:rsidP="00083B37" w:rsidRDefault="00AE7EB3" w14:paraId="7AF7A852" w14:textId="4D8A548F">
            <w:pPr>
              <w:spacing w:before="0" w:after="0" w:line="240" w:lineRule="auto"/>
              <w:jc w:val="center"/>
              <w:rPr>
                <w:sz w:val="20"/>
                <w:szCs w:val="20"/>
              </w:rPr>
            </w:pPr>
            <w:r w:rsidRPr="00933820">
              <w:rPr>
                <w:sz w:val="20"/>
                <w:szCs w:val="20"/>
              </w:rPr>
              <w:t>Feasible</w:t>
            </w:r>
          </w:p>
        </w:tc>
      </w:tr>
      <w:tr w:rsidR="007F74C8" w:rsidTr="00715B04" w14:paraId="7E283C99" w14:textId="77777777">
        <w:trPr>
          <w:jc w:val="center"/>
        </w:trPr>
        <w:tc>
          <w:tcPr>
            <w:tcW w:w="3055" w:type="dxa"/>
          </w:tcPr>
          <w:p w:rsidRPr="00933820" w:rsidR="007F74C8" w:rsidP="00083B37" w:rsidRDefault="00FC5745" w14:paraId="6D4F0AA4" w14:textId="6E9F5F28">
            <w:pPr>
              <w:spacing w:before="0" w:after="0" w:line="240" w:lineRule="auto"/>
              <w:rPr>
                <w:sz w:val="20"/>
                <w:szCs w:val="20"/>
              </w:rPr>
            </w:pPr>
            <w:r w:rsidRPr="00933820">
              <w:rPr>
                <w:sz w:val="20"/>
                <w:szCs w:val="20"/>
              </w:rPr>
              <w:t>Number of</w:t>
            </w:r>
            <w:r w:rsidRPr="00933820" w:rsidR="004B6F4A">
              <w:rPr>
                <w:sz w:val="20"/>
                <w:szCs w:val="20"/>
              </w:rPr>
              <w:t xml:space="preserve"> visits to utility web pages</w:t>
            </w:r>
          </w:p>
        </w:tc>
        <w:tc>
          <w:tcPr>
            <w:tcW w:w="2160" w:type="dxa"/>
          </w:tcPr>
          <w:p w:rsidRPr="00933820" w:rsidR="007F74C8" w:rsidP="00083B37" w:rsidRDefault="00933820" w14:paraId="0C581856" w14:textId="78D146C2">
            <w:pPr>
              <w:spacing w:before="0" w:after="0" w:line="240" w:lineRule="auto"/>
              <w:jc w:val="center"/>
              <w:rPr>
                <w:sz w:val="20"/>
                <w:szCs w:val="20"/>
              </w:rPr>
            </w:pPr>
            <w:r w:rsidRPr="00933820">
              <w:rPr>
                <w:sz w:val="20"/>
                <w:szCs w:val="20"/>
              </w:rPr>
              <w:t>Not feasible</w:t>
            </w:r>
          </w:p>
        </w:tc>
        <w:tc>
          <w:tcPr>
            <w:tcW w:w="1440" w:type="dxa"/>
          </w:tcPr>
          <w:p w:rsidRPr="00933820" w:rsidR="007F74C8" w:rsidP="00083B37" w:rsidRDefault="00CB276C" w14:paraId="2AAA5E4E" w14:textId="107D80FD">
            <w:pPr>
              <w:spacing w:before="0" w:after="0" w:line="240" w:lineRule="auto"/>
              <w:jc w:val="center"/>
              <w:rPr>
                <w:sz w:val="20"/>
                <w:szCs w:val="20"/>
              </w:rPr>
            </w:pPr>
            <w:r w:rsidRPr="00933820">
              <w:rPr>
                <w:sz w:val="20"/>
                <w:szCs w:val="20"/>
              </w:rPr>
              <w:t>Not feasible</w:t>
            </w:r>
          </w:p>
        </w:tc>
        <w:tc>
          <w:tcPr>
            <w:tcW w:w="3044" w:type="dxa"/>
          </w:tcPr>
          <w:p w:rsidRPr="00933820" w:rsidR="007F74C8" w:rsidP="00083B37" w:rsidRDefault="004A4D2D" w14:paraId="64F09F9D" w14:textId="0FF83F92">
            <w:pPr>
              <w:spacing w:before="0" w:after="0" w:line="240" w:lineRule="auto"/>
              <w:jc w:val="center"/>
              <w:rPr>
                <w:sz w:val="20"/>
                <w:szCs w:val="20"/>
              </w:rPr>
            </w:pPr>
            <w:r w:rsidRPr="00933820">
              <w:rPr>
                <w:sz w:val="20"/>
                <w:szCs w:val="20"/>
              </w:rPr>
              <w:t>Not feasible</w:t>
            </w:r>
          </w:p>
        </w:tc>
      </w:tr>
      <w:tr w:rsidR="004B6F4A" w:rsidTr="00715B04" w14:paraId="391C7506" w14:textId="77777777">
        <w:trPr>
          <w:jc w:val="center"/>
        </w:trPr>
        <w:tc>
          <w:tcPr>
            <w:tcW w:w="3055" w:type="dxa"/>
          </w:tcPr>
          <w:p w:rsidRPr="00933820" w:rsidR="004B6F4A" w:rsidP="00083B37" w:rsidRDefault="004B6F4A" w14:paraId="32B95B05" w14:textId="6EF0D610">
            <w:pPr>
              <w:spacing w:before="0" w:after="0" w:line="240" w:lineRule="auto"/>
              <w:rPr>
                <w:sz w:val="20"/>
                <w:szCs w:val="20"/>
              </w:rPr>
            </w:pPr>
            <w:r w:rsidRPr="00933820">
              <w:rPr>
                <w:sz w:val="20"/>
                <w:szCs w:val="20"/>
              </w:rPr>
              <w:t>Digital performance</w:t>
            </w:r>
            <w:r w:rsidRPr="00933820" w:rsidR="004E355C">
              <w:rPr>
                <w:sz w:val="20"/>
                <w:szCs w:val="20"/>
              </w:rPr>
              <w:t>, if applicable</w:t>
            </w:r>
          </w:p>
        </w:tc>
        <w:tc>
          <w:tcPr>
            <w:tcW w:w="2160" w:type="dxa"/>
          </w:tcPr>
          <w:p w:rsidRPr="00933820" w:rsidR="004B6F4A" w:rsidP="00083B37" w:rsidRDefault="00933820" w14:paraId="0BE59C25" w14:textId="65CF41E7">
            <w:pPr>
              <w:spacing w:before="0" w:after="0" w:line="240" w:lineRule="auto"/>
              <w:jc w:val="center"/>
              <w:rPr>
                <w:sz w:val="20"/>
                <w:szCs w:val="20"/>
              </w:rPr>
            </w:pPr>
            <w:r w:rsidRPr="00933820">
              <w:rPr>
                <w:sz w:val="20"/>
                <w:szCs w:val="20"/>
              </w:rPr>
              <w:t>Not feasible</w:t>
            </w:r>
          </w:p>
        </w:tc>
        <w:tc>
          <w:tcPr>
            <w:tcW w:w="1440" w:type="dxa"/>
          </w:tcPr>
          <w:p w:rsidRPr="00933820" w:rsidR="004B6F4A" w:rsidP="00083B37" w:rsidRDefault="00CB276C" w14:paraId="02A3FC4E" w14:textId="72D631EC">
            <w:pPr>
              <w:spacing w:before="0" w:after="0" w:line="240" w:lineRule="auto"/>
              <w:jc w:val="center"/>
              <w:rPr>
                <w:sz w:val="20"/>
                <w:szCs w:val="20"/>
              </w:rPr>
            </w:pPr>
            <w:r w:rsidRPr="00933820">
              <w:rPr>
                <w:sz w:val="20"/>
                <w:szCs w:val="20"/>
              </w:rPr>
              <w:t>Not feasible</w:t>
            </w:r>
          </w:p>
        </w:tc>
        <w:tc>
          <w:tcPr>
            <w:tcW w:w="3044" w:type="dxa"/>
          </w:tcPr>
          <w:p w:rsidRPr="00933820" w:rsidR="004B6F4A" w:rsidP="00083B37" w:rsidRDefault="004C02F2" w14:paraId="6812ED0A" w14:textId="276F614A">
            <w:pPr>
              <w:spacing w:before="0" w:after="0" w:line="240" w:lineRule="auto"/>
              <w:jc w:val="center"/>
              <w:rPr>
                <w:sz w:val="20"/>
                <w:szCs w:val="20"/>
              </w:rPr>
            </w:pPr>
            <w:r w:rsidRPr="00933820">
              <w:rPr>
                <w:sz w:val="20"/>
                <w:szCs w:val="20"/>
              </w:rPr>
              <w:t>Not feasible</w:t>
            </w:r>
            <w:r w:rsidRPr="00933820" w:rsidR="00F03F11">
              <w:rPr>
                <w:sz w:val="20"/>
                <w:szCs w:val="20"/>
              </w:rPr>
              <w:t xml:space="preserve"> due to lack of customer identification</w:t>
            </w:r>
            <w:r w:rsidRPr="00933820" w:rsidR="00B55D1F">
              <w:rPr>
                <w:sz w:val="20"/>
                <w:szCs w:val="20"/>
              </w:rPr>
              <w:t>.</w:t>
            </w:r>
          </w:p>
        </w:tc>
      </w:tr>
    </w:tbl>
    <w:p w:rsidR="007F74C8" w:rsidP="006A040B" w:rsidRDefault="007F74C8" w14:paraId="7E40F02A" w14:textId="77777777"/>
    <w:p w:rsidR="002F3FB5" w:rsidP="006A040B" w:rsidRDefault="00862FBA" w14:paraId="507E6C7F" w14:textId="42D50001">
      <w:r w:rsidRPr="00862FBA">
        <w:t xml:space="preserve">In response to Cal Advocates' request, we find it reasonable for the Large Utilities to add consistent disaggregated data for the "number and type of outbound targeted communications and bill messages" metric and the "email open rates" metric by tier and customer status, such as Non-CARE/FERA, CARE, FERA, Solar, and DRAH status. The IOUs </w:t>
      </w:r>
      <w:r w:rsidR="00807D1D">
        <w:t>shall</w:t>
      </w:r>
      <w:r w:rsidRPr="00862FBA">
        <w:t xml:space="preserve"> continue to confer with one another, Commission staff, and the IWG on </w:t>
      </w:r>
      <w:r w:rsidRPr="00862FBA">
        <w:lastRenderedPageBreak/>
        <w:t xml:space="preserve">reporting metrics. </w:t>
      </w:r>
      <w:r w:rsidR="00950B46">
        <w:t>The</w:t>
      </w:r>
      <w:r w:rsidRPr="00862FBA">
        <w:t xml:space="preserve"> IWG </w:t>
      </w:r>
      <w:r w:rsidR="00950B46">
        <w:t>shall</w:t>
      </w:r>
      <w:r w:rsidRPr="00862FBA">
        <w:t xml:space="preserve"> determine when</w:t>
      </w:r>
      <w:r w:rsidR="00646273">
        <w:t xml:space="preserve"> </w:t>
      </w:r>
      <w:r w:rsidRPr="00862FBA">
        <w:t>reporting for the fixed charge</w:t>
      </w:r>
      <w:r w:rsidR="00827D6A">
        <w:t xml:space="preserve"> implementation</w:t>
      </w:r>
      <w:r w:rsidRPr="00862FBA">
        <w:t xml:space="preserve"> ends based </w:t>
      </w:r>
      <w:r w:rsidR="00CF4CBB">
        <w:t xml:space="preserve">on </w:t>
      </w:r>
      <w:r w:rsidR="00BC73B4">
        <w:t>each Large IOU’</w:t>
      </w:r>
      <w:r w:rsidR="002218F6">
        <w:t>s</w:t>
      </w:r>
      <w:r w:rsidR="00BC73B4">
        <w:t xml:space="preserve"> </w:t>
      </w:r>
      <w:r w:rsidRPr="00862FBA">
        <w:t>implementation schedule. </w:t>
      </w:r>
    </w:p>
    <w:p w:rsidRPr="00FC06FB" w:rsidR="00885ED7" w:rsidP="006A040B" w:rsidRDefault="00885ED7" w14:paraId="60DEFE3F" w14:textId="77777777"/>
    <w:p w:rsidR="0067681A" w:rsidP="00C401B7" w:rsidRDefault="0067681A" w14:paraId="00F1BC5D" w14:textId="1EA936AA">
      <w:pPr>
        <w:pStyle w:val="Heading4"/>
        <w:numPr>
          <w:ilvl w:val="1"/>
          <w:numId w:val="18"/>
        </w:numPr>
      </w:pPr>
      <w:r w:rsidRPr="0067681A">
        <w:t>Proposed ME&amp;O Budget</w:t>
      </w:r>
    </w:p>
    <w:p w:rsidR="00103626" w:rsidP="00103626" w:rsidRDefault="00103626" w14:paraId="4D614E88" w14:textId="0717FF0F">
      <w:pPr>
        <w:pStyle w:val="sub2"/>
        <w:spacing w:line="240" w:lineRule="auto"/>
        <w:ind w:firstLine="0"/>
      </w:pPr>
      <w:r>
        <w:t xml:space="preserve">D.24-05-028 required the </w:t>
      </w:r>
      <w:r w:rsidR="00C27B98">
        <w:t>Large</w:t>
      </w:r>
      <w:r>
        <w:t xml:space="preserve"> IOUs to propose an ME&amp;O budget with a line-item breakdown and justification for each cost. The justification should explain why each line item is incremental to previously authorized ME&amp;O funding (e.g., authorized ME&amp;O budgets for CARE and FERA).</w:t>
      </w:r>
      <w:r w:rsidR="006B61AA">
        <w:rPr>
          <w:rStyle w:val="FootnoteReference"/>
        </w:rPr>
        <w:footnoteReference w:id="182"/>
      </w:r>
    </w:p>
    <w:p w:rsidR="00103626" w:rsidP="00103626" w:rsidRDefault="00103626" w14:paraId="290EA853" w14:textId="77777777">
      <w:pPr>
        <w:pStyle w:val="sub2"/>
        <w:spacing w:line="240" w:lineRule="auto"/>
        <w:ind w:firstLine="0"/>
      </w:pPr>
    </w:p>
    <w:p w:rsidR="037CF422" w:rsidP="00103626" w:rsidRDefault="00103626" w14:paraId="4CD9F0D4" w14:textId="54956529">
      <w:pPr>
        <w:pStyle w:val="sub2"/>
        <w:spacing w:line="240" w:lineRule="auto"/>
        <w:ind w:firstLine="0"/>
      </w:pPr>
      <w:r>
        <w:t xml:space="preserve">In Table </w:t>
      </w:r>
      <w:r w:rsidR="009001EC">
        <w:t>6</w:t>
      </w:r>
      <w:r>
        <w:t xml:space="preserve"> below, SDG&amp;E identified ME&amp;O costs and will take a digital-first approach to help mitigate expenses where feasible and appropriate</w:t>
      </w:r>
      <w:r w:rsidR="00215ECC">
        <w:t xml:space="preserve"> and</w:t>
      </w:r>
      <w:r>
        <w:t xml:space="preserve"> indicate</w:t>
      </w:r>
      <w:r w:rsidR="001E158E">
        <w:t>d</w:t>
      </w:r>
      <w:r>
        <w:t xml:space="preserve"> it will use other communication methods that may be costly, as not all customers have a valid email address or have limited access to digital channels.</w:t>
      </w:r>
      <w:r w:rsidR="002B11F7">
        <w:rPr>
          <w:rStyle w:val="FootnoteReference"/>
        </w:rPr>
        <w:footnoteReference w:id="183"/>
      </w:r>
      <w:r>
        <w:t xml:space="preserve"> </w:t>
      </w:r>
      <w:r w:rsidR="4D130B69">
        <w:t xml:space="preserve">Based on corrections submitted in AL 4492-E-A, </w:t>
      </w:r>
      <w:r>
        <w:t>SDG&amp;E</w:t>
      </w:r>
      <w:r w:rsidR="001F2781">
        <w:t xml:space="preserve"> revised its</w:t>
      </w:r>
      <w:r>
        <w:t xml:space="preserve"> </w:t>
      </w:r>
      <w:r w:rsidR="00112654">
        <w:t xml:space="preserve">proposed ME&amp;O budget </w:t>
      </w:r>
      <w:r w:rsidR="001F2781">
        <w:t>from $3</w:t>
      </w:r>
      <w:r w:rsidR="005F48CC">
        <w:t>.2 million to</w:t>
      </w:r>
      <w:r>
        <w:t xml:space="preserve"> </w:t>
      </w:r>
      <w:r w:rsidRPr="00CD6634">
        <w:t>$3</w:t>
      </w:r>
      <w:r w:rsidRPr="00CD6634" w:rsidR="03726A2D">
        <w:t>.</w:t>
      </w:r>
      <w:r w:rsidR="00346CEA">
        <w:t>197</w:t>
      </w:r>
      <w:r w:rsidRPr="00CD6634" w:rsidR="03726A2D">
        <w:t xml:space="preserve"> million</w:t>
      </w:r>
      <w:r w:rsidR="3DE29C05">
        <w:t>,</w:t>
      </w:r>
      <w:r>
        <w:t xml:space="preserve"> </w:t>
      </w:r>
      <w:r w:rsidR="003D58E5">
        <w:t xml:space="preserve">as shown below in Table </w:t>
      </w:r>
      <w:r w:rsidR="009001EC">
        <w:t>6</w:t>
      </w:r>
      <w:r>
        <w:t>.</w:t>
      </w:r>
    </w:p>
    <w:p w:rsidR="00103626" w:rsidP="00103626" w:rsidRDefault="00103626" w14:paraId="7093737F" w14:textId="77777777">
      <w:pPr>
        <w:pStyle w:val="sub2"/>
        <w:spacing w:line="240" w:lineRule="auto"/>
        <w:ind w:firstLine="0"/>
      </w:pPr>
    </w:p>
    <w:p w:rsidR="00103626" w:rsidP="00772064" w:rsidRDefault="00103626" w14:paraId="73A047A3" w14:textId="6B14B80C">
      <w:pPr>
        <w:pStyle w:val="sub2"/>
        <w:spacing w:line="240" w:lineRule="auto"/>
        <w:ind w:firstLine="0"/>
        <w:jc w:val="center"/>
        <w:rPr>
          <w:b/>
          <w:bCs/>
        </w:rPr>
      </w:pPr>
      <w:r w:rsidRPr="00676FAA">
        <w:rPr>
          <w:b/>
          <w:bCs/>
        </w:rPr>
        <w:t xml:space="preserve">Table </w:t>
      </w:r>
      <w:r w:rsidRPr="609FF4FA" w:rsidR="37F7FEDE">
        <w:rPr>
          <w:b/>
          <w:bCs/>
        </w:rPr>
        <w:t>6</w:t>
      </w:r>
      <w:r w:rsidRPr="00676FAA">
        <w:rPr>
          <w:b/>
          <w:bCs/>
        </w:rPr>
        <w:t>:  SDG&amp;E</w:t>
      </w:r>
      <w:r w:rsidRPr="00676FAA" w:rsidR="00676FAA">
        <w:rPr>
          <w:b/>
          <w:bCs/>
        </w:rPr>
        <w:t xml:space="preserve">’s </w:t>
      </w:r>
      <w:r w:rsidR="00676FAA">
        <w:rPr>
          <w:b/>
          <w:bCs/>
        </w:rPr>
        <w:t>Proposed ME&amp;O Budget</w:t>
      </w:r>
    </w:p>
    <w:p w:rsidR="00676FAA" w:rsidP="00103626" w:rsidRDefault="00676FAA" w14:paraId="2CC6C838" w14:textId="77777777">
      <w:pPr>
        <w:pStyle w:val="sub2"/>
        <w:spacing w:line="240" w:lineRule="auto"/>
        <w:ind w:firstLine="0"/>
        <w:rPr>
          <w:b/>
          <w:bCs/>
        </w:rPr>
      </w:pPr>
    </w:p>
    <w:tbl>
      <w:tblPr>
        <w:tblW w:w="90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327"/>
        <w:gridCol w:w="1497"/>
        <w:gridCol w:w="1407"/>
        <w:gridCol w:w="1395"/>
        <w:gridCol w:w="1454"/>
      </w:tblGrid>
      <w:tr w:rsidRPr="00E349A5" w:rsidR="002C5873" w:rsidTr="00A63F99" w14:paraId="22B34C07" w14:textId="77777777">
        <w:trPr>
          <w:trHeight w:val="300"/>
          <w:jc w:val="center"/>
        </w:trPr>
        <w:tc>
          <w:tcPr>
            <w:tcW w:w="3327" w:type="dxa"/>
            <w:shd w:val="clear" w:color="auto" w:fill="F2F2F2" w:themeFill="background1" w:themeFillShade="F2"/>
            <w:noWrap/>
            <w:vAlign w:val="bottom"/>
            <w:hideMark/>
          </w:tcPr>
          <w:p w:rsidRPr="00E349A5" w:rsidR="002C5873" w:rsidP="002C5873" w:rsidRDefault="002C5873" w14:paraId="11899B29" w14:textId="77777777">
            <w:pPr>
              <w:rPr>
                <w:rFonts w:eastAsia="Times New Roman" w:cs="Times New Roman"/>
                <w:b/>
                <w:bCs/>
                <w:color w:val="000000"/>
                <w:sz w:val="22"/>
                <w:szCs w:val="22"/>
              </w:rPr>
            </w:pPr>
            <w:r w:rsidRPr="00E349A5">
              <w:rPr>
                <w:rFonts w:eastAsia="Times New Roman" w:cs="Times New Roman"/>
                <w:b/>
                <w:bCs/>
                <w:color w:val="000000"/>
                <w:sz w:val="22"/>
                <w:szCs w:val="22"/>
              </w:rPr>
              <w:t>Category</w:t>
            </w:r>
          </w:p>
        </w:tc>
        <w:tc>
          <w:tcPr>
            <w:tcW w:w="1497" w:type="dxa"/>
            <w:shd w:val="clear" w:color="auto" w:fill="F2F2F2" w:themeFill="background1" w:themeFillShade="F2"/>
            <w:noWrap/>
            <w:vAlign w:val="bottom"/>
            <w:hideMark/>
          </w:tcPr>
          <w:p w:rsidRPr="00E349A5" w:rsidR="002C5873" w:rsidP="002C5873" w:rsidRDefault="00014394" w14:paraId="67124018" w14:textId="31070CFC">
            <w:pPr>
              <w:jc w:val="center"/>
              <w:rPr>
                <w:rFonts w:eastAsia="Times New Roman" w:cs="Times New Roman"/>
                <w:b/>
                <w:bCs/>
                <w:color w:val="000000"/>
                <w:sz w:val="22"/>
                <w:szCs w:val="22"/>
              </w:rPr>
            </w:pPr>
            <w:r>
              <w:rPr>
                <w:rFonts w:eastAsia="Times New Roman" w:cs="Times New Roman"/>
                <w:b/>
                <w:bCs/>
                <w:color w:val="000000"/>
                <w:sz w:val="22"/>
                <w:szCs w:val="22"/>
              </w:rPr>
              <w:t>1H</w:t>
            </w:r>
            <w:r w:rsidRPr="00E349A5" w:rsidR="002C5873">
              <w:rPr>
                <w:rFonts w:eastAsia="Times New Roman" w:cs="Times New Roman"/>
                <w:b/>
                <w:bCs/>
                <w:color w:val="000000"/>
                <w:sz w:val="22"/>
                <w:szCs w:val="22"/>
              </w:rPr>
              <w:t xml:space="preserve"> 2025</w:t>
            </w:r>
          </w:p>
        </w:tc>
        <w:tc>
          <w:tcPr>
            <w:tcW w:w="1407" w:type="dxa"/>
            <w:shd w:val="clear" w:color="auto" w:fill="F2F2F2" w:themeFill="background1" w:themeFillShade="F2"/>
            <w:noWrap/>
            <w:vAlign w:val="bottom"/>
            <w:hideMark/>
          </w:tcPr>
          <w:p w:rsidRPr="00E349A5" w:rsidR="002C5873" w:rsidP="002C5873" w:rsidRDefault="00014394" w14:paraId="4231CE82" w14:textId="0B4D6EF2">
            <w:pPr>
              <w:jc w:val="center"/>
              <w:rPr>
                <w:rFonts w:eastAsia="Times New Roman" w:cs="Times New Roman"/>
                <w:b/>
                <w:bCs/>
                <w:color w:val="000000"/>
                <w:sz w:val="22"/>
                <w:szCs w:val="22"/>
              </w:rPr>
            </w:pPr>
            <w:r>
              <w:rPr>
                <w:rFonts w:eastAsia="Times New Roman" w:cs="Times New Roman"/>
                <w:b/>
                <w:bCs/>
                <w:color w:val="000000"/>
                <w:sz w:val="22"/>
                <w:szCs w:val="22"/>
              </w:rPr>
              <w:t>2</w:t>
            </w:r>
            <w:r w:rsidR="00C575E1">
              <w:rPr>
                <w:rFonts w:eastAsia="Times New Roman" w:cs="Times New Roman"/>
                <w:b/>
                <w:bCs/>
                <w:color w:val="000000"/>
                <w:sz w:val="22"/>
                <w:szCs w:val="22"/>
              </w:rPr>
              <w:t>H</w:t>
            </w:r>
            <w:r w:rsidRPr="00E349A5" w:rsidR="002C5873">
              <w:rPr>
                <w:rFonts w:eastAsia="Times New Roman" w:cs="Times New Roman"/>
                <w:b/>
                <w:bCs/>
                <w:color w:val="000000"/>
                <w:sz w:val="22"/>
                <w:szCs w:val="22"/>
              </w:rPr>
              <w:t xml:space="preserve"> 2025</w:t>
            </w:r>
          </w:p>
        </w:tc>
        <w:tc>
          <w:tcPr>
            <w:tcW w:w="1395" w:type="dxa"/>
            <w:shd w:val="clear" w:color="auto" w:fill="F2F2F2" w:themeFill="background1" w:themeFillShade="F2"/>
            <w:noWrap/>
            <w:vAlign w:val="bottom"/>
            <w:hideMark/>
          </w:tcPr>
          <w:p w:rsidRPr="00E349A5" w:rsidR="002C5873" w:rsidP="002C5873" w:rsidRDefault="002C5873" w14:paraId="0BCC1963" w14:textId="24CF944B">
            <w:pPr>
              <w:jc w:val="center"/>
              <w:rPr>
                <w:rFonts w:eastAsia="Times New Roman" w:cs="Times New Roman"/>
                <w:b/>
                <w:bCs/>
                <w:color w:val="000000"/>
                <w:sz w:val="22"/>
                <w:szCs w:val="22"/>
              </w:rPr>
            </w:pPr>
            <w:r w:rsidRPr="00E349A5">
              <w:rPr>
                <w:rFonts w:eastAsia="Times New Roman" w:cs="Times New Roman"/>
                <w:b/>
                <w:bCs/>
                <w:color w:val="000000"/>
                <w:sz w:val="22"/>
                <w:szCs w:val="22"/>
              </w:rPr>
              <w:t>2026</w:t>
            </w:r>
          </w:p>
        </w:tc>
        <w:tc>
          <w:tcPr>
            <w:tcW w:w="1454" w:type="dxa"/>
            <w:shd w:val="clear" w:color="auto" w:fill="F2F2F2" w:themeFill="background1" w:themeFillShade="F2"/>
            <w:noWrap/>
            <w:vAlign w:val="bottom"/>
            <w:hideMark/>
          </w:tcPr>
          <w:p w:rsidRPr="00E349A5" w:rsidR="002C5873" w:rsidP="002C5873" w:rsidRDefault="002C5873" w14:paraId="2FF69B5F" w14:textId="77777777">
            <w:pPr>
              <w:jc w:val="center"/>
              <w:rPr>
                <w:rFonts w:eastAsia="Times New Roman" w:cs="Times New Roman"/>
                <w:b/>
                <w:bCs/>
                <w:color w:val="000000"/>
                <w:sz w:val="22"/>
                <w:szCs w:val="22"/>
              </w:rPr>
            </w:pPr>
            <w:r w:rsidRPr="00E349A5">
              <w:rPr>
                <w:rFonts w:eastAsia="Times New Roman" w:cs="Times New Roman"/>
                <w:b/>
                <w:bCs/>
                <w:color w:val="000000"/>
                <w:sz w:val="22"/>
                <w:szCs w:val="22"/>
              </w:rPr>
              <w:t>Total</w:t>
            </w:r>
          </w:p>
        </w:tc>
      </w:tr>
      <w:tr w:rsidRPr="00E349A5" w:rsidR="002C5873" w:rsidTr="00A63F99" w14:paraId="300D59D4" w14:textId="77777777">
        <w:trPr>
          <w:trHeight w:val="300"/>
          <w:jc w:val="center"/>
        </w:trPr>
        <w:tc>
          <w:tcPr>
            <w:tcW w:w="3327" w:type="dxa"/>
            <w:shd w:val="clear" w:color="auto" w:fill="auto"/>
            <w:noWrap/>
            <w:vAlign w:val="bottom"/>
            <w:hideMark/>
          </w:tcPr>
          <w:p w:rsidRPr="00E349A5" w:rsidR="002C5873" w:rsidP="002C5873" w:rsidRDefault="002C5873" w14:paraId="53786B14" w14:textId="77777777">
            <w:pPr>
              <w:rPr>
                <w:rFonts w:eastAsia="Times New Roman" w:cs="Times New Roman"/>
                <w:color w:val="000000"/>
                <w:sz w:val="22"/>
                <w:szCs w:val="22"/>
              </w:rPr>
            </w:pPr>
            <w:r w:rsidRPr="00E349A5">
              <w:rPr>
                <w:rFonts w:eastAsia="Times New Roman" w:cs="Times New Roman"/>
                <w:color w:val="000000"/>
                <w:sz w:val="22"/>
                <w:szCs w:val="22"/>
              </w:rPr>
              <w:t>Research</w:t>
            </w:r>
          </w:p>
        </w:tc>
        <w:tc>
          <w:tcPr>
            <w:tcW w:w="1497" w:type="dxa"/>
            <w:shd w:val="clear" w:color="auto" w:fill="auto"/>
            <w:noWrap/>
            <w:vAlign w:val="bottom"/>
            <w:hideMark/>
          </w:tcPr>
          <w:p w:rsidRPr="00E349A5" w:rsidR="002C5873" w:rsidP="00501C48" w:rsidRDefault="002C5873" w14:paraId="4DB0C37E"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$125,000 </w:t>
            </w:r>
          </w:p>
        </w:tc>
        <w:tc>
          <w:tcPr>
            <w:tcW w:w="1407" w:type="dxa"/>
            <w:shd w:val="clear" w:color="auto" w:fill="auto"/>
            <w:noWrap/>
            <w:vAlign w:val="bottom"/>
            <w:hideMark/>
          </w:tcPr>
          <w:p w:rsidRPr="00E349A5" w:rsidR="002C5873" w:rsidP="00501C48" w:rsidRDefault="002C5873" w14:paraId="1148A1D3"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395" w:type="dxa"/>
            <w:shd w:val="clear" w:color="auto" w:fill="auto"/>
            <w:noWrap/>
            <w:vAlign w:val="bottom"/>
            <w:hideMark/>
          </w:tcPr>
          <w:p w:rsidRPr="00E349A5" w:rsidR="002C5873" w:rsidP="00501C48" w:rsidRDefault="002C5873" w14:paraId="2A74E875"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$125,000 </w:t>
            </w:r>
          </w:p>
        </w:tc>
        <w:tc>
          <w:tcPr>
            <w:tcW w:w="1454" w:type="dxa"/>
            <w:shd w:val="clear" w:color="auto" w:fill="auto"/>
            <w:noWrap/>
            <w:vAlign w:val="bottom"/>
            <w:hideMark/>
          </w:tcPr>
          <w:p w:rsidRPr="00E349A5" w:rsidR="002C5873" w:rsidP="00501C48" w:rsidRDefault="002C5873" w14:paraId="62068AF2"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$250,000 </w:t>
            </w:r>
          </w:p>
        </w:tc>
      </w:tr>
      <w:tr w:rsidRPr="00E349A5" w:rsidR="002C5873" w:rsidTr="00A63F99" w14:paraId="5C6547D8" w14:textId="77777777">
        <w:trPr>
          <w:trHeight w:val="300"/>
          <w:jc w:val="center"/>
        </w:trPr>
        <w:tc>
          <w:tcPr>
            <w:tcW w:w="3327" w:type="dxa"/>
            <w:shd w:val="clear" w:color="auto" w:fill="auto"/>
            <w:noWrap/>
            <w:vAlign w:val="bottom"/>
            <w:hideMark/>
          </w:tcPr>
          <w:p w:rsidRPr="00E349A5" w:rsidR="002C5873" w:rsidP="002C5873" w:rsidRDefault="002C5873" w14:paraId="0B3BF3C9" w14:textId="77777777">
            <w:pPr>
              <w:rPr>
                <w:rFonts w:eastAsia="Times New Roman" w:cs="Times New Roman"/>
                <w:color w:val="000000"/>
                <w:sz w:val="22"/>
                <w:szCs w:val="22"/>
              </w:rPr>
            </w:pPr>
            <w:r w:rsidRPr="00E349A5">
              <w:rPr>
                <w:rFonts w:eastAsia="Times New Roman" w:cs="Times New Roman"/>
                <w:color w:val="000000"/>
                <w:sz w:val="22"/>
                <w:szCs w:val="22"/>
              </w:rPr>
              <w:t>Web</w:t>
            </w:r>
          </w:p>
        </w:tc>
        <w:tc>
          <w:tcPr>
            <w:tcW w:w="1497" w:type="dxa"/>
            <w:shd w:val="clear" w:color="auto" w:fill="auto"/>
            <w:noWrap/>
            <w:vAlign w:val="bottom"/>
            <w:hideMark/>
          </w:tcPr>
          <w:p w:rsidRPr="00E349A5" w:rsidR="002C5873" w:rsidP="00501C48" w:rsidRDefault="002C5873" w14:paraId="16040A5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07" w:type="dxa"/>
            <w:shd w:val="clear" w:color="auto" w:fill="auto"/>
            <w:noWrap/>
            <w:vAlign w:val="bottom"/>
            <w:hideMark/>
          </w:tcPr>
          <w:p w:rsidRPr="00E349A5" w:rsidR="002C5873" w:rsidP="00501C48" w:rsidRDefault="002C5873" w14:paraId="340E48EF"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395" w:type="dxa"/>
            <w:shd w:val="clear" w:color="auto" w:fill="auto"/>
            <w:noWrap/>
            <w:vAlign w:val="bottom"/>
            <w:hideMark/>
          </w:tcPr>
          <w:p w:rsidRPr="00E349A5" w:rsidR="002C5873" w:rsidP="00501C48" w:rsidRDefault="002C5873" w14:paraId="2310C6A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54" w:type="dxa"/>
            <w:shd w:val="clear" w:color="auto" w:fill="auto"/>
            <w:noWrap/>
            <w:vAlign w:val="bottom"/>
            <w:hideMark/>
          </w:tcPr>
          <w:p w:rsidRPr="00E349A5" w:rsidR="002C5873" w:rsidP="00501C48" w:rsidRDefault="002C5873" w14:paraId="55A2AA1F"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$60,000 </w:t>
            </w:r>
          </w:p>
        </w:tc>
      </w:tr>
      <w:tr w:rsidRPr="00E349A5" w:rsidR="002C5873" w:rsidTr="00A63F99" w14:paraId="22F5E578" w14:textId="77777777">
        <w:trPr>
          <w:trHeight w:val="300"/>
          <w:jc w:val="center"/>
        </w:trPr>
        <w:tc>
          <w:tcPr>
            <w:tcW w:w="3327" w:type="dxa"/>
            <w:shd w:val="clear" w:color="auto" w:fill="auto"/>
            <w:noWrap/>
            <w:vAlign w:val="bottom"/>
            <w:hideMark/>
          </w:tcPr>
          <w:p w:rsidRPr="00E349A5" w:rsidR="002C5873" w:rsidP="002C5873" w:rsidRDefault="002C5873" w14:paraId="3482087B" w14:textId="77777777">
            <w:pPr>
              <w:rPr>
                <w:rFonts w:eastAsia="Times New Roman" w:cs="Times New Roman"/>
                <w:color w:val="000000"/>
                <w:sz w:val="22"/>
                <w:szCs w:val="22"/>
              </w:rPr>
            </w:pPr>
            <w:r w:rsidRPr="00E349A5">
              <w:rPr>
                <w:rFonts w:eastAsia="Times New Roman" w:cs="Times New Roman"/>
                <w:color w:val="000000"/>
                <w:sz w:val="22"/>
                <w:szCs w:val="22"/>
              </w:rPr>
              <w:t>Collateral</w:t>
            </w:r>
          </w:p>
        </w:tc>
        <w:tc>
          <w:tcPr>
            <w:tcW w:w="1497" w:type="dxa"/>
            <w:shd w:val="clear" w:color="auto" w:fill="auto"/>
            <w:noWrap/>
            <w:vAlign w:val="bottom"/>
            <w:hideMark/>
          </w:tcPr>
          <w:p w:rsidRPr="00E349A5" w:rsidR="002C5873" w:rsidP="00501C48" w:rsidRDefault="002C5873" w14:paraId="7B8C1672"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 </w:t>
            </w:r>
          </w:p>
        </w:tc>
        <w:tc>
          <w:tcPr>
            <w:tcW w:w="1407" w:type="dxa"/>
            <w:shd w:val="clear" w:color="auto" w:fill="auto"/>
            <w:noWrap/>
            <w:vAlign w:val="bottom"/>
            <w:hideMark/>
          </w:tcPr>
          <w:p w:rsidRPr="00E349A5" w:rsidR="002C5873" w:rsidP="00501C48" w:rsidRDefault="002C5873" w14:paraId="4846035B"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395" w:type="dxa"/>
            <w:shd w:val="clear" w:color="auto" w:fill="auto"/>
            <w:noWrap/>
            <w:vAlign w:val="bottom"/>
            <w:hideMark/>
          </w:tcPr>
          <w:p w:rsidRPr="00E349A5" w:rsidR="002C5873" w:rsidP="00501C48" w:rsidRDefault="002C5873" w14:paraId="40FBA24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 </w:t>
            </w:r>
          </w:p>
        </w:tc>
        <w:tc>
          <w:tcPr>
            <w:tcW w:w="1454" w:type="dxa"/>
            <w:shd w:val="clear" w:color="auto" w:fill="auto"/>
            <w:noWrap/>
            <w:vAlign w:val="bottom"/>
            <w:hideMark/>
          </w:tcPr>
          <w:p w:rsidRPr="00E349A5" w:rsidR="002C5873" w:rsidP="00501C48" w:rsidRDefault="002C5873" w14:paraId="108D9766"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$50,000 </w:t>
            </w:r>
          </w:p>
        </w:tc>
      </w:tr>
      <w:tr w:rsidRPr="00E349A5" w:rsidR="002C5873" w:rsidTr="00A63F99" w14:paraId="1BB21121" w14:textId="77777777">
        <w:trPr>
          <w:trHeight w:val="300"/>
          <w:jc w:val="center"/>
        </w:trPr>
        <w:tc>
          <w:tcPr>
            <w:tcW w:w="3327" w:type="dxa"/>
            <w:shd w:val="clear" w:color="auto" w:fill="auto"/>
            <w:noWrap/>
            <w:vAlign w:val="bottom"/>
            <w:hideMark/>
          </w:tcPr>
          <w:p w:rsidRPr="00E349A5" w:rsidR="002C5873" w:rsidP="002C5873" w:rsidRDefault="107DD940" w14:paraId="4E70F606" w14:textId="5582B68B">
            <w:pPr>
              <w:rPr>
                <w:rFonts w:eastAsia="Times New Roman" w:cs="Times New Roman"/>
                <w:color w:val="000000"/>
                <w:sz w:val="22"/>
                <w:szCs w:val="22"/>
              </w:rPr>
            </w:pPr>
            <w:r w:rsidRPr="00E349A5">
              <w:rPr>
                <w:rFonts w:eastAsia="Times New Roman" w:cs="Times New Roman"/>
                <w:color w:val="000000"/>
                <w:sz w:val="22"/>
                <w:szCs w:val="22"/>
              </w:rPr>
              <w:t>Outreach/CBOs</w:t>
            </w:r>
            <w:r w:rsidR="008A6AE0">
              <w:rPr>
                <w:rStyle w:val="FootnoteReference"/>
                <w:rFonts w:eastAsia="Times New Roman" w:cs="Times New Roman"/>
                <w:color w:val="000000"/>
                <w:sz w:val="22"/>
                <w:szCs w:val="22"/>
              </w:rPr>
              <w:footnoteReference w:id="184"/>
            </w:r>
          </w:p>
        </w:tc>
        <w:tc>
          <w:tcPr>
            <w:tcW w:w="1497" w:type="dxa"/>
            <w:shd w:val="clear" w:color="auto" w:fill="auto"/>
            <w:noWrap/>
            <w:vAlign w:val="bottom"/>
            <w:hideMark/>
          </w:tcPr>
          <w:p w:rsidRPr="00E349A5" w:rsidR="002C5873" w:rsidP="00501C48" w:rsidRDefault="002C5873" w14:paraId="5E9B1E51" w14:textId="7425758C">
            <w:pPr>
              <w:jc w:val="right"/>
              <w:rPr>
                <w:rFonts w:eastAsia="Times New Roman" w:cs="Times New Roman"/>
                <w:color w:val="000000"/>
                <w:sz w:val="22"/>
                <w:szCs w:val="22"/>
              </w:rPr>
            </w:pPr>
            <w:r w:rsidRPr="00E349A5">
              <w:rPr>
                <w:rFonts w:eastAsia="Times New Roman" w:cs="Times New Roman"/>
                <w:color w:val="000000"/>
                <w:sz w:val="22"/>
                <w:szCs w:val="22"/>
              </w:rPr>
              <w:t>$</w:t>
            </w:r>
            <w:r w:rsidR="00E33EB7">
              <w:rPr>
                <w:rFonts w:eastAsia="Times New Roman" w:cs="Times New Roman"/>
                <w:color w:val="000000"/>
                <w:sz w:val="22"/>
                <w:szCs w:val="22"/>
              </w:rPr>
              <w:t>80</w:t>
            </w:r>
            <w:r w:rsidRPr="00E349A5">
              <w:rPr>
                <w:rFonts w:eastAsia="Times New Roman" w:cs="Times New Roman"/>
                <w:color w:val="000000"/>
                <w:sz w:val="22"/>
                <w:szCs w:val="22"/>
              </w:rPr>
              <w:t xml:space="preserve">,000 </w:t>
            </w:r>
          </w:p>
        </w:tc>
        <w:tc>
          <w:tcPr>
            <w:tcW w:w="1407" w:type="dxa"/>
            <w:shd w:val="clear" w:color="auto" w:fill="auto"/>
            <w:noWrap/>
            <w:vAlign w:val="bottom"/>
            <w:hideMark/>
          </w:tcPr>
          <w:p w:rsidRPr="00E349A5" w:rsidR="002C5873" w:rsidP="00501C48" w:rsidRDefault="002C5873" w14:paraId="7FE6F6F8" w14:textId="6F76A05D">
            <w:pPr>
              <w:jc w:val="right"/>
              <w:rPr>
                <w:rFonts w:eastAsia="Times New Roman" w:cs="Times New Roman"/>
                <w:color w:val="000000"/>
                <w:sz w:val="22"/>
                <w:szCs w:val="22"/>
              </w:rPr>
            </w:pPr>
            <w:r w:rsidRPr="00E349A5">
              <w:rPr>
                <w:rFonts w:eastAsia="Times New Roman" w:cs="Times New Roman"/>
                <w:color w:val="000000"/>
                <w:sz w:val="22"/>
                <w:szCs w:val="22"/>
              </w:rPr>
              <w:t>$</w:t>
            </w:r>
            <w:r w:rsidR="00E33EB7">
              <w:rPr>
                <w:rFonts w:eastAsia="Times New Roman" w:cs="Times New Roman"/>
                <w:color w:val="000000"/>
                <w:sz w:val="22"/>
                <w:szCs w:val="22"/>
              </w:rPr>
              <w:t>40</w:t>
            </w:r>
            <w:r w:rsidRPr="00E349A5">
              <w:rPr>
                <w:rFonts w:eastAsia="Times New Roman" w:cs="Times New Roman"/>
                <w:color w:val="000000"/>
                <w:sz w:val="22"/>
                <w:szCs w:val="22"/>
              </w:rPr>
              <w:t xml:space="preserve">,000 </w:t>
            </w:r>
          </w:p>
        </w:tc>
        <w:tc>
          <w:tcPr>
            <w:tcW w:w="1395" w:type="dxa"/>
            <w:shd w:val="clear" w:color="auto" w:fill="auto"/>
            <w:noWrap/>
            <w:vAlign w:val="bottom"/>
            <w:hideMark/>
          </w:tcPr>
          <w:p w:rsidRPr="00E349A5" w:rsidR="002C5873" w:rsidP="00501C48" w:rsidRDefault="002C5873" w14:paraId="5A9D775C" w14:textId="40046534">
            <w:pPr>
              <w:jc w:val="right"/>
              <w:rPr>
                <w:rFonts w:eastAsia="Times New Roman" w:cs="Times New Roman"/>
                <w:color w:val="000000"/>
                <w:sz w:val="22"/>
                <w:szCs w:val="22"/>
              </w:rPr>
            </w:pPr>
            <w:r w:rsidRPr="00E349A5">
              <w:rPr>
                <w:rFonts w:eastAsia="Times New Roman" w:cs="Times New Roman"/>
                <w:color w:val="000000"/>
                <w:sz w:val="22"/>
                <w:szCs w:val="22"/>
              </w:rPr>
              <w:t>$</w:t>
            </w:r>
            <w:r w:rsidR="00E33EB7">
              <w:rPr>
                <w:rFonts w:eastAsia="Times New Roman" w:cs="Times New Roman"/>
                <w:color w:val="000000"/>
                <w:sz w:val="22"/>
                <w:szCs w:val="22"/>
              </w:rPr>
              <w:t>120</w:t>
            </w:r>
            <w:r w:rsidRPr="00E349A5">
              <w:rPr>
                <w:rFonts w:eastAsia="Times New Roman" w:cs="Times New Roman"/>
                <w:color w:val="000000"/>
                <w:sz w:val="22"/>
                <w:szCs w:val="22"/>
              </w:rPr>
              <w:t xml:space="preserve">,000 </w:t>
            </w:r>
          </w:p>
        </w:tc>
        <w:tc>
          <w:tcPr>
            <w:tcW w:w="1454" w:type="dxa"/>
            <w:shd w:val="clear" w:color="auto" w:fill="auto"/>
            <w:noWrap/>
            <w:vAlign w:val="bottom"/>
            <w:hideMark/>
          </w:tcPr>
          <w:p w:rsidRPr="00E349A5" w:rsidR="002C5873" w:rsidP="00501C48" w:rsidRDefault="002C5873" w14:paraId="65F8FA95" w14:textId="19703C21">
            <w:pPr>
              <w:jc w:val="right"/>
              <w:rPr>
                <w:rFonts w:eastAsia="Times New Roman" w:cs="Times New Roman"/>
                <w:color w:val="000000"/>
                <w:sz w:val="22"/>
                <w:szCs w:val="22"/>
              </w:rPr>
            </w:pPr>
            <w:r w:rsidRPr="00E349A5">
              <w:rPr>
                <w:rFonts w:eastAsia="Times New Roman" w:cs="Times New Roman"/>
                <w:color w:val="000000"/>
                <w:sz w:val="22"/>
                <w:szCs w:val="22"/>
              </w:rPr>
              <w:t>$2</w:t>
            </w:r>
            <w:r w:rsidR="00FC68D2">
              <w:rPr>
                <w:rFonts w:eastAsia="Times New Roman" w:cs="Times New Roman"/>
                <w:color w:val="000000"/>
                <w:sz w:val="22"/>
                <w:szCs w:val="22"/>
              </w:rPr>
              <w:t>40</w:t>
            </w:r>
            <w:r w:rsidRPr="00E349A5">
              <w:rPr>
                <w:rFonts w:eastAsia="Times New Roman" w:cs="Times New Roman"/>
                <w:color w:val="000000"/>
                <w:sz w:val="22"/>
                <w:szCs w:val="22"/>
              </w:rPr>
              <w:t xml:space="preserve">,000 </w:t>
            </w:r>
          </w:p>
        </w:tc>
      </w:tr>
      <w:tr w:rsidRPr="00E349A5" w:rsidR="002C5873" w:rsidTr="00A63F99" w14:paraId="23DFB499" w14:textId="77777777">
        <w:trPr>
          <w:trHeight w:val="300"/>
          <w:jc w:val="center"/>
        </w:trPr>
        <w:tc>
          <w:tcPr>
            <w:tcW w:w="3327" w:type="dxa"/>
            <w:shd w:val="clear" w:color="auto" w:fill="auto"/>
            <w:noWrap/>
            <w:vAlign w:val="bottom"/>
            <w:hideMark/>
          </w:tcPr>
          <w:p w:rsidRPr="00E349A5" w:rsidR="002C5873" w:rsidP="002C5873" w:rsidRDefault="002C5873" w14:paraId="1947E127" w14:textId="77777777">
            <w:pPr>
              <w:rPr>
                <w:rFonts w:eastAsia="Times New Roman" w:cs="Times New Roman"/>
                <w:color w:val="000000"/>
                <w:sz w:val="22"/>
                <w:szCs w:val="22"/>
              </w:rPr>
            </w:pPr>
            <w:r w:rsidRPr="00E349A5">
              <w:rPr>
                <w:rFonts w:eastAsia="Times New Roman" w:cs="Times New Roman"/>
                <w:color w:val="000000"/>
                <w:sz w:val="22"/>
                <w:szCs w:val="22"/>
              </w:rPr>
              <w:t>Paid Media</w:t>
            </w:r>
          </w:p>
        </w:tc>
        <w:tc>
          <w:tcPr>
            <w:tcW w:w="1497" w:type="dxa"/>
            <w:shd w:val="clear" w:color="auto" w:fill="auto"/>
            <w:noWrap/>
            <w:vAlign w:val="bottom"/>
            <w:hideMark/>
          </w:tcPr>
          <w:p w:rsidRPr="00E349A5" w:rsidR="002C5873" w:rsidP="00501C48" w:rsidRDefault="002C5873" w14:paraId="7595578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$150,000 </w:t>
            </w:r>
          </w:p>
        </w:tc>
        <w:tc>
          <w:tcPr>
            <w:tcW w:w="1407" w:type="dxa"/>
            <w:shd w:val="clear" w:color="auto" w:fill="auto"/>
            <w:noWrap/>
            <w:vAlign w:val="bottom"/>
            <w:hideMark/>
          </w:tcPr>
          <w:p w:rsidRPr="00E349A5" w:rsidR="002C5873" w:rsidP="00501C48" w:rsidRDefault="002C5873" w14:paraId="7D4CB9E0"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$300,000 </w:t>
            </w:r>
          </w:p>
        </w:tc>
        <w:tc>
          <w:tcPr>
            <w:tcW w:w="1395" w:type="dxa"/>
            <w:shd w:val="clear" w:color="auto" w:fill="auto"/>
            <w:noWrap/>
            <w:vAlign w:val="bottom"/>
            <w:hideMark/>
          </w:tcPr>
          <w:p w:rsidRPr="00E349A5" w:rsidR="002C5873" w:rsidP="00501C48" w:rsidRDefault="002C5873" w14:paraId="0383B7BF"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$250,000 </w:t>
            </w:r>
          </w:p>
        </w:tc>
        <w:tc>
          <w:tcPr>
            <w:tcW w:w="1454" w:type="dxa"/>
            <w:shd w:val="clear" w:color="auto" w:fill="auto"/>
            <w:noWrap/>
            <w:vAlign w:val="bottom"/>
            <w:hideMark/>
          </w:tcPr>
          <w:p w:rsidRPr="00E349A5" w:rsidR="002C5873" w:rsidP="00501C48" w:rsidRDefault="002C5873" w14:paraId="6F2CC71E"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$700,000 </w:t>
            </w:r>
          </w:p>
        </w:tc>
      </w:tr>
      <w:tr w:rsidRPr="00E349A5" w:rsidR="002C5873" w:rsidTr="00A63F99" w14:paraId="3C217875" w14:textId="77777777">
        <w:trPr>
          <w:trHeight w:val="300"/>
          <w:jc w:val="center"/>
        </w:trPr>
        <w:tc>
          <w:tcPr>
            <w:tcW w:w="3327" w:type="dxa"/>
            <w:shd w:val="clear" w:color="auto" w:fill="auto"/>
            <w:noWrap/>
            <w:vAlign w:val="bottom"/>
            <w:hideMark/>
          </w:tcPr>
          <w:p w:rsidRPr="00E349A5" w:rsidR="002C5873" w:rsidP="002C5873" w:rsidRDefault="002C5873" w14:paraId="58201E3C" w14:textId="77777777">
            <w:pPr>
              <w:rPr>
                <w:rFonts w:eastAsia="Times New Roman" w:cs="Times New Roman"/>
                <w:color w:val="000000"/>
                <w:sz w:val="22"/>
                <w:szCs w:val="22"/>
              </w:rPr>
            </w:pPr>
            <w:r w:rsidRPr="00E349A5">
              <w:rPr>
                <w:rFonts w:eastAsia="Times New Roman" w:cs="Times New Roman"/>
                <w:color w:val="000000"/>
                <w:sz w:val="22"/>
                <w:szCs w:val="22"/>
              </w:rPr>
              <w:t>Bill Messaging</w:t>
            </w:r>
          </w:p>
        </w:tc>
        <w:tc>
          <w:tcPr>
            <w:tcW w:w="1497" w:type="dxa"/>
            <w:shd w:val="clear" w:color="auto" w:fill="auto"/>
            <w:noWrap/>
            <w:vAlign w:val="bottom"/>
            <w:hideMark/>
          </w:tcPr>
          <w:p w:rsidRPr="00E349A5" w:rsidR="002C5873" w:rsidP="00501C48" w:rsidRDefault="002C5873" w14:paraId="6334B6AA"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07" w:type="dxa"/>
            <w:shd w:val="clear" w:color="auto" w:fill="auto"/>
            <w:noWrap/>
            <w:vAlign w:val="bottom"/>
            <w:hideMark/>
          </w:tcPr>
          <w:p w:rsidRPr="00E349A5" w:rsidR="002C5873" w:rsidP="00501C48" w:rsidRDefault="002C5873" w14:paraId="785093E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$40,000 </w:t>
            </w:r>
          </w:p>
        </w:tc>
        <w:tc>
          <w:tcPr>
            <w:tcW w:w="1395" w:type="dxa"/>
            <w:shd w:val="clear" w:color="auto" w:fill="auto"/>
            <w:noWrap/>
            <w:vAlign w:val="bottom"/>
            <w:hideMark/>
          </w:tcPr>
          <w:p w:rsidRPr="00E349A5" w:rsidR="002C5873" w:rsidP="00501C48" w:rsidRDefault="002C5873" w14:paraId="46475106"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54" w:type="dxa"/>
            <w:shd w:val="clear" w:color="auto" w:fill="auto"/>
            <w:noWrap/>
            <w:vAlign w:val="bottom"/>
            <w:hideMark/>
          </w:tcPr>
          <w:p w:rsidRPr="00E349A5" w:rsidR="002C5873" w:rsidP="00501C48" w:rsidRDefault="002C5873" w14:paraId="38FC24E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$80,000 </w:t>
            </w:r>
          </w:p>
        </w:tc>
      </w:tr>
      <w:tr w:rsidRPr="00E349A5" w:rsidR="002C5873" w:rsidTr="00A63F99" w14:paraId="7D6D35DC" w14:textId="77777777">
        <w:trPr>
          <w:trHeight w:val="300"/>
          <w:jc w:val="center"/>
        </w:trPr>
        <w:tc>
          <w:tcPr>
            <w:tcW w:w="3327" w:type="dxa"/>
            <w:shd w:val="clear" w:color="auto" w:fill="auto"/>
            <w:noWrap/>
            <w:vAlign w:val="bottom"/>
            <w:hideMark/>
          </w:tcPr>
          <w:p w:rsidRPr="00E349A5" w:rsidR="002C5873" w:rsidP="002C5873" w:rsidRDefault="002C5873" w14:paraId="6B16EA9B" w14:textId="72507912">
            <w:pPr>
              <w:rPr>
                <w:rFonts w:eastAsia="Times New Roman" w:cs="Times New Roman"/>
                <w:color w:val="000000"/>
                <w:sz w:val="22"/>
                <w:szCs w:val="22"/>
              </w:rPr>
            </w:pPr>
            <w:r w:rsidRPr="00CD6634">
              <w:rPr>
                <w:rFonts w:eastAsia="Times New Roman" w:cs="Times New Roman"/>
                <w:color w:val="000000"/>
                <w:sz w:val="22"/>
                <w:szCs w:val="22"/>
              </w:rPr>
              <w:t>Direct Communication</w:t>
            </w:r>
            <w:r w:rsidR="00B86C74">
              <w:rPr>
                <w:rStyle w:val="FootnoteReference"/>
                <w:rFonts w:eastAsia="Times New Roman" w:cs="Times New Roman"/>
                <w:color w:val="000000"/>
                <w:sz w:val="22"/>
                <w:szCs w:val="22"/>
              </w:rPr>
              <w:footnoteReference w:id="185"/>
            </w:r>
          </w:p>
        </w:tc>
        <w:tc>
          <w:tcPr>
            <w:tcW w:w="1497" w:type="dxa"/>
            <w:shd w:val="clear" w:color="auto" w:fill="auto"/>
            <w:noWrap/>
            <w:vAlign w:val="bottom"/>
            <w:hideMark/>
          </w:tcPr>
          <w:p w:rsidRPr="00E349A5" w:rsidR="002C5873" w:rsidP="00501C48" w:rsidRDefault="002C5873" w14:paraId="69332ECC"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407" w:type="dxa"/>
            <w:shd w:val="clear" w:color="auto" w:fill="auto"/>
            <w:noWrap/>
            <w:vAlign w:val="bottom"/>
            <w:hideMark/>
          </w:tcPr>
          <w:p w:rsidRPr="00E349A5" w:rsidR="002C5873" w:rsidP="00501C48" w:rsidRDefault="002C5873" w14:paraId="6B9736ED" w14:textId="369E9925">
            <w:pPr>
              <w:jc w:val="right"/>
              <w:rPr>
                <w:rFonts w:eastAsia="Times New Roman" w:cs="Times New Roman"/>
                <w:color w:val="000000"/>
                <w:sz w:val="22"/>
                <w:szCs w:val="22"/>
              </w:rPr>
            </w:pPr>
            <w:r w:rsidRPr="00E349A5">
              <w:rPr>
                <w:rFonts w:eastAsia="Times New Roman" w:cs="Times New Roman"/>
                <w:color w:val="000000"/>
                <w:sz w:val="22"/>
                <w:szCs w:val="22"/>
              </w:rPr>
              <w:t>$</w:t>
            </w:r>
            <w:r w:rsidR="00E33EB7">
              <w:rPr>
                <w:rFonts w:eastAsia="Times New Roman" w:cs="Times New Roman"/>
                <w:color w:val="000000"/>
                <w:sz w:val="22"/>
                <w:szCs w:val="22"/>
              </w:rPr>
              <w:t>646,880</w:t>
            </w:r>
          </w:p>
        </w:tc>
        <w:tc>
          <w:tcPr>
            <w:tcW w:w="1395" w:type="dxa"/>
            <w:shd w:val="clear" w:color="auto" w:fill="auto"/>
            <w:noWrap/>
            <w:vAlign w:val="bottom"/>
            <w:hideMark/>
          </w:tcPr>
          <w:p w:rsidRPr="00E349A5" w:rsidR="002C5873" w:rsidP="00501C48" w:rsidRDefault="002C5873" w14:paraId="232314BD" w14:textId="18283347">
            <w:pPr>
              <w:jc w:val="right"/>
              <w:rPr>
                <w:rFonts w:eastAsia="Times New Roman" w:cs="Times New Roman"/>
                <w:color w:val="000000"/>
                <w:sz w:val="22"/>
                <w:szCs w:val="22"/>
              </w:rPr>
            </w:pPr>
            <w:r w:rsidRPr="00E349A5">
              <w:rPr>
                <w:rFonts w:eastAsia="Times New Roman" w:cs="Times New Roman"/>
                <w:color w:val="000000"/>
                <w:sz w:val="22"/>
                <w:szCs w:val="22"/>
              </w:rPr>
              <w:t>$</w:t>
            </w:r>
            <w:r w:rsidR="00845F4A">
              <w:rPr>
                <w:rFonts w:eastAsia="Times New Roman" w:cs="Times New Roman"/>
                <w:color w:val="000000"/>
                <w:sz w:val="22"/>
                <w:szCs w:val="22"/>
              </w:rPr>
              <w:t>323,440</w:t>
            </w:r>
            <w:r w:rsidRPr="00E349A5">
              <w:rPr>
                <w:rFonts w:eastAsia="Times New Roman" w:cs="Times New Roman"/>
                <w:color w:val="000000"/>
                <w:sz w:val="22"/>
                <w:szCs w:val="22"/>
              </w:rPr>
              <w:t xml:space="preserve"> </w:t>
            </w:r>
          </w:p>
        </w:tc>
        <w:tc>
          <w:tcPr>
            <w:tcW w:w="1454" w:type="dxa"/>
            <w:shd w:val="clear" w:color="auto" w:fill="auto"/>
            <w:noWrap/>
            <w:vAlign w:val="bottom"/>
            <w:hideMark/>
          </w:tcPr>
          <w:p w:rsidRPr="00E349A5" w:rsidR="002C5873" w:rsidP="00501C48" w:rsidRDefault="002C5873" w14:paraId="13DF6D35" w14:textId="79B2DCE5">
            <w:pPr>
              <w:jc w:val="right"/>
              <w:rPr>
                <w:rFonts w:eastAsia="Times New Roman" w:cs="Times New Roman"/>
                <w:color w:val="000000"/>
                <w:sz w:val="22"/>
                <w:szCs w:val="22"/>
              </w:rPr>
            </w:pPr>
            <w:r w:rsidRPr="00E349A5">
              <w:rPr>
                <w:rFonts w:eastAsia="Times New Roman" w:cs="Times New Roman"/>
                <w:color w:val="000000"/>
                <w:sz w:val="22"/>
                <w:szCs w:val="22"/>
              </w:rPr>
              <w:t>$</w:t>
            </w:r>
            <w:r w:rsidR="00FC68D2">
              <w:rPr>
                <w:rFonts w:eastAsia="Times New Roman" w:cs="Times New Roman"/>
                <w:color w:val="000000"/>
                <w:sz w:val="22"/>
                <w:szCs w:val="22"/>
              </w:rPr>
              <w:t>970</w:t>
            </w:r>
            <w:r w:rsidR="000C4CF4">
              <w:rPr>
                <w:rFonts w:eastAsia="Times New Roman" w:cs="Times New Roman"/>
                <w:color w:val="000000"/>
                <w:sz w:val="22"/>
                <w:szCs w:val="22"/>
              </w:rPr>
              <w:t>,320</w:t>
            </w:r>
            <w:r w:rsidRPr="00E349A5">
              <w:rPr>
                <w:rFonts w:eastAsia="Times New Roman" w:cs="Times New Roman"/>
                <w:color w:val="000000"/>
                <w:sz w:val="22"/>
                <w:szCs w:val="22"/>
              </w:rPr>
              <w:t xml:space="preserve"> </w:t>
            </w:r>
          </w:p>
        </w:tc>
      </w:tr>
      <w:tr w:rsidRPr="00E349A5" w:rsidR="002C5873" w:rsidTr="00A63F99" w14:paraId="4EEDE687" w14:textId="77777777">
        <w:trPr>
          <w:trHeight w:val="300"/>
          <w:jc w:val="center"/>
        </w:trPr>
        <w:tc>
          <w:tcPr>
            <w:tcW w:w="3327" w:type="dxa"/>
            <w:shd w:val="clear" w:color="auto" w:fill="auto"/>
            <w:noWrap/>
            <w:vAlign w:val="bottom"/>
            <w:hideMark/>
          </w:tcPr>
          <w:p w:rsidRPr="00E349A5" w:rsidR="002C5873" w:rsidP="002C5873" w:rsidRDefault="002C5873" w14:paraId="61B82E2F" w14:textId="77777777">
            <w:pPr>
              <w:rPr>
                <w:rFonts w:eastAsia="Times New Roman" w:cs="Times New Roman"/>
                <w:color w:val="000000"/>
                <w:sz w:val="22"/>
                <w:szCs w:val="22"/>
              </w:rPr>
            </w:pPr>
            <w:r w:rsidRPr="00E349A5">
              <w:rPr>
                <w:rFonts w:eastAsia="Times New Roman" w:cs="Times New Roman"/>
                <w:color w:val="000000"/>
                <w:sz w:val="22"/>
                <w:szCs w:val="22"/>
              </w:rPr>
              <w:t>Integrated Communications</w:t>
            </w:r>
          </w:p>
        </w:tc>
        <w:tc>
          <w:tcPr>
            <w:tcW w:w="1497" w:type="dxa"/>
            <w:shd w:val="clear" w:color="auto" w:fill="auto"/>
            <w:noWrap/>
            <w:vAlign w:val="bottom"/>
            <w:hideMark/>
          </w:tcPr>
          <w:p w:rsidRPr="00E349A5" w:rsidR="002C5873" w:rsidP="00501C48" w:rsidRDefault="002C5873" w14:paraId="71D0A540"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407" w:type="dxa"/>
            <w:shd w:val="clear" w:color="auto" w:fill="auto"/>
            <w:noWrap/>
            <w:vAlign w:val="bottom"/>
            <w:hideMark/>
          </w:tcPr>
          <w:p w:rsidRPr="00E349A5" w:rsidR="002C5873" w:rsidP="00501C48" w:rsidRDefault="002C5873" w14:paraId="6C6082D5"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395" w:type="dxa"/>
            <w:shd w:val="clear" w:color="auto" w:fill="auto"/>
            <w:noWrap/>
            <w:vAlign w:val="bottom"/>
            <w:hideMark/>
          </w:tcPr>
          <w:p w:rsidRPr="00E349A5" w:rsidR="002C5873" w:rsidP="00501C48" w:rsidRDefault="002C5873" w14:paraId="4D880583"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454" w:type="dxa"/>
            <w:shd w:val="clear" w:color="auto" w:fill="auto"/>
            <w:noWrap/>
            <w:vAlign w:val="bottom"/>
            <w:hideMark/>
          </w:tcPr>
          <w:p w:rsidRPr="00E349A5" w:rsidR="002C5873" w:rsidP="00501C48" w:rsidRDefault="002C5873" w14:paraId="76484E3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$30,000 </w:t>
            </w:r>
          </w:p>
        </w:tc>
      </w:tr>
      <w:tr w:rsidRPr="00E349A5" w:rsidR="002C5873" w:rsidTr="00A63F99" w14:paraId="4CB92065" w14:textId="77777777">
        <w:trPr>
          <w:trHeight w:val="300"/>
          <w:jc w:val="center"/>
        </w:trPr>
        <w:tc>
          <w:tcPr>
            <w:tcW w:w="3327" w:type="dxa"/>
            <w:shd w:val="clear" w:color="auto" w:fill="auto"/>
            <w:noWrap/>
            <w:vAlign w:val="bottom"/>
            <w:hideMark/>
          </w:tcPr>
          <w:p w:rsidRPr="00E349A5" w:rsidR="002C5873" w:rsidP="002C5873" w:rsidRDefault="002C5873" w14:paraId="17B1B2C5" w14:textId="237E4453">
            <w:pPr>
              <w:rPr>
                <w:rFonts w:eastAsia="Times New Roman" w:cs="Times New Roman"/>
                <w:color w:val="000000"/>
                <w:sz w:val="22"/>
                <w:szCs w:val="22"/>
              </w:rPr>
            </w:pPr>
            <w:r w:rsidRPr="00CD6634">
              <w:rPr>
                <w:rFonts w:eastAsia="Times New Roman" w:cs="Times New Roman"/>
                <w:color w:val="000000"/>
                <w:sz w:val="22"/>
                <w:szCs w:val="22"/>
              </w:rPr>
              <w:t>Internal Labor</w:t>
            </w:r>
            <w:r w:rsidR="00181CD2">
              <w:rPr>
                <w:rStyle w:val="FootnoteReference"/>
                <w:rFonts w:eastAsia="Times New Roman" w:cs="Times New Roman"/>
                <w:color w:val="000000"/>
                <w:sz w:val="22"/>
                <w:szCs w:val="22"/>
              </w:rPr>
              <w:footnoteReference w:id="186"/>
            </w:r>
          </w:p>
        </w:tc>
        <w:tc>
          <w:tcPr>
            <w:tcW w:w="1497" w:type="dxa"/>
            <w:shd w:val="clear" w:color="auto" w:fill="auto"/>
            <w:noWrap/>
            <w:vAlign w:val="bottom"/>
            <w:hideMark/>
          </w:tcPr>
          <w:p w:rsidRPr="00E349A5" w:rsidR="002C5873" w:rsidP="00501C48" w:rsidRDefault="002C5873" w14:paraId="1723EE5C" w14:textId="706EF052">
            <w:pPr>
              <w:jc w:val="right"/>
              <w:rPr>
                <w:rFonts w:eastAsia="Times New Roman" w:cs="Times New Roman"/>
                <w:color w:val="000000"/>
                <w:sz w:val="22"/>
                <w:szCs w:val="22"/>
              </w:rPr>
            </w:pPr>
            <w:r w:rsidRPr="00E349A5">
              <w:rPr>
                <w:rFonts w:eastAsia="Times New Roman" w:cs="Times New Roman"/>
                <w:color w:val="000000"/>
                <w:sz w:val="22"/>
                <w:szCs w:val="22"/>
              </w:rPr>
              <w:t>$1</w:t>
            </w:r>
            <w:r w:rsidR="004A2CF1">
              <w:rPr>
                <w:rFonts w:eastAsia="Times New Roman" w:cs="Times New Roman"/>
                <w:color w:val="000000"/>
                <w:sz w:val="22"/>
                <w:szCs w:val="22"/>
              </w:rPr>
              <w:t>17</w:t>
            </w:r>
            <w:r w:rsidRPr="00E349A5">
              <w:rPr>
                <w:rFonts w:eastAsia="Times New Roman" w:cs="Times New Roman"/>
                <w:color w:val="000000"/>
                <w:sz w:val="22"/>
                <w:szCs w:val="22"/>
              </w:rPr>
              <w:t xml:space="preserve">,000 </w:t>
            </w:r>
          </w:p>
        </w:tc>
        <w:tc>
          <w:tcPr>
            <w:tcW w:w="1407" w:type="dxa"/>
            <w:shd w:val="clear" w:color="auto" w:fill="auto"/>
            <w:noWrap/>
            <w:vAlign w:val="bottom"/>
            <w:hideMark/>
          </w:tcPr>
          <w:p w:rsidRPr="00E349A5" w:rsidR="002C5873" w:rsidP="00501C48" w:rsidRDefault="002C5873" w14:paraId="587BFB23" w14:textId="07F58828">
            <w:pPr>
              <w:jc w:val="right"/>
              <w:rPr>
                <w:rFonts w:eastAsia="Times New Roman" w:cs="Times New Roman"/>
                <w:color w:val="000000"/>
                <w:sz w:val="22"/>
                <w:szCs w:val="22"/>
              </w:rPr>
            </w:pPr>
            <w:r w:rsidRPr="00E349A5">
              <w:rPr>
                <w:rFonts w:eastAsia="Times New Roman" w:cs="Times New Roman"/>
                <w:color w:val="000000"/>
                <w:sz w:val="22"/>
                <w:szCs w:val="22"/>
              </w:rPr>
              <w:t>$</w:t>
            </w:r>
            <w:r w:rsidR="004A2CF1">
              <w:rPr>
                <w:rFonts w:eastAsia="Times New Roman" w:cs="Times New Roman"/>
                <w:color w:val="000000"/>
                <w:sz w:val="22"/>
                <w:szCs w:val="22"/>
              </w:rPr>
              <w:t>162</w:t>
            </w:r>
            <w:r w:rsidRPr="00E349A5">
              <w:rPr>
                <w:rFonts w:eastAsia="Times New Roman" w:cs="Times New Roman"/>
                <w:color w:val="000000"/>
                <w:sz w:val="22"/>
                <w:szCs w:val="22"/>
              </w:rPr>
              <w:t xml:space="preserve">,000 </w:t>
            </w:r>
          </w:p>
        </w:tc>
        <w:tc>
          <w:tcPr>
            <w:tcW w:w="1395" w:type="dxa"/>
            <w:shd w:val="clear" w:color="auto" w:fill="auto"/>
            <w:noWrap/>
            <w:vAlign w:val="bottom"/>
            <w:hideMark/>
          </w:tcPr>
          <w:p w:rsidRPr="00E349A5" w:rsidR="002C5873" w:rsidP="00501C48" w:rsidRDefault="002C5873" w14:paraId="275E6501" w14:textId="77CA66E7">
            <w:pPr>
              <w:jc w:val="right"/>
              <w:rPr>
                <w:rFonts w:eastAsia="Times New Roman" w:cs="Times New Roman"/>
                <w:color w:val="000000"/>
                <w:sz w:val="22"/>
                <w:szCs w:val="22"/>
              </w:rPr>
            </w:pPr>
            <w:r w:rsidRPr="00E349A5">
              <w:rPr>
                <w:rFonts w:eastAsia="Times New Roman" w:cs="Times New Roman"/>
                <w:color w:val="000000"/>
                <w:sz w:val="22"/>
                <w:szCs w:val="22"/>
              </w:rPr>
              <w:t>$1</w:t>
            </w:r>
            <w:r w:rsidR="005D44BA">
              <w:rPr>
                <w:rFonts w:eastAsia="Times New Roman" w:cs="Times New Roman"/>
                <w:color w:val="000000"/>
                <w:sz w:val="22"/>
                <w:szCs w:val="22"/>
              </w:rPr>
              <w:t>98</w:t>
            </w:r>
            <w:r w:rsidRPr="00E349A5">
              <w:rPr>
                <w:rFonts w:eastAsia="Times New Roman" w:cs="Times New Roman"/>
                <w:color w:val="000000"/>
                <w:sz w:val="22"/>
                <w:szCs w:val="22"/>
              </w:rPr>
              <w:t xml:space="preserve">,000 </w:t>
            </w:r>
          </w:p>
        </w:tc>
        <w:tc>
          <w:tcPr>
            <w:tcW w:w="1454" w:type="dxa"/>
            <w:shd w:val="clear" w:color="auto" w:fill="auto"/>
            <w:noWrap/>
            <w:vAlign w:val="bottom"/>
            <w:hideMark/>
          </w:tcPr>
          <w:p w:rsidRPr="00E349A5" w:rsidR="002C5873" w:rsidP="00501C48" w:rsidRDefault="002C5873" w14:paraId="6B55916E" w14:textId="4150E470">
            <w:pPr>
              <w:jc w:val="right"/>
              <w:rPr>
                <w:rFonts w:eastAsia="Times New Roman" w:cs="Times New Roman"/>
                <w:color w:val="000000"/>
                <w:sz w:val="22"/>
                <w:szCs w:val="22"/>
              </w:rPr>
            </w:pPr>
            <w:r w:rsidRPr="00E349A5">
              <w:rPr>
                <w:rFonts w:eastAsia="Times New Roman" w:cs="Times New Roman"/>
                <w:color w:val="000000"/>
                <w:sz w:val="22"/>
                <w:szCs w:val="22"/>
              </w:rPr>
              <w:t>$4</w:t>
            </w:r>
            <w:r w:rsidR="00684DED">
              <w:rPr>
                <w:rFonts w:eastAsia="Times New Roman" w:cs="Times New Roman"/>
                <w:color w:val="000000"/>
                <w:sz w:val="22"/>
                <w:szCs w:val="22"/>
              </w:rPr>
              <w:t>77</w:t>
            </w:r>
            <w:r w:rsidRPr="00E349A5">
              <w:rPr>
                <w:rFonts w:eastAsia="Times New Roman" w:cs="Times New Roman"/>
                <w:color w:val="000000"/>
                <w:sz w:val="22"/>
                <w:szCs w:val="22"/>
              </w:rPr>
              <w:t xml:space="preserve">,000 </w:t>
            </w:r>
          </w:p>
        </w:tc>
      </w:tr>
      <w:tr w:rsidRPr="00E349A5" w:rsidR="002C5873" w:rsidTr="00A63F99" w14:paraId="4D158192" w14:textId="77777777">
        <w:trPr>
          <w:trHeight w:val="300"/>
          <w:jc w:val="center"/>
        </w:trPr>
        <w:tc>
          <w:tcPr>
            <w:tcW w:w="3327" w:type="dxa"/>
            <w:shd w:val="clear" w:color="auto" w:fill="auto"/>
            <w:noWrap/>
            <w:vAlign w:val="bottom"/>
            <w:hideMark/>
          </w:tcPr>
          <w:p w:rsidRPr="00E349A5" w:rsidR="002C5873" w:rsidP="002C5873" w:rsidRDefault="002C5873" w14:paraId="751CB135" w14:textId="77777777">
            <w:pPr>
              <w:rPr>
                <w:rFonts w:eastAsia="Times New Roman" w:cs="Times New Roman"/>
                <w:color w:val="000000"/>
                <w:sz w:val="22"/>
                <w:szCs w:val="22"/>
              </w:rPr>
            </w:pPr>
            <w:r w:rsidRPr="00E349A5">
              <w:rPr>
                <w:rFonts w:eastAsia="Times New Roman" w:cs="Times New Roman"/>
                <w:color w:val="000000"/>
                <w:sz w:val="22"/>
                <w:szCs w:val="22"/>
              </w:rPr>
              <w:t>Agency Support/External Labor</w:t>
            </w:r>
          </w:p>
        </w:tc>
        <w:tc>
          <w:tcPr>
            <w:tcW w:w="1497" w:type="dxa"/>
            <w:shd w:val="clear" w:color="auto" w:fill="auto"/>
            <w:noWrap/>
            <w:vAlign w:val="bottom"/>
            <w:hideMark/>
          </w:tcPr>
          <w:p w:rsidRPr="00E349A5" w:rsidR="002C5873" w:rsidP="00501C48" w:rsidRDefault="002C5873" w14:paraId="68C73B62"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$120,000 </w:t>
            </w:r>
          </w:p>
        </w:tc>
        <w:tc>
          <w:tcPr>
            <w:tcW w:w="1407" w:type="dxa"/>
            <w:shd w:val="clear" w:color="auto" w:fill="auto"/>
            <w:noWrap/>
            <w:vAlign w:val="bottom"/>
            <w:hideMark/>
          </w:tcPr>
          <w:p w:rsidRPr="00E349A5" w:rsidR="002C5873" w:rsidP="00501C48" w:rsidRDefault="002C5873" w14:paraId="3E3E05A1"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$120,000 </w:t>
            </w:r>
          </w:p>
        </w:tc>
        <w:tc>
          <w:tcPr>
            <w:tcW w:w="1395" w:type="dxa"/>
            <w:shd w:val="clear" w:color="auto" w:fill="auto"/>
            <w:noWrap/>
            <w:vAlign w:val="bottom"/>
            <w:hideMark/>
          </w:tcPr>
          <w:p w:rsidRPr="00E349A5" w:rsidR="002C5873" w:rsidP="00501C48" w:rsidRDefault="002C5873" w14:paraId="6C6AC1F5"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$100,000 </w:t>
            </w:r>
          </w:p>
        </w:tc>
        <w:tc>
          <w:tcPr>
            <w:tcW w:w="1454" w:type="dxa"/>
            <w:shd w:val="clear" w:color="auto" w:fill="auto"/>
            <w:noWrap/>
            <w:vAlign w:val="bottom"/>
            <w:hideMark/>
          </w:tcPr>
          <w:p w:rsidRPr="00E349A5" w:rsidR="002C5873" w:rsidP="00501C48" w:rsidRDefault="002C5873" w14:paraId="569FD75A"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$340,000 </w:t>
            </w:r>
          </w:p>
        </w:tc>
      </w:tr>
      <w:tr w:rsidRPr="00E349A5" w:rsidR="002C5873" w:rsidTr="00A63F99" w14:paraId="2AB00FAE" w14:textId="77777777">
        <w:trPr>
          <w:trHeight w:val="300"/>
          <w:jc w:val="center"/>
        </w:trPr>
        <w:tc>
          <w:tcPr>
            <w:tcW w:w="3327" w:type="dxa"/>
            <w:shd w:val="clear" w:color="auto" w:fill="auto"/>
            <w:noWrap/>
            <w:vAlign w:val="bottom"/>
            <w:hideMark/>
          </w:tcPr>
          <w:p w:rsidRPr="007F49DD" w:rsidR="002C5873" w:rsidP="007F49DD" w:rsidRDefault="002C5873" w14:paraId="4D188AC4" w14:textId="77777777">
            <w:pPr>
              <w:jc w:val="right"/>
              <w:rPr>
                <w:rFonts w:eastAsia="Times New Roman" w:cs="Times New Roman"/>
                <w:b/>
                <w:color w:val="000000"/>
                <w:sz w:val="22"/>
                <w:szCs w:val="22"/>
              </w:rPr>
            </w:pPr>
            <w:r w:rsidRPr="007F49DD">
              <w:rPr>
                <w:rFonts w:eastAsia="Times New Roman" w:cs="Times New Roman"/>
                <w:b/>
                <w:color w:val="000000"/>
                <w:sz w:val="22"/>
                <w:szCs w:val="22"/>
              </w:rPr>
              <w:t>Total</w:t>
            </w:r>
          </w:p>
        </w:tc>
        <w:tc>
          <w:tcPr>
            <w:tcW w:w="1497" w:type="dxa"/>
            <w:shd w:val="clear" w:color="auto" w:fill="auto"/>
            <w:noWrap/>
            <w:vAlign w:val="bottom"/>
            <w:hideMark/>
          </w:tcPr>
          <w:p w:rsidRPr="00E349A5" w:rsidR="002C5873" w:rsidP="00501C48" w:rsidRDefault="002C5873" w14:paraId="41905B0B" w14:textId="149871BD">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w:t>
            </w:r>
            <w:r w:rsidR="0036040A">
              <w:rPr>
                <w:rFonts w:eastAsia="Times New Roman" w:cs="Times New Roman"/>
                <w:b/>
                <w:bCs/>
                <w:color w:val="000000"/>
                <w:sz w:val="22"/>
                <w:szCs w:val="22"/>
              </w:rPr>
              <w:t>667</w:t>
            </w:r>
            <w:r w:rsidRPr="00E349A5">
              <w:rPr>
                <w:rFonts w:eastAsia="Times New Roman" w:cs="Times New Roman"/>
                <w:b/>
                <w:bCs/>
                <w:color w:val="000000"/>
                <w:sz w:val="22"/>
                <w:szCs w:val="22"/>
              </w:rPr>
              <w:t xml:space="preserve">,000 </w:t>
            </w:r>
          </w:p>
        </w:tc>
        <w:tc>
          <w:tcPr>
            <w:tcW w:w="1407" w:type="dxa"/>
            <w:shd w:val="clear" w:color="auto" w:fill="auto"/>
            <w:noWrap/>
            <w:vAlign w:val="bottom"/>
            <w:hideMark/>
          </w:tcPr>
          <w:p w:rsidRPr="00E349A5" w:rsidR="002C5873" w:rsidP="00501C48" w:rsidRDefault="002C5873" w14:paraId="5A0186AB" w14:textId="0A8E7135">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$1,</w:t>
            </w:r>
            <w:r w:rsidR="004A2CF1">
              <w:rPr>
                <w:rFonts w:eastAsia="Times New Roman" w:cs="Times New Roman"/>
                <w:b/>
                <w:bCs/>
                <w:color w:val="000000"/>
                <w:sz w:val="22"/>
                <w:szCs w:val="22"/>
              </w:rPr>
              <w:t>338</w:t>
            </w:r>
            <w:r w:rsidR="000B0C72">
              <w:rPr>
                <w:rFonts w:eastAsia="Times New Roman" w:cs="Times New Roman"/>
                <w:b/>
                <w:bCs/>
                <w:color w:val="000000"/>
                <w:sz w:val="22"/>
                <w:szCs w:val="22"/>
              </w:rPr>
              <w:t>,880</w:t>
            </w:r>
            <w:r w:rsidRPr="00E349A5">
              <w:rPr>
                <w:rFonts w:eastAsia="Times New Roman" w:cs="Times New Roman"/>
                <w:b/>
                <w:bCs/>
                <w:color w:val="000000"/>
                <w:sz w:val="22"/>
                <w:szCs w:val="22"/>
              </w:rPr>
              <w:t xml:space="preserve"> </w:t>
            </w:r>
          </w:p>
        </w:tc>
        <w:tc>
          <w:tcPr>
            <w:tcW w:w="1395" w:type="dxa"/>
            <w:shd w:val="clear" w:color="auto" w:fill="auto"/>
            <w:noWrap/>
            <w:vAlign w:val="bottom"/>
            <w:hideMark/>
          </w:tcPr>
          <w:p w:rsidRPr="00E349A5" w:rsidR="002C5873" w:rsidP="00501C48" w:rsidRDefault="002C5873" w14:paraId="07982784" w14:textId="255235E9">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w:t>
            </w:r>
            <w:r w:rsidR="000B0C72">
              <w:rPr>
                <w:rFonts w:eastAsia="Times New Roman" w:cs="Times New Roman"/>
                <w:b/>
                <w:bCs/>
                <w:color w:val="000000"/>
                <w:sz w:val="22"/>
                <w:szCs w:val="22"/>
              </w:rPr>
              <w:t>1,</w:t>
            </w:r>
            <w:r w:rsidR="00352314">
              <w:rPr>
                <w:rFonts w:eastAsia="Times New Roman" w:cs="Times New Roman"/>
                <w:b/>
                <w:bCs/>
                <w:color w:val="000000"/>
                <w:sz w:val="22"/>
                <w:szCs w:val="22"/>
              </w:rPr>
              <w:t>191,440</w:t>
            </w:r>
            <w:r w:rsidRPr="00E349A5">
              <w:rPr>
                <w:rFonts w:eastAsia="Times New Roman" w:cs="Times New Roman"/>
                <w:b/>
                <w:bCs/>
                <w:color w:val="000000"/>
                <w:sz w:val="22"/>
                <w:szCs w:val="22"/>
              </w:rPr>
              <w:t xml:space="preserve"> </w:t>
            </w:r>
          </w:p>
        </w:tc>
        <w:tc>
          <w:tcPr>
            <w:tcW w:w="1454" w:type="dxa"/>
            <w:shd w:val="clear" w:color="auto" w:fill="auto"/>
            <w:noWrap/>
            <w:vAlign w:val="bottom"/>
            <w:hideMark/>
          </w:tcPr>
          <w:p w:rsidRPr="00E349A5" w:rsidR="002C5873" w:rsidP="00501C48" w:rsidRDefault="002C5873" w14:paraId="73309AD0" w14:textId="3E618FCF">
            <w:pPr>
              <w:jc w:val="right"/>
              <w:rPr>
                <w:rFonts w:eastAsia="Times New Roman" w:cs="Times New Roman"/>
                <w:b/>
                <w:bCs/>
                <w:color w:val="000000"/>
                <w:sz w:val="22"/>
                <w:szCs w:val="22"/>
              </w:rPr>
            </w:pPr>
            <w:r w:rsidRPr="5E1BA1D2">
              <w:rPr>
                <w:rFonts w:eastAsia="Times New Roman" w:cs="Times New Roman"/>
                <w:b/>
                <w:color w:val="000000" w:themeColor="text1"/>
                <w:sz w:val="22"/>
                <w:szCs w:val="22"/>
              </w:rPr>
              <w:t xml:space="preserve"> </w:t>
            </w:r>
            <w:r w:rsidRPr="00CD6634">
              <w:rPr>
                <w:rFonts w:eastAsia="Times New Roman" w:cs="Times New Roman"/>
                <w:b/>
                <w:color w:val="000000" w:themeColor="text1"/>
                <w:sz w:val="22"/>
                <w:szCs w:val="22"/>
              </w:rPr>
              <w:t>$3,</w:t>
            </w:r>
            <w:r w:rsidR="00CD6634">
              <w:rPr>
                <w:rFonts w:eastAsia="Times New Roman" w:cs="Times New Roman"/>
                <w:b/>
                <w:color w:val="000000" w:themeColor="text1"/>
                <w:sz w:val="22"/>
                <w:szCs w:val="22"/>
              </w:rPr>
              <w:t>197,320</w:t>
            </w:r>
            <w:r w:rsidRPr="5E1BA1D2">
              <w:rPr>
                <w:rFonts w:eastAsia="Times New Roman" w:cs="Times New Roman"/>
                <w:b/>
                <w:color w:val="000000" w:themeColor="text1"/>
                <w:sz w:val="22"/>
                <w:szCs w:val="22"/>
              </w:rPr>
              <w:t xml:space="preserve"> </w:t>
            </w:r>
          </w:p>
        </w:tc>
      </w:tr>
    </w:tbl>
    <w:p w:rsidR="0064598A" w:rsidP="3323F970" w:rsidRDefault="0064598A" w14:paraId="79FEC60A" w14:textId="3F6141B4">
      <w:pPr>
        <w:pStyle w:val="sub2"/>
        <w:spacing w:line="240" w:lineRule="auto"/>
      </w:pPr>
    </w:p>
    <w:p w:rsidR="1DE32884" w:rsidP="1DE32884" w:rsidRDefault="1DE32884" w14:paraId="39673A7C" w14:textId="0CD5ABD3">
      <w:pPr>
        <w:pStyle w:val="sub2"/>
        <w:spacing w:line="240" w:lineRule="auto"/>
      </w:pPr>
    </w:p>
    <w:p w:rsidR="1DE32884" w:rsidP="1DE32884" w:rsidRDefault="1DE32884" w14:paraId="6A7421F6" w14:textId="13082AE9">
      <w:pPr>
        <w:pStyle w:val="sub2"/>
        <w:spacing w:line="240" w:lineRule="auto"/>
      </w:pPr>
    </w:p>
    <w:p w:rsidRPr="00BE6F6F" w:rsidR="00D67279" w:rsidP="00C401B7" w:rsidRDefault="00642292" w14:paraId="0884B8CB" w14:textId="67AE3882">
      <w:pPr>
        <w:pStyle w:val="Heading4"/>
        <w:numPr>
          <w:ilvl w:val="2"/>
          <w:numId w:val="18"/>
        </w:numPr>
      </w:pPr>
      <w:r>
        <w:lastRenderedPageBreak/>
        <w:t>M&amp;EO Budget</w:t>
      </w:r>
      <w:r w:rsidR="0065218C">
        <w:t xml:space="preserve"> </w:t>
      </w:r>
      <w:r w:rsidRPr="00772064" w:rsidR="00772064">
        <w:t>Justifications</w:t>
      </w:r>
      <w:r w:rsidRPr="00857F3F" w:rsidR="003C2195">
        <w:rPr>
          <w:vertAlign w:val="superscript"/>
        </w:rPr>
        <w:footnoteReference w:id="187"/>
      </w:r>
    </w:p>
    <w:p w:rsidR="00AD2D46" w:rsidP="00C401B7" w:rsidRDefault="00AD2D46" w14:paraId="62C6B809" w14:textId="2D077905">
      <w:pPr>
        <w:pStyle w:val="ListParagraph"/>
        <w:numPr>
          <w:ilvl w:val="0"/>
          <w:numId w:val="9"/>
        </w:numPr>
        <w:spacing w:after="80"/>
        <w:contextualSpacing w:val="0"/>
      </w:pPr>
      <w:r w:rsidRPr="00D67279">
        <w:rPr>
          <w:b/>
          <w:bCs/>
        </w:rPr>
        <w:t>Research</w:t>
      </w:r>
      <w:r w:rsidR="00826409">
        <w:t xml:space="preserve">: </w:t>
      </w:r>
      <w:r w:rsidRPr="00AD2D46">
        <w:t xml:space="preserve">At the start of Phase 1, SDG&amp;E will utilize an external vendor to conduct an online survey that will be used for the refinement of ME&amp;O materials and messaging. Following the </w:t>
      </w:r>
      <w:r w:rsidR="002831F6">
        <w:t>fourth quarter of</w:t>
      </w:r>
      <w:r w:rsidRPr="00AD2D46">
        <w:t xml:space="preserve"> 2025 implementation of the </w:t>
      </w:r>
      <w:r w:rsidR="002831F6">
        <w:t>f</w:t>
      </w:r>
      <w:r w:rsidRPr="00AD2D46">
        <w:t xml:space="preserve">ixed </w:t>
      </w:r>
      <w:r w:rsidR="002831F6">
        <w:t>c</w:t>
      </w:r>
      <w:r w:rsidRPr="00AD2D46">
        <w:t xml:space="preserve">harge, a second survey will be deployed in early 2026 to measure ME&amp;O effectiveness and gauge customer awareness and understanding to inform the remainder of Phase 3. </w:t>
      </w:r>
    </w:p>
    <w:p w:rsidR="00AD2D46" w:rsidP="00C401B7" w:rsidRDefault="00AD2D46" w14:paraId="17287D28" w14:textId="73770C80">
      <w:pPr>
        <w:pStyle w:val="ListParagraph"/>
        <w:numPr>
          <w:ilvl w:val="0"/>
          <w:numId w:val="9"/>
        </w:numPr>
        <w:spacing w:after="80"/>
        <w:contextualSpacing w:val="0"/>
      </w:pPr>
      <w:r w:rsidRPr="00D67279">
        <w:rPr>
          <w:b/>
          <w:bCs/>
        </w:rPr>
        <w:t>Website</w:t>
      </w:r>
      <w:r w:rsidR="00826409">
        <w:t xml:space="preserve">: </w:t>
      </w:r>
      <w:r w:rsidRPr="00AD2D46">
        <w:t xml:space="preserve">SDG&amp;E’s proposed website activities include development and design support, periodic updating throughout the different phases of the customer journey, and content changes to other pages on sdge.com. This estimate does not include messaging within SDGE’s customer portal, My Energy Center, or tools that may be needed for implementation. </w:t>
      </w:r>
    </w:p>
    <w:p w:rsidR="00B57990" w:rsidP="00C401B7" w:rsidRDefault="00AD2D46" w14:paraId="1C9D35DA" w14:textId="2752D45E">
      <w:pPr>
        <w:pStyle w:val="ListParagraph"/>
        <w:numPr>
          <w:ilvl w:val="0"/>
          <w:numId w:val="9"/>
        </w:numPr>
        <w:spacing w:after="80"/>
        <w:contextualSpacing w:val="0"/>
      </w:pPr>
      <w:r w:rsidRPr="00D67279">
        <w:rPr>
          <w:b/>
          <w:bCs/>
        </w:rPr>
        <w:t>Collateral</w:t>
      </w:r>
      <w:r w:rsidR="00826409">
        <w:t xml:space="preserve">: </w:t>
      </w:r>
      <w:r w:rsidRPr="00AD2D46">
        <w:t xml:space="preserve">SDG&amp;E’s budget for supporting materials includes costs for fact sheets, external presentation materials, </w:t>
      </w:r>
      <w:r w:rsidR="00D67279">
        <w:t>frequently asked questions (</w:t>
      </w:r>
      <w:r w:rsidRPr="00AD2D46">
        <w:t>FAQ</w:t>
      </w:r>
      <w:r w:rsidR="00D67279">
        <w:t>)</w:t>
      </w:r>
      <w:r w:rsidRPr="00AD2D46">
        <w:t xml:space="preserve"> documents, employee training materials, translation services for in-language materials and updating existing materials, as needed. SDG&amp;E anticipates providing materials in both English and Spanish, where needed, as well as any additional languages as requested by CBOs, such as Chinese or Vietnamese.</w:t>
      </w:r>
    </w:p>
    <w:p w:rsidRPr="003E21F2" w:rsidR="001F3E6C" w:rsidP="00C401B7" w:rsidRDefault="001F3E6C" w14:paraId="364C5B7C" w14:textId="4D166D7A">
      <w:pPr>
        <w:pStyle w:val="ListParagraph"/>
        <w:numPr>
          <w:ilvl w:val="0"/>
          <w:numId w:val="9"/>
        </w:numPr>
        <w:spacing w:after="80"/>
        <w:contextualSpacing w:val="0"/>
      </w:pPr>
      <w:r w:rsidRPr="00D67279">
        <w:rPr>
          <w:b/>
          <w:bCs/>
        </w:rPr>
        <w:t>Outreach</w:t>
      </w:r>
      <w:r w:rsidR="00826409">
        <w:t xml:space="preserve">: </w:t>
      </w:r>
      <w:r w:rsidRPr="001F3E6C">
        <w:t>SDG&amp;</w:t>
      </w:r>
      <w:proofErr w:type="gramStart"/>
      <w:r w:rsidRPr="001F3E6C">
        <w:t>E’s</w:t>
      </w:r>
      <w:proofErr w:type="gramEnd"/>
      <w:r w:rsidRPr="001F3E6C">
        <w:t xml:space="preserve"> proposed ME&amp;O budget includes support for more than </w:t>
      </w:r>
      <w:r w:rsidR="00A979BE">
        <w:br/>
      </w:r>
      <w:r w:rsidRPr="001F3E6C">
        <w:t xml:space="preserve">200 CBOs within its Energy Solutions Partner Network. These CBOs will help further create awareness and understanding of the </w:t>
      </w:r>
      <w:r w:rsidR="00F26FAB">
        <w:t>f</w:t>
      </w:r>
      <w:r w:rsidRPr="001F3E6C">
        <w:t xml:space="preserve">ixed </w:t>
      </w:r>
      <w:r w:rsidR="00F26FAB">
        <w:t>c</w:t>
      </w:r>
      <w:r w:rsidRPr="001F3E6C">
        <w:t>harge on customer bills through outreach activities including social media posts, events, presentations, and workshops. SDG&amp;E estimate</w:t>
      </w:r>
      <w:r w:rsidR="00F26FAB">
        <w:t>d</w:t>
      </w:r>
      <w:r w:rsidRPr="001F3E6C">
        <w:t xml:space="preserve"> the CBO-related outreach costs will include funding to each supporting CBO through a Memorandum of Understanding, and labor to plan, manage, and support CBO efforts. </w:t>
      </w:r>
    </w:p>
    <w:p w:rsidR="001F3E6C" w:rsidP="00C401B7" w:rsidRDefault="001F3E6C" w14:paraId="188F24C1" w14:textId="0D16AC75">
      <w:pPr>
        <w:pStyle w:val="ListParagraph"/>
        <w:numPr>
          <w:ilvl w:val="0"/>
          <w:numId w:val="9"/>
        </w:numPr>
        <w:spacing w:after="80"/>
        <w:contextualSpacing w:val="0"/>
      </w:pPr>
      <w:r w:rsidRPr="00D67279">
        <w:rPr>
          <w:b/>
          <w:bCs/>
        </w:rPr>
        <w:t>Paid Media</w:t>
      </w:r>
      <w:r w:rsidR="00826409">
        <w:t xml:space="preserve">: </w:t>
      </w:r>
      <w:r w:rsidRPr="001F3E6C">
        <w:t xml:space="preserve">SDG&amp;E plans to start paid media in </w:t>
      </w:r>
      <w:r w:rsidR="002831F6">
        <w:t>the second quarter</w:t>
      </w:r>
      <w:r w:rsidRPr="001F3E6C">
        <w:t xml:space="preserve"> of 2025 as overarching support for the other tactics and channels</w:t>
      </w:r>
      <w:r w:rsidR="00FA6656">
        <w:t>;</w:t>
      </w:r>
      <w:r w:rsidRPr="001F3E6C">
        <w:t xml:space="preserve"> but given the more modest </w:t>
      </w:r>
      <w:r w:rsidR="002831F6">
        <w:t>f</w:t>
      </w:r>
      <w:r w:rsidRPr="001F3E6C">
        <w:t xml:space="preserve">ixed </w:t>
      </w:r>
      <w:r w:rsidR="002831F6">
        <w:t>c</w:t>
      </w:r>
      <w:r w:rsidRPr="001F3E6C">
        <w:t xml:space="preserve">harge amounts approved in the Decision, the scope and budget has been reduced 30% from what was proposed in the original testimony. Paired with outreach through other channels, cost-effective paid media will target customers through various channels, including in-language. The paid media budget will be split over </w:t>
      </w:r>
      <w:r w:rsidR="00487F2D">
        <w:t xml:space="preserve">the </w:t>
      </w:r>
      <w:r w:rsidRPr="001F3E6C" w:rsidR="00487F2D">
        <w:t>three</w:t>
      </w:r>
      <w:r w:rsidRPr="001F3E6C">
        <w:t xml:space="preserve"> </w:t>
      </w:r>
      <w:r w:rsidR="008A18CF">
        <w:t xml:space="preserve">ME&amp;O </w:t>
      </w:r>
      <w:r w:rsidRPr="001F3E6C">
        <w:t xml:space="preserve">phases. </w:t>
      </w:r>
    </w:p>
    <w:p w:rsidR="001F3E6C" w:rsidP="00C401B7" w:rsidRDefault="001F3E6C" w14:paraId="794C3418" w14:textId="6884A819">
      <w:pPr>
        <w:pStyle w:val="ListParagraph"/>
        <w:numPr>
          <w:ilvl w:val="0"/>
          <w:numId w:val="9"/>
        </w:numPr>
        <w:spacing w:after="80"/>
        <w:contextualSpacing w:val="0"/>
      </w:pPr>
      <w:r w:rsidRPr="00D67279">
        <w:rPr>
          <w:b/>
          <w:bCs/>
        </w:rPr>
        <w:t>Bill Messaging</w:t>
      </w:r>
      <w:r w:rsidR="00826409">
        <w:t xml:space="preserve">: </w:t>
      </w:r>
      <w:r w:rsidRPr="001F3E6C">
        <w:t>Approximately 54% of SDG&amp;E customers still receive a monthly paper bill</w:t>
      </w:r>
      <w:r w:rsidR="001E5EFD">
        <w:t>,</w:t>
      </w:r>
      <w:r w:rsidRPr="001F3E6C">
        <w:t xml:space="preserve"> and digital monthly bill statements are also available to all customers online. The bill package is one of the best opportunities to reach customers when </w:t>
      </w:r>
      <w:r w:rsidRPr="001F3E6C">
        <w:lastRenderedPageBreak/>
        <w:t>they are most engaged with their energy use. Anticipated costs include printed bill inserts, outer envelope messaging</w:t>
      </w:r>
      <w:r w:rsidR="001E5EFD">
        <w:t>,</w:t>
      </w:r>
      <w:r w:rsidRPr="001F3E6C">
        <w:t xml:space="preserve"> and on</w:t>
      </w:r>
      <w:r>
        <w:t>-</w:t>
      </w:r>
      <w:r w:rsidRPr="001F3E6C">
        <w:t xml:space="preserve">bill messaging. </w:t>
      </w:r>
    </w:p>
    <w:p w:rsidR="001F3E6C" w:rsidP="00C401B7" w:rsidRDefault="001F3E6C" w14:paraId="2EFDDE24" w14:textId="1759D3EA">
      <w:pPr>
        <w:pStyle w:val="ListParagraph"/>
        <w:numPr>
          <w:ilvl w:val="0"/>
          <w:numId w:val="9"/>
        </w:numPr>
        <w:spacing w:after="80"/>
        <w:contextualSpacing w:val="0"/>
      </w:pPr>
      <w:r w:rsidRPr="00D67279">
        <w:rPr>
          <w:b/>
          <w:bCs/>
        </w:rPr>
        <w:t>Direct Communications</w:t>
      </w:r>
      <w:r w:rsidR="008A18CF">
        <w:t xml:space="preserve">:  </w:t>
      </w:r>
      <w:r w:rsidRPr="001F3E6C">
        <w:t>SDG&amp;E plans to use an “email first” strategy to directly reach about 80% of its residential electric customers and estimates up to six touchpoints over the three phases. Depending upon the final customer segmentation, the number of actual emails may vary. Estimated costs include email production, deployment, monitoring, and reporting of email results. Direct mail will be used as the secondary method to reach customers who do not have a valid email address on file, approximately 20% of residential customers. SDG&amp;E estimate</w:t>
      </w:r>
      <w:r w:rsidR="00052B36">
        <w:t>d</w:t>
      </w:r>
      <w:r w:rsidRPr="001F3E6C">
        <w:t xml:space="preserve"> up to three direct mail touchpoints leading up to the implementation of the </w:t>
      </w:r>
      <w:r w:rsidR="002831F6">
        <w:t>f</w:t>
      </w:r>
      <w:r w:rsidRPr="001F3E6C">
        <w:t xml:space="preserve">ixed </w:t>
      </w:r>
      <w:r w:rsidR="002831F6">
        <w:t>c</w:t>
      </w:r>
      <w:r w:rsidRPr="001F3E6C">
        <w:t xml:space="preserve">harge and at least one in the post-implementation “Engagement” phase. Costs include development, printing, postage, and other associated handling fees. </w:t>
      </w:r>
    </w:p>
    <w:p w:rsidRPr="00F00916" w:rsidR="001F3E6C" w:rsidP="00C401B7" w:rsidRDefault="001F3E6C" w14:paraId="53FB1FA3" w14:textId="7C17C45B">
      <w:pPr>
        <w:pStyle w:val="ListParagraph"/>
        <w:numPr>
          <w:ilvl w:val="0"/>
          <w:numId w:val="9"/>
        </w:numPr>
        <w:spacing w:after="80"/>
        <w:contextualSpacing w:val="0"/>
      </w:pPr>
      <w:r w:rsidRPr="00D67279">
        <w:rPr>
          <w:b/>
          <w:bCs/>
        </w:rPr>
        <w:t>Integrated Communications</w:t>
      </w:r>
      <w:r w:rsidR="008A18CF">
        <w:t xml:space="preserve">:  </w:t>
      </w:r>
      <w:r w:rsidRPr="001F3E6C">
        <w:t xml:space="preserve">SDG&amp;E will incorporate </w:t>
      </w:r>
      <w:r w:rsidR="002831F6">
        <w:t>f</w:t>
      </w:r>
      <w:r w:rsidRPr="001F3E6C">
        <w:t xml:space="preserve">ixed </w:t>
      </w:r>
      <w:r w:rsidR="002831F6">
        <w:t>c</w:t>
      </w:r>
      <w:r w:rsidRPr="001F3E6C">
        <w:t xml:space="preserve">harge messaging into other appropriate ME&amp;O activities and materials, based on </w:t>
      </w:r>
      <w:r w:rsidR="001E5EFD">
        <w:t xml:space="preserve">the </w:t>
      </w:r>
      <w:r w:rsidRPr="001F3E6C">
        <w:t xml:space="preserve">potential for alignment of target audiences and channels with the potential to carry secondary or tertiary messages. For example, existing materials such as CARE/FERA welcome letters, Medical Baseline communications, or other relevant </w:t>
      </w:r>
      <w:r w:rsidRPr="001F3E6C" w:rsidR="001245C0">
        <w:t>materials</w:t>
      </w:r>
      <w:r w:rsidRPr="001F3E6C">
        <w:t>.</w:t>
      </w:r>
    </w:p>
    <w:p w:rsidRPr="006917D6" w:rsidR="00014044" w:rsidP="00C401B7" w:rsidRDefault="00014044" w14:paraId="7F8F56B3" w14:textId="59F1A52F">
      <w:pPr>
        <w:pStyle w:val="ListParagraph"/>
        <w:numPr>
          <w:ilvl w:val="0"/>
          <w:numId w:val="9"/>
        </w:numPr>
        <w:spacing w:after="80"/>
        <w:contextualSpacing w:val="0"/>
      </w:pPr>
      <w:r w:rsidRPr="006917D6">
        <w:rPr>
          <w:b/>
          <w:bCs/>
        </w:rPr>
        <w:t>Internal Labor:</w:t>
      </w:r>
      <w:r w:rsidRPr="006917D6">
        <w:t xml:space="preserve"> </w:t>
      </w:r>
      <w:r w:rsidR="006917D6">
        <w:t xml:space="preserve"> </w:t>
      </w:r>
      <w:r w:rsidRPr="006917D6" w:rsidR="0065218C">
        <w:t>SDG&amp;E did not provide justification</w:t>
      </w:r>
      <w:r w:rsidR="006917D6">
        <w:t xml:space="preserve"> in AL </w:t>
      </w:r>
      <w:r w:rsidRPr="00841EFD" w:rsidR="001E351A">
        <w:t>4492-E</w:t>
      </w:r>
      <w:r w:rsidR="001E351A">
        <w:t>.</w:t>
      </w:r>
    </w:p>
    <w:p w:rsidRPr="006917D6" w:rsidR="001520FD" w:rsidP="00C401B7" w:rsidRDefault="00014044" w14:paraId="1311B36C" w14:textId="7072B22A">
      <w:pPr>
        <w:pStyle w:val="ListParagraph"/>
        <w:numPr>
          <w:ilvl w:val="0"/>
          <w:numId w:val="9"/>
        </w:numPr>
        <w:spacing w:after="80"/>
        <w:contextualSpacing w:val="0"/>
      </w:pPr>
      <w:r w:rsidRPr="006917D6">
        <w:rPr>
          <w:b/>
          <w:bCs/>
        </w:rPr>
        <w:t>Agency Support/External Labor:</w:t>
      </w:r>
      <w:r w:rsidRPr="006917D6">
        <w:t xml:space="preserve"> </w:t>
      </w:r>
      <w:r w:rsidR="005D6858">
        <w:t xml:space="preserve"> </w:t>
      </w:r>
      <w:r w:rsidRPr="006917D6" w:rsidR="0065218C">
        <w:t>SDG&amp;E did not provide justification</w:t>
      </w:r>
      <w:r w:rsidR="005D6858">
        <w:t xml:space="preserve"> in </w:t>
      </w:r>
      <w:r w:rsidR="00A979BE">
        <w:br/>
      </w:r>
      <w:r w:rsidR="005D6858">
        <w:t>AL</w:t>
      </w:r>
      <w:r w:rsidR="001E351A">
        <w:t xml:space="preserve"> </w:t>
      </w:r>
      <w:r w:rsidRPr="00841EFD" w:rsidR="001E351A">
        <w:t>4492-E</w:t>
      </w:r>
      <w:r w:rsidR="001E351A">
        <w:t>.</w:t>
      </w:r>
    </w:p>
    <w:p w:rsidR="00C40869" w:rsidP="00C40869" w:rsidRDefault="00C40869" w14:paraId="1032617D" w14:textId="00E36B11">
      <w:pPr>
        <w:pStyle w:val="sub2"/>
        <w:spacing w:after="80" w:line="240" w:lineRule="auto"/>
        <w:ind w:firstLine="0"/>
        <w:rPr>
          <w:b/>
          <w:bCs/>
        </w:rPr>
      </w:pPr>
    </w:p>
    <w:p w:rsidR="00E05FA7" w:rsidP="00410F47" w:rsidRDefault="00B61EDC" w14:paraId="6C3035B4" w14:textId="77777777">
      <w:pPr>
        <w:rPr>
          <w:rFonts w:eastAsia="Palatino Linotype" w:cs="Palatino Linotype"/>
        </w:rPr>
      </w:pPr>
      <w:r>
        <w:t>Cal Advocates recommended that the Commission reject SDG&amp;E’s ME&amp;O plan because it fails to meet D.24-05-028’s required level of detail on ME&amp;O budget justification and require</w:t>
      </w:r>
      <w:r w:rsidRPr="4B12B07A">
        <w:rPr>
          <w:rFonts w:eastAsia="Palatino Linotype" w:cs="Palatino Linotype"/>
        </w:rPr>
        <w:t xml:space="preserve"> SDG&amp;E to submit a supplemental </w:t>
      </w:r>
      <w:r w:rsidR="00B40814">
        <w:rPr>
          <w:rFonts w:eastAsia="Palatino Linotype" w:cs="Palatino Linotype"/>
        </w:rPr>
        <w:t>AL</w:t>
      </w:r>
      <w:r w:rsidRPr="4B12B07A">
        <w:rPr>
          <w:rFonts w:eastAsia="Palatino Linotype" w:cs="Palatino Linotype"/>
        </w:rPr>
        <w:t xml:space="preserve"> with adequate detail on its ME&amp;O budget</w:t>
      </w:r>
      <w:r>
        <w:rPr>
          <w:rFonts w:eastAsia="Palatino Linotype" w:cs="Palatino Linotype"/>
        </w:rPr>
        <w:t xml:space="preserve"> and</w:t>
      </w:r>
      <w:r w:rsidRPr="4B12B07A">
        <w:rPr>
          <w:rFonts w:eastAsia="Palatino Linotype" w:cs="Palatino Linotype"/>
        </w:rPr>
        <w:t xml:space="preserve"> provide </w:t>
      </w:r>
      <w:r>
        <w:t>sufficient</w:t>
      </w:r>
      <w:r w:rsidRPr="4B12B07A">
        <w:rPr>
          <w:rFonts w:eastAsia="Palatino Linotype" w:cs="Palatino Linotype"/>
        </w:rPr>
        <w:t xml:space="preserve"> detail on a budget estimate for DRAH customers for assignment to Tier 2</w:t>
      </w:r>
      <w:r w:rsidR="00F43BE4">
        <w:rPr>
          <w:rFonts w:eastAsia="Palatino Linotype" w:cs="Palatino Linotype"/>
        </w:rPr>
        <w:t>.</w:t>
      </w:r>
      <w:r w:rsidR="00FD3008">
        <w:rPr>
          <w:rFonts w:eastAsia="Palatino Linotype" w:cs="Palatino Linotype"/>
        </w:rPr>
        <w:t xml:space="preserve"> </w:t>
      </w:r>
    </w:p>
    <w:p w:rsidR="00E05FA7" w:rsidP="00410F47" w:rsidRDefault="00E05FA7" w14:paraId="4B0DEB7B" w14:textId="77777777">
      <w:pPr>
        <w:rPr>
          <w:rFonts w:eastAsia="Palatino Linotype" w:cs="Palatino Linotype"/>
        </w:rPr>
      </w:pPr>
    </w:p>
    <w:p w:rsidR="00176013" w:rsidP="00410F47" w:rsidRDefault="200C2879" w14:paraId="16E3F360" w14:textId="0228242B">
      <w:r w:rsidRPr="1EFCCE66">
        <w:rPr>
          <w:rFonts w:eastAsia="Palatino Linotype" w:cs="Palatino Linotype"/>
        </w:rPr>
        <w:t xml:space="preserve">In its protest reply, </w:t>
      </w:r>
      <w:r w:rsidRPr="00467C00" w:rsidR="00176013">
        <w:rPr>
          <w:rFonts w:eastAsia="Palatino Linotype" w:cs="Palatino Linotype"/>
        </w:rPr>
        <w:t>SDG&amp;E</w:t>
      </w:r>
      <w:r w:rsidRPr="00467C00" w:rsidR="79A98D51">
        <w:rPr>
          <w:rFonts w:eastAsia="Palatino Linotype" w:cs="Palatino Linotype"/>
        </w:rPr>
        <w:t xml:space="preserve"> indicated its</w:t>
      </w:r>
      <w:r w:rsidRPr="00467C00" w:rsidR="00176013">
        <w:rPr>
          <w:rFonts w:eastAsia="Palatino Linotype" w:cs="Palatino Linotype"/>
        </w:rPr>
        <w:t xml:space="preserve"> ME&amp;O plan and subsequent data request response</w:t>
      </w:r>
      <w:r w:rsidR="000D2418">
        <w:rPr>
          <w:rFonts w:eastAsia="Palatino Linotype" w:cs="Palatino Linotype"/>
        </w:rPr>
        <w:t xml:space="preserve"> to Cal Advocates</w:t>
      </w:r>
      <w:r w:rsidRPr="00467C00" w:rsidR="00176013">
        <w:rPr>
          <w:rFonts w:eastAsia="Palatino Linotype" w:cs="Palatino Linotype"/>
        </w:rPr>
        <w:t xml:space="preserve"> included the planned activities and estimated expenditures</w:t>
      </w:r>
      <w:r w:rsidRPr="00467C00" w:rsidR="00467C00">
        <w:rPr>
          <w:rFonts w:eastAsia="Palatino Linotype" w:cs="Palatino Linotype"/>
        </w:rPr>
        <w:t>,</w:t>
      </w:r>
      <w:r w:rsidRPr="00467C00" w:rsidR="00176013">
        <w:rPr>
          <w:rFonts w:eastAsia="Palatino Linotype" w:cs="Palatino Linotype"/>
        </w:rPr>
        <w:t xml:space="preserve"> including, for example, the breakdown between email and direct mail, estimated number of messages</w:t>
      </w:r>
      <w:r w:rsidRPr="00467C00" w:rsidR="00467C00">
        <w:rPr>
          <w:rFonts w:eastAsia="Palatino Linotype" w:cs="Palatino Linotype"/>
        </w:rPr>
        <w:t>,</w:t>
      </w:r>
      <w:r w:rsidRPr="00467C00" w:rsidR="00176013">
        <w:rPr>
          <w:rFonts w:eastAsia="Palatino Linotype" w:cs="Palatino Linotype"/>
        </w:rPr>
        <w:t xml:space="preserve"> and associated sub-costs.</w:t>
      </w:r>
      <w:r w:rsidR="004E01A3">
        <w:rPr>
          <w:rStyle w:val="FootnoteReference"/>
          <w:rFonts w:eastAsia="Palatino Linotype" w:cs="Palatino Linotype"/>
        </w:rPr>
        <w:footnoteReference w:id="188"/>
      </w:r>
      <w:r w:rsidRPr="00467C00" w:rsidR="00176013">
        <w:rPr>
          <w:rFonts w:eastAsia="Palatino Linotype" w:cs="Palatino Linotype"/>
        </w:rPr>
        <w:t xml:space="preserve"> </w:t>
      </w:r>
      <w:r w:rsidRPr="00467C00" w:rsidR="00F575C8">
        <w:rPr>
          <w:rFonts w:eastAsia="Palatino Linotype" w:cs="Palatino Linotype"/>
        </w:rPr>
        <w:t>SDG&amp;E further explained that p</w:t>
      </w:r>
      <w:r w:rsidRPr="00467C00" w:rsidR="00176013">
        <w:rPr>
          <w:rFonts w:eastAsia="Palatino Linotype" w:cs="Palatino Linotype"/>
        </w:rPr>
        <w:t xml:space="preserve">erceived differences in costs for direct mail may not have </w:t>
      </w:r>
      <w:r w:rsidRPr="00467C00" w:rsidR="00467C00">
        <w:rPr>
          <w:rFonts w:eastAsia="Palatino Linotype" w:cs="Palatino Linotype"/>
        </w:rPr>
        <w:t>considered</w:t>
      </w:r>
      <w:r w:rsidRPr="00467C00" w:rsidR="00176013">
        <w:rPr>
          <w:rFonts w:eastAsia="Palatino Linotype" w:cs="Palatino Linotype"/>
        </w:rPr>
        <w:t xml:space="preserve"> the contingency amount SDG&amp;E estimated to cover current unknown variables, such as possible cost increases in materials or postage and </w:t>
      </w:r>
      <w:r w:rsidRPr="00467C00" w:rsidR="00467C00">
        <w:rPr>
          <w:rFonts w:eastAsia="Palatino Linotype" w:cs="Palatino Linotype"/>
        </w:rPr>
        <w:t xml:space="preserve">higher </w:t>
      </w:r>
      <w:r w:rsidRPr="00467C00" w:rsidR="00176013">
        <w:rPr>
          <w:rFonts w:eastAsia="Palatino Linotype" w:cs="Palatino Linotype"/>
        </w:rPr>
        <w:t xml:space="preserve">fulfillment costs based on </w:t>
      </w:r>
      <w:r w:rsidRPr="00467C00" w:rsidR="00467C00">
        <w:rPr>
          <w:rFonts w:eastAsia="Palatino Linotype" w:cs="Palatino Linotype"/>
        </w:rPr>
        <w:t xml:space="preserve">the </w:t>
      </w:r>
      <w:r w:rsidRPr="00467C00" w:rsidR="00176013">
        <w:rPr>
          <w:rFonts w:eastAsia="Palatino Linotype" w:cs="Palatino Linotype"/>
        </w:rPr>
        <w:t xml:space="preserve">number and </w:t>
      </w:r>
      <w:r w:rsidRPr="00467C00" w:rsidR="00176013">
        <w:rPr>
          <w:rFonts w:eastAsia="Palatino Linotype" w:cs="Palatino Linotype"/>
        </w:rPr>
        <w:lastRenderedPageBreak/>
        <w:t xml:space="preserve">complexity of final mailings. </w:t>
      </w:r>
      <w:r w:rsidRPr="00467C00" w:rsidR="00651A4F">
        <w:rPr>
          <w:rFonts w:eastAsia="Palatino Linotype" w:cs="Palatino Linotype"/>
        </w:rPr>
        <w:t xml:space="preserve">SDG&amp;E </w:t>
      </w:r>
      <w:r w:rsidRPr="00467C00" w:rsidR="004F0ED5">
        <w:rPr>
          <w:rFonts w:eastAsia="Palatino Linotype" w:cs="Palatino Linotype"/>
        </w:rPr>
        <w:t>indicated the</w:t>
      </w:r>
      <w:r w:rsidRPr="00467C00" w:rsidR="00176013">
        <w:rPr>
          <w:rFonts w:eastAsia="Palatino Linotype" w:cs="Palatino Linotype"/>
        </w:rPr>
        <w:t xml:space="preserve"> sample invoices included</w:t>
      </w:r>
      <w:r w:rsidRPr="00467C00" w:rsidR="00D331EE">
        <w:rPr>
          <w:rFonts w:eastAsia="Palatino Linotype" w:cs="Palatino Linotype"/>
        </w:rPr>
        <w:t xml:space="preserve"> in</w:t>
      </w:r>
      <w:r w:rsidRPr="00467C00" w:rsidR="007330C9">
        <w:rPr>
          <w:rFonts w:eastAsia="Palatino Linotype" w:cs="Palatino Linotype"/>
        </w:rPr>
        <w:t xml:space="preserve"> its</w:t>
      </w:r>
      <w:r w:rsidRPr="00467C00" w:rsidR="00D56FD4">
        <w:rPr>
          <w:rFonts w:eastAsia="Palatino Linotype" w:cs="Palatino Linotype"/>
        </w:rPr>
        <w:t xml:space="preserve"> response to</w:t>
      </w:r>
      <w:r w:rsidRPr="00467C00" w:rsidR="00D331EE">
        <w:rPr>
          <w:rFonts w:eastAsia="Palatino Linotype" w:cs="Palatino Linotype"/>
        </w:rPr>
        <w:t xml:space="preserve"> Cal Advocates</w:t>
      </w:r>
      <w:r w:rsidRPr="00467C00" w:rsidR="00D56FD4">
        <w:rPr>
          <w:rFonts w:eastAsia="Palatino Linotype" w:cs="Palatino Linotype"/>
        </w:rPr>
        <w:t>’</w:t>
      </w:r>
      <w:r w:rsidRPr="00467C00" w:rsidR="00D331EE">
        <w:rPr>
          <w:rFonts w:eastAsia="Palatino Linotype" w:cs="Palatino Linotype"/>
        </w:rPr>
        <w:t xml:space="preserve"> data request</w:t>
      </w:r>
      <w:r w:rsidR="00621F4D">
        <w:rPr>
          <w:rStyle w:val="FootnoteReference"/>
        </w:rPr>
        <w:footnoteReference w:id="189"/>
      </w:r>
      <w:r w:rsidR="00D331EE">
        <w:t xml:space="preserve"> </w:t>
      </w:r>
      <w:r w:rsidRPr="00B43FC8" w:rsidR="00B43FC8">
        <w:t>were</w:t>
      </w:r>
      <w:r w:rsidRPr="009606D0" w:rsidR="00176013">
        <w:t xml:space="preserve"> a starting point for estimating hard costs that will be </w:t>
      </w:r>
      <w:r w:rsidRPr="00B43FC8" w:rsidR="00B43FC8">
        <w:t>finalized</w:t>
      </w:r>
      <w:r w:rsidRPr="009606D0" w:rsidR="00176013">
        <w:t xml:space="preserve"> closer to</w:t>
      </w:r>
      <w:r w:rsidR="00594416">
        <w:t xml:space="preserve"> </w:t>
      </w:r>
      <w:r w:rsidRPr="009606D0" w:rsidR="00176013">
        <w:t>implementation in 2025, when time, materials</w:t>
      </w:r>
      <w:r w:rsidRPr="00B43FC8" w:rsidR="00B43FC8">
        <w:t>,</w:t>
      </w:r>
      <w:r w:rsidRPr="009606D0" w:rsidR="00176013">
        <w:t xml:space="preserve"> and version requirements are known. </w:t>
      </w:r>
      <w:r w:rsidR="004E01A3">
        <w:t>In addition, SDG&amp;E explained that</w:t>
      </w:r>
      <w:r w:rsidR="00F81733">
        <w:t xml:space="preserve"> its </w:t>
      </w:r>
      <w:r w:rsidRPr="009606D0" w:rsidR="00176013">
        <w:t>internal and external labor, including agency costs</w:t>
      </w:r>
      <w:r w:rsidRPr="00B43FC8" w:rsidR="00B43FC8">
        <w:t>,</w:t>
      </w:r>
      <w:r w:rsidRPr="009606D0" w:rsidR="00176013">
        <w:t xml:space="preserve"> were based on previous experience and were supported by a sample scope of work.</w:t>
      </w:r>
      <w:r w:rsidRPr="1EFCCE66" w:rsidR="00B61EDC">
        <w:rPr>
          <w:rStyle w:val="FootnoteReference"/>
        </w:rPr>
        <w:footnoteReference w:id="190"/>
      </w:r>
      <w:r w:rsidRPr="009606D0" w:rsidR="00176013">
        <w:t xml:space="preserve"> </w:t>
      </w:r>
    </w:p>
    <w:p w:rsidR="00176013" w:rsidP="00176013" w:rsidRDefault="00176013" w14:paraId="41FC7554" w14:textId="77777777"/>
    <w:p w:rsidRPr="009606D0" w:rsidR="00176013" w:rsidP="00176013" w:rsidRDefault="009777F1" w14:paraId="2DC90C73" w14:textId="29E587AA">
      <w:r>
        <w:t xml:space="preserve">SDG&amp;E indicated it is taking care to be good stewards of ratepayer funds and is attempting to keep ME&amp;O costs to a minimum. </w:t>
      </w:r>
      <w:r w:rsidR="111DBD66">
        <w:t>It</w:t>
      </w:r>
      <w:r w:rsidRPr="009606D0" w:rsidR="00176013">
        <w:t xml:space="preserve"> will continue to look for cost efficiencies and savings throughout each phase of the fixed charge rollout.</w:t>
      </w:r>
      <w:r w:rsidR="004E01A3">
        <w:rPr>
          <w:rStyle w:val="FootnoteReference"/>
        </w:rPr>
        <w:footnoteReference w:id="191"/>
      </w:r>
      <w:r w:rsidRPr="009606D0" w:rsidR="00176013">
        <w:t xml:space="preserve"> </w:t>
      </w:r>
    </w:p>
    <w:p w:rsidR="00176013" w:rsidP="00176013" w:rsidRDefault="00176013" w14:paraId="14EF707F" w14:textId="77777777"/>
    <w:p w:rsidR="00292B59" w:rsidP="5E1BA1D2" w:rsidRDefault="7192312D" w14:paraId="2B4A4EC2" w14:textId="63BBED96">
      <w:r>
        <w:t>The Commission finds SDG&amp;</w:t>
      </w:r>
      <w:proofErr w:type="gramStart"/>
      <w:r>
        <w:t>E’s</w:t>
      </w:r>
      <w:proofErr w:type="gramEnd"/>
      <w:r>
        <w:t xml:space="preserve"> </w:t>
      </w:r>
      <w:r w:rsidR="5DA48949">
        <w:t xml:space="preserve">proposed </w:t>
      </w:r>
      <w:r>
        <w:t>ME&amp;O budget</w:t>
      </w:r>
      <w:r w:rsidR="5DA48949">
        <w:t xml:space="preserve"> of </w:t>
      </w:r>
      <w:r w:rsidRPr="00212876" w:rsidR="5DA48949">
        <w:t>$3,197,320</w:t>
      </w:r>
      <w:r w:rsidR="3D448FB5">
        <w:t xml:space="preserve"> for 2025-202</w:t>
      </w:r>
      <w:r w:rsidR="00781D27">
        <w:t>6</w:t>
      </w:r>
      <w:r>
        <w:t xml:space="preserve"> </w:t>
      </w:r>
      <w:r w:rsidR="074591D6">
        <w:t xml:space="preserve">to implement the fixed charge reasonable and approved as </w:t>
      </w:r>
      <w:r w:rsidR="7571C79A">
        <w:t>specified herein</w:t>
      </w:r>
      <w:r w:rsidR="00AF66CB">
        <w:t xml:space="preserve"> and shown in Table 7 below</w:t>
      </w:r>
      <w:r w:rsidR="7571C79A">
        <w:t>.</w:t>
      </w:r>
      <w:r w:rsidR="5352ACE7">
        <w:t xml:space="preserve"> SDG&amp;E </w:t>
      </w:r>
      <w:r w:rsidR="71F8A635">
        <w:t>shall not</w:t>
      </w:r>
      <w:r w:rsidR="5352ACE7">
        <w:t xml:space="preserve"> adjust </w:t>
      </w:r>
      <w:r w:rsidR="008B0FF2">
        <w:t xml:space="preserve">budgets </w:t>
      </w:r>
      <w:r w:rsidR="5352ACE7">
        <w:t>across tactics</w:t>
      </w:r>
      <w:r w:rsidR="514925B5">
        <w:t xml:space="preserve"> or shift funds across </w:t>
      </w:r>
      <w:r w:rsidR="0D310DD4">
        <w:t xml:space="preserve">ME&amp;O </w:t>
      </w:r>
      <w:r w:rsidR="514925B5">
        <w:t>categories</w:t>
      </w:r>
      <w:r w:rsidR="5352ACE7">
        <w:t>.</w:t>
      </w:r>
      <w:r w:rsidR="7DA9FCF1">
        <w:t xml:space="preserve"> </w:t>
      </w:r>
    </w:p>
    <w:p w:rsidR="00AF66CB" w:rsidP="5E1BA1D2" w:rsidRDefault="00AF66CB" w14:paraId="638A2288" w14:textId="77777777"/>
    <w:p w:rsidR="00AF66CB" w:rsidP="00AF66CB" w:rsidRDefault="00AF66CB" w14:paraId="76C36E74" w14:textId="03F1AEC5">
      <w:pPr>
        <w:pStyle w:val="sub2"/>
        <w:spacing w:line="240" w:lineRule="auto"/>
        <w:ind w:firstLine="0"/>
        <w:jc w:val="center"/>
        <w:rPr>
          <w:b/>
          <w:bCs/>
        </w:rPr>
      </w:pPr>
      <w:r w:rsidRPr="00676FAA">
        <w:rPr>
          <w:b/>
          <w:bCs/>
        </w:rPr>
        <w:t xml:space="preserve">Table </w:t>
      </w:r>
      <w:r w:rsidR="00F60286">
        <w:rPr>
          <w:b/>
          <w:bCs/>
        </w:rPr>
        <w:t>7</w:t>
      </w:r>
      <w:r w:rsidRPr="00676FAA">
        <w:rPr>
          <w:b/>
          <w:bCs/>
        </w:rPr>
        <w:t xml:space="preserve">:  SDG&amp;E’s </w:t>
      </w:r>
      <w:r>
        <w:rPr>
          <w:b/>
          <w:bCs/>
        </w:rPr>
        <w:t>ME&amp;O Budget (Approved)</w:t>
      </w:r>
    </w:p>
    <w:p w:rsidR="00AF66CB" w:rsidP="00AF66CB" w:rsidRDefault="00AF66CB" w14:paraId="4271472F" w14:textId="77777777">
      <w:pPr>
        <w:pStyle w:val="sub2"/>
        <w:spacing w:line="240" w:lineRule="auto"/>
        <w:ind w:firstLine="0"/>
        <w:rPr>
          <w:b/>
          <w:bCs/>
        </w:rPr>
      </w:pPr>
    </w:p>
    <w:tbl>
      <w:tblPr>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7"/>
        <w:gridCol w:w="1497"/>
        <w:gridCol w:w="1407"/>
        <w:gridCol w:w="1395"/>
        <w:gridCol w:w="1454"/>
      </w:tblGrid>
      <w:tr w:rsidRPr="00E349A5" w:rsidR="00AF66CB" w:rsidTr="00F60286" w14:paraId="3DA0CB48" w14:textId="77777777">
        <w:trPr>
          <w:trHeight w:val="300"/>
          <w:jc w:val="center"/>
        </w:trPr>
        <w:tc>
          <w:tcPr>
            <w:tcW w:w="3327" w:type="dxa"/>
            <w:shd w:val="clear" w:color="auto" w:fill="F2F2F2" w:themeFill="background1" w:themeFillShade="F2"/>
            <w:noWrap/>
            <w:vAlign w:val="bottom"/>
            <w:hideMark/>
          </w:tcPr>
          <w:p w:rsidRPr="00E349A5" w:rsidR="00AF66CB" w:rsidP="00931F21" w:rsidRDefault="00AF66CB" w14:paraId="0EC4B769" w14:textId="77777777">
            <w:pPr>
              <w:rPr>
                <w:rFonts w:eastAsia="Times New Roman" w:cs="Times New Roman"/>
                <w:b/>
                <w:bCs/>
                <w:color w:val="000000"/>
                <w:sz w:val="22"/>
                <w:szCs w:val="22"/>
              </w:rPr>
            </w:pPr>
            <w:r w:rsidRPr="00E349A5">
              <w:rPr>
                <w:rFonts w:eastAsia="Times New Roman" w:cs="Times New Roman"/>
                <w:b/>
                <w:bCs/>
                <w:color w:val="000000"/>
                <w:sz w:val="22"/>
                <w:szCs w:val="22"/>
              </w:rPr>
              <w:t>Category</w:t>
            </w:r>
          </w:p>
        </w:tc>
        <w:tc>
          <w:tcPr>
            <w:tcW w:w="1497" w:type="dxa"/>
            <w:shd w:val="clear" w:color="auto" w:fill="F2F2F2" w:themeFill="background1" w:themeFillShade="F2"/>
            <w:noWrap/>
            <w:vAlign w:val="bottom"/>
            <w:hideMark/>
          </w:tcPr>
          <w:p w:rsidRPr="00E349A5" w:rsidR="00AF66CB" w:rsidP="00931F21" w:rsidRDefault="00AF66CB" w14:paraId="2BBCE8C0" w14:textId="77777777">
            <w:pPr>
              <w:jc w:val="center"/>
              <w:rPr>
                <w:rFonts w:eastAsia="Times New Roman" w:cs="Times New Roman"/>
                <w:b/>
                <w:bCs/>
                <w:color w:val="000000"/>
                <w:sz w:val="22"/>
                <w:szCs w:val="22"/>
              </w:rPr>
            </w:pPr>
            <w:r>
              <w:rPr>
                <w:rFonts w:eastAsia="Times New Roman" w:cs="Times New Roman"/>
                <w:b/>
                <w:bCs/>
                <w:color w:val="000000"/>
                <w:sz w:val="22"/>
                <w:szCs w:val="22"/>
              </w:rPr>
              <w:t>1H</w:t>
            </w:r>
            <w:r w:rsidRPr="00E349A5">
              <w:rPr>
                <w:rFonts w:eastAsia="Times New Roman" w:cs="Times New Roman"/>
                <w:b/>
                <w:bCs/>
                <w:color w:val="000000"/>
                <w:sz w:val="22"/>
                <w:szCs w:val="22"/>
              </w:rPr>
              <w:t xml:space="preserve"> 2025</w:t>
            </w:r>
          </w:p>
        </w:tc>
        <w:tc>
          <w:tcPr>
            <w:tcW w:w="1407" w:type="dxa"/>
            <w:shd w:val="clear" w:color="auto" w:fill="F2F2F2" w:themeFill="background1" w:themeFillShade="F2"/>
            <w:noWrap/>
            <w:vAlign w:val="bottom"/>
            <w:hideMark/>
          </w:tcPr>
          <w:p w:rsidRPr="00E349A5" w:rsidR="00AF66CB" w:rsidP="00931F21" w:rsidRDefault="00AF66CB" w14:paraId="0939CAAC" w14:textId="77777777">
            <w:pPr>
              <w:jc w:val="center"/>
              <w:rPr>
                <w:rFonts w:eastAsia="Times New Roman" w:cs="Times New Roman"/>
                <w:b/>
                <w:bCs/>
                <w:color w:val="000000"/>
                <w:sz w:val="22"/>
                <w:szCs w:val="22"/>
              </w:rPr>
            </w:pPr>
            <w:r>
              <w:rPr>
                <w:rFonts w:eastAsia="Times New Roman" w:cs="Times New Roman"/>
                <w:b/>
                <w:bCs/>
                <w:color w:val="000000"/>
                <w:sz w:val="22"/>
                <w:szCs w:val="22"/>
              </w:rPr>
              <w:t>2H</w:t>
            </w:r>
            <w:r w:rsidRPr="00E349A5">
              <w:rPr>
                <w:rFonts w:eastAsia="Times New Roman" w:cs="Times New Roman"/>
                <w:b/>
                <w:bCs/>
                <w:color w:val="000000"/>
                <w:sz w:val="22"/>
                <w:szCs w:val="22"/>
              </w:rPr>
              <w:t xml:space="preserve"> 2025</w:t>
            </w:r>
          </w:p>
        </w:tc>
        <w:tc>
          <w:tcPr>
            <w:tcW w:w="1395" w:type="dxa"/>
            <w:shd w:val="clear" w:color="auto" w:fill="F2F2F2" w:themeFill="background1" w:themeFillShade="F2"/>
            <w:noWrap/>
            <w:vAlign w:val="bottom"/>
            <w:hideMark/>
          </w:tcPr>
          <w:p w:rsidRPr="00E349A5" w:rsidR="00AF66CB" w:rsidP="00931F21" w:rsidRDefault="00AF66CB" w14:paraId="0920CF73" w14:textId="77777777">
            <w:pPr>
              <w:jc w:val="center"/>
              <w:rPr>
                <w:rFonts w:eastAsia="Times New Roman" w:cs="Times New Roman"/>
                <w:b/>
                <w:bCs/>
                <w:color w:val="000000"/>
                <w:sz w:val="22"/>
                <w:szCs w:val="22"/>
              </w:rPr>
            </w:pPr>
            <w:r w:rsidRPr="00E349A5">
              <w:rPr>
                <w:rFonts w:eastAsia="Times New Roman" w:cs="Times New Roman"/>
                <w:b/>
                <w:bCs/>
                <w:color w:val="000000"/>
                <w:sz w:val="22"/>
                <w:szCs w:val="22"/>
              </w:rPr>
              <w:t>2026</w:t>
            </w:r>
          </w:p>
        </w:tc>
        <w:tc>
          <w:tcPr>
            <w:tcW w:w="1454" w:type="dxa"/>
            <w:shd w:val="clear" w:color="auto" w:fill="F2F2F2" w:themeFill="background1" w:themeFillShade="F2"/>
            <w:noWrap/>
            <w:vAlign w:val="bottom"/>
            <w:hideMark/>
          </w:tcPr>
          <w:p w:rsidRPr="00E349A5" w:rsidR="00AF66CB" w:rsidP="00931F21" w:rsidRDefault="00AF66CB" w14:paraId="4AC333A3" w14:textId="77777777">
            <w:pPr>
              <w:jc w:val="center"/>
              <w:rPr>
                <w:rFonts w:eastAsia="Times New Roman" w:cs="Times New Roman"/>
                <w:b/>
                <w:bCs/>
                <w:color w:val="000000"/>
                <w:sz w:val="22"/>
                <w:szCs w:val="22"/>
              </w:rPr>
            </w:pPr>
            <w:r w:rsidRPr="00E349A5">
              <w:rPr>
                <w:rFonts w:eastAsia="Times New Roman" w:cs="Times New Roman"/>
                <w:b/>
                <w:bCs/>
                <w:color w:val="000000"/>
                <w:sz w:val="22"/>
                <w:szCs w:val="22"/>
              </w:rPr>
              <w:t>Total</w:t>
            </w:r>
          </w:p>
        </w:tc>
      </w:tr>
      <w:tr w:rsidRPr="00E349A5" w:rsidR="00AF66CB" w:rsidTr="00F60286" w14:paraId="4338C1E6" w14:textId="77777777">
        <w:trPr>
          <w:trHeight w:val="300"/>
          <w:jc w:val="center"/>
        </w:trPr>
        <w:tc>
          <w:tcPr>
            <w:tcW w:w="3327" w:type="dxa"/>
            <w:shd w:val="clear" w:color="auto" w:fill="auto"/>
            <w:noWrap/>
            <w:vAlign w:val="bottom"/>
            <w:hideMark/>
          </w:tcPr>
          <w:p w:rsidRPr="00E349A5" w:rsidR="00AF66CB" w:rsidP="00931F21" w:rsidRDefault="00AF66CB" w14:paraId="5CA3658B" w14:textId="77777777">
            <w:pPr>
              <w:rPr>
                <w:rFonts w:eastAsia="Times New Roman" w:cs="Times New Roman"/>
                <w:color w:val="000000"/>
                <w:sz w:val="22"/>
                <w:szCs w:val="22"/>
              </w:rPr>
            </w:pPr>
            <w:r w:rsidRPr="00E349A5">
              <w:rPr>
                <w:rFonts w:eastAsia="Times New Roman" w:cs="Times New Roman"/>
                <w:color w:val="000000"/>
                <w:sz w:val="22"/>
                <w:szCs w:val="22"/>
              </w:rPr>
              <w:t>Research</w:t>
            </w:r>
          </w:p>
        </w:tc>
        <w:tc>
          <w:tcPr>
            <w:tcW w:w="1497" w:type="dxa"/>
            <w:shd w:val="clear" w:color="auto" w:fill="auto"/>
            <w:noWrap/>
            <w:vAlign w:val="bottom"/>
            <w:hideMark/>
          </w:tcPr>
          <w:p w:rsidRPr="00E349A5" w:rsidR="00AF66CB" w:rsidP="00931F21" w:rsidRDefault="00AF66CB" w14:paraId="037B5DEA"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$125,000 </w:t>
            </w:r>
          </w:p>
        </w:tc>
        <w:tc>
          <w:tcPr>
            <w:tcW w:w="1407" w:type="dxa"/>
            <w:shd w:val="clear" w:color="auto" w:fill="auto"/>
            <w:noWrap/>
            <w:vAlign w:val="bottom"/>
            <w:hideMark/>
          </w:tcPr>
          <w:p w:rsidRPr="00E349A5" w:rsidR="00AF66CB" w:rsidP="00931F21" w:rsidRDefault="00AF66CB" w14:paraId="2ECE9A5F"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395" w:type="dxa"/>
            <w:shd w:val="clear" w:color="auto" w:fill="auto"/>
            <w:noWrap/>
            <w:vAlign w:val="bottom"/>
            <w:hideMark/>
          </w:tcPr>
          <w:p w:rsidRPr="00E349A5" w:rsidR="00AF66CB" w:rsidP="00931F21" w:rsidRDefault="00AF66CB" w14:paraId="4705097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$125,000 </w:t>
            </w:r>
          </w:p>
        </w:tc>
        <w:tc>
          <w:tcPr>
            <w:tcW w:w="1454" w:type="dxa"/>
            <w:shd w:val="clear" w:color="auto" w:fill="auto"/>
            <w:noWrap/>
            <w:vAlign w:val="bottom"/>
            <w:hideMark/>
          </w:tcPr>
          <w:p w:rsidRPr="00E349A5" w:rsidR="00AF66CB" w:rsidP="00931F21" w:rsidRDefault="00AF66CB" w14:paraId="2749546E"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$250,000 </w:t>
            </w:r>
          </w:p>
        </w:tc>
      </w:tr>
      <w:tr w:rsidRPr="00E349A5" w:rsidR="00AF66CB" w:rsidTr="00F60286" w14:paraId="18950C7A" w14:textId="77777777">
        <w:trPr>
          <w:trHeight w:val="300"/>
          <w:jc w:val="center"/>
        </w:trPr>
        <w:tc>
          <w:tcPr>
            <w:tcW w:w="3327" w:type="dxa"/>
            <w:shd w:val="clear" w:color="auto" w:fill="auto"/>
            <w:noWrap/>
            <w:vAlign w:val="bottom"/>
            <w:hideMark/>
          </w:tcPr>
          <w:p w:rsidRPr="00E349A5" w:rsidR="00AF66CB" w:rsidP="00931F21" w:rsidRDefault="00AF66CB" w14:paraId="73736866" w14:textId="77777777">
            <w:pPr>
              <w:rPr>
                <w:rFonts w:eastAsia="Times New Roman" w:cs="Times New Roman"/>
                <w:color w:val="000000"/>
                <w:sz w:val="22"/>
                <w:szCs w:val="22"/>
              </w:rPr>
            </w:pPr>
            <w:r w:rsidRPr="00E349A5">
              <w:rPr>
                <w:rFonts w:eastAsia="Times New Roman" w:cs="Times New Roman"/>
                <w:color w:val="000000"/>
                <w:sz w:val="22"/>
                <w:szCs w:val="22"/>
              </w:rPr>
              <w:t>Web</w:t>
            </w:r>
          </w:p>
        </w:tc>
        <w:tc>
          <w:tcPr>
            <w:tcW w:w="1497" w:type="dxa"/>
            <w:shd w:val="clear" w:color="auto" w:fill="auto"/>
            <w:noWrap/>
            <w:vAlign w:val="bottom"/>
            <w:hideMark/>
          </w:tcPr>
          <w:p w:rsidRPr="00E349A5" w:rsidR="00AF66CB" w:rsidP="00931F21" w:rsidRDefault="00AF66CB" w14:paraId="2D78F4B6"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07" w:type="dxa"/>
            <w:shd w:val="clear" w:color="auto" w:fill="auto"/>
            <w:noWrap/>
            <w:vAlign w:val="bottom"/>
            <w:hideMark/>
          </w:tcPr>
          <w:p w:rsidRPr="00E349A5" w:rsidR="00AF66CB" w:rsidP="00931F21" w:rsidRDefault="00AF66CB" w14:paraId="1450B413"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395" w:type="dxa"/>
            <w:shd w:val="clear" w:color="auto" w:fill="auto"/>
            <w:noWrap/>
            <w:vAlign w:val="bottom"/>
            <w:hideMark/>
          </w:tcPr>
          <w:p w:rsidRPr="00E349A5" w:rsidR="00AF66CB" w:rsidP="00931F21" w:rsidRDefault="00AF66CB" w14:paraId="7718FB17"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54" w:type="dxa"/>
            <w:shd w:val="clear" w:color="auto" w:fill="auto"/>
            <w:noWrap/>
            <w:vAlign w:val="bottom"/>
            <w:hideMark/>
          </w:tcPr>
          <w:p w:rsidRPr="00E349A5" w:rsidR="00AF66CB" w:rsidP="00931F21" w:rsidRDefault="00AF66CB" w14:paraId="1465986B"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$60,000 </w:t>
            </w:r>
          </w:p>
        </w:tc>
      </w:tr>
      <w:tr w:rsidRPr="00E349A5" w:rsidR="00AF66CB" w:rsidTr="00F60286" w14:paraId="473DE6AC" w14:textId="77777777">
        <w:trPr>
          <w:trHeight w:val="300"/>
          <w:jc w:val="center"/>
        </w:trPr>
        <w:tc>
          <w:tcPr>
            <w:tcW w:w="3327" w:type="dxa"/>
            <w:shd w:val="clear" w:color="auto" w:fill="auto"/>
            <w:noWrap/>
            <w:vAlign w:val="bottom"/>
            <w:hideMark/>
          </w:tcPr>
          <w:p w:rsidRPr="00E349A5" w:rsidR="00AF66CB" w:rsidP="00931F21" w:rsidRDefault="00AF66CB" w14:paraId="290C625D" w14:textId="77777777">
            <w:pPr>
              <w:rPr>
                <w:rFonts w:eastAsia="Times New Roman" w:cs="Times New Roman"/>
                <w:color w:val="000000"/>
                <w:sz w:val="22"/>
                <w:szCs w:val="22"/>
              </w:rPr>
            </w:pPr>
            <w:r w:rsidRPr="00E349A5">
              <w:rPr>
                <w:rFonts w:eastAsia="Times New Roman" w:cs="Times New Roman"/>
                <w:color w:val="000000"/>
                <w:sz w:val="22"/>
                <w:szCs w:val="22"/>
              </w:rPr>
              <w:t>Collateral</w:t>
            </w:r>
          </w:p>
        </w:tc>
        <w:tc>
          <w:tcPr>
            <w:tcW w:w="1497" w:type="dxa"/>
            <w:shd w:val="clear" w:color="auto" w:fill="auto"/>
            <w:noWrap/>
            <w:vAlign w:val="bottom"/>
            <w:hideMark/>
          </w:tcPr>
          <w:p w:rsidRPr="00E349A5" w:rsidR="00AF66CB" w:rsidP="00931F21" w:rsidRDefault="00AF66CB" w14:paraId="5B264C8C"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 </w:t>
            </w:r>
          </w:p>
        </w:tc>
        <w:tc>
          <w:tcPr>
            <w:tcW w:w="1407" w:type="dxa"/>
            <w:shd w:val="clear" w:color="auto" w:fill="auto"/>
            <w:noWrap/>
            <w:vAlign w:val="bottom"/>
            <w:hideMark/>
          </w:tcPr>
          <w:p w:rsidRPr="00E349A5" w:rsidR="00AF66CB" w:rsidP="00931F21" w:rsidRDefault="00AF66CB" w14:paraId="67536AA1"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395" w:type="dxa"/>
            <w:shd w:val="clear" w:color="auto" w:fill="auto"/>
            <w:noWrap/>
            <w:vAlign w:val="bottom"/>
            <w:hideMark/>
          </w:tcPr>
          <w:p w:rsidRPr="00E349A5" w:rsidR="00AF66CB" w:rsidP="00931F21" w:rsidRDefault="00AF66CB" w14:paraId="062E7F2E"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 </w:t>
            </w:r>
          </w:p>
        </w:tc>
        <w:tc>
          <w:tcPr>
            <w:tcW w:w="1454" w:type="dxa"/>
            <w:shd w:val="clear" w:color="auto" w:fill="auto"/>
            <w:noWrap/>
            <w:vAlign w:val="bottom"/>
            <w:hideMark/>
          </w:tcPr>
          <w:p w:rsidRPr="00E349A5" w:rsidR="00AF66CB" w:rsidP="00931F21" w:rsidRDefault="00AF66CB" w14:paraId="40D1AF46"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$50,000 </w:t>
            </w:r>
          </w:p>
        </w:tc>
      </w:tr>
      <w:tr w:rsidRPr="00E349A5" w:rsidR="00AF66CB" w:rsidTr="00F60286" w14:paraId="0D2BF193" w14:textId="77777777">
        <w:trPr>
          <w:trHeight w:val="300"/>
          <w:jc w:val="center"/>
        </w:trPr>
        <w:tc>
          <w:tcPr>
            <w:tcW w:w="3327" w:type="dxa"/>
            <w:shd w:val="clear" w:color="auto" w:fill="auto"/>
            <w:noWrap/>
            <w:vAlign w:val="bottom"/>
            <w:hideMark/>
          </w:tcPr>
          <w:p w:rsidRPr="00E349A5" w:rsidR="00AF66CB" w:rsidP="00931F21" w:rsidRDefault="00AF66CB" w14:paraId="2CC730F3" w14:textId="5CC26969">
            <w:pPr>
              <w:rPr>
                <w:rFonts w:eastAsia="Times New Roman" w:cs="Times New Roman"/>
                <w:color w:val="000000"/>
                <w:sz w:val="22"/>
                <w:szCs w:val="22"/>
              </w:rPr>
            </w:pPr>
            <w:r w:rsidRPr="00E349A5">
              <w:rPr>
                <w:rFonts w:eastAsia="Times New Roman" w:cs="Times New Roman"/>
                <w:color w:val="000000"/>
                <w:sz w:val="22"/>
                <w:szCs w:val="22"/>
              </w:rPr>
              <w:t>Outreach/CBOs</w:t>
            </w:r>
          </w:p>
        </w:tc>
        <w:tc>
          <w:tcPr>
            <w:tcW w:w="1497" w:type="dxa"/>
            <w:shd w:val="clear" w:color="auto" w:fill="auto"/>
            <w:noWrap/>
            <w:vAlign w:val="bottom"/>
            <w:hideMark/>
          </w:tcPr>
          <w:p w:rsidRPr="00E349A5" w:rsidR="00AF66CB" w:rsidP="00931F21" w:rsidRDefault="00AF66CB" w14:paraId="70AD934C"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80</w:t>
            </w:r>
            <w:r w:rsidRPr="00E349A5">
              <w:rPr>
                <w:rFonts w:eastAsia="Times New Roman" w:cs="Times New Roman"/>
                <w:color w:val="000000"/>
                <w:sz w:val="22"/>
                <w:szCs w:val="22"/>
              </w:rPr>
              <w:t xml:space="preserve">,000 </w:t>
            </w:r>
          </w:p>
        </w:tc>
        <w:tc>
          <w:tcPr>
            <w:tcW w:w="1407" w:type="dxa"/>
            <w:shd w:val="clear" w:color="auto" w:fill="auto"/>
            <w:noWrap/>
            <w:vAlign w:val="bottom"/>
            <w:hideMark/>
          </w:tcPr>
          <w:p w:rsidRPr="00E349A5" w:rsidR="00AF66CB" w:rsidP="00931F21" w:rsidRDefault="00AF66CB" w14:paraId="4DF8AD37"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40</w:t>
            </w:r>
            <w:r w:rsidRPr="00E349A5">
              <w:rPr>
                <w:rFonts w:eastAsia="Times New Roman" w:cs="Times New Roman"/>
                <w:color w:val="000000"/>
                <w:sz w:val="22"/>
                <w:szCs w:val="22"/>
              </w:rPr>
              <w:t xml:space="preserve">,000 </w:t>
            </w:r>
          </w:p>
        </w:tc>
        <w:tc>
          <w:tcPr>
            <w:tcW w:w="1395" w:type="dxa"/>
            <w:shd w:val="clear" w:color="auto" w:fill="auto"/>
            <w:noWrap/>
            <w:vAlign w:val="bottom"/>
            <w:hideMark/>
          </w:tcPr>
          <w:p w:rsidRPr="00E349A5" w:rsidR="00AF66CB" w:rsidP="00931F21" w:rsidRDefault="00AF66CB" w14:paraId="5819F251"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120</w:t>
            </w:r>
            <w:r w:rsidRPr="00E349A5">
              <w:rPr>
                <w:rFonts w:eastAsia="Times New Roman" w:cs="Times New Roman"/>
                <w:color w:val="000000"/>
                <w:sz w:val="22"/>
                <w:szCs w:val="22"/>
              </w:rPr>
              <w:t xml:space="preserve">,000 </w:t>
            </w:r>
          </w:p>
        </w:tc>
        <w:tc>
          <w:tcPr>
            <w:tcW w:w="1454" w:type="dxa"/>
            <w:shd w:val="clear" w:color="auto" w:fill="auto"/>
            <w:noWrap/>
            <w:vAlign w:val="bottom"/>
            <w:hideMark/>
          </w:tcPr>
          <w:p w:rsidRPr="00E349A5" w:rsidR="00AF66CB" w:rsidP="00931F21" w:rsidRDefault="00AF66CB" w14:paraId="7671F75F" w14:textId="77777777">
            <w:pPr>
              <w:jc w:val="right"/>
              <w:rPr>
                <w:rFonts w:eastAsia="Times New Roman" w:cs="Times New Roman"/>
                <w:color w:val="000000"/>
                <w:sz w:val="22"/>
                <w:szCs w:val="22"/>
              </w:rPr>
            </w:pPr>
            <w:r w:rsidRPr="00E349A5">
              <w:rPr>
                <w:rFonts w:eastAsia="Times New Roman" w:cs="Times New Roman"/>
                <w:color w:val="000000"/>
                <w:sz w:val="22"/>
                <w:szCs w:val="22"/>
              </w:rPr>
              <w:t>$2</w:t>
            </w:r>
            <w:r>
              <w:rPr>
                <w:rFonts w:eastAsia="Times New Roman" w:cs="Times New Roman"/>
                <w:color w:val="000000"/>
                <w:sz w:val="22"/>
                <w:szCs w:val="22"/>
              </w:rPr>
              <w:t>40</w:t>
            </w:r>
            <w:r w:rsidRPr="00E349A5">
              <w:rPr>
                <w:rFonts w:eastAsia="Times New Roman" w:cs="Times New Roman"/>
                <w:color w:val="000000"/>
                <w:sz w:val="22"/>
                <w:szCs w:val="22"/>
              </w:rPr>
              <w:t xml:space="preserve">,000 </w:t>
            </w:r>
          </w:p>
        </w:tc>
      </w:tr>
      <w:tr w:rsidRPr="00E349A5" w:rsidR="00AF66CB" w:rsidTr="00F60286" w14:paraId="10369F70" w14:textId="77777777">
        <w:trPr>
          <w:trHeight w:val="300"/>
          <w:jc w:val="center"/>
        </w:trPr>
        <w:tc>
          <w:tcPr>
            <w:tcW w:w="3327" w:type="dxa"/>
            <w:shd w:val="clear" w:color="auto" w:fill="auto"/>
            <w:noWrap/>
            <w:vAlign w:val="bottom"/>
            <w:hideMark/>
          </w:tcPr>
          <w:p w:rsidRPr="00E349A5" w:rsidR="00AF66CB" w:rsidP="00931F21" w:rsidRDefault="00AF66CB" w14:paraId="69DF43D4" w14:textId="77777777">
            <w:pPr>
              <w:rPr>
                <w:rFonts w:eastAsia="Times New Roman" w:cs="Times New Roman"/>
                <w:color w:val="000000"/>
                <w:sz w:val="22"/>
                <w:szCs w:val="22"/>
              </w:rPr>
            </w:pPr>
            <w:r w:rsidRPr="00E349A5">
              <w:rPr>
                <w:rFonts w:eastAsia="Times New Roman" w:cs="Times New Roman"/>
                <w:color w:val="000000"/>
                <w:sz w:val="22"/>
                <w:szCs w:val="22"/>
              </w:rPr>
              <w:t>Paid Media</w:t>
            </w:r>
          </w:p>
        </w:tc>
        <w:tc>
          <w:tcPr>
            <w:tcW w:w="1497" w:type="dxa"/>
            <w:shd w:val="clear" w:color="auto" w:fill="auto"/>
            <w:noWrap/>
            <w:vAlign w:val="bottom"/>
            <w:hideMark/>
          </w:tcPr>
          <w:p w:rsidRPr="00E349A5" w:rsidR="00AF66CB" w:rsidP="00931F21" w:rsidRDefault="00AF66CB" w14:paraId="353A1B65"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$150,000 </w:t>
            </w:r>
          </w:p>
        </w:tc>
        <w:tc>
          <w:tcPr>
            <w:tcW w:w="1407" w:type="dxa"/>
            <w:shd w:val="clear" w:color="auto" w:fill="auto"/>
            <w:noWrap/>
            <w:vAlign w:val="bottom"/>
            <w:hideMark/>
          </w:tcPr>
          <w:p w:rsidRPr="00E349A5" w:rsidR="00AF66CB" w:rsidP="00931F21" w:rsidRDefault="00AF66CB" w14:paraId="1139C371"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$300,000 </w:t>
            </w:r>
          </w:p>
        </w:tc>
        <w:tc>
          <w:tcPr>
            <w:tcW w:w="1395" w:type="dxa"/>
            <w:shd w:val="clear" w:color="auto" w:fill="auto"/>
            <w:noWrap/>
            <w:vAlign w:val="bottom"/>
            <w:hideMark/>
          </w:tcPr>
          <w:p w:rsidRPr="00E349A5" w:rsidR="00AF66CB" w:rsidP="00931F21" w:rsidRDefault="00AF66CB" w14:paraId="700B800B"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$250,000 </w:t>
            </w:r>
          </w:p>
        </w:tc>
        <w:tc>
          <w:tcPr>
            <w:tcW w:w="1454" w:type="dxa"/>
            <w:shd w:val="clear" w:color="auto" w:fill="auto"/>
            <w:noWrap/>
            <w:vAlign w:val="bottom"/>
            <w:hideMark/>
          </w:tcPr>
          <w:p w:rsidRPr="00E349A5" w:rsidR="00AF66CB" w:rsidP="00931F21" w:rsidRDefault="00AF66CB" w14:paraId="043C1678"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$700,000 </w:t>
            </w:r>
          </w:p>
        </w:tc>
      </w:tr>
      <w:tr w:rsidRPr="00E349A5" w:rsidR="00AF66CB" w:rsidTr="00F60286" w14:paraId="72D40F34" w14:textId="77777777">
        <w:trPr>
          <w:trHeight w:val="269"/>
          <w:jc w:val="center"/>
        </w:trPr>
        <w:tc>
          <w:tcPr>
            <w:tcW w:w="3327" w:type="dxa"/>
            <w:shd w:val="clear" w:color="auto" w:fill="auto"/>
            <w:noWrap/>
            <w:vAlign w:val="bottom"/>
            <w:hideMark/>
          </w:tcPr>
          <w:p w:rsidRPr="00E349A5" w:rsidR="00AF66CB" w:rsidP="00931F21" w:rsidRDefault="00AF66CB" w14:paraId="1A8F34C0" w14:textId="77777777">
            <w:pPr>
              <w:rPr>
                <w:rFonts w:eastAsia="Times New Roman" w:cs="Times New Roman"/>
                <w:color w:val="000000"/>
                <w:sz w:val="22"/>
                <w:szCs w:val="22"/>
              </w:rPr>
            </w:pPr>
            <w:r w:rsidRPr="00E349A5">
              <w:rPr>
                <w:rFonts w:eastAsia="Times New Roman" w:cs="Times New Roman"/>
                <w:color w:val="000000"/>
                <w:sz w:val="22"/>
                <w:szCs w:val="22"/>
              </w:rPr>
              <w:t>Bill Messaging</w:t>
            </w:r>
          </w:p>
        </w:tc>
        <w:tc>
          <w:tcPr>
            <w:tcW w:w="1497" w:type="dxa"/>
            <w:shd w:val="clear" w:color="auto" w:fill="auto"/>
            <w:noWrap/>
            <w:vAlign w:val="bottom"/>
            <w:hideMark/>
          </w:tcPr>
          <w:p w:rsidRPr="00E349A5" w:rsidR="00AF66CB" w:rsidP="00931F21" w:rsidRDefault="00AF66CB" w14:paraId="02E771E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07" w:type="dxa"/>
            <w:shd w:val="clear" w:color="auto" w:fill="auto"/>
            <w:noWrap/>
            <w:vAlign w:val="bottom"/>
            <w:hideMark/>
          </w:tcPr>
          <w:p w:rsidRPr="00E349A5" w:rsidR="00AF66CB" w:rsidP="00931F21" w:rsidRDefault="00AF66CB" w14:paraId="0409A80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$40,000 </w:t>
            </w:r>
          </w:p>
        </w:tc>
        <w:tc>
          <w:tcPr>
            <w:tcW w:w="1395" w:type="dxa"/>
            <w:shd w:val="clear" w:color="auto" w:fill="auto"/>
            <w:noWrap/>
            <w:vAlign w:val="bottom"/>
            <w:hideMark/>
          </w:tcPr>
          <w:p w:rsidRPr="00E349A5" w:rsidR="00AF66CB" w:rsidP="00931F21" w:rsidRDefault="00AF66CB" w14:paraId="0180BB3E"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$20,000 </w:t>
            </w:r>
          </w:p>
        </w:tc>
        <w:tc>
          <w:tcPr>
            <w:tcW w:w="1454" w:type="dxa"/>
            <w:shd w:val="clear" w:color="auto" w:fill="auto"/>
            <w:noWrap/>
            <w:vAlign w:val="bottom"/>
            <w:hideMark/>
          </w:tcPr>
          <w:p w:rsidRPr="00E349A5" w:rsidR="00AF66CB" w:rsidP="00931F21" w:rsidRDefault="00AF66CB" w14:paraId="429BECB1"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$80,000 </w:t>
            </w:r>
          </w:p>
        </w:tc>
      </w:tr>
      <w:tr w:rsidRPr="00E349A5" w:rsidR="00AF66CB" w:rsidTr="00F60286" w14:paraId="3E089184" w14:textId="77777777">
        <w:trPr>
          <w:trHeight w:val="300"/>
          <w:jc w:val="center"/>
        </w:trPr>
        <w:tc>
          <w:tcPr>
            <w:tcW w:w="3327" w:type="dxa"/>
            <w:shd w:val="clear" w:color="auto" w:fill="auto"/>
            <w:noWrap/>
            <w:vAlign w:val="bottom"/>
            <w:hideMark/>
          </w:tcPr>
          <w:p w:rsidRPr="00E349A5" w:rsidR="00AF66CB" w:rsidP="00931F21" w:rsidRDefault="00AF66CB" w14:paraId="4C58388C" w14:textId="4210C558">
            <w:pPr>
              <w:rPr>
                <w:rFonts w:eastAsia="Times New Roman" w:cs="Times New Roman"/>
                <w:color w:val="000000"/>
                <w:sz w:val="22"/>
                <w:szCs w:val="22"/>
              </w:rPr>
            </w:pPr>
            <w:r w:rsidRPr="00CD6634">
              <w:rPr>
                <w:rFonts w:eastAsia="Times New Roman" w:cs="Times New Roman"/>
                <w:color w:val="000000"/>
                <w:sz w:val="22"/>
                <w:szCs w:val="22"/>
              </w:rPr>
              <w:t>Direct Communication</w:t>
            </w:r>
          </w:p>
        </w:tc>
        <w:tc>
          <w:tcPr>
            <w:tcW w:w="1497" w:type="dxa"/>
            <w:shd w:val="clear" w:color="auto" w:fill="auto"/>
            <w:noWrap/>
            <w:vAlign w:val="bottom"/>
            <w:hideMark/>
          </w:tcPr>
          <w:p w:rsidRPr="00E349A5" w:rsidR="00AF66CB" w:rsidP="00931F21" w:rsidRDefault="00AF66CB" w14:paraId="6F7E3A08"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$0 </w:t>
            </w:r>
          </w:p>
        </w:tc>
        <w:tc>
          <w:tcPr>
            <w:tcW w:w="1407" w:type="dxa"/>
            <w:shd w:val="clear" w:color="auto" w:fill="auto"/>
            <w:noWrap/>
            <w:vAlign w:val="bottom"/>
            <w:hideMark/>
          </w:tcPr>
          <w:p w:rsidRPr="00E349A5" w:rsidR="00AF66CB" w:rsidP="00931F21" w:rsidRDefault="00AF66CB" w14:paraId="588549AE"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646,880</w:t>
            </w:r>
          </w:p>
        </w:tc>
        <w:tc>
          <w:tcPr>
            <w:tcW w:w="1395" w:type="dxa"/>
            <w:shd w:val="clear" w:color="auto" w:fill="auto"/>
            <w:noWrap/>
            <w:vAlign w:val="bottom"/>
            <w:hideMark/>
          </w:tcPr>
          <w:p w:rsidRPr="00E349A5" w:rsidR="00AF66CB" w:rsidP="00931F21" w:rsidRDefault="00AF66CB" w14:paraId="0C686CF5"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323,440</w:t>
            </w:r>
            <w:r w:rsidRPr="00E349A5">
              <w:rPr>
                <w:rFonts w:eastAsia="Times New Roman" w:cs="Times New Roman"/>
                <w:color w:val="000000"/>
                <w:sz w:val="22"/>
                <w:szCs w:val="22"/>
              </w:rPr>
              <w:t xml:space="preserve"> </w:t>
            </w:r>
          </w:p>
        </w:tc>
        <w:tc>
          <w:tcPr>
            <w:tcW w:w="1454" w:type="dxa"/>
            <w:shd w:val="clear" w:color="auto" w:fill="auto"/>
            <w:noWrap/>
            <w:vAlign w:val="bottom"/>
            <w:hideMark/>
          </w:tcPr>
          <w:p w:rsidRPr="00E349A5" w:rsidR="00AF66CB" w:rsidP="00931F21" w:rsidRDefault="00AF66CB" w14:paraId="1D28B731"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970,320</w:t>
            </w:r>
            <w:r w:rsidRPr="00E349A5">
              <w:rPr>
                <w:rFonts w:eastAsia="Times New Roman" w:cs="Times New Roman"/>
                <w:color w:val="000000"/>
                <w:sz w:val="22"/>
                <w:szCs w:val="22"/>
              </w:rPr>
              <w:t xml:space="preserve"> </w:t>
            </w:r>
          </w:p>
        </w:tc>
      </w:tr>
      <w:tr w:rsidRPr="00E349A5" w:rsidR="00AF66CB" w:rsidTr="00F60286" w14:paraId="1CCD6C5A" w14:textId="77777777">
        <w:trPr>
          <w:trHeight w:val="300"/>
          <w:jc w:val="center"/>
        </w:trPr>
        <w:tc>
          <w:tcPr>
            <w:tcW w:w="3327" w:type="dxa"/>
            <w:shd w:val="clear" w:color="auto" w:fill="auto"/>
            <w:noWrap/>
            <w:vAlign w:val="bottom"/>
            <w:hideMark/>
          </w:tcPr>
          <w:p w:rsidRPr="00E349A5" w:rsidR="00AF66CB" w:rsidP="00931F21" w:rsidRDefault="00AF66CB" w14:paraId="69C35010" w14:textId="77777777">
            <w:pPr>
              <w:rPr>
                <w:rFonts w:eastAsia="Times New Roman" w:cs="Times New Roman"/>
                <w:color w:val="000000"/>
                <w:sz w:val="22"/>
                <w:szCs w:val="22"/>
              </w:rPr>
            </w:pPr>
            <w:r w:rsidRPr="00E349A5">
              <w:rPr>
                <w:rFonts w:eastAsia="Times New Roman" w:cs="Times New Roman"/>
                <w:color w:val="000000"/>
                <w:sz w:val="22"/>
                <w:szCs w:val="22"/>
              </w:rPr>
              <w:t>Integrated Communications</w:t>
            </w:r>
          </w:p>
        </w:tc>
        <w:tc>
          <w:tcPr>
            <w:tcW w:w="1497" w:type="dxa"/>
            <w:shd w:val="clear" w:color="auto" w:fill="auto"/>
            <w:noWrap/>
            <w:vAlign w:val="bottom"/>
            <w:hideMark/>
          </w:tcPr>
          <w:p w:rsidRPr="00E349A5" w:rsidR="00AF66CB" w:rsidP="00931F21" w:rsidRDefault="00AF66CB" w14:paraId="04E37139"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407" w:type="dxa"/>
            <w:shd w:val="clear" w:color="auto" w:fill="auto"/>
            <w:noWrap/>
            <w:vAlign w:val="bottom"/>
            <w:hideMark/>
          </w:tcPr>
          <w:p w:rsidRPr="00E349A5" w:rsidR="00AF66CB" w:rsidP="00931F21" w:rsidRDefault="00AF66CB" w14:paraId="247B5167"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395" w:type="dxa"/>
            <w:shd w:val="clear" w:color="auto" w:fill="auto"/>
            <w:noWrap/>
            <w:vAlign w:val="bottom"/>
            <w:hideMark/>
          </w:tcPr>
          <w:p w:rsidRPr="00E349A5" w:rsidR="00AF66CB" w:rsidP="00931F21" w:rsidRDefault="00AF66CB" w14:paraId="29EEB104"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 </w:t>
            </w:r>
          </w:p>
        </w:tc>
        <w:tc>
          <w:tcPr>
            <w:tcW w:w="1454" w:type="dxa"/>
            <w:shd w:val="clear" w:color="auto" w:fill="auto"/>
            <w:noWrap/>
            <w:vAlign w:val="bottom"/>
            <w:hideMark/>
          </w:tcPr>
          <w:p w:rsidRPr="00E349A5" w:rsidR="00AF66CB" w:rsidP="00931F21" w:rsidRDefault="00AF66CB" w14:paraId="45099CB4"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$30,000 </w:t>
            </w:r>
          </w:p>
        </w:tc>
      </w:tr>
      <w:tr w:rsidRPr="00E349A5" w:rsidR="00AF66CB" w:rsidTr="00F60286" w14:paraId="687E3E15" w14:textId="77777777">
        <w:trPr>
          <w:trHeight w:val="300"/>
          <w:jc w:val="center"/>
        </w:trPr>
        <w:tc>
          <w:tcPr>
            <w:tcW w:w="3327" w:type="dxa"/>
            <w:shd w:val="clear" w:color="auto" w:fill="auto"/>
            <w:noWrap/>
            <w:vAlign w:val="bottom"/>
            <w:hideMark/>
          </w:tcPr>
          <w:p w:rsidRPr="00E349A5" w:rsidR="00AF66CB" w:rsidP="00931F21" w:rsidRDefault="00AF66CB" w14:paraId="0FC26CB3" w14:textId="4C8C9F90">
            <w:pPr>
              <w:rPr>
                <w:rFonts w:eastAsia="Times New Roman" w:cs="Times New Roman"/>
                <w:color w:val="000000"/>
                <w:sz w:val="22"/>
                <w:szCs w:val="22"/>
              </w:rPr>
            </w:pPr>
            <w:r w:rsidRPr="00CD6634">
              <w:rPr>
                <w:rFonts w:eastAsia="Times New Roman" w:cs="Times New Roman"/>
                <w:color w:val="000000"/>
                <w:sz w:val="22"/>
                <w:szCs w:val="22"/>
              </w:rPr>
              <w:t>Internal Labor</w:t>
            </w:r>
          </w:p>
        </w:tc>
        <w:tc>
          <w:tcPr>
            <w:tcW w:w="1497" w:type="dxa"/>
            <w:shd w:val="clear" w:color="auto" w:fill="auto"/>
            <w:noWrap/>
            <w:vAlign w:val="bottom"/>
            <w:hideMark/>
          </w:tcPr>
          <w:p w:rsidRPr="00E349A5" w:rsidR="00AF66CB" w:rsidP="00931F21" w:rsidRDefault="00AF66CB" w14:paraId="30D0C4C1" w14:textId="77777777">
            <w:pPr>
              <w:jc w:val="right"/>
              <w:rPr>
                <w:rFonts w:eastAsia="Times New Roman" w:cs="Times New Roman"/>
                <w:color w:val="000000"/>
                <w:sz w:val="22"/>
                <w:szCs w:val="22"/>
              </w:rPr>
            </w:pPr>
            <w:r w:rsidRPr="00E349A5">
              <w:rPr>
                <w:rFonts w:eastAsia="Times New Roman" w:cs="Times New Roman"/>
                <w:color w:val="000000"/>
                <w:sz w:val="22"/>
                <w:szCs w:val="22"/>
              </w:rPr>
              <w:t>$1</w:t>
            </w:r>
            <w:r>
              <w:rPr>
                <w:rFonts w:eastAsia="Times New Roman" w:cs="Times New Roman"/>
                <w:color w:val="000000"/>
                <w:sz w:val="22"/>
                <w:szCs w:val="22"/>
              </w:rPr>
              <w:t>17</w:t>
            </w:r>
            <w:r w:rsidRPr="00E349A5">
              <w:rPr>
                <w:rFonts w:eastAsia="Times New Roman" w:cs="Times New Roman"/>
                <w:color w:val="000000"/>
                <w:sz w:val="22"/>
                <w:szCs w:val="22"/>
              </w:rPr>
              <w:t xml:space="preserve">,000 </w:t>
            </w:r>
          </w:p>
        </w:tc>
        <w:tc>
          <w:tcPr>
            <w:tcW w:w="1407" w:type="dxa"/>
            <w:shd w:val="clear" w:color="auto" w:fill="auto"/>
            <w:noWrap/>
            <w:vAlign w:val="bottom"/>
            <w:hideMark/>
          </w:tcPr>
          <w:p w:rsidRPr="00E349A5" w:rsidR="00AF66CB" w:rsidP="00931F21" w:rsidRDefault="00AF66CB" w14:paraId="5418DCA8" w14:textId="77777777">
            <w:pPr>
              <w:jc w:val="right"/>
              <w:rPr>
                <w:rFonts w:eastAsia="Times New Roman" w:cs="Times New Roman"/>
                <w:color w:val="000000"/>
                <w:sz w:val="22"/>
                <w:szCs w:val="22"/>
              </w:rPr>
            </w:pPr>
            <w:r w:rsidRPr="00E349A5">
              <w:rPr>
                <w:rFonts w:eastAsia="Times New Roman" w:cs="Times New Roman"/>
                <w:color w:val="000000"/>
                <w:sz w:val="22"/>
                <w:szCs w:val="22"/>
              </w:rPr>
              <w:t>$</w:t>
            </w:r>
            <w:r>
              <w:rPr>
                <w:rFonts w:eastAsia="Times New Roman" w:cs="Times New Roman"/>
                <w:color w:val="000000"/>
                <w:sz w:val="22"/>
                <w:szCs w:val="22"/>
              </w:rPr>
              <w:t>162</w:t>
            </w:r>
            <w:r w:rsidRPr="00E349A5">
              <w:rPr>
                <w:rFonts w:eastAsia="Times New Roman" w:cs="Times New Roman"/>
                <w:color w:val="000000"/>
                <w:sz w:val="22"/>
                <w:szCs w:val="22"/>
              </w:rPr>
              <w:t xml:space="preserve">,000 </w:t>
            </w:r>
          </w:p>
        </w:tc>
        <w:tc>
          <w:tcPr>
            <w:tcW w:w="1395" w:type="dxa"/>
            <w:shd w:val="clear" w:color="auto" w:fill="auto"/>
            <w:noWrap/>
            <w:vAlign w:val="bottom"/>
            <w:hideMark/>
          </w:tcPr>
          <w:p w:rsidRPr="00E349A5" w:rsidR="00AF66CB" w:rsidP="00931F21" w:rsidRDefault="00AF66CB" w14:paraId="58D5E9E1" w14:textId="77777777">
            <w:pPr>
              <w:jc w:val="right"/>
              <w:rPr>
                <w:rFonts w:eastAsia="Times New Roman" w:cs="Times New Roman"/>
                <w:color w:val="000000"/>
                <w:sz w:val="22"/>
                <w:szCs w:val="22"/>
              </w:rPr>
            </w:pPr>
            <w:r w:rsidRPr="00E349A5">
              <w:rPr>
                <w:rFonts w:eastAsia="Times New Roman" w:cs="Times New Roman"/>
                <w:color w:val="000000"/>
                <w:sz w:val="22"/>
                <w:szCs w:val="22"/>
              </w:rPr>
              <w:t>$1</w:t>
            </w:r>
            <w:r>
              <w:rPr>
                <w:rFonts w:eastAsia="Times New Roman" w:cs="Times New Roman"/>
                <w:color w:val="000000"/>
                <w:sz w:val="22"/>
                <w:szCs w:val="22"/>
              </w:rPr>
              <w:t>98</w:t>
            </w:r>
            <w:r w:rsidRPr="00E349A5">
              <w:rPr>
                <w:rFonts w:eastAsia="Times New Roman" w:cs="Times New Roman"/>
                <w:color w:val="000000"/>
                <w:sz w:val="22"/>
                <w:szCs w:val="22"/>
              </w:rPr>
              <w:t xml:space="preserve">,000 </w:t>
            </w:r>
          </w:p>
        </w:tc>
        <w:tc>
          <w:tcPr>
            <w:tcW w:w="1454" w:type="dxa"/>
            <w:shd w:val="clear" w:color="auto" w:fill="auto"/>
            <w:noWrap/>
            <w:vAlign w:val="bottom"/>
            <w:hideMark/>
          </w:tcPr>
          <w:p w:rsidRPr="00E349A5" w:rsidR="00AF66CB" w:rsidP="00931F21" w:rsidRDefault="00AF66CB" w14:paraId="217A3634" w14:textId="77777777">
            <w:pPr>
              <w:jc w:val="right"/>
              <w:rPr>
                <w:rFonts w:eastAsia="Times New Roman" w:cs="Times New Roman"/>
                <w:color w:val="000000"/>
                <w:sz w:val="22"/>
                <w:szCs w:val="22"/>
              </w:rPr>
            </w:pPr>
            <w:r w:rsidRPr="00E349A5">
              <w:rPr>
                <w:rFonts w:eastAsia="Times New Roman" w:cs="Times New Roman"/>
                <w:color w:val="000000"/>
                <w:sz w:val="22"/>
                <w:szCs w:val="22"/>
              </w:rPr>
              <w:t>$4</w:t>
            </w:r>
            <w:r>
              <w:rPr>
                <w:rFonts w:eastAsia="Times New Roman" w:cs="Times New Roman"/>
                <w:color w:val="000000"/>
                <w:sz w:val="22"/>
                <w:szCs w:val="22"/>
              </w:rPr>
              <w:t>77</w:t>
            </w:r>
            <w:r w:rsidRPr="00E349A5">
              <w:rPr>
                <w:rFonts w:eastAsia="Times New Roman" w:cs="Times New Roman"/>
                <w:color w:val="000000"/>
                <w:sz w:val="22"/>
                <w:szCs w:val="22"/>
              </w:rPr>
              <w:t xml:space="preserve">,000 </w:t>
            </w:r>
          </w:p>
        </w:tc>
      </w:tr>
      <w:tr w:rsidRPr="00E349A5" w:rsidR="00AF66CB" w:rsidTr="00F60286" w14:paraId="5682D2CD" w14:textId="77777777">
        <w:trPr>
          <w:trHeight w:val="300"/>
          <w:jc w:val="center"/>
        </w:trPr>
        <w:tc>
          <w:tcPr>
            <w:tcW w:w="3327" w:type="dxa"/>
            <w:shd w:val="clear" w:color="auto" w:fill="auto"/>
            <w:noWrap/>
            <w:vAlign w:val="bottom"/>
            <w:hideMark/>
          </w:tcPr>
          <w:p w:rsidRPr="00E349A5" w:rsidR="00AF66CB" w:rsidP="00931F21" w:rsidRDefault="00AF66CB" w14:paraId="4E2099A0" w14:textId="77777777">
            <w:pPr>
              <w:rPr>
                <w:rFonts w:eastAsia="Times New Roman" w:cs="Times New Roman"/>
                <w:color w:val="000000"/>
                <w:sz w:val="22"/>
                <w:szCs w:val="22"/>
              </w:rPr>
            </w:pPr>
            <w:r w:rsidRPr="00E349A5">
              <w:rPr>
                <w:rFonts w:eastAsia="Times New Roman" w:cs="Times New Roman"/>
                <w:color w:val="000000"/>
                <w:sz w:val="22"/>
                <w:szCs w:val="22"/>
              </w:rPr>
              <w:t>Agency Support/External Labor</w:t>
            </w:r>
          </w:p>
        </w:tc>
        <w:tc>
          <w:tcPr>
            <w:tcW w:w="1497" w:type="dxa"/>
            <w:shd w:val="clear" w:color="auto" w:fill="auto"/>
            <w:noWrap/>
            <w:vAlign w:val="bottom"/>
            <w:hideMark/>
          </w:tcPr>
          <w:p w:rsidRPr="00E349A5" w:rsidR="00AF66CB" w:rsidP="00931F21" w:rsidRDefault="00AF66CB" w14:paraId="53B25B7A"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$120,000 </w:t>
            </w:r>
          </w:p>
        </w:tc>
        <w:tc>
          <w:tcPr>
            <w:tcW w:w="1407" w:type="dxa"/>
            <w:shd w:val="clear" w:color="auto" w:fill="auto"/>
            <w:noWrap/>
            <w:vAlign w:val="bottom"/>
            <w:hideMark/>
          </w:tcPr>
          <w:p w:rsidRPr="00E349A5" w:rsidR="00AF66CB" w:rsidP="00931F21" w:rsidRDefault="00AF66CB" w14:paraId="7C6C34A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$120,000 </w:t>
            </w:r>
          </w:p>
        </w:tc>
        <w:tc>
          <w:tcPr>
            <w:tcW w:w="1395" w:type="dxa"/>
            <w:shd w:val="clear" w:color="auto" w:fill="auto"/>
            <w:noWrap/>
            <w:vAlign w:val="bottom"/>
            <w:hideMark/>
          </w:tcPr>
          <w:p w:rsidRPr="00E349A5" w:rsidR="00AF66CB" w:rsidP="00931F21" w:rsidRDefault="00AF66CB" w14:paraId="5E2DDD7D"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$100,000 </w:t>
            </w:r>
          </w:p>
        </w:tc>
        <w:tc>
          <w:tcPr>
            <w:tcW w:w="1454" w:type="dxa"/>
            <w:shd w:val="clear" w:color="auto" w:fill="auto"/>
            <w:noWrap/>
            <w:vAlign w:val="bottom"/>
            <w:hideMark/>
          </w:tcPr>
          <w:p w:rsidRPr="00E349A5" w:rsidR="00AF66CB" w:rsidP="00931F21" w:rsidRDefault="00AF66CB" w14:paraId="2096DC01" w14:textId="77777777">
            <w:pPr>
              <w:jc w:val="right"/>
              <w:rPr>
                <w:rFonts w:eastAsia="Times New Roman" w:cs="Times New Roman"/>
                <w:color w:val="000000"/>
                <w:sz w:val="22"/>
                <w:szCs w:val="22"/>
              </w:rPr>
            </w:pPr>
            <w:r w:rsidRPr="00E349A5">
              <w:rPr>
                <w:rFonts w:eastAsia="Times New Roman" w:cs="Times New Roman"/>
                <w:color w:val="000000"/>
                <w:sz w:val="22"/>
                <w:szCs w:val="22"/>
              </w:rPr>
              <w:t xml:space="preserve">$340,000 </w:t>
            </w:r>
          </w:p>
        </w:tc>
      </w:tr>
      <w:tr w:rsidRPr="00E349A5" w:rsidR="00AF66CB" w:rsidTr="00F60286" w14:paraId="2FA8855F" w14:textId="77777777">
        <w:trPr>
          <w:trHeight w:val="300"/>
          <w:jc w:val="center"/>
        </w:trPr>
        <w:tc>
          <w:tcPr>
            <w:tcW w:w="3327" w:type="dxa"/>
            <w:shd w:val="clear" w:color="auto" w:fill="auto"/>
            <w:noWrap/>
            <w:vAlign w:val="bottom"/>
            <w:hideMark/>
          </w:tcPr>
          <w:p w:rsidRPr="007F49DD" w:rsidR="00AF66CB" w:rsidP="00931F21" w:rsidRDefault="00AF66CB" w14:paraId="73DDE467" w14:textId="77777777">
            <w:pPr>
              <w:jc w:val="right"/>
              <w:rPr>
                <w:rFonts w:eastAsia="Times New Roman" w:cs="Times New Roman"/>
                <w:b/>
                <w:bCs/>
                <w:color w:val="000000"/>
                <w:sz w:val="22"/>
                <w:szCs w:val="22"/>
              </w:rPr>
            </w:pPr>
            <w:r w:rsidRPr="007F49DD">
              <w:rPr>
                <w:rFonts w:eastAsia="Times New Roman" w:cs="Times New Roman"/>
                <w:b/>
                <w:bCs/>
                <w:color w:val="000000"/>
                <w:sz w:val="22"/>
                <w:szCs w:val="22"/>
              </w:rPr>
              <w:t>Total</w:t>
            </w:r>
          </w:p>
        </w:tc>
        <w:tc>
          <w:tcPr>
            <w:tcW w:w="1497" w:type="dxa"/>
            <w:shd w:val="clear" w:color="auto" w:fill="auto"/>
            <w:noWrap/>
            <w:vAlign w:val="bottom"/>
            <w:hideMark/>
          </w:tcPr>
          <w:p w:rsidRPr="00E349A5" w:rsidR="00AF66CB" w:rsidP="00931F21" w:rsidRDefault="00AF66CB" w14:paraId="22902CC5" w14:textId="77777777">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w:t>
            </w:r>
            <w:r>
              <w:rPr>
                <w:rFonts w:eastAsia="Times New Roman" w:cs="Times New Roman"/>
                <w:b/>
                <w:bCs/>
                <w:color w:val="000000"/>
                <w:sz w:val="22"/>
                <w:szCs w:val="22"/>
              </w:rPr>
              <w:t>667</w:t>
            </w:r>
            <w:r w:rsidRPr="00E349A5">
              <w:rPr>
                <w:rFonts w:eastAsia="Times New Roman" w:cs="Times New Roman"/>
                <w:b/>
                <w:bCs/>
                <w:color w:val="000000"/>
                <w:sz w:val="22"/>
                <w:szCs w:val="22"/>
              </w:rPr>
              <w:t xml:space="preserve">,000 </w:t>
            </w:r>
          </w:p>
        </w:tc>
        <w:tc>
          <w:tcPr>
            <w:tcW w:w="1407" w:type="dxa"/>
            <w:shd w:val="clear" w:color="auto" w:fill="auto"/>
            <w:noWrap/>
            <w:vAlign w:val="bottom"/>
            <w:hideMark/>
          </w:tcPr>
          <w:p w:rsidRPr="00E349A5" w:rsidR="00AF66CB" w:rsidP="00931F21" w:rsidRDefault="00AF66CB" w14:paraId="10124408" w14:textId="77777777">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$1,</w:t>
            </w:r>
            <w:r>
              <w:rPr>
                <w:rFonts w:eastAsia="Times New Roman" w:cs="Times New Roman"/>
                <w:b/>
                <w:bCs/>
                <w:color w:val="000000"/>
                <w:sz w:val="22"/>
                <w:szCs w:val="22"/>
              </w:rPr>
              <w:t>338,880</w:t>
            </w:r>
            <w:r w:rsidRPr="00E349A5">
              <w:rPr>
                <w:rFonts w:eastAsia="Times New Roman" w:cs="Times New Roman"/>
                <w:b/>
                <w:bCs/>
                <w:color w:val="000000"/>
                <w:sz w:val="22"/>
                <w:szCs w:val="22"/>
              </w:rPr>
              <w:t xml:space="preserve"> </w:t>
            </w:r>
          </w:p>
        </w:tc>
        <w:tc>
          <w:tcPr>
            <w:tcW w:w="1395" w:type="dxa"/>
            <w:shd w:val="clear" w:color="auto" w:fill="auto"/>
            <w:noWrap/>
            <w:vAlign w:val="bottom"/>
            <w:hideMark/>
          </w:tcPr>
          <w:p w:rsidRPr="00E349A5" w:rsidR="00AF66CB" w:rsidP="00931F21" w:rsidRDefault="00AF66CB" w14:paraId="27C89ECE" w14:textId="77777777">
            <w:pPr>
              <w:jc w:val="right"/>
              <w:rPr>
                <w:rFonts w:eastAsia="Times New Roman" w:cs="Times New Roman"/>
                <w:b/>
                <w:bCs/>
                <w:color w:val="000000"/>
                <w:sz w:val="22"/>
                <w:szCs w:val="22"/>
              </w:rPr>
            </w:pPr>
            <w:r w:rsidRPr="00E349A5">
              <w:rPr>
                <w:rFonts w:eastAsia="Times New Roman" w:cs="Times New Roman"/>
                <w:b/>
                <w:bCs/>
                <w:color w:val="000000"/>
                <w:sz w:val="22"/>
                <w:szCs w:val="22"/>
              </w:rPr>
              <w:t xml:space="preserve"> $</w:t>
            </w:r>
            <w:r>
              <w:rPr>
                <w:rFonts w:eastAsia="Times New Roman" w:cs="Times New Roman"/>
                <w:b/>
                <w:bCs/>
                <w:color w:val="000000"/>
                <w:sz w:val="22"/>
                <w:szCs w:val="22"/>
              </w:rPr>
              <w:t>1,191,440</w:t>
            </w:r>
            <w:r w:rsidRPr="00E349A5">
              <w:rPr>
                <w:rFonts w:eastAsia="Times New Roman" w:cs="Times New Roman"/>
                <w:b/>
                <w:bCs/>
                <w:color w:val="000000"/>
                <w:sz w:val="22"/>
                <w:szCs w:val="22"/>
              </w:rPr>
              <w:t xml:space="preserve"> </w:t>
            </w:r>
          </w:p>
        </w:tc>
        <w:tc>
          <w:tcPr>
            <w:tcW w:w="1454" w:type="dxa"/>
            <w:shd w:val="clear" w:color="auto" w:fill="auto"/>
            <w:noWrap/>
            <w:vAlign w:val="bottom"/>
            <w:hideMark/>
          </w:tcPr>
          <w:p w:rsidRPr="00E349A5" w:rsidR="00AF66CB" w:rsidP="00931F21" w:rsidRDefault="00AF66CB" w14:paraId="56810BA4" w14:textId="77777777">
            <w:pPr>
              <w:jc w:val="right"/>
              <w:rPr>
                <w:rFonts w:eastAsia="Times New Roman" w:cs="Times New Roman"/>
                <w:b/>
                <w:bCs/>
                <w:color w:val="000000"/>
                <w:sz w:val="22"/>
                <w:szCs w:val="22"/>
              </w:rPr>
            </w:pPr>
            <w:r w:rsidRPr="5E1BA1D2">
              <w:rPr>
                <w:rFonts w:eastAsia="Times New Roman" w:cs="Times New Roman"/>
                <w:b/>
                <w:color w:val="000000" w:themeColor="text1"/>
                <w:sz w:val="22"/>
                <w:szCs w:val="22"/>
              </w:rPr>
              <w:t xml:space="preserve"> </w:t>
            </w:r>
            <w:r w:rsidRPr="00CD6634">
              <w:rPr>
                <w:rFonts w:eastAsia="Times New Roman" w:cs="Times New Roman"/>
                <w:b/>
                <w:color w:val="000000" w:themeColor="text1"/>
                <w:sz w:val="22"/>
                <w:szCs w:val="22"/>
              </w:rPr>
              <w:t>$3,</w:t>
            </w:r>
            <w:r>
              <w:rPr>
                <w:rFonts w:eastAsia="Times New Roman" w:cs="Times New Roman"/>
                <w:b/>
                <w:color w:val="000000" w:themeColor="text1"/>
                <w:sz w:val="22"/>
                <w:szCs w:val="22"/>
              </w:rPr>
              <w:t>197,320</w:t>
            </w:r>
            <w:r w:rsidRPr="5E1BA1D2">
              <w:rPr>
                <w:rFonts w:eastAsia="Times New Roman" w:cs="Times New Roman"/>
                <w:b/>
                <w:color w:val="000000" w:themeColor="text1"/>
                <w:sz w:val="22"/>
                <w:szCs w:val="22"/>
              </w:rPr>
              <w:t xml:space="preserve"> </w:t>
            </w:r>
          </w:p>
        </w:tc>
      </w:tr>
    </w:tbl>
    <w:p w:rsidR="00B91B19" w:rsidP="5E1BA1D2" w:rsidRDefault="00B91B19" w14:paraId="45CA8535" w14:textId="77777777"/>
    <w:p w:rsidRPr="0067681A" w:rsidR="0067681A" w:rsidP="00FF5D78" w:rsidRDefault="0067681A" w14:paraId="78CA5BCD" w14:textId="1BD8F38E">
      <w:pPr>
        <w:pStyle w:val="Heading2"/>
        <w:ind w:left="360"/>
      </w:pPr>
      <w:r>
        <w:t>Facilitation Contractor</w:t>
      </w:r>
    </w:p>
    <w:p w:rsidR="0CA26D0F" w:rsidP="00992A70" w:rsidRDefault="22423299" w14:paraId="4645E57C" w14:textId="7AED04F6">
      <w:pPr>
        <w:rPr>
          <w:rFonts w:eastAsia="Palatino Linotype" w:cs="Palatino Linotype"/>
        </w:rPr>
      </w:pPr>
      <w:r w:rsidRPr="7158D1CF">
        <w:rPr>
          <w:rFonts w:eastAsia="Palatino Linotype" w:cs="Palatino Linotype"/>
        </w:rPr>
        <w:t xml:space="preserve">In D.24-05-028, the Commission directed PG&amp;E to issue a request for proposal (RFP) and </w:t>
      </w:r>
      <w:r w:rsidRPr="7158D1CF" w:rsidR="17491689">
        <w:rPr>
          <w:rFonts w:eastAsia="Palatino Linotype" w:cs="Palatino Linotype"/>
        </w:rPr>
        <w:t>execute</w:t>
      </w:r>
      <w:r w:rsidRPr="7158D1CF">
        <w:rPr>
          <w:rFonts w:eastAsia="Palatino Linotype" w:cs="Palatino Linotype"/>
        </w:rPr>
        <w:t xml:space="preserve"> a contract with a </w:t>
      </w:r>
      <w:r w:rsidRPr="7158D1CF" w:rsidR="1763CACF">
        <w:rPr>
          <w:rFonts w:eastAsia="Palatino Linotype" w:cs="Palatino Linotype"/>
        </w:rPr>
        <w:t>Facilitation Contractor</w:t>
      </w:r>
      <w:r w:rsidRPr="7158D1CF">
        <w:rPr>
          <w:rFonts w:eastAsia="Palatino Linotype" w:cs="Palatino Linotype"/>
        </w:rPr>
        <w:t xml:space="preserve"> with expertise in implementing income verification processes to provide the services described in the </w:t>
      </w:r>
      <w:r w:rsidR="00DB6092">
        <w:rPr>
          <w:rFonts w:eastAsia="Palatino Linotype" w:cs="Palatino Linotype"/>
        </w:rPr>
        <w:t>D</w:t>
      </w:r>
      <w:r w:rsidRPr="7158D1CF">
        <w:rPr>
          <w:rFonts w:eastAsia="Palatino Linotype" w:cs="Palatino Linotype"/>
        </w:rPr>
        <w:t xml:space="preserve">ecision within </w:t>
      </w:r>
      <w:r w:rsidRPr="7158D1CF">
        <w:rPr>
          <w:rFonts w:eastAsia="Palatino Linotype" w:cs="Palatino Linotype"/>
        </w:rPr>
        <w:lastRenderedPageBreak/>
        <w:t xml:space="preserve">eight months of </w:t>
      </w:r>
      <w:r w:rsidRPr="7268475B" w:rsidR="1E303E8B">
        <w:rPr>
          <w:rFonts w:eastAsia="Palatino Linotype" w:cs="Palatino Linotype"/>
        </w:rPr>
        <w:t>its</w:t>
      </w:r>
      <w:r w:rsidRPr="7158D1CF">
        <w:rPr>
          <w:rFonts w:eastAsia="Palatino Linotype" w:cs="Palatino Linotype"/>
        </w:rPr>
        <w:t xml:space="preserve"> issuance date.</w:t>
      </w:r>
      <w:r w:rsidR="00F81733">
        <w:rPr>
          <w:rStyle w:val="FootnoteReference"/>
          <w:rFonts w:eastAsia="Palatino Linotype" w:cs="Palatino Linotype"/>
        </w:rPr>
        <w:footnoteReference w:id="192"/>
      </w:r>
      <w:r w:rsidRPr="7158D1CF">
        <w:rPr>
          <w:rFonts w:eastAsia="Palatino Linotype" w:cs="Palatino Linotype"/>
        </w:rPr>
        <w:t xml:space="preserve"> On July 5, 2024, PG&amp;E initiated the required RFP process, </w:t>
      </w:r>
      <w:r w:rsidR="00E521C0">
        <w:rPr>
          <w:rFonts w:eastAsia="Palatino Linotype" w:cs="Palatino Linotype"/>
        </w:rPr>
        <w:t xml:space="preserve">and issued the RFP on August 6, 2024, </w:t>
      </w:r>
      <w:r w:rsidRPr="7158D1CF">
        <w:rPr>
          <w:rFonts w:eastAsia="Palatino Linotype" w:cs="Palatino Linotype"/>
        </w:rPr>
        <w:t xml:space="preserve">which </w:t>
      </w:r>
      <w:r w:rsidR="00E521C0">
        <w:rPr>
          <w:rFonts w:eastAsia="Palatino Linotype" w:cs="Palatino Linotype"/>
        </w:rPr>
        <w:t>it</w:t>
      </w:r>
      <w:r w:rsidRPr="7158D1CF">
        <w:rPr>
          <w:rFonts w:eastAsia="Palatino Linotype" w:cs="Palatino Linotype"/>
        </w:rPr>
        <w:t xml:space="preserve"> aims to conclude with selecting a finalist approximately three months before</w:t>
      </w:r>
      <w:r w:rsidR="003F22FA">
        <w:rPr>
          <w:rFonts w:eastAsia="Palatino Linotype" w:cs="Palatino Linotype"/>
        </w:rPr>
        <w:t xml:space="preserve"> the</w:t>
      </w:r>
      <w:r w:rsidRPr="7158D1CF">
        <w:rPr>
          <w:rFonts w:eastAsia="Palatino Linotype" w:cs="Palatino Linotype"/>
        </w:rPr>
        <w:t xml:space="preserve"> January 15, 2025, deadline to </w:t>
      </w:r>
      <w:r w:rsidRPr="7158D1CF" w:rsidR="5314BD79">
        <w:rPr>
          <w:rFonts w:eastAsia="Palatino Linotype" w:cs="Palatino Linotype"/>
        </w:rPr>
        <w:t>execute</w:t>
      </w:r>
      <w:r w:rsidRPr="7158D1CF">
        <w:rPr>
          <w:rFonts w:eastAsia="Palatino Linotype" w:cs="Palatino Linotype"/>
        </w:rPr>
        <w:t xml:space="preserve"> a contract.</w:t>
      </w:r>
      <w:r w:rsidR="00F81733">
        <w:rPr>
          <w:rStyle w:val="FootnoteReference"/>
          <w:rFonts w:eastAsia="Palatino Linotype" w:cs="Palatino Linotype"/>
        </w:rPr>
        <w:footnoteReference w:id="193"/>
      </w:r>
    </w:p>
    <w:p w:rsidR="004A4848" w:rsidP="00992A70" w:rsidRDefault="004A4848" w14:paraId="13B417FF" w14:textId="77777777">
      <w:pPr>
        <w:rPr>
          <w:rFonts w:eastAsia="Palatino Linotype" w:cs="Palatino Linotype"/>
        </w:rPr>
      </w:pPr>
    </w:p>
    <w:p w:rsidR="0CA26D0F" w:rsidP="00992A70" w:rsidRDefault="37F7E206" w14:paraId="3685F886" w14:textId="7B1FA08C">
      <w:pPr>
        <w:rPr>
          <w:rFonts w:eastAsia="Palatino Linotype" w:cs="Palatino Linotype"/>
        </w:rPr>
      </w:pPr>
      <w:r w:rsidRPr="7158D1CF">
        <w:rPr>
          <w:rFonts w:eastAsia="Palatino Linotype" w:cs="Palatino Linotype"/>
        </w:rPr>
        <w:t>PG&amp;E estimated t</w:t>
      </w:r>
      <w:r w:rsidRPr="7158D1CF" w:rsidR="22423299">
        <w:rPr>
          <w:rFonts w:eastAsia="Palatino Linotype" w:cs="Palatino Linotype"/>
        </w:rPr>
        <w:t>he cost</w:t>
      </w:r>
      <w:r w:rsidRPr="7158D1CF" w:rsidR="0FC2B68F">
        <w:rPr>
          <w:rFonts w:eastAsia="Palatino Linotype" w:cs="Palatino Linotype"/>
        </w:rPr>
        <w:t xml:space="preserve"> for the Facilitation Contractor</w:t>
      </w:r>
      <w:r w:rsidRPr="7158D1CF" w:rsidR="22423299">
        <w:rPr>
          <w:rFonts w:eastAsia="Palatino Linotype" w:cs="Palatino Linotype"/>
        </w:rPr>
        <w:t xml:space="preserve"> is approximately $2</w:t>
      </w:r>
      <w:r w:rsidR="008E5D22">
        <w:rPr>
          <w:rFonts w:eastAsia="Palatino Linotype" w:cs="Palatino Linotype"/>
        </w:rPr>
        <w:t>5</w:t>
      </w:r>
      <w:r w:rsidRPr="7158D1CF" w:rsidR="22423299">
        <w:rPr>
          <w:rFonts w:eastAsia="Palatino Linotype" w:cs="Palatino Linotype"/>
        </w:rPr>
        <w:t>0,000, which PG&amp;E will initially bear and later partially recover through a co-funding agreement with SCE and SDG&amp;E.</w:t>
      </w:r>
      <w:r w:rsidR="00CA0199">
        <w:rPr>
          <w:rStyle w:val="FootnoteReference"/>
          <w:rFonts w:eastAsia="Palatino Linotype" w:cs="Palatino Linotype"/>
        </w:rPr>
        <w:footnoteReference w:id="194"/>
      </w:r>
      <w:r w:rsidRPr="7158D1CF" w:rsidR="22423299">
        <w:rPr>
          <w:rFonts w:eastAsia="Palatino Linotype" w:cs="Palatino Linotype"/>
        </w:rPr>
        <w:t xml:space="preserve"> PG&amp;E </w:t>
      </w:r>
      <w:r w:rsidRPr="7158D1CF" w:rsidR="695A5CFE">
        <w:rPr>
          <w:rFonts w:eastAsia="Palatino Linotype" w:cs="Palatino Linotype"/>
        </w:rPr>
        <w:t>propose</w:t>
      </w:r>
      <w:r w:rsidR="4F33CCE3">
        <w:rPr>
          <w:rFonts w:eastAsia="Palatino Linotype" w:cs="Palatino Linotype"/>
        </w:rPr>
        <w:t>d</w:t>
      </w:r>
      <w:r w:rsidRPr="7158D1CF" w:rsidR="22423299">
        <w:rPr>
          <w:rFonts w:eastAsia="Palatino Linotype" w:cs="Palatino Linotype"/>
        </w:rPr>
        <w:t xml:space="preserve"> to use the same cost-share allocation</w:t>
      </w:r>
      <w:r w:rsidR="0036560B">
        <w:rPr>
          <w:rFonts w:eastAsia="Palatino Linotype" w:cs="Palatino Linotype"/>
        </w:rPr>
        <w:t xml:space="preserve"> as</w:t>
      </w:r>
      <w:r w:rsidRPr="7158D1CF" w:rsidR="22423299">
        <w:rPr>
          <w:rFonts w:eastAsia="Palatino Linotype" w:cs="Palatino Linotype"/>
        </w:rPr>
        <w:t xml:space="preserve"> the Commission adopted when it approved the December 2022 Joint IOU's motion to establish memorandum accounts for costs to develop the fixed-charge public tool: PG&amp;E 40% ($</w:t>
      </w:r>
      <w:r w:rsidR="00EF34AE">
        <w:rPr>
          <w:rFonts w:eastAsia="Palatino Linotype" w:cs="Palatino Linotype"/>
        </w:rPr>
        <w:t>100</w:t>
      </w:r>
      <w:r w:rsidRPr="7158D1CF" w:rsidR="22423299">
        <w:rPr>
          <w:rFonts w:eastAsia="Palatino Linotype" w:cs="Palatino Linotype"/>
        </w:rPr>
        <w:t>,000), SCE 40% ($</w:t>
      </w:r>
      <w:r w:rsidR="00EF34AE">
        <w:rPr>
          <w:rFonts w:eastAsia="Palatino Linotype" w:cs="Palatino Linotype"/>
        </w:rPr>
        <w:t>100</w:t>
      </w:r>
      <w:r w:rsidRPr="7158D1CF" w:rsidR="22423299">
        <w:rPr>
          <w:rFonts w:eastAsia="Palatino Linotype" w:cs="Palatino Linotype"/>
        </w:rPr>
        <w:t>,000), and SDG&amp;E 20% ($</w:t>
      </w:r>
      <w:r w:rsidR="00EF34AE">
        <w:rPr>
          <w:rFonts w:eastAsia="Palatino Linotype" w:cs="Palatino Linotype"/>
        </w:rPr>
        <w:t>5</w:t>
      </w:r>
      <w:r w:rsidR="00877B21">
        <w:rPr>
          <w:rFonts w:eastAsia="Palatino Linotype" w:cs="Palatino Linotype"/>
        </w:rPr>
        <w:t>0</w:t>
      </w:r>
      <w:r w:rsidRPr="7158D1CF" w:rsidR="22423299">
        <w:rPr>
          <w:rFonts w:eastAsia="Palatino Linotype" w:cs="Palatino Linotype"/>
        </w:rPr>
        <w:t>,000)</w:t>
      </w:r>
      <w:r w:rsidR="00FA1F61">
        <w:rPr>
          <w:rFonts w:eastAsia="Palatino Linotype" w:cs="Palatino Linotype"/>
        </w:rPr>
        <w:t>.</w:t>
      </w:r>
      <w:r w:rsidR="00B623A8">
        <w:rPr>
          <w:rStyle w:val="FootnoteReference"/>
          <w:rFonts w:eastAsia="Palatino Linotype" w:cs="Palatino Linotype"/>
        </w:rPr>
        <w:footnoteReference w:id="195"/>
      </w:r>
      <w:r w:rsidR="00FA1F61">
        <w:rPr>
          <w:rFonts w:eastAsia="Palatino Linotype" w:cs="Palatino Linotype"/>
        </w:rPr>
        <w:t xml:space="preserve"> </w:t>
      </w:r>
      <w:r w:rsidRPr="7158D1CF" w:rsidR="22423299">
        <w:rPr>
          <w:rFonts w:eastAsia="Palatino Linotype" w:cs="Palatino Linotype"/>
        </w:rPr>
        <w:t xml:space="preserve">SDG&amp;E proposed to seek cost recovery of $50,000 for ratepayer reimbursement and track these costs in the </w:t>
      </w:r>
      <w:r w:rsidR="00225BA6">
        <w:rPr>
          <w:rFonts w:eastAsia="Palatino Linotype" w:cs="Palatino Linotype"/>
        </w:rPr>
        <w:t>IGFCMA</w:t>
      </w:r>
      <w:r w:rsidRPr="7158D1CF" w:rsidR="22423299">
        <w:rPr>
          <w:rFonts w:eastAsia="Palatino Linotype" w:cs="Palatino Linotype"/>
        </w:rPr>
        <w:t>.</w:t>
      </w:r>
    </w:p>
    <w:p w:rsidR="002B2B0D" w:rsidP="00992A70" w:rsidRDefault="002B2B0D" w14:paraId="0473F5C6" w14:textId="77777777">
      <w:pPr>
        <w:rPr>
          <w:rFonts w:eastAsia="Palatino Linotype" w:cs="Palatino Linotype"/>
        </w:rPr>
      </w:pPr>
    </w:p>
    <w:p w:rsidR="00FE74E8" w:rsidP="00FE74E8" w:rsidRDefault="00FE74E8" w14:paraId="75AFABA3" w14:textId="4DE8A4A4">
      <w:pPr>
        <w:rPr>
          <w:rFonts w:eastAsia="Palatino Linotype" w:cs="Palatino Linotype"/>
        </w:rPr>
      </w:pPr>
      <w:r>
        <w:t xml:space="preserve">Upon </w:t>
      </w:r>
      <w:r w:rsidRPr="00A578DB">
        <w:t xml:space="preserve">further review of </w:t>
      </w:r>
      <w:r>
        <w:t>AL</w:t>
      </w:r>
      <w:r w:rsidRPr="00A578DB">
        <w:t xml:space="preserve"> 7351-E, PG&amp;E discovered an error in the cost recovery</w:t>
      </w:r>
      <w:r>
        <w:t xml:space="preserve"> </w:t>
      </w:r>
      <w:r w:rsidRPr="00A578DB">
        <w:t>requirements for the Facilitation Contractor</w:t>
      </w:r>
      <w:r w:rsidRPr="00A578DB" w:rsidR="7237163E">
        <w:t>. In</w:t>
      </w:r>
      <w:r>
        <w:t xml:space="preserve"> its supplemental AL, </w:t>
      </w:r>
      <w:r w:rsidRPr="00216F78">
        <w:t>PG&amp;E</w:t>
      </w:r>
      <w:r>
        <w:t xml:space="preserve"> corrected its</w:t>
      </w:r>
      <w:r w:rsidRPr="00216F78">
        <w:t xml:space="preserve"> total cost recovery requirement for</w:t>
      </w:r>
      <w:r>
        <w:t xml:space="preserve"> </w:t>
      </w:r>
      <w:r w:rsidRPr="00216F78">
        <w:t xml:space="preserve">the Facilitation Contractor </w:t>
      </w:r>
      <w:r w:rsidR="001C7E51">
        <w:t>from $250,000</w:t>
      </w:r>
      <w:r w:rsidR="001E3B2F">
        <w:t xml:space="preserve"> </w:t>
      </w:r>
      <w:r>
        <w:t>to</w:t>
      </w:r>
      <w:r w:rsidRPr="00216F78">
        <w:t xml:space="preserve"> $130,000</w:t>
      </w:r>
      <w:r>
        <w:t xml:space="preserve"> </w:t>
      </w:r>
      <w:r w:rsidR="00A24782">
        <w:t>($50,000 for PG&amp;E’s labor costs and $80,000 for PG&amp;E</w:t>
      </w:r>
      <w:r w:rsidR="00FE3FD0">
        <w:t>’s cost-share)</w:t>
      </w:r>
      <w:r w:rsidRPr="00216F78">
        <w:t>.</w:t>
      </w:r>
      <w:r>
        <w:rPr>
          <w:rStyle w:val="FootnoteReference"/>
        </w:rPr>
        <w:footnoteReference w:id="196"/>
      </w:r>
      <w:r>
        <w:t xml:space="preserve"> </w:t>
      </w:r>
      <w:r w:rsidRPr="00216F78">
        <w:t>PG&amp;E</w:t>
      </w:r>
      <w:r>
        <w:t xml:space="preserve"> explained it</w:t>
      </w:r>
      <w:r w:rsidRPr="00216F78">
        <w:t xml:space="preserve"> unintentionally used the full $250,000</w:t>
      </w:r>
      <w:r>
        <w:t xml:space="preserve"> </w:t>
      </w:r>
      <w:r w:rsidRPr="00216F78">
        <w:t>amount in estimating its total cost recovery requirements</w:t>
      </w:r>
      <w:r>
        <w:t xml:space="preserve"> </w:t>
      </w:r>
      <w:r w:rsidR="00667FFA">
        <w:t>instead of $130,000.</w:t>
      </w:r>
      <w:r w:rsidR="00DE7166">
        <w:t xml:space="preserve"> The correction also changed SCE’s and SDG&amp;E’s </w:t>
      </w:r>
      <w:r w:rsidR="007A3080">
        <w:br/>
      </w:r>
      <w:r w:rsidR="00DE7166">
        <w:t>cost-share of the Facilitation Contractor</w:t>
      </w:r>
      <w:r w:rsidR="003B4573">
        <w:t xml:space="preserve"> based on $200,000, from a total of $150,000 to $120,000</w:t>
      </w:r>
      <w:r w:rsidR="00A120B3">
        <w:t>: SCE ($80,000) and SDG&amp;E ($40,000).</w:t>
      </w:r>
    </w:p>
    <w:p w:rsidR="09B86BB1" w:rsidP="09B86BB1" w:rsidRDefault="09B86BB1" w14:paraId="47BBA48E" w14:textId="07B3642A">
      <w:pPr>
        <w:rPr>
          <w:rFonts w:eastAsia="Palatino Linotype" w:cs="Palatino Linotype"/>
        </w:rPr>
      </w:pPr>
    </w:p>
    <w:p w:rsidR="5A3C8CA8" w:rsidP="09B86BB1" w:rsidRDefault="5A3C8CA8" w14:paraId="5AE72EC5" w14:textId="7E623198">
      <w:pPr>
        <w:rPr>
          <w:rFonts w:eastAsia="Palatino Linotype" w:cs="Palatino Linotype"/>
        </w:rPr>
      </w:pPr>
      <w:r w:rsidRPr="09B86BB1">
        <w:rPr>
          <w:rFonts w:eastAsia="Palatino Linotype" w:cs="Palatino Linotype"/>
        </w:rPr>
        <w:t xml:space="preserve">The Commission finds </w:t>
      </w:r>
      <w:r w:rsidR="00152B5B">
        <w:rPr>
          <w:rFonts w:eastAsia="Palatino Linotype" w:cs="Palatino Linotype"/>
        </w:rPr>
        <w:t>SDG&amp;E’s cost</w:t>
      </w:r>
      <w:r w:rsidR="00A44966">
        <w:rPr>
          <w:rFonts w:eastAsia="Palatino Linotype" w:cs="Palatino Linotype"/>
        </w:rPr>
        <w:t>-share</w:t>
      </w:r>
      <w:r w:rsidR="00152B5B">
        <w:rPr>
          <w:rFonts w:eastAsia="Palatino Linotype" w:cs="Palatino Linotype"/>
        </w:rPr>
        <w:t xml:space="preserve"> reasonable</w:t>
      </w:r>
      <w:r w:rsidR="00FB5FDC">
        <w:rPr>
          <w:rFonts w:eastAsia="Palatino Linotype" w:cs="Palatino Linotype"/>
        </w:rPr>
        <w:t xml:space="preserve"> </w:t>
      </w:r>
      <w:r w:rsidR="00363356">
        <w:rPr>
          <w:rFonts w:eastAsia="Palatino Linotype" w:cs="Palatino Linotype"/>
        </w:rPr>
        <w:t xml:space="preserve">for the Facilitation Contractor and approves </w:t>
      </w:r>
      <w:r w:rsidR="00E26FA3">
        <w:rPr>
          <w:rFonts w:eastAsia="Palatino Linotype" w:cs="Palatino Linotype"/>
        </w:rPr>
        <w:t>$40,000 for</w:t>
      </w:r>
      <w:r w:rsidR="002D6A76">
        <w:rPr>
          <w:rFonts w:eastAsia="Palatino Linotype" w:cs="Palatino Linotype"/>
        </w:rPr>
        <w:t xml:space="preserve"> recording in its IGFCMA</w:t>
      </w:r>
      <w:r w:rsidRPr="09B86BB1">
        <w:rPr>
          <w:rFonts w:eastAsia="Palatino Linotype" w:cs="Palatino Linotype"/>
        </w:rPr>
        <w:t>.</w:t>
      </w:r>
    </w:p>
    <w:p w:rsidR="00D5333F" w:rsidP="002B2B0D" w:rsidRDefault="00D5333F" w14:paraId="6A456DC8" w14:textId="77777777"/>
    <w:p w:rsidR="00893829" w:rsidP="00FF5D78" w:rsidRDefault="00C2302B" w14:paraId="2CC8E8BB" w14:textId="0D90E7FD">
      <w:pPr>
        <w:pStyle w:val="Heading2"/>
        <w:ind w:left="360"/>
      </w:pPr>
      <w:r>
        <w:t>Total</w:t>
      </w:r>
      <w:r w:rsidRPr="0067681A" w:rsidR="0067681A">
        <w:t xml:space="preserve"> </w:t>
      </w:r>
      <w:r w:rsidR="144AACC0">
        <w:t xml:space="preserve">Implementation </w:t>
      </w:r>
      <w:r w:rsidRPr="0067681A" w:rsidR="0067681A">
        <w:t>Budget</w:t>
      </w:r>
    </w:p>
    <w:p w:rsidR="009300FA" w:rsidP="00C401B7" w:rsidRDefault="00E36E41" w14:paraId="26FAE870" w14:textId="405EE011">
      <w:pPr>
        <w:pStyle w:val="Heading2"/>
        <w:numPr>
          <w:ilvl w:val="1"/>
          <w:numId w:val="16"/>
        </w:numPr>
      </w:pPr>
      <w:r>
        <w:t xml:space="preserve">Proposed </w:t>
      </w:r>
      <w:r w:rsidR="009300FA">
        <w:t xml:space="preserve">Additional </w:t>
      </w:r>
      <w:r w:rsidR="00A23D30">
        <w:t xml:space="preserve">Implementation </w:t>
      </w:r>
      <w:r w:rsidR="009300FA">
        <w:t>Budget Request</w:t>
      </w:r>
    </w:p>
    <w:p w:rsidR="00C2302B" w:rsidP="00C2302B" w:rsidRDefault="00A27A15" w14:paraId="1C00905C" w14:textId="33DF8F65">
      <w:r w:rsidRPr="00A27A15">
        <w:t xml:space="preserve">In D.24-05-028, the Commission approved an aggregate total of up to $35.6 million for the implementation costs of the </w:t>
      </w:r>
      <w:r w:rsidR="624ABE1A">
        <w:t>L</w:t>
      </w:r>
      <w:r w:rsidRPr="00A27A15" w:rsidR="67A116EE">
        <w:t>arge</w:t>
      </w:r>
      <w:r w:rsidRPr="00A27A15">
        <w:t xml:space="preserve"> IOU</w:t>
      </w:r>
      <w:r w:rsidR="001B3BD0">
        <w:t>s and</w:t>
      </w:r>
      <w:r w:rsidRPr="00A27A15">
        <w:t xml:space="preserve"> directed the IOUs to propose a plan and budget for customer education and outreach through a Tier 3 AL</w:t>
      </w:r>
      <w:r w:rsidR="00630795">
        <w:t>.</w:t>
      </w:r>
      <w:r w:rsidR="00630795">
        <w:rPr>
          <w:rStyle w:val="FootnoteReference"/>
        </w:rPr>
        <w:footnoteReference w:id="197"/>
      </w:r>
      <w:r w:rsidRPr="00A27A15" w:rsidR="00630795">
        <w:t xml:space="preserve"> </w:t>
      </w:r>
      <w:r w:rsidRPr="00A27A15">
        <w:t xml:space="preserve">Table </w:t>
      </w:r>
      <w:r w:rsidR="00F60286">
        <w:t>8</w:t>
      </w:r>
      <w:r w:rsidRPr="00A27A15">
        <w:t xml:space="preserve"> below </w:t>
      </w:r>
      <w:r w:rsidRPr="00A27A15">
        <w:lastRenderedPageBreak/>
        <w:t>provides a breakdown of the activities approved in the Decision. It</w:t>
      </w:r>
      <w:r w:rsidR="009F6FB6">
        <w:t xml:space="preserve"> is </w:t>
      </w:r>
      <w:r w:rsidRPr="00A27A15">
        <w:t xml:space="preserve">important to note that the budget does not include </w:t>
      </w:r>
      <w:r w:rsidR="009F6FB6">
        <w:t>costs</w:t>
      </w:r>
      <w:r w:rsidRPr="00A27A15">
        <w:t xml:space="preserve"> for DRAH implementation for the Tier 2 assignment</w:t>
      </w:r>
      <w:r w:rsidR="00BA401D">
        <w:t xml:space="preserve">, </w:t>
      </w:r>
      <w:r w:rsidRPr="00A27A15">
        <w:t>the ME&amp;O plan</w:t>
      </w:r>
      <w:r w:rsidR="00BA401D">
        <w:t>, and the Facilitation Contractor</w:t>
      </w:r>
      <w:r w:rsidRPr="00A27A15">
        <w:t>.</w:t>
      </w:r>
    </w:p>
    <w:p w:rsidR="00A27A15" w:rsidP="00C2302B" w:rsidRDefault="00A27A15" w14:paraId="05BC0629" w14:textId="7937931D"/>
    <w:p w:rsidR="00C2302B" w:rsidP="00C2302B" w:rsidRDefault="00C2302B" w14:paraId="5CAEE34D" w14:textId="15831123">
      <w:pPr>
        <w:jc w:val="center"/>
        <w:rPr>
          <w:b/>
          <w:bCs/>
        </w:rPr>
      </w:pPr>
      <w:r w:rsidRPr="0095297A">
        <w:rPr>
          <w:b/>
          <w:bCs/>
        </w:rPr>
        <w:t xml:space="preserve">Table </w:t>
      </w:r>
      <w:r w:rsidR="00F60286">
        <w:rPr>
          <w:b/>
          <w:bCs/>
        </w:rPr>
        <w:t>8</w:t>
      </w:r>
      <w:r w:rsidRPr="0095297A">
        <w:rPr>
          <w:b/>
          <w:bCs/>
        </w:rPr>
        <w:t>: Large Utilities’ Approved Implementation Budget</w:t>
      </w:r>
      <w:r>
        <w:rPr>
          <w:b/>
          <w:bCs/>
        </w:rPr>
        <w:t xml:space="preserve"> in D.24-05-028</w:t>
      </w:r>
    </w:p>
    <w:p w:rsidRPr="0095297A" w:rsidR="00C2302B" w:rsidP="00C2302B" w:rsidRDefault="00C2302B" w14:paraId="3C52DE8F" w14:textId="77777777">
      <w:pPr>
        <w:jc w:val="center"/>
        <w:rPr>
          <w:b/>
          <w:bCs/>
        </w:rPr>
      </w:pPr>
    </w:p>
    <w:tbl>
      <w:tblPr>
        <w:tblW w:w="92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798"/>
        <w:gridCol w:w="1420"/>
        <w:gridCol w:w="1420"/>
        <w:gridCol w:w="1420"/>
        <w:gridCol w:w="1180"/>
      </w:tblGrid>
      <w:tr w:rsidRPr="00974E9C" w:rsidR="00472E80" w:rsidTr="0248D369" w14:paraId="59D3CE26" w14:textId="77777777">
        <w:trPr>
          <w:trHeight w:val="647"/>
          <w:jc w:val="center"/>
        </w:trPr>
        <w:tc>
          <w:tcPr>
            <w:tcW w:w="3798" w:type="dxa"/>
            <w:tcBorders>
              <w:right w:val="single" w:color="auto" w:sz="2" w:space="0"/>
            </w:tcBorders>
            <w:shd w:val="clear" w:color="auto" w:fill="F2F2F2" w:themeFill="background1" w:themeFillShade="F2"/>
            <w:vAlign w:val="center"/>
            <w:hideMark/>
          </w:tcPr>
          <w:p w:rsidRPr="00974E9C" w:rsidR="00472E80" w:rsidRDefault="00472E80" w14:paraId="5230E8C4" w14:textId="77777777">
            <w:pPr>
              <w:rPr>
                <w:rFonts w:eastAsia="Times New Roman" w:cs="Times New Roman"/>
                <w:b/>
                <w:bCs/>
                <w:color w:val="000000"/>
                <w:sz w:val="22"/>
                <w:szCs w:val="22"/>
              </w:rPr>
            </w:pPr>
            <w:r w:rsidRPr="00974E9C">
              <w:rPr>
                <w:rFonts w:eastAsia="Times New Roman" w:cs="Times New Roman"/>
                <w:b/>
                <w:bCs/>
                <w:sz w:val="22"/>
                <w:szCs w:val="22"/>
              </w:rPr>
              <w:t>Activity</w:t>
            </w:r>
          </w:p>
        </w:tc>
        <w:tc>
          <w:tcPr>
            <w:tcW w:w="1420" w:type="dxa"/>
            <w:tcBorders>
              <w:top w:val="single" w:color="auto" w:sz="2" w:space="0"/>
              <w:left w:val="single" w:color="auto" w:sz="2" w:space="0"/>
              <w:right w:val="single" w:color="auto" w:sz="2" w:space="0"/>
            </w:tcBorders>
            <w:shd w:val="clear" w:color="auto" w:fill="F2F2F2" w:themeFill="background1" w:themeFillShade="F2"/>
            <w:vAlign w:val="center"/>
            <w:hideMark/>
          </w:tcPr>
          <w:p w:rsidRPr="00974E9C" w:rsidR="00472E80" w:rsidRDefault="00472E80" w14:paraId="3BE52334" w14:textId="77777777">
            <w:pPr>
              <w:jc w:val="center"/>
              <w:rPr>
                <w:rFonts w:eastAsia="Times New Roman" w:cs="Times New Roman"/>
                <w:b/>
                <w:bCs/>
                <w:color w:val="000000"/>
                <w:sz w:val="22"/>
                <w:szCs w:val="22"/>
              </w:rPr>
            </w:pPr>
            <w:r w:rsidRPr="00974E9C">
              <w:rPr>
                <w:rFonts w:eastAsia="Times New Roman" w:cs="Times New Roman"/>
                <w:b/>
                <w:bCs/>
                <w:sz w:val="22"/>
                <w:szCs w:val="22"/>
              </w:rPr>
              <w:t>PG&amp;E</w:t>
            </w:r>
          </w:p>
          <w:p w:rsidRPr="00974E9C" w:rsidR="00472E80" w:rsidRDefault="00472E80" w14:paraId="395E98B8" w14:textId="60844A58">
            <w:pPr>
              <w:jc w:val="center"/>
              <w:rPr>
                <w:rFonts w:eastAsia="Times New Roman" w:cs="Times New Roman"/>
                <w:b/>
                <w:bCs/>
                <w:color w:val="000000"/>
                <w:sz w:val="22"/>
                <w:szCs w:val="22"/>
              </w:rPr>
            </w:pPr>
            <w:r w:rsidRPr="00974E9C">
              <w:rPr>
                <w:rFonts w:eastAsia="Times New Roman" w:cs="Times New Roman"/>
                <w:b/>
                <w:bCs/>
                <w:sz w:val="22"/>
                <w:szCs w:val="22"/>
              </w:rPr>
              <w:t>($ millions)</w:t>
            </w:r>
          </w:p>
        </w:tc>
        <w:tc>
          <w:tcPr>
            <w:tcW w:w="1420" w:type="dxa"/>
            <w:tcBorders>
              <w:top w:val="single" w:color="auto" w:sz="2" w:space="0"/>
              <w:left w:val="single" w:color="auto" w:sz="2" w:space="0"/>
              <w:right w:val="single" w:color="auto" w:sz="2" w:space="0"/>
            </w:tcBorders>
            <w:shd w:val="clear" w:color="auto" w:fill="F2F2F2" w:themeFill="background1" w:themeFillShade="F2"/>
            <w:vAlign w:val="center"/>
            <w:hideMark/>
          </w:tcPr>
          <w:p w:rsidRPr="00974E9C" w:rsidR="00472E80" w:rsidRDefault="00472E80" w14:paraId="23B81321" w14:textId="77777777">
            <w:pPr>
              <w:jc w:val="center"/>
              <w:rPr>
                <w:rFonts w:eastAsia="Times New Roman" w:cs="Times New Roman"/>
                <w:b/>
                <w:bCs/>
                <w:color w:val="000000"/>
                <w:sz w:val="22"/>
                <w:szCs w:val="22"/>
              </w:rPr>
            </w:pPr>
            <w:r w:rsidRPr="00974E9C">
              <w:rPr>
                <w:rFonts w:eastAsia="Times New Roman" w:cs="Times New Roman"/>
                <w:b/>
                <w:bCs/>
                <w:sz w:val="22"/>
                <w:szCs w:val="22"/>
              </w:rPr>
              <w:t>SCE</w:t>
            </w:r>
          </w:p>
          <w:p w:rsidRPr="00974E9C" w:rsidR="00472E80" w:rsidRDefault="00472E80" w14:paraId="7D15ABCC" w14:textId="67C29DEC">
            <w:pPr>
              <w:jc w:val="center"/>
              <w:rPr>
                <w:rFonts w:eastAsia="Times New Roman" w:cs="Times New Roman"/>
                <w:b/>
                <w:bCs/>
                <w:color w:val="000000"/>
                <w:sz w:val="22"/>
                <w:szCs w:val="22"/>
              </w:rPr>
            </w:pPr>
            <w:r w:rsidRPr="00974E9C">
              <w:rPr>
                <w:rFonts w:eastAsia="Times New Roman" w:cs="Times New Roman"/>
                <w:b/>
                <w:bCs/>
                <w:sz w:val="22"/>
                <w:szCs w:val="22"/>
              </w:rPr>
              <w:t>($ millions)</w:t>
            </w:r>
          </w:p>
        </w:tc>
        <w:tc>
          <w:tcPr>
            <w:tcW w:w="1420" w:type="dxa"/>
            <w:tcBorders>
              <w:top w:val="single" w:color="auto" w:sz="2" w:space="0"/>
              <w:left w:val="single" w:color="auto" w:sz="2" w:space="0"/>
              <w:right w:val="single" w:color="auto" w:sz="2" w:space="0"/>
            </w:tcBorders>
            <w:shd w:val="clear" w:color="auto" w:fill="F2F2F2" w:themeFill="background1" w:themeFillShade="F2"/>
            <w:vAlign w:val="center"/>
            <w:hideMark/>
          </w:tcPr>
          <w:p w:rsidRPr="00974E9C" w:rsidR="00472E80" w:rsidRDefault="00472E80" w14:paraId="327EBA32" w14:textId="77777777">
            <w:pPr>
              <w:jc w:val="center"/>
              <w:rPr>
                <w:rFonts w:eastAsia="Times New Roman" w:cs="Times New Roman"/>
                <w:b/>
                <w:bCs/>
                <w:color w:val="000000"/>
                <w:sz w:val="22"/>
                <w:szCs w:val="22"/>
              </w:rPr>
            </w:pPr>
            <w:r w:rsidRPr="00974E9C">
              <w:rPr>
                <w:rFonts w:eastAsia="Times New Roman" w:cs="Times New Roman"/>
                <w:b/>
                <w:bCs/>
                <w:sz w:val="22"/>
                <w:szCs w:val="22"/>
              </w:rPr>
              <w:t>SDG&amp;E</w:t>
            </w:r>
          </w:p>
          <w:p w:rsidRPr="00974E9C" w:rsidR="00472E80" w:rsidRDefault="00472E80" w14:paraId="436CB2F6" w14:textId="42B9E402">
            <w:pPr>
              <w:jc w:val="center"/>
              <w:rPr>
                <w:rFonts w:eastAsia="Times New Roman" w:cs="Times New Roman"/>
                <w:b/>
                <w:bCs/>
                <w:color w:val="000000"/>
                <w:sz w:val="22"/>
                <w:szCs w:val="22"/>
              </w:rPr>
            </w:pPr>
            <w:r w:rsidRPr="00974E9C">
              <w:rPr>
                <w:rFonts w:eastAsia="Times New Roman" w:cs="Times New Roman"/>
                <w:b/>
                <w:bCs/>
                <w:sz w:val="22"/>
                <w:szCs w:val="22"/>
              </w:rPr>
              <w:t>($ millions)</w:t>
            </w:r>
          </w:p>
        </w:tc>
        <w:tc>
          <w:tcPr>
            <w:tcW w:w="1180" w:type="dxa"/>
            <w:tcBorders>
              <w:top w:val="single" w:color="auto" w:sz="2" w:space="0"/>
              <w:left w:val="single" w:color="auto" w:sz="2" w:space="0"/>
              <w:bottom w:val="single" w:color="auto" w:sz="2" w:space="0"/>
            </w:tcBorders>
            <w:shd w:val="clear" w:color="auto" w:fill="F2F2F2" w:themeFill="background1" w:themeFillShade="F2"/>
            <w:vAlign w:val="center"/>
            <w:hideMark/>
          </w:tcPr>
          <w:p w:rsidRPr="00974E9C" w:rsidR="00472E80" w:rsidRDefault="00472E80" w14:paraId="3C1A58F7" w14:textId="77777777">
            <w:pPr>
              <w:jc w:val="center"/>
              <w:rPr>
                <w:rFonts w:eastAsia="Times New Roman" w:cs="Times New Roman"/>
                <w:b/>
                <w:bCs/>
                <w:color w:val="000000"/>
                <w:sz w:val="22"/>
                <w:szCs w:val="22"/>
              </w:rPr>
            </w:pPr>
            <w:r w:rsidRPr="00974E9C">
              <w:rPr>
                <w:rFonts w:eastAsia="Times New Roman" w:cs="Times New Roman"/>
                <w:b/>
                <w:bCs/>
                <w:sz w:val="22"/>
                <w:szCs w:val="22"/>
              </w:rPr>
              <w:t>Total</w:t>
            </w:r>
          </w:p>
        </w:tc>
      </w:tr>
      <w:tr w:rsidRPr="00974E9C" w:rsidR="00C2302B" w:rsidTr="0248D369" w14:paraId="76F5BDE9" w14:textId="77777777">
        <w:trPr>
          <w:trHeight w:val="385"/>
          <w:jc w:val="center"/>
        </w:trPr>
        <w:tc>
          <w:tcPr>
            <w:tcW w:w="3798" w:type="dxa"/>
            <w:shd w:val="clear" w:color="auto" w:fill="auto"/>
            <w:vAlign w:val="center"/>
            <w:hideMark/>
          </w:tcPr>
          <w:p w:rsidRPr="00974E9C" w:rsidR="00C2302B" w:rsidP="001252C7" w:rsidRDefault="00C2302B" w14:paraId="3B28E0FF" w14:textId="77777777">
            <w:pPr>
              <w:rPr>
                <w:rFonts w:eastAsia="Times New Roman" w:cs="Times New Roman"/>
                <w:color w:val="000000"/>
                <w:sz w:val="22"/>
                <w:szCs w:val="22"/>
              </w:rPr>
            </w:pPr>
            <w:r w:rsidRPr="00974E9C">
              <w:rPr>
                <w:rFonts w:eastAsia="Times New Roman" w:cs="Times New Roman"/>
                <w:color w:val="000000"/>
                <w:sz w:val="22"/>
                <w:szCs w:val="22"/>
              </w:rPr>
              <w:t>Income Verification</w:t>
            </w:r>
            <w:r>
              <w:rPr>
                <w:rStyle w:val="FootnoteReference"/>
                <w:rFonts w:eastAsia="Times New Roman" w:cs="Times New Roman"/>
                <w:color w:val="000000"/>
                <w:sz w:val="22"/>
                <w:szCs w:val="22"/>
              </w:rPr>
              <w:footnoteReference w:id="198"/>
            </w:r>
          </w:p>
        </w:tc>
        <w:tc>
          <w:tcPr>
            <w:tcW w:w="1420" w:type="dxa"/>
            <w:shd w:val="clear" w:color="auto" w:fill="auto"/>
            <w:vAlign w:val="center"/>
            <w:hideMark/>
          </w:tcPr>
          <w:p w:rsidRPr="00974E9C" w:rsidR="00C2302B" w:rsidP="001252C7" w:rsidRDefault="00C2302B" w14:paraId="2A4C6743"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 </w:t>
            </w:r>
          </w:p>
        </w:tc>
        <w:tc>
          <w:tcPr>
            <w:tcW w:w="1420" w:type="dxa"/>
            <w:shd w:val="clear" w:color="auto" w:fill="auto"/>
            <w:vAlign w:val="center"/>
            <w:hideMark/>
          </w:tcPr>
          <w:p w:rsidRPr="00974E9C" w:rsidR="00C2302B" w:rsidP="001252C7" w:rsidRDefault="00C2302B" w14:paraId="502239E6"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 </w:t>
            </w:r>
          </w:p>
        </w:tc>
        <w:tc>
          <w:tcPr>
            <w:tcW w:w="1420" w:type="dxa"/>
            <w:shd w:val="clear" w:color="auto" w:fill="auto"/>
            <w:vAlign w:val="center"/>
            <w:hideMark/>
          </w:tcPr>
          <w:p w:rsidRPr="00974E9C" w:rsidR="00C2302B" w:rsidP="001252C7" w:rsidRDefault="00C2302B" w14:paraId="4C140E1C"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 </w:t>
            </w:r>
          </w:p>
        </w:tc>
        <w:tc>
          <w:tcPr>
            <w:tcW w:w="1180" w:type="dxa"/>
            <w:shd w:val="clear" w:color="auto" w:fill="auto"/>
            <w:vAlign w:val="center"/>
            <w:hideMark/>
          </w:tcPr>
          <w:p w:rsidRPr="00974E9C" w:rsidR="00C2302B" w:rsidP="001252C7" w:rsidRDefault="00C2302B" w14:paraId="386E350B"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 </w:t>
            </w:r>
          </w:p>
        </w:tc>
      </w:tr>
      <w:tr w:rsidRPr="00974E9C" w:rsidR="00C2302B" w:rsidTr="0248D369" w14:paraId="50B32245" w14:textId="77777777">
        <w:trPr>
          <w:trHeight w:val="345"/>
          <w:jc w:val="center"/>
        </w:trPr>
        <w:tc>
          <w:tcPr>
            <w:tcW w:w="3798" w:type="dxa"/>
            <w:shd w:val="clear" w:color="auto" w:fill="auto"/>
            <w:vAlign w:val="center"/>
            <w:hideMark/>
          </w:tcPr>
          <w:p w:rsidRPr="00974E9C" w:rsidR="00C2302B" w:rsidP="001252C7" w:rsidRDefault="00C2302B" w14:paraId="4C838875" w14:textId="77777777">
            <w:pPr>
              <w:rPr>
                <w:rFonts w:eastAsia="Times New Roman" w:cs="Times New Roman"/>
                <w:color w:val="000000"/>
                <w:sz w:val="22"/>
                <w:szCs w:val="22"/>
              </w:rPr>
            </w:pPr>
            <w:r w:rsidRPr="00974E9C">
              <w:rPr>
                <w:rFonts w:eastAsia="Times New Roman" w:cs="Times New Roman"/>
                <w:color w:val="000000"/>
                <w:sz w:val="22"/>
                <w:szCs w:val="22"/>
              </w:rPr>
              <w:t>Billing System</w:t>
            </w:r>
          </w:p>
        </w:tc>
        <w:tc>
          <w:tcPr>
            <w:tcW w:w="1420" w:type="dxa"/>
            <w:shd w:val="clear" w:color="auto" w:fill="auto"/>
            <w:vAlign w:val="center"/>
            <w:hideMark/>
          </w:tcPr>
          <w:p w:rsidRPr="00974E9C" w:rsidR="00C2302B" w:rsidP="001252C7" w:rsidRDefault="00C2302B" w14:paraId="6D16D13C"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$5.745 </w:t>
            </w:r>
          </w:p>
        </w:tc>
        <w:tc>
          <w:tcPr>
            <w:tcW w:w="1420" w:type="dxa"/>
            <w:shd w:val="clear" w:color="auto" w:fill="auto"/>
            <w:vAlign w:val="center"/>
            <w:hideMark/>
          </w:tcPr>
          <w:p w:rsidRPr="00974E9C" w:rsidR="00C2302B" w:rsidP="001252C7" w:rsidRDefault="00C2302B" w14:paraId="1F65D7BF"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$2.900 </w:t>
            </w:r>
          </w:p>
        </w:tc>
        <w:tc>
          <w:tcPr>
            <w:tcW w:w="1420" w:type="dxa"/>
            <w:shd w:val="clear" w:color="auto" w:fill="auto"/>
            <w:vAlign w:val="center"/>
            <w:hideMark/>
          </w:tcPr>
          <w:p w:rsidRPr="00974E9C" w:rsidR="00C2302B" w:rsidP="001252C7" w:rsidRDefault="00C2302B" w14:paraId="21127210"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$4.250 </w:t>
            </w:r>
          </w:p>
        </w:tc>
        <w:tc>
          <w:tcPr>
            <w:tcW w:w="1180" w:type="dxa"/>
            <w:shd w:val="clear" w:color="auto" w:fill="auto"/>
            <w:vAlign w:val="center"/>
            <w:hideMark/>
          </w:tcPr>
          <w:p w:rsidRPr="00974E9C" w:rsidR="00C2302B" w:rsidP="001252C7" w:rsidRDefault="00C2302B" w14:paraId="5BAE81B7"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$12.895 </w:t>
            </w:r>
          </w:p>
        </w:tc>
      </w:tr>
      <w:tr w:rsidRPr="00974E9C" w:rsidR="00C2302B" w:rsidTr="0248D369" w14:paraId="4EEC9599" w14:textId="77777777">
        <w:trPr>
          <w:trHeight w:val="331"/>
          <w:jc w:val="center"/>
        </w:trPr>
        <w:tc>
          <w:tcPr>
            <w:tcW w:w="3798" w:type="dxa"/>
            <w:shd w:val="clear" w:color="auto" w:fill="auto"/>
            <w:vAlign w:val="center"/>
            <w:hideMark/>
          </w:tcPr>
          <w:p w:rsidRPr="00974E9C" w:rsidR="00C2302B" w:rsidP="001252C7" w:rsidRDefault="00C2302B" w14:paraId="03369447" w14:textId="77777777">
            <w:pPr>
              <w:rPr>
                <w:rFonts w:eastAsia="Times New Roman" w:cs="Times New Roman"/>
                <w:color w:val="000000"/>
                <w:sz w:val="22"/>
                <w:szCs w:val="22"/>
              </w:rPr>
            </w:pPr>
            <w:r w:rsidRPr="00974E9C">
              <w:rPr>
                <w:rFonts w:eastAsia="Times New Roman" w:cs="Times New Roman"/>
                <w:color w:val="000000"/>
                <w:sz w:val="22"/>
                <w:szCs w:val="22"/>
              </w:rPr>
              <w:t>Customer Rates Tools Updates</w:t>
            </w:r>
          </w:p>
        </w:tc>
        <w:tc>
          <w:tcPr>
            <w:tcW w:w="1420" w:type="dxa"/>
            <w:shd w:val="clear" w:color="auto" w:fill="auto"/>
            <w:vAlign w:val="center"/>
            <w:hideMark/>
          </w:tcPr>
          <w:p w:rsidRPr="00974E9C" w:rsidR="00C2302B" w:rsidP="001252C7" w:rsidRDefault="00C2302B" w14:paraId="5FE307C9"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$0.674 </w:t>
            </w:r>
          </w:p>
        </w:tc>
        <w:tc>
          <w:tcPr>
            <w:tcW w:w="1420" w:type="dxa"/>
            <w:shd w:val="clear" w:color="auto" w:fill="auto"/>
            <w:vAlign w:val="center"/>
            <w:hideMark/>
          </w:tcPr>
          <w:p w:rsidRPr="00974E9C" w:rsidR="00C2302B" w:rsidP="001252C7" w:rsidRDefault="00C2302B" w14:paraId="23AE995E"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$0.059 </w:t>
            </w:r>
          </w:p>
        </w:tc>
        <w:tc>
          <w:tcPr>
            <w:tcW w:w="1420" w:type="dxa"/>
            <w:shd w:val="clear" w:color="auto" w:fill="auto"/>
            <w:vAlign w:val="center"/>
            <w:hideMark/>
          </w:tcPr>
          <w:p w:rsidRPr="00974E9C" w:rsidR="00C2302B" w:rsidP="001252C7" w:rsidRDefault="00C2302B" w14:paraId="7C3E727A"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$0.674 </w:t>
            </w:r>
          </w:p>
        </w:tc>
        <w:tc>
          <w:tcPr>
            <w:tcW w:w="1180" w:type="dxa"/>
            <w:shd w:val="clear" w:color="auto" w:fill="auto"/>
            <w:vAlign w:val="center"/>
            <w:hideMark/>
          </w:tcPr>
          <w:p w:rsidRPr="00974E9C" w:rsidR="00C2302B" w:rsidP="001252C7" w:rsidRDefault="00C2302B" w14:paraId="02BAAF88"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$1.407 </w:t>
            </w:r>
          </w:p>
        </w:tc>
      </w:tr>
      <w:tr w:rsidRPr="00974E9C" w:rsidR="00C2302B" w:rsidTr="0248D369" w14:paraId="1CDC2DEA" w14:textId="77777777">
        <w:trPr>
          <w:trHeight w:val="340"/>
          <w:jc w:val="center"/>
        </w:trPr>
        <w:tc>
          <w:tcPr>
            <w:tcW w:w="3798" w:type="dxa"/>
            <w:shd w:val="clear" w:color="auto" w:fill="auto"/>
            <w:vAlign w:val="center"/>
            <w:hideMark/>
          </w:tcPr>
          <w:p w:rsidRPr="00974E9C" w:rsidR="00C2302B" w:rsidP="001252C7" w:rsidRDefault="00C2302B" w14:paraId="6533FA54" w14:textId="77777777">
            <w:pPr>
              <w:rPr>
                <w:rFonts w:eastAsia="Times New Roman" w:cs="Times New Roman"/>
                <w:color w:val="000000"/>
                <w:sz w:val="22"/>
                <w:szCs w:val="22"/>
              </w:rPr>
            </w:pPr>
            <w:r w:rsidRPr="00974E9C">
              <w:rPr>
                <w:rFonts w:eastAsia="Times New Roman" w:cs="Times New Roman"/>
                <w:color w:val="000000"/>
                <w:sz w:val="22"/>
                <w:szCs w:val="22"/>
              </w:rPr>
              <w:t>Customer Support (Contact Center)</w:t>
            </w:r>
          </w:p>
        </w:tc>
        <w:tc>
          <w:tcPr>
            <w:tcW w:w="1420" w:type="dxa"/>
            <w:shd w:val="clear" w:color="auto" w:fill="auto"/>
            <w:vAlign w:val="center"/>
            <w:hideMark/>
          </w:tcPr>
          <w:p w:rsidRPr="00974E9C" w:rsidR="00C2302B" w:rsidP="001252C7" w:rsidRDefault="00C2302B" w14:paraId="16176101"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$7.304 </w:t>
            </w:r>
          </w:p>
        </w:tc>
        <w:tc>
          <w:tcPr>
            <w:tcW w:w="1420" w:type="dxa"/>
            <w:shd w:val="clear" w:color="auto" w:fill="auto"/>
            <w:vAlign w:val="center"/>
            <w:hideMark/>
          </w:tcPr>
          <w:p w:rsidRPr="00974E9C" w:rsidR="00C2302B" w:rsidP="001252C7" w:rsidRDefault="00C2302B" w14:paraId="19F119D7"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$9.498 </w:t>
            </w:r>
          </w:p>
        </w:tc>
        <w:tc>
          <w:tcPr>
            <w:tcW w:w="1420" w:type="dxa"/>
            <w:shd w:val="clear" w:color="auto" w:fill="auto"/>
            <w:vAlign w:val="center"/>
            <w:hideMark/>
          </w:tcPr>
          <w:p w:rsidRPr="00974E9C" w:rsidR="00C2302B" w:rsidP="001252C7" w:rsidRDefault="00C2302B" w14:paraId="5179029B"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$2.833 </w:t>
            </w:r>
          </w:p>
        </w:tc>
        <w:tc>
          <w:tcPr>
            <w:tcW w:w="1180" w:type="dxa"/>
            <w:shd w:val="clear" w:color="auto" w:fill="auto"/>
            <w:vAlign w:val="center"/>
            <w:hideMark/>
          </w:tcPr>
          <w:p w:rsidRPr="00974E9C" w:rsidR="00C2302B" w:rsidP="001252C7" w:rsidRDefault="00C2302B" w14:paraId="2A65C250"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$19.635 </w:t>
            </w:r>
          </w:p>
        </w:tc>
      </w:tr>
      <w:tr w:rsidRPr="00974E9C" w:rsidR="00C2302B" w:rsidTr="0248D369" w14:paraId="143B16C0" w14:textId="77777777">
        <w:trPr>
          <w:trHeight w:val="439"/>
          <w:jc w:val="center"/>
        </w:trPr>
        <w:tc>
          <w:tcPr>
            <w:tcW w:w="3798" w:type="dxa"/>
            <w:shd w:val="clear" w:color="auto" w:fill="auto"/>
            <w:vAlign w:val="center"/>
            <w:hideMark/>
          </w:tcPr>
          <w:p w:rsidRPr="00974E9C" w:rsidR="00C2302B" w:rsidP="001252C7" w:rsidRDefault="00C2302B" w14:paraId="45DA1BFC" w14:textId="77777777">
            <w:pPr>
              <w:rPr>
                <w:rFonts w:eastAsia="Times New Roman" w:cs="Times New Roman"/>
                <w:color w:val="000000"/>
                <w:sz w:val="22"/>
                <w:szCs w:val="22"/>
              </w:rPr>
            </w:pPr>
            <w:r w:rsidRPr="00974E9C">
              <w:rPr>
                <w:rFonts w:eastAsia="Times New Roman" w:cs="Times New Roman"/>
                <w:color w:val="000000"/>
                <w:sz w:val="22"/>
                <w:szCs w:val="22"/>
              </w:rPr>
              <w:t>Program and Product Management</w:t>
            </w:r>
          </w:p>
        </w:tc>
        <w:tc>
          <w:tcPr>
            <w:tcW w:w="1420" w:type="dxa"/>
            <w:shd w:val="clear" w:color="auto" w:fill="auto"/>
            <w:vAlign w:val="center"/>
            <w:hideMark/>
          </w:tcPr>
          <w:p w:rsidRPr="00974E9C" w:rsidR="00C2302B" w:rsidP="001252C7" w:rsidRDefault="00C2302B" w14:paraId="5B70724E"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$0.550 </w:t>
            </w:r>
          </w:p>
        </w:tc>
        <w:tc>
          <w:tcPr>
            <w:tcW w:w="1420" w:type="dxa"/>
            <w:shd w:val="clear" w:color="auto" w:fill="auto"/>
            <w:vAlign w:val="center"/>
            <w:hideMark/>
          </w:tcPr>
          <w:p w:rsidRPr="00974E9C" w:rsidR="00C2302B" w:rsidP="001252C7" w:rsidRDefault="00C2302B" w14:paraId="03DDF96D"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$0.550 </w:t>
            </w:r>
          </w:p>
        </w:tc>
        <w:tc>
          <w:tcPr>
            <w:tcW w:w="1420" w:type="dxa"/>
            <w:shd w:val="clear" w:color="auto" w:fill="auto"/>
            <w:vAlign w:val="center"/>
            <w:hideMark/>
          </w:tcPr>
          <w:p w:rsidRPr="00974E9C" w:rsidR="00C2302B" w:rsidP="001252C7" w:rsidRDefault="00C2302B" w14:paraId="75B66AF7"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$0.550 </w:t>
            </w:r>
          </w:p>
        </w:tc>
        <w:tc>
          <w:tcPr>
            <w:tcW w:w="1180" w:type="dxa"/>
            <w:shd w:val="clear" w:color="auto" w:fill="auto"/>
            <w:vAlign w:val="center"/>
            <w:hideMark/>
          </w:tcPr>
          <w:p w:rsidRPr="00974E9C" w:rsidR="00C2302B" w:rsidP="001252C7" w:rsidRDefault="00C2302B" w14:paraId="7232718D" w14:textId="77777777">
            <w:pPr>
              <w:jc w:val="right"/>
              <w:rPr>
                <w:rFonts w:eastAsia="Times New Roman" w:cs="Times New Roman"/>
                <w:color w:val="000000"/>
                <w:sz w:val="22"/>
                <w:szCs w:val="22"/>
              </w:rPr>
            </w:pPr>
            <w:r w:rsidRPr="00974E9C">
              <w:rPr>
                <w:rFonts w:eastAsia="Times New Roman" w:cs="Times New Roman"/>
                <w:color w:val="000000"/>
                <w:sz w:val="22"/>
                <w:szCs w:val="22"/>
              </w:rPr>
              <w:t xml:space="preserve">$1.650 </w:t>
            </w:r>
          </w:p>
        </w:tc>
      </w:tr>
      <w:tr w:rsidRPr="00974E9C" w:rsidR="00C2302B" w:rsidTr="0248D369" w14:paraId="10BD32FE" w14:textId="77777777">
        <w:trPr>
          <w:trHeight w:val="360"/>
          <w:jc w:val="center"/>
        </w:trPr>
        <w:tc>
          <w:tcPr>
            <w:tcW w:w="3798" w:type="dxa"/>
            <w:shd w:val="clear" w:color="auto" w:fill="auto"/>
            <w:vAlign w:val="center"/>
            <w:hideMark/>
          </w:tcPr>
          <w:p w:rsidRPr="00974E9C" w:rsidR="00C2302B" w:rsidP="00F73FB1" w:rsidRDefault="00C2302B" w14:paraId="39E48636" w14:textId="77777777">
            <w:pPr>
              <w:jc w:val="right"/>
              <w:rPr>
                <w:rFonts w:eastAsia="Times New Roman" w:cs="Times New Roman"/>
                <w:b/>
                <w:bCs/>
                <w:color w:val="000000"/>
                <w:sz w:val="22"/>
                <w:szCs w:val="22"/>
              </w:rPr>
            </w:pPr>
            <w:r w:rsidRPr="00974E9C">
              <w:rPr>
                <w:rFonts w:eastAsia="Times New Roman" w:cs="Times New Roman"/>
                <w:b/>
                <w:bCs/>
                <w:color w:val="000000"/>
                <w:sz w:val="22"/>
                <w:szCs w:val="22"/>
              </w:rPr>
              <w:t>Total</w:t>
            </w:r>
          </w:p>
        </w:tc>
        <w:tc>
          <w:tcPr>
            <w:tcW w:w="1420" w:type="dxa"/>
            <w:shd w:val="clear" w:color="auto" w:fill="auto"/>
            <w:vAlign w:val="center"/>
            <w:hideMark/>
          </w:tcPr>
          <w:p w:rsidRPr="00974E9C" w:rsidR="00C2302B" w:rsidP="001252C7" w:rsidRDefault="00C2302B" w14:paraId="0EFDA3E1" w14:textId="77777777">
            <w:pPr>
              <w:jc w:val="right"/>
              <w:rPr>
                <w:rFonts w:eastAsia="Times New Roman" w:cs="Times New Roman"/>
                <w:b/>
                <w:bCs/>
                <w:color w:val="000000"/>
                <w:sz w:val="22"/>
                <w:szCs w:val="22"/>
              </w:rPr>
            </w:pPr>
            <w:r w:rsidRPr="00974E9C">
              <w:rPr>
                <w:rFonts w:eastAsia="Times New Roman" w:cs="Times New Roman"/>
                <w:b/>
                <w:bCs/>
                <w:color w:val="000000"/>
                <w:sz w:val="22"/>
                <w:szCs w:val="22"/>
              </w:rPr>
              <w:t xml:space="preserve">$14.273 </w:t>
            </w:r>
          </w:p>
        </w:tc>
        <w:tc>
          <w:tcPr>
            <w:tcW w:w="1420" w:type="dxa"/>
            <w:shd w:val="clear" w:color="auto" w:fill="auto"/>
            <w:vAlign w:val="center"/>
            <w:hideMark/>
          </w:tcPr>
          <w:p w:rsidRPr="00974E9C" w:rsidR="00C2302B" w:rsidP="001252C7" w:rsidRDefault="00C2302B" w14:paraId="3384B58C" w14:textId="77777777">
            <w:pPr>
              <w:jc w:val="right"/>
              <w:rPr>
                <w:rFonts w:eastAsia="Times New Roman" w:cs="Times New Roman"/>
                <w:b/>
                <w:bCs/>
                <w:color w:val="000000"/>
                <w:sz w:val="22"/>
                <w:szCs w:val="22"/>
              </w:rPr>
            </w:pPr>
            <w:r w:rsidRPr="00974E9C">
              <w:rPr>
                <w:rFonts w:eastAsia="Times New Roman" w:cs="Times New Roman"/>
                <w:b/>
                <w:bCs/>
                <w:color w:val="000000"/>
                <w:sz w:val="22"/>
                <w:szCs w:val="22"/>
              </w:rPr>
              <w:t xml:space="preserve">$13.007 </w:t>
            </w:r>
          </w:p>
        </w:tc>
        <w:tc>
          <w:tcPr>
            <w:tcW w:w="1420" w:type="dxa"/>
            <w:shd w:val="clear" w:color="auto" w:fill="auto"/>
            <w:vAlign w:val="center"/>
            <w:hideMark/>
          </w:tcPr>
          <w:p w:rsidRPr="00974E9C" w:rsidR="00C2302B" w:rsidP="001252C7" w:rsidRDefault="00C2302B" w14:paraId="0535884A" w14:textId="77777777">
            <w:pPr>
              <w:jc w:val="right"/>
              <w:rPr>
                <w:rFonts w:eastAsia="Times New Roman" w:cs="Times New Roman"/>
                <w:b/>
                <w:bCs/>
                <w:color w:val="000000"/>
                <w:sz w:val="22"/>
                <w:szCs w:val="22"/>
              </w:rPr>
            </w:pPr>
            <w:r w:rsidRPr="00974E9C">
              <w:rPr>
                <w:rFonts w:eastAsia="Times New Roman" w:cs="Times New Roman"/>
                <w:b/>
                <w:bCs/>
                <w:color w:val="000000"/>
                <w:sz w:val="22"/>
                <w:szCs w:val="22"/>
              </w:rPr>
              <w:t xml:space="preserve">$8.307 </w:t>
            </w:r>
          </w:p>
        </w:tc>
        <w:tc>
          <w:tcPr>
            <w:tcW w:w="1180" w:type="dxa"/>
            <w:shd w:val="clear" w:color="auto" w:fill="auto"/>
            <w:vAlign w:val="center"/>
            <w:hideMark/>
          </w:tcPr>
          <w:p w:rsidRPr="00974E9C" w:rsidR="00C2302B" w:rsidP="001252C7" w:rsidRDefault="00C2302B" w14:paraId="71BA3CD9" w14:textId="77777777">
            <w:pPr>
              <w:jc w:val="right"/>
              <w:rPr>
                <w:rFonts w:eastAsia="Times New Roman" w:cs="Times New Roman"/>
                <w:b/>
                <w:bCs/>
                <w:color w:val="000000"/>
                <w:sz w:val="22"/>
                <w:szCs w:val="22"/>
              </w:rPr>
            </w:pPr>
            <w:r w:rsidRPr="00974E9C">
              <w:rPr>
                <w:rFonts w:eastAsia="Times New Roman" w:cs="Times New Roman"/>
                <w:b/>
                <w:bCs/>
                <w:color w:val="000000"/>
                <w:sz w:val="22"/>
                <w:szCs w:val="22"/>
              </w:rPr>
              <w:t xml:space="preserve">$35.587 </w:t>
            </w:r>
          </w:p>
        </w:tc>
      </w:tr>
    </w:tbl>
    <w:p w:rsidR="00C2302B" w:rsidP="00C2302B" w:rsidRDefault="00C2302B" w14:paraId="4559EBF3" w14:textId="262801A1"/>
    <w:p w:rsidR="00F73FB1" w:rsidP="00F73FB1" w:rsidRDefault="00F73FB1" w14:paraId="5957E9AA" w14:textId="77777777"/>
    <w:p w:rsidR="009F35C7" w:rsidP="00E579B3" w:rsidRDefault="00E579B3" w14:paraId="77A5F1F6" w14:textId="2D7E65C6">
      <w:r>
        <w:t xml:space="preserve">SDG&amp;E submitted AL </w:t>
      </w:r>
      <w:r w:rsidR="0039100B">
        <w:t>4492</w:t>
      </w:r>
      <w:r>
        <w:t>-E to request budget approval for the additional</w:t>
      </w:r>
      <w:r w:rsidR="00611AC4">
        <w:t xml:space="preserve"> </w:t>
      </w:r>
      <w:r>
        <w:t>implementation activities, which included DRAH implementation for Tier 2</w:t>
      </w:r>
      <w:r w:rsidR="00611AC4">
        <w:t xml:space="preserve"> </w:t>
      </w:r>
      <w:r>
        <w:t>assignment, ME&amp;O, and the Facilitation Contractor for income verification.</w:t>
      </w:r>
      <w:r w:rsidR="00FA6A0C">
        <w:rPr>
          <w:rStyle w:val="FootnoteReference"/>
        </w:rPr>
        <w:footnoteReference w:id="199"/>
      </w:r>
      <w:r w:rsidR="007D13C5">
        <w:t xml:space="preserve"> </w:t>
      </w:r>
    </w:p>
    <w:p w:rsidR="008F55F7" w:rsidP="00E579B3" w:rsidRDefault="008F55F7" w14:paraId="511F9C32" w14:textId="77777777"/>
    <w:p w:rsidR="008F55F7" w:rsidP="00E579B3" w:rsidRDefault="008F55F7" w14:paraId="13306DDF" w14:textId="09404EC0">
      <w:r>
        <w:t>In AL 4492-E-A</w:t>
      </w:r>
      <w:r w:rsidR="00444D61">
        <w:t>, SDG&amp;E corrected a calculation error in its DRAH Data and Program Management</w:t>
      </w:r>
      <w:r w:rsidR="008E4A03">
        <w:t xml:space="preserve"> budget</w:t>
      </w:r>
      <w:r w:rsidR="00444D61">
        <w:t xml:space="preserve">, but the correction did not change its </w:t>
      </w:r>
      <w:r w:rsidR="00453DCE">
        <w:t xml:space="preserve">total </w:t>
      </w:r>
      <w:r w:rsidR="00444D61">
        <w:t>budget request of $1,1868,450.</w:t>
      </w:r>
      <w:r w:rsidR="00444D61">
        <w:rPr>
          <w:rStyle w:val="FootnoteReference"/>
        </w:rPr>
        <w:footnoteReference w:id="200"/>
      </w:r>
      <w:r w:rsidR="00444D61">
        <w:t xml:space="preserve"> In </w:t>
      </w:r>
      <w:r>
        <w:t xml:space="preserve">AL 4492-E-B, SDG&amp;E </w:t>
      </w:r>
      <w:r w:rsidR="00444D61">
        <w:t>reduced its total ME&amp;O budget request from $3,200,000 to $3,197,320.</w:t>
      </w:r>
      <w:r w:rsidR="00444D61">
        <w:rPr>
          <w:rStyle w:val="FootnoteReference"/>
        </w:rPr>
        <w:footnoteReference w:id="201"/>
      </w:r>
      <w:r>
        <w:t xml:space="preserve"> </w:t>
      </w:r>
    </w:p>
    <w:p w:rsidR="00FA42AE" w:rsidP="00E579B3" w:rsidRDefault="00FA42AE" w14:paraId="56CA5B3F" w14:textId="77777777"/>
    <w:p w:rsidRPr="00472E80" w:rsidR="00E579B3" w:rsidP="00E579B3" w:rsidRDefault="007318BD" w14:paraId="5E6C864A" w14:textId="273EAF2E">
      <w:pPr>
        <w:rPr>
          <w:rFonts w:eastAsia="Times New Roman" w:cs="Times New Roman"/>
          <w:b/>
          <w:bCs/>
          <w:color w:val="000000"/>
          <w:sz w:val="22"/>
          <w:szCs w:val="22"/>
        </w:rPr>
      </w:pPr>
      <w:r>
        <w:t xml:space="preserve">Table </w:t>
      </w:r>
      <w:r w:rsidR="00F60286">
        <w:t>9</w:t>
      </w:r>
      <w:r>
        <w:t xml:space="preserve"> below summarizes</w:t>
      </w:r>
      <w:r w:rsidR="001300CD">
        <w:t xml:space="preserve"> </w:t>
      </w:r>
      <w:r w:rsidR="00E579B3">
        <w:t>S</w:t>
      </w:r>
      <w:r w:rsidR="00AA5C5F">
        <w:t>DG&amp;E</w:t>
      </w:r>
      <w:r w:rsidR="007771F7">
        <w:t>’s additional</w:t>
      </w:r>
      <w:r w:rsidR="00B41B3F">
        <w:t xml:space="preserve"> </w:t>
      </w:r>
      <w:r w:rsidR="003F1CE7">
        <w:t xml:space="preserve">implementation </w:t>
      </w:r>
      <w:r w:rsidR="00996F33">
        <w:t>budget</w:t>
      </w:r>
      <w:r w:rsidR="003F1CE7">
        <w:t xml:space="preserve"> request</w:t>
      </w:r>
      <w:r w:rsidR="00B30834">
        <w:t xml:space="preserve"> </w:t>
      </w:r>
      <w:r w:rsidR="004E0712">
        <w:t>of</w:t>
      </w:r>
      <w:r w:rsidR="00B30834">
        <w:t xml:space="preserve"> $</w:t>
      </w:r>
      <w:r w:rsidR="00D1245A">
        <w:t>5</w:t>
      </w:r>
      <w:r w:rsidR="007F0A08">
        <w:t>,1</w:t>
      </w:r>
      <w:r w:rsidR="00132D2E">
        <w:t>1</w:t>
      </w:r>
      <w:r w:rsidR="007F0A08">
        <w:t>5,7</w:t>
      </w:r>
      <w:r w:rsidR="00A20B21">
        <w:t>7</w:t>
      </w:r>
      <w:r w:rsidR="007F0A08">
        <w:t>0</w:t>
      </w:r>
      <w:r w:rsidR="00B30834">
        <w:t xml:space="preserve"> </w:t>
      </w:r>
      <w:r w:rsidR="00923803">
        <w:t>for the implementation of the fixed charge</w:t>
      </w:r>
      <w:r w:rsidR="00E579B3">
        <w:t>:</w:t>
      </w:r>
    </w:p>
    <w:p w:rsidR="00C2302B" w:rsidP="002A3800" w:rsidRDefault="00C2302B" w14:paraId="6AD30464" w14:textId="77777777">
      <w:pPr>
        <w:jc w:val="center"/>
        <w:rPr>
          <w:b/>
          <w:bCs/>
        </w:rPr>
      </w:pPr>
    </w:p>
    <w:p w:rsidR="00893829" w:rsidP="002A3800" w:rsidRDefault="009E2A37" w14:paraId="65A6214A" w14:textId="0D86520C">
      <w:pPr>
        <w:jc w:val="center"/>
        <w:rPr>
          <w:b/>
          <w:bCs/>
        </w:rPr>
      </w:pPr>
      <w:r w:rsidRPr="009E2A37">
        <w:rPr>
          <w:b/>
          <w:bCs/>
        </w:rPr>
        <w:t xml:space="preserve">Table </w:t>
      </w:r>
      <w:r w:rsidR="00F60286">
        <w:rPr>
          <w:b/>
          <w:bCs/>
        </w:rPr>
        <w:t>9</w:t>
      </w:r>
      <w:r w:rsidR="00565E35">
        <w:rPr>
          <w:b/>
          <w:bCs/>
        </w:rPr>
        <w:t xml:space="preserve">: </w:t>
      </w:r>
      <w:r w:rsidRPr="009E2A37">
        <w:rPr>
          <w:b/>
          <w:bCs/>
        </w:rPr>
        <w:t>SDG&amp;E</w:t>
      </w:r>
      <w:r w:rsidR="00D642F7">
        <w:rPr>
          <w:b/>
          <w:bCs/>
        </w:rPr>
        <w:t>’s</w:t>
      </w:r>
      <w:r w:rsidRPr="009E2A37">
        <w:rPr>
          <w:b/>
          <w:bCs/>
        </w:rPr>
        <w:t xml:space="preserve"> </w:t>
      </w:r>
      <w:r w:rsidR="00B81497">
        <w:rPr>
          <w:b/>
          <w:bCs/>
        </w:rPr>
        <w:t xml:space="preserve">Proposed </w:t>
      </w:r>
      <w:r w:rsidR="00A04A31">
        <w:rPr>
          <w:b/>
          <w:bCs/>
        </w:rPr>
        <w:t>Additional Implementation</w:t>
      </w:r>
      <w:r w:rsidRPr="009E2A37">
        <w:rPr>
          <w:b/>
          <w:bCs/>
        </w:rPr>
        <w:t xml:space="preserve"> Budget Request</w:t>
      </w:r>
    </w:p>
    <w:p w:rsidRPr="009E2A37" w:rsidR="002A3800" w:rsidP="002A3800" w:rsidRDefault="002A3800" w14:paraId="5E9102D1" w14:textId="77777777">
      <w:pPr>
        <w:rPr>
          <w:b/>
          <w:bCs/>
        </w:rPr>
      </w:pPr>
    </w:p>
    <w:tbl>
      <w:tblPr>
        <w:tblW w:w="7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5"/>
        <w:gridCol w:w="1260"/>
        <w:gridCol w:w="1260"/>
        <w:gridCol w:w="1206"/>
        <w:gridCol w:w="1298"/>
      </w:tblGrid>
      <w:tr w:rsidRPr="00565E35" w:rsidR="00C479A4" w:rsidTr="0248D369" w14:paraId="414B40EA" w14:textId="77777777">
        <w:trPr>
          <w:trHeight w:val="300"/>
          <w:jc w:val="center"/>
        </w:trPr>
        <w:tc>
          <w:tcPr>
            <w:tcW w:w="2965" w:type="dxa"/>
            <w:shd w:val="clear" w:color="auto" w:fill="F2F2F2" w:themeFill="background1" w:themeFillShade="F2"/>
            <w:noWrap/>
            <w:vAlign w:val="bottom"/>
            <w:hideMark/>
          </w:tcPr>
          <w:p w:rsidRPr="00565E35" w:rsidR="00565E35" w:rsidP="001252C7" w:rsidRDefault="00C2302B" w14:paraId="3AB8EF1D" w14:textId="42755EAA">
            <w:pPr>
              <w:rPr>
                <w:rFonts w:eastAsia="Times New Roman" w:cs="Times New Roman"/>
                <w:b/>
                <w:bCs/>
                <w:color w:val="000000"/>
                <w:sz w:val="22"/>
                <w:szCs w:val="22"/>
              </w:rPr>
            </w:pPr>
            <w:r>
              <w:rPr>
                <w:rFonts w:eastAsia="Times New Roman" w:cs="Times New Roman"/>
                <w:b/>
                <w:bCs/>
                <w:color w:val="000000"/>
                <w:sz w:val="22"/>
                <w:szCs w:val="22"/>
              </w:rPr>
              <w:t>Activi</w:t>
            </w:r>
            <w:r w:rsidR="001252C7">
              <w:rPr>
                <w:rFonts w:eastAsia="Times New Roman" w:cs="Times New Roman"/>
                <w:b/>
                <w:bCs/>
                <w:color w:val="000000"/>
                <w:sz w:val="22"/>
                <w:szCs w:val="22"/>
              </w:rPr>
              <w:t>ty</w:t>
            </w:r>
          </w:p>
        </w:tc>
        <w:tc>
          <w:tcPr>
            <w:tcW w:w="1260" w:type="dxa"/>
            <w:shd w:val="clear" w:color="auto" w:fill="F2F2F2" w:themeFill="background1" w:themeFillShade="F2"/>
            <w:noWrap/>
            <w:vAlign w:val="bottom"/>
            <w:hideMark/>
          </w:tcPr>
          <w:p w:rsidRPr="00565E35" w:rsidR="00565E35" w:rsidP="001252C7" w:rsidRDefault="00B06391" w14:paraId="63B9ECCC" w14:textId="50848445">
            <w:pPr>
              <w:jc w:val="center"/>
              <w:rPr>
                <w:rFonts w:eastAsia="Times New Roman" w:cs="Times New Roman"/>
                <w:b/>
                <w:bCs/>
                <w:color w:val="000000"/>
                <w:sz w:val="22"/>
                <w:szCs w:val="22"/>
              </w:rPr>
            </w:pPr>
            <w:r>
              <w:rPr>
                <w:rFonts w:eastAsia="Times New Roman" w:cs="Times New Roman"/>
                <w:b/>
                <w:bCs/>
                <w:color w:val="000000"/>
                <w:sz w:val="22"/>
                <w:szCs w:val="22"/>
              </w:rPr>
              <w:t xml:space="preserve">1H </w:t>
            </w:r>
            <w:r w:rsidRPr="00565E35" w:rsidR="00565E35">
              <w:rPr>
                <w:rFonts w:eastAsia="Times New Roman" w:cs="Times New Roman"/>
                <w:b/>
                <w:bCs/>
                <w:color w:val="000000"/>
                <w:sz w:val="22"/>
                <w:szCs w:val="22"/>
              </w:rPr>
              <w:t>2025</w:t>
            </w:r>
          </w:p>
        </w:tc>
        <w:tc>
          <w:tcPr>
            <w:tcW w:w="1260" w:type="dxa"/>
            <w:shd w:val="clear" w:color="auto" w:fill="F2F2F2" w:themeFill="background1" w:themeFillShade="F2"/>
            <w:noWrap/>
            <w:vAlign w:val="bottom"/>
            <w:hideMark/>
          </w:tcPr>
          <w:p w:rsidRPr="00565E35" w:rsidR="00565E35" w:rsidP="001252C7" w:rsidRDefault="00B06391" w14:paraId="6EBE2FF7" w14:textId="612E527A">
            <w:pPr>
              <w:jc w:val="center"/>
              <w:rPr>
                <w:rFonts w:eastAsia="Times New Roman" w:cs="Times New Roman"/>
                <w:b/>
                <w:bCs/>
                <w:color w:val="000000"/>
                <w:sz w:val="22"/>
                <w:szCs w:val="22"/>
              </w:rPr>
            </w:pPr>
            <w:r>
              <w:rPr>
                <w:rFonts w:eastAsia="Times New Roman" w:cs="Times New Roman"/>
                <w:b/>
                <w:bCs/>
                <w:color w:val="000000"/>
                <w:sz w:val="22"/>
                <w:szCs w:val="22"/>
              </w:rPr>
              <w:t xml:space="preserve">2H </w:t>
            </w:r>
            <w:r w:rsidRPr="00565E35" w:rsidR="00565E35">
              <w:rPr>
                <w:rFonts w:eastAsia="Times New Roman" w:cs="Times New Roman"/>
                <w:b/>
                <w:bCs/>
                <w:color w:val="000000"/>
                <w:sz w:val="22"/>
                <w:szCs w:val="22"/>
              </w:rPr>
              <w:t>202</w:t>
            </w:r>
            <w:r>
              <w:rPr>
                <w:rFonts w:eastAsia="Times New Roman" w:cs="Times New Roman"/>
                <w:b/>
                <w:bCs/>
                <w:color w:val="000000"/>
                <w:sz w:val="22"/>
                <w:szCs w:val="22"/>
              </w:rPr>
              <w:t>5</w:t>
            </w:r>
          </w:p>
        </w:tc>
        <w:tc>
          <w:tcPr>
            <w:tcW w:w="1170" w:type="dxa"/>
            <w:shd w:val="clear" w:color="auto" w:fill="F2F2F2" w:themeFill="background1" w:themeFillShade="F2"/>
            <w:noWrap/>
            <w:vAlign w:val="bottom"/>
            <w:hideMark/>
          </w:tcPr>
          <w:p w:rsidRPr="00565E35" w:rsidR="00565E35" w:rsidP="001252C7" w:rsidRDefault="00565E35" w14:paraId="1142F91D" w14:textId="42DAEC9E">
            <w:pPr>
              <w:jc w:val="center"/>
              <w:rPr>
                <w:rFonts w:eastAsia="Times New Roman" w:cs="Times New Roman"/>
                <w:b/>
                <w:bCs/>
                <w:color w:val="000000"/>
                <w:sz w:val="22"/>
                <w:szCs w:val="22"/>
              </w:rPr>
            </w:pPr>
            <w:r w:rsidRPr="00565E35">
              <w:rPr>
                <w:rFonts w:eastAsia="Times New Roman" w:cs="Times New Roman"/>
                <w:b/>
                <w:bCs/>
                <w:color w:val="000000"/>
                <w:sz w:val="22"/>
                <w:szCs w:val="22"/>
              </w:rPr>
              <w:t>202</w:t>
            </w:r>
            <w:r w:rsidR="00B06391">
              <w:rPr>
                <w:rFonts w:eastAsia="Times New Roman" w:cs="Times New Roman"/>
                <w:b/>
                <w:bCs/>
                <w:color w:val="000000"/>
                <w:sz w:val="22"/>
                <w:szCs w:val="22"/>
              </w:rPr>
              <w:t>6</w:t>
            </w:r>
          </w:p>
        </w:tc>
        <w:tc>
          <w:tcPr>
            <w:tcW w:w="1298" w:type="dxa"/>
            <w:shd w:val="clear" w:color="auto" w:fill="F2F2F2" w:themeFill="background1" w:themeFillShade="F2"/>
            <w:noWrap/>
            <w:vAlign w:val="bottom"/>
            <w:hideMark/>
          </w:tcPr>
          <w:p w:rsidRPr="00565E35" w:rsidR="00565E35" w:rsidP="001252C7" w:rsidRDefault="00565E35" w14:paraId="515B940B" w14:textId="77777777">
            <w:pPr>
              <w:jc w:val="center"/>
              <w:rPr>
                <w:rFonts w:eastAsia="Times New Roman" w:cs="Times New Roman"/>
                <w:b/>
                <w:bCs/>
                <w:color w:val="000000"/>
                <w:sz w:val="22"/>
                <w:szCs w:val="22"/>
              </w:rPr>
            </w:pPr>
            <w:r w:rsidRPr="00565E35">
              <w:rPr>
                <w:rFonts w:eastAsia="Times New Roman" w:cs="Times New Roman"/>
                <w:b/>
                <w:bCs/>
                <w:color w:val="000000"/>
                <w:sz w:val="22"/>
                <w:szCs w:val="22"/>
              </w:rPr>
              <w:t>Total</w:t>
            </w:r>
          </w:p>
        </w:tc>
      </w:tr>
      <w:tr w:rsidRPr="00565E35" w:rsidR="00565E35" w:rsidTr="0248D369" w14:paraId="3FE7E287" w14:textId="77777777">
        <w:trPr>
          <w:trHeight w:val="300"/>
          <w:jc w:val="center"/>
        </w:trPr>
        <w:tc>
          <w:tcPr>
            <w:tcW w:w="2965" w:type="dxa"/>
            <w:shd w:val="clear" w:color="auto" w:fill="auto"/>
            <w:noWrap/>
            <w:vAlign w:val="bottom"/>
            <w:hideMark/>
          </w:tcPr>
          <w:p w:rsidRPr="00565E35" w:rsidR="00565E35" w:rsidP="001252C7" w:rsidRDefault="35FB3A31" w14:paraId="7F061F74" w14:textId="107E9108">
            <w:pPr>
              <w:rPr>
                <w:rFonts w:eastAsia="Times New Roman" w:cs="Times New Roman"/>
                <w:color w:val="000000"/>
                <w:sz w:val="22"/>
                <w:szCs w:val="22"/>
              </w:rPr>
            </w:pPr>
            <w:r>
              <w:rPr>
                <w:rFonts w:eastAsia="Times New Roman" w:cs="Times New Roman"/>
                <w:color w:val="000000"/>
                <w:sz w:val="22"/>
                <w:szCs w:val="22"/>
              </w:rPr>
              <w:lastRenderedPageBreak/>
              <w:t>DRAH Implementation</w:t>
            </w:r>
            <w:r w:rsidR="003427DA">
              <w:rPr>
                <w:rStyle w:val="FootnoteReference"/>
                <w:rFonts w:eastAsia="Times New Roman" w:cs="Times New Roman"/>
                <w:color w:val="000000"/>
                <w:sz w:val="22"/>
                <w:szCs w:val="22"/>
              </w:rPr>
              <w:footnoteReference w:id="202"/>
            </w:r>
          </w:p>
        </w:tc>
        <w:tc>
          <w:tcPr>
            <w:tcW w:w="1260" w:type="dxa"/>
            <w:shd w:val="clear" w:color="auto" w:fill="auto"/>
            <w:noWrap/>
            <w:vAlign w:val="bottom"/>
            <w:hideMark/>
          </w:tcPr>
          <w:p w:rsidRPr="00537ED4" w:rsidR="00565E35" w:rsidP="001252C7" w:rsidRDefault="00565E35" w14:paraId="28F1AC2A" w14:textId="70837519">
            <w:pPr>
              <w:jc w:val="right"/>
              <w:rPr>
                <w:rFonts w:eastAsia="Times New Roman" w:cs="Times New Roman"/>
                <w:color w:val="000000"/>
                <w:sz w:val="22"/>
                <w:szCs w:val="22"/>
              </w:rPr>
            </w:pPr>
            <w:r w:rsidRPr="00537ED4">
              <w:rPr>
                <w:rFonts w:eastAsia="Times New Roman" w:cs="Times New Roman"/>
                <w:color w:val="000000"/>
                <w:sz w:val="22"/>
                <w:szCs w:val="22"/>
              </w:rPr>
              <w:t>$</w:t>
            </w:r>
            <w:r w:rsidRPr="00537ED4" w:rsidR="00F306E7">
              <w:rPr>
                <w:rFonts w:eastAsia="Times New Roman" w:cs="Times New Roman"/>
                <w:color w:val="000000"/>
                <w:sz w:val="22"/>
                <w:szCs w:val="22"/>
              </w:rPr>
              <w:t>1,354</w:t>
            </w:r>
            <w:r w:rsidRPr="00537ED4" w:rsidR="00BE3BDB">
              <w:rPr>
                <w:rFonts w:eastAsia="Times New Roman" w:cs="Times New Roman"/>
                <w:color w:val="000000"/>
                <w:sz w:val="22"/>
                <w:szCs w:val="22"/>
              </w:rPr>
              <w:t>,650</w:t>
            </w:r>
            <w:r w:rsidRPr="00537ED4">
              <w:rPr>
                <w:rFonts w:eastAsia="Times New Roman" w:cs="Times New Roman"/>
                <w:color w:val="000000"/>
                <w:sz w:val="22"/>
                <w:szCs w:val="22"/>
              </w:rPr>
              <w:t xml:space="preserve"> </w:t>
            </w:r>
          </w:p>
        </w:tc>
        <w:tc>
          <w:tcPr>
            <w:tcW w:w="1260" w:type="dxa"/>
            <w:shd w:val="clear" w:color="auto" w:fill="auto"/>
            <w:noWrap/>
            <w:vAlign w:val="bottom"/>
            <w:hideMark/>
          </w:tcPr>
          <w:p w:rsidRPr="00537ED4" w:rsidR="00565E35" w:rsidP="001252C7" w:rsidRDefault="00565E35" w14:paraId="5A668705" w14:textId="70A896BF">
            <w:pPr>
              <w:jc w:val="right"/>
              <w:rPr>
                <w:rFonts w:eastAsia="Times New Roman" w:cs="Times New Roman"/>
                <w:color w:val="000000"/>
                <w:sz w:val="22"/>
                <w:szCs w:val="22"/>
              </w:rPr>
            </w:pPr>
            <w:r w:rsidRPr="00537ED4">
              <w:rPr>
                <w:rFonts w:eastAsia="Times New Roman" w:cs="Times New Roman"/>
                <w:color w:val="000000"/>
                <w:sz w:val="22"/>
                <w:szCs w:val="22"/>
              </w:rPr>
              <w:t xml:space="preserve"> $</w:t>
            </w:r>
            <w:r w:rsidRPr="00537ED4" w:rsidR="00BB49E3">
              <w:rPr>
                <w:rFonts w:eastAsia="Times New Roman" w:cs="Times New Roman"/>
                <w:color w:val="000000"/>
                <w:sz w:val="22"/>
                <w:szCs w:val="22"/>
              </w:rPr>
              <w:t>262,350</w:t>
            </w:r>
            <w:r w:rsidRPr="00537ED4">
              <w:rPr>
                <w:rFonts w:eastAsia="Times New Roman" w:cs="Times New Roman"/>
                <w:color w:val="000000"/>
                <w:sz w:val="22"/>
                <w:szCs w:val="22"/>
              </w:rPr>
              <w:t xml:space="preserve">   </w:t>
            </w:r>
          </w:p>
        </w:tc>
        <w:tc>
          <w:tcPr>
            <w:tcW w:w="1170" w:type="dxa"/>
            <w:shd w:val="clear" w:color="auto" w:fill="auto"/>
            <w:noWrap/>
            <w:vAlign w:val="bottom"/>
            <w:hideMark/>
          </w:tcPr>
          <w:p w:rsidRPr="00537ED4" w:rsidR="00565E35" w:rsidP="001252C7" w:rsidRDefault="00565E35" w14:paraId="2A56BAC3" w14:textId="2D606824">
            <w:pPr>
              <w:jc w:val="right"/>
              <w:rPr>
                <w:rFonts w:eastAsia="Times New Roman" w:cs="Times New Roman"/>
                <w:color w:val="000000"/>
                <w:sz w:val="22"/>
                <w:szCs w:val="22"/>
              </w:rPr>
            </w:pPr>
            <w:r w:rsidRPr="00537ED4">
              <w:rPr>
                <w:rFonts w:eastAsia="Times New Roman" w:cs="Times New Roman"/>
                <w:color w:val="000000"/>
                <w:sz w:val="22"/>
                <w:szCs w:val="22"/>
              </w:rPr>
              <w:t xml:space="preserve"> $</w:t>
            </w:r>
            <w:r w:rsidRPr="00537ED4" w:rsidR="00C57187">
              <w:rPr>
                <w:rFonts w:eastAsia="Times New Roman" w:cs="Times New Roman"/>
                <w:color w:val="000000"/>
                <w:sz w:val="22"/>
                <w:szCs w:val="22"/>
              </w:rPr>
              <w:t>25</w:t>
            </w:r>
            <w:r w:rsidRPr="00537ED4" w:rsidR="0074377D">
              <w:rPr>
                <w:rFonts w:eastAsia="Times New Roman" w:cs="Times New Roman"/>
                <w:color w:val="000000"/>
                <w:sz w:val="22"/>
                <w:szCs w:val="22"/>
              </w:rPr>
              <w:t>1</w:t>
            </w:r>
            <w:r w:rsidRPr="00537ED4" w:rsidR="006F1CE6">
              <w:rPr>
                <w:rFonts w:eastAsia="Times New Roman" w:cs="Times New Roman"/>
                <w:color w:val="000000"/>
                <w:sz w:val="22"/>
                <w:szCs w:val="22"/>
              </w:rPr>
              <w:t>,</w:t>
            </w:r>
            <w:r w:rsidRPr="00537ED4" w:rsidR="007F5C85">
              <w:rPr>
                <w:rFonts w:eastAsia="Times New Roman" w:cs="Times New Roman"/>
                <w:color w:val="000000"/>
                <w:sz w:val="22"/>
                <w:szCs w:val="22"/>
              </w:rPr>
              <w:t>450</w:t>
            </w:r>
            <w:r w:rsidRPr="00537ED4">
              <w:rPr>
                <w:rFonts w:eastAsia="Times New Roman" w:cs="Times New Roman"/>
                <w:color w:val="000000"/>
                <w:sz w:val="22"/>
                <w:szCs w:val="22"/>
              </w:rPr>
              <w:t xml:space="preserve">  </w:t>
            </w:r>
          </w:p>
        </w:tc>
        <w:tc>
          <w:tcPr>
            <w:tcW w:w="1298" w:type="dxa"/>
            <w:shd w:val="clear" w:color="auto" w:fill="auto"/>
            <w:noWrap/>
            <w:vAlign w:val="bottom"/>
            <w:hideMark/>
          </w:tcPr>
          <w:p w:rsidRPr="00565E35" w:rsidR="00565E35" w:rsidP="001252C7" w:rsidRDefault="00565E35" w14:paraId="5C478C8D" w14:textId="45D96916">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sidRPr="00537ED4">
              <w:rPr>
                <w:rFonts w:eastAsia="Times New Roman" w:cs="Times New Roman"/>
                <w:color w:val="000000"/>
                <w:sz w:val="22"/>
                <w:szCs w:val="22"/>
              </w:rPr>
              <w:t>$</w:t>
            </w:r>
            <w:r w:rsidRPr="00537ED4" w:rsidR="001E0E5C">
              <w:rPr>
                <w:rFonts w:eastAsia="Times New Roman" w:cs="Times New Roman"/>
                <w:color w:val="000000"/>
                <w:sz w:val="22"/>
                <w:szCs w:val="22"/>
              </w:rPr>
              <w:t>1,8</w:t>
            </w:r>
            <w:r w:rsidRPr="00537ED4" w:rsidR="005E1E7D">
              <w:rPr>
                <w:rFonts w:eastAsia="Times New Roman" w:cs="Times New Roman"/>
                <w:color w:val="000000"/>
                <w:sz w:val="22"/>
                <w:szCs w:val="22"/>
              </w:rPr>
              <w:t>68</w:t>
            </w:r>
            <w:r w:rsidRPr="00537ED4" w:rsidR="00093DA8">
              <w:rPr>
                <w:rFonts w:eastAsia="Times New Roman" w:cs="Times New Roman"/>
                <w:color w:val="000000"/>
                <w:sz w:val="22"/>
                <w:szCs w:val="22"/>
              </w:rPr>
              <w:t>,450</w:t>
            </w:r>
            <w:r w:rsidRPr="00565E35">
              <w:rPr>
                <w:rFonts w:eastAsia="Times New Roman" w:cs="Times New Roman"/>
                <w:color w:val="000000"/>
                <w:sz w:val="22"/>
                <w:szCs w:val="22"/>
              </w:rPr>
              <w:t xml:space="preserve"> </w:t>
            </w:r>
          </w:p>
        </w:tc>
      </w:tr>
      <w:tr w:rsidRPr="00565E35" w:rsidR="00565E35" w:rsidTr="0248D369" w14:paraId="52EAE084" w14:textId="77777777">
        <w:trPr>
          <w:trHeight w:val="224"/>
          <w:jc w:val="center"/>
        </w:trPr>
        <w:tc>
          <w:tcPr>
            <w:tcW w:w="2965" w:type="dxa"/>
            <w:shd w:val="clear" w:color="auto" w:fill="auto"/>
            <w:noWrap/>
            <w:vAlign w:val="bottom"/>
            <w:hideMark/>
          </w:tcPr>
          <w:p w:rsidRPr="00565E35" w:rsidR="00565E35" w:rsidP="001252C7" w:rsidRDefault="005570D3" w14:paraId="3DEA1EB3" w14:textId="68491DEA">
            <w:pPr>
              <w:rPr>
                <w:rFonts w:eastAsia="Times New Roman" w:cs="Times New Roman"/>
                <w:color w:val="000000"/>
                <w:sz w:val="22"/>
                <w:szCs w:val="22"/>
              </w:rPr>
            </w:pPr>
            <w:r>
              <w:rPr>
                <w:rFonts w:eastAsia="Times New Roman" w:cs="Times New Roman"/>
                <w:color w:val="000000"/>
                <w:sz w:val="22"/>
                <w:szCs w:val="22"/>
              </w:rPr>
              <w:t>ME&amp;O</w:t>
            </w:r>
            <w:r w:rsidR="00D50194">
              <w:rPr>
                <w:rStyle w:val="FootnoteReference"/>
              </w:rPr>
              <w:footnoteReference w:id="203"/>
            </w:r>
          </w:p>
        </w:tc>
        <w:tc>
          <w:tcPr>
            <w:tcW w:w="1260" w:type="dxa"/>
            <w:shd w:val="clear" w:color="auto" w:fill="auto"/>
            <w:noWrap/>
            <w:vAlign w:val="bottom"/>
            <w:hideMark/>
          </w:tcPr>
          <w:p w:rsidRPr="00543653" w:rsidR="00565E35" w:rsidP="00543653" w:rsidRDefault="00543653" w14:paraId="59A881B5" w14:textId="28840AF3">
            <w:pPr>
              <w:jc w:val="right"/>
              <w:rPr>
                <w:rFonts w:eastAsia="Times New Roman" w:cs="Calibri"/>
                <w:color w:val="000000"/>
                <w:sz w:val="22"/>
                <w:szCs w:val="22"/>
              </w:rPr>
            </w:pPr>
            <w:r w:rsidRPr="00543653">
              <w:rPr>
                <w:rFonts w:cs="Calibri"/>
                <w:color w:val="000000"/>
                <w:sz w:val="22"/>
                <w:szCs w:val="22"/>
              </w:rPr>
              <w:t>$</w:t>
            </w:r>
            <w:r w:rsidR="00216229">
              <w:rPr>
                <w:rFonts w:cs="Calibri"/>
                <w:color w:val="000000"/>
                <w:sz w:val="22"/>
                <w:szCs w:val="22"/>
              </w:rPr>
              <w:t>667,000</w:t>
            </w:r>
            <w:r w:rsidRPr="00543653" w:rsidR="00565E35">
              <w:rPr>
                <w:rFonts w:eastAsia="Times New Roman" w:cs="Times New Roman"/>
                <w:color w:val="000000"/>
                <w:sz w:val="22"/>
                <w:szCs w:val="22"/>
              </w:rPr>
              <w:t xml:space="preserve"> </w:t>
            </w:r>
          </w:p>
        </w:tc>
        <w:tc>
          <w:tcPr>
            <w:tcW w:w="1260" w:type="dxa"/>
            <w:shd w:val="clear" w:color="auto" w:fill="auto"/>
            <w:noWrap/>
            <w:vAlign w:val="bottom"/>
            <w:hideMark/>
          </w:tcPr>
          <w:p w:rsidRPr="00565E35" w:rsidR="00565E35" w:rsidP="001252C7" w:rsidRDefault="00C0458A" w14:paraId="3084DDF0" w14:textId="224CF1E4">
            <w:pPr>
              <w:jc w:val="right"/>
              <w:rPr>
                <w:rFonts w:eastAsia="Times New Roman" w:cs="Times New Roman"/>
                <w:color w:val="000000"/>
                <w:sz w:val="22"/>
                <w:szCs w:val="22"/>
              </w:rPr>
            </w:pPr>
            <w:r>
              <w:rPr>
                <w:rFonts w:eastAsia="Times New Roman" w:cs="Times New Roman"/>
                <w:color w:val="000000"/>
                <w:sz w:val="22"/>
                <w:szCs w:val="22"/>
              </w:rPr>
              <w:t>$</w:t>
            </w:r>
            <w:r w:rsidR="00216229">
              <w:rPr>
                <w:rFonts w:eastAsia="Times New Roman" w:cs="Times New Roman"/>
                <w:color w:val="000000"/>
                <w:sz w:val="22"/>
                <w:szCs w:val="22"/>
              </w:rPr>
              <w:t>1,338,880</w:t>
            </w:r>
            <w:r w:rsidRPr="00565E35" w:rsidR="00565E35">
              <w:rPr>
                <w:rFonts w:eastAsia="Times New Roman" w:cs="Times New Roman"/>
                <w:color w:val="000000"/>
                <w:sz w:val="22"/>
                <w:szCs w:val="22"/>
              </w:rPr>
              <w:t xml:space="preserve"> </w:t>
            </w:r>
          </w:p>
        </w:tc>
        <w:tc>
          <w:tcPr>
            <w:tcW w:w="1170" w:type="dxa"/>
            <w:shd w:val="clear" w:color="auto" w:fill="auto"/>
            <w:noWrap/>
            <w:vAlign w:val="bottom"/>
            <w:hideMark/>
          </w:tcPr>
          <w:p w:rsidRPr="00565E35" w:rsidR="00565E35" w:rsidP="00CA6533" w:rsidRDefault="00565E35" w14:paraId="74430A37" w14:textId="71E0009C">
            <w:pPr>
              <w:rPr>
                <w:rFonts w:eastAsia="Times New Roman" w:cs="Times New Roman"/>
                <w:color w:val="000000"/>
                <w:sz w:val="22"/>
                <w:szCs w:val="22"/>
              </w:rPr>
            </w:pPr>
            <w:r w:rsidRPr="00565E35">
              <w:rPr>
                <w:rFonts w:eastAsia="Times New Roman" w:cs="Times New Roman"/>
                <w:color w:val="000000"/>
                <w:sz w:val="22"/>
                <w:szCs w:val="22"/>
              </w:rPr>
              <w:t>$1</w:t>
            </w:r>
            <w:r w:rsidR="00CA6533">
              <w:rPr>
                <w:rFonts w:eastAsia="Times New Roman" w:cs="Times New Roman"/>
                <w:color w:val="000000"/>
                <w:sz w:val="22"/>
                <w:szCs w:val="22"/>
              </w:rPr>
              <w:t>,191,440</w:t>
            </w:r>
            <w:r w:rsidRPr="00565E35">
              <w:rPr>
                <w:rFonts w:eastAsia="Times New Roman" w:cs="Times New Roman"/>
                <w:color w:val="000000"/>
                <w:sz w:val="22"/>
                <w:szCs w:val="22"/>
              </w:rPr>
              <w:t xml:space="preserve"> </w:t>
            </w:r>
          </w:p>
        </w:tc>
        <w:tc>
          <w:tcPr>
            <w:tcW w:w="1298" w:type="dxa"/>
            <w:shd w:val="clear" w:color="auto" w:fill="auto"/>
            <w:noWrap/>
            <w:vAlign w:val="bottom"/>
            <w:hideMark/>
          </w:tcPr>
          <w:p w:rsidRPr="00565E35" w:rsidR="00565E35" w:rsidP="001252C7" w:rsidRDefault="00565E35" w14:paraId="4AEBCB81" w14:textId="13EBAD14">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sidR="00760637">
              <w:rPr>
                <w:rFonts w:eastAsia="Times New Roman" w:cs="Times New Roman"/>
                <w:color w:val="000000"/>
                <w:sz w:val="22"/>
                <w:szCs w:val="22"/>
              </w:rPr>
              <w:t>3,</w:t>
            </w:r>
            <w:r w:rsidR="00A6320F">
              <w:rPr>
                <w:rFonts w:eastAsia="Times New Roman" w:cs="Times New Roman"/>
                <w:color w:val="000000"/>
                <w:sz w:val="22"/>
                <w:szCs w:val="22"/>
              </w:rPr>
              <w:t>197,320</w:t>
            </w:r>
            <w:r w:rsidRPr="00565E35">
              <w:rPr>
                <w:rFonts w:eastAsia="Times New Roman" w:cs="Times New Roman"/>
                <w:color w:val="000000"/>
                <w:sz w:val="22"/>
                <w:szCs w:val="22"/>
              </w:rPr>
              <w:t xml:space="preserve"> </w:t>
            </w:r>
          </w:p>
        </w:tc>
      </w:tr>
      <w:tr w:rsidRPr="00565E35" w:rsidR="00565E35" w:rsidTr="00BA401D" w14:paraId="762663A3" w14:textId="77777777">
        <w:trPr>
          <w:trHeight w:val="300"/>
          <w:jc w:val="center"/>
        </w:trPr>
        <w:tc>
          <w:tcPr>
            <w:tcW w:w="2965" w:type="dxa"/>
            <w:shd w:val="clear" w:color="auto" w:fill="auto"/>
            <w:noWrap/>
            <w:vAlign w:val="bottom"/>
            <w:hideMark/>
          </w:tcPr>
          <w:p w:rsidRPr="00565E35" w:rsidR="00565E35" w:rsidP="001252C7" w:rsidRDefault="35FB3A31" w14:paraId="17B3FAD4" w14:textId="50A893D4">
            <w:pPr>
              <w:rPr>
                <w:rFonts w:eastAsia="Times New Roman" w:cs="Times New Roman"/>
                <w:color w:val="000000"/>
                <w:sz w:val="22"/>
                <w:szCs w:val="22"/>
              </w:rPr>
            </w:pPr>
            <w:r>
              <w:rPr>
                <w:rFonts w:eastAsia="Times New Roman" w:cs="Times New Roman"/>
                <w:color w:val="000000"/>
                <w:sz w:val="22"/>
                <w:szCs w:val="22"/>
              </w:rPr>
              <w:t>Facilitation Contractor</w:t>
            </w:r>
          </w:p>
        </w:tc>
        <w:tc>
          <w:tcPr>
            <w:tcW w:w="1260" w:type="dxa"/>
            <w:shd w:val="clear" w:color="auto" w:fill="auto"/>
            <w:noWrap/>
            <w:vAlign w:val="bottom"/>
            <w:hideMark/>
          </w:tcPr>
          <w:p w:rsidRPr="00565E35" w:rsidR="00565E35" w:rsidP="001252C7" w:rsidRDefault="00565E35" w14:paraId="6EAA4671" w14:textId="3FB6FB87">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sidR="00E078C3">
              <w:rPr>
                <w:rFonts w:eastAsia="Times New Roman" w:cs="Times New Roman"/>
                <w:color w:val="000000"/>
                <w:sz w:val="22"/>
                <w:szCs w:val="22"/>
              </w:rPr>
              <w:t>5</w:t>
            </w:r>
            <w:r w:rsidR="003F4F7C">
              <w:rPr>
                <w:rFonts w:eastAsia="Times New Roman" w:cs="Times New Roman"/>
                <w:color w:val="000000"/>
                <w:sz w:val="22"/>
                <w:szCs w:val="22"/>
              </w:rPr>
              <w:t>0</w:t>
            </w:r>
            <w:r w:rsidR="00170FCA">
              <w:rPr>
                <w:rFonts w:eastAsia="Times New Roman" w:cs="Times New Roman"/>
                <w:color w:val="000000"/>
                <w:sz w:val="22"/>
                <w:szCs w:val="22"/>
              </w:rPr>
              <w:t>,000</w:t>
            </w:r>
            <w:r w:rsidRPr="00565E35">
              <w:rPr>
                <w:rFonts w:eastAsia="Times New Roman" w:cs="Times New Roman"/>
                <w:color w:val="000000"/>
                <w:sz w:val="22"/>
                <w:szCs w:val="22"/>
              </w:rPr>
              <w:t xml:space="preserve"> </w:t>
            </w:r>
          </w:p>
        </w:tc>
        <w:tc>
          <w:tcPr>
            <w:tcW w:w="1260" w:type="dxa"/>
            <w:shd w:val="clear" w:color="auto" w:fill="auto"/>
            <w:noWrap/>
            <w:vAlign w:val="bottom"/>
            <w:hideMark/>
          </w:tcPr>
          <w:p w:rsidRPr="00565E35" w:rsidR="00565E35" w:rsidP="001252C7" w:rsidRDefault="00565E35" w14:paraId="155D5C6F" w14:textId="749D32FD">
            <w:pPr>
              <w:jc w:val="right"/>
              <w:rPr>
                <w:rFonts w:eastAsia="Times New Roman" w:cs="Times New Roman"/>
                <w:color w:val="000000"/>
                <w:sz w:val="22"/>
                <w:szCs w:val="22"/>
              </w:rPr>
            </w:pPr>
            <w:r w:rsidRPr="00565E35">
              <w:rPr>
                <w:rFonts w:eastAsia="Times New Roman" w:cs="Times New Roman"/>
                <w:color w:val="000000"/>
                <w:sz w:val="22"/>
                <w:szCs w:val="22"/>
              </w:rPr>
              <w:t>$</w:t>
            </w:r>
            <w:r w:rsidR="008275DD">
              <w:rPr>
                <w:rFonts w:eastAsia="Times New Roman" w:cs="Times New Roman"/>
                <w:color w:val="000000"/>
                <w:sz w:val="22"/>
                <w:szCs w:val="22"/>
              </w:rPr>
              <w:t>0</w:t>
            </w:r>
            <w:r w:rsidRPr="00565E35">
              <w:rPr>
                <w:rFonts w:eastAsia="Times New Roman" w:cs="Times New Roman"/>
                <w:color w:val="000000"/>
                <w:sz w:val="22"/>
                <w:szCs w:val="22"/>
              </w:rPr>
              <w:t xml:space="preserve"> </w:t>
            </w:r>
          </w:p>
        </w:tc>
        <w:tc>
          <w:tcPr>
            <w:tcW w:w="1170" w:type="dxa"/>
            <w:shd w:val="clear" w:color="auto" w:fill="auto"/>
            <w:noWrap/>
            <w:vAlign w:val="bottom"/>
            <w:hideMark/>
          </w:tcPr>
          <w:p w:rsidRPr="00565E35" w:rsidR="00565E35" w:rsidP="001252C7" w:rsidRDefault="00313B59" w14:paraId="39AFB9B5" w14:textId="4AFD3FC0">
            <w:pPr>
              <w:jc w:val="right"/>
              <w:rPr>
                <w:rFonts w:eastAsia="Times New Roman" w:cs="Times New Roman"/>
                <w:color w:val="000000"/>
                <w:sz w:val="22"/>
                <w:szCs w:val="22"/>
              </w:rPr>
            </w:pPr>
            <w:r>
              <w:rPr>
                <w:rFonts w:eastAsia="Times New Roman" w:cs="Times New Roman"/>
                <w:color w:val="000000"/>
                <w:sz w:val="22"/>
                <w:szCs w:val="22"/>
              </w:rPr>
              <w:t>$</w:t>
            </w:r>
            <w:r w:rsidRPr="00565E35" w:rsidR="00565E35">
              <w:rPr>
                <w:rFonts w:eastAsia="Times New Roman" w:cs="Times New Roman"/>
                <w:color w:val="000000"/>
                <w:sz w:val="22"/>
                <w:szCs w:val="22"/>
              </w:rPr>
              <w:t xml:space="preserve">0 </w:t>
            </w:r>
          </w:p>
        </w:tc>
        <w:tc>
          <w:tcPr>
            <w:tcW w:w="1298" w:type="dxa"/>
            <w:shd w:val="clear" w:color="auto" w:fill="auto"/>
            <w:noWrap/>
            <w:vAlign w:val="bottom"/>
            <w:hideMark/>
          </w:tcPr>
          <w:p w:rsidRPr="00565E35" w:rsidR="00565E35" w:rsidP="001252C7" w:rsidRDefault="00565E35" w14:paraId="2574351D" w14:textId="51FA7998">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sidR="00E078C3">
              <w:rPr>
                <w:rFonts w:eastAsia="Times New Roman" w:cs="Times New Roman"/>
                <w:color w:val="000000"/>
                <w:sz w:val="22"/>
                <w:szCs w:val="22"/>
              </w:rPr>
              <w:t>5</w:t>
            </w:r>
            <w:r w:rsidR="003F4F7C">
              <w:rPr>
                <w:rFonts w:eastAsia="Times New Roman" w:cs="Times New Roman"/>
                <w:color w:val="000000"/>
                <w:sz w:val="22"/>
                <w:szCs w:val="22"/>
              </w:rPr>
              <w:t>0</w:t>
            </w:r>
            <w:r w:rsidR="000371BF">
              <w:rPr>
                <w:rFonts w:eastAsia="Times New Roman" w:cs="Times New Roman"/>
                <w:color w:val="000000"/>
                <w:sz w:val="22"/>
                <w:szCs w:val="22"/>
              </w:rPr>
              <w:t>,000</w:t>
            </w:r>
            <w:r w:rsidRPr="00565E35">
              <w:rPr>
                <w:rFonts w:eastAsia="Times New Roman" w:cs="Times New Roman"/>
                <w:color w:val="000000"/>
                <w:sz w:val="22"/>
                <w:szCs w:val="22"/>
              </w:rPr>
              <w:t xml:space="preserve"> </w:t>
            </w:r>
          </w:p>
        </w:tc>
      </w:tr>
      <w:tr w:rsidRPr="00565E35" w:rsidR="00565E35" w:rsidTr="00BA401D" w14:paraId="49B97FF7" w14:textId="77777777">
        <w:trPr>
          <w:trHeight w:val="300"/>
          <w:jc w:val="center"/>
        </w:trPr>
        <w:tc>
          <w:tcPr>
            <w:tcW w:w="2965" w:type="dxa"/>
            <w:shd w:val="clear" w:color="auto" w:fill="auto"/>
            <w:noWrap/>
            <w:vAlign w:val="bottom"/>
            <w:hideMark/>
          </w:tcPr>
          <w:p w:rsidRPr="00565E35" w:rsidR="00565E35" w:rsidP="001252C7" w:rsidRDefault="0014100F" w14:paraId="39C956B5" w14:textId="7FC08C85">
            <w:pPr>
              <w:jc w:val="right"/>
              <w:rPr>
                <w:rFonts w:eastAsia="Times New Roman" w:cs="Times New Roman"/>
                <w:b/>
                <w:bCs/>
                <w:color w:val="000000"/>
                <w:sz w:val="22"/>
                <w:szCs w:val="22"/>
              </w:rPr>
            </w:pPr>
            <w:r>
              <w:rPr>
                <w:rFonts w:eastAsia="Times New Roman" w:cs="Times New Roman"/>
                <w:b/>
                <w:bCs/>
                <w:color w:val="000000"/>
                <w:sz w:val="22"/>
                <w:szCs w:val="22"/>
              </w:rPr>
              <w:t>Total</w:t>
            </w:r>
          </w:p>
        </w:tc>
        <w:tc>
          <w:tcPr>
            <w:tcW w:w="1260" w:type="dxa"/>
            <w:shd w:val="clear" w:color="auto" w:fill="auto"/>
            <w:noWrap/>
            <w:vAlign w:val="bottom"/>
            <w:hideMark/>
          </w:tcPr>
          <w:p w:rsidRPr="00565E35" w:rsidR="00565E35" w:rsidP="001252C7" w:rsidRDefault="00565E35" w14:paraId="7C102635" w14:textId="3E35445A">
            <w:pPr>
              <w:rPr>
                <w:rFonts w:eastAsia="Times New Roman" w:cs="Times New Roman"/>
                <w:b/>
                <w:bCs/>
                <w:color w:val="000000"/>
                <w:sz w:val="22"/>
                <w:szCs w:val="22"/>
              </w:rPr>
            </w:pPr>
            <w:r w:rsidRPr="00565E35">
              <w:rPr>
                <w:rFonts w:eastAsia="Times New Roman" w:cs="Times New Roman"/>
                <w:b/>
                <w:bCs/>
                <w:color w:val="000000"/>
                <w:sz w:val="22"/>
                <w:szCs w:val="22"/>
              </w:rPr>
              <w:t>$</w:t>
            </w:r>
            <w:r w:rsidR="00216229">
              <w:rPr>
                <w:rFonts w:eastAsia="Times New Roman" w:cs="Times New Roman"/>
                <w:b/>
                <w:bCs/>
                <w:color w:val="000000"/>
                <w:sz w:val="22"/>
                <w:szCs w:val="22"/>
              </w:rPr>
              <w:t>2,0</w:t>
            </w:r>
            <w:r w:rsidR="00C51C82">
              <w:rPr>
                <w:rFonts w:eastAsia="Times New Roman" w:cs="Times New Roman"/>
                <w:b/>
                <w:bCs/>
                <w:color w:val="000000"/>
                <w:sz w:val="22"/>
                <w:szCs w:val="22"/>
              </w:rPr>
              <w:t>7</w:t>
            </w:r>
            <w:r w:rsidR="00216229">
              <w:rPr>
                <w:rFonts w:eastAsia="Times New Roman" w:cs="Times New Roman"/>
                <w:b/>
                <w:bCs/>
                <w:color w:val="000000"/>
                <w:sz w:val="22"/>
                <w:szCs w:val="22"/>
              </w:rPr>
              <w:t>1</w:t>
            </w:r>
            <w:r w:rsidR="00900CED">
              <w:rPr>
                <w:rFonts w:eastAsia="Times New Roman" w:cs="Times New Roman"/>
                <w:b/>
                <w:bCs/>
                <w:color w:val="000000"/>
                <w:sz w:val="22"/>
                <w:szCs w:val="22"/>
              </w:rPr>
              <w:t>,6</w:t>
            </w:r>
            <w:r w:rsidR="00905759">
              <w:rPr>
                <w:rFonts w:eastAsia="Times New Roman" w:cs="Times New Roman"/>
                <w:b/>
                <w:bCs/>
                <w:color w:val="000000"/>
                <w:sz w:val="22"/>
                <w:szCs w:val="22"/>
              </w:rPr>
              <w:t>5</w:t>
            </w:r>
            <w:r w:rsidR="00900CED">
              <w:rPr>
                <w:rFonts w:eastAsia="Times New Roman" w:cs="Times New Roman"/>
                <w:b/>
                <w:bCs/>
                <w:color w:val="000000"/>
                <w:sz w:val="22"/>
                <w:szCs w:val="22"/>
              </w:rPr>
              <w:t>0</w:t>
            </w:r>
            <w:r w:rsidRPr="00565E35">
              <w:rPr>
                <w:rFonts w:eastAsia="Times New Roman" w:cs="Times New Roman"/>
                <w:b/>
                <w:bCs/>
                <w:color w:val="000000"/>
                <w:sz w:val="22"/>
                <w:szCs w:val="22"/>
              </w:rPr>
              <w:t xml:space="preserve"> </w:t>
            </w:r>
          </w:p>
        </w:tc>
        <w:tc>
          <w:tcPr>
            <w:tcW w:w="1260" w:type="dxa"/>
            <w:shd w:val="clear" w:color="auto" w:fill="auto"/>
            <w:noWrap/>
            <w:vAlign w:val="bottom"/>
            <w:hideMark/>
          </w:tcPr>
          <w:p w:rsidRPr="00565E35" w:rsidR="00565E35" w:rsidP="001252C7" w:rsidRDefault="00565E35" w14:paraId="1296B1E6" w14:textId="4B743A92">
            <w:pPr>
              <w:jc w:val="center"/>
              <w:rPr>
                <w:rFonts w:eastAsia="Times New Roman" w:cs="Times New Roman"/>
                <w:b/>
                <w:bCs/>
                <w:color w:val="000000"/>
                <w:sz w:val="22"/>
                <w:szCs w:val="22"/>
              </w:rPr>
            </w:pPr>
            <w:r w:rsidRPr="00565E35">
              <w:rPr>
                <w:rFonts w:eastAsia="Times New Roman" w:cs="Times New Roman"/>
                <w:b/>
                <w:bCs/>
                <w:color w:val="000000"/>
                <w:sz w:val="22"/>
                <w:szCs w:val="22"/>
              </w:rPr>
              <w:t>$</w:t>
            </w:r>
            <w:r w:rsidR="00282B28">
              <w:rPr>
                <w:rFonts w:eastAsia="Times New Roman" w:cs="Times New Roman"/>
                <w:b/>
                <w:bCs/>
                <w:color w:val="000000"/>
                <w:sz w:val="22"/>
                <w:szCs w:val="22"/>
              </w:rPr>
              <w:t>1,</w:t>
            </w:r>
            <w:r w:rsidR="00216229">
              <w:rPr>
                <w:rFonts w:eastAsia="Times New Roman" w:cs="Times New Roman"/>
                <w:b/>
                <w:bCs/>
                <w:color w:val="000000"/>
                <w:sz w:val="22"/>
                <w:szCs w:val="22"/>
              </w:rPr>
              <w:t>601,230</w:t>
            </w:r>
          </w:p>
        </w:tc>
        <w:tc>
          <w:tcPr>
            <w:tcW w:w="1170" w:type="dxa"/>
            <w:shd w:val="clear" w:color="auto" w:fill="auto"/>
            <w:noWrap/>
            <w:vAlign w:val="bottom"/>
            <w:hideMark/>
          </w:tcPr>
          <w:p w:rsidRPr="00565E35" w:rsidR="00565E35" w:rsidP="001252C7" w:rsidRDefault="00565E35" w14:paraId="3A3374BC" w14:textId="35CF0D2E">
            <w:pPr>
              <w:jc w:val="right"/>
              <w:rPr>
                <w:rFonts w:eastAsia="Times New Roman" w:cs="Times New Roman"/>
                <w:b/>
                <w:bCs/>
                <w:color w:val="000000"/>
                <w:sz w:val="22"/>
                <w:szCs w:val="22"/>
              </w:rPr>
            </w:pPr>
            <w:r w:rsidRPr="00565E35">
              <w:rPr>
                <w:rFonts w:eastAsia="Times New Roman" w:cs="Times New Roman"/>
                <w:b/>
                <w:bCs/>
                <w:color w:val="000000"/>
                <w:sz w:val="22"/>
                <w:szCs w:val="22"/>
              </w:rPr>
              <w:t>$</w:t>
            </w:r>
            <w:r w:rsidR="00CA6533">
              <w:rPr>
                <w:rFonts w:eastAsia="Times New Roman" w:cs="Times New Roman"/>
                <w:b/>
                <w:bCs/>
                <w:color w:val="000000"/>
                <w:sz w:val="22"/>
                <w:szCs w:val="22"/>
              </w:rPr>
              <w:t>1,44</w:t>
            </w:r>
            <w:r w:rsidR="00FD7EFC">
              <w:rPr>
                <w:rFonts w:eastAsia="Times New Roman" w:cs="Times New Roman"/>
                <w:b/>
                <w:bCs/>
                <w:color w:val="000000"/>
                <w:sz w:val="22"/>
                <w:szCs w:val="22"/>
              </w:rPr>
              <w:t>2</w:t>
            </w:r>
            <w:r w:rsidR="00CA6533">
              <w:rPr>
                <w:rFonts w:eastAsia="Times New Roman" w:cs="Times New Roman"/>
                <w:b/>
                <w:bCs/>
                <w:color w:val="000000"/>
                <w:sz w:val="22"/>
                <w:szCs w:val="22"/>
              </w:rPr>
              <w:t>,890</w:t>
            </w:r>
            <w:r w:rsidRPr="00565E35">
              <w:rPr>
                <w:rFonts w:eastAsia="Times New Roman" w:cs="Times New Roman"/>
                <w:b/>
                <w:bCs/>
                <w:color w:val="000000"/>
                <w:sz w:val="22"/>
                <w:szCs w:val="22"/>
              </w:rPr>
              <w:t xml:space="preserve"> </w:t>
            </w:r>
          </w:p>
        </w:tc>
        <w:tc>
          <w:tcPr>
            <w:tcW w:w="1298" w:type="dxa"/>
            <w:shd w:val="clear" w:color="auto" w:fill="auto"/>
            <w:noWrap/>
            <w:vAlign w:val="bottom"/>
            <w:hideMark/>
          </w:tcPr>
          <w:p w:rsidRPr="00565E35" w:rsidR="00565E35" w:rsidP="001252C7" w:rsidRDefault="00565E35" w14:paraId="63122244" w14:textId="5ECA5A0C">
            <w:pPr>
              <w:jc w:val="right"/>
              <w:rPr>
                <w:rFonts w:eastAsia="Times New Roman" w:cs="Times New Roman"/>
                <w:b/>
                <w:bCs/>
                <w:color w:val="000000"/>
                <w:sz w:val="22"/>
                <w:szCs w:val="22"/>
              </w:rPr>
            </w:pPr>
            <w:r w:rsidRPr="00537ED4">
              <w:rPr>
                <w:rFonts w:eastAsia="Times New Roman" w:cs="Times New Roman"/>
                <w:b/>
                <w:color w:val="000000"/>
                <w:sz w:val="22"/>
                <w:szCs w:val="22"/>
              </w:rPr>
              <w:t>$</w:t>
            </w:r>
            <w:r w:rsidRPr="00537ED4" w:rsidR="00313B59">
              <w:rPr>
                <w:rFonts w:eastAsia="Times New Roman" w:cs="Times New Roman"/>
                <w:b/>
                <w:color w:val="000000"/>
                <w:sz w:val="22"/>
                <w:szCs w:val="22"/>
              </w:rPr>
              <w:t>5,1</w:t>
            </w:r>
            <w:r w:rsidR="00132D2E">
              <w:rPr>
                <w:rFonts w:eastAsia="Times New Roman" w:cs="Times New Roman"/>
                <w:b/>
                <w:color w:val="000000"/>
                <w:sz w:val="22"/>
                <w:szCs w:val="22"/>
              </w:rPr>
              <w:t>1</w:t>
            </w:r>
            <w:r w:rsidRPr="00537ED4" w:rsidR="00FD7EFC">
              <w:rPr>
                <w:rFonts w:eastAsia="Times New Roman" w:cs="Times New Roman"/>
                <w:b/>
                <w:color w:val="000000"/>
                <w:sz w:val="22"/>
                <w:szCs w:val="22"/>
              </w:rPr>
              <w:t>5,</w:t>
            </w:r>
            <w:r w:rsidRPr="00537ED4" w:rsidR="00FD7EFC">
              <w:rPr>
                <w:rFonts w:eastAsia="Times New Roman" w:cs="Times New Roman"/>
                <w:b/>
                <w:bCs/>
                <w:color w:val="000000"/>
                <w:sz w:val="22"/>
                <w:szCs w:val="22"/>
              </w:rPr>
              <w:t>7</w:t>
            </w:r>
            <w:r w:rsidR="00905759">
              <w:rPr>
                <w:rFonts w:eastAsia="Times New Roman" w:cs="Times New Roman"/>
                <w:b/>
                <w:bCs/>
                <w:color w:val="000000"/>
                <w:sz w:val="22"/>
                <w:szCs w:val="22"/>
              </w:rPr>
              <w:t>7</w:t>
            </w:r>
            <w:r w:rsidRPr="00537ED4" w:rsidR="00FD7EFC">
              <w:rPr>
                <w:rFonts w:eastAsia="Times New Roman" w:cs="Times New Roman"/>
                <w:b/>
                <w:bCs/>
                <w:color w:val="000000"/>
                <w:sz w:val="22"/>
                <w:szCs w:val="22"/>
              </w:rPr>
              <w:t>0</w:t>
            </w:r>
            <w:r w:rsidRPr="00565E35">
              <w:rPr>
                <w:rFonts w:eastAsia="Times New Roman" w:cs="Times New Roman"/>
                <w:b/>
                <w:bCs/>
                <w:color w:val="000000"/>
                <w:sz w:val="22"/>
                <w:szCs w:val="22"/>
              </w:rPr>
              <w:t xml:space="preserve"> </w:t>
            </w:r>
          </w:p>
        </w:tc>
      </w:tr>
    </w:tbl>
    <w:p w:rsidR="09B86BB1" w:rsidP="09B86BB1" w:rsidRDefault="09B86BB1" w14:paraId="4BEB20B3" w14:textId="209A14C4"/>
    <w:p w:rsidR="00C03EE4" w:rsidP="09B86BB1" w:rsidRDefault="00474E43" w14:paraId="255BCB2A" w14:textId="3A04E83B">
      <w:r>
        <w:t xml:space="preserve">Cal Advocates and </w:t>
      </w:r>
      <w:r w:rsidR="00C03EE4">
        <w:t>TURN/NRDC asserted that the IOUs must demonstrate that implementation costs are reasonable and incremental before seeking recovery of the IGFCMA.</w:t>
      </w:r>
      <w:r w:rsidR="0041423B">
        <w:rPr>
          <w:rStyle w:val="FootnoteReference"/>
        </w:rPr>
        <w:footnoteReference w:id="204"/>
      </w:r>
      <w:r w:rsidR="00C03EE4">
        <w:t xml:space="preserve"> SDG&amp;E indicated that its costs are incremental</w:t>
      </w:r>
      <w:r w:rsidR="00D15F53">
        <w:t>.</w:t>
      </w:r>
      <w:r w:rsidR="00D15F53">
        <w:rPr>
          <w:rStyle w:val="FootnoteReference"/>
        </w:rPr>
        <w:footnoteReference w:id="205"/>
      </w:r>
    </w:p>
    <w:p w:rsidR="00F87AFB" w:rsidP="09B86BB1" w:rsidRDefault="00F87AFB" w14:paraId="318A21F3" w14:textId="77777777"/>
    <w:p w:rsidR="009D758A" w:rsidDel="00FD223E" w:rsidP="009D758A" w:rsidRDefault="009D758A" w14:paraId="4AA51BA0" w14:textId="3B8B7F64">
      <w:r w:rsidDel="00FD223E">
        <w:t xml:space="preserve">The Commission reduced SDG&amp;E’s DRAH IT implementation costs from $990,000 to </w:t>
      </w:r>
      <w:r w:rsidDel="00FD223E" w:rsidR="003979E4">
        <w:t>$</w:t>
      </w:r>
      <w:r w:rsidDel="00FD223E">
        <w:t>79,</w:t>
      </w:r>
      <w:r w:rsidDel="00FD223E" w:rsidR="009A07D7">
        <w:t>2</w:t>
      </w:r>
      <w:r w:rsidDel="00FD223E">
        <w:t xml:space="preserve">00, and its incremental Call </w:t>
      </w:r>
      <w:r w:rsidRPr="005D7931" w:rsidR="008E7EE6">
        <w:t>Center</w:t>
      </w:r>
      <w:r w:rsidRPr="000C6B7A">
        <w:t xml:space="preserve"> </w:t>
      </w:r>
      <w:r w:rsidDel="00FD223E">
        <w:t>Labor costs 50% from $383,917 to $191,959</w:t>
      </w:r>
      <w:r w:rsidDel="00FD223E" w:rsidR="00B54E1E">
        <w:t>, resulting in an overall reduction of $1</w:t>
      </w:r>
      <w:r w:rsidDel="00FD223E" w:rsidR="0008485E">
        <w:t>,102,759 in DRAH implementation Costs.</w:t>
      </w:r>
    </w:p>
    <w:p w:rsidR="00486F64" w:rsidP="09B86BB1" w:rsidRDefault="00486F64" w14:paraId="2E6323F0" w14:textId="77777777"/>
    <w:p w:rsidR="693C0EC4" w:rsidP="0F8720FD" w:rsidRDefault="0F6ABFEC" w14:paraId="2A74C11E" w14:textId="62CE77B0">
      <w:pPr>
        <w:spacing w:line="259" w:lineRule="auto"/>
      </w:pPr>
      <w:r>
        <w:t xml:space="preserve">The Commission finds </w:t>
      </w:r>
      <w:r w:rsidR="008F3BD0">
        <w:t>it reasonable to reduce</w:t>
      </w:r>
      <w:r>
        <w:t xml:space="preserve"> </w:t>
      </w:r>
      <w:r w:rsidR="004B3DDE">
        <w:t xml:space="preserve">SDG&amp;E’s </w:t>
      </w:r>
      <w:r w:rsidR="1290CAB5">
        <w:t>proposed additional implementation budget</w:t>
      </w:r>
      <w:r w:rsidR="14BA0372">
        <w:t xml:space="preserve"> </w:t>
      </w:r>
      <w:r w:rsidR="00FC4444">
        <w:t>by $1.1</w:t>
      </w:r>
      <w:r w:rsidR="7963A08E">
        <w:t xml:space="preserve"> million</w:t>
      </w:r>
      <w:r w:rsidR="00FC4444">
        <w:t xml:space="preserve"> </w:t>
      </w:r>
      <w:r w:rsidR="008F3BD0">
        <w:t xml:space="preserve">and finds the revised budget </w:t>
      </w:r>
      <w:r w:rsidR="14BA0372">
        <w:t>of $</w:t>
      </w:r>
      <w:r w:rsidR="00F433D6">
        <w:t>4</w:t>
      </w:r>
      <w:r w:rsidR="007F0A08">
        <w:t>,002,929</w:t>
      </w:r>
      <w:r w:rsidR="00451C12">
        <w:t xml:space="preserve"> </w:t>
      </w:r>
      <w:r w:rsidR="00223BC2">
        <w:t>for DRAH implementation, ME&amp;O, and Facilitation Contractor</w:t>
      </w:r>
      <w:r w:rsidR="00CC0996">
        <w:t xml:space="preserve"> </w:t>
      </w:r>
      <w:r w:rsidR="1948AFFA">
        <w:t>reasonable</w:t>
      </w:r>
      <w:r w:rsidR="1F1778A1">
        <w:t xml:space="preserve"> and </w:t>
      </w:r>
      <w:r w:rsidR="00A86B50">
        <w:t>approve</w:t>
      </w:r>
      <w:r w:rsidR="00BB745E">
        <w:t>s</w:t>
      </w:r>
      <w:r w:rsidR="003B588A">
        <w:t xml:space="preserve"> </w:t>
      </w:r>
      <w:r w:rsidR="00147951">
        <w:t>for</w:t>
      </w:r>
      <w:r w:rsidR="00A86B50">
        <w:t xml:space="preserve"> the</w:t>
      </w:r>
      <w:r w:rsidR="00BB745E">
        <w:t xml:space="preserve"> additional</w:t>
      </w:r>
      <w:r w:rsidR="00147951">
        <w:t xml:space="preserve"> </w:t>
      </w:r>
      <w:r w:rsidR="382D7DFB">
        <w:t>implementation</w:t>
      </w:r>
      <w:r w:rsidR="00BB745E">
        <w:t xml:space="preserve"> costs for implementation</w:t>
      </w:r>
      <w:r w:rsidR="07C387FB">
        <w:t xml:space="preserve"> </w:t>
      </w:r>
      <w:r w:rsidR="00147951">
        <w:t>of the fixed charge</w:t>
      </w:r>
      <w:r w:rsidR="009B5691">
        <w:t xml:space="preserve"> as shown </w:t>
      </w:r>
      <w:r w:rsidR="4D063827">
        <w:t xml:space="preserve">in </w:t>
      </w:r>
      <w:r w:rsidR="009B5691">
        <w:t xml:space="preserve">Table </w:t>
      </w:r>
      <w:r w:rsidR="00F60286">
        <w:t>10</w:t>
      </w:r>
      <w:r w:rsidR="009B5691">
        <w:t xml:space="preserve"> below</w:t>
      </w:r>
      <w:r w:rsidR="4D063827">
        <w:t>.</w:t>
      </w:r>
    </w:p>
    <w:p w:rsidR="004B3DDE" w:rsidP="09B86BB1" w:rsidRDefault="004B3DDE" w14:paraId="79CCE88A" w14:textId="77777777"/>
    <w:p w:rsidR="004B3DDE" w:rsidP="004B3DDE" w:rsidRDefault="004B3DDE" w14:paraId="7F5B236B" w14:textId="3677C590">
      <w:pPr>
        <w:jc w:val="center"/>
        <w:rPr>
          <w:b/>
          <w:bCs/>
        </w:rPr>
      </w:pPr>
      <w:r w:rsidRPr="009E2A37">
        <w:rPr>
          <w:b/>
          <w:bCs/>
        </w:rPr>
        <w:t xml:space="preserve">Table </w:t>
      </w:r>
      <w:r w:rsidR="00F60286">
        <w:rPr>
          <w:b/>
          <w:bCs/>
        </w:rPr>
        <w:t>10</w:t>
      </w:r>
      <w:r>
        <w:rPr>
          <w:b/>
          <w:bCs/>
        </w:rPr>
        <w:t xml:space="preserve">: </w:t>
      </w:r>
      <w:r w:rsidRPr="009E2A37">
        <w:rPr>
          <w:b/>
          <w:bCs/>
        </w:rPr>
        <w:t>SDG&amp;E</w:t>
      </w:r>
      <w:r>
        <w:rPr>
          <w:b/>
          <w:bCs/>
        </w:rPr>
        <w:t>’s</w:t>
      </w:r>
      <w:r w:rsidRPr="009E2A37">
        <w:rPr>
          <w:b/>
          <w:bCs/>
        </w:rPr>
        <w:t xml:space="preserve"> </w:t>
      </w:r>
      <w:r>
        <w:rPr>
          <w:b/>
          <w:bCs/>
        </w:rPr>
        <w:t>Additional Implementation</w:t>
      </w:r>
      <w:r w:rsidRPr="009E2A37">
        <w:rPr>
          <w:b/>
          <w:bCs/>
        </w:rPr>
        <w:t xml:space="preserve"> Budget Request</w:t>
      </w:r>
      <w:r w:rsidR="005C6635">
        <w:rPr>
          <w:b/>
          <w:bCs/>
        </w:rPr>
        <w:t xml:space="preserve"> (A</w:t>
      </w:r>
      <w:r w:rsidR="00BB1078">
        <w:rPr>
          <w:b/>
          <w:bCs/>
        </w:rPr>
        <w:t>uthorized</w:t>
      </w:r>
      <w:r w:rsidR="005C6635">
        <w:rPr>
          <w:b/>
          <w:bCs/>
        </w:rPr>
        <w:t>)</w:t>
      </w:r>
    </w:p>
    <w:p w:rsidRPr="009E2A37" w:rsidR="004B3DDE" w:rsidP="004B3DDE" w:rsidRDefault="004B3DDE" w14:paraId="666AB07C" w14:textId="77777777">
      <w:pPr>
        <w:rPr>
          <w:b/>
          <w:bCs/>
        </w:rPr>
      </w:pPr>
    </w:p>
    <w:tbl>
      <w:tblPr>
        <w:tblW w:w="8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5"/>
        <w:gridCol w:w="1260"/>
        <w:gridCol w:w="1260"/>
        <w:gridCol w:w="1250"/>
        <w:gridCol w:w="1298"/>
      </w:tblGrid>
      <w:tr w:rsidRPr="00565E35" w:rsidR="00262E85" w:rsidTr="5A8807B1" w14:paraId="64824C69" w14:textId="77777777">
        <w:trPr>
          <w:trHeight w:val="300"/>
          <w:jc w:val="center"/>
        </w:trPr>
        <w:tc>
          <w:tcPr>
            <w:tcW w:w="2965" w:type="dxa"/>
            <w:shd w:val="clear" w:color="auto" w:fill="F2F2F2" w:themeFill="background1" w:themeFillShade="F2"/>
            <w:noWrap/>
            <w:vAlign w:val="bottom"/>
            <w:hideMark/>
          </w:tcPr>
          <w:p w:rsidRPr="00565E35" w:rsidR="00262E85" w:rsidP="00090C1C" w:rsidRDefault="00262E85" w14:paraId="4A9C44C3" w14:textId="77777777">
            <w:pPr>
              <w:rPr>
                <w:rFonts w:eastAsia="Times New Roman" w:cs="Times New Roman"/>
                <w:b/>
                <w:bCs/>
                <w:color w:val="000000"/>
                <w:sz w:val="22"/>
                <w:szCs w:val="22"/>
              </w:rPr>
            </w:pPr>
            <w:r>
              <w:rPr>
                <w:rFonts w:eastAsia="Times New Roman" w:cs="Times New Roman"/>
                <w:b/>
                <w:bCs/>
                <w:color w:val="000000"/>
                <w:sz w:val="22"/>
                <w:szCs w:val="22"/>
              </w:rPr>
              <w:t>Activity</w:t>
            </w:r>
          </w:p>
        </w:tc>
        <w:tc>
          <w:tcPr>
            <w:tcW w:w="1260" w:type="dxa"/>
            <w:shd w:val="clear" w:color="auto" w:fill="F2F2F2" w:themeFill="background1" w:themeFillShade="F2"/>
            <w:noWrap/>
            <w:vAlign w:val="bottom"/>
            <w:hideMark/>
          </w:tcPr>
          <w:p w:rsidRPr="00565E35" w:rsidR="00262E85" w:rsidP="00090C1C" w:rsidRDefault="00262E85" w14:paraId="6806D12B" w14:textId="77777777">
            <w:pPr>
              <w:jc w:val="center"/>
              <w:rPr>
                <w:rFonts w:eastAsia="Times New Roman" w:cs="Times New Roman"/>
                <w:b/>
                <w:bCs/>
                <w:color w:val="000000"/>
                <w:sz w:val="22"/>
                <w:szCs w:val="22"/>
              </w:rPr>
            </w:pPr>
            <w:r>
              <w:rPr>
                <w:rFonts w:eastAsia="Times New Roman" w:cs="Times New Roman"/>
                <w:b/>
                <w:bCs/>
                <w:color w:val="000000"/>
                <w:sz w:val="22"/>
                <w:szCs w:val="22"/>
              </w:rPr>
              <w:t xml:space="preserve">1H </w:t>
            </w:r>
            <w:r w:rsidRPr="00565E35">
              <w:rPr>
                <w:rFonts w:eastAsia="Times New Roman" w:cs="Times New Roman"/>
                <w:b/>
                <w:bCs/>
                <w:color w:val="000000"/>
                <w:sz w:val="22"/>
                <w:szCs w:val="22"/>
              </w:rPr>
              <w:t>2025</w:t>
            </w:r>
          </w:p>
        </w:tc>
        <w:tc>
          <w:tcPr>
            <w:tcW w:w="1260" w:type="dxa"/>
            <w:shd w:val="clear" w:color="auto" w:fill="F2F2F2" w:themeFill="background1" w:themeFillShade="F2"/>
            <w:noWrap/>
            <w:vAlign w:val="bottom"/>
            <w:hideMark/>
          </w:tcPr>
          <w:p w:rsidRPr="00565E35" w:rsidR="00262E85" w:rsidP="00090C1C" w:rsidRDefault="00262E85" w14:paraId="689340C6" w14:textId="77777777">
            <w:pPr>
              <w:jc w:val="center"/>
              <w:rPr>
                <w:rFonts w:eastAsia="Times New Roman" w:cs="Times New Roman"/>
                <w:b/>
                <w:bCs/>
                <w:color w:val="000000"/>
                <w:sz w:val="22"/>
                <w:szCs w:val="22"/>
              </w:rPr>
            </w:pPr>
            <w:r>
              <w:rPr>
                <w:rFonts w:eastAsia="Times New Roman" w:cs="Times New Roman"/>
                <w:b/>
                <w:bCs/>
                <w:color w:val="000000"/>
                <w:sz w:val="22"/>
                <w:szCs w:val="22"/>
              </w:rPr>
              <w:t xml:space="preserve">2H </w:t>
            </w:r>
            <w:r w:rsidRPr="00565E35">
              <w:rPr>
                <w:rFonts w:eastAsia="Times New Roman" w:cs="Times New Roman"/>
                <w:b/>
                <w:bCs/>
                <w:color w:val="000000"/>
                <w:sz w:val="22"/>
                <w:szCs w:val="22"/>
              </w:rPr>
              <w:t>202</w:t>
            </w:r>
            <w:r>
              <w:rPr>
                <w:rFonts w:eastAsia="Times New Roman" w:cs="Times New Roman"/>
                <w:b/>
                <w:bCs/>
                <w:color w:val="000000"/>
                <w:sz w:val="22"/>
                <w:szCs w:val="22"/>
              </w:rPr>
              <w:t>5</w:t>
            </w:r>
          </w:p>
        </w:tc>
        <w:tc>
          <w:tcPr>
            <w:tcW w:w="1250" w:type="dxa"/>
            <w:shd w:val="clear" w:color="auto" w:fill="F2F2F2" w:themeFill="background1" w:themeFillShade="F2"/>
            <w:noWrap/>
            <w:vAlign w:val="bottom"/>
            <w:hideMark/>
          </w:tcPr>
          <w:p w:rsidRPr="00565E35" w:rsidR="00262E85" w:rsidP="00090C1C" w:rsidRDefault="00262E85" w14:paraId="7428EA2E" w14:textId="77777777">
            <w:pPr>
              <w:jc w:val="center"/>
              <w:rPr>
                <w:rFonts w:eastAsia="Times New Roman" w:cs="Times New Roman"/>
                <w:b/>
                <w:bCs/>
                <w:color w:val="000000"/>
                <w:sz w:val="22"/>
                <w:szCs w:val="22"/>
              </w:rPr>
            </w:pPr>
            <w:r w:rsidRPr="00565E35">
              <w:rPr>
                <w:rFonts w:eastAsia="Times New Roman" w:cs="Times New Roman"/>
                <w:b/>
                <w:bCs/>
                <w:color w:val="000000"/>
                <w:sz w:val="22"/>
                <w:szCs w:val="22"/>
              </w:rPr>
              <w:t>202</w:t>
            </w:r>
            <w:r>
              <w:rPr>
                <w:rFonts w:eastAsia="Times New Roman" w:cs="Times New Roman"/>
                <w:b/>
                <w:bCs/>
                <w:color w:val="000000"/>
                <w:sz w:val="22"/>
                <w:szCs w:val="22"/>
              </w:rPr>
              <w:t>6</w:t>
            </w:r>
          </w:p>
        </w:tc>
        <w:tc>
          <w:tcPr>
            <w:tcW w:w="1298" w:type="dxa"/>
            <w:shd w:val="clear" w:color="auto" w:fill="F2F2F2" w:themeFill="background1" w:themeFillShade="F2"/>
            <w:noWrap/>
            <w:vAlign w:val="bottom"/>
            <w:hideMark/>
          </w:tcPr>
          <w:p w:rsidRPr="00565E35" w:rsidR="00262E85" w:rsidP="00090C1C" w:rsidRDefault="00262E85" w14:paraId="60ACE962" w14:textId="77777777">
            <w:pPr>
              <w:jc w:val="center"/>
              <w:rPr>
                <w:rFonts w:eastAsia="Times New Roman" w:cs="Times New Roman"/>
                <w:b/>
                <w:bCs/>
                <w:color w:val="000000"/>
                <w:sz w:val="22"/>
                <w:szCs w:val="22"/>
              </w:rPr>
            </w:pPr>
            <w:r w:rsidRPr="00565E35">
              <w:rPr>
                <w:rFonts w:eastAsia="Times New Roman" w:cs="Times New Roman"/>
                <w:b/>
                <w:bCs/>
                <w:color w:val="000000"/>
                <w:sz w:val="22"/>
                <w:szCs w:val="22"/>
              </w:rPr>
              <w:t>Total</w:t>
            </w:r>
          </w:p>
        </w:tc>
      </w:tr>
      <w:tr w:rsidRPr="00565E35" w:rsidR="00262E85" w:rsidTr="5A8807B1" w14:paraId="42B2EF44" w14:textId="77777777">
        <w:trPr>
          <w:trHeight w:val="300"/>
          <w:jc w:val="center"/>
        </w:trPr>
        <w:tc>
          <w:tcPr>
            <w:tcW w:w="2965" w:type="dxa"/>
            <w:shd w:val="clear" w:color="auto" w:fill="auto"/>
            <w:noWrap/>
            <w:vAlign w:val="bottom"/>
            <w:hideMark/>
          </w:tcPr>
          <w:p w:rsidRPr="00565E35" w:rsidR="00262E85" w:rsidP="00090C1C" w:rsidRDefault="00262E85" w14:paraId="75BA42FD" w14:textId="7FDF9E6A">
            <w:pPr>
              <w:rPr>
                <w:rFonts w:eastAsia="Times New Roman" w:cs="Times New Roman"/>
                <w:color w:val="000000"/>
                <w:sz w:val="22"/>
                <w:szCs w:val="22"/>
              </w:rPr>
            </w:pPr>
            <w:r>
              <w:rPr>
                <w:rFonts w:eastAsia="Times New Roman" w:cs="Times New Roman"/>
                <w:color w:val="000000"/>
                <w:sz w:val="22"/>
                <w:szCs w:val="22"/>
              </w:rPr>
              <w:t>DRAH Implementation</w:t>
            </w:r>
          </w:p>
        </w:tc>
        <w:tc>
          <w:tcPr>
            <w:tcW w:w="1260" w:type="dxa"/>
            <w:shd w:val="clear" w:color="auto" w:fill="auto"/>
            <w:noWrap/>
            <w:hideMark/>
          </w:tcPr>
          <w:p w:rsidRPr="006B6AA7" w:rsidR="00262E85" w:rsidP="00802396" w:rsidRDefault="00084E8A" w14:paraId="05A8E4DE" w14:textId="26AC1563">
            <w:pPr>
              <w:jc w:val="right"/>
              <w:rPr>
                <w:rFonts w:eastAsia="Times New Roman" w:cs="Times New Roman"/>
                <w:strike/>
                <w:color w:val="000000"/>
                <w:sz w:val="22"/>
                <w:szCs w:val="22"/>
                <w:highlight w:val="yellow"/>
              </w:rPr>
            </w:pPr>
            <w:r>
              <w:rPr>
                <w:sz w:val="22"/>
                <w:szCs w:val="22"/>
              </w:rPr>
              <w:t>$359</w:t>
            </w:r>
            <w:r w:rsidR="00CB5B79">
              <w:rPr>
                <w:sz w:val="22"/>
                <w:szCs w:val="22"/>
              </w:rPr>
              <w:t>,</w:t>
            </w:r>
            <w:r w:rsidR="00C45404">
              <w:rPr>
                <w:sz w:val="22"/>
                <w:szCs w:val="22"/>
              </w:rPr>
              <w:t>832</w:t>
            </w:r>
          </w:p>
        </w:tc>
        <w:tc>
          <w:tcPr>
            <w:tcW w:w="1260" w:type="dxa"/>
            <w:shd w:val="clear" w:color="auto" w:fill="auto"/>
            <w:noWrap/>
            <w:hideMark/>
          </w:tcPr>
          <w:p w:rsidRPr="006B6AA7" w:rsidR="00262E85" w:rsidP="00802396" w:rsidRDefault="005B743E" w14:paraId="3B60BCFD" w14:textId="1F73EFAE">
            <w:pPr>
              <w:jc w:val="right"/>
              <w:rPr>
                <w:rFonts w:eastAsia="Times New Roman" w:cs="Times New Roman"/>
                <w:strike/>
                <w:color w:val="000000"/>
                <w:sz w:val="22"/>
                <w:szCs w:val="22"/>
                <w:highlight w:val="yellow"/>
              </w:rPr>
            </w:pPr>
            <w:r>
              <w:rPr>
                <w:sz w:val="22"/>
                <w:szCs w:val="22"/>
              </w:rPr>
              <w:t>$204,</w:t>
            </w:r>
            <w:r w:rsidR="00C45404">
              <w:rPr>
                <w:sz w:val="22"/>
                <w:szCs w:val="22"/>
              </w:rPr>
              <w:t>738</w:t>
            </w:r>
          </w:p>
        </w:tc>
        <w:tc>
          <w:tcPr>
            <w:tcW w:w="1250" w:type="dxa"/>
            <w:shd w:val="clear" w:color="auto" w:fill="auto"/>
            <w:noWrap/>
            <w:hideMark/>
          </w:tcPr>
          <w:p w:rsidRPr="00743668" w:rsidR="00262E85" w:rsidP="00802396" w:rsidRDefault="00796380" w14:paraId="093F136D" w14:textId="1CB71B34">
            <w:pPr>
              <w:jc w:val="right"/>
              <w:rPr>
                <w:rFonts w:eastAsia="Times New Roman" w:cs="Times New Roman"/>
                <w:strike/>
                <w:color w:val="000000"/>
                <w:sz w:val="22"/>
                <w:szCs w:val="22"/>
              </w:rPr>
            </w:pPr>
            <w:r>
              <w:rPr>
                <w:sz w:val="22"/>
                <w:szCs w:val="22"/>
              </w:rPr>
              <w:t>$</w:t>
            </w:r>
            <w:r w:rsidR="005B743E">
              <w:rPr>
                <w:sz w:val="22"/>
                <w:szCs w:val="22"/>
              </w:rPr>
              <w:t>201</w:t>
            </w:r>
            <w:r>
              <w:rPr>
                <w:sz w:val="22"/>
                <w:szCs w:val="22"/>
              </w:rPr>
              <w:t>,</w:t>
            </w:r>
            <w:r w:rsidR="005B743E">
              <w:rPr>
                <w:sz w:val="22"/>
                <w:szCs w:val="22"/>
              </w:rPr>
              <w:t>0</w:t>
            </w:r>
            <w:r w:rsidR="00C45404">
              <w:rPr>
                <w:sz w:val="22"/>
                <w:szCs w:val="22"/>
              </w:rPr>
              <w:t>39</w:t>
            </w:r>
          </w:p>
        </w:tc>
        <w:tc>
          <w:tcPr>
            <w:tcW w:w="1298" w:type="dxa"/>
            <w:noWrap/>
            <w:vAlign w:val="bottom"/>
            <w:hideMark/>
          </w:tcPr>
          <w:p w:rsidRPr="00517A0C" w:rsidR="00262E85" w:rsidP="00802396" w:rsidRDefault="0EFFEA14" w14:paraId="53D8E416" w14:textId="3FD183BD">
            <w:pPr>
              <w:jc w:val="right"/>
              <w:rPr>
                <w:rFonts w:eastAsia="Times New Roman" w:cs="Times New Roman"/>
                <w:color w:val="000000"/>
                <w:sz w:val="22"/>
                <w:szCs w:val="22"/>
                <w:highlight w:val="yellow"/>
              </w:rPr>
            </w:pPr>
            <w:r w:rsidRPr="5A8807B1">
              <w:rPr>
                <w:rFonts w:eastAsia="Times New Roman" w:cs="Times New Roman"/>
                <w:color w:val="000000" w:themeColor="text1"/>
                <w:sz w:val="22"/>
                <w:szCs w:val="22"/>
              </w:rPr>
              <w:t xml:space="preserve"> </w:t>
            </w:r>
            <w:r w:rsidRPr="5A8807B1" w:rsidR="6E7BA384">
              <w:rPr>
                <w:rFonts w:eastAsia="Times New Roman" w:cs="Times New Roman"/>
                <w:color w:val="000000" w:themeColor="text1"/>
                <w:sz w:val="22"/>
                <w:szCs w:val="22"/>
              </w:rPr>
              <w:t>$</w:t>
            </w:r>
            <w:r w:rsidRPr="5A8807B1" w:rsidR="632979CD">
              <w:rPr>
                <w:rFonts w:eastAsia="Times New Roman" w:cs="Times New Roman"/>
                <w:color w:val="000000" w:themeColor="text1"/>
                <w:sz w:val="22"/>
                <w:szCs w:val="22"/>
              </w:rPr>
              <w:t>765,609</w:t>
            </w:r>
            <w:r w:rsidRPr="5A8807B1">
              <w:rPr>
                <w:rFonts w:eastAsia="Times New Roman" w:cs="Times New Roman"/>
                <w:color w:val="000000" w:themeColor="text1"/>
                <w:sz w:val="22"/>
                <w:szCs w:val="22"/>
              </w:rPr>
              <w:t xml:space="preserve"> </w:t>
            </w:r>
          </w:p>
        </w:tc>
      </w:tr>
      <w:tr w:rsidRPr="00565E35" w:rsidR="00262E85" w:rsidTr="5A8807B1" w14:paraId="5785A844" w14:textId="77777777">
        <w:trPr>
          <w:trHeight w:val="224"/>
          <w:jc w:val="center"/>
        </w:trPr>
        <w:tc>
          <w:tcPr>
            <w:tcW w:w="2965" w:type="dxa"/>
            <w:shd w:val="clear" w:color="auto" w:fill="auto"/>
            <w:noWrap/>
            <w:vAlign w:val="bottom"/>
            <w:hideMark/>
          </w:tcPr>
          <w:p w:rsidRPr="00565E35" w:rsidR="00262E85" w:rsidP="00090C1C" w:rsidRDefault="00262E85" w14:paraId="6591E449" w14:textId="347FE544">
            <w:pPr>
              <w:rPr>
                <w:rFonts w:eastAsia="Times New Roman" w:cs="Times New Roman"/>
                <w:color w:val="000000"/>
                <w:sz w:val="22"/>
                <w:szCs w:val="22"/>
              </w:rPr>
            </w:pPr>
            <w:r>
              <w:rPr>
                <w:rFonts w:eastAsia="Times New Roman" w:cs="Times New Roman"/>
                <w:color w:val="000000"/>
                <w:sz w:val="22"/>
                <w:szCs w:val="22"/>
              </w:rPr>
              <w:t>ME&amp;O</w:t>
            </w:r>
          </w:p>
        </w:tc>
        <w:tc>
          <w:tcPr>
            <w:tcW w:w="1260" w:type="dxa"/>
            <w:shd w:val="clear" w:color="auto" w:fill="auto"/>
            <w:noWrap/>
            <w:vAlign w:val="bottom"/>
            <w:hideMark/>
          </w:tcPr>
          <w:p w:rsidRPr="00543653" w:rsidR="00262E85" w:rsidP="00802396" w:rsidRDefault="00262E85" w14:paraId="28EFA388" w14:textId="77777777">
            <w:pPr>
              <w:jc w:val="right"/>
              <w:rPr>
                <w:rFonts w:eastAsia="Times New Roman" w:cs="Calibri"/>
                <w:color w:val="000000"/>
                <w:sz w:val="22"/>
                <w:szCs w:val="22"/>
              </w:rPr>
            </w:pPr>
            <w:r w:rsidRPr="00543653">
              <w:rPr>
                <w:rFonts w:cs="Calibri"/>
                <w:color w:val="000000"/>
                <w:sz w:val="22"/>
                <w:szCs w:val="22"/>
              </w:rPr>
              <w:t>$</w:t>
            </w:r>
            <w:r>
              <w:rPr>
                <w:rFonts w:cs="Calibri"/>
                <w:color w:val="000000"/>
                <w:sz w:val="22"/>
                <w:szCs w:val="22"/>
              </w:rPr>
              <w:t>667,000</w:t>
            </w:r>
            <w:r w:rsidRPr="00543653">
              <w:rPr>
                <w:rFonts w:eastAsia="Times New Roman" w:cs="Times New Roman"/>
                <w:color w:val="000000"/>
                <w:sz w:val="22"/>
                <w:szCs w:val="22"/>
              </w:rPr>
              <w:t xml:space="preserve"> </w:t>
            </w:r>
          </w:p>
        </w:tc>
        <w:tc>
          <w:tcPr>
            <w:tcW w:w="1260" w:type="dxa"/>
            <w:shd w:val="clear" w:color="auto" w:fill="auto"/>
            <w:noWrap/>
            <w:vAlign w:val="bottom"/>
            <w:hideMark/>
          </w:tcPr>
          <w:p w:rsidRPr="00565E35" w:rsidR="00262E85" w:rsidP="00802396" w:rsidRDefault="00262E85" w14:paraId="0C61582C" w14:textId="77777777">
            <w:pPr>
              <w:jc w:val="right"/>
              <w:rPr>
                <w:rFonts w:eastAsia="Times New Roman" w:cs="Times New Roman"/>
                <w:color w:val="000000"/>
                <w:sz w:val="22"/>
                <w:szCs w:val="22"/>
              </w:rPr>
            </w:pPr>
            <w:r>
              <w:rPr>
                <w:rFonts w:eastAsia="Times New Roman" w:cs="Times New Roman"/>
                <w:color w:val="000000"/>
                <w:sz w:val="22"/>
                <w:szCs w:val="22"/>
              </w:rPr>
              <w:t>$1,338,880</w:t>
            </w:r>
            <w:r w:rsidRPr="00565E35">
              <w:rPr>
                <w:rFonts w:eastAsia="Times New Roman" w:cs="Times New Roman"/>
                <w:color w:val="000000"/>
                <w:sz w:val="22"/>
                <w:szCs w:val="22"/>
              </w:rPr>
              <w:t xml:space="preserve"> </w:t>
            </w:r>
          </w:p>
        </w:tc>
        <w:tc>
          <w:tcPr>
            <w:tcW w:w="1250" w:type="dxa"/>
            <w:shd w:val="clear" w:color="auto" w:fill="auto"/>
            <w:noWrap/>
            <w:vAlign w:val="bottom"/>
            <w:hideMark/>
          </w:tcPr>
          <w:p w:rsidRPr="00565E35" w:rsidR="00262E85" w:rsidP="00802396" w:rsidRDefault="00262E85" w14:paraId="0D805991" w14:textId="77777777">
            <w:pPr>
              <w:jc w:val="right"/>
              <w:rPr>
                <w:rFonts w:eastAsia="Times New Roman" w:cs="Times New Roman"/>
                <w:color w:val="000000"/>
                <w:sz w:val="22"/>
                <w:szCs w:val="22"/>
              </w:rPr>
            </w:pPr>
            <w:r w:rsidRPr="00565E35">
              <w:rPr>
                <w:rFonts w:eastAsia="Times New Roman" w:cs="Times New Roman"/>
                <w:color w:val="000000"/>
                <w:sz w:val="22"/>
                <w:szCs w:val="22"/>
              </w:rPr>
              <w:t>$1</w:t>
            </w:r>
            <w:r>
              <w:rPr>
                <w:rFonts w:eastAsia="Times New Roman" w:cs="Times New Roman"/>
                <w:color w:val="000000"/>
                <w:sz w:val="22"/>
                <w:szCs w:val="22"/>
              </w:rPr>
              <w:t>,191,440</w:t>
            </w:r>
            <w:r w:rsidRPr="00565E35">
              <w:rPr>
                <w:rFonts w:eastAsia="Times New Roman" w:cs="Times New Roman"/>
                <w:color w:val="000000"/>
                <w:sz w:val="22"/>
                <w:szCs w:val="22"/>
              </w:rPr>
              <w:t xml:space="preserve"> </w:t>
            </w:r>
          </w:p>
        </w:tc>
        <w:tc>
          <w:tcPr>
            <w:tcW w:w="1298" w:type="dxa"/>
            <w:shd w:val="clear" w:color="auto" w:fill="auto"/>
            <w:noWrap/>
            <w:vAlign w:val="bottom"/>
            <w:hideMark/>
          </w:tcPr>
          <w:p w:rsidRPr="00565E35" w:rsidR="00262E85" w:rsidP="00802396" w:rsidRDefault="00262E85" w14:paraId="0FF8D164" w14:textId="77777777">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Pr>
                <w:rFonts w:eastAsia="Times New Roman" w:cs="Times New Roman"/>
                <w:color w:val="000000"/>
                <w:sz w:val="22"/>
                <w:szCs w:val="22"/>
              </w:rPr>
              <w:t>3,197,320</w:t>
            </w:r>
            <w:r w:rsidRPr="00565E35">
              <w:rPr>
                <w:rFonts w:eastAsia="Times New Roman" w:cs="Times New Roman"/>
                <w:color w:val="000000"/>
                <w:sz w:val="22"/>
                <w:szCs w:val="22"/>
              </w:rPr>
              <w:t xml:space="preserve"> </w:t>
            </w:r>
          </w:p>
        </w:tc>
      </w:tr>
      <w:tr w:rsidRPr="00565E35" w:rsidR="00262E85" w:rsidTr="5A8807B1" w14:paraId="75B38FFE" w14:textId="77777777">
        <w:trPr>
          <w:trHeight w:val="300"/>
          <w:jc w:val="center"/>
        </w:trPr>
        <w:tc>
          <w:tcPr>
            <w:tcW w:w="2965" w:type="dxa"/>
            <w:shd w:val="clear" w:color="auto" w:fill="auto"/>
            <w:noWrap/>
            <w:vAlign w:val="bottom"/>
            <w:hideMark/>
          </w:tcPr>
          <w:p w:rsidRPr="00565E35" w:rsidR="00262E85" w:rsidP="00090C1C" w:rsidRDefault="00262E85" w14:paraId="3D9528B9" w14:textId="6C521B63">
            <w:pPr>
              <w:rPr>
                <w:rFonts w:eastAsia="Times New Roman" w:cs="Times New Roman"/>
                <w:color w:val="000000"/>
                <w:sz w:val="22"/>
                <w:szCs w:val="22"/>
              </w:rPr>
            </w:pPr>
            <w:r>
              <w:rPr>
                <w:rFonts w:eastAsia="Times New Roman" w:cs="Times New Roman"/>
                <w:color w:val="000000"/>
                <w:sz w:val="22"/>
                <w:szCs w:val="22"/>
              </w:rPr>
              <w:t>Facilitation Contractor</w:t>
            </w:r>
            <w:r w:rsidR="003D660E">
              <w:rPr>
                <w:rStyle w:val="FootnoteReference"/>
                <w:rFonts w:eastAsia="Times New Roman" w:cs="Times New Roman"/>
                <w:color w:val="000000"/>
                <w:sz w:val="22"/>
                <w:szCs w:val="22"/>
              </w:rPr>
              <w:footnoteReference w:id="206"/>
            </w:r>
          </w:p>
        </w:tc>
        <w:tc>
          <w:tcPr>
            <w:tcW w:w="1260" w:type="dxa"/>
            <w:shd w:val="clear" w:color="auto" w:fill="auto"/>
            <w:noWrap/>
            <w:vAlign w:val="bottom"/>
            <w:hideMark/>
          </w:tcPr>
          <w:p w:rsidRPr="00565E35" w:rsidR="00262E85" w:rsidP="00802396" w:rsidRDefault="00262E85" w14:paraId="1E4809E4" w14:textId="77777777">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Pr>
                <w:rFonts w:eastAsia="Times New Roman" w:cs="Times New Roman"/>
                <w:color w:val="000000"/>
                <w:sz w:val="22"/>
                <w:szCs w:val="22"/>
              </w:rPr>
              <w:t>40,000</w:t>
            </w:r>
            <w:r w:rsidRPr="00565E35">
              <w:rPr>
                <w:rFonts w:eastAsia="Times New Roman" w:cs="Times New Roman"/>
                <w:color w:val="000000"/>
                <w:sz w:val="22"/>
                <w:szCs w:val="22"/>
              </w:rPr>
              <w:t xml:space="preserve"> </w:t>
            </w:r>
          </w:p>
        </w:tc>
        <w:tc>
          <w:tcPr>
            <w:tcW w:w="1260" w:type="dxa"/>
            <w:shd w:val="clear" w:color="auto" w:fill="auto"/>
            <w:noWrap/>
            <w:vAlign w:val="bottom"/>
            <w:hideMark/>
          </w:tcPr>
          <w:p w:rsidRPr="00565E35" w:rsidR="00262E85" w:rsidP="00802396" w:rsidRDefault="00262E85" w14:paraId="4CB02AA5" w14:textId="77777777">
            <w:pPr>
              <w:jc w:val="right"/>
              <w:rPr>
                <w:rFonts w:eastAsia="Times New Roman" w:cs="Times New Roman"/>
                <w:color w:val="000000"/>
                <w:sz w:val="22"/>
                <w:szCs w:val="22"/>
              </w:rPr>
            </w:pPr>
            <w:r w:rsidRPr="00565E35">
              <w:rPr>
                <w:rFonts w:eastAsia="Times New Roman" w:cs="Times New Roman"/>
                <w:color w:val="000000"/>
                <w:sz w:val="22"/>
                <w:szCs w:val="22"/>
              </w:rPr>
              <w:t>$</w:t>
            </w:r>
            <w:r>
              <w:rPr>
                <w:rFonts w:eastAsia="Times New Roman" w:cs="Times New Roman"/>
                <w:color w:val="000000"/>
                <w:sz w:val="22"/>
                <w:szCs w:val="22"/>
              </w:rPr>
              <w:t>0</w:t>
            </w:r>
            <w:r w:rsidRPr="00565E35">
              <w:rPr>
                <w:rFonts w:eastAsia="Times New Roman" w:cs="Times New Roman"/>
                <w:color w:val="000000"/>
                <w:sz w:val="22"/>
                <w:szCs w:val="22"/>
              </w:rPr>
              <w:t xml:space="preserve"> </w:t>
            </w:r>
          </w:p>
        </w:tc>
        <w:tc>
          <w:tcPr>
            <w:tcW w:w="1250" w:type="dxa"/>
            <w:shd w:val="clear" w:color="auto" w:fill="auto"/>
            <w:noWrap/>
            <w:vAlign w:val="bottom"/>
            <w:hideMark/>
          </w:tcPr>
          <w:p w:rsidRPr="00565E35" w:rsidR="00262E85" w:rsidP="00802396" w:rsidRDefault="00262E85" w14:paraId="1D60EC56" w14:textId="77777777">
            <w:pPr>
              <w:jc w:val="right"/>
              <w:rPr>
                <w:rFonts w:eastAsia="Times New Roman" w:cs="Times New Roman"/>
                <w:color w:val="000000"/>
                <w:sz w:val="22"/>
                <w:szCs w:val="22"/>
              </w:rPr>
            </w:pPr>
            <w:r>
              <w:rPr>
                <w:rFonts w:eastAsia="Times New Roman" w:cs="Times New Roman"/>
                <w:color w:val="000000"/>
                <w:sz w:val="22"/>
                <w:szCs w:val="22"/>
              </w:rPr>
              <w:t>$</w:t>
            </w:r>
            <w:r w:rsidRPr="00565E35">
              <w:rPr>
                <w:rFonts w:eastAsia="Times New Roman" w:cs="Times New Roman"/>
                <w:color w:val="000000"/>
                <w:sz w:val="22"/>
                <w:szCs w:val="22"/>
              </w:rPr>
              <w:t xml:space="preserve">0 </w:t>
            </w:r>
          </w:p>
        </w:tc>
        <w:tc>
          <w:tcPr>
            <w:tcW w:w="1298" w:type="dxa"/>
            <w:shd w:val="clear" w:color="auto" w:fill="auto"/>
            <w:noWrap/>
            <w:vAlign w:val="bottom"/>
            <w:hideMark/>
          </w:tcPr>
          <w:p w:rsidRPr="00565E35" w:rsidR="00262E85" w:rsidP="00802396" w:rsidRDefault="00262E85" w14:paraId="2A576467" w14:textId="77777777">
            <w:pPr>
              <w:jc w:val="right"/>
              <w:rPr>
                <w:rFonts w:eastAsia="Times New Roman" w:cs="Times New Roman"/>
                <w:color w:val="000000"/>
                <w:sz w:val="22"/>
                <w:szCs w:val="22"/>
              </w:rPr>
            </w:pPr>
            <w:r w:rsidRPr="00565E35">
              <w:rPr>
                <w:rFonts w:eastAsia="Times New Roman" w:cs="Times New Roman"/>
                <w:color w:val="000000"/>
                <w:sz w:val="22"/>
                <w:szCs w:val="22"/>
              </w:rPr>
              <w:t xml:space="preserve"> $</w:t>
            </w:r>
            <w:r>
              <w:rPr>
                <w:rFonts w:eastAsia="Times New Roman" w:cs="Times New Roman"/>
                <w:color w:val="000000"/>
                <w:sz w:val="22"/>
                <w:szCs w:val="22"/>
              </w:rPr>
              <w:t>40,000</w:t>
            </w:r>
            <w:r w:rsidRPr="00565E35">
              <w:rPr>
                <w:rFonts w:eastAsia="Times New Roman" w:cs="Times New Roman"/>
                <w:color w:val="000000"/>
                <w:sz w:val="22"/>
                <w:szCs w:val="22"/>
              </w:rPr>
              <w:t xml:space="preserve"> </w:t>
            </w:r>
          </w:p>
        </w:tc>
      </w:tr>
      <w:tr w:rsidRPr="00565E35" w:rsidR="00262E85" w:rsidTr="5A8807B1" w14:paraId="52B4FFB8" w14:textId="77777777">
        <w:trPr>
          <w:trHeight w:val="300"/>
          <w:jc w:val="center"/>
        </w:trPr>
        <w:tc>
          <w:tcPr>
            <w:tcW w:w="2965" w:type="dxa"/>
            <w:shd w:val="clear" w:color="auto" w:fill="auto"/>
            <w:noWrap/>
            <w:vAlign w:val="bottom"/>
            <w:hideMark/>
          </w:tcPr>
          <w:p w:rsidRPr="00565E35" w:rsidR="00262E85" w:rsidP="00090C1C" w:rsidRDefault="00262E85" w14:paraId="04A7F58B" w14:textId="77777777">
            <w:pPr>
              <w:jc w:val="right"/>
              <w:rPr>
                <w:rFonts w:eastAsia="Times New Roman" w:cs="Times New Roman"/>
                <w:b/>
                <w:bCs/>
                <w:color w:val="000000"/>
                <w:sz w:val="22"/>
                <w:szCs w:val="22"/>
              </w:rPr>
            </w:pPr>
            <w:r>
              <w:rPr>
                <w:rFonts w:eastAsia="Times New Roman" w:cs="Times New Roman"/>
                <w:b/>
                <w:bCs/>
                <w:color w:val="000000"/>
                <w:sz w:val="22"/>
                <w:szCs w:val="22"/>
              </w:rPr>
              <w:t>Total</w:t>
            </w:r>
          </w:p>
        </w:tc>
        <w:tc>
          <w:tcPr>
            <w:tcW w:w="1260" w:type="dxa"/>
            <w:shd w:val="clear" w:color="auto" w:fill="auto"/>
            <w:noWrap/>
            <w:vAlign w:val="bottom"/>
            <w:hideMark/>
          </w:tcPr>
          <w:p w:rsidRPr="00257890" w:rsidR="00262E85" w:rsidP="00802396" w:rsidRDefault="00262E85" w14:paraId="3A83891F" w14:textId="095C7F82">
            <w:pPr>
              <w:jc w:val="right"/>
              <w:rPr>
                <w:rFonts w:eastAsia="Times New Roman" w:cs="Times New Roman"/>
                <w:b/>
                <w:color w:val="000000"/>
                <w:sz w:val="22"/>
                <w:szCs w:val="22"/>
              </w:rPr>
            </w:pPr>
            <w:r w:rsidRPr="00257890">
              <w:rPr>
                <w:rFonts w:eastAsia="Times New Roman" w:cs="Times New Roman"/>
                <w:b/>
                <w:color w:val="000000"/>
                <w:sz w:val="22"/>
                <w:szCs w:val="22"/>
              </w:rPr>
              <w:t>$</w:t>
            </w:r>
            <w:r w:rsidR="00CF18C0">
              <w:rPr>
                <w:rFonts w:eastAsia="Times New Roman" w:cs="Times New Roman"/>
                <w:b/>
                <w:color w:val="000000"/>
                <w:sz w:val="22"/>
                <w:szCs w:val="22"/>
              </w:rPr>
              <w:t>1,0</w:t>
            </w:r>
            <w:r w:rsidR="005F4518">
              <w:rPr>
                <w:rFonts w:eastAsia="Times New Roman" w:cs="Times New Roman"/>
                <w:b/>
                <w:color w:val="000000"/>
                <w:sz w:val="22"/>
                <w:szCs w:val="22"/>
              </w:rPr>
              <w:t>66</w:t>
            </w:r>
            <w:r w:rsidR="00CF18C0">
              <w:rPr>
                <w:rFonts w:eastAsia="Times New Roman" w:cs="Times New Roman"/>
                <w:b/>
                <w:color w:val="000000"/>
                <w:sz w:val="22"/>
                <w:szCs w:val="22"/>
              </w:rPr>
              <w:t>,</w:t>
            </w:r>
            <w:r w:rsidR="005F4518">
              <w:rPr>
                <w:rFonts w:eastAsia="Times New Roman" w:cs="Times New Roman"/>
                <w:b/>
                <w:color w:val="000000"/>
                <w:sz w:val="22"/>
                <w:szCs w:val="22"/>
              </w:rPr>
              <w:t>832</w:t>
            </w:r>
            <w:r w:rsidRPr="00257890">
              <w:rPr>
                <w:rFonts w:eastAsia="Times New Roman" w:cs="Times New Roman"/>
                <w:b/>
                <w:color w:val="000000"/>
                <w:sz w:val="22"/>
                <w:szCs w:val="22"/>
              </w:rPr>
              <w:t xml:space="preserve"> </w:t>
            </w:r>
          </w:p>
        </w:tc>
        <w:tc>
          <w:tcPr>
            <w:tcW w:w="1260" w:type="dxa"/>
            <w:shd w:val="clear" w:color="auto" w:fill="auto"/>
            <w:noWrap/>
            <w:vAlign w:val="bottom"/>
            <w:hideMark/>
          </w:tcPr>
          <w:p w:rsidRPr="00257890" w:rsidR="00262E85" w:rsidP="00802396" w:rsidRDefault="00262E85" w14:paraId="633049DE" w14:textId="1902B6F6">
            <w:pPr>
              <w:jc w:val="right"/>
              <w:rPr>
                <w:rFonts w:eastAsia="Times New Roman" w:cs="Times New Roman"/>
                <w:b/>
                <w:color w:val="000000"/>
                <w:sz w:val="22"/>
                <w:szCs w:val="22"/>
              </w:rPr>
            </w:pPr>
            <w:r w:rsidRPr="00257890">
              <w:rPr>
                <w:rFonts w:eastAsia="Times New Roman" w:cs="Times New Roman"/>
                <w:b/>
                <w:color w:val="000000"/>
                <w:sz w:val="22"/>
                <w:szCs w:val="22"/>
              </w:rPr>
              <w:t>$1,</w:t>
            </w:r>
            <w:r w:rsidR="00101738">
              <w:rPr>
                <w:rFonts w:eastAsia="Times New Roman" w:cs="Times New Roman"/>
                <w:b/>
                <w:color w:val="000000"/>
                <w:sz w:val="22"/>
                <w:szCs w:val="22"/>
              </w:rPr>
              <w:t>5</w:t>
            </w:r>
            <w:r w:rsidR="005F4518">
              <w:rPr>
                <w:rFonts w:eastAsia="Times New Roman" w:cs="Times New Roman"/>
                <w:b/>
                <w:color w:val="000000"/>
                <w:sz w:val="22"/>
                <w:szCs w:val="22"/>
              </w:rPr>
              <w:t>43</w:t>
            </w:r>
            <w:r w:rsidR="00101738">
              <w:rPr>
                <w:rFonts w:eastAsia="Times New Roman" w:cs="Times New Roman"/>
                <w:b/>
                <w:color w:val="000000"/>
                <w:sz w:val="22"/>
                <w:szCs w:val="22"/>
              </w:rPr>
              <w:t>,</w:t>
            </w:r>
            <w:r w:rsidR="006221D9">
              <w:rPr>
                <w:rFonts w:eastAsia="Times New Roman" w:cs="Times New Roman"/>
                <w:b/>
                <w:color w:val="000000"/>
                <w:sz w:val="22"/>
                <w:szCs w:val="22"/>
              </w:rPr>
              <w:t>618</w:t>
            </w:r>
          </w:p>
        </w:tc>
        <w:tc>
          <w:tcPr>
            <w:tcW w:w="1250" w:type="dxa"/>
            <w:shd w:val="clear" w:color="auto" w:fill="auto"/>
            <w:noWrap/>
            <w:vAlign w:val="bottom"/>
            <w:hideMark/>
          </w:tcPr>
          <w:p w:rsidRPr="00257890" w:rsidR="00262E85" w:rsidP="00802396" w:rsidRDefault="00262E85" w14:paraId="4E8EC129" w14:textId="0F32050E">
            <w:pPr>
              <w:jc w:val="right"/>
              <w:rPr>
                <w:rFonts w:eastAsia="Times New Roman" w:cs="Times New Roman"/>
                <w:b/>
                <w:color w:val="000000"/>
                <w:sz w:val="22"/>
                <w:szCs w:val="22"/>
              </w:rPr>
            </w:pPr>
            <w:r w:rsidRPr="00257890">
              <w:rPr>
                <w:rFonts w:eastAsia="Times New Roman" w:cs="Times New Roman"/>
                <w:b/>
                <w:color w:val="000000"/>
                <w:sz w:val="22"/>
                <w:szCs w:val="22"/>
              </w:rPr>
              <w:t>$1,</w:t>
            </w:r>
            <w:r w:rsidR="00101738">
              <w:rPr>
                <w:rFonts w:eastAsia="Times New Roman" w:cs="Times New Roman"/>
                <w:b/>
                <w:color w:val="000000"/>
                <w:sz w:val="22"/>
                <w:szCs w:val="22"/>
              </w:rPr>
              <w:t>3</w:t>
            </w:r>
            <w:r w:rsidR="006221D9">
              <w:rPr>
                <w:rFonts w:eastAsia="Times New Roman" w:cs="Times New Roman"/>
                <w:b/>
                <w:color w:val="000000"/>
                <w:sz w:val="22"/>
                <w:szCs w:val="22"/>
              </w:rPr>
              <w:t>92</w:t>
            </w:r>
            <w:r w:rsidR="00101738">
              <w:rPr>
                <w:rFonts w:eastAsia="Times New Roman" w:cs="Times New Roman"/>
                <w:b/>
                <w:color w:val="000000"/>
                <w:sz w:val="22"/>
                <w:szCs w:val="22"/>
              </w:rPr>
              <w:t>,</w:t>
            </w:r>
            <w:r w:rsidR="006221D9">
              <w:rPr>
                <w:rFonts w:eastAsia="Times New Roman" w:cs="Times New Roman"/>
                <w:b/>
                <w:color w:val="000000"/>
                <w:sz w:val="22"/>
                <w:szCs w:val="22"/>
              </w:rPr>
              <w:t>479</w:t>
            </w:r>
          </w:p>
        </w:tc>
        <w:tc>
          <w:tcPr>
            <w:tcW w:w="1298" w:type="dxa"/>
            <w:shd w:val="clear" w:color="auto" w:fill="auto"/>
            <w:noWrap/>
            <w:vAlign w:val="bottom"/>
            <w:hideMark/>
          </w:tcPr>
          <w:p w:rsidRPr="00565E35" w:rsidR="00262E85" w:rsidP="00802396" w:rsidRDefault="00C4532C" w14:paraId="559510DE" w14:textId="702C1555">
            <w:pPr>
              <w:jc w:val="right"/>
              <w:rPr>
                <w:rFonts w:eastAsia="Times New Roman" w:cs="Times New Roman"/>
                <w:b/>
                <w:bCs/>
                <w:color w:val="000000"/>
                <w:sz w:val="22"/>
                <w:szCs w:val="22"/>
              </w:rPr>
            </w:pPr>
            <w:r>
              <w:rPr>
                <w:rFonts w:eastAsia="Times New Roman" w:cs="Times New Roman"/>
                <w:b/>
                <w:bCs/>
                <w:color w:val="000000"/>
                <w:sz w:val="22"/>
                <w:szCs w:val="22"/>
              </w:rPr>
              <w:t>$4,002,929</w:t>
            </w:r>
            <w:r w:rsidRPr="00565E35" w:rsidR="00262E85">
              <w:rPr>
                <w:rFonts w:eastAsia="Times New Roman" w:cs="Times New Roman"/>
                <w:b/>
                <w:bCs/>
                <w:color w:val="000000"/>
                <w:sz w:val="22"/>
                <w:szCs w:val="22"/>
              </w:rPr>
              <w:t xml:space="preserve"> </w:t>
            </w:r>
          </w:p>
        </w:tc>
      </w:tr>
    </w:tbl>
    <w:p w:rsidR="0E74A260" w:rsidP="007E28E0" w:rsidRDefault="0E74A260" w14:paraId="46CFD51F" w14:textId="08A83BFA"/>
    <w:p w:rsidR="00C97E67" w:rsidP="00C401B7" w:rsidRDefault="00D0612E" w14:paraId="2E8262B2" w14:textId="60B0344F">
      <w:pPr>
        <w:pStyle w:val="Heading2"/>
        <w:numPr>
          <w:ilvl w:val="1"/>
          <w:numId w:val="16"/>
        </w:numPr>
      </w:pPr>
      <w:r>
        <w:lastRenderedPageBreak/>
        <w:t>Revised Total Implementation Budget</w:t>
      </w:r>
    </w:p>
    <w:p w:rsidR="0075636D" w:rsidP="0075636D" w:rsidRDefault="0075636D" w14:paraId="6A66509B" w14:textId="06E74A85">
      <w:r>
        <w:t>Table 11 provides the previously authorized budgets in D.24-05-028, budgets authorized in this Resolution</w:t>
      </w:r>
      <w:r w:rsidRPr="00746AFD">
        <w:t xml:space="preserve">, which </w:t>
      </w:r>
      <w:r>
        <w:t>SDG&amp;E</w:t>
      </w:r>
      <w:r w:rsidRPr="00746AFD">
        <w:t xml:space="preserve"> deemed incremental to its authorized revenue requirement in the most recent GRC</w:t>
      </w:r>
      <w:r>
        <w:t>,</w:t>
      </w:r>
      <w:r>
        <w:rPr>
          <w:rStyle w:val="FootnoteReference"/>
        </w:rPr>
        <w:footnoteReference w:id="207"/>
      </w:r>
      <w:r>
        <w:t xml:space="preserve"> and the total revised implementation budget for the fixed charge</w:t>
      </w:r>
      <w:r w:rsidRPr="00746AFD">
        <w:t>. S</w:t>
      </w:r>
      <w:r>
        <w:t>DG&amp;E</w:t>
      </w:r>
      <w:r w:rsidRPr="00746AFD">
        <w:t xml:space="preserve"> shall not carry</w:t>
      </w:r>
      <w:r>
        <w:t xml:space="preserve"> over</w:t>
      </w:r>
      <w:r w:rsidRPr="00746AFD">
        <w:t xml:space="preserve"> or shift funds between implementation activities or ME&amp;O categories.</w:t>
      </w:r>
    </w:p>
    <w:p w:rsidR="0075636D" w:rsidP="0075636D" w:rsidRDefault="0075636D" w14:paraId="722F2FFC" w14:textId="77777777"/>
    <w:p w:rsidR="0075636D" w:rsidP="0075636D" w:rsidRDefault="0075636D" w14:paraId="118B5289" w14:textId="7C271B25">
      <w:pPr>
        <w:jc w:val="center"/>
      </w:pPr>
      <w:r w:rsidRPr="0095297A">
        <w:rPr>
          <w:b/>
          <w:bCs/>
        </w:rPr>
        <w:t xml:space="preserve">Table </w:t>
      </w:r>
      <w:r>
        <w:rPr>
          <w:b/>
          <w:bCs/>
        </w:rPr>
        <w:t>11</w:t>
      </w:r>
      <w:r w:rsidRPr="0095297A">
        <w:rPr>
          <w:b/>
          <w:bCs/>
        </w:rPr>
        <w:t xml:space="preserve">: </w:t>
      </w:r>
      <w:r>
        <w:rPr>
          <w:b/>
          <w:bCs/>
        </w:rPr>
        <w:t>SDG&amp;E</w:t>
      </w:r>
      <w:r w:rsidRPr="0095297A">
        <w:rPr>
          <w:b/>
          <w:bCs/>
        </w:rPr>
        <w:t>’</w:t>
      </w:r>
      <w:r>
        <w:rPr>
          <w:b/>
          <w:bCs/>
        </w:rPr>
        <w:t>s</w:t>
      </w:r>
      <w:r w:rsidRPr="0095297A">
        <w:rPr>
          <w:b/>
          <w:bCs/>
        </w:rPr>
        <w:t xml:space="preserve"> </w:t>
      </w:r>
      <w:r>
        <w:rPr>
          <w:b/>
          <w:bCs/>
        </w:rPr>
        <w:t>Revised Total</w:t>
      </w:r>
      <w:r w:rsidRPr="0095297A">
        <w:rPr>
          <w:b/>
          <w:bCs/>
        </w:rPr>
        <w:t xml:space="preserve"> Implementation Budget</w:t>
      </w:r>
      <w:r>
        <w:rPr>
          <w:b/>
          <w:bCs/>
        </w:rPr>
        <w:t xml:space="preserve"> (A</w:t>
      </w:r>
      <w:r w:rsidR="00BB1078">
        <w:rPr>
          <w:b/>
          <w:bCs/>
        </w:rPr>
        <w:t>uthorized</w:t>
      </w:r>
      <w:r>
        <w:rPr>
          <w:b/>
          <w:bCs/>
        </w:rPr>
        <w:t>)</w:t>
      </w:r>
    </w:p>
    <w:p w:rsidR="00227A1C" w:rsidP="00227A1C" w:rsidRDefault="00227A1C" w14:paraId="17073B75" w14:textId="70291268">
      <w:pPr>
        <w:jc w:val="center"/>
        <w:rPr>
          <w:b/>
        </w:rPr>
      </w:pPr>
    </w:p>
    <w:tbl>
      <w:tblPr>
        <w:tblW w:w="980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4639"/>
        <w:gridCol w:w="1478"/>
        <w:gridCol w:w="1800"/>
        <w:gridCol w:w="1890"/>
      </w:tblGrid>
      <w:tr w:rsidRPr="001F3BA0" w:rsidR="0075636D" w:rsidTr="00972E86" w14:paraId="772D60CF" w14:textId="77777777">
        <w:trPr>
          <w:trHeight w:val="733"/>
          <w:jc w:val="center"/>
        </w:trPr>
        <w:tc>
          <w:tcPr>
            <w:tcW w:w="4639" w:type="dxa"/>
            <w:shd w:val="clear" w:color="auto" w:fill="F2F2F2" w:themeFill="background1" w:themeFillShade="F2"/>
            <w:vAlign w:val="bottom"/>
            <w:hideMark/>
          </w:tcPr>
          <w:p w:rsidRPr="001F3BA0" w:rsidR="0075636D" w:rsidP="00102AD8" w:rsidRDefault="0075636D" w14:paraId="01C22062" w14:textId="77777777">
            <w:pPr>
              <w:rPr>
                <w:rFonts w:eastAsia="Times New Roman" w:cs="Times New Roman"/>
                <w:b/>
                <w:bCs/>
                <w:color w:val="000000"/>
                <w:sz w:val="22"/>
                <w:szCs w:val="22"/>
              </w:rPr>
            </w:pPr>
            <w:r w:rsidRPr="0E74A260">
              <w:rPr>
                <w:rFonts w:eastAsia="Times New Roman" w:cs="Times New Roman"/>
                <w:b/>
                <w:color w:val="000000" w:themeColor="text1"/>
                <w:sz w:val="22"/>
                <w:szCs w:val="22"/>
              </w:rPr>
              <w:t>Activity</w:t>
            </w:r>
          </w:p>
        </w:tc>
        <w:tc>
          <w:tcPr>
            <w:tcW w:w="1478" w:type="dxa"/>
            <w:shd w:val="clear" w:color="auto" w:fill="F2F2F2" w:themeFill="background1" w:themeFillShade="F2"/>
            <w:vAlign w:val="bottom"/>
          </w:tcPr>
          <w:p w:rsidRPr="0FCE2071" w:rsidR="0075636D" w:rsidP="3FADB8F3" w:rsidRDefault="0075636D" w14:paraId="6D2407AB" w14:textId="5F3B37CD">
            <w:pPr>
              <w:jc w:val="center"/>
              <w:rPr>
                <w:rFonts w:eastAsia="Times New Roman" w:cs="Times New Roman"/>
                <w:b/>
                <w:bCs/>
                <w:color w:val="000000" w:themeColor="text1"/>
                <w:sz w:val="22"/>
                <w:szCs w:val="22"/>
              </w:rPr>
            </w:pPr>
            <w:r w:rsidRPr="3FADB8F3">
              <w:rPr>
                <w:rFonts w:eastAsia="Times New Roman" w:cs="Times New Roman"/>
                <w:b/>
                <w:bCs/>
                <w:color w:val="000000" w:themeColor="text1"/>
                <w:sz w:val="22"/>
                <w:szCs w:val="22"/>
              </w:rPr>
              <w:t>Previously Authorized in the Decision</w:t>
            </w:r>
          </w:p>
          <w:p w:rsidRPr="0FCE2071" w:rsidR="0075636D" w:rsidP="3FADB8F3" w:rsidRDefault="3A0CABAA" w14:paraId="0F610807" w14:textId="63AA3641">
            <w:pPr>
              <w:jc w:val="center"/>
              <w:rPr>
                <w:rFonts w:eastAsia="Times New Roman" w:cs="Times New Roman"/>
                <w:b/>
                <w:bCs/>
                <w:color w:val="000000" w:themeColor="text1"/>
                <w:sz w:val="22"/>
                <w:szCs w:val="22"/>
              </w:rPr>
            </w:pPr>
            <w:r w:rsidRPr="3FADB8F3">
              <w:rPr>
                <w:rFonts w:eastAsia="Times New Roman" w:cs="Times New Roman"/>
                <w:b/>
                <w:bCs/>
                <w:color w:val="000000" w:themeColor="text1"/>
                <w:sz w:val="22"/>
                <w:szCs w:val="22"/>
              </w:rPr>
              <w:t>($ millions)</w:t>
            </w:r>
          </w:p>
        </w:tc>
        <w:tc>
          <w:tcPr>
            <w:tcW w:w="1800" w:type="dxa"/>
            <w:shd w:val="clear" w:color="auto" w:fill="F2F2F2" w:themeFill="background1" w:themeFillShade="F2"/>
          </w:tcPr>
          <w:p w:rsidR="007E28E0" w:rsidP="00102AD8" w:rsidRDefault="007E28E0" w14:paraId="1FC83380" w14:textId="77777777">
            <w:pPr>
              <w:spacing w:line="259" w:lineRule="auto"/>
              <w:jc w:val="center"/>
              <w:rPr>
                <w:rFonts w:eastAsia="Times New Roman" w:cs="Times New Roman"/>
                <w:b/>
                <w:bCs/>
                <w:color w:val="000000" w:themeColor="text1"/>
                <w:sz w:val="22"/>
                <w:szCs w:val="22"/>
              </w:rPr>
            </w:pPr>
          </w:p>
          <w:p w:rsidR="0075636D" w:rsidP="00102AD8" w:rsidRDefault="0075636D" w14:paraId="187D9F68" w14:textId="77777777">
            <w:pPr>
              <w:spacing w:line="259" w:lineRule="auto"/>
              <w:jc w:val="center"/>
              <w:rPr>
                <w:rFonts w:eastAsia="Times New Roman" w:cs="Times New Roman"/>
                <w:b/>
                <w:bCs/>
                <w:color w:val="000000" w:themeColor="text1"/>
                <w:sz w:val="22"/>
                <w:szCs w:val="22"/>
              </w:rPr>
            </w:pPr>
            <w:r>
              <w:rPr>
                <w:rFonts w:eastAsia="Times New Roman" w:cs="Times New Roman"/>
                <w:b/>
                <w:bCs/>
                <w:color w:val="000000" w:themeColor="text1"/>
                <w:sz w:val="22"/>
                <w:szCs w:val="22"/>
              </w:rPr>
              <w:t>Budgets</w:t>
            </w:r>
          </w:p>
          <w:p w:rsidRPr="14FE1EB0" w:rsidR="0075636D" w:rsidP="3FADB8F3" w:rsidRDefault="0075636D" w14:paraId="37050976" w14:textId="2C30F30A">
            <w:pPr>
              <w:spacing w:line="259" w:lineRule="auto"/>
              <w:jc w:val="center"/>
              <w:rPr>
                <w:rFonts w:eastAsia="Times New Roman" w:cs="Times New Roman"/>
                <w:b/>
                <w:bCs/>
                <w:color w:val="000000" w:themeColor="text1"/>
                <w:sz w:val="22"/>
                <w:szCs w:val="22"/>
              </w:rPr>
            </w:pPr>
            <w:r w:rsidRPr="3FADB8F3">
              <w:rPr>
                <w:rFonts w:eastAsia="Times New Roman" w:cs="Times New Roman"/>
                <w:b/>
                <w:bCs/>
                <w:color w:val="000000" w:themeColor="text1"/>
                <w:sz w:val="22"/>
                <w:szCs w:val="22"/>
              </w:rPr>
              <w:t>Authorized in this Resolution</w:t>
            </w:r>
          </w:p>
          <w:p w:rsidRPr="14FE1EB0" w:rsidR="0075636D" w:rsidP="3FADB8F3" w:rsidRDefault="062FAA3B" w14:paraId="26591F5E" w14:textId="432AB79E">
            <w:pPr>
              <w:spacing w:line="259" w:lineRule="auto"/>
              <w:jc w:val="center"/>
              <w:rPr>
                <w:rFonts w:eastAsia="Times New Roman" w:cs="Times New Roman"/>
                <w:b/>
                <w:bCs/>
                <w:color w:val="000000" w:themeColor="text1"/>
                <w:sz w:val="22"/>
                <w:szCs w:val="22"/>
              </w:rPr>
            </w:pPr>
            <w:r w:rsidRPr="3FADB8F3">
              <w:rPr>
                <w:rFonts w:eastAsia="Times New Roman" w:cs="Times New Roman"/>
                <w:b/>
                <w:bCs/>
                <w:color w:val="000000" w:themeColor="text1"/>
                <w:sz w:val="22"/>
                <w:szCs w:val="22"/>
              </w:rPr>
              <w:t>($ millions)</w:t>
            </w:r>
          </w:p>
        </w:tc>
        <w:tc>
          <w:tcPr>
            <w:tcW w:w="1890" w:type="dxa"/>
            <w:shd w:val="clear" w:color="auto" w:fill="F2F2F2" w:themeFill="background1" w:themeFillShade="F2"/>
            <w:vAlign w:val="bottom"/>
            <w:hideMark/>
          </w:tcPr>
          <w:p w:rsidRPr="001F3BA0" w:rsidR="0075636D" w:rsidP="3FADB8F3" w:rsidRDefault="0075636D" w14:paraId="5D112658" w14:textId="4BAEE5FE">
            <w:pPr>
              <w:spacing w:line="259" w:lineRule="auto"/>
              <w:jc w:val="center"/>
              <w:rPr>
                <w:rFonts w:eastAsia="Times New Roman" w:cs="Times New Roman"/>
                <w:b/>
                <w:color w:val="000000" w:themeColor="text1"/>
                <w:sz w:val="22"/>
                <w:szCs w:val="22"/>
              </w:rPr>
            </w:pPr>
            <w:r w:rsidRPr="3FADB8F3">
              <w:rPr>
                <w:rFonts w:eastAsia="Times New Roman" w:cs="Times New Roman"/>
                <w:b/>
                <w:bCs/>
                <w:color w:val="000000" w:themeColor="text1"/>
                <w:sz w:val="22"/>
                <w:szCs w:val="22"/>
              </w:rPr>
              <w:t>Total Revised Implementation Budget</w:t>
            </w:r>
          </w:p>
          <w:p w:rsidRPr="001F3BA0" w:rsidR="0075636D" w:rsidP="3FADB8F3" w:rsidRDefault="50365D21" w14:paraId="441510AC" w14:textId="527D5488">
            <w:pPr>
              <w:spacing w:line="259" w:lineRule="auto"/>
              <w:jc w:val="center"/>
              <w:rPr>
                <w:rFonts w:eastAsia="Times New Roman" w:cs="Times New Roman"/>
                <w:b/>
                <w:bCs/>
                <w:color w:val="000000" w:themeColor="text1"/>
                <w:sz w:val="22"/>
                <w:szCs w:val="22"/>
              </w:rPr>
            </w:pPr>
            <w:r w:rsidRPr="3FADB8F3">
              <w:rPr>
                <w:rFonts w:eastAsia="Times New Roman" w:cs="Times New Roman"/>
                <w:b/>
                <w:bCs/>
                <w:color w:val="000000" w:themeColor="text1"/>
                <w:sz w:val="22"/>
                <w:szCs w:val="22"/>
              </w:rPr>
              <w:t>($ millions)</w:t>
            </w:r>
          </w:p>
        </w:tc>
      </w:tr>
      <w:tr w:rsidRPr="001F3BA0" w:rsidR="0075636D" w:rsidTr="00972E86" w14:paraId="74F01C7C" w14:textId="77777777">
        <w:trPr>
          <w:trHeight w:val="79"/>
          <w:jc w:val="center"/>
        </w:trPr>
        <w:tc>
          <w:tcPr>
            <w:tcW w:w="4639" w:type="dxa"/>
            <w:shd w:val="clear" w:color="auto" w:fill="auto"/>
            <w:vAlign w:val="bottom"/>
            <w:hideMark/>
          </w:tcPr>
          <w:p w:rsidRPr="001F3BA0" w:rsidR="0075636D" w:rsidP="00BB1078" w:rsidRDefault="0075636D" w14:paraId="22E7EC99" w14:textId="77777777">
            <w:pPr>
              <w:rPr>
                <w:rFonts w:eastAsia="Times New Roman" w:cs="Times New Roman"/>
                <w:color w:val="000000"/>
                <w:sz w:val="22"/>
                <w:szCs w:val="22"/>
              </w:rPr>
            </w:pPr>
            <w:r w:rsidRPr="0E74A260">
              <w:rPr>
                <w:rFonts w:eastAsia="Times New Roman" w:cs="Times New Roman"/>
                <w:color w:val="000000" w:themeColor="text1"/>
                <w:sz w:val="22"/>
                <w:szCs w:val="22"/>
              </w:rPr>
              <w:t>Income Verification (Facilitation Contractor)</w:t>
            </w:r>
          </w:p>
        </w:tc>
        <w:tc>
          <w:tcPr>
            <w:tcW w:w="1478" w:type="dxa"/>
            <w:shd w:val="clear" w:color="auto" w:fill="auto"/>
            <w:vAlign w:val="bottom"/>
          </w:tcPr>
          <w:p w:rsidR="0075636D" w:rsidP="00BB1078" w:rsidRDefault="0075636D" w14:paraId="366C65C0" w14:textId="77777777">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c>
          <w:tcPr>
            <w:tcW w:w="1800" w:type="dxa"/>
            <w:shd w:val="clear" w:color="auto" w:fill="auto"/>
          </w:tcPr>
          <w:p w:rsidRPr="001F3BA0" w:rsidR="0075636D" w:rsidP="00BB1078" w:rsidRDefault="0075636D" w14:paraId="77884B1E" w14:textId="40F3DFDA">
            <w:pPr>
              <w:jc w:val="right"/>
              <w:rPr>
                <w:rFonts w:eastAsia="Times New Roman" w:cs="Times New Roman"/>
                <w:color w:val="000000"/>
                <w:sz w:val="22"/>
                <w:szCs w:val="22"/>
              </w:rPr>
            </w:pPr>
            <w:r w:rsidRPr="0E74A260">
              <w:rPr>
                <w:rFonts w:eastAsia="Times New Roman" w:cs="Times New Roman"/>
                <w:color w:val="000000" w:themeColor="text1"/>
                <w:sz w:val="22"/>
                <w:szCs w:val="22"/>
              </w:rPr>
              <w:t>$0.040</w:t>
            </w:r>
          </w:p>
        </w:tc>
        <w:tc>
          <w:tcPr>
            <w:tcW w:w="1890" w:type="dxa"/>
            <w:noWrap/>
            <w:vAlign w:val="bottom"/>
            <w:hideMark/>
          </w:tcPr>
          <w:p w:rsidRPr="001F3BA0" w:rsidR="0075636D" w:rsidP="00BB1078" w:rsidRDefault="0075636D" w14:paraId="42B6ABF8" w14:textId="5AE25A98">
            <w:pPr>
              <w:jc w:val="right"/>
              <w:rPr>
                <w:rFonts w:eastAsia="Times New Roman" w:cs="Times New Roman"/>
                <w:color w:val="000000"/>
                <w:sz w:val="22"/>
                <w:szCs w:val="22"/>
              </w:rPr>
            </w:pPr>
            <w:r w:rsidRPr="0E74A260">
              <w:rPr>
                <w:rFonts w:eastAsia="Times New Roman" w:cs="Times New Roman"/>
                <w:color w:val="000000" w:themeColor="text1"/>
                <w:sz w:val="22"/>
                <w:szCs w:val="22"/>
              </w:rPr>
              <w:t>$0.040</w:t>
            </w:r>
          </w:p>
        </w:tc>
      </w:tr>
      <w:tr w:rsidRPr="001F3BA0" w:rsidR="00102AD8" w:rsidTr="00972E86" w14:paraId="146B5651" w14:textId="77777777">
        <w:trPr>
          <w:trHeight w:val="250"/>
          <w:jc w:val="center"/>
        </w:trPr>
        <w:tc>
          <w:tcPr>
            <w:tcW w:w="4639" w:type="dxa"/>
            <w:shd w:val="clear" w:color="auto" w:fill="auto"/>
            <w:vAlign w:val="bottom"/>
            <w:hideMark/>
          </w:tcPr>
          <w:p w:rsidRPr="001F3BA0" w:rsidR="0075636D" w:rsidP="00BB1078" w:rsidRDefault="0075636D" w14:paraId="3A81C79E" w14:textId="77777777">
            <w:pPr>
              <w:rPr>
                <w:rFonts w:eastAsia="Times New Roman" w:cs="Times New Roman"/>
                <w:color w:val="000000"/>
                <w:sz w:val="22"/>
                <w:szCs w:val="22"/>
              </w:rPr>
            </w:pPr>
            <w:r w:rsidRPr="0E74A260">
              <w:rPr>
                <w:rFonts w:eastAsia="Times New Roman" w:cs="Times New Roman"/>
                <w:color w:val="000000" w:themeColor="text1"/>
                <w:sz w:val="22"/>
                <w:szCs w:val="22"/>
              </w:rPr>
              <w:t>Billing System</w:t>
            </w:r>
          </w:p>
        </w:tc>
        <w:tc>
          <w:tcPr>
            <w:tcW w:w="1478" w:type="dxa"/>
            <w:shd w:val="clear" w:color="auto" w:fill="auto"/>
            <w:vAlign w:val="bottom"/>
          </w:tcPr>
          <w:p w:rsidR="0075636D" w:rsidP="00BB1078" w:rsidRDefault="0075636D" w14:paraId="1FD3DAEE" w14:textId="2082F07C">
            <w:pPr>
              <w:jc w:val="right"/>
              <w:rPr>
                <w:rFonts w:eastAsia="Times New Roman" w:cs="Times New Roman"/>
                <w:color w:val="000000" w:themeColor="text1"/>
                <w:sz w:val="22"/>
                <w:szCs w:val="22"/>
              </w:rPr>
            </w:pPr>
            <w:r w:rsidRPr="0E74A260">
              <w:rPr>
                <w:rFonts w:eastAsia="Times New Roman" w:cs="Times New Roman"/>
                <w:color w:val="000000" w:themeColor="text1"/>
                <w:sz w:val="22"/>
                <w:szCs w:val="22"/>
              </w:rPr>
              <w:t>$4.250</w:t>
            </w:r>
          </w:p>
        </w:tc>
        <w:tc>
          <w:tcPr>
            <w:tcW w:w="1800" w:type="dxa"/>
            <w:shd w:val="clear" w:color="auto" w:fill="F2F2F2" w:themeFill="background1" w:themeFillShade="F2"/>
          </w:tcPr>
          <w:p w:rsidRPr="001F3BA0" w:rsidR="0075636D" w:rsidP="00BB1078" w:rsidRDefault="0075636D" w14:paraId="1D82B0D5" w14:textId="77777777">
            <w:pPr>
              <w:jc w:val="right"/>
              <w:rPr>
                <w:rFonts w:eastAsia="Times New Roman" w:cs="Times New Roman"/>
                <w:color w:val="000000"/>
                <w:sz w:val="22"/>
                <w:szCs w:val="22"/>
              </w:rPr>
            </w:pPr>
          </w:p>
        </w:tc>
        <w:tc>
          <w:tcPr>
            <w:tcW w:w="1890" w:type="dxa"/>
            <w:shd w:val="clear" w:color="auto" w:fill="auto"/>
            <w:noWrap/>
            <w:vAlign w:val="bottom"/>
            <w:hideMark/>
          </w:tcPr>
          <w:p w:rsidRPr="001F3BA0" w:rsidR="0075636D" w:rsidP="00BB1078" w:rsidRDefault="0075636D" w14:paraId="39C6A316" w14:textId="33A5002B">
            <w:pPr>
              <w:jc w:val="right"/>
              <w:rPr>
                <w:rFonts w:eastAsia="Times New Roman" w:cs="Times New Roman"/>
                <w:color w:val="000000"/>
                <w:sz w:val="22"/>
                <w:szCs w:val="22"/>
              </w:rPr>
            </w:pPr>
            <w:r w:rsidRPr="0E74A260">
              <w:rPr>
                <w:rFonts w:eastAsia="Times New Roman" w:cs="Times New Roman"/>
                <w:color w:val="000000" w:themeColor="text1"/>
                <w:sz w:val="22"/>
                <w:szCs w:val="22"/>
              </w:rPr>
              <w:t>$</w:t>
            </w:r>
            <w:r w:rsidR="00972E86">
              <w:rPr>
                <w:rFonts w:eastAsia="Times New Roman" w:cs="Times New Roman"/>
                <w:color w:val="000000" w:themeColor="text1"/>
                <w:sz w:val="22"/>
                <w:szCs w:val="22"/>
              </w:rPr>
              <w:t>4.250</w:t>
            </w:r>
          </w:p>
        </w:tc>
      </w:tr>
      <w:tr w:rsidRPr="001F3BA0" w:rsidR="0075636D" w:rsidTr="00972E86" w14:paraId="0C7F6945" w14:textId="77777777">
        <w:trPr>
          <w:trHeight w:val="169"/>
          <w:jc w:val="center"/>
        </w:trPr>
        <w:tc>
          <w:tcPr>
            <w:tcW w:w="4639" w:type="dxa"/>
            <w:shd w:val="clear" w:color="auto" w:fill="auto"/>
            <w:vAlign w:val="bottom"/>
            <w:hideMark/>
          </w:tcPr>
          <w:p w:rsidRPr="001F3BA0" w:rsidR="0075636D" w:rsidP="00BB1078" w:rsidRDefault="0075636D" w14:paraId="74DB144D" w14:textId="54E82D7D">
            <w:pPr>
              <w:rPr>
                <w:rFonts w:eastAsia="Times New Roman" w:cs="Times New Roman"/>
                <w:color w:val="000000"/>
                <w:sz w:val="22"/>
                <w:szCs w:val="22"/>
              </w:rPr>
            </w:pPr>
            <w:r w:rsidRPr="0E74A260">
              <w:rPr>
                <w:rFonts w:eastAsia="Times New Roman" w:cs="Times New Roman"/>
                <w:color w:val="000000" w:themeColor="text1"/>
                <w:sz w:val="22"/>
                <w:szCs w:val="22"/>
              </w:rPr>
              <w:t>Customer Rates Tools Updates</w:t>
            </w:r>
          </w:p>
        </w:tc>
        <w:tc>
          <w:tcPr>
            <w:tcW w:w="1478" w:type="dxa"/>
            <w:shd w:val="clear" w:color="auto" w:fill="auto"/>
            <w:vAlign w:val="bottom"/>
          </w:tcPr>
          <w:p w:rsidR="0075636D" w:rsidP="00BB1078" w:rsidRDefault="0075636D" w14:paraId="13A6B4A1" w14:textId="3132DBA4">
            <w:pPr>
              <w:jc w:val="right"/>
              <w:rPr>
                <w:rFonts w:eastAsia="Times New Roman" w:cs="Times New Roman"/>
                <w:color w:val="000000" w:themeColor="text1"/>
                <w:sz w:val="22"/>
                <w:szCs w:val="22"/>
              </w:rPr>
            </w:pPr>
            <w:r w:rsidRPr="0E74A260">
              <w:rPr>
                <w:rFonts w:eastAsia="Times New Roman" w:cs="Times New Roman"/>
                <w:color w:val="000000" w:themeColor="text1"/>
                <w:sz w:val="22"/>
                <w:szCs w:val="22"/>
              </w:rPr>
              <w:t xml:space="preserve"> $0.674 </w:t>
            </w:r>
          </w:p>
        </w:tc>
        <w:tc>
          <w:tcPr>
            <w:tcW w:w="1800" w:type="dxa"/>
            <w:shd w:val="clear" w:color="auto" w:fill="F2F2F2" w:themeFill="background1" w:themeFillShade="F2"/>
          </w:tcPr>
          <w:p w:rsidRPr="001F3BA0" w:rsidR="0075636D" w:rsidP="00BB1078" w:rsidRDefault="0075636D" w14:paraId="7D6C3244" w14:textId="77777777">
            <w:pPr>
              <w:jc w:val="right"/>
              <w:rPr>
                <w:rFonts w:eastAsia="Times New Roman" w:cs="Times New Roman"/>
                <w:color w:val="000000"/>
                <w:sz w:val="22"/>
                <w:szCs w:val="22"/>
              </w:rPr>
            </w:pPr>
          </w:p>
        </w:tc>
        <w:tc>
          <w:tcPr>
            <w:tcW w:w="1890" w:type="dxa"/>
            <w:noWrap/>
            <w:vAlign w:val="bottom"/>
            <w:hideMark/>
          </w:tcPr>
          <w:p w:rsidRPr="001F3BA0" w:rsidR="0075636D" w:rsidP="00BB1078" w:rsidRDefault="0075636D" w14:paraId="3AD15A3B" w14:textId="3D566278">
            <w:pPr>
              <w:jc w:val="right"/>
              <w:rPr>
                <w:rFonts w:eastAsia="Times New Roman" w:cs="Times New Roman"/>
                <w:color w:val="000000"/>
                <w:sz w:val="22"/>
                <w:szCs w:val="22"/>
              </w:rPr>
            </w:pPr>
            <w:r w:rsidRPr="0E74A260">
              <w:rPr>
                <w:rFonts w:eastAsia="Times New Roman" w:cs="Times New Roman"/>
                <w:color w:val="000000" w:themeColor="text1"/>
                <w:sz w:val="22"/>
                <w:szCs w:val="22"/>
              </w:rPr>
              <w:t xml:space="preserve"> $0.</w:t>
            </w:r>
            <w:r w:rsidR="00972E86">
              <w:rPr>
                <w:rFonts w:eastAsia="Times New Roman" w:cs="Times New Roman"/>
                <w:color w:val="000000" w:themeColor="text1"/>
                <w:sz w:val="22"/>
                <w:szCs w:val="22"/>
              </w:rPr>
              <w:t>674</w:t>
            </w:r>
          </w:p>
        </w:tc>
      </w:tr>
      <w:tr w:rsidRPr="001F3BA0" w:rsidR="0075636D" w:rsidTr="00972E86" w14:paraId="5BBB2D53" w14:textId="77777777">
        <w:trPr>
          <w:trHeight w:val="295"/>
          <w:jc w:val="center"/>
        </w:trPr>
        <w:tc>
          <w:tcPr>
            <w:tcW w:w="4639" w:type="dxa"/>
            <w:shd w:val="clear" w:color="auto" w:fill="auto"/>
            <w:vAlign w:val="bottom"/>
            <w:hideMark/>
          </w:tcPr>
          <w:p w:rsidRPr="001F3BA0" w:rsidR="0075636D" w:rsidP="00BB1078" w:rsidRDefault="0075636D" w14:paraId="0EF63BC2" w14:textId="77777777">
            <w:pPr>
              <w:rPr>
                <w:rFonts w:eastAsia="Times New Roman" w:cs="Times New Roman"/>
                <w:color w:val="000000"/>
                <w:sz w:val="22"/>
                <w:szCs w:val="22"/>
              </w:rPr>
            </w:pPr>
            <w:r w:rsidRPr="0E74A260">
              <w:rPr>
                <w:rFonts w:eastAsia="Times New Roman" w:cs="Times New Roman"/>
                <w:color w:val="000000" w:themeColor="text1"/>
                <w:sz w:val="22"/>
                <w:szCs w:val="22"/>
              </w:rPr>
              <w:t>Customer Support (Contact Center)</w:t>
            </w:r>
          </w:p>
        </w:tc>
        <w:tc>
          <w:tcPr>
            <w:tcW w:w="1478" w:type="dxa"/>
            <w:shd w:val="clear" w:color="auto" w:fill="auto"/>
            <w:vAlign w:val="bottom"/>
          </w:tcPr>
          <w:p w:rsidR="0075636D" w:rsidP="00BB1078" w:rsidRDefault="0075636D" w14:paraId="175F4417" w14:textId="6199E783">
            <w:pPr>
              <w:jc w:val="right"/>
              <w:rPr>
                <w:rFonts w:eastAsia="Times New Roman" w:cs="Times New Roman"/>
                <w:color w:val="000000" w:themeColor="text1"/>
                <w:sz w:val="22"/>
                <w:szCs w:val="22"/>
              </w:rPr>
            </w:pPr>
            <w:r w:rsidRPr="0E74A260">
              <w:rPr>
                <w:rFonts w:eastAsia="Times New Roman" w:cs="Times New Roman"/>
                <w:color w:val="000000" w:themeColor="text1"/>
                <w:sz w:val="22"/>
                <w:szCs w:val="22"/>
              </w:rPr>
              <w:t xml:space="preserve"> $2.833 </w:t>
            </w:r>
          </w:p>
        </w:tc>
        <w:tc>
          <w:tcPr>
            <w:tcW w:w="1800" w:type="dxa"/>
            <w:shd w:val="clear" w:color="auto" w:fill="F2F2F2" w:themeFill="background1" w:themeFillShade="F2"/>
          </w:tcPr>
          <w:p w:rsidRPr="001F3BA0" w:rsidR="0075636D" w:rsidP="00BB1078" w:rsidRDefault="0075636D" w14:paraId="3CC3EC30" w14:textId="77777777">
            <w:pPr>
              <w:jc w:val="right"/>
              <w:rPr>
                <w:rFonts w:eastAsia="Times New Roman" w:cs="Times New Roman"/>
                <w:color w:val="000000"/>
                <w:sz w:val="22"/>
                <w:szCs w:val="22"/>
              </w:rPr>
            </w:pPr>
          </w:p>
        </w:tc>
        <w:tc>
          <w:tcPr>
            <w:tcW w:w="1890" w:type="dxa"/>
            <w:noWrap/>
            <w:vAlign w:val="bottom"/>
            <w:hideMark/>
          </w:tcPr>
          <w:p w:rsidRPr="001F3BA0" w:rsidR="0075636D" w:rsidP="00BB1078" w:rsidRDefault="0075636D" w14:paraId="4348D25E" w14:textId="32A15CDA">
            <w:pPr>
              <w:jc w:val="right"/>
              <w:rPr>
                <w:rFonts w:eastAsia="Times New Roman" w:cs="Times New Roman"/>
                <w:color w:val="000000"/>
                <w:sz w:val="22"/>
                <w:szCs w:val="22"/>
              </w:rPr>
            </w:pPr>
            <w:r w:rsidRPr="0E74A260">
              <w:rPr>
                <w:rFonts w:eastAsia="Times New Roman" w:cs="Times New Roman"/>
                <w:color w:val="000000" w:themeColor="text1"/>
                <w:sz w:val="22"/>
                <w:szCs w:val="22"/>
              </w:rPr>
              <w:t xml:space="preserve"> $</w:t>
            </w:r>
            <w:r w:rsidR="00972E86">
              <w:rPr>
                <w:rFonts w:eastAsia="Times New Roman" w:cs="Times New Roman"/>
                <w:color w:val="000000" w:themeColor="text1"/>
                <w:sz w:val="22"/>
                <w:szCs w:val="22"/>
              </w:rPr>
              <w:t>2.833</w:t>
            </w:r>
          </w:p>
        </w:tc>
      </w:tr>
      <w:tr w:rsidRPr="001F3BA0" w:rsidR="0075636D" w:rsidTr="00972E86" w14:paraId="23BD24E9" w14:textId="77777777">
        <w:trPr>
          <w:trHeight w:val="133"/>
          <w:jc w:val="center"/>
        </w:trPr>
        <w:tc>
          <w:tcPr>
            <w:tcW w:w="4639" w:type="dxa"/>
            <w:shd w:val="clear" w:color="auto" w:fill="auto"/>
            <w:vAlign w:val="bottom"/>
            <w:hideMark/>
          </w:tcPr>
          <w:p w:rsidRPr="001F3BA0" w:rsidR="0075636D" w:rsidP="00BB1078" w:rsidRDefault="0075636D" w14:paraId="36C6A670" w14:textId="77777777">
            <w:pPr>
              <w:rPr>
                <w:rFonts w:eastAsia="Times New Roman" w:cs="Times New Roman"/>
                <w:color w:val="000000"/>
                <w:sz w:val="22"/>
                <w:szCs w:val="22"/>
              </w:rPr>
            </w:pPr>
            <w:r w:rsidRPr="0E74A260">
              <w:rPr>
                <w:rFonts w:eastAsia="Times New Roman" w:cs="Times New Roman"/>
                <w:color w:val="000000" w:themeColor="text1"/>
                <w:sz w:val="22"/>
                <w:szCs w:val="22"/>
              </w:rPr>
              <w:t>Program and Product Management</w:t>
            </w:r>
          </w:p>
        </w:tc>
        <w:tc>
          <w:tcPr>
            <w:tcW w:w="1478" w:type="dxa"/>
            <w:shd w:val="clear" w:color="auto" w:fill="auto"/>
            <w:vAlign w:val="bottom"/>
          </w:tcPr>
          <w:p w:rsidR="0075636D" w:rsidP="00BB1078" w:rsidRDefault="0075636D" w14:paraId="7DEBF5FE" w14:textId="77777777">
            <w:pPr>
              <w:jc w:val="right"/>
              <w:rPr>
                <w:rFonts w:eastAsia="Times New Roman" w:cs="Times New Roman"/>
                <w:color w:val="000000" w:themeColor="text1"/>
                <w:sz w:val="22"/>
                <w:szCs w:val="22"/>
              </w:rPr>
            </w:pPr>
            <w:r w:rsidRPr="0E74A260">
              <w:rPr>
                <w:rFonts w:eastAsia="Times New Roman" w:cs="Times New Roman"/>
                <w:color w:val="000000" w:themeColor="text1"/>
                <w:sz w:val="22"/>
                <w:szCs w:val="22"/>
              </w:rPr>
              <w:t xml:space="preserve"> $0.550 </w:t>
            </w:r>
          </w:p>
        </w:tc>
        <w:tc>
          <w:tcPr>
            <w:tcW w:w="1800" w:type="dxa"/>
            <w:shd w:val="clear" w:color="auto" w:fill="F2F2F2" w:themeFill="background1" w:themeFillShade="F2"/>
          </w:tcPr>
          <w:p w:rsidRPr="001F3BA0" w:rsidR="0075636D" w:rsidP="00BB1078" w:rsidRDefault="0075636D" w14:paraId="60491346" w14:textId="77777777">
            <w:pPr>
              <w:jc w:val="right"/>
              <w:rPr>
                <w:rFonts w:eastAsia="Times New Roman" w:cs="Times New Roman"/>
                <w:color w:val="000000"/>
                <w:sz w:val="22"/>
                <w:szCs w:val="22"/>
              </w:rPr>
            </w:pPr>
          </w:p>
        </w:tc>
        <w:tc>
          <w:tcPr>
            <w:tcW w:w="1890" w:type="dxa"/>
            <w:noWrap/>
            <w:vAlign w:val="bottom"/>
            <w:hideMark/>
          </w:tcPr>
          <w:p w:rsidRPr="001F3BA0" w:rsidR="0075636D" w:rsidP="00BB1078" w:rsidRDefault="0075636D" w14:paraId="6E7543F6" w14:textId="3AF0C5B9">
            <w:pPr>
              <w:jc w:val="right"/>
              <w:rPr>
                <w:rFonts w:eastAsia="Times New Roman" w:cs="Times New Roman"/>
                <w:color w:val="000000"/>
                <w:sz w:val="22"/>
                <w:szCs w:val="22"/>
              </w:rPr>
            </w:pPr>
            <w:r w:rsidRPr="0E74A260">
              <w:rPr>
                <w:rFonts w:eastAsia="Times New Roman" w:cs="Times New Roman"/>
                <w:color w:val="000000" w:themeColor="text1"/>
                <w:sz w:val="22"/>
                <w:szCs w:val="22"/>
              </w:rPr>
              <w:t xml:space="preserve"> $0.550</w:t>
            </w:r>
          </w:p>
        </w:tc>
      </w:tr>
      <w:tr w:rsidRPr="001F3BA0" w:rsidR="0075636D" w:rsidTr="00972E86" w14:paraId="2521E776" w14:textId="77777777">
        <w:trPr>
          <w:trHeight w:val="345"/>
          <w:jc w:val="center"/>
        </w:trPr>
        <w:tc>
          <w:tcPr>
            <w:tcW w:w="4639" w:type="dxa"/>
            <w:shd w:val="clear" w:color="auto" w:fill="auto"/>
            <w:vAlign w:val="bottom"/>
          </w:tcPr>
          <w:p w:rsidRPr="001F3BA0" w:rsidR="0075636D" w:rsidP="00BB1078" w:rsidRDefault="0075636D" w14:paraId="2A3DD1E4" w14:textId="77777777">
            <w:pPr>
              <w:rPr>
                <w:rFonts w:eastAsia="Times New Roman" w:cs="Times New Roman"/>
                <w:color w:val="000000"/>
                <w:sz w:val="22"/>
                <w:szCs w:val="22"/>
              </w:rPr>
            </w:pPr>
            <w:r w:rsidRPr="0E74A260">
              <w:rPr>
                <w:rFonts w:eastAsia="Times New Roman" w:cs="Times New Roman"/>
                <w:color w:val="000000" w:themeColor="text1"/>
                <w:sz w:val="22"/>
                <w:szCs w:val="22"/>
              </w:rPr>
              <w:t>DRAH Implementation</w:t>
            </w:r>
          </w:p>
        </w:tc>
        <w:tc>
          <w:tcPr>
            <w:tcW w:w="1478" w:type="dxa"/>
            <w:shd w:val="clear" w:color="auto" w:fill="F2F2F2" w:themeFill="background1" w:themeFillShade="F2"/>
            <w:vAlign w:val="bottom"/>
          </w:tcPr>
          <w:p w:rsidR="0075636D" w:rsidP="00BB1078" w:rsidRDefault="0075636D" w14:paraId="20A9EA1A" w14:textId="77777777">
            <w:pPr>
              <w:jc w:val="right"/>
              <w:rPr>
                <w:rFonts w:eastAsia="Times New Roman" w:cs="Times New Roman"/>
                <w:color w:val="000000" w:themeColor="text1"/>
                <w:sz w:val="22"/>
                <w:szCs w:val="22"/>
              </w:rPr>
            </w:pPr>
          </w:p>
        </w:tc>
        <w:tc>
          <w:tcPr>
            <w:tcW w:w="1800" w:type="dxa"/>
          </w:tcPr>
          <w:p w:rsidRPr="001F3BA0" w:rsidR="0075636D" w:rsidP="00BB1078" w:rsidRDefault="0075636D" w14:paraId="3186ABDB" w14:textId="7C0637AD">
            <w:pPr>
              <w:jc w:val="right"/>
              <w:rPr>
                <w:rFonts w:eastAsia="Times New Roman" w:cs="Times New Roman"/>
                <w:color w:val="000000"/>
                <w:sz w:val="22"/>
                <w:szCs w:val="22"/>
              </w:rPr>
            </w:pPr>
            <w:r w:rsidRPr="0E74A260">
              <w:rPr>
                <w:rFonts w:eastAsia="Times New Roman" w:cs="Times New Roman"/>
                <w:color w:val="000000" w:themeColor="text1"/>
                <w:sz w:val="22"/>
                <w:szCs w:val="22"/>
              </w:rPr>
              <w:t>$0.766</w:t>
            </w:r>
          </w:p>
        </w:tc>
        <w:tc>
          <w:tcPr>
            <w:tcW w:w="1890" w:type="dxa"/>
            <w:shd w:val="clear" w:color="auto" w:fill="auto"/>
            <w:noWrap/>
          </w:tcPr>
          <w:p w:rsidRPr="001F3BA0" w:rsidR="0075636D" w:rsidP="00BB1078" w:rsidRDefault="0075636D" w14:paraId="167BC42E" w14:textId="719A62AD">
            <w:pPr>
              <w:jc w:val="right"/>
              <w:rPr>
                <w:rFonts w:eastAsia="Times New Roman" w:cs="Times New Roman"/>
                <w:color w:val="000000"/>
                <w:sz w:val="22"/>
                <w:szCs w:val="22"/>
              </w:rPr>
            </w:pPr>
            <w:r w:rsidRPr="0E74A260">
              <w:rPr>
                <w:rFonts w:eastAsia="Times New Roman" w:cs="Times New Roman"/>
                <w:color w:val="000000" w:themeColor="text1"/>
                <w:sz w:val="22"/>
                <w:szCs w:val="22"/>
              </w:rPr>
              <w:t>$0.766</w:t>
            </w:r>
          </w:p>
        </w:tc>
      </w:tr>
      <w:tr w:rsidRPr="001F3BA0" w:rsidR="0075636D" w:rsidTr="00972E86" w14:paraId="79A05F62" w14:textId="77777777">
        <w:trPr>
          <w:trHeight w:val="345"/>
          <w:jc w:val="center"/>
        </w:trPr>
        <w:tc>
          <w:tcPr>
            <w:tcW w:w="4639" w:type="dxa"/>
            <w:shd w:val="clear" w:color="auto" w:fill="auto"/>
            <w:vAlign w:val="bottom"/>
            <w:hideMark/>
          </w:tcPr>
          <w:p w:rsidRPr="001F3BA0" w:rsidR="0075636D" w:rsidP="00BB1078" w:rsidRDefault="0075636D" w14:paraId="20B97009" w14:textId="77777777">
            <w:pPr>
              <w:rPr>
                <w:rFonts w:eastAsia="Times New Roman" w:cs="Times New Roman"/>
                <w:color w:val="000000"/>
                <w:sz w:val="22"/>
                <w:szCs w:val="22"/>
              </w:rPr>
            </w:pPr>
            <w:r w:rsidRPr="0E74A260">
              <w:rPr>
                <w:rFonts w:eastAsia="Times New Roman" w:cs="Times New Roman"/>
                <w:color w:val="000000" w:themeColor="text1"/>
                <w:sz w:val="22"/>
                <w:szCs w:val="22"/>
              </w:rPr>
              <w:t>ME&amp;O</w:t>
            </w:r>
          </w:p>
        </w:tc>
        <w:tc>
          <w:tcPr>
            <w:tcW w:w="1478" w:type="dxa"/>
            <w:shd w:val="clear" w:color="auto" w:fill="F2F2F2" w:themeFill="background1" w:themeFillShade="F2"/>
            <w:vAlign w:val="bottom"/>
          </w:tcPr>
          <w:p w:rsidR="0075636D" w:rsidP="00BB1078" w:rsidRDefault="0075636D" w14:paraId="050BDEC4" w14:textId="77777777">
            <w:pPr>
              <w:jc w:val="right"/>
              <w:rPr>
                <w:rFonts w:eastAsia="Times New Roman" w:cs="Times New Roman"/>
                <w:color w:val="000000" w:themeColor="text1"/>
                <w:sz w:val="22"/>
                <w:szCs w:val="22"/>
              </w:rPr>
            </w:pPr>
          </w:p>
        </w:tc>
        <w:tc>
          <w:tcPr>
            <w:tcW w:w="1800" w:type="dxa"/>
          </w:tcPr>
          <w:p w:rsidRPr="001F3BA0" w:rsidR="0075636D" w:rsidP="00BB1078" w:rsidRDefault="0075636D" w14:paraId="336DC259" w14:textId="149E82B4">
            <w:pPr>
              <w:jc w:val="right"/>
              <w:rPr>
                <w:rFonts w:eastAsia="Times New Roman" w:cs="Times New Roman"/>
                <w:color w:val="000000"/>
                <w:sz w:val="22"/>
                <w:szCs w:val="22"/>
              </w:rPr>
            </w:pPr>
            <w:r w:rsidRPr="0E74A260">
              <w:rPr>
                <w:rFonts w:eastAsia="Times New Roman" w:cs="Times New Roman"/>
                <w:color w:val="000000" w:themeColor="text1"/>
                <w:sz w:val="22"/>
                <w:szCs w:val="22"/>
              </w:rPr>
              <w:t>$</w:t>
            </w:r>
            <w:r w:rsidRPr="0E74A260" w:rsidR="00BB1078">
              <w:rPr>
                <w:rFonts w:eastAsia="Times New Roman" w:cs="Times New Roman"/>
                <w:color w:val="000000" w:themeColor="text1"/>
                <w:sz w:val="22"/>
                <w:szCs w:val="22"/>
              </w:rPr>
              <w:t>3.197</w:t>
            </w:r>
          </w:p>
        </w:tc>
        <w:tc>
          <w:tcPr>
            <w:tcW w:w="1890" w:type="dxa"/>
            <w:shd w:val="clear" w:color="auto" w:fill="auto"/>
            <w:noWrap/>
            <w:hideMark/>
          </w:tcPr>
          <w:p w:rsidRPr="001F3BA0" w:rsidR="0075636D" w:rsidP="00BB1078" w:rsidRDefault="0075636D" w14:paraId="14C58C34" w14:textId="60F9A099">
            <w:pPr>
              <w:jc w:val="right"/>
              <w:rPr>
                <w:rFonts w:eastAsia="Times New Roman" w:cs="Times New Roman"/>
                <w:color w:val="000000"/>
                <w:sz w:val="22"/>
                <w:szCs w:val="22"/>
              </w:rPr>
            </w:pPr>
            <w:r w:rsidRPr="0E74A260">
              <w:rPr>
                <w:rFonts w:eastAsia="Times New Roman" w:cs="Times New Roman"/>
                <w:color w:val="000000" w:themeColor="text1"/>
                <w:sz w:val="22"/>
                <w:szCs w:val="22"/>
              </w:rPr>
              <w:t>$</w:t>
            </w:r>
            <w:r w:rsidRPr="0E74A260" w:rsidR="00BB1078">
              <w:rPr>
                <w:rFonts w:eastAsia="Times New Roman" w:cs="Times New Roman"/>
                <w:color w:val="000000" w:themeColor="text1"/>
                <w:sz w:val="22"/>
                <w:szCs w:val="22"/>
              </w:rPr>
              <w:t>3.197</w:t>
            </w:r>
          </w:p>
        </w:tc>
      </w:tr>
      <w:tr w:rsidRPr="001F3BA0" w:rsidR="0075636D" w:rsidTr="00972E86" w14:paraId="792078F6" w14:textId="77777777">
        <w:trPr>
          <w:trHeight w:val="360"/>
          <w:jc w:val="center"/>
        </w:trPr>
        <w:tc>
          <w:tcPr>
            <w:tcW w:w="4639" w:type="dxa"/>
            <w:shd w:val="clear" w:color="auto" w:fill="auto"/>
            <w:noWrap/>
            <w:vAlign w:val="bottom"/>
            <w:hideMark/>
          </w:tcPr>
          <w:p w:rsidRPr="001F3BA0" w:rsidR="0075636D" w:rsidP="00BB1078" w:rsidRDefault="0075636D" w14:paraId="18783128" w14:textId="77777777">
            <w:pPr>
              <w:jc w:val="right"/>
              <w:rPr>
                <w:rFonts w:eastAsia="Times New Roman" w:cs="Times New Roman"/>
                <w:b/>
                <w:bCs/>
                <w:color w:val="000000"/>
                <w:sz w:val="22"/>
                <w:szCs w:val="22"/>
              </w:rPr>
            </w:pPr>
            <w:r w:rsidRPr="0E74A260">
              <w:rPr>
                <w:rFonts w:eastAsia="Times New Roman" w:cs="Times New Roman"/>
                <w:b/>
                <w:color w:val="000000" w:themeColor="text1"/>
                <w:sz w:val="22"/>
                <w:szCs w:val="22"/>
              </w:rPr>
              <w:t>Total</w:t>
            </w:r>
          </w:p>
        </w:tc>
        <w:tc>
          <w:tcPr>
            <w:tcW w:w="1478" w:type="dxa"/>
            <w:shd w:val="clear" w:color="auto" w:fill="auto"/>
            <w:vAlign w:val="bottom"/>
          </w:tcPr>
          <w:p w:rsidR="0075636D" w:rsidP="00BB1078" w:rsidRDefault="0075636D" w14:paraId="56029D6D" w14:textId="6C0E4EA5">
            <w:pPr>
              <w:jc w:val="right"/>
              <w:rPr>
                <w:rFonts w:eastAsia="Times New Roman" w:cs="Times New Roman"/>
                <w:b/>
                <w:bCs/>
                <w:color w:val="000000" w:themeColor="text1"/>
                <w:sz w:val="22"/>
                <w:szCs w:val="22"/>
              </w:rPr>
            </w:pPr>
            <w:r>
              <w:rPr>
                <w:rFonts w:eastAsia="Times New Roman" w:cs="Times New Roman"/>
                <w:b/>
                <w:bCs/>
                <w:color w:val="000000" w:themeColor="text1"/>
                <w:sz w:val="22"/>
                <w:szCs w:val="22"/>
              </w:rPr>
              <w:t>$8.307</w:t>
            </w:r>
          </w:p>
        </w:tc>
        <w:tc>
          <w:tcPr>
            <w:tcW w:w="1800" w:type="dxa"/>
            <w:shd w:val="clear" w:color="auto" w:fill="auto"/>
          </w:tcPr>
          <w:p w:rsidRPr="001F3BA0" w:rsidR="0075636D" w:rsidP="00BB1078" w:rsidRDefault="0075636D" w14:paraId="3D5E4CE5" w14:textId="622CA9EC">
            <w:pPr>
              <w:jc w:val="right"/>
              <w:rPr>
                <w:rFonts w:eastAsia="Times New Roman" w:cs="Times New Roman"/>
                <w:b/>
                <w:bCs/>
                <w:color w:val="000000"/>
                <w:sz w:val="22"/>
                <w:szCs w:val="22"/>
              </w:rPr>
            </w:pPr>
            <w:r w:rsidRPr="0E74A260">
              <w:rPr>
                <w:rFonts w:eastAsia="Times New Roman" w:cs="Times New Roman"/>
                <w:b/>
                <w:color w:val="000000" w:themeColor="text1"/>
                <w:sz w:val="22"/>
                <w:szCs w:val="22"/>
              </w:rPr>
              <w:t>$</w:t>
            </w:r>
            <w:r w:rsidRPr="0E74A260" w:rsidR="00BB1078">
              <w:rPr>
                <w:rFonts w:eastAsia="Times New Roman" w:cs="Times New Roman"/>
                <w:b/>
                <w:color w:val="000000" w:themeColor="text1"/>
                <w:sz w:val="22"/>
                <w:szCs w:val="22"/>
              </w:rPr>
              <w:t>4</w:t>
            </w:r>
            <w:r w:rsidRPr="0E74A260">
              <w:rPr>
                <w:rFonts w:eastAsia="Times New Roman" w:cs="Times New Roman"/>
                <w:b/>
                <w:color w:val="000000" w:themeColor="text1"/>
                <w:sz w:val="22"/>
                <w:szCs w:val="22"/>
              </w:rPr>
              <w:t>.</w:t>
            </w:r>
            <w:r w:rsidRPr="0E74A260" w:rsidR="00BB1078">
              <w:rPr>
                <w:rFonts w:eastAsia="Times New Roman" w:cs="Times New Roman"/>
                <w:b/>
                <w:bCs/>
                <w:color w:val="000000" w:themeColor="text1"/>
                <w:sz w:val="22"/>
                <w:szCs w:val="22"/>
              </w:rPr>
              <w:t>00</w:t>
            </w:r>
            <w:r w:rsidR="00972E86">
              <w:rPr>
                <w:rFonts w:eastAsia="Times New Roman" w:cs="Times New Roman"/>
                <w:b/>
                <w:bCs/>
                <w:color w:val="000000" w:themeColor="text1"/>
                <w:sz w:val="22"/>
                <w:szCs w:val="22"/>
              </w:rPr>
              <w:t>3</w:t>
            </w:r>
          </w:p>
        </w:tc>
        <w:tc>
          <w:tcPr>
            <w:tcW w:w="1890" w:type="dxa"/>
            <w:noWrap/>
            <w:vAlign w:val="bottom"/>
            <w:hideMark/>
          </w:tcPr>
          <w:p w:rsidRPr="001F3BA0" w:rsidR="0075636D" w:rsidP="00BB1078" w:rsidRDefault="0075636D" w14:paraId="65B8AF0D" w14:textId="126B4C34">
            <w:pPr>
              <w:jc w:val="right"/>
              <w:rPr>
                <w:rFonts w:eastAsia="Times New Roman" w:cs="Times New Roman"/>
                <w:b/>
                <w:bCs/>
                <w:color w:val="000000"/>
                <w:sz w:val="22"/>
                <w:szCs w:val="22"/>
              </w:rPr>
            </w:pPr>
            <w:r w:rsidRPr="0E74A260">
              <w:rPr>
                <w:rFonts w:eastAsia="Times New Roman" w:cs="Times New Roman"/>
                <w:b/>
                <w:color w:val="000000" w:themeColor="text1"/>
                <w:sz w:val="22"/>
                <w:szCs w:val="22"/>
              </w:rPr>
              <w:t xml:space="preserve"> $ 1</w:t>
            </w:r>
            <w:r w:rsidRPr="0E74A260" w:rsidR="00BB1078">
              <w:rPr>
                <w:rFonts w:eastAsia="Times New Roman" w:cs="Times New Roman"/>
                <w:b/>
                <w:color w:val="000000" w:themeColor="text1"/>
                <w:sz w:val="22"/>
                <w:szCs w:val="22"/>
              </w:rPr>
              <w:t>2.</w:t>
            </w:r>
            <w:r w:rsidRPr="0E74A260" w:rsidR="00BB1078">
              <w:rPr>
                <w:rFonts w:eastAsia="Times New Roman" w:cs="Times New Roman"/>
                <w:b/>
                <w:bCs/>
                <w:color w:val="000000" w:themeColor="text1"/>
                <w:sz w:val="22"/>
                <w:szCs w:val="22"/>
              </w:rPr>
              <w:t>3</w:t>
            </w:r>
            <w:r w:rsidR="00972E86">
              <w:rPr>
                <w:rFonts w:eastAsia="Times New Roman" w:cs="Times New Roman"/>
                <w:b/>
                <w:bCs/>
                <w:color w:val="000000" w:themeColor="text1"/>
                <w:sz w:val="22"/>
                <w:szCs w:val="22"/>
              </w:rPr>
              <w:t>10</w:t>
            </w:r>
          </w:p>
        </w:tc>
      </w:tr>
    </w:tbl>
    <w:p w:rsidRPr="00D865A9" w:rsidR="009A06D0" w:rsidP="00F22803" w:rsidRDefault="009A06D0" w14:paraId="711F2A16" w14:textId="77777777"/>
    <w:p w:rsidRPr="00D865A9" w:rsidR="00BD6FF5" w:rsidP="005B3461" w:rsidRDefault="00CF17DE" w14:paraId="70C625F7" w14:textId="049AE489">
      <w:pPr>
        <w:pStyle w:val="Heading1"/>
      </w:pPr>
      <w:r w:rsidRPr="00D865A9">
        <w:t>Comments</w:t>
      </w:r>
    </w:p>
    <w:p w:rsidRPr="00D865A9" w:rsidR="00090457" w:rsidP="00F22803" w:rsidRDefault="00090457" w14:paraId="029F8842" w14:textId="01ADC8C1">
      <w:r w:rsidRPr="00D865A9">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 </w:t>
      </w:r>
    </w:p>
    <w:p w:rsidRPr="00D865A9" w:rsidR="0024459D" w:rsidP="00F22803" w:rsidRDefault="0024459D" w14:paraId="1030F211" w14:textId="77777777"/>
    <w:p w:rsidRPr="00D865A9" w:rsidR="0024459D" w:rsidP="00F22803" w:rsidRDefault="05D1E6B4" w14:paraId="61CFBDEF" w14:textId="7BDD7AE0">
      <w:r>
        <w:t>The 30-day review and 20-day comment period for the draft of this resolution was neither waived nor reduced. Accordingly, this draft resolution was mailed to parties for comments</w:t>
      </w:r>
      <w:r w:rsidR="41D8CFE5">
        <w:t xml:space="preserve"> </w:t>
      </w:r>
      <w:r>
        <w:t>and will be placed on the Commission's agenda no earlier than 30 days from today."</w:t>
      </w:r>
    </w:p>
    <w:p w:rsidRPr="00D865A9" w:rsidR="0086452F" w:rsidP="00F22803" w:rsidRDefault="0086452F" w14:paraId="04DE5F32" w14:textId="77777777"/>
    <w:p w:rsidRPr="005A7533" w:rsidR="130730EC" w:rsidP="7A143A03" w:rsidRDefault="19FDD2EE" w14:paraId="14FA99C6" w14:textId="443560EF">
      <w:pPr>
        <w:rPr>
          <w:b/>
          <w:bCs/>
          <w:u w:val="single"/>
        </w:rPr>
      </w:pPr>
      <w:r w:rsidRPr="7A143A03">
        <w:rPr>
          <w:b/>
          <w:bCs/>
          <w:u w:val="single"/>
        </w:rPr>
        <w:t>Party Comments on the Draft Resolution</w:t>
      </w:r>
    </w:p>
    <w:p w:rsidR="3AEB383D" w:rsidRDefault="3AEB383D" w14:paraId="06FF31D3" w14:textId="2A7E5A88"/>
    <w:p w:rsidR="0094410D" w:rsidP="354F0DB4" w:rsidRDefault="446898CD" w14:paraId="08749FDB" w14:textId="3508AADC">
      <w:r>
        <w:t>We received comments on Draft Resolution E-5355 on December 5, 2024, from SDG&amp;E, SEIA, C4AT, and the Western Manufactured Housing Communities Association (WMA)</w:t>
      </w:r>
      <w:r w:rsidR="509F0906">
        <w:t xml:space="preserve"> </w:t>
      </w:r>
      <w:r w:rsidR="0070456F">
        <w:t>regarding</w:t>
      </w:r>
      <w:r w:rsidR="509F0906">
        <w:t xml:space="preserve"> (1) rate design; (2) tier assignment, including DRAH implementation;</w:t>
      </w:r>
      <w:r w:rsidR="21C2386A">
        <w:t xml:space="preserve"> (3) </w:t>
      </w:r>
      <w:r w:rsidR="509F0906">
        <w:t>and the proposed ME&amp;O plan</w:t>
      </w:r>
      <w:r>
        <w:t>.</w:t>
      </w:r>
    </w:p>
    <w:p w:rsidR="0094410D" w:rsidP="354F0DB4" w:rsidRDefault="0094410D" w14:paraId="2342F4B5" w14:textId="77777777">
      <w:pPr>
        <w:rPr>
          <w:u w:val="single"/>
        </w:rPr>
      </w:pPr>
    </w:p>
    <w:p w:rsidRPr="00E21E5F" w:rsidR="00453DDF" w:rsidP="354F0DB4" w:rsidRDefault="4386DEE3" w14:paraId="71A7B3F2" w14:textId="77777777">
      <w:pPr>
        <w:rPr>
          <w:b/>
          <w:bCs/>
          <w:u w:val="single"/>
        </w:rPr>
      </w:pPr>
      <w:r w:rsidRPr="59891145">
        <w:rPr>
          <w:b/>
          <w:bCs/>
          <w:u w:val="single"/>
        </w:rPr>
        <w:t>SDG&amp;E’s Comments</w:t>
      </w:r>
    </w:p>
    <w:p w:rsidR="00453DDF" w:rsidP="59891145" w:rsidRDefault="00453DDF" w14:paraId="51A4CDD7" w14:textId="235BD011">
      <w:pPr>
        <w:rPr>
          <w:b/>
          <w:bCs/>
          <w:u w:val="single"/>
        </w:rPr>
      </w:pPr>
    </w:p>
    <w:p w:rsidR="00453DDF" w:rsidP="354F0DB4" w:rsidRDefault="00453DDF" w14:paraId="55EC4308" w14:textId="5879BF18">
      <w:pPr>
        <w:rPr>
          <w:b/>
          <w:bCs/>
        </w:rPr>
      </w:pPr>
      <w:r w:rsidRPr="59891145">
        <w:rPr>
          <w:b/>
          <w:bCs/>
        </w:rPr>
        <w:t>Rate Design</w:t>
      </w:r>
    </w:p>
    <w:p w:rsidR="00E21E5F" w:rsidP="7A143A03" w:rsidRDefault="0A1E6E32" w14:paraId="00075F2E" w14:textId="4CC249C8">
      <w:r>
        <w:t>SDG&amp;E proposed to convert the monthly fixed charge into a flat daily fixed charge</w:t>
      </w:r>
      <w:r w:rsidR="7F6C4EA1">
        <w:t>,</w:t>
      </w:r>
      <w:r>
        <w:t xml:space="preserve"> arguing that doing so would be a more straightforward concept for customers to understand, result in a more fair and accurate annual amount for customers, more closely approximate annual fixed charges for customers, and align with current system constraints.</w:t>
      </w:r>
      <w:r w:rsidRPr="1728241C" w:rsidR="00E21E5F">
        <w:rPr>
          <w:rStyle w:val="FootnoteReference"/>
        </w:rPr>
        <w:footnoteReference w:id="208"/>
      </w:r>
      <w:r>
        <w:t xml:space="preserve"> SDG&amp;E demonstrated how each of the three fixed charge Tiers would be calculated as daily charges ($/day). SDG&amp;E argued that this approach aligned with PG&amp;E’s proposed presentation of the fixed charge in </w:t>
      </w:r>
      <w:r w:rsidR="7BE19631">
        <w:t xml:space="preserve">PG&amp;E </w:t>
      </w:r>
      <w:r>
        <w:t>AL 7351-E as well as SCE’s proposed implementation.</w:t>
      </w:r>
      <w:r w:rsidRPr="1728241C" w:rsidR="00E21E5F">
        <w:rPr>
          <w:rStyle w:val="FootnoteReference"/>
        </w:rPr>
        <w:footnoteReference w:id="209"/>
      </w:r>
    </w:p>
    <w:p w:rsidRPr="00D865A9" w:rsidR="00E21E5F" w:rsidP="00E21E5F" w:rsidRDefault="00E21E5F" w14:paraId="35DB2514" w14:textId="77777777"/>
    <w:p w:rsidR="00E21E5F" w:rsidP="7A143A03" w:rsidRDefault="008C7A33" w14:paraId="332A410A" w14:textId="53DC2109">
      <w:r>
        <w:t>This</w:t>
      </w:r>
      <w:r w:rsidRPr="7A143A03" w:rsidR="0A1E6E32">
        <w:t xml:space="preserve"> suggestion from SDG&amp;E </w:t>
      </w:r>
      <w:r>
        <w:t>has the potential to be</w:t>
      </w:r>
      <w:r w:rsidR="0A1E6E32">
        <w:t xml:space="preserve"> </w:t>
      </w:r>
      <w:r w:rsidRPr="7A143A03" w:rsidR="0A1E6E32">
        <w:t>beneficial to ratepayers</w:t>
      </w:r>
      <w:r w:rsidR="0A1E6E32">
        <w:t>.</w:t>
      </w:r>
      <w:r w:rsidRPr="7A143A03" w:rsidR="0A1E6E32">
        <w:t xml:space="preserve"> However, this suggestion was not outlined in AL 4492-E and was only introduced in comments to the Draft Resolution. As a result, we </w:t>
      </w:r>
      <w:r w:rsidRPr="7A143A03" w:rsidR="3E8DFB43">
        <w:t xml:space="preserve">encourage </w:t>
      </w:r>
      <w:r w:rsidRPr="7A143A03" w:rsidR="0A1E6E32">
        <w:t xml:space="preserve">SDG&amp;E to submit a proposal to administer the fixed charge as a daily fixed charge in </w:t>
      </w:r>
      <w:r w:rsidRPr="7A143A03" w:rsidR="0A18B19C">
        <w:t>the</w:t>
      </w:r>
      <w:r w:rsidRPr="7A143A03" w:rsidR="0A1E6E32">
        <w:t xml:space="preserve"> Tier 2 </w:t>
      </w:r>
      <w:r w:rsidRPr="7A143A03" w:rsidR="57C81B8D">
        <w:t>AL</w:t>
      </w:r>
      <w:r w:rsidRPr="7A143A03" w:rsidR="0A1E6E32">
        <w:t xml:space="preserve"> </w:t>
      </w:r>
      <w:r w:rsidRPr="7A143A03" w:rsidR="0A18B19C">
        <w:t xml:space="preserve">that </w:t>
      </w:r>
      <w:r w:rsidRPr="7A143A03" w:rsidR="3F7C248C">
        <w:t>it is</w:t>
      </w:r>
      <w:r w:rsidRPr="7A143A03" w:rsidR="0A18B19C">
        <w:t xml:space="preserve"> directed to file</w:t>
      </w:r>
      <w:r w:rsidRPr="7A143A03" w:rsidR="0A1E6E32">
        <w:t xml:space="preserve"> within 90 </w:t>
      </w:r>
      <w:r w:rsidRPr="7A143A03" w:rsidR="7BE19631">
        <w:t>d</w:t>
      </w:r>
      <w:r w:rsidRPr="7A143A03" w:rsidR="0A1E6E32">
        <w:t>ays after th</w:t>
      </w:r>
      <w:r w:rsidRPr="7A143A03" w:rsidR="0A18B19C">
        <w:t>is</w:t>
      </w:r>
      <w:r w:rsidRPr="7A143A03" w:rsidR="0A1E6E32">
        <w:t xml:space="preserve"> Resolution is </w:t>
      </w:r>
      <w:r w:rsidRPr="7A143A03" w:rsidR="310660B7">
        <w:t>approved</w:t>
      </w:r>
      <w:r w:rsidRPr="7A143A03" w:rsidR="21F958DD">
        <w:t xml:space="preserve">, as </w:t>
      </w:r>
      <w:r w:rsidRPr="7A143A03" w:rsidR="310660B7">
        <w:t>detailed</w:t>
      </w:r>
      <w:r w:rsidRPr="7A143A03" w:rsidR="21F958DD">
        <w:t xml:space="preserve"> in </w:t>
      </w:r>
      <w:r w:rsidRPr="7A143A03" w:rsidR="21CDCF70">
        <w:t>Order</w:t>
      </w:r>
      <w:r w:rsidRPr="7A143A03" w:rsidR="70C41147">
        <w:t>ing Paragraph</w:t>
      </w:r>
      <w:r w:rsidRPr="7A143A03" w:rsidR="21CDCF70">
        <w:t xml:space="preserve"> 2</w:t>
      </w:r>
      <w:r w:rsidRPr="7A143A03" w:rsidR="0A1E6E32">
        <w:t xml:space="preserve">. Any bill presentation concerns can also be addressed </w:t>
      </w:r>
      <w:r w:rsidRPr="7A143A03" w:rsidR="7BE19631">
        <w:t>by</w:t>
      </w:r>
      <w:r w:rsidRPr="7A143A03" w:rsidR="0A1E6E32">
        <w:t xml:space="preserve"> the </w:t>
      </w:r>
      <w:r w:rsidRPr="7A143A03" w:rsidR="7BE19631">
        <w:t>IWG</w:t>
      </w:r>
      <w:r w:rsidRPr="7A143A03" w:rsidR="0A1E6E32">
        <w:t>.</w:t>
      </w:r>
    </w:p>
    <w:p w:rsidR="7A143A03" w:rsidP="7A143A03" w:rsidRDefault="7A143A03" w14:paraId="152D2824" w14:textId="5207E944"/>
    <w:p w:rsidR="00EF6B86" w:rsidP="00435B65" w:rsidRDefault="7F184BCC" w14:paraId="15AF3B7F" w14:textId="38F99D37">
      <w:pPr>
        <w:rPr>
          <w:b/>
          <w:bCs/>
        </w:rPr>
      </w:pPr>
      <w:r w:rsidRPr="59891145">
        <w:rPr>
          <w:b/>
          <w:bCs/>
        </w:rPr>
        <w:t xml:space="preserve">Tier Assignments </w:t>
      </w:r>
    </w:p>
    <w:p w:rsidRPr="004414EC" w:rsidR="0058604A" w:rsidP="0058604A" w:rsidRDefault="47CF03BD" w14:paraId="328CB9DB" w14:textId="31DD9FE7">
      <w:r w:rsidRPr="004414EC">
        <w:t>SDG&amp;E acknowledges that its DRAH costs are different and appear higher than PG&amp;E and SCE’s costs, and claims that it provided “detail in its supplemental AL that was generally consistent with the level of detail provided by the other IOUs in this matter”</w:t>
      </w:r>
      <w:r w:rsidRPr="004414EC" w:rsidR="0058604A">
        <w:rPr>
          <w:vertAlign w:val="superscript"/>
        </w:rPr>
        <w:footnoteReference w:id="210"/>
      </w:r>
      <w:r w:rsidRPr="004414EC">
        <w:t xml:space="preserve"> </w:t>
      </w:r>
      <w:r w:rsidRPr="004414EC" w:rsidR="641944B2">
        <w:t xml:space="preserve">even </w:t>
      </w:r>
      <w:r>
        <w:t>though this unusually high budget request had been specifically protested by Cal Advocates.</w:t>
      </w:r>
      <w:r w:rsidRPr="004414EC">
        <w:t xml:space="preserve">  </w:t>
      </w:r>
    </w:p>
    <w:p w:rsidR="0058604A" w:rsidP="0058604A" w:rsidRDefault="0058604A" w14:paraId="5BC2D4C8" w14:textId="77777777"/>
    <w:p w:rsidRPr="00FF1C57" w:rsidR="0058604A" w:rsidP="7A143A03" w:rsidRDefault="47CF03BD" w14:paraId="5C69EEC5" w14:textId="2BA4C198">
      <w:r w:rsidRPr="7A143A03">
        <w:lastRenderedPageBreak/>
        <w:t xml:space="preserve">The Commission must correct </w:t>
      </w:r>
      <w:r w:rsidRPr="7A143A03" w:rsidR="702AD3B2">
        <w:t>SDG&amp;E’s</w:t>
      </w:r>
      <w:r w:rsidRPr="7A143A03">
        <w:t xml:space="preserve"> claim</w:t>
      </w:r>
      <w:r w:rsidRPr="7A143A03" w:rsidR="235952E1">
        <w:t>:</w:t>
      </w:r>
      <w:r w:rsidRPr="7A143A03" w:rsidR="1EE98177">
        <w:t xml:space="preserve"> </w:t>
      </w:r>
      <w:r w:rsidRPr="7A143A03" w:rsidR="3EBCB31E">
        <w:t>w</w:t>
      </w:r>
      <w:r w:rsidRPr="7A143A03" w:rsidR="630AF255">
        <w:t>hile</w:t>
      </w:r>
      <w:r w:rsidRPr="7A143A03">
        <w:t xml:space="preserve"> Cal</w:t>
      </w:r>
      <w:r w:rsidRPr="7A143A03" w:rsidR="1C8CDE46">
        <w:t xml:space="preserve"> Advocates</w:t>
      </w:r>
      <w:r w:rsidRPr="7A143A03">
        <w:t xml:space="preserve"> requested that SDG&amp;E provide a supplemental with adequate detail on a budget estimate for identifying DRAH customers for assignment to its Tier 2 IGFC and noted the need for additional scrutiny in SDG&amp;E’s DRAH IT </w:t>
      </w:r>
      <w:proofErr w:type="gramStart"/>
      <w:r w:rsidRPr="7A143A03">
        <w:t>costs in particular, the</w:t>
      </w:r>
      <w:proofErr w:type="gramEnd"/>
      <w:r w:rsidRPr="7A143A03">
        <w:t xml:space="preserve"> supplement</w:t>
      </w:r>
      <w:r w:rsidR="003E6B74">
        <w:t>al</w:t>
      </w:r>
      <w:r w:rsidRPr="7A143A03">
        <w:t xml:space="preserve"> does not provide additional detail, as SDG&amp;E appears to assert. Rather, SDG&amp;E’s supplement</w:t>
      </w:r>
      <w:r w:rsidR="00623F27">
        <w:t>al</w:t>
      </w:r>
      <w:r w:rsidRPr="7A143A03">
        <w:t xml:space="preserve"> merely corrects a “calculation error”</w:t>
      </w:r>
      <w:r w:rsidRPr="00FF1C57" w:rsidR="0058604A">
        <w:rPr>
          <w:rStyle w:val="FootnoteReference"/>
          <w:i/>
          <w:iCs/>
        </w:rPr>
        <w:footnoteReference w:id="211"/>
      </w:r>
      <w:r w:rsidRPr="7A143A03">
        <w:t xml:space="preserve"> found in </w:t>
      </w:r>
      <w:r w:rsidR="009673AC">
        <w:t xml:space="preserve">the </w:t>
      </w:r>
      <w:r w:rsidRPr="7A143A03">
        <w:t>Affordable Housing Budget</w:t>
      </w:r>
      <w:r w:rsidR="002E478F">
        <w:t>,</w:t>
      </w:r>
      <w:r w:rsidRPr="7A143A03">
        <w:t xml:space="preserve"> maintain</w:t>
      </w:r>
      <w:r w:rsidR="002E478F">
        <w:t>ing</w:t>
      </w:r>
      <w:r w:rsidRPr="7A143A03">
        <w:t xml:space="preserve"> that its </w:t>
      </w:r>
      <w:r w:rsidR="00722EA1">
        <w:t>“</w:t>
      </w:r>
      <w:r w:rsidRPr="7A143A03">
        <w:t>total requested incremental budget for Deed-Restricted Affordable Housing is $1,868,450</w:t>
      </w:r>
      <w:r w:rsidRPr="7A143A03" w:rsidR="630AF255">
        <w:t>.</w:t>
      </w:r>
      <w:r w:rsidRPr="7A143A03" w:rsidR="475C6495">
        <w:t>”</w:t>
      </w:r>
      <w:r w:rsidRPr="00FF1C57" w:rsidR="0058604A">
        <w:rPr>
          <w:rStyle w:val="FootnoteReference"/>
          <w:i/>
          <w:iCs/>
        </w:rPr>
        <w:footnoteReference w:id="212"/>
      </w:r>
    </w:p>
    <w:p w:rsidR="0058604A" w:rsidP="0058604A" w:rsidRDefault="0058604A" w14:paraId="66F9EDE8" w14:textId="77777777"/>
    <w:p w:rsidR="0058604A" w:rsidP="0058604A" w:rsidRDefault="0058604A" w14:paraId="02FA18F1" w14:textId="640DDD1F">
      <w:r>
        <w:t xml:space="preserve">SDG&amp;E </w:t>
      </w:r>
      <w:r w:rsidR="00B74518">
        <w:t>also</w:t>
      </w:r>
      <w:r>
        <w:t xml:space="preserve"> introduces </w:t>
      </w:r>
      <w:r w:rsidR="00824B46">
        <w:t>information</w:t>
      </w:r>
      <w:r>
        <w:t xml:space="preserve"> on</w:t>
      </w:r>
      <w:r w:rsidR="00824B46">
        <w:t xml:space="preserve"> the</w:t>
      </w:r>
      <w:r>
        <w:t xml:space="preserve"> “</w:t>
      </w:r>
      <w:r w:rsidRPr="59891145">
        <w:rPr>
          <w:b/>
          <w:bCs/>
          <w:i/>
          <w:iCs/>
          <w:u w:val="single"/>
        </w:rPr>
        <w:t>functionality that will not be created and the automation that will not take place</w:t>
      </w:r>
      <w:r w:rsidRPr="59891145">
        <w:rPr>
          <w:b/>
          <w:bCs/>
          <w:i/>
          <w:iCs/>
        </w:rPr>
        <w:t xml:space="preserve"> </w:t>
      </w:r>
      <w:r>
        <w:t xml:space="preserve">with the current DRAH IT budget reduction” while again failing to provide details or workpapers </w:t>
      </w:r>
      <w:r w:rsidR="003A6ADF">
        <w:t xml:space="preserve">explaining how </w:t>
      </w:r>
      <w:r w:rsidR="005A0D83">
        <w:t>the original budget estimate was developed</w:t>
      </w:r>
      <w:r>
        <w:t xml:space="preserve">. </w:t>
      </w:r>
      <w:r w:rsidR="00A27641">
        <w:t>Staff notes that these details on</w:t>
      </w:r>
      <w:r w:rsidR="00824B46">
        <w:t xml:space="preserve"> the</w:t>
      </w:r>
      <w:r w:rsidR="00A27641">
        <w:t xml:space="preserve"> “functionality that will not be created” were only provided in comments on the </w:t>
      </w:r>
      <w:r w:rsidR="00013883">
        <w:t>D</w:t>
      </w:r>
      <w:r w:rsidR="00A27641">
        <w:t xml:space="preserve">raft Resolution rather than in the </w:t>
      </w:r>
      <w:r w:rsidR="4B6846AD">
        <w:t>AL</w:t>
      </w:r>
      <w:r w:rsidR="00A27641">
        <w:t xml:space="preserve"> or supplemental filings. </w:t>
      </w:r>
    </w:p>
    <w:p w:rsidR="007823ED" w:rsidP="0058604A" w:rsidRDefault="007823ED" w14:paraId="06BBC792" w14:textId="77777777"/>
    <w:p w:rsidRPr="007C6104" w:rsidR="007823ED" w:rsidP="7A143A03" w:rsidRDefault="00273638" w14:paraId="35D9780C" w14:textId="068E10C8">
      <w:r>
        <w:t>Energy Division staff</w:t>
      </w:r>
      <w:r w:rsidRPr="7A143A03" w:rsidR="6C8DD873">
        <w:t xml:space="preserve"> </w:t>
      </w:r>
      <w:r w:rsidRPr="7A143A03" w:rsidR="56B25672">
        <w:t>has directed SDG&amp;E several time</w:t>
      </w:r>
      <w:r w:rsidRPr="7A143A03" w:rsidR="17FD7C18">
        <w:t xml:space="preserve">s </w:t>
      </w:r>
      <w:r w:rsidRPr="7A143A03" w:rsidR="603E0B08">
        <w:t xml:space="preserve">to explain </w:t>
      </w:r>
      <w:r w:rsidRPr="7A143A03" w:rsidR="17FD7C18">
        <w:t xml:space="preserve">how its DRAH IT budget was developed so that </w:t>
      </w:r>
      <w:r w:rsidRPr="7A143A03" w:rsidR="2DA6DE82">
        <w:t xml:space="preserve">it can understand why its </w:t>
      </w:r>
      <w:r w:rsidRPr="7A143A03" w:rsidR="3FB96C4E">
        <w:t>budget request is significantly higher than those proposed by SCE and PG&amp;E</w:t>
      </w:r>
      <w:r w:rsidRPr="7A143A03" w:rsidR="477A77F5">
        <w:t xml:space="preserve"> for the same activities</w:t>
      </w:r>
      <w:r w:rsidRPr="7A143A03" w:rsidR="4B1E613A">
        <w:t>, but</w:t>
      </w:r>
      <w:r w:rsidRPr="7A143A03" w:rsidR="3DB9EEC1">
        <w:t xml:space="preserve"> for a significantly smaller residential </w:t>
      </w:r>
      <w:r w:rsidRPr="7A143A03" w:rsidR="4A7041C1">
        <w:t xml:space="preserve">population. </w:t>
      </w:r>
      <w:r w:rsidRPr="7A143A03" w:rsidR="5131619C">
        <w:t>SDG&amp;E has failed to provide sufficient detail</w:t>
      </w:r>
      <w:r w:rsidR="00B23C22">
        <w:t>, asserting</w:t>
      </w:r>
      <w:r w:rsidRPr="7A143A03" w:rsidR="1ED10286">
        <w:t xml:space="preserve"> that </w:t>
      </w:r>
      <w:r w:rsidRPr="7A143A03" w:rsidR="0CC998DC">
        <w:t xml:space="preserve">the reason it </w:t>
      </w:r>
      <w:r w:rsidRPr="7A143A03" w:rsidR="7385CC88">
        <w:t>cannot</w:t>
      </w:r>
      <w:r w:rsidRPr="7A143A03" w:rsidR="31C85DED">
        <w:t xml:space="preserve"> justify these costs is because </w:t>
      </w:r>
      <w:r w:rsidRPr="7A143A03" w:rsidR="02AD5AEA">
        <w:t>“Commission staff are generally not IT subject</w:t>
      </w:r>
      <w:r w:rsidRPr="7A143A03" w:rsidR="624D3DEA">
        <w:t xml:space="preserve"> matter experts.”</w:t>
      </w:r>
      <w:r w:rsidR="002E18B4">
        <w:rPr>
          <w:rStyle w:val="FootnoteReference"/>
          <w:i/>
          <w:iCs/>
        </w:rPr>
        <w:footnoteReference w:id="213"/>
      </w:r>
      <w:r w:rsidRPr="7A143A03" w:rsidR="3052FB30">
        <w:t xml:space="preserve"> </w:t>
      </w:r>
      <w:r w:rsidR="00515B0E">
        <w:t>I</w:t>
      </w:r>
      <w:r w:rsidRPr="7A143A03" w:rsidR="6F0B44C2">
        <w:t>t is the determination of this Commission that</w:t>
      </w:r>
      <w:r w:rsidRPr="7A143A03" w:rsidR="434515CD">
        <w:t xml:space="preserve"> SDG&amp;E has failed</w:t>
      </w:r>
      <w:r w:rsidRPr="7A143A03" w:rsidR="1DC00647">
        <w:t xml:space="preserve"> to present</w:t>
      </w:r>
      <w:r w:rsidRPr="7A143A03" w:rsidR="16FB83CF">
        <w:t xml:space="preserve"> sufficient </w:t>
      </w:r>
      <w:r w:rsidRPr="7A143A03" w:rsidR="60C4C4B2">
        <w:t xml:space="preserve">information to </w:t>
      </w:r>
      <w:r w:rsidRPr="7A143A03" w:rsidR="0AA0FA61">
        <w:t>justify</w:t>
      </w:r>
      <w:r w:rsidRPr="7A143A03" w:rsidR="5D427FF5">
        <w:t xml:space="preserve"> its</w:t>
      </w:r>
      <w:r w:rsidRPr="7A143A03" w:rsidR="72611BDC">
        <w:t xml:space="preserve"> budget</w:t>
      </w:r>
      <w:r w:rsidRPr="7A143A03" w:rsidR="5D427FF5">
        <w:t xml:space="preserve"> </w:t>
      </w:r>
      <w:r w:rsidRPr="7A143A03" w:rsidR="11648AC3">
        <w:t>request</w:t>
      </w:r>
      <w:r w:rsidRPr="7A143A03" w:rsidR="48F0692E">
        <w:t>.</w:t>
      </w:r>
    </w:p>
    <w:p w:rsidRPr="006A08F3" w:rsidR="00B55996" w:rsidP="59891145" w:rsidRDefault="00B55996" w14:paraId="349C6739" w14:textId="77777777">
      <w:pPr>
        <w:rPr>
          <w:i/>
          <w:iCs/>
        </w:rPr>
      </w:pPr>
    </w:p>
    <w:p w:rsidR="00330B12" w:rsidP="00911D14" w:rsidRDefault="00911D14" w14:paraId="0358FA00" w14:textId="7DD9D4E0">
      <w:r>
        <w:t xml:space="preserve">SDG&amp;E further asserts that it will be unable to provide a minor process improvement </w:t>
      </w:r>
      <w:r w:rsidR="007F08FC">
        <w:t xml:space="preserve">as </w:t>
      </w:r>
      <w:r>
        <w:t>proposed by PG&amp;E to collect information regarding DRAH status through CARE and FERA applications as a cost-effective means to improve data collection. SDG&amp;E provides reasons why it “does not believe such a change will add value to SDG&amp;E’s proposed process”.</w:t>
      </w:r>
    </w:p>
    <w:p w:rsidR="00330B12" w:rsidP="00911D14" w:rsidRDefault="00330B12" w14:paraId="52652D6F" w14:textId="77777777"/>
    <w:p w:rsidRPr="006F0A1E" w:rsidR="006E40F0" w:rsidP="7A143A03" w:rsidRDefault="005C79C6" w14:paraId="03553841" w14:textId="01D0F9F6">
      <w:r>
        <w:lastRenderedPageBreak/>
        <w:t>We</w:t>
      </w:r>
      <w:r w:rsidRPr="7A143A03" w:rsidR="1C6D3112">
        <w:t xml:space="preserve"> </w:t>
      </w:r>
      <w:r w:rsidRPr="7A143A03" w:rsidR="0B31854A">
        <w:t>will</w:t>
      </w:r>
      <w:r w:rsidRPr="7A143A03" w:rsidR="7C428E23">
        <w:t xml:space="preserve"> not remove Finding</w:t>
      </w:r>
      <w:r w:rsidRPr="7A143A03" w:rsidR="75001E0A">
        <w:t>s of Fact</w:t>
      </w:r>
      <w:r w:rsidRPr="7A143A03" w:rsidR="7C428E23">
        <w:t xml:space="preserve"> 10, nor</w:t>
      </w:r>
      <w:r w:rsidRPr="7A143A03" w:rsidR="7385CC88">
        <w:t xml:space="preserve"> will</w:t>
      </w:r>
      <w:r w:rsidRPr="7A143A03" w:rsidR="7C428E23">
        <w:t xml:space="preserve"> it modify Order</w:t>
      </w:r>
      <w:r w:rsidRPr="7A143A03" w:rsidR="75001E0A">
        <w:t>ing Paragraph</w:t>
      </w:r>
      <w:r w:rsidRPr="7A143A03" w:rsidR="7C428E23">
        <w:t xml:space="preserve"> 6, which requires SDG&amp;E to confer with PG&amp;E and SCE and describe whether it will collect information regarding DRAH status</w:t>
      </w:r>
      <w:r w:rsidRPr="7A143A03" w:rsidR="0F4685B5">
        <w:t xml:space="preserve"> in a subsequent Tier </w:t>
      </w:r>
      <w:r w:rsidR="0F4685B5">
        <w:t>2</w:t>
      </w:r>
      <w:r w:rsidR="00F40837">
        <w:t xml:space="preserve"> </w:t>
      </w:r>
      <w:r w:rsidR="3EAF957F">
        <w:t>AL</w:t>
      </w:r>
      <w:r w:rsidR="7C428E23">
        <w:t>.</w:t>
      </w:r>
      <w:r w:rsidRPr="7A143A03" w:rsidR="7C428E23">
        <w:t xml:space="preserve"> Given SDG&amp;E’s noted challenges integrating DRAH information into its existing systems, a collaborative approach is essential</w:t>
      </w:r>
      <w:r w:rsidRPr="7A143A03" w:rsidR="0F4685B5">
        <w:t xml:space="preserve"> to </w:t>
      </w:r>
      <w:r w:rsidRPr="7A143A03" w:rsidR="7385CC88">
        <w:t>successful implementation</w:t>
      </w:r>
      <w:r w:rsidRPr="7A143A03" w:rsidR="0F4685B5">
        <w:t>.</w:t>
      </w:r>
    </w:p>
    <w:p w:rsidRPr="006F0A1E" w:rsidR="001E194B" w:rsidP="354F0DB4" w:rsidRDefault="001E194B" w14:paraId="6D4548A3" w14:textId="77777777"/>
    <w:p w:rsidRPr="00E21E5F" w:rsidR="001E194B" w:rsidP="354F0DB4" w:rsidRDefault="00E21E5F" w14:paraId="2C82BD73" w14:textId="720C6D33">
      <w:pPr>
        <w:rPr>
          <w:b/>
          <w:bCs/>
        </w:rPr>
      </w:pPr>
      <w:r w:rsidRPr="59891145">
        <w:rPr>
          <w:b/>
          <w:bCs/>
        </w:rPr>
        <w:t>Proposed ME&amp;O Plan</w:t>
      </w:r>
    </w:p>
    <w:p w:rsidR="001D6D18" w:rsidP="7A143A03" w:rsidRDefault="2853B779" w14:paraId="3C8E22C4" w14:textId="22FF7C2A">
      <w:r>
        <w:t>SDG&amp;E acknowledged Order</w:t>
      </w:r>
      <w:r w:rsidR="7AE66046">
        <w:t>ing Paragraph</w:t>
      </w:r>
      <w:r>
        <w:t xml:space="preserve"> 7 of the Draft Resolution that requires it to present final ME&amp;O plans to the IWG at least 60 days prior to initiating customer communications and implementing the fixed charge and noted it may not be feasible for SDG&amp;E to adopt significant changes</w:t>
      </w:r>
      <w:r w:rsidR="7401879B">
        <w:t xml:space="preserve"> requested by the </w:t>
      </w:r>
      <w:r w:rsidR="403313B2">
        <w:t>IWG</w:t>
      </w:r>
      <w:r>
        <w:t xml:space="preserve"> in 60 days prior to implementation.</w:t>
      </w:r>
      <w:r w:rsidR="001D6D18">
        <w:rPr>
          <w:rStyle w:val="FootnoteReference"/>
        </w:rPr>
        <w:footnoteReference w:id="214"/>
      </w:r>
    </w:p>
    <w:p w:rsidR="001D6D18" w:rsidP="001D6D18" w:rsidRDefault="001D6D18" w14:paraId="33D87B11" w14:textId="77777777"/>
    <w:p w:rsidRPr="00EB19E0" w:rsidR="354F0DB4" w:rsidP="7A143A03" w:rsidRDefault="2853B779" w14:paraId="10CCEF61" w14:textId="50F8B91B">
      <w:r w:rsidRPr="7A143A03">
        <w:t xml:space="preserve">We have modified the Resolution that requires SDG&amp;E to present its final ME&amp;O plan to the </w:t>
      </w:r>
      <w:r w:rsidRPr="7A143A03" w:rsidR="00773CD3">
        <w:t>IWG</w:t>
      </w:r>
      <w:r w:rsidRPr="7A143A03">
        <w:t>, as specified in Order</w:t>
      </w:r>
      <w:r w:rsidRPr="7A143A03" w:rsidR="3B1D145B">
        <w:t>ing Paragraph</w:t>
      </w:r>
      <w:r w:rsidRPr="7A143A03">
        <w:t xml:space="preserve"> 7, to at least 90 days.</w:t>
      </w:r>
    </w:p>
    <w:p w:rsidRPr="008A07BE" w:rsidR="354F0DB4" w:rsidDel="008A07BE" w:rsidP="354F0DB4" w:rsidRDefault="354F0DB4" w14:paraId="31496D05" w14:textId="77777777"/>
    <w:p w:rsidR="15F007D6" w:rsidP="7A143A03" w:rsidRDefault="685702C8" w14:paraId="7F2902E4" w14:textId="0A829153">
      <w:pPr>
        <w:rPr>
          <w:b/>
          <w:bCs/>
          <w:u w:val="single"/>
        </w:rPr>
      </w:pPr>
      <w:r w:rsidRPr="7A143A03">
        <w:rPr>
          <w:b/>
          <w:bCs/>
          <w:u w:val="single"/>
        </w:rPr>
        <w:t>SEIA</w:t>
      </w:r>
      <w:r w:rsidRPr="7A143A03" w:rsidR="0A1E6E32">
        <w:rPr>
          <w:b/>
          <w:bCs/>
          <w:u w:val="single"/>
        </w:rPr>
        <w:t>’s</w:t>
      </w:r>
      <w:r w:rsidRPr="7A143A03">
        <w:rPr>
          <w:b/>
          <w:bCs/>
          <w:u w:val="single"/>
        </w:rPr>
        <w:t xml:space="preserve"> Comments</w:t>
      </w:r>
    </w:p>
    <w:p w:rsidR="00E21E5F" w:rsidRDefault="00E21E5F" w14:paraId="0FC82DD6" w14:textId="77777777">
      <w:pPr>
        <w:rPr>
          <w:u w:val="single"/>
        </w:rPr>
      </w:pPr>
    </w:p>
    <w:p w:rsidRPr="00E21E5F" w:rsidR="00E21E5F" w:rsidP="00E21E5F" w:rsidRDefault="00E21E5F" w14:paraId="732D9661" w14:textId="428900F2">
      <w:pPr>
        <w:rPr>
          <w:b/>
          <w:bCs/>
        </w:rPr>
      </w:pPr>
      <w:r w:rsidRPr="59891145">
        <w:rPr>
          <w:b/>
          <w:bCs/>
        </w:rPr>
        <w:t>Rate Design</w:t>
      </w:r>
    </w:p>
    <w:p w:rsidR="15F007D6" w:rsidP="59891145" w:rsidRDefault="40332AA6" w14:paraId="2B3CCD03" w14:textId="3BA0341F">
      <w:r>
        <w:t xml:space="preserve">SEIA </w:t>
      </w:r>
      <w:r w:rsidR="734E90FF">
        <w:t xml:space="preserve">requested the Commission direct SDG&amp;E to specify in a Tier 2 AL illustrative changes to the volumetric rate components of electrification rate schedules to show the volumetric rate </w:t>
      </w:r>
      <w:r w:rsidR="54CDCCF8">
        <w:t>reduction</w:t>
      </w:r>
      <w:r w:rsidR="7AEF63CA">
        <w:t>s</w:t>
      </w:r>
      <w:r w:rsidR="54CDCCF8">
        <w:t xml:space="preserve"> </w:t>
      </w:r>
      <w:r w:rsidR="7AEF63CA">
        <w:t>achieved</w:t>
      </w:r>
      <w:r w:rsidR="00FD25B3">
        <w:t xml:space="preserve"> </w:t>
      </w:r>
      <w:r w:rsidR="186D2560">
        <w:t xml:space="preserve">on </w:t>
      </w:r>
      <w:r w:rsidR="000A0A32">
        <w:t>default</w:t>
      </w:r>
      <w:r w:rsidR="186D2560">
        <w:t xml:space="preserve"> and electrification rates.</w:t>
      </w:r>
      <w:r w:rsidRPr="59891145" w:rsidR="0F08675E">
        <w:rPr>
          <w:rStyle w:val="FootnoteReference"/>
        </w:rPr>
        <w:footnoteReference w:id="215"/>
      </w:r>
    </w:p>
    <w:p w:rsidR="354F0DB4" w:rsidP="354F0DB4" w:rsidRDefault="354F0DB4" w14:paraId="42897D1B" w14:textId="203A8EF4"/>
    <w:p w:rsidR="119A37B1" w:rsidP="7A143A03" w:rsidRDefault="186D2560" w14:paraId="68506AEB" w14:textId="7BED996A">
      <w:r w:rsidRPr="7A143A03">
        <w:t>We acknowledge</w:t>
      </w:r>
      <w:r w:rsidRPr="7A143A03" w:rsidR="7DD6DCA6">
        <w:t xml:space="preserve"> SEIA’s suggestion and </w:t>
      </w:r>
      <w:r w:rsidRPr="7A143A03">
        <w:t xml:space="preserve">note that this Resolution instructs SDG&amp;E to specify the volumetric rate reduction for all </w:t>
      </w:r>
      <w:r w:rsidRPr="7A143A03" w:rsidR="185A0A50">
        <w:t xml:space="preserve">affected </w:t>
      </w:r>
      <w:r w:rsidRPr="7A143A03">
        <w:t>residential rate schedules by filing a Tier</w:t>
      </w:r>
      <w:r w:rsidRPr="7A143A03" w:rsidR="7A762A2A">
        <w:t xml:space="preserve"> 2</w:t>
      </w:r>
      <w:r w:rsidRPr="7A143A03">
        <w:t xml:space="preserve"> AL 90 days after the Resolution is </w:t>
      </w:r>
      <w:r w:rsidRPr="7A143A03" w:rsidR="6631C455">
        <w:t>adopted</w:t>
      </w:r>
      <w:r w:rsidRPr="7A143A03" w:rsidR="691D732B">
        <w:t xml:space="preserve"> to specify this reduction</w:t>
      </w:r>
      <w:r w:rsidRPr="7A143A03">
        <w:t xml:space="preserve">. </w:t>
      </w:r>
      <w:r w:rsidRPr="7A143A03" w:rsidR="7B9F4BFC">
        <w:t>As a result</w:t>
      </w:r>
      <w:r w:rsidRPr="7A143A03" w:rsidR="19020B88">
        <w:t>,</w:t>
      </w:r>
      <w:r w:rsidRPr="7A143A03" w:rsidR="7B9F4BFC">
        <w:t xml:space="preserve"> further instruction for SDG&amp;E is </w:t>
      </w:r>
      <w:r w:rsidR="00300EC3">
        <w:t>not</w:t>
      </w:r>
      <w:r w:rsidR="7B9F4BFC">
        <w:t xml:space="preserve"> </w:t>
      </w:r>
      <w:r w:rsidRPr="7A143A03" w:rsidR="7B9F4BFC">
        <w:t>needed.</w:t>
      </w:r>
    </w:p>
    <w:p w:rsidR="005F7FDB" w:rsidP="59891145" w:rsidRDefault="005F7FDB" w14:paraId="6DE99019" w14:textId="77777777">
      <w:pPr>
        <w:rPr>
          <w:i/>
          <w:iCs/>
        </w:rPr>
      </w:pPr>
    </w:p>
    <w:p w:rsidR="00F771BE" w:rsidP="7A143A03" w:rsidRDefault="70F59C44" w14:paraId="18035C7D" w14:textId="1A978398">
      <w:pPr>
        <w:rPr>
          <w:b/>
          <w:bCs/>
          <w:u w:val="single"/>
        </w:rPr>
      </w:pPr>
      <w:r w:rsidRPr="7A143A03">
        <w:rPr>
          <w:b/>
          <w:bCs/>
          <w:u w:val="single"/>
        </w:rPr>
        <w:t>C4AT’s Comments</w:t>
      </w:r>
    </w:p>
    <w:p w:rsidR="007509F9" w:rsidP="0051796B" w:rsidRDefault="007509F9" w14:paraId="621A2671" w14:textId="77777777">
      <w:pPr>
        <w:rPr>
          <w:u w:val="single"/>
        </w:rPr>
      </w:pPr>
    </w:p>
    <w:p w:rsidR="003C5DDE" w:rsidP="7A143A03" w:rsidRDefault="533859D1" w14:paraId="6F5C5C44" w14:textId="1704F1B9">
      <w:pPr>
        <w:rPr>
          <w:b/>
          <w:bCs/>
        </w:rPr>
      </w:pPr>
      <w:r w:rsidRPr="7A143A03">
        <w:rPr>
          <w:b/>
          <w:bCs/>
        </w:rPr>
        <w:t>Tier Assignment</w:t>
      </w:r>
      <w:r w:rsidRPr="7A143A03" w:rsidR="4A8DB1EC">
        <w:rPr>
          <w:b/>
          <w:bCs/>
        </w:rPr>
        <w:t>s</w:t>
      </w:r>
    </w:p>
    <w:p w:rsidR="00C065EB" w:rsidP="7A143A03" w:rsidRDefault="39369D14" w14:paraId="37D69FDF" w14:textId="59D67460">
      <w:r w:rsidRPr="7A143A03">
        <w:t>C4AT reiterated its assertion that eligibility should be implemented based on household income rather than enrollment in CARE as the standard for Tier 1 eligibility without including a process for how this would be accomplishe</w:t>
      </w:r>
      <w:r w:rsidRPr="7A143A03" w:rsidR="484C756F">
        <w:t>d</w:t>
      </w:r>
      <w:r w:rsidRPr="7A143A03">
        <w:t xml:space="preserve"> and restates prior rejected comments on the Proposed Decision that </w:t>
      </w:r>
      <w:r w:rsidRPr="7A143A03" w:rsidR="2E0C2F5F">
        <w:t>resulted in</w:t>
      </w:r>
      <w:r w:rsidRPr="7A143A03">
        <w:t xml:space="preserve"> D.24-05-028</w:t>
      </w:r>
      <w:r w:rsidRPr="7A143A03" w:rsidR="0F7EF0BE">
        <w:t>.</w:t>
      </w:r>
      <w:r w:rsidRPr="7A143A03">
        <w:t xml:space="preserve"> </w:t>
      </w:r>
      <w:r w:rsidRPr="7A143A03" w:rsidR="00C065EB">
        <w:rPr>
          <w:rStyle w:val="FootnoteReference"/>
        </w:rPr>
        <w:footnoteReference w:id="216"/>
      </w:r>
      <w:r w:rsidRPr="7A143A03">
        <w:t xml:space="preserve"> </w:t>
      </w:r>
    </w:p>
    <w:p w:rsidRPr="00791A14" w:rsidR="00C065EB" w:rsidP="7A143A03" w:rsidRDefault="00C065EB" w14:paraId="3FC00C59" w14:textId="571E73A4">
      <w:pPr>
        <w:rPr>
          <w:i/>
          <w:iCs/>
        </w:rPr>
      </w:pPr>
      <w:r>
        <w:lastRenderedPageBreak/>
        <w:br/>
      </w:r>
      <w:r w:rsidRPr="7A143A03" w:rsidR="31E9CC17">
        <w:rPr>
          <w:rFonts w:eastAsia="Palatino Linotype" w:cs="Palatino Linotype"/>
        </w:rPr>
        <w:t>As discussed in D.24-05-028 and th</w:t>
      </w:r>
      <w:r w:rsidRPr="7A143A03" w:rsidR="334F9C87">
        <w:rPr>
          <w:rFonts w:eastAsia="Palatino Linotype" w:cs="Palatino Linotype"/>
        </w:rPr>
        <w:t>is</w:t>
      </w:r>
      <w:r w:rsidRPr="7A143A03" w:rsidR="31E9CC17">
        <w:rPr>
          <w:rFonts w:eastAsia="Palatino Linotype" w:cs="Palatino Linotype"/>
        </w:rPr>
        <w:t xml:space="preserve"> Resolution, this process is not required, nor is it feasible within a reasonable timeframe</w:t>
      </w:r>
      <w:r w:rsidRPr="7A143A03" w:rsidR="2851984E">
        <w:rPr>
          <w:rFonts w:eastAsia="Palatino Linotype" w:cs="Palatino Linotype"/>
        </w:rPr>
        <w:t>.</w:t>
      </w:r>
      <w:r w:rsidRPr="7A143A03" w:rsidR="39369D14">
        <w:t xml:space="preserve"> </w:t>
      </w:r>
      <w:r w:rsidR="00C40BE9">
        <w:t>This request for a process to enroll income-qualified customers who are not already enrolled in CARE or FERA is rejected.</w:t>
      </w:r>
    </w:p>
    <w:p w:rsidR="003C5DDE" w:rsidP="0051796B" w:rsidRDefault="003C5DDE" w14:paraId="608B55C5" w14:textId="77777777">
      <w:pPr>
        <w:rPr>
          <w:b/>
          <w:bCs/>
          <w:u w:val="single"/>
        </w:rPr>
      </w:pPr>
    </w:p>
    <w:p w:rsidRPr="001A1350" w:rsidR="007509F9" w:rsidP="7A143A03" w:rsidRDefault="023A3206" w14:paraId="77583E8E" w14:textId="62408717">
      <w:pPr>
        <w:rPr>
          <w:b/>
          <w:bCs/>
        </w:rPr>
      </w:pPr>
      <w:r w:rsidRPr="7A143A03">
        <w:rPr>
          <w:b/>
          <w:bCs/>
        </w:rPr>
        <w:t>Proposed ME&amp;O Plan</w:t>
      </w:r>
    </w:p>
    <w:p w:rsidRPr="00CE0B56" w:rsidR="0051796B" w:rsidP="7A143A03" w:rsidRDefault="6634F275" w14:paraId="04DF063C" w14:textId="6BE14478">
      <w:r w:rsidRPr="7A143A03">
        <w:t>C4AT reiterated its request for a process to allow income-qualified customers who are not enrolled in CARE or FERA to be assigned to the appropriate fixed charge tier and to receive information about this process as part of the fixed charge implementation.</w:t>
      </w:r>
      <w:r w:rsidR="003567CE">
        <w:rPr>
          <w:rStyle w:val="FootnoteReference"/>
          <w:u w:val="single"/>
        </w:rPr>
        <w:footnoteReference w:id="217"/>
      </w:r>
      <w:r w:rsidRPr="7A143A03">
        <w:t xml:space="preserve"> C4AT also requested that the Resolution should be modified to add the following requirements: (1) S</w:t>
      </w:r>
      <w:r w:rsidRPr="7A143A03" w:rsidR="395C2822">
        <w:t>DG&amp;E</w:t>
      </w:r>
      <w:r w:rsidRPr="7A143A03">
        <w:t>’s fixed charge webpage and social media campaign are fully compliant with WCAG 2.2 AA or any updated accessibility standards; and(2) all printed collateral must have key information in large print and be available on request in large print, audio format, and Braille.</w:t>
      </w:r>
      <w:r w:rsidR="0065224D">
        <w:rPr>
          <w:rStyle w:val="FootnoteReference"/>
          <w:u w:val="single"/>
        </w:rPr>
        <w:footnoteReference w:id="218"/>
      </w:r>
    </w:p>
    <w:p w:rsidRPr="0051796B" w:rsidR="0051796B" w:rsidP="0051796B" w:rsidRDefault="0051796B" w14:paraId="7AFEED5B" w14:textId="06988FD6">
      <w:pPr>
        <w:rPr>
          <w:b/>
          <w:bCs/>
        </w:rPr>
      </w:pPr>
    </w:p>
    <w:p w:rsidRPr="00A71B91" w:rsidR="0051796B" w:rsidP="7A143A03" w:rsidRDefault="6634F275" w14:paraId="20E4B9CA" w14:textId="3BDEB3D8">
      <w:r w:rsidRPr="7A143A03">
        <w:t xml:space="preserve">As discussed in D.24-05-028 and the Resolution, this process </w:t>
      </w:r>
      <w:r w:rsidR="1DEFF04C">
        <w:t>was explicitly rejected in the Decision</w:t>
      </w:r>
      <w:r w:rsidR="311167A2">
        <w:t>.</w:t>
      </w:r>
      <w:r w:rsidRPr="7A143A03" w:rsidR="6E8F2206">
        <w:t xml:space="preserve"> In addition, this Resolution already directs the IOUs to develop and submit consistent messaging and approaches to coordinate and integrate the fixed charge with options for CARE and FERA.</w:t>
      </w:r>
      <w:r w:rsidRPr="7A143A03">
        <w:t xml:space="preserve"> We also </w:t>
      </w:r>
      <w:r w:rsidR="00ED44DD">
        <w:t>decline</w:t>
      </w:r>
      <w:r w:rsidRPr="7A143A03">
        <w:t xml:space="preserve"> C4AT’s request to modify the Resolution regarding accessibility compliance as the Resolution already directs S</w:t>
      </w:r>
      <w:r w:rsidRPr="7A143A03" w:rsidR="711F3825">
        <w:t>DG&amp;</w:t>
      </w:r>
      <w:r w:rsidRPr="7A143A03">
        <w:t>E to demonstrate compliance with accessibility standards in their ME&amp;O presentations to the IWG before initiating communications with customers and implementing the fixed charge. </w:t>
      </w:r>
    </w:p>
    <w:p w:rsidR="00F771BE" w:rsidP="59891145" w:rsidRDefault="00F771BE" w14:paraId="4D52C98E" w14:textId="4401C006">
      <w:pPr>
        <w:rPr>
          <w:b/>
          <w:bCs/>
        </w:rPr>
      </w:pPr>
    </w:p>
    <w:p w:rsidR="005F7FDB" w:rsidP="7A143A03" w:rsidRDefault="146D32F9" w14:paraId="449D89DD" w14:textId="2908AFF3">
      <w:pPr>
        <w:rPr>
          <w:b/>
          <w:bCs/>
          <w:u w:val="single"/>
        </w:rPr>
      </w:pPr>
      <w:r w:rsidRPr="7A143A03">
        <w:rPr>
          <w:b/>
          <w:bCs/>
          <w:u w:val="single"/>
        </w:rPr>
        <w:t>WMA’s Comments</w:t>
      </w:r>
    </w:p>
    <w:p w:rsidR="7A143A03" w:rsidP="7A143A03" w:rsidRDefault="7A143A03" w14:paraId="4EBA0FEA" w14:textId="63AAD373">
      <w:pPr>
        <w:rPr>
          <w:b/>
          <w:bCs/>
          <w:u w:val="single"/>
        </w:rPr>
      </w:pPr>
    </w:p>
    <w:p w:rsidR="22C74374" w:rsidP="7A143A03" w:rsidRDefault="22C74374" w14:paraId="570F9D63" w14:textId="2EA71E5D">
      <w:pPr>
        <w:rPr>
          <w:b/>
          <w:bCs/>
        </w:rPr>
      </w:pPr>
      <w:r w:rsidRPr="7A143A03">
        <w:rPr>
          <w:b/>
          <w:bCs/>
        </w:rPr>
        <w:t>Tier Assignment</w:t>
      </w:r>
      <w:r w:rsidRPr="7A143A03" w:rsidR="1377FCC1">
        <w:rPr>
          <w:b/>
          <w:bCs/>
        </w:rPr>
        <w:t>s</w:t>
      </w:r>
    </w:p>
    <w:p w:rsidRPr="00030591" w:rsidR="00AD1937" w:rsidP="00AD1937" w:rsidRDefault="00AD1937" w14:paraId="53672612" w14:textId="24FB3745">
      <w:r>
        <w:t xml:space="preserve">WMA recommended that a </w:t>
      </w:r>
      <w:r w:rsidR="002A2077">
        <w:t>Find</w:t>
      </w:r>
      <w:r w:rsidR="001A515E">
        <w:t>ing</w:t>
      </w:r>
      <w:r w:rsidR="002A2077">
        <w:t xml:space="preserve"> of Fact</w:t>
      </w:r>
      <w:r>
        <w:t xml:space="preserve"> be added to the Draft Resolution to include WMA and SDG&amp;E’s shared understanding that SDG&amp;E’s proposal to default all non-CARE customers at a master-metered property to Tier 2 rates if at least one </w:t>
      </w:r>
      <w:proofErr w:type="spellStart"/>
      <w:r>
        <w:t>submetered</w:t>
      </w:r>
      <w:proofErr w:type="spellEnd"/>
      <w:r>
        <w:t xml:space="preserve"> unit at the property is identified as DRAH through the CHP database is reasonable.</w:t>
      </w:r>
    </w:p>
    <w:p w:rsidRPr="00030591" w:rsidR="00AD1937" w:rsidP="00AD1937" w:rsidRDefault="00AD1937" w14:paraId="372C60BF" w14:textId="77777777">
      <w:pPr>
        <w:rPr>
          <w:b/>
          <w:bCs/>
        </w:rPr>
      </w:pPr>
    </w:p>
    <w:p w:rsidR="20BE46C4" w:rsidP="7A143A03" w:rsidRDefault="272A1E6A" w14:paraId="34761800" w14:textId="695DEAF3">
      <w:pPr>
        <w:rPr>
          <w:rFonts w:eastAsia="Palatino Linotype" w:cs="Palatino Linotype"/>
        </w:rPr>
      </w:pPr>
      <w:r w:rsidRPr="7A143A03">
        <w:rPr>
          <w:rFonts w:eastAsia="Palatino Linotype" w:cs="Palatino Linotype"/>
        </w:rPr>
        <w:t xml:space="preserve">We acknowledge WMA’s comments but find the text in the Draft Resolution sufficient and make no additional changes </w:t>
      </w:r>
      <w:proofErr w:type="gramStart"/>
      <w:r w:rsidRPr="7A143A03">
        <w:rPr>
          <w:rFonts w:eastAsia="Palatino Linotype" w:cs="Palatino Linotype"/>
        </w:rPr>
        <w:t>at this time</w:t>
      </w:r>
      <w:proofErr w:type="gramEnd"/>
      <w:r w:rsidRPr="7A143A03">
        <w:rPr>
          <w:rFonts w:eastAsia="Palatino Linotype" w:cs="Palatino Linotype"/>
        </w:rPr>
        <w:t>. We encourage WMA to participate in the IWG that will be formed in the first quarter of 2025 to provide feedback on the implementation of the fixed charge.</w:t>
      </w:r>
    </w:p>
    <w:p w:rsidR="008D2DE9" w:rsidP="7A143A03" w:rsidRDefault="008D2DE9" w14:paraId="70AB072A" w14:textId="4D478B06">
      <w:pPr>
        <w:rPr>
          <w:i/>
          <w:iCs/>
        </w:rPr>
      </w:pPr>
    </w:p>
    <w:p w:rsidRPr="004A01D1" w:rsidR="005F7FDB" w:rsidP="005F7FDB" w:rsidRDefault="005F7FDB" w14:paraId="343351BC" w14:textId="31F7209D">
      <w:pPr>
        <w:rPr>
          <w:b/>
          <w:bCs/>
        </w:rPr>
      </w:pPr>
      <w:r w:rsidRPr="59891145">
        <w:rPr>
          <w:b/>
          <w:bCs/>
        </w:rPr>
        <w:t>Proposed ME&amp;O Plan</w:t>
      </w:r>
    </w:p>
    <w:p w:rsidR="005F7FDB" w:rsidP="7A143A03" w:rsidRDefault="146D32F9" w14:paraId="5D6DBD77" w14:textId="00CE0848">
      <w:r w:rsidRPr="00AB30D3">
        <w:t>WMA recommended the Tier 2 AL</w:t>
      </w:r>
      <w:r>
        <w:t>,</w:t>
      </w:r>
      <w:r w:rsidRPr="00AB30D3">
        <w:t xml:space="preserve"> as specified in Order</w:t>
      </w:r>
      <w:r w:rsidR="234DDD85">
        <w:t>ing Para</w:t>
      </w:r>
      <w:r w:rsidR="1F0D78DE">
        <w:t>graph</w:t>
      </w:r>
      <w:r w:rsidRPr="00AB30D3">
        <w:t xml:space="preserve"> 6 of th</w:t>
      </w:r>
      <w:r>
        <w:t>e Draft</w:t>
      </w:r>
      <w:r w:rsidRPr="00AB30D3">
        <w:t xml:space="preserve"> Resolution</w:t>
      </w:r>
      <w:r>
        <w:t>,</w:t>
      </w:r>
      <w:r w:rsidRPr="00B751D1">
        <w:t xml:space="preserve"> </w:t>
      </w:r>
      <w:r w:rsidRPr="00AB30D3">
        <w:t xml:space="preserve">direct </w:t>
      </w:r>
      <w:r w:rsidR="5C907285">
        <w:t>SDG&amp;E</w:t>
      </w:r>
      <w:r w:rsidRPr="00AB30D3">
        <w:t xml:space="preserve"> to </w:t>
      </w:r>
      <w:r>
        <w:t>submit a plan to provide master-metered customers with submetering outreach materials regarding</w:t>
      </w:r>
      <w:r w:rsidRPr="00AB30D3">
        <w:t xml:space="preserve"> the implementation of the fixed charge.</w:t>
      </w:r>
      <w:r w:rsidR="005F7FDB">
        <w:rPr>
          <w:rStyle w:val="FootnoteReference"/>
        </w:rPr>
        <w:footnoteReference w:id="219"/>
      </w:r>
      <w:r w:rsidRPr="00AB30D3">
        <w:t xml:space="preserve"> </w:t>
      </w:r>
      <w:r>
        <w:t>WMA indicated t</w:t>
      </w:r>
      <w:r w:rsidRPr="00AB30D3">
        <w:t xml:space="preserve">he outreach material </w:t>
      </w:r>
      <w:r w:rsidR="078776F6">
        <w:t>could</w:t>
      </w:r>
      <w:r w:rsidRPr="00AB30D3">
        <w:t xml:space="preserve"> </w:t>
      </w:r>
      <w:r>
        <w:t>be</w:t>
      </w:r>
      <w:r w:rsidRPr="00AB30D3">
        <w:t xml:space="preserve"> a letter to submetering tenants that </w:t>
      </w:r>
      <w:r w:rsidRPr="7A143A03">
        <w:t>could be posted in a conspicuous area of the master-metered development.</w:t>
      </w:r>
      <w:r w:rsidR="005F7FDB">
        <w:rPr>
          <w:rStyle w:val="FootnoteReference"/>
        </w:rPr>
        <w:footnoteReference w:id="220"/>
      </w:r>
    </w:p>
    <w:p w:rsidR="005F7FDB" w:rsidP="7A143A03" w:rsidRDefault="005F7FDB" w14:paraId="560A597E" w14:textId="77777777">
      <w:pPr>
        <w:rPr>
          <w:b/>
          <w:bCs/>
        </w:rPr>
      </w:pPr>
    </w:p>
    <w:p w:rsidR="354F0DB4" w:rsidP="7A143A03" w:rsidRDefault="49E713D7" w14:paraId="0BEFDD55" w14:textId="196D07A4">
      <w:pPr>
        <w:rPr>
          <w:rFonts w:eastAsia="Palatino Linotype" w:cs="Palatino Linotype"/>
        </w:rPr>
      </w:pPr>
      <w:r w:rsidRPr="7A143A03">
        <w:rPr>
          <w:rFonts w:eastAsia="Palatino Linotype" w:cs="Palatino Linotype"/>
        </w:rPr>
        <w:t>WMA’s request would require additional time for development of the proposed materials and review and comment by interested stakeholders. In the interest of timely implementation of the fixed charge, we make no changes in response to WMA’s comment and encourage WMA to participate in the IWG that will be formed in the first quarter of 2025 to provide feedback on the implementation of the fixed charge.</w:t>
      </w:r>
    </w:p>
    <w:p w:rsidR="00D72EE7" w:rsidP="7A143A03" w:rsidRDefault="00D72EE7" w14:paraId="67BFFEB9" w14:textId="77777777"/>
    <w:p w:rsidRPr="00D865A9" w:rsidR="00CF17DE" w:rsidP="00F22803" w:rsidRDefault="00CF17DE" w14:paraId="07618DBE" w14:textId="77777777">
      <w:pPr>
        <w:pStyle w:val="Heading1"/>
      </w:pPr>
      <w:r w:rsidRPr="00D865A9">
        <w:t>Findings</w:t>
      </w:r>
    </w:p>
    <w:p w:rsidR="00B0196E" w:rsidP="00C401B7" w:rsidRDefault="00C63D82" w14:paraId="2399EDE1" w14:textId="03D0A8DF">
      <w:pPr>
        <w:pStyle w:val="ListParagraph"/>
        <w:numPr>
          <w:ilvl w:val="0"/>
          <w:numId w:val="13"/>
        </w:numPr>
      </w:pPr>
      <w:r>
        <w:t>A</w:t>
      </w:r>
      <w:r w:rsidR="19FD6642">
        <w:t xml:space="preserve">ssembly </w:t>
      </w:r>
      <w:r w:rsidR="71B9C476">
        <w:t>B</w:t>
      </w:r>
      <w:r w:rsidR="3177D54C">
        <w:t>ill (</w:t>
      </w:r>
      <w:r>
        <w:t>A</w:t>
      </w:r>
      <w:r w:rsidR="71B9C476">
        <w:t>B</w:t>
      </w:r>
      <w:r w:rsidR="3177D54C">
        <w:t>)</w:t>
      </w:r>
      <w:r>
        <w:t xml:space="preserve"> 205</w:t>
      </w:r>
      <w:r w:rsidR="00CC39C9">
        <w:t xml:space="preserve"> (St</w:t>
      </w:r>
      <w:r w:rsidR="00960983">
        <w:t>ats</w:t>
      </w:r>
      <w:r w:rsidR="0053481F">
        <w:t xml:space="preserve">. </w:t>
      </w:r>
      <w:r w:rsidR="003B6448">
        <w:t>2022</w:t>
      </w:r>
      <w:r w:rsidR="00403B57">
        <w:t xml:space="preserve">, </w:t>
      </w:r>
      <w:proofErr w:type="spellStart"/>
      <w:r w:rsidR="00403B57">
        <w:t>ch.</w:t>
      </w:r>
      <w:proofErr w:type="spellEnd"/>
      <w:r w:rsidR="00403B57">
        <w:t xml:space="preserve"> 61)</w:t>
      </w:r>
      <w:r w:rsidR="00E67F44">
        <w:t xml:space="preserve"> </w:t>
      </w:r>
      <w:r w:rsidR="004059EB">
        <w:t>authorized</w:t>
      </w:r>
      <w:r w:rsidR="00E67F44">
        <w:t xml:space="preserve"> the </w:t>
      </w:r>
      <w:r w:rsidR="19308507">
        <w:t xml:space="preserve">California Public Utilities </w:t>
      </w:r>
      <w:r w:rsidR="00E67F44">
        <w:t xml:space="preserve">Commission </w:t>
      </w:r>
      <w:r w:rsidR="19308507">
        <w:t>(</w:t>
      </w:r>
      <w:r w:rsidR="00E67F44">
        <w:t>Commission</w:t>
      </w:r>
      <w:r w:rsidR="69E46C7B">
        <w:t>)</w:t>
      </w:r>
      <w:r w:rsidR="00E67F44">
        <w:t xml:space="preserve"> to</w:t>
      </w:r>
      <w:r w:rsidR="00AE55B9">
        <w:t xml:space="preserve"> adopt an equitable rate structure for</w:t>
      </w:r>
      <w:r w:rsidR="008942CC">
        <w:t xml:space="preserve"> residential</w:t>
      </w:r>
      <w:r w:rsidR="00D8515A">
        <w:t xml:space="preserve"> customers</w:t>
      </w:r>
      <w:r w:rsidR="0094026F">
        <w:t xml:space="preserve"> and to direct the </w:t>
      </w:r>
      <w:r w:rsidR="00062541">
        <w:t xml:space="preserve">electric </w:t>
      </w:r>
      <w:r w:rsidR="3DB91FC9">
        <w:t>investor-owned</w:t>
      </w:r>
      <w:r w:rsidR="00062541">
        <w:t xml:space="preserve"> </w:t>
      </w:r>
      <w:r w:rsidR="0739AB3C">
        <w:t>utilities (</w:t>
      </w:r>
      <w:r w:rsidR="004059EB">
        <w:t>IOUs</w:t>
      </w:r>
      <w:r w:rsidR="15794D24">
        <w:t>)</w:t>
      </w:r>
      <w:r w:rsidR="00CD467D">
        <w:t xml:space="preserve"> to collect a reasonable portion of the fixed costs </w:t>
      </w:r>
      <w:r w:rsidR="00CC39C9">
        <w:t>of providing electric services for residential customers.</w:t>
      </w:r>
    </w:p>
    <w:p w:rsidR="008F0F40" w:rsidP="00C401B7" w:rsidRDefault="008F0F40" w14:paraId="43683175" w14:textId="2D5F4731">
      <w:pPr>
        <w:pStyle w:val="ListParagraph"/>
        <w:numPr>
          <w:ilvl w:val="0"/>
          <w:numId w:val="13"/>
        </w:numPr>
      </w:pPr>
      <w:r>
        <w:t>D</w:t>
      </w:r>
      <w:r w:rsidR="1069CC49">
        <w:t>ecision (</w:t>
      </w:r>
      <w:r>
        <w:t>D</w:t>
      </w:r>
      <w:r w:rsidR="1069CC49">
        <w:t xml:space="preserve">.) </w:t>
      </w:r>
      <w:r w:rsidR="00AD6253">
        <w:t>24-</w:t>
      </w:r>
      <w:r w:rsidR="006B466E">
        <w:t>05-028</w:t>
      </w:r>
      <w:r w:rsidR="001A5907">
        <w:t xml:space="preserve"> authorized all </w:t>
      </w:r>
      <w:r w:rsidR="00B03C7D">
        <w:t xml:space="preserve">electric </w:t>
      </w:r>
      <w:r w:rsidR="00D8515A">
        <w:t>investor-owned utilities</w:t>
      </w:r>
      <w:r w:rsidR="00DB325E">
        <w:t xml:space="preserve"> to</w:t>
      </w:r>
      <w:r w:rsidR="000727A5">
        <w:t xml:space="preserve"> change the structure of residential bills in acc</w:t>
      </w:r>
      <w:r w:rsidR="00C46801">
        <w:t>ordance with A</w:t>
      </w:r>
      <w:r w:rsidR="47A25A7C">
        <w:t>B</w:t>
      </w:r>
      <w:r w:rsidR="00C46801">
        <w:t xml:space="preserve"> 205.</w:t>
      </w:r>
    </w:p>
    <w:p w:rsidR="00480485" w:rsidP="00C401B7" w:rsidRDefault="00480485" w14:paraId="299B3B1A" w14:textId="5E6B8EBC">
      <w:pPr>
        <w:pStyle w:val="ListParagraph"/>
        <w:numPr>
          <w:ilvl w:val="0"/>
          <w:numId w:val="13"/>
        </w:numPr>
      </w:pPr>
      <w:r>
        <w:t>D.24-05-02</w:t>
      </w:r>
      <w:r w:rsidR="00D8515A">
        <w:t>8</w:t>
      </w:r>
      <w:r w:rsidR="007F0720">
        <w:t xml:space="preserve"> adopted a three-tier structure for </w:t>
      </w:r>
      <w:r w:rsidR="2A122025">
        <w:t>the income-</w:t>
      </w:r>
      <w:r w:rsidR="6C194CE0">
        <w:t>graduated</w:t>
      </w:r>
      <w:r w:rsidR="2A122025">
        <w:t xml:space="preserve"> fixed charge (</w:t>
      </w:r>
      <w:r w:rsidR="007F0720">
        <w:t>IGFC</w:t>
      </w:r>
      <w:r w:rsidR="0DF2CA7A">
        <w:t>)</w:t>
      </w:r>
      <w:r w:rsidR="007F0720">
        <w:t xml:space="preserve"> for each electric IOU to adopt and set specific rate design guidelines addressing which revenues may be collected through the fixed charge.</w:t>
      </w:r>
    </w:p>
    <w:p w:rsidR="003C4B63" w:rsidP="00C401B7" w:rsidRDefault="004059EB" w14:paraId="0602E8CE" w14:textId="4D5A18C3">
      <w:pPr>
        <w:pStyle w:val="ListParagraph"/>
        <w:numPr>
          <w:ilvl w:val="0"/>
          <w:numId w:val="13"/>
        </w:numPr>
      </w:pPr>
      <w:r>
        <w:t>O</w:t>
      </w:r>
      <w:r w:rsidR="428CE231">
        <w:t xml:space="preserve">rdering </w:t>
      </w:r>
      <w:r>
        <w:t>P</w:t>
      </w:r>
      <w:r w:rsidR="346C85DD">
        <w:t>aragraph</w:t>
      </w:r>
      <w:r w:rsidR="003569AD">
        <w:t xml:space="preserve"> 3(c) of </w:t>
      </w:r>
      <w:r w:rsidR="001B2633">
        <w:t>D</w:t>
      </w:r>
      <w:r w:rsidR="3172D195">
        <w:t>.</w:t>
      </w:r>
      <w:r w:rsidR="001B2633">
        <w:t>24-0</w:t>
      </w:r>
      <w:r w:rsidR="006B466E">
        <w:t>5</w:t>
      </w:r>
      <w:r w:rsidR="001B2633">
        <w:t xml:space="preserve">-028 directed </w:t>
      </w:r>
      <w:r w:rsidR="00FE3B70">
        <w:t>Pacific Gas and Electric Company</w:t>
      </w:r>
      <w:r w:rsidR="00941B94">
        <w:t xml:space="preserve"> (PG&amp;E)</w:t>
      </w:r>
      <w:r w:rsidR="00FE3B70">
        <w:t xml:space="preserve">, Southern </w:t>
      </w:r>
      <w:r w:rsidR="003569AD">
        <w:t>California</w:t>
      </w:r>
      <w:r w:rsidR="00FE3B70">
        <w:t xml:space="preserve"> Edison Company</w:t>
      </w:r>
      <w:r w:rsidR="00941B94">
        <w:t xml:space="preserve"> (SCE)</w:t>
      </w:r>
      <w:r w:rsidR="00FE3B70">
        <w:t xml:space="preserve">, and </w:t>
      </w:r>
      <w:r w:rsidR="00DC1D91">
        <w:t xml:space="preserve">San Diego Gas &amp; Electric </w:t>
      </w:r>
      <w:r w:rsidR="00FE3B70">
        <w:t xml:space="preserve">Company </w:t>
      </w:r>
      <w:r w:rsidR="2DDE8395">
        <w:t>(</w:t>
      </w:r>
      <w:r w:rsidR="00941B94">
        <w:t>SDG&amp;E</w:t>
      </w:r>
      <w:r w:rsidR="00E33493">
        <w:t>), (</w:t>
      </w:r>
      <w:r w:rsidR="2DDE8395">
        <w:t>collectively, Large IOUs)</w:t>
      </w:r>
      <w:r w:rsidR="00FE3B70">
        <w:t xml:space="preserve"> to</w:t>
      </w:r>
      <w:r w:rsidR="00E33493">
        <w:t xml:space="preserve"> each</w:t>
      </w:r>
      <w:r w:rsidR="003569AD">
        <w:t xml:space="preserve"> file a Tier 3 Advice Letter </w:t>
      </w:r>
      <w:r w:rsidR="005249E4">
        <w:t xml:space="preserve">requesting approval to implement </w:t>
      </w:r>
      <w:r w:rsidR="00EC09F9">
        <w:t>the fixed charge for residential customers.</w:t>
      </w:r>
    </w:p>
    <w:p w:rsidR="00CF17DE" w:rsidP="00C401B7" w:rsidRDefault="005B103D" w14:paraId="5D1129F7" w14:textId="487628AF">
      <w:pPr>
        <w:pStyle w:val="ListParagraph"/>
        <w:numPr>
          <w:ilvl w:val="0"/>
          <w:numId w:val="13"/>
        </w:numPr>
        <w:rPr>
          <w:rFonts w:ascii="Calibri" w:hAnsi="Calibri" w:eastAsia="Calibri" w:cs="Calibri"/>
        </w:rPr>
      </w:pPr>
      <w:r>
        <w:t>SDG&amp;E</w:t>
      </w:r>
      <w:r w:rsidR="00B21AF9">
        <w:t xml:space="preserve"> filed </w:t>
      </w:r>
      <w:r w:rsidR="270B50DB">
        <w:t>Advice Letter (</w:t>
      </w:r>
      <w:r>
        <w:t>AL</w:t>
      </w:r>
      <w:r w:rsidR="06E1878B">
        <w:t>)</w:t>
      </w:r>
      <w:r w:rsidR="00B21AF9">
        <w:t xml:space="preserve"> </w:t>
      </w:r>
      <w:r w:rsidR="00834475">
        <w:t>4492-</w:t>
      </w:r>
      <w:r w:rsidR="003134A7">
        <w:t>E</w:t>
      </w:r>
      <w:r w:rsidR="7ED79D76">
        <w:t xml:space="preserve"> on August 13, 2024</w:t>
      </w:r>
      <w:r w:rsidR="006C7781">
        <w:t>,</w:t>
      </w:r>
      <w:r w:rsidR="00472822">
        <w:t xml:space="preserve"> </w:t>
      </w:r>
      <w:r w:rsidR="001D76F2">
        <w:t xml:space="preserve">a partial supplemental, </w:t>
      </w:r>
      <w:r>
        <w:t>AL</w:t>
      </w:r>
      <w:r w:rsidR="001D76F2">
        <w:t xml:space="preserve"> 4492-E-A</w:t>
      </w:r>
      <w:r w:rsidR="00746225">
        <w:t>,</w:t>
      </w:r>
      <w:r w:rsidR="001D76F2">
        <w:t xml:space="preserve"> on September 16, 2024</w:t>
      </w:r>
      <w:r w:rsidR="006C7781">
        <w:t>, and a second parti</w:t>
      </w:r>
      <w:r w:rsidR="00F308F5">
        <w:t xml:space="preserve">al supplemental, </w:t>
      </w:r>
      <w:r>
        <w:t>AL</w:t>
      </w:r>
      <w:r w:rsidR="00F308F5">
        <w:t xml:space="preserve"> 4492-E-B, on October 9, 2024.</w:t>
      </w:r>
    </w:p>
    <w:p w:rsidR="04FCC684" w:rsidP="00C401B7" w:rsidRDefault="018A8BAF" w14:paraId="62EF95A3" w14:textId="17C4A0B1">
      <w:pPr>
        <w:pStyle w:val="ListParagraph"/>
        <w:numPr>
          <w:ilvl w:val="0"/>
          <w:numId w:val="13"/>
        </w:numPr>
      </w:pPr>
      <w:r w:rsidRPr="0F2A7B6B">
        <w:lastRenderedPageBreak/>
        <w:t xml:space="preserve">It is reasonable for SDG&amp;E </w:t>
      </w:r>
      <w:r w:rsidR="110A2963">
        <w:t>to implement</w:t>
      </w:r>
      <w:r>
        <w:t xml:space="preserve"> </w:t>
      </w:r>
      <w:r w:rsidRPr="0F2A7B6B">
        <w:t xml:space="preserve">the fixed charge calculations documented by SDG&amp;E in </w:t>
      </w:r>
      <w:r w:rsidR="005B103D">
        <w:t>AL</w:t>
      </w:r>
      <w:r w:rsidRPr="0F2A7B6B">
        <w:t xml:space="preserve"> 4492-E, including the cost components designated for collection in each </w:t>
      </w:r>
      <w:r w:rsidR="005B103D">
        <w:t>t</w:t>
      </w:r>
      <w:r w:rsidRPr="0F2A7B6B">
        <w:t xml:space="preserve">ier of the </w:t>
      </w:r>
      <w:r w:rsidR="005B103D">
        <w:t>IGFC</w:t>
      </w:r>
      <w:r w:rsidRPr="0F2A7B6B">
        <w:t xml:space="preserve"> and the cost layering methodology. </w:t>
      </w:r>
    </w:p>
    <w:p w:rsidR="01CC85A8" w:rsidP="00C401B7" w:rsidRDefault="01CC85A8" w14:paraId="04163533" w14:textId="7ABFCAEC">
      <w:pPr>
        <w:pStyle w:val="ListParagraph"/>
        <w:numPr>
          <w:ilvl w:val="0"/>
          <w:numId w:val="13"/>
        </w:numPr>
      </w:pPr>
      <w:r w:rsidRPr="78008512">
        <w:t>It</w:t>
      </w:r>
      <w:r w:rsidRPr="11515300" w:rsidR="128453A2">
        <w:t xml:space="preserve"> is </w:t>
      </w:r>
      <w:r w:rsidRPr="78008512">
        <w:t xml:space="preserve">reasonable for SDG&amp;E to update all eligible residential rate schedules and tariffs to include Tier 3, Tier 2 and Tier 1 </w:t>
      </w:r>
      <w:r w:rsidR="002831F6">
        <w:t>f</w:t>
      </w:r>
      <w:r w:rsidRPr="78008512">
        <w:t xml:space="preserve">ixed </w:t>
      </w:r>
      <w:r w:rsidR="002831F6">
        <w:t>c</w:t>
      </w:r>
      <w:r w:rsidRPr="78008512">
        <w:t xml:space="preserve">harges, </w:t>
      </w:r>
      <w:proofErr w:type="gramStart"/>
      <w:r w:rsidRPr="78008512">
        <w:t>with the exception of</w:t>
      </w:r>
      <w:proofErr w:type="gramEnd"/>
      <w:r w:rsidRPr="78008512" w:rsidR="664D9923">
        <w:t xml:space="preserve"> </w:t>
      </w:r>
      <w:r w:rsidR="00914E5D">
        <w:br/>
      </w:r>
      <w:r w:rsidRPr="78008512">
        <w:t xml:space="preserve">EV-TOU and </w:t>
      </w:r>
      <w:r w:rsidR="4797E156">
        <w:t>the “</w:t>
      </w:r>
      <w:r w:rsidRPr="78008512">
        <w:t>DM</w:t>
      </w:r>
      <w:r w:rsidR="1E201F32">
        <w:t>” rate option</w:t>
      </w:r>
      <w:r w:rsidRPr="78008512" w:rsidR="2EF65C04">
        <w:t>.</w:t>
      </w:r>
    </w:p>
    <w:p w:rsidR="128453A2" w:rsidP="00C401B7" w:rsidRDefault="592A4591" w14:paraId="6C23487F" w14:textId="71C6FFEB">
      <w:pPr>
        <w:pStyle w:val="ListParagraph"/>
        <w:numPr>
          <w:ilvl w:val="0"/>
          <w:numId w:val="13"/>
        </w:numPr>
      </w:pPr>
      <w:r>
        <w:t>It</w:t>
      </w:r>
      <w:r w:rsidRPr="11515300" w:rsidR="128453A2">
        <w:t xml:space="preserve"> is </w:t>
      </w:r>
      <w:r>
        <w:t>reasonable for SDG&amp;E</w:t>
      </w:r>
      <w:r w:rsidRPr="11515300" w:rsidR="128453A2">
        <w:t xml:space="preserve"> to reduce residential volumetric</w:t>
      </w:r>
      <w:r w:rsidRPr="11515300" w:rsidR="114D818E">
        <w:t xml:space="preserve"> </w:t>
      </w:r>
      <w:r w:rsidRPr="11515300" w:rsidR="27A4FAAF">
        <w:t xml:space="preserve">rates on an equal per cents </w:t>
      </w:r>
      <w:r w:rsidR="425E60E5">
        <w:t xml:space="preserve">per kilowatt hour </w:t>
      </w:r>
      <w:r w:rsidRPr="11515300" w:rsidR="27A4FAAF">
        <w:t>or equal percent</w:t>
      </w:r>
      <w:r w:rsidRPr="11515300" w:rsidR="080EFFBE">
        <w:t>age</w:t>
      </w:r>
      <w:r w:rsidRPr="11515300" w:rsidR="27A4FAAF">
        <w:t xml:space="preserve"> basis for all residential rates</w:t>
      </w:r>
      <w:r w:rsidRPr="11515300" w:rsidR="62A10AED">
        <w:t xml:space="preserve">, including </w:t>
      </w:r>
      <w:r w:rsidR="1C74A0EE">
        <w:t>for</w:t>
      </w:r>
      <w:r w:rsidRPr="11515300" w:rsidR="62A10AED">
        <w:t xml:space="preserve"> adjustments to optional electrification rates and their time-varying distribution rates</w:t>
      </w:r>
      <w:r w:rsidR="719051DB">
        <w:t>,</w:t>
      </w:r>
      <w:r w:rsidR="49D538CA">
        <w:t xml:space="preserve"> as proposed in </w:t>
      </w:r>
      <w:r w:rsidR="005B103D">
        <w:t>AL</w:t>
      </w:r>
      <w:r w:rsidR="49D538CA">
        <w:t xml:space="preserve"> 4492-E.</w:t>
      </w:r>
      <w:r w:rsidRPr="11515300" w:rsidR="34A901CA">
        <w:t xml:space="preserve"> </w:t>
      </w:r>
    </w:p>
    <w:p w:rsidRPr="005410EA" w:rsidR="0A110428" w:rsidP="00C401B7" w:rsidRDefault="1BB2A881" w14:paraId="03519C04" w14:textId="37B8B87A">
      <w:pPr>
        <w:pStyle w:val="ListParagraph"/>
        <w:numPr>
          <w:ilvl w:val="0"/>
          <w:numId w:val="13"/>
        </w:numPr>
        <w:rPr>
          <w:rFonts w:eastAsia="Palatino Linotype" w:cs="Palatino Linotype"/>
          <w:color w:val="000000" w:themeColor="text1"/>
        </w:rPr>
      </w:pPr>
      <w:r w:rsidRPr="0F2A7B6B">
        <w:rPr>
          <w:rFonts w:eastAsia="Palatino Linotype" w:cs="Palatino Linotype"/>
          <w:color w:val="000000" w:themeColor="text1"/>
        </w:rPr>
        <w:t>It</w:t>
      </w:r>
      <w:r w:rsidRPr="11515300" w:rsidR="0A110428">
        <w:rPr>
          <w:rFonts w:eastAsia="Palatino Linotype" w:cs="Palatino Linotype"/>
          <w:color w:val="000000" w:themeColor="text1"/>
        </w:rPr>
        <w:t xml:space="preserve"> is </w:t>
      </w:r>
      <w:r w:rsidRPr="0F2A7B6B">
        <w:rPr>
          <w:rFonts w:eastAsia="Palatino Linotype" w:cs="Palatino Linotype"/>
          <w:color w:val="000000" w:themeColor="text1"/>
        </w:rPr>
        <w:t>reasonable for</w:t>
      </w:r>
      <w:r w:rsidRPr="11515300" w:rsidR="0A110428">
        <w:rPr>
          <w:rFonts w:eastAsia="Palatino Linotype" w:cs="Palatino Linotype"/>
          <w:color w:val="000000" w:themeColor="text1"/>
        </w:rPr>
        <w:t xml:space="preserve"> SDG&amp;</w:t>
      </w:r>
      <w:r w:rsidRPr="0F2A7B6B">
        <w:rPr>
          <w:rFonts w:eastAsia="Palatino Linotype" w:cs="Palatino Linotype"/>
          <w:color w:val="000000" w:themeColor="text1"/>
        </w:rPr>
        <w:t>E</w:t>
      </w:r>
      <w:r w:rsidRPr="11515300" w:rsidR="0A110428">
        <w:rPr>
          <w:rFonts w:eastAsia="Palatino Linotype" w:cs="Palatino Linotype"/>
          <w:color w:val="000000" w:themeColor="text1"/>
        </w:rPr>
        <w:t xml:space="preserve"> to remove the minimum bill from eligible residential rate schedules and replace the “monthly service fee” or “basic service fee” with a </w:t>
      </w:r>
      <w:r w:rsidRPr="6E76372F" w:rsidR="3E726AC0">
        <w:rPr>
          <w:rFonts w:eastAsia="Palatino Linotype" w:cs="Palatino Linotype"/>
          <w:color w:val="000000" w:themeColor="text1"/>
        </w:rPr>
        <w:t>f</w:t>
      </w:r>
      <w:r w:rsidRPr="6E76372F" w:rsidR="0A110428">
        <w:rPr>
          <w:rFonts w:eastAsia="Palatino Linotype" w:cs="Palatino Linotype"/>
          <w:color w:val="000000" w:themeColor="text1"/>
        </w:rPr>
        <w:t>ixed</w:t>
      </w:r>
      <w:r w:rsidRPr="11515300" w:rsidR="0A110428">
        <w:rPr>
          <w:rFonts w:eastAsia="Palatino Linotype" w:cs="Palatino Linotype"/>
          <w:color w:val="000000" w:themeColor="text1"/>
        </w:rPr>
        <w:t xml:space="preserve"> </w:t>
      </w:r>
      <w:r w:rsidRPr="1E37C6CE" w:rsidR="7E013242">
        <w:rPr>
          <w:rFonts w:eastAsia="Palatino Linotype" w:cs="Palatino Linotype"/>
          <w:color w:val="000000" w:themeColor="text1"/>
        </w:rPr>
        <w:t>c</w:t>
      </w:r>
      <w:r w:rsidRPr="1E37C6CE" w:rsidR="0A110428">
        <w:rPr>
          <w:rFonts w:eastAsia="Palatino Linotype" w:cs="Palatino Linotype"/>
          <w:color w:val="000000" w:themeColor="text1"/>
        </w:rPr>
        <w:t>harge</w:t>
      </w:r>
      <w:r w:rsidRPr="11515300" w:rsidR="0A110428">
        <w:rPr>
          <w:rFonts w:eastAsia="Palatino Linotype" w:cs="Palatino Linotype"/>
          <w:color w:val="000000" w:themeColor="text1"/>
        </w:rPr>
        <w:t xml:space="preserve"> line item</w:t>
      </w:r>
      <w:r w:rsidRPr="3D4282C2" w:rsidR="4F60E720">
        <w:rPr>
          <w:rFonts w:eastAsia="Palatino Linotype" w:cs="Palatino Linotype"/>
          <w:color w:val="000000" w:themeColor="text1"/>
        </w:rPr>
        <w:t xml:space="preserve"> for E-CARE and FERA</w:t>
      </w:r>
      <w:r w:rsidRPr="11515300" w:rsidR="46DC1B07">
        <w:rPr>
          <w:rFonts w:eastAsia="Palatino Linotype" w:cs="Palatino Linotype"/>
          <w:color w:val="000000" w:themeColor="text1"/>
        </w:rPr>
        <w:t>.</w:t>
      </w:r>
    </w:p>
    <w:p w:rsidRPr="00DB55FC" w:rsidR="008F6866" w:rsidP="00C401B7" w:rsidRDefault="00B14DA7" w14:paraId="34FF908F" w14:textId="7024CDD6">
      <w:pPr>
        <w:pStyle w:val="ListParagraph"/>
        <w:numPr>
          <w:ilvl w:val="0"/>
          <w:numId w:val="13"/>
        </w:numPr>
      </w:pPr>
      <w:r>
        <w:t>PG</w:t>
      </w:r>
      <w:r w:rsidR="6A9666FC">
        <w:t xml:space="preserve">&amp;E </w:t>
      </w:r>
      <w:r>
        <w:t>has proposed</w:t>
      </w:r>
      <w:r w:rsidR="00E02045">
        <w:t xml:space="preserve"> to collect </w:t>
      </w:r>
      <w:r w:rsidRPr="00DB55FC" w:rsidR="008F6866">
        <w:t xml:space="preserve">information regarding </w:t>
      </w:r>
      <w:r w:rsidR="00941B94">
        <w:t>deed-restricted affordable housing</w:t>
      </w:r>
      <w:r w:rsidRPr="00DB55FC" w:rsidR="008F6866">
        <w:t xml:space="preserve"> </w:t>
      </w:r>
      <w:r w:rsidR="00941B94">
        <w:t>(</w:t>
      </w:r>
      <w:r w:rsidRPr="00DB55FC" w:rsidR="008F6866">
        <w:t>DRAH</w:t>
      </w:r>
      <w:r w:rsidR="00941B94">
        <w:t>)</w:t>
      </w:r>
      <w:r w:rsidRPr="00DB55FC" w:rsidR="008F6866">
        <w:t xml:space="preserve"> status through CARE and FERA applications as a cost-effective means to </w:t>
      </w:r>
      <w:r w:rsidR="008F6866">
        <w:t>improve data collection regarding deed restricted housing</w:t>
      </w:r>
      <w:r w:rsidR="004674CC">
        <w:t>.</w:t>
      </w:r>
    </w:p>
    <w:p w:rsidRPr="00117814" w:rsidR="0043310E" w:rsidP="00C401B7" w:rsidRDefault="0043310E" w14:paraId="2ED62CD9" w14:textId="77777777">
      <w:pPr>
        <w:pStyle w:val="ListParagraph"/>
        <w:numPr>
          <w:ilvl w:val="0"/>
          <w:numId w:val="13"/>
        </w:numPr>
        <w:rPr>
          <w:rFonts w:eastAsia="Times New Roman" w:cs="Times New Roman"/>
          <w:color w:val="0E101A"/>
        </w:rPr>
      </w:pPr>
      <w:r w:rsidRPr="6280E992">
        <w:rPr>
          <w:rFonts w:eastAsia="Times New Roman" w:cs="Times New Roman"/>
          <w:color w:val="0E101A"/>
        </w:rPr>
        <w:t>SDG&amp;E’s plan to default to Tier 1 all customers enrolled in its CARE program at the time its initial Tier assignment process is conducted, and to automatically enroll new CARE enrollees in Tier 1 on an ongoing basis, is reasonable.</w:t>
      </w:r>
    </w:p>
    <w:p w:rsidRPr="00117814" w:rsidR="0043310E" w:rsidP="00C401B7" w:rsidRDefault="0043310E" w14:paraId="698354D3" w14:textId="77777777">
      <w:pPr>
        <w:pStyle w:val="ListParagraph"/>
        <w:numPr>
          <w:ilvl w:val="0"/>
          <w:numId w:val="13"/>
        </w:numPr>
      </w:pPr>
      <w:r>
        <w:t>SDG&amp;E</w:t>
      </w:r>
      <w:r w:rsidRPr="0010131D">
        <w:t>’s proposed methodology for placement of qualified customers into Tier 2</w:t>
      </w:r>
      <w:r>
        <w:t xml:space="preserve"> including its plan to default customers enrolled in its FERA program at </w:t>
      </w:r>
      <w:r w:rsidRPr="00591039">
        <w:rPr>
          <w:rFonts w:eastAsia="Times New Roman" w:cs="Times New Roman"/>
          <w:color w:val="0E101A"/>
        </w:rPr>
        <w:t xml:space="preserve">the time its initial Tier assignment process is conducted, and to automatically enroll new </w:t>
      </w:r>
      <w:r>
        <w:rPr>
          <w:rFonts w:eastAsia="Times New Roman" w:cs="Times New Roman"/>
          <w:color w:val="0E101A"/>
        </w:rPr>
        <w:t xml:space="preserve">FERA </w:t>
      </w:r>
      <w:r w:rsidRPr="00591039">
        <w:rPr>
          <w:rFonts w:eastAsia="Times New Roman" w:cs="Times New Roman"/>
          <w:color w:val="0E101A"/>
        </w:rPr>
        <w:t xml:space="preserve">enrollees in Tier </w:t>
      </w:r>
      <w:r>
        <w:rPr>
          <w:rFonts w:eastAsia="Times New Roman" w:cs="Times New Roman"/>
          <w:color w:val="0E101A"/>
        </w:rPr>
        <w:t>2</w:t>
      </w:r>
      <w:r w:rsidRPr="00591039">
        <w:rPr>
          <w:rFonts w:eastAsia="Times New Roman" w:cs="Times New Roman"/>
          <w:color w:val="0E101A"/>
        </w:rPr>
        <w:t xml:space="preserve"> on an ongoing basis, is reasonable</w:t>
      </w:r>
      <w:r>
        <w:rPr>
          <w:rFonts w:eastAsia="Times New Roman" w:cs="Times New Roman"/>
          <w:color w:val="0E101A"/>
        </w:rPr>
        <w:t>.</w:t>
      </w:r>
    </w:p>
    <w:p w:rsidR="0043310E" w:rsidP="00C401B7" w:rsidRDefault="0043310E" w14:paraId="6E5A143E" w14:textId="39F2153C">
      <w:pPr>
        <w:pStyle w:val="ListParagraph"/>
        <w:numPr>
          <w:ilvl w:val="0"/>
          <w:numId w:val="13"/>
        </w:numPr>
      </w:pPr>
      <w:r>
        <w:t xml:space="preserve">SDG&amp;E’s proposal to create a new process for identifying customers who live in deed-restricted affordable housing using the CHP database along with customer self-attestation where matching efforts are inconclusive strikes a reasonable balance between the goals of accuracy, cost, and equity, by identifying as DRAH qualified customers residing in multi-family properties for which the </w:t>
      </w:r>
      <w:r w:rsidR="00941B94">
        <w:t>California Housing Partnership (</w:t>
      </w:r>
      <w:r>
        <w:t>CHP</w:t>
      </w:r>
      <w:r w:rsidR="00941B94">
        <w:t>)</w:t>
      </w:r>
      <w:r>
        <w:t xml:space="preserve"> dataset shows over 80 percent of its component units are designated as deed-restricted housing.</w:t>
      </w:r>
    </w:p>
    <w:p w:rsidR="0043310E" w:rsidP="00C401B7" w:rsidRDefault="0043310E" w14:paraId="10C77674" w14:textId="77777777">
      <w:pPr>
        <w:pStyle w:val="ListParagraph"/>
        <w:numPr>
          <w:ilvl w:val="0"/>
          <w:numId w:val="13"/>
        </w:numPr>
      </w:pPr>
      <w:r>
        <w:t>SDG&amp;E’s overall self-attestation proposal for qualified DRAH customers, to establish their eligibility for assignment to Tier 2, is reasonable.</w:t>
      </w:r>
    </w:p>
    <w:p w:rsidR="0043310E" w:rsidP="00C401B7" w:rsidRDefault="0043310E" w14:paraId="4F17F138" w14:textId="77777777">
      <w:pPr>
        <w:pStyle w:val="ListParagraph"/>
        <w:numPr>
          <w:ilvl w:val="0"/>
          <w:numId w:val="13"/>
        </w:numPr>
      </w:pPr>
      <w:r>
        <w:t>SDG&amp;E’s proposal to place automatically into Tier 3 customers who do not qualify for Tiers 1 or 2 under its proposals for those Tiers is reasonable.</w:t>
      </w:r>
    </w:p>
    <w:p w:rsidR="00102F92" w:rsidP="00C401B7" w:rsidRDefault="00DC7B60" w14:paraId="198A7518" w14:textId="115B3D0D">
      <w:pPr>
        <w:pStyle w:val="ListParagraph"/>
        <w:numPr>
          <w:ilvl w:val="0"/>
          <w:numId w:val="13"/>
        </w:numPr>
      </w:pPr>
      <w:r>
        <w:t xml:space="preserve">It is reasonable for SDG&amp;E to </w:t>
      </w:r>
      <w:r w:rsidR="00442635">
        <w:t xml:space="preserve">consult with the </w:t>
      </w:r>
      <w:r w:rsidR="00941B94">
        <w:t>Implementation Working Group</w:t>
      </w:r>
      <w:r w:rsidR="00442635">
        <w:t xml:space="preserve"> </w:t>
      </w:r>
      <w:r w:rsidR="00941B94">
        <w:t>(</w:t>
      </w:r>
      <w:r w:rsidR="00442635">
        <w:t>IWG</w:t>
      </w:r>
      <w:r w:rsidR="00941B94">
        <w:t>)</w:t>
      </w:r>
      <w:r w:rsidR="00442635">
        <w:t xml:space="preserve"> </w:t>
      </w:r>
      <w:r w:rsidR="00102F92">
        <w:t xml:space="preserve">before implementing the tier assignments to coordinate actions across </w:t>
      </w:r>
      <w:r w:rsidRPr="00FC5BE6" w:rsidR="00102F92">
        <w:t>IOUs</w:t>
      </w:r>
      <w:r w:rsidR="00102F92">
        <w:t xml:space="preserve">.   </w:t>
      </w:r>
    </w:p>
    <w:p w:rsidRPr="002215B4" w:rsidR="0043310E" w:rsidP="00C401B7" w:rsidRDefault="0043310E" w14:paraId="648DCA35" w14:textId="0C3E2701">
      <w:pPr>
        <w:numPr>
          <w:ilvl w:val="0"/>
          <w:numId w:val="13"/>
        </w:numPr>
        <w:rPr>
          <w:rFonts w:eastAsia="Times New Roman" w:cs="Times New Roman"/>
          <w:color w:val="0E101A"/>
        </w:rPr>
      </w:pPr>
      <w:r w:rsidRPr="6280E992">
        <w:rPr>
          <w:rFonts w:eastAsia="Times New Roman" w:cs="Times New Roman"/>
          <w:color w:val="0E101A"/>
        </w:rPr>
        <w:lastRenderedPageBreak/>
        <w:t>Costs associated with SDGE’s Tier assignment proposals should be incremental, as they were not addressed in D.24-05-028. SDG&amp;E’s DRAH plan and budget are reasonable, subject to the modifications set forth herein. </w:t>
      </w:r>
    </w:p>
    <w:p w:rsidR="00B37CDA" w:rsidP="00C401B7" w:rsidRDefault="00B37CDA" w14:paraId="654A0E4D" w14:textId="40D205B6">
      <w:pPr>
        <w:numPr>
          <w:ilvl w:val="0"/>
          <w:numId w:val="13"/>
        </w:numPr>
        <w:rPr>
          <w:rFonts w:eastAsia="Times New Roman" w:cs="Times New Roman"/>
          <w:color w:val="0E101A"/>
        </w:rPr>
      </w:pPr>
      <w:r>
        <w:rPr>
          <w:rFonts w:eastAsia="Times New Roman" w:cs="Times New Roman"/>
          <w:color w:val="0E101A"/>
        </w:rPr>
        <w:t xml:space="preserve">It is reasonable for the Large </w:t>
      </w:r>
      <w:r w:rsidR="008F1817">
        <w:rPr>
          <w:rFonts w:eastAsia="Times New Roman" w:cs="Times New Roman"/>
          <w:color w:val="0E101A"/>
        </w:rPr>
        <w:t>IOUs</w:t>
      </w:r>
      <w:r>
        <w:rPr>
          <w:rFonts w:eastAsia="Times New Roman" w:cs="Times New Roman"/>
          <w:color w:val="0E101A"/>
        </w:rPr>
        <w:t xml:space="preserve"> to provide options </w:t>
      </w:r>
      <w:r w:rsidRPr="766D63D3" w:rsidR="5BB740BE">
        <w:rPr>
          <w:rFonts w:eastAsia="Times New Roman" w:cs="Times New Roman"/>
          <w:color w:val="0E101A"/>
        </w:rPr>
        <w:t>for customers</w:t>
      </w:r>
      <w:r w:rsidRPr="37FEE576">
        <w:rPr>
          <w:rFonts w:eastAsia="Times New Roman" w:cs="Times New Roman"/>
          <w:color w:val="0E101A"/>
        </w:rPr>
        <w:t xml:space="preserve"> </w:t>
      </w:r>
      <w:r>
        <w:rPr>
          <w:rFonts w:eastAsia="Times New Roman" w:cs="Times New Roman"/>
          <w:color w:val="0E101A"/>
        </w:rPr>
        <w:t xml:space="preserve">to enroll in CARE and FERA </w:t>
      </w:r>
      <w:r w:rsidRPr="032E6593" w:rsidR="338A2FF6">
        <w:rPr>
          <w:rFonts w:eastAsia="Times New Roman" w:cs="Times New Roman"/>
          <w:color w:val="0E101A"/>
        </w:rPr>
        <w:t>a</w:t>
      </w:r>
      <w:r w:rsidRPr="032E6593" w:rsidR="60137AAC">
        <w:rPr>
          <w:rFonts w:eastAsia="Times New Roman" w:cs="Times New Roman"/>
          <w:color w:val="0E101A"/>
        </w:rPr>
        <w:t>s well as</w:t>
      </w:r>
      <w:r w:rsidRPr="032E6593" w:rsidR="338A2FF6">
        <w:rPr>
          <w:rFonts w:eastAsia="Times New Roman" w:cs="Times New Roman"/>
          <w:color w:val="0E101A"/>
        </w:rPr>
        <w:t xml:space="preserve"> </w:t>
      </w:r>
      <w:r w:rsidRPr="032E6593" w:rsidR="6B8BC237">
        <w:rPr>
          <w:rFonts w:eastAsia="Times New Roman" w:cs="Times New Roman"/>
          <w:color w:val="0E101A"/>
        </w:rPr>
        <w:t>facilitate</w:t>
      </w:r>
      <w:r>
        <w:rPr>
          <w:rFonts w:eastAsia="Times New Roman" w:cs="Times New Roman"/>
          <w:color w:val="0E101A"/>
        </w:rPr>
        <w:t xml:space="preserve"> other ways to manage energy costs, but </w:t>
      </w:r>
      <w:r w:rsidRPr="032E6593" w:rsidR="74271809">
        <w:rPr>
          <w:rFonts w:eastAsia="Times New Roman" w:cs="Times New Roman"/>
          <w:color w:val="0E101A"/>
        </w:rPr>
        <w:t xml:space="preserve">D.24-05-028 </w:t>
      </w:r>
      <w:r>
        <w:rPr>
          <w:rFonts w:eastAsia="Times New Roman" w:cs="Times New Roman"/>
          <w:color w:val="0E101A"/>
        </w:rPr>
        <w:t xml:space="preserve">does not </w:t>
      </w:r>
      <w:r w:rsidRPr="032E6593" w:rsidR="74271809">
        <w:rPr>
          <w:rFonts w:eastAsia="Times New Roman" w:cs="Times New Roman"/>
          <w:color w:val="0E101A"/>
        </w:rPr>
        <w:t>require</w:t>
      </w:r>
      <w:r>
        <w:rPr>
          <w:rFonts w:eastAsia="Times New Roman" w:cs="Times New Roman"/>
          <w:color w:val="0E101A"/>
        </w:rPr>
        <w:t xml:space="preserve"> the fixed charge </w:t>
      </w:r>
      <w:r w:rsidR="00DE5B23">
        <w:rPr>
          <w:rFonts w:eastAsia="Times New Roman" w:cs="Times New Roman"/>
          <w:color w:val="0E101A"/>
        </w:rPr>
        <w:t>marketing, education, and outreach</w:t>
      </w:r>
      <w:r>
        <w:rPr>
          <w:rFonts w:eastAsia="Times New Roman" w:cs="Times New Roman"/>
          <w:color w:val="0E101A"/>
        </w:rPr>
        <w:t xml:space="preserve"> </w:t>
      </w:r>
      <w:r w:rsidR="00DE5B23">
        <w:rPr>
          <w:rFonts w:eastAsia="Times New Roman" w:cs="Times New Roman"/>
          <w:color w:val="0E101A"/>
        </w:rPr>
        <w:t>(</w:t>
      </w:r>
      <w:r>
        <w:rPr>
          <w:rFonts w:eastAsia="Times New Roman" w:cs="Times New Roman"/>
          <w:color w:val="0E101A"/>
        </w:rPr>
        <w:t>ME&amp;O</w:t>
      </w:r>
      <w:r w:rsidR="00DE5B23">
        <w:rPr>
          <w:rFonts w:eastAsia="Times New Roman" w:cs="Times New Roman"/>
          <w:color w:val="0E101A"/>
        </w:rPr>
        <w:t>)</w:t>
      </w:r>
      <w:r>
        <w:rPr>
          <w:rFonts w:eastAsia="Times New Roman" w:cs="Times New Roman"/>
          <w:color w:val="0E101A"/>
        </w:rPr>
        <w:t xml:space="preserve"> plan to increase enrollment</w:t>
      </w:r>
      <w:r w:rsidRPr="032E6593" w:rsidR="6717EE85">
        <w:rPr>
          <w:rFonts w:eastAsia="Times New Roman" w:cs="Times New Roman"/>
          <w:color w:val="0E101A"/>
        </w:rPr>
        <w:t xml:space="preserve"> in </w:t>
      </w:r>
      <w:r w:rsidRPr="0C7BDB5C" w:rsidR="0F9B6F80">
        <w:rPr>
          <w:rFonts w:eastAsia="Times New Roman" w:cs="Times New Roman"/>
          <w:color w:val="0E101A"/>
        </w:rPr>
        <w:t xml:space="preserve">the </w:t>
      </w:r>
      <w:r w:rsidRPr="032E6593" w:rsidR="6717EE85">
        <w:rPr>
          <w:rFonts w:eastAsia="Times New Roman" w:cs="Times New Roman"/>
          <w:color w:val="0E101A"/>
        </w:rPr>
        <w:t>CARE and FERA</w:t>
      </w:r>
      <w:r w:rsidRPr="334A9151" w:rsidR="71EF788D">
        <w:rPr>
          <w:rFonts w:eastAsia="Times New Roman" w:cs="Times New Roman"/>
          <w:color w:val="0E101A"/>
        </w:rPr>
        <w:t xml:space="preserve"> programs</w:t>
      </w:r>
      <w:r>
        <w:rPr>
          <w:rFonts w:eastAsia="Times New Roman" w:cs="Times New Roman"/>
          <w:color w:val="0E101A"/>
        </w:rPr>
        <w:t>.</w:t>
      </w:r>
    </w:p>
    <w:p w:rsidR="00B37CDA" w:rsidP="00C401B7" w:rsidRDefault="00B37CDA" w14:paraId="65139143" w14:textId="70661369">
      <w:pPr>
        <w:numPr>
          <w:ilvl w:val="0"/>
          <w:numId w:val="13"/>
        </w:numPr>
        <w:rPr>
          <w:rFonts w:eastAsia="Times New Roman" w:cs="Times New Roman"/>
          <w:color w:val="0E101A"/>
        </w:rPr>
      </w:pPr>
      <w:r>
        <w:rPr>
          <w:rFonts w:eastAsia="Times New Roman" w:cs="Times New Roman"/>
          <w:color w:val="0E101A"/>
        </w:rPr>
        <w:t>SDG&amp;E’s customer segmentation strategy is reasonable, and it should refine its strategy based on feedback from the IWG before initiating communications with customers and implementing the fixed charge.</w:t>
      </w:r>
    </w:p>
    <w:p w:rsidR="00B37CDA" w:rsidP="00C401B7" w:rsidRDefault="00B37CDA" w14:paraId="3AB8A9C2" w14:textId="346181CC">
      <w:pPr>
        <w:numPr>
          <w:ilvl w:val="0"/>
          <w:numId w:val="13"/>
        </w:numPr>
        <w:rPr>
          <w:rFonts w:eastAsia="Times New Roman" w:cs="Times New Roman"/>
          <w:color w:val="0E101A"/>
        </w:rPr>
      </w:pPr>
      <w:r w:rsidRPr="005C4D48">
        <w:rPr>
          <w:rFonts w:eastAsia="Times New Roman" w:cs="Times New Roman"/>
          <w:color w:val="0E101A"/>
        </w:rPr>
        <w:t>The term “Base Services Charge” proposed by the Large IOUs</w:t>
      </w:r>
      <w:r>
        <w:rPr>
          <w:rFonts w:eastAsia="Times New Roman" w:cs="Times New Roman"/>
          <w:color w:val="0E101A"/>
        </w:rPr>
        <w:t xml:space="preserve"> is a reasonable replacement</w:t>
      </w:r>
      <w:r w:rsidRPr="005C4D48">
        <w:rPr>
          <w:rFonts w:eastAsia="Times New Roman" w:cs="Times New Roman"/>
          <w:color w:val="0E101A"/>
        </w:rPr>
        <w:t xml:space="preserve"> for the </w:t>
      </w:r>
      <w:r>
        <w:rPr>
          <w:rFonts w:eastAsia="Times New Roman" w:cs="Times New Roman"/>
          <w:color w:val="0E101A"/>
        </w:rPr>
        <w:t xml:space="preserve">term </w:t>
      </w:r>
      <w:r w:rsidRPr="005C4D48">
        <w:rPr>
          <w:rFonts w:eastAsia="Times New Roman" w:cs="Times New Roman"/>
          <w:color w:val="0E101A"/>
        </w:rPr>
        <w:t xml:space="preserve">“fixed charge” </w:t>
      </w:r>
      <w:r w:rsidRPr="3D142A97" w:rsidR="2D632A21">
        <w:rPr>
          <w:rFonts w:eastAsia="Times New Roman" w:cs="Times New Roman"/>
          <w:color w:val="0E101A"/>
        </w:rPr>
        <w:t>used</w:t>
      </w:r>
      <w:r>
        <w:rPr>
          <w:rFonts w:eastAsia="Times New Roman" w:cs="Times New Roman"/>
          <w:color w:val="0E101A"/>
        </w:rPr>
        <w:t xml:space="preserve"> in D.24-05-028</w:t>
      </w:r>
      <w:r w:rsidRPr="005C4D48">
        <w:rPr>
          <w:rFonts w:eastAsia="Times New Roman" w:cs="Times New Roman"/>
          <w:color w:val="0E101A"/>
        </w:rPr>
        <w:t>.</w:t>
      </w:r>
    </w:p>
    <w:p w:rsidRPr="00B320A0" w:rsidR="504EDBDB" w:rsidP="00C401B7" w:rsidRDefault="504EDBDB" w14:paraId="669B4257" w14:textId="5656AE30">
      <w:pPr>
        <w:numPr>
          <w:ilvl w:val="0"/>
          <w:numId w:val="13"/>
        </w:numPr>
        <w:rPr>
          <w:rFonts w:eastAsia="Times New Roman" w:cs="Times New Roman"/>
          <w:color w:val="0E101A"/>
        </w:rPr>
      </w:pPr>
      <w:r w:rsidRPr="60C5322F">
        <w:rPr>
          <w:rFonts w:eastAsia="Times New Roman" w:cs="Times New Roman"/>
          <w:color w:val="0E101A"/>
        </w:rPr>
        <w:t>It is reasonable for SDG&amp;E</w:t>
      </w:r>
      <w:r w:rsidR="00B320A0">
        <w:rPr>
          <w:rFonts w:eastAsia="Times New Roman" w:cs="Times New Roman"/>
          <w:color w:val="0E101A"/>
        </w:rPr>
        <w:t xml:space="preserve"> to </w:t>
      </w:r>
      <w:r w:rsidR="00B320A0">
        <w:t>provide additional details on what messaging it will provide to all customers, including those who are expected to experience bill increases, when it presents its final ME&amp;O plan to the IWG.</w:t>
      </w:r>
    </w:p>
    <w:p w:rsidR="00B37CDA" w:rsidP="00C401B7" w:rsidRDefault="00B37CDA" w14:paraId="595538F6" w14:textId="4895E453">
      <w:pPr>
        <w:numPr>
          <w:ilvl w:val="0"/>
          <w:numId w:val="13"/>
        </w:numPr>
        <w:rPr>
          <w:rFonts w:eastAsia="Times New Roman" w:cs="Times New Roman"/>
          <w:color w:val="0E101A"/>
        </w:rPr>
      </w:pPr>
      <w:r>
        <w:rPr>
          <w:rFonts w:eastAsia="Times New Roman" w:cs="Times New Roman"/>
          <w:color w:val="0E101A"/>
        </w:rPr>
        <w:t xml:space="preserve">SDG&amp;E’s </w:t>
      </w:r>
      <w:r w:rsidR="00E03A4F">
        <w:rPr>
          <w:rFonts w:eastAsia="Times New Roman" w:cs="Times New Roman"/>
          <w:color w:val="0E101A"/>
        </w:rPr>
        <w:t>proposed strategy</w:t>
      </w:r>
      <w:r>
        <w:rPr>
          <w:rFonts w:eastAsia="Times New Roman" w:cs="Times New Roman"/>
          <w:color w:val="0E101A"/>
        </w:rPr>
        <w:t xml:space="preserve"> to </w:t>
      </w:r>
      <w:r w:rsidR="00E03A4F">
        <w:rPr>
          <w:rFonts w:eastAsia="Times New Roman" w:cs="Times New Roman"/>
          <w:color w:val="0E101A"/>
        </w:rPr>
        <w:t>target</w:t>
      </w:r>
      <w:r>
        <w:rPr>
          <w:rFonts w:eastAsia="Times New Roman" w:cs="Times New Roman"/>
          <w:color w:val="0E101A"/>
        </w:rPr>
        <w:t xml:space="preserve"> </w:t>
      </w:r>
      <w:r w:rsidRPr="6D049141" w:rsidR="5B4887A7">
        <w:rPr>
          <w:rFonts w:eastAsia="Times New Roman" w:cs="Times New Roman"/>
          <w:color w:val="0E101A"/>
        </w:rPr>
        <w:t>hard-to-</w:t>
      </w:r>
      <w:r w:rsidRPr="4D7ECE9D" w:rsidR="5B4887A7">
        <w:rPr>
          <w:rFonts w:eastAsia="Times New Roman" w:cs="Times New Roman"/>
          <w:color w:val="0E101A"/>
        </w:rPr>
        <w:t>reach</w:t>
      </w:r>
      <w:r>
        <w:rPr>
          <w:rFonts w:eastAsia="Times New Roman" w:cs="Times New Roman"/>
          <w:color w:val="0E101A"/>
        </w:rPr>
        <w:t xml:space="preserve"> customers is reasonable.</w:t>
      </w:r>
      <w:r w:rsidRPr="005C4D48">
        <w:rPr>
          <w:rFonts w:eastAsia="Times New Roman" w:cs="Times New Roman"/>
          <w:color w:val="0E101A"/>
        </w:rPr>
        <w:t> </w:t>
      </w:r>
    </w:p>
    <w:p w:rsidRPr="005C4D48" w:rsidR="00B37CDA" w:rsidP="00C401B7" w:rsidRDefault="00B37CDA" w14:paraId="35772C21" w14:textId="033A85EB">
      <w:pPr>
        <w:numPr>
          <w:ilvl w:val="0"/>
          <w:numId w:val="13"/>
        </w:numPr>
        <w:rPr>
          <w:rFonts w:eastAsia="Times New Roman" w:cs="Times New Roman"/>
          <w:color w:val="0E101A"/>
        </w:rPr>
      </w:pPr>
      <w:r>
        <w:rPr>
          <w:rFonts w:eastAsia="Times New Roman" w:cs="Times New Roman"/>
          <w:color w:val="0E101A"/>
        </w:rPr>
        <w:t xml:space="preserve">SDG&amp;E’s </w:t>
      </w:r>
      <w:r w:rsidR="00E03A4F">
        <w:rPr>
          <w:rFonts w:eastAsia="Times New Roman" w:cs="Times New Roman"/>
          <w:color w:val="0E101A"/>
        </w:rPr>
        <w:t>proposed</w:t>
      </w:r>
      <w:r>
        <w:rPr>
          <w:rFonts w:eastAsia="Times New Roman" w:cs="Times New Roman"/>
          <w:color w:val="0E101A"/>
        </w:rPr>
        <w:t xml:space="preserve"> approach to providing sample bill impacts to customers </w:t>
      </w:r>
      <w:proofErr w:type="gramStart"/>
      <w:r>
        <w:rPr>
          <w:rFonts w:eastAsia="Times New Roman" w:cs="Times New Roman"/>
          <w:color w:val="0E101A"/>
        </w:rPr>
        <w:t>at this time</w:t>
      </w:r>
      <w:proofErr w:type="gramEnd"/>
      <w:r>
        <w:rPr>
          <w:rFonts w:eastAsia="Times New Roman" w:cs="Times New Roman"/>
          <w:color w:val="0E101A"/>
        </w:rPr>
        <w:t xml:space="preserve"> is reasonable.</w:t>
      </w:r>
    </w:p>
    <w:p w:rsidRPr="005C4D48" w:rsidR="00B37CDA" w:rsidP="00C401B7" w:rsidRDefault="00B37CDA" w14:paraId="37E4C402" w14:textId="1DC0C16B">
      <w:pPr>
        <w:numPr>
          <w:ilvl w:val="0"/>
          <w:numId w:val="13"/>
        </w:numPr>
        <w:rPr>
          <w:rFonts w:eastAsia="Times New Roman" w:cs="Times New Roman"/>
          <w:color w:val="0E101A"/>
        </w:rPr>
      </w:pPr>
      <w:r w:rsidRPr="005C4D48">
        <w:rPr>
          <w:rFonts w:eastAsia="Times New Roman" w:cs="Times New Roman"/>
          <w:color w:val="0E101A"/>
        </w:rPr>
        <w:t>SDG&amp;E’s ME&amp;O plan and budget are reasonable</w:t>
      </w:r>
      <w:r>
        <w:rPr>
          <w:rFonts w:eastAsia="Times New Roman" w:cs="Times New Roman"/>
          <w:color w:val="0E101A"/>
        </w:rPr>
        <w:t xml:space="preserve">, </w:t>
      </w:r>
      <w:r w:rsidRPr="005C4D48">
        <w:rPr>
          <w:rFonts w:eastAsia="Times New Roman" w:cs="Times New Roman"/>
          <w:color w:val="0E101A"/>
        </w:rPr>
        <w:t xml:space="preserve">subject to </w:t>
      </w:r>
      <w:r w:rsidR="0098072D">
        <w:rPr>
          <w:rFonts w:eastAsia="Times New Roman" w:cs="Times New Roman"/>
          <w:color w:val="0E101A"/>
        </w:rPr>
        <w:t xml:space="preserve">the </w:t>
      </w:r>
      <w:r w:rsidRPr="005C4D48">
        <w:rPr>
          <w:rFonts w:eastAsia="Times New Roman" w:cs="Times New Roman"/>
          <w:color w:val="0E101A"/>
        </w:rPr>
        <w:t xml:space="preserve">modifications </w:t>
      </w:r>
      <w:r w:rsidR="0098072D">
        <w:rPr>
          <w:rFonts w:eastAsia="Times New Roman" w:cs="Times New Roman"/>
          <w:color w:val="0E101A"/>
        </w:rPr>
        <w:t xml:space="preserve">set forth </w:t>
      </w:r>
      <w:r w:rsidRPr="005C4D48">
        <w:rPr>
          <w:rFonts w:eastAsia="Times New Roman" w:cs="Times New Roman"/>
          <w:color w:val="0E101A"/>
        </w:rPr>
        <w:t>herein. </w:t>
      </w:r>
    </w:p>
    <w:p w:rsidRPr="005A1049" w:rsidR="00B37CDA" w:rsidP="00C401B7" w:rsidRDefault="00A722A2" w14:paraId="40F6D6F5" w14:textId="2C22EFAA">
      <w:pPr>
        <w:pStyle w:val="ListParagraph"/>
        <w:numPr>
          <w:ilvl w:val="0"/>
          <w:numId w:val="13"/>
        </w:numPr>
        <w:rPr>
          <w:rFonts w:eastAsia="Palatino Linotype" w:cs="Palatino Linotype"/>
          <w:color w:val="000000" w:themeColor="text1"/>
        </w:rPr>
      </w:pPr>
      <w:r>
        <w:rPr>
          <w:rFonts w:eastAsia="Palatino Linotype" w:cs="Palatino Linotype"/>
          <w:color w:val="000000" w:themeColor="text1"/>
        </w:rPr>
        <w:t xml:space="preserve">It is reasonable </w:t>
      </w:r>
      <w:r w:rsidR="00B37CDA">
        <w:rPr>
          <w:rFonts w:eastAsia="Palatino Linotype" w:cs="Palatino Linotype"/>
          <w:color w:val="000000" w:themeColor="text1"/>
        </w:rPr>
        <w:t xml:space="preserve">to allow the Large IOUs to determine the best time to initiate direct communication with customers, based on research findings and previous experience with the </w:t>
      </w:r>
      <w:r w:rsidRPr="143259E4" w:rsidR="5693096A">
        <w:rPr>
          <w:rFonts w:eastAsia="Palatino Linotype" w:cs="Palatino Linotype"/>
          <w:color w:val="000000" w:themeColor="text1"/>
        </w:rPr>
        <w:t>Time-of-</w:t>
      </w:r>
      <w:r w:rsidRPr="7ADDAB9D" w:rsidR="5693096A">
        <w:rPr>
          <w:rFonts w:eastAsia="Palatino Linotype" w:cs="Palatino Linotype"/>
          <w:color w:val="000000" w:themeColor="text1"/>
        </w:rPr>
        <w:t>Use</w:t>
      </w:r>
      <w:r w:rsidR="00B37CDA">
        <w:rPr>
          <w:rFonts w:eastAsia="Palatino Linotype" w:cs="Palatino Linotype"/>
          <w:color w:val="000000" w:themeColor="text1"/>
        </w:rPr>
        <w:t xml:space="preserve"> Transition.</w:t>
      </w:r>
    </w:p>
    <w:p w:rsidR="2B3015FC" w:rsidP="00C401B7" w:rsidRDefault="2470E791" w14:paraId="1E374DCA" w14:textId="38A5D1C0">
      <w:pPr>
        <w:pStyle w:val="ListParagraph"/>
        <w:numPr>
          <w:ilvl w:val="0"/>
          <w:numId w:val="13"/>
        </w:numPr>
      </w:pPr>
      <w:r w:rsidRPr="3C04DE3B">
        <w:rPr>
          <w:rFonts w:eastAsia="Palatino Linotype" w:cs="Palatino Linotype"/>
          <w:color w:val="000000" w:themeColor="text1"/>
        </w:rPr>
        <w:t xml:space="preserve">Because the Commission has already specified a timeline for </w:t>
      </w:r>
      <w:r w:rsidR="00613704">
        <w:rPr>
          <w:rFonts w:eastAsia="Palatino Linotype" w:cs="Palatino Linotype"/>
          <w:color w:val="000000" w:themeColor="text1"/>
        </w:rPr>
        <w:t>SDG&amp;E</w:t>
      </w:r>
      <w:r w:rsidRPr="3C04DE3B">
        <w:rPr>
          <w:rFonts w:eastAsia="Palatino Linotype" w:cs="Palatino Linotype"/>
          <w:color w:val="000000" w:themeColor="text1"/>
        </w:rPr>
        <w:t xml:space="preserve"> to implement the IGFC, and failure to comply with Commission orders renders a utility subject to penalties, it is reasonable not to provide additional penalties herein.</w:t>
      </w:r>
    </w:p>
    <w:p w:rsidRPr="004D66E7" w:rsidR="005223CB" w:rsidP="00C401B7" w:rsidRDefault="005223CB" w14:paraId="615FCB12" w14:textId="52BFD79C">
      <w:pPr>
        <w:pStyle w:val="ListParagraph"/>
        <w:numPr>
          <w:ilvl w:val="0"/>
          <w:numId w:val="13"/>
        </w:numPr>
        <w:rPr>
          <w:rFonts w:eastAsia="Palatino Linotype" w:cs="Palatino Linotype"/>
          <w:color w:val="000000" w:themeColor="text1"/>
        </w:rPr>
      </w:pPr>
      <w:r>
        <w:rPr>
          <w:rFonts w:eastAsia="Palatino Linotype" w:cs="Palatino Linotype"/>
          <w:color w:val="000000" w:themeColor="text1"/>
        </w:rPr>
        <w:t xml:space="preserve">It is reasonable for </w:t>
      </w:r>
      <w:r w:rsidR="00655A90">
        <w:rPr>
          <w:rFonts w:eastAsia="Palatino Linotype" w:cs="Palatino Linotype"/>
          <w:color w:val="000000" w:themeColor="text1"/>
        </w:rPr>
        <w:t>the Large IOUs</w:t>
      </w:r>
      <w:r>
        <w:rPr>
          <w:rFonts w:eastAsia="Palatino Linotype" w:cs="Palatino Linotype"/>
          <w:color w:val="000000" w:themeColor="text1"/>
        </w:rPr>
        <w:t xml:space="preserve"> to include the</w:t>
      </w:r>
      <w:r w:rsidR="00F123DF">
        <w:rPr>
          <w:rFonts w:eastAsia="Palatino Linotype" w:cs="Palatino Linotype"/>
          <w:color w:val="000000" w:themeColor="text1"/>
        </w:rPr>
        <w:t xml:space="preserve"> following disaggregated ME&amp;O metrics in </w:t>
      </w:r>
      <w:r w:rsidRPr="7B73636E" w:rsidR="3C3EE656">
        <w:rPr>
          <w:rFonts w:eastAsia="Palatino Linotype" w:cs="Palatino Linotype"/>
          <w:color w:val="000000" w:themeColor="text1"/>
        </w:rPr>
        <w:t>their</w:t>
      </w:r>
      <w:r w:rsidR="00F123DF">
        <w:rPr>
          <w:rFonts w:eastAsia="Palatino Linotype" w:cs="Palatino Linotype"/>
          <w:color w:val="000000" w:themeColor="text1"/>
        </w:rPr>
        <w:t xml:space="preserve"> reporting:</w:t>
      </w:r>
      <w:r>
        <w:rPr>
          <w:rFonts w:eastAsia="Palatino Linotype" w:cs="Palatino Linotype"/>
          <w:color w:val="000000" w:themeColor="text1"/>
        </w:rPr>
        <w:t xml:space="preserve"> “number </w:t>
      </w:r>
      <w:r w:rsidR="00F123DF">
        <w:rPr>
          <w:rFonts w:eastAsia="Palatino Linotype" w:cs="Palatino Linotype"/>
          <w:color w:val="000000" w:themeColor="text1"/>
        </w:rPr>
        <w:t xml:space="preserve">and type of targeted communications and bill messages” and “email open </w:t>
      </w:r>
      <w:r w:rsidRPr="312CF7A0" w:rsidR="00F123DF">
        <w:rPr>
          <w:rFonts w:eastAsia="Palatino Linotype" w:cs="Palatino Linotype"/>
          <w:color w:val="000000" w:themeColor="text1"/>
        </w:rPr>
        <w:t>rates</w:t>
      </w:r>
      <w:r w:rsidRPr="312CF7A0" w:rsidR="67C73F46">
        <w:rPr>
          <w:rFonts w:eastAsia="Palatino Linotype" w:cs="Palatino Linotype"/>
          <w:color w:val="000000" w:themeColor="text1"/>
        </w:rPr>
        <w:t>”</w:t>
      </w:r>
      <w:r w:rsidRPr="1C81428E" w:rsidR="67C73F46">
        <w:rPr>
          <w:rFonts w:eastAsia="Palatino Linotype" w:cs="Palatino Linotype"/>
          <w:color w:val="000000" w:themeColor="text1"/>
        </w:rPr>
        <w:t xml:space="preserve"> </w:t>
      </w:r>
      <w:r w:rsidRPr="312CF7A0" w:rsidR="00F123DF">
        <w:rPr>
          <w:rFonts w:eastAsia="Palatino Linotype" w:cs="Palatino Linotype"/>
          <w:color w:val="000000" w:themeColor="text1"/>
        </w:rPr>
        <w:t>by</w:t>
      </w:r>
      <w:r w:rsidR="00F123DF">
        <w:rPr>
          <w:rFonts w:eastAsia="Palatino Linotype" w:cs="Palatino Linotype"/>
          <w:color w:val="000000" w:themeColor="text1"/>
        </w:rPr>
        <w:t xml:space="preserve"> tier and customer status. </w:t>
      </w:r>
    </w:p>
    <w:p w:rsidRPr="009201AC" w:rsidR="004D66E7" w:rsidP="00C401B7" w:rsidRDefault="004D66E7" w14:paraId="532E88FA" w14:textId="118376A6">
      <w:pPr>
        <w:pStyle w:val="ListParagraph"/>
        <w:numPr>
          <w:ilvl w:val="0"/>
          <w:numId w:val="13"/>
        </w:numPr>
      </w:pPr>
      <w:r>
        <w:rPr>
          <w:rFonts w:eastAsia="Palatino Linotype" w:cs="Palatino Linotype"/>
          <w:color w:val="000000" w:themeColor="text1"/>
        </w:rPr>
        <w:t xml:space="preserve">It is reasonable for the Large IOUs to confer with one another, the </w:t>
      </w:r>
      <w:r w:rsidRPr="6280E992">
        <w:rPr>
          <w:rFonts w:eastAsia="Palatino Linotype" w:cs="Palatino Linotype"/>
          <w:color w:val="000000" w:themeColor="text1"/>
        </w:rPr>
        <w:t>Commission</w:t>
      </w:r>
      <w:r>
        <w:rPr>
          <w:rFonts w:eastAsia="Palatino Linotype" w:cs="Palatino Linotype"/>
          <w:color w:val="000000" w:themeColor="text1"/>
        </w:rPr>
        <w:t xml:space="preserve"> staff, and the IWG on </w:t>
      </w:r>
      <w:r w:rsidRPr="6280E992" w:rsidR="0E3C39F3">
        <w:rPr>
          <w:rFonts w:eastAsia="Palatino Linotype" w:cs="Palatino Linotype"/>
          <w:color w:val="000000" w:themeColor="text1"/>
        </w:rPr>
        <w:t>refining</w:t>
      </w:r>
      <w:r w:rsidRPr="6280E992" w:rsidR="205DDC44">
        <w:rPr>
          <w:rFonts w:eastAsia="Palatino Linotype" w:cs="Palatino Linotype"/>
          <w:color w:val="000000" w:themeColor="text1"/>
        </w:rPr>
        <w:t xml:space="preserve"> </w:t>
      </w:r>
      <w:r>
        <w:rPr>
          <w:rFonts w:eastAsia="Palatino Linotype" w:cs="Palatino Linotype"/>
          <w:color w:val="000000" w:themeColor="text1"/>
        </w:rPr>
        <w:t>the reporting metrics.</w:t>
      </w:r>
    </w:p>
    <w:p w:rsidR="00B37CDA" w:rsidP="00C401B7" w:rsidRDefault="00B37CDA" w14:paraId="67B98910" w14:textId="12925D0C">
      <w:pPr>
        <w:pStyle w:val="ListParagraph"/>
        <w:numPr>
          <w:ilvl w:val="0"/>
          <w:numId w:val="13"/>
        </w:numPr>
      </w:pPr>
      <w:r>
        <w:rPr>
          <w:rFonts w:eastAsia="Palatino Linotype" w:cs="Palatino Linotype"/>
          <w:color w:val="000000" w:themeColor="text1"/>
        </w:rPr>
        <w:t xml:space="preserve">SDG&amp;E’s </w:t>
      </w:r>
      <w:r w:rsidR="00E03A4F">
        <w:rPr>
          <w:rFonts w:eastAsia="Palatino Linotype" w:cs="Palatino Linotype"/>
          <w:color w:val="000000" w:themeColor="text1"/>
        </w:rPr>
        <w:t>proposed</w:t>
      </w:r>
      <w:r>
        <w:rPr>
          <w:rFonts w:eastAsia="Palatino Linotype" w:cs="Palatino Linotype"/>
          <w:color w:val="000000" w:themeColor="text1"/>
        </w:rPr>
        <w:t xml:space="preserve"> cost-share of $40,000 for the Facilitation Contractor is reasonable.</w:t>
      </w:r>
    </w:p>
    <w:p w:rsidR="00844298" w:rsidP="00C401B7" w:rsidRDefault="00844298" w14:paraId="5992EEC3" w14:textId="35377E39">
      <w:pPr>
        <w:pStyle w:val="ListParagraph"/>
        <w:numPr>
          <w:ilvl w:val="0"/>
          <w:numId w:val="13"/>
        </w:numPr>
      </w:pPr>
      <w:r>
        <w:t>It is reasonable for t</w:t>
      </w:r>
      <w:r w:rsidRPr="00B7049A">
        <w:t xml:space="preserve">he Large IOUs </w:t>
      </w:r>
      <w:r>
        <w:t>to consider</w:t>
      </w:r>
      <w:r w:rsidRPr="00B7049A">
        <w:t xml:space="preserve"> these </w:t>
      </w:r>
      <w:r>
        <w:t>income</w:t>
      </w:r>
      <w:r w:rsidR="4B2DEF38">
        <w:t>-</w:t>
      </w:r>
      <w:r>
        <w:t>graduated fixed charge</w:t>
      </w:r>
      <w:r w:rsidRPr="00B7049A">
        <w:t xml:space="preserve"> </w:t>
      </w:r>
      <w:r>
        <w:t xml:space="preserve">implementation </w:t>
      </w:r>
      <w:r w:rsidRPr="00B7049A">
        <w:t>costs incremental to their authorized revenue requirement</w:t>
      </w:r>
      <w:r>
        <w:t>.</w:t>
      </w:r>
    </w:p>
    <w:p w:rsidR="00424583" w:rsidP="00C401B7" w:rsidRDefault="00424583" w14:paraId="3570CB53" w14:textId="053B55D5">
      <w:pPr>
        <w:pStyle w:val="ListParagraph"/>
        <w:numPr>
          <w:ilvl w:val="0"/>
          <w:numId w:val="13"/>
        </w:numPr>
      </w:pPr>
      <w:r>
        <w:t>It is reasonable not to allow the Large IOUs to</w:t>
      </w:r>
      <w:r w:rsidRPr="00B7049A">
        <w:t xml:space="preserve"> shift</w:t>
      </w:r>
      <w:r>
        <w:t xml:space="preserve"> or carry over funds</w:t>
      </w:r>
      <w:r w:rsidRPr="00B7049A">
        <w:t xml:space="preserve"> between </w:t>
      </w:r>
      <w:r>
        <w:t xml:space="preserve">implementation </w:t>
      </w:r>
      <w:r w:rsidRPr="00B7049A">
        <w:t>activities or ME</w:t>
      </w:r>
      <w:r>
        <w:t>&amp;</w:t>
      </w:r>
      <w:r w:rsidRPr="00B7049A">
        <w:t>O categories.</w:t>
      </w:r>
    </w:p>
    <w:p w:rsidRPr="00126DB8" w:rsidR="00126DB8" w:rsidP="00C401B7" w:rsidRDefault="00126DB8" w14:paraId="47CBC7E1" w14:textId="7320B237">
      <w:pPr>
        <w:pStyle w:val="ListParagraph"/>
        <w:numPr>
          <w:ilvl w:val="0"/>
          <w:numId w:val="13"/>
        </w:numPr>
        <w:rPr>
          <w:rFonts w:eastAsiaTheme="minorEastAsia" w:cstheme="minorBidi"/>
        </w:rPr>
      </w:pPr>
      <w:r w:rsidRPr="0062611D">
        <w:rPr>
          <w:rFonts w:eastAsia="Palatino Linotype" w:cs="Palatino Linotype"/>
          <w:color w:val="000000" w:themeColor="text1"/>
        </w:rPr>
        <w:lastRenderedPageBreak/>
        <w:t>It is reasonable to revise the total implementation budget for SDG&amp;E from up to $8.307 million, based on D.24-05-</w:t>
      </w:r>
      <w:r>
        <w:rPr>
          <w:rFonts w:eastAsia="Palatino Linotype" w:cs="Palatino Linotype"/>
          <w:color w:val="000000" w:themeColor="text1"/>
        </w:rPr>
        <w:t>0</w:t>
      </w:r>
      <w:r w:rsidRPr="0062611D">
        <w:rPr>
          <w:rFonts w:eastAsia="Palatino Linotype" w:cs="Palatino Linotype"/>
          <w:color w:val="000000" w:themeColor="text1"/>
        </w:rPr>
        <w:t>28, to up to $</w:t>
      </w:r>
      <w:r>
        <w:rPr>
          <w:rFonts w:eastAsia="Palatino Linotype" w:cs="Palatino Linotype"/>
          <w:color w:val="000000" w:themeColor="text1"/>
        </w:rPr>
        <w:t>12.</w:t>
      </w:r>
      <w:r w:rsidR="00A577D9">
        <w:rPr>
          <w:rFonts w:eastAsia="Palatino Linotype" w:cs="Palatino Linotype"/>
          <w:color w:val="000000" w:themeColor="text1"/>
        </w:rPr>
        <w:t>310</w:t>
      </w:r>
      <w:r w:rsidRPr="0062611D" w:rsidR="00A577D9">
        <w:rPr>
          <w:rFonts w:eastAsia="Palatino Linotype" w:cs="Palatino Linotype"/>
          <w:color w:val="000000" w:themeColor="text1"/>
        </w:rPr>
        <w:t xml:space="preserve"> </w:t>
      </w:r>
      <w:r w:rsidRPr="0062611D">
        <w:rPr>
          <w:rFonts w:eastAsia="Palatino Linotype" w:cs="Palatino Linotype"/>
          <w:color w:val="000000" w:themeColor="text1"/>
        </w:rPr>
        <w:t xml:space="preserve">million to include the additional implementation activity as modified herein for DRAH implementation, ME&amp;O, and the </w:t>
      </w:r>
      <w:r>
        <w:rPr>
          <w:rFonts w:eastAsia="Palatino Linotype" w:cs="Palatino Linotype"/>
          <w:color w:val="000000" w:themeColor="text1"/>
        </w:rPr>
        <w:t>F</w:t>
      </w:r>
      <w:r w:rsidRPr="0062611D">
        <w:rPr>
          <w:rFonts w:eastAsia="Palatino Linotype" w:cs="Palatino Linotype"/>
          <w:color w:val="000000" w:themeColor="text1"/>
        </w:rPr>
        <w:t xml:space="preserve">acilitation </w:t>
      </w:r>
      <w:r>
        <w:rPr>
          <w:rFonts w:eastAsia="Palatino Linotype" w:cs="Palatino Linotype"/>
          <w:color w:val="000000" w:themeColor="text1"/>
        </w:rPr>
        <w:t>C</w:t>
      </w:r>
      <w:r w:rsidRPr="0062611D">
        <w:rPr>
          <w:rFonts w:eastAsia="Palatino Linotype" w:cs="Palatino Linotype"/>
          <w:color w:val="000000" w:themeColor="text1"/>
        </w:rPr>
        <w:t>ontractor.</w:t>
      </w:r>
    </w:p>
    <w:p w:rsidRPr="00D865A9" w:rsidR="00CF17DE" w:rsidP="00F22803" w:rsidRDefault="00CF17DE" w14:paraId="18C97720" w14:textId="77777777"/>
    <w:p w:rsidRPr="00D865A9" w:rsidR="00CF17DE" w:rsidP="00F22803" w:rsidRDefault="00CF17DE" w14:paraId="03EBB768" w14:textId="77777777">
      <w:pPr>
        <w:pStyle w:val="Heading1"/>
      </w:pPr>
      <w:proofErr w:type="gramStart"/>
      <w:r w:rsidRPr="00D865A9">
        <w:t>Therefore</w:t>
      </w:r>
      <w:proofErr w:type="gramEnd"/>
      <w:r w:rsidRPr="00D865A9">
        <w:t xml:space="preserve"> it is ordered that:</w:t>
      </w:r>
    </w:p>
    <w:p w:rsidRPr="00A67FB9" w:rsidR="00A67FB9" w:rsidP="00C401B7" w:rsidRDefault="00CF17DE" w14:paraId="6816DF63" w14:textId="7ABE45E6">
      <w:pPr>
        <w:pStyle w:val="ListParagraph"/>
        <w:numPr>
          <w:ilvl w:val="0"/>
          <w:numId w:val="12"/>
        </w:numPr>
      </w:pPr>
      <w:r w:rsidRPr="00F22803">
        <w:rPr>
          <w:snapToGrid w:val="0"/>
        </w:rPr>
        <w:t xml:space="preserve">The request of </w:t>
      </w:r>
      <w:r w:rsidR="005A6753">
        <w:rPr>
          <w:snapToGrid w:val="0"/>
        </w:rPr>
        <w:t>San Diego Gas &amp; Electric Company</w:t>
      </w:r>
      <w:r w:rsidRPr="00F22803">
        <w:rPr>
          <w:snapToGrid w:val="0"/>
        </w:rPr>
        <w:t xml:space="preserve"> </w:t>
      </w:r>
      <w:r w:rsidR="732000E2">
        <w:rPr>
          <w:snapToGrid w:val="0"/>
        </w:rPr>
        <w:t>(SDG&amp;E)</w:t>
      </w:r>
      <w:r w:rsidRPr="00F22803">
        <w:rPr>
          <w:snapToGrid w:val="0"/>
        </w:rPr>
        <w:t xml:space="preserve"> to</w:t>
      </w:r>
      <w:r w:rsidR="006F612A">
        <w:rPr>
          <w:snapToGrid w:val="0"/>
        </w:rPr>
        <w:t xml:space="preserve"> implement the fixed charge for residential customers </w:t>
      </w:r>
      <w:r w:rsidRPr="00F22803">
        <w:rPr>
          <w:snapToGrid w:val="0"/>
        </w:rPr>
        <w:t xml:space="preserve">as requested in Advice Letter </w:t>
      </w:r>
      <w:r w:rsidR="00180E87">
        <w:t>4492-E</w:t>
      </w:r>
      <w:r w:rsidR="1C3A744C">
        <w:t xml:space="preserve">, </w:t>
      </w:r>
      <w:r w:rsidR="3D81767E">
        <w:t>partial supplemental Advice Letter 4492-E-A</w:t>
      </w:r>
      <w:r w:rsidR="00363039">
        <w:t>, and supplemental Advice Letter 4492-E-B</w:t>
      </w:r>
      <w:r w:rsidR="00A67FB9">
        <w:t xml:space="preserve"> </w:t>
      </w:r>
      <w:r w:rsidR="00073A64">
        <w:t xml:space="preserve">is </w:t>
      </w:r>
      <w:r w:rsidR="00A67FB9">
        <w:t>approved with modifications</w:t>
      </w:r>
      <w:r w:rsidR="0049602C">
        <w:t xml:space="preserve"> as specified herein</w:t>
      </w:r>
      <w:r w:rsidR="00A67FB9">
        <w:t xml:space="preserve">. </w:t>
      </w:r>
    </w:p>
    <w:p w:rsidRPr="00234D40" w:rsidR="00A435AA" w:rsidP="00C401B7" w:rsidRDefault="00DB510A" w14:paraId="1BC5D069" w14:textId="6FAE3D9E">
      <w:pPr>
        <w:pStyle w:val="ListParagraph"/>
        <w:numPr>
          <w:ilvl w:val="0"/>
          <w:numId w:val="12"/>
        </w:numPr>
        <w:shd w:val="clear" w:color="auto" w:fill="FFFFFF" w:themeFill="background1"/>
        <w:spacing w:before="240" w:after="240"/>
      </w:pPr>
      <w:r>
        <w:rPr>
          <w:snapToGrid w:val="0"/>
        </w:rPr>
        <w:t>San Diego Gas &amp; Electric Company</w:t>
      </w:r>
      <w:r w:rsidR="000A0EA7">
        <w:rPr>
          <w:snapToGrid w:val="0"/>
        </w:rPr>
        <w:t xml:space="preserve"> (</w:t>
      </w:r>
      <w:r w:rsidR="633D67F5">
        <w:rPr>
          <w:snapToGrid w:val="0"/>
        </w:rPr>
        <w:t>SDG&amp;E</w:t>
      </w:r>
      <w:r w:rsidR="000A0EA7">
        <w:rPr>
          <w:snapToGrid w:val="0"/>
        </w:rPr>
        <w:t>)</w:t>
      </w:r>
      <w:r w:rsidRPr="7D60D80C" w:rsidR="633D67F5">
        <w:rPr>
          <w:rFonts w:eastAsia="Palatino Linotype" w:cs="Palatino Linotype"/>
          <w:color w:val="000000" w:themeColor="text1"/>
        </w:rPr>
        <w:t xml:space="preserve"> shall file a Tier 2 Advice Letter within 90 days after this Resolution is approved with illustrative redlined changes to the volumetric rate components of all residential tariffs active in 2025 (excluding legacy rates)</w:t>
      </w:r>
      <w:r w:rsidR="00A435AA">
        <w:rPr>
          <w:rFonts w:eastAsia="Palatino Linotype" w:cs="Palatino Linotype"/>
          <w:color w:val="000000" w:themeColor="text1"/>
        </w:rPr>
        <w:t xml:space="preserve">, and </w:t>
      </w:r>
      <w:r w:rsidR="00BF2F6C">
        <w:rPr>
          <w:rFonts w:eastAsia="Palatino Linotype" w:cs="Palatino Linotype"/>
          <w:color w:val="000000" w:themeColor="text1"/>
        </w:rPr>
        <w:t>shall</w:t>
      </w:r>
      <w:r w:rsidR="00A435AA">
        <w:rPr>
          <w:rFonts w:eastAsia="Palatino Linotype" w:cs="Palatino Linotype"/>
          <w:color w:val="000000" w:themeColor="text1"/>
        </w:rPr>
        <w:t xml:space="preserve"> specify the following:</w:t>
      </w:r>
    </w:p>
    <w:p w:rsidRPr="00234D40" w:rsidR="00BF2F6C" w:rsidP="00C401B7" w:rsidRDefault="00BF2F6C" w14:paraId="4BDE240B" w14:textId="0ACDFD89">
      <w:pPr>
        <w:pStyle w:val="ListParagraph"/>
        <w:numPr>
          <w:ilvl w:val="1"/>
          <w:numId w:val="12"/>
        </w:numPr>
        <w:shd w:val="clear" w:color="auto" w:fill="FFFFFF" w:themeFill="background1"/>
        <w:spacing w:before="240" w:after="240"/>
      </w:pPr>
      <w:r w:rsidRPr="04928DA5">
        <w:rPr>
          <w:rFonts w:eastAsia="Palatino Linotype" w:cs="Palatino Linotype"/>
          <w:color w:val="000000" w:themeColor="text1"/>
        </w:rPr>
        <w:t>W</w:t>
      </w:r>
      <w:r w:rsidRPr="04928DA5" w:rsidR="633D67F5">
        <w:rPr>
          <w:rFonts w:eastAsia="Palatino Linotype" w:cs="Palatino Linotype"/>
          <w:color w:val="000000" w:themeColor="text1"/>
        </w:rPr>
        <w:t>h</w:t>
      </w:r>
      <w:r w:rsidRPr="04928DA5">
        <w:rPr>
          <w:rFonts w:eastAsia="Palatino Linotype" w:cs="Palatino Linotype"/>
          <w:color w:val="000000" w:themeColor="text1"/>
        </w:rPr>
        <w:t>ether</w:t>
      </w:r>
      <w:r w:rsidRPr="7D60D80C" w:rsidR="633D67F5">
        <w:rPr>
          <w:rFonts w:eastAsia="Palatino Linotype" w:cs="Palatino Linotype"/>
          <w:color w:val="000000" w:themeColor="text1"/>
        </w:rPr>
        <w:t xml:space="preserve"> </w:t>
      </w:r>
      <w:r>
        <w:rPr>
          <w:rFonts w:eastAsia="Palatino Linotype" w:cs="Palatino Linotype"/>
          <w:color w:val="000000" w:themeColor="text1"/>
        </w:rPr>
        <w:t xml:space="preserve">each </w:t>
      </w:r>
      <w:r w:rsidRPr="7D60D80C" w:rsidR="633D67F5">
        <w:rPr>
          <w:rFonts w:eastAsia="Palatino Linotype" w:cs="Palatino Linotype"/>
          <w:color w:val="000000" w:themeColor="text1"/>
        </w:rPr>
        <w:t xml:space="preserve">residential </w:t>
      </w:r>
      <w:r w:rsidRPr="04928DA5" w:rsidR="633D67F5">
        <w:rPr>
          <w:rFonts w:eastAsia="Palatino Linotype" w:cs="Palatino Linotype"/>
          <w:color w:val="000000" w:themeColor="text1"/>
        </w:rPr>
        <w:t>tariff</w:t>
      </w:r>
      <w:r w:rsidRPr="7D60D80C" w:rsidR="633D67F5">
        <w:rPr>
          <w:rFonts w:eastAsia="Palatino Linotype" w:cs="Palatino Linotype"/>
          <w:color w:val="000000" w:themeColor="text1"/>
        </w:rPr>
        <w:t xml:space="preserve"> will receive either an equal cents-per-</w:t>
      </w:r>
      <w:r w:rsidR="00A435AA">
        <w:rPr>
          <w:rFonts w:eastAsia="Palatino Linotype" w:cs="Palatino Linotype"/>
          <w:color w:val="000000" w:themeColor="text1"/>
        </w:rPr>
        <w:t>kilowatt hour</w:t>
      </w:r>
      <w:r w:rsidRPr="7D60D80C" w:rsidR="633D67F5">
        <w:rPr>
          <w:rFonts w:eastAsia="Palatino Linotype" w:cs="Palatino Linotype"/>
          <w:color w:val="000000" w:themeColor="text1"/>
        </w:rPr>
        <w:t xml:space="preserve"> reduction or an equal percentage-based reduction to distribution volumetric rates, the </w:t>
      </w:r>
      <w:r w:rsidRPr="04928DA5" w:rsidR="633D67F5">
        <w:rPr>
          <w:rFonts w:eastAsia="Palatino Linotype" w:cs="Palatino Linotype"/>
          <w:color w:val="000000" w:themeColor="text1"/>
        </w:rPr>
        <w:t>quant</w:t>
      </w:r>
      <w:r w:rsidRPr="04928DA5" w:rsidR="00A435AA">
        <w:rPr>
          <w:rFonts w:eastAsia="Palatino Linotype" w:cs="Palatino Linotype"/>
          <w:color w:val="000000" w:themeColor="text1"/>
        </w:rPr>
        <w:t>ity</w:t>
      </w:r>
      <w:r w:rsidRPr="7D60D80C" w:rsidR="633D67F5">
        <w:rPr>
          <w:rFonts w:eastAsia="Palatino Linotype" w:cs="Palatino Linotype"/>
          <w:color w:val="000000" w:themeColor="text1"/>
        </w:rPr>
        <w:t xml:space="preserve"> of this reduction, and the rationale for applying each method. </w:t>
      </w:r>
    </w:p>
    <w:p w:rsidR="633D67F5" w:rsidP="00C401B7" w:rsidRDefault="00BF2F6C" w14:paraId="74731758" w14:textId="35720459">
      <w:pPr>
        <w:pStyle w:val="ListParagraph"/>
        <w:numPr>
          <w:ilvl w:val="1"/>
          <w:numId w:val="12"/>
        </w:numPr>
        <w:shd w:val="clear" w:color="auto" w:fill="FFFFFF" w:themeFill="background1"/>
        <w:spacing w:before="240" w:after="240"/>
      </w:pPr>
      <w:r w:rsidRPr="04928DA5">
        <w:rPr>
          <w:rFonts w:eastAsia="Palatino Linotype" w:cs="Palatino Linotype"/>
          <w:color w:val="000000" w:themeColor="text1"/>
        </w:rPr>
        <w:t>T</w:t>
      </w:r>
      <w:r w:rsidRPr="04928DA5" w:rsidR="633D67F5">
        <w:rPr>
          <w:rFonts w:eastAsia="Palatino Linotype" w:cs="Palatino Linotype"/>
          <w:color w:val="000000" w:themeColor="text1"/>
        </w:rPr>
        <w:t>he</w:t>
      </w:r>
      <w:r w:rsidRPr="7D60D80C" w:rsidR="633D67F5">
        <w:rPr>
          <w:rFonts w:eastAsia="Palatino Linotype" w:cs="Palatino Linotype"/>
          <w:color w:val="000000" w:themeColor="text1"/>
        </w:rPr>
        <w:t xml:space="preserve"> proposed </w:t>
      </w:r>
      <w:r>
        <w:rPr>
          <w:rFonts w:eastAsia="Palatino Linotype" w:cs="Palatino Linotype"/>
          <w:color w:val="000000" w:themeColor="text1"/>
        </w:rPr>
        <w:t>cost layering</w:t>
      </w:r>
      <w:r w:rsidRPr="7D60D80C" w:rsidR="633D67F5">
        <w:rPr>
          <w:rFonts w:eastAsia="Palatino Linotype" w:cs="Palatino Linotype"/>
          <w:color w:val="000000" w:themeColor="text1"/>
        </w:rPr>
        <w:t xml:space="preserve"> loading order and cost component breakdown for each tier of the </w:t>
      </w:r>
      <w:r w:rsidRPr="2DC2DDB3" w:rsidR="3B28DA54">
        <w:rPr>
          <w:rFonts w:eastAsia="Palatino Linotype" w:cs="Palatino Linotype"/>
          <w:color w:val="000000" w:themeColor="text1"/>
        </w:rPr>
        <w:t>f</w:t>
      </w:r>
      <w:r w:rsidRPr="2DC2DDB3" w:rsidR="633D67F5">
        <w:rPr>
          <w:rFonts w:eastAsia="Palatino Linotype" w:cs="Palatino Linotype"/>
          <w:color w:val="000000" w:themeColor="text1"/>
        </w:rPr>
        <w:t xml:space="preserve">ixed </w:t>
      </w:r>
      <w:r w:rsidRPr="2DC2DDB3" w:rsidR="706A794B">
        <w:rPr>
          <w:rFonts w:eastAsia="Palatino Linotype" w:cs="Palatino Linotype"/>
          <w:color w:val="000000" w:themeColor="text1"/>
        </w:rPr>
        <w:t>c</w:t>
      </w:r>
      <w:r w:rsidRPr="2DC2DDB3" w:rsidR="633D67F5">
        <w:rPr>
          <w:rFonts w:eastAsia="Palatino Linotype" w:cs="Palatino Linotype"/>
          <w:color w:val="000000" w:themeColor="text1"/>
        </w:rPr>
        <w:t>harge</w:t>
      </w:r>
      <w:r w:rsidRPr="7D60D80C" w:rsidR="633D67F5">
        <w:rPr>
          <w:rFonts w:eastAsia="Palatino Linotype" w:cs="Palatino Linotype"/>
          <w:color w:val="000000" w:themeColor="text1"/>
        </w:rPr>
        <w:t xml:space="preserve"> utilizing the latest revenue requirement data</w:t>
      </w:r>
      <w:r>
        <w:t xml:space="preserve">, </w:t>
      </w:r>
      <w:r w:rsidR="6624CF9D">
        <w:t>the correct fixed charge and discount calculation for Tiers 1 and 2</w:t>
      </w:r>
      <w:r>
        <w:t>, as set forth in</w:t>
      </w:r>
      <w:r w:rsidR="6624CF9D">
        <w:t xml:space="preserve"> Conclusion of Law 11 </w:t>
      </w:r>
      <w:r>
        <w:t>of</w:t>
      </w:r>
      <w:r w:rsidR="6624CF9D">
        <w:t xml:space="preserve"> D. 24-05-028.</w:t>
      </w:r>
    </w:p>
    <w:p w:rsidR="41464CFE" w:rsidP="00C401B7" w:rsidRDefault="2EB5D886" w14:paraId="2B687DA0" w14:textId="15915F9A">
      <w:pPr>
        <w:pStyle w:val="ListParagraph"/>
        <w:numPr>
          <w:ilvl w:val="1"/>
          <w:numId w:val="12"/>
        </w:numPr>
        <w:shd w:val="clear" w:color="auto" w:fill="FFFFFF" w:themeFill="background1"/>
        <w:spacing w:before="240" w:after="240"/>
      </w:pPr>
      <w:r>
        <w:t xml:space="preserve">The correct CARE and FERA discount percentages </w:t>
      </w:r>
      <w:r w:rsidR="487D6D01">
        <w:t xml:space="preserve">to be applied to fixed charges </w:t>
      </w:r>
      <w:r>
        <w:t>with a citation to the latest ruling or decision that establishes these values.</w:t>
      </w:r>
    </w:p>
    <w:p w:rsidR="0A8BDC27" w:rsidP="00C401B7" w:rsidRDefault="439BE692" w14:paraId="2BC41794" w14:textId="65DFB1F5">
      <w:pPr>
        <w:pStyle w:val="ListParagraph"/>
        <w:numPr>
          <w:ilvl w:val="1"/>
          <w:numId w:val="12"/>
        </w:numPr>
        <w:shd w:val="clear" w:color="auto" w:fill="FFFFFF" w:themeFill="background1"/>
        <w:spacing w:before="240" w:after="240"/>
        <w:rPr>
          <w:rFonts w:eastAsia="Palatino Linotype" w:cs="Palatino Linotype"/>
          <w:color w:val="000000" w:themeColor="text1"/>
        </w:rPr>
      </w:pPr>
      <w:r w:rsidRPr="7477921D">
        <w:rPr>
          <w:rFonts w:eastAsia="Palatino Linotype" w:cs="Palatino Linotype"/>
          <w:color w:val="000000" w:themeColor="text1"/>
        </w:rPr>
        <w:t>SD</w:t>
      </w:r>
      <w:r w:rsidRPr="7477921D" w:rsidR="3C06525C">
        <w:rPr>
          <w:rFonts w:eastAsia="Palatino Linotype" w:cs="Palatino Linotype"/>
          <w:color w:val="000000" w:themeColor="text1"/>
        </w:rPr>
        <w:t>G</w:t>
      </w:r>
      <w:r w:rsidRPr="5E8A2699" w:rsidR="3C06525C">
        <w:rPr>
          <w:rFonts w:eastAsia="Palatino Linotype" w:cs="Palatino Linotype"/>
          <w:color w:val="000000" w:themeColor="text1"/>
        </w:rPr>
        <w:t xml:space="preserve">&amp;E shall also expand on how its discount programs (specifically the </w:t>
      </w:r>
      <w:r w:rsidRPr="1E48A3D2" w:rsidR="32388EEA">
        <w:rPr>
          <w:rFonts w:eastAsia="Palatino Linotype" w:cs="Palatino Linotype"/>
          <w:color w:val="000000" w:themeColor="text1"/>
        </w:rPr>
        <w:t>Medical</w:t>
      </w:r>
      <w:r w:rsidRPr="53152E3E" w:rsidR="32388EEA">
        <w:rPr>
          <w:rFonts w:eastAsia="Palatino Linotype" w:cs="Palatino Linotype"/>
          <w:color w:val="000000" w:themeColor="text1"/>
        </w:rPr>
        <w:t xml:space="preserve"> Baseline</w:t>
      </w:r>
      <w:r w:rsidRPr="5E8A2699" w:rsidR="3C06525C">
        <w:rPr>
          <w:rFonts w:eastAsia="Palatino Linotype" w:cs="Palatino Linotype"/>
          <w:color w:val="000000" w:themeColor="text1"/>
        </w:rPr>
        <w:t>, DAC-GT, and CS-GT programs) would interact with the new residential fixed charges and volumetric rates.</w:t>
      </w:r>
    </w:p>
    <w:p w:rsidRPr="007D7FEA" w:rsidR="00C64729" w:rsidP="00C401B7" w:rsidRDefault="00473549" w14:paraId="7691B271" w14:textId="0186A435">
      <w:pPr>
        <w:pStyle w:val="ListParagraph"/>
        <w:numPr>
          <w:ilvl w:val="0"/>
          <w:numId w:val="12"/>
        </w:numPr>
        <w:shd w:val="clear" w:color="auto" w:fill="FFFFFF" w:themeFill="background1"/>
        <w:spacing w:before="240" w:after="240"/>
        <w:rPr>
          <w:rFonts w:eastAsia="Palatino Linotype" w:cs="Palatino Linotype"/>
          <w:color w:val="000000" w:themeColor="text1"/>
        </w:rPr>
      </w:pPr>
      <w:r>
        <w:rPr>
          <w:snapToGrid w:val="0"/>
        </w:rPr>
        <w:t>San Diego Gas &amp; Electric Company</w:t>
      </w:r>
      <w:r w:rsidRPr="7D60D80C" w:rsidR="633D67F5">
        <w:rPr>
          <w:rFonts w:eastAsia="Palatino Linotype" w:cs="Palatino Linotype"/>
          <w:color w:val="000000" w:themeColor="text1"/>
        </w:rPr>
        <w:t xml:space="preserve"> shall file a Tier 1 Advice Letter at least </w:t>
      </w:r>
      <w:r w:rsidR="006E7DDE">
        <w:rPr>
          <w:rFonts w:eastAsia="Palatino Linotype" w:cs="Palatino Linotype"/>
          <w:color w:val="000000" w:themeColor="text1"/>
        </w:rPr>
        <w:br/>
      </w:r>
      <w:r w:rsidRPr="7D60D80C" w:rsidR="633D67F5">
        <w:rPr>
          <w:rFonts w:eastAsia="Palatino Linotype" w:cs="Palatino Linotype"/>
          <w:color w:val="000000" w:themeColor="text1"/>
        </w:rPr>
        <w:t xml:space="preserve">30 days before the implementation of the fixed charge in </w:t>
      </w:r>
      <w:r w:rsidRPr="5266621B" w:rsidR="5BECE76F">
        <w:rPr>
          <w:rFonts w:eastAsia="Palatino Linotype" w:cs="Palatino Linotype"/>
          <w:color w:val="000000" w:themeColor="text1"/>
        </w:rPr>
        <w:t>Q4</w:t>
      </w:r>
      <w:r w:rsidR="002831F6">
        <w:rPr>
          <w:rFonts w:eastAsia="Palatino Linotype" w:cs="Palatino Linotype"/>
          <w:color w:val="000000" w:themeColor="text1"/>
        </w:rPr>
        <w:t xml:space="preserve"> of</w:t>
      </w:r>
      <w:r w:rsidRPr="7D60D80C" w:rsidR="633D67F5">
        <w:rPr>
          <w:rFonts w:eastAsia="Palatino Linotype" w:cs="Palatino Linotype"/>
          <w:color w:val="000000" w:themeColor="text1"/>
        </w:rPr>
        <w:t xml:space="preserve"> 2025 to finalize the changes to volumetric rate components of all residential tariffs.</w:t>
      </w:r>
    </w:p>
    <w:p w:rsidRPr="00D473A8" w:rsidR="00DA794F" w:rsidP="00C401B7" w:rsidRDefault="00DA794F" w14:paraId="6C6C44D1" w14:textId="53F46693">
      <w:pPr>
        <w:pStyle w:val="ListParagraph"/>
        <w:numPr>
          <w:ilvl w:val="0"/>
          <w:numId w:val="12"/>
        </w:numPr>
        <w:shd w:val="clear" w:color="auto" w:fill="FFFFFF" w:themeFill="background1"/>
        <w:spacing w:before="240" w:after="240"/>
        <w:rPr>
          <w:color w:val="000000" w:themeColor="text1"/>
        </w:rPr>
      </w:pPr>
      <w:r w:rsidRPr="00D473A8">
        <w:rPr>
          <w:color w:val="000000" w:themeColor="text1"/>
        </w:rPr>
        <w:t xml:space="preserve">San Diego Gas &amp; Electric Company shall refine its customer segmentation strategy based on feedback from the Implementation Working Group </w:t>
      </w:r>
      <w:r w:rsidR="00473549">
        <w:rPr>
          <w:color w:val="000000" w:themeColor="text1"/>
        </w:rPr>
        <w:t>(IWG)</w:t>
      </w:r>
      <w:r w:rsidRPr="00D473A8">
        <w:rPr>
          <w:color w:val="000000" w:themeColor="text1"/>
        </w:rPr>
        <w:t xml:space="preserve"> before initiating communications with customers and implementing the fixed charge.</w:t>
      </w:r>
    </w:p>
    <w:p w:rsidRPr="00D473A8" w:rsidR="00DA794F" w:rsidP="00C401B7" w:rsidRDefault="00DA794F" w14:paraId="1098F4BF" w14:textId="55BAC04D">
      <w:pPr>
        <w:pStyle w:val="ListParagraph"/>
        <w:numPr>
          <w:ilvl w:val="0"/>
          <w:numId w:val="12"/>
        </w:numPr>
        <w:shd w:val="clear" w:color="auto" w:fill="FFFFFF" w:themeFill="background1"/>
        <w:spacing w:before="240" w:after="240"/>
        <w:rPr>
          <w:color w:val="000000" w:themeColor="text1"/>
        </w:rPr>
      </w:pPr>
      <w:r w:rsidRPr="00D473A8">
        <w:rPr>
          <w:color w:val="000000" w:themeColor="text1"/>
        </w:rPr>
        <w:t xml:space="preserve">San Diego Gas &amp; Electric </w:t>
      </w:r>
      <w:r w:rsidRPr="004B3E27" w:rsidR="004B3E27">
        <w:rPr>
          <w:color w:val="000000" w:themeColor="text1"/>
        </w:rPr>
        <w:t>Company's</w:t>
      </w:r>
      <w:r w:rsidRPr="00D473A8">
        <w:rPr>
          <w:color w:val="000000" w:themeColor="text1"/>
        </w:rPr>
        <w:t xml:space="preserve"> </w:t>
      </w:r>
      <w:r w:rsidR="00226BBC">
        <w:rPr>
          <w:color w:val="000000" w:themeColor="text1"/>
        </w:rPr>
        <w:t>m</w:t>
      </w:r>
      <w:r w:rsidR="00362722">
        <w:rPr>
          <w:color w:val="000000" w:themeColor="text1"/>
        </w:rPr>
        <w:t xml:space="preserve">arketing, </w:t>
      </w:r>
      <w:r w:rsidR="00226BBC">
        <w:rPr>
          <w:color w:val="000000" w:themeColor="text1"/>
        </w:rPr>
        <w:t>e</w:t>
      </w:r>
      <w:r w:rsidR="00362722">
        <w:rPr>
          <w:color w:val="000000" w:themeColor="text1"/>
        </w:rPr>
        <w:t>ducation</w:t>
      </w:r>
      <w:r w:rsidRPr="004B3E27" w:rsidR="004B3E27">
        <w:rPr>
          <w:color w:val="000000" w:themeColor="text1"/>
        </w:rPr>
        <w:t>,</w:t>
      </w:r>
      <w:r w:rsidR="00362722">
        <w:rPr>
          <w:color w:val="000000" w:themeColor="text1"/>
        </w:rPr>
        <w:t xml:space="preserve"> and </w:t>
      </w:r>
      <w:r w:rsidR="00226BBC">
        <w:rPr>
          <w:color w:val="000000" w:themeColor="text1"/>
        </w:rPr>
        <w:t>o</w:t>
      </w:r>
      <w:r w:rsidR="00362722">
        <w:rPr>
          <w:color w:val="000000" w:themeColor="text1"/>
        </w:rPr>
        <w:t xml:space="preserve">utreach </w:t>
      </w:r>
      <w:r w:rsidR="00226BBC">
        <w:rPr>
          <w:color w:val="000000" w:themeColor="text1"/>
        </w:rPr>
        <w:t>p</w:t>
      </w:r>
      <w:r w:rsidRPr="00D473A8">
        <w:rPr>
          <w:color w:val="000000" w:themeColor="text1"/>
        </w:rPr>
        <w:t xml:space="preserve">lan and budget of </w:t>
      </w:r>
      <w:r w:rsidRPr="00A425A4">
        <w:rPr>
          <w:color w:val="000000" w:themeColor="text1"/>
        </w:rPr>
        <w:t>$</w:t>
      </w:r>
      <w:r w:rsidRPr="00A425A4" w:rsidR="00A425A4">
        <w:rPr>
          <w:color w:val="000000" w:themeColor="text1"/>
        </w:rPr>
        <w:t>3,197,320</w:t>
      </w:r>
      <w:r w:rsidRPr="00D473A8">
        <w:rPr>
          <w:color w:val="000000" w:themeColor="text1"/>
        </w:rPr>
        <w:t xml:space="preserve"> for 2025-202</w:t>
      </w:r>
      <w:r w:rsidR="00E146CF">
        <w:rPr>
          <w:color w:val="000000" w:themeColor="text1"/>
        </w:rPr>
        <w:t>6</w:t>
      </w:r>
      <w:r w:rsidRPr="00D473A8">
        <w:rPr>
          <w:color w:val="000000" w:themeColor="text1"/>
        </w:rPr>
        <w:t xml:space="preserve"> </w:t>
      </w:r>
      <w:r w:rsidRPr="004B3E27" w:rsidR="004B3E27">
        <w:rPr>
          <w:color w:val="000000" w:themeColor="text1"/>
        </w:rPr>
        <w:t>are</w:t>
      </w:r>
      <w:r w:rsidRPr="00D473A8">
        <w:rPr>
          <w:color w:val="000000" w:themeColor="text1"/>
        </w:rPr>
        <w:t xml:space="preserve"> approved as modified herein</w:t>
      </w:r>
      <w:r w:rsidRPr="004B3E27" w:rsidR="004B3E27">
        <w:rPr>
          <w:color w:val="000000" w:themeColor="text1"/>
        </w:rPr>
        <w:t>.</w:t>
      </w:r>
    </w:p>
    <w:p w:rsidR="002910FB" w:rsidP="00C401B7" w:rsidRDefault="00DA794F" w14:paraId="2F9EEF95" w14:textId="44AEA107">
      <w:pPr>
        <w:pStyle w:val="ListParagraph"/>
        <w:numPr>
          <w:ilvl w:val="0"/>
          <w:numId w:val="12"/>
        </w:numPr>
        <w:shd w:val="clear" w:color="auto" w:fill="FFFFFF" w:themeFill="background1"/>
        <w:spacing w:before="240" w:after="240"/>
        <w:rPr>
          <w:color w:val="000000" w:themeColor="text1"/>
        </w:rPr>
      </w:pPr>
      <w:r w:rsidRPr="00D473A8">
        <w:rPr>
          <w:color w:val="000000" w:themeColor="text1"/>
        </w:rPr>
        <w:lastRenderedPageBreak/>
        <w:t xml:space="preserve">San Diego Gas </w:t>
      </w:r>
      <w:r w:rsidRPr="2CAF6366" w:rsidR="726AAE11">
        <w:rPr>
          <w:color w:val="000000" w:themeColor="text1"/>
        </w:rPr>
        <w:t>&amp;</w:t>
      </w:r>
      <w:r w:rsidRPr="00D473A8">
        <w:rPr>
          <w:color w:val="000000" w:themeColor="text1"/>
        </w:rPr>
        <w:t xml:space="preserve"> Electric Company shall file a Tier 2 advice letter within 60 days of the issuance of this Resolution to</w:t>
      </w:r>
      <w:r w:rsidR="00492273">
        <w:rPr>
          <w:color w:val="000000" w:themeColor="text1"/>
        </w:rPr>
        <w:t>:</w:t>
      </w:r>
    </w:p>
    <w:p w:rsidR="002910FB" w:rsidP="00C401B7" w:rsidRDefault="002910FB" w14:paraId="3C0CD486" w14:textId="62EB8C3F">
      <w:pPr>
        <w:pStyle w:val="ListParagraph"/>
        <w:numPr>
          <w:ilvl w:val="1"/>
          <w:numId w:val="12"/>
        </w:numPr>
        <w:shd w:val="clear" w:color="auto" w:fill="FFFFFF" w:themeFill="background1"/>
        <w:spacing w:before="240" w:after="240"/>
        <w:rPr>
          <w:color w:val="000000" w:themeColor="text1"/>
        </w:rPr>
      </w:pPr>
      <w:r>
        <w:rPr>
          <w:color w:val="000000" w:themeColor="text1"/>
        </w:rPr>
        <w:t>C</w:t>
      </w:r>
      <w:r w:rsidRPr="00D473A8" w:rsidR="00DA794F">
        <w:rPr>
          <w:color w:val="000000" w:themeColor="text1"/>
        </w:rPr>
        <w:t xml:space="preserve">orrect errors and misleading statements in its sample high-level </w:t>
      </w:r>
      <w:proofErr w:type="gramStart"/>
      <w:r w:rsidRPr="00D473A8" w:rsidR="00DA794F">
        <w:rPr>
          <w:color w:val="000000" w:themeColor="text1"/>
        </w:rPr>
        <w:t>messaging;</w:t>
      </w:r>
      <w:proofErr w:type="gramEnd"/>
      <w:r w:rsidRPr="00D473A8" w:rsidR="00DA794F">
        <w:rPr>
          <w:color w:val="000000" w:themeColor="text1"/>
        </w:rPr>
        <w:t xml:space="preserve"> </w:t>
      </w:r>
    </w:p>
    <w:p w:rsidR="002910FB" w:rsidP="00C401B7" w:rsidRDefault="002910FB" w14:paraId="25E46E8D" w14:textId="7E2E01A3">
      <w:pPr>
        <w:pStyle w:val="ListParagraph"/>
        <w:numPr>
          <w:ilvl w:val="1"/>
          <w:numId w:val="12"/>
        </w:numPr>
        <w:shd w:val="clear" w:color="auto" w:fill="FFFFFF" w:themeFill="background1"/>
        <w:spacing w:before="240" w:after="240"/>
        <w:rPr>
          <w:color w:val="000000" w:themeColor="text1"/>
        </w:rPr>
      </w:pPr>
      <w:r>
        <w:rPr>
          <w:color w:val="000000" w:themeColor="text1"/>
        </w:rPr>
        <w:t>C</w:t>
      </w:r>
      <w:r w:rsidRPr="00D473A8" w:rsidR="00DA794F">
        <w:rPr>
          <w:color w:val="000000" w:themeColor="text1"/>
        </w:rPr>
        <w:t>larify how it will communicate how customers can switch assigned tiers and different rate options for customers to manage their bills</w:t>
      </w:r>
      <w:r w:rsidR="00541FC6">
        <w:rPr>
          <w:color w:val="000000" w:themeColor="text1"/>
        </w:rPr>
        <w:t>,</w:t>
      </w:r>
      <w:r w:rsidRPr="00541FC6" w:rsidR="00541FC6">
        <w:t xml:space="preserve"> </w:t>
      </w:r>
      <w:r w:rsidR="00541FC6">
        <w:t>consistent with current outreach IOUs conduct to customers about the rate options and bill management</w:t>
      </w:r>
      <w:r w:rsidRPr="00D473A8" w:rsidR="00DA794F">
        <w:rPr>
          <w:color w:val="000000" w:themeColor="text1"/>
        </w:rPr>
        <w:t xml:space="preserve">; </w:t>
      </w:r>
      <w:r w:rsidRPr="559C567C" w:rsidR="08A9C06B">
        <w:rPr>
          <w:color w:val="000000" w:themeColor="text1"/>
        </w:rPr>
        <w:t>and</w:t>
      </w:r>
    </w:p>
    <w:p w:rsidRPr="00D473A8" w:rsidR="00DA794F" w:rsidP="00C401B7" w:rsidRDefault="002910FB" w14:paraId="56F20FBD" w14:textId="798CC557">
      <w:pPr>
        <w:pStyle w:val="ListParagraph"/>
        <w:numPr>
          <w:ilvl w:val="1"/>
          <w:numId w:val="12"/>
        </w:numPr>
        <w:shd w:val="clear" w:color="auto" w:fill="FFFFFF" w:themeFill="background1"/>
        <w:spacing w:before="240" w:after="240"/>
        <w:rPr>
          <w:color w:val="000000" w:themeColor="text1"/>
        </w:rPr>
      </w:pPr>
      <w:r>
        <w:rPr>
          <w:color w:val="000000" w:themeColor="text1"/>
        </w:rPr>
        <w:t>C</w:t>
      </w:r>
      <w:r w:rsidRPr="00D473A8" w:rsidR="00DA794F">
        <w:rPr>
          <w:color w:val="000000" w:themeColor="text1"/>
        </w:rPr>
        <w:t xml:space="preserve">onfer with Pacific Gas and Electric Company and Southern California Edison Company to develop </w:t>
      </w:r>
      <w:r w:rsidRPr="5F130F3F" w:rsidR="5B2BFE6C">
        <w:rPr>
          <w:color w:val="000000" w:themeColor="text1"/>
        </w:rPr>
        <w:t xml:space="preserve">and </w:t>
      </w:r>
      <w:r w:rsidRPr="230763B7" w:rsidR="5B2BFE6C">
        <w:rPr>
          <w:color w:val="000000" w:themeColor="text1"/>
        </w:rPr>
        <w:t>submit</w:t>
      </w:r>
      <w:r w:rsidRPr="0E17E05D" w:rsidR="00DA794F">
        <w:rPr>
          <w:color w:val="000000" w:themeColor="text1"/>
        </w:rPr>
        <w:t xml:space="preserve"> </w:t>
      </w:r>
      <w:r w:rsidRPr="00D473A8" w:rsidR="00DA794F">
        <w:rPr>
          <w:color w:val="000000" w:themeColor="text1"/>
        </w:rPr>
        <w:t xml:space="preserve">consistent messaging and approaches to coordinate and integrate the fixed charge with </w:t>
      </w:r>
      <w:r w:rsidRPr="2C39EE92" w:rsidR="0333A40F">
        <w:rPr>
          <w:color w:val="000000" w:themeColor="text1"/>
        </w:rPr>
        <w:t xml:space="preserve">options for the </w:t>
      </w:r>
      <w:r w:rsidRPr="1633333A" w:rsidR="0333A40F">
        <w:rPr>
          <w:color w:val="000000" w:themeColor="text1"/>
        </w:rPr>
        <w:t xml:space="preserve">California Alternate Rates for Energy </w:t>
      </w:r>
      <w:r w:rsidRPr="0CB957D7" w:rsidR="0333A40F">
        <w:rPr>
          <w:color w:val="000000" w:themeColor="text1"/>
        </w:rPr>
        <w:t xml:space="preserve">and </w:t>
      </w:r>
      <w:r w:rsidRPr="3032D57E" w:rsidR="0333A40F">
        <w:rPr>
          <w:color w:val="000000" w:themeColor="text1"/>
        </w:rPr>
        <w:t>the</w:t>
      </w:r>
      <w:r w:rsidRPr="0CBB32B1" w:rsidR="0333A40F">
        <w:rPr>
          <w:color w:val="000000" w:themeColor="text1"/>
        </w:rPr>
        <w:t xml:space="preserve"> </w:t>
      </w:r>
      <w:r w:rsidRPr="0CB957D7" w:rsidR="0333A40F">
        <w:rPr>
          <w:color w:val="000000" w:themeColor="text1"/>
        </w:rPr>
        <w:t xml:space="preserve">Family </w:t>
      </w:r>
      <w:r w:rsidRPr="07EFA968" w:rsidR="0333A40F">
        <w:rPr>
          <w:color w:val="000000" w:themeColor="text1"/>
        </w:rPr>
        <w:t xml:space="preserve">Electric Rate </w:t>
      </w:r>
      <w:r w:rsidRPr="3985DF7A" w:rsidR="0333A40F">
        <w:rPr>
          <w:color w:val="000000" w:themeColor="text1"/>
        </w:rPr>
        <w:t>Assistance</w:t>
      </w:r>
      <w:r w:rsidRPr="7351BF29" w:rsidR="00DA794F">
        <w:rPr>
          <w:color w:val="000000" w:themeColor="text1"/>
        </w:rPr>
        <w:t xml:space="preserve"> </w:t>
      </w:r>
      <w:r w:rsidRPr="46FB5ABF" w:rsidR="0333A40F">
        <w:rPr>
          <w:color w:val="000000" w:themeColor="text1"/>
        </w:rPr>
        <w:t>programs.</w:t>
      </w:r>
    </w:p>
    <w:p w:rsidRPr="00D473A8" w:rsidR="00CE53BB" w:rsidP="00C401B7" w:rsidRDefault="003B268D" w14:paraId="1C91405E" w14:textId="5BE476AE">
      <w:pPr>
        <w:pStyle w:val="ListParagraph"/>
        <w:numPr>
          <w:ilvl w:val="1"/>
          <w:numId w:val="12"/>
        </w:numPr>
        <w:shd w:val="clear" w:color="auto" w:fill="FFFFFF" w:themeFill="background1"/>
        <w:spacing w:before="240" w:after="240"/>
        <w:rPr>
          <w:color w:val="000000" w:themeColor="text1"/>
        </w:rPr>
      </w:pPr>
      <w:r>
        <w:rPr>
          <w:color w:val="000000" w:themeColor="text1"/>
        </w:rPr>
        <w:t xml:space="preserve">Describe whether </w:t>
      </w:r>
      <w:r w:rsidR="002938CA">
        <w:rPr>
          <w:color w:val="000000" w:themeColor="text1"/>
        </w:rPr>
        <w:t xml:space="preserve">it will </w:t>
      </w:r>
      <w:r w:rsidR="00065691">
        <w:t xml:space="preserve">collect </w:t>
      </w:r>
      <w:r w:rsidRPr="00DB55FC" w:rsidR="00065691">
        <w:t xml:space="preserve">information regarding </w:t>
      </w:r>
      <w:r w:rsidR="00065691">
        <w:t>deed-restricted affordable housing</w:t>
      </w:r>
      <w:r w:rsidRPr="00DB55FC" w:rsidR="00065691">
        <w:t xml:space="preserve"> </w:t>
      </w:r>
      <w:r w:rsidR="00065691">
        <w:t>(</w:t>
      </w:r>
      <w:r w:rsidRPr="00DB55FC" w:rsidR="00065691">
        <w:t>DRAH</w:t>
      </w:r>
      <w:r w:rsidR="00065691">
        <w:t>)</w:t>
      </w:r>
      <w:r w:rsidRPr="00DB55FC" w:rsidR="00065691">
        <w:t xml:space="preserve"> status through CARE and FERA applications as a cost-effective means to </w:t>
      </w:r>
      <w:r w:rsidR="00065691">
        <w:t>improve data collection regarding deed restricted housing.</w:t>
      </w:r>
    </w:p>
    <w:p w:rsidRPr="00D473A8" w:rsidR="00DA794F" w:rsidP="00C401B7" w:rsidRDefault="5068B1EC" w14:paraId="1F52A306" w14:textId="63174517">
      <w:pPr>
        <w:pStyle w:val="ListParagraph"/>
        <w:numPr>
          <w:ilvl w:val="0"/>
          <w:numId w:val="12"/>
        </w:numPr>
        <w:shd w:val="clear" w:color="auto" w:fill="FFFFFF" w:themeFill="background1"/>
        <w:spacing w:before="240" w:after="240"/>
        <w:rPr>
          <w:color w:val="000000" w:themeColor="text1"/>
        </w:rPr>
      </w:pPr>
      <w:r w:rsidRPr="7A143A03">
        <w:rPr>
          <w:color w:val="000000" w:themeColor="text1"/>
        </w:rPr>
        <w:t xml:space="preserve">San Diego Gas </w:t>
      </w:r>
      <w:r w:rsidRPr="7A143A03" w:rsidR="662786E6">
        <w:rPr>
          <w:color w:val="000000" w:themeColor="text1"/>
        </w:rPr>
        <w:t>&amp;</w:t>
      </w:r>
      <w:r w:rsidRPr="7A143A03">
        <w:rPr>
          <w:color w:val="000000" w:themeColor="text1"/>
        </w:rPr>
        <w:t xml:space="preserve"> Electric Company </w:t>
      </w:r>
      <w:r w:rsidRPr="7A143A03" w:rsidR="1C075755">
        <w:rPr>
          <w:color w:val="000000" w:themeColor="text1"/>
        </w:rPr>
        <w:t>(SDG&amp;E)</w:t>
      </w:r>
      <w:r w:rsidRPr="7A143A03">
        <w:rPr>
          <w:color w:val="000000" w:themeColor="text1"/>
        </w:rPr>
        <w:t xml:space="preserve"> shall present its final </w:t>
      </w:r>
      <w:r w:rsidRPr="7A143A03" w:rsidR="2534471E">
        <w:rPr>
          <w:color w:val="000000" w:themeColor="text1"/>
        </w:rPr>
        <w:t>marketing, education</w:t>
      </w:r>
      <w:r w:rsidRPr="7A143A03" w:rsidR="18151570">
        <w:rPr>
          <w:color w:val="000000" w:themeColor="text1"/>
        </w:rPr>
        <w:t>,</w:t>
      </w:r>
      <w:r w:rsidRPr="7A143A03" w:rsidR="2534471E">
        <w:rPr>
          <w:color w:val="000000" w:themeColor="text1"/>
        </w:rPr>
        <w:t xml:space="preserve"> and outreach (</w:t>
      </w:r>
      <w:r w:rsidRPr="7A143A03">
        <w:rPr>
          <w:color w:val="000000" w:themeColor="text1"/>
        </w:rPr>
        <w:t>ME&amp;O</w:t>
      </w:r>
      <w:r w:rsidRPr="7A143A03" w:rsidR="2534471E">
        <w:rPr>
          <w:color w:val="000000" w:themeColor="text1"/>
        </w:rPr>
        <w:t>)</w:t>
      </w:r>
      <w:r w:rsidRPr="7A143A03">
        <w:rPr>
          <w:color w:val="000000" w:themeColor="text1"/>
        </w:rPr>
        <w:t xml:space="preserve"> plan to the Implementation Working Group at least </w:t>
      </w:r>
      <w:r w:rsidRPr="7A143A03" w:rsidR="1E48E6E4">
        <w:rPr>
          <w:color w:val="000000" w:themeColor="text1"/>
        </w:rPr>
        <w:t xml:space="preserve">90 </w:t>
      </w:r>
      <w:r w:rsidRPr="7A143A03">
        <w:rPr>
          <w:color w:val="000000" w:themeColor="text1"/>
        </w:rPr>
        <w:t xml:space="preserve">days prior to initiating customer communications and implementing the fixed charge to incorporate feedback to improve plans before implementation. SDG&amp;E’s </w:t>
      </w:r>
      <w:r w:rsidRPr="7A143A03">
        <w:rPr>
          <w:rFonts w:eastAsia="Palatino Linotype" w:cs="Palatino Linotype"/>
          <w:color w:val="000000" w:themeColor="text1"/>
        </w:rPr>
        <w:t xml:space="preserve">presentation of its final ME&amp;O plan shall include </w:t>
      </w:r>
      <w:r w:rsidRPr="7A143A03" w:rsidR="65DE6A1C">
        <w:rPr>
          <w:rFonts w:eastAsia="Palatino Linotype" w:cs="Palatino Linotype"/>
          <w:color w:val="000000" w:themeColor="text1"/>
        </w:rPr>
        <w:t xml:space="preserve">all </w:t>
      </w:r>
      <w:r w:rsidRPr="7A143A03" w:rsidR="4D6F3295">
        <w:rPr>
          <w:rFonts w:eastAsia="Palatino Linotype" w:cs="Palatino Linotype"/>
          <w:color w:val="000000" w:themeColor="text1"/>
        </w:rPr>
        <w:t>aspects of its campaign and final messaging to customers and demonstrate how it will follow best practices for accessible communications</w:t>
      </w:r>
      <w:r w:rsidRPr="7A143A03">
        <w:rPr>
          <w:color w:val="000000" w:themeColor="text1"/>
        </w:rPr>
        <w:t>.</w:t>
      </w:r>
    </w:p>
    <w:p w:rsidR="00BD4357" w:rsidP="00C401B7" w:rsidRDefault="00DA794F" w14:paraId="1B736C47" w14:textId="36158DFF">
      <w:pPr>
        <w:pStyle w:val="ListParagraph"/>
        <w:numPr>
          <w:ilvl w:val="0"/>
          <w:numId w:val="12"/>
        </w:numPr>
        <w:shd w:val="clear" w:color="auto" w:fill="FFFFFF" w:themeFill="background1"/>
        <w:spacing w:before="240" w:after="240"/>
        <w:rPr>
          <w:color w:val="000000" w:themeColor="text1"/>
        </w:rPr>
      </w:pPr>
      <w:r w:rsidRPr="00D473A8">
        <w:rPr>
          <w:color w:val="000000" w:themeColor="text1"/>
        </w:rPr>
        <w:t xml:space="preserve">San Diego Gas &amp; Electric Company </w:t>
      </w:r>
      <w:r w:rsidRPr="58B24418">
        <w:rPr>
          <w:color w:val="000000" w:themeColor="text1"/>
        </w:rPr>
        <w:t>shall</w:t>
      </w:r>
      <w:r w:rsidRPr="00D473A8">
        <w:rPr>
          <w:color w:val="000000" w:themeColor="text1"/>
        </w:rPr>
        <w:t xml:space="preserve"> include the </w:t>
      </w:r>
      <w:r w:rsidR="006F2EFB">
        <w:rPr>
          <w:color w:val="000000" w:themeColor="text1"/>
        </w:rPr>
        <w:t xml:space="preserve">following </w:t>
      </w:r>
      <w:r w:rsidRPr="00D473A8">
        <w:rPr>
          <w:color w:val="000000" w:themeColor="text1"/>
        </w:rPr>
        <w:t xml:space="preserve">required two metrics </w:t>
      </w:r>
      <w:r w:rsidRPr="379AC12D" w:rsidR="1D22DFA6">
        <w:rPr>
          <w:color w:val="000000" w:themeColor="text1"/>
        </w:rPr>
        <w:t>in D.24-05-</w:t>
      </w:r>
      <w:r w:rsidRPr="0B691166" w:rsidR="1D22DFA6">
        <w:rPr>
          <w:color w:val="000000" w:themeColor="text1"/>
        </w:rPr>
        <w:t>028</w:t>
      </w:r>
      <w:r w:rsidRPr="379AC12D">
        <w:rPr>
          <w:color w:val="000000" w:themeColor="text1"/>
        </w:rPr>
        <w:t xml:space="preserve"> </w:t>
      </w:r>
      <w:r w:rsidRPr="00D473A8">
        <w:rPr>
          <w:color w:val="000000" w:themeColor="text1"/>
        </w:rPr>
        <w:t>as part of its quarterly reporting to the service list and I</w:t>
      </w:r>
      <w:r w:rsidR="00BF2373">
        <w:rPr>
          <w:color w:val="000000" w:themeColor="text1"/>
        </w:rPr>
        <w:t xml:space="preserve">mplementation </w:t>
      </w:r>
      <w:r w:rsidRPr="00D473A8">
        <w:rPr>
          <w:color w:val="000000" w:themeColor="text1"/>
        </w:rPr>
        <w:t>W</w:t>
      </w:r>
      <w:r w:rsidR="00BF2373">
        <w:rPr>
          <w:color w:val="000000" w:themeColor="text1"/>
        </w:rPr>
        <w:t xml:space="preserve">orking </w:t>
      </w:r>
      <w:r w:rsidRPr="00D473A8">
        <w:rPr>
          <w:color w:val="000000" w:themeColor="text1"/>
        </w:rPr>
        <w:t>G</w:t>
      </w:r>
      <w:r w:rsidR="00BF2373">
        <w:rPr>
          <w:color w:val="000000" w:themeColor="text1"/>
        </w:rPr>
        <w:t>roup</w:t>
      </w:r>
      <w:r w:rsidRPr="00D473A8">
        <w:rPr>
          <w:color w:val="000000" w:themeColor="text1"/>
        </w:rPr>
        <w:t xml:space="preserve"> for fixed charge implementation</w:t>
      </w:r>
      <w:r w:rsidR="00BF2373">
        <w:rPr>
          <w:color w:val="000000" w:themeColor="text1"/>
        </w:rPr>
        <w:t>:</w:t>
      </w:r>
      <w:r w:rsidRPr="00D473A8">
        <w:rPr>
          <w:color w:val="000000" w:themeColor="text1"/>
        </w:rPr>
        <w:t xml:space="preserve"> </w:t>
      </w:r>
    </w:p>
    <w:p w:rsidR="00BD4357" w:rsidP="00C401B7" w:rsidRDefault="00BF2373" w14:paraId="2D03C2FB" w14:textId="44C19B56">
      <w:pPr>
        <w:pStyle w:val="ListParagraph"/>
        <w:numPr>
          <w:ilvl w:val="1"/>
          <w:numId w:val="12"/>
        </w:numPr>
        <w:shd w:val="clear" w:color="auto" w:fill="FFFFFF" w:themeFill="background1"/>
        <w:spacing w:before="240" w:after="240"/>
        <w:rPr>
          <w:color w:val="000000" w:themeColor="text1"/>
        </w:rPr>
      </w:pPr>
      <w:r>
        <w:rPr>
          <w:color w:val="000000" w:themeColor="text1"/>
        </w:rPr>
        <w:t>N</w:t>
      </w:r>
      <w:r w:rsidRPr="00D473A8" w:rsidR="00DA794F">
        <w:rPr>
          <w:color w:val="000000" w:themeColor="text1"/>
        </w:rPr>
        <w:t>umber of customers who were asked to verify their incomes through the CARE and FERA programs</w:t>
      </w:r>
      <w:r>
        <w:rPr>
          <w:color w:val="000000" w:themeColor="text1"/>
        </w:rPr>
        <w:t xml:space="preserve">, and </w:t>
      </w:r>
      <w:r w:rsidRPr="00D473A8" w:rsidR="00DA794F">
        <w:rPr>
          <w:color w:val="000000" w:themeColor="text1"/>
        </w:rPr>
        <w:t xml:space="preserve"> </w:t>
      </w:r>
    </w:p>
    <w:p w:rsidRPr="00D473A8" w:rsidR="00DA794F" w:rsidP="00C401B7" w:rsidRDefault="00BD4357" w14:paraId="79C634B0" w14:textId="658F0795">
      <w:pPr>
        <w:pStyle w:val="ListParagraph"/>
        <w:numPr>
          <w:ilvl w:val="1"/>
          <w:numId w:val="12"/>
        </w:numPr>
        <w:shd w:val="clear" w:color="auto" w:fill="FFFFFF" w:themeFill="background1"/>
        <w:spacing w:before="240" w:after="240"/>
        <w:rPr>
          <w:color w:val="000000" w:themeColor="text1"/>
        </w:rPr>
      </w:pPr>
      <w:r>
        <w:rPr>
          <w:color w:val="000000" w:themeColor="text1"/>
        </w:rPr>
        <w:t>N</w:t>
      </w:r>
      <w:r w:rsidRPr="00D473A8" w:rsidR="00DA794F">
        <w:rPr>
          <w:color w:val="000000" w:themeColor="text1"/>
        </w:rPr>
        <w:t>umber of customers who successfully verified their incomes through the CARE and FERA programs.</w:t>
      </w:r>
    </w:p>
    <w:p w:rsidRPr="00D473A8" w:rsidR="00DA794F" w:rsidP="00C401B7" w:rsidRDefault="00DA794F" w14:paraId="2CE2B93D" w14:textId="316730AA">
      <w:pPr>
        <w:pStyle w:val="ListParagraph"/>
        <w:numPr>
          <w:ilvl w:val="0"/>
          <w:numId w:val="12"/>
        </w:numPr>
        <w:shd w:val="clear" w:color="auto" w:fill="FFFFFF" w:themeFill="background1"/>
        <w:spacing w:before="240" w:after="240"/>
        <w:rPr>
          <w:color w:val="000000" w:themeColor="text1"/>
        </w:rPr>
      </w:pPr>
      <w:r w:rsidRPr="713B1C2B">
        <w:rPr>
          <w:color w:val="000000" w:themeColor="text1"/>
        </w:rPr>
        <w:t xml:space="preserve">Pacific Gas and Electric Company, Southern California Edison Company, and San Diego Gas &amp; Electric Company shall include the following disaggregated metrics for </w:t>
      </w:r>
      <w:r w:rsidRPr="713B1C2B" w:rsidR="63DCEA2B">
        <w:rPr>
          <w:color w:val="000000" w:themeColor="text1"/>
        </w:rPr>
        <w:t>marketing, education, and outreach</w:t>
      </w:r>
      <w:r w:rsidRPr="713B1C2B">
        <w:rPr>
          <w:color w:val="000000" w:themeColor="text1"/>
        </w:rPr>
        <w:t xml:space="preserve"> reporting by tier and customer status: (a) the number and type of outbound targeted communications and bill messages and (b) email open rates.</w:t>
      </w:r>
    </w:p>
    <w:p w:rsidR="005B20FE" w:rsidP="00C401B7" w:rsidRDefault="005B20FE" w14:paraId="414E9ED9" w14:textId="1AE5D467">
      <w:pPr>
        <w:pStyle w:val="ListParagraph"/>
        <w:numPr>
          <w:ilvl w:val="0"/>
          <w:numId w:val="12"/>
        </w:numPr>
        <w:shd w:val="clear" w:color="auto" w:fill="FFFFFF" w:themeFill="background1"/>
        <w:spacing w:before="240" w:after="240"/>
        <w:rPr>
          <w:color w:val="000000" w:themeColor="text1"/>
        </w:rPr>
      </w:pPr>
      <w:r w:rsidRPr="713B1C2B">
        <w:rPr>
          <w:color w:val="000000" w:themeColor="text1"/>
        </w:rPr>
        <w:t xml:space="preserve">Pacific Gas and Electric Company, Southern California Edison Company, and San Diego Gas &amp; Electric Company shall </w:t>
      </w:r>
      <w:r w:rsidRPr="713B1C2B" w:rsidR="625B2860">
        <w:rPr>
          <w:color w:val="000000" w:themeColor="text1"/>
        </w:rPr>
        <w:t>confer</w:t>
      </w:r>
      <w:r w:rsidRPr="713B1C2B" w:rsidR="00C02F58">
        <w:rPr>
          <w:color w:val="000000" w:themeColor="text1"/>
        </w:rPr>
        <w:t xml:space="preserve"> </w:t>
      </w:r>
      <w:r w:rsidRPr="713B1C2B" w:rsidR="007967FF">
        <w:rPr>
          <w:color w:val="000000" w:themeColor="text1"/>
        </w:rPr>
        <w:t xml:space="preserve">with </w:t>
      </w:r>
      <w:r w:rsidRPr="713B1C2B" w:rsidR="00C02F58">
        <w:rPr>
          <w:color w:val="000000" w:themeColor="text1"/>
        </w:rPr>
        <w:t xml:space="preserve">one another, Commission </w:t>
      </w:r>
      <w:r w:rsidRPr="713B1C2B" w:rsidR="00C02F58">
        <w:rPr>
          <w:color w:val="000000" w:themeColor="text1"/>
        </w:rPr>
        <w:lastRenderedPageBreak/>
        <w:t>staff, and the I</w:t>
      </w:r>
      <w:r w:rsidRPr="713B1C2B" w:rsidR="5E21A64D">
        <w:rPr>
          <w:color w:val="000000" w:themeColor="text1"/>
        </w:rPr>
        <w:t>mplementation Working Group</w:t>
      </w:r>
      <w:r w:rsidRPr="713B1C2B" w:rsidR="00C02F58">
        <w:rPr>
          <w:color w:val="000000" w:themeColor="text1"/>
        </w:rPr>
        <w:t xml:space="preserve"> to refine reporting for the implementation of the fixed charge.</w:t>
      </w:r>
    </w:p>
    <w:p w:rsidRPr="00713373" w:rsidR="11515300" w:rsidP="00C401B7" w:rsidRDefault="00D63495" w14:paraId="468B35E3" w14:textId="2467EE51">
      <w:pPr>
        <w:pStyle w:val="ListParagraph"/>
        <w:numPr>
          <w:ilvl w:val="0"/>
          <w:numId w:val="12"/>
        </w:numPr>
        <w:shd w:val="clear" w:color="auto" w:fill="FFFFFF" w:themeFill="background1"/>
        <w:spacing w:before="240" w:after="240"/>
        <w:rPr>
          <w:color w:val="000000" w:themeColor="text1"/>
        </w:rPr>
      </w:pPr>
      <w:r>
        <w:rPr>
          <w:color w:val="000000" w:themeColor="text1"/>
        </w:rPr>
        <w:t>T</w:t>
      </w:r>
      <w:r w:rsidRPr="00D63495">
        <w:rPr>
          <w:color w:val="000000" w:themeColor="text1"/>
        </w:rPr>
        <w:t>he</w:t>
      </w:r>
      <w:r w:rsidRPr="00D473A8" w:rsidR="00DA794F">
        <w:rPr>
          <w:color w:val="000000" w:themeColor="text1"/>
        </w:rPr>
        <w:t xml:space="preserve"> Implementation Working Group </w:t>
      </w:r>
      <w:r w:rsidR="0067544C">
        <w:rPr>
          <w:color w:val="000000" w:themeColor="text1"/>
        </w:rPr>
        <w:t>shall</w:t>
      </w:r>
      <w:r w:rsidRPr="00D473A8" w:rsidR="00DA794F">
        <w:rPr>
          <w:color w:val="000000" w:themeColor="text1"/>
        </w:rPr>
        <w:t xml:space="preserve"> determine when reporting for the fixed charge implementation ends based on each large electric investor-owned </w:t>
      </w:r>
      <w:r w:rsidRPr="00D63495">
        <w:rPr>
          <w:color w:val="000000" w:themeColor="text1"/>
        </w:rPr>
        <w:t>utility's implementation schedule</w:t>
      </w:r>
      <w:r w:rsidRPr="00D473A8" w:rsidR="00DA794F">
        <w:rPr>
          <w:color w:val="000000" w:themeColor="text1"/>
        </w:rPr>
        <w:t>.</w:t>
      </w:r>
    </w:p>
    <w:p w:rsidRPr="00D865A9" w:rsidR="00CF17DE" w:rsidP="1DE32884" w:rsidRDefault="00CF17DE" w14:paraId="6568C50F" w14:textId="726C86CB"/>
    <w:p w:rsidRPr="00D865A9" w:rsidR="00CF17DE" w:rsidP="00F22803" w:rsidRDefault="00CF17DE" w14:paraId="37DEE6CF" w14:textId="77777777">
      <w:r w:rsidRPr="00D865A9">
        <w:t>This Resolution is effective today.</w:t>
      </w:r>
    </w:p>
    <w:p w:rsidRPr="00D865A9" w:rsidR="00CB42C3" w:rsidP="00F22803" w:rsidRDefault="00CB42C3" w14:paraId="7D496AA3" w14:textId="77777777"/>
    <w:p w:rsidRPr="00D865A9" w:rsidR="00CF17DE" w:rsidP="00F22803" w:rsidRDefault="00CF17DE" w14:paraId="048CEE72" w14:textId="18C5200F">
      <w:pPr>
        <w:rPr>
          <w:snapToGrid w:val="0"/>
        </w:rPr>
      </w:pPr>
      <w:r w:rsidRPr="00D865A9">
        <w:rPr>
          <w:snapToGrid w:val="0"/>
        </w:rPr>
        <w:t>I certify that the foregoing resolution was duly introduced, passed</w:t>
      </w:r>
      <w:r w:rsidR="007963D3">
        <w:rPr>
          <w:snapToGrid w:val="0"/>
        </w:rPr>
        <w:t>,</w:t>
      </w:r>
      <w:r w:rsidRPr="00D865A9">
        <w:rPr>
          <w:snapToGrid w:val="0"/>
        </w:rPr>
        <w:t xml:space="preserve"> and adopted at a conference of the Public Utilities Commission of the State of California held on </w:t>
      </w:r>
      <w:r w:rsidR="00143C97">
        <w:rPr>
          <w:snapToGrid w:val="0"/>
        </w:rPr>
        <w:t xml:space="preserve">December </w:t>
      </w:r>
      <w:r w:rsidR="005E16D6">
        <w:rPr>
          <w:snapToGrid w:val="0"/>
        </w:rPr>
        <w:t>19</w:t>
      </w:r>
      <w:r w:rsidR="00143C97">
        <w:rPr>
          <w:snapToGrid w:val="0"/>
        </w:rPr>
        <w:t>, 2024</w:t>
      </w:r>
      <w:r w:rsidRPr="00D865A9">
        <w:rPr>
          <w:snapToGrid w:val="0"/>
        </w:rPr>
        <w:t>; the following Commissioners voting favorably thereon:</w:t>
      </w:r>
    </w:p>
    <w:p w:rsidR="00CF17DE" w:rsidP="00F22803" w:rsidRDefault="00CF17DE" w14:paraId="2DA44F60" w14:textId="77777777"/>
    <w:p w:rsidRPr="00D865A9" w:rsidR="00C401B7" w:rsidP="1DE32884" w:rsidRDefault="00C401B7" w14:paraId="10176FD7" w14:textId="3773025E"/>
    <w:p w:rsidRPr="00D865A9" w:rsidR="00CF17DE" w:rsidP="00C401B7" w:rsidRDefault="00CF17DE" w14:paraId="59727804" w14:textId="6E4769BE">
      <w:pPr>
        <w:ind w:left="5850"/>
      </w:pPr>
      <w:r w:rsidRPr="00D865A9">
        <w:t>_______________</w:t>
      </w:r>
      <w:r w:rsidRPr="00D865A9" w:rsidR="008E6797">
        <w:t>______</w:t>
      </w:r>
    </w:p>
    <w:p w:rsidRPr="00D865A9" w:rsidR="00CF17DE" w:rsidP="00C401B7" w:rsidRDefault="00C401B7" w14:paraId="17731D81" w14:textId="3365186D">
      <w:pPr>
        <w:ind w:left="5850"/>
      </w:pPr>
      <w:r>
        <w:t xml:space="preserve">      </w:t>
      </w:r>
      <w:r w:rsidRPr="00D865A9" w:rsidR="00FC2DE4">
        <w:t>Rachel Peterson</w:t>
      </w:r>
    </w:p>
    <w:p w:rsidRPr="00D865A9" w:rsidR="002A64DC" w:rsidP="00C401B7" w:rsidRDefault="00C401B7" w14:paraId="3D42857C" w14:textId="0958ACB3">
      <w:pPr>
        <w:ind w:left="5850"/>
      </w:pPr>
      <w:r>
        <w:t xml:space="preserve">    </w:t>
      </w:r>
      <w:r w:rsidRPr="00D865A9" w:rsidR="00CF17DE">
        <w:t>Executive Director</w:t>
      </w:r>
    </w:p>
    <w:sectPr w:rsidRPr="00D865A9" w:rsidR="002A64DC" w:rsidSect="00933274">
      <w:headerReference w:type="default" r:id="rId20"/>
      <w:footerReference w:type="default" r:id="rId21"/>
      <w:headerReference w:type="first" r:id="rId22"/>
      <w:footerReference w:type="first" r:id="rId23"/>
      <w:type w:val="continuous"/>
      <w:pgSz w:w="12240" w:h="15840" w:code="1"/>
      <w:pgMar w:top="1440" w:right="1440" w:bottom="1440" w:left="1440" w:header="720" w:footer="720" w:gutter="0"/>
      <w:cols w:space="720"/>
      <w:titlePg/>
      <w:docGrid w:linePitch="326"/>
    </w:sectPr>
    <w:p>
      <w:r>
        <w:t xml:space="preserve"/>
      </w:r>
    </w:p>
    <w:p>
      <w:r>
        <w:t xml:space="preserve">Attachment 1: </w:t>
      </w:r>
    </w:p>
    <w:p>
      <w:hyperlink w:history="true" r:id="R434b5d927c644d27">
        <w:r w:rsidRPr="00CB1292">
          <w:rPr>
            <w:rStyle w:val="Hyperlink"/>
            <w:color w:val="2E74B5" w:themeColor="accent1" w:themeShade="BF"/>
            <w:u w:val="single"/>
          </w:rPr>
          <w:t>E-5355 Draft Agenda Resolution (SDG&amp;E 4492-E) (Redline)</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9DC9D" w14:textId="77777777" w:rsidR="008E65AD" w:rsidRDefault="008E65AD" w:rsidP="00F22803">
      <w:r>
        <w:separator/>
      </w:r>
    </w:p>
  </w:endnote>
  <w:endnote w:type="continuationSeparator" w:id="0">
    <w:p w14:paraId="49C8D7BB" w14:textId="77777777" w:rsidR="008E65AD" w:rsidRDefault="008E65AD" w:rsidP="00F22803">
      <w:r>
        <w:continuationSeparator/>
      </w:r>
    </w:p>
  </w:endnote>
  <w:endnote w:type="continuationNotice" w:id="1">
    <w:p w14:paraId="2A71F99E" w14:textId="77777777" w:rsidR="008E65AD" w:rsidRDefault="008E65AD" w:rsidP="00F22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Palatino">
    <w:altName w:val="Palatino Linotype"/>
    <w:charset w:val="00"/>
    <w:family w:val="roman"/>
    <w:pitch w:val="variable"/>
    <w:sig w:usb0="20000A87" w:usb1="08000000" w:usb2="00000008" w:usb3="00000000" w:csb0="00000105"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816544"/>
      <w:docPartObj>
        <w:docPartGallery w:val="Page Numbers (Bottom of Page)"/>
        <w:docPartUnique/>
      </w:docPartObj>
    </w:sdtPr>
    <w:sdtContent>
      <w:p w14:paraId="3B45770E" w14:textId="1BF49253" w:rsidR="00B913F1" w:rsidRPr="00D865A9" w:rsidRDefault="00B913F1" w:rsidP="00F22803">
        <w:pPr>
          <w:pStyle w:val="Footer"/>
        </w:pPr>
        <w:r w:rsidRPr="00D865A9">
          <w:fldChar w:fldCharType="begin"/>
        </w:r>
        <w:r w:rsidRPr="00D865A9">
          <w:instrText xml:space="preserve"> PAGE   \* MERGEFORMAT </w:instrText>
        </w:r>
        <w:r w:rsidRPr="00D865A9">
          <w:fldChar w:fldCharType="separate"/>
        </w:r>
        <w:r w:rsidRPr="00D865A9">
          <w:t>2</w:t>
        </w:r>
        <w:r w:rsidRPr="00D865A9">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3D63" w14:textId="29AA725A" w:rsidR="00CF17DE" w:rsidRPr="001A1DB2" w:rsidRDefault="00F228A1" w:rsidP="00676499">
    <w:pPr>
      <w:pStyle w:val="Footer"/>
      <w:jc w:val="left"/>
    </w:pPr>
    <w:r w:rsidRPr="00F228A1">
      <w:rPr>
        <w:rFonts w:ascii="Tahoma" w:hAnsi="Tahoma" w:cs="Tahoma"/>
        <w:sz w:val="18"/>
        <w:szCs w:val="18"/>
      </w:rPr>
      <w:t xml:space="preserve">549974048  </w:t>
    </w:r>
    <w:r w:rsidR="00676499">
      <w:rPr>
        <w:szCs w:val="18"/>
      </w:rPr>
      <w:tab/>
    </w:r>
    <w:r w:rsidR="00CF17DE" w:rsidRPr="001A1DB2">
      <w:rPr>
        <w:rStyle w:val="PageNumber"/>
        <w:szCs w:val="18"/>
      </w:rPr>
      <w:fldChar w:fldCharType="begin"/>
    </w:r>
    <w:r w:rsidR="00CF17DE" w:rsidRPr="001A1DB2">
      <w:rPr>
        <w:rStyle w:val="PageNumber"/>
        <w:szCs w:val="18"/>
      </w:rPr>
      <w:instrText xml:space="preserve"> PAGE </w:instrText>
    </w:r>
    <w:r w:rsidR="00CF17DE" w:rsidRPr="001A1DB2">
      <w:rPr>
        <w:rStyle w:val="PageNumber"/>
        <w:szCs w:val="18"/>
      </w:rPr>
      <w:fldChar w:fldCharType="separate"/>
    </w:r>
    <w:r w:rsidR="00946E2C" w:rsidRPr="001A1DB2">
      <w:rPr>
        <w:rStyle w:val="PageNumber"/>
        <w:szCs w:val="18"/>
      </w:rPr>
      <w:t>1</w:t>
    </w:r>
    <w:r w:rsidR="00CF17DE" w:rsidRPr="001A1DB2">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D0342" w14:textId="77777777" w:rsidR="008E65AD" w:rsidRDefault="008E65AD" w:rsidP="00F22803">
      <w:r>
        <w:separator/>
      </w:r>
    </w:p>
  </w:footnote>
  <w:footnote w:type="continuationSeparator" w:id="0">
    <w:p w14:paraId="2AB15D91" w14:textId="77777777" w:rsidR="008E65AD" w:rsidRDefault="008E65AD" w:rsidP="00F22803">
      <w:r>
        <w:continuationSeparator/>
      </w:r>
    </w:p>
  </w:footnote>
  <w:footnote w:type="continuationNotice" w:id="1">
    <w:p w14:paraId="73037D94" w14:textId="77777777" w:rsidR="008E65AD" w:rsidRDefault="008E65AD" w:rsidP="00F22803"/>
    <w:p w14:paraId="67F58F53" w14:textId="77777777" w:rsidR="008E65AD" w:rsidRDefault="008E65AD" w:rsidP="00F22803">
      <w:r>
        <w:t xml:space="preserve">Footnote </w:t>
      </w:r>
      <w:proofErr w:type="gramStart"/>
      <w:r>
        <w:t>continued on</w:t>
      </w:r>
      <w:proofErr w:type="gramEnd"/>
      <w:r>
        <w:t xml:space="preserve"> next page</w:t>
      </w:r>
    </w:p>
  </w:footnote>
  <w:footnote w:id="2">
    <w:p w14:paraId="0C01F9F4" w14:textId="4DBD4B46" w:rsidR="00B0301E" w:rsidRPr="002335BA" w:rsidRDefault="00B0301E" w:rsidP="00213348">
      <w:pPr>
        <w:pStyle w:val="FootnoteText"/>
        <w:tabs>
          <w:tab w:val="clear" w:pos="360"/>
        </w:tabs>
        <w:spacing w:after="0"/>
        <w:ind w:left="0" w:firstLine="0"/>
        <w:rPr>
          <w:sz w:val="20"/>
          <w:szCs w:val="20"/>
        </w:rPr>
      </w:pPr>
      <w:r w:rsidRPr="002335BA">
        <w:rPr>
          <w:rStyle w:val="FootnoteReference"/>
          <w:sz w:val="20"/>
          <w:szCs w:val="20"/>
        </w:rPr>
        <w:footnoteRef/>
      </w:r>
      <w:r w:rsidRPr="002335BA">
        <w:rPr>
          <w:sz w:val="20"/>
          <w:szCs w:val="20"/>
        </w:rPr>
        <w:t xml:space="preserve"> </w:t>
      </w:r>
      <w:r w:rsidR="00B32696" w:rsidRPr="00B32696">
        <w:rPr>
          <w:sz w:val="20"/>
          <w:szCs w:val="20"/>
        </w:rPr>
        <w:t>Qualifying low-income households receive up to a 35% discount on electric bills from CARE, while FERA provides up to an 18% discount.</w:t>
      </w:r>
    </w:p>
  </w:footnote>
  <w:footnote w:id="3">
    <w:p w14:paraId="5B861C0A" w14:textId="03B282E2" w:rsidR="00184BA9" w:rsidRPr="004D455A" w:rsidRDefault="00184BA9" w:rsidP="00213348">
      <w:pPr>
        <w:pStyle w:val="FootnoteText"/>
        <w:tabs>
          <w:tab w:val="clear" w:pos="360"/>
        </w:tabs>
        <w:spacing w:after="0"/>
        <w:ind w:left="0" w:firstLine="0"/>
        <w:rPr>
          <w:sz w:val="20"/>
          <w:szCs w:val="20"/>
        </w:rPr>
      </w:pPr>
      <w:r w:rsidRPr="004D455A">
        <w:rPr>
          <w:rStyle w:val="FootnoteReference"/>
          <w:sz w:val="20"/>
          <w:szCs w:val="20"/>
        </w:rPr>
        <w:footnoteRef/>
      </w:r>
      <w:r w:rsidRPr="004D455A">
        <w:rPr>
          <w:sz w:val="20"/>
          <w:szCs w:val="20"/>
        </w:rPr>
        <w:t xml:space="preserve"> D.24-05-028 at </w:t>
      </w:r>
      <w:r w:rsidR="004D455A" w:rsidRPr="004D455A">
        <w:rPr>
          <w:sz w:val="20"/>
          <w:szCs w:val="20"/>
        </w:rPr>
        <w:t>94-95</w:t>
      </w:r>
      <w:r w:rsidRPr="004D455A">
        <w:rPr>
          <w:sz w:val="20"/>
          <w:szCs w:val="20"/>
        </w:rPr>
        <w:t>.</w:t>
      </w:r>
    </w:p>
  </w:footnote>
  <w:footnote w:id="4">
    <w:p w14:paraId="54BE7165" w14:textId="1338E26A" w:rsidR="00AC59E2" w:rsidRPr="00607426" w:rsidRDefault="00AC59E2" w:rsidP="00213348">
      <w:pPr>
        <w:pStyle w:val="FootnoteText"/>
        <w:tabs>
          <w:tab w:val="clear" w:pos="360"/>
        </w:tabs>
        <w:spacing w:after="0"/>
        <w:rPr>
          <w:sz w:val="20"/>
          <w:szCs w:val="20"/>
        </w:rPr>
      </w:pPr>
      <w:r w:rsidRPr="00607426">
        <w:rPr>
          <w:rStyle w:val="FootnoteReference"/>
          <w:sz w:val="20"/>
          <w:szCs w:val="20"/>
        </w:rPr>
        <w:footnoteRef/>
      </w:r>
      <w:r w:rsidR="00711E11" w:rsidRPr="00607426">
        <w:rPr>
          <w:sz w:val="20"/>
          <w:szCs w:val="20"/>
        </w:rPr>
        <w:t xml:space="preserve"> D.24-05-028</w:t>
      </w:r>
      <w:r w:rsidR="002109BC">
        <w:rPr>
          <w:sz w:val="20"/>
          <w:szCs w:val="20"/>
        </w:rPr>
        <w:t>,</w:t>
      </w:r>
      <w:r w:rsidR="001D4A81" w:rsidRPr="00607426">
        <w:rPr>
          <w:sz w:val="20"/>
          <w:szCs w:val="20"/>
        </w:rPr>
        <w:t xml:space="preserve"> at </w:t>
      </w:r>
      <w:r w:rsidR="008060DE" w:rsidRPr="00607426">
        <w:rPr>
          <w:sz w:val="20"/>
          <w:szCs w:val="20"/>
        </w:rPr>
        <w:t>101.</w:t>
      </w:r>
    </w:p>
  </w:footnote>
  <w:footnote w:id="5">
    <w:p w14:paraId="54DFFC3C" w14:textId="2FDCA1D4" w:rsidR="00492AD3" w:rsidRPr="0010068D" w:rsidRDefault="00492AD3" w:rsidP="00213348">
      <w:pPr>
        <w:pStyle w:val="FootnoteText"/>
        <w:tabs>
          <w:tab w:val="clear" w:pos="360"/>
        </w:tabs>
        <w:spacing w:after="0"/>
        <w:ind w:left="0" w:firstLine="0"/>
        <w:rPr>
          <w:sz w:val="20"/>
          <w:szCs w:val="20"/>
        </w:rPr>
      </w:pPr>
      <w:r w:rsidRPr="0010068D">
        <w:rPr>
          <w:rStyle w:val="FootnoteReference"/>
          <w:sz w:val="20"/>
          <w:szCs w:val="20"/>
        </w:rPr>
        <w:footnoteRef/>
      </w:r>
      <w:r w:rsidRPr="0010068D">
        <w:rPr>
          <w:sz w:val="20"/>
          <w:szCs w:val="20"/>
        </w:rPr>
        <w:t xml:space="preserve"> </w:t>
      </w:r>
      <w:r w:rsidR="00607426" w:rsidRPr="0010068D">
        <w:rPr>
          <w:sz w:val="20"/>
          <w:szCs w:val="20"/>
        </w:rPr>
        <w:t>I</w:t>
      </w:r>
      <w:r w:rsidR="00AB2E11">
        <w:rPr>
          <w:sz w:val="20"/>
          <w:szCs w:val="20"/>
        </w:rPr>
        <w:t>bid</w:t>
      </w:r>
      <w:r w:rsidR="00607426" w:rsidRPr="0010068D">
        <w:rPr>
          <w:sz w:val="20"/>
          <w:szCs w:val="20"/>
        </w:rPr>
        <w:t>.</w:t>
      </w:r>
      <w:r w:rsidR="002D07C5" w:rsidRPr="0010068D">
        <w:rPr>
          <w:sz w:val="20"/>
          <w:szCs w:val="20"/>
        </w:rPr>
        <w:t xml:space="preserve">, OP 1. </w:t>
      </w:r>
      <w:r w:rsidR="00F5670A" w:rsidRPr="0010068D">
        <w:rPr>
          <w:sz w:val="20"/>
          <w:szCs w:val="20"/>
        </w:rPr>
        <w:t>Energy Division approved SDG&amp;E</w:t>
      </w:r>
      <w:r w:rsidR="002F24A9" w:rsidRPr="0010068D">
        <w:rPr>
          <w:sz w:val="20"/>
          <w:szCs w:val="20"/>
        </w:rPr>
        <w:t xml:space="preserve"> </w:t>
      </w:r>
      <w:r w:rsidR="00F5670A" w:rsidRPr="0010068D">
        <w:rPr>
          <w:sz w:val="20"/>
          <w:szCs w:val="20"/>
        </w:rPr>
        <w:t>AL</w:t>
      </w:r>
      <w:r w:rsidR="00F9216A" w:rsidRPr="0010068D">
        <w:rPr>
          <w:sz w:val="20"/>
          <w:szCs w:val="20"/>
        </w:rPr>
        <w:t xml:space="preserve"> 4459-E</w:t>
      </w:r>
      <w:r w:rsidR="00F5670A" w:rsidRPr="0010068D">
        <w:rPr>
          <w:sz w:val="20"/>
          <w:szCs w:val="20"/>
        </w:rPr>
        <w:t xml:space="preserve"> on June 26, 2024.</w:t>
      </w:r>
    </w:p>
  </w:footnote>
  <w:footnote w:id="6">
    <w:p w14:paraId="2CB468C2" w14:textId="4C1CB160" w:rsidR="009D4CEB" w:rsidRPr="000C0C8B" w:rsidRDefault="009D4CEB" w:rsidP="00213348">
      <w:pPr>
        <w:pStyle w:val="FootnoteText"/>
        <w:tabs>
          <w:tab w:val="clear" w:pos="360"/>
        </w:tabs>
        <w:spacing w:after="0"/>
        <w:ind w:left="0" w:firstLine="0"/>
        <w:rPr>
          <w:sz w:val="20"/>
          <w:szCs w:val="20"/>
        </w:rPr>
      </w:pPr>
      <w:r w:rsidRPr="0089771D">
        <w:rPr>
          <w:rStyle w:val="FootnoteReference"/>
          <w:sz w:val="20"/>
          <w:szCs w:val="20"/>
        </w:rPr>
        <w:footnoteRef/>
      </w:r>
      <w:r w:rsidRPr="0089771D">
        <w:rPr>
          <w:sz w:val="20"/>
          <w:szCs w:val="20"/>
        </w:rPr>
        <w:t xml:space="preserve"> </w:t>
      </w:r>
      <w:r w:rsidR="00E538C4" w:rsidRPr="0089771D">
        <w:rPr>
          <w:sz w:val="20"/>
          <w:szCs w:val="20"/>
        </w:rPr>
        <w:t>I</w:t>
      </w:r>
      <w:r w:rsidR="0089771D" w:rsidRPr="0089771D">
        <w:rPr>
          <w:sz w:val="20"/>
          <w:szCs w:val="20"/>
        </w:rPr>
        <w:t>bi</w:t>
      </w:r>
      <w:r w:rsidR="00645538" w:rsidRPr="0089771D">
        <w:rPr>
          <w:sz w:val="20"/>
          <w:szCs w:val="20"/>
        </w:rPr>
        <w:t>d.,</w:t>
      </w:r>
      <w:r w:rsidR="00BE2764" w:rsidRPr="0089771D">
        <w:rPr>
          <w:sz w:val="20"/>
          <w:szCs w:val="20"/>
        </w:rPr>
        <w:t xml:space="preserve"> OP 3</w:t>
      </w:r>
      <w:r w:rsidR="007F5C9C" w:rsidRPr="0089771D">
        <w:rPr>
          <w:sz w:val="20"/>
          <w:szCs w:val="20"/>
        </w:rPr>
        <w:t xml:space="preserve"> (a</w:t>
      </w:r>
      <w:r w:rsidR="007F5C9C" w:rsidRPr="0048005C">
        <w:rPr>
          <w:sz w:val="20"/>
          <w:szCs w:val="20"/>
        </w:rPr>
        <w:t>)</w:t>
      </w:r>
      <w:r w:rsidR="0048005C" w:rsidRPr="0048005C">
        <w:rPr>
          <w:sz w:val="20"/>
          <w:szCs w:val="20"/>
        </w:rPr>
        <w:t>.</w:t>
      </w:r>
    </w:p>
  </w:footnote>
  <w:footnote w:id="7">
    <w:p w14:paraId="516AF69B" w14:textId="2B04AF37" w:rsidR="0048005C" w:rsidRPr="00DD1BD2" w:rsidRDefault="0048005C" w:rsidP="00213348">
      <w:pPr>
        <w:pStyle w:val="FootnoteText"/>
        <w:tabs>
          <w:tab w:val="clear" w:pos="360"/>
        </w:tabs>
        <w:spacing w:after="0"/>
        <w:ind w:left="0" w:firstLine="0"/>
        <w:rPr>
          <w:sz w:val="20"/>
          <w:szCs w:val="20"/>
        </w:rPr>
      </w:pPr>
      <w:r w:rsidRPr="0048005C">
        <w:rPr>
          <w:rStyle w:val="FootnoteReference"/>
          <w:sz w:val="20"/>
          <w:szCs w:val="20"/>
        </w:rPr>
        <w:footnoteRef/>
      </w:r>
      <w:r w:rsidRPr="0048005C">
        <w:rPr>
          <w:sz w:val="20"/>
          <w:szCs w:val="20"/>
        </w:rPr>
        <w:t xml:space="preserve"> Ibid., OP 3 (b).</w:t>
      </w:r>
    </w:p>
  </w:footnote>
  <w:footnote w:id="8">
    <w:p w14:paraId="4133DD1B" w14:textId="692965A2" w:rsidR="00F63BC0" w:rsidRPr="00E94B80" w:rsidRDefault="00F63BC0" w:rsidP="00213348">
      <w:pPr>
        <w:pStyle w:val="FootnoteText"/>
        <w:tabs>
          <w:tab w:val="clear" w:pos="360"/>
        </w:tabs>
        <w:spacing w:after="0"/>
        <w:ind w:left="0" w:firstLine="0"/>
        <w:rPr>
          <w:sz w:val="20"/>
          <w:szCs w:val="20"/>
        </w:rPr>
      </w:pPr>
      <w:r w:rsidRPr="00E94B80">
        <w:rPr>
          <w:rStyle w:val="FootnoteReference"/>
          <w:sz w:val="20"/>
          <w:szCs w:val="20"/>
        </w:rPr>
        <w:footnoteRef/>
      </w:r>
      <w:r w:rsidRPr="00E94B80">
        <w:rPr>
          <w:sz w:val="20"/>
          <w:szCs w:val="20"/>
        </w:rPr>
        <w:t xml:space="preserve"> </w:t>
      </w:r>
      <w:r w:rsidRPr="00E94B80">
        <w:rPr>
          <w:rFonts w:eastAsia="Palatino Linotype" w:cs="Palatino Linotype"/>
          <w:color w:val="000000" w:themeColor="text1"/>
          <w:sz w:val="20"/>
          <w:szCs w:val="20"/>
        </w:rPr>
        <w:t>TURN</w:t>
      </w:r>
      <w:r w:rsidR="00E94B80">
        <w:rPr>
          <w:rFonts w:eastAsia="Palatino Linotype" w:cs="Palatino Linotype"/>
          <w:color w:val="000000" w:themeColor="text1"/>
          <w:sz w:val="20"/>
          <w:szCs w:val="20"/>
        </w:rPr>
        <w:t>/NRDC</w:t>
      </w:r>
      <w:r w:rsidRPr="00E94B80">
        <w:rPr>
          <w:rFonts w:eastAsia="Palatino Linotype" w:cs="Palatino Linotype"/>
          <w:color w:val="000000" w:themeColor="text1"/>
          <w:sz w:val="20"/>
          <w:szCs w:val="20"/>
        </w:rPr>
        <w:t xml:space="preserve"> </w:t>
      </w:r>
      <w:r w:rsidR="002D3746">
        <w:rPr>
          <w:rFonts w:eastAsia="Palatino Linotype" w:cs="Palatino Linotype"/>
          <w:color w:val="000000" w:themeColor="text1"/>
          <w:sz w:val="20"/>
          <w:szCs w:val="20"/>
        </w:rPr>
        <w:t>Protest</w:t>
      </w:r>
      <w:r w:rsidRPr="00E94B80">
        <w:rPr>
          <w:rFonts w:eastAsia="Palatino Linotype" w:cs="Palatino Linotype"/>
          <w:color w:val="000000" w:themeColor="text1"/>
          <w:sz w:val="20"/>
          <w:szCs w:val="20"/>
        </w:rPr>
        <w:t xml:space="preserve"> at 6.</w:t>
      </w:r>
    </w:p>
  </w:footnote>
  <w:footnote w:id="9">
    <w:p w14:paraId="7D819501" w14:textId="742CF5CE" w:rsidR="00F63BC0" w:rsidRPr="005C1855" w:rsidRDefault="00F63BC0" w:rsidP="00213348">
      <w:pPr>
        <w:pStyle w:val="FootnoteText"/>
        <w:tabs>
          <w:tab w:val="clear" w:pos="360"/>
        </w:tabs>
        <w:spacing w:after="0"/>
        <w:ind w:left="0" w:firstLine="0"/>
        <w:rPr>
          <w:sz w:val="20"/>
          <w:szCs w:val="20"/>
        </w:rPr>
      </w:pPr>
      <w:r w:rsidRPr="00E94B80">
        <w:rPr>
          <w:rStyle w:val="FootnoteReference"/>
          <w:sz w:val="20"/>
          <w:szCs w:val="20"/>
        </w:rPr>
        <w:footnoteRef/>
      </w:r>
      <w:r w:rsidRPr="00E94B80">
        <w:rPr>
          <w:sz w:val="20"/>
          <w:szCs w:val="20"/>
        </w:rPr>
        <w:t xml:space="preserve"> </w:t>
      </w:r>
      <w:r w:rsidR="00E94B80" w:rsidRPr="003334E5">
        <w:rPr>
          <w:rFonts w:eastAsia="Palatino Linotype" w:cs="Palatino Linotype"/>
          <w:i/>
          <w:color w:val="000000" w:themeColor="text1"/>
          <w:sz w:val="20"/>
          <w:szCs w:val="20"/>
        </w:rPr>
        <w:t>Id.</w:t>
      </w:r>
    </w:p>
  </w:footnote>
  <w:footnote w:id="10">
    <w:p w14:paraId="2A8E8625" w14:textId="3FF71345" w:rsidR="00F63BC0" w:rsidRPr="005C1855" w:rsidRDefault="00F63BC0" w:rsidP="00213348">
      <w:pPr>
        <w:pStyle w:val="FootnoteText"/>
        <w:tabs>
          <w:tab w:val="clear" w:pos="360"/>
        </w:tabs>
        <w:spacing w:after="0"/>
        <w:ind w:left="0" w:firstLine="0"/>
        <w:rPr>
          <w:sz w:val="20"/>
          <w:szCs w:val="20"/>
        </w:rPr>
      </w:pPr>
      <w:r w:rsidRPr="005C1855">
        <w:rPr>
          <w:rStyle w:val="FootnoteReference"/>
          <w:sz w:val="20"/>
          <w:szCs w:val="20"/>
        </w:rPr>
        <w:footnoteRef/>
      </w:r>
      <w:r w:rsidRPr="005C1855">
        <w:rPr>
          <w:sz w:val="20"/>
          <w:szCs w:val="20"/>
        </w:rPr>
        <w:t xml:space="preserve"> CEJA</w:t>
      </w:r>
      <w:r w:rsidR="001F63D6">
        <w:rPr>
          <w:sz w:val="20"/>
          <w:szCs w:val="20"/>
        </w:rPr>
        <w:t xml:space="preserve"> </w:t>
      </w:r>
      <w:r w:rsidR="002D3746">
        <w:rPr>
          <w:sz w:val="20"/>
          <w:szCs w:val="20"/>
        </w:rPr>
        <w:t>P</w:t>
      </w:r>
      <w:r w:rsidRPr="005C1855">
        <w:rPr>
          <w:sz w:val="20"/>
          <w:szCs w:val="20"/>
        </w:rPr>
        <w:t>rotest</w:t>
      </w:r>
      <w:r w:rsidR="00494AF8">
        <w:rPr>
          <w:sz w:val="20"/>
          <w:szCs w:val="20"/>
        </w:rPr>
        <w:t>,</w:t>
      </w:r>
      <w:r w:rsidRPr="005C1855">
        <w:rPr>
          <w:sz w:val="20"/>
          <w:szCs w:val="20"/>
        </w:rPr>
        <w:t xml:space="preserve"> at 1. </w:t>
      </w:r>
    </w:p>
  </w:footnote>
  <w:footnote w:id="11">
    <w:p w14:paraId="62A177EB" w14:textId="22C216EE" w:rsidR="00AB3A46" w:rsidRPr="005C1855" w:rsidRDefault="00AB3A46" w:rsidP="00213348">
      <w:pPr>
        <w:pStyle w:val="FootnoteText"/>
        <w:tabs>
          <w:tab w:val="clear" w:pos="360"/>
        </w:tabs>
        <w:spacing w:after="0"/>
        <w:ind w:left="0" w:firstLine="0"/>
        <w:rPr>
          <w:sz w:val="20"/>
          <w:szCs w:val="20"/>
        </w:rPr>
      </w:pPr>
      <w:r w:rsidRPr="005C1855">
        <w:rPr>
          <w:rStyle w:val="FootnoteReference"/>
          <w:sz w:val="20"/>
          <w:szCs w:val="20"/>
        </w:rPr>
        <w:footnoteRef/>
      </w:r>
      <w:r w:rsidRPr="005C1855">
        <w:rPr>
          <w:sz w:val="20"/>
          <w:szCs w:val="20"/>
        </w:rPr>
        <w:t xml:space="preserve"> </w:t>
      </w:r>
      <w:r w:rsidR="00A3665F" w:rsidRPr="003334E5">
        <w:rPr>
          <w:i/>
          <w:iCs/>
          <w:sz w:val="20"/>
          <w:szCs w:val="20"/>
        </w:rPr>
        <w:t>Id</w:t>
      </w:r>
      <w:r w:rsidR="00A3665F">
        <w:rPr>
          <w:sz w:val="20"/>
          <w:szCs w:val="20"/>
        </w:rPr>
        <w:t>.</w:t>
      </w:r>
      <w:r w:rsidRPr="005C1855">
        <w:rPr>
          <w:sz w:val="20"/>
          <w:szCs w:val="20"/>
        </w:rPr>
        <w:t xml:space="preserve"> at </w:t>
      </w:r>
      <w:r w:rsidR="00056AC9" w:rsidRPr="005C1855">
        <w:rPr>
          <w:sz w:val="20"/>
          <w:szCs w:val="20"/>
        </w:rPr>
        <w:t>3</w:t>
      </w:r>
      <w:r w:rsidRPr="005C1855">
        <w:rPr>
          <w:sz w:val="20"/>
          <w:szCs w:val="20"/>
        </w:rPr>
        <w:t xml:space="preserve">. </w:t>
      </w:r>
    </w:p>
  </w:footnote>
  <w:footnote w:id="12">
    <w:p w14:paraId="7BA78177" w14:textId="7CC05F6D" w:rsidR="09AB6C42" w:rsidRDefault="09AB6C42" w:rsidP="00213348">
      <w:pPr>
        <w:pStyle w:val="FootnoteText"/>
        <w:spacing w:after="0"/>
        <w:rPr>
          <w:i/>
          <w:sz w:val="20"/>
          <w:szCs w:val="20"/>
        </w:rPr>
      </w:pPr>
      <w:r w:rsidRPr="350FF6B8">
        <w:rPr>
          <w:rStyle w:val="FootnoteReference"/>
          <w:sz w:val="20"/>
          <w:szCs w:val="20"/>
        </w:rPr>
        <w:footnoteRef/>
      </w:r>
      <w:r w:rsidR="6F9236D1" w:rsidRPr="350FF6B8">
        <w:rPr>
          <w:sz w:val="20"/>
          <w:szCs w:val="20"/>
        </w:rPr>
        <w:t xml:space="preserve"> </w:t>
      </w:r>
      <w:r w:rsidR="6F9236D1" w:rsidRPr="350FF6B8">
        <w:rPr>
          <w:i/>
          <w:sz w:val="20"/>
          <w:szCs w:val="20"/>
        </w:rPr>
        <w:t>Id</w:t>
      </w:r>
      <w:r w:rsidR="007C4CEA">
        <w:rPr>
          <w:i/>
          <w:sz w:val="20"/>
          <w:szCs w:val="20"/>
        </w:rPr>
        <w:t>.</w:t>
      </w:r>
      <w:r w:rsidR="6F9236D1" w:rsidRPr="350FF6B8">
        <w:rPr>
          <w:i/>
          <w:sz w:val="20"/>
          <w:szCs w:val="20"/>
        </w:rPr>
        <w:t xml:space="preserve"> at 4-5.</w:t>
      </w:r>
    </w:p>
  </w:footnote>
  <w:footnote w:id="13">
    <w:p w14:paraId="67825F8A" w14:textId="55BD4FFB" w:rsidR="00AB3A46" w:rsidRPr="005C1855" w:rsidRDefault="00AB3A46" w:rsidP="00213348">
      <w:pPr>
        <w:pStyle w:val="FootnoteText"/>
        <w:tabs>
          <w:tab w:val="clear" w:pos="360"/>
        </w:tabs>
        <w:spacing w:after="0"/>
        <w:ind w:left="0" w:firstLine="0"/>
        <w:rPr>
          <w:sz w:val="20"/>
          <w:szCs w:val="20"/>
        </w:rPr>
      </w:pPr>
      <w:r w:rsidRPr="005C1855">
        <w:rPr>
          <w:rStyle w:val="FootnoteReference"/>
          <w:sz w:val="20"/>
          <w:szCs w:val="20"/>
        </w:rPr>
        <w:footnoteRef/>
      </w:r>
      <w:r w:rsidRPr="005C1855">
        <w:rPr>
          <w:sz w:val="20"/>
          <w:szCs w:val="20"/>
        </w:rPr>
        <w:t xml:space="preserve"> </w:t>
      </w:r>
      <w:bookmarkStart w:id="1" w:name="_Hlk179908111"/>
      <w:r w:rsidR="00A3665F" w:rsidRPr="003334E5">
        <w:rPr>
          <w:rFonts w:eastAsia="Palatino Linotype" w:cs="Palatino Linotype"/>
          <w:i/>
          <w:color w:val="000000" w:themeColor="text1"/>
          <w:sz w:val="20"/>
          <w:szCs w:val="20"/>
        </w:rPr>
        <w:t>Id</w:t>
      </w:r>
      <w:r w:rsidR="00A3665F" w:rsidRPr="001E446A">
        <w:rPr>
          <w:rFonts w:eastAsia="Palatino Linotype" w:cs="Palatino Linotype"/>
          <w:i/>
          <w:color w:val="000000" w:themeColor="text1"/>
          <w:sz w:val="20"/>
          <w:szCs w:val="20"/>
        </w:rPr>
        <w:t>.</w:t>
      </w:r>
      <w:r w:rsidR="00AD6BFF">
        <w:rPr>
          <w:rFonts w:eastAsia="Palatino Linotype" w:cs="Palatino Linotype"/>
          <w:i/>
          <w:color w:val="000000" w:themeColor="text1"/>
          <w:sz w:val="20"/>
          <w:szCs w:val="20"/>
        </w:rPr>
        <w:t>,</w:t>
      </w:r>
      <w:r w:rsidRPr="005C1855">
        <w:rPr>
          <w:rFonts w:eastAsia="Palatino Linotype" w:cs="Palatino Linotype"/>
          <w:color w:val="000000" w:themeColor="text1"/>
          <w:sz w:val="20"/>
          <w:szCs w:val="20"/>
        </w:rPr>
        <w:t xml:space="preserve"> </w:t>
      </w:r>
      <w:bookmarkEnd w:id="1"/>
      <w:r w:rsidRPr="005C1855">
        <w:rPr>
          <w:rFonts w:eastAsia="Palatino Linotype" w:cs="Palatino Linotype"/>
          <w:color w:val="000000" w:themeColor="text1"/>
          <w:sz w:val="20"/>
          <w:szCs w:val="20"/>
        </w:rPr>
        <w:t xml:space="preserve">at </w:t>
      </w:r>
      <w:r w:rsidR="00056AC9" w:rsidRPr="005C1855">
        <w:rPr>
          <w:rFonts w:eastAsia="Palatino Linotype" w:cs="Palatino Linotype"/>
          <w:color w:val="000000" w:themeColor="text1"/>
          <w:sz w:val="20"/>
          <w:szCs w:val="20"/>
        </w:rPr>
        <w:t>5</w:t>
      </w:r>
      <w:r w:rsidRPr="005C1855">
        <w:rPr>
          <w:rFonts w:eastAsia="Palatino Linotype" w:cs="Palatino Linotype"/>
          <w:color w:val="000000" w:themeColor="text1"/>
          <w:sz w:val="20"/>
          <w:szCs w:val="20"/>
        </w:rPr>
        <w:t>.</w:t>
      </w:r>
      <w:r w:rsidRPr="005C1855">
        <w:rPr>
          <w:sz w:val="20"/>
          <w:szCs w:val="20"/>
        </w:rPr>
        <w:t xml:space="preserve"> </w:t>
      </w:r>
    </w:p>
  </w:footnote>
  <w:footnote w:id="14">
    <w:p w14:paraId="448C1F4F" w14:textId="2BEC2CED" w:rsidR="00194D06" w:rsidRPr="005C1855" w:rsidRDefault="00194D06" w:rsidP="00213348">
      <w:pPr>
        <w:pStyle w:val="FootnoteText"/>
        <w:tabs>
          <w:tab w:val="clear" w:pos="360"/>
        </w:tabs>
        <w:spacing w:after="0"/>
        <w:ind w:left="0" w:firstLine="0"/>
        <w:rPr>
          <w:sz w:val="20"/>
          <w:szCs w:val="20"/>
        </w:rPr>
      </w:pPr>
      <w:r w:rsidRPr="005C1855">
        <w:rPr>
          <w:rStyle w:val="FootnoteReference"/>
          <w:sz w:val="20"/>
          <w:szCs w:val="20"/>
        </w:rPr>
        <w:footnoteRef/>
      </w:r>
      <w:r w:rsidRPr="005C1855">
        <w:rPr>
          <w:sz w:val="20"/>
          <w:szCs w:val="20"/>
        </w:rPr>
        <w:t xml:space="preserve"> </w:t>
      </w:r>
      <w:r w:rsidR="007D75DA" w:rsidRPr="003334E5">
        <w:rPr>
          <w:rFonts w:eastAsia="Palatino Linotype" w:cs="Palatino Linotype"/>
          <w:i/>
          <w:color w:val="000000" w:themeColor="text1"/>
          <w:sz w:val="20"/>
          <w:szCs w:val="20"/>
        </w:rPr>
        <w:t>Id</w:t>
      </w:r>
      <w:r w:rsidR="007D75DA">
        <w:rPr>
          <w:rFonts w:eastAsia="Palatino Linotype" w:cs="Palatino Linotype"/>
          <w:color w:val="000000" w:themeColor="text1"/>
          <w:sz w:val="20"/>
          <w:szCs w:val="20"/>
        </w:rPr>
        <w:t>.</w:t>
      </w:r>
    </w:p>
  </w:footnote>
  <w:footnote w:id="15">
    <w:p w14:paraId="55964D9B" w14:textId="21B9185A" w:rsidR="00194D06" w:rsidRPr="005C1855" w:rsidRDefault="00194D06" w:rsidP="00213348">
      <w:pPr>
        <w:pStyle w:val="FootnoteText"/>
        <w:tabs>
          <w:tab w:val="clear" w:pos="360"/>
        </w:tabs>
        <w:spacing w:after="0"/>
        <w:ind w:left="0" w:firstLine="0"/>
        <w:rPr>
          <w:sz w:val="20"/>
          <w:szCs w:val="20"/>
        </w:rPr>
      </w:pPr>
      <w:r w:rsidRPr="005C1855">
        <w:rPr>
          <w:rStyle w:val="FootnoteReference"/>
          <w:sz w:val="20"/>
          <w:szCs w:val="20"/>
        </w:rPr>
        <w:footnoteRef/>
      </w:r>
      <w:r w:rsidRPr="005C1855">
        <w:rPr>
          <w:sz w:val="20"/>
          <w:szCs w:val="20"/>
        </w:rPr>
        <w:t xml:space="preserve"> </w:t>
      </w:r>
      <w:r w:rsidR="00A3665F" w:rsidRPr="005F5FAE">
        <w:rPr>
          <w:rFonts w:eastAsia="Palatino Linotype" w:cs="Palatino Linotype"/>
          <w:i/>
          <w:iCs/>
          <w:color w:val="000000" w:themeColor="text1"/>
          <w:sz w:val="20"/>
          <w:szCs w:val="20"/>
        </w:rPr>
        <w:t>Id.</w:t>
      </w:r>
    </w:p>
  </w:footnote>
  <w:footnote w:id="16">
    <w:p w14:paraId="50D37A2F" w14:textId="2F7F5675" w:rsidR="00275323" w:rsidRPr="00373E65" w:rsidRDefault="00275323"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SEIA </w:t>
      </w:r>
      <w:r w:rsidR="006623A1">
        <w:rPr>
          <w:sz w:val="20"/>
          <w:szCs w:val="20"/>
        </w:rPr>
        <w:t>Protest</w:t>
      </w:r>
      <w:r w:rsidR="00494AF8">
        <w:rPr>
          <w:sz w:val="20"/>
          <w:szCs w:val="20"/>
        </w:rPr>
        <w:t>,</w:t>
      </w:r>
      <w:r w:rsidRPr="00373E65">
        <w:rPr>
          <w:sz w:val="20"/>
          <w:szCs w:val="20"/>
        </w:rPr>
        <w:t xml:space="preserve"> at 3.</w:t>
      </w:r>
    </w:p>
  </w:footnote>
  <w:footnote w:id="17">
    <w:p w14:paraId="45C5DF27" w14:textId="476E57A7" w:rsidR="00275323" w:rsidRPr="00373E65" w:rsidRDefault="00275323"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w:t>
      </w:r>
      <w:r w:rsidR="00A3665F" w:rsidRPr="005F5FAE">
        <w:rPr>
          <w:rFonts w:eastAsia="Palatino Linotype" w:cs="Palatino Linotype"/>
          <w:i/>
          <w:iCs/>
          <w:color w:val="000000" w:themeColor="text1"/>
          <w:sz w:val="20"/>
          <w:szCs w:val="20"/>
        </w:rPr>
        <w:t>Id</w:t>
      </w:r>
      <w:r w:rsidR="00A3665F" w:rsidRPr="00DD1BD2">
        <w:rPr>
          <w:rFonts w:eastAsia="Palatino Linotype" w:cs="Palatino Linotype"/>
          <w:i/>
          <w:iCs/>
          <w:color w:val="000000" w:themeColor="text1"/>
          <w:sz w:val="20"/>
          <w:szCs w:val="20"/>
        </w:rPr>
        <w:t>.</w:t>
      </w:r>
    </w:p>
  </w:footnote>
  <w:footnote w:id="18">
    <w:p w14:paraId="23DA9572" w14:textId="410A3C24" w:rsidR="0007764F" w:rsidRPr="00373E65" w:rsidRDefault="0007764F"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w:t>
      </w:r>
      <w:r w:rsidR="004636FE" w:rsidRPr="003334E5">
        <w:rPr>
          <w:i/>
          <w:sz w:val="20"/>
          <w:szCs w:val="20"/>
        </w:rPr>
        <w:t>Id.</w:t>
      </w:r>
      <w:r w:rsidRPr="00373E65">
        <w:rPr>
          <w:sz w:val="20"/>
          <w:szCs w:val="20"/>
        </w:rPr>
        <w:t xml:space="preserve"> </w:t>
      </w:r>
    </w:p>
  </w:footnote>
  <w:footnote w:id="19">
    <w:p w14:paraId="5FFF8C6E" w14:textId="394BB6C5" w:rsidR="0068311F" w:rsidRPr="00373E65" w:rsidRDefault="0068311F"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w:t>
      </w:r>
      <w:r w:rsidR="005A37B6" w:rsidRPr="00373E65">
        <w:rPr>
          <w:sz w:val="20"/>
          <w:szCs w:val="20"/>
        </w:rPr>
        <w:t xml:space="preserve">SEIA </w:t>
      </w:r>
      <w:r w:rsidR="006623A1">
        <w:rPr>
          <w:sz w:val="20"/>
          <w:szCs w:val="20"/>
        </w:rPr>
        <w:t>Protest</w:t>
      </w:r>
      <w:r w:rsidR="004456F5">
        <w:rPr>
          <w:sz w:val="20"/>
          <w:szCs w:val="20"/>
        </w:rPr>
        <w:t>,</w:t>
      </w:r>
      <w:r w:rsidR="005A37B6" w:rsidRPr="00373E65">
        <w:rPr>
          <w:sz w:val="20"/>
          <w:szCs w:val="20"/>
        </w:rPr>
        <w:t xml:space="preserve"> at 4.</w:t>
      </w:r>
    </w:p>
  </w:footnote>
  <w:footnote w:id="20">
    <w:p w14:paraId="0358D137" w14:textId="1AA8DA9D" w:rsidR="00BF3D3F" w:rsidRPr="00373E65" w:rsidRDefault="00BF3D3F"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w:t>
      </w:r>
      <w:r w:rsidR="00831452" w:rsidRPr="005F5FAE">
        <w:rPr>
          <w:rFonts w:eastAsia="Palatino Linotype" w:cs="Palatino Linotype"/>
          <w:i/>
          <w:iCs/>
          <w:color w:val="000000" w:themeColor="text1"/>
          <w:sz w:val="20"/>
          <w:szCs w:val="20"/>
        </w:rPr>
        <w:t>Id</w:t>
      </w:r>
      <w:r w:rsidR="00831452" w:rsidRPr="00DD1BD2">
        <w:rPr>
          <w:rFonts w:eastAsia="Palatino Linotype" w:cs="Palatino Linotype"/>
          <w:i/>
          <w:iCs/>
          <w:color w:val="000000" w:themeColor="text1"/>
          <w:sz w:val="20"/>
          <w:szCs w:val="20"/>
        </w:rPr>
        <w:t>.</w:t>
      </w:r>
    </w:p>
  </w:footnote>
  <w:footnote w:id="21">
    <w:p w14:paraId="7BA1676C" w14:textId="4B4E0D29" w:rsidR="00BF3D3F" w:rsidRPr="005C1855" w:rsidRDefault="00BF3D3F" w:rsidP="00213348">
      <w:pPr>
        <w:pStyle w:val="FootnoteText"/>
        <w:tabs>
          <w:tab w:val="clear" w:pos="360"/>
        </w:tabs>
        <w:spacing w:after="0"/>
        <w:ind w:left="0" w:firstLine="0"/>
        <w:rPr>
          <w:sz w:val="20"/>
          <w:szCs w:val="20"/>
        </w:rPr>
      </w:pPr>
      <w:r w:rsidRPr="00373E65">
        <w:rPr>
          <w:rStyle w:val="FootnoteReference"/>
          <w:sz w:val="20"/>
          <w:szCs w:val="20"/>
        </w:rPr>
        <w:footnoteRef/>
      </w:r>
      <w:r w:rsidRPr="00373E65">
        <w:rPr>
          <w:sz w:val="20"/>
          <w:szCs w:val="20"/>
        </w:rPr>
        <w:t xml:space="preserve"> SEIA </w:t>
      </w:r>
      <w:r w:rsidR="00CB2428">
        <w:rPr>
          <w:sz w:val="20"/>
          <w:szCs w:val="20"/>
        </w:rPr>
        <w:t>P</w:t>
      </w:r>
      <w:r w:rsidRPr="00373E65">
        <w:rPr>
          <w:sz w:val="20"/>
          <w:szCs w:val="20"/>
        </w:rPr>
        <w:t>rotest</w:t>
      </w:r>
      <w:r w:rsidR="004456F5">
        <w:rPr>
          <w:sz w:val="20"/>
          <w:szCs w:val="20"/>
        </w:rPr>
        <w:t>,</w:t>
      </w:r>
      <w:r w:rsidRPr="00373E65">
        <w:rPr>
          <w:sz w:val="20"/>
          <w:szCs w:val="20"/>
        </w:rPr>
        <w:t xml:space="preserve"> at 5.</w:t>
      </w:r>
      <w:r w:rsidRPr="005C1855">
        <w:rPr>
          <w:sz w:val="20"/>
          <w:szCs w:val="20"/>
        </w:rPr>
        <w:t xml:space="preserve"> </w:t>
      </w:r>
    </w:p>
  </w:footnote>
  <w:footnote w:id="22">
    <w:p w14:paraId="4F9F98FD" w14:textId="1BDD1685" w:rsidR="54B0A1A7" w:rsidRDefault="54B0A1A7" w:rsidP="00213348">
      <w:pPr>
        <w:pStyle w:val="FootnoteText"/>
        <w:tabs>
          <w:tab w:val="clear" w:pos="360"/>
        </w:tabs>
        <w:spacing w:after="0"/>
        <w:ind w:left="0" w:firstLine="0"/>
        <w:rPr>
          <w:sz w:val="20"/>
          <w:szCs w:val="20"/>
        </w:rPr>
      </w:pPr>
      <w:r w:rsidRPr="00DD1BD2">
        <w:rPr>
          <w:rStyle w:val="FootnoteReference"/>
          <w:sz w:val="20"/>
          <w:szCs w:val="20"/>
        </w:rPr>
        <w:footnoteRef/>
      </w:r>
      <w:r w:rsidR="0FB4CDD5" w:rsidRPr="00DD1BD2">
        <w:rPr>
          <w:sz w:val="20"/>
          <w:szCs w:val="20"/>
        </w:rPr>
        <w:t xml:space="preserve"> </w:t>
      </w:r>
      <w:r w:rsidR="0FB4CDD5" w:rsidRPr="0FB4CDD5">
        <w:rPr>
          <w:sz w:val="20"/>
          <w:szCs w:val="20"/>
        </w:rPr>
        <w:t>SDG&amp;</w:t>
      </w:r>
      <w:r w:rsidR="52FC3837" w:rsidRPr="001E446A">
        <w:rPr>
          <w:sz w:val="20"/>
          <w:szCs w:val="20"/>
        </w:rPr>
        <w:t>E</w:t>
      </w:r>
      <w:r w:rsidR="0FB4CDD5" w:rsidRPr="0FB4CDD5">
        <w:rPr>
          <w:sz w:val="20"/>
          <w:szCs w:val="20"/>
        </w:rPr>
        <w:t xml:space="preserve"> Reply to Protests</w:t>
      </w:r>
      <w:r w:rsidR="52FC3837">
        <w:rPr>
          <w:sz w:val="20"/>
          <w:szCs w:val="20"/>
        </w:rPr>
        <w:t>,</w:t>
      </w:r>
      <w:r w:rsidR="0FB4CDD5" w:rsidRPr="0FB4CDD5">
        <w:rPr>
          <w:sz w:val="20"/>
          <w:szCs w:val="20"/>
        </w:rPr>
        <w:t xml:space="preserve"> at 4</w:t>
      </w:r>
    </w:p>
  </w:footnote>
  <w:footnote w:id="23">
    <w:p w14:paraId="1338B961" w14:textId="6CDDF11A" w:rsidR="101FE2B7" w:rsidRPr="00DD1BD2" w:rsidRDefault="101FE2B7" w:rsidP="00213348">
      <w:pPr>
        <w:pStyle w:val="FootnoteText"/>
        <w:tabs>
          <w:tab w:val="clear" w:pos="360"/>
        </w:tabs>
        <w:spacing w:after="0"/>
        <w:ind w:left="0" w:firstLine="0"/>
        <w:rPr>
          <w:sz w:val="20"/>
          <w:szCs w:val="20"/>
        </w:rPr>
      </w:pPr>
      <w:r w:rsidRPr="00DD1BD2">
        <w:rPr>
          <w:rStyle w:val="FootnoteReference"/>
          <w:sz w:val="20"/>
          <w:szCs w:val="20"/>
        </w:rPr>
        <w:footnoteRef/>
      </w:r>
      <w:r w:rsidRPr="00DD1BD2">
        <w:rPr>
          <w:sz w:val="20"/>
          <w:szCs w:val="20"/>
        </w:rPr>
        <w:t xml:space="preserve"> </w:t>
      </w:r>
      <w:r w:rsidRPr="00DD1BD2">
        <w:rPr>
          <w:i/>
          <w:sz w:val="20"/>
          <w:szCs w:val="20"/>
        </w:rPr>
        <w:t>Id.</w:t>
      </w:r>
    </w:p>
  </w:footnote>
  <w:footnote w:id="24">
    <w:p w14:paraId="732C5540" w14:textId="494D3964" w:rsidR="00901FE1" w:rsidRPr="00560282" w:rsidRDefault="00901FE1" w:rsidP="00213348">
      <w:pPr>
        <w:pStyle w:val="FootnoteText"/>
        <w:tabs>
          <w:tab w:val="clear" w:pos="360"/>
        </w:tabs>
        <w:spacing w:after="0"/>
        <w:ind w:left="0" w:firstLine="0"/>
        <w:rPr>
          <w:sz w:val="20"/>
          <w:szCs w:val="20"/>
        </w:rPr>
      </w:pPr>
      <w:r w:rsidRPr="00072F11">
        <w:rPr>
          <w:rStyle w:val="FootnoteReference"/>
          <w:i/>
          <w:sz w:val="20"/>
          <w:szCs w:val="20"/>
        </w:rPr>
        <w:footnoteRef/>
      </w:r>
      <w:r w:rsidRPr="00072F11">
        <w:rPr>
          <w:i/>
          <w:iCs/>
          <w:sz w:val="20"/>
          <w:szCs w:val="20"/>
        </w:rPr>
        <w:t xml:space="preserve"> </w:t>
      </w:r>
      <w:r w:rsidR="007E7687" w:rsidRPr="00072F11">
        <w:rPr>
          <w:i/>
          <w:iCs/>
          <w:sz w:val="20"/>
          <w:szCs w:val="20"/>
        </w:rPr>
        <w:t>Id.</w:t>
      </w:r>
      <w:r w:rsidR="00AB7129">
        <w:rPr>
          <w:sz w:val="20"/>
          <w:szCs w:val="20"/>
        </w:rPr>
        <w:t>,</w:t>
      </w:r>
      <w:r w:rsidRPr="001E446A">
        <w:rPr>
          <w:sz w:val="20"/>
          <w:szCs w:val="20"/>
        </w:rPr>
        <w:t xml:space="preserve"> at</w:t>
      </w:r>
      <w:r w:rsidR="00560282" w:rsidRPr="001E446A">
        <w:rPr>
          <w:sz w:val="20"/>
          <w:szCs w:val="20"/>
        </w:rPr>
        <w:t xml:space="preserve"> 4 and 6.</w:t>
      </w:r>
    </w:p>
  </w:footnote>
  <w:footnote w:id="25">
    <w:p w14:paraId="4316D5F1" w14:textId="4C1DC8BE" w:rsidR="009539B0" w:rsidRPr="00A70460" w:rsidRDefault="009539B0"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Pr="006104B1">
        <w:rPr>
          <w:sz w:val="20"/>
          <w:szCs w:val="20"/>
        </w:rPr>
        <w:t xml:space="preserve">Cal Advocates Protest, at </w:t>
      </w:r>
      <w:r w:rsidR="004E571F" w:rsidRPr="006104B1">
        <w:rPr>
          <w:sz w:val="20"/>
          <w:szCs w:val="20"/>
        </w:rPr>
        <w:t>5.</w:t>
      </w:r>
    </w:p>
  </w:footnote>
  <w:footnote w:id="26">
    <w:p w14:paraId="6C2C97DE" w14:textId="1049BE22" w:rsidR="0096082C" w:rsidRPr="00A70460" w:rsidRDefault="0096082C"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006C472A" w:rsidRPr="00D00560">
        <w:rPr>
          <w:i/>
          <w:sz w:val="20"/>
          <w:szCs w:val="20"/>
        </w:rPr>
        <w:t>Id</w:t>
      </w:r>
      <w:r w:rsidR="00D00560">
        <w:rPr>
          <w:i/>
          <w:iCs/>
          <w:sz w:val="20"/>
          <w:szCs w:val="20"/>
        </w:rPr>
        <w:t>.,</w:t>
      </w:r>
      <w:r w:rsidR="006C472A" w:rsidRPr="00D00560">
        <w:rPr>
          <w:i/>
          <w:sz w:val="20"/>
          <w:szCs w:val="20"/>
        </w:rPr>
        <w:t xml:space="preserve"> at 5.</w:t>
      </w:r>
    </w:p>
  </w:footnote>
  <w:footnote w:id="27">
    <w:p w14:paraId="377EB5E1" w14:textId="77777777" w:rsidR="00E0724C" w:rsidRPr="001E446A" w:rsidRDefault="00E0724C"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In referencing $227,550, Cal Advocates combines a budget of $148,350 for “DRH Self-Attestation Processing: Forecast is based on development of DRH customer characteristic/indicator in EI, and web interface for self</w:t>
      </w:r>
      <w:r>
        <w:rPr>
          <w:sz w:val="20"/>
          <w:szCs w:val="20"/>
        </w:rPr>
        <w:t>-</w:t>
      </w:r>
      <w:r w:rsidRPr="001E446A">
        <w:rPr>
          <w:sz w:val="20"/>
          <w:szCs w:val="20"/>
        </w:rPr>
        <w:t>attest” along with $79,200 for “DRH Self‐Attestation Processing ‐ IT: New work associated with self‐attestation processing. Add DRH to CC&amp;B [Customer Care and Billing]</w:t>
      </w:r>
      <w:r>
        <w:rPr>
          <w:sz w:val="20"/>
          <w:szCs w:val="20"/>
        </w:rPr>
        <w:t>.</w:t>
      </w:r>
      <w:r w:rsidRPr="001E446A">
        <w:rPr>
          <w:sz w:val="20"/>
          <w:szCs w:val="20"/>
        </w:rPr>
        <w:t>”</w:t>
      </w:r>
    </w:p>
  </w:footnote>
  <w:footnote w:id="28">
    <w:p w14:paraId="30F736D0" w14:textId="5A803934" w:rsidR="00C40135" w:rsidRPr="00A70460" w:rsidRDefault="00C40135"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003B7AE2" w:rsidRPr="00CD7F28">
        <w:rPr>
          <w:sz w:val="20"/>
          <w:szCs w:val="20"/>
        </w:rPr>
        <w:t>C4AT</w:t>
      </w:r>
      <w:r w:rsidR="00D72FF2">
        <w:rPr>
          <w:sz w:val="20"/>
          <w:szCs w:val="20"/>
        </w:rPr>
        <w:t xml:space="preserve"> </w:t>
      </w:r>
      <w:r w:rsidR="00B94561" w:rsidRPr="00CD7F28">
        <w:rPr>
          <w:sz w:val="20"/>
          <w:szCs w:val="20"/>
        </w:rPr>
        <w:t>Protest</w:t>
      </w:r>
      <w:r w:rsidR="00D72FF2">
        <w:rPr>
          <w:sz w:val="20"/>
          <w:szCs w:val="20"/>
        </w:rPr>
        <w:t>,</w:t>
      </w:r>
      <w:r w:rsidR="003B7AE2" w:rsidRPr="00CD7F28">
        <w:rPr>
          <w:sz w:val="20"/>
          <w:szCs w:val="20"/>
        </w:rPr>
        <w:t xml:space="preserve"> at </w:t>
      </w:r>
      <w:r w:rsidR="00CD7F28" w:rsidRPr="00CD7F28">
        <w:rPr>
          <w:sz w:val="20"/>
          <w:szCs w:val="20"/>
        </w:rPr>
        <w:t>1.</w:t>
      </w:r>
    </w:p>
  </w:footnote>
  <w:footnote w:id="29">
    <w:p w14:paraId="4DCAF2A9" w14:textId="089710B2" w:rsidR="00FD5748" w:rsidRPr="00A70460" w:rsidRDefault="00FD5748"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005B4303" w:rsidRPr="005B4303">
        <w:rPr>
          <w:i/>
          <w:iCs/>
          <w:sz w:val="20"/>
          <w:szCs w:val="20"/>
        </w:rPr>
        <w:t>Id., at 2.</w:t>
      </w:r>
    </w:p>
  </w:footnote>
  <w:footnote w:id="30">
    <w:p w14:paraId="6E6DDB43" w14:textId="32B59C39" w:rsidR="003712D0" w:rsidRPr="00A70460" w:rsidRDefault="003712D0"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Pr="005B4303">
        <w:rPr>
          <w:i/>
          <w:iCs/>
          <w:sz w:val="20"/>
          <w:szCs w:val="20"/>
        </w:rPr>
        <w:t>Id., at 2.</w:t>
      </w:r>
    </w:p>
  </w:footnote>
  <w:footnote w:id="31">
    <w:p w14:paraId="1DB9E003" w14:textId="17509E51" w:rsidR="00B41F86" w:rsidRPr="00A70460" w:rsidRDefault="00B41F86"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Pr="00B41F86">
        <w:rPr>
          <w:sz w:val="20"/>
          <w:szCs w:val="20"/>
        </w:rPr>
        <w:t xml:space="preserve">SDG&amp;E </w:t>
      </w:r>
      <w:r w:rsidR="003330F8">
        <w:rPr>
          <w:sz w:val="20"/>
          <w:szCs w:val="20"/>
        </w:rPr>
        <w:t xml:space="preserve">Protest </w:t>
      </w:r>
      <w:r w:rsidRPr="00B41F86">
        <w:rPr>
          <w:sz w:val="20"/>
          <w:szCs w:val="20"/>
        </w:rPr>
        <w:t>Reply, at 4.</w:t>
      </w:r>
    </w:p>
  </w:footnote>
  <w:footnote w:id="32">
    <w:p w14:paraId="698A7266" w14:textId="599E1EDF" w:rsidR="00A57897" w:rsidRPr="00A70460" w:rsidRDefault="00A57897" w:rsidP="00213348">
      <w:pPr>
        <w:pStyle w:val="FootnoteText"/>
        <w:spacing w:after="0"/>
        <w:rPr>
          <w:sz w:val="20"/>
          <w:szCs w:val="20"/>
        </w:rPr>
      </w:pPr>
      <w:r w:rsidRPr="00A70460">
        <w:rPr>
          <w:rStyle w:val="FootnoteReference"/>
          <w:sz w:val="20"/>
          <w:szCs w:val="20"/>
        </w:rPr>
        <w:footnoteRef/>
      </w:r>
      <w:r w:rsidRPr="00A70460">
        <w:rPr>
          <w:sz w:val="20"/>
          <w:szCs w:val="20"/>
        </w:rPr>
        <w:t xml:space="preserve"> </w:t>
      </w:r>
      <w:r w:rsidRPr="00A57897">
        <w:rPr>
          <w:i/>
          <w:iCs/>
          <w:sz w:val="20"/>
          <w:szCs w:val="20"/>
        </w:rPr>
        <w:t>Id</w:t>
      </w:r>
      <w:r w:rsidR="00EB1DAF">
        <w:rPr>
          <w:i/>
          <w:iCs/>
          <w:sz w:val="20"/>
          <w:szCs w:val="20"/>
        </w:rPr>
        <w:t>.,</w:t>
      </w:r>
      <w:r w:rsidRPr="00A57897">
        <w:rPr>
          <w:i/>
          <w:iCs/>
          <w:sz w:val="20"/>
          <w:szCs w:val="20"/>
        </w:rPr>
        <w:t xml:space="preserve"> at 4</w:t>
      </w:r>
      <w:r>
        <w:rPr>
          <w:i/>
          <w:iCs/>
          <w:sz w:val="20"/>
          <w:szCs w:val="20"/>
        </w:rPr>
        <w:t>.</w:t>
      </w:r>
    </w:p>
  </w:footnote>
  <w:footnote w:id="33">
    <w:p w14:paraId="3FEA5502" w14:textId="02F00BF1" w:rsidR="00922CC2" w:rsidRPr="00887EF3" w:rsidRDefault="00922CC2" w:rsidP="00213348">
      <w:pPr>
        <w:pStyle w:val="FootnoteText"/>
        <w:tabs>
          <w:tab w:val="clear" w:pos="360"/>
        </w:tabs>
        <w:spacing w:after="0"/>
        <w:ind w:left="0" w:firstLine="0"/>
        <w:rPr>
          <w:sz w:val="20"/>
          <w:szCs w:val="20"/>
        </w:rPr>
      </w:pPr>
      <w:r w:rsidRPr="00887EF3">
        <w:rPr>
          <w:rStyle w:val="FootnoteReference"/>
          <w:sz w:val="20"/>
          <w:szCs w:val="20"/>
        </w:rPr>
        <w:footnoteRef/>
      </w:r>
      <w:r w:rsidRPr="00887EF3">
        <w:rPr>
          <w:sz w:val="20"/>
          <w:szCs w:val="20"/>
        </w:rPr>
        <w:t xml:space="preserve"> Cal Advocates Protest</w:t>
      </w:r>
      <w:r w:rsidR="0041469F">
        <w:rPr>
          <w:sz w:val="20"/>
          <w:szCs w:val="20"/>
        </w:rPr>
        <w:t>,</w:t>
      </w:r>
      <w:r w:rsidRPr="00887EF3">
        <w:rPr>
          <w:sz w:val="20"/>
          <w:szCs w:val="20"/>
        </w:rPr>
        <w:t xml:space="preserve"> at 1.</w:t>
      </w:r>
    </w:p>
  </w:footnote>
  <w:footnote w:id="34">
    <w:p w14:paraId="6C010ED2" w14:textId="33571C5D" w:rsidR="0003281F" w:rsidRPr="00F01BBB" w:rsidRDefault="0003281F" w:rsidP="00213348">
      <w:pPr>
        <w:pStyle w:val="FootnoteText"/>
        <w:tabs>
          <w:tab w:val="clear" w:pos="360"/>
        </w:tabs>
        <w:spacing w:after="0"/>
        <w:ind w:left="0" w:firstLine="0"/>
        <w:rPr>
          <w:sz w:val="20"/>
          <w:szCs w:val="20"/>
        </w:rPr>
      </w:pPr>
      <w:r w:rsidRPr="00A30537">
        <w:rPr>
          <w:rStyle w:val="FootnoteReference"/>
          <w:sz w:val="20"/>
          <w:szCs w:val="20"/>
        </w:rPr>
        <w:footnoteRef/>
      </w:r>
      <w:r w:rsidRPr="00A30537">
        <w:rPr>
          <w:sz w:val="20"/>
          <w:szCs w:val="20"/>
        </w:rPr>
        <w:t xml:space="preserve"> </w:t>
      </w:r>
      <w:r w:rsidR="00765854">
        <w:rPr>
          <w:sz w:val="20"/>
          <w:szCs w:val="20"/>
        </w:rPr>
        <w:t>Ibid.,</w:t>
      </w:r>
      <w:r w:rsidR="005B602E" w:rsidRPr="00A30537">
        <w:rPr>
          <w:sz w:val="20"/>
          <w:szCs w:val="20"/>
        </w:rPr>
        <w:t xml:space="preserve"> at 4.</w:t>
      </w:r>
    </w:p>
  </w:footnote>
  <w:footnote w:id="35">
    <w:p w14:paraId="102F71E8" w14:textId="501FCF13" w:rsidR="00F84C75" w:rsidRPr="00903C79" w:rsidRDefault="00F84C75" w:rsidP="00213348">
      <w:pPr>
        <w:pStyle w:val="FootnoteText"/>
        <w:tabs>
          <w:tab w:val="clear" w:pos="360"/>
        </w:tabs>
        <w:spacing w:after="0"/>
        <w:ind w:left="0" w:firstLine="0"/>
        <w:rPr>
          <w:sz w:val="20"/>
          <w:szCs w:val="20"/>
        </w:rPr>
      </w:pPr>
      <w:r w:rsidRPr="00903C79">
        <w:rPr>
          <w:rStyle w:val="FootnoteReference"/>
          <w:sz w:val="20"/>
          <w:szCs w:val="20"/>
        </w:rPr>
        <w:footnoteRef/>
      </w:r>
      <w:r w:rsidRPr="00903C79">
        <w:rPr>
          <w:sz w:val="20"/>
          <w:szCs w:val="20"/>
        </w:rPr>
        <w:t xml:space="preserve"> </w:t>
      </w:r>
      <w:r w:rsidR="00800177" w:rsidRPr="00903C79">
        <w:rPr>
          <w:sz w:val="20"/>
          <w:szCs w:val="20"/>
        </w:rPr>
        <w:t xml:space="preserve">SDG&amp;E AL 4492-E, at </w:t>
      </w:r>
      <w:r w:rsidR="003E57FE" w:rsidRPr="00903C79">
        <w:rPr>
          <w:sz w:val="20"/>
          <w:szCs w:val="20"/>
        </w:rPr>
        <w:t>17-18</w:t>
      </w:r>
    </w:p>
  </w:footnote>
  <w:footnote w:id="36">
    <w:p w14:paraId="02D53540" w14:textId="7B88686F" w:rsidR="006A592B" w:rsidRPr="00903C79" w:rsidRDefault="006A592B" w:rsidP="00213348">
      <w:pPr>
        <w:pStyle w:val="FootnoteText"/>
        <w:tabs>
          <w:tab w:val="clear" w:pos="360"/>
        </w:tabs>
        <w:spacing w:after="0"/>
        <w:ind w:left="0" w:firstLine="0"/>
        <w:rPr>
          <w:sz w:val="20"/>
          <w:szCs w:val="20"/>
        </w:rPr>
      </w:pPr>
      <w:r w:rsidRPr="00903C79">
        <w:rPr>
          <w:rStyle w:val="FootnoteReference"/>
          <w:sz w:val="20"/>
          <w:szCs w:val="20"/>
        </w:rPr>
        <w:footnoteRef/>
      </w:r>
      <w:r w:rsidRPr="00903C79">
        <w:rPr>
          <w:sz w:val="20"/>
          <w:szCs w:val="20"/>
        </w:rPr>
        <w:t xml:space="preserve"> </w:t>
      </w:r>
      <w:r w:rsidR="00E567B0" w:rsidRPr="00903C79">
        <w:rPr>
          <w:sz w:val="20"/>
          <w:szCs w:val="20"/>
        </w:rPr>
        <w:t>Ibi</w:t>
      </w:r>
      <w:r w:rsidR="00EF0AA0" w:rsidRPr="00903C79">
        <w:rPr>
          <w:sz w:val="20"/>
          <w:szCs w:val="20"/>
        </w:rPr>
        <w:t>d</w:t>
      </w:r>
      <w:r w:rsidR="00E567B0" w:rsidRPr="00903C79">
        <w:rPr>
          <w:sz w:val="20"/>
          <w:szCs w:val="20"/>
        </w:rPr>
        <w:t>.,</w:t>
      </w:r>
      <w:r w:rsidR="005E02DD" w:rsidRPr="00903C79">
        <w:rPr>
          <w:sz w:val="20"/>
          <w:szCs w:val="20"/>
        </w:rPr>
        <w:t xml:space="preserve"> at 18.</w:t>
      </w:r>
    </w:p>
  </w:footnote>
  <w:footnote w:id="37">
    <w:p w14:paraId="16CDDCC0" w14:textId="5AD9C88A" w:rsidR="00DD4180" w:rsidRPr="00DD1BD2" w:rsidRDefault="00DD4180" w:rsidP="00213348">
      <w:pPr>
        <w:pStyle w:val="FootnoteText"/>
        <w:tabs>
          <w:tab w:val="clear" w:pos="360"/>
        </w:tabs>
        <w:spacing w:after="0"/>
        <w:ind w:left="0" w:firstLine="0"/>
        <w:rPr>
          <w:sz w:val="20"/>
          <w:szCs w:val="20"/>
        </w:rPr>
      </w:pPr>
      <w:r w:rsidRPr="00903C79">
        <w:rPr>
          <w:rStyle w:val="FootnoteReference"/>
          <w:sz w:val="20"/>
          <w:szCs w:val="20"/>
        </w:rPr>
        <w:footnoteRef/>
      </w:r>
      <w:r w:rsidRPr="00903C79">
        <w:rPr>
          <w:sz w:val="20"/>
          <w:szCs w:val="20"/>
        </w:rPr>
        <w:t xml:space="preserve"> </w:t>
      </w:r>
      <w:r w:rsidR="00EF0AA0" w:rsidRPr="00903C79">
        <w:rPr>
          <w:sz w:val="20"/>
          <w:szCs w:val="20"/>
        </w:rPr>
        <w:t>Ibid., at</w:t>
      </w:r>
      <w:r w:rsidR="00903C79" w:rsidRPr="00903C79">
        <w:rPr>
          <w:sz w:val="20"/>
          <w:szCs w:val="20"/>
        </w:rPr>
        <w:t xml:space="preserve"> 9-18.</w:t>
      </w:r>
      <w:r w:rsidR="00236F62">
        <w:rPr>
          <w:sz w:val="20"/>
          <w:szCs w:val="20"/>
        </w:rPr>
        <w:t xml:space="preserve"> This is a block quote </w:t>
      </w:r>
      <w:r w:rsidR="00DF25E0">
        <w:rPr>
          <w:sz w:val="20"/>
          <w:szCs w:val="20"/>
        </w:rPr>
        <w:t>of Cal Advocates’ argument from its protest at 2-3.</w:t>
      </w:r>
    </w:p>
  </w:footnote>
  <w:footnote w:id="38">
    <w:p w14:paraId="62ABEAF7" w14:textId="6427EEB1" w:rsidR="006715FE" w:rsidRPr="00CA41D9" w:rsidRDefault="006715FE" w:rsidP="00213348">
      <w:pPr>
        <w:pStyle w:val="FootnoteText"/>
        <w:tabs>
          <w:tab w:val="clear" w:pos="360"/>
        </w:tabs>
        <w:spacing w:after="0"/>
        <w:ind w:left="0" w:firstLine="0"/>
        <w:rPr>
          <w:sz w:val="20"/>
          <w:szCs w:val="20"/>
        </w:rPr>
      </w:pPr>
      <w:r w:rsidRPr="00CA41D9">
        <w:rPr>
          <w:rStyle w:val="FootnoteReference"/>
          <w:sz w:val="20"/>
          <w:szCs w:val="20"/>
        </w:rPr>
        <w:footnoteRef/>
      </w:r>
      <w:r w:rsidRPr="00CA41D9">
        <w:rPr>
          <w:sz w:val="20"/>
          <w:szCs w:val="20"/>
        </w:rPr>
        <w:t xml:space="preserve"> </w:t>
      </w:r>
      <w:r w:rsidR="00ED1D4E" w:rsidRPr="00CA41D9">
        <w:rPr>
          <w:sz w:val="20"/>
          <w:szCs w:val="20"/>
        </w:rPr>
        <w:t>Cal Advocates</w:t>
      </w:r>
      <w:r w:rsidR="003256AA">
        <w:rPr>
          <w:sz w:val="20"/>
          <w:szCs w:val="20"/>
        </w:rPr>
        <w:t xml:space="preserve"> Protest, Attachment 1,</w:t>
      </w:r>
      <w:r w:rsidR="00E1748C">
        <w:rPr>
          <w:sz w:val="20"/>
          <w:szCs w:val="20"/>
        </w:rPr>
        <w:t xml:space="preserve"> R.22-07-005 Demand Flexibility OIR Response to</w:t>
      </w:r>
      <w:r w:rsidR="0068203D" w:rsidRPr="00CA41D9">
        <w:rPr>
          <w:sz w:val="20"/>
          <w:szCs w:val="20"/>
        </w:rPr>
        <w:t xml:space="preserve"> DR SDG&amp;E</w:t>
      </w:r>
      <w:r w:rsidR="00674261" w:rsidRPr="00CA41D9">
        <w:rPr>
          <w:sz w:val="20"/>
          <w:szCs w:val="20"/>
        </w:rPr>
        <w:t>-</w:t>
      </w:r>
      <w:r w:rsidR="00CA41D9" w:rsidRPr="00CA41D9">
        <w:rPr>
          <w:sz w:val="20"/>
          <w:szCs w:val="20"/>
        </w:rPr>
        <w:t xml:space="preserve">04, Questions </w:t>
      </w:r>
      <w:r w:rsidR="00D57787">
        <w:rPr>
          <w:sz w:val="20"/>
          <w:szCs w:val="20"/>
        </w:rPr>
        <w:t>5</w:t>
      </w:r>
      <w:r w:rsidR="00CA41D9" w:rsidRPr="00CA41D9">
        <w:rPr>
          <w:sz w:val="20"/>
          <w:szCs w:val="20"/>
        </w:rPr>
        <w:t xml:space="preserve">, at </w:t>
      </w:r>
      <w:r w:rsidR="00D57787">
        <w:rPr>
          <w:sz w:val="20"/>
          <w:szCs w:val="20"/>
        </w:rPr>
        <w:t>6-7 and Question 5 redacted direct mail documentation</w:t>
      </w:r>
      <w:r w:rsidR="00DB662E">
        <w:rPr>
          <w:sz w:val="20"/>
          <w:szCs w:val="20"/>
        </w:rPr>
        <w:t>. S</w:t>
      </w:r>
      <w:r w:rsidR="00483B14">
        <w:rPr>
          <w:sz w:val="20"/>
          <w:szCs w:val="20"/>
        </w:rPr>
        <w:t>DG&amp;E</w:t>
      </w:r>
      <w:r w:rsidR="00DB662E">
        <w:rPr>
          <w:sz w:val="20"/>
          <w:szCs w:val="20"/>
        </w:rPr>
        <w:t xml:space="preserve"> designated certain responses and information provided in Cal Advocates’ DR as confidential, so this information has been redacted from Attachment</w:t>
      </w:r>
      <w:r w:rsidR="00B52C09">
        <w:rPr>
          <w:sz w:val="20"/>
          <w:szCs w:val="20"/>
        </w:rPr>
        <w:t>s</w:t>
      </w:r>
      <w:r w:rsidR="00DB662E">
        <w:rPr>
          <w:sz w:val="20"/>
          <w:szCs w:val="20"/>
        </w:rPr>
        <w:t xml:space="preserve"> 1</w:t>
      </w:r>
      <w:r w:rsidR="00B52C09">
        <w:rPr>
          <w:sz w:val="20"/>
          <w:szCs w:val="20"/>
        </w:rPr>
        <w:t xml:space="preserve"> and 2</w:t>
      </w:r>
      <w:r w:rsidR="00CA41D9" w:rsidRPr="00CA41D9">
        <w:rPr>
          <w:sz w:val="20"/>
          <w:szCs w:val="20"/>
        </w:rPr>
        <w:t>.</w:t>
      </w:r>
    </w:p>
  </w:footnote>
  <w:footnote w:id="39">
    <w:p w14:paraId="63FA06B4" w14:textId="10BD115E" w:rsidR="00001C7E" w:rsidRPr="00DD1BD2" w:rsidRDefault="00001C7E" w:rsidP="00213348">
      <w:pPr>
        <w:pStyle w:val="FootnoteText"/>
        <w:tabs>
          <w:tab w:val="clear" w:pos="360"/>
        </w:tabs>
        <w:spacing w:after="0"/>
        <w:ind w:left="0" w:firstLine="0"/>
        <w:rPr>
          <w:sz w:val="20"/>
          <w:szCs w:val="20"/>
        </w:rPr>
      </w:pPr>
      <w:r w:rsidRPr="00DD1BD2">
        <w:rPr>
          <w:rStyle w:val="FootnoteReference"/>
          <w:sz w:val="20"/>
          <w:szCs w:val="20"/>
        </w:rPr>
        <w:footnoteRef/>
      </w:r>
      <w:r w:rsidRPr="00DD1BD2">
        <w:rPr>
          <w:sz w:val="20"/>
          <w:szCs w:val="20"/>
        </w:rPr>
        <w:t xml:space="preserve"> </w:t>
      </w:r>
      <w:r w:rsidR="00D57787" w:rsidRPr="00CA41D9">
        <w:rPr>
          <w:sz w:val="20"/>
          <w:szCs w:val="20"/>
        </w:rPr>
        <w:t>Cal Advocates</w:t>
      </w:r>
      <w:r w:rsidR="00D57787">
        <w:rPr>
          <w:sz w:val="20"/>
          <w:szCs w:val="20"/>
        </w:rPr>
        <w:t xml:space="preserve"> Protest, Attachment 1, R.22-07-005 Demand Flexibility OIR Response to</w:t>
      </w:r>
      <w:r w:rsidR="00D57787" w:rsidRPr="00CA41D9">
        <w:rPr>
          <w:sz w:val="20"/>
          <w:szCs w:val="20"/>
        </w:rPr>
        <w:t xml:space="preserve"> DR SDG&amp;E-04, Questions 1-16, at 1-14.</w:t>
      </w:r>
    </w:p>
  </w:footnote>
  <w:footnote w:id="40">
    <w:p w14:paraId="3520AAF5" w14:textId="33BF7E4B" w:rsidR="00224321" w:rsidRPr="00224321" w:rsidRDefault="00224321" w:rsidP="00213348">
      <w:pPr>
        <w:pStyle w:val="FootnoteText"/>
        <w:tabs>
          <w:tab w:val="clear" w:pos="360"/>
        </w:tabs>
        <w:spacing w:after="0"/>
        <w:ind w:left="0" w:firstLine="0"/>
        <w:rPr>
          <w:sz w:val="20"/>
          <w:szCs w:val="20"/>
        </w:rPr>
      </w:pPr>
      <w:r w:rsidRPr="00224321">
        <w:rPr>
          <w:rStyle w:val="FootnoteReference"/>
          <w:sz w:val="20"/>
          <w:szCs w:val="20"/>
        </w:rPr>
        <w:footnoteRef/>
      </w:r>
      <w:r w:rsidRPr="00224321">
        <w:rPr>
          <w:sz w:val="20"/>
          <w:szCs w:val="20"/>
        </w:rPr>
        <w:t xml:space="preserve"> Ibid., Questions 1 and 8, at 1-2 and 9-10.</w:t>
      </w:r>
    </w:p>
  </w:footnote>
  <w:footnote w:id="41">
    <w:p w14:paraId="35BD5B9F" w14:textId="2AEB38AB" w:rsidR="00680400" w:rsidRPr="00A70460" w:rsidRDefault="00680400" w:rsidP="00213348">
      <w:pPr>
        <w:pStyle w:val="FootnoteText"/>
        <w:spacing w:after="0"/>
        <w:rPr>
          <w:sz w:val="20"/>
          <w:szCs w:val="20"/>
        </w:rPr>
      </w:pPr>
      <w:r w:rsidRPr="00344789">
        <w:rPr>
          <w:rStyle w:val="FootnoteReference"/>
          <w:sz w:val="20"/>
          <w:szCs w:val="20"/>
        </w:rPr>
        <w:footnoteRef/>
      </w:r>
      <w:r w:rsidRPr="00344789">
        <w:rPr>
          <w:sz w:val="20"/>
          <w:szCs w:val="20"/>
        </w:rPr>
        <w:t xml:space="preserve"> Cal Advocates Protest, at </w:t>
      </w:r>
      <w:r w:rsidR="00344789" w:rsidRPr="00344789">
        <w:rPr>
          <w:sz w:val="20"/>
          <w:szCs w:val="20"/>
        </w:rPr>
        <w:t>3.</w:t>
      </w:r>
    </w:p>
  </w:footnote>
  <w:footnote w:id="42">
    <w:p w14:paraId="72EDC6D8" w14:textId="11EED814" w:rsidR="00F77753" w:rsidRPr="0060501A" w:rsidRDefault="00F77753" w:rsidP="00213348">
      <w:pPr>
        <w:pStyle w:val="FootnoteText"/>
        <w:tabs>
          <w:tab w:val="clear" w:pos="360"/>
        </w:tabs>
        <w:spacing w:after="0"/>
        <w:ind w:left="0" w:firstLine="0"/>
        <w:rPr>
          <w:sz w:val="20"/>
          <w:szCs w:val="20"/>
        </w:rPr>
      </w:pPr>
      <w:r w:rsidRPr="0060501A">
        <w:rPr>
          <w:rStyle w:val="FootnoteReference"/>
          <w:sz w:val="20"/>
          <w:szCs w:val="20"/>
        </w:rPr>
        <w:footnoteRef/>
      </w:r>
      <w:r w:rsidRPr="0060501A">
        <w:rPr>
          <w:sz w:val="20"/>
          <w:szCs w:val="20"/>
        </w:rPr>
        <w:t xml:space="preserve"> </w:t>
      </w:r>
      <w:r w:rsidR="0060501A" w:rsidRPr="0060501A">
        <w:rPr>
          <w:sz w:val="20"/>
          <w:szCs w:val="20"/>
        </w:rPr>
        <w:t>D.24-05-028, Conclusion of Law (COL) 32, at 153.</w:t>
      </w:r>
    </w:p>
  </w:footnote>
  <w:footnote w:id="43">
    <w:p w14:paraId="22549E4B" w14:textId="75D56C29" w:rsidR="008309D9" w:rsidRPr="00E83AD5" w:rsidRDefault="008309D9" w:rsidP="00213348">
      <w:pPr>
        <w:pStyle w:val="FootnoteText"/>
        <w:tabs>
          <w:tab w:val="clear" w:pos="360"/>
        </w:tabs>
        <w:spacing w:after="0"/>
        <w:ind w:left="0" w:firstLine="0"/>
        <w:rPr>
          <w:sz w:val="20"/>
          <w:szCs w:val="20"/>
        </w:rPr>
      </w:pPr>
      <w:r w:rsidRPr="00E83AD5">
        <w:rPr>
          <w:rStyle w:val="FootnoteReference"/>
          <w:sz w:val="20"/>
          <w:szCs w:val="20"/>
        </w:rPr>
        <w:footnoteRef/>
      </w:r>
      <w:r w:rsidR="002D5FCC" w:rsidRPr="00E83AD5">
        <w:rPr>
          <w:sz w:val="20"/>
          <w:szCs w:val="20"/>
        </w:rPr>
        <w:t xml:space="preserve"> Ibid., Cal Advocates Protest, Attachment 1, DR SDG&amp;E</w:t>
      </w:r>
      <w:r w:rsidR="003D7197" w:rsidRPr="00E83AD5">
        <w:rPr>
          <w:sz w:val="20"/>
          <w:szCs w:val="20"/>
        </w:rPr>
        <w:t>-04</w:t>
      </w:r>
      <w:r w:rsidR="00F67D87" w:rsidRPr="00E83AD5">
        <w:rPr>
          <w:sz w:val="20"/>
          <w:szCs w:val="20"/>
        </w:rPr>
        <w:t>, Questions 11, 12,</w:t>
      </w:r>
      <w:r w:rsidR="00E802BF" w:rsidRPr="00E83AD5">
        <w:rPr>
          <w:sz w:val="20"/>
          <w:szCs w:val="20"/>
        </w:rPr>
        <w:t xml:space="preserve"> and 13</w:t>
      </w:r>
      <w:r w:rsidR="00E83AD5" w:rsidRPr="00E83AD5">
        <w:rPr>
          <w:sz w:val="20"/>
          <w:szCs w:val="20"/>
        </w:rPr>
        <w:t>; at 11-12.</w:t>
      </w:r>
    </w:p>
  </w:footnote>
  <w:footnote w:id="44">
    <w:p w14:paraId="7C425414" w14:textId="5353249D" w:rsidR="00955FDD" w:rsidRPr="00231620" w:rsidRDefault="00955FDD" w:rsidP="00213348">
      <w:pPr>
        <w:pStyle w:val="FootnoteText"/>
        <w:tabs>
          <w:tab w:val="clear" w:pos="360"/>
        </w:tabs>
        <w:spacing w:after="0"/>
        <w:ind w:left="0" w:firstLine="0"/>
        <w:rPr>
          <w:sz w:val="20"/>
          <w:szCs w:val="20"/>
        </w:rPr>
      </w:pPr>
      <w:r w:rsidRPr="00231620">
        <w:rPr>
          <w:rStyle w:val="FootnoteReference"/>
          <w:sz w:val="20"/>
          <w:szCs w:val="20"/>
        </w:rPr>
        <w:footnoteRef/>
      </w:r>
      <w:r w:rsidRPr="00231620">
        <w:rPr>
          <w:sz w:val="20"/>
          <w:szCs w:val="20"/>
        </w:rPr>
        <w:t xml:space="preserve"> </w:t>
      </w:r>
      <w:r w:rsidR="0039484B">
        <w:rPr>
          <w:sz w:val="20"/>
          <w:szCs w:val="20"/>
        </w:rPr>
        <w:t>Cal Advocates Protest</w:t>
      </w:r>
      <w:r w:rsidR="005C0B89">
        <w:rPr>
          <w:sz w:val="20"/>
          <w:szCs w:val="20"/>
        </w:rPr>
        <w:t>,</w:t>
      </w:r>
      <w:r w:rsidRPr="00231620">
        <w:rPr>
          <w:sz w:val="20"/>
          <w:szCs w:val="20"/>
        </w:rPr>
        <w:t xml:space="preserve"> at </w:t>
      </w:r>
      <w:r w:rsidR="00C37A12">
        <w:rPr>
          <w:sz w:val="20"/>
          <w:szCs w:val="20"/>
        </w:rPr>
        <w:t>3</w:t>
      </w:r>
      <w:r w:rsidRPr="00231620">
        <w:rPr>
          <w:sz w:val="20"/>
          <w:szCs w:val="20"/>
        </w:rPr>
        <w:t>.</w:t>
      </w:r>
    </w:p>
  </w:footnote>
  <w:footnote w:id="45">
    <w:p w14:paraId="1A6A7BFA" w14:textId="4D8832FF" w:rsidR="00B85BFC" w:rsidRPr="00A70460" w:rsidRDefault="00B85BFC" w:rsidP="00213348">
      <w:pPr>
        <w:pStyle w:val="FootnoteText"/>
        <w:spacing w:after="0"/>
        <w:rPr>
          <w:sz w:val="20"/>
          <w:szCs w:val="20"/>
        </w:rPr>
      </w:pPr>
      <w:r w:rsidRPr="00A3338D">
        <w:rPr>
          <w:rStyle w:val="FootnoteReference"/>
          <w:sz w:val="20"/>
          <w:szCs w:val="20"/>
        </w:rPr>
        <w:footnoteRef/>
      </w:r>
      <w:r w:rsidRPr="00A3338D">
        <w:rPr>
          <w:sz w:val="20"/>
          <w:szCs w:val="20"/>
        </w:rPr>
        <w:t xml:space="preserve"> Ibid., at </w:t>
      </w:r>
      <w:r w:rsidR="00D378AE">
        <w:rPr>
          <w:sz w:val="20"/>
          <w:szCs w:val="20"/>
        </w:rPr>
        <w:t>4</w:t>
      </w:r>
      <w:r w:rsidR="00A3338D" w:rsidRPr="00A3338D">
        <w:rPr>
          <w:sz w:val="20"/>
          <w:szCs w:val="20"/>
        </w:rPr>
        <w:t>.</w:t>
      </w:r>
    </w:p>
  </w:footnote>
  <w:footnote w:id="46">
    <w:p w14:paraId="02A853D0" w14:textId="47C144CE" w:rsidR="004F095E" w:rsidRPr="009D5487" w:rsidRDefault="004F095E" w:rsidP="00213348">
      <w:pPr>
        <w:pStyle w:val="FootnoteText"/>
        <w:tabs>
          <w:tab w:val="clear" w:pos="360"/>
        </w:tabs>
        <w:spacing w:after="0"/>
        <w:ind w:left="0" w:firstLine="0"/>
        <w:rPr>
          <w:sz w:val="20"/>
          <w:szCs w:val="20"/>
        </w:rPr>
      </w:pPr>
      <w:r w:rsidRPr="009D5487">
        <w:rPr>
          <w:rStyle w:val="FootnoteReference"/>
          <w:sz w:val="20"/>
          <w:szCs w:val="20"/>
        </w:rPr>
        <w:footnoteRef/>
      </w:r>
      <w:r w:rsidR="00312D02" w:rsidRPr="009D5487">
        <w:rPr>
          <w:sz w:val="20"/>
          <w:szCs w:val="20"/>
        </w:rPr>
        <w:t xml:space="preserve"> Cal Advocates Protest, Attachment 1, R.22-07-005 Demand Flexibility OIR SDG&amp;E Response to Cal Advocates DR SDG&amp;E-04, Question 10, at 11.</w:t>
      </w:r>
    </w:p>
  </w:footnote>
  <w:footnote w:id="47">
    <w:p w14:paraId="70E45196" w14:textId="21F6A7F1" w:rsidR="00F521B7" w:rsidRPr="00DD1BD2" w:rsidRDefault="00F521B7" w:rsidP="00213348">
      <w:pPr>
        <w:pStyle w:val="FootnoteText"/>
        <w:tabs>
          <w:tab w:val="clear" w:pos="360"/>
        </w:tabs>
        <w:spacing w:after="0"/>
        <w:ind w:left="0" w:firstLine="0"/>
        <w:rPr>
          <w:sz w:val="20"/>
          <w:szCs w:val="20"/>
        </w:rPr>
      </w:pPr>
      <w:r w:rsidRPr="009D5487">
        <w:rPr>
          <w:rStyle w:val="FootnoteReference"/>
          <w:sz w:val="20"/>
          <w:szCs w:val="20"/>
        </w:rPr>
        <w:footnoteRef/>
      </w:r>
      <w:r w:rsidRPr="00CF365F">
        <w:rPr>
          <w:sz w:val="20"/>
          <w:szCs w:val="20"/>
        </w:rPr>
        <w:t xml:space="preserve"> </w:t>
      </w:r>
      <w:r w:rsidR="00144329" w:rsidRPr="00CF365F">
        <w:rPr>
          <w:sz w:val="20"/>
          <w:szCs w:val="20"/>
        </w:rPr>
        <w:t xml:space="preserve"> </w:t>
      </w:r>
      <w:r w:rsidR="0092576B" w:rsidRPr="00CF365F">
        <w:rPr>
          <w:sz w:val="20"/>
          <w:szCs w:val="20"/>
        </w:rPr>
        <w:t>Cal Advocates</w:t>
      </w:r>
      <w:r w:rsidR="009F5220" w:rsidRPr="00CF365F">
        <w:rPr>
          <w:sz w:val="20"/>
          <w:szCs w:val="20"/>
        </w:rPr>
        <w:t xml:space="preserve"> Protest, at</w:t>
      </w:r>
      <w:r w:rsidR="00CF365F" w:rsidRPr="00CF365F">
        <w:rPr>
          <w:sz w:val="20"/>
          <w:szCs w:val="20"/>
        </w:rPr>
        <w:t xml:space="preserve"> 4.</w:t>
      </w:r>
    </w:p>
  </w:footnote>
  <w:footnote w:id="48">
    <w:p w14:paraId="26B4178B" w14:textId="2C541121" w:rsidR="00F40AEB" w:rsidRPr="001F7D89" w:rsidRDefault="00F40AEB" w:rsidP="00213348">
      <w:pPr>
        <w:pStyle w:val="FootnoteText"/>
        <w:spacing w:after="0"/>
        <w:rPr>
          <w:sz w:val="20"/>
          <w:szCs w:val="20"/>
        </w:rPr>
      </w:pPr>
      <w:r w:rsidRPr="00CF365F">
        <w:rPr>
          <w:rStyle w:val="FootnoteReference"/>
          <w:sz w:val="20"/>
          <w:szCs w:val="20"/>
        </w:rPr>
        <w:footnoteRef/>
      </w:r>
      <w:r w:rsidRPr="00CF365F">
        <w:rPr>
          <w:sz w:val="20"/>
          <w:szCs w:val="20"/>
        </w:rPr>
        <w:t xml:space="preserve"> </w:t>
      </w:r>
      <w:r w:rsidR="00700351" w:rsidRPr="00CF365F">
        <w:rPr>
          <w:sz w:val="20"/>
          <w:szCs w:val="20"/>
        </w:rPr>
        <w:t>I</w:t>
      </w:r>
      <w:r w:rsidR="00C25F6E" w:rsidRPr="00CF365F">
        <w:rPr>
          <w:sz w:val="20"/>
          <w:szCs w:val="20"/>
        </w:rPr>
        <w:t>bid.</w:t>
      </w:r>
    </w:p>
  </w:footnote>
  <w:footnote w:id="49">
    <w:p w14:paraId="7D997180" w14:textId="4B29D0FB" w:rsidR="008C7D51" w:rsidRPr="00723451" w:rsidRDefault="008C7D51" w:rsidP="00213348">
      <w:pPr>
        <w:pStyle w:val="FootnoteText"/>
        <w:tabs>
          <w:tab w:val="clear" w:pos="360"/>
        </w:tabs>
        <w:spacing w:after="0"/>
        <w:ind w:left="0" w:firstLine="0"/>
        <w:rPr>
          <w:sz w:val="20"/>
          <w:szCs w:val="20"/>
        </w:rPr>
      </w:pPr>
      <w:r w:rsidRPr="00723451">
        <w:rPr>
          <w:rStyle w:val="FootnoteReference"/>
          <w:sz w:val="20"/>
          <w:szCs w:val="20"/>
        </w:rPr>
        <w:footnoteRef/>
      </w:r>
      <w:r w:rsidRPr="00723451">
        <w:rPr>
          <w:sz w:val="20"/>
          <w:szCs w:val="20"/>
        </w:rPr>
        <w:t xml:space="preserve"> TURN/NRDC Protest</w:t>
      </w:r>
      <w:r w:rsidR="00494AF8">
        <w:rPr>
          <w:sz w:val="20"/>
          <w:szCs w:val="20"/>
        </w:rPr>
        <w:t>,</w:t>
      </w:r>
      <w:r w:rsidRPr="00723451">
        <w:rPr>
          <w:sz w:val="20"/>
          <w:szCs w:val="20"/>
        </w:rPr>
        <w:t xml:space="preserve"> at 1.</w:t>
      </w:r>
    </w:p>
  </w:footnote>
  <w:footnote w:id="50">
    <w:p w14:paraId="5074E90A" w14:textId="0BE0FC36" w:rsidR="006822CC" w:rsidRPr="001F7D89" w:rsidRDefault="006822CC" w:rsidP="00213348">
      <w:pPr>
        <w:pStyle w:val="FootnoteText"/>
        <w:spacing w:after="0"/>
        <w:rPr>
          <w:sz w:val="20"/>
          <w:szCs w:val="20"/>
        </w:rPr>
      </w:pPr>
      <w:r w:rsidRPr="001F7D89">
        <w:rPr>
          <w:rStyle w:val="FootnoteReference"/>
          <w:sz w:val="20"/>
          <w:szCs w:val="20"/>
        </w:rPr>
        <w:footnoteRef/>
      </w:r>
      <w:r w:rsidRPr="001F7D89">
        <w:rPr>
          <w:sz w:val="20"/>
          <w:szCs w:val="20"/>
        </w:rPr>
        <w:t xml:space="preserve"> Ibid., at </w:t>
      </w:r>
      <w:r w:rsidR="001F7D89" w:rsidRPr="001F7D89">
        <w:rPr>
          <w:sz w:val="20"/>
          <w:szCs w:val="20"/>
        </w:rPr>
        <w:t>2.</w:t>
      </w:r>
    </w:p>
  </w:footnote>
  <w:footnote w:id="51">
    <w:p w14:paraId="6A4A0ECE" w14:textId="255DE8E2" w:rsidR="00150894" w:rsidRPr="001E747B" w:rsidRDefault="00150894" w:rsidP="00213348">
      <w:pPr>
        <w:pStyle w:val="FootnoteText"/>
        <w:tabs>
          <w:tab w:val="clear" w:pos="360"/>
          <w:tab w:val="num" w:pos="0"/>
        </w:tabs>
        <w:spacing w:after="0"/>
        <w:ind w:left="0" w:firstLine="0"/>
        <w:rPr>
          <w:sz w:val="20"/>
          <w:szCs w:val="20"/>
        </w:rPr>
      </w:pPr>
      <w:r w:rsidRPr="001E747B">
        <w:rPr>
          <w:rStyle w:val="FootnoteReference"/>
          <w:sz w:val="20"/>
          <w:szCs w:val="20"/>
        </w:rPr>
        <w:footnoteRef/>
      </w:r>
      <w:r w:rsidRPr="001E446A">
        <w:rPr>
          <w:sz w:val="20"/>
          <w:szCs w:val="20"/>
        </w:rPr>
        <w:t xml:space="preserve"> </w:t>
      </w:r>
      <w:r w:rsidR="00B776A5">
        <w:rPr>
          <w:sz w:val="20"/>
          <w:szCs w:val="20"/>
        </w:rPr>
        <w:t>TURN/NRDC</w:t>
      </w:r>
      <w:r w:rsidR="00D41FCC">
        <w:rPr>
          <w:sz w:val="20"/>
          <w:szCs w:val="20"/>
        </w:rPr>
        <w:t xml:space="preserve"> Protest</w:t>
      </w:r>
      <w:r w:rsidR="0069525C">
        <w:rPr>
          <w:sz w:val="20"/>
          <w:szCs w:val="20"/>
        </w:rPr>
        <w:t xml:space="preserve">, at 3, which noted that PG&amp;E discussed its FERA eligibility score in </w:t>
      </w:r>
      <w:r w:rsidR="0055437F">
        <w:rPr>
          <w:sz w:val="20"/>
          <w:szCs w:val="20"/>
        </w:rPr>
        <w:br/>
      </w:r>
      <w:r w:rsidR="006E5D56" w:rsidRPr="001E446A">
        <w:rPr>
          <w:sz w:val="20"/>
          <w:szCs w:val="20"/>
        </w:rPr>
        <w:t>PG&amp;E</w:t>
      </w:r>
      <w:r w:rsidR="0075789B" w:rsidRPr="001E446A">
        <w:rPr>
          <w:sz w:val="20"/>
          <w:szCs w:val="20"/>
        </w:rPr>
        <w:t xml:space="preserve"> AL 7</w:t>
      </w:r>
      <w:r w:rsidR="001E747B" w:rsidRPr="001E446A">
        <w:rPr>
          <w:sz w:val="20"/>
          <w:szCs w:val="20"/>
        </w:rPr>
        <w:t>107-E, December 21, 2023, at 5.</w:t>
      </w:r>
    </w:p>
  </w:footnote>
  <w:footnote w:id="52">
    <w:p w14:paraId="401728D6" w14:textId="77777777" w:rsidR="007560AC" w:rsidRPr="005F163C" w:rsidRDefault="007560AC" w:rsidP="00213348">
      <w:pPr>
        <w:pStyle w:val="FootnoteText"/>
        <w:tabs>
          <w:tab w:val="clear" w:pos="360"/>
        </w:tabs>
        <w:spacing w:after="0"/>
        <w:ind w:left="0" w:firstLine="0"/>
        <w:rPr>
          <w:sz w:val="20"/>
          <w:szCs w:val="20"/>
        </w:rPr>
      </w:pPr>
      <w:r w:rsidRPr="005F163C">
        <w:rPr>
          <w:rStyle w:val="FootnoteReference"/>
          <w:sz w:val="20"/>
          <w:szCs w:val="20"/>
        </w:rPr>
        <w:footnoteRef/>
      </w:r>
      <w:r w:rsidRPr="005F163C">
        <w:rPr>
          <w:sz w:val="20"/>
          <w:szCs w:val="20"/>
        </w:rPr>
        <w:t xml:space="preserve"> </w:t>
      </w:r>
      <w:r w:rsidRPr="00A9216A">
        <w:rPr>
          <w:sz w:val="20"/>
          <w:szCs w:val="20"/>
        </w:rPr>
        <w:t>Signed into law on September 22, 2024, S</w:t>
      </w:r>
      <w:r>
        <w:rPr>
          <w:sz w:val="20"/>
          <w:szCs w:val="20"/>
        </w:rPr>
        <w:t>B</w:t>
      </w:r>
      <w:r w:rsidRPr="00A9216A">
        <w:rPr>
          <w:sz w:val="20"/>
          <w:szCs w:val="20"/>
        </w:rPr>
        <w:t xml:space="preserve"> 1130 expands eligibility for the FERA program by eliminating the requirement that a household consists of three or more persons. It also mandates </w:t>
      </w:r>
      <w:r>
        <w:rPr>
          <w:sz w:val="20"/>
          <w:szCs w:val="20"/>
        </w:rPr>
        <w:t>that</w:t>
      </w:r>
      <w:r w:rsidRPr="00A9216A">
        <w:rPr>
          <w:sz w:val="20"/>
          <w:szCs w:val="20"/>
        </w:rPr>
        <w:t xml:space="preserve"> the Commission require the Large IOUs to report on their efforts to enroll customers in the FERA program by March 1, 2025, </w:t>
      </w:r>
      <w:r>
        <w:rPr>
          <w:sz w:val="20"/>
          <w:szCs w:val="20"/>
        </w:rPr>
        <w:t>and each year thereafter.</w:t>
      </w:r>
    </w:p>
  </w:footnote>
  <w:footnote w:id="53">
    <w:p w14:paraId="53866DD0" w14:textId="77777777" w:rsidR="007560AC" w:rsidRPr="00EE01E3" w:rsidRDefault="007560AC" w:rsidP="00213348">
      <w:pPr>
        <w:pStyle w:val="FootnoteText"/>
        <w:tabs>
          <w:tab w:val="clear" w:pos="360"/>
        </w:tabs>
        <w:spacing w:after="0"/>
        <w:ind w:left="0" w:firstLine="0"/>
        <w:rPr>
          <w:sz w:val="20"/>
          <w:szCs w:val="20"/>
        </w:rPr>
      </w:pPr>
      <w:r w:rsidRPr="00EE01E3">
        <w:rPr>
          <w:rStyle w:val="FootnoteReference"/>
          <w:sz w:val="20"/>
          <w:szCs w:val="20"/>
        </w:rPr>
        <w:footnoteRef/>
      </w:r>
      <w:r w:rsidRPr="00EE01E3">
        <w:rPr>
          <w:sz w:val="20"/>
          <w:szCs w:val="20"/>
        </w:rPr>
        <w:t xml:space="preserve"> PG&amp;E AL 7351-E, SCE AL 5358-E, and SDG&amp;E AL 4492-E.</w:t>
      </w:r>
    </w:p>
  </w:footnote>
  <w:footnote w:id="54">
    <w:p w14:paraId="4B1CE510" w14:textId="70601B1D" w:rsidR="00F62979" w:rsidRPr="003849F9" w:rsidRDefault="00F62979" w:rsidP="00213348">
      <w:pPr>
        <w:pStyle w:val="FootnoteText"/>
        <w:spacing w:after="0"/>
        <w:rPr>
          <w:sz w:val="20"/>
          <w:szCs w:val="20"/>
        </w:rPr>
      </w:pPr>
      <w:r w:rsidRPr="00EE01E3">
        <w:rPr>
          <w:rStyle w:val="FootnoteReference"/>
          <w:sz w:val="20"/>
          <w:szCs w:val="20"/>
        </w:rPr>
        <w:footnoteRef/>
      </w:r>
      <w:r w:rsidRPr="00EE01E3">
        <w:rPr>
          <w:sz w:val="20"/>
          <w:szCs w:val="20"/>
        </w:rPr>
        <w:t xml:space="preserve"> </w:t>
      </w:r>
      <w:r w:rsidR="00032824" w:rsidRPr="00EE01E3">
        <w:rPr>
          <w:sz w:val="20"/>
          <w:szCs w:val="20"/>
        </w:rPr>
        <w:t xml:space="preserve">TURN/NRDC Protest, at </w:t>
      </w:r>
      <w:r w:rsidR="00EE01E3" w:rsidRPr="00EE01E3">
        <w:rPr>
          <w:sz w:val="20"/>
          <w:szCs w:val="20"/>
        </w:rPr>
        <w:t>3-4.</w:t>
      </w:r>
    </w:p>
  </w:footnote>
  <w:footnote w:id="55">
    <w:p w14:paraId="1DC23A91" w14:textId="02F994A2" w:rsidR="00EB6B1B" w:rsidRPr="0023160C" w:rsidRDefault="00EB6B1B" w:rsidP="00213348">
      <w:pPr>
        <w:pStyle w:val="FootnoteText"/>
        <w:tabs>
          <w:tab w:val="clear" w:pos="360"/>
          <w:tab w:val="num" w:pos="0"/>
        </w:tabs>
        <w:spacing w:after="0"/>
        <w:ind w:left="0" w:firstLine="0"/>
        <w:rPr>
          <w:sz w:val="20"/>
          <w:szCs w:val="20"/>
        </w:rPr>
      </w:pPr>
      <w:r w:rsidRPr="0023160C">
        <w:rPr>
          <w:rStyle w:val="FootnoteReference"/>
          <w:sz w:val="20"/>
          <w:szCs w:val="20"/>
        </w:rPr>
        <w:footnoteRef/>
      </w:r>
      <w:r w:rsidRPr="0023160C">
        <w:rPr>
          <w:sz w:val="20"/>
          <w:szCs w:val="20"/>
        </w:rPr>
        <w:t xml:space="preserve"> </w:t>
      </w:r>
      <w:r w:rsidR="0002625D" w:rsidRPr="0023160C">
        <w:rPr>
          <w:sz w:val="20"/>
          <w:szCs w:val="20"/>
        </w:rPr>
        <w:t>“</w:t>
      </w:r>
      <w:r w:rsidR="00067F9B" w:rsidRPr="0023160C">
        <w:rPr>
          <w:sz w:val="20"/>
          <w:szCs w:val="20"/>
        </w:rPr>
        <w:t>C</w:t>
      </w:r>
      <w:r w:rsidR="00611B18" w:rsidRPr="0023160C">
        <w:rPr>
          <w:sz w:val="20"/>
          <w:szCs w:val="20"/>
        </w:rPr>
        <w:t>enter for Accessible Technology’s</w:t>
      </w:r>
      <w:r w:rsidR="00AA699D" w:rsidRPr="0023160C">
        <w:rPr>
          <w:sz w:val="20"/>
          <w:szCs w:val="20"/>
        </w:rPr>
        <w:t xml:space="preserve"> C</w:t>
      </w:r>
      <w:r w:rsidR="00584127" w:rsidRPr="0023160C">
        <w:rPr>
          <w:sz w:val="20"/>
          <w:szCs w:val="20"/>
        </w:rPr>
        <w:t>omments on Administrative Law Judge’s Ruling on the Implementation Pathway for Income-Graduated Fixed Charges</w:t>
      </w:r>
      <w:r w:rsidR="0002625D" w:rsidRPr="0023160C">
        <w:rPr>
          <w:sz w:val="20"/>
          <w:szCs w:val="20"/>
        </w:rPr>
        <w:t>.”</w:t>
      </w:r>
      <w:r w:rsidR="00215C48" w:rsidRPr="0023160C">
        <w:rPr>
          <w:sz w:val="20"/>
          <w:szCs w:val="20"/>
        </w:rPr>
        <w:t xml:space="preserve"> July 31</w:t>
      </w:r>
      <w:r w:rsidR="00644E12" w:rsidRPr="0023160C">
        <w:rPr>
          <w:sz w:val="20"/>
          <w:szCs w:val="20"/>
        </w:rPr>
        <w:t>,2023, in R.22-07-005.</w:t>
      </w:r>
    </w:p>
  </w:footnote>
  <w:footnote w:id="56">
    <w:p w14:paraId="0F350ADE" w14:textId="0ABAA341" w:rsidR="00C21BF2" w:rsidRPr="0023160C" w:rsidRDefault="00C21BF2" w:rsidP="00213348">
      <w:pPr>
        <w:pStyle w:val="FootnoteText"/>
        <w:spacing w:after="0"/>
        <w:rPr>
          <w:sz w:val="20"/>
          <w:szCs w:val="20"/>
        </w:rPr>
      </w:pPr>
      <w:r w:rsidRPr="0023160C">
        <w:rPr>
          <w:rStyle w:val="FootnoteReference"/>
          <w:sz w:val="20"/>
          <w:szCs w:val="20"/>
        </w:rPr>
        <w:footnoteRef/>
      </w:r>
      <w:r w:rsidRPr="0023160C">
        <w:rPr>
          <w:sz w:val="20"/>
          <w:szCs w:val="20"/>
        </w:rPr>
        <w:t xml:space="preserve"> </w:t>
      </w:r>
      <w:r w:rsidR="00F676CD" w:rsidRPr="0023160C">
        <w:rPr>
          <w:sz w:val="20"/>
          <w:szCs w:val="20"/>
        </w:rPr>
        <w:t>T</w:t>
      </w:r>
      <w:r w:rsidR="00AD42C7" w:rsidRPr="0023160C">
        <w:rPr>
          <w:sz w:val="20"/>
          <w:szCs w:val="20"/>
        </w:rPr>
        <w:t>U</w:t>
      </w:r>
      <w:r w:rsidR="00F676CD" w:rsidRPr="0023160C">
        <w:rPr>
          <w:sz w:val="20"/>
          <w:szCs w:val="20"/>
        </w:rPr>
        <w:t>RN/NRDC Protest</w:t>
      </w:r>
      <w:r w:rsidRPr="0023160C">
        <w:rPr>
          <w:sz w:val="20"/>
          <w:szCs w:val="20"/>
        </w:rPr>
        <w:t>,</w:t>
      </w:r>
      <w:r w:rsidR="00414C29" w:rsidRPr="0023160C">
        <w:rPr>
          <w:sz w:val="20"/>
          <w:szCs w:val="20"/>
        </w:rPr>
        <w:t xml:space="preserve"> at 4.</w:t>
      </w:r>
    </w:p>
  </w:footnote>
  <w:footnote w:id="57">
    <w:p w14:paraId="0D64F444" w14:textId="7A601517" w:rsidR="006B4B88" w:rsidRPr="0023160C" w:rsidRDefault="006B4B88" w:rsidP="00213348">
      <w:pPr>
        <w:pStyle w:val="FootnoteText"/>
        <w:spacing w:after="0"/>
        <w:rPr>
          <w:sz w:val="20"/>
          <w:szCs w:val="20"/>
        </w:rPr>
      </w:pPr>
      <w:r w:rsidRPr="0023160C">
        <w:rPr>
          <w:rStyle w:val="FootnoteReference"/>
          <w:sz w:val="20"/>
          <w:szCs w:val="20"/>
        </w:rPr>
        <w:footnoteRef/>
      </w:r>
      <w:r w:rsidRPr="0023160C">
        <w:rPr>
          <w:sz w:val="20"/>
          <w:szCs w:val="20"/>
        </w:rPr>
        <w:t xml:space="preserve"> Ibid., at 6.</w:t>
      </w:r>
    </w:p>
  </w:footnote>
  <w:footnote w:id="58">
    <w:p w14:paraId="0AE41E2B" w14:textId="67023BC9" w:rsidR="0027080F" w:rsidRPr="0023160C" w:rsidRDefault="0027080F" w:rsidP="00213348">
      <w:pPr>
        <w:pStyle w:val="FootnoteText"/>
        <w:spacing w:after="0"/>
        <w:rPr>
          <w:sz w:val="20"/>
          <w:szCs w:val="20"/>
        </w:rPr>
      </w:pPr>
      <w:r w:rsidRPr="0023160C">
        <w:rPr>
          <w:rStyle w:val="FootnoteReference"/>
          <w:sz w:val="20"/>
          <w:szCs w:val="20"/>
        </w:rPr>
        <w:footnoteRef/>
      </w:r>
      <w:r w:rsidRPr="0023160C">
        <w:rPr>
          <w:sz w:val="20"/>
          <w:szCs w:val="20"/>
        </w:rPr>
        <w:t xml:space="preserve"> SEIA Protest, at 2.</w:t>
      </w:r>
    </w:p>
  </w:footnote>
  <w:footnote w:id="59">
    <w:p w14:paraId="61C5C263" w14:textId="4842993E" w:rsidR="0023160C" w:rsidRPr="00761966" w:rsidRDefault="0023160C" w:rsidP="00213348">
      <w:pPr>
        <w:pStyle w:val="FootnoteText"/>
        <w:spacing w:after="0"/>
        <w:rPr>
          <w:sz w:val="20"/>
          <w:szCs w:val="20"/>
        </w:rPr>
      </w:pPr>
      <w:r w:rsidRPr="0023160C">
        <w:rPr>
          <w:rStyle w:val="FootnoteReference"/>
          <w:sz w:val="20"/>
          <w:szCs w:val="20"/>
        </w:rPr>
        <w:footnoteRef/>
      </w:r>
      <w:r w:rsidRPr="0023160C">
        <w:rPr>
          <w:sz w:val="20"/>
          <w:szCs w:val="20"/>
        </w:rPr>
        <w:t xml:space="preserve"> Ibid., at 5-6.</w:t>
      </w:r>
    </w:p>
  </w:footnote>
  <w:footnote w:id="60">
    <w:p w14:paraId="3F3321C3" w14:textId="34A92939" w:rsidR="00761966" w:rsidRPr="00A70460" w:rsidRDefault="00761966" w:rsidP="00213348">
      <w:pPr>
        <w:pStyle w:val="FootnoteText"/>
        <w:spacing w:after="0"/>
        <w:rPr>
          <w:sz w:val="20"/>
          <w:szCs w:val="20"/>
        </w:rPr>
      </w:pPr>
      <w:r w:rsidRPr="00761966">
        <w:rPr>
          <w:rStyle w:val="FootnoteReference"/>
          <w:sz w:val="20"/>
          <w:szCs w:val="20"/>
        </w:rPr>
        <w:footnoteRef/>
      </w:r>
      <w:r w:rsidRPr="00761966">
        <w:rPr>
          <w:sz w:val="20"/>
          <w:szCs w:val="20"/>
        </w:rPr>
        <w:t xml:space="preserve"> Ibid., at 7.</w:t>
      </w:r>
    </w:p>
  </w:footnote>
  <w:footnote w:id="61">
    <w:p w14:paraId="6C3949B5" w14:textId="68A7FB41" w:rsidR="008A5D7A" w:rsidRPr="008A5D7A" w:rsidRDefault="008A5D7A" w:rsidP="00213348">
      <w:pPr>
        <w:pStyle w:val="FootnoteText"/>
        <w:spacing w:after="0"/>
        <w:rPr>
          <w:sz w:val="20"/>
          <w:szCs w:val="20"/>
        </w:rPr>
      </w:pPr>
      <w:r w:rsidRPr="008A5D7A">
        <w:rPr>
          <w:rStyle w:val="FootnoteReference"/>
          <w:sz w:val="20"/>
          <w:szCs w:val="20"/>
        </w:rPr>
        <w:footnoteRef/>
      </w:r>
      <w:r w:rsidRPr="008A5D7A">
        <w:rPr>
          <w:sz w:val="20"/>
          <w:szCs w:val="20"/>
        </w:rPr>
        <w:t xml:space="preserve"> </w:t>
      </w:r>
      <w:r w:rsidR="005F7147">
        <w:rPr>
          <w:sz w:val="20"/>
          <w:szCs w:val="20"/>
        </w:rPr>
        <w:t>Ibid.</w:t>
      </w:r>
      <w:r w:rsidRPr="008A5D7A">
        <w:rPr>
          <w:sz w:val="20"/>
          <w:szCs w:val="20"/>
        </w:rPr>
        <w:t>, at 5-6.</w:t>
      </w:r>
    </w:p>
  </w:footnote>
  <w:footnote w:id="62">
    <w:p w14:paraId="0E8F03BA" w14:textId="3AC131D6" w:rsidR="006F3717" w:rsidRPr="006F3717" w:rsidRDefault="006F3717" w:rsidP="00213348">
      <w:pPr>
        <w:pStyle w:val="FootnoteText"/>
        <w:spacing w:after="0"/>
        <w:rPr>
          <w:sz w:val="20"/>
          <w:szCs w:val="20"/>
        </w:rPr>
      </w:pPr>
      <w:r w:rsidRPr="008A5D7A">
        <w:rPr>
          <w:rStyle w:val="FootnoteReference"/>
          <w:sz w:val="20"/>
          <w:szCs w:val="20"/>
        </w:rPr>
        <w:footnoteRef/>
      </w:r>
      <w:r w:rsidRPr="008A5D7A">
        <w:rPr>
          <w:sz w:val="20"/>
          <w:szCs w:val="20"/>
        </w:rPr>
        <w:t xml:space="preserve"> </w:t>
      </w:r>
      <w:r w:rsidR="009D4F85">
        <w:rPr>
          <w:sz w:val="20"/>
          <w:szCs w:val="20"/>
        </w:rPr>
        <w:t>Ibid.</w:t>
      </w:r>
      <w:r w:rsidRPr="008A5D7A">
        <w:rPr>
          <w:sz w:val="20"/>
          <w:szCs w:val="20"/>
        </w:rPr>
        <w:t>, at 7.</w:t>
      </w:r>
    </w:p>
  </w:footnote>
  <w:footnote w:id="63">
    <w:p w14:paraId="273E3F67" w14:textId="5C161493" w:rsidR="00BC70CB" w:rsidRPr="00B872DA" w:rsidRDefault="00BC70CB" w:rsidP="00213348">
      <w:pPr>
        <w:pStyle w:val="FootnoteText"/>
        <w:tabs>
          <w:tab w:val="clear" w:pos="360"/>
        </w:tabs>
        <w:spacing w:after="0"/>
        <w:ind w:left="0" w:firstLine="0"/>
        <w:rPr>
          <w:sz w:val="20"/>
          <w:szCs w:val="20"/>
        </w:rPr>
      </w:pPr>
      <w:r w:rsidRPr="00B872DA">
        <w:rPr>
          <w:rStyle w:val="FootnoteReference"/>
          <w:sz w:val="20"/>
          <w:szCs w:val="20"/>
        </w:rPr>
        <w:footnoteRef/>
      </w:r>
      <w:r w:rsidRPr="00B872DA">
        <w:rPr>
          <w:sz w:val="20"/>
          <w:szCs w:val="20"/>
        </w:rPr>
        <w:t xml:space="preserve"> C4AT Protest, at</w:t>
      </w:r>
      <w:r w:rsidR="00B872DA" w:rsidRPr="00B872DA">
        <w:rPr>
          <w:sz w:val="20"/>
          <w:szCs w:val="20"/>
        </w:rPr>
        <w:t xml:space="preserve"> 2-3</w:t>
      </w:r>
      <w:r w:rsidR="00B872DA">
        <w:rPr>
          <w:sz w:val="20"/>
          <w:szCs w:val="20"/>
        </w:rPr>
        <w:t>.</w:t>
      </w:r>
    </w:p>
  </w:footnote>
  <w:footnote w:id="64">
    <w:p w14:paraId="44FCBFA2" w14:textId="416C72EA" w:rsidR="00D133FE" w:rsidRPr="009E537E" w:rsidRDefault="00D133FE" w:rsidP="00213348">
      <w:pPr>
        <w:pStyle w:val="FootnoteText"/>
        <w:tabs>
          <w:tab w:val="clear" w:pos="360"/>
        </w:tabs>
        <w:spacing w:after="0"/>
        <w:ind w:left="0" w:firstLine="0"/>
        <w:rPr>
          <w:sz w:val="20"/>
          <w:szCs w:val="20"/>
        </w:rPr>
      </w:pPr>
      <w:r w:rsidRPr="00AB62E0">
        <w:rPr>
          <w:rStyle w:val="FootnoteReference"/>
          <w:sz w:val="20"/>
          <w:szCs w:val="20"/>
        </w:rPr>
        <w:footnoteRef/>
      </w:r>
      <w:r w:rsidRPr="00AB62E0">
        <w:rPr>
          <w:sz w:val="20"/>
          <w:szCs w:val="20"/>
        </w:rPr>
        <w:t xml:space="preserve"> </w:t>
      </w:r>
      <w:r w:rsidR="009842B0" w:rsidRPr="00AB62E0">
        <w:rPr>
          <w:sz w:val="20"/>
          <w:szCs w:val="20"/>
        </w:rPr>
        <w:t>CEJA Protest, at 2.</w:t>
      </w:r>
    </w:p>
  </w:footnote>
  <w:footnote w:id="65">
    <w:p w14:paraId="7B3BCDBF" w14:textId="4C0DA998" w:rsidR="00F850E9" w:rsidRPr="005B0E17" w:rsidRDefault="00F850E9" w:rsidP="00213348">
      <w:pPr>
        <w:pStyle w:val="FootnoteText"/>
        <w:spacing w:after="0"/>
        <w:rPr>
          <w:sz w:val="20"/>
          <w:szCs w:val="20"/>
        </w:rPr>
      </w:pPr>
      <w:r w:rsidRPr="005B0E17">
        <w:rPr>
          <w:rStyle w:val="FootnoteReference"/>
          <w:sz w:val="20"/>
          <w:szCs w:val="20"/>
        </w:rPr>
        <w:footnoteRef/>
      </w:r>
      <w:r w:rsidRPr="005B0E17">
        <w:rPr>
          <w:sz w:val="20"/>
          <w:szCs w:val="20"/>
        </w:rPr>
        <w:t xml:space="preserve"> </w:t>
      </w:r>
      <w:r w:rsidR="00826A1A" w:rsidRPr="005B0E17">
        <w:rPr>
          <w:sz w:val="20"/>
          <w:szCs w:val="20"/>
        </w:rPr>
        <w:t xml:space="preserve">SDG&amp;E Protest Reply, at </w:t>
      </w:r>
      <w:r w:rsidR="00E54606" w:rsidRPr="005B0E17">
        <w:rPr>
          <w:sz w:val="20"/>
          <w:szCs w:val="20"/>
        </w:rPr>
        <w:t>2.</w:t>
      </w:r>
    </w:p>
  </w:footnote>
  <w:footnote w:id="66">
    <w:p w14:paraId="552361E4" w14:textId="1887B5A6" w:rsidR="005B0E17" w:rsidRPr="00A70460" w:rsidRDefault="005B0E17" w:rsidP="00213348">
      <w:pPr>
        <w:pStyle w:val="FootnoteText"/>
        <w:spacing w:after="0"/>
        <w:rPr>
          <w:sz w:val="20"/>
          <w:szCs w:val="20"/>
        </w:rPr>
      </w:pPr>
      <w:r w:rsidRPr="005B0E17">
        <w:rPr>
          <w:rStyle w:val="FootnoteReference"/>
          <w:sz w:val="20"/>
          <w:szCs w:val="20"/>
        </w:rPr>
        <w:footnoteRef/>
      </w:r>
      <w:r w:rsidRPr="005B0E17">
        <w:rPr>
          <w:sz w:val="20"/>
          <w:szCs w:val="20"/>
        </w:rPr>
        <w:t xml:space="preserve"> Ibid.</w:t>
      </w:r>
    </w:p>
  </w:footnote>
  <w:footnote w:id="67">
    <w:p w14:paraId="6400BB47" w14:textId="0B9A8BED" w:rsidR="692BF8B6" w:rsidRDefault="692BF8B6" w:rsidP="00213348">
      <w:pPr>
        <w:pStyle w:val="FootnoteText"/>
        <w:spacing w:after="0"/>
        <w:rPr>
          <w:sz w:val="20"/>
          <w:szCs w:val="20"/>
        </w:rPr>
      </w:pPr>
      <w:r w:rsidRPr="106AD46F">
        <w:rPr>
          <w:rStyle w:val="FootnoteReference"/>
          <w:sz w:val="20"/>
          <w:szCs w:val="20"/>
        </w:rPr>
        <w:footnoteRef/>
      </w:r>
      <w:r w:rsidR="106AD46F" w:rsidRPr="001E446A">
        <w:rPr>
          <w:sz w:val="20"/>
          <w:szCs w:val="20"/>
        </w:rPr>
        <w:t xml:space="preserve"> </w:t>
      </w:r>
      <w:r w:rsidR="005B0E17">
        <w:rPr>
          <w:sz w:val="20"/>
          <w:szCs w:val="20"/>
        </w:rPr>
        <w:t>Ibid</w:t>
      </w:r>
      <w:r w:rsidR="106AD46F" w:rsidRPr="001E446A">
        <w:rPr>
          <w:sz w:val="20"/>
          <w:szCs w:val="20"/>
        </w:rPr>
        <w:t>.</w:t>
      </w:r>
    </w:p>
  </w:footnote>
  <w:footnote w:id="68">
    <w:p w14:paraId="1AF64E79" w14:textId="34B95D35" w:rsidR="00206A04" w:rsidRPr="00206A04" w:rsidRDefault="00206A04" w:rsidP="00213348">
      <w:pPr>
        <w:pStyle w:val="FootnoteText"/>
        <w:spacing w:after="0"/>
        <w:rPr>
          <w:sz w:val="20"/>
          <w:szCs w:val="20"/>
        </w:rPr>
      </w:pPr>
      <w:r w:rsidRPr="00206A04">
        <w:rPr>
          <w:rStyle w:val="FootnoteReference"/>
          <w:sz w:val="20"/>
          <w:szCs w:val="20"/>
        </w:rPr>
        <w:footnoteRef/>
      </w:r>
      <w:r w:rsidRPr="00206A04">
        <w:rPr>
          <w:sz w:val="20"/>
          <w:szCs w:val="20"/>
        </w:rPr>
        <w:t xml:space="preserve"> Ibid., at 3.</w:t>
      </w:r>
    </w:p>
  </w:footnote>
  <w:footnote w:id="69">
    <w:p w14:paraId="33D4B9AE" w14:textId="5386E303" w:rsidR="002078EB" w:rsidRPr="00121F5B" w:rsidRDefault="002078EB" w:rsidP="00213348">
      <w:pPr>
        <w:pStyle w:val="FootnoteText"/>
        <w:spacing w:after="0"/>
        <w:rPr>
          <w:sz w:val="20"/>
          <w:szCs w:val="20"/>
        </w:rPr>
      </w:pPr>
      <w:r w:rsidRPr="00121F5B">
        <w:rPr>
          <w:rStyle w:val="FootnoteReference"/>
          <w:sz w:val="20"/>
          <w:szCs w:val="20"/>
        </w:rPr>
        <w:footnoteRef/>
      </w:r>
      <w:r w:rsidRPr="006959E4">
        <w:rPr>
          <w:sz w:val="20"/>
          <w:szCs w:val="20"/>
        </w:rPr>
        <w:t xml:space="preserve"> </w:t>
      </w:r>
      <w:r w:rsidR="002438A1">
        <w:rPr>
          <w:sz w:val="20"/>
          <w:szCs w:val="20"/>
        </w:rPr>
        <w:t>SDG&amp;E Protest Reply</w:t>
      </w:r>
      <w:r w:rsidR="00121F5B" w:rsidRPr="006959E4">
        <w:rPr>
          <w:sz w:val="20"/>
          <w:szCs w:val="20"/>
        </w:rPr>
        <w:t>, at 3.</w:t>
      </w:r>
    </w:p>
  </w:footnote>
  <w:footnote w:id="70">
    <w:p w14:paraId="31893D79" w14:textId="345F0B85" w:rsidR="00210BB0" w:rsidRPr="006959E4" w:rsidRDefault="00210BB0" w:rsidP="00213348">
      <w:pPr>
        <w:pStyle w:val="FootnoteText"/>
        <w:spacing w:after="0"/>
        <w:rPr>
          <w:sz w:val="20"/>
          <w:szCs w:val="20"/>
        </w:rPr>
      </w:pPr>
      <w:r w:rsidRPr="006959E4">
        <w:rPr>
          <w:rStyle w:val="FootnoteReference"/>
          <w:sz w:val="20"/>
          <w:szCs w:val="20"/>
        </w:rPr>
        <w:footnoteRef/>
      </w:r>
      <w:r w:rsidRPr="006959E4">
        <w:rPr>
          <w:sz w:val="20"/>
          <w:szCs w:val="20"/>
        </w:rPr>
        <w:t xml:space="preserve"> </w:t>
      </w:r>
      <w:r w:rsidR="00D53B86" w:rsidRPr="006959E4">
        <w:rPr>
          <w:sz w:val="20"/>
          <w:szCs w:val="20"/>
        </w:rPr>
        <w:t xml:space="preserve">TURN/NRDC Protest, at </w:t>
      </w:r>
      <w:r w:rsidR="00E963B6">
        <w:rPr>
          <w:sz w:val="20"/>
          <w:szCs w:val="20"/>
        </w:rPr>
        <w:t>1-3</w:t>
      </w:r>
      <w:r w:rsidR="00D53B86" w:rsidRPr="006959E4">
        <w:rPr>
          <w:sz w:val="20"/>
          <w:szCs w:val="20"/>
        </w:rPr>
        <w:t>.</w:t>
      </w:r>
    </w:p>
  </w:footnote>
  <w:footnote w:id="71">
    <w:p w14:paraId="36040A6B" w14:textId="77777777" w:rsidR="00946715" w:rsidRPr="006959E4" w:rsidRDefault="00946715" w:rsidP="00213348">
      <w:pPr>
        <w:pStyle w:val="FootnoteText"/>
        <w:spacing w:after="0"/>
        <w:rPr>
          <w:sz w:val="20"/>
          <w:szCs w:val="20"/>
        </w:rPr>
      </w:pPr>
      <w:r w:rsidRPr="006959E4">
        <w:rPr>
          <w:rStyle w:val="FootnoteReference"/>
          <w:sz w:val="20"/>
          <w:szCs w:val="20"/>
        </w:rPr>
        <w:footnoteRef/>
      </w:r>
      <w:r w:rsidRPr="006959E4">
        <w:rPr>
          <w:sz w:val="20"/>
          <w:szCs w:val="20"/>
        </w:rPr>
        <w:t xml:space="preserve"> SDG&amp;E Protest Reply, at 9.</w:t>
      </w:r>
    </w:p>
  </w:footnote>
  <w:footnote w:id="72">
    <w:p w14:paraId="1DABAB17" w14:textId="7E7FCD88" w:rsidR="006959E4" w:rsidRPr="006959E4" w:rsidRDefault="006959E4" w:rsidP="00213348">
      <w:pPr>
        <w:pStyle w:val="FootnoteText"/>
        <w:spacing w:after="0"/>
        <w:rPr>
          <w:sz w:val="20"/>
          <w:szCs w:val="20"/>
        </w:rPr>
      </w:pPr>
      <w:r w:rsidRPr="006959E4">
        <w:rPr>
          <w:rStyle w:val="FootnoteReference"/>
          <w:sz w:val="20"/>
          <w:szCs w:val="20"/>
        </w:rPr>
        <w:footnoteRef/>
      </w:r>
      <w:r w:rsidRPr="006959E4">
        <w:rPr>
          <w:sz w:val="20"/>
          <w:szCs w:val="20"/>
        </w:rPr>
        <w:t xml:space="preserve"> Ibid.</w:t>
      </w:r>
    </w:p>
  </w:footnote>
  <w:footnote w:id="73">
    <w:p w14:paraId="00F072E8" w14:textId="005B862B" w:rsidR="004B43F2" w:rsidRPr="002438A1" w:rsidRDefault="004B43F2" w:rsidP="00213348">
      <w:pPr>
        <w:pStyle w:val="FootnoteText"/>
        <w:spacing w:after="0"/>
        <w:rPr>
          <w:sz w:val="20"/>
          <w:szCs w:val="20"/>
        </w:rPr>
      </w:pPr>
      <w:r w:rsidRPr="002438A1">
        <w:rPr>
          <w:rStyle w:val="FootnoteReference"/>
          <w:sz w:val="20"/>
          <w:szCs w:val="20"/>
        </w:rPr>
        <w:footnoteRef/>
      </w:r>
      <w:r w:rsidRPr="002438A1">
        <w:rPr>
          <w:sz w:val="20"/>
          <w:szCs w:val="20"/>
        </w:rPr>
        <w:t xml:space="preserve"> TURN/NRDC Protest, at </w:t>
      </w:r>
      <w:r w:rsidR="00513744" w:rsidRPr="002438A1">
        <w:rPr>
          <w:sz w:val="20"/>
          <w:szCs w:val="20"/>
        </w:rPr>
        <w:t>3.</w:t>
      </w:r>
    </w:p>
  </w:footnote>
  <w:footnote w:id="74">
    <w:p w14:paraId="5F0BA202" w14:textId="7F516B82" w:rsidR="002438A1" w:rsidRPr="00A70460" w:rsidRDefault="002438A1" w:rsidP="00213348">
      <w:pPr>
        <w:pStyle w:val="FootnoteText"/>
        <w:spacing w:after="0"/>
        <w:rPr>
          <w:sz w:val="20"/>
          <w:szCs w:val="20"/>
        </w:rPr>
      </w:pPr>
      <w:r w:rsidRPr="002438A1">
        <w:rPr>
          <w:rStyle w:val="FootnoteReference"/>
          <w:sz w:val="20"/>
          <w:szCs w:val="20"/>
        </w:rPr>
        <w:footnoteRef/>
      </w:r>
      <w:r w:rsidRPr="002438A1">
        <w:rPr>
          <w:sz w:val="20"/>
          <w:szCs w:val="20"/>
        </w:rPr>
        <w:t xml:space="preserve"> SCE Protest Reply, at 8.</w:t>
      </w:r>
    </w:p>
  </w:footnote>
  <w:footnote w:id="75">
    <w:p w14:paraId="49F9D69E" w14:textId="437CA03B" w:rsidR="002B7B12" w:rsidRPr="00AA5C34" w:rsidRDefault="002B7B12" w:rsidP="00213348">
      <w:pPr>
        <w:pStyle w:val="FootnoteText"/>
        <w:spacing w:after="0"/>
        <w:rPr>
          <w:sz w:val="20"/>
          <w:szCs w:val="20"/>
        </w:rPr>
      </w:pPr>
      <w:r w:rsidRPr="00AA5C34">
        <w:rPr>
          <w:rStyle w:val="FootnoteReference"/>
          <w:sz w:val="20"/>
          <w:szCs w:val="20"/>
        </w:rPr>
        <w:footnoteRef/>
      </w:r>
      <w:r w:rsidRPr="00AA5C34">
        <w:rPr>
          <w:sz w:val="20"/>
          <w:szCs w:val="20"/>
        </w:rPr>
        <w:t xml:space="preserve"> </w:t>
      </w:r>
      <w:r w:rsidR="00443878">
        <w:rPr>
          <w:sz w:val="20"/>
          <w:szCs w:val="20"/>
        </w:rPr>
        <w:t>SDG&amp;E Protest Reply</w:t>
      </w:r>
      <w:r w:rsidR="0010165D" w:rsidRPr="006959E4">
        <w:rPr>
          <w:sz w:val="20"/>
          <w:szCs w:val="20"/>
        </w:rPr>
        <w:t>,</w:t>
      </w:r>
      <w:r w:rsidR="0010165D" w:rsidRPr="00AA5C34">
        <w:rPr>
          <w:sz w:val="20"/>
          <w:szCs w:val="20"/>
        </w:rPr>
        <w:t xml:space="preserve"> at</w:t>
      </w:r>
      <w:r w:rsidRPr="00AA5C34">
        <w:rPr>
          <w:sz w:val="20"/>
          <w:szCs w:val="20"/>
        </w:rPr>
        <w:t xml:space="preserve"> </w:t>
      </w:r>
      <w:r w:rsidR="00AA5C34" w:rsidRPr="00AA5C34">
        <w:rPr>
          <w:sz w:val="20"/>
          <w:szCs w:val="20"/>
        </w:rPr>
        <w:t>9.</w:t>
      </w:r>
    </w:p>
  </w:footnote>
  <w:footnote w:id="76">
    <w:p w14:paraId="61F06E03" w14:textId="3117B31A" w:rsidR="00621446" w:rsidRPr="00621446" w:rsidRDefault="00621446" w:rsidP="00213348">
      <w:pPr>
        <w:pStyle w:val="FootnoteText"/>
        <w:tabs>
          <w:tab w:val="clear" w:pos="360"/>
        </w:tabs>
        <w:spacing w:after="0"/>
        <w:ind w:left="0" w:firstLine="0"/>
        <w:rPr>
          <w:sz w:val="20"/>
          <w:szCs w:val="20"/>
        </w:rPr>
      </w:pPr>
      <w:r w:rsidRPr="00DD1BD2">
        <w:rPr>
          <w:rStyle w:val="FootnoteReference"/>
          <w:sz w:val="20"/>
          <w:szCs w:val="20"/>
        </w:rPr>
        <w:footnoteRef/>
      </w:r>
      <w:r w:rsidRPr="00DD1BD2">
        <w:rPr>
          <w:sz w:val="20"/>
          <w:szCs w:val="20"/>
        </w:rPr>
        <w:t xml:space="preserve"> </w:t>
      </w:r>
      <w:r w:rsidR="00EA51B7">
        <w:rPr>
          <w:sz w:val="20"/>
          <w:szCs w:val="20"/>
        </w:rPr>
        <w:t>SDG&amp;E AL</w:t>
      </w:r>
      <w:r w:rsidR="00AB095F">
        <w:rPr>
          <w:sz w:val="20"/>
          <w:szCs w:val="20"/>
        </w:rPr>
        <w:t xml:space="preserve"> 4492-E, at </w:t>
      </w:r>
      <w:r w:rsidR="00CD0996">
        <w:rPr>
          <w:sz w:val="20"/>
          <w:szCs w:val="20"/>
        </w:rPr>
        <w:t>9</w:t>
      </w:r>
      <w:r w:rsidR="00AB095F">
        <w:rPr>
          <w:sz w:val="20"/>
          <w:szCs w:val="20"/>
        </w:rPr>
        <w:t>.</w:t>
      </w:r>
    </w:p>
  </w:footnote>
  <w:footnote w:id="77">
    <w:p w14:paraId="3E35AFEF" w14:textId="4576E52E" w:rsidR="009F4AC5" w:rsidRPr="00516972" w:rsidRDefault="009F4AC5" w:rsidP="00213348">
      <w:pPr>
        <w:pStyle w:val="FootnoteText"/>
        <w:spacing w:after="0"/>
        <w:rPr>
          <w:sz w:val="20"/>
          <w:szCs w:val="20"/>
        </w:rPr>
      </w:pPr>
      <w:r w:rsidRPr="00516972">
        <w:rPr>
          <w:rStyle w:val="FootnoteReference"/>
          <w:sz w:val="20"/>
          <w:szCs w:val="20"/>
        </w:rPr>
        <w:footnoteRef/>
      </w:r>
      <w:r w:rsidRPr="00516972">
        <w:rPr>
          <w:sz w:val="20"/>
          <w:szCs w:val="20"/>
        </w:rPr>
        <w:t xml:space="preserve"> SDG&amp;E Protest Reply, at </w:t>
      </w:r>
      <w:r w:rsidR="00516972" w:rsidRPr="00516972">
        <w:rPr>
          <w:sz w:val="20"/>
          <w:szCs w:val="20"/>
        </w:rPr>
        <w:t>9.</w:t>
      </w:r>
    </w:p>
  </w:footnote>
  <w:footnote w:id="78">
    <w:p w14:paraId="2ACC0099" w14:textId="5D4B5F54" w:rsidR="00416B17" w:rsidRPr="009F4AC5" w:rsidRDefault="00416B17" w:rsidP="00213348">
      <w:pPr>
        <w:pStyle w:val="FootnoteText"/>
        <w:spacing w:after="0"/>
        <w:rPr>
          <w:sz w:val="20"/>
          <w:szCs w:val="20"/>
        </w:rPr>
      </w:pPr>
      <w:r w:rsidRPr="009F4AC5">
        <w:rPr>
          <w:rStyle w:val="FootnoteReference"/>
          <w:sz w:val="20"/>
          <w:szCs w:val="20"/>
        </w:rPr>
        <w:footnoteRef/>
      </w:r>
      <w:r w:rsidRPr="009F4AC5">
        <w:rPr>
          <w:sz w:val="20"/>
          <w:szCs w:val="20"/>
        </w:rPr>
        <w:t xml:space="preserve"> </w:t>
      </w:r>
      <w:r w:rsidR="005B3A03">
        <w:rPr>
          <w:sz w:val="20"/>
          <w:szCs w:val="20"/>
        </w:rPr>
        <w:t>Ibid.</w:t>
      </w:r>
      <w:r w:rsidR="003D5436" w:rsidRPr="009F4AC5">
        <w:rPr>
          <w:sz w:val="20"/>
          <w:szCs w:val="20"/>
        </w:rPr>
        <w:t>, at</w:t>
      </w:r>
      <w:r w:rsidR="009F4AC5" w:rsidRPr="009F4AC5">
        <w:rPr>
          <w:sz w:val="20"/>
          <w:szCs w:val="20"/>
        </w:rPr>
        <w:t xml:space="preserve"> 7.</w:t>
      </w:r>
    </w:p>
  </w:footnote>
  <w:footnote w:id="79">
    <w:p w14:paraId="00657A71" w14:textId="0277E435" w:rsidR="00BA6E43" w:rsidRPr="00191DF8" w:rsidRDefault="00BA6E43" w:rsidP="00213348">
      <w:pPr>
        <w:pStyle w:val="FootnoteText"/>
        <w:spacing w:after="0"/>
        <w:rPr>
          <w:sz w:val="20"/>
          <w:szCs w:val="20"/>
        </w:rPr>
      </w:pPr>
      <w:r w:rsidRPr="00191DF8">
        <w:rPr>
          <w:rStyle w:val="FootnoteReference"/>
          <w:sz w:val="20"/>
          <w:szCs w:val="20"/>
        </w:rPr>
        <w:footnoteRef/>
      </w:r>
      <w:r w:rsidRPr="00191DF8">
        <w:rPr>
          <w:sz w:val="20"/>
          <w:szCs w:val="20"/>
        </w:rPr>
        <w:t xml:space="preserve"> </w:t>
      </w:r>
      <w:r w:rsidR="00191DF8" w:rsidRPr="00191DF8">
        <w:rPr>
          <w:sz w:val="20"/>
          <w:szCs w:val="20"/>
        </w:rPr>
        <w:t>SDG&amp;E Protest Reply, at 7.</w:t>
      </w:r>
    </w:p>
  </w:footnote>
  <w:footnote w:id="80">
    <w:p w14:paraId="242932C5" w14:textId="1EF6ECD2" w:rsidR="00D40950" w:rsidRPr="00620B99" w:rsidRDefault="00D40950" w:rsidP="00213348">
      <w:pPr>
        <w:pStyle w:val="FootnoteText"/>
        <w:spacing w:after="0"/>
        <w:rPr>
          <w:sz w:val="20"/>
          <w:szCs w:val="20"/>
        </w:rPr>
      </w:pPr>
      <w:r w:rsidRPr="00620B99">
        <w:rPr>
          <w:rStyle w:val="FootnoteReference"/>
          <w:sz w:val="20"/>
          <w:szCs w:val="20"/>
        </w:rPr>
        <w:footnoteRef/>
      </w:r>
      <w:r w:rsidRPr="00620B99">
        <w:rPr>
          <w:sz w:val="20"/>
          <w:szCs w:val="20"/>
        </w:rPr>
        <w:t xml:space="preserve"> Ibid., at</w:t>
      </w:r>
      <w:r w:rsidR="00620B99" w:rsidRPr="00620B99">
        <w:rPr>
          <w:sz w:val="20"/>
          <w:szCs w:val="20"/>
        </w:rPr>
        <w:t xml:space="preserve"> </w:t>
      </w:r>
      <w:r w:rsidR="00A23A72">
        <w:rPr>
          <w:sz w:val="20"/>
          <w:szCs w:val="20"/>
        </w:rPr>
        <w:t>10-</w:t>
      </w:r>
      <w:r w:rsidR="00620B99" w:rsidRPr="00620B99">
        <w:rPr>
          <w:sz w:val="20"/>
          <w:szCs w:val="20"/>
        </w:rPr>
        <w:t>11</w:t>
      </w:r>
      <w:r w:rsidR="004D261B">
        <w:rPr>
          <w:sz w:val="20"/>
          <w:szCs w:val="20"/>
        </w:rPr>
        <w:t>.</w:t>
      </w:r>
    </w:p>
  </w:footnote>
  <w:footnote w:id="81">
    <w:p w14:paraId="3E178A0F" w14:textId="00D3FE76" w:rsidR="00213D22" w:rsidRPr="001E446A" w:rsidRDefault="00213D22" w:rsidP="00213348">
      <w:pPr>
        <w:pStyle w:val="FootnoteText"/>
        <w:spacing w:after="0"/>
        <w:rPr>
          <w:sz w:val="20"/>
          <w:szCs w:val="20"/>
        </w:rPr>
      </w:pPr>
      <w:r w:rsidRPr="00213D22">
        <w:rPr>
          <w:rStyle w:val="FootnoteReference"/>
          <w:sz w:val="20"/>
          <w:szCs w:val="20"/>
        </w:rPr>
        <w:footnoteRef/>
      </w:r>
      <w:r w:rsidRPr="00213D22">
        <w:rPr>
          <w:sz w:val="20"/>
          <w:szCs w:val="20"/>
        </w:rPr>
        <w:t xml:space="preserve"> Ibid.</w:t>
      </w:r>
    </w:p>
  </w:footnote>
  <w:footnote w:id="82">
    <w:p w14:paraId="2302D2D4" w14:textId="10AAF561" w:rsidR="00917EA3" w:rsidRPr="001B25C4" w:rsidRDefault="00917EA3" w:rsidP="00213348">
      <w:pPr>
        <w:pStyle w:val="FootnoteText"/>
        <w:spacing w:after="0"/>
        <w:rPr>
          <w:sz w:val="20"/>
          <w:szCs w:val="20"/>
        </w:rPr>
      </w:pPr>
      <w:r w:rsidRPr="001B25C4">
        <w:rPr>
          <w:rStyle w:val="FootnoteReference"/>
          <w:sz w:val="20"/>
          <w:szCs w:val="20"/>
        </w:rPr>
        <w:footnoteRef/>
      </w:r>
      <w:r w:rsidRPr="001B25C4">
        <w:rPr>
          <w:sz w:val="20"/>
          <w:szCs w:val="20"/>
        </w:rPr>
        <w:t xml:space="preserve"> Cal Advocates Protest, at </w:t>
      </w:r>
      <w:r w:rsidR="005D1728" w:rsidRPr="001B25C4">
        <w:rPr>
          <w:sz w:val="20"/>
          <w:szCs w:val="20"/>
        </w:rPr>
        <w:t>5-6.</w:t>
      </w:r>
    </w:p>
  </w:footnote>
  <w:footnote w:id="83">
    <w:p w14:paraId="70432E6F" w14:textId="493AD437" w:rsidR="009F325E" w:rsidRPr="006B1FE5" w:rsidRDefault="009F325E" w:rsidP="00213348">
      <w:pPr>
        <w:pStyle w:val="FootnoteText"/>
        <w:tabs>
          <w:tab w:val="clear" w:pos="360"/>
        </w:tabs>
        <w:spacing w:after="0"/>
        <w:ind w:left="0" w:firstLine="0"/>
        <w:rPr>
          <w:sz w:val="20"/>
          <w:szCs w:val="20"/>
        </w:rPr>
      </w:pPr>
      <w:r w:rsidRPr="006B1FE5">
        <w:rPr>
          <w:rStyle w:val="FootnoteReference"/>
          <w:sz w:val="20"/>
          <w:szCs w:val="20"/>
        </w:rPr>
        <w:footnoteRef/>
      </w:r>
      <w:r w:rsidRPr="00620B99">
        <w:rPr>
          <w:sz w:val="20"/>
          <w:szCs w:val="20"/>
        </w:rPr>
        <w:t xml:space="preserve"> </w:t>
      </w:r>
      <w:r w:rsidR="001B25C4">
        <w:rPr>
          <w:sz w:val="20"/>
          <w:szCs w:val="20"/>
        </w:rPr>
        <w:t>Ibid.</w:t>
      </w:r>
      <w:r w:rsidR="00196F09" w:rsidRPr="00620B99">
        <w:rPr>
          <w:sz w:val="20"/>
          <w:szCs w:val="20"/>
        </w:rPr>
        <w:t xml:space="preserve">, at </w:t>
      </w:r>
      <w:r w:rsidR="006B1FE5" w:rsidRPr="00620B99">
        <w:rPr>
          <w:sz w:val="20"/>
          <w:szCs w:val="20"/>
        </w:rPr>
        <w:t>2-</w:t>
      </w:r>
      <w:r w:rsidR="00196F09" w:rsidRPr="00620B99">
        <w:rPr>
          <w:sz w:val="20"/>
          <w:szCs w:val="20"/>
        </w:rPr>
        <w:t>3</w:t>
      </w:r>
      <w:r w:rsidR="000B7ABA" w:rsidRPr="00620B99">
        <w:rPr>
          <w:sz w:val="20"/>
          <w:szCs w:val="20"/>
        </w:rPr>
        <w:t>.</w:t>
      </w:r>
    </w:p>
  </w:footnote>
  <w:footnote w:id="84">
    <w:p w14:paraId="1C3F3739" w14:textId="4BECD216" w:rsidR="004B6D71" w:rsidRPr="006B480D" w:rsidRDefault="004B6D71" w:rsidP="00213348">
      <w:pPr>
        <w:pStyle w:val="FootnoteText"/>
        <w:tabs>
          <w:tab w:val="clear" w:pos="360"/>
        </w:tabs>
        <w:spacing w:after="0"/>
        <w:ind w:left="0" w:firstLine="0"/>
        <w:rPr>
          <w:sz w:val="20"/>
          <w:szCs w:val="20"/>
        </w:rPr>
      </w:pPr>
      <w:r w:rsidRPr="006B480D">
        <w:rPr>
          <w:rStyle w:val="FootnoteReference"/>
          <w:sz w:val="20"/>
          <w:szCs w:val="20"/>
        </w:rPr>
        <w:footnoteRef/>
      </w:r>
      <w:r w:rsidRPr="006B480D">
        <w:rPr>
          <w:sz w:val="20"/>
          <w:szCs w:val="20"/>
        </w:rPr>
        <w:t xml:space="preserve"> </w:t>
      </w:r>
      <w:r w:rsidR="00355394" w:rsidRPr="006B480D">
        <w:rPr>
          <w:sz w:val="20"/>
          <w:szCs w:val="20"/>
        </w:rPr>
        <w:t xml:space="preserve">TURN/NRDC Protest, at </w:t>
      </w:r>
      <w:r w:rsidR="009F325E">
        <w:rPr>
          <w:sz w:val="20"/>
          <w:szCs w:val="20"/>
        </w:rPr>
        <w:t>4-5</w:t>
      </w:r>
      <w:r w:rsidR="006B480D">
        <w:rPr>
          <w:sz w:val="20"/>
          <w:szCs w:val="20"/>
        </w:rPr>
        <w:t>.</w:t>
      </w:r>
    </w:p>
  </w:footnote>
  <w:footnote w:id="85">
    <w:p w14:paraId="330657A6" w14:textId="68D51BE0" w:rsidR="00A25F28" w:rsidRPr="00A25F28" w:rsidRDefault="00A25F28" w:rsidP="00213348">
      <w:pPr>
        <w:pStyle w:val="FootnoteText"/>
        <w:tabs>
          <w:tab w:val="clear" w:pos="360"/>
        </w:tabs>
        <w:spacing w:after="0"/>
        <w:ind w:left="0" w:firstLine="0"/>
        <w:rPr>
          <w:sz w:val="20"/>
          <w:szCs w:val="20"/>
        </w:rPr>
      </w:pPr>
      <w:r w:rsidRPr="00A25F28">
        <w:rPr>
          <w:rStyle w:val="FootnoteReference"/>
          <w:sz w:val="20"/>
          <w:szCs w:val="20"/>
        </w:rPr>
        <w:footnoteRef/>
      </w:r>
      <w:r w:rsidRPr="00A25F28">
        <w:rPr>
          <w:sz w:val="20"/>
          <w:szCs w:val="20"/>
        </w:rPr>
        <w:t xml:space="preserve"> SCE AL 5358-E</w:t>
      </w:r>
      <w:r w:rsidR="003C7D75">
        <w:rPr>
          <w:sz w:val="20"/>
          <w:szCs w:val="20"/>
        </w:rPr>
        <w:t>,</w:t>
      </w:r>
      <w:r w:rsidRPr="00A25F28">
        <w:rPr>
          <w:sz w:val="20"/>
          <w:szCs w:val="20"/>
        </w:rPr>
        <w:t xml:space="preserve"> at 3.</w:t>
      </w:r>
    </w:p>
  </w:footnote>
  <w:footnote w:id="86">
    <w:p w14:paraId="0A6807E2" w14:textId="7B1DC278" w:rsidR="005073F0" w:rsidRPr="0008011C" w:rsidRDefault="005073F0" w:rsidP="00213348">
      <w:pPr>
        <w:pStyle w:val="FootnoteText"/>
        <w:tabs>
          <w:tab w:val="clear" w:pos="360"/>
        </w:tabs>
        <w:spacing w:after="0"/>
        <w:ind w:left="0" w:firstLine="0"/>
        <w:rPr>
          <w:sz w:val="20"/>
          <w:szCs w:val="20"/>
        </w:rPr>
      </w:pPr>
      <w:r w:rsidRPr="0008011C">
        <w:rPr>
          <w:rStyle w:val="FootnoteReference"/>
          <w:sz w:val="20"/>
          <w:szCs w:val="20"/>
        </w:rPr>
        <w:footnoteRef/>
      </w:r>
      <w:r w:rsidRPr="0008011C">
        <w:rPr>
          <w:sz w:val="20"/>
          <w:szCs w:val="20"/>
        </w:rPr>
        <w:t xml:space="preserve"> TURN/NRDC Protest</w:t>
      </w:r>
      <w:r w:rsidR="003C7D75">
        <w:rPr>
          <w:sz w:val="20"/>
          <w:szCs w:val="20"/>
        </w:rPr>
        <w:t>,</w:t>
      </w:r>
      <w:r w:rsidR="002E066C">
        <w:rPr>
          <w:sz w:val="20"/>
          <w:szCs w:val="20"/>
        </w:rPr>
        <w:t xml:space="preserve"> </w:t>
      </w:r>
      <w:r w:rsidRPr="0008011C">
        <w:rPr>
          <w:sz w:val="20"/>
          <w:szCs w:val="20"/>
        </w:rPr>
        <w:t>at 4.</w:t>
      </w:r>
      <w:r>
        <w:rPr>
          <w:sz w:val="20"/>
          <w:szCs w:val="20"/>
        </w:rPr>
        <w:t xml:space="preserve"> Cal Advocates Protest</w:t>
      </w:r>
      <w:r w:rsidR="003C7D75">
        <w:rPr>
          <w:sz w:val="20"/>
          <w:szCs w:val="20"/>
        </w:rPr>
        <w:t>,</w:t>
      </w:r>
      <w:r>
        <w:rPr>
          <w:sz w:val="20"/>
          <w:szCs w:val="20"/>
        </w:rPr>
        <w:t xml:space="preserve"> at 3.</w:t>
      </w:r>
    </w:p>
  </w:footnote>
  <w:footnote w:id="87">
    <w:p w14:paraId="25F84C1A" w14:textId="77777777" w:rsidR="002F7583" w:rsidRDefault="002F7583" w:rsidP="00213348">
      <w:pPr>
        <w:pStyle w:val="FootnoteText"/>
        <w:tabs>
          <w:tab w:val="clear" w:pos="360"/>
        </w:tabs>
        <w:spacing w:after="0"/>
        <w:ind w:left="0" w:firstLine="0"/>
        <w:rPr>
          <w:sz w:val="20"/>
          <w:szCs w:val="20"/>
        </w:rPr>
      </w:pPr>
      <w:r w:rsidRPr="592FCA80">
        <w:rPr>
          <w:rStyle w:val="FootnoteReference"/>
          <w:sz w:val="20"/>
          <w:szCs w:val="20"/>
        </w:rPr>
        <w:footnoteRef/>
      </w:r>
      <w:r w:rsidRPr="592FCA80">
        <w:rPr>
          <w:sz w:val="20"/>
          <w:szCs w:val="20"/>
        </w:rPr>
        <w:t xml:space="preserve"> CEJA Protest, at 2.</w:t>
      </w:r>
    </w:p>
  </w:footnote>
  <w:footnote w:id="88">
    <w:p w14:paraId="26911595" w14:textId="3B20AE63" w:rsidR="003D6605" w:rsidRPr="00C817BA" w:rsidRDefault="003D6605" w:rsidP="00213348">
      <w:pPr>
        <w:pStyle w:val="FootnoteText"/>
        <w:spacing w:after="0"/>
        <w:rPr>
          <w:sz w:val="20"/>
          <w:szCs w:val="20"/>
        </w:rPr>
      </w:pPr>
      <w:r w:rsidRPr="00C817BA">
        <w:rPr>
          <w:rStyle w:val="FootnoteReference"/>
          <w:sz w:val="20"/>
          <w:szCs w:val="20"/>
        </w:rPr>
        <w:footnoteRef/>
      </w:r>
      <w:r w:rsidRPr="00C817BA">
        <w:rPr>
          <w:sz w:val="20"/>
          <w:szCs w:val="20"/>
        </w:rPr>
        <w:t xml:space="preserve"> </w:t>
      </w:r>
      <w:r w:rsidR="005906BF" w:rsidRPr="00C817BA">
        <w:rPr>
          <w:sz w:val="20"/>
          <w:szCs w:val="20"/>
        </w:rPr>
        <w:t>SDG&amp;</w:t>
      </w:r>
      <w:r w:rsidR="005906BF" w:rsidRPr="001E446A">
        <w:rPr>
          <w:sz w:val="20"/>
          <w:szCs w:val="20"/>
        </w:rPr>
        <w:t>E</w:t>
      </w:r>
      <w:r w:rsidR="005906BF" w:rsidRPr="00C817BA">
        <w:rPr>
          <w:sz w:val="20"/>
          <w:szCs w:val="20"/>
        </w:rPr>
        <w:t xml:space="preserve"> Protest Reply, at </w:t>
      </w:r>
      <w:r w:rsidR="00C817BA" w:rsidRPr="00C817BA">
        <w:rPr>
          <w:sz w:val="20"/>
          <w:szCs w:val="20"/>
        </w:rPr>
        <w:t>3-4.</w:t>
      </w:r>
    </w:p>
  </w:footnote>
  <w:footnote w:id="89">
    <w:p w14:paraId="1AD83451" w14:textId="1B80171D" w:rsidR="007C6476" w:rsidRPr="00696F59" w:rsidRDefault="007C6476" w:rsidP="00213348">
      <w:pPr>
        <w:pStyle w:val="FootnoteText"/>
        <w:tabs>
          <w:tab w:val="clear" w:pos="360"/>
        </w:tabs>
        <w:spacing w:after="0"/>
        <w:ind w:left="0" w:firstLine="0"/>
        <w:rPr>
          <w:sz w:val="20"/>
          <w:szCs w:val="20"/>
        </w:rPr>
      </w:pPr>
      <w:r w:rsidRPr="00696F59">
        <w:rPr>
          <w:rStyle w:val="FootnoteReference"/>
          <w:sz w:val="20"/>
          <w:szCs w:val="20"/>
        </w:rPr>
        <w:footnoteRef/>
      </w:r>
      <w:r w:rsidRPr="00696F59">
        <w:rPr>
          <w:sz w:val="20"/>
          <w:szCs w:val="20"/>
        </w:rPr>
        <w:t xml:space="preserve"> </w:t>
      </w:r>
      <w:r w:rsidR="007E67C0" w:rsidRPr="00696F59">
        <w:rPr>
          <w:sz w:val="20"/>
          <w:szCs w:val="20"/>
        </w:rPr>
        <w:t>SDG&amp;</w:t>
      </w:r>
      <w:r w:rsidR="0034088D" w:rsidRPr="00696F59">
        <w:rPr>
          <w:sz w:val="20"/>
          <w:szCs w:val="20"/>
        </w:rPr>
        <w:t>E Protest Reply</w:t>
      </w:r>
      <w:r w:rsidR="003C7D75">
        <w:rPr>
          <w:sz w:val="20"/>
          <w:szCs w:val="20"/>
        </w:rPr>
        <w:t>,</w:t>
      </w:r>
      <w:r w:rsidR="00C916CB" w:rsidRPr="00696F59">
        <w:rPr>
          <w:sz w:val="20"/>
          <w:szCs w:val="20"/>
        </w:rPr>
        <w:t xml:space="preserve"> at</w:t>
      </w:r>
      <w:r w:rsidR="008F3EBB" w:rsidRPr="00696F59">
        <w:rPr>
          <w:sz w:val="20"/>
          <w:szCs w:val="20"/>
        </w:rPr>
        <w:t xml:space="preserve"> 9.</w:t>
      </w:r>
      <w:r w:rsidR="00C916CB" w:rsidRPr="00696F59">
        <w:rPr>
          <w:sz w:val="20"/>
          <w:szCs w:val="20"/>
        </w:rPr>
        <w:t xml:space="preserve"> </w:t>
      </w:r>
    </w:p>
  </w:footnote>
  <w:footnote w:id="90">
    <w:p w14:paraId="4DD492A6" w14:textId="3F3738AA" w:rsidR="00962153" w:rsidRPr="00DD1BD2" w:rsidRDefault="00962153" w:rsidP="00213348">
      <w:pPr>
        <w:pStyle w:val="FootnoteText"/>
        <w:tabs>
          <w:tab w:val="clear" w:pos="360"/>
        </w:tabs>
        <w:spacing w:after="0"/>
        <w:ind w:left="0" w:firstLine="0"/>
        <w:rPr>
          <w:sz w:val="20"/>
          <w:szCs w:val="20"/>
        </w:rPr>
      </w:pPr>
      <w:r w:rsidRPr="00B827F5">
        <w:rPr>
          <w:rStyle w:val="FootnoteReference"/>
          <w:sz w:val="20"/>
          <w:szCs w:val="20"/>
        </w:rPr>
        <w:footnoteRef/>
      </w:r>
      <w:r w:rsidRPr="00B827F5">
        <w:rPr>
          <w:sz w:val="20"/>
          <w:szCs w:val="20"/>
        </w:rPr>
        <w:t xml:space="preserve"> Ibid., at </w:t>
      </w:r>
      <w:r w:rsidR="00B827F5" w:rsidRPr="00B827F5">
        <w:rPr>
          <w:sz w:val="20"/>
          <w:szCs w:val="20"/>
        </w:rPr>
        <w:t>11.</w:t>
      </w:r>
    </w:p>
  </w:footnote>
  <w:footnote w:id="91">
    <w:p w14:paraId="2B4099F4" w14:textId="62018C04" w:rsidR="61AF8A60" w:rsidRDefault="61AF8A60" w:rsidP="00213348">
      <w:pPr>
        <w:rPr>
          <w:sz w:val="20"/>
          <w:szCs w:val="20"/>
        </w:rPr>
      </w:pPr>
      <w:r w:rsidRPr="61AF8A60">
        <w:rPr>
          <w:rStyle w:val="FootnoteReference"/>
          <w:sz w:val="20"/>
          <w:szCs w:val="20"/>
        </w:rPr>
        <w:footnoteRef/>
      </w:r>
      <w:r w:rsidRPr="61AF8A60">
        <w:rPr>
          <w:sz w:val="20"/>
          <w:szCs w:val="20"/>
        </w:rPr>
        <w:t xml:space="preserve"> </w:t>
      </w:r>
      <w:r w:rsidRPr="61AF8A60">
        <w:rPr>
          <w:rFonts w:eastAsia="Palatino Linotype" w:cs="Palatino Linotype"/>
          <w:color w:val="000000" w:themeColor="text1"/>
          <w:sz w:val="20"/>
          <w:szCs w:val="20"/>
        </w:rPr>
        <w:t>The loading order is determined by each IOU and guides which eligible cost categories are added first into each fixed charge tier to ensure the maximum allowable fixed charge amount per income tier. For instance, non-CARE/FERA customers (Tier 3) will be assigned higher fixed charges to recover more eligible costs, while CARE (Tier 1) and FERA (Tier 2) customers receive lower, discounted fixed charges which will recover less eligible costs. D. 24-05-028 authorized the following eligible cost categories to be recovered in each of the fixed charge tiers: 100% of MCAC, and some of PPP charges, New System Generation costs, and Nuclear Decommissioning costs.</w:t>
      </w:r>
    </w:p>
  </w:footnote>
  <w:footnote w:id="92">
    <w:p w14:paraId="026CECC3" w14:textId="412C74F7" w:rsidR="68EB36D5" w:rsidRPr="0072231D" w:rsidRDefault="68EB36D5" w:rsidP="00213348">
      <w:pPr>
        <w:pStyle w:val="FootnoteText"/>
        <w:tabs>
          <w:tab w:val="clear" w:pos="360"/>
        </w:tabs>
        <w:spacing w:after="0"/>
        <w:rPr>
          <w:sz w:val="20"/>
          <w:szCs w:val="20"/>
        </w:rPr>
      </w:pPr>
      <w:r w:rsidRPr="68EB36D5">
        <w:rPr>
          <w:rStyle w:val="FootnoteReference"/>
          <w:sz w:val="20"/>
          <w:szCs w:val="20"/>
        </w:rPr>
        <w:footnoteRef/>
      </w:r>
      <w:r w:rsidRPr="68EB36D5">
        <w:rPr>
          <w:sz w:val="20"/>
          <w:szCs w:val="20"/>
        </w:rPr>
        <w:t xml:space="preserve"> CEJA Protest</w:t>
      </w:r>
      <w:r w:rsidR="0057036E">
        <w:rPr>
          <w:sz w:val="20"/>
          <w:szCs w:val="20"/>
        </w:rPr>
        <w:t>,</w:t>
      </w:r>
      <w:r w:rsidRPr="68EB36D5">
        <w:rPr>
          <w:sz w:val="20"/>
          <w:szCs w:val="20"/>
        </w:rPr>
        <w:t xml:space="preserve"> at 3. </w:t>
      </w:r>
    </w:p>
  </w:footnote>
  <w:footnote w:id="93">
    <w:p w14:paraId="25E4D5E3" w14:textId="20F61519" w:rsidR="68EB36D5" w:rsidRDefault="68EB36D5" w:rsidP="00213348">
      <w:pPr>
        <w:pStyle w:val="FootnoteText"/>
        <w:tabs>
          <w:tab w:val="clear" w:pos="360"/>
        </w:tabs>
        <w:spacing w:after="0"/>
        <w:rPr>
          <w:sz w:val="20"/>
          <w:szCs w:val="20"/>
        </w:rPr>
      </w:pPr>
      <w:r w:rsidRPr="68EB36D5">
        <w:rPr>
          <w:rStyle w:val="FootnoteReference"/>
          <w:sz w:val="20"/>
          <w:szCs w:val="20"/>
        </w:rPr>
        <w:footnoteRef/>
      </w:r>
      <w:r w:rsidRPr="68EB36D5">
        <w:rPr>
          <w:sz w:val="20"/>
          <w:szCs w:val="20"/>
        </w:rPr>
        <w:t xml:space="preserve"> </w:t>
      </w:r>
      <w:r w:rsidRPr="68EB36D5">
        <w:rPr>
          <w:i/>
          <w:iCs/>
          <w:sz w:val="20"/>
          <w:szCs w:val="20"/>
        </w:rPr>
        <w:t>Id.</w:t>
      </w:r>
    </w:p>
  </w:footnote>
  <w:footnote w:id="94">
    <w:p w14:paraId="089BA9AE" w14:textId="3195EDC2" w:rsidR="68EB36D5" w:rsidRDefault="68EB36D5" w:rsidP="00213348">
      <w:pPr>
        <w:pStyle w:val="FootnoteText"/>
        <w:tabs>
          <w:tab w:val="clear" w:pos="360"/>
        </w:tabs>
        <w:spacing w:after="0"/>
        <w:ind w:left="0" w:firstLine="0"/>
        <w:rPr>
          <w:sz w:val="20"/>
          <w:szCs w:val="20"/>
        </w:rPr>
      </w:pPr>
      <w:r w:rsidRPr="68EB36D5">
        <w:rPr>
          <w:rStyle w:val="FootnoteReference"/>
          <w:sz w:val="20"/>
          <w:szCs w:val="20"/>
        </w:rPr>
        <w:footnoteRef/>
      </w:r>
      <w:r w:rsidR="00474F87">
        <w:rPr>
          <w:i/>
          <w:iCs/>
          <w:sz w:val="20"/>
          <w:szCs w:val="20"/>
        </w:rPr>
        <w:t xml:space="preserve"> </w:t>
      </w:r>
      <w:r w:rsidRPr="68EB36D5">
        <w:rPr>
          <w:i/>
          <w:iCs/>
          <w:sz w:val="20"/>
          <w:szCs w:val="20"/>
        </w:rPr>
        <w:t>Id</w:t>
      </w:r>
      <w:r w:rsidR="3B265EB4" w:rsidRPr="001E446A">
        <w:rPr>
          <w:sz w:val="20"/>
          <w:szCs w:val="20"/>
        </w:rPr>
        <w:t>.</w:t>
      </w:r>
      <w:r w:rsidR="0057036E">
        <w:rPr>
          <w:sz w:val="20"/>
          <w:szCs w:val="20"/>
        </w:rPr>
        <w:t>,</w:t>
      </w:r>
      <w:r w:rsidRPr="68EB36D5">
        <w:rPr>
          <w:sz w:val="20"/>
          <w:szCs w:val="20"/>
        </w:rPr>
        <w:t xml:space="preserve"> </w:t>
      </w:r>
      <w:r w:rsidR="00397F03">
        <w:rPr>
          <w:sz w:val="20"/>
          <w:szCs w:val="20"/>
        </w:rPr>
        <w:t>a</w:t>
      </w:r>
      <w:r w:rsidRPr="68EB36D5">
        <w:rPr>
          <w:sz w:val="20"/>
          <w:szCs w:val="20"/>
        </w:rPr>
        <w:t>t 5.</w:t>
      </w:r>
    </w:p>
  </w:footnote>
  <w:footnote w:id="95">
    <w:p w14:paraId="13B5FCB7" w14:textId="0D582DD6" w:rsidR="68EB36D5" w:rsidRDefault="68EB36D5" w:rsidP="00213348">
      <w:pPr>
        <w:pStyle w:val="FootnoteText"/>
        <w:tabs>
          <w:tab w:val="clear" w:pos="360"/>
        </w:tabs>
        <w:spacing w:after="0"/>
        <w:ind w:left="0" w:firstLine="0"/>
        <w:rPr>
          <w:sz w:val="20"/>
          <w:szCs w:val="20"/>
          <w:highlight w:val="yellow"/>
        </w:rPr>
      </w:pPr>
      <w:r w:rsidRPr="68EB36D5">
        <w:rPr>
          <w:rStyle w:val="FootnoteReference"/>
          <w:sz w:val="20"/>
          <w:szCs w:val="20"/>
        </w:rPr>
        <w:footnoteRef/>
      </w:r>
      <w:r w:rsidRPr="68EB36D5">
        <w:rPr>
          <w:sz w:val="20"/>
          <w:szCs w:val="20"/>
        </w:rPr>
        <w:t xml:space="preserve"> CEJA Protest</w:t>
      </w:r>
      <w:r w:rsidR="0057036E">
        <w:rPr>
          <w:sz w:val="20"/>
          <w:szCs w:val="20"/>
        </w:rPr>
        <w:t>,</w:t>
      </w:r>
      <w:r w:rsidRPr="68EB36D5">
        <w:rPr>
          <w:sz w:val="20"/>
          <w:szCs w:val="20"/>
        </w:rPr>
        <w:t xml:space="preserve"> at 5. </w:t>
      </w:r>
    </w:p>
  </w:footnote>
  <w:footnote w:id="96">
    <w:p w14:paraId="6F927DE0" w14:textId="20587791" w:rsidR="0FC98BD5" w:rsidRDefault="0FC98BD5" w:rsidP="00213348">
      <w:pPr>
        <w:pStyle w:val="FootnoteText"/>
        <w:tabs>
          <w:tab w:val="clear" w:pos="360"/>
          <w:tab w:val="num" w:pos="0"/>
        </w:tabs>
        <w:spacing w:after="0"/>
        <w:ind w:left="0" w:firstLine="0"/>
        <w:rPr>
          <w:sz w:val="20"/>
          <w:szCs w:val="20"/>
        </w:rPr>
      </w:pPr>
      <w:r w:rsidRPr="444122D6">
        <w:rPr>
          <w:rStyle w:val="FootnoteReference"/>
          <w:sz w:val="20"/>
          <w:szCs w:val="20"/>
        </w:rPr>
        <w:footnoteRef/>
      </w:r>
      <w:r w:rsidR="77525A93" w:rsidRPr="444122D6">
        <w:rPr>
          <w:sz w:val="20"/>
          <w:szCs w:val="20"/>
        </w:rPr>
        <w:t xml:space="preserve"> </w:t>
      </w:r>
      <w:r w:rsidR="003314D4">
        <w:rPr>
          <w:sz w:val="20"/>
          <w:szCs w:val="20"/>
        </w:rPr>
        <w:t>Energy Division</w:t>
      </w:r>
      <w:r w:rsidR="77525A93" w:rsidRPr="444122D6">
        <w:rPr>
          <w:sz w:val="20"/>
          <w:szCs w:val="20"/>
        </w:rPr>
        <w:t xml:space="preserve"> Staff used the current (effective October 1, 2024) CARE Discount percentage of 31.754% as denoted in SDG&amp;E’s </w:t>
      </w:r>
      <w:hyperlink>
        <w:r w:rsidR="77525A93" w:rsidRPr="77525A93">
          <w:rPr>
            <w:rStyle w:val="Hyperlink"/>
            <w:sz w:val="20"/>
            <w:szCs w:val="20"/>
          </w:rPr>
          <w:t>Schedule E-CARE</w:t>
        </w:r>
      </w:hyperlink>
      <w:r w:rsidR="77525A93" w:rsidRPr="444122D6">
        <w:rPr>
          <w:sz w:val="20"/>
          <w:szCs w:val="20"/>
        </w:rPr>
        <w:t>, Sheet 2.</w:t>
      </w:r>
    </w:p>
  </w:footnote>
  <w:footnote w:id="97">
    <w:p w14:paraId="391C7FC3" w14:textId="42FC7131" w:rsidR="00026F71" w:rsidRPr="002831F6" w:rsidRDefault="00026F71" w:rsidP="00213348">
      <w:pPr>
        <w:pStyle w:val="FootnoteText"/>
        <w:spacing w:after="0"/>
        <w:rPr>
          <w:sz w:val="20"/>
          <w:szCs w:val="20"/>
        </w:rPr>
      </w:pPr>
      <w:r w:rsidRPr="002831F6">
        <w:rPr>
          <w:rStyle w:val="FootnoteReference"/>
          <w:sz w:val="20"/>
          <w:szCs w:val="20"/>
        </w:rPr>
        <w:footnoteRef/>
      </w:r>
      <w:r w:rsidRPr="002831F6">
        <w:rPr>
          <w:sz w:val="20"/>
          <w:szCs w:val="20"/>
        </w:rPr>
        <w:t xml:space="preserve"> </w:t>
      </w:r>
      <w:r w:rsidR="00B8249C" w:rsidRPr="002831F6">
        <w:rPr>
          <w:sz w:val="20"/>
          <w:szCs w:val="20"/>
        </w:rPr>
        <w:t>TURN</w:t>
      </w:r>
      <w:r w:rsidR="002831F6">
        <w:rPr>
          <w:sz w:val="20"/>
          <w:szCs w:val="20"/>
        </w:rPr>
        <w:t>/NRDC</w:t>
      </w:r>
      <w:r w:rsidR="00B8249C" w:rsidRPr="002831F6">
        <w:rPr>
          <w:sz w:val="20"/>
          <w:szCs w:val="20"/>
        </w:rPr>
        <w:t xml:space="preserve"> </w:t>
      </w:r>
      <w:r w:rsidR="002831F6">
        <w:rPr>
          <w:sz w:val="20"/>
          <w:szCs w:val="20"/>
        </w:rPr>
        <w:t>P</w:t>
      </w:r>
      <w:r w:rsidR="00B8249C" w:rsidRPr="002831F6">
        <w:rPr>
          <w:sz w:val="20"/>
          <w:szCs w:val="20"/>
        </w:rPr>
        <w:t>rotest</w:t>
      </w:r>
      <w:r w:rsidR="002831F6">
        <w:rPr>
          <w:sz w:val="20"/>
          <w:szCs w:val="20"/>
        </w:rPr>
        <w:t>,</w:t>
      </w:r>
      <w:r w:rsidR="00B8249C" w:rsidRPr="002831F6">
        <w:rPr>
          <w:sz w:val="20"/>
          <w:szCs w:val="20"/>
        </w:rPr>
        <w:t xml:space="preserve"> at 6.</w:t>
      </w:r>
    </w:p>
  </w:footnote>
  <w:footnote w:id="98">
    <w:p w14:paraId="28B10E0C" w14:textId="1A1D5426" w:rsidR="007A25D3" w:rsidRPr="002831F6" w:rsidRDefault="007A25D3" w:rsidP="00213348">
      <w:pPr>
        <w:pStyle w:val="FootnoteText"/>
        <w:spacing w:after="0"/>
        <w:rPr>
          <w:sz w:val="20"/>
          <w:szCs w:val="20"/>
        </w:rPr>
      </w:pPr>
      <w:r w:rsidRPr="002831F6">
        <w:rPr>
          <w:rStyle w:val="FootnoteReference"/>
          <w:sz w:val="20"/>
          <w:szCs w:val="20"/>
        </w:rPr>
        <w:footnoteRef/>
      </w:r>
      <w:r w:rsidRPr="002831F6">
        <w:rPr>
          <w:sz w:val="20"/>
          <w:szCs w:val="20"/>
        </w:rPr>
        <w:t xml:space="preserve"> SEIA </w:t>
      </w:r>
      <w:r w:rsidR="002831F6">
        <w:rPr>
          <w:sz w:val="20"/>
          <w:szCs w:val="20"/>
        </w:rPr>
        <w:t>P</w:t>
      </w:r>
      <w:r w:rsidRPr="002831F6">
        <w:rPr>
          <w:sz w:val="20"/>
          <w:szCs w:val="20"/>
        </w:rPr>
        <w:t>rotest</w:t>
      </w:r>
      <w:r w:rsidR="002831F6">
        <w:rPr>
          <w:sz w:val="20"/>
          <w:szCs w:val="20"/>
        </w:rPr>
        <w:t>,</w:t>
      </w:r>
      <w:r w:rsidRPr="002831F6">
        <w:rPr>
          <w:sz w:val="20"/>
          <w:szCs w:val="20"/>
        </w:rPr>
        <w:t xml:space="preserve"> at 3.</w:t>
      </w:r>
    </w:p>
  </w:footnote>
  <w:footnote w:id="99">
    <w:p w14:paraId="397EAF93" w14:textId="3EB91AB1" w:rsidR="6280E992" w:rsidRDefault="6280E992" w:rsidP="00213348">
      <w:pPr>
        <w:pStyle w:val="FootnoteText"/>
        <w:spacing w:after="0"/>
        <w:rPr>
          <w:sz w:val="20"/>
          <w:szCs w:val="20"/>
        </w:rPr>
      </w:pPr>
      <w:r w:rsidRPr="6280E992">
        <w:rPr>
          <w:rStyle w:val="FootnoteReference"/>
          <w:sz w:val="20"/>
          <w:szCs w:val="20"/>
        </w:rPr>
        <w:footnoteRef/>
      </w:r>
      <w:r w:rsidRPr="6280E992">
        <w:rPr>
          <w:sz w:val="20"/>
          <w:szCs w:val="20"/>
        </w:rPr>
        <w:t xml:space="preserve"> </w:t>
      </w:r>
      <w:r w:rsidR="00B27E0C">
        <w:rPr>
          <w:sz w:val="20"/>
          <w:szCs w:val="20"/>
        </w:rPr>
        <w:t>Ibid.</w:t>
      </w:r>
      <w:r w:rsidR="00234D40">
        <w:rPr>
          <w:sz w:val="20"/>
          <w:szCs w:val="20"/>
        </w:rPr>
        <w:t>,</w:t>
      </w:r>
      <w:r w:rsidRPr="6280E992">
        <w:rPr>
          <w:sz w:val="20"/>
          <w:szCs w:val="20"/>
        </w:rPr>
        <w:t xml:space="preserve"> at 4.</w:t>
      </w:r>
    </w:p>
  </w:footnote>
  <w:footnote w:id="100">
    <w:p w14:paraId="67497FB4" w14:textId="4CDCE24B" w:rsidR="6280E992" w:rsidRDefault="6280E992" w:rsidP="00213348">
      <w:pPr>
        <w:pStyle w:val="FootnoteText"/>
        <w:spacing w:after="0"/>
        <w:rPr>
          <w:sz w:val="20"/>
          <w:szCs w:val="20"/>
        </w:rPr>
      </w:pPr>
      <w:r w:rsidRPr="6280E992">
        <w:rPr>
          <w:rStyle w:val="FootnoteReference"/>
          <w:sz w:val="20"/>
          <w:szCs w:val="20"/>
        </w:rPr>
        <w:footnoteRef/>
      </w:r>
      <w:r w:rsidRPr="6280E992">
        <w:rPr>
          <w:sz w:val="20"/>
          <w:szCs w:val="20"/>
        </w:rPr>
        <w:t xml:space="preserve"> SDG&amp;E</w:t>
      </w:r>
      <w:r w:rsidR="00234D40">
        <w:rPr>
          <w:sz w:val="20"/>
          <w:szCs w:val="20"/>
        </w:rPr>
        <w:t xml:space="preserve"> Protest Reply,</w:t>
      </w:r>
      <w:r w:rsidRPr="6280E992">
        <w:rPr>
          <w:sz w:val="20"/>
          <w:szCs w:val="20"/>
        </w:rPr>
        <w:t xml:space="preserve"> at 4 and 6.</w:t>
      </w:r>
    </w:p>
  </w:footnote>
  <w:footnote w:id="101">
    <w:p w14:paraId="40F4D910" w14:textId="77777777" w:rsidR="00434859" w:rsidRPr="00DD1BD2" w:rsidRDefault="00434859" w:rsidP="00213348">
      <w:pPr>
        <w:pStyle w:val="FootnoteText"/>
        <w:tabs>
          <w:tab w:val="clear" w:pos="360"/>
        </w:tabs>
        <w:spacing w:after="0"/>
        <w:rPr>
          <w:sz w:val="20"/>
          <w:szCs w:val="20"/>
        </w:rPr>
      </w:pPr>
      <w:r w:rsidRPr="00536BD8">
        <w:rPr>
          <w:rStyle w:val="FootnoteReference"/>
          <w:sz w:val="20"/>
          <w:szCs w:val="20"/>
        </w:rPr>
        <w:footnoteRef/>
      </w:r>
      <w:r w:rsidRPr="00536BD8">
        <w:rPr>
          <w:sz w:val="20"/>
          <w:szCs w:val="20"/>
        </w:rPr>
        <w:t xml:space="preserve"> D.24-05-028</w:t>
      </w:r>
      <w:r>
        <w:rPr>
          <w:sz w:val="20"/>
          <w:szCs w:val="20"/>
        </w:rPr>
        <w:t>,</w:t>
      </w:r>
      <w:r w:rsidRPr="00536BD8">
        <w:rPr>
          <w:sz w:val="20"/>
          <w:szCs w:val="20"/>
        </w:rPr>
        <w:t xml:space="preserve"> at 56.</w:t>
      </w:r>
    </w:p>
  </w:footnote>
  <w:footnote w:id="102">
    <w:p w14:paraId="0C381029" w14:textId="1C844D24" w:rsidR="00434859" w:rsidRPr="00DD1BD2" w:rsidRDefault="00434859" w:rsidP="00213348">
      <w:pPr>
        <w:pStyle w:val="FootnoteText"/>
        <w:tabs>
          <w:tab w:val="clear" w:pos="360"/>
        </w:tabs>
        <w:spacing w:after="0"/>
        <w:rPr>
          <w:sz w:val="20"/>
          <w:szCs w:val="20"/>
        </w:rPr>
      </w:pPr>
      <w:r w:rsidRPr="00DD1BD2">
        <w:rPr>
          <w:rStyle w:val="FootnoteReference"/>
          <w:sz w:val="20"/>
          <w:szCs w:val="20"/>
        </w:rPr>
        <w:footnoteRef/>
      </w:r>
      <w:r w:rsidRPr="00DD1BD2">
        <w:rPr>
          <w:sz w:val="20"/>
          <w:szCs w:val="20"/>
        </w:rPr>
        <w:t xml:space="preserve"> </w:t>
      </w:r>
      <w:r w:rsidRPr="00536BD8">
        <w:rPr>
          <w:sz w:val="20"/>
          <w:szCs w:val="20"/>
        </w:rPr>
        <w:t>D.24-05-028</w:t>
      </w:r>
      <w:r>
        <w:rPr>
          <w:sz w:val="20"/>
          <w:szCs w:val="20"/>
        </w:rPr>
        <w:t>,</w:t>
      </w:r>
      <w:r w:rsidRPr="00536BD8">
        <w:rPr>
          <w:sz w:val="20"/>
          <w:szCs w:val="20"/>
        </w:rPr>
        <w:t xml:space="preserve"> at 5</w:t>
      </w:r>
      <w:r>
        <w:rPr>
          <w:sz w:val="20"/>
          <w:szCs w:val="20"/>
        </w:rPr>
        <w:t>7</w:t>
      </w:r>
      <w:r w:rsidRPr="00536BD8">
        <w:rPr>
          <w:sz w:val="20"/>
          <w:szCs w:val="20"/>
        </w:rPr>
        <w:t>.</w:t>
      </w:r>
    </w:p>
  </w:footnote>
  <w:footnote w:id="103">
    <w:p w14:paraId="5DC3C6D7" w14:textId="2B80464E" w:rsidR="00BA28B3" w:rsidRPr="003849F9" w:rsidRDefault="00BA28B3"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473D9D" w:rsidRPr="003849F9">
        <w:rPr>
          <w:sz w:val="20"/>
          <w:szCs w:val="20"/>
        </w:rPr>
        <w:t xml:space="preserve">D.24-05-028, </w:t>
      </w:r>
      <w:r w:rsidR="000749F8">
        <w:rPr>
          <w:sz w:val="20"/>
          <w:szCs w:val="20"/>
        </w:rPr>
        <w:t>FOF</w:t>
      </w:r>
      <w:r w:rsidR="00227B6E" w:rsidRPr="003849F9">
        <w:rPr>
          <w:sz w:val="20"/>
          <w:szCs w:val="20"/>
        </w:rPr>
        <w:t xml:space="preserve"> </w:t>
      </w:r>
      <w:r w:rsidR="00473D9D" w:rsidRPr="003849F9">
        <w:rPr>
          <w:sz w:val="20"/>
          <w:szCs w:val="20"/>
        </w:rPr>
        <w:t>7</w:t>
      </w:r>
      <w:r w:rsidR="006B332F">
        <w:rPr>
          <w:sz w:val="20"/>
          <w:szCs w:val="20"/>
        </w:rPr>
        <w:t>,</w:t>
      </w:r>
      <w:r w:rsidR="00473D9D" w:rsidRPr="003849F9">
        <w:rPr>
          <w:sz w:val="20"/>
          <w:szCs w:val="20"/>
        </w:rPr>
        <w:t xml:space="preserve"> at </w:t>
      </w:r>
      <w:r w:rsidR="00272073" w:rsidRPr="003849F9">
        <w:rPr>
          <w:sz w:val="20"/>
          <w:szCs w:val="20"/>
        </w:rPr>
        <w:t>142.</w:t>
      </w:r>
    </w:p>
  </w:footnote>
  <w:footnote w:id="104">
    <w:p w14:paraId="081CBDAF" w14:textId="77777777" w:rsidR="005260F0" w:rsidRPr="001E446A" w:rsidRDefault="005260F0" w:rsidP="00213348">
      <w:pPr>
        <w:pStyle w:val="FootnoteText"/>
        <w:tabs>
          <w:tab w:val="clear" w:pos="360"/>
        </w:tabs>
        <w:spacing w:after="0"/>
        <w:rPr>
          <w:sz w:val="20"/>
          <w:szCs w:val="20"/>
        </w:rPr>
      </w:pPr>
      <w:r w:rsidRPr="001E446A">
        <w:rPr>
          <w:rStyle w:val="FootnoteReference"/>
          <w:sz w:val="20"/>
          <w:szCs w:val="20"/>
        </w:rPr>
        <w:footnoteRef/>
      </w:r>
      <w:r w:rsidRPr="001E446A">
        <w:rPr>
          <w:sz w:val="20"/>
          <w:szCs w:val="20"/>
        </w:rPr>
        <w:t xml:space="preserve"> D</w:t>
      </w:r>
      <w:r w:rsidR="00594667" w:rsidRPr="001E446A">
        <w:rPr>
          <w:sz w:val="20"/>
          <w:szCs w:val="20"/>
        </w:rPr>
        <w:t>.24-0</w:t>
      </w:r>
      <w:r w:rsidR="00AB1ABF" w:rsidRPr="001E446A">
        <w:rPr>
          <w:sz w:val="20"/>
          <w:szCs w:val="20"/>
        </w:rPr>
        <w:t>5-028</w:t>
      </w:r>
      <w:r w:rsidR="006B332F">
        <w:rPr>
          <w:sz w:val="20"/>
          <w:szCs w:val="20"/>
        </w:rPr>
        <w:t>,</w:t>
      </w:r>
      <w:r w:rsidRPr="001E446A">
        <w:rPr>
          <w:sz w:val="20"/>
          <w:szCs w:val="20"/>
        </w:rPr>
        <w:t xml:space="preserve"> at 55-</w:t>
      </w:r>
      <w:r w:rsidR="00E716CB" w:rsidRPr="001E446A">
        <w:rPr>
          <w:sz w:val="20"/>
          <w:szCs w:val="20"/>
        </w:rPr>
        <w:t>5</w:t>
      </w:r>
      <w:r w:rsidRPr="001E446A">
        <w:rPr>
          <w:sz w:val="20"/>
          <w:szCs w:val="20"/>
        </w:rPr>
        <w:t>6</w:t>
      </w:r>
      <w:r w:rsidR="0024099D" w:rsidRPr="001E446A">
        <w:rPr>
          <w:sz w:val="20"/>
          <w:szCs w:val="20"/>
        </w:rPr>
        <w:t>.</w:t>
      </w:r>
    </w:p>
  </w:footnote>
  <w:footnote w:id="105">
    <w:p w14:paraId="07E4BBA5" w14:textId="797F970B" w:rsidR="00477B2F" w:rsidRPr="003849F9" w:rsidRDefault="00477B2F" w:rsidP="00213348">
      <w:pPr>
        <w:pStyle w:val="FootnoteText"/>
        <w:spacing w:after="0"/>
        <w:rPr>
          <w:sz w:val="20"/>
          <w:szCs w:val="20"/>
        </w:rPr>
      </w:pPr>
      <w:r w:rsidRPr="003849F9">
        <w:rPr>
          <w:rStyle w:val="FootnoteReference"/>
          <w:sz w:val="20"/>
          <w:szCs w:val="20"/>
        </w:rPr>
        <w:footnoteRef/>
      </w:r>
      <w:r w:rsidRPr="003849F9">
        <w:rPr>
          <w:sz w:val="20"/>
          <w:szCs w:val="20"/>
        </w:rPr>
        <w:t xml:space="preserve"> PG&amp;E </w:t>
      </w:r>
      <w:r w:rsidR="002B2FEB">
        <w:rPr>
          <w:sz w:val="20"/>
          <w:szCs w:val="20"/>
        </w:rPr>
        <w:t>AL</w:t>
      </w:r>
      <w:r w:rsidRPr="003849F9">
        <w:rPr>
          <w:sz w:val="20"/>
          <w:szCs w:val="20"/>
        </w:rPr>
        <w:t xml:space="preserve"> 7351-E</w:t>
      </w:r>
      <w:r w:rsidR="00BE5083">
        <w:rPr>
          <w:sz w:val="20"/>
          <w:szCs w:val="20"/>
        </w:rPr>
        <w:t>,</w:t>
      </w:r>
      <w:r w:rsidR="00983A33">
        <w:rPr>
          <w:sz w:val="20"/>
          <w:szCs w:val="20"/>
        </w:rPr>
        <w:t xml:space="preserve"> at</w:t>
      </w:r>
      <w:r w:rsidRPr="003849F9">
        <w:rPr>
          <w:sz w:val="20"/>
          <w:szCs w:val="20"/>
        </w:rPr>
        <w:t xml:space="preserve"> 49.</w:t>
      </w:r>
    </w:p>
  </w:footnote>
  <w:footnote w:id="106">
    <w:p w14:paraId="1EB8491A" w14:textId="0032E070" w:rsidR="00B22829" w:rsidRPr="003849F9" w:rsidRDefault="00B22829"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9755C6" w:rsidRPr="003849F9">
        <w:rPr>
          <w:sz w:val="20"/>
          <w:szCs w:val="20"/>
        </w:rPr>
        <w:t xml:space="preserve">US Department of Health and Human Services 2024 Poverty Guidelines: </w:t>
      </w:r>
      <w:r w:rsidRPr="003849F9">
        <w:rPr>
          <w:sz w:val="20"/>
          <w:szCs w:val="20"/>
        </w:rPr>
        <w:t>https://aspe.hhs.gov/topics/poverty-economic-mobility/poverty-guidelines</w:t>
      </w:r>
    </w:p>
  </w:footnote>
  <w:footnote w:id="107">
    <w:p w14:paraId="272A4E21" w14:textId="3FD9AA52" w:rsidR="008A3EAD" w:rsidRPr="003849F9" w:rsidRDefault="008A3EAD"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2344BE" w:rsidRPr="003849F9">
        <w:rPr>
          <w:sz w:val="20"/>
          <w:szCs w:val="20"/>
        </w:rPr>
        <w:t xml:space="preserve">US Census </w:t>
      </w:r>
      <w:r w:rsidR="00742415" w:rsidRPr="003849F9">
        <w:rPr>
          <w:sz w:val="20"/>
          <w:szCs w:val="20"/>
        </w:rPr>
        <w:t>Bureau</w:t>
      </w:r>
      <w:r w:rsidR="00DD4D2D" w:rsidRPr="003849F9">
        <w:rPr>
          <w:sz w:val="20"/>
          <w:szCs w:val="20"/>
        </w:rPr>
        <w:t>. Average household</w:t>
      </w:r>
      <w:r w:rsidR="00F74C8C" w:rsidRPr="003849F9">
        <w:rPr>
          <w:sz w:val="20"/>
          <w:szCs w:val="20"/>
        </w:rPr>
        <w:t xml:space="preserve"> size is </w:t>
      </w:r>
      <w:r w:rsidR="00FA3319" w:rsidRPr="003849F9">
        <w:rPr>
          <w:sz w:val="20"/>
          <w:szCs w:val="20"/>
        </w:rPr>
        <w:t>2.29</w:t>
      </w:r>
      <w:r w:rsidR="00C245DD" w:rsidRPr="003849F9">
        <w:rPr>
          <w:sz w:val="20"/>
          <w:szCs w:val="20"/>
        </w:rPr>
        <w:t xml:space="preserve">. </w:t>
      </w:r>
      <w:r w:rsidR="00514748" w:rsidRPr="003849F9">
        <w:rPr>
          <w:sz w:val="20"/>
          <w:szCs w:val="20"/>
        </w:rPr>
        <w:t>https://www.census.gov/quickfacts/fact/table/safranciscocountycalifornia/INC110222</w:t>
      </w:r>
    </w:p>
  </w:footnote>
  <w:footnote w:id="108">
    <w:p w14:paraId="358E506E" w14:textId="499EA72A" w:rsidR="004B46A5" w:rsidRPr="003849F9" w:rsidRDefault="004B46A5" w:rsidP="00213348">
      <w:pPr>
        <w:pStyle w:val="FootnoteText"/>
        <w:spacing w:after="0"/>
        <w:rPr>
          <w:sz w:val="20"/>
          <w:szCs w:val="20"/>
        </w:rPr>
      </w:pPr>
      <w:r w:rsidRPr="003849F9">
        <w:rPr>
          <w:rStyle w:val="FootnoteReference"/>
          <w:sz w:val="20"/>
          <w:szCs w:val="20"/>
        </w:rPr>
        <w:footnoteRef/>
      </w:r>
      <w:r w:rsidRPr="001E446A">
        <w:rPr>
          <w:sz w:val="20"/>
          <w:szCs w:val="20"/>
        </w:rPr>
        <w:t xml:space="preserve"> D</w:t>
      </w:r>
      <w:r w:rsidR="00CA6FED">
        <w:rPr>
          <w:sz w:val="20"/>
          <w:szCs w:val="20"/>
        </w:rPr>
        <w:t>.24-05-028</w:t>
      </w:r>
      <w:r w:rsidR="00D225D5">
        <w:rPr>
          <w:sz w:val="20"/>
          <w:szCs w:val="20"/>
        </w:rPr>
        <w:t>,</w:t>
      </w:r>
      <w:r w:rsidRPr="001E446A">
        <w:rPr>
          <w:sz w:val="20"/>
          <w:szCs w:val="20"/>
        </w:rPr>
        <w:t xml:space="preserve"> </w:t>
      </w:r>
      <w:r w:rsidR="00257AF2">
        <w:rPr>
          <w:sz w:val="20"/>
          <w:szCs w:val="20"/>
        </w:rPr>
        <w:t>COL 20</w:t>
      </w:r>
      <w:r w:rsidR="00E503DE">
        <w:rPr>
          <w:sz w:val="20"/>
          <w:szCs w:val="20"/>
        </w:rPr>
        <w:t xml:space="preserve">, at </w:t>
      </w:r>
      <w:r w:rsidR="0DCE87FC">
        <w:rPr>
          <w:sz w:val="20"/>
          <w:szCs w:val="20"/>
        </w:rPr>
        <w:t>150</w:t>
      </w:r>
      <w:r w:rsidRPr="001E446A">
        <w:rPr>
          <w:sz w:val="20"/>
          <w:szCs w:val="20"/>
        </w:rPr>
        <w:t>.</w:t>
      </w:r>
    </w:p>
  </w:footnote>
  <w:footnote w:id="109">
    <w:p w14:paraId="4254B3AE" w14:textId="41CD371D" w:rsidR="006B15B8" w:rsidRPr="003849F9" w:rsidRDefault="006B15B8"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5C029D" w:rsidRPr="003849F9">
        <w:rPr>
          <w:sz w:val="20"/>
          <w:szCs w:val="20"/>
        </w:rPr>
        <w:t>D.24-05-025</w:t>
      </w:r>
      <w:r w:rsidR="00D225D5">
        <w:rPr>
          <w:sz w:val="20"/>
          <w:szCs w:val="20"/>
        </w:rPr>
        <w:t>,</w:t>
      </w:r>
      <w:r w:rsidR="000810FF" w:rsidRPr="001E446A">
        <w:rPr>
          <w:sz w:val="20"/>
          <w:szCs w:val="20"/>
        </w:rPr>
        <w:t xml:space="preserve"> </w:t>
      </w:r>
      <w:r w:rsidR="37A61CFB">
        <w:rPr>
          <w:sz w:val="20"/>
          <w:szCs w:val="20"/>
        </w:rPr>
        <w:t>COL</w:t>
      </w:r>
      <w:r w:rsidRPr="003849F9">
        <w:rPr>
          <w:sz w:val="20"/>
          <w:szCs w:val="20"/>
        </w:rPr>
        <w:t xml:space="preserve"> 19</w:t>
      </w:r>
      <w:r w:rsidR="00D225D5">
        <w:rPr>
          <w:sz w:val="20"/>
          <w:szCs w:val="20"/>
        </w:rPr>
        <w:t>,</w:t>
      </w:r>
      <w:r w:rsidRPr="003849F9">
        <w:rPr>
          <w:sz w:val="20"/>
          <w:szCs w:val="20"/>
        </w:rPr>
        <w:t xml:space="preserve"> at </w:t>
      </w:r>
      <w:r w:rsidR="37A61CFB" w:rsidRPr="001E446A">
        <w:rPr>
          <w:sz w:val="20"/>
          <w:szCs w:val="20"/>
        </w:rPr>
        <w:t>1</w:t>
      </w:r>
      <w:r w:rsidR="37A61CFB">
        <w:rPr>
          <w:sz w:val="20"/>
          <w:szCs w:val="20"/>
        </w:rPr>
        <w:t>50</w:t>
      </w:r>
      <w:r w:rsidRPr="003849F9">
        <w:rPr>
          <w:sz w:val="20"/>
          <w:szCs w:val="20"/>
        </w:rPr>
        <w:t>.</w:t>
      </w:r>
    </w:p>
  </w:footnote>
  <w:footnote w:id="110">
    <w:p w14:paraId="4B159A51" w14:textId="319664DC" w:rsidR="00AC77C7" w:rsidRPr="003849F9" w:rsidRDefault="00AC77C7"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8525BF" w:rsidRPr="003849F9">
        <w:rPr>
          <w:sz w:val="20"/>
          <w:szCs w:val="20"/>
        </w:rPr>
        <w:t>California Housing Partnership</w:t>
      </w:r>
      <w:r w:rsidR="00D225D5">
        <w:rPr>
          <w:sz w:val="20"/>
          <w:szCs w:val="20"/>
        </w:rPr>
        <w:t>,</w:t>
      </w:r>
      <w:r w:rsidR="008525BF" w:rsidRPr="003849F9">
        <w:rPr>
          <w:sz w:val="20"/>
          <w:szCs w:val="20"/>
        </w:rPr>
        <w:t xml:space="preserve"> </w:t>
      </w:r>
      <w:r w:rsidRPr="003849F9">
        <w:rPr>
          <w:sz w:val="20"/>
          <w:szCs w:val="20"/>
        </w:rPr>
        <w:t>https://chpc.net/about-us/</w:t>
      </w:r>
    </w:p>
  </w:footnote>
  <w:footnote w:id="111">
    <w:p w14:paraId="25A30303" w14:textId="3E34F54E" w:rsidR="00BB6EF0" w:rsidRPr="003849F9" w:rsidRDefault="00BB6EF0" w:rsidP="00213348">
      <w:pPr>
        <w:pStyle w:val="FootnoteText"/>
        <w:spacing w:after="0"/>
        <w:rPr>
          <w:sz w:val="20"/>
          <w:szCs w:val="20"/>
        </w:rPr>
      </w:pPr>
      <w:r w:rsidRPr="003849F9">
        <w:rPr>
          <w:rStyle w:val="FootnoteReference"/>
          <w:sz w:val="20"/>
          <w:szCs w:val="20"/>
        </w:rPr>
        <w:footnoteRef/>
      </w:r>
      <w:r w:rsidRPr="001E446A">
        <w:rPr>
          <w:sz w:val="20"/>
          <w:szCs w:val="20"/>
        </w:rPr>
        <w:t xml:space="preserve"> </w:t>
      </w:r>
      <w:r w:rsidR="00373F61">
        <w:rPr>
          <w:sz w:val="20"/>
          <w:szCs w:val="20"/>
        </w:rPr>
        <w:t>SDG&amp;E</w:t>
      </w:r>
      <w:r w:rsidRPr="003849F9">
        <w:rPr>
          <w:sz w:val="20"/>
          <w:szCs w:val="20"/>
        </w:rPr>
        <w:t xml:space="preserve"> </w:t>
      </w:r>
      <w:r w:rsidR="00A527A9" w:rsidRPr="003849F9">
        <w:rPr>
          <w:sz w:val="20"/>
          <w:szCs w:val="20"/>
        </w:rPr>
        <w:t xml:space="preserve">AL </w:t>
      </w:r>
      <w:r w:rsidR="0010111E" w:rsidRPr="003849F9">
        <w:rPr>
          <w:sz w:val="20"/>
          <w:szCs w:val="20"/>
        </w:rPr>
        <w:t>4492-E</w:t>
      </w:r>
      <w:r w:rsidR="00D225D5">
        <w:rPr>
          <w:sz w:val="20"/>
          <w:szCs w:val="20"/>
        </w:rPr>
        <w:t>,</w:t>
      </w:r>
      <w:r w:rsidR="0010111E" w:rsidRPr="003849F9">
        <w:rPr>
          <w:sz w:val="20"/>
          <w:szCs w:val="20"/>
        </w:rPr>
        <w:t xml:space="preserve"> </w:t>
      </w:r>
      <w:r w:rsidR="00A527A9" w:rsidRPr="003849F9">
        <w:rPr>
          <w:sz w:val="20"/>
          <w:szCs w:val="20"/>
        </w:rPr>
        <w:t>at 22</w:t>
      </w:r>
      <w:r w:rsidR="003058B5">
        <w:rPr>
          <w:sz w:val="20"/>
          <w:szCs w:val="20"/>
        </w:rPr>
        <w:t>.</w:t>
      </w:r>
    </w:p>
  </w:footnote>
  <w:footnote w:id="112">
    <w:p w14:paraId="6F0EC727" w14:textId="2414442A" w:rsidR="003721EA" w:rsidRPr="003849F9" w:rsidRDefault="003721EA"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4F229E">
        <w:rPr>
          <w:sz w:val="20"/>
          <w:szCs w:val="20"/>
        </w:rPr>
        <w:t>D.24-05-028,</w:t>
      </w:r>
      <w:r w:rsidRPr="003849F9">
        <w:rPr>
          <w:sz w:val="20"/>
          <w:szCs w:val="20"/>
        </w:rPr>
        <w:t xml:space="preserve"> at Section 5.10, Implementation Budget and Cost Recover</w:t>
      </w:r>
      <w:r w:rsidR="00820F16" w:rsidRPr="003849F9">
        <w:rPr>
          <w:sz w:val="20"/>
          <w:szCs w:val="20"/>
        </w:rPr>
        <w:t>y</w:t>
      </w:r>
      <w:r w:rsidRPr="003849F9">
        <w:rPr>
          <w:sz w:val="20"/>
          <w:szCs w:val="20"/>
        </w:rPr>
        <w:t>, pages 106 to 114.</w:t>
      </w:r>
    </w:p>
  </w:footnote>
  <w:footnote w:id="113">
    <w:p w14:paraId="6FCA499A" w14:textId="3887CD42" w:rsidR="00745FAF" w:rsidRPr="003849F9" w:rsidRDefault="00745FAF" w:rsidP="00213348">
      <w:pPr>
        <w:pStyle w:val="FootnoteText"/>
        <w:tabs>
          <w:tab w:val="clear" w:pos="360"/>
        </w:tabs>
        <w:spacing w:after="0"/>
        <w:rPr>
          <w:sz w:val="20"/>
          <w:szCs w:val="20"/>
        </w:rPr>
      </w:pPr>
      <w:r w:rsidRPr="003849F9">
        <w:rPr>
          <w:rStyle w:val="FootnoteReference"/>
          <w:sz w:val="20"/>
          <w:szCs w:val="20"/>
        </w:rPr>
        <w:footnoteRef/>
      </w:r>
      <w:r w:rsidRPr="003849F9">
        <w:rPr>
          <w:sz w:val="20"/>
          <w:szCs w:val="20"/>
        </w:rPr>
        <w:t xml:space="preserve"> </w:t>
      </w:r>
      <w:r w:rsidR="004F229E">
        <w:rPr>
          <w:sz w:val="20"/>
          <w:szCs w:val="20"/>
        </w:rPr>
        <w:t>Ibid.</w:t>
      </w:r>
      <w:r w:rsidRPr="001E446A">
        <w:rPr>
          <w:sz w:val="20"/>
          <w:szCs w:val="20"/>
        </w:rPr>
        <w:t>,</w:t>
      </w:r>
      <w:r w:rsidRPr="003849F9">
        <w:rPr>
          <w:sz w:val="20"/>
          <w:szCs w:val="20"/>
        </w:rPr>
        <w:t xml:space="preserve"> at 110 and 111.</w:t>
      </w:r>
    </w:p>
  </w:footnote>
  <w:footnote w:id="114">
    <w:p w14:paraId="40E2F1C8" w14:textId="09276615" w:rsidR="00F941EF" w:rsidRPr="003849F9" w:rsidRDefault="00F941EF" w:rsidP="00213348">
      <w:pPr>
        <w:pStyle w:val="FootnoteText"/>
        <w:spacing w:after="0"/>
        <w:rPr>
          <w:sz w:val="20"/>
          <w:szCs w:val="20"/>
        </w:rPr>
      </w:pPr>
      <w:r w:rsidRPr="003849F9">
        <w:rPr>
          <w:rStyle w:val="FootnoteReference"/>
          <w:sz w:val="20"/>
          <w:szCs w:val="20"/>
        </w:rPr>
        <w:footnoteRef/>
      </w:r>
      <w:r w:rsidRPr="003849F9">
        <w:rPr>
          <w:sz w:val="20"/>
          <w:szCs w:val="20"/>
        </w:rPr>
        <w:t xml:space="preserve"> SDG&amp;E AL </w:t>
      </w:r>
      <w:r w:rsidRPr="001E446A">
        <w:rPr>
          <w:sz w:val="20"/>
          <w:szCs w:val="20"/>
        </w:rPr>
        <w:t>449</w:t>
      </w:r>
      <w:r w:rsidR="002B2FEB">
        <w:rPr>
          <w:sz w:val="20"/>
          <w:szCs w:val="20"/>
        </w:rPr>
        <w:t>2</w:t>
      </w:r>
      <w:r w:rsidRPr="003849F9">
        <w:rPr>
          <w:sz w:val="20"/>
          <w:szCs w:val="20"/>
        </w:rPr>
        <w:t>-E at 23</w:t>
      </w:r>
      <w:r w:rsidR="00D040BE" w:rsidRPr="003849F9">
        <w:rPr>
          <w:sz w:val="20"/>
          <w:szCs w:val="20"/>
        </w:rPr>
        <w:t>.</w:t>
      </w:r>
    </w:p>
  </w:footnote>
  <w:footnote w:id="115">
    <w:p w14:paraId="73CEE3B0" w14:textId="3146E605" w:rsidR="00C708F9" w:rsidRPr="003849F9" w:rsidRDefault="00C708F9"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0D7FFB" w:rsidRPr="003849F9">
        <w:rPr>
          <w:sz w:val="20"/>
          <w:szCs w:val="20"/>
        </w:rPr>
        <w:t xml:space="preserve">PG&amp;E </w:t>
      </w:r>
      <w:r w:rsidR="00714256">
        <w:rPr>
          <w:sz w:val="20"/>
          <w:szCs w:val="20"/>
        </w:rPr>
        <w:t>AL</w:t>
      </w:r>
      <w:r w:rsidR="000D7FFB" w:rsidRPr="003849F9">
        <w:rPr>
          <w:sz w:val="20"/>
          <w:szCs w:val="20"/>
        </w:rPr>
        <w:t xml:space="preserve"> 7351-E</w:t>
      </w:r>
      <w:r w:rsidR="004F229E">
        <w:rPr>
          <w:sz w:val="20"/>
          <w:szCs w:val="20"/>
        </w:rPr>
        <w:t>,</w:t>
      </w:r>
      <w:r w:rsidR="000D7FFB" w:rsidRPr="003849F9">
        <w:rPr>
          <w:sz w:val="20"/>
          <w:szCs w:val="20"/>
        </w:rPr>
        <w:t xml:space="preserve"> Attachment C</w:t>
      </w:r>
      <w:r w:rsidR="004F229E">
        <w:rPr>
          <w:sz w:val="20"/>
          <w:szCs w:val="20"/>
        </w:rPr>
        <w:t>,</w:t>
      </w:r>
      <w:r w:rsidR="003B0662" w:rsidRPr="003849F9">
        <w:rPr>
          <w:sz w:val="20"/>
          <w:szCs w:val="20"/>
        </w:rPr>
        <w:t xml:space="preserve"> </w:t>
      </w:r>
      <w:r w:rsidR="00CD0655" w:rsidRPr="003849F9">
        <w:rPr>
          <w:sz w:val="20"/>
          <w:szCs w:val="20"/>
        </w:rPr>
        <w:t>at 91.</w:t>
      </w:r>
    </w:p>
  </w:footnote>
  <w:footnote w:id="116">
    <w:p w14:paraId="1706C036" w14:textId="3C7F187F" w:rsidR="00BB60F1" w:rsidRPr="003849F9" w:rsidRDefault="00BB60F1"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7F75D0" w:rsidRPr="003849F9">
        <w:rPr>
          <w:sz w:val="20"/>
          <w:szCs w:val="20"/>
        </w:rPr>
        <w:t xml:space="preserve">SCE AL </w:t>
      </w:r>
      <w:r w:rsidR="00D3179F" w:rsidRPr="003849F9">
        <w:rPr>
          <w:sz w:val="20"/>
          <w:szCs w:val="20"/>
        </w:rPr>
        <w:t>5358-E</w:t>
      </w:r>
      <w:r w:rsidR="004F229E">
        <w:rPr>
          <w:sz w:val="20"/>
          <w:szCs w:val="20"/>
        </w:rPr>
        <w:t>,</w:t>
      </w:r>
      <w:r w:rsidR="00FB2AD4" w:rsidRPr="003849F9">
        <w:rPr>
          <w:sz w:val="20"/>
          <w:szCs w:val="20"/>
        </w:rPr>
        <w:t xml:space="preserve"> Appendix A</w:t>
      </w:r>
      <w:r w:rsidR="00714256">
        <w:rPr>
          <w:sz w:val="20"/>
          <w:szCs w:val="20"/>
        </w:rPr>
        <w:t>,</w:t>
      </w:r>
      <w:r w:rsidR="00FB2AD4" w:rsidRPr="003849F9">
        <w:rPr>
          <w:sz w:val="20"/>
          <w:szCs w:val="20"/>
        </w:rPr>
        <w:t xml:space="preserve"> at 7</w:t>
      </w:r>
      <w:r w:rsidR="004F229E">
        <w:rPr>
          <w:sz w:val="20"/>
          <w:szCs w:val="20"/>
        </w:rPr>
        <w:t>,</w:t>
      </w:r>
      <w:r w:rsidR="00D3179F" w:rsidRPr="003849F9">
        <w:rPr>
          <w:sz w:val="20"/>
          <w:szCs w:val="20"/>
        </w:rPr>
        <w:t xml:space="preserve"> and </w:t>
      </w:r>
      <w:r w:rsidR="004F229E">
        <w:rPr>
          <w:sz w:val="20"/>
          <w:szCs w:val="20"/>
        </w:rPr>
        <w:t xml:space="preserve">SCE </w:t>
      </w:r>
      <w:r w:rsidR="00D3179F" w:rsidRPr="003849F9">
        <w:rPr>
          <w:sz w:val="20"/>
          <w:szCs w:val="20"/>
        </w:rPr>
        <w:t>AL 5358-E-A</w:t>
      </w:r>
      <w:r w:rsidR="004F229E">
        <w:rPr>
          <w:sz w:val="20"/>
          <w:szCs w:val="20"/>
        </w:rPr>
        <w:t>,</w:t>
      </w:r>
      <w:r w:rsidR="00DB6088" w:rsidRPr="003849F9">
        <w:rPr>
          <w:sz w:val="20"/>
          <w:szCs w:val="20"/>
        </w:rPr>
        <w:t xml:space="preserve"> at </w:t>
      </w:r>
      <w:r w:rsidR="000B3C5D" w:rsidRPr="003849F9">
        <w:rPr>
          <w:sz w:val="20"/>
          <w:szCs w:val="20"/>
        </w:rPr>
        <w:t>2.</w:t>
      </w:r>
    </w:p>
  </w:footnote>
  <w:footnote w:id="117">
    <w:p w14:paraId="623500B3" w14:textId="5D0D4493" w:rsidR="00DF2A01" w:rsidRPr="003849F9" w:rsidRDefault="00DF2A01" w:rsidP="00213348">
      <w:pPr>
        <w:pStyle w:val="FootnoteText"/>
        <w:spacing w:after="0"/>
        <w:rPr>
          <w:sz w:val="20"/>
          <w:szCs w:val="20"/>
        </w:rPr>
      </w:pPr>
      <w:r w:rsidRPr="003849F9">
        <w:rPr>
          <w:rStyle w:val="FootnoteReference"/>
          <w:sz w:val="20"/>
          <w:szCs w:val="20"/>
        </w:rPr>
        <w:footnoteRef/>
      </w:r>
      <w:r w:rsidRPr="003849F9">
        <w:rPr>
          <w:sz w:val="20"/>
          <w:szCs w:val="20"/>
        </w:rPr>
        <w:t xml:space="preserve"> Cal Advocates </w:t>
      </w:r>
      <w:r w:rsidR="00262E0E">
        <w:rPr>
          <w:sz w:val="20"/>
          <w:szCs w:val="20"/>
        </w:rPr>
        <w:t>Protest,</w:t>
      </w:r>
      <w:r w:rsidRPr="001E446A">
        <w:rPr>
          <w:sz w:val="20"/>
          <w:szCs w:val="20"/>
        </w:rPr>
        <w:t xml:space="preserve"> </w:t>
      </w:r>
      <w:r w:rsidRPr="003849F9">
        <w:rPr>
          <w:sz w:val="20"/>
          <w:szCs w:val="20"/>
        </w:rPr>
        <w:t>at 5.</w:t>
      </w:r>
    </w:p>
  </w:footnote>
  <w:footnote w:id="118">
    <w:p w14:paraId="09E328FE" w14:textId="6B764671" w:rsidR="0039175A" w:rsidRPr="003849F9" w:rsidRDefault="0039175A" w:rsidP="00213348">
      <w:pPr>
        <w:pStyle w:val="FootnoteText"/>
        <w:spacing w:after="0"/>
        <w:rPr>
          <w:sz w:val="20"/>
          <w:szCs w:val="20"/>
        </w:rPr>
      </w:pPr>
      <w:r w:rsidRPr="003849F9">
        <w:rPr>
          <w:rStyle w:val="FootnoteReference"/>
          <w:sz w:val="20"/>
          <w:szCs w:val="20"/>
        </w:rPr>
        <w:footnoteRef/>
      </w:r>
      <w:r w:rsidR="001F1C53" w:rsidRPr="001E446A">
        <w:rPr>
          <w:sz w:val="20"/>
          <w:szCs w:val="20"/>
        </w:rPr>
        <w:t xml:space="preserve"> SDG&amp;E </w:t>
      </w:r>
      <w:r w:rsidR="00262E0E">
        <w:rPr>
          <w:sz w:val="20"/>
          <w:szCs w:val="20"/>
        </w:rPr>
        <w:t>Protest Reply,</w:t>
      </w:r>
      <w:r w:rsidR="001F1C53" w:rsidRPr="001E446A">
        <w:rPr>
          <w:sz w:val="20"/>
          <w:szCs w:val="20"/>
        </w:rPr>
        <w:t xml:space="preserve"> at 4.</w:t>
      </w:r>
    </w:p>
  </w:footnote>
  <w:footnote w:id="119">
    <w:p w14:paraId="331F2D52" w14:textId="6469D899" w:rsidR="00CB51F4" w:rsidRPr="00DD1BD2" w:rsidRDefault="00CB51F4" w:rsidP="00213348">
      <w:pPr>
        <w:pStyle w:val="FootnoteText"/>
        <w:tabs>
          <w:tab w:val="clear" w:pos="360"/>
        </w:tabs>
        <w:spacing w:after="0"/>
        <w:ind w:left="0" w:firstLine="0"/>
        <w:rPr>
          <w:sz w:val="20"/>
          <w:szCs w:val="20"/>
        </w:rPr>
      </w:pPr>
      <w:r w:rsidRPr="00DD1BD2">
        <w:rPr>
          <w:rStyle w:val="FootnoteReference"/>
          <w:sz w:val="20"/>
          <w:szCs w:val="20"/>
        </w:rPr>
        <w:footnoteRef/>
      </w:r>
      <w:r w:rsidRPr="00DD1BD2">
        <w:rPr>
          <w:sz w:val="20"/>
          <w:szCs w:val="20"/>
        </w:rPr>
        <w:t xml:space="preserve"> </w:t>
      </w:r>
      <w:r>
        <w:rPr>
          <w:sz w:val="20"/>
          <w:szCs w:val="20"/>
        </w:rPr>
        <w:t xml:space="preserve">SDG&amp;E </w:t>
      </w:r>
      <w:r w:rsidRPr="00ED01D9">
        <w:rPr>
          <w:sz w:val="20"/>
          <w:szCs w:val="20"/>
        </w:rPr>
        <w:t>AL 4492-E</w:t>
      </w:r>
      <w:r w:rsidR="00262E0E">
        <w:rPr>
          <w:sz w:val="20"/>
          <w:szCs w:val="20"/>
        </w:rPr>
        <w:t>,</w:t>
      </w:r>
      <w:r w:rsidRPr="00ED01D9">
        <w:rPr>
          <w:sz w:val="20"/>
          <w:szCs w:val="20"/>
        </w:rPr>
        <w:t xml:space="preserve"> at 23</w:t>
      </w:r>
      <w:r w:rsidR="00262E0E">
        <w:rPr>
          <w:sz w:val="20"/>
          <w:szCs w:val="20"/>
        </w:rPr>
        <w:t>.</w:t>
      </w:r>
    </w:p>
  </w:footnote>
  <w:footnote w:id="120">
    <w:p w14:paraId="165B3FB4" w14:textId="536C3A73" w:rsidR="00DF4C48" w:rsidRPr="003849F9" w:rsidRDefault="00DF4C48" w:rsidP="00213348">
      <w:pPr>
        <w:pStyle w:val="FootnoteText"/>
        <w:spacing w:after="0"/>
        <w:rPr>
          <w:sz w:val="20"/>
          <w:szCs w:val="20"/>
        </w:rPr>
      </w:pPr>
      <w:r w:rsidRPr="003849F9">
        <w:rPr>
          <w:rStyle w:val="FootnoteReference"/>
          <w:sz w:val="20"/>
          <w:szCs w:val="20"/>
        </w:rPr>
        <w:footnoteRef/>
      </w:r>
      <w:r w:rsidRPr="003849F9">
        <w:rPr>
          <w:sz w:val="20"/>
          <w:szCs w:val="20"/>
        </w:rPr>
        <w:t xml:space="preserve"> </w:t>
      </w:r>
      <w:r w:rsidR="00EF0CC5" w:rsidRPr="003849F9">
        <w:rPr>
          <w:sz w:val="20"/>
          <w:szCs w:val="20"/>
        </w:rPr>
        <w:t>Cal</w:t>
      </w:r>
      <w:r w:rsidR="00331B0B">
        <w:rPr>
          <w:sz w:val="20"/>
          <w:szCs w:val="20"/>
        </w:rPr>
        <w:t xml:space="preserve"> </w:t>
      </w:r>
      <w:r w:rsidR="00EF0CC5" w:rsidRPr="003849F9">
        <w:rPr>
          <w:sz w:val="20"/>
          <w:szCs w:val="20"/>
        </w:rPr>
        <w:t>Advocates Protest</w:t>
      </w:r>
      <w:r w:rsidR="00331B0B">
        <w:rPr>
          <w:sz w:val="20"/>
          <w:szCs w:val="20"/>
        </w:rPr>
        <w:t>,</w:t>
      </w:r>
      <w:r w:rsidR="00EF0CC5" w:rsidRPr="003849F9">
        <w:rPr>
          <w:sz w:val="20"/>
          <w:szCs w:val="20"/>
        </w:rPr>
        <w:t xml:space="preserve"> at 6.</w:t>
      </w:r>
    </w:p>
  </w:footnote>
  <w:footnote w:id="121">
    <w:p w14:paraId="69463631" w14:textId="51AAD4FB" w:rsidR="00943711" w:rsidRPr="003849F9" w:rsidRDefault="00943711" w:rsidP="00213348">
      <w:pPr>
        <w:pStyle w:val="FootnoteText"/>
        <w:tabs>
          <w:tab w:val="clear" w:pos="360"/>
        </w:tabs>
        <w:spacing w:after="0"/>
        <w:ind w:left="0" w:firstLine="0"/>
        <w:rPr>
          <w:sz w:val="20"/>
          <w:szCs w:val="20"/>
        </w:rPr>
      </w:pPr>
      <w:r w:rsidRPr="003849F9">
        <w:rPr>
          <w:rStyle w:val="FootnoteReference"/>
          <w:sz w:val="20"/>
          <w:szCs w:val="20"/>
        </w:rPr>
        <w:footnoteRef/>
      </w:r>
      <w:r w:rsidRPr="003849F9">
        <w:rPr>
          <w:sz w:val="20"/>
          <w:szCs w:val="20"/>
        </w:rPr>
        <w:t xml:space="preserve"> In referencing $227,550, Cal Advocates combines a budget of $148,350 for “DRH Self-Attestation Processing: Forecast is based on development of DRH customer characteristic/indicator in EI, and web interface for self</w:t>
      </w:r>
      <w:r w:rsidR="00173275">
        <w:rPr>
          <w:sz w:val="20"/>
          <w:szCs w:val="20"/>
        </w:rPr>
        <w:t>-</w:t>
      </w:r>
      <w:r w:rsidRPr="003849F9">
        <w:rPr>
          <w:sz w:val="20"/>
          <w:szCs w:val="20"/>
        </w:rPr>
        <w:t>attest” along with $79,200 for “DRH Self‐Attestation Processing ‐ IT: New work associated with self‐attestation processing. Add DRH to CC&amp;B [Customer Care and Billing</w:t>
      </w:r>
      <w:r w:rsidRPr="001E446A">
        <w:rPr>
          <w:sz w:val="20"/>
          <w:szCs w:val="20"/>
        </w:rPr>
        <w:t>]</w:t>
      </w:r>
      <w:r w:rsidR="00173275">
        <w:rPr>
          <w:sz w:val="20"/>
          <w:szCs w:val="20"/>
        </w:rPr>
        <w:t>.</w:t>
      </w:r>
      <w:r w:rsidRPr="001E446A">
        <w:rPr>
          <w:sz w:val="20"/>
          <w:szCs w:val="20"/>
        </w:rPr>
        <w:t>”</w:t>
      </w:r>
    </w:p>
  </w:footnote>
  <w:footnote w:id="122">
    <w:p w14:paraId="428D4081" w14:textId="11DA1D06" w:rsidR="007C6604" w:rsidRPr="00DD1BD2" w:rsidRDefault="007C6604" w:rsidP="00213348">
      <w:pPr>
        <w:pStyle w:val="FootnoteText"/>
        <w:tabs>
          <w:tab w:val="clear" w:pos="360"/>
        </w:tabs>
        <w:spacing w:after="0"/>
        <w:rPr>
          <w:sz w:val="20"/>
          <w:szCs w:val="20"/>
        </w:rPr>
      </w:pPr>
      <w:r w:rsidRPr="00DD1BD2">
        <w:rPr>
          <w:rStyle w:val="FootnoteReference"/>
          <w:sz w:val="20"/>
          <w:szCs w:val="20"/>
        </w:rPr>
        <w:footnoteRef/>
      </w:r>
      <w:r w:rsidR="002460CC" w:rsidRPr="00DD1BD2">
        <w:rPr>
          <w:sz w:val="20"/>
          <w:szCs w:val="20"/>
        </w:rPr>
        <w:t xml:space="preserve"> SDG&amp;E</w:t>
      </w:r>
      <w:r w:rsidR="00CC5CC5" w:rsidRPr="003849F9">
        <w:rPr>
          <w:sz w:val="20"/>
          <w:szCs w:val="20"/>
        </w:rPr>
        <w:t xml:space="preserve"> </w:t>
      </w:r>
      <w:r w:rsidR="00173275">
        <w:rPr>
          <w:sz w:val="20"/>
          <w:szCs w:val="20"/>
        </w:rPr>
        <w:t>Protest Reply,</w:t>
      </w:r>
      <w:r w:rsidR="00CC5CC5" w:rsidRPr="001E446A">
        <w:rPr>
          <w:sz w:val="20"/>
          <w:szCs w:val="20"/>
        </w:rPr>
        <w:t xml:space="preserve"> </w:t>
      </w:r>
      <w:r w:rsidR="00CC5CC5" w:rsidRPr="003849F9">
        <w:rPr>
          <w:sz w:val="20"/>
          <w:szCs w:val="20"/>
        </w:rPr>
        <w:t>at 4.</w:t>
      </w:r>
    </w:p>
  </w:footnote>
  <w:footnote w:id="123">
    <w:p w14:paraId="6EE159ED" w14:textId="3C30EC0A" w:rsidR="00537873" w:rsidRPr="003849F9" w:rsidRDefault="00537873" w:rsidP="00213348">
      <w:pPr>
        <w:pStyle w:val="FootnoteText"/>
        <w:tabs>
          <w:tab w:val="clear" w:pos="360"/>
          <w:tab w:val="num" w:pos="0"/>
        </w:tabs>
        <w:spacing w:after="0"/>
        <w:ind w:left="0" w:firstLine="0"/>
        <w:rPr>
          <w:sz w:val="20"/>
          <w:szCs w:val="20"/>
        </w:rPr>
      </w:pPr>
      <w:r w:rsidRPr="003849F9">
        <w:rPr>
          <w:rStyle w:val="FootnoteReference"/>
          <w:sz w:val="20"/>
          <w:szCs w:val="20"/>
        </w:rPr>
        <w:footnoteRef/>
      </w:r>
      <w:r w:rsidRPr="003849F9">
        <w:rPr>
          <w:sz w:val="20"/>
          <w:szCs w:val="20"/>
        </w:rPr>
        <w:t xml:space="preserve"> </w:t>
      </w:r>
      <w:r w:rsidR="00754511" w:rsidRPr="003849F9">
        <w:rPr>
          <w:sz w:val="20"/>
          <w:szCs w:val="20"/>
        </w:rPr>
        <w:t xml:space="preserve">Workpapers: “DETAILED COST </w:t>
      </w:r>
      <w:proofErr w:type="gramStart"/>
      <w:r w:rsidR="00754511" w:rsidRPr="003849F9">
        <w:rPr>
          <w:sz w:val="20"/>
          <w:szCs w:val="20"/>
        </w:rPr>
        <w:t>SUMMARY  -</w:t>
      </w:r>
      <w:proofErr w:type="gramEnd"/>
      <w:r w:rsidR="00754511" w:rsidRPr="003849F9">
        <w:rPr>
          <w:sz w:val="20"/>
          <w:szCs w:val="20"/>
        </w:rPr>
        <w:t xml:space="preserve"> Billing Information Technology (IT)” Tab: “Billing IT Sys – DRAH</w:t>
      </w:r>
      <w:r w:rsidR="00FD237E">
        <w:rPr>
          <w:sz w:val="20"/>
          <w:szCs w:val="20"/>
        </w:rPr>
        <w:t>,</w:t>
      </w:r>
      <w:r w:rsidR="00754511" w:rsidRPr="003849F9">
        <w:rPr>
          <w:sz w:val="20"/>
          <w:szCs w:val="20"/>
        </w:rPr>
        <w:t xml:space="preserve">” </w:t>
      </w:r>
      <w:r w:rsidR="003849F9" w:rsidRPr="003849F9">
        <w:rPr>
          <w:sz w:val="20"/>
          <w:szCs w:val="20"/>
        </w:rPr>
        <w:t xml:space="preserve">at </w:t>
      </w:r>
      <w:r w:rsidR="00EE26D9" w:rsidRPr="003849F9">
        <w:rPr>
          <w:sz w:val="20"/>
          <w:szCs w:val="20"/>
        </w:rPr>
        <w:t>line 13.</w:t>
      </w:r>
    </w:p>
  </w:footnote>
  <w:footnote w:id="124">
    <w:p w14:paraId="11D13B72" w14:textId="7F32A6AC" w:rsidR="00F73E95" w:rsidRPr="001E446A" w:rsidRDefault="00F73E95" w:rsidP="00213348">
      <w:pPr>
        <w:pStyle w:val="FootnoteText"/>
        <w:spacing w:after="0"/>
        <w:rPr>
          <w:sz w:val="20"/>
          <w:szCs w:val="20"/>
        </w:rPr>
      </w:pPr>
      <w:r w:rsidRPr="001E446A">
        <w:rPr>
          <w:rStyle w:val="FootnoteReference"/>
          <w:sz w:val="20"/>
          <w:szCs w:val="20"/>
        </w:rPr>
        <w:footnoteRef/>
      </w:r>
      <w:r w:rsidRPr="001E446A">
        <w:rPr>
          <w:sz w:val="20"/>
          <w:szCs w:val="20"/>
        </w:rPr>
        <w:t xml:space="preserve"> </w:t>
      </w:r>
      <w:r w:rsidR="0090166D" w:rsidRPr="001E446A">
        <w:rPr>
          <w:sz w:val="20"/>
          <w:szCs w:val="20"/>
        </w:rPr>
        <w:t>D</w:t>
      </w:r>
      <w:r w:rsidR="0090166D">
        <w:rPr>
          <w:sz w:val="20"/>
          <w:szCs w:val="20"/>
        </w:rPr>
        <w:t>.24-05-028</w:t>
      </w:r>
      <w:r w:rsidR="003A5878">
        <w:rPr>
          <w:sz w:val="20"/>
          <w:szCs w:val="20"/>
        </w:rPr>
        <w:t>,</w:t>
      </w:r>
      <w:r w:rsidRPr="001E446A">
        <w:rPr>
          <w:sz w:val="20"/>
          <w:szCs w:val="20"/>
        </w:rPr>
        <w:t xml:space="preserve"> at 114</w:t>
      </w:r>
      <w:r w:rsidR="00742B7E" w:rsidRPr="001E446A">
        <w:rPr>
          <w:sz w:val="20"/>
          <w:szCs w:val="20"/>
        </w:rPr>
        <w:t>, Table 7.</w:t>
      </w:r>
    </w:p>
  </w:footnote>
  <w:footnote w:id="125">
    <w:p w14:paraId="7CE217CC" w14:textId="577FEF26" w:rsidR="001E4ADA" w:rsidRPr="001E446A" w:rsidRDefault="001E4ADA" w:rsidP="00213348">
      <w:pPr>
        <w:pStyle w:val="FootnoteText"/>
        <w:spacing w:after="0"/>
        <w:rPr>
          <w:sz w:val="20"/>
          <w:szCs w:val="20"/>
        </w:rPr>
      </w:pPr>
      <w:r w:rsidRPr="001E446A">
        <w:rPr>
          <w:rStyle w:val="FootnoteReference"/>
          <w:sz w:val="20"/>
          <w:szCs w:val="20"/>
        </w:rPr>
        <w:footnoteRef/>
      </w:r>
      <w:r w:rsidRPr="001E446A">
        <w:rPr>
          <w:sz w:val="20"/>
          <w:szCs w:val="20"/>
        </w:rPr>
        <w:t xml:space="preserve"> SCE AL 5358-E</w:t>
      </w:r>
      <w:r w:rsidR="006A73A5" w:rsidRPr="001E446A">
        <w:rPr>
          <w:sz w:val="20"/>
          <w:szCs w:val="20"/>
        </w:rPr>
        <w:t>-A</w:t>
      </w:r>
      <w:r w:rsidR="0090166D">
        <w:rPr>
          <w:sz w:val="20"/>
          <w:szCs w:val="20"/>
        </w:rPr>
        <w:t>,</w:t>
      </w:r>
      <w:r w:rsidRPr="001E446A">
        <w:rPr>
          <w:sz w:val="20"/>
          <w:szCs w:val="20"/>
        </w:rPr>
        <w:t xml:space="preserve"> at </w:t>
      </w:r>
      <w:r w:rsidR="00B75233" w:rsidRPr="001E446A">
        <w:rPr>
          <w:sz w:val="20"/>
          <w:szCs w:val="20"/>
        </w:rPr>
        <w:t>2, Table 3.</w:t>
      </w:r>
    </w:p>
  </w:footnote>
  <w:footnote w:id="126">
    <w:p w14:paraId="0B3BFC91" w14:textId="2D640489" w:rsidR="00DB2432" w:rsidRPr="001E446A" w:rsidRDefault="00DB2432" w:rsidP="00213348">
      <w:pPr>
        <w:pStyle w:val="FootnoteText"/>
        <w:spacing w:after="0"/>
        <w:rPr>
          <w:sz w:val="20"/>
          <w:szCs w:val="20"/>
        </w:rPr>
      </w:pPr>
      <w:r w:rsidRPr="001E446A">
        <w:rPr>
          <w:rStyle w:val="FootnoteReference"/>
          <w:sz w:val="20"/>
          <w:szCs w:val="20"/>
        </w:rPr>
        <w:footnoteRef/>
      </w:r>
      <w:r w:rsidR="00A8511C" w:rsidRPr="001E446A">
        <w:rPr>
          <w:sz w:val="20"/>
          <w:szCs w:val="20"/>
        </w:rPr>
        <w:t xml:space="preserve"> Cal Advocates </w:t>
      </w:r>
      <w:r w:rsidR="00262E0E">
        <w:rPr>
          <w:sz w:val="20"/>
          <w:szCs w:val="20"/>
        </w:rPr>
        <w:t>Protes</w:t>
      </w:r>
      <w:r w:rsidR="0090166D">
        <w:rPr>
          <w:sz w:val="20"/>
          <w:szCs w:val="20"/>
        </w:rPr>
        <w:t>t</w:t>
      </w:r>
      <w:r w:rsidR="00262E0E">
        <w:rPr>
          <w:sz w:val="20"/>
          <w:szCs w:val="20"/>
        </w:rPr>
        <w:t>,</w:t>
      </w:r>
      <w:r w:rsidR="00A8511C" w:rsidRPr="001E446A">
        <w:rPr>
          <w:sz w:val="20"/>
          <w:szCs w:val="20"/>
        </w:rPr>
        <w:t xml:space="preserve"> at </w:t>
      </w:r>
      <w:r w:rsidR="00E3526E" w:rsidRPr="001E446A">
        <w:rPr>
          <w:sz w:val="20"/>
          <w:szCs w:val="20"/>
        </w:rPr>
        <w:t>5.</w:t>
      </w:r>
    </w:p>
  </w:footnote>
  <w:footnote w:id="127">
    <w:p w14:paraId="16654BEE" w14:textId="6036B0A0" w:rsidR="009E657A" w:rsidRPr="001E446A" w:rsidRDefault="009E657A" w:rsidP="00213348">
      <w:pPr>
        <w:pStyle w:val="FootnoteText"/>
        <w:spacing w:after="0"/>
        <w:rPr>
          <w:sz w:val="20"/>
          <w:szCs w:val="20"/>
        </w:rPr>
      </w:pPr>
      <w:r w:rsidRPr="001E446A">
        <w:rPr>
          <w:rStyle w:val="FootnoteReference"/>
          <w:sz w:val="20"/>
          <w:szCs w:val="20"/>
        </w:rPr>
        <w:footnoteRef/>
      </w:r>
      <w:r w:rsidRPr="001E446A">
        <w:rPr>
          <w:sz w:val="20"/>
          <w:szCs w:val="20"/>
        </w:rPr>
        <w:t xml:space="preserve"> SDG</w:t>
      </w:r>
      <w:r w:rsidR="003A5878">
        <w:rPr>
          <w:sz w:val="20"/>
          <w:szCs w:val="20"/>
        </w:rPr>
        <w:t>&amp;</w:t>
      </w:r>
      <w:r w:rsidRPr="001E446A">
        <w:rPr>
          <w:sz w:val="20"/>
          <w:szCs w:val="20"/>
        </w:rPr>
        <w:t>E AL 4492-E</w:t>
      </w:r>
      <w:r w:rsidR="0090166D">
        <w:rPr>
          <w:sz w:val="20"/>
          <w:szCs w:val="20"/>
        </w:rPr>
        <w:t>,</w:t>
      </w:r>
      <w:r w:rsidRPr="001E446A">
        <w:rPr>
          <w:sz w:val="20"/>
          <w:szCs w:val="20"/>
        </w:rPr>
        <w:t xml:space="preserve"> at 23</w:t>
      </w:r>
      <w:r w:rsidR="003A5878">
        <w:rPr>
          <w:sz w:val="20"/>
          <w:szCs w:val="20"/>
        </w:rPr>
        <w:t>.</w:t>
      </w:r>
    </w:p>
  </w:footnote>
  <w:footnote w:id="128">
    <w:p w14:paraId="471E96A5" w14:textId="1940A640" w:rsidR="00ED7B68" w:rsidRPr="001E446A" w:rsidRDefault="00ED7B68"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SCE AL </w:t>
      </w:r>
      <w:r w:rsidR="00F83387" w:rsidRPr="001E446A">
        <w:rPr>
          <w:sz w:val="20"/>
          <w:szCs w:val="20"/>
        </w:rPr>
        <w:t>5358-E</w:t>
      </w:r>
      <w:r w:rsidR="00C467C4">
        <w:rPr>
          <w:sz w:val="20"/>
          <w:szCs w:val="20"/>
        </w:rPr>
        <w:t>,</w:t>
      </w:r>
      <w:r w:rsidR="00EC0254" w:rsidRPr="001E446A">
        <w:rPr>
          <w:sz w:val="20"/>
          <w:szCs w:val="20"/>
        </w:rPr>
        <w:t xml:space="preserve"> Appendix A, </w:t>
      </w:r>
      <w:r w:rsidR="00490BE3">
        <w:rPr>
          <w:sz w:val="20"/>
          <w:szCs w:val="20"/>
        </w:rPr>
        <w:t>at</w:t>
      </w:r>
      <w:r w:rsidR="00EC0254" w:rsidRPr="001E446A">
        <w:rPr>
          <w:sz w:val="20"/>
          <w:szCs w:val="20"/>
        </w:rPr>
        <w:t xml:space="preserve"> </w:t>
      </w:r>
      <w:r w:rsidR="0043025B" w:rsidRPr="001E446A">
        <w:rPr>
          <w:sz w:val="20"/>
          <w:szCs w:val="20"/>
        </w:rPr>
        <w:t>6.</w:t>
      </w:r>
    </w:p>
  </w:footnote>
  <w:footnote w:id="129">
    <w:p w14:paraId="7B85FFB8" w14:textId="288F3713" w:rsidR="007158DB" w:rsidRPr="001E446A" w:rsidRDefault="007158DB"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w:t>
      </w:r>
      <w:r w:rsidR="00307DC4" w:rsidRPr="001E446A">
        <w:rPr>
          <w:sz w:val="20"/>
          <w:szCs w:val="20"/>
        </w:rPr>
        <w:t xml:space="preserve">PG&amp;E </w:t>
      </w:r>
      <w:r w:rsidR="00DB734E" w:rsidRPr="001E446A">
        <w:rPr>
          <w:sz w:val="20"/>
          <w:szCs w:val="20"/>
        </w:rPr>
        <w:t xml:space="preserve">AL </w:t>
      </w:r>
      <w:r w:rsidR="000D15CC" w:rsidRPr="001E446A">
        <w:rPr>
          <w:sz w:val="20"/>
          <w:szCs w:val="20"/>
        </w:rPr>
        <w:t>7351-E</w:t>
      </w:r>
      <w:r w:rsidR="00C467C4">
        <w:rPr>
          <w:sz w:val="20"/>
          <w:szCs w:val="20"/>
        </w:rPr>
        <w:t>,</w:t>
      </w:r>
      <w:r w:rsidR="000D15CC" w:rsidRPr="001E446A">
        <w:rPr>
          <w:sz w:val="20"/>
          <w:szCs w:val="20"/>
        </w:rPr>
        <w:t xml:space="preserve"> at 18.</w:t>
      </w:r>
    </w:p>
  </w:footnote>
  <w:footnote w:id="130">
    <w:p w14:paraId="5EB0367E" w14:textId="1A757ED3" w:rsidR="00726088" w:rsidRPr="001E446A" w:rsidRDefault="00726088"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w:t>
      </w:r>
      <w:r w:rsidR="00DB734E" w:rsidRPr="001E446A">
        <w:rPr>
          <w:sz w:val="20"/>
          <w:szCs w:val="20"/>
        </w:rPr>
        <w:t xml:space="preserve">SCE AL </w:t>
      </w:r>
      <w:r w:rsidR="00181280" w:rsidRPr="001E446A">
        <w:rPr>
          <w:sz w:val="20"/>
          <w:szCs w:val="20"/>
        </w:rPr>
        <w:t>5358-E-A</w:t>
      </w:r>
      <w:r w:rsidR="009462F2">
        <w:rPr>
          <w:sz w:val="20"/>
          <w:szCs w:val="20"/>
        </w:rPr>
        <w:t>,</w:t>
      </w:r>
      <w:r w:rsidR="00181280" w:rsidRPr="001E446A">
        <w:rPr>
          <w:sz w:val="20"/>
          <w:szCs w:val="20"/>
        </w:rPr>
        <w:t xml:space="preserve"> at 2-3.</w:t>
      </w:r>
    </w:p>
  </w:footnote>
  <w:footnote w:id="131">
    <w:p w14:paraId="29277B55" w14:textId="546BD459" w:rsidR="003C0D76" w:rsidRPr="001E446A" w:rsidRDefault="003C0D76"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PG&amp;E Fixed Charge Proposed Budget</w:t>
      </w:r>
      <w:r w:rsidR="00E85C5D" w:rsidRPr="001E446A">
        <w:rPr>
          <w:sz w:val="20"/>
          <w:szCs w:val="20"/>
        </w:rPr>
        <w:t xml:space="preserve">. Projected </w:t>
      </w:r>
      <w:r w:rsidR="00AB7FB2">
        <w:rPr>
          <w:sz w:val="20"/>
          <w:szCs w:val="20"/>
        </w:rPr>
        <w:t xml:space="preserve">verification </w:t>
      </w:r>
      <w:r w:rsidR="00E85C5D" w:rsidRPr="001E446A">
        <w:rPr>
          <w:sz w:val="20"/>
          <w:szCs w:val="20"/>
        </w:rPr>
        <w:t xml:space="preserve">calls </w:t>
      </w:r>
      <w:r w:rsidR="007A0DDC">
        <w:rPr>
          <w:sz w:val="20"/>
          <w:szCs w:val="20"/>
        </w:rPr>
        <w:t>will decrease</w:t>
      </w:r>
      <w:r w:rsidR="00E85C5D" w:rsidRPr="001E446A">
        <w:rPr>
          <w:sz w:val="20"/>
          <w:szCs w:val="20"/>
        </w:rPr>
        <w:t xml:space="preserve"> from 7,</w:t>
      </w:r>
      <w:r w:rsidR="00F65546" w:rsidRPr="001E446A">
        <w:rPr>
          <w:sz w:val="20"/>
          <w:szCs w:val="20"/>
        </w:rPr>
        <w:t xml:space="preserve">692 to </w:t>
      </w:r>
      <w:r w:rsidR="00496ED3">
        <w:rPr>
          <w:sz w:val="20"/>
          <w:szCs w:val="20"/>
        </w:rPr>
        <w:br/>
      </w:r>
      <w:r w:rsidR="00F65546" w:rsidRPr="001E446A">
        <w:rPr>
          <w:sz w:val="20"/>
          <w:szCs w:val="20"/>
        </w:rPr>
        <w:t>3,297 year over year.</w:t>
      </w:r>
      <w:r w:rsidRPr="001E446A">
        <w:rPr>
          <w:sz w:val="20"/>
          <w:szCs w:val="20"/>
        </w:rPr>
        <w:t xml:space="preserve"> </w:t>
      </w:r>
    </w:p>
  </w:footnote>
  <w:footnote w:id="132">
    <w:p w14:paraId="357BE1EB" w14:textId="5E41D1EA" w:rsidR="00ED3CCD" w:rsidRPr="001E446A" w:rsidRDefault="00B23A67"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w:t>
      </w:r>
      <w:r w:rsidR="003314D4">
        <w:rPr>
          <w:sz w:val="20"/>
          <w:szCs w:val="20"/>
        </w:rPr>
        <w:t>Energy Division</w:t>
      </w:r>
      <w:r w:rsidRPr="001E446A">
        <w:rPr>
          <w:sz w:val="20"/>
          <w:szCs w:val="20"/>
        </w:rPr>
        <w:t xml:space="preserve"> Staff </w:t>
      </w:r>
      <w:r>
        <w:rPr>
          <w:sz w:val="20"/>
          <w:szCs w:val="20"/>
        </w:rPr>
        <w:t>relied</w:t>
      </w:r>
      <w:r w:rsidR="007F6446">
        <w:rPr>
          <w:sz w:val="20"/>
          <w:szCs w:val="20"/>
        </w:rPr>
        <w:t xml:space="preserve"> on</w:t>
      </w:r>
      <w:r>
        <w:rPr>
          <w:sz w:val="20"/>
          <w:szCs w:val="20"/>
        </w:rPr>
        <w:t xml:space="preserve"> </w:t>
      </w:r>
      <w:r w:rsidRPr="001E446A">
        <w:rPr>
          <w:sz w:val="20"/>
          <w:szCs w:val="20"/>
        </w:rPr>
        <w:t xml:space="preserve">the </w:t>
      </w:r>
      <w:r>
        <w:rPr>
          <w:sz w:val="20"/>
          <w:szCs w:val="20"/>
        </w:rPr>
        <w:t xml:space="preserve">more </w:t>
      </w:r>
      <w:r w:rsidRPr="001E446A">
        <w:rPr>
          <w:sz w:val="20"/>
          <w:szCs w:val="20"/>
        </w:rPr>
        <w:t>detailed values in SDG&amp;E’s workpapers</w:t>
      </w:r>
      <w:r>
        <w:rPr>
          <w:sz w:val="20"/>
          <w:szCs w:val="20"/>
        </w:rPr>
        <w:t xml:space="preserve"> in its budget adjustments</w:t>
      </w:r>
      <w:r w:rsidRPr="001E446A">
        <w:rPr>
          <w:sz w:val="20"/>
          <w:szCs w:val="20"/>
        </w:rPr>
        <w:t xml:space="preserve">. </w:t>
      </w:r>
      <w:r w:rsidR="009B10AA" w:rsidRPr="001E446A">
        <w:rPr>
          <w:sz w:val="20"/>
          <w:szCs w:val="20"/>
        </w:rPr>
        <w:t xml:space="preserve"> </w:t>
      </w:r>
      <w:r>
        <w:rPr>
          <w:sz w:val="20"/>
          <w:szCs w:val="20"/>
        </w:rPr>
        <w:t>It should be noted that</w:t>
      </w:r>
      <w:r w:rsidRPr="001E446A">
        <w:rPr>
          <w:sz w:val="20"/>
          <w:szCs w:val="20"/>
        </w:rPr>
        <w:t xml:space="preserve"> </w:t>
      </w:r>
      <w:r>
        <w:rPr>
          <w:sz w:val="20"/>
          <w:szCs w:val="20"/>
        </w:rPr>
        <w:t>the</w:t>
      </w:r>
      <w:r w:rsidRPr="001E446A">
        <w:rPr>
          <w:sz w:val="20"/>
          <w:szCs w:val="20"/>
        </w:rPr>
        <w:t xml:space="preserve"> </w:t>
      </w:r>
      <w:r>
        <w:rPr>
          <w:sz w:val="20"/>
          <w:szCs w:val="20"/>
        </w:rPr>
        <w:t>numbers</w:t>
      </w:r>
      <w:r w:rsidRPr="001E446A">
        <w:rPr>
          <w:sz w:val="20"/>
          <w:szCs w:val="20"/>
        </w:rPr>
        <w:t xml:space="preserve"> in SDG&amp;E’s </w:t>
      </w:r>
      <w:r>
        <w:rPr>
          <w:sz w:val="20"/>
          <w:szCs w:val="20"/>
        </w:rPr>
        <w:t>AL</w:t>
      </w:r>
      <w:r w:rsidRPr="001E446A">
        <w:rPr>
          <w:sz w:val="20"/>
          <w:szCs w:val="20"/>
        </w:rPr>
        <w:t xml:space="preserve"> </w:t>
      </w:r>
      <w:r>
        <w:rPr>
          <w:sz w:val="20"/>
          <w:szCs w:val="20"/>
        </w:rPr>
        <w:t>to not match the workpapers, A footnote in the workpapers claims: “</w:t>
      </w:r>
      <w:r w:rsidRPr="00376134">
        <w:rPr>
          <w:sz w:val="20"/>
          <w:szCs w:val="20"/>
        </w:rPr>
        <w:t>Due to rounding in AL, difference is $370</w:t>
      </w:r>
      <w:r>
        <w:rPr>
          <w:sz w:val="20"/>
          <w:szCs w:val="20"/>
        </w:rPr>
        <w:t xml:space="preserve">”.  </w:t>
      </w:r>
      <w:r w:rsidR="004852FF">
        <w:rPr>
          <w:sz w:val="20"/>
          <w:szCs w:val="20"/>
        </w:rPr>
        <w:t>It should be noted that</w:t>
      </w:r>
      <w:r w:rsidR="009B10AA" w:rsidRPr="001E446A">
        <w:rPr>
          <w:sz w:val="20"/>
          <w:szCs w:val="20"/>
        </w:rPr>
        <w:t xml:space="preserve"> </w:t>
      </w:r>
      <w:r w:rsidR="004852FF">
        <w:rPr>
          <w:sz w:val="20"/>
          <w:szCs w:val="20"/>
        </w:rPr>
        <w:t>the</w:t>
      </w:r>
      <w:r w:rsidR="009B10AA" w:rsidRPr="001E446A">
        <w:rPr>
          <w:sz w:val="20"/>
          <w:szCs w:val="20"/>
        </w:rPr>
        <w:t xml:space="preserve"> </w:t>
      </w:r>
      <w:r w:rsidR="000F0263">
        <w:rPr>
          <w:sz w:val="20"/>
          <w:szCs w:val="20"/>
        </w:rPr>
        <w:t>numbers</w:t>
      </w:r>
      <w:r w:rsidR="000F0263" w:rsidRPr="001E446A">
        <w:rPr>
          <w:sz w:val="20"/>
          <w:szCs w:val="20"/>
        </w:rPr>
        <w:t xml:space="preserve"> </w:t>
      </w:r>
      <w:r w:rsidR="009B10AA" w:rsidRPr="001E446A">
        <w:rPr>
          <w:sz w:val="20"/>
          <w:szCs w:val="20"/>
        </w:rPr>
        <w:t xml:space="preserve">in SDG&amp;E’s </w:t>
      </w:r>
      <w:r w:rsidR="003F01D4">
        <w:rPr>
          <w:sz w:val="20"/>
          <w:szCs w:val="20"/>
        </w:rPr>
        <w:t>AL</w:t>
      </w:r>
      <w:r w:rsidR="009B10AA" w:rsidRPr="001E446A">
        <w:rPr>
          <w:sz w:val="20"/>
          <w:szCs w:val="20"/>
        </w:rPr>
        <w:t xml:space="preserve"> </w:t>
      </w:r>
      <w:r w:rsidR="001918BA">
        <w:rPr>
          <w:sz w:val="20"/>
          <w:szCs w:val="20"/>
        </w:rPr>
        <w:t>d</w:t>
      </w:r>
      <w:r w:rsidR="004852FF">
        <w:rPr>
          <w:sz w:val="20"/>
          <w:szCs w:val="20"/>
        </w:rPr>
        <w:t>o not match the workpapers</w:t>
      </w:r>
      <w:r w:rsidR="001918BA">
        <w:rPr>
          <w:sz w:val="20"/>
          <w:szCs w:val="20"/>
        </w:rPr>
        <w:t>.</w:t>
      </w:r>
      <w:r w:rsidR="004852FF">
        <w:rPr>
          <w:sz w:val="20"/>
          <w:szCs w:val="20"/>
        </w:rPr>
        <w:t xml:space="preserve"> </w:t>
      </w:r>
      <w:r w:rsidR="00AA30E0">
        <w:rPr>
          <w:sz w:val="20"/>
          <w:szCs w:val="20"/>
        </w:rPr>
        <w:t xml:space="preserve">A footnote in the workpapers </w:t>
      </w:r>
      <w:r w:rsidR="00376134">
        <w:rPr>
          <w:sz w:val="20"/>
          <w:szCs w:val="20"/>
        </w:rPr>
        <w:t>claims: “</w:t>
      </w:r>
      <w:r w:rsidR="00376134" w:rsidRPr="00376134">
        <w:rPr>
          <w:sz w:val="20"/>
          <w:szCs w:val="20"/>
        </w:rPr>
        <w:t>Due to rounding in AL, difference is $370</w:t>
      </w:r>
      <w:r w:rsidR="00376134">
        <w:rPr>
          <w:sz w:val="20"/>
          <w:szCs w:val="20"/>
        </w:rPr>
        <w:t>”</w:t>
      </w:r>
      <w:r w:rsidR="004852FF">
        <w:rPr>
          <w:sz w:val="20"/>
          <w:szCs w:val="20"/>
        </w:rPr>
        <w:t>.</w:t>
      </w:r>
      <w:r w:rsidR="007D72A4">
        <w:rPr>
          <w:sz w:val="20"/>
          <w:szCs w:val="20"/>
        </w:rPr>
        <w:t xml:space="preserve">  </w:t>
      </w:r>
      <w:r w:rsidR="00AF43EC">
        <w:rPr>
          <w:sz w:val="20"/>
          <w:szCs w:val="20"/>
        </w:rPr>
        <w:t>T</w:t>
      </w:r>
      <w:r w:rsidR="007D72A4">
        <w:rPr>
          <w:sz w:val="20"/>
          <w:szCs w:val="20"/>
        </w:rPr>
        <w:t xml:space="preserve">he </w:t>
      </w:r>
      <w:r w:rsidR="00671F43">
        <w:rPr>
          <w:sz w:val="20"/>
          <w:szCs w:val="20"/>
        </w:rPr>
        <w:t xml:space="preserve">values in this resolution </w:t>
      </w:r>
      <w:r w:rsidR="004222FB">
        <w:rPr>
          <w:sz w:val="20"/>
          <w:szCs w:val="20"/>
        </w:rPr>
        <w:t xml:space="preserve">carry </w:t>
      </w:r>
      <w:r w:rsidR="00B81A95">
        <w:rPr>
          <w:sz w:val="20"/>
          <w:szCs w:val="20"/>
        </w:rPr>
        <w:t xml:space="preserve">forward </w:t>
      </w:r>
      <w:r w:rsidR="00FB0C79">
        <w:rPr>
          <w:sz w:val="20"/>
          <w:szCs w:val="20"/>
        </w:rPr>
        <w:t>SDG&amp;E’s minor inconsistencies</w:t>
      </w:r>
      <w:r w:rsidR="006F57DC">
        <w:rPr>
          <w:sz w:val="20"/>
          <w:szCs w:val="20"/>
        </w:rPr>
        <w:t>.</w:t>
      </w:r>
    </w:p>
  </w:footnote>
  <w:footnote w:id="133">
    <w:p w14:paraId="11F54BEE" w14:textId="05F1E493" w:rsidR="002E784B" w:rsidRPr="001E446A" w:rsidRDefault="002E784B"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w:t>
      </w:r>
      <w:r w:rsidR="00C467C4">
        <w:rPr>
          <w:sz w:val="20"/>
          <w:szCs w:val="20"/>
        </w:rPr>
        <w:t>D.24-05-028,</w:t>
      </w:r>
      <w:r w:rsidRPr="001E446A">
        <w:rPr>
          <w:sz w:val="20"/>
          <w:szCs w:val="20"/>
        </w:rPr>
        <w:t xml:space="preserve"> at 107.</w:t>
      </w:r>
    </w:p>
  </w:footnote>
  <w:footnote w:id="134">
    <w:p w14:paraId="78AB6F7D" w14:textId="1C036225" w:rsidR="00C86885" w:rsidRPr="00C86885" w:rsidRDefault="00C86885" w:rsidP="00213348">
      <w:pPr>
        <w:pStyle w:val="FootnoteText"/>
        <w:tabs>
          <w:tab w:val="clear" w:pos="360"/>
        </w:tabs>
        <w:spacing w:after="0"/>
        <w:ind w:left="0" w:firstLine="0"/>
        <w:rPr>
          <w:sz w:val="20"/>
          <w:szCs w:val="20"/>
        </w:rPr>
      </w:pPr>
      <w:r w:rsidRPr="00C86885">
        <w:rPr>
          <w:rStyle w:val="FootnoteReference"/>
          <w:sz w:val="20"/>
          <w:szCs w:val="20"/>
        </w:rPr>
        <w:footnoteRef/>
      </w:r>
      <w:r w:rsidRPr="00C86885">
        <w:rPr>
          <w:sz w:val="20"/>
          <w:szCs w:val="20"/>
        </w:rPr>
        <w:t xml:space="preserve"> </w:t>
      </w:r>
      <w:r>
        <w:rPr>
          <w:sz w:val="20"/>
          <w:szCs w:val="20"/>
        </w:rPr>
        <w:t>D.24-05-</w:t>
      </w:r>
      <w:r w:rsidR="00897735">
        <w:rPr>
          <w:sz w:val="20"/>
          <w:szCs w:val="20"/>
        </w:rPr>
        <w:t>028</w:t>
      </w:r>
      <w:r w:rsidR="003C7D75">
        <w:rPr>
          <w:sz w:val="20"/>
          <w:szCs w:val="20"/>
        </w:rPr>
        <w:t>,</w:t>
      </w:r>
      <w:r w:rsidR="00897735">
        <w:rPr>
          <w:sz w:val="20"/>
          <w:szCs w:val="20"/>
        </w:rPr>
        <w:t xml:space="preserve"> at 96.</w:t>
      </w:r>
    </w:p>
  </w:footnote>
  <w:footnote w:id="135">
    <w:p w14:paraId="040939FC" w14:textId="5215FD01" w:rsidR="0020489B" w:rsidRPr="0020489B" w:rsidRDefault="0020489B" w:rsidP="00213348">
      <w:pPr>
        <w:pStyle w:val="FootnoteText"/>
        <w:tabs>
          <w:tab w:val="clear" w:pos="360"/>
        </w:tabs>
        <w:spacing w:after="0"/>
        <w:ind w:left="0" w:firstLine="0"/>
        <w:rPr>
          <w:sz w:val="20"/>
          <w:szCs w:val="20"/>
        </w:rPr>
      </w:pPr>
      <w:r w:rsidRPr="0020489B">
        <w:rPr>
          <w:rStyle w:val="FootnoteReference"/>
          <w:sz w:val="20"/>
          <w:szCs w:val="20"/>
        </w:rPr>
        <w:footnoteRef/>
      </w:r>
      <w:r w:rsidRPr="0020489B">
        <w:rPr>
          <w:sz w:val="20"/>
          <w:szCs w:val="20"/>
        </w:rPr>
        <w:t xml:space="preserve"> Joint IOU Testimony filed April 7, 2023, Exhibit 1, Section V, Marketing Education and Outreach.</w:t>
      </w:r>
    </w:p>
  </w:footnote>
  <w:footnote w:id="136">
    <w:p w14:paraId="6F9FB58C" w14:textId="3B4A8E1F" w:rsidR="00E44957" w:rsidRPr="005A175A" w:rsidRDefault="00E44957" w:rsidP="00213348">
      <w:pPr>
        <w:pStyle w:val="FootnoteText"/>
        <w:spacing w:after="0"/>
        <w:rPr>
          <w:sz w:val="20"/>
          <w:szCs w:val="20"/>
        </w:rPr>
      </w:pPr>
      <w:r w:rsidRPr="005A175A">
        <w:rPr>
          <w:rStyle w:val="FootnoteReference"/>
          <w:sz w:val="20"/>
          <w:szCs w:val="20"/>
        </w:rPr>
        <w:footnoteRef/>
      </w:r>
      <w:r w:rsidRPr="005A175A">
        <w:rPr>
          <w:sz w:val="20"/>
          <w:szCs w:val="20"/>
        </w:rPr>
        <w:t xml:space="preserve"> </w:t>
      </w:r>
      <w:r w:rsidR="005A175A" w:rsidRPr="005A175A">
        <w:rPr>
          <w:sz w:val="20"/>
          <w:szCs w:val="20"/>
        </w:rPr>
        <w:t>SDG&amp;E AL 4492-E, at 5.</w:t>
      </w:r>
    </w:p>
  </w:footnote>
  <w:footnote w:id="137">
    <w:p w14:paraId="23C12FBD" w14:textId="5A6F262C" w:rsidR="006E3A32" w:rsidRPr="005A175A" w:rsidRDefault="004F67B1" w:rsidP="00213348">
      <w:pPr>
        <w:pStyle w:val="FootnoteText"/>
        <w:spacing w:after="0"/>
        <w:rPr>
          <w:sz w:val="20"/>
          <w:szCs w:val="20"/>
        </w:rPr>
      </w:pPr>
      <w:r w:rsidRPr="005A175A">
        <w:rPr>
          <w:rStyle w:val="FootnoteReference"/>
          <w:sz w:val="20"/>
          <w:szCs w:val="20"/>
        </w:rPr>
        <w:footnoteRef/>
      </w:r>
      <w:r w:rsidRPr="005A175A">
        <w:rPr>
          <w:sz w:val="20"/>
          <w:szCs w:val="20"/>
        </w:rPr>
        <w:t xml:space="preserve"> </w:t>
      </w:r>
      <w:r w:rsidR="005A175A" w:rsidRPr="005A175A">
        <w:rPr>
          <w:sz w:val="20"/>
          <w:szCs w:val="20"/>
        </w:rPr>
        <w:t>Ibid.</w:t>
      </w:r>
    </w:p>
  </w:footnote>
  <w:footnote w:id="138">
    <w:p w14:paraId="380E24BE" w14:textId="2E4BFE22" w:rsidR="006E3A32" w:rsidRPr="00A70460" w:rsidRDefault="006E3A32" w:rsidP="00213348">
      <w:pPr>
        <w:pStyle w:val="FootnoteText"/>
        <w:spacing w:after="0"/>
        <w:rPr>
          <w:sz w:val="20"/>
          <w:szCs w:val="20"/>
        </w:rPr>
      </w:pPr>
      <w:r w:rsidRPr="005A175A">
        <w:rPr>
          <w:rStyle w:val="FootnoteReference"/>
          <w:sz w:val="20"/>
          <w:szCs w:val="20"/>
        </w:rPr>
        <w:footnoteRef/>
      </w:r>
      <w:r w:rsidRPr="005A175A">
        <w:rPr>
          <w:sz w:val="20"/>
          <w:szCs w:val="20"/>
        </w:rPr>
        <w:t xml:space="preserve"> Ibid., at 5-6.</w:t>
      </w:r>
    </w:p>
  </w:footnote>
  <w:footnote w:id="139">
    <w:p w14:paraId="10231D8C" w14:textId="7D060264" w:rsidR="004F67B1" w:rsidRPr="004F67B1" w:rsidRDefault="004F67B1" w:rsidP="00213348">
      <w:pPr>
        <w:pStyle w:val="FootnoteText"/>
        <w:spacing w:after="0"/>
        <w:rPr>
          <w:sz w:val="20"/>
          <w:szCs w:val="20"/>
        </w:rPr>
      </w:pPr>
      <w:r w:rsidRPr="004F67B1">
        <w:rPr>
          <w:rStyle w:val="FootnoteReference"/>
          <w:sz w:val="20"/>
          <w:szCs w:val="20"/>
        </w:rPr>
        <w:footnoteRef/>
      </w:r>
      <w:r w:rsidRPr="004F67B1">
        <w:rPr>
          <w:sz w:val="20"/>
          <w:szCs w:val="20"/>
        </w:rPr>
        <w:t xml:space="preserve"> SDG&amp;E AL 4492-E, at 6.</w:t>
      </w:r>
    </w:p>
  </w:footnote>
  <w:footnote w:id="140">
    <w:p w14:paraId="48BCFB80" w14:textId="01197AAF" w:rsidR="000D13D0" w:rsidRPr="00C1412E" w:rsidRDefault="000D13D0" w:rsidP="00213348">
      <w:pPr>
        <w:pStyle w:val="FootnoteText"/>
        <w:spacing w:after="0"/>
        <w:rPr>
          <w:sz w:val="20"/>
          <w:szCs w:val="20"/>
        </w:rPr>
      </w:pPr>
      <w:r w:rsidRPr="00C1412E">
        <w:rPr>
          <w:rStyle w:val="FootnoteReference"/>
          <w:sz w:val="20"/>
          <w:szCs w:val="20"/>
        </w:rPr>
        <w:footnoteRef/>
      </w:r>
      <w:r w:rsidRPr="00C1412E">
        <w:rPr>
          <w:sz w:val="20"/>
          <w:szCs w:val="20"/>
        </w:rPr>
        <w:t xml:space="preserve"> Ibid.</w:t>
      </w:r>
    </w:p>
  </w:footnote>
  <w:footnote w:id="141">
    <w:p w14:paraId="637589AC" w14:textId="7940524E" w:rsidR="00146972" w:rsidRPr="00146972" w:rsidRDefault="00146972" w:rsidP="00213348">
      <w:pPr>
        <w:pStyle w:val="FootnoteText"/>
        <w:spacing w:after="0"/>
        <w:rPr>
          <w:sz w:val="20"/>
          <w:szCs w:val="20"/>
        </w:rPr>
      </w:pPr>
      <w:r w:rsidRPr="004F67B1">
        <w:rPr>
          <w:rStyle w:val="FootnoteReference"/>
          <w:sz w:val="20"/>
          <w:szCs w:val="20"/>
        </w:rPr>
        <w:footnoteRef/>
      </w:r>
      <w:r w:rsidRPr="004F67B1">
        <w:rPr>
          <w:sz w:val="20"/>
          <w:szCs w:val="20"/>
        </w:rPr>
        <w:t xml:space="preserve"> </w:t>
      </w:r>
      <w:r w:rsidR="004F67B1" w:rsidRPr="004F67B1">
        <w:rPr>
          <w:sz w:val="20"/>
          <w:szCs w:val="20"/>
        </w:rPr>
        <w:t>Ibid.</w:t>
      </w:r>
    </w:p>
  </w:footnote>
  <w:footnote w:id="142">
    <w:p w14:paraId="3558F29F" w14:textId="07B81740" w:rsidR="00C44462" w:rsidRPr="00F42F04" w:rsidRDefault="00C44462" w:rsidP="00213348">
      <w:pPr>
        <w:pStyle w:val="FootnoteText"/>
        <w:spacing w:after="0"/>
        <w:rPr>
          <w:sz w:val="20"/>
          <w:szCs w:val="20"/>
        </w:rPr>
      </w:pPr>
      <w:r w:rsidRPr="00F42F04">
        <w:rPr>
          <w:rStyle w:val="FootnoteReference"/>
          <w:sz w:val="20"/>
          <w:szCs w:val="20"/>
        </w:rPr>
        <w:footnoteRef/>
      </w:r>
      <w:r w:rsidRPr="00F42F04">
        <w:rPr>
          <w:sz w:val="20"/>
          <w:szCs w:val="20"/>
        </w:rPr>
        <w:t xml:space="preserve"> TURN/NRDC Protest, at </w:t>
      </w:r>
      <w:r w:rsidR="007724D0" w:rsidRPr="00F42F04">
        <w:rPr>
          <w:sz w:val="20"/>
          <w:szCs w:val="20"/>
        </w:rPr>
        <w:t>3.</w:t>
      </w:r>
    </w:p>
  </w:footnote>
  <w:footnote w:id="143">
    <w:p w14:paraId="656EDF91" w14:textId="238DE3B4" w:rsidR="00174BA5" w:rsidRPr="00A70460" w:rsidRDefault="00174BA5" w:rsidP="00213348">
      <w:pPr>
        <w:pStyle w:val="FootnoteText"/>
        <w:spacing w:after="0"/>
        <w:rPr>
          <w:sz w:val="20"/>
          <w:szCs w:val="20"/>
        </w:rPr>
      </w:pPr>
      <w:r w:rsidRPr="00F42F04">
        <w:rPr>
          <w:rStyle w:val="FootnoteReference"/>
          <w:sz w:val="20"/>
          <w:szCs w:val="20"/>
        </w:rPr>
        <w:footnoteRef/>
      </w:r>
      <w:r w:rsidRPr="00F42F04">
        <w:rPr>
          <w:sz w:val="20"/>
          <w:szCs w:val="20"/>
        </w:rPr>
        <w:t xml:space="preserve"> SDG&amp;E Protest Reply, at</w:t>
      </w:r>
      <w:r w:rsidR="00F42F04" w:rsidRPr="00F42F04">
        <w:rPr>
          <w:sz w:val="20"/>
          <w:szCs w:val="20"/>
        </w:rPr>
        <w:t xml:space="preserve"> 8.</w:t>
      </w:r>
    </w:p>
  </w:footnote>
  <w:footnote w:id="144">
    <w:p w14:paraId="01BDF928" w14:textId="782054C5" w:rsidR="004D1793" w:rsidRPr="00662E45" w:rsidRDefault="004D1793" w:rsidP="00213348">
      <w:pPr>
        <w:pStyle w:val="FootnoteText"/>
        <w:spacing w:after="0"/>
        <w:rPr>
          <w:sz w:val="20"/>
          <w:szCs w:val="20"/>
        </w:rPr>
      </w:pPr>
      <w:r w:rsidRPr="00662E45">
        <w:rPr>
          <w:rStyle w:val="FootnoteReference"/>
          <w:sz w:val="20"/>
          <w:szCs w:val="20"/>
        </w:rPr>
        <w:footnoteRef/>
      </w:r>
      <w:r w:rsidRPr="00662E45">
        <w:rPr>
          <w:sz w:val="20"/>
          <w:szCs w:val="20"/>
        </w:rPr>
        <w:t xml:space="preserve"> </w:t>
      </w:r>
      <w:r w:rsidR="00B917CA">
        <w:rPr>
          <w:sz w:val="20"/>
          <w:szCs w:val="20"/>
        </w:rPr>
        <w:t>Ibid.</w:t>
      </w:r>
    </w:p>
  </w:footnote>
  <w:footnote w:id="145">
    <w:p w14:paraId="7F4C12D3" w14:textId="64D68ABE" w:rsidR="00BD5D8A" w:rsidRPr="00F02EEC" w:rsidRDefault="00BD5D8A" w:rsidP="00213348">
      <w:pPr>
        <w:pStyle w:val="FootnoteText"/>
        <w:tabs>
          <w:tab w:val="clear" w:pos="360"/>
        </w:tabs>
        <w:spacing w:after="0"/>
        <w:ind w:left="0" w:firstLine="0"/>
        <w:rPr>
          <w:sz w:val="20"/>
          <w:szCs w:val="20"/>
        </w:rPr>
      </w:pPr>
      <w:r w:rsidRPr="00081F9A">
        <w:rPr>
          <w:rStyle w:val="FootnoteReference"/>
          <w:sz w:val="20"/>
          <w:szCs w:val="20"/>
        </w:rPr>
        <w:footnoteRef/>
      </w:r>
      <w:r w:rsidRPr="00081F9A">
        <w:rPr>
          <w:sz w:val="20"/>
          <w:szCs w:val="20"/>
        </w:rPr>
        <w:t xml:space="preserve"> The TOU Transition</w:t>
      </w:r>
      <w:r w:rsidR="004D0E7E" w:rsidRPr="00081F9A">
        <w:rPr>
          <w:sz w:val="20"/>
          <w:szCs w:val="20"/>
        </w:rPr>
        <w:t xml:space="preserve"> refers to the</w:t>
      </w:r>
      <w:r w:rsidR="00350659" w:rsidRPr="00081F9A">
        <w:rPr>
          <w:sz w:val="20"/>
          <w:szCs w:val="20"/>
        </w:rPr>
        <w:t xml:space="preserve"> </w:t>
      </w:r>
      <w:r w:rsidR="008A5E5F">
        <w:rPr>
          <w:sz w:val="20"/>
          <w:szCs w:val="20"/>
        </w:rPr>
        <w:t xml:space="preserve">Large </w:t>
      </w:r>
      <w:r w:rsidR="001A2426" w:rsidRPr="00081F9A">
        <w:rPr>
          <w:sz w:val="20"/>
          <w:szCs w:val="20"/>
        </w:rPr>
        <w:t>IOUs</w:t>
      </w:r>
      <w:r w:rsidR="008A5E5F">
        <w:rPr>
          <w:sz w:val="20"/>
          <w:szCs w:val="20"/>
        </w:rPr>
        <w:t>’</w:t>
      </w:r>
      <w:r w:rsidR="001A2426" w:rsidRPr="00081F9A">
        <w:rPr>
          <w:sz w:val="20"/>
          <w:szCs w:val="20"/>
        </w:rPr>
        <w:t xml:space="preserve"> </w:t>
      </w:r>
      <w:r w:rsidR="00350659" w:rsidRPr="00081F9A">
        <w:rPr>
          <w:sz w:val="20"/>
          <w:szCs w:val="20"/>
        </w:rPr>
        <w:t xml:space="preserve">five-year </w:t>
      </w:r>
      <w:r w:rsidR="008F403C" w:rsidRPr="00081F9A">
        <w:rPr>
          <w:sz w:val="20"/>
          <w:szCs w:val="20"/>
        </w:rPr>
        <w:t>transition</w:t>
      </w:r>
      <w:r w:rsidR="00425B02" w:rsidRPr="00081F9A">
        <w:rPr>
          <w:sz w:val="20"/>
          <w:szCs w:val="20"/>
        </w:rPr>
        <w:t xml:space="preserve"> to default </w:t>
      </w:r>
      <w:r w:rsidR="004C4745">
        <w:rPr>
          <w:sz w:val="20"/>
          <w:szCs w:val="20"/>
        </w:rPr>
        <w:t>customers on</w:t>
      </w:r>
      <w:r w:rsidR="00425B02" w:rsidRPr="00081F9A">
        <w:rPr>
          <w:sz w:val="20"/>
          <w:szCs w:val="20"/>
        </w:rPr>
        <w:t xml:space="preserve"> TOU rates through D.15-07-001</w:t>
      </w:r>
      <w:r w:rsidR="005D7530" w:rsidRPr="00081F9A">
        <w:rPr>
          <w:sz w:val="20"/>
          <w:szCs w:val="20"/>
        </w:rPr>
        <w:t xml:space="preserve">, which established a schedule for additional rate reform activities, </w:t>
      </w:r>
      <w:r w:rsidR="005D5BEC" w:rsidRPr="00081F9A">
        <w:rPr>
          <w:sz w:val="20"/>
          <w:szCs w:val="20"/>
        </w:rPr>
        <w:t xml:space="preserve">including utility applications, working groups, consultants, </w:t>
      </w:r>
      <w:r w:rsidR="008010F1" w:rsidRPr="00081F9A">
        <w:rPr>
          <w:sz w:val="20"/>
          <w:szCs w:val="20"/>
        </w:rPr>
        <w:t>ME&amp;O plans, studies, progress reports, and workshops</w:t>
      </w:r>
      <w:r w:rsidR="00081F9A" w:rsidRPr="00081F9A">
        <w:rPr>
          <w:sz w:val="20"/>
          <w:szCs w:val="20"/>
        </w:rPr>
        <w:t>.</w:t>
      </w:r>
    </w:p>
  </w:footnote>
  <w:footnote w:id="146">
    <w:p w14:paraId="19FE6DBD" w14:textId="4671D913" w:rsidR="00CD0A93" w:rsidRPr="0001036E" w:rsidRDefault="00CD0A93" w:rsidP="00213348">
      <w:pPr>
        <w:pStyle w:val="FootnoteText"/>
        <w:spacing w:after="0"/>
        <w:rPr>
          <w:sz w:val="20"/>
          <w:szCs w:val="20"/>
        </w:rPr>
      </w:pPr>
      <w:r w:rsidRPr="0001036E">
        <w:rPr>
          <w:rStyle w:val="FootnoteReference"/>
          <w:sz w:val="20"/>
          <w:szCs w:val="20"/>
        </w:rPr>
        <w:footnoteRef/>
      </w:r>
      <w:r w:rsidRPr="0001036E">
        <w:rPr>
          <w:sz w:val="20"/>
          <w:szCs w:val="20"/>
        </w:rPr>
        <w:t xml:space="preserve"> SG&amp;E AL 4492-E, at </w:t>
      </w:r>
      <w:r w:rsidR="0001036E" w:rsidRPr="0001036E">
        <w:rPr>
          <w:sz w:val="20"/>
          <w:szCs w:val="20"/>
        </w:rPr>
        <w:t>9-10.</w:t>
      </w:r>
    </w:p>
  </w:footnote>
  <w:footnote w:id="147">
    <w:p w14:paraId="226BC725" w14:textId="0406263C" w:rsidR="00575318" w:rsidRPr="00575318" w:rsidRDefault="00575318" w:rsidP="00213348">
      <w:pPr>
        <w:pStyle w:val="FootnoteText"/>
        <w:spacing w:after="0"/>
        <w:rPr>
          <w:sz w:val="20"/>
          <w:szCs w:val="20"/>
        </w:rPr>
      </w:pPr>
      <w:r w:rsidRPr="00575318">
        <w:rPr>
          <w:rStyle w:val="FootnoteReference"/>
          <w:sz w:val="20"/>
          <w:szCs w:val="20"/>
        </w:rPr>
        <w:footnoteRef/>
      </w:r>
      <w:r w:rsidRPr="00575318">
        <w:rPr>
          <w:sz w:val="20"/>
          <w:szCs w:val="20"/>
        </w:rPr>
        <w:t xml:space="preserve"> Ibid.</w:t>
      </w:r>
    </w:p>
  </w:footnote>
  <w:footnote w:id="148">
    <w:p w14:paraId="7EB1862E" w14:textId="564704B0" w:rsidR="003436D9" w:rsidRPr="00E72718" w:rsidRDefault="003436D9" w:rsidP="00213348">
      <w:pPr>
        <w:pStyle w:val="FootnoteText"/>
        <w:spacing w:after="0"/>
        <w:rPr>
          <w:sz w:val="20"/>
          <w:szCs w:val="20"/>
        </w:rPr>
      </w:pPr>
      <w:r w:rsidRPr="00E72718">
        <w:rPr>
          <w:rStyle w:val="FootnoteReference"/>
          <w:sz w:val="20"/>
          <w:szCs w:val="20"/>
        </w:rPr>
        <w:footnoteRef/>
      </w:r>
      <w:r w:rsidR="00575318">
        <w:rPr>
          <w:sz w:val="20"/>
          <w:szCs w:val="20"/>
        </w:rPr>
        <w:t xml:space="preserve"> Ibid</w:t>
      </w:r>
      <w:r w:rsidRPr="00E72718">
        <w:rPr>
          <w:sz w:val="20"/>
          <w:szCs w:val="20"/>
        </w:rPr>
        <w:t xml:space="preserve">, at </w:t>
      </w:r>
      <w:r w:rsidR="00E72718" w:rsidRPr="00E72718">
        <w:rPr>
          <w:sz w:val="20"/>
          <w:szCs w:val="20"/>
        </w:rPr>
        <w:t>10.</w:t>
      </w:r>
    </w:p>
  </w:footnote>
  <w:footnote w:id="149">
    <w:p w14:paraId="0273DCDF" w14:textId="314F5AAA" w:rsidR="00AF4464" w:rsidRPr="00AF4464" w:rsidRDefault="00AF4464" w:rsidP="00213348">
      <w:pPr>
        <w:pStyle w:val="FootnoteText"/>
        <w:spacing w:after="0"/>
        <w:rPr>
          <w:sz w:val="20"/>
          <w:szCs w:val="20"/>
        </w:rPr>
      </w:pPr>
      <w:r w:rsidRPr="00AF4464">
        <w:rPr>
          <w:rStyle w:val="FootnoteReference"/>
          <w:sz w:val="20"/>
          <w:szCs w:val="20"/>
        </w:rPr>
        <w:footnoteRef/>
      </w:r>
      <w:r w:rsidRPr="00AF4464">
        <w:rPr>
          <w:sz w:val="20"/>
          <w:szCs w:val="20"/>
        </w:rPr>
        <w:t xml:space="preserve"> SDG&amp;E AL 4492-E, at 10</w:t>
      </w:r>
    </w:p>
  </w:footnote>
  <w:footnote w:id="150">
    <w:p w14:paraId="311DB643" w14:textId="7D2641E5" w:rsidR="00162810" w:rsidRPr="00234D40" w:rsidRDefault="00162810" w:rsidP="00213348">
      <w:pPr>
        <w:pStyle w:val="FootnoteText"/>
        <w:spacing w:after="0"/>
        <w:rPr>
          <w:sz w:val="20"/>
          <w:szCs w:val="20"/>
        </w:rPr>
      </w:pPr>
      <w:r w:rsidRPr="00234D40">
        <w:rPr>
          <w:rStyle w:val="FootnoteReference"/>
          <w:sz w:val="20"/>
          <w:szCs w:val="20"/>
        </w:rPr>
        <w:footnoteRef/>
      </w:r>
      <w:r w:rsidRPr="00234D40">
        <w:rPr>
          <w:sz w:val="20"/>
          <w:szCs w:val="20"/>
        </w:rPr>
        <w:t xml:space="preserve"> Ibid., </w:t>
      </w:r>
      <w:r w:rsidR="00116FF0">
        <w:rPr>
          <w:sz w:val="20"/>
          <w:szCs w:val="20"/>
        </w:rPr>
        <w:t xml:space="preserve">at </w:t>
      </w:r>
      <w:r w:rsidR="00AD625C" w:rsidRPr="00234D40">
        <w:rPr>
          <w:sz w:val="20"/>
          <w:szCs w:val="20"/>
        </w:rPr>
        <w:t>10.</w:t>
      </w:r>
    </w:p>
  </w:footnote>
  <w:footnote w:id="151">
    <w:p w14:paraId="124536B3" w14:textId="38D18AB5" w:rsidR="00802C8F" w:rsidRPr="00234D40" w:rsidRDefault="00802C8F" w:rsidP="00213348">
      <w:pPr>
        <w:pStyle w:val="FootnoteText"/>
        <w:spacing w:after="0"/>
        <w:rPr>
          <w:sz w:val="20"/>
          <w:szCs w:val="20"/>
        </w:rPr>
      </w:pPr>
      <w:r w:rsidRPr="00234D40">
        <w:rPr>
          <w:rStyle w:val="FootnoteReference"/>
          <w:sz w:val="20"/>
          <w:szCs w:val="20"/>
        </w:rPr>
        <w:footnoteRef/>
      </w:r>
      <w:r w:rsidRPr="00234D40">
        <w:rPr>
          <w:sz w:val="20"/>
          <w:szCs w:val="20"/>
        </w:rPr>
        <w:t xml:space="preserve"> Ibid., at 11.</w:t>
      </w:r>
    </w:p>
  </w:footnote>
  <w:footnote w:id="152">
    <w:p w14:paraId="6F95400D" w14:textId="04ECCA81" w:rsidR="00A427D2" w:rsidRPr="00234D40" w:rsidRDefault="00A427D2" w:rsidP="00213348">
      <w:pPr>
        <w:pStyle w:val="FootnoteText"/>
        <w:spacing w:after="0"/>
        <w:rPr>
          <w:sz w:val="20"/>
          <w:szCs w:val="20"/>
        </w:rPr>
      </w:pPr>
      <w:r w:rsidRPr="00234D40">
        <w:rPr>
          <w:rStyle w:val="FootnoteReference"/>
          <w:sz w:val="20"/>
          <w:szCs w:val="20"/>
        </w:rPr>
        <w:footnoteRef/>
      </w:r>
      <w:r w:rsidRPr="00234D40">
        <w:rPr>
          <w:sz w:val="20"/>
          <w:szCs w:val="20"/>
        </w:rPr>
        <w:t xml:space="preserve"> </w:t>
      </w:r>
      <w:r w:rsidR="00C9412C" w:rsidRPr="00234D40">
        <w:rPr>
          <w:sz w:val="20"/>
          <w:szCs w:val="20"/>
        </w:rPr>
        <w:t xml:space="preserve">Cal Advocates Protest, at </w:t>
      </w:r>
      <w:r w:rsidR="00234D40" w:rsidRPr="00234D40">
        <w:rPr>
          <w:sz w:val="20"/>
          <w:szCs w:val="20"/>
        </w:rPr>
        <w:t>3.</w:t>
      </w:r>
    </w:p>
  </w:footnote>
  <w:footnote w:id="153">
    <w:p w14:paraId="5B646EFC" w14:textId="31091224" w:rsidR="00234D40" w:rsidRPr="00A70460" w:rsidRDefault="00234D40" w:rsidP="00213348">
      <w:pPr>
        <w:pStyle w:val="FootnoteText"/>
        <w:spacing w:after="0"/>
        <w:rPr>
          <w:sz w:val="20"/>
          <w:szCs w:val="20"/>
        </w:rPr>
      </w:pPr>
      <w:r w:rsidRPr="00234D40">
        <w:rPr>
          <w:rStyle w:val="FootnoteReference"/>
          <w:sz w:val="20"/>
          <w:szCs w:val="20"/>
        </w:rPr>
        <w:footnoteRef/>
      </w:r>
      <w:r w:rsidRPr="00234D40">
        <w:rPr>
          <w:sz w:val="20"/>
          <w:szCs w:val="20"/>
        </w:rPr>
        <w:t xml:space="preserve"> TURN/NRDC Protes</w:t>
      </w:r>
      <w:r w:rsidR="008E2F5A">
        <w:rPr>
          <w:sz w:val="20"/>
          <w:szCs w:val="20"/>
        </w:rPr>
        <w:t>t</w:t>
      </w:r>
      <w:r w:rsidRPr="00234D40">
        <w:rPr>
          <w:sz w:val="20"/>
          <w:szCs w:val="20"/>
        </w:rPr>
        <w:t>, at 2.</w:t>
      </w:r>
    </w:p>
  </w:footnote>
  <w:footnote w:id="154">
    <w:p w14:paraId="0EA3BD5B" w14:textId="427945A7" w:rsidR="008E2F5A" w:rsidRPr="008E2F5A" w:rsidRDefault="008E2F5A" w:rsidP="00213348">
      <w:pPr>
        <w:pStyle w:val="FootnoteText"/>
        <w:spacing w:after="0"/>
        <w:rPr>
          <w:sz w:val="20"/>
          <w:szCs w:val="20"/>
        </w:rPr>
      </w:pPr>
      <w:r w:rsidRPr="008E2F5A">
        <w:rPr>
          <w:rStyle w:val="FootnoteReference"/>
          <w:sz w:val="20"/>
          <w:szCs w:val="20"/>
        </w:rPr>
        <w:footnoteRef/>
      </w:r>
      <w:r w:rsidRPr="008E2F5A">
        <w:rPr>
          <w:sz w:val="20"/>
          <w:szCs w:val="20"/>
        </w:rPr>
        <w:t xml:space="preserve"> SDG&amp;E Protest Reply, at 9.</w:t>
      </w:r>
    </w:p>
  </w:footnote>
  <w:footnote w:id="155">
    <w:p w14:paraId="0B7CFD9D" w14:textId="3BAAB2AA" w:rsidR="009A1E85" w:rsidRPr="009A1E85" w:rsidRDefault="009A1E85" w:rsidP="00213348">
      <w:pPr>
        <w:pStyle w:val="FootnoteText"/>
        <w:spacing w:after="0"/>
        <w:rPr>
          <w:sz w:val="20"/>
          <w:szCs w:val="20"/>
        </w:rPr>
      </w:pPr>
      <w:r w:rsidRPr="009A1E85">
        <w:rPr>
          <w:rStyle w:val="FootnoteReference"/>
          <w:sz w:val="20"/>
          <w:szCs w:val="20"/>
        </w:rPr>
        <w:footnoteRef/>
      </w:r>
      <w:r w:rsidRPr="009A1E85">
        <w:rPr>
          <w:sz w:val="20"/>
          <w:szCs w:val="20"/>
        </w:rPr>
        <w:t xml:space="preserve"> Ibid.</w:t>
      </w:r>
    </w:p>
  </w:footnote>
  <w:footnote w:id="156">
    <w:p w14:paraId="287D242B" w14:textId="66985F6A" w:rsidR="00090C1C" w:rsidRPr="00707979" w:rsidRDefault="00090C1C" w:rsidP="00213348">
      <w:pPr>
        <w:pStyle w:val="FootnoteText"/>
        <w:tabs>
          <w:tab w:val="clear" w:pos="360"/>
        </w:tabs>
        <w:spacing w:after="0"/>
        <w:ind w:left="0" w:firstLine="0"/>
        <w:rPr>
          <w:sz w:val="20"/>
          <w:szCs w:val="20"/>
        </w:rPr>
      </w:pPr>
      <w:r w:rsidRPr="00707979">
        <w:rPr>
          <w:rStyle w:val="FootnoteReference"/>
          <w:sz w:val="20"/>
          <w:szCs w:val="20"/>
        </w:rPr>
        <w:footnoteRef/>
      </w:r>
      <w:r w:rsidRPr="00707979">
        <w:rPr>
          <w:sz w:val="20"/>
          <w:szCs w:val="20"/>
        </w:rPr>
        <w:t xml:space="preserve"> </w:t>
      </w:r>
      <w:r w:rsidR="008171F9">
        <w:rPr>
          <w:sz w:val="20"/>
          <w:szCs w:val="20"/>
        </w:rPr>
        <w:t xml:space="preserve">D.24-05-028, at </w:t>
      </w:r>
      <w:r w:rsidR="00DE2597">
        <w:rPr>
          <w:sz w:val="20"/>
          <w:szCs w:val="20"/>
        </w:rPr>
        <w:t>94.</w:t>
      </w:r>
    </w:p>
  </w:footnote>
  <w:footnote w:id="157">
    <w:p w14:paraId="058C6D78" w14:textId="72340B3A" w:rsidR="6C9ADC8A" w:rsidRPr="00DD1BD2" w:rsidRDefault="6C9ADC8A" w:rsidP="00213348">
      <w:pPr>
        <w:pStyle w:val="FootnoteText"/>
        <w:tabs>
          <w:tab w:val="clear" w:pos="360"/>
        </w:tabs>
        <w:spacing w:after="0"/>
        <w:ind w:left="0" w:firstLine="0"/>
        <w:rPr>
          <w:sz w:val="20"/>
          <w:szCs w:val="20"/>
        </w:rPr>
      </w:pPr>
      <w:r w:rsidRPr="00DD1BD2">
        <w:rPr>
          <w:rStyle w:val="FootnoteReference"/>
          <w:sz w:val="20"/>
          <w:szCs w:val="20"/>
        </w:rPr>
        <w:footnoteRef/>
      </w:r>
      <w:r w:rsidRPr="00DD1BD2">
        <w:rPr>
          <w:sz w:val="20"/>
          <w:szCs w:val="20"/>
        </w:rPr>
        <w:t xml:space="preserve"> </w:t>
      </w:r>
      <w:r w:rsidRPr="6C9ADC8A">
        <w:rPr>
          <w:sz w:val="20"/>
          <w:szCs w:val="20"/>
        </w:rPr>
        <w:t>PG&amp;E’s Reply to Protest, at 21-23.</w:t>
      </w:r>
    </w:p>
  </w:footnote>
  <w:footnote w:id="158">
    <w:p w14:paraId="3DD40859" w14:textId="5B91C998" w:rsidR="0080095C" w:rsidRPr="00F02EEC" w:rsidRDefault="0080095C" w:rsidP="00213348">
      <w:pPr>
        <w:pStyle w:val="FootnoteText"/>
        <w:tabs>
          <w:tab w:val="clear" w:pos="360"/>
        </w:tabs>
        <w:spacing w:after="0"/>
        <w:ind w:left="0" w:firstLine="0"/>
        <w:rPr>
          <w:sz w:val="20"/>
          <w:szCs w:val="20"/>
        </w:rPr>
      </w:pPr>
      <w:r w:rsidRPr="00C81758">
        <w:rPr>
          <w:rStyle w:val="FootnoteReference"/>
          <w:sz w:val="20"/>
          <w:szCs w:val="20"/>
        </w:rPr>
        <w:footnoteRef/>
      </w:r>
      <w:r w:rsidRPr="00C81758">
        <w:rPr>
          <w:sz w:val="20"/>
          <w:szCs w:val="20"/>
        </w:rPr>
        <w:t xml:space="preserve"> D.24-0</w:t>
      </w:r>
      <w:r w:rsidR="0080599C">
        <w:rPr>
          <w:sz w:val="20"/>
          <w:szCs w:val="20"/>
        </w:rPr>
        <w:t>5</w:t>
      </w:r>
      <w:r w:rsidRPr="00C81758">
        <w:rPr>
          <w:sz w:val="20"/>
          <w:szCs w:val="20"/>
        </w:rPr>
        <w:t xml:space="preserve">-028, at </w:t>
      </w:r>
      <w:r w:rsidR="00127E60" w:rsidRPr="001E446A">
        <w:rPr>
          <w:sz w:val="20"/>
          <w:szCs w:val="20"/>
        </w:rPr>
        <w:t>C</w:t>
      </w:r>
      <w:r w:rsidR="00EE0899">
        <w:rPr>
          <w:sz w:val="20"/>
          <w:szCs w:val="20"/>
        </w:rPr>
        <w:t>OL</w:t>
      </w:r>
      <w:r w:rsidR="00127E60" w:rsidRPr="00C81758">
        <w:rPr>
          <w:sz w:val="20"/>
          <w:szCs w:val="20"/>
        </w:rPr>
        <w:t xml:space="preserve"> 1.</w:t>
      </w:r>
    </w:p>
  </w:footnote>
  <w:footnote w:id="159">
    <w:p w14:paraId="45DE94DE" w14:textId="77777777" w:rsidR="00FE01A8" w:rsidRPr="00231620" w:rsidRDefault="00FE01A8" w:rsidP="00213348">
      <w:pPr>
        <w:pStyle w:val="FootnoteText"/>
        <w:tabs>
          <w:tab w:val="clear" w:pos="360"/>
        </w:tabs>
        <w:spacing w:after="0"/>
        <w:ind w:left="0" w:firstLine="0"/>
        <w:rPr>
          <w:sz w:val="20"/>
          <w:szCs w:val="20"/>
        </w:rPr>
      </w:pPr>
      <w:r w:rsidRPr="00231620">
        <w:rPr>
          <w:rStyle w:val="FootnoteReference"/>
          <w:sz w:val="20"/>
          <w:szCs w:val="20"/>
        </w:rPr>
        <w:footnoteRef/>
      </w:r>
      <w:r w:rsidRPr="00231620">
        <w:rPr>
          <w:sz w:val="20"/>
          <w:szCs w:val="20"/>
        </w:rPr>
        <w:t xml:space="preserve"> Cal Advocates Protest</w:t>
      </w:r>
      <w:r>
        <w:rPr>
          <w:sz w:val="20"/>
          <w:szCs w:val="20"/>
        </w:rPr>
        <w:t>,</w:t>
      </w:r>
      <w:r w:rsidRPr="00231620">
        <w:rPr>
          <w:sz w:val="20"/>
          <w:szCs w:val="20"/>
        </w:rPr>
        <w:t xml:space="preserve"> at </w:t>
      </w:r>
      <w:r>
        <w:rPr>
          <w:sz w:val="20"/>
          <w:szCs w:val="20"/>
        </w:rPr>
        <w:t>3</w:t>
      </w:r>
      <w:r w:rsidRPr="00231620">
        <w:rPr>
          <w:sz w:val="20"/>
          <w:szCs w:val="20"/>
        </w:rPr>
        <w:t>.</w:t>
      </w:r>
    </w:p>
  </w:footnote>
  <w:footnote w:id="160">
    <w:p w14:paraId="5EFA469D" w14:textId="3FD1397B" w:rsidR="00675A94" w:rsidRPr="008655E3" w:rsidRDefault="00675A94" w:rsidP="00213348">
      <w:pPr>
        <w:pStyle w:val="FootnoteText"/>
        <w:tabs>
          <w:tab w:val="clear" w:pos="360"/>
        </w:tabs>
        <w:spacing w:after="0"/>
        <w:ind w:left="0" w:firstLine="0"/>
        <w:rPr>
          <w:sz w:val="20"/>
          <w:szCs w:val="20"/>
        </w:rPr>
      </w:pPr>
      <w:r w:rsidRPr="008655E3">
        <w:rPr>
          <w:rStyle w:val="FootnoteReference"/>
          <w:sz w:val="20"/>
          <w:szCs w:val="20"/>
        </w:rPr>
        <w:footnoteRef/>
      </w:r>
      <w:r w:rsidRPr="008655E3">
        <w:rPr>
          <w:sz w:val="20"/>
          <w:szCs w:val="20"/>
        </w:rPr>
        <w:t xml:space="preserve"> SCE A</w:t>
      </w:r>
      <w:r w:rsidR="00562270">
        <w:rPr>
          <w:sz w:val="20"/>
          <w:szCs w:val="20"/>
        </w:rPr>
        <w:t>L</w:t>
      </w:r>
      <w:r w:rsidRPr="008655E3">
        <w:rPr>
          <w:sz w:val="20"/>
          <w:szCs w:val="20"/>
        </w:rPr>
        <w:t xml:space="preserve"> 5358-E</w:t>
      </w:r>
      <w:r w:rsidR="003C7D75">
        <w:rPr>
          <w:sz w:val="20"/>
          <w:szCs w:val="20"/>
        </w:rPr>
        <w:t>,</w:t>
      </w:r>
      <w:r w:rsidRPr="008655E3">
        <w:rPr>
          <w:sz w:val="20"/>
          <w:szCs w:val="20"/>
        </w:rPr>
        <w:t xml:space="preserve"> at 11.</w:t>
      </w:r>
    </w:p>
  </w:footnote>
  <w:footnote w:id="161">
    <w:p w14:paraId="4273EA13" w14:textId="5896EE29" w:rsidR="00675A94" w:rsidRPr="00795841" w:rsidRDefault="00675A94" w:rsidP="00213348">
      <w:pPr>
        <w:pStyle w:val="FootnoteText"/>
        <w:tabs>
          <w:tab w:val="clear" w:pos="360"/>
        </w:tabs>
        <w:spacing w:after="0"/>
        <w:ind w:left="0" w:firstLine="0"/>
        <w:rPr>
          <w:sz w:val="20"/>
          <w:szCs w:val="20"/>
        </w:rPr>
      </w:pPr>
      <w:r w:rsidRPr="00795841">
        <w:rPr>
          <w:rStyle w:val="FootnoteReference"/>
          <w:sz w:val="20"/>
          <w:szCs w:val="20"/>
        </w:rPr>
        <w:footnoteRef/>
      </w:r>
      <w:r w:rsidRPr="00795841">
        <w:rPr>
          <w:sz w:val="20"/>
          <w:szCs w:val="20"/>
        </w:rPr>
        <w:t xml:space="preserve"> SEIA Protest</w:t>
      </w:r>
      <w:r w:rsidR="003C7D75">
        <w:rPr>
          <w:sz w:val="20"/>
          <w:szCs w:val="20"/>
        </w:rPr>
        <w:t>,</w:t>
      </w:r>
      <w:r w:rsidRPr="00795841">
        <w:rPr>
          <w:sz w:val="20"/>
          <w:szCs w:val="20"/>
        </w:rPr>
        <w:t xml:space="preserve"> at 6.</w:t>
      </w:r>
    </w:p>
  </w:footnote>
  <w:footnote w:id="162">
    <w:p w14:paraId="7D7F11C7" w14:textId="186BF132" w:rsidR="005913AE" w:rsidRPr="00587D5B" w:rsidRDefault="005913AE" w:rsidP="00213348">
      <w:pPr>
        <w:pStyle w:val="FootnoteText"/>
        <w:tabs>
          <w:tab w:val="clear" w:pos="360"/>
        </w:tabs>
        <w:spacing w:after="0"/>
        <w:ind w:left="0" w:firstLine="0"/>
        <w:rPr>
          <w:sz w:val="20"/>
          <w:szCs w:val="20"/>
        </w:rPr>
      </w:pPr>
      <w:r w:rsidRPr="001D683C">
        <w:rPr>
          <w:rStyle w:val="FootnoteReference"/>
          <w:sz w:val="20"/>
          <w:szCs w:val="20"/>
        </w:rPr>
        <w:footnoteRef/>
      </w:r>
      <w:r w:rsidR="00B1516A" w:rsidRPr="001D683C">
        <w:rPr>
          <w:sz w:val="20"/>
          <w:szCs w:val="20"/>
        </w:rPr>
        <w:t xml:space="preserve"> </w:t>
      </w:r>
      <w:r w:rsidR="00961BC8">
        <w:rPr>
          <w:sz w:val="20"/>
          <w:szCs w:val="20"/>
        </w:rPr>
        <w:t>Ibid.</w:t>
      </w:r>
    </w:p>
  </w:footnote>
  <w:footnote w:id="163">
    <w:p w14:paraId="5BA33175" w14:textId="67BE0989" w:rsidR="005913AE" w:rsidRPr="00DD1BD2" w:rsidRDefault="005913AE" w:rsidP="00213348">
      <w:pPr>
        <w:pStyle w:val="FootnoteText"/>
        <w:tabs>
          <w:tab w:val="clear" w:pos="360"/>
        </w:tabs>
        <w:spacing w:after="0"/>
        <w:ind w:left="0" w:firstLine="0"/>
        <w:rPr>
          <w:sz w:val="20"/>
          <w:szCs w:val="20"/>
        </w:rPr>
      </w:pPr>
      <w:r w:rsidRPr="00587D5B">
        <w:rPr>
          <w:rStyle w:val="FootnoteReference"/>
          <w:sz w:val="20"/>
          <w:szCs w:val="20"/>
        </w:rPr>
        <w:footnoteRef/>
      </w:r>
      <w:r w:rsidRPr="00587D5B">
        <w:rPr>
          <w:sz w:val="20"/>
          <w:szCs w:val="20"/>
        </w:rPr>
        <w:t xml:space="preserve"> </w:t>
      </w:r>
      <w:r w:rsidR="00091662" w:rsidRPr="001D683C">
        <w:rPr>
          <w:sz w:val="20"/>
          <w:szCs w:val="20"/>
        </w:rPr>
        <w:t>SDG&amp;E Protest Reply, at 7.</w:t>
      </w:r>
    </w:p>
  </w:footnote>
  <w:footnote w:id="164">
    <w:p w14:paraId="3AE46889" w14:textId="271E2215" w:rsidR="00131352" w:rsidRPr="00131352" w:rsidRDefault="00131352" w:rsidP="00213348">
      <w:pPr>
        <w:pStyle w:val="FootnoteText"/>
        <w:tabs>
          <w:tab w:val="clear" w:pos="360"/>
        </w:tabs>
        <w:spacing w:after="0"/>
        <w:ind w:left="0" w:firstLine="0"/>
        <w:rPr>
          <w:sz w:val="20"/>
          <w:szCs w:val="20"/>
        </w:rPr>
      </w:pPr>
      <w:r w:rsidRPr="00131352">
        <w:rPr>
          <w:rStyle w:val="FootnoteReference"/>
          <w:sz w:val="20"/>
          <w:szCs w:val="20"/>
        </w:rPr>
        <w:footnoteRef/>
      </w:r>
      <w:r w:rsidRPr="00131352">
        <w:rPr>
          <w:sz w:val="20"/>
          <w:szCs w:val="20"/>
        </w:rPr>
        <w:t xml:space="preserve"> </w:t>
      </w:r>
      <w:r w:rsidR="00DA46A9">
        <w:rPr>
          <w:sz w:val="20"/>
          <w:szCs w:val="20"/>
        </w:rPr>
        <w:t>Cal Advocates Protest, at Attachment</w:t>
      </w:r>
      <w:r w:rsidR="005675E5" w:rsidRPr="005675E5">
        <w:rPr>
          <w:sz w:val="20"/>
          <w:szCs w:val="20"/>
        </w:rPr>
        <w:t xml:space="preserve"> 1, R.22-07-005 Demand Flexibility OIR SDG&amp;E Response to Cal Advocates DR SDG&amp;E04, Questions 11, 12, and 13; at 11-12.</w:t>
      </w:r>
    </w:p>
  </w:footnote>
  <w:footnote w:id="165">
    <w:p w14:paraId="6B61E1AF" w14:textId="3E1CEA0D" w:rsidR="00FB0E48" w:rsidRPr="00AD7B6E" w:rsidRDefault="00FB0E48" w:rsidP="00213348">
      <w:pPr>
        <w:pStyle w:val="FootnoteText"/>
        <w:spacing w:after="0"/>
        <w:rPr>
          <w:sz w:val="20"/>
          <w:szCs w:val="20"/>
        </w:rPr>
      </w:pPr>
      <w:r w:rsidRPr="00AD7B6E">
        <w:rPr>
          <w:rStyle w:val="FootnoteReference"/>
          <w:sz w:val="20"/>
          <w:szCs w:val="20"/>
        </w:rPr>
        <w:footnoteRef/>
      </w:r>
      <w:r w:rsidRPr="00AD7B6E">
        <w:rPr>
          <w:sz w:val="20"/>
          <w:szCs w:val="20"/>
        </w:rPr>
        <w:t xml:space="preserve"> SDG&amp;E AL 4492-E</w:t>
      </w:r>
      <w:r w:rsidR="0047229E">
        <w:rPr>
          <w:sz w:val="20"/>
          <w:szCs w:val="20"/>
        </w:rPr>
        <w:t>,</w:t>
      </w:r>
      <w:r w:rsidRPr="00AD7B6E">
        <w:rPr>
          <w:sz w:val="20"/>
          <w:szCs w:val="20"/>
        </w:rPr>
        <w:t xml:space="preserve"> at </w:t>
      </w:r>
      <w:r w:rsidR="00AD7B6E" w:rsidRPr="00AD7B6E">
        <w:rPr>
          <w:sz w:val="20"/>
          <w:szCs w:val="20"/>
        </w:rPr>
        <w:t>12-13.</w:t>
      </w:r>
    </w:p>
  </w:footnote>
  <w:footnote w:id="166">
    <w:p w14:paraId="32D9443D" w14:textId="29B16457" w:rsidR="00993FC4" w:rsidRPr="009317DF" w:rsidRDefault="00993FC4" w:rsidP="00213348">
      <w:pPr>
        <w:pStyle w:val="FootnoteText"/>
        <w:spacing w:after="0"/>
        <w:rPr>
          <w:sz w:val="20"/>
          <w:szCs w:val="20"/>
        </w:rPr>
      </w:pPr>
      <w:r w:rsidRPr="009317DF">
        <w:rPr>
          <w:rStyle w:val="FootnoteReference"/>
          <w:sz w:val="20"/>
          <w:szCs w:val="20"/>
        </w:rPr>
        <w:footnoteRef/>
      </w:r>
      <w:r w:rsidRPr="009317DF">
        <w:rPr>
          <w:sz w:val="20"/>
          <w:szCs w:val="20"/>
        </w:rPr>
        <w:t xml:space="preserve"> </w:t>
      </w:r>
      <w:r w:rsidR="00AD7B6E">
        <w:rPr>
          <w:sz w:val="20"/>
          <w:szCs w:val="20"/>
        </w:rPr>
        <w:t>Ibid.</w:t>
      </w:r>
      <w:r w:rsidR="009317DF" w:rsidRPr="009317DF">
        <w:rPr>
          <w:sz w:val="20"/>
          <w:szCs w:val="20"/>
        </w:rPr>
        <w:t>, at 13.</w:t>
      </w:r>
    </w:p>
  </w:footnote>
  <w:footnote w:id="167">
    <w:p w14:paraId="2197B0D8" w14:textId="343D7349" w:rsidR="00D96ED6" w:rsidRPr="00C610B8" w:rsidRDefault="00D96ED6" w:rsidP="00213348">
      <w:pPr>
        <w:pStyle w:val="FootnoteText"/>
        <w:tabs>
          <w:tab w:val="clear" w:pos="360"/>
        </w:tabs>
        <w:spacing w:after="0"/>
        <w:ind w:left="0" w:firstLine="0"/>
        <w:rPr>
          <w:sz w:val="20"/>
          <w:szCs w:val="20"/>
        </w:rPr>
      </w:pPr>
      <w:r w:rsidRPr="00C610B8">
        <w:rPr>
          <w:rStyle w:val="FootnoteReference"/>
          <w:sz w:val="20"/>
          <w:szCs w:val="20"/>
        </w:rPr>
        <w:footnoteRef/>
      </w:r>
      <w:r w:rsidRPr="00C610B8">
        <w:rPr>
          <w:sz w:val="20"/>
          <w:szCs w:val="20"/>
        </w:rPr>
        <w:t xml:space="preserve"> SCE </w:t>
      </w:r>
      <w:r w:rsidRPr="001E446A">
        <w:rPr>
          <w:sz w:val="20"/>
          <w:szCs w:val="20"/>
        </w:rPr>
        <w:t>A</w:t>
      </w:r>
      <w:r w:rsidR="009317DF">
        <w:rPr>
          <w:sz w:val="20"/>
          <w:szCs w:val="20"/>
        </w:rPr>
        <w:t>L</w:t>
      </w:r>
      <w:r w:rsidRPr="00C610B8">
        <w:rPr>
          <w:sz w:val="20"/>
          <w:szCs w:val="20"/>
        </w:rPr>
        <w:t xml:space="preserve"> 5358-E, Appendix A</w:t>
      </w:r>
      <w:r w:rsidR="004E2285">
        <w:rPr>
          <w:sz w:val="20"/>
          <w:szCs w:val="20"/>
        </w:rPr>
        <w:t>,</w:t>
      </w:r>
      <w:r w:rsidRPr="00C610B8">
        <w:rPr>
          <w:sz w:val="20"/>
          <w:szCs w:val="20"/>
        </w:rPr>
        <w:t xml:space="preserve"> at 9</w:t>
      </w:r>
      <w:r>
        <w:rPr>
          <w:sz w:val="20"/>
          <w:szCs w:val="20"/>
        </w:rPr>
        <w:t>, 15-16 and 18.</w:t>
      </w:r>
    </w:p>
  </w:footnote>
  <w:footnote w:id="168">
    <w:p w14:paraId="7B9C262D" w14:textId="30F27DE6" w:rsidR="00BB5432" w:rsidRPr="004D46F4" w:rsidRDefault="00BB5432" w:rsidP="00213348">
      <w:pPr>
        <w:pStyle w:val="FootnoteText"/>
        <w:spacing w:after="0"/>
        <w:rPr>
          <w:sz w:val="20"/>
          <w:szCs w:val="20"/>
        </w:rPr>
      </w:pPr>
      <w:r w:rsidRPr="004D46F4">
        <w:rPr>
          <w:rStyle w:val="FootnoteReference"/>
          <w:sz w:val="20"/>
          <w:szCs w:val="20"/>
        </w:rPr>
        <w:footnoteRef/>
      </w:r>
      <w:r w:rsidRPr="004D46F4">
        <w:rPr>
          <w:sz w:val="20"/>
          <w:szCs w:val="20"/>
        </w:rPr>
        <w:t xml:space="preserve"> SDG&amp;E AL 4492-E, at </w:t>
      </w:r>
      <w:r w:rsidR="004D46F4" w:rsidRPr="004D46F4">
        <w:rPr>
          <w:sz w:val="20"/>
          <w:szCs w:val="20"/>
        </w:rPr>
        <w:t>12-13.</w:t>
      </w:r>
    </w:p>
  </w:footnote>
  <w:footnote w:id="169">
    <w:p w14:paraId="6C15D7F5" w14:textId="5E7A79D2" w:rsidR="00DD77A6" w:rsidRPr="0033677E" w:rsidRDefault="00DD77A6" w:rsidP="00213348">
      <w:pPr>
        <w:pStyle w:val="FootnoteText"/>
        <w:spacing w:after="0"/>
        <w:rPr>
          <w:sz w:val="20"/>
          <w:szCs w:val="20"/>
        </w:rPr>
      </w:pPr>
      <w:r w:rsidRPr="0033677E">
        <w:rPr>
          <w:rStyle w:val="FootnoteReference"/>
          <w:sz w:val="20"/>
          <w:szCs w:val="20"/>
        </w:rPr>
        <w:footnoteRef/>
      </w:r>
      <w:r w:rsidRPr="0033677E">
        <w:rPr>
          <w:sz w:val="20"/>
          <w:szCs w:val="20"/>
        </w:rPr>
        <w:t xml:space="preserve"> </w:t>
      </w:r>
      <w:r w:rsidR="00142AFC" w:rsidRPr="0033677E">
        <w:rPr>
          <w:sz w:val="20"/>
          <w:szCs w:val="20"/>
        </w:rPr>
        <w:t>E</w:t>
      </w:r>
      <w:r w:rsidR="001F54B0">
        <w:rPr>
          <w:sz w:val="20"/>
          <w:szCs w:val="20"/>
        </w:rPr>
        <w:t xml:space="preserve">nergy </w:t>
      </w:r>
      <w:r w:rsidR="00142AFC" w:rsidRPr="0033677E">
        <w:rPr>
          <w:sz w:val="20"/>
          <w:szCs w:val="20"/>
        </w:rPr>
        <w:t>D</w:t>
      </w:r>
      <w:r w:rsidR="001F54B0">
        <w:rPr>
          <w:sz w:val="20"/>
          <w:szCs w:val="20"/>
        </w:rPr>
        <w:t>ivision</w:t>
      </w:r>
      <w:r w:rsidR="00142AFC" w:rsidRPr="0033677E">
        <w:rPr>
          <w:sz w:val="20"/>
          <w:szCs w:val="20"/>
        </w:rPr>
        <w:t xml:space="preserve"> Data Request #1, </w:t>
      </w:r>
      <w:r w:rsidR="005B4E64" w:rsidRPr="0033677E">
        <w:rPr>
          <w:sz w:val="20"/>
          <w:szCs w:val="20"/>
        </w:rPr>
        <w:t xml:space="preserve">Response </w:t>
      </w:r>
      <w:r w:rsidR="0033677E" w:rsidRPr="0033677E">
        <w:rPr>
          <w:sz w:val="20"/>
          <w:szCs w:val="20"/>
        </w:rPr>
        <w:t>Q5.</w:t>
      </w:r>
    </w:p>
  </w:footnote>
  <w:footnote w:id="170">
    <w:p w14:paraId="78663A72" w14:textId="1EADE420" w:rsidR="00E05D63" w:rsidRPr="005C1855" w:rsidRDefault="00E05D63" w:rsidP="00213348">
      <w:pPr>
        <w:pStyle w:val="FootnoteText"/>
        <w:tabs>
          <w:tab w:val="clear" w:pos="360"/>
        </w:tabs>
        <w:spacing w:after="0"/>
        <w:ind w:left="0" w:firstLine="0"/>
        <w:rPr>
          <w:sz w:val="20"/>
          <w:szCs w:val="20"/>
        </w:rPr>
      </w:pPr>
      <w:r w:rsidRPr="0037735C">
        <w:rPr>
          <w:rStyle w:val="FootnoteReference"/>
          <w:sz w:val="20"/>
          <w:szCs w:val="20"/>
        </w:rPr>
        <w:footnoteRef/>
      </w:r>
      <w:r w:rsidRPr="0037735C">
        <w:rPr>
          <w:sz w:val="20"/>
          <w:szCs w:val="20"/>
        </w:rPr>
        <w:t xml:space="preserve"> D.24-05-028, C</w:t>
      </w:r>
      <w:r w:rsidR="00EE0899">
        <w:rPr>
          <w:sz w:val="20"/>
          <w:szCs w:val="20"/>
        </w:rPr>
        <w:t>OL</w:t>
      </w:r>
      <w:r w:rsidRPr="0037735C">
        <w:rPr>
          <w:sz w:val="20"/>
          <w:szCs w:val="20"/>
        </w:rPr>
        <w:t xml:space="preserve"> 40(c).</w:t>
      </w:r>
    </w:p>
  </w:footnote>
  <w:footnote w:id="171">
    <w:p w14:paraId="608BCD48" w14:textId="167BEFF3" w:rsidR="77DFD902" w:rsidRDefault="77DFD902" w:rsidP="00213348">
      <w:pPr>
        <w:pStyle w:val="FootnoteText"/>
        <w:spacing w:after="0"/>
        <w:rPr>
          <w:sz w:val="20"/>
          <w:szCs w:val="20"/>
        </w:rPr>
      </w:pPr>
      <w:r w:rsidRPr="77DFD902">
        <w:rPr>
          <w:rStyle w:val="FootnoteReference"/>
          <w:sz w:val="20"/>
          <w:szCs w:val="20"/>
        </w:rPr>
        <w:footnoteRef/>
      </w:r>
      <w:r w:rsidRPr="77DFD902">
        <w:rPr>
          <w:sz w:val="20"/>
          <w:szCs w:val="20"/>
        </w:rPr>
        <w:t xml:space="preserve"> SDG&amp;E AL 4492-E, at 18.</w:t>
      </w:r>
    </w:p>
  </w:footnote>
  <w:footnote w:id="172">
    <w:p w14:paraId="4131721E" w14:textId="6CB9BB6B" w:rsidR="77DFD902" w:rsidRDefault="77DFD902" w:rsidP="00213348">
      <w:pPr>
        <w:pStyle w:val="FootnoteText"/>
        <w:spacing w:after="0"/>
        <w:rPr>
          <w:sz w:val="20"/>
          <w:szCs w:val="20"/>
        </w:rPr>
      </w:pPr>
      <w:r w:rsidRPr="77DFD902">
        <w:rPr>
          <w:rStyle w:val="FootnoteReference"/>
          <w:sz w:val="20"/>
          <w:szCs w:val="20"/>
        </w:rPr>
        <w:footnoteRef/>
      </w:r>
      <w:r w:rsidRPr="77DFD902">
        <w:rPr>
          <w:sz w:val="20"/>
          <w:szCs w:val="20"/>
        </w:rPr>
        <w:t xml:space="preserve"> </w:t>
      </w:r>
      <w:r w:rsidR="000608D2">
        <w:rPr>
          <w:sz w:val="20"/>
          <w:szCs w:val="20"/>
        </w:rPr>
        <w:t>Ibid.</w:t>
      </w:r>
      <w:r w:rsidRPr="77DFD902">
        <w:rPr>
          <w:sz w:val="20"/>
          <w:szCs w:val="20"/>
        </w:rPr>
        <w:t>, at 19.</w:t>
      </w:r>
    </w:p>
  </w:footnote>
  <w:footnote w:id="173">
    <w:p w14:paraId="10FE3C3C" w14:textId="3987DA89" w:rsidR="77DFD902" w:rsidRDefault="77DFD902" w:rsidP="00213348">
      <w:pPr>
        <w:pStyle w:val="FootnoteText"/>
        <w:spacing w:after="0"/>
        <w:rPr>
          <w:sz w:val="20"/>
          <w:szCs w:val="20"/>
        </w:rPr>
      </w:pPr>
      <w:r w:rsidRPr="77DFD902">
        <w:rPr>
          <w:rStyle w:val="FootnoteReference"/>
          <w:sz w:val="20"/>
          <w:szCs w:val="20"/>
        </w:rPr>
        <w:footnoteRef/>
      </w:r>
      <w:r w:rsidRPr="77DFD902">
        <w:rPr>
          <w:sz w:val="20"/>
          <w:szCs w:val="20"/>
        </w:rPr>
        <w:t xml:space="preserve"> SDG&amp;E AL 4492-E, at 6.</w:t>
      </w:r>
    </w:p>
  </w:footnote>
  <w:footnote w:id="174">
    <w:p w14:paraId="107C9233" w14:textId="5424BD7F" w:rsidR="000E5E5F" w:rsidRPr="001B7305" w:rsidRDefault="000E5E5F" w:rsidP="00213348">
      <w:pPr>
        <w:pStyle w:val="FootnoteText"/>
        <w:tabs>
          <w:tab w:val="clear" w:pos="360"/>
        </w:tabs>
        <w:spacing w:after="0"/>
        <w:ind w:left="0" w:firstLine="0"/>
        <w:rPr>
          <w:sz w:val="20"/>
          <w:szCs w:val="20"/>
        </w:rPr>
      </w:pPr>
      <w:r w:rsidRPr="001B7305">
        <w:rPr>
          <w:rStyle w:val="FootnoteReference"/>
          <w:sz w:val="20"/>
          <w:szCs w:val="20"/>
        </w:rPr>
        <w:footnoteRef/>
      </w:r>
      <w:r w:rsidRPr="001B7305">
        <w:rPr>
          <w:sz w:val="20"/>
          <w:szCs w:val="20"/>
        </w:rPr>
        <w:t xml:space="preserve"> </w:t>
      </w:r>
      <w:r w:rsidR="00965858">
        <w:rPr>
          <w:sz w:val="20"/>
          <w:szCs w:val="20"/>
        </w:rPr>
        <w:t>D.24-05-028</w:t>
      </w:r>
      <w:r w:rsidR="003C7D75">
        <w:rPr>
          <w:sz w:val="20"/>
          <w:szCs w:val="20"/>
        </w:rPr>
        <w:t>,</w:t>
      </w:r>
      <w:r w:rsidR="00965858">
        <w:rPr>
          <w:sz w:val="20"/>
          <w:szCs w:val="20"/>
        </w:rPr>
        <w:t xml:space="preserve"> at 106.</w:t>
      </w:r>
    </w:p>
  </w:footnote>
  <w:footnote w:id="175">
    <w:p w14:paraId="70449F9A" w14:textId="50FFF76F" w:rsidR="0077065A" w:rsidRPr="0077065A" w:rsidRDefault="0077065A" w:rsidP="00213348">
      <w:pPr>
        <w:pStyle w:val="FootnoteText"/>
        <w:spacing w:after="0"/>
        <w:rPr>
          <w:sz w:val="20"/>
          <w:szCs w:val="20"/>
        </w:rPr>
      </w:pPr>
      <w:r w:rsidRPr="0077065A">
        <w:rPr>
          <w:rStyle w:val="FootnoteReference"/>
          <w:sz w:val="20"/>
          <w:szCs w:val="20"/>
        </w:rPr>
        <w:footnoteRef/>
      </w:r>
      <w:r w:rsidRPr="0077065A">
        <w:rPr>
          <w:sz w:val="20"/>
          <w:szCs w:val="20"/>
        </w:rPr>
        <w:t xml:space="preserve"> TURN/NRDC Protest, at 6.</w:t>
      </w:r>
    </w:p>
  </w:footnote>
  <w:footnote w:id="176">
    <w:p w14:paraId="068B9499" w14:textId="41F720A8" w:rsidR="00794334" w:rsidRPr="00D14A01" w:rsidRDefault="00794334" w:rsidP="00213348">
      <w:pPr>
        <w:pStyle w:val="FootnoteText"/>
        <w:spacing w:after="0"/>
        <w:rPr>
          <w:sz w:val="20"/>
          <w:szCs w:val="20"/>
        </w:rPr>
      </w:pPr>
      <w:r w:rsidRPr="00D14A01">
        <w:rPr>
          <w:rStyle w:val="FootnoteReference"/>
          <w:sz w:val="20"/>
          <w:szCs w:val="20"/>
        </w:rPr>
        <w:footnoteRef/>
      </w:r>
      <w:r w:rsidRPr="00D14A01">
        <w:rPr>
          <w:sz w:val="20"/>
          <w:szCs w:val="20"/>
        </w:rPr>
        <w:t xml:space="preserve"> </w:t>
      </w:r>
      <w:r w:rsidR="00537FFC" w:rsidRPr="00D14A01">
        <w:rPr>
          <w:sz w:val="20"/>
          <w:szCs w:val="20"/>
        </w:rPr>
        <w:t xml:space="preserve">SDG&amp;E AL </w:t>
      </w:r>
      <w:r w:rsidR="00B077A4" w:rsidRPr="00D14A01">
        <w:rPr>
          <w:sz w:val="20"/>
          <w:szCs w:val="20"/>
        </w:rPr>
        <w:t>44</w:t>
      </w:r>
      <w:r w:rsidR="00117CB6">
        <w:rPr>
          <w:sz w:val="20"/>
          <w:szCs w:val="20"/>
        </w:rPr>
        <w:t>9</w:t>
      </w:r>
      <w:r w:rsidR="00B077A4" w:rsidRPr="00D14A01">
        <w:rPr>
          <w:sz w:val="20"/>
          <w:szCs w:val="20"/>
        </w:rPr>
        <w:t xml:space="preserve">2-E, at </w:t>
      </w:r>
      <w:r w:rsidR="00FB4800" w:rsidRPr="00D14A01">
        <w:rPr>
          <w:sz w:val="20"/>
          <w:szCs w:val="20"/>
        </w:rPr>
        <w:t>16</w:t>
      </w:r>
      <w:r w:rsidR="006E7703" w:rsidRPr="00D14A01">
        <w:rPr>
          <w:sz w:val="20"/>
          <w:szCs w:val="20"/>
        </w:rPr>
        <w:t>.</w:t>
      </w:r>
    </w:p>
  </w:footnote>
  <w:footnote w:id="177">
    <w:p w14:paraId="051CCB8B" w14:textId="051FFDCB" w:rsidR="000440C7" w:rsidRPr="008208AE" w:rsidRDefault="000440C7" w:rsidP="00213348">
      <w:pPr>
        <w:pStyle w:val="FootnoteText"/>
        <w:spacing w:after="0"/>
        <w:rPr>
          <w:sz w:val="20"/>
          <w:szCs w:val="20"/>
        </w:rPr>
      </w:pPr>
      <w:r w:rsidRPr="008208AE">
        <w:rPr>
          <w:rStyle w:val="FootnoteReference"/>
          <w:sz w:val="20"/>
          <w:szCs w:val="20"/>
        </w:rPr>
        <w:footnoteRef/>
      </w:r>
      <w:r w:rsidRPr="008208AE">
        <w:rPr>
          <w:sz w:val="20"/>
          <w:szCs w:val="20"/>
        </w:rPr>
        <w:t xml:space="preserve"> </w:t>
      </w:r>
      <w:r w:rsidR="008208AE" w:rsidRPr="008208AE">
        <w:rPr>
          <w:sz w:val="20"/>
          <w:szCs w:val="20"/>
        </w:rPr>
        <w:t>Ibid.</w:t>
      </w:r>
      <w:r w:rsidRPr="008208AE">
        <w:rPr>
          <w:sz w:val="20"/>
          <w:szCs w:val="20"/>
        </w:rPr>
        <w:t>, at 16.</w:t>
      </w:r>
    </w:p>
  </w:footnote>
  <w:footnote w:id="178">
    <w:p w14:paraId="4E9E06C6" w14:textId="289844B8" w:rsidR="00BC6D83" w:rsidRPr="00A70460" w:rsidRDefault="00BC6D83" w:rsidP="00213348">
      <w:pPr>
        <w:pStyle w:val="FootnoteText"/>
        <w:spacing w:after="0"/>
        <w:rPr>
          <w:sz w:val="20"/>
          <w:szCs w:val="20"/>
        </w:rPr>
      </w:pPr>
      <w:r w:rsidRPr="00BE505D">
        <w:rPr>
          <w:rStyle w:val="FootnoteReference"/>
          <w:sz w:val="20"/>
          <w:szCs w:val="20"/>
        </w:rPr>
        <w:footnoteRef/>
      </w:r>
      <w:r w:rsidR="008208AE" w:rsidRPr="008208AE">
        <w:rPr>
          <w:sz w:val="20"/>
          <w:szCs w:val="20"/>
        </w:rPr>
        <w:t xml:space="preserve"> Ibid., at 4.</w:t>
      </w:r>
    </w:p>
  </w:footnote>
  <w:footnote w:id="179">
    <w:p w14:paraId="24583FC7" w14:textId="3D7FF61A" w:rsidR="00A85B44" w:rsidRPr="00A85B44" w:rsidRDefault="00A85B44" w:rsidP="00213348">
      <w:pPr>
        <w:pStyle w:val="FootnoteText"/>
        <w:tabs>
          <w:tab w:val="clear" w:pos="360"/>
        </w:tabs>
        <w:spacing w:after="0"/>
        <w:ind w:left="0" w:firstLine="0"/>
        <w:rPr>
          <w:sz w:val="20"/>
          <w:szCs w:val="20"/>
        </w:rPr>
      </w:pPr>
      <w:r w:rsidRPr="00A85B44">
        <w:rPr>
          <w:rStyle w:val="FootnoteReference"/>
          <w:sz w:val="20"/>
          <w:szCs w:val="20"/>
        </w:rPr>
        <w:footnoteRef/>
      </w:r>
      <w:r w:rsidRPr="00A85B44">
        <w:rPr>
          <w:sz w:val="20"/>
          <w:szCs w:val="20"/>
        </w:rPr>
        <w:t xml:space="preserve"> SDG&amp;E AL 4492-E, at </w:t>
      </w:r>
      <w:r w:rsidR="00342473">
        <w:rPr>
          <w:sz w:val="20"/>
          <w:szCs w:val="20"/>
        </w:rPr>
        <w:t>16</w:t>
      </w:r>
      <w:r w:rsidRPr="00A85B44">
        <w:rPr>
          <w:sz w:val="20"/>
          <w:szCs w:val="20"/>
        </w:rPr>
        <w:t>.</w:t>
      </w:r>
    </w:p>
  </w:footnote>
  <w:footnote w:id="180">
    <w:p w14:paraId="1E2E2C25" w14:textId="02D0CD99" w:rsidR="001B070A" w:rsidRPr="00DA77E1" w:rsidRDefault="00DA77E1" w:rsidP="00213348">
      <w:pPr>
        <w:pStyle w:val="FootnoteText"/>
        <w:spacing w:after="0"/>
        <w:rPr>
          <w:sz w:val="20"/>
          <w:szCs w:val="20"/>
        </w:rPr>
      </w:pPr>
      <w:r w:rsidRPr="00DA77E1">
        <w:rPr>
          <w:rStyle w:val="FootnoteReference"/>
          <w:sz w:val="20"/>
          <w:szCs w:val="20"/>
        </w:rPr>
        <w:footnoteRef/>
      </w:r>
      <w:r w:rsidRPr="00DA77E1">
        <w:rPr>
          <w:sz w:val="20"/>
          <w:szCs w:val="20"/>
        </w:rPr>
        <w:t xml:space="preserve"> Cal Advocates Protest, at </w:t>
      </w:r>
      <w:r w:rsidR="006D06E1">
        <w:rPr>
          <w:sz w:val="20"/>
          <w:szCs w:val="20"/>
        </w:rPr>
        <w:t>4-5.</w:t>
      </w:r>
    </w:p>
  </w:footnote>
  <w:footnote w:id="181">
    <w:p w14:paraId="2BAC9F38" w14:textId="06E0DE1C" w:rsidR="77DFD902" w:rsidRDefault="77DFD902" w:rsidP="00213348">
      <w:pPr>
        <w:pStyle w:val="FootnoteText"/>
        <w:spacing w:after="0"/>
        <w:rPr>
          <w:sz w:val="20"/>
          <w:szCs w:val="20"/>
        </w:rPr>
      </w:pPr>
      <w:r w:rsidRPr="77DFD902">
        <w:rPr>
          <w:rStyle w:val="FootnoteReference"/>
          <w:sz w:val="20"/>
          <w:szCs w:val="20"/>
        </w:rPr>
        <w:footnoteRef/>
      </w:r>
      <w:r w:rsidRPr="77DFD902">
        <w:rPr>
          <w:sz w:val="20"/>
          <w:szCs w:val="20"/>
        </w:rPr>
        <w:t xml:space="preserve"> E</w:t>
      </w:r>
      <w:r w:rsidR="00055C19">
        <w:rPr>
          <w:sz w:val="20"/>
          <w:szCs w:val="20"/>
        </w:rPr>
        <w:t>nergy Division</w:t>
      </w:r>
      <w:r w:rsidRPr="77DFD902">
        <w:rPr>
          <w:sz w:val="20"/>
          <w:szCs w:val="20"/>
        </w:rPr>
        <w:t xml:space="preserve"> Data Request: SDG&amp;E Response Q.09, SCE Response Q.09, and PG&amp;E Response Q.17.</w:t>
      </w:r>
    </w:p>
  </w:footnote>
  <w:footnote w:id="182">
    <w:p w14:paraId="3EA09134" w14:textId="524721B2" w:rsidR="006B61AA" w:rsidRPr="006B61AA" w:rsidRDefault="006B61AA" w:rsidP="00213348">
      <w:pPr>
        <w:pStyle w:val="FootnoteText"/>
        <w:spacing w:after="0"/>
        <w:rPr>
          <w:sz w:val="20"/>
          <w:szCs w:val="20"/>
        </w:rPr>
      </w:pPr>
      <w:r w:rsidRPr="006B61AA">
        <w:rPr>
          <w:rStyle w:val="FootnoteReference"/>
          <w:sz w:val="20"/>
          <w:szCs w:val="20"/>
        </w:rPr>
        <w:footnoteRef/>
      </w:r>
      <w:r w:rsidRPr="006B61AA">
        <w:rPr>
          <w:sz w:val="20"/>
          <w:szCs w:val="20"/>
        </w:rPr>
        <w:t xml:space="preserve"> D.24-05-028, at 97.</w:t>
      </w:r>
    </w:p>
  </w:footnote>
  <w:footnote w:id="183">
    <w:p w14:paraId="0256C372" w14:textId="2BAA5E7C" w:rsidR="002B11F7" w:rsidRPr="005158E0" w:rsidRDefault="002B11F7" w:rsidP="00213348">
      <w:pPr>
        <w:pStyle w:val="FootnoteText"/>
        <w:spacing w:after="0"/>
        <w:rPr>
          <w:sz w:val="20"/>
          <w:szCs w:val="20"/>
        </w:rPr>
      </w:pPr>
      <w:r w:rsidRPr="005158E0">
        <w:rPr>
          <w:rStyle w:val="FootnoteReference"/>
          <w:sz w:val="20"/>
          <w:szCs w:val="20"/>
        </w:rPr>
        <w:footnoteRef/>
      </w:r>
      <w:r w:rsidRPr="005158E0">
        <w:rPr>
          <w:sz w:val="20"/>
          <w:szCs w:val="20"/>
        </w:rPr>
        <w:t xml:space="preserve"> SDG&amp;E AL 4492-E, at 16-18.</w:t>
      </w:r>
    </w:p>
  </w:footnote>
  <w:footnote w:id="184">
    <w:p w14:paraId="12A1CCA3" w14:textId="7A619B76" w:rsidR="008A6AE0" w:rsidRPr="00DD1BD2" w:rsidRDefault="008A6AE0" w:rsidP="00213348">
      <w:pPr>
        <w:pStyle w:val="FootnoteText"/>
        <w:tabs>
          <w:tab w:val="clear" w:pos="360"/>
        </w:tabs>
        <w:spacing w:after="0"/>
        <w:ind w:left="0" w:firstLine="0"/>
        <w:rPr>
          <w:sz w:val="20"/>
          <w:szCs w:val="20"/>
        </w:rPr>
      </w:pPr>
      <w:r w:rsidRPr="00151BAC">
        <w:rPr>
          <w:rStyle w:val="FootnoteReference"/>
          <w:sz w:val="20"/>
          <w:szCs w:val="20"/>
        </w:rPr>
        <w:footnoteRef/>
      </w:r>
      <w:r w:rsidRPr="00151BAC">
        <w:rPr>
          <w:sz w:val="20"/>
          <w:szCs w:val="20"/>
        </w:rPr>
        <w:t xml:space="preserve"> SDG&amp;E AL 4492-E-B</w:t>
      </w:r>
      <w:r w:rsidR="004A0471" w:rsidRPr="00151BAC">
        <w:rPr>
          <w:sz w:val="20"/>
          <w:szCs w:val="20"/>
        </w:rPr>
        <w:t>,</w:t>
      </w:r>
      <w:r w:rsidR="000C367C" w:rsidRPr="00151BAC">
        <w:rPr>
          <w:sz w:val="20"/>
          <w:szCs w:val="20"/>
        </w:rPr>
        <w:t xml:space="preserve"> at </w:t>
      </w:r>
      <w:r w:rsidR="00F9392C">
        <w:rPr>
          <w:sz w:val="20"/>
          <w:szCs w:val="20"/>
        </w:rPr>
        <w:t>2</w:t>
      </w:r>
      <w:r w:rsidR="001E09DC">
        <w:rPr>
          <w:sz w:val="20"/>
          <w:szCs w:val="20"/>
        </w:rPr>
        <w:t>,</w:t>
      </w:r>
      <w:r w:rsidR="00C62265" w:rsidRPr="001E446A">
        <w:rPr>
          <w:sz w:val="20"/>
          <w:szCs w:val="20"/>
        </w:rPr>
        <w:t xml:space="preserve"> </w:t>
      </w:r>
      <w:r w:rsidR="00C62265" w:rsidRPr="00151BAC">
        <w:rPr>
          <w:sz w:val="20"/>
          <w:szCs w:val="20"/>
        </w:rPr>
        <w:t>reduce</w:t>
      </w:r>
      <w:r w:rsidR="00957C28">
        <w:rPr>
          <w:sz w:val="20"/>
          <w:szCs w:val="20"/>
        </w:rPr>
        <w:t>d</w:t>
      </w:r>
      <w:r w:rsidR="00C62265" w:rsidRPr="00151BAC">
        <w:rPr>
          <w:sz w:val="20"/>
          <w:szCs w:val="20"/>
        </w:rPr>
        <w:t xml:space="preserve"> the total budget for Outreach/CBO from $250,000 to </w:t>
      </w:r>
      <w:r w:rsidR="00911FB4" w:rsidRPr="00151BAC">
        <w:rPr>
          <w:sz w:val="20"/>
          <w:szCs w:val="20"/>
        </w:rPr>
        <w:t>$2</w:t>
      </w:r>
      <w:r w:rsidR="00C62265" w:rsidRPr="00151BAC">
        <w:rPr>
          <w:sz w:val="20"/>
          <w:szCs w:val="20"/>
        </w:rPr>
        <w:t>40,000.</w:t>
      </w:r>
    </w:p>
  </w:footnote>
  <w:footnote w:id="185">
    <w:p w14:paraId="14419144" w14:textId="036190A2" w:rsidR="00B86C74" w:rsidRPr="00DD1BD2" w:rsidRDefault="00B86C74" w:rsidP="00213348">
      <w:pPr>
        <w:pStyle w:val="FootnoteText"/>
        <w:tabs>
          <w:tab w:val="clear" w:pos="360"/>
        </w:tabs>
        <w:spacing w:after="0"/>
        <w:ind w:left="0" w:firstLine="0"/>
        <w:rPr>
          <w:sz w:val="20"/>
          <w:szCs w:val="20"/>
        </w:rPr>
      </w:pPr>
      <w:r w:rsidRPr="00151BAC">
        <w:rPr>
          <w:rStyle w:val="FootnoteReference"/>
          <w:sz w:val="20"/>
          <w:szCs w:val="20"/>
        </w:rPr>
        <w:footnoteRef/>
      </w:r>
      <w:r w:rsidRPr="00151BAC">
        <w:rPr>
          <w:sz w:val="20"/>
          <w:szCs w:val="20"/>
        </w:rPr>
        <w:t xml:space="preserve"> </w:t>
      </w:r>
      <w:r w:rsidR="00F9392C">
        <w:rPr>
          <w:sz w:val="20"/>
          <w:szCs w:val="20"/>
        </w:rPr>
        <w:t>Ibid.</w:t>
      </w:r>
      <w:r w:rsidRPr="00151BAC">
        <w:rPr>
          <w:sz w:val="20"/>
          <w:szCs w:val="20"/>
        </w:rPr>
        <w:t xml:space="preserve">, at </w:t>
      </w:r>
      <w:r w:rsidR="00F9392C">
        <w:rPr>
          <w:sz w:val="20"/>
          <w:szCs w:val="20"/>
        </w:rPr>
        <w:t>2</w:t>
      </w:r>
      <w:r w:rsidR="001E09DC">
        <w:rPr>
          <w:sz w:val="20"/>
          <w:szCs w:val="20"/>
        </w:rPr>
        <w:t>,</w:t>
      </w:r>
      <w:r w:rsidRPr="001E446A">
        <w:rPr>
          <w:sz w:val="20"/>
          <w:szCs w:val="20"/>
        </w:rPr>
        <w:t xml:space="preserve"> </w:t>
      </w:r>
      <w:r w:rsidRPr="00151BAC">
        <w:rPr>
          <w:sz w:val="20"/>
          <w:szCs w:val="20"/>
        </w:rPr>
        <w:t>reduce</w:t>
      </w:r>
      <w:r w:rsidR="006207AE">
        <w:rPr>
          <w:sz w:val="20"/>
          <w:szCs w:val="20"/>
        </w:rPr>
        <w:t>d</w:t>
      </w:r>
      <w:r w:rsidRPr="00151BAC">
        <w:rPr>
          <w:sz w:val="20"/>
          <w:szCs w:val="20"/>
        </w:rPr>
        <w:t xml:space="preserve"> the total budget for </w:t>
      </w:r>
      <w:r w:rsidR="00822A64">
        <w:rPr>
          <w:sz w:val="20"/>
          <w:szCs w:val="20"/>
        </w:rPr>
        <w:t>Direct Communications</w:t>
      </w:r>
      <w:r w:rsidRPr="00151BAC">
        <w:rPr>
          <w:sz w:val="20"/>
          <w:szCs w:val="20"/>
        </w:rPr>
        <w:t xml:space="preserve"> from $</w:t>
      </w:r>
      <w:r w:rsidR="00822A64">
        <w:rPr>
          <w:sz w:val="20"/>
          <w:szCs w:val="20"/>
        </w:rPr>
        <w:t>985,000</w:t>
      </w:r>
      <w:r w:rsidRPr="00151BAC">
        <w:rPr>
          <w:sz w:val="20"/>
          <w:szCs w:val="20"/>
        </w:rPr>
        <w:t xml:space="preserve"> to $</w:t>
      </w:r>
      <w:r w:rsidR="00822A64">
        <w:rPr>
          <w:sz w:val="20"/>
          <w:szCs w:val="20"/>
        </w:rPr>
        <w:t>970</w:t>
      </w:r>
      <w:r w:rsidR="0014182A">
        <w:rPr>
          <w:sz w:val="20"/>
          <w:szCs w:val="20"/>
        </w:rPr>
        <w:t>,320</w:t>
      </w:r>
      <w:r w:rsidRPr="00151BAC">
        <w:rPr>
          <w:sz w:val="20"/>
          <w:szCs w:val="20"/>
        </w:rPr>
        <w:t>.</w:t>
      </w:r>
    </w:p>
  </w:footnote>
  <w:footnote w:id="186">
    <w:p w14:paraId="3E0FE5DD" w14:textId="22B0142C" w:rsidR="00181CD2" w:rsidRPr="00DD1BD2" w:rsidRDefault="00181CD2" w:rsidP="00213348">
      <w:pPr>
        <w:pStyle w:val="FootnoteText"/>
        <w:tabs>
          <w:tab w:val="clear" w:pos="360"/>
        </w:tabs>
        <w:spacing w:after="0"/>
        <w:ind w:left="0" w:firstLine="0"/>
        <w:rPr>
          <w:sz w:val="20"/>
          <w:szCs w:val="20"/>
        </w:rPr>
      </w:pPr>
      <w:r w:rsidRPr="00151BAC">
        <w:rPr>
          <w:rStyle w:val="FootnoteReference"/>
          <w:sz w:val="20"/>
          <w:szCs w:val="20"/>
        </w:rPr>
        <w:footnoteRef/>
      </w:r>
      <w:r w:rsidRPr="00151BAC">
        <w:rPr>
          <w:sz w:val="20"/>
          <w:szCs w:val="20"/>
        </w:rPr>
        <w:t xml:space="preserve"> </w:t>
      </w:r>
      <w:r w:rsidR="00F9392C">
        <w:rPr>
          <w:sz w:val="20"/>
          <w:szCs w:val="20"/>
        </w:rPr>
        <w:t>Ibid.</w:t>
      </w:r>
      <w:r w:rsidRPr="00151BAC">
        <w:rPr>
          <w:sz w:val="20"/>
          <w:szCs w:val="20"/>
        </w:rPr>
        <w:t xml:space="preserve">, at </w:t>
      </w:r>
      <w:r w:rsidR="00F9392C">
        <w:rPr>
          <w:sz w:val="20"/>
          <w:szCs w:val="20"/>
        </w:rPr>
        <w:t>2</w:t>
      </w:r>
      <w:r w:rsidR="001E09DC">
        <w:rPr>
          <w:sz w:val="20"/>
          <w:szCs w:val="20"/>
        </w:rPr>
        <w:t>,</w:t>
      </w:r>
      <w:r w:rsidRPr="001E446A">
        <w:rPr>
          <w:sz w:val="20"/>
          <w:szCs w:val="20"/>
        </w:rPr>
        <w:t xml:space="preserve"> </w:t>
      </w:r>
      <w:r w:rsidRPr="00151BAC">
        <w:rPr>
          <w:sz w:val="20"/>
          <w:szCs w:val="20"/>
        </w:rPr>
        <w:t>reduce</w:t>
      </w:r>
      <w:r w:rsidR="006207AE">
        <w:rPr>
          <w:sz w:val="20"/>
          <w:szCs w:val="20"/>
        </w:rPr>
        <w:t>d</w:t>
      </w:r>
      <w:r w:rsidRPr="00151BAC">
        <w:rPr>
          <w:sz w:val="20"/>
          <w:szCs w:val="20"/>
        </w:rPr>
        <w:t xml:space="preserve"> the total budget for </w:t>
      </w:r>
      <w:r w:rsidR="00D623F4">
        <w:rPr>
          <w:sz w:val="20"/>
          <w:szCs w:val="20"/>
        </w:rPr>
        <w:t>Internal Labor</w:t>
      </w:r>
      <w:r w:rsidRPr="00151BAC">
        <w:rPr>
          <w:sz w:val="20"/>
          <w:szCs w:val="20"/>
        </w:rPr>
        <w:t xml:space="preserve"> from $</w:t>
      </w:r>
      <w:r w:rsidR="00D623F4">
        <w:rPr>
          <w:sz w:val="20"/>
          <w:szCs w:val="20"/>
        </w:rPr>
        <w:t>480</w:t>
      </w:r>
      <w:r w:rsidRPr="00151BAC">
        <w:rPr>
          <w:sz w:val="20"/>
          <w:szCs w:val="20"/>
        </w:rPr>
        <w:t>,000 to $</w:t>
      </w:r>
      <w:r w:rsidR="00E65CFE">
        <w:rPr>
          <w:sz w:val="20"/>
          <w:szCs w:val="20"/>
        </w:rPr>
        <w:t>477,000</w:t>
      </w:r>
      <w:r w:rsidR="00E65CFE" w:rsidRPr="00151BAC">
        <w:rPr>
          <w:sz w:val="20"/>
          <w:szCs w:val="20"/>
        </w:rPr>
        <w:t>.</w:t>
      </w:r>
    </w:p>
  </w:footnote>
  <w:footnote w:id="187">
    <w:p w14:paraId="6306D370" w14:textId="23121225" w:rsidR="003C2195" w:rsidRPr="003C2195" w:rsidRDefault="003C2195" w:rsidP="00213348">
      <w:pPr>
        <w:pStyle w:val="FootnoteText"/>
        <w:spacing w:after="0"/>
        <w:rPr>
          <w:sz w:val="20"/>
          <w:szCs w:val="20"/>
        </w:rPr>
      </w:pPr>
      <w:r w:rsidRPr="003C2195">
        <w:rPr>
          <w:rStyle w:val="FootnoteReference"/>
          <w:sz w:val="20"/>
          <w:szCs w:val="20"/>
        </w:rPr>
        <w:footnoteRef/>
      </w:r>
      <w:r w:rsidRPr="003C2195">
        <w:rPr>
          <w:sz w:val="20"/>
          <w:szCs w:val="20"/>
        </w:rPr>
        <w:t xml:space="preserve"> SDG&amp;E AL 4492-E, at 16-17.</w:t>
      </w:r>
    </w:p>
  </w:footnote>
  <w:footnote w:id="188">
    <w:p w14:paraId="439FD233" w14:textId="4CEECBF0" w:rsidR="004E01A3" w:rsidRPr="00C42D7B" w:rsidRDefault="004E01A3" w:rsidP="00213348">
      <w:pPr>
        <w:pStyle w:val="FootnoteText"/>
        <w:spacing w:after="0"/>
        <w:rPr>
          <w:sz w:val="20"/>
          <w:szCs w:val="20"/>
        </w:rPr>
      </w:pPr>
      <w:r w:rsidRPr="00C42D7B">
        <w:rPr>
          <w:rStyle w:val="FootnoteReference"/>
          <w:sz w:val="20"/>
          <w:szCs w:val="20"/>
        </w:rPr>
        <w:footnoteRef/>
      </w:r>
      <w:r w:rsidRPr="00C42D7B">
        <w:rPr>
          <w:sz w:val="20"/>
          <w:szCs w:val="20"/>
        </w:rPr>
        <w:t xml:space="preserve"> </w:t>
      </w:r>
      <w:r w:rsidR="009954B2" w:rsidRPr="00C42D7B">
        <w:rPr>
          <w:sz w:val="20"/>
          <w:szCs w:val="20"/>
        </w:rPr>
        <w:t xml:space="preserve">SDG&amp;E </w:t>
      </w:r>
      <w:r w:rsidR="00991AA6">
        <w:rPr>
          <w:sz w:val="20"/>
          <w:szCs w:val="20"/>
        </w:rPr>
        <w:t>Protest Reply</w:t>
      </w:r>
      <w:r w:rsidR="00C42D7B" w:rsidRPr="00C42D7B">
        <w:rPr>
          <w:sz w:val="20"/>
          <w:szCs w:val="20"/>
        </w:rPr>
        <w:t>, at 2.</w:t>
      </w:r>
    </w:p>
  </w:footnote>
  <w:footnote w:id="189">
    <w:p w14:paraId="494D273D" w14:textId="1ED44D9C" w:rsidR="00621F4D" w:rsidRPr="0096549F" w:rsidRDefault="00621F4D" w:rsidP="00213348">
      <w:pPr>
        <w:pStyle w:val="FootnoteText"/>
        <w:spacing w:after="0"/>
        <w:rPr>
          <w:sz w:val="20"/>
          <w:szCs w:val="20"/>
        </w:rPr>
      </w:pPr>
      <w:r w:rsidRPr="0096549F">
        <w:rPr>
          <w:rStyle w:val="FootnoteReference"/>
          <w:sz w:val="20"/>
          <w:szCs w:val="20"/>
        </w:rPr>
        <w:footnoteRef/>
      </w:r>
      <w:r w:rsidRPr="0096549F">
        <w:rPr>
          <w:sz w:val="20"/>
          <w:szCs w:val="20"/>
        </w:rPr>
        <w:t xml:space="preserve"> </w:t>
      </w:r>
      <w:r w:rsidR="00085E3F" w:rsidRPr="0096549F">
        <w:rPr>
          <w:sz w:val="20"/>
          <w:szCs w:val="20"/>
        </w:rPr>
        <w:t xml:space="preserve">Cal Advocates Protest, </w:t>
      </w:r>
      <w:r w:rsidR="00EC5A13" w:rsidRPr="0096549F">
        <w:rPr>
          <w:sz w:val="20"/>
          <w:szCs w:val="20"/>
        </w:rPr>
        <w:t xml:space="preserve">Attachment </w:t>
      </w:r>
      <w:r w:rsidR="00B44A47" w:rsidRPr="0096549F">
        <w:rPr>
          <w:sz w:val="20"/>
          <w:szCs w:val="20"/>
        </w:rPr>
        <w:t>2.</w:t>
      </w:r>
    </w:p>
  </w:footnote>
  <w:footnote w:id="190">
    <w:p w14:paraId="07364968" w14:textId="2DDF88B5" w:rsidR="1EFCCE66" w:rsidRDefault="1EFCCE66" w:rsidP="00213348">
      <w:pPr>
        <w:pStyle w:val="FootnoteText"/>
        <w:spacing w:after="0"/>
        <w:rPr>
          <w:sz w:val="20"/>
          <w:szCs w:val="20"/>
        </w:rPr>
      </w:pPr>
      <w:r w:rsidRPr="1EFCCE66">
        <w:rPr>
          <w:rStyle w:val="FootnoteReference"/>
          <w:sz w:val="20"/>
          <w:szCs w:val="20"/>
        </w:rPr>
        <w:footnoteRef/>
      </w:r>
      <w:r w:rsidRPr="1EFCCE66">
        <w:rPr>
          <w:sz w:val="20"/>
          <w:szCs w:val="20"/>
        </w:rPr>
        <w:t xml:space="preserve"> SDG&amp;E Protest Reply, at 2.</w:t>
      </w:r>
    </w:p>
  </w:footnote>
  <w:footnote w:id="191">
    <w:p w14:paraId="65924D96" w14:textId="5FB1DBCE" w:rsidR="004E01A3" w:rsidRPr="009121EF" w:rsidRDefault="004E01A3" w:rsidP="00213348">
      <w:pPr>
        <w:pStyle w:val="FootnoteText"/>
        <w:spacing w:after="0"/>
        <w:rPr>
          <w:sz w:val="20"/>
          <w:szCs w:val="20"/>
        </w:rPr>
      </w:pPr>
      <w:r w:rsidRPr="009121EF">
        <w:rPr>
          <w:rStyle w:val="FootnoteReference"/>
          <w:sz w:val="20"/>
          <w:szCs w:val="20"/>
        </w:rPr>
        <w:footnoteRef/>
      </w:r>
      <w:r w:rsidRPr="009121EF">
        <w:rPr>
          <w:sz w:val="20"/>
          <w:szCs w:val="20"/>
        </w:rPr>
        <w:t xml:space="preserve"> </w:t>
      </w:r>
      <w:r w:rsidR="00854C88">
        <w:rPr>
          <w:sz w:val="20"/>
          <w:szCs w:val="20"/>
        </w:rPr>
        <w:t>Ibid., at</w:t>
      </w:r>
      <w:r w:rsidR="009121EF">
        <w:rPr>
          <w:sz w:val="20"/>
          <w:szCs w:val="20"/>
        </w:rPr>
        <w:t xml:space="preserve"> 2.</w:t>
      </w:r>
    </w:p>
  </w:footnote>
  <w:footnote w:id="192">
    <w:p w14:paraId="35D4156D" w14:textId="7CD14E32" w:rsidR="00F81733" w:rsidRPr="00D677A7" w:rsidRDefault="00F81733" w:rsidP="00213348">
      <w:pPr>
        <w:pStyle w:val="FootnoteText"/>
        <w:spacing w:after="0"/>
        <w:rPr>
          <w:sz w:val="20"/>
          <w:szCs w:val="20"/>
        </w:rPr>
      </w:pPr>
      <w:r w:rsidRPr="00D677A7">
        <w:rPr>
          <w:rStyle w:val="FootnoteReference"/>
          <w:sz w:val="20"/>
          <w:szCs w:val="20"/>
        </w:rPr>
        <w:footnoteRef/>
      </w:r>
      <w:r w:rsidRPr="00D677A7">
        <w:rPr>
          <w:sz w:val="20"/>
          <w:szCs w:val="20"/>
        </w:rPr>
        <w:t xml:space="preserve"> </w:t>
      </w:r>
      <w:r w:rsidR="00926883" w:rsidRPr="00D677A7">
        <w:rPr>
          <w:sz w:val="20"/>
          <w:szCs w:val="20"/>
        </w:rPr>
        <w:t>D.24-05-028, OP 2.</w:t>
      </w:r>
    </w:p>
  </w:footnote>
  <w:footnote w:id="193">
    <w:p w14:paraId="6EA4745C" w14:textId="04B1C336" w:rsidR="00F81733" w:rsidRPr="00A70460" w:rsidRDefault="00F81733" w:rsidP="00213348">
      <w:pPr>
        <w:pStyle w:val="FootnoteText"/>
        <w:spacing w:after="0"/>
        <w:rPr>
          <w:sz w:val="20"/>
          <w:szCs w:val="20"/>
        </w:rPr>
      </w:pPr>
      <w:r w:rsidRPr="00D677A7">
        <w:rPr>
          <w:rStyle w:val="FootnoteReference"/>
          <w:sz w:val="20"/>
          <w:szCs w:val="20"/>
        </w:rPr>
        <w:footnoteRef/>
      </w:r>
      <w:r w:rsidRPr="00D677A7">
        <w:rPr>
          <w:sz w:val="20"/>
          <w:szCs w:val="20"/>
        </w:rPr>
        <w:t xml:space="preserve"> </w:t>
      </w:r>
      <w:r w:rsidR="00D677A7" w:rsidRPr="00D677A7">
        <w:rPr>
          <w:sz w:val="20"/>
          <w:szCs w:val="20"/>
        </w:rPr>
        <w:t>PG&amp;E 7351-E, at 60-61.</w:t>
      </w:r>
    </w:p>
  </w:footnote>
  <w:footnote w:id="194">
    <w:p w14:paraId="4DB5691B" w14:textId="6C70C8A2" w:rsidR="00CA0199" w:rsidRPr="00CA0199" w:rsidRDefault="00CA0199" w:rsidP="00213348">
      <w:pPr>
        <w:pStyle w:val="FootnoteText"/>
        <w:tabs>
          <w:tab w:val="clear" w:pos="360"/>
        </w:tabs>
        <w:spacing w:after="0"/>
        <w:ind w:left="0" w:firstLine="0"/>
        <w:rPr>
          <w:sz w:val="20"/>
          <w:szCs w:val="20"/>
        </w:rPr>
      </w:pPr>
      <w:r w:rsidRPr="00B14AD4">
        <w:rPr>
          <w:rStyle w:val="FootnoteReference"/>
          <w:sz w:val="20"/>
          <w:szCs w:val="20"/>
        </w:rPr>
        <w:footnoteRef/>
      </w:r>
      <w:r w:rsidRPr="001E446A">
        <w:rPr>
          <w:sz w:val="20"/>
          <w:szCs w:val="20"/>
        </w:rPr>
        <w:t xml:space="preserve"> </w:t>
      </w:r>
      <w:r w:rsidR="00DC3331">
        <w:rPr>
          <w:sz w:val="20"/>
          <w:szCs w:val="20"/>
        </w:rPr>
        <w:t>Ibid</w:t>
      </w:r>
      <w:r w:rsidR="003023A6">
        <w:rPr>
          <w:sz w:val="20"/>
          <w:szCs w:val="20"/>
        </w:rPr>
        <w:t>.</w:t>
      </w:r>
    </w:p>
  </w:footnote>
  <w:footnote w:id="195">
    <w:p w14:paraId="3F72D2B9" w14:textId="291F363A" w:rsidR="00B623A8" w:rsidRPr="00095FAA" w:rsidRDefault="00B623A8" w:rsidP="00213348">
      <w:pPr>
        <w:pStyle w:val="FootnoteText"/>
        <w:tabs>
          <w:tab w:val="clear" w:pos="360"/>
        </w:tabs>
        <w:spacing w:after="0"/>
        <w:ind w:left="0" w:firstLine="0"/>
        <w:rPr>
          <w:sz w:val="20"/>
          <w:szCs w:val="20"/>
        </w:rPr>
      </w:pPr>
      <w:r w:rsidRPr="00095FAA">
        <w:rPr>
          <w:rStyle w:val="FootnoteReference"/>
          <w:sz w:val="20"/>
          <w:szCs w:val="20"/>
        </w:rPr>
        <w:footnoteRef/>
      </w:r>
      <w:r w:rsidR="000B5C05" w:rsidRPr="00095FAA">
        <w:rPr>
          <w:sz w:val="20"/>
          <w:szCs w:val="20"/>
        </w:rPr>
        <w:t xml:space="preserve"> </w:t>
      </w:r>
      <w:r w:rsidRPr="00095FAA">
        <w:rPr>
          <w:sz w:val="20"/>
          <w:szCs w:val="20"/>
        </w:rPr>
        <w:t>D.23-04-008, O</w:t>
      </w:r>
      <w:r w:rsidR="0021169F" w:rsidRPr="00095FAA">
        <w:rPr>
          <w:sz w:val="20"/>
          <w:szCs w:val="20"/>
        </w:rPr>
        <w:t xml:space="preserve">P </w:t>
      </w:r>
      <w:r w:rsidRPr="00095FAA">
        <w:rPr>
          <w:sz w:val="20"/>
          <w:szCs w:val="20"/>
        </w:rPr>
        <w:t>2.</w:t>
      </w:r>
    </w:p>
  </w:footnote>
  <w:footnote w:id="196">
    <w:p w14:paraId="6F58708B" w14:textId="3CEFAF69" w:rsidR="00FE74E8" w:rsidRPr="001E446A" w:rsidRDefault="00FE74E8" w:rsidP="00213348">
      <w:pPr>
        <w:pStyle w:val="FootnoteText"/>
        <w:tabs>
          <w:tab w:val="clear" w:pos="360"/>
        </w:tabs>
        <w:spacing w:after="0"/>
        <w:ind w:left="0" w:firstLine="0"/>
        <w:rPr>
          <w:sz w:val="20"/>
          <w:szCs w:val="20"/>
        </w:rPr>
      </w:pPr>
      <w:r w:rsidRPr="001E446A">
        <w:rPr>
          <w:rStyle w:val="FootnoteReference"/>
          <w:sz w:val="20"/>
          <w:szCs w:val="20"/>
        </w:rPr>
        <w:footnoteRef/>
      </w:r>
      <w:r w:rsidRPr="001E446A">
        <w:rPr>
          <w:sz w:val="20"/>
          <w:szCs w:val="20"/>
        </w:rPr>
        <w:t xml:space="preserve"> PG&amp;E AL 7351-E-A</w:t>
      </w:r>
      <w:r w:rsidR="00662B6A" w:rsidRPr="001E446A">
        <w:rPr>
          <w:sz w:val="20"/>
          <w:szCs w:val="20"/>
        </w:rPr>
        <w:t>,</w:t>
      </w:r>
      <w:r w:rsidRPr="001E446A">
        <w:rPr>
          <w:sz w:val="20"/>
          <w:szCs w:val="20"/>
        </w:rPr>
        <w:t xml:space="preserve"> at 30-31</w:t>
      </w:r>
      <w:r w:rsidR="00546749">
        <w:rPr>
          <w:sz w:val="20"/>
          <w:szCs w:val="20"/>
        </w:rPr>
        <w:t>,</w:t>
      </w:r>
      <w:r w:rsidRPr="001E446A">
        <w:rPr>
          <w:sz w:val="20"/>
          <w:szCs w:val="20"/>
        </w:rPr>
        <w:t xml:space="preserve"> and Attachment C.</w:t>
      </w:r>
    </w:p>
  </w:footnote>
  <w:footnote w:id="197">
    <w:p w14:paraId="10DBC8F6" w14:textId="2016F128" w:rsidR="00630795" w:rsidRPr="00DD1BD2" w:rsidRDefault="00630795" w:rsidP="00213348">
      <w:pPr>
        <w:pStyle w:val="FootnoteText"/>
        <w:tabs>
          <w:tab w:val="clear" w:pos="360"/>
        </w:tabs>
        <w:spacing w:after="0"/>
        <w:ind w:left="0" w:firstLine="0"/>
        <w:rPr>
          <w:sz w:val="20"/>
          <w:szCs w:val="20"/>
        </w:rPr>
      </w:pPr>
      <w:r w:rsidRPr="00095FAA">
        <w:rPr>
          <w:rStyle w:val="FootnoteReference"/>
          <w:sz w:val="20"/>
          <w:szCs w:val="20"/>
        </w:rPr>
        <w:footnoteRef/>
      </w:r>
      <w:r w:rsidR="00473692">
        <w:rPr>
          <w:sz w:val="20"/>
          <w:szCs w:val="20"/>
        </w:rPr>
        <w:t xml:space="preserve"> D.24-05-</w:t>
      </w:r>
      <w:r w:rsidR="000F2067">
        <w:rPr>
          <w:sz w:val="20"/>
          <w:szCs w:val="20"/>
        </w:rPr>
        <w:t>028</w:t>
      </w:r>
      <w:r w:rsidR="006B76D8" w:rsidRPr="00095FAA">
        <w:rPr>
          <w:sz w:val="20"/>
          <w:szCs w:val="20"/>
        </w:rPr>
        <w:t>, at 4.</w:t>
      </w:r>
    </w:p>
  </w:footnote>
  <w:footnote w:id="198">
    <w:p w14:paraId="18C55B7D" w14:textId="77777777" w:rsidR="00C2302B" w:rsidRPr="003D476F" w:rsidRDefault="00C2302B" w:rsidP="00213348">
      <w:pPr>
        <w:pStyle w:val="FootnoteText"/>
        <w:tabs>
          <w:tab w:val="clear" w:pos="360"/>
        </w:tabs>
        <w:spacing w:after="0"/>
        <w:ind w:left="0" w:firstLine="0"/>
        <w:rPr>
          <w:sz w:val="20"/>
          <w:szCs w:val="20"/>
        </w:rPr>
      </w:pPr>
      <w:r w:rsidRPr="003D476F">
        <w:rPr>
          <w:rStyle w:val="FootnoteReference"/>
          <w:sz w:val="20"/>
          <w:szCs w:val="20"/>
        </w:rPr>
        <w:footnoteRef/>
      </w:r>
      <w:r w:rsidRPr="003D476F">
        <w:rPr>
          <w:sz w:val="20"/>
          <w:szCs w:val="20"/>
        </w:rPr>
        <w:t xml:space="preserve"> </w:t>
      </w:r>
      <w:r>
        <w:rPr>
          <w:sz w:val="20"/>
          <w:szCs w:val="20"/>
        </w:rPr>
        <w:t xml:space="preserve">The </w:t>
      </w:r>
      <w:r w:rsidRPr="003D476F">
        <w:rPr>
          <w:sz w:val="20"/>
          <w:szCs w:val="20"/>
        </w:rPr>
        <w:t xml:space="preserve">Income Verification </w:t>
      </w:r>
      <w:r>
        <w:rPr>
          <w:sz w:val="20"/>
          <w:szCs w:val="20"/>
        </w:rPr>
        <w:t xml:space="preserve">activity </w:t>
      </w:r>
      <w:r w:rsidRPr="003D476F">
        <w:rPr>
          <w:sz w:val="20"/>
          <w:szCs w:val="20"/>
        </w:rPr>
        <w:t>is for the Facilitation Contractor authorized in OP 2 of D.24-05-018.</w:t>
      </w:r>
      <w:r>
        <w:rPr>
          <w:sz w:val="20"/>
          <w:szCs w:val="20"/>
        </w:rPr>
        <w:t xml:space="preserve">  The budget was unknown and not established at the time of the adoption of D.24-05-018.</w:t>
      </w:r>
    </w:p>
  </w:footnote>
  <w:footnote w:id="199">
    <w:p w14:paraId="65132DED" w14:textId="66D3FB16" w:rsidR="00FA6A0C" w:rsidRPr="008F55F7" w:rsidRDefault="00FA6A0C" w:rsidP="00213348">
      <w:pPr>
        <w:pStyle w:val="FootnoteText"/>
        <w:spacing w:after="0"/>
        <w:rPr>
          <w:sz w:val="20"/>
          <w:szCs w:val="20"/>
        </w:rPr>
      </w:pPr>
      <w:r w:rsidRPr="008F55F7">
        <w:rPr>
          <w:rStyle w:val="FootnoteReference"/>
          <w:sz w:val="20"/>
          <w:szCs w:val="20"/>
        </w:rPr>
        <w:footnoteRef/>
      </w:r>
      <w:r w:rsidRPr="008F55F7">
        <w:rPr>
          <w:sz w:val="20"/>
          <w:szCs w:val="20"/>
        </w:rPr>
        <w:t xml:space="preserve"> SDG&amp;E AL 4492-E, at </w:t>
      </w:r>
      <w:r w:rsidR="008F55F7" w:rsidRPr="008F55F7">
        <w:rPr>
          <w:sz w:val="20"/>
          <w:szCs w:val="20"/>
        </w:rPr>
        <w:t>30.</w:t>
      </w:r>
    </w:p>
  </w:footnote>
  <w:footnote w:id="200">
    <w:p w14:paraId="13A07EAE" w14:textId="1ABEEE35" w:rsidR="00444D61" w:rsidRPr="00444D61" w:rsidRDefault="00444D61" w:rsidP="00213348">
      <w:pPr>
        <w:pStyle w:val="FootnoteText"/>
        <w:spacing w:after="0"/>
        <w:rPr>
          <w:sz w:val="20"/>
          <w:szCs w:val="20"/>
        </w:rPr>
      </w:pPr>
      <w:r w:rsidRPr="00444D61">
        <w:rPr>
          <w:rStyle w:val="FootnoteReference"/>
          <w:sz w:val="20"/>
          <w:szCs w:val="20"/>
        </w:rPr>
        <w:footnoteRef/>
      </w:r>
      <w:r w:rsidRPr="00444D61">
        <w:rPr>
          <w:sz w:val="20"/>
          <w:szCs w:val="20"/>
        </w:rPr>
        <w:t xml:space="preserve"> SDG&amp;E AL 4492-E-A, at 2.</w:t>
      </w:r>
    </w:p>
  </w:footnote>
  <w:footnote w:id="201">
    <w:p w14:paraId="226D5BA1" w14:textId="33F3871B" w:rsidR="00444D61" w:rsidRPr="00A70460" w:rsidRDefault="00444D61" w:rsidP="00213348">
      <w:pPr>
        <w:pStyle w:val="FootnoteText"/>
        <w:spacing w:after="0"/>
        <w:rPr>
          <w:sz w:val="20"/>
          <w:szCs w:val="20"/>
        </w:rPr>
      </w:pPr>
      <w:r w:rsidRPr="00444D61">
        <w:rPr>
          <w:rStyle w:val="FootnoteReference"/>
          <w:sz w:val="20"/>
          <w:szCs w:val="20"/>
        </w:rPr>
        <w:footnoteRef/>
      </w:r>
      <w:r w:rsidRPr="00444D61">
        <w:rPr>
          <w:sz w:val="20"/>
          <w:szCs w:val="20"/>
        </w:rPr>
        <w:t xml:space="preserve"> SDG&amp;E AL 4492-E-B, at 2.</w:t>
      </w:r>
    </w:p>
  </w:footnote>
  <w:footnote w:id="202">
    <w:p w14:paraId="628E9D0C" w14:textId="358FFB0A" w:rsidR="003427DA" w:rsidRPr="00CC5C68" w:rsidRDefault="003427DA" w:rsidP="00213348">
      <w:pPr>
        <w:pStyle w:val="FootnoteText"/>
        <w:tabs>
          <w:tab w:val="clear" w:pos="360"/>
        </w:tabs>
        <w:spacing w:after="0"/>
        <w:ind w:left="0" w:firstLine="0"/>
        <w:rPr>
          <w:sz w:val="20"/>
          <w:szCs w:val="20"/>
        </w:rPr>
      </w:pPr>
      <w:r w:rsidRPr="00CC5C68">
        <w:rPr>
          <w:rStyle w:val="FootnoteReference"/>
          <w:sz w:val="20"/>
          <w:szCs w:val="20"/>
        </w:rPr>
        <w:footnoteRef/>
      </w:r>
      <w:r w:rsidRPr="00CC5C68">
        <w:rPr>
          <w:sz w:val="20"/>
          <w:szCs w:val="20"/>
        </w:rPr>
        <w:t xml:space="preserve"> </w:t>
      </w:r>
      <w:r w:rsidR="00D73727" w:rsidRPr="00CC5C68">
        <w:rPr>
          <w:sz w:val="20"/>
          <w:szCs w:val="20"/>
        </w:rPr>
        <w:t>The DRAH Implementation budget includes corrections from SDG&amp;E AL 4492-E-A</w:t>
      </w:r>
      <w:r w:rsidR="00CF3DB0" w:rsidRPr="00CC5C68">
        <w:rPr>
          <w:sz w:val="20"/>
          <w:szCs w:val="20"/>
        </w:rPr>
        <w:t>, increasing</w:t>
      </w:r>
      <w:r w:rsidR="00E4482D" w:rsidRPr="00CC5C68">
        <w:rPr>
          <w:sz w:val="20"/>
          <w:szCs w:val="20"/>
        </w:rPr>
        <w:t xml:space="preserve"> the total</w:t>
      </w:r>
      <w:r w:rsidR="00CF3DB0" w:rsidRPr="00CC5C68">
        <w:rPr>
          <w:sz w:val="20"/>
          <w:szCs w:val="20"/>
        </w:rPr>
        <w:t xml:space="preserve"> </w:t>
      </w:r>
      <w:r w:rsidR="00E4482D" w:rsidRPr="00CC5C68">
        <w:rPr>
          <w:sz w:val="20"/>
          <w:szCs w:val="20"/>
        </w:rPr>
        <w:t>costs for DRAH data and program management</w:t>
      </w:r>
      <w:r w:rsidR="00CF3DB0" w:rsidRPr="00CC5C68">
        <w:rPr>
          <w:sz w:val="20"/>
          <w:szCs w:val="20"/>
        </w:rPr>
        <w:t xml:space="preserve"> </w:t>
      </w:r>
      <w:r w:rsidR="00E4482D" w:rsidRPr="00CC5C68">
        <w:rPr>
          <w:sz w:val="20"/>
          <w:szCs w:val="20"/>
        </w:rPr>
        <w:t>from</w:t>
      </w:r>
      <w:r w:rsidR="00CF3DB0" w:rsidRPr="00CC5C68">
        <w:rPr>
          <w:sz w:val="20"/>
          <w:szCs w:val="20"/>
        </w:rPr>
        <w:t xml:space="preserve"> $3</w:t>
      </w:r>
      <w:r w:rsidR="00CC5C68" w:rsidRPr="00CC5C68">
        <w:rPr>
          <w:sz w:val="20"/>
          <w:szCs w:val="20"/>
        </w:rPr>
        <w:t>76,500 to $494,450</w:t>
      </w:r>
      <w:r w:rsidR="00962009">
        <w:rPr>
          <w:sz w:val="20"/>
          <w:szCs w:val="20"/>
        </w:rPr>
        <w:t xml:space="preserve">. The total </w:t>
      </w:r>
      <w:r w:rsidR="007C231B">
        <w:rPr>
          <w:sz w:val="20"/>
          <w:szCs w:val="20"/>
        </w:rPr>
        <w:t xml:space="preserve">DRAH </w:t>
      </w:r>
      <w:r w:rsidR="00962009">
        <w:rPr>
          <w:sz w:val="20"/>
          <w:szCs w:val="20"/>
        </w:rPr>
        <w:t>implement</w:t>
      </w:r>
      <w:r w:rsidR="007C231B">
        <w:rPr>
          <w:sz w:val="20"/>
          <w:szCs w:val="20"/>
        </w:rPr>
        <w:t>ation</w:t>
      </w:r>
      <w:r w:rsidR="00EE7C9C">
        <w:rPr>
          <w:sz w:val="20"/>
          <w:szCs w:val="20"/>
        </w:rPr>
        <w:t xml:space="preserve"> budget </w:t>
      </w:r>
      <w:r w:rsidR="00962009">
        <w:rPr>
          <w:sz w:val="20"/>
          <w:szCs w:val="20"/>
        </w:rPr>
        <w:t>request remained</w:t>
      </w:r>
      <w:r w:rsidR="00EE7C9C">
        <w:rPr>
          <w:sz w:val="20"/>
          <w:szCs w:val="20"/>
        </w:rPr>
        <w:t xml:space="preserve"> $1,868,450</w:t>
      </w:r>
      <w:r w:rsidR="00EE36A3" w:rsidRPr="00CC5C68">
        <w:rPr>
          <w:sz w:val="20"/>
          <w:szCs w:val="20"/>
        </w:rPr>
        <w:t>.</w:t>
      </w:r>
    </w:p>
  </w:footnote>
  <w:footnote w:id="203">
    <w:p w14:paraId="580D8F45" w14:textId="1C42771A" w:rsidR="00D50194" w:rsidRPr="00183E49" w:rsidRDefault="00D50194" w:rsidP="00213348">
      <w:pPr>
        <w:pStyle w:val="FootnoteText"/>
        <w:tabs>
          <w:tab w:val="clear" w:pos="360"/>
        </w:tabs>
        <w:spacing w:after="0"/>
        <w:ind w:left="0" w:firstLine="0"/>
        <w:rPr>
          <w:sz w:val="20"/>
          <w:szCs w:val="20"/>
        </w:rPr>
      </w:pPr>
      <w:r w:rsidRPr="00183E49">
        <w:rPr>
          <w:rStyle w:val="FootnoteReference"/>
          <w:sz w:val="20"/>
          <w:szCs w:val="20"/>
        </w:rPr>
        <w:footnoteRef/>
      </w:r>
      <w:r w:rsidRPr="00183E49">
        <w:rPr>
          <w:sz w:val="20"/>
          <w:szCs w:val="20"/>
        </w:rPr>
        <w:t xml:space="preserve"> SDG&amp;E AL 4492-E-B, at </w:t>
      </w:r>
      <w:r>
        <w:rPr>
          <w:sz w:val="20"/>
          <w:szCs w:val="20"/>
        </w:rPr>
        <w:t>2</w:t>
      </w:r>
      <w:r w:rsidRPr="00183E49">
        <w:rPr>
          <w:sz w:val="20"/>
          <w:szCs w:val="20"/>
        </w:rPr>
        <w:t xml:space="preserve">. </w:t>
      </w:r>
      <w:r w:rsidR="000F679D">
        <w:rPr>
          <w:sz w:val="20"/>
          <w:szCs w:val="20"/>
        </w:rPr>
        <w:t>The ME&amp;O budget includes corrections from SDG&amp;E AL 4492-E-B, reducing the Outreach/CBOs total budget from $250,000 to $240,000, the Direct Communications total budget from $985,000 to $970,320, and reducing the Internal Labor from $480,000 to $477,000</w:t>
      </w:r>
      <w:r w:rsidR="008560B7">
        <w:rPr>
          <w:sz w:val="20"/>
          <w:szCs w:val="20"/>
        </w:rPr>
        <w:t>, resulting in a</w:t>
      </w:r>
      <w:r w:rsidR="00E0560A">
        <w:rPr>
          <w:sz w:val="20"/>
          <w:szCs w:val="20"/>
        </w:rPr>
        <w:t xml:space="preserve"> revised </w:t>
      </w:r>
      <w:r w:rsidR="008560B7">
        <w:rPr>
          <w:sz w:val="20"/>
          <w:szCs w:val="20"/>
        </w:rPr>
        <w:t>total</w:t>
      </w:r>
      <w:r w:rsidR="00E0560A">
        <w:rPr>
          <w:sz w:val="20"/>
          <w:szCs w:val="20"/>
        </w:rPr>
        <w:t xml:space="preserve"> ME&amp;O </w:t>
      </w:r>
      <w:r w:rsidR="008560B7">
        <w:rPr>
          <w:sz w:val="20"/>
          <w:szCs w:val="20"/>
        </w:rPr>
        <w:t>budget of $3,197,320.</w:t>
      </w:r>
    </w:p>
  </w:footnote>
  <w:footnote w:id="204">
    <w:p w14:paraId="694DE9FC" w14:textId="100CCC43" w:rsidR="0041423B" w:rsidRPr="00EE7C9C" w:rsidRDefault="0041423B" w:rsidP="00213348">
      <w:pPr>
        <w:pStyle w:val="FootnoteText"/>
        <w:spacing w:after="0"/>
        <w:rPr>
          <w:sz w:val="20"/>
          <w:szCs w:val="20"/>
        </w:rPr>
      </w:pPr>
      <w:r w:rsidRPr="00EE7C9C">
        <w:rPr>
          <w:rStyle w:val="FootnoteReference"/>
          <w:sz w:val="20"/>
          <w:szCs w:val="20"/>
        </w:rPr>
        <w:footnoteRef/>
      </w:r>
      <w:r w:rsidRPr="00EE7C9C">
        <w:rPr>
          <w:sz w:val="20"/>
          <w:szCs w:val="20"/>
        </w:rPr>
        <w:t xml:space="preserve"> Cal Advocates Protest, at 2-3, and TURN/NRDC Protest, at 4-5.</w:t>
      </w:r>
    </w:p>
  </w:footnote>
  <w:footnote w:id="205">
    <w:p w14:paraId="66241A94" w14:textId="1DBE0AB8" w:rsidR="00D15F53" w:rsidRPr="00EE7C9C" w:rsidRDefault="00D15F53" w:rsidP="00213348">
      <w:pPr>
        <w:pStyle w:val="FootnoteText"/>
        <w:tabs>
          <w:tab w:val="clear" w:pos="360"/>
        </w:tabs>
        <w:spacing w:after="0"/>
        <w:ind w:left="0" w:firstLine="0"/>
        <w:rPr>
          <w:sz w:val="20"/>
          <w:szCs w:val="20"/>
        </w:rPr>
      </w:pPr>
      <w:r w:rsidRPr="00EE7C9C">
        <w:rPr>
          <w:rStyle w:val="FootnoteReference"/>
          <w:sz w:val="20"/>
          <w:szCs w:val="20"/>
        </w:rPr>
        <w:footnoteRef/>
      </w:r>
      <w:r w:rsidRPr="00EE7C9C">
        <w:rPr>
          <w:sz w:val="20"/>
          <w:szCs w:val="20"/>
        </w:rPr>
        <w:t xml:space="preserve"> SD</w:t>
      </w:r>
      <w:r w:rsidR="00C83A13" w:rsidRPr="00EE7C9C">
        <w:rPr>
          <w:sz w:val="20"/>
          <w:szCs w:val="20"/>
        </w:rPr>
        <w:t>G</w:t>
      </w:r>
      <w:r w:rsidRPr="00EE7C9C">
        <w:rPr>
          <w:sz w:val="20"/>
          <w:szCs w:val="20"/>
        </w:rPr>
        <w:t xml:space="preserve">&amp;E Protest Reply, at </w:t>
      </w:r>
      <w:r w:rsidR="00607756" w:rsidRPr="00EE7C9C">
        <w:rPr>
          <w:sz w:val="20"/>
          <w:szCs w:val="20"/>
        </w:rPr>
        <w:t>9</w:t>
      </w:r>
      <w:r w:rsidRPr="00EE7C9C">
        <w:rPr>
          <w:sz w:val="20"/>
          <w:szCs w:val="20"/>
        </w:rPr>
        <w:t>.</w:t>
      </w:r>
    </w:p>
  </w:footnote>
  <w:footnote w:id="206">
    <w:p w14:paraId="24F1A7A4" w14:textId="78C563B1" w:rsidR="003D660E" w:rsidRPr="00EE7C9C" w:rsidRDefault="003D660E" w:rsidP="00213348">
      <w:pPr>
        <w:pStyle w:val="FootnoteText"/>
        <w:tabs>
          <w:tab w:val="clear" w:pos="360"/>
          <w:tab w:val="num" w:pos="0"/>
        </w:tabs>
        <w:spacing w:after="0"/>
        <w:ind w:left="0" w:firstLine="0"/>
        <w:rPr>
          <w:sz w:val="20"/>
          <w:szCs w:val="20"/>
        </w:rPr>
      </w:pPr>
      <w:r w:rsidRPr="00EE7C9C">
        <w:rPr>
          <w:rStyle w:val="FootnoteReference"/>
          <w:sz w:val="20"/>
          <w:szCs w:val="20"/>
        </w:rPr>
        <w:footnoteRef/>
      </w:r>
      <w:r w:rsidRPr="00EE7C9C">
        <w:rPr>
          <w:sz w:val="20"/>
          <w:szCs w:val="20"/>
        </w:rPr>
        <w:t xml:space="preserve"> PG&amp;E AL 7351-E-A, at 30-31</w:t>
      </w:r>
      <w:r w:rsidR="00EB5B9C">
        <w:rPr>
          <w:sz w:val="20"/>
          <w:szCs w:val="20"/>
        </w:rPr>
        <w:t>,</w:t>
      </w:r>
      <w:r w:rsidRPr="00EE7C9C">
        <w:rPr>
          <w:sz w:val="20"/>
          <w:szCs w:val="20"/>
        </w:rPr>
        <w:t xml:space="preserve"> and Attachment C</w:t>
      </w:r>
      <w:r w:rsidRPr="001E446A">
        <w:rPr>
          <w:sz w:val="20"/>
          <w:szCs w:val="20"/>
        </w:rPr>
        <w:t xml:space="preserve"> correct</w:t>
      </w:r>
      <w:r w:rsidRPr="00EE7C9C">
        <w:rPr>
          <w:sz w:val="20"/>
          <w:szCs w:val="20"/>
        </w:rPr>
        <w:t xml:space="preserve"> the cost-share for SDG&amp;E from $50,000 to $40,000.</w:t>
      </w:r>
    </w:p>
  </w:footnote>
  <w:footnote w:id="207">
    <w:p w14:paraId="2DE429CE" w14:textId="77777777" w:rsidR="0075636D" w:rsidRPr="00E4281F" w:rsidRDefault="0075636D" w:rsidP="00213348">
      <w:pPr>
        <w:pStyle w:val="FootnoteText"/>
        <w:spacing w:after="0"/>
        <w:rPr>
          <w:sz w:val="20"/>
          <w:szCs w:val="20"/>
        </w:rPr>
      </w:pPr>
      <w:r w:rsidRPr="00EE7C9C">
        <w:rPr>
          <w:rStyle w:val="FootnoteReference"/>
          <w:sz w:val="20"/>
          <w:szCs w:val="20"/>
        </w:rPr>
        <w:footnoteRef/>
      </w:r>
      <w:r w:rsidRPr="00EE7C9C">
        <w:rPr>
          <w:sz w:val="20"/>
          <w:szCs w:val="20"/>
        </w:rPr>
        <w:t xml:space="preserve"> SDG&amp;E AL 4492-E, at 23, and SDG&amp;E Protest Reply, at 9.</w:t>
      </w:r>
    </w:p>
  </w:footnote>
  <w:footnote w:id="208">
    <w:p w14:paraId="1D139F3C" w14:textId="39358E3C" w:rsidR="1728241C" w:rsidRPr="0004010B" w:rsidRDefault="1728241C" w:rsidP="0004010B">
      <w:pPr>
        <w:pStyle w:val="FootnoteText"/>
        <w:spacing w:after="0"/>
        <w:ind w:left="0" w:firstLine="0"/>
        <w:rPr>
          <w:sz w:val="20"/>
          <w:szCs w:val="20"/>
        </w:rPr>
      </w:pPr>
      <w:r w:rsidRPr="0004010B">
        <w:rPr>
          <w:rStyle w:val="FootnoteReference"/>
          <w:sz w:val="20"/>
          <w:szCs w:val="20"/>
        </w:rPr>
        <w:footnoteRef/>
      </w:r>
      <w:r w:rsidRPr="0004010B">
        <w:rPr>
          <w:sz w:val="20"/>
          <w:szCs w:val="20"/>
        </w:rPr>
        <w:t xml:space="preserve"> SDG&amp;E </w:t>
      </w:r>
      <w:r w:rsidRPr="001A508C">
        <w:rPr>
          <w:rFonts w:eastAsia="Palatino Linotype" w:cs="Palatino Linotype"/>
          <w:sz w:val="20"/>
          <w:szCs w:val="20"/>
        </w:rPr>
        <w:t>Comments, at 2.</w:t>
      </w:r>
    </w:p>
  </w:footnote>
  <w:footnote w:id="209">
    <w:p w14:paraId="1A27451C" w14:textId="53457EB3" w:rsidR="1728241C" w:rsidRPr="00A70460" w:rsidRDefault="1728241C" w:rsidP="0004010B">
      <w:pPr>
        <w:pStyle w:val="FootnoteText"/>
        <w:spacing w:after="0"/>
        <w:rPr>
          <w:sz w:val="20"/>
          <w:szCs w:val="20"/>
        </w:rPr>
      </w:pPr>
      <w:r w:rsidRPr="0004010B">
        <w:rPr>
          <w:rStyle w:val="FootnoteReference"/>
          <w:sz w:val="20"/>
          <w:szCs w:val="20"/>
        </w:rPr>
        <w:footnoteRef/>
      </w:r>
      <w:r w:rsidRPr="0004010B">
        <w:rPr>
          <w:sz w:val="20"/>
          <w:szCs w:val="20"/>
        </w:rPr>
        <w:t xml:space="preserve"> </w:t>
      </w:r>
      <w:r w:rsidRPr="0004010B">
        <w:rPr>
          <w:i/>
          <w:iCs/>
          <w:sz w:val="20"/>
          <w:szCs w:val="20"/>
        </w:rPr>
        <w:t>Id</w:t>
      </w:r>
      <w:r w:rsidRPr="0004010B">
        <w:rPr>
          <w:sz w:val="20"/>
          <w:szCs w:val="20"/>
        </w:rPr>
        <w:t>.</w:t>
      </w:r>
    </w:p>
  </w:footnote>
  <w:footnote w:id="210">
    <w:p w14:paraId="4F9B7A44" w14:textId="77777777" w:rsidR="0058604A" w:rsidRPr="00A70460" w:rsidRDefault="0058604A" w:rsidP="0058604A">
      <w:pPr>
        <w:pStyle w:val="FootnoteText"/>
        <w:rPr>
          <w:sz w:val="20"/>
          <w:szCs w:val="20"/>
        </w:rPr>
      </w:pPr>
      <w:r w:rsidRPr="00A70460">
        <w:rPr>
          <w:rStyle w:val="FootnoteReference"/>
          <w:sz w:val="20"/>
          <w:szCs w:val="20"/>
        </w:rPr>
        <w:footnoteRef/>
      </w:r>
      <w:r w:rsidR="7A143A03" w:rsidRPr="00A70460">
        <w:rPr>
          <w:sz w:val="20"/>
          <w:szCs w:val="20"/>
        </w:rPr>
        <w:t xml:space="preserve"> SDG&amp;E Comments at 3.</w:t>
      </w:r>
    </w:p>
  </w:footnote>
  <w:footnote w:id="211">
    <w:p w14:paraId="1AAE5CB2" w14:textId="77777777" w:rsidR="0058604A" w:rsidRPr="00A70460" w:rsidRDefault="0058604A" w:rsidP="00062082">
      <w:pPr>
        <w:pStyle w:val="FootnoteText"/>
        <w:tabs>
          <w:tab w:val="clear" w:pos="360"/>
        </w:tabs>
        <w:ind w:left="0" w:firstLine="0"/>
        <w:rPr>
          <w:sz w:val="20"/>
          <w:szCs w:val="20"/>
        </w:rPr>
      </w:pPr>
      <w:r w:rsidRPr="00A70460">
        <w:rPr>
          <w:rStyle w:val="FootnoteReference"/>
          <w:sz w:val="20"/>
          <w:szCs w:val="20"/>
        </w:rPr>
        <w:footnoteRef/>
      </w:r>
      <w:r w:rsidR="7A143A03" w:rsidRPr="00A70460">
        <w:rPr>
          <w:sz w:val="20"/>
          <w:szCs w:val="20"/>
        </w:rPr>
        <w:t xml:space="preserve"> SDG&amp;E AL 4492-E-A. It should be noted that the calculation error may have been exacerbated by SDG&amp;</w:t>
      </w:r>
      <w:proofErr w:type="gramStart"/>
      <w:r w:rsidR="7A143A03" w:rsidRPr="00A70460">
        <w:rPr>
          <w:sz w:val="20"/>
          <w:szCs w:val="20"/>
        </w:rPr>
        <w:t>E”s</w:t>
      </w:r>
      <w:proofErr w:type="gramEnd"/>
      <w:r w:rsidR="7A143A03" w:rsidRPr="00A70460">
        <w:rPr>
          <w:sz w:val="20"/>
          <w:szCs w:val="20"/>
        </w:rPr>
        <w:t xml:space="preserve"> failure to provide workpapers which match the values in its requested budget, which resulted in other inconstancies in SDG&amp;E’s budget, as noted in this resolution. SDG&amp;E AL 4492-E-B also does not supply additional DRAH detail. The second filing addresses updates to its ME&amp;O-associated costs. </w:t>
      </w:r>
    </w:p>
  </w:footnote>
  <w:footnote w:id="212">
    <w:p w14:paraId="2E26E8EA" w14:textId="4304075E" w:rsidR="0058604A" w:rsidRPr="00A70460" w:rsidRDefault="0058604A" w:rsidP="0058604A">
      <w:pPr>
        <w:pStyle w:val="FootnoteText"/>
        <w:rPr>
          <w:sz w:val="20"/>
          <w:szCs w:val="20"/>
        </w:rPr>
      </w:pPr>
      <w:r w:rsidRPr="00A70460">
        <w:rPr>
          <w:rStyle w:val="FootnoteReference"/>
          <w:sz w:val="20"/>
          <w:szCs w:val="20"/>
        </w:rPr>
        <w:footnoteRef/>
      </w:r>
      <w:r w:rsidR="7A143A03" w:rsidRPr="00A70460">
        <w:rPr>
          <w:sz w:val="20"/>
          <w:szCs w:val="20"/>
        </w:rPr>
        <w:t xml:space="preserve"> SDG&amp;E </w:t>
      </w:r>
      <w:r w:rsidR="7A143A03">
        <w:rPr>
          <w:sz w:val="20"/>
          <w:szCs w:val="20"/>
        </w:rPr>
        <w:t>AL 4492-E-A</w:t>
      </w:r>
      <w:r w:rsidR="00062082">
        <w:rPr>
          <w:sz w:val="20"/>
          <w:szCs w:val="20"/>
        </w:rPr>
        <w:t>,</w:t>
      </w:r>
      <w:r w:rsidR="7A143A03" w:rsidRPr="00A70460">
        <w:rPr>
          <w:sz w:val="20"/>
          <w:szCs w:val="20"/>
        </w:rPr>
        <w:t xml:space="preserve"> at </w:t>
      </w:r>
      <w:r w:rsidR="7A143A03">
        <w:rPr>
          <w:sz w:val="20"/>
          <w:szCs w:val="20"/>
        </w:rPr>
        <w:t>1</w:t>
      </w:r>
      <w:r w:rsidR="7A143A03" w:rsidRPr="00A70460">
        <w:rPr>
          <w:sz w:val="20"/>
          <w:szCs w:val="20"/>
        </w:rPr>
        <w:t>.</w:t>
      </w:r>
    </w:p>
  </w:footnote>
  <w:footnote w:id="213">
    <w:p w14:paraId="1ECCE680" w14:textId="3C12AC40" w:rsidR="002E18B4" w:rsidRDefault="002E18B4">
      <w:pPr>
        <w:pStyle w:val="FootnoteText"/>
      </w:pPr>
      <w:r w:rsidRPr="006F37B3">
        <w:rPr>
          <w:rStyle w:val="FootnoteReference"/>
          <w:sz w:val="20"/>
          <w:szCs w:val="20"/>
        </w:rPr>
        <w:footnoteRef/>
      </w:r>
      <w:r w:rsidR="7A143A03" w:rsidRPr="006F37B3">
        <w:rPr>
          <w:sz w:val="20"/>
          <w:szCs w:val="20"/>
        </w:rPr>
        <w:t xml:space="preserve"> SDG&amp;E Comments</w:t>
      </w:r>
      <w:r w:rsidR="00062082">
        <w:rPr>
          <w:sz w:val="20"/>
          <w:szCs w:val="20"/>
        </w:rPr>
        <w:t>,</w:t>
      </w:r>
      <w:r w:rsidR="7A143A03" w:rsidRPr="006F37B3">
        <w:rPr>
          <w:sz w:val="20"/>
          <w:szCs w:val="20"/>
        </w:rPr>
        <w:t xml:space="preserve"> at 5.</w:t>
      </w:r>
    </w:p>
  </w:footnote>
  <w:footnote w:id="214">
    <w:p w14:paraId="5D665E5B" w14:textId="25FFF1BF" w:rsidR="001D6D18" w:rsidRPr="00E45803" w:rsidRDefault="001D6D18" w:rsidP="00E45803">
      <w:pPr>
        <w:pStyle w:val="FootnoteText"/>
        <w:spacing w:after="0"/>
        <w:rPr>
          <w:sz w:val="20"/>
          <w:szCs w:val="20"/>
        </w:rPr>
      </w:pPr>
      <w:r w:rsidRPr="00E45803">
        <w:rPr>
          <w:rStyle w:val="FootnoteReference"/>
          <w:sz w:val="20"/>
          <w:szCs w:val="20"/>
        </w:rPr>
        <w:footnoteRef/>
      </w:r>
      <w:r w:rsidR="7A143A03" w:rsidRPr="00E45803">
        <w:rPr>
          <w:sz w:val="20"/>
          <w:szCs w:val="20"/>
        </w:rPr>
        <w:t xml:space="preserve"> SDG&amp;E Comments,</w:t>
      </w:r>
      <w:r w:rsidR="7A143A03">
        <w:rPr>
          <w:sz w:val="20"/>
          <w:szCs w:val="20"/>
        </w:rPr>
        <w:t xml:space="preserve"> </w:t>
      </w:r>
      <w:r w:rsidR="7A143A03" w:rsidRPr="00E45803">
        <w:rPr>
          <w:sz w:val="20"/>
          <w:szCs w:val="20"/>
        </w:rPr>
        <w:t>at 7.</w:t>
      </w:r>
    </w:p>
  </w:footnote>
  <w:footnote w:id="215">
    <w:p w14:paraId="7C564F59" w14:textId="0B8499CD" w:rsidR="1728241C" w:rsidRPr="001A508C" w:rsidRDefault="1728241C" w:rsidP="00B03B97">
      <w:pPr>
        <w:pStyle w:val="FootnoteText"/>
        <w:spacing w:after="0"/>
        <w:rPr>
          <w:sz w:val="20"/>
          <w:szCs w:val="20"/>
        </w:rPr>
      </w:pPr>
      <w:r w:rsidRPr="001A508C">
        <w:rPr>
          <w:rStyle w:val="FootnoteReference"/>
          <w:sz w:val="20"/>
          <w:szCs w:val="20"/>
        </w:rPr>
        <w:footnoteRef/>
      </w:r>
      <w:r w:rsidR="7A143A03" w:rsidRPr="001A508C">
        <w:rPr>
          <w:sz w:val="20"/>
          <w:szCs w:val="20"/>
        </w:rPr>
        <w:t xml:space="preserve"> </w:t>
      </w:r>
      <w:r w:rsidR="7A143A03" w:rsidRPr="001A508C">
        <w:rPr>
          <w:rFonts w:eastAsia="Palatino Linotype" w:cs="Palatino Linotype"/>
          <w:sz w:val="20"/>
          <w:szCs w:val="20"/>
        </w:rPr>
        <w:t>SEIA Comments, at 1-3.</w:t>
      </w:r>
    </w:p>
  </w:footnote>
  <w:footnote w:id="216">
    <w:p w14:paraId="45A6801C" w14:textId="44B44764" w:rsidR="00C065EB" w:rsidRPr="00A70460" w:rsidRDefault="00C065EB" w:rsidP="00B03B97">
      <w:pPr>
        <w:pStyle w:val="FootnoteText"/>
        <w:spacing w:after="0"/>
        <w:rPr>
          <w:sz w:val="20"/>
          <w:szCs w:val="20"/>
        </w:rPr>
      </w:pPr>
      <w:r w:rsidRPr="00A70460">
        <w:rPr>
          <w:rStyle w:val="FootnoteReference"/>
          <w:sz w:val="20"/>
          <w:szCs w:val="20"/>
        </w:rPr>
        <w:footnoteRef/>
      </w:r>
      <w:r w:rsidR="7A143A03" w:rsidRPr="00A70460">
        <w:rPr>
          <w:sz w:val="20"/>
          <w:szCs w:val="20"/>
        </w:rPr>
        <w:t xml:space="preserve"> C4AT comments, at 4.</w:t>
      </w:r>
    </w:p>
  </w:footnote>
  <w:footnote w:id="217">
    <w:p w14:paraId="1E88B7F4" w14:textId="28F1F3A2" w:rsidR="003567CE" w:rsidRPr="00A70460" w:rsidRDefault="003567CE" w:rsidP="00B03B97">
      <w:pPr>
        <w:pStyle w:val="FootnoteText"/>
        <w:spacing w:after="0"/>
        <w:rPr>
          <w:sz w:val="20"/>
          <w:szCs w:val="20"/>
        </w:rPr>
      </w:pPr>
      <w:r w:rsidRPr="00E45803">
        <w:rPr>
          <w:rStyle w:val="FootnoteReference"/>
          <w:sz w:val="20"/>
          <w:szCs w:val="20"/>
        </w:rPr>
        <w:footnoteRef/>
      </w:r>
      <w:r w:rsidR="7A143A03" w:rsidRPr="00E45803">
        <w:rPr>
          <w:sz w:val="20"/>
          <w:szCs w:val="20"/>
        </w:rPr>
        <w:t xml:space="preserve"> </w:t>
      </w:r>
      <w:r w:rsidR="7A143A03" w:rsidRPr="7A143A03">
        <w:rPr>
          <w:i/>
          <w:iCs/>
          <w:sz w:val="20"/>
          <w:szCs w:val="20"/>
        </w:rPr>
        <w:t>Id</w:t>
      </w:r>
      <w:r w:rsidR="7A143A03">
        <w:rPr>
          <w:sz w:val="20"/>
          <w:szCs w:val="20"/>
        </w:rPr>
        <w:t>.</w:t>
      </w:r>
    </w:p>
  </w:footnote>
  <w:footnote w:id="218">
    <w:p w14:paraId="39BB491B" w14:textId="4A799B2A" w:rsidR="0065224D" w:rsidRPr="00037E18" w:rsidRDefault="0065224D" w:rsidP="00B03B97">
      <w:pPr>
        <w:pStyle w:val="FootnoteText"/>
        <w:spacing w:after="0"/>
        <w:rPr>
          <w:sz w:val="20"/>
          <w:szCs w:val="20"/>
        </w:rPr>
      </w:pPr>
      <w:r w:rsidRPr="00037E18">
        <w:rPr>
          <w:rStyle w:val="FootnoteReference"/>
          <w:sz w:val="20"/>
          <w:szCs w:val="20"/>
        </w:rPr>
        <w:footnoteRef/>
      </w:r>
      <w:r w:rsidR="7A143A03" w:rsidRPr="00037E18">
        <w:rPr>
          <w:sz w:val="20"/>
          <w:szCs w:val="20"/>
        </w:rPr>
        <w:t xml:space="preserve"> </w:t>
      </w:r>
      <w:r w:rsidR="7A143A03" w:rsidRPr="7A143A03">
        <w:rPr>
          <w:i/>
          <w:iCs/>
          <w:sz w:val="20"/>
          <w:szCs w:val="20"/>
        </w:rPr>
        <w:t>Id</w:t>
      </w:r>
      <w:r w:rsidR="7A143A03">
        <w:rPr>
          <w:sz w:val="20"/>
          <w:szCs w:val="20"/>
        </w:rPr>
        <w:t>.</w:t>
      </w:r>
      <w:r w:rsidR="7A143A03" w:rsidRPr="00037E18">
        <w:rPr>
          <w:sz w:val="20"/>
          <w:szCs w:val="20"/>
        </w:rPr>
        <w:t>, at 4-6.</w:t>
      </w:r>
    </w:p>
  </w:footnote>
  <w:footnote w:id="219">
    <w:p w14:paraId="45A0D8EE" w14:textId="400F0842" w:rsidR="005F7FDB" w:rsidRPr="00037E18" w:rsidRDefault="005F7FDB" w:rsidP="00037E18">
      <w:pPr>
        <w:pStyle w:val="FootnoteText"/>
        <w:spacing w:after="0"/>
        <w:rPr>
          <w:sz w:val="20"/>
          <w:szCs w:val="20"/>
        </w:rPr>
      </w:pPr>
      <w:r w:rsidRPr="00037E18">
        <w:rPr>
          <w:rStyle w:val="FootnoteReference"/>
          <w:sz w:val="20"/>
          <w:szCs w:val="20"/>
        </w:rPr>
        <w:footnoteRef/>
      </w:r>
      <w:r w:rsidR="7A143A03" w:rsidRPr="00037E18">
        <w:rPr>
          <w:sz w:val="20"/>
          <w:szCs w:val="20"/>
        </w:rPr>
        <w:t xml:space="preserve"> WMA Comments, at </w:t>
      </w:r>
      <w:r w:rsidR="7A143A03">
        <w:rPr>
          <w:sz w:val="20"/>
          <w:szCs w:val="20"/>
        </w:rPr>
        <w:t>3</w:t>
      </w:r>
      <w:r w:rsidR="7A143A03" w:rsidRPr="00037E18">
        <w:rPr>
          <w:sz w:val="20"/>
          <w:szCs w:val="20"/>
        </w:rPr>
        <w:t>.</w:t>
      </w:r>
    </w:p>
  </w:footnote>
  <w:footnote w:id="220">
    <w:p w14:paraId="46AEF7CE" w14:textId="77777777" w:rsidR="005F7FDB" w:rsidRPr="00A70460" w:rsidRDefault="005F7FDB" w:rsidP="00037E18">
      <w:pPr>
        <w:pStyle w:val="FootnoteText"/>
        <w:spacing w:after="0"/>
        <w:rPr>
          <w:sz w:val="20"/>
          <w:szCs w:val="20"/>
        </w:rPr>
      </w:pPr>
      <w:r w:rsidRPr="00037E18">
        <w:rPr>
          <w:rStyle w:val="FootnoteReference"/>
          <w:sz w:val="20"/>
          <w:szCs w:val="20"/>
        </w:rPr>
        <w:footnoteRef/>
      </w:r>
      <w:r w:rsidR="7A143A03" w:rsidRPr="00037E18">
        <w:rPr>
          <w:sz w:val="20"/>
          <w:szCs w:val="20"/>
        </w:rPr>
        <w:t xml:space="preserve"> </w:t>
      </w:r>
      <w:r w:rsidR="7A143A03" w:rsidRPr="7A143A03">
        <w:rPr>
          <w:i/>
          <w:iCs/>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8D349" w14:textId="1BA82B28" w:rsidR="00CF17DE" w:rsidRPr="00D865A9" w:rsidRDefault="61C943AB" w:rsidP="00F22803">
    <w:pPr>
      <w:pStyle w:val="Header"/>
    </w:pPr>
    <w:r w:rsidRPr="00D865A9">
      <w:t xml:space="preserve">Resolution </w:t>
    </w:r>
    <w:r w:rsidR="006B5F74">
      <w:t>E-5355</w:t>
    </w:r>
    <w:r w:rsidR="00CF17DE" w:rsidRPr="00D865A9">
      <w:tab/>
    </w:r>
    <w:r w:rsidRPr="00D865A9">
      <w:t>DRAFT</w:t>
    </w:r>
    <w:r w:rsidR="00CF17DE" w:rsidRPr="00D865A9">
      <w:tab/>
    </w:r>
    <w:r w:rsidR="002902B7">
      <w:t xml:space="preserve">December </w:t>
    </w:r>
    <w:r w:rsidR="00426D66">
      <w:t>19</w:t>
    </w:r>
    <w:r w:rsidR="002902B7">
      <w:t>, 2024</w:t>
    </w:r>
  </w:p>
  <w:p w14:paraId="279E5C15" w14:textId="3D91D16F" w:rsidR="61C943AB" w:rsidRPr="00D865A9" w:rsidRDefault="00220524" w:rsidP="00F22803">
    <w:pPr>
      <w:pStyle w:val="Header"/>
    </w:pPr>
    <w:r>
      <w:t>SDG&amp;E</w:t>
    </w:r>
    <w:r w:rsidR="61C943AB" w:rsidRPr="00D865A9">
      <w:t xml:space="preserve"> </w:t>
    </w:r>
    <w:r>
      <w:t xml:space="preserve">AL </w:t>
    </w:r>
    <w:r w:rsidR="007362C3">
      <w:t>4492-E</w:t>
    </w:r>
    <w:r w:rsidR="00AD51FC">
      <w:t>/CC</w:t>
    </w:r>
    <w:r w:rsidR="000460F6">
      <w:t>D</w:t>
    </w:r>
    <w:r w:rsidR="00AD51FC">
      <w:t>/J</w:t>
    </w:r>
    <w:r w:rsidR="000460F6">
      <w:t>SU</w:t>
    </w:r>
    <w:r w:rsidR="00AD51FC">
      <w:t>/CWY/C</w:t>
    </w:r>
    <w:r w:rsidR="000460F6">
      <w:t>Y</w:t>
    </w:r>
    <w:r w:rsidR="00AD51FC">
      <w:t>C</w:t>
    </w:r>
  </w:p>
  <w:p w14:paraId="013F4CD4" w14:textId="77777777" w:rsidR="00CF17DE" w:rsidRPr="00D865A9" w:rsidRDefault="00CF17DE" w:rsidP="00F22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1F806" w14:textId="760351C8" w:rsidR="00CF17DE" w:rsidRPr="00F705C8" w:rsidRDefault="00732D77" w:rsidP="00F22803">
    <w:pPr>
      <w:pStyle w:val="Header"/>
    </w:pPr>
    <w:r>
      <w:tab/>
    </w:r>
    <w:r w:rsidR="00CF17DE" w:rsidRPr="00F705C8">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E5E0A"/>
    <w:multiLevelType w:val="singleLevel"/>
    <w:tmpl w:val="81622C8A"/>
    <w:lvl w:ilvl="0">
      <w:start w:val="1"/>
      <w:numFmt w:val="upperLetter"/>
      <w:pStyle w:val="AListIndent"/>
      <w:lvlText w:val="%1. "/>
      <w:lvlJc w:val="left"/>
      <w:pPr>
        <w:tabs>
          <w:tab w:val="num" w:pos="1152"/>
        </w:tabs>
        <w:ind w:left="1152" w:hanging="432"/>
      </w:pPr>
      <w:rPr>
        <w:rFonts w:ascii="Courier" w:hAnsi="Courier" w:hint="default"/>
        <w:b w:val="0"/>
        <w:i w:val="0"/>
        <w:sz w:val="24"/>
      </w:rPr>
    </w:lvl>
  </w:abstractNum>
  <w:abstractNum w:abstractNumId="1" w15:restartNumberingAfterBreak="0">
    <w:nsid w:val="0BC365A1"/>
    <w:multiLevelType w:val="hybridMultilevel"/>
    <w:tmpl w:val="9420FAD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E62B5E"/>
    <w:multiLevelType w:val="hybridMultilevel"/>
    <w:tmpl w:val="C268C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824EE"/>
    <w:multiLevelType w:val="hybridMultilevel"/>
    <w:tmpl w:val="FFFFFFFF"/>
    <w:lvl w:ilvl="0" w:tplc="30220490">
      <w:start w:val="1"/>
      <w:numFmt w:val="decimal"/>
      <w:lvlText w:val="%1."/>
      <w:lvlJc w:val="left"/>
      <w:pPr>
        <w:ind w:left="720" w:hanging="360"/>
      </w:pPr>
    </w:lvl>
    <w:lvl w:ilvl="1" w:tplc="57502BD0">
      <w:start w:val="1"/>
      <w:numFmt w:val="lowerLetter"/>
      <w:lvlText w:val="%2."/>
      <w:lvlJc w:val="left"/>
      <w:pPr>
        <w:ind w:left="1440" w:hanging="360"/>
      </w:pPr>
    </w:lvl>
    <w:lvl w:ilvl="2" w:tplc="314E0806">
      <w:start w:val="1"/>
      <w:numFmt w:val="lowerRoman"/>
      <w:lvlText w:val="%3."/>
      <w:lvlJc w:val="right"/>
      <w:pPr>
        <w:ind w:left="2160" w:hanging="180"/>
      </w:pPr>
    </w:lvl>
    <w:lvl w:ilvl="3" w:tplc="4A56265A">
      <w:start w:val="1"/>
      <w:numFmt w:val="decimal"/>
      <w:lvlText w:val="%4."/>
      <w:lvlJc w:val="left"/>
      <w:pPr>
        <w:ind w:left="2880" w:hanging="360"/>
      </w:pPr>
    </w:lvl>
    <w:lvl w:ilvl="4" w:tplc="B24CB852">
      <w:start w:val="1"/>
      <w:numFmt w:val="lowerLetter"/>
      <w:lvlText w:val="%5."/>
      <w:lvlJc w:val="left"/>
      <w:pPr>
        <w:ind w:left="3600" w:hanging="360"/>
      </w:pPr>
    </w:lvl>
    <w:lvl w:ilvl="5" w:tplc="97D0A3C0">
      <w:start w:val="1"/>
      <w:numFmt w:val="lowerRoman"/>
      <w:lvlText w:val="%6."/>
      <w:lvlJc w:val="right"/>
      <w:pPr>
        <w:ind w:left="4320" w:hanging="180"/>
      </w:pPr>
    </w:lvl>
    <w:lvl w:ilvl="6" w:tplc="6890E0C4">
      <w:start w:val="1"/>
      <w:numFmt w:val="decimal"/>
      <w:lvlText w:val="%7."/>
      <w:lvlJc w:val="left"/>
      <w:pPr>
        <w:ind w:left="5040" w:hanging="360"/>
      </w:pPr>
    </w:lvl>
    <w:lvl w:ilvl="7" w:tplc="39003498">
      <w:start w:val="1"/>
      <w:numFmt w:val="lowerLetter"/>
      <w:lvlText w:val="%8."/>
      <w:lvlJc w:val="left"/>
      <w:pPr>
        <w:ind w:left="5760" w:hanging="360"/>
      </w:pPr>
    </w:lvl>
    <w:lvl w:ilvl="8" w:tplc="F176D698">
      <w:start w:val="1"/>
      <w:numFmt w:val="lowerRoman"/>
      <w:lvlText w:val="%9."/>
      <w:lvlJc w:val="right"/>
      <w:pPr>
        <w:ind w:left="6480" w:hanging="180"/>
      </w:pPr>
    </w:lvl>
  </w:abstractNum>
  <w:abstractNum w:abstractNumId="4" w15:restartNumberingAfterBreak="0">
    <w:nsid w:val="26F8414F"/>
    <w:multiLevelType w:val="hybridMultilevel"/>
    <w:tmpl w:val="4E7C49F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8458CC24">
      <w:start w:val="4"/>
      <w:numFmt w:val="bullet"/>
      <w:lvlText w:val="•"/>
      <w:lvlJc w:val="left"/>
      <w:pPr>
        <w:ind w:left="2880" w:hanging="360"/>
      </w:pPr>
      <w:rPr>
        <w:rFonts w:ascii="Palatino Linotype" w:eastAsia="Aptos" w:hAnsi="Palatino Linotype" w:cs="Palatino"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483774"/>
    <w:multiLevelType w:val="hybridMultilevel"/>
    <w:tmpl w:val="2E5CD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44BEB"/>
    <w:multiLevelType w:val="multilevel"/>
    <w:tmpl w:val="5106C9E2"/>
    <w:lvl w:ilvl="0">
      <w:start w:val="1"/>
      <w:numFmt w:val="decimal"/>
      <w:pStyle w:val="Heading2"/>
      <w:lvlText w:val="%1."/>
      <w:lvlJc w:val="left"/>
      <w:pPr>
        <w:ind w:left="2160" w:hanging="360"/>
      </w:pPr>
      <w:rPr>
        <w:rFonts w:hint="default"/>
      </w:rPr>
    </w:lvl>
    <w:lvl w:ilvl="1">
      <w:start w:val="1"/>
      <w:numFmt w:val="decimal"/>
      <w:lvlText w:val="%1.%2."/>
      <w:lvlJc w:val="left"/>
      <w:pPr>
        <w:ind w:left="792" w:hanging="432"/>
      </w:pPr>
      <w:rPr>
        <w:rFonts w:hint="default"/>
      </w:rPr>
    </w:lvl>
    <w:lvl w:ilvl="2">
      <w:start w:val="1"/>
      <w:numFmt w:val="decimal"/>
      <w:pStyle w:val="Heading4"/>
      <w:lvlText w:val="%1.%2.%3."/>
      <w:lvlJc w:val="left"/>
      <w:pPr>
        <w:ind w:left="1224" w:hanging="504"/>
      </w:pPr>
      <w:rPr>
        <w:rFonts w:hint="default"/>
        <w:i w:val="0"/>
        <w:iCs w:val="0"/>
      </w:rPr>
    </w:lvl>
    <w:lvl w:ilvl="3">
      <w:start w:val="1"/>
      <w:numFmt w:val="decimal"/>
      <w:pStyle w:val="Heading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3D34417"/>
    <w:multiLevelType w:val="multilevel"/>
    <w:tmpl w:val="C28E5C40"/>
    <w:lvl w:ilvl="0">
      <w:start w:val="1"/>
      <w:numFmt w:val="decimal"/>
      <w:pStyle w:val="1ListInden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53A67A5"/>
    <w:multiLevelType w:val="multilevel"/>
    <w:tmpl w:val="DB84E87E"/>
    <w:lvl w:ilvl="0">
      <w:start w:val="6"/>
      <w:numFmt w:val="decimal"/>
      <w:lvlText w:val="%1"/>
      <w:lvlJc w:val="left"/>
      <w:pPr>
        <w:ind w:left="480" w:hanging="480"/>
      </w:pPr>
      <w:rPr>
        <w:rFonts w:hint="default"/>
      </w:rPr>
    </w:lvl>
    <w:lvl w:ilvl="1">
      <w:start w:val="2"/>
      <w:numFmt w:val="decimal"/>
      <w:lvlText w:val="%1.%2"/>
      <w:lvlJc w:val="left"/>
      <w:pPr>
        <w:ind w:left="1092" w:hanging="48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5BCF55FD"/>
    <w:multiLevelType w:val="hybridMultilevel"/>
    <w:tmpl w:val="2BCA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F546F"/>
    <w:multiLevelType w:val="hybridMultilevel"/>
    <w:tmpl w:val="C316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E945F4"/>
    <w:multiLevelType w:val="hybridMultilevel"/>
    <w:tmpl w:val="EFDA45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606722DD"/>
    <w:multiLevelType w:val="hybridMultilevel"/>
    <w:tmpl w:val="415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F26BE"/>
    <w:multiLevelType w:val="hybridMultilevel"/>
    <w:tmpl w:val="6CB86F6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B7A3BD2"/>
    <w:multiLevelType w:val="hybridMultilevel"/>
    <w:tmpl w:val="48A663EE"/>
    <w:lvl w:ilvl="0" w:tplc="28024842">
      <w:start w:val="1"/>
      <w:numFmt w:val="decimal"/>
      <w:lvlText w:val="%1."/>
      <w:lvlJc w:val="left"/>
      <w:pPr>
        <w:ind w:left="720" w:hanging="360"/>
      </w:pPr>
    </w:lvl>
    <w:lvl w:ilvl="1" w:tplc="70224760">
      <w:start w:val="1"/>
      <w:numFmt w:val="lowerLetter"/>
      <w:lvlText w:val="%2."/>
      <w:lvlJc w:val="left"/>
      <w:pPr>
        <w:ind w:left="1440" w:hanging="360"/>
      </w:pPr>
    </w:lvl>
    <w:lvl w:ilvl="2" w:tplc="C254C71C">
      <w:start w:val="1"/>
      <w:numFmt w:val="lowerRoman"/>
      <w:lvlText w:val="%3."/>
      <w:lvlJc w:val="right"/>
      <w:pPr>
        <w:ind w:left="2160" w:hanging="180"/>
      </w:pPr>
    </w:lvl>
    <w:lvl w:ilvl="3" w:tplc="3014DDC6">
      <w:start w:val="1"/>
      <w:numFmt w:val="decimal"/>
      <w:lvlText w:val="%4."/>
      <w:lvlJc w:val="left"/>
      <w:pPr>
        <w:ind w:left="2880" w:hanging="360"/>
      </w:pPr>
    </w:lvl>
    <w:lvl w:ilvl="4" w:tplc="7D04952C">
      <w:start w:val="1"/>
      <w:numFmt w:val="lowerLetter"/>
      <w:lvlText w:val="%5."/>
      <w:lvlJc w:val="left"/>
      <w:pPr>
        <w:ind w:left="3600" w:hanging="360"/>
      </w:pPr>
    </w:lvl>
    <w:lvl w:ilvl="5" w:tplc="49FA634E">
      <w:start w:val="1"/>
      <w:numFmt w:val="lowerRoman"/>
      <w:lvlText w:val="%6."/>
      <w:lvlJc w:val="right"/>
      <w:pPr>
        <w:ind w:left="4320" w:hanging="180"/>
      </w:pPr>
    </w:lvl>
    <w:lvl w:ilvl="6" w:tplc="0F1AD9AA">
      <w:start w:val="1"/>
      <w:numFmt w:val="decimal"/>
      <w:lvlText w:val="%7."/>
      <w:lvlJc w:val="left"/>
      <w:pPr>
        <w:ind w:left="5040" w:hanging="360"/>
      </w:pPr>
    </w:lvl>
    <w:lvl w:ilvl="7" w:tplc="C994ABC2">
      <w:start w:val="1"/>
      <w:numFmt w:val="lowerLetter"/>
      <w:lvlText w:val="%8."/>
      <w:lvlJc w:val="left"/>
      <w:pPr>
        <w:ind w:left="5760" w:hanging="360"/>
      </w:pPr>
    </w:lvl>
    <w:lvl w:ilvl="8" w:tplc="BE2089AE">
      <w:start w:val="1"/>
      <w:numFmt w:val="lowerRoman"/>
      <w:lvlText w:val="%9."/>
      <w:lvlJc w:val="right"/>
      <w:pPr>
        <w:ind w:left="6480" w:hanging="180"/>
      </w:pPr>
    </w:lvl>
  </w:abstractNum>
  <w:abstractNum w:abstractNumId="15"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026333"/>
    <w:multiLevelType w:val="multilevel"/>
    <w:tmpl w:val="E9864638"/>
    <w:lvl w:ilvl="0">
      <w:start w:val="6"/>
      <w:numFmt w:val="decimal"/>
      <w:lvlText w:val="%1"/>
      <w:lvlJc w:val="left"/>
      <w:pPr>
        <w:ind w:left="480" w:hanging="480"/>
      </w:pPr>
      <w:rPr>
        <w:rFonts w:hint="default"/>
      </w:rPr>
    </w:lvl>
    <w:lvl w:ilvl="1">
      <w:start w:val="2"/>
      <w:numFmt w:val="decimal"/>
      <w:lvlText w:val="%1.%2"/>
      <w:lvlJc w:val="left"/>
      <w:pPr>
        <w:ind w:left="1092" w:hanging="480"/>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15:restartNumberingAfterBreak="0">
    <w:nsid w:val="780E152C"/>
    <w:multiLevelType w:val="hybridMultilevel"/>
    <w:tmpl w:val="BE62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394130"/>
    <w:multiLevelType w:val="hybridMultilevel"/>
    <w:tmpl w:val="D1D2010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63921878">
    <w:abstractNumId w:val="0"/>
  </w:num>
  <w:num w:numId="2" w16cid:durableId="1883705939">
    <w:abstractNumId w:val="7"/>
  </w:num>
  <w:num w:numId="3" w16cid:durableId="1754620235">
    <w:abstractNumId w:val="4"/>
  </w:num>
  <w:num w:numId="4" w16cid:durableId="969365539">
    <w:abstractNumId w:val="15"/>
  </w:num>
  <w:num w:numId="5" w16cid:durableId="147134599">
    <w:abstractNumId w:val="6"/>
  </w:num>
  <w:num w:numId="6" w16cid:durableId="270674573">
    <w:abstractNumId w:val="2"/>
  </w:num>
  <w:num w:numId="7" w16cid:durableId="964038785">
    <w:abstractNumId w:val="12"/>
  </w:num>
  <w:num w:numId="8" w16cid:durableId="254946276">
    <w:abstractNumId w:val="17"/>
  </w:num>
  <w:num w:numId="9" w16cid:durableId="96171735">
    <w:abstractNumId w:val="11"/>
  </w:num>
  <w:num w:numId="10" w16cid:durableId="1614707739">
    <w:abstractNumId w:val="10"/>
  </w:num>
  <w:num w:numId="11" w16cid:durableId="1330595491">
    <w:abstractNumId w:val="5"/>
  </w:num>
  <w:num w:numId="12" w16cid:durableId="1681931812">
    <w:abstractNumId w:val="14"/>
  </w:num>
  <w:num w:numId="13" w16cid:durableId="817380491">
    <w:abstractNumId w:val="3"/>
  </w:num>
  <w:num w:numId="14" w16cid:durableId="329993106">
    <w:abstractNumId w:val="6"/>
    <w:lvlOverride w:ilvl="0">
      <w:startOverride w:val="7"/>
    </w:lvlOverride>
    <w:lvlOverride w:ilvl="1">
      <w:startOverride w:val="4"/>
    </w:lvlOverride>
  </w:num>
  <w:num w:numId="15" w16cid:durableId="1459184511">
    <w:abstractNumId w:val="9"/>
  </w:num>
  <w:num w:numId="16" w16cid:durableId="279263726">
    <w:abstractNumId w:val="6"/>
  </w:num>
  <w:num w:numId="17" w16cid:durableId="1396125462">
    <w:abstractNumId w:val="8"/>
  </w:num>
  <w:num w:numId="18" w16cid:durableId="885067065">
    <w:abstractNumId w:val="6"/>
    <w:lvlOverride w:ilvl="0">
      <w:startOverride w:val="7"/>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3035060">
    <w:abstractNumId w:val="16"/>
  </w:num>
  <w:num w:numId="20" w16cid:durableId="2099279415">
    <w:abstractNumId w:val="18"/>
  </w:num>
  <w:num w:numId="21" w16cid:durableId="113404802">
    <w:abstractNumId w:val="13"/>
  </w:num>
  <w:num w:numId="22" w16cid:durableId="263267561">
    <w:abstractNumId w:val="1"/>
  </w:num>
  <w:num w:numId="23" w16cid:durableId="1918401038">
    <w:abstractNumId w:val="6"/>
    <w:lvlOverride w:ilvl="0">
      <w:startOverride w:val="2"/>
    </w:lvlOverride>
    <w:lvlOverride w:ilvl="1">
      <w:startOverride w:val="2"/>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lang="en-US" w:vendorID="8" w:dllVersion="513" w:checkStyle="1" w:appName="MSWor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70"/>
    <w:rsid w:val="00000175"/>
    <w:rsid w:val="00000268"/>
    <w:rsid w:val="000003B7"/>
    <w:rsid w:val="000003DD"/>
    <w:rsid w:val="00000434"/>
    <w:rsid w:val="0000052A"/>
    <w:rsid w:val="000005A4"/>
    <w:rsid w:val="000006F7"/>
    <w:rsid w:val="00000ACF"/>
    <w:rsid w:val="00000B20"/>
    <w:rsid w:val="00000C2C"/>
    <w:rsid w:val="00000DD3"/>
    <w:rsid w:val="000013AD"/>
    <w:rsid w:val="000014BA"/>
    <w:rsid w:val="00001516"/>
    <w:rsid w:val="00001965"/>
    <w:rsid w:val="000019A5"/>
    <w:rsid w:val="00001A2B"/>
    <w:rsid w:val="00001A75"/>
    <w:rsid w:val="00001C75"/>
    <w:rsid w:val="00001C7E"/>
    <w:rsid w:val="00001EC7"/>
    <w:rsid w:val="00001F85"/>
    <w:rsid w:val="00001F91"/>
    <w:rsid w:val="00001FE6"/>
    <w:rsid w:val="00002457"/>
    <w:rsid w:val="00002469"/>
    <w:rsid w:val="0000258F"/>
    <w:rsid w:val="0000259B"/>
    <w:rsid w:val="0000259C"/>
    <w:rsid w:val="000025A7"/>
    <w:rsid w:val="000025AF"/>
    <w:rsid w:val="000026E7"/>
    <w:rsid w:val="000027F6"/>
    <w:rsid w:val="0000283C"/>
    <w:rsid w:val="000029F8"/>
    <w:rsid w:val="00002A4D"/>
    <w:rsid w:val="00002BC7"/>
    <w:rsid w:val="00002CBB"/>
    <w:rsid w:val="00002F4F"/>
    <w:rsid w:val="00002FC0"/>
    <w:rsid w:val="000030B2"/>
    <w:rsid w:val="000033A9"/>
    <w:rsid w:val="000033E2"/>
    <w:rsid w:val="0000347B"/>
    <w:rsid w:val="00003556"/>
    <w:rsid w:val="000038C4"/>
    <w:rsid w:val="00003AE5"/>
    <w:rsid w:val="00003AF1"/>
    <w:rsid w:val="00003E07"/>
    <w:rsid w:val="00003FA0"/>
    <w:rsid w:val="00004056"/>
    <w:rsid w:val="00004232"/>
    <w:rsid w:val="000043D2"/>
    <w:rsid w:val="00004617"/>
    <w:rsid w:val="00004651"/>
    <w:rsid w:val="0000468A"/>
    <w:rsid w:val="000046DF"/>
    <w:rsid w:val="00004887"/>
    <w:rsid w:val="00004AF9"/>
    <w:rsid w:val="00004BC9"/>
    <w:rsid w:val="00004C10"/>
    <w:rsid w:val="000050A6"/>
    <w:rsid w:val="0000513D"/>
    <w:rsid w:val="000051AB"/>
    <w:rsid w:val="000055FA"/>
    <w:rsid w:val="00005656"/>
    <w:rsid w:val="0000576E"/>
    <w:rsid w:val="00005821"/>
    <w:rsid w:val="00005907"/>
    <w:rsid w:val="00005986"/>
    <w:rsid w:val="00005AC2"/>
    <w:rsid w:val="00005C14"/>
    <w:rsid w:val="00005C4F"/>
    <w:rsid w:val="00005CA4"/>
    <w:rsid w:val="00006245"/>
    <w:rsid w:val="00006493"/>
    <w:rsid w:val="0000651C"/>
    <w:rsid w:val="000065B7"/>
    <w:rsid w:val="00006A1E"/>
    <w:rsid w:val="00006B1D"/>
    <w:rsid w:val="00006BF8"/>
    <w:rsid w:val="00006CC5"/>
    <w:rsid w:val="00006F7E"/>
    <w:rsid w:val="000071A6"/>
    <w:rsid w:val="000071C4"/>
    <w:rsid w:val="000071DB"/>
    <w:rsid w:val="0000728D"/>
    <w:rsid w:val="0000732A"/>
    <w:rsid w:val="000076FA"/>
    <w:rsid w:val="0000780A"/>
    <w:rsid w:val="00007916"/>
    <w:rsid w:val="00007986"/>
    <w:rsid w:val="000079E2"/>
    <w:rsid w:val="00007A0C"/>
    <w:rsid w:val="00007A71"/>
    <w:rsid w:val="00007D44"/>
    <w:rsid w:val="00007D8D"/>
    <w:rsid w:val="00007DDE"/>
    <w:rsid w:val="00007E75"/>
    <w:rsid w:val="000100D0"/>
    <w:rsid w:val="000101A9"/>
    <w:rsid w:val="00010311"/>
    <w:rsid w:val="0001036E"/>
    <w:rsid w:val="000104A6"/>
    <w:rsid w:val="0001079F"/>
    <w:rsid w:val="000107F1"/>
    <w:rsid w:val="00010A32"/>
    <w:rsid w:val="00010A92"/>
    <w:rsid w:val="00010BE5"/>
    <w:rsid w:val="00010D68"/>
    <w:rsid w:val="00011167"/>
    <w:rsid w:val="000116C2"/>
    <w:rsid w:val="00011793"/>
    <w:rsid w:val="00011AFF"/>
    <w:rsid w:val="00011BF6"/>
    <w:rsid w:val="00011EC8"/>
    <w:rsid w:val="000120B7"/>
    <w:rsid w:val="000121ED"/>
    <w:rsid w:val="0001223F"/>
    <w:rsid w:val="0001226B"/>
    <w:rsid w:val="00012557"/>
    <w:rsid w:val="0001264B"/>
    <w:rsid w:val="000126A9"/>
    <w:rsid w:val="00012B12"/>
    <w:rsid w:val="00012C66"/>
    <w:rsid w:val="00012D45"/>
    <w:rsid w:val="00012DC0"/>
    <w:rsid w:val="00012E3C"/>
    <w:rsid w:val="00012EA9"/>
    <w:rsid w:val="00013212"/>
    <w:rsid w:val="000132F3"/>
    <w:rsid w:val="00013317"/>
    <w:rsid w:val="0001334A"/>
    <w:rsid w:val="000134C7"/>
    <w:rsid w:val="000137FC"/>
    <w:rsid w:val="00013883"/>
    <w:rsid w:val="00013B3B"/>
    <w:rsid w:val="00013B97"/>
    <w:rsid w:val="00013D46"/>
    <w:rsid w:val="0001402C"/>
    <w:rsid w:val="00014044"/>
    <w:rsid w:val="00014158"/>
    <w:rsid w:val="00014286"/>
    <w:rsid w:val="00014291"/>
    <w:rsid w:val="00014394"/>
    <w:rsid w:val="00014403"/>
    <w:rsid w:val="000144DA"/>
    <w:rsid w:val="00014501"/>
    <w:rsid w:val="000147A5"/>
    <w:rsid w:val="000147E2"/>
    <w:rsid w:val="00014BA3"/>
    <w:rsid w:val="00014E8C"/>
    <w:rsid w:val="00015034"/>
    <w:rsid w:val="0001505E"/>
    <w:rsid w:val="0001549D"/>
    <w:rsid w:val="00015993"/>
    <w:rsid w:val="000159A1"/>
    <w:rsid w:val="00015AC5"/>
    <w:rsid w:val="00015AD9"/>
    <w:rsid w:val="00015C82"/>
    <w:rsid w:val="00015D94"/>
    <w:rsid w:val="00015DE7"/>
    <w:rsid w:val="00015E80"/>
    <w:rsid w:val="0001610A"/>
    <w:rsid w:val="00016221"/>
    <w:rsid w:val="0001622E"/>
    <w:rsid w:val="000164C4"/>
    <w:rsid w:val="00016537"/>
    <w:rsid w:val="00016642"/>
    <w:rsid w:val="00016A9A"/>
    <w:rsid w:val="00016B50"/>
    <w:rsid w:val="00016C57"/>
    <w:rsid w:val="00016D4B"/>
    <w:rsid w:val="00016E9B"/>
    <w:rsid w:val="00017037"/>
    <w:rsid w:val="000173BF"/>
    <w:rsid w:val="000176E6"/>
    <w:rsid w:val="00017938"/>
    <w:rsid w:val="00017F70"/>
    <w:rsid w:val="00017FCA"/>
    <w:rsid w:val="00017FD9"/>
    <w:rsid w:val="00017FF5"/>
    <w:rsid w:val="0001913E"/>
    <w:rsid w:val="00020004"/>
    <w:rsid w:val="00020024"/>
    <w:rsid w:val="000201C9"/>
    <w:rsid w:val="0002027B"/>
    <w:rsid w:val="000202D0"/>
    <w:rsid w:val="0002039D"/>
    <w:rsid w:val="00020512"/>
    <w:rsid w:val="000205B1"/>
    <w:rsid w:val="000205DA"/>
    <w:rsid w:val="00020679"/>
    <w:rsid w:val="000206A3"/>
    <w:rsid w:val="00020989"/>
    <w:rsid w:val="00020A18"/>
    <w:rsid w:val="00020B2C"/>
    <w:rsid w:val="00020D4B"/>
    <w:rsid w:val="00020FD7"/>
    <w:rsid w:val="00020FFA"/>
    <w:rsid w:val="000210CE"/>
    <w:rsid w:val="000213D2"/>
    <w:rsid w:val="0002147B"/>
    <w:rsid w:val="000214C3"/>
    <w:rsid w:val="000214D5"/>
    <w:rsid w:val="000215A1"/>
    <w:rsid w:val="0002194C"/>
    <w:rsid w:val="00021FAE"/>
    <w:rsid w:val="0002200D"/>
    <w:rsid w:val="00022320"/>
    <w:rsid w:val="000223D1"/>
    <w:rsid w:val="00022783"/>
    <w:rsid w:val="000228A7"/>
    <w:rsid w:val="0002298F"/>
    <w:rsid w:val="00022B0E"/>
    <w:rsid w:val="00022C17"/>
    <w:rsid w:val="00022C29"/>
    <w:rsid w:val="00022D6E"/>
    <w:rsid w:val="00022E0E"/>
    <w:rsid w:val="00022EA4"/>
    <w:rsid w:val="00023144"/>
    <w:rsid w:val="00023181"/>
    <w:rsid w:val="000233B0"/>
    <w:rsid w:val="00023402"/>
    <w:rsid w:val="00023417"/>
    <w:rsid w:val="00023534"/>
    <w:rsid w:val="00023687"/>
    <w:rsid w:val="00023A81"/>
    <w:rsid w:val="00023BA1"/>
    <w:rsid w:val="00023D08"/>
    <w:rsid w:val="00023F3B"/>
    <w:rsid w:val="000240E8"/>
    <w:rsid w:val="00024149"/>
    <w:rsid w:val="00024303"/>
    <w:rsid w:val="00024621"/>
    <w:rsid w:val="000246D1"/>
    <w:rsid w:val="000248F4"/>
    <w:rsid w:val="00024C4A"/>
    <w:rsid w:val="00024C89"/>
    <w:rsid w:val="00025092"/>
    <w:rsid w:val="000251A4"/>
    <w:rsid w:val="000251E8"/>
    <w:rsid w:val="000252B2"/>
    <w:rsid w:val="00025441"/>
    <w:rsid w:val="00025516"/>
    <w:rsid w:val="000255CD"/>
    <w:rsid w:val="00025975"/>
    <w:rsid w:val="00025998"/>
    <w:rsid w:val="00025A2B"/>
    <w:rsid w:val="00025A62"/>
    <w:rsid w:val="00025AC0"/>
    <w:rsid w:val="00025AE3"/>
    <w:rsid w:val="00025AE9"/>
    <w:rsid w:val="00025ECE"/>
    <w:rsid w:val="00025F21"/>
    <w:rsid w:val="00025F9C"/>
    <w:rsid w:val="0002603A"/>
    <w:rsid w:val="000260A5"/>
    <w:rsid w:val="000260D7"/>
    <w:rsid w:val="0002625D"/>
    <w:rsid w:val="00026664"/>
    <w:rsid w:val="0002674C"/>
    <w:rsid w:val="00026A5A"/>
    <w:rsid w:val="00026AA8"/>
    <w:rsid w:val="00026C69"/>
    <w:rsid w:val="00026CFB"/>
    <w:rsid w:val="00026F3A"/>
    <w:rsid w:val="00026F71"/>
    <w:rsid w:val="00026FFD"/>
    <w:rsid w:val="000270F4"/>
    <w:rsid w:val="00027238"/>
    <w:rsid w:val="000272B7"/>
    <w:rsid w:val="00027399"/>
    <w:rsid w:val="0002746E"/>
    <w:rsid w:val="000275AD"/>
    <w:rsid w:val="00027716"/>
    <w:rsid w:val="000277C9"/>
    <w:rsid w:val="000278A6"/>
    <w:rsid w:val="000278E8"/>
    <w:rsid w:val="0002791B"/>
    <w:rsid w:val="00027C5E"/>
    <w:rsid w:val="00027F10"/>
    <w:rsid w:val="0003009D"/>
    <w:rsid w:val="00030159"/>
    <w:rsid w:val="000301C5"/>
    <w:rsid w:val="000302AC"/>
    <w:rsid w:val="0003049A"/>
    <w:rsid w:val="00030553"/>
    <w:rsid w:val="00030572"/>
    <w:rsid w:val="0003077E"/>
    <w:rsid w:val="000308CD"/>
    <w:rsid w:val="00030947"/>
    <w:rsid w:val="0003098F"/>
    <w:rsid w:val="00030A7C"/>
    <w:rsid w:val="00030CCB"/>
    <w:rsid w:val="00030DB4"/>
    <w:rsid w:val="00030DEB"/>
    <w:rsid w:val="00030F06"/>
    <w:rsid w:val="00030F22"/>
    <w:rsid w:val="00030F3D"/>
    <w:rsid w:val="000310D4"/>
    <w:rsid w:val="000310E0"/>
    <w:rsid w:val="00031455"/>
    <w:rsid w:val="00031506"/>
    <w:rsid w:val="00031652"/>
    <w:rsid w:val="000317FD"/>
    <w:rsid w:val="000318D0"/>
    <w:rsid w:val="00031994"/>
    <w:rsid w:val="00031ADB"/>
    <w:rsid w:val="00031B67"/>
    <w:rsid w:val="00031BB7"/>
    <w:rsid w:val="00031BC7"/>
    <w:rsid w:val="00032146"/>
    <w:rsid w:val="000321E1"/>
    <w:rsid w:val="0003239D"/>
    <w:rsid w:val="000323BE"/>
    <w:rsid w:val="000324CB"/>
    <w:rsid w:val="00032655"/>
    <w:rsid w:val="00032667"/>
    <w:rsid w:val="0003281F"/>
    <w:rsid w:val="00032824"/>
    <w:rsid w:val="00032935"/>
    <w:rsid w:val="00032AA8"/>
    <w:rsid w:val="00032BAE"/>
    <w:rsid w:val="00032F18"/>
    <w:rsid w:val="000331BA"/>
    <w:rsid w:val="000336FE"/>
    <w:rsid w:val="000338CF"/>
    <w:rsid w:val="00033942"/>
    <w:rsid w:val="0003399C"/>
    <w:rsid w:val="00033A2D"/>
    <w:rsid w:val="00033AAF"/>
    <w:rsid w:val="0003405F"/>
    <w:rsid w:val="000341DC"/>
    <w:rsid w:val="0003448C"/>
    <w:rsid w:val="00034A3C"/>
    <w:rsid w:val="00034A6F"/>
    <w:rsid w:val="00034C72"/>
    <w:rsid w:val="00034D6F"/>
    <w:rsid w:val="00034DB9"/>
    <w:rsid w:val="00034E74"/>
    <w:rsid w:val="00034E8C"/>
    <w:rsid w:val="0003529F"/>
    <w:rsid w:val="000353EF"/>
    <w:rsid w:val="000354E5"/>
    <w:rsid w:val="0003555D"/>
    <w:rsid w:val="000357C0"/>
    <w:rsid w:val="00035853"/>
    <w:rsid w:val="000358A1"/>
    <w:rsid w:val="000358E9"/>
    <w:rsid w:val="00035BC3"/>
    <w:rsid w:val="00035D70"/>
    <w:rsid w:val="00035EC7"/>
    <w:rsid w:val="0003639F"/>
    <w:rsid w:val="000365AB"/>
    <w:rsid w:val="0003675B"/>
    <w:rsid w:val="00036780"/>
    <w:rsid w:val="00036C4E"/>
    <w:rsid w:val="00036CD5"/>
    <w:rsid w:val="00036DA9"/>
    <w:rsid w:val="00036EE8"/>
    <w:rsid w:val="00036F0D"/>
    <w:rsid w:val="000371BF"/>
    <w:rsid w:val="000371C4"/>
    <w:rsid w:val="000373ED"/>
    <w:rsid w:val="00037561"/>
    <w:rsid w:val="00037799"/>
    <w:rsid w:val="00037827"/>
    <w:rsid w:val="000378F5"/>
    <w:rsid w:val="00037902"/>
    <w:rsid w:val="00037AE7"/>
    <w:rsid w:val="00037B08"/>
    <w:rsid w:val="00037B41"/>
    <w:rsid w:val="00037E18"/>
    <w:rsid w:val="0004010B"/>
    <w:rsid w:val="00040214"/>
    <w:rsid w:val="000406B6"/>
    <w:rsid w:val="00040832"/>
    <w:rsid w:val="00040B6F"/>
    <w:rsid w:val="000413B5"/>
    <w:rsid w:val="000413FB"/>
    <w:rsid w:val="0004165C"/>
    <w:rsid w:val="0004194A"/>
    <w:rsid w:val="00041A3D"/>
    <w:rsid w:val="00041D6F"/>
    <w:rsid w:val="00041DEB"/>
    <w:rsid w:val="0004202B"/>
    <w:rsid w:val="000420D1"/>
    <w:rsid w:val="0004225F"/>
    <w:rsid w:val="000425A6"/>
    <w:rsid w:val="00042608"/>
    <w:rsid w:val="00042887"/>
    <w:rsid w:val="00042A2B"/>
    <w:rsid w:val="00042BBB"/>
    <w:rsid w:val="00042D23"/>
    <w:rsid w:val="00043138"/>
    <w:rsid w:val="00043197"/>
    <w:rsid w:val="000435AB"/>
    <w:rsid w:val="00043727"/>
    <w:rsid w:val="000438F7"/>
    <w:rsid w:val="00043BFE"/>
    <w:rsid w:val="00043DBF"/>
    <w:rsid w:val="00043E20"/>
    <w:rsid w:val="0004405E"/>
    <w:rsid w:val="000440C7"/>
    <w:rsid w:val="00044574"/>
    <w:rsid w:val="00044764"/>
    <w:rsid w:val="000447C4"/>
    <w:rsid w:val="00044B66"/>
    <w:rsid w:val="00044E99"/>
    <w:rsid w:val="00044ED2"/>
    <w:rsid w:val="00044FB6"/>
    <w:rsid w:val="00044FED"/>
    <w:rsid w:val="00044FF6"/>
    <w:rsid w:val="000451E7"/>
    <w:rsid w:val="000453FB"/>
    <w:rsid w:val="0004543E"/>
    <w:rsid w:val="00045952"/>
    <w:rsid w:val="00045B08"/>
    <w:rsid w:val="00045CB9"/>
    <w:rsid w:val="00045E67"/>
    <w:rsid w:val="00046058"/>
    <w:rsid w:val="000460F6"/>
    <w:rsid w:val="0004625D"/>
    <w:rsid w:val="00046392"/>
    <w:rsid w:val="00046399"/>
    <w:rsid w:val="000463A8"/>
    <w:rsid w:val="00046474"/>
    <w:rsid w:val="000464C5"/>
    <w:rsid w:val="000465B2"/>
    <w:rsid w:val="00046638"/>
    <w:rsid w:val="000466F2"/>
    <w:rsid w:val="00046A7E"/>
    <w:rsid w:val="00046AD6"/>
    <w:rsid w:val="00046B7A"/>
    <w:rsid w:val="00046BAA"/>
    <w:rsid w:val="00046BD0"/>
    <w:rsid w:val="00046DCA"/>
    <w:rsid w:val="000470C3"/>
    <w:rsid w:val="00047130"/>
    <w:rsid w:val="00047282"/>
    <w:rsid w:val="00047463"/>
    <w:rsid w:val="000475EA"/>
    <w:rsid w:val="00047938"/>
    <w:rsid w:val="000479E0"/>
    <w:rsid w:val="00047AC3"/>
    <w:rsid w:val="00047CD3"/>
    <w:rsid w:val="00047CF9"/>
    <w:rsid w:val="00047D00"/>
    <w:rsid w:val="0005000F"/>
    <w:rsid w:val="00050166"/>
    <w:rsid w:val="000504F8"/>
    <w:rsid w:val="00050656"/>
    <w:rsid w:val="00050722"/>
    <w:rsid w:val="0005076E"/>
    <w:rsid w:val="00050A7E"/>
    <w:rsid w:val="00050B37"/>
    <w:rsid w:val="00050C98"/>
    <w:rsid w:val="00051127"/>
    <w:rsid w:val="00051323"/>
    <w:rsid w:val="00051642"/>
    <w:rsid w:val="00051B79"/>
    <w:rsid w:val="00051C5C"/>
    <w:rsid w:val="00051D52"/>
    <w:rsid w:val="00051F5A"/>
    <w:rsid w:val="000520B0"/>
    <w:rsid w:val="00052221"/>
    <w:rsid w:val="0005249C"/>
    <w:rsid w:val="00052521"/>
    <w:rsid w:val="0005256A"/>
    <w:rsid w:val="000526B2"/>
    <w:rsid w:val="00052790"/>
    <w:rsid w:val="0005288B"/>
    <w:rsid w:val="00052999"/>
    <w:rsid w:val="00052AD6"/>
    <w:rsid w:val="00052B36"/>
    <w:rsid w:val="00052BEC"/>
    <w:rsid w:val="00052DE9"/>
    <w:rsid w:val="000531B5"/>
    <w:rsid w:val="000532CC"/>
    <w:rsid w:val="00053326"/>
    <w:rsid w:val="000534D4"/>
    <w:rsid w:val="00053655"/>
    <w:rsid w:val="0005393C"/>
    <w:rsid w:val="0005395B"/>
    <w:rsid w:val="00053BD3"/>
    <w:rsid w:val="00053C23"/>
    <w:rsid w:val="0005422F"/>
    <w:rsid w:val="000542A6"/>
    <w:rsid w:val="00054374"/>
    <w:rsid w:val="00054389"/>
    <w:rsid w:val="0005475D"/>
    <w:rsid w:val="00054772"/>
    <w:rsid w:val="000547E4"/>
    <w:rsid w:val="00054826"/>
    <w:rsid w:val="000548D5"/>
    <w:rsid w:val="00054930"/>
    <w:rsid w:val="00054C79"/>
    <w:rsid w:val="00054CF1"/>
    <w:rsid w:val="00054CF4"/>
    <w:rsid w:val="00054D6B"/>
    <w:rsid w:val="00054E74"/>
    <w:rsid w:val="00055066"/>
    <w:rsid w:val="00055229"/>
    <w:rsid w:val="00055467"/>
    <w:rsid w:val="000554B8"/>
    <w:rsid w:val="00055B3D"/>
    <w:rsid w:val="00055C19"/>
    <w:rsid w:val="00055C85"/>
    <w:rsid w:val="00055E5F"/>
    <w:rsid w:val="00055F5C"/>
    <w:rsid w:val="00056087"/>
    <w:rsid w:val="00056130"/>
    <w:rsid w:val="0005620B"/>
    <w:rsid w:val="00056396"/>
    <w:rsid w:val="000563AA"/>
    <w:rsid w:val="00056533"/>
    <w:rsid w:val="00056613"/>
    <w:rsid w:val="00056627"/>
    <w:rsid w:val="000566D6"/>
    <w:rsid w:val="0005671B"/>
    <w:rsid w:val="00056763"/>
    <w:rsid w:val="00056902"/>
    <w:rsid w:val="00056AC9"/>
    <w:rsid w:val="00056AF9"/>
    <w:rsid w:val="00056B4A"/>
    <w:rsid w:val="00056C13"/>
    <w:rsid w:val="00056CEB"/>
    <w:rsid w:val="00056F27"/>
    <w:rsid w:val="0005704C"/>
    <w:rsid w:val="00057251"/>
    <w:rsid w:val="00057335"/>
    <w:rsid w:val="0005735E"/>
    <w:rsid w:val="0005756B"/>
    <w:rsid w:val="0005786A"/>
    <w:rsid w:val="00057881"/>
    <w:rsid w:val="000578E1"/>
    <w:rsid w:val="00057AD1"/>
    <w:rsid w:val="00057F39"/>
    <w:rsid w:val="00057F69"/>
    <w:rsid w:val="00057FA1"/>
    <w:rsid w:val="000601C4"/>
    <w:rsid w:val="000602DC"/>
    <w:rsid w:val="000602DE"/>
    <w:rsid w:val="000604B7"/>
    <w:rsid w:val="00060863"/>
    <w:rsid w:val="000608D2"/>
    <w:rsid w:val="000608FA"/>
    <w:rsid w:val="000609AC"/>
    <w:rsid w:val="00060AC0"/>
    <w:rsid w:val="00060E61"/>
    <w:rsid w:val="00060FC8"/>
    <w:rsid w:val="00060FEA"/>
    <w:rsid w:val="0006108B"/>
    <w:rsid w:val="000610CB"/>
    <w:rsid w:val="0006111A"/>
    <w:rsid w:val="0006116A"/>
    <w:rsid w:val="0006189C"/>
    <w:rsid w:val="000619FB"/>
    <w:rsid w:val="00061B53"/>
    <w:rsid w:val="00061B5F"/>
    <w:rsid w:val="00061DDD"/>
    <w:rsid w:val="00061F7D"/>
    <w:rsid w:val="00062082"/>
    <w:rsid w:val="0006209E"/>
    <w:rsid w:val="0006217D"/>
    <w:rsid w:val="0006218B"/>
    <w:rsid w:val="0006220B"/>
    <w:rsid w:val="0006233E"/>
    <w:rsid w:val="00062397"/>
    <w:rsid w:val="000623F7"/>
    <w:rsid w:val="00062541"/>
    <w:rsid w:val="000626A8"/>
    <w:rsid w:val="000626C9"/>
    <w:rsid w:val="00062A0F"/>
    <w:rsid w:val="00062A34"/>
    <w:rsid w:val="00062AF5"/>
    <w:rsid w:val="00062D8E"/>
    <w:rsid w:val="00062EA2"/>
    <w:rsid w:val="00063260"/>
    <w:rsid w:val="00063297"/>
    <w:rsid w:val="00063443"/>
    <w:rsid w:val="0006358C"/>
    <w:rsid w:val="00063953"/>
    <w:rsid w:val="00063AF8"/>
    <w:rsid w:val="00063D3A"/>
    <w:rsid w:val="0006417B"/>
    <w:rsid w:val="000641B0"/>
    <w:rsid w:val="000641B1"/>
    <w:rsid w:val="00064307"/>
    <w:rsid w:val="000646AC"/>
    <w:rsid w:val="0006472B"/>
    <w:rsid w:val="00064851"/>
    <w:rsid w:val="000648E5"/>
    <w:rsid w:val="00064A4A"/>
    <w:rsid w:val="00064AEC"/>
    <w:rsid w:val="00064B8C"/>
    <w:rsid w:val="00064C7B"/>
    <w:rsid w:val="00064F69"/>
    <w:rsid w:val="000650A8"/>
    <w:rsid w:val="000650E4"/>
    <w:rsid w:val="0006553E"/>
    <w:rsid w:val="00065583"/>
    <w:rsid w:val="00065691"/>
    <w:rsid w:val="0006574D"/>
    <w:rsid w:val="00065799"/>
    <w:rsid w:val="0006582C"/>
    <w:rsid w:val="00065871"/>
    <w:rsid w:val="00065AA9"/>
    <w:rsid w:val="00065C8E"/>
    <w:rsid w:val="00065CB4"/>
    <w:rsid w:val="00066194"/>
    <w:rsid w:val="00066858"/>
    <w:rsid w:val="00066D80"/>
    <w:rsid w:val="00066F9A"/>
    <w:rsid w:val="00066F9C"/>
    <w:rsid w:val="00067027"/>
    <w:rsid w:val="0006761A"/>
    <w:rsid w:val="0006765B"/>
    <w:rsid w:val="0006779F"/>
    <w:rsid w:val="000678CE"/>
    <w:rsid w:val="000679E6"/>
    <w:rsid w:val="00067C52"/>
    <w:rsid w:val="00067E02"/>
    <w:rsid w:val="00067F9B"/>
    <w:rsid w:val="00070032"/>
    <w:rsid w:val="000700C0"/>
    <w:rsid w:val="000701F7"/>
    <w:rsid w:val="00070214"/>
    <w:rsid w:val="0007031D"/>
    <w:rsid w:val="000703C2"/>
    <w:rsid w:val="000703C9"/>
    <w:rsid w:val="0007047F"/>
    <w:rsid w:val="00070612"/>
    <w:rsid w:val="000706F6"/>
    <w:rsid w:val="00070781"/>
    <w:rsid w:val="00070965"/>
    <w:rsid w:val="000709CB"/>
    <w:rsid w:val="000709DB"/>
    <w:rsid w:val="00070B0C"/>
    <w:rsid w:val="00070E60"/>
    <w:rsid w:val="00070F3D"/>
    <w:rsid w:val="00070F59"/>
    <w:rsid w:val="000711A9"/>
    <w:rsid w:val="00071322"/>
    <w:rsid w:val="0007149C"/>
    <w:rsid w:val="000715D0"/>
    <w:rsid w:val="0007167C"/>
    <w:rsid w:val="000716AF"/>
    <w:rsid w:val="00071803"/>
    <w:rsid w:val="00071ADB"/>
    <w:rsid w:val="00071B11"/>
    <w:rsid w:val="00071CAF"/>
    <w:rsid w:val="00071CB6"/>
    <w:rsid w:val="00071D3A"/>
    <w:rsid w:val="00071EB3"/>
    <w:rsid w:val="000721AF"/>
    <w:rsid w:val="00072338"/>
    <w:rsid w:val="00072626"/>
    <w:rsid w:val="000727A5"/>
    <w:rsid w:val="00072805"/>
    <w:rsid w:val="00072878"/>
    <w:rsid w:val="00072889"/>
    <w:rsid w:val="00072B0E"/>
    <w:rsid w:val="00072BE5"/>
    <w:rsid w:val="00072C03"/>
    <w:rsid w:val="00072CA3"/>
    <w:rsid w:val="00072CFD"/>
    <w:rsid w:val="00072D30"/>
    <w:rsid w:val="00072D6F"/>
    <w:rsid w:val="00072DD7"/>
    <w:rsid w:val="00072E0E"/>
    <w:rsid w:val="00072F11"/>
    <w:rsid w:val="00072FD6"/>
    <w:rsid w:val="000732DB"/>
    <w:rsid w:val="00073322"/>
    <w:rsid w:val="00073576"/>
    <w:rsid w:val="0007359E"/>
    <w:rsid w:val="000737F6"/>
    <w:rsid w:val="00073A64"/>
    <w:rsid w:val="00073BA0"/>
    <w:rsid w:val="00074087"/>
    <w:rsid w:val="000740FC"/>
    <w:rsid w:val="000742DE"/>
    <w:rsid w:val="0007433A"/>
    <w:rsid w:val="00074508"/>
    <w:rsid w:val="0007458B"/>
    <w:rsid w:val="00074596"/>
    <w:rsid w:val="0007475A"/>
    <w:rsid w:val="0007483E"/>
    <w:rsid w:val="000749F8"/>
    <w:rsid w:val="00074CDB"/>
    <w:rsid w:val="00074DD3"/>
    <w:rsid w:val="00074EC4"/>
    <w:rsid w:val="00074F78"/>
    <w:rsid w:val="0007518B"/>
    <w:rsid w:val="000755C2"/>
    <w:rsid w:val="000755D7"/>
    <w:rsid w:val="000756A1"/>
    <w:rsid w:val="000756DA"/>
    <w:rsid w:val="00075777"/>
    <w:rsid w:val="00075831"/>
    <w:rsid w:val="000759C9"/>
    <w:rsid w:val="00075A83"/>
    <w:rsid w:val="00075C4C"/>
    <w:rsid w:val="00075D47"/>
    <w:rsid w:val="00075DFB"/>
    <w:rsid w:val="00075EED"/>
    <w:rsid w:val="00075EFA"/>
    <w:rsid w:val="00075FB5"/>
    <w:rsid w:val="00076244"/>
    <w:rsid w:val="0007625F"/>
    <w:rsid w:val="0007636D"/>
    <w:rsid w:val="000763F2"/>
    <w:rsid w:val="00076401"/>
    <w:rsid w:val="000764CD"/>
    <w:rsid w:val="00076692"/>
    <w:rsid w:val="00076808"/>
    <w:rsid w:val="00076881"/>
    <w:rsid w:val="000768BB"/>
    <w:rsid w:val="00076BE1"/>
    <w:rsid w:val="00076D97"/>
    <w:rsid w:val="00076E98"/>
    <w:rsid w:val="00077092"/>
    <w:rsid w:val="0007722F"/>
    <w:rsid w:val="000772F1"/>
    <w:rsid w:val="00077428"/>
    <w:rsid w:val="0007764F"/>
    <w:rsid w:val="000776B5"/>
    <w:rsid w:val="0007775B"/>
    <w:rsid w:val="00077BA7"/>
    <w:rsid w:val="00077C5C"/>
    <w:rsid w:val="00077CA5"/>
    <w:rsid w:val="00077F0E"/>
    <w:rsid w:val="00080081"/>
    <w:rsid w:val="0008011C"/>
    <w:rsid w:val="000805BC"/>
    <w:rsid w:val="00080CB2"/>
    <w:rsid w:val="00080D3E"/>
    <w:rsid w:val="00080E2A"/>
    <w:rsid w:val="000810F0"/>
    <w:rsid w:val="000810FF"/>
    <w:rsid w:val="000811F6"/>
    <w:rsid w:val="000811F7"/>
    <w:rsid w:val="00081588"/>
    <w:rsid w:val="00081652"/>
    <w:rsid w:val="000819CD"/>
    <w:rsid w:val="00081D15"/>
    <w:rsid w:val="00081D60"/>
    <w:rsid w:val="00081F4D"/>
    <w:rsid w:val="00081F9A"/>
    <w:rsid w:val="00082004"/>
    <w:rsid w:val="0008200F"/>
    <w:rsid w:val="0008207A"/>
    <w:rsid w:val="0008213A"/>
    <w:rsid w:val="000821CE"/>
    <w:rsid w:val="000821D1"/>
    <w:rsid w:val="0008236F"/>
    <w:rsid w:val="000824AD"/>
    <w:rsid w:val="00082540"/>
    <w:rsid w:val="000826D2"/>
    <w:rsid w:val="000828DB"/>
    <w:rsid w:val="000828FD"/>
    <w:rsid w:val="00082C73"/>
    <w:rsid w:val="00082CB7"/>
    <w:rsid w:val="00082CC1"/>
    <w:rsid w:val="00082F10"/>
    <w:rsid w:val="0008311D"/>
    <w:rsid w:val="0008338B"/>
    <w:rsid w:val="000833BF"/>
    <w:rsid w:val="0008363E"/>
    <w:rsid w:val="000836D2"/>
    <w:rsid w:val="0008371B"/>
    <w:rsid w:val="00083803"/>
    <w:rsid w:val="00083AE9"/>
    <w:rsid w:val="00083B10"/>
    <w:rsid w:val="00083B37"/>
    <w:rsid w:val="00083CC0"/>
    <w:rsid w:val="00083CFE"/>
    <w:rsid w:val="00083D55"/>
    <w:rsid w:val="00083DA5"/>
    <w:rsid w:val="00083E7B"/>
    <w:rsid w:val="00084056"/>
    <w:rsid w:val="00084429"/>
    <w:rsid w:val="00084771"/>
    <w:rsid w:val="000847E2"/>
    <w:rsid w:val="00084847"/>
    <w:rsid w:val="0008485E"/>
    <w:rsid w:val="0008499E"/>
    <w:rsid w:val="00084ACE"/>
    <w:rsid w:val="00084D67"/>
    <w:rsid w:val="00084E8A"/>
    <w:rsid w:val="0008501A"/>
    <w:rsid w:val="00085026"/>
    <w:rsid w:val="0008574F"/>
    <w:rsid w:val="000858C8"/>
    <w:rsid w:val="000859E0"/>
    <w:rsid w:val="00085A18"/>
    <w:rsid w:val="00085ADE"/>
    <w:rsid w:val="00085BCA"/>
    <w:rsid w:val="00085D59"/>
    <w:rsid w:val="00085D95"/>
    <w:rsid w:val="00085E3F"/>
    <w:rsid w:val="000866D7"/>
    <w:rsid w:val="0008673E"/>
    <w:rsid w:val="000867E9"/>
    <w:rsid w:val="0008686C"/>
    <w:rsid w:val="000868FE"/>
    <w:rsid w:val="00086B0A"/>
    <w:rsid w:val="00086C52"/>
    <w:rsid w:val="00086E3E"/>
    <w:rsid w:val="00086F71"/>
    <w:rsid w:val="00087020"/>
    <w:rsid w:val="000870B1"/>
    <w:rsid w:val="000871F3"/>
    <w:rsid w:val="00087214"/>
    <w:rsid w:val="00087296"/>
    <w:rsid w:val="00087496"/>
    <w:rsid w:val="00087537"/>
    <w:rsid w:val="0008759A"/>
    <w:rsid w:val="0008762B"/>
    <w:rsid w:val="00087A79"/>
    <w:rsid w:val="00087C7C"/>
    <w:rsid w:val="00087CCD"/>
    <w:rsid w:val="00087CE5"/>
    <w:rsid w:val="00087E61"/>
    <w:rsid w:val="0009006D"/>
    <w:rsid w:val="00090161"/>
    <w:rsid w:val="0009027D"/>
    <w:rsid w:val="00090330"/>
    <w:rsid w:val="00090457"/>
    <w:rsid w:val="00090503"/>
    <w:rsid w:val="000906FE"/>
    <w:rsid w:val="000907A2"/>
    <w:rsid w:val="000907D4"/>
    <w:rsid w:val="000909DA"/>
    <w:rsid w:val="00090C1C"/>
    <w:rsid w:val="00090CBB"/>
    <w:rsid w:val="00090DA5"/>
    <w:rsid w:val="00090DDC"/>
    <w:rsid w:val="000912B5"/>
    <w:rsid w:val="00091494"/>
    <w:rsid w:val="00091662"/>
    <w:rsid w:val="000917C0"/>
    <w:rsid w:val="00091804"/>
    <w:rsid w:val="000919D0"/>
    <w:rsid w:val="00091A74"/>
    <w:rsid w:val="00091AE5"/>
    <w:rsid w:val="00091AF2"/>
    <w:rsid w:val="00091BFB"/>
    <w:rsid w:val="00091D4F"/>
    <w:rsid w:val="00091DCB"/>
    <w:rsid w:val="00091EE6"/>
    <w:rsid w:val="0009200D"/>
    <w:rsid w:val="000920B4"/>
    <w:rsid w:val="00092119"/>
    <w:rsid w:val="00092259"/>
    <w:rsid w:val="0009235A"/>
    <w:rsid w:val="00092487"/>
    <w:rsid w:val="0009265C"/>
    <w:rsid w:val="00092697"/>
    <w:rsid w:val="000928B5"/>
    <w:rsid w:val="00092D31"/>
    <w:rsid w:val="00092DAE"/>
    <w:rsid w:val="00092E2B"/>
    <w:rsid w:val="0009320F"/>
    <w:rsid w:val="00093815"/>
    <w:rsid w:val="00093980"/>
    <w:rsid w:val="00093A65"/>
    <w:rsid w:val="00093AFE"/>
    <w:rsid w:val="00093B5C"/>
    <w:rsid w:val="00093BB5"/>
    <w:rsid w:val="00093DA8"/>
    <w:rsid w:val="00093E62"/>
    <w:rsid w:val="00093EE2"/>
    <w:rsid w:val="00093FCE"/>
    <w:rsid w:val="00093FF2"/>
    <w:rsid w:val="0009425B"/>
    <w:rsid w:val="000944A4"/>
    <w:rsid w:val="000945ED"/>
    <w:rsid w:val="00094A48"/>
    <w:rsid w:val="00094AEE"/>
    <w:rsid w:val="00094AF2"/>
    <w:rsid w:val="00094BDD"/>
    <w:rsid w:val="00095025"/>
    <w:rsid w:val="000950E8"/>
    <w:rsid w:val="00095329"/>
    <w:rsid w:val="0009534E"/>
    <w:rsid w:val="0009536A"/>
    <w:rsid w:val="0009559F"/>
    <w:rsid w:val="000957FC"/>
    <w:rsid w:val="000959ED"/>
    <w:rsid w:val="00095B8D"/>
    <w:rsid w:val="00095B9E"/>
    <w:rsid w:val="00095BA9"/>
    <w:rsid w:val="00095DDA"/>
    <w:rsid w:val="00095E6F"/>
    <w:rsid w:val="00095FAA"/>
    <w:rsid w:val="00095FF2"/>
    <w:rsid w:val="000960BB"/>
    <w:rsid w:val="00096155"/>
    <w:rsid w:val="000964D7"/>
    <w:rsid w:val="0009670A"/>
    <w:rsid w:val="000967D4"/>
    <w:rsid w:val="00096869"/>
    <w:rsid w:val="00096A70"/>
    <w:rsid w:val="00096B0D"/>
    <w:rsid w:val="00096CFC"/>
    <w:rsid w:val="00096D18"/>
    <w:rsid w:val="00096FD4"/>
    <w:rsid w:val="00097111"/>
    <w:rsid w:val="000971F1"/>
    <w:rsid w:val="0009767D"/>
    <w:rsid w:val="00097766"/>
    <w:rsid w:val="000977F9"/>
    <w:rsid w:val="00097875"/>
    <w:rsid w:val="000978ED"/>
    <w:rsid w:val="00097995"/>
    <w:rsid w:val="000979CA"/>
    <w:rsid w:val="00097BDD"/>
    <w:rsid w:val="00097D02"/>
    <w:rsid w:val="00097E27"/>
    <w:rsid w:val="00097E77"/>
    <w:rsid w:val="00097EA8"/>
    <w:rsid w:val="00097FDC"/>
    <w:rsid w:val="000A0136"/>
    <w:rsid w:val="000A02EF"/>
    <w:rsid w:val="000A0389"/>
    <w:rsid w:val="000A0587"/>
    <w:rsid w:val="000A0632"/>
    <w:rsid w:val="000A06C9"/>
    <w:rsid w:val="000A0728"/>
    <w:rsid w:val="000A08A2"/>
    <w:rsid w:val="000A09AE"/>
    <w:rsid w:val="000A0A32"/>
    <w:rsid w:val="000A0AD9"/>
    <w:rsid w:val="000A0EA7"/>
    <w:rsid w:val="000A0F5C"/>
    <w:rsid w:val="000A10EC"/>
    <w:rsid w:val="000A12AA"/>
    <w:rsid w:val="000A132F"/>
    <w:rsid w:val="000A1465"/>
    <w:rsid w:val="000A15AB"/>
    <w:rsid w:val="000A15CC"/>
    <w:rsid w:val="000A167B"/>
    <w:rsid w:val="000A1CB1"/>
    <w:rsid w:val="000A1D7C"/>
    <w:rsid w:val="000A1E96"/>
    <w:rsid w:val="000A1F3A"/>
    <w:rsid w:val="000A2022"/>
    <w:rsid w:val="000A2048"/>
    <w:rsid w:val="000A2062"/>
    <w:rsid w:val="000A21B4"/>
    <w:rsid w:val="000A2570"/>
    <w:rsid w:val="000A2756"/>
    <w:rsid w:val="000A27BB"/>
    <w:rsid w:val="000A29AC"/>
    <w:rsid w:val="000A29B0"/>
    <w:rsid w:val="000A2A70"/>
    <w:rsid w:val="000A2D11"/>
    <w:rsid w:val="000A2D93"/>
    <w:rsid w:val="000A2E32"/>
    <w:rsid w:val="000A2E84"/>
    <w:rsid w:val="000A3021"/>
    <w:rsid w:val="000A3065"/>
    <w:rsid w:val="000A3099"/>
    <w:rsid w:val="000A3293"/>
    <w:rsid w:val="000A3394"/>
    <w:rsid w:val="000A33A9"/>
    <w:rsid w:val="000A35F2"/>
    <w:rsid w:val="000A3615"/>
    <w:rsid w:val="000A3798"/>
    <w:rsid w:val="000A3803"/>
    <w:rsid w:val="000A381A"/>
    <w:rsid w:val="000A389D"/>
    <w:rsid w:val="000A38D1"/>
    <w:rsid w:val="000A3B16"/>
    <w:rsid w:val="000A3BB6"/>
    <w:rsid w:val="000A4003"/>
    <w:rsid w:val="000A41CD"/>
    <w:rsid w:val="000A438C"/>
    <w:rsid w:val="000A43C1"/>
    <w:rsid w:val="000A450B"/>
    <w:rsid w:val="000A45EF"/>
    <w:rsid w:val="000A488D"/>
    <w:rsid w:val="000A4C41"/>
    <w:rsid w:val="000A4D6E"/>
    <w:rsid w:val="000A5463"/>
    <w:rsid w:val="000A54DB"/>
    <w:rsid w:val="000A5613"/>
    <w:rsid w:val="000A575F"/>
    <w:rsid w:val="000A5910"/>
    <w:rsid w:val="000A5C83"/>
    <w:rsid w:val="000A5CDE"/>
    <w:rsid w:val="000A5DB6"/>
    <w:rsid w:val="000A6012"/>
    <w:rsid w:val="000A60D5"/>
    <w:rsid w:val="000A6368"/>
    <w:rsid w:val="000A6613"/>
    <w:rsid w:val="000A696F"/>
    <w:rsid w:val="000A6ADB"/>
    <w:rsid w:val="000A6E56"/>
    <w:rsid w:val="000A6FF9"/>
    <w:rsid w:val="000A7403"/>
    <w:rsid w:val="000A742B"/>
    <w:rsid w:val="000A743F"/>
    <w:rsid w:val="000A76A5"/>
    <w:rsid w:val="000A7720"/>
    <w:rsid w:val="000A7736"/>
    <w:rsid w:val="000A77CA"/>
    <w:rsid w:val="000A7825"/>
    <w:rsid w:val="000A78DE"/>
    <w:rsid w:val="000A7A83"/>
    <w:rsid w:val="000A7ABD"/>
    <w:rsid w:val="000A7B49"/>
    <w:rsid w:val="000A7BF7"/>
    <w:rsid w:val="000A7E22"/>
    <w:rsid w:val="000B00A1"/>
    <w:rsid w:val="000B0116"/>
    <w:rsid w:val="000B014F"/>
    <w:rsid w:val="000B01A9"/>
    <w:rsid w:val="000B0375"/>
    <w:rsid w:val="000B0389"/>
    <w:rsid w:val="000B0538"/>
    <w:rsid w:val="000B0813"/>
    <w:rsid w:val="000B0A24"/>
    <w:rsid w:val="000B0C72"/>
    <w:rsid w:val="000B148A"/>
    <w:rsid w:val="000B1792"/>
    <w:rsid w:val="000B179F"/>
    <w:rsid w:val="000B17F7"/>
    <w:rsid w:val="000B1934"/>
    <w:rsid w:val="000B1BC8"/>
    <w:rsid w:val="000B1DF8"/>
    <w:rsid w:val="000B1E09"/>
    <w:rsid w:val="000B22E4"/>
    <w:rsid w:val="000B22F0"/>
    <w:rsid w:val="000B2375"/>
    <w:rsid w:val="000B23F3"/>
    <w:rsid w:val="000B26DC"/>
    <w:rsid w:val="000B2841"/>
    <w:rsid w:val="000B2842"/>
    <w:rsid w:val="000B2871"/>
    <w:rsid w:val="000B287E"/>
    <w:rsid w:val="000B293F"/>
    <w:rsid w:val="000B2CE4"/>
    <w:rsid w:val="000B313C"/>
    <w:rsid w:val="000B337A"/>
    <w:rsid w:val="000B3480"/>
    <w:rsid w:val="000B35A5"/>
    <w:rsid w:val="000B3768"/>
    <w:rsid w:val="000B396C"/>
    <w:rsid w:val="000B3B8B"/>
    <w:rsid w:val="000B3BAC"/>
    <w:rsid w:val="000B3C5D"/>
    <w:rsid w:val="000B3E81"/>
    <w:rsid w:val="000B421A"/>
    <w:rsid w:val="000B4333"/>
    <w:rsid w:val="000B4406"/>
    <w:rsid w:val="000B450A"/>
    <w:rsid w:val="000B4781"/>
    <w:rsid w:val="000B49C1"/>
    <w:rsid w:val="000B49E6"/>
    <w:rsid w:val="000B4B97"/>
    <w:rsid w:val="000B4CA3"/>
    <w:rsid w:val="000B4EE0"/>
    <w:rsid w:val="000B4EE2"/>
    <w:rsid w:val="000B4F56"/>
    <w:rsid w:val="000B4F85"/>
    <w:rsid w:val="000B4FE1"/>
    <w:rsid w:val="000B5052"/>
    <w:rsid w:val="000B50AC"/>
    <w:rsid w:val="000B5224"/>
    <w:rsid w:val="000B527C"/>
    <w:rsid w:val="000B527D"/>
    <w:rsid w:val="000B52B7"/>
    <w:rsid w:val="000B52D9"/>
    <w:rsid w:val="000B52E7"/>
    <w:rsid w:val="000B5308"/>
    <w:rsid w:val="000B5331"/>
    <w:rsid w:val="000B5335"/>
    <w:rsid w:val="000B548C"/>
    <w:rsid w:val="000B558E"/>
    <w:rsid w:val="000B57FB"/>
    <w:rsid w:val="000B58F9"/>
    <w:rsid w:val="000B5951"/>
    <w:rsid w:val="000B59DF"/>
    <w:rsid w:val="000B5A5E"/>
    <w:rsid w:val="000B5C05"/>
    <w:rsid w:val="000B5D11"/>
    <w:rsid w:val="000B5DBF"/>
    <w:rsid w:val="000B5E37"/>
    <w:rsid w:val="000B5E99"/>
    <w:rsid w:val="000B5F69"/>
    <w:rsid w:val="000B6023"/>
    <w:rsid w:val="000B625D"/>
    <w:rsid w:val="000B626A"/>
    <w:rsid w:val="000B63F6"/>
    <w:rsid w:val="000B695A"/>
    <w:rsid w:val="000B69C9"/>
    <w:rsid w:val="000B6F63"/>
    <w:rsid w:val="000B7229"/>
    <w:rsid w:val="000B7359"/>
    <w:rsid w:val="000B7491"/>
    <w:rsid w:val="000B74DE"/>
    <w:rsid w:val="000B75B8"/>
    <w:rsid w:val="000B763D"/>
    <w:rsid w:val="000B769B"/>
    <w:rsid w:val="000B77B5"/>
    <w:rsid w:val="000B77C8"/>
    <w:rsid w:val="000B794D"/>
    <w:rsid w:val="000B7ABA"/>
    <w:rsid w:val="000B7C1C"/>
    <w:rsid w:val="000B7CBE"/>
    <w:rsid w:val="000C00CF"/>
    <w:rsid w:val="000C028D"/>
    <w:rsid w:val="000C02D0"/>
    <w:rsid w:val="000C04DD"/>
    <w:rsid w:val="000C0528"/>
    <w:rsid w:val="000C06E2"/>
    <w:rsid w:val="000C0809"/>
    <w:rsid w:val="000C0C16"/>
    <w:rsid w:val="000C0C4C"/>
    <w:rsid w:val="000C0C8B"/>
    <w:rsid w:val="000C0D0C"/>
    <w:rsid w:val="000C0DF1"/>
    <w:rsid w:val="000C0E04"/>
    <w:rsid w:val="000C0E65"/>
    <w:rsid w:val="000C0E93"/>
    <w:rsid w:val="000C1309"/>
    <w:rsid w:val="000C1358"/>
    <w:rsid w:val="000C16A1"/>
    <w:rsid w:val="000C16E2"/>
    <w:rsid w:val="000C188E"/>
    <w:rsid w:val="000C1920"/>
    <w:rsid w:val="000C1A2B"/>
    <w:rsid w:val="000C1EA2"/>
    <w:rsid w:val="000C1F34"/>
    <w:rsid w:val="000C1FB3"/>
    <w:rsid w:val="000C1FB9"/>
    <w:rsid w:val="000C1FD8"/>
    <w:rsid w:val="000C214A"/>
    <w:rsid w:val="000C23FB"/>
    <w:rsid w:val="000C2459"/>
    <w:rsid w:val="000C2B73"/>
    <w:rsid w:val="000C2FB1"/>
    <w:rsid w:val="000C327D"/>
    <w:rsid w:val="000C3600"/>
    <w:rsid w:val="000C367C"/>
    <w:rsid w:val="000C37EC"/>
    <w:rsid w:val="000C3929"/>
    <w:rsid w:val="000C392D"/>
    <w:rsid w:val="000C3C48"/>
    <w:rsid w:val="000C3D8D"/>
    <w:rsid w:val="000C3E6C"/>
    <w:rsid w:val="000C3F8E"/>
    <w:rsid w:val="000C4019"/>
    <w:rsid w:val="000C452F"/>
    <w:rsid w:val="000C48E4"/>
    <w:rsid w:val="000C4CF4"/>
    <w:rsid w:val="000C4DC2"/>
    <w:rsid w:val="000C4DFF"/>
    <w:rsid w:val="000C4E4E"/>
    <w:rsid w:val="000C4E7F"/>
    <w:rsid w:val="000C5038"/>
    <w:rsid w:val="000C50E3"/>
    <w:rsid w:val="000C5325"/>
    <w:rsid w:val="000C5347"/>
    <w:rsid w:val="000C535F"/>
    <w:rsid w:val="000C53C4"/>
    <w:rsid w:val="000C562D"/>
    <w:rsid w:val="000C5661"/>
    <w:rsid w:val="000C578F"/>
    <w:rsid w:val="000C5801"/>
    <w:rsid w:val="000C58B1"/>
    <w:rsid w:val="000C5BB5"/>
    <w:rsid w:val="000C5BE2"/>
    <w:rsid w:val="000C5ED2"/>
    <w:rsid w:val="000C6051"/>
    <w:rsid w:val="000C6278"/>
    <w:rsid w:val="000C62F9"/>
    <w:rsid w:val="000C63D9"/>
    <w:rsid w:val="000C65A9"/>
    <w:rsid w:val="000C6688"/>
    <w:rsid w:val="000C670E"/>
    <w:rsid w:val="000C6710"/>
    <w:rsid w:val="000C68CA"/>
    <w:rsid w:val="000C6B33"/>
    <w:rsid w:val="000C6B7A"/>
    <w:rsid w:val="000C6CF1"/>
    <w:rsid w:val="000C6D70"/>
    <w:rsid w:val="000C6EC3"/>
    <w:rsid w:val="000C7527"/>
    <w:rsid w:val="000C75D0"/>
    <w:rsid w:val="000C7667"/>
    <w:rsid w:val="000C76DB"/>
    <w:rsid w:val="000C78DE"/>
    <w:rsid w:val="000C7A10"/>
    <w:rsid w:val="000C7B17"/>
    <w:rsid w:val="000C7D36"/>
    <w:rsid w:val="000C7F60"/>
    <w:rsid w:val="000C7FBD"/>
    <w:rsid w:val="000D0027"/>
    <w:rsid w:val="000D008A"/>
    <w:rsid w:val="000D01F3"/>
    <w:rsid w:val="000D0357"/>
    <w:rsid w:val="000D0378"/>
    <w:rsid w:val="000D0526"/>
    <w:rsid w:val="000D0562"/>
    <w:rsid w:val="000D05AF"/>
    <w:rsid w:val="000D0609"/>
    <w:rsid w:val="000D070C"/>
    <w:rsid w:val="000D0A49"/>
    <w:rsid w:val="000D0A57"/>
    <w:rsid w:val="000D0D04"/>
    <w:rsid w:val="000D0FBC"/>
    <w:rsid w:val="000D0FDC"/>
    <w:rsid w:val="000D1079"/>
    <w:rsid w:val="000D11AF"/>
    <w:rsid w:val="000D124D"/>
    <w:rsid w:val="000D13D0"/>
    <w:rsid w:val="000D15CC"/>
    <w:rsid w:val="000D17F6"/>
    <w:rsid w:val="000D18F4"/>
    <w:rsid w:val="000D19FF"/>
    <w:rsid w:val="000D1D2A"/>
    <w:rsid w:val="000D1DD8"/>
    <w:rsid w:val="000D1E7A"/>
    <w:rsid w:val="000D1FA4"/>
    <w:rsid w:val="000D2216"/>
    <w:rsid w:val="000D22C6"/>
    <w:rsid w:val="000D2306"/>
    <w:rsid w:val="000D2418"/>
    <w:rsid w:val="000D24E1"/>
    <w:rsid w:val="000D2786"/>
    <w:rsid w:val="000D2938"/>
    <w:rsid w:val="000D2B88"/>
    <w:rsid w:val="000D2CCF"/>
    <w:rsid w:val="000D2D7B"/>
    <w:rsid w:val="000D2FEA"/>
    <w:rsid w:val="000D309C"/>
    <w:rsid w:val="000D3232"/>
    <w:rsid w:val="000D33BA"/>
    <w:rsid w:val="000D3428"/>
    <w:rsid w:val="000D3459"/>
    <w:rsid w:val="000D3647"/>
    <w:rsid w:val="000D3705"/>
    <w:rsid w:val="000D3835"/>
    <w:rsid w:val="000D3A75"/>
    <w:rsid w:val="000D4068"/>
    <w:rsid w:val="000D4169"/>
    <w:rsid w:val="000D42DE"/>
    <w:rsid w:val="000D458F"/>
    <w:rsid w:val="000D4979"/>
    <w:rsid w:val="000D4B5E"/>
    <w:rsid w:val="000D4C9D"/>
    <w:rsid w:val="000D4EE5"/>
    <w:rsid w:val="000D501B"/>
    <w:rsid w:val="000D50D3"/>
    <w:rsid w:val="000D515B"/>
    <w:rsid w:val="000D52FC"/>
    <w:rsid w:val="000D534D"/>
    <w:rsid w:val="000D539C"/>
    <w:rsid w:val="000D53B5"/>
    <w:rsid w:val="000D54AB"/>
    <w:rsid w:val="000D54AF"/>
    <w:rsid w:val="000D56C1"/>
    <w:rsid w:val="000D56D1"/>
    <w:rsid w:val="000D56FF"/>
    <w:rsid w:val="000D5729"/>
    <w:rsid w:val="000D5804"/>
    <w:rsid w:val="000D5976"/>
    <w:rsid w:val="000D5991"/>
    <w:rsid w:val="000D5A6D"/>
    <w:rsid w:val="000D5AFA"/>
    <w:rsid w:val="000D5D1F"/>
    <w:rsid w:val="000D5D91"/>
    <w:rsid w:val="000D5F67"/>
    <w:rsid w:val="000D5FF8"/>
    <w:rsid w:val="000D60DC"/>
    <w:rsid w:val="000D6104"/>
    <w:rsid w:val="000D6254"/>
    <w:rsid w:val="000D62A7"/>
    <w:rsid w:val="000D6399"/>
    <w:rsid w:val="000D6839"/>
    <w:rsid w:val="000D69AA"/>
    <w:rsid w:val="000D6D01"/>
    <w:rsid w:val="000D6F10"/>
    <w:rsid w:val="000D6F5D"/>
    <w:rsid w:val="000D70FB"/>
    <w:rsid w:val="000D7187"/>
    <w:rsid w:val="000D75D1"/>
    <w:rsid w:val="000D79A8"/>
    <w:rsid w:val="000D7AFC"/>
    <w:rsid w:val="000D7BAF"/>
    <w:rsid w:val="000D7CDC"/>
    <w:rsid w:val="000D7F4E"/>
    <w:rsid w:val="000D7FFB"/>
    <w:rsid w:val="000E0028"/>
    <w:rsid w:val="000E0435"/>
    <w:rsid w:val="000E08E2"/>
    <w:rsid w:val="000E09F2"/>
    <w:rsid w:val="000E0B27"/>
    <w:rsid w:val="000E0B65"/>
    <w:rsid w:val="000E0B99"/>
    <w:rsid w:val="000E0BC3"/>
    <w:rsid w:val="000E0CB1"/>
    <w:rsid w:val="000E0CC1"/>
    <w:rsid w:val="000E0E92"/>
    <w:rsid w:val="000E0F40"/>
    <w:rsid w:val="000E0FC9"/>
    <w:rsid w:val="000E117A"/>
    <w:rsid w:val="000E11BB"/>
    <w:rsid w:val="000E12B2"/>
    <w:rsid w:val="000E1498"/>
    <w:rsid w:val="000E14C1"/>
    <w:rsid w:val="000E155B"/>
    <w:rsid w:val="000E1669"/>
    <w:rsid w:val="000E1859"/>
    <w:rsid w:val="000E18B9"/>
    <w:rsid w:val="000E1A6E"/>
    <w:rsid w:val="000E1C4C"/>
    <w:rsid w:val="000E1C8C"/>
    <w:rsid w:val="000E1DED"/>
    <w:rsid w:val="000E1E92"/>
    <w:rsid w:val="000E20A0"/>
    <w:rsid w:val="000E2241"/>
    <w:rsid w:val="000E227D"/>
    <w:rsid w:val="000E22AD"/>
    <w:rsid w:val="000E28AF"/>
    <w:rsid w:val="000E28BF"/>
    <w:rsid w:val="000E29AA"/>
    <w:rsid w:val="000E2B86"/>
    <w:rsid w:val="000E2C69"/>
    <w:rsid w:val="000E2DD8"/>
    <w:rsid w:val="000E2E62"/>
    <w:rsid w:val="000E31B7"/>
    <w:rsid w:val="000E347B"/>
    <w:rsid w:val="000E3499"/>
    <w:rsid w:val="000E349F"/>
    <w:rsid w:val="000E3572"/>
    <w:rsid w:val="000E36A5"/>
    <w:rsid w:val="000E37C0"/>
    <w:rsid w:val="000E3D48"/>
    <w:rsid w:val="000E3DAA"/>
    <w:rsid w:val="000E3F9A"/>
    <w:rsid w:val="000E4161"/>
    <w:rsid w:val="000E41BC"/>
    <w:rsid w:val="000E42FF"/>
    <w:rsid w:val="000E4604"/>
    <w:rsid w:val="000E4681"/>
    <w:rsid w:val="000E4CD8"/>
    <w:rsid w:val="000E4D00"/>
    <w:rsid w:val="000E4D18"/>
    <w:rsid w:val="000E4D7E"/>
    <w:rsid w:val="000E4EB0"/>
    <w:rsid w:val="000E4F72"/>
    <w:rsid w:val="000E54CB"/>
    <w:rsid w:val="000E55FA"/>
    <w:rsid w:val="000E57DA"/>
    <w:rsid w:val="000E58BE"/>
    <w:rsid w:val="000E58E5"/>
    <w:rsid w:val="000E5956"/>
    <w:rsid w:val="000E5CB4"/>
    <w:rsid w:val="000E5DC2"/>
    <w:rsid w:val="000E5E0D"/>
    <w:rsid w:val="000E5E5F"/>
    <w:rsid w:val="000E5E87"/>
    <w:rsid w:val="000E5E91"/>
    <w:rsid w:val="000E5EC6"/>
    <w:rsid w:val="000E5FCB"/>
    <w:rsid w:val="000E6102"/>
    <w:rsid w:val="000E67A3"/>
    <w:rsid w:val="000E6908"/>
    <w:rsid w:val="000E6ADA"/>
    <w:rsid w:val="000E6BE7"/>
    <w:rsid w:val="000E7012"/>
    <w:rsid w:val="000E708E"/>
    <w:rsid w:val="000E70A8"/>
    <w:rsid w:val="000E7190"/>
    <w:rsid w:val="000E7343"/>
    <w:rsid w:val="000E7584"/>
    <w:rsid w:val="000E7652"/>
    <w:rsid w:val="000E769F"/>
    <w:rsid w:val="000E76E7"/>
    <w:rsid w:val="000E76E9"/>
    <w:rsid w:val="000E79A2"/>
    <w:rsid w:val="000E7D40"/>
    <w:rsid w:val="000F01CF"/>
    <w:rsid w:val="000F0231"/>
    <w:rsid w:val="000F0263"/>
    <w:rsid w:val="000F03C7"/>
    <w:rsid w:val="000F053D"/>
    <w:rsid w:val="000F0C95"/>
    <w:rsid w:val="000F0DEA"/>
    <w:rsid w:val="000F0EF9"/>
    <w:rsid w:val="000F1009"/>
    <w:rsid w:val="000F10A2"/>
    <w:rsid w:val="000F10AC"/>
    <w:rsid w:val="000F10D0"/>
    <w:rsid w:val="000F11E1"/>
    <w:rsid w:val="000F136A"/>
    <w:rsid w:val="000F1510"/>
    <w:rsid w:val="000F1A77"/>
    <w:rsid w:val="000F1B13"/>
    <w:rsid w:val="000F1B15"/>
    <w:rsid w:val="000F1C01"/>
    <w:rsid w:val="000F1CA3"/>
    <w:rsid w:val="000F1D54"/>
    <w:rsid w:val="000F1E7F"/>
    <w:rsid w:val="000F1F49"/>
    <w:rsid w:val="000F2067"/>
    <w:rsid w:val="000F212A"/>
    <w:rsid w:val="000F21DB"/>
    <w:rsid w:val="000F2722"/>
    <w:rsid w:val="000F2998"/>
    <w:rsid w:val="000F2B78"/>
    <w:rsid w:val="000F2DB2"/>
    <w:rsid w:val="000F2F5D"/>
    <w:rsid w:val="000F2F8D"/>
    <w:rsid w:val="000F301E"/>
    <w:rsid w:val="000F3414"/>
    <w:rsid w:val="000F3937"/>
    <w:rsid w:val="000F3A79"/>
    <w:rsid w:val="000F3B5F"/>
    <w:rsid w:val="000F3CD3"/>
    <w:rsid w:val="000F3F67"/>
    <w:rsid w:val="000F4043"/>
    <w:rsid w:val="000F40CD"/>
    <w:rsid w:val="000F40FC"/>
    <w:rsid w:val="000F42A8"/>
    <w:rsid w:val="000F42E9"/>
    <w:rsid w:val="000F4475"/>
    <w:rsid w:val="000F4556"/>
    <w:rsid w:val="000F4C64"/>
    <w:rsid w:val="000F4D54"/>
    <w:rsid w:val="000F4DE9"/>
    <w:rsid w:val="000F4F03"/>
    <w:rsid w:val="000F5144"/>
    <w:rsid w:val="000F5549"/>
    <w:rsid w:val="000F5725"/>
    <w:rsid w:val="000F58DE"/>
    <w:rsid w:val="000F5C45"/>
    <w:rsid w:val="000F5C7B"/>
    <w:rsid w:val="000F5E2D"/>
    <w:rsid w:val="000F607D"/>
    <w:rsid w:val="000F63FA"/>
    <w:rsid w:val="000F6417"/>
    <w:rsid w:val="000F6463"/>
    <w:rsid w:val="000F66F2"/>
    <w:rsid w:val="000F679D"/>
    <w:rsid w:val="000F68D5"/>
    <w:rsid w:val="000F690D"/>
    <w:rsid w:val="000F6927"/>
    <w:rsid w:val="000F6A66"/>
    <w:rsid w:val="000F6B39"/>
    <w:rsid w:val="000F6B45"/>
    <w:rsid w:val="000F6CA8"/>
    <w:rsid w:val="000F6EAC"/>
    <w:rsid w:val="000F70FF"/>
    <w:rsid w:val="000F73D7"/>
    <w:rsid w:val="000F74FF"/>
    <w:rsid w:val="000F75D6"/>
    <w:rsid w:val="000F7802"/>
    <w:rsid w:val="000F79DC"/>
    <w:rsid w:val="000F79E8"/>
    <w:rsid w:val="000F7AC6"/>
    <w:rsid w:val="000F7B6D"/>
    <w:rsid w:val="000F7C49"/>
    <w:rsid w:val="000F7F5F"/>
    <w:rsid w:val="001000C4"/>
    <w:rsid w:val="001000E7"/>
    <w:rsid w:val="0010033B"/>
    <w:rsid w:val="0010033C"/>
    <w:rsid w:val="00100597"/>
    <w:rsid w:val="001005D6"/>
    <w:rsid w:val="001005E8"/>
    <w:rsid w:val="0010068D"/>
    <w:rsid w:val="0010071B"/>
    <w:rsid w:val="00100726"/>
    <w:rsid w:val="001007CC"/>
    <w:rsid w:val="0010089E"/>
    <w:rsid w:val="001008CB"/>
    <w:rsid w:val="0010094A"/>
    <w:rsid w:val="001009BB"/>
    <w:rsid w:val="00100B9B"/>
    <w:rsid w:val="00100D34"/>
    <w:rsid w:val="00100FA0"/>
    <w:rsid w:val="0010111E"/>
    <w:rsid w:val="00101137"/>
    <w:rsid w:val="001011F4"/>
    <w:rsid w:val="00101214"/>
    <w:rsid w:val="001012A5"/>
    <w:rsid w:val="0010131D"/>
    <w:rsid w:val="001013A2"/>
    <w:rsid w:val="0010143D"/>
    <w:rsid w:val="001014A3"/>
    <w:rsid w:val="00101524"/>
    <w:rsid w:val="0010165D"/>
    <w:rsid w:val="001016B7"/>
    <w:rsid w:val="00101738"/>
    <w:rsid w:val="00101873"/>
    <w:rsid w:val="00101879"/>
    <w:rsid w:val="00101902"/>
    <w:rsid w:val="00101A82"/>
    <w:rsid w:val="00101EE0"/>
    <w:rsid w:val="00101F09"/>
    <w:rsid w:val="00101FC5"/>
    <w:rsid w:val="00102228"/>
    <w:rsid w:val="00102493"/>
    <w:rsid w:val="00102542"/>
    <w:rsid w:val="001025B7"/>
    <w:rsid w:val="001027AD"/>
    <w:rsid w:val="00102843"/>
    <w:rsid w:val="001028FD"/>
    <w:rsid w:val="001029B0"/>
    <w:rsid w:val="00102A18"/>
    <w:rsid w:val="00102A32"/>
    <w:rsid w:val="00102AD8"/>
    <w:rsid w:val="00102B1F"/>
    <w:rsid w:val="00102BA3"/>
    <w:rsid w:val="00102F92"/>
    <w:rsid w:val="001033F9"/>
    <w:rsid w:val="0010344C"/>
    <w:rsid w:val="00103626"/>
    <w:rsid w:val="001037D8"/>
    <w:rsid w:val="001038CC"/>
    <w:rsid w:val="001038F4"/>
    <w:rsid w:val="001039D1"/>
    <w:rsid w:val="001039D5"/>
    <w:rsid w:val="00103A35"/>
    <w:rsid w:val="00103A44"/>
    <w:rsid w:val="00103BFE"/>
    <w:rsid w:val="00103D15"/>
    <w:rsid w:val="001040CE"/>
    <w:rsid w:val="00104489"/>
    <w:rsid w:val="00104511"/>
    <w:rsid w:val="0010481A"/>
    <w:rsid w:val="00104E1D"/>
    <w:rsid w:val="00104E9B"/>
    <w:rsid w:val="00104F8F"/>
    <w:rsid w:val="001050B0"/>
    <w:rsid w:val="001052BB"/>
    <w:rsid w:val="001052E1"/>
    <w:rsid w:val="00105562"/>
    <w:rsid w:val="0010567A"/>
    <w:rsid w:val="001057CF"/>
    <w:rsid w:val="001057E1"/>
    <w:rsid w:val="001058A5"/>
    <w:rsid w:val="001059F9"/>
    <w:rsid w:val="00105D5E"/>
    <w:rsid w:val="001060BF"/>
    <w:rsid w:val="0010640F"/>
    <w:rsid w:val="0010641E"/>
    <w:rsid w:val="00106534"/>
    <w:rsid w:val="00106584"/>
    <w:rsid w:val="00106A17"/>
    <w:rsid w:val="00106BD3"/>
    <w:rsid w:val="00106BFC"/>
    <w:rsid w:val="00106F58"/>
    <w:rsid w:val="001071B2"/>
    <w:rsid w:val="001073CA"/>
    <w:rsid w:val="001075CC"/>
    <w:rsid w:val="0010770D"/>
    <w:rsid w:val="001079C6"/>
    <w:rsid w:val="00107BBD"/>
    <w:rsid w:val="00107DE8"/>
    <w:rsid w:val="001100EB"/>
    <w:rsid w:val="00110206"/>
    <w:rsid w:val="0011027B"/>
    <w:rsid w:val="00110677"/>
    <w:rsid w:val="001106B6"/>
    <w:rsid w:val="001106F7"/>
    <w:rsid w:val="001108AE"/>
    <w:rsid w:val="00110CDE"/>
    <w:rsid w:val="00110D44"/>
    <w:rsid w:val="00110DD2"/>
    <w:rsid w:val="0011130F"/>
    <w:rsid w:val="00111520"/>
    <w:rsid w:val="00111526"/>
    <w:rsid w:val="00111811"/>
    <w:rsid w:val="00111AEE"/>
    <w:rsid w:val="00111B70"/>
    <w:rsid w:val="00111CEC"/>
    <w:rsid w:val="00111F69"/>
    <w:rsid w:val="00111FE6"/>
    <w:rsid w:val="00112158"/>
    <w:rsid w:val="00112325"/>
    <w:rsid w:val="00112359"/>
    <w:rsid w:val="0011255C"/>
    <w:rsid w:val="001125F3"/>
    <w:rsid w:val="0011262F"/>
    <w:rsid w:val="00112654"/>
    <w:rsid w:val="0011265E"/>
    <w:rsid w:val="00112860"/>
    <w:rsid w:val="00112947"/>
    <w:rsid w:val="00112A65"/>
    <w:rsid w:val="00112ACB"/>
    <w:rsid w:val="00112BE1"/>
    <w:rsid w:val="00112C3F"/>
    <w:rsid w:val="00112C4E"/>
    <w:rsid w:val="00112CC5"/>
    <w:rsid w:val="00112F01"/>
    <w:rsid w:val="00112F4D"/>
    <w:rsid w:val="0011327C"/>
    <w:rsid w:val="001132FC"/>
    <w:rsid w:val="001134A9"/>
    <w:rsid w:val="001134AA"/>
    <w:rsid w:val="00113520"/>
    <w:rsid w:val="0011356C"/>
    <w:rsid w:val="00113847"/>
    <w:rsid w:val="00113869"/>
    <w:rsid w:val="00113901"/>
    <w:rsid w:val="00113A1D"/>
    <w:rsid w:val="00113A94"/>
    <w:rsid w:val="00113B8F"/>
    <w:rsid w:val="00113D04"/>
    <w:rsid w:val="00113D8A"/>
    <w:rsid w:val="00113D91"/>
    <w:rsid w:val="00113E15"/>
    <w:rsid w:val="00113F9E"/>
    <w:rsid w:val="00114297"/>
    <w:rsid w:val="00114308"/>
    <w:rsid w:val="0011437A"/>
    <w:rsid w:val="00114578"/>
    <w:rsid w:val="001146BA"/>
    <w:rsid w:val="00114737"/>
    <w:rsid w:val="001147EF"/>
    <w:rsid w:val="00114804"/>
    <w:rsid w:val="00114821"/>
    <w:rsid w:val="001148F1"/>
    <w:rsid w:val="00114962"/>
    <w:rsid w:val="00114A79"/>
    <w:rsid w:val="00114FC7"/>
    <w:rsid w:val="0011504C"/>
    <w:rsid w:val="0011526B"/>
    <w:rsid w:val="001152FB"/>
    <w:rsid w:val="00115329"/>
    <w:rsid w:val="001153AA"/>
    <w:rsid w:val="001153C7"/>
    <w:rsid w:val="00115502"/>
    <w:rsid w:val="0011562A"/>
    <w:rsid w:val="001156E6"/>
    <w:rsid w:val="0011577B"/>
    <w:rsid w:val="00115791"/>
    <w:rsid w:val="00115945"/>
    <w:rsid w:val="00115997"/>
    <w:rsid w:val="00115A67"/>
    <w:rsid w:val="00115BB1"/>
    <w:rsid w:val="00115DCF"/>
    <w:rsid w:val="00115F48"/>
    <w:rsid w:val="00115FAC"/>
    <w:rsid w:val="0011613C"/>
    <w:rsid w:val="001162B6"/>
    <w:rsid w:val="0011635C"/>
    <w:rsid w:val="00116412"/>
    <w:rsid w:val="0011645C"/>
    <w:rsid w:val="0011655C"/>
    <w:rsid w:val="00116717"/>
    <w:rsid w:val="00116924"/>
    <w:rsid w:val="00116955"/>
    <w:rsid w:val="001169F9"/>
    <w:rsid w:val="00116B43"/>
    <w:rsid w:val="00116BE7"/>
    <w:rsid w:val="00116D51"/>
    <w:rsid w:val="00116FF0"/>
    <w:rsid w:val="001171FB"/>
    <w:rsid w:val="00117475"/>
    <w:rsid w:val="001175D6"/>
    <w:rsid w:val="00117814"/>
    <w:rsid w:val="00117A98"/>
    <w:rsid w:val="00117C45"/>
    <w:rsid w:val="00117C6A"/>
    <w:rsid w:val="00117CB6"/>
    <w:rsid w:val="0012021D"/>
    <w:rsid w:val="001202BD"/>
    <w:rsid w:val="0012033F"/>
    <w:rsid w:val="001206B9"/>
    <w:rsid w:val="00120708"/>
    <w:rsid w:val="001208EE"/>
    <w:rsid w:val="00120B6D"/>
    <w:rsid w:val="00120D54"/>
    <w:rsid w:val="00120E11"/>
    <w:rsid w:val="00120FC1"/>
    <w:rsid w:val="00121280"/>
    <w:rsid w:val="001212FB"/>
    <w:rsid w:val="00121649"/>
    <w:rsid w:val="001216FC"/>
    <w:rsid w:val="001219B9"/>
    <w:rsid w:val="00121BDE"/>
    <w:rsid w:val="00121D56"/>
    <w:rsid w:val="00121F31"/>
    <w:rsid w:val="00121F5B"/>
    <w:rsid w:val="00121F65"/>
    <w:rsid w:val="00121FFC"/>
    <w:rsid w:val="001222AB"/>
    <w:rsid w:val="001223DD"/>
    <w:rsid w:val="00122626"/>
    <w:rsid w:val="00122637"/>
    <w:rsid w:val="00122736"/>
    <w:rsid w:val="00122905"/>
    <w:rsid w:val="0012294D"/>
    <w:rsid w:val="00122ABB"/>
    <w:rsid w:val="00122AD7"/>
    <w:rsid w:val="00122CB4"/>
    <w:rsid w:val="00122F47"/>
    <w:rsid w:val="0012307C"/>
    <w:rsid w:val="001232C1"/>
    <w:rsid w:val="00123352"/>
    <w:rsid w:val="00123492"/>
    <w:rsid w:val="00123795"/>
    <w:rsid w:val="00123816"/>
    <w:rsid w:val="001238A0"/>
    <w:rsid w:val="001238A5"/>
    <w:rsid w:val="00123A02"/>
    <w:rsid w:val="00123A7B"/>
    <w:rsid w:val="00123AB6"/>
    <w:rsid w:val="00123AC2"/>
    <w:rsid w:val="00123CB2"/>
    <w:rsid w:val="00123D72"/>
    <w:rsid w:val="00123E27"/>
    <w:rsid w:val="00123F44"/>
    <w:rsid w:val="00123F4B"/>
    <w:rsid w:val="00123FD5"/>
    <w:rsid w:val="0012416F"/>
    <w:rsid w:val="00124204"/>
    <w:rsid w:val="001243BF"/>
    <w:rsid w:val="00124492"/>
    <w:rsid w:val="001244EB"/>
    <w:rsid w:val="001244F1"/>
    <w:rsid w:val="001244FA"/>
    <w:rsid w:val="00124510"/>
    <w:rsid w:val="001245C0"/>
    <w:rsid w:val="001247F8"/>
    <w:rsid w:val="00124844"/>
    <w:rsid w:val="00124963"/>
    <w:rsid w:val="0012496B"/>
    <w:rsid w:val="00124ACC"/>
    <w:rsid w:val="00124BD3"/>
    <w:rsid w:val="00124BF8"/>
    <w:rsid w:val="00125084"/>
    <w:rsid w:val="001252C7"/>
    <w:rsid w:val="00125335"/>
    <w:rsid w:val="00125430"/>
    <w:rsid w:val="001254BA"/>
    <w:rsid w:val="001255BE"/>
    <w:rsid w:val="00125895"/>
    <w:rsid w:val="00125B37"/>
    <w:rsid w:val="00125BF9"/>
    <w:rsid w:val="00125CC3"/>
    <w:rsid w:val="00125DDD"/>
    <w:rsid w:val="00125E10"/>
    <w:rsid w:val="00126218"/>
    <w:rsid w:val="00126374"/>
    <w:rsid w:val="00126551"/>
    <w:rsid w:val="00126580"/>
    <w:rsid w:val="001266AF"/>
    <w:rsid w:val="0012683E"/>
    <w:rsid w:val="001268FA"/>
    <w:rsid w:val="0012697B"/>
    <w:rsid w:val="00126A66"/>
    <w:rsid w:val="00126BFB"/>
    <w:rsid w:val="00126D8A"/>
    <w:rsid w:val="00126DB8"/>
    <w:rsid w:val="00126DDA"/>
    <w:rsid w:val="00126E0E"/>
    <w:rsid w:val="00126EDD"/>
    <w:rsid w:val="00127010"/>
    <w:rsid w:val="001274B5"/>
    <w:rsid w:val="001277ED"/>
    <w:rsid w:val="00127A58"/>
    <w:rsid w:val="00127C8D"/>
    <w:rsid w:val="00127E60"/>
    <w:rsid w:val="001300CD"/>
    <w:rsid w:val="00130330"/>
    <w:rsid w:val="0013048F"/>
    <w:rsid w:val="00130497"/>
    <w:rsid w:val="0013056A"/>
    <w:rsid w:val="00130CD8"/>
    <w:rsid w:val="00130D79"/>
    <w:rsid w:val="0013114C"/>
    <w:rsid w:val="00131189"/>
    <w:rsid w:val="00131352"/>
    <w:rsid w:val="00131483"/>
    <w:rsid w:val="001314B2"/>
    <w:rsid w:val="001315D5"/>
    <w:rsid w:val="001315E4"/>
    <w:rsid w:val="001316EA"/>
    <w:rsid w:val="00131811"/>
    <w:rsid w:val="0013189B"/>
    <w:rsid w:val="001319D2"/>
    <w:rsid w:val="00131F23"/>
    <w:rsid w:val="00132096"/>
    <w:rsid w:val="00132393"/>
    <w:rsid w:val="0013250C"/>
    <w:rsid w:val="001325C0"/>
    <w:rsid w:val="001325F9"/>
    <w:rsid w:val="00132828"/>
    <w:rsid w:val="00132B64"/>
    <w:rsid w:val="00132CF8"/>
    <w:rsid w:val="00132D2E"/>
    <w:rsid w:val="00132DBE"/>
    <w:rsid w:val="0013300D"/>
    <w:rsid w:val="00133046"/>
    <w:rsid w:val="00133165"/>
    <w:rsid w:val="00133497"/>
    <w:rsid w:val="00133863"/>
    <w:rsid w:val="001338EB"/>
    <w:rsid w:val="00133A5C"/>
    <w:rsid w:val="00133D11"/>
    <w:rsid w:val="001340A7"/>
    <w:rsid w:val="0013444C"/>
    <w:rsid w:val="001344B5"/>
    <w:rsid w:val="001345E0"/>
    <w:rsid w:val="00134828"/>
    <w:rsid w:val="001349D6"/>
    <w:rsid w:val="00134AE0"/>
    <w:rsid w:val="00134B54"/>
    <w:rsid w:val="00134B9A"/>
    <w:rsid w:val="00134BAF"/>
    <w:rsid w:val="00134C41"/>
    <w:rsid w:val="00134D56"/>
    <w:rsid w:val="00134F7F"/>
    <w:rsid w:val="00134FC7"/>
    <w:rsid w:val="001350E5"/>
    <w:rsid w:val="00135117"/>
    <w:rsid w:val="00135158"/>
    <w:rsid w:val="001352FF"/>
    <w:rsid w:val="00135411"/>
    <w:rsid w:val="001354F1"/>
    <w:rsid w:val="0013550C"/>
    <w:rsid w:val="00135DB8"/>
    <w:rsid w:val="00135F63"/>
    <w:rsid w:val="00135F9C"/>
    <w:rsid w:val="001362C6"/>
    <w:rsid w:val="001363DF"/>
    <w:rsid w:val="001363FA"/>
    <w:rsid w:val="001364C7"/>
    <w:rsid w:val="00136531"/>
    <w:rsid w:val="0013663F"/>
    <w:rsid w:val="0013670D"/>
    <w:rsid w:val="00136805"/>
    <w:rsid w:val="001368F4"/>
    <w:rsid w:val="00136B55"/>
    <w:rsid w:val="00136C89"/>
    <w:rsid w:val="00136D69"/>
    <w:rsid w:val="00136DF5"/>
    <w:rsid w:val="00136E42"/>
    <w:rsid w:val="00136E6A"/>
    <w:rsid w:val="00136EC2"/>
    <w:rsid w:val="001370E5"/>
    <w:rsid w:val="0013740F"/>
    <w:rsid w:val="00137638"/>
    <w:rsid w:val="00137A2F"/>
    <w:rsid w:val="00137AA6"/>
    <w:rsid w:val="00137B98"/>
    <w:rsid w:val="00137BDD"/>
    <w:rsid w:val="00137CDA"/>
    <w:rsid w:val="00137F8F"/>
    <w:rsid w:val="00137FF7"/>
    <w:rsid w:val="001401C7"/>
    <w:rsid w:val="00140308"/>
    <w:rsid w:val="001405F0"/>
    <w:rsid w:val="00140704"/>
    <w:rsid w:val="00140793"/>
    <w:rsid w:val="001407A6"/>
    <w:rsid w:val="0014081C"/>
    <w:rsid w:val="00140952"/>
    <w:rsid w:val="00140A35"/>
    <w:rsid w:val="00140CD6"/>
    <w:rsid w:val="00140E31"/>
    <w:rsid w:val="00140E8A"/>
    <w:rsid w:val="0014100F"/>
    <w:rsid w:val="00141061"/>
    <w:rsid w:val="0014107D"/>
    <w:rsid w:val="00141160"/>
    <w:rsid w:val="00141394"/>
    <w:rsid w:val="001415C3"/>
    <w:rsid w:val="0014160E"/>
    <w:rsid w:val="0014179A"/>
    <w:rsid w:val="0014182A"/>
    <w:rsid w:val="00141847"/>
    <w:rsid w:val="0014186D"/>
    <w:rsid w:val="00141A63"/>
    <w:rsid w:val="00141ADF"/>
    <w:rsid w:val="00141BD9"/>
    <w:rsid w:val="00141C3A"/>
    <w:rsid w:val="00141C61"/>
    <w:rsid w:val="00141E27"/>
    <w:rsid w:val="00141FCC"/>
    <w:rsid w:val="00142263"/>
    <w:rsid w:val="001422F0"/>
    <w:rsid w:val="00142389"/>
    <w:rsid w:val="0014262A"/>
    <w:rsid w:val="001426B8"/>
    <w:rsid w:val="00142892"/>
    <w:rsid w:val="00142AFC"/>
    <w:rsid w:val="00142B6A"/>
    <w:rsid w:val="00142BC2"/>
    <w:rsid w:val="00142C10"/>
    <w:rsid w:val="00142C11"/>
    <w:rsid w:val="00142CD3"/>
    <w:rsid w:val="00142FB8"/>
    <w:rsid w:val="00143358"/>
    <w:rsid w:val="0014345C"/>
    <w:rsid w:val="0014347A"/>
    <w:rsid w:val="00143549"/>
    <w:rsid w:val="001436D8"/>
    <w:rsid w:val="00143752"/>
    <w:rsid w:val="00143974"/>
    <w:rsid w:val="001439C7"/>
    <w:rsid w:val="001439DE"/>
    <w:rsid w:val="00143A1F"/>
    <w:rsid w:val="00143AC9"/>
    <w:rsid w:val="00143BA9"/>
    <w:rsid w:val="00143C97"/>
    <w:rsid w:val="00143D05"/>
    <w:rsid w:val="00143E4C"/>
    <w:rsid w:val="00144329"/>
    <w:rsid w:val="0014434A"/>
    <w:rsid w:val="001443D5"/>
    <w:rsid w:val="00144757"/>
    <w:rsid w:val="001448DA"/>
    <w:rsid w:val="001448EB"/>
    <w:rsid w:val="001448FD"/>
    <w:rsid w:val="001449B1"/>
    <w:rsid w:val="001449B8"/>
    <w:rsid w:val="00144B3F"/>
    <w:rsid w:val="00144CD7"/>
    <w:rsid w:val="00144CDD"/>
    <w:rsid w:val="00144CEE"/>
    <w:rsid w:val="00144DCE"/>
    <w:rsid w:val="00145127"/>
    <w:rsid w:val="00145381"/>
    <w:rsid w:val="0014553A"/>
    <w:rsid w:val="00145662"/>
    <w:rsid w:val="001456A0"/>
    <w:rsid w:val="0014570A"/>
    <w:rsid w:val="00145914"/>
    <w:rsid w:val="00145945"/>
    <w:rsid w:val="00145A10"/>
    <w:rsid w:val="00145A20"/>
    <w:rsid w:val="00145B2A"/>
    <w:rsid w:val="00145BF0"/>
    <w:rsid w:val="00145F50"/>
    <w:rsid w:val="00145F91"/>
    <w:rsid w:val="00146101"/>
    <w:rsid w:val="001462BA"/>
    <w:rsid w:val="001463DE"/>
    <w:rsid w:val="0014651F"/>
    <w:rsid w:val="0014664C"/>
    <w:rsid w:val="00146815"/>
    <w:rsid w:val="00146972"/>
    <w:rsid w:val="001469A4"/>
    <w:rsid w:val="00146AAF"/>
    <w:rsid w:val="00146AD2"/>
    <w:rsid w:val="00146B0A"/>
    <w:rsid w:val="00146B86"/>
    <w:rsid w:val="00146C0C"/>
    <w:rsid w:val="00146E4F"/>
    <w:rsid w:val="00146EA2"/>
    <w:rsid w:val="00146F31"/>
    <w:rsid w:val="0014702D"/>
    <w:rsid w:val="001470EA"/>
    <w:rsid w:val="0014732C"/>
    <w:rsid w:val="00147396"/>
    <w:rsid w:val="00147951"/>
    <w:rsid w:val="00147A88"/>
    <w:rsid w:val="00147B86"/>
    <w:rsid w:val="00147C15"/>
    <w:rsid w:val="00147C23"/>
    <w:rsid w:val="00147C29"/>
    <w:rsid w:val="00147ECD"/>
    <w:rsid w:val="00147FB9"/>
    <w:rsid w:val="001501BA"/>
    <w:rsid w:val="00150290"/>
    <w:rsid w:val="001503AC"/>
    <w:rsid w:val="0015048B"/>
    <w:rsid w:val="001504EB"/>
    <w:rsid w:val="001504F9"/>
    <w:rsid w:val="00150504"/>
    <w:rsid w:val="0015057F"/>
    <w:rsid w:val="00150642"/>
    <w:rsid w:val="001507E5"/>
    <w:rsid w:val="00150853"/>
    <w:rsid w:val="00150862"/>
    <w:rsid w:val="00150894"/>
    <w:rsid w:val="00150948"/>
    <w:rsid w:val="001509D9"/>
    <w:rsid w:val="00150DBB"/>
    <w:rsid w:val="00151037"/>
    <w:rsid w:val="00151274"/>
    <w:rsid w:val="001512A8"/>
    <w:rsid w:val="00151388"/>
    <w:rsid w:val="001513C9"/>
    <w:rsid w:val="00151466"/>
    <w:rsid w:val="00151673"/>
    <w:rsid w:val="00151941"/>
    <w:rsid w:val="00151BAC"/>
    <w:rsid w:val="00151BD8"/>
    <w:rsid w:val="00151EAF"/>
    <w:rsid w:val="0015209A"/>
    <w:rsid w:val="001520FD"/>
    <w:rsid w:val="001523F6"/>
    <w:rsid w:val="00152438"/>
    <w:rsid w:val="00152480"/>
    <w:rsid w:val="00152516"/>
    <w:rsid w:val="001526E3"/>
    <w:rsid w:val="001526EF"/>
    <w:rsid w:val="00152B5B"/>
    <w:rsid w:val="00152BD4"/>
    <w:rsid w:val="00152E24"/>
    <w:rsid w:val="00153184"/>
    <w:rsid w:val="001531FD"/>
    <w:rsid w:val="00153381"/>
    <w:rsid w:val="0015343C"/>
    <w:rsid w:val="001534B9"/>
    <w:rsid w:val="001535EC"/>
    <w:rsid w:val="001535F1"/>
    <w:rsid w:val="00153939"/>
    <w:rsid w:val="00153973"/>
    <w:rsid w:val="00153989"/>
    <w:rsid w:val="001539AC"/>
    <w:rsid w:val="001539EE"/>
    <w:rsid w:val="00153A53"/>
    <w:rsid w:val="00153C24"/>
    <w:rsid w:val="00153ED2"/>
    <w:rsid w:val="00153F2B"/>
    <w:rsid w:val="0015413E"/>
    <w:rsid w:val="0015429F"/>
    <w:rsid w:val="001542D5"/>
    <w:rsid w:val="00154429"/>
    <w:rsid w:val="0015461A"/>
    <w:rsid w:val="00154808"/>
    <w:rsid w:val="001548FE"/>
    <w:rsid w:val="00154A02"/>
    <w:rsid w:val="00154ABF"/>
    <w:rsid w:val="00154B4E"/>
    <w:rsid w:val="00154CFA"/>
    <w:rsid w:val="00154DE7"/>
    <w:rsid w:val="00155031"/>
    <w:rsid w:val="001550FC"/>
    <w:rsid w:val="0015536F"/>
    <w:rsid w:val="001553B9"/>
    <w:rsid w:val="001556A8"/>
    <w:rsid w:val="00155749"/>
    <w:rsid w:val="0015575E"/>
    <w:rsid w:val="001557A6"/>
    <w:rsid w:val="001557ED"/>
    <w:rsid w:val="00155A90"/>
    <w:rsid w:val="00155A97"/>
    <w:rsid w:val="00155A9F"/>
    <w:rsid w:val="00155BFE"/>
    <w:rsid w:val="00155D4A"/>
    <w:rsid w:val="00156010"/>
    <w:rsid w:val="001560A6"/>
    <w:rsid w:val="00156323"/>
    <w:rsid w:val="001564D5"/>
    <w:rsid w:val="0015650C"/>
    <w:rsid w:val="00156634"/>
    <w:rsid w:val="001566F9"/>
    <w:rsid w:val="001567AC"/>
    <w:rsid w:val="001567DE"/>
    <w:rsid w:val="001568BB"/>
    <w:rsid w:val="00156A1D"/>
    <w:rsid w:val="00156A36"/>
    <w:rsid w:val="00156A3F"/>
    <w:rsid w:val="00156AEA"/>
    <w:rsid w:val="00156D36"/>
    <w:rsid w:val="00156E63"/>
    <w:rsid w:val="00156EBB"/>
    <w:rsid w:val="0015706E"/>
    <w:rsid w:val="001570BC"/>
    <w:rsid w:val="0015717D"/>
    <w:rsid w:val="001572EC"/>
    <w:rsid w:val="0015759B"/>
    <w:rsid w:val="001575BF"/>
    <w:rsid w:val="001575FE"/>
    <w:rsid w:val="001576B1"/>
    <w:rsid w:val="0015771F"/>
    <w:rsid w:val="001577BB"/>
    <w:rsid w:val="00157CB4"/>
    <w:rsid w:val="00157CE0"/>
    <w:rsid w:val="00157EBC"/>
    <w:rsid w:val="00157F3E"/>
    <w:rsid w:val="00157F62"/>
    <w:rsid w:val="00157FF6"/>
    <w:rsid w:val="00160264"/>
    <w:rsid w:val="001604B0"/>
    <w:rsid w:val="001604C0"/>
    <w:rsid w:val="00160998"/>
    <w:rsid w:val="001609BE"/>
    <w:rsid w:val="00160B75"/>
    <w:rsid w:val="00160BB7"/>
    <w:rsid w:val="00160BCF"/>
    <w:rsid w:val="00160C9F"/>
    <w:rsid w:val="00160CAE"/>
    <w:rsid w:val="00160CE5"/>
    <w:rsid w:val="00160E04"/>
    <w:rsid w:val="00160EB7"/>
    <w:rsid w:val="00160F8F"/>
    <w:rsid w:val="00160FE8"/>
    <w:rsid w:val="0016137A"/>
    <w:rsid w:val="00161410"/>
    <w:rsid w:val="00161552"/>
    <w:rsid w:val="0016168F"/>
    <w:rsid w:val="001617C5"/>
    <w:rsid w:val="00161A0B"/>
    <w:rsid w:val="00161A52"/>
    <w:rsid w:val="00161AE8"/>
    <w:rsid w:val="00161CD1"/>
    <w:rsid w:val="00161CD3"/>
    <w:rsid w:val="00161D60"/>
    <w:rsid w:val="00161F6C"/>
    <w:rsid w:val="00161FF2"/>
    <w:rsid w:val="001620A7"/>
    <w:rsid w:val="00162170"/>
    <w:rsid w:val="00162263"/>
    <w:rsid w:val="0016257D"/>
    <w:rsid w:val="00162754"/>
    <w:rsid w:val="00162810"/>
    <w:rsid w:val="0016284C"/>
    <w:rsid w:val="00162B19"/>
    <w:rsid w:val="00162CAB"/>
    <w:rsid w:val="00162CCD"/>
    <w:rsid w:val="00162D4D"/>
    <w:rsid w:val="00162D64"/>
    <w:rsid w:val="00162FD2"/>
    <w:rsid w:val="00163073"/>
    <w:rsid w:val="001630BF"/>
    <w:rsid w:val="00163149"/>
    <w:rsid w:val="001631FC"/>
    <w:rsid w:val="0016333A"/>
    <w:rsid w:val="001634A8"/>
    <w:rsid w:val="00163577"/>
    <w:rsid w:val="001636A8"/>
    <w:rsid w:val="00163782"/>
    <w:rsid w:val="00163871"/>
    <w:rsid w:val="00163A99"/>
    <w:rsid w:val="00163AF4"/>
    <w:rsid w:val="00163B02"/>
    <w:rsid w:val="00163B2F"/>
    <w:rsid w:val="00163CC7"/>
    <w:rsid w:val="00163EAF"/>
    <w:rsid w:val="00163F52"/>
    <w:rsid w:val="001641E5"/>
    <w:rsid w:val="0016430D"/>
    <w:rsid w:val="001643E4"/>
    <w:rsid w:val="00164436"/>
    <w:rsid w:val="00164738"/>
    <w:rsid w:val="0016479F"/>
    <w:rsid w:val="00164805"/>
    <w:rsid w:val="00164923"/>
    <w:rsid w:val="00164980"/>
    <w:rsid w:val="001651E5"/>
    <w:rsid w:val="00165265"/>
    <w:rsid w:val="00165274"/>
    <w:rsid w:val="00165280"/>
    <w:rsid w:val="001654C6"/>
    <w:rsid w:val="00165502"/>
    <w:rsid w:val="00165937"/>
    <w:rsid w:val="00165A11"/>
    <w:rsid w:val="00165B2A"/>
    <w:rsid w:val="00165E23"/>
    <w:rsid w:val="00165E77"/>
    <w:rsid w:val="00165E7A"/>
    <w:rsid w:val="00165EB0"/>
    <w:rsid w:val="00165ED5"/>
    <w:rsid w:val="00166418"/>
    <w:rsid w:val="0016642E"/>
    <w:rsid w:val="00166588"/>
    <w:rsid w:val="00166634"/>
    <w:rsid w:val="001666B1"/>
    <w:rsid w:val="001669E5"/>
    <w:rsid w:val="00166A9F"/>
    <w:rsid w:val="00166BB2"/>
    <w:rsid w:val="00166C96"/>
    <w:rsid w:val="00166D88"/>
    <w:rsid w:val="001670E6"/>
    <w:rsid w:val="001679A0"/>
    <w:rsid w:val="00167B00"/>
    <w:rsid w:val="00167CCB"/>
    <w:rsid w:val="00167E56"/>
    <w:rsid w:val="00167ECC"/>
    <w:rsid w:val="0017017F"/>
    <w:rsid w:val="0017021A"/>
    <w:rsid w:val="001702BA"/>
    <w:rsid w:val="00170787"/>
    <w:rsid w:val="00170980"/>
    <w:rsid w:val="001709AD"/>
    <w:rsid w:val="00170B4D"/>
    <w:rsid w:val="00170F49"/>
    <w:rsid w:val="00170FCA"/>
    <w:rsid w:val="00171051"/>
    <w:rsid w:val="001711F4"/>
    <w:rsid w:val="00171357"/>
    <w:rsid w:val="0017145D"/>
    <w:rsid w:val="001715D8"/>
    <w:rsid w:val="001715FE"/>
    <w:rsid w:val="00171632"/>
    <w:rsid w:val="001717AB"/>
    <w:rsid w:val="00171874"/>
    <w:rsid w:val="00171876"/>
    <w:rsid w:val="00171881"/>
    <w:rsid w:val="00171893"/>
    <w:rsid w:val="001718F3"/>
    <w:rsid w:val="0017198E"/>
    <w:rsid w:val="00171A28"/>
    <w:rsid w:val="00171AD6"/>
    <w:rsid w:val="00171DC2"/>
    <w:rsid w:val="0017226B"/>
    <w:rsid w:val="0017245B"/>
    <w:rsid w:val="0017267E"/>
    <w:rsid w:val="001727BC"/>
    <w:rsid w:val="00172902"/>
    <w:rsid w:val="00172A52"/>
    <w:rsid w:val="00172AC8"/>
    <w:rsid w:val="00172B53"/>
    <w:rsid w:val="00172B5F"/>
    <w:rsid w:val="00172E2C"/>
    <w:rsid w:val="00172F10"/>
    <w:rsid w:val="00172F4D"/>
    <w:rsid w:val="00172F95"/>
    <w:rsid w:val="00173117"/>
    <w:rsid w:val="0017311F"/>
    <w:rsid w:val="00173275"/>
    <w:rsid w:val="0017333B"/>
    <w:rsid w:val="00173349"/>
    <w:rsid w:val="00173762"/>
    <w:rsid w:val="001737E5"/>
    <w:rsid w:val="001738D7"/>
    <w:rsid w:val="00173DB4"/>
    <w:rsid w:val="00173EB0"/>
    <w:rsid w:val="001743BB"/>
    <w:rsid w:val="001745E6"/>
    <w:rsid w:val="00174BA5"/>
    <w:rsid w:val="00174C55"/>
    <w:rsid w:val="00174D01"/>
    <w:rsid w:val="00174F24"/>
    <w:rsid w:val="00174FB0"/>
    <w:rsid w:val="00175261"/>
    <w:rsid w:val="001754C5"/>
    <w:rsid w:val="001756FC"/>
    <w:rsid w:val="00175936"/>
    <w:rsid w:val="00175A0B"/>
    <w:rsid w:val="00175AAD"/>
    <w:rsid w:val="00175FAD"/>
    <w:rsid w:val="00176013"/>
    <w:rsid w:val="00176193"/>
    <w:rsid w:val="00176544"/>
    <w:rsid w:val="0017677C"/>
    <w:rsid w:val="001767CD"/>
    <w:rsid w:val="00176881"/>
    <w:rsid w:val="0017694B"/>
    <w:rsid w:val="00176BF7"/>
    <w:rsid w:val="00176C0F"/>
    <w:rsid w:val="00177160"/>
    <w:rsid w:val="001771A7"/>
    <w:rsid w:val="00177202"/>
    <w:rsid w:val="00177282"/>
    <w:rsid w:val="0017742D"/>
    <w:rsid w:val="00177611"/>
    <w:rsid w:val="001777DE"/>
    <w:rsid w:val="001778E6"/>
    <w:rsid w:val="00177997"/>
    <w:rsid w:val="00177A20"/>
    <w:rsid w:val="00177AF6"/>
    <w:rsid w:val="00177B44"/>
    <w:rsid w:val="00177D69"/>
    <w:rsid w:val="00177E2A"/>
    <w:rsid w:val="0018021C"/>
    <w:rsid w:val="00180255"/>
    <w:rsid w:val="00180479"/>
    <w:rsid w:val="0018047B"/>
    <w:rsid w:val="001806F5"/>
    <w:rsid w:val="00180723"/>
    <w:rsid w:val="0018080B"/>
    <w:rsid w:val="00180816"/>
    <w:rsid w:val="00180E87"/>
    <w:rsid w:val="00180EB1"/>
    <w:rsid w:val="00181044"/>
    <w:rsid w:val="001810BA"/>
    <w:rsid w:val="001810DE"/>
    <w:rsid w:val="00181129"/>
    <w:rsid w:val="00181280"/>
    <w:rsid w:val="001814C3"/>
    <w:rsid w:val="00181577"/>
    <w:rsid w:val="0018181A"/>
    <w:rsid w:val="00181B7C"/>
    <w:rsid w:val="00181C4A"/>
    <w:rsid w:val="00181CD2"/>
    <w:rsid w:val="00181E11"/>
    <w:rsid w:val="001820C6"/>
    <w:rsid w:val="001823B5"/>
    <w:rsid w:val="0018243D"/>
    <w:rsid w:val="0018253C"/>
    <w:rsid w:val="0018286E"/>
    <w:rsid w:val="00182900"/>
    <w:rsid w:val="0018293D"/>
    <w:rsid w:val="00182ACE"/>
    <w:rsid w:val="00182BBE"/>
    <w:rsid w:val="00182DAF"/>
    <w:rsid w:val="00182E96"/>
    <w:rsid w:val="00182EDB"/>
    <w:rsid w:val="0018304A"/>
    <w:rsid w:val="00183155"/>
    <w:rsid w:val="00183206"/>
    <w:rsid w:val="00183448"/>
    <w:rsid w:val="00183521"/>
    <w:rsid w:val="00183700"/>
    <w:rsid w:val="001838E2"/>
    <w:rsid w:val="00183A2B"/>
    <w:rsid w:val="00183A54"/>
    <w:rsid w:val="00183B2F"/>
    <w:rsid w:val="00183BB8"/>
    <w:rsid w:val="00183D47"/>
    <w:rsid w:val="00183E49"/>
    <w:rsid w:val="00183F7C"/>
    <w:rsid w:val="00183F99"/>
    <w:rsid w:val="0018441E"/>
    <w:rsid w:val="00184460"/>
    <w:rsid w:val="00184A12"/>
    <w:rsid w:val="00184AED"/>
    <w:rsid w:val="00184B44"/>
    <w:rsid w:val="00184BA9"/>
    <w:rsid w:val="00184C6F"/>
    <w:rsid w:val="00184CD5"/>
    <w:rsid w:val="00184D1D"/>
    <w:rsid w:val="00184D4D"/>
    <w:rsid w:val="00184DA6"/>
    <w:rsid w:val="0018501D"/>
    <w:rsid w:val="00185199"/>
    <w:rsid w:val="001851F9"/>
    <w:rsid w:val="001852F8"/>
    <w:rsid w:val="001853AE"/>
    <w:rsid w:val="00185455"/>
    <w:rsid w:val="001854BB"/>
    <w:rsid w:val="001855AF"/>
    <w:rsid w:val="001855C4"/>
    <w:rsid w:val="001856D6"/>
    <w:rsid w:val="00185700"/>
    <w:rsid w:val="0018571D"/>
    <w:rsid w:val="00185726"/>
    <w:rsid w:val="00185851"/>
    <w:rsid w:val="00185909"/>
    <w:rsid w:val="0018596A"/>
    <w:rsid w:val="00185A8E"/>
    <w:rsid w:val="00185AF0"/>
    <w:rsid w:val="00185DF3"/>
    <w:rsid w:val="00185E64"/>
    <w:rsid w:val="00186214"/>
    <w:rsid w:val="00186230"/>
    <w:rsid w:val="001862D5"/>
    <w:rsid w:val="001864A5"/>
    <w:rsid w:val="0018658C"/>
    <w:rsid w:val="00186F07"/>
    <w:rsid w:val="0018706D"/>
    <w:rsid w:val="001870EB"/>
    <w:rsid w:val="00187C61"/>
    <w:rsid w:val="00187CA0"/>
    <w:rsid w:val="00187DAA"/>
    <w:rsid w:val="00187DDD"/>
    <w:rsid w:val="00187DE0"/>
    <w:rsid w:val="00187EE7"/>
    <w:rsid w:val="00187F70"/>
    <w:rsid w:val="00190029"/>
    <w:rsid w:val="001902F8"/>
    <w:rsid w:val="001903A6"/>
    <w:rsid w:val="001903AB"/>
    <w:rsid w:val="001904F5"/>
    <w:rsid w:val="00190C9D"/>
    <w:rsid w:val="00190E58"/>
    <w:rsid w:val="00190F0D"/>
    <w:rsid w:val="001911AF"/>
    <w:rsid w:val="0019123D"/>
    <w:rsid w:val="0019142E"/>
    <w:rsid w:val="0019159A"/>
    <w:rsid w:val="00191847"/>
    <w:rsid w:val="001918BA"/>
    <w:rsid w:val="001919C5"/>
    <w:rsid w:val="00191AB8"/>
    <w:rsid w:val="00191BF0"/>
    <w:rsid w:val="00191CA1"/>
    <w:rsid w:val="00191CFB"/>
    <w:rsid w:val="00191D2D"/>
    <w:rsid w:val="00191DF8"/>
    <w:rsid w:val="001921C8"/>
    <w:rsid w:val="001923BC"/>
    <w:rsid w:val="0019247A"/>
    <w:rsid w:val="001924DD"/>
    <w:rsid w:val="0019253A"/>
    <w:rsid w:val="001925BF"/>
    <w:rsid w:val="001926AA"/>
    <w:rsid w:val="001927A3"/>
    <w:rsid w:val="001928E6"/>
    <w:rsid w:val="0019292E"/>
    <w:rsid w:val="00192AC7"/>
    <w:rsid w:val="00193058"/>
    <w:rsid w:val="001930FE"/>
    <w:rsid w:val="0019312F"/>
    <w:rsid w:val="00193136"/>
    <w:rsid w:val="0019319F"/>
    <w:rsid w:val="001931E0"/>
    <w:rsid w:val="001935BA"/>
    <w:rsid w:val="001935C5"/>
    <w:rsid w:val="00193958"/>
    <w:rsid w:val="00193E71"/>
    <w:rsid w:val="00193F8A"/>
    <w:rsid w:val="00193FDA"/>
    <w:rsid w:val="00194046"/>
    <w:rsid w:val="00194089"/>
    <w:rsid w:val="001940E4"/>
    <w:rsid w:val="00194215"/>
    <w:rsid w:val="0019444F"/>
    <w:rsid w:val="001944CF"/>
    <w:rsid w:val="001945F8"/>
    <w:rsid w:val="00194622"/>
    <w:rsid w:val="0019472E"/>
    <w:rsid w:val="001949C3"/>
    <w:rsid w:val="00194A3C"/>
    <w:rsid w:val="00194A7B"/>
    <w:rsid w:val="00194AF8"/>
    <w:rsid w:val="00194B64"/>
    <w:rsid w:val="00194BE3"/>
    <w:rsid w:val="00194C5F"/>
    <w:rsid w:val="00194C66"/>
    <w:rsid w:val="00194D06"/>
    <w:rsid w:val="00195028"/>
    <w:rsid w:val="0019518D"/>
    <w:rsid w:val="001951E5"/>
    <w:rsid w:val="00195270"/>
    <w:rsid w:val="00195394"/>
    <w:rsid w:val="0019541E"/>
    <w:rsid w:val="001954F6"/>
    <w:rsid w:val="00195756"/>
    <w:rsid w:val="00195AE9"/>
    <w:rsid w:val="00195B5D"/>
    <w:rsid w:val="00195B95"/>
    <w:rsid w:val="00195CF1"/>
    <w:rsid w:val="00195DBB"/>
    <w:rsid w:val="00195E6C"/>
    <w:rsid w:val="00195E7C"/>
    <w:rsid w:val="00196137"/>
    <w:rsid w:val="001961DF"/>
    <w:rsid w:val="00196369"/>
    <w:rsid w:val="0019639D"/>
    <w:rsid w:val="00196660"/>
    <w:rsid w:val="00196AB4"/>
    <w:rsid w:val="00196C2E"/>
    <w:rsid w:val="00196C83"/>
    <w:rsid w:val="00196F09"/>
    <w:rsid w:val="00196F1A"/>
    <w:rsid w:val="00196FE9"/>
    <w:rsid w:val="00197051"/>
    <w:rsid w:val="001970B4"/>
    <w:rsid w:val="00197127"/>
    <w:rsid w:val="00197692"/>
    <w:rsid w:val="001977CB"/>
    <w:rsid w:val="00197A01"/>
    <w:rsid w:val="00197CDF"/>
    <w:rsid w:val="00197FBF"/>
    <w:rsid w:val="001A00BE"/>
    <w:rsid w:val="001A00D0"/>
    <w:rsid w:val="001A041F"/>
    <w:rsid w:val="001A05B0"/>
    <w:rsid w:val="001A0606"/>
    <w:rsid w:val="001A0993"/>
    <w:rsid w:val="001A0A65"/>
    <w:rsid w:val="001A0ADF"/>
    <w:rsid w:val="001A0B02"/>
    <w:rsid w:val="001A0CB0"/>
    <w:rsid w:val="001A0E85"/>
    <w:rsid w:val="001A107C"/>
    <w:rsid w:val="001A1091"/>
    <w:rsid w:val="001A1275"/>
    <w:rsid w:val="001A1350"/>
    <w:rsid w:val="001A14BD"/>
    <w:rsid w:val="001A16FE"/>
    <w:rsid w:val="001A18AA"/>
    <w:rsid w:val="001A18FE"/>
    <w:rsid w:val="001A1949"/>
    <w:rsid w:val="001A19B9"/>
    <w:rsid w:val="001A1B83"/>
    <w:rsid w:val="001A1C27"/>
    <w:rsid w:val="001A1CD6"/>
    <w:rsid w:val="001A1DB2"/>
    <w:rsid w:val="001A1DE6"/>
    <w:rsid w:val="001A1DE9"/>
    <w:rsid w:val="001A1E04"/>
    <w:rsid w:val="001A2034"/>
    <w:rsid w:val="001A2188"/>
    <w:rsid w:val="001A2229"/>
    <w:rsid w:val="001A22A7"/>
    <w:rsid w:val="001A22D2"/>
    <w:rsid w:val="001A2426"/>
    <w:rsid w:val="001A26D7"/>
    <w:rsid w:val="001A294E"/>
    <w:rsid w:val="001A29C5"/>
    <w:rsid w:val="001A2A48"/>
    <w:rsid w:val="001A2BF8"/>
    <w:rsid w:val="001A2C6A"/>
    <w:rsid w:val="001A2CC9"/>
    <w:rsid w:val="001A2ED6"/>
    <w:rsid w:val="001A2EFD"/>
    <w:rsid w:val="001A2F9E"/>
    <w:rsid w:val="001A2FAA"/>
    <w:rsid w:val="001A322B"/>
    <w:rsid w:val="001A335C"/>
    <w:rsid w:val="001A35C2"/>
    <w:rsid w:val="001A36F1"/>
    <w:rsid w:val="001A3A81"/>
    <w:rsid w:val="001A3AA1"/>
    <w:rsid w:val="001A3B16"/>
    <w:rsid w:val="001A3CA1"/>
    <w:rsid w:val="001A3D25"/>
    <w:rsid w:val="001A3D45"/>
    <w:rsid w:val="001A3D77"/>
    <w:rsid w:val="001A3DCD"/>
    <w:rsid w:val="001A3E89"/>
    <w:rsid w:val="001A3FB4"/>
    <w:rsid w:val="001A424C"/>
    <w:rsid w:val="001A4597"/>
    <w:rsid w:val="001A4889"/>
    <w:rsid w:val="001A4B13"/>
    <w:rsid w:val="001A4DBD"/>
    <w:rsid w:val="001A4DC1"/>
    <w:rsid w:val="001A4ED2"/>
    <w:rsid w:val="001A4F04"/>
    <w:rsid w:val="001A508C"/>
    <w:rsid w:val="001A50E3"/>
    <w:rsid w:val="001A515E"/>
    <w:rsid w:val="001A51D8"/>
    <w:rsid w:val="001A535A"/>
    <w:rsid w:val="001A53A2"/>
    <w:rsid w:val="001A5771"/>
    <w:rsid w:val="001A5907"/>
    <w:rsid w:val="001A5AC4"/>
    <w:rsid w:val="001A5B19"/>
    <w:rsid w:val="001A5B82"/>
    <w:rsid w:val="001A5C98"/>
    <w:rsid w:val="001A5DF8"/>
    <w:rsid w:val="001A5E39"/>
    <w:rsid w:val="001A5EFB"/>
    <w:rsid w:val="001A5FE0"/>
    <w:rsid w:val="001A634A"/>
    <w:rsid w:val="001A6409"/>
    <w:rsid w:val="001A68C4"/>
    <w:rsid w:val="001A68CF"/>
    <w:rsid w:val="001A6B08"/>
    <w:rsid w:val="001A6B7B"/>
    <w:rsid w:val="001A6CA5"/>
    <w:rsid w:val="001A6E17"/>
    <w:rsid w:val="001A6EB1"/>
    <w:rsid w:val="001A70FC"/>
    <w:rsid w:val="001A716F"/>
    <w:rsid w:val="001A717A"/>
    <w:rsid w:val="001A729F"/>
    <w:rsid w:val="001A7476"/>
    <w:rsid w:val="001A7479"/>
    <w:rsid w:val="001A75D6"/>
    <w:rsid w:val="001A75FC"/>
    <w:rsid w:val="001A76C0"/>
    <w:rsid w:val="001A7906"/>
    <w:rsid w:val="001A7BA2"/>
    <w:rsid w:val="001A7F84"/>
    <w:rsid w:val="001A9466"/>
    <w:rsid w:val="001B0000"/>
    <w:rsid w:val="001B000B"/>
    <w:rsid w:val="001B02F1"/>
    <w:rsid w:val="001B0385"/>
    <w:rsid w:val="001B03A7"/>
    <w:rsid w:val="001B04AB"/>
    <w:rsid w:val="001B051C"/>
    <w:rsid w:val="001B05BD"/>
    <w:rsid w:val="001B05F9"/>
    <w:rsid w:val="001B06D0"/>
    <w:rsid w:val="001B06D5"/>
    <w:rsid w:val="001B070A"/>
    <w:rsid w:val="001B07EB"/>
    <w:rsid w:val="001B0B88"/>
    <w:rsid w:val="001B0D07"/>
    <w:rsid w:val="001B0F5E"/>
    <w:rsid w:val="001B1023"/>
    <w:rsid w:val="001B1042"/>
    <w:rsid w:val="001B10C5"/>
    <w:rsid w:val="001B14D9"/>
    <w:rsid w:val="001B151B"/>
    <w:rsid w:val="001B160E"/>
    <w:rsid w:val="001B16D1"/>
    <w:rsid w:val="001B1730"/>
    <w:rsid w:val="001B18B2"/>
    <w:rsid w:val="001B1955"/>
    <w:rsid w:val="001B1AC4"/>
    <w:rsid w:val="001B1AFC"/>
    <w:rsid w:val="001B20B8"/>
    <w:rsid w:val="001B21CE"/>
    <w:rsid w:val="001B241F"/>
    <w:rsid w:val="001B24AD"/>
    <w:rsid w:val="001B2545"/>
    <w:rsid w:val="001B259E"/>
    <w:rsid w:val="001B25A9"/>
    <w:rsid w:val="001B25C4"/>
    <w:rsid w:val="001B2633"/>
    <w:rsid w:val="001B26D1"/>
    <w:rsid w:val="001B2752"/>
    <w:rsid w:val="001B2879"/>
    <w:rsid w:val="001B28AC"/>
    <w:rsid w:val="001B2BF3"/>
    <w:rsid w:val="001B2D61"/>
    <w:rsid w:val="001B2EE4"/>
    <w:rsid w:val="001B322E"/>
    <w:rsid w:val="001B328F"/>
    <w:rsid w:val="001B3548"/>
    <w:rsid w:val="001B3549"/>
    <w:rsid w:val="001B3557"/>
    <w:rsid w:val="001B3598"/>
    <w:rsid w:val="001B3740"/>
    <w:rsid w:val="001B37A9"/>
    <w:rsid w:val="001B37AF"/>
    <w:rsid w:val="001B37B5"/>
    <w:rsid w:val="001B37FB"/>
    <w:rsid w:val="001B3BD0"/>
    <w:rsid w:val="001B3BF8"/>
    <w:rsid w:val="001B3C07"/>
    <w:rsid w:val="001B3CEA"/>
    <w:rsid w:val="001B3D33"/>
    <w:rsid w:val="001B3D57"/>
    <w:rsid w:val="001B3D9B"/>
    <w:rsid w:val="001B3DE6"/>
    <w:rsid w:val="001B3E94"/>
    <w:rsid w:val="001B409E"/>
    <w:rsid w:val="001B4181"/>
    <w:rsid w:val="001B42C0"/>
    <w:rsid w:val="001B435F"/>
    <w:rsid w:val="001B4575"/>
    <w:rsid w:val="001B4587"/>
    <w:rsid w:val="001B463E"/>
    <w:rsid w:val="001B46F5"/>
    <w:rsid w:val="001B4802"/>
    <w:rsid w:val="001B4994"/>
    <w:rsid w:val="001B4AC7"/>
    <w:rsid w:val="001B4AF8"/>
    <w:rsid w:val="001B4B80"/>
    <w:rsid w:val="001B4CAA"/>
    <w:rsid w:val="001B4CEA"/>
    <w:rsid w:val="001B4DD4"/>
    <w:rsid w:val="001B4FA3"/>
    <w:rsid w:val="001B50DC"/>
    <w:rsid w:val="001B522B"/>
    <w:rsid w:val="001B5346"/>
    <w:rsid w:val="001B53AA"/>
    <w:rsid w:val="001B53D9"/>
    <w:rsid w:val="001B557A"/>
    <w:rsid w:val="001B594D"/>
    <w:rsid w:val="001B5976"/>
    <w:rsid w:val="001B59C4"/>
    <w:rsid w:val="001B5CE8"/>
    <w:rsid w:val="001B5E44"/>
    <w:rsid w:val="001B5F5A"/>
    <w:rsid w:val="001B6201"/>
    <w:rsid w:val="001B6245"/>
    <w:rsid w:val="001B67B1"/>
    <w:rsid w:val="001B68F4"/>
    <w:rsid w:val="001B690A"/>
    <w:rsid w:val="001B6A90"/>
    <w:rsid w:val="001B6AD7"/>
    <w:rsid w:val="001B6B32"/>
    <w:rsid w:val="001B6B51"/>
    <w:rsid w:val="001B6BA2"/>
    <w:rsid w:val="001B6E3E"/>
    <w:rsid w:val="001B7029"/>
    <w:rsid w:val="001B7131"/>
    <w:rsid w:val="001B7140"/>
    <w:rsid w:val="001B71ED"/>
    <w:rsid w:val="001B7305"/>
    <w:rsid w:val="001B753C"/>
    <w:rsid w:val="001B7618"/>
    <w:rsid w:val="001B77BD"/>
    <w:rsid w:val="001B77FD"/>
    <w:rsid w:val="001B7DC2"/>
    <w:rsid w:val="001B7E4B"/>
    <w:rsid w:val="001B7E86"/>
    <w:rsid w:val="001B7FDC"/>
    <w:rsid w:val="001C01E1"/>
    <w:rsid w:val="001C0289"/>
    <w:rsid w:val="001C033D"/>
    <w:rsid w:val="001C0443"/>
    <w:rsid w:val="001C0653"/>
    <w:rsid w:val="001C0732"/>
    <w:rsid w:val="001C0838"/>
    <w:rsid w:val="001C0DC1"/>
    <w:rsid w:val="001C0DDD"/>
    <w:rsid w:val="001C1043"/>
    <w:rsid w:val="001C105F"/>
    <w:rsid w:val="001C10A7"/>
    <w:rsid w:val="001C11BD"/>
    <w:rsid w:val="001C11FF"/>
    <w:rsid w:val="001C12DF"/>
    <w:rsid w:val="001C134E"/>
    <w:rsid w:val="001C1446"/>
    <w:rsid w:val="001C1494"/>
    <w:rsid w:val="001C1535"/>
    <w:rsid w:val="001C1599"/>
    <w:rsid w:val="001C1C2E"/>
    <w:rsid w:val="001C1DE4"/>
    <w:rsid w:val="001C2110"/>
    <w:rsid w:val="001C222C"/>
    <w:rsid w:val="001C22CA"/>
    <w:rsid w:val="001C24A0"/>
    <w:rsid w:val="001C254F"/>
    <w:rsid w:val="001C25C9"/>
    <w:rsid w:val="001C26DC"/>
    <w:rsid w:val="001C27C4"/>
    <w:rsid w:val="001C2AB3"/>
    <w:rsid w:val="001C2C4F"/>
    <w:rsid w:val="001C2EC5"/>
    <w:rsid w:val="001C30DE"/>
    <w:rsid w:val="001C328A"/>
    <w:rsid w:val="001C32F5"/>
    <w:rsid w:val="001C33CB"/>
    <w:rsid w:val="001C349D"/>
    <w:rsid w:val="001C3502"/>
    <w:rsid w:val="001C380F"/>
    <w:rsid w:val="001C38AE"/>
    <w:rsid w:val="001C3B77"/>
    <w:rsid w:val="001C3BC9"/>
    <w:rsid w:val="001C3CFB"/>
    <w:rsid w:val="001C3E58"/>
    <w:rsid w:val="001C3E80"/>
    <w:rsid w:val="001C3F15"/>
    <w:rsid w:val="001C3FB0"/>
    <w:rsid w:val="001C41A3"/>
    <w:rsid w:val="001C43B0"/>
    <w:rsid w:val="001C4475"/>
    <w:rsid w:val="001C4559"/>
    <w:rsid w:val="001C465C"/>
    <w:rsid w:val="001C4735"/>
    <w:rsid w:val="001C485D"/>
    <w:rsid w:val="001C4905"/>
    <w:rsid w:val="001C49E3"/>
    <w:rsid w:val="001C4A0B"/>
    <w:rsid w:val="001C4BB9"/>
    <w:rsid w:val="001C4C6C"/>
    <w:rsid w:val="001C4D37"/>
    <w:rsid w:val="001C4E45"/>
    <w:rsid w:val="001C4F39"/>
    <w:rsid w:val="001C4F83"/>
    <w:rsid w:val="001C55CA"/>
    <w:rsid w:val="001C56F2"/>
    <w:rsid w:val="001C5702"/>
    <w:rsid w:val="001C5727"/>
    <w:rsid w:val="001C5833"/>
    <w:rsid w:val="001C5CAE"/>
    <w:rsid w:val="001C5CE7"/>
    <w:rsid w:val="001C5D6F"/>
    <w:rsid w:val="001C5ED9"/>
    <w:rsid w:val="001C61C5"/>
    <w:rsid w:val="001C61D1"/>
    <w:rsid w:val="001C645E"/>
    <w:rsid w:val="001C64B7"/>
    <w:rsid w:val="001C650F"/>
    <w:rsid w:val="001C67EF"/>
    <w:rsid w:val="001C683D"/>
    <w:rsid w:val="001C68BA"/>
    <w:rsid w:val="001C68C5"/>
    <w:rsid w:val="001C69C2"/>
    <w:rsid w:val="001C6BCA"/>
    <w:rsid w:val="001C6D8B"/>
    <w:rsid w:val="001C6E32"/>
    <w:rsid w:val="001C6F51"/>
    <w:rsid w:val="001C6F56"/>
    <w:rsid w:val="001C6FA4"/>
    <w:rsid w:val="001C6FBB"/>
    <w:rsid w:val="001C747B"/>
    <w:rsid w:val="001C74D3"/>
    <w:rsid w:val="001C7672"/>
    <w:rsid w:val="001C7689"/>
    <w:rsid w:val="001C7913"/>
    <w:rsid w:val="001C7A9C"/>
    <w:rsid w:val="001C7AAF"/>
    <w:rsid w:val="001C7B2C"/>
    <w:rsid w:val="001C7C4C"/>
    <w:rsid w:val="001C7CB1"/>
    <w:rsid w:val="001C7E51"/>
    <w:rsid w:val="001D003A"/>
    <w:rsid w:val="001D01A7"/>
    <w:rsid w:val="001D01F9"/>
    <w:rsid w:val="001D070F"/>
    <w:rsid w:val="001D0906"/>
    <w:rsid w:val="001D095B"/>
    <w:rsid w:val="001D09F9"/>
    <w:rsid w:val="001D0DD2"/>
    <w:rsid w:val="001D0FA8"/>
    <w:rsid w:val="001D111C"/>
    <w:rsid w:val="001D1299"/>
    <w:rsid w:val="001D137A"/>
    <w:rsid w:val="001D148B"/>
    <w:rsid w:val="001D1499"/>
    <w:rsid w:val="001D1842"/>
    <w:rsid w:val="001D1ABC"/>
    <w:rsid w:val="001D1AED"/>
    <w:rsid w:val="001D1B5A"/>
    <w:rsid w:val="001D1E44"/>
    <w:rsid w:val="001D1FB0"/>
    <w:rsid w:val="001D2399"/>
    <w:rsid w:val="001D262C"/>
    <w:rsid w:val="001D2664"/>
    <w:rsid w:val="001D2758"/>
    <w:rsid w:val="001D2793"/>
    <w:rsid w:val="001D2870"/>
    <w:rsid w:val="001D2B9A"/>
    <w:rsid w:val="001D2C09"/>
    <w:rsid w:val="001D2CE7"/>
    <w:rsid w:val="001D2F6B"/>
    <w:rsid w:val="001D2FA0"/>
    <w:rsid w:val="001D31CE"/>
    <w:rsid w:val="001D32E8"/>
    <w:rsid w:val="001D3328"/>
    <w:rsid w:val="001D33AE"/>
    <w:rsid w:val="001D341C"/>
    <w:rsid w:val="001D3440"/>
    <w:rsid w:val="001D3470"/>
    <w:rsid w:val="001D360B"/>
    <w:rsid w:val="001D3827"/>
    <w:rsid w:val="001D3DCD"/>
    <w:rsid w:val="001D436C"/>
    <w:rsid w:val="001D4600"/>
    <w:rsid w:val="001D47FB"/>
    <w:rsid w:val="001D4A31"/>
    <w:rsid w:val="001D4A81"/>
    <w:rsid w:val="001D4B0B"/>
    <w:rsid w:val="001D4B13"/>
    <w:rsid w:val="001D4E14"/>
    <w:rsid w:val="001D533F"/>
    <w:rsid w:val="001D5498"/>
    <w:rsid w:val="001D54F4"/>
    <w:rsid w:val="001D567D"/>
    <w:rsid w:val="001D5695"/>
    <w:rsid w:val="001D56C6"/>
    <w:rsid w:val="001D595D"/>
    <w:rsid w:val="001D596E"/>
    <w:rsid w:val="001D5AB0"/>
    <w:rsid w:val="001D5EE4"/>
    <w:rsid w:val="001D5F2E"/>
    <w:rsid w:val="001D5FCD"/>
    <w:rsid w:val="001D5FF7"/>
    <w:rsid w:val="001D6106"/>
    <w:rsid w:val="001D6120"/>
    <w:rsid w:val="001D61F7"/>
    <w:rsid w:val="001D6202"/>
    <w:rsid w:val="001D667D"/>
    <w:rsid w:val="001D673A"/>
    <w:rsid w:val="001D683C"/>
    <w:rsid w:val="001D6A5E"/>
    <w:rsid w:val="001D6B4D"/>
    <w:rsid w:val="001D6C6B"/>
    <w:rsid w:val="001D6CC0"/>
    <w:rsid w:val="001D6D18"/>
    <w:rsid w:val="001D7126"/>
    <w:rsid w:val="001D7232"/>
    <w:rsid w:val="001D73CC"/>
    <w:rsid w:val="001D74AB"/>
    <w:rsid w:val="001D76F2"/>
    <w:rsid w:val="001D776D"/>
    <w:rsid w:val="001D78C4"/>
    <w:rsid w:val="001D7CAF"/>
    <w:rsid w:val="001D7EA6"/>
    <w:rsid w:val="001E0108"/>
    <w:rsid w:val="001E01AB"/>
    <w:rsid w:val="001E01DA"/>
    <w:rsid w:val="001E01F1"/>
    <w:rsid w:val="001E03FB"/>
    <w:rsid w:val="001E0469"/>
    <w:rsid w:val="001E04A9"/>
    <w:rsid w:val="001E04EF"/>
    <w:rsid w:val="001E06F7"/>
    <w:rsid w:val="001E07B1"/>
    <w:rsid w:val="001E0879"/>
    <w:rsid w:val="001E097F"/>
    <w:rsid w:val="001E09DC"/>
    <w:rsid w:val="001E0BC5"/>
    <w:rsid w:val="001E0DEC"/>
    <w:rsid w:val="001E0DFB"/>
    <w:rsid w:val="001E0E5C"/>
    <w:rsid w:val="001E0F69"/>
    <w:rsid w:val="001E1144"/>
    <w:rsid w:val="001E11C9"/>
    <w:rsid w:val="001E12EC"/>
    <w:rsid w:val="001E1304"/>
    <w:rsid w:val="001E143B"/>
    <w:rsid w:val="001E158E"/>
    <w:rsid w:val="001E1859"/>
    <w:rsid w:val="001E194B"/>
    <w:rsid w:val="001E1C0C"/>
    <w:rsid w:val="001E1C32"/>
    <w:rsid w:val="001E1C53"/>
    <w:rsid w:val="001E1DD7"/>
    <w:rsid w:val="001E1DF0"/>
    <w:rsid w:val="001E2095"/>
    <w:rsid w:val="001E218F"/>
    <w:rsid w:val="001E2410"/>
    <w:rsid w:val="001E2463"/>
    <w:rsid w:val="001E2580"/>
    <w:rsid w:val="001E25A5"/>
    <w:rsid w:val="001E2647"/>
    <w:rsid w:val="001E269B"/>
    <w:rsid w:val="001E298C"/>
    <w:rsid w:val="001E337D"/>
    <w:rsid w:val="001E345B"/>
    <w:rsid w:val="001E351A"/>
    <w:rsid w:val="001E357C"/>
    <w:rsid w:val="001E35AF"/>
    <w:rsid w:val="001E37B7"/>
    <w:rsid w:val="001E3865"/>
    <w:rsid w:val="001E3AA7"/>
    <w:rsid w:val="001E3B2F"/>
    <w:rsid w:val="001E3C78"/>
    <w:rsid w:val="001E3C92"/>
    <w:rsid w:val="001E3D77"/>
    <w:rsid w:val="001E3E82"/>
    <w:rsid w:val="001E418E"/>
    <w:rsid w:val="001E4259"/>
    <w:rsid w:val="001E43C8"/>
    <w:rsid w:val="001E446A"/>
    <w:rsid w:val="001E452C"/>
    <w:rsid w:val="001E4623"/>
    <w:rsid w:val="001E49EE"/>
    <w:rsid w:val="001E4ADA"/>
    <w:rsid w:val="001E4BDC"/>
    <w:rsid w:val="001E4CDA"/>
    <w:rsid w:val="001E4DCE"/>
    <w:rsid w:val="001E4FA1"/>
    <w:rsid w:val="001E51DE"/>
    <w:rsid w:val="001E52F3"/>
    <w:rsid w:val="001E5344"/>
    <w:rsid w:val="001E5361"/>
    <w:rsid w:val="001E5409"/>
    <w:rsid w:val="001E550A"/>
    <w:rsid w:val="001E55BF"/>
    <w:rsid w:val="001E5866"/>
    <w:rsid w:val="001E58A0"/>
    <w:rsid w:val="001E59C5"/>
    <w:rsid w:val="001E59DE"/>
    <w:rsid w:val="001E59E8"/>
    <w:rsid w:val="001E5C32"/>
    <w:rsid w:val="001E5E16"/>
    <w:rsid w:val="001E5EC8"/>
    <w:rsid w:val="001E5EFD"/>
    <w:rsid w:val="001E61C2"/>
    <w:rsid w:val="001E6406"/>
    <w:rsid w:val="001E66A9"/>
    <w:rsid w:val="001E6732"/>
    <w:rsid w:val="001E677D"/>
    <w:rsid w:val="001E683D"/>
    <w:rsid w:val="001E6859"/>
    <w:rsid w:val="001E69D2"/>
    <w:rsid w:val="001E71B4"/>
    <w:rsid w:val="001E7441"/>
    <w:rsid w:val="001E747B"/>
    <w:rsid w:val="001E753B"/>
    <w:rsid w:val="001E75F7"/>
    <w:rsid w:val="001E7B78"/>
    <w:rsid w:val="001E7C15"/>
    <w:rsid w:val="001E7DF1"/>
    <w:rsid w:val="001E7F0F"/>
    <w:rsid w:val="001E7FA6"/>
    <w:rsid w:val="001F0045"/>
    <w:rsid w:val="001F027F"/>
    <w:rsid w:val="001F08EE"/>
    <w:rsid w:val="001F08EF"/>
    <w:rsid w:val="001F098E"/>
    <w:rsid w:val="001F0A20"/>
    <w:rsid w:val="001F0DDC"/>
    <w:rsid w:val="001F0EE7"/>
    <w:rsid w:val="001F11D3"/>
    <w:rsid w:val="001F170B"/>
    <w:rsid w:val="001F171A"/>
    <w:rsid w:val="001F175E"/>
    <w:rsid w:val="001F1793"/>
    <w:rsid w:val="001F187C"/>
    <w:rsid w:val="001F1C4D"/>
    <w:rsid w:val="001F1C53"/>
    <w:rsid w:val="001F1F64"/>
    <w:rsid w:val="001F22C1"/>
    <w:rsid w:val="001F22DF"/>
    <w:rsid w:val="001F2400"/>
    <w:rsid w:val="001F2540"/>
    <w:rsid w:val="001F2781"/>
    <w:rsid w:val="001F2881"/>
    <w:rsid w:val="001F2911"/>
    <w:rsid w:val="001F2ACE"/>
    <w:rsid w:val="001F2B54"/>
    <w:rsid w:val="001F2B6A"/>
    <w:rsid w:val="001F2BF2"/>
    <w:rsid w:val="001F2C53"/>
    <w:rsid w:val="001F2C68"/>
    <w:rsid w:val="001F2D91"/>
    <w:rsid w:val="001F2DBB"/>
    <w:rsid w:val="001F302E"/>
    <w:rsid w:val="001F30F8"/>
    <w:rsid w:val="001F3151"/>
    <w:rsid w:val="001F34C3"/>
    <w:rsid w:val="001F39C2"/>
    <w:rsid w:val="001F3A29"/>
    <w:rsid w:val="001F3CDA"/>
    <w:rsid w:val="001F3E6C"/>
    <w:rsid w:val="001F3F65"/>
    <w:rsid w:val="001F4004"/>
    <w:rsid w:val="001F41F7"/>
    <w:rsid w:val="001F444F"/>
    <w:rsid w:val="001F45D4"/>
    <w:rsid w:val="001F4853"/>
    <w:rsid w:val="001F48FA"/>
    <w:rsid w:val="001F4D4F"/>
    <w:rsid w:val="001F5325"/>
    <w:rsid w:val="001F54B0"/>
    <w:rsid w:val="001F5645"/>
    <w:rsid w:val="001F5802"/>
    <w:rsid w:val="001F5884"/>
    <w:rsid w:val="001F5959"/>
    <w:rsid w:val="001F5FA4"/>
    <w:rsid w:val="001F60B0"/>
    <w:rsid w:val="001F633E"/>
    <w:rsid w:val="001F6365"/>
    <w:rsid w:val="001F63D6"/>
    <w:rsid w:val="001F65FA"/>
    <w:rsid w:val="001F672D"/>
    <w:rsid w:val="001F6780"/>
    <w:rsid w:val="001F6A43"/>
    <w:rsid w:val="001F6B0F"/>
    <w:rsid w:val="001F703F"/>
    <w:rsid w:val="001F70FD"/>
    <w:rsid w:val="001F72A0"/>
    <w:rsid w:val="001F733D"/>
    <w:rsid w:val="001F7374"/>
    <w:rsid w:val="001F7426"/>
    <w:rsid w:val="001F7456"/>
    <w:rsid w:val="001F747C"/>
    <w:rsid w:val="001F75F3"/>
    <w:rsid w:val="001F7767"/>
    <w:rsid w:val="001F77F6"/>
    <w:rsid w:val="001F7A73"/>
    <w:rsid w:val="001F7AAD"/>
    <w:rsid w:val="001F7B46"/>
    <w:rsid w:val="001F7D89"/>
    <w:rsid w:val="001F7E07"/>
    <w:rsid w:val="001F7E6A"/>
    <w:rsid w:val="001F7EB7"/>
    <w:rsid w:val="001F7F00"/>
    <w:rsid w:val="00200145"/>
    <w:rsid w:val="002001C1"/>
    <w:rsid w:val="00200241"/>
    <w:rsid w:val="00200306"/>
    <w:rsid w:val="00200437"/>
    <w:rsid w:val="00200494"/>
    <w:rsid w:val="002005E9"/>
    <w:rsid w:val="002007D4"/>
    <w:rsid w:val="002008F0"/>
    <w:rsid w:val="00200A20"/>
    <w:rsid w:val="00200B7C"/>
    <w:rsid w:val="00200F86"/>
    <w:rsid w:val="00200FC5"/>
    <w:rsid w:val="0020108F"/>
    <w:rsid w:val="0020116B"/>
    <w:rsid w:val="002012AB"/>
    <w:rsid w:val="00201338"/>
    <w:rsid w:val="002014F3"/>
    <w:rsid w:val="0020150A"/>
    <w:rsid w:val="00201DF8"/>
    <w:rsid w:val="00201E41"/>
    <w:rsid w:val="00202069"/>
    <w:rsid w:val="002024B9"/>
    <w:rsid w:val="0020269B"/>
    <w:rsid w:val="00202A24"/>
    <w:rsid w:val="00202A93"/>
    <w:rsid w:val="00202ACF"/>
    <w:rsid w:val="00202B4A"/>
    <w:rsid w:val="00202C1A"/>
    <w:rsid w:val="00202CB9"/>
    <w:rsid w:val="00202F63"/>
    <w:rsid w:val="00202FD4"/>
    <w:rsid w:val="002031FF"/>
    <w:rsid w:val="00203645"/>
    <w:rsid w:val="00203748"/>
    <w:rsid w:val="00203A79"/>
    <w:rsid w:val="00203B74"/>
    <w:rsid w:val="00203C8A"/>
    <w:rsid w:val="00204084"/>
    <w:rsid w:val="002040C8"/>
    <w:rsid w:val="002047C6"/>
    <w:rsid w:val="00204865"/>
    <w:rsid w:val="0020489B"/>
    <w:rsid w:val="002049CA"/>
    <w:rsid w:val="00204A77"/>
    <w:rsid w:val="00205267"/>
    <w:rsid w:val="00205305"/>
    <w:rsid w:val="0020532A"/>
    <w:rsid w:val="00205510"/>
    <w:rsid w:val="00205531"/>
    <w:rsid w:val="00205A02"/>
    <w:rsid w:val="00205B24"/>
    <w:rsid w:val="00205B4A"/>
    <w:rsid w:val="00205F03"/>
    <w:rsid w:val="00206028"/>
    <w:rsid w:val="002060B1"/>
    <w:rsid w:val="002060D2"/>
    <w:rsid w:val="002060DD"/>
    <w:rsid w:val="00206106"/>
    <w:rsid w:val="00206138"/>
    <w:rsid w:val="002062AC"/>
    <w:rsid w:val="00206552"/>
    <w:rsid w:val="00206570"/>
    <w:rsid w:val="002065B9"/>
    <w:rsid w:val="0020692A"/>
    <w:rsid w:val="00206952"/>
    <w:rsid w:val="00206A04"/>
    <w:rsid w:val="00206D84"/>
    <w:rsid w:val="00206E4E"/>
    <w:rsid w:val="00206E7B"/>
    <w:rsid w:val="00206ECF"/>
    <w:rsid w:val="00206F92"/>
    <w:rsid w:val="0020724E"/>
    <w:rsid w:val="00207557"/>
    <w:rsid w:val="002076B5"/>
    <w:rsid w:val="0020772E"/>
    <w:rsid w:val="00207779"/>
    <w:rsid w:val="002078EB"/>
    <w:rsid w:val="00207B49"/>
    <w:rsid w:val="00207C3F"/>
    <w:rsid w:val="00207E83"/>
    <w:rsid w:val="00207F72"/>
    <w:rsid w:val="00207F94"/>
    <w:rsid w:val="00207FEA"/>
    <w:rsid w:val="002100F4"/>
    <w:rsid w:val="0021052F"/>
    <w:rsid w:val="002105DF"/>
    <w:rsid w:val="00210664"/>
    <w:rsid w:val="00210718"/>
    <w:rsid w:val="0021072B"/>
    <w:rsid w:val="00210904"/>
    <w:rsid w:val="0021093A"/>
    <w:rsid w:val="0021095D"/>
    <w:rsid w:val="002109BC"/>
    <w:rsid w:val="00210BAF"/>
    <w:rsid w:val="00210BB0"/>
    <w:rsid w:val="00210C1C"/>
    <w:rsid w:val="00210F55"/>
    <w:rsid w:val="00210FCE"/>
    <w:rsid w:val="0021102B"/>
    <w:rsid w:val="002110D8"/>
    <w:rsid w:val="002114D3"/>
    <w:rsid w:val="0021169F"/>
    <w:rsid w:val="002119F7"/>
    <w:rsid w:val="002119FA"/>
    <w:rsid w:val="00211B8F"/>
    <w:rsid w:val="00211C8D"/>
    <w:rsid w:val="00211ECC"/>
    <w:rsid w:val="00212019"/>
    <w:rsid w:val="00212320"/>
    <w:rsid w:val="0021282A"/>
    <w:rsid w:val="0021285B"/>
    <w:rsid w:val="00212876"/>
    <w:rsid w:val="00212E1B"/>
    <w:rsid w:val="002130FF"/>
    <w:rsid w:val="002131BF"/>
    <w:rsid w:val="002132FE"/>
    <w:rsid w:val="00213348"/>
    <w:rsid w:val="0021342A"/>
    <w:rsid w:val="002134F9"/>
    <w:rsid w:val="0021366D"/>
    <w:rsid w:val="002136AB"/>
    <w:rsid w:val="00213715"/>
    <w:rsid w:val="002139BA"/>
    <w:rsid w:val="00213B3C"/>
    <w:rsid w:val="00213C4A"/>
    <w:rsid w:val="00213C72"/>
    <w:rsid w:val="00213CC3"/>
    <w:rsid w:val="00213D22"/>
    <w:rsid w:val="00213F0D"/>
    <w:rsid w:val="00213FD5"/>
    <w:rsid w:val="00214064"/>
    <w:rsid w:val="002144EB"/>
    <w:rsid w:val="00214520"/>
    <w:rsid w:val="00214B6C"/>
    <w:rsid w:val="00214BB4"/>
    <w:rsid w:val="00214BB9"/>
    <w:rsid w:val="0021503D"/>
    <w:rsid w:val="002151B1"/>
    <w:rsid w:val="002155BB"/>
    <w:rsid w:val="00215670"/>
    <w:rsid w:val="00215A8F"/>
    <w:rsid w:val="00215C48"/>
    <w:rsid w:val="00215ECC"/>
    <w:rsid w:val="00215FD4"/>
    <w:rsid w:val="0021602C"/>
    <w:rsid w:val="00216105"/>
    <w:rsid w:val="00216229"/>
    <w:rsid w:val="00216449"/>
    <w:rsid w:val="00216503"/>
    <w:rsid w:val="002165D5"/>
    <w:rsid w:val="002166A2"/>
    <w:rsid w:val="0021696A"/>
    <w:rsid w:val="002169F1"/>
    <w:rsid w:val="00216AF5"/>
    <w:rsid w:val="00216B5B"/>
    <w:rsid w:val="00216C21"/>
    <w:rsid w:val="00216D1D"/>
    <w:rsid w:val="00216D68"/>
    <w:rsid w:val="00216E86"/>
    <w:rsid w:val="00216FC7"/>
    <w:rsid w:val="00217371"/>
    <w:rsid w:val="00217617"/>
    <w:rsid w:val="002178DB"/>
    <w:rsid w:val="0021795A"/>
    <w:rsid w:val="002179EE"/>
    <w:rsid w:val="00217B38"/>
    <w:rsid w:val="00217BAA"/>
    <w:rsid w:val="00217C31"/>
    <w:rsid w:val="00217FB9"/>
    <w:rsid w:val="0022007D"/>
    <w:rsid w:val="002200AA"/>
    <w:rsid w:val="0022038E"/>
    <w:rsid w:val="00220524"/>
    <w:rsid w:val="00220583"/>
    <w:rsid w:val="002205B1"/>
    <w:rsid w:val="0022087A"/>
    <w:rsid w:val="00220BB8"/>
    <w:rsid w:val="00220C1A"/>
    <w:rsid w:val="00220CB8"/>
    <w:rsid w:val="00220D08"/>
    <w:rsid w:val="00220D6D"/>
    <w:rsid w:val="00221070"/>
    <w:rsid w:val="0022131C"/>
    <w:rsid w:val="002213C7"/>
    <w:rsid w:val="002213CB"/>
    <w:rsid w:val="002215B4"/>
    <w:rsid w:val="00221624"/>
    <w:rsid w:val="002218F6"/>
    <w:rsid w:val="00221934"/>
    <w:rsid w:val="00221A05"/>
    <w:rsid w:val="00221B49"/>
    <w:rsid w:val="00221C12"/>
    <w:rsid w:val="00221C77"/>
    <w:rsid w:val="00221CC6"/>
    <w:rsid w:val="00221E1E"/>
    <w:rsid w:val="00221F55"/>
    <w:rsid w:val="00221F74"/>
    <w:rsid w:val="0022215E"/>
    <w:rsid w:val="0022221B"/>
    <w:rsid w:val="002223A8"/>
    <w:rsid w:val="00222521"/>
    <w:rsid w:val="002225D8"/>
    <w:rsid w:val="0022269A"/>
    <w:rsid w:val="002226CC"/>
    <w:rsid w:val="00222744"/>
    <w:rsid w:val="00222937"/>
    <w:rsid w:val="00222963"/>
    <w:rsid w:val="00222D58"/>
    <w:rsid w:val="00222E36"/>
    <w:rsid w:val="00222EFF"/>
    <w:rsid w:val="002231AA"/>
    <w:rsid w:val="00223308"/>
    <w:rsid w:val="0022336A"/>
    <w:rsid w:val="00223462"/>
    <w:rsid w:val="00223584"/>
    <w:rsid w:val="0022371D"/>
    <w:rsid w:val="00223BC2"/>
    <w:rsid w:val="00223CA1"/>
    <w:rsid w:val="00223CB2"/>
    <w:rsid w:val="00223CCB"/>
    <w:rsid w:val="00223DAC"/>
    <w:rsid w:val="00223E70"/>
    <w:rsid w:val="00223F71"/>
    <w:rsid w:val="0022415B"/>
    <w:rsid w:val="00224321"/>
    <w:rsid w:val="00224400"/>
    <w:rsid w:val="002244AD"/>
    <w:rsid w:val="002244BA"/>
    <w:rsid w:val="002246D6"/>
    <w:rsid w:val="002247F9"/>
    <w:rsid w:val="00224842"/>
    <w:rsid w:val="002248CD"/>
    <w:rsid w:val="00224E2C"/>
    <w:rsid w:val="00225110"/>
    <w:rsid w:val="00225568"/>
    <w:rsid w:val="002256CA"/>
    <w:rsid w:val="0022577A"/>
    <w:rsid w:val="002257C7"/>
    <w:rsid w:val="00225A1B"/>
    <w:rsid w:val="00225A72"/>
    <w:rsid w:val="00225BA6"/>
    <w:rsid w:val="00225BC3"/>
    <w:rsid w:val="00226049"/>
    <w:rsid w:val="002262CB"/>
    <w:rsid w:val="0022634E"/>
    <w:rsid w:val="0022651A"/>
    <w:rsid w:val="0022653C"/>
    <w:rsid w:val="00226918"/>
    <w:rsid w:val="00226A6C"/>
    <w:rsid w:val="00226AB4"/>
    <w:rsid w:val="00226BBC"/>
    <w:rsid w:val="00226BC4"/>
    <w:rsid w:val="00226C14"/>
    <w:rsid w:val="00226CBD"/>
    <w:rsid w:val="00226CBE"/>
    <w:rsid w:val="002271A4"/>
    <w:rsid w:val="002273C5"/>
    <w:rsid w:val="00227439"/>
    <w:rsid w:val="0022743F"/>
    <w:rsid w:val="002275C8"/>
    <w:rsid w:val="002276FA"/>
    <w:rsid w:val="002277A1"/>
    <w:rsid w:val="00227808"/>
    <w:rsid w:val="00227A1C"/>
    <w:rsid w:val="00227B6E"/>
    <w:rsid w:val="00227D2F"/>
    <w:rsid w:val="00227F99"/>
    <w:rsid w:val="0023035C"/>
    <w:rsid w:val="002305BF"/>
    <w:rsid w:val="002307A9"/>
    <w:rsid w:val="002308A3"/>
    <w:rsid w:val="002308C8"/>
    <w:rsid w:val="00230C40"/>
    <w:rsid w:val="00230EB6"/>
    <w:rsid w:val="00230F92"/>
    <w:rsid w:val="00230F9B"/>
    <w:rsid w:val="00230FDE"/>
    <w:rsid w:val="00230FE2"/>
    <w:rsid w:val="0023160C"/>
    <w:rsid w:val="00231620"/>
    <w:rsid w:val="00231746"/>
    <w:rsid w:val="002318EA"/>
    <w:rsid w:val="00231926"/>
    <w:rsid w:val="0023198F"/>
    <w:rsid w:val="00231A70"/>
    <w:rsid w:val="00231DCA"/>
    <w:rsid w:val="002320F5"/>
    <w:rsid w:val="002320F6"/>
    <w:rsid w:val="0023223A"/>
    <w:rsid w:val="00232264"/>
    <w:rsid w:val="002322B5"/>
    <w:rsid w:val="0023251A"/>
    <w:rsid w:val="0023254C"/>
    <w:rsid w:val="0023278F"/>
    <w:rsid w:val="002327AD"/>
    <w:rsid w:val="002328C2"/>
    <w:rsid w:val="00232986"/>
    <w:rsid w:val="0023299C"/>
    <w:rsid w:val="00232A5B"/>
    <w:rsid w:val="00232B73"/>
    <w:rsid w:val="00232C89"/>
    <w:rsid w:val="00232D21"/>
    <w:rsid w:val="00232E47"/>
    <w:rsid w:val="0023300B"/>
    <w:rsid w:val="0023302A"/>
    <w:rsid w:val="002332B3"/>
    <w:rsid w:val="0023336E"/>
    <w:rsid w:val="00233449"/>
    <w:rsid w:val="00233588"/>
    <w:rsid w:val="002335BA"/>
    <w:rsid w:val="00233AAB"/>
    <w:rsid w:val="00233B78"/>
    <w:rsid w:val="00233C94"/>
    <w:rsid w:val="00233CAF"/>
    <w:rsid w:val="00234178"/>
    <w:rsid w:val="002342D2"/>
    <w:rsid w:val="0023449C"/>
    <w:rsid w:val="002344BE"/>
    <w:rsid w:val="002344E8"/>
    <w:rsid w:val="00234595"/>
    <w:rsid w:val="00234772"/>
    <w:rsid w:val="00234872"/>
    <w:rsid w:val="00234A9C"/>
    <w:rsid w:val="00234CB4"/>
    <w:rsid w:val="00234CC2"/>
    <w:rsid w:val="00234CD9"/>
    <w:rsid w:val="00234D40"/>
    <w:rsid w:val="00234DC6"/>
    <w:rsid w:val="00234F3B"/>
    <w:rsid w:val="00234FD2"/>
    <w:rsid w:val="002350B2"/>
    <w:rsid w:val="00235123"/>
    <w:rsid w:val="00235170"/>
    <w:rsid w:val="00235266"/>
    <w:rsid w:val="002353FC"/>
    <w:rsid w:val="00235641"/>
    <w:rsid w:val="002356E7"/>
    <w:rsid w:val="0023574D"/>
    <w:rsid w:val="0023586C"/>
    <w:rsid w:val="00235969"/>
    <w:rsid w:val="00235DAA"/>
    <w:rsid w:val="002360E6"/>
    <w:rsid w:val="00236713"/>
    <w:rsid w:val="0023683A"/>
    <w:rsid w:val="002368DB"/>
    <w:rsid w:val="002369BD"/>
    <w:rsid w:val="00236C02"/>
    <w:rsid w:val="00236C57"/>
    <w:rsid w:val="00236CEA"/>
    <w:rsid w:val="00236E8C"/>
    <w:rsid w:val="00236F62"/>
    <w:rsid w:val="002370FE"/>
    <w:rsid w:val="00237103"/>
    <w:rsid w:val="0023729B"/>
    <w:rsid w:val="002376E5"/>
    <w:rsid w:val="00237754"/>
    <w:rsid w:val="002379B2"/>
    <w:rsid w:val="00237BB9"/>
    <w:rsid w:val="00237C49"/>
    <w:rsid w:val="00237C7D"/>
    <w:rsid w:val="00237D58"/>
    <w:rsid w:val="00237F07"/>
    <w:rsid w:val="002401DF"/>
    <w:rsid w:val="002402F5"/>
    <w:rsid w:val="00240323"/>
    <w:rsid w:val="002403CE"/>
    <w:rsid w:val="002403E5"/>
    <w:rsid w:val="002405A6"/>
    <w:rsid w:val="002405C4"/>
    <w:rsid w:val="0024076B"/>
    <w:rsid w:val="00240831"/>
    <w:rsid w:val="00240913"/>
    <w:rsid w:val="0024099D"/>
    <w:rsid w:val="00240BA2"/>
    <w:rsid w:val="00240CB9"/>
    <w:rsid w:val="00240D29"/>
    <w:rsid w:val="00241123"/>
    <w:rsid w:val="002411CF"/>
    <w:rsid w:val="0024138A"/>
    <w:rsid w:val="002414D3"/>
    <w:rsid w:val="002417A2"/>
    <w:rsid w:val="00241857"/>
    <w:rsid w:val="00241DAA"/>
    <w:rsid w:val="00242277"/>
    <w:rsid w:val="0024228B"/>
    <w:rsid w:val="0024228E"/>
    <w:rsid w:val="0024236A"/>
    <w:rsid w:val="002425CE"/>
    <w:rsid w:val="0024262A"/>
    <w:rsid w:val="00242657"/>
    <w:rsid w:val="002427B9"/>
    <w:rsid w:val="0024292B"/>
    <w:rsid w:val="00242954"/>
    <w:rsid w:val="002429B8"/>
    <w:rsid w:val="00242A53"/>
    <w:rsid w:val="00242B64"/>
    <w:rsid w:val="00242D43"/>
    <w:rsid w:val="00242D5F"/>
    <w:rsid w:val="00242E0E"/>
    <w:rsid w:val="00242FF8"/>
    <w:rsid w:val="00243111"/>
    <w:rsid w:val="00243222"/>
    <w:rsid w:val="00243231"/>
    <w:rsid w:val="0024325F"/>
    <w:rsid w:val="00243388"/>
    <w:rsid w:val="0024364F"/>
    <w:rsid w:val="00243754"/>
    <w:rsid w:val="002437F5"/>
    <w:rsid w:val="002438A1"/>
    <w:rsid w:val="00243963"/>
    <w:rsid w:val="002439BF"/>
    <w:rsid w:val="00243D49"/>
    <w:rsid w:val="00243E12"/>
    <w:rsid w:val="002440F1"/>
    <w:rsid w:val="0024422F"/>
    <w:rsid w:val="0024459D"/>
    <w:rsid w:val="00244684"/>
    <w:rsid w:val="002446BC"/>
    <w:rsid w:val="00244B16"/>
    <w:rsid w:val="00244C39"/>
    <w:rsid w:val="00244DA5"/>
    <w:rsid w:val="0024521F"/>
    <w:rsid w:val="00245505"/>
    <w:rsid w:val="002457B7"/>
    <w:rsid w:val="00245935"/>
    <w:rsid w:val="00245981"/>
    <w:rsid w:val="00245B13"/>
    <w:rsid w:val="00245C12"/>
    <w:rsid w:val="00245C44"/>
    <w:rsid w:val="00245CF4"/>
    <w:rsid w:val="00245D5B"/>
    <w:rsid w:val="00245EB1"/>
    <w:rsid w:val="00245F26"/>
    <w:rsid w:val="00245F3A"/>
    <w:rsid w:val="00245F6A"/>
    <w:rsid w:val="002460CC"/>
    <w:rsid w:val="00246546"/>
    <w:rsid w:val="00246873"/>
    <w:rsid w:val="00246C40"/>
    <w:rsid w:val="00246C5A"/>
    <w:rsid w:val="0024709C"/>
    <w:rsid w:val="00247486"/>
    <w:rsid w:val="002474DA"/>
    <w:rsid w:val="00247515"/>
    <w:rsid w:val="002475D2"/>
    <w:rsid w:val="002475EA"/>
    <w:rsid w:val="002477ED"/>
    <w:rsid w:val="00247912"/>
    <w:rsid w:val="00247AED"/>
    <w:rsid w:val="00247C13"/>
    <w:rsid w:val="00247EFB"/>
    <w:rsid w:val="00247F42"/>
    <w:rsid w:val="00247F66"/>
    <w:rsid w:val="0025006A"/>
    <w:rsid w:val="0025008F"/>
    <w:rsid w:val="002502AE"/>
    <w:rsid w:val="0025039B"/>
    <w:rsid w:val="002503D8"/>
    <w:rsid w:val="00250601"/>
    <w:rsid w:val="0025061B"/>
    <w:rsid w:val="00250735"/>
    <w:rsid w:val="00250760"/>
    <w:rsid w:val="00250780"/>
    <w:rsid w:val="002509C3"/>
    <w:rsid w:val="002509CF"/>
    <w:rsid w:val="00250A40"/>
    <w:rsid w:val="00250A76"/>
    <w:rsid w:val="00250DA0"/>
    <w:rsid w:val="00250E80"/>
    <w:rsid w:val="002510F6"/>
    <w:rsid w:val="00251206"/>
    <w:rsid w:val="002514E3"/>
    <w:rsid w:val="002516C4"/>
    <w:rsid w:val="002517DC"/>
    <w:rsid w:val="00251968"/>
    <w:rsid w:val="00252003"/>
    <w:rsid w:val="0025231E"/>
    <w:rsid w:val="0025261D"/>
    <w:rsid w:val="0025267F"/>
    <w:rsid w:val="00252710"/>
    <w:rsid w:val="002528E9"/>
    <w:rsid w:val="0025290E"/>
    <w:rsid w:val="00252A1C"/>
    <w:rsid w:val="00252AAD"/>
    <w:rsid w:val="00252C76"/>
    <w:rsid w:val="00253025"/>
    <w:rsid w:val="0025329C"/>
    <w:rsid w:val="0025338F"/>
    <w:rsid w:val="00253524"/>
    <w:rsid w:val="0025389F"/>
    <w:rsid w:val="00253A74"/>
    <w:rsid w:val="00253BBA"/>
    <w:rsid w:val="00253D9C"/>
    <w:rsid w:val="002540A7"/>
    <w:rsid w:val="002540B0"/>
    <w:rsid w:val="0025418F"/>
    <w:rsid w:val="00254193"/>
    <w:rsid w:val="00254281"/>
    <w:rsid w:val="00254301"/>
    <w:rsid w:val="00254360"/>
    <w:rsid w:val="00254500"/>
    <w:rsid w:val="0025454D"/>
    <w:rsid w:val="002548F3"/>
    <w:rsid w:val="00254911"/>
    <w:rsid w:val="00254A6F"/>
    <w:rsid w:val="00254AC0"/>
    <w:rsid w:val="00254CD7"/>
    <w:rsid w:val="00254DF8"/>
    <w:rsid w:val="00255130"/>
    <w:rsid w:val="00255193"/>
    <w:rsid w:val="00255198"/>
    <w:rsid w:val="00255237"/>
    <w:rsid w:val="002554E0"/>
    <w:rsid w:val="002555FB"/>
    <w:rsid w:val="00255671"/>
    <w:rsid w:val="00255702"/>
    <w:rsid w:val="00255821"/>
    <w:rsid w:val="00255857"/>
    <w:rsid w:val="002559D6"/>
    <w:rsid w:val="00255BE8"/>
    <w:rsid w:val="00255BEF"/>
    <w:rsid w:val="00255C3C"/>
    <w:rsid w:val="00255CA5"/>
    <w:rsid w:val="00255D6A"/>
    <w:rsid w:val="00255EA5"/>
    <w:rsid w:val="00256030"/>
    <w:rsid w:val="00256092"/>
    <w:rsid w:val="002560E2"/>
    <w:rsid w:val="00256111"/>
    <w:rsid w:val="002561D1"/>
    <w:rsid w:val="0025620C"/>
    <w:rsid w:val="002562C0"/>
    <w:rsid w:val="002562CC"/>
    <w:rsid w:val="002562E3"/>
    <w:rsid w:val="00256376"/>
    <w:rsid w:val="002563BB"/>
    <w:rsid w:val="00256496"/>
    <w:rsid w:val="0025656D"/>
    <w:rsid w:val="002566A7"/>
    <w:rsid w:val="0025672B"/>
    <w:rsid w:val="00256B3C"/>
    <w:rsid w:val="00256B7C"/>
    <w:rsid w:val="00256D38"/>
    <w:rsid w:val="00256D4C"/>
    <w:rsid w:val="00256E3E"/>
    <w:rsid w:val="00256EE3"/>
    <w:rsid w:val="00257053"/>
    <w:rsid w:val="00257169"/>
    <w:rsid w:val="002573EF"/>
    <w:rsid w:val="0025768C"/>
    <w:rsid w:val="00257749"/>
    <w:rsid w:val="00257890"/>
    <w:rsid w:val="002578ED"/>
    <w:rsid w:val="00257AF2"/>
    <w:rsid w:val="00257BED"/>
    <w:rsid w:val="00257D5F"/>
    <w:rsid w:val="00258E84"/>
    <w:rsid w:val="002601DA"/>
    <w:rsid w:val="0026031A"/>
    <w:rsid w:val="002605F1"/>
    <w:rsid w:val="00260936"/>
    <w:rsid w:val="00260981"/>
    <w:rsid w:val="00260A11"/>
    <w:rsid w:val="00260D7C"/>
    <w:rsid w:val="0026142A"/>
    <w:rsid w:val="002615E3"/>
    <w:rsid w:val="0026167C"/>
    <w:rsid w:val="0026171F"/>
    <w:rsid w:val="00261800"/>
    <w:rsid w:val="00261962"/>
    <w:rsid w:val="00261AE0"/>
    <w:rsid w:val="00261B61"/>
    <w:rsid w:val="00261B82"/>
    <w:rsid w:val="00261DED"/>
    <w:rsid w:val="00261ECF"/>
    <w:rsid w:val="00261EDB"/>
    <w:rsid w:val="00261F02"/>
    <w:rsid w:val="00261F3A"/>
    <w:rsid w:val="00262092"/>
    <w:rsid w:val="002620C2"/>
    <w:rsid w:val="00262571"/>
    <w:rsid w:val="00262C89"/>
    <w:rsid w:val="00262E0E"/>
    <w:rsid w:val="00262E85"/>
    <w:rsid w:val="002634DF"/>
    <w:rsid w:val="002634FC"/>
    <w:rsid w:val="0026372F"/>
    <w:rsid w:val="0026376D"/>
    <w:rsid w:val="00263782"/>
    <w:rsid w:val="00263784"/>
    <w:rsid w:val="00263870"/>
    <w:rsid w:val="002639F9"/>
    <w:rsid w:val="00263A2C"/>
    <w:rsid w:val="00263A81"/>
    <w:rsid w:val="00263C1C"/>
    <w:rsid w:val="00263D54"/>
    <w:rsid w:val="00263D88"/>
    <w:rsid w:val="00263F1C"/>
    <w:rsid w:val="002640E8"/>
    <w:rsid w:val="00264142"/>
    <w:rsid w:val="0026415D"/>
    <w:rsid w:val="0026417F"/>
    <w:rsid w:val="0026446A"/>
    <w:rsid w:val="002644AA"/>
    <w:rsid w:val="002644AB"/>
    <w:rsid w:val="002644EA"/>
    <w:rsid w:val="00264590"/>
    <w:rsid w:val="002645AA"/>
    <w:rsid w:val="00264735"/>
    <w:rsid w:val="00264A8B"/>
    <w:rsid w:val="00264ABC"/>
    <w:rsid w:val="00264B5F"/>
    <w:rsid w:val="00264C3E"/>
    <w:rsid w:val="00264CF7"/>
    <w:rsid w:val="00264D9F"/>
    <w:rsid w:val="002651B7"/>
    <w:rsid w:val="002655ED"/>
    <w:rsid w:val="00265818"/>
    <w:rsid w:val="00265CB3"/>
    <w:rsid w:val="00265CCE"/>
    <w:rsid w:val="00265F59"/>
    <w:rsid w:val="00266191"/>
    <w:rsid w:val="00266363"/>
    <w:rsid w:val="0026639A"/>
    <w:rsid w:val="002666E8"/>
    <w:rsid w:val="00266742"/>
    <w:rsid w:val="00266A4A"/>
    <w:rsid w:val="00266E02"/>
    <w:rsid w:val="00266E5B"/>
    <w:rsid w:val="0026710E"/>
    <w:rsid w:val="002678A9"/>
    <w:rsid w:val="002678B1"/>
    <w:rsid w:val="00267BE9"/>
    <w:rsid w:val="00267F5E"/>
    <w:rsid w:val="00267FC3"/>
    <w:rsid w:val="00267FDE"/>
    <w:rsid w:val="002701B5"/>
    <w:rsid w:val="00270207"/>
    <w:rsid w:val="002702C2"/>
    <w:rsid w:val="00270365"/>
    <w:rsid w:val="0027046E"/>
    <w:rsid w:val="0027080F"/>
    <w:rsid w:val="00270950"/>
    <w:rsid w:val="00270C0D"/>
    <w:rsid w:val="00270C1E"/>
    <w:rsid w:val="00270C70"/>
    <w:rsid w:val="00270E48"/>
    <w:rsid w:val="00270E89"/>
    <w:rsid w:val="00271098"/>
    <w:rsid w:val="00271194"/>
    <w:rsid w:val="002713BE"/>
    <w:rsid w:val="00271578"/>
    <w:rsid w:val="002715FE"/>
    <w:rsid w:val="002716FC"/>
    <w:rsid w:val="00271810"/>
    <w:rsid w:val="0027185C"/>
    <w:rsid w:val="00271B92"/>
    <w:rsid w:val="00271DF1"/>
    <w:rsid w:val="00271E60"/>
    <w:rsid w:val="00271E64"/>
    <w:rsid w:val="00271F50"/>
    <w:rsid w:val="00272073"/>
    <w:rsid w:val="00272291"/>
    <w:rsid w:val="002722B4"/>
    <w:rsid w:val="00272442"/>
    <w:rsid w:val="002724BB"/>
    <w:rsid w:val="00272675"/>
    <w:rsid w:val="002726B2"/>
    <w:rsid w:val="00272909"/>
    <w:rsid w:val="00272D2A"/>
    <w:rsid w:val="00272F13"/>
    <w:rsid w:val="00273073"/>
    <w:rsid w:val="00273502"/>
    <w:rsid w:val="00273638"/>
    <w:rsid w:val="00273815"/>
    <w:rsid w:val="002738C3"/>
    <w:rsid w:val="00273919"/>
    <w:rsid w:val="0027394C"/>
    <w:rsid w:val="002739EC"/>
    <w:rsid w:val="00273A35"/>
    <w:rsid w:val="00273BA2"/>
    <w:rsid w:val="00273BEB"/>
    <w:rsid w:val="00273C36"/>
    <w:rsid w:val="002742A3"/>
    <w:rsid w:val="00274381"/>
    <w:rsid w:val="00274630"/>
    <w:rsid w:val="0027484D"/>
    <w:rsid w:val="002748DD"/>
    <w:rsid w:val="002749BD"/>
    <w:rsid w:val="00274C54"/>
    <w:rsid w:val="00274E9F"/>
    <w:rsid w:val="00274EED"/>
    <w:rsid w:val="00275311"/>
    <w:rsid w:val="00275323"/>
    <w:rsid w:val="00275334"/>
    <w:rsid w:val="002754A8"/>
    <w:rsid w:val="002755B3"/>
    <w:rsid w:val="00275896"/>
    <w:rsid w:val="00275913"/>
    <w:rsid w:val="0027593A"/>
    <w:rsid w:val="00275947"/>
    <w:rsid w:val="0027598F"/>
    <w:rsid w:val="002759BD"/>
    <w:rsid w:val="00275CFC"/>
    <w:rsid w:val="00275E67"/>
    <w:rsid w:val="00275EFD"/>
    <w:rsid w:val="00275F91"/>
    <w:rsid w:val="00276107"/>
    <w:rsid w:val="002761D3"/>
    <w:rsid w:val="00276B3C"/>
    <w:rsid w:val="00276BF1"/>
    <w:rsid w:val="00277012"/>
    <w:rsid w:val="0027705B"/>
    <w:rsid w:val="002773AA"/>
    <w:rsid w:val="00277694"/>
    <w:rsid w:val="00277859"/>
    <w:rsid w:val="002779B5"/>
    <w:rsid w:val="00277CA4"/>
    <w:rsid w:val="00277D0C"/>
    <w:rsid w:val="00277F82"/>
    <w:rsid w:val="00277FD9"/>
    <w:rsid w:val="002802B0"/>
    <w:rsid w:val="002803C3"/>
    <w:rsid w:val="002804AA"/>
    <w:rsid w:val="00280742"/>
    <w:rsid w:val="00280890"/>
    <w:rsid w:val="0028100E"/>
    <w:rsid w:val="00281131"/>
    <w:rsid w:val="002811C0"/>
    <w:rsid w:val="00281553"/>
    <w:rsid w:val="00281593"/>
    <w:rsid w:val="002816CA"/>
    <w:rsid w:val="00281CC3"/>
    <w:rsid w:val="00281D08"/>
    <w:rsid w:val="00281DBD"/>
    <w:rsid w:val="00281E8D"/>
    <w:rsid w:val="00282017"/>
    <w:rsid w:val="0028205C"/>
    <w:rsid w:val="0028218E"/>
    <w:rsid w:val="002823EB"/>
    <w:rsid w:val="00282475"/>
    <w:rsid w:val="0028248F"/>
    <w:rsid w:val="00282566"/>
    <w:rsid w:val="00282673"/>
    <w:rsid w:val="00282721"/>
    <w:rsid w:val="00282732"/>
    <w:rsid w:val="0028274A"/>
    <w:rsid w:val="00282774"/>
    <w:rsid w:val="00282792"/>
    <w:rsid w:val="00282827"/>
    <w:rsid w:val="002828CB"/>
    <w:rsid w:val="002829D4"/>
    <w:rsid w:val="00282A27"/>
    <w:rsid w:val="00282A4A"/>
    <w:rsid w:val="00282B28"/>
    <w:rsid w:val="00282D12"/>
    <w:rsid w:val="00282D87"/>
    <w:rsid w:val="00282EC6"/>
    <w:rsid w:val="00282F98"/>
    <w:rsid w:val="00282F9C"/>
    <w:rsid w:val="00282FC5"/>
    <w:rsid w:val="00283067"/>
    <w:rsid w:val="00283105"/>
    <w:rsid w:val="002831F6"/>
    <w:rsid w:val="00283223"/>
    <w:rsid w:val="00283558"/>
    <w:rsid w:val="002836E7"/>
    <w:rsid w:val="00283A67"/>
    <w:rsid w:val="00283B3D"/>
    <w:rsid w:val="00283C05"/>
    <w:rsid w:val="00283E87"/>
    <w:rsid w:val="00283EC8"/>
    <w:rsid w:val="002841A5"/>
    <w:rsid w:val="002841B5"/>
    <w:rsid w:val="00284558"/>
    <w:rsid w:val="00284631"/>
    <w:rsid w:val="0028477C"/>
    <w:rsid w:val="00284989"/>
    <w:rsid w:val="00284AAF"/>
    <w:rsid w:val="00284F99"/>
    <w:rsid w:val="002851A2"/>
    <w:rsid w:val="0028538C"/>
    <w:rsid w:val="0028539B"/>
    <w:rsid w:val="0028545F"/>
    <w:rsid w:val="0028565E"/>
    <w:rsid w:val="00285A2E"/>
    <w:rsid w:val="00285A5E"/>
    <w:rsid w:val="00285AFC"/>
    <w:rsid w:val="00285CF6"/>
    <w:rsid w:val="00285F55"/>
    <w:rsid w:val="00286126"/>
    <w:rsid w:val="00286385"/>
    <w:rsid w:val="00286580"/>
    <w:rsid w:val="002867D8"/>
    <w:rsid w:val="00286B00"/>
    <w:rsid w:val="00286B7A"/>
    <w:rsid w:val="00286C04"/>
    <w:rsid w:val="00286E02"/>
    <w:rsid w:val="00286EF1"/>
    <w:rsid w:val="002872BE"/>
    <w:rsid w:val="0028744E"/>
    <w:rsid w:val="002874E7"/>
    <w:rsid w:val="00287715"/>
    <w:rsid w:val="00287854"/>
    <w:rsid w:val="002878E8"/>
    <w:rsid w:val="00287A13"/>
    <w:rsid w:val="00287C09"/>
    <w:rsid w:val="00287C17"/>
    <w:rsid w:val="0029020E"/>
    <w:rsid w:val="002902B7"/>
    <w:rsid w:val="00290435"/>
    <w:rsid w:val="002905BE"/>
    <w:rsid w:val="0029060B"/>
    <w:rsid w:val="002907F2"/>
    <w:rsid w:val="0029082B"/>
    <w:rsid w:val="002908F0"/>
    <w:rsid w:val="002909C8"/>
    <w:rsid w:val="00290A88"/>
    <w:rsid w:val="00290A93"/>
    <w:rsid w:val="00290E97"/>
    <w:rsid w:val="00290FA4"/>
    <w:rsid w:val="002910FB"/>
    <w:rsid w:val="00291310"/>
    <w:rsid w:val="0029140F"/>
    <w:rsid w:val="0029159E"/>
    <w:rsid w:val="0029175C"/>
    <w:rsid w:val="00291952"/>
    <w:rsid w:val="002919EE"/>
    <w:rsid w:val="00291C27"/>
    <w:rsid w:val="00291CD9"/>
    <w:rsid w:val="00291F94"/>
    <w:rsid w:val="00292282"/>
    <w:rsid w:val="002922D1"/>
    <w:rsid w:val="002922D9"/>
    <w:rsid w:val="002923AD"/>
    <w:rsid w:val="00292429"/>
    <w:rsid w:val="00292445"/>
    <w:rsid w:val="0029245A"/>
    <w:rsid w:val="00292473"/>
    <w:rsid w:val="002924C6"/>
    <w:rsid w:val="002925D5"/>
    <w:rsid w:val="0029298C"/>
    <w:rsid w:val="00292ACE"/>
    <w:rsid w:val="00292B59"/>
    <w:rsid w:val="00292F52"/>
    <w:rsid w:val="00292F67"/>
    <w:rsid w:val="00293104"/>
    <w:rsid w:val="00293308"/>
    <w:rsid w:val="0029330E"/>
    <w:rsid w:val="002933BC"/>
    <w:rsid w:val="002933EE"/>
    <w:rsid w:val="002936A5"/>
    <w:rsid w:val="00293880"/>
    <w:rsid w:val="002938CA"/>
    <w:rsid w:val="00293CBE"/>
    <w:rsid w:val="00293E8B"/>
    <w:rsid w:val="00293E9A"/>
    <w:rsid w:val="00293F1D"/>
    <w:rsid w:val="00294038"/>
    <w:rsid w:val="0029420D"/>
    <w:rsid w:val="0029424A"/>
    <w:rsid w:val="00294444"/>
    <w:rsid w:val="002947D7"/>
    <w:rsid w:val="00294AE0"/>
    <w:rsid w:val="00294B2B"/>
    <w:rsid w:val="00294C63"/>
    <w:rsid w:val="00294C7D"/>
    <w:rsid w:val="00294F3C"/>
    <w:rsid w:val="00294FC7"/>
    <w:rsid w:val="002950E4"/>
    <w:rsid w:val="002951BE"/>
    <w:rsid w:val="002954DC"/>
    <w:rsid w:val="002954E3"/>
    <w:rsid w:val="00295526"/>
    <w:rsid w:val="0029554D"/>
    <w:rsid w:val="0029555D"/>
    <w:rsid w:val="0029564C"/>
    <w:rsid w:val="002956B5"/>
    <w:rsid w:val="0029582B"/>
    <w:rsid w:val="00295911"/>
    <w:rsid w:val="00295C74"/>
    <w:rsid w:val="00295F25"/>
    <w:rsid w:val="00295F3D"/>
    <w:rsid w:val="002960C4"/>
    <w:rsid w:val="002961FA"/>
    <w:rsid w:val="00296277"/>
    <w:rsid w:val="0029637A"/>
    <w:rsid w:val="0029661B"/>
    <w:rsid w:val="0029663D"/>
    <w:rsid w:val="00296690"/>
    <w:rsid w:val="002966EA"/>
    <w:rsid w:val="00296781"/>
    <w:rsid w:val="00296842"/>
    <w:rsid w:val="0029686E"/>
    <w:rsid w:val="00296940"/>
    <w:rsid w:val="00296B20"/>
    <w:rsid w:val="00296D79"/>
    <w:rsid w:val="00296E65"/>
    <w:rsid w:val="00296F8A"/>
    <w:rsid w:val="00297162"/>
    <w:rsid w:val="00297198"/>
    <w:rsid w:val="002971AD"/>
    <w:rsid w:val="002972AA"/>
    <w:rsid w:val="00297329"/>
    <w:rsid w:val="00297446"/>
    <w:rsid w:val="0029757D"/>
    <w:rsid w:val="002976C4"/>
    <w:rsid w:val="00297883"/>
    <w:rsid w:val="002978A9"/>
    <w:rsid w:val="00297A25"/>
    <w:rsid w:val="00297EC4"/>
    <w:rsid w:val="002A0141"/>
    <w:rsid w:val="002A03D6"/>
    <w:rsid w:val="002A04A7"/>
    <w:rsid w:val="002A05F6"/>
    <w:rsid w:val="002A08E7"/>
    <w:rsid w:val="002A0B09"/>
    <w:rsid w:val="002A0B27"/>
    <w:rsid w:val="002A0BB1"/>
    <w:rsid w:val="002A0BC1"/>
    <w:rsid w:val="002A0C4A"/>
    <w:rsid w:val="002A0EED"/>
    <w:rsid w:val="002A1018"/>
    <w:rsid w:val="002A101E"/>
    <w:rsid w:val="002A1030"/>
    <w:rsid w:val="002A132B"/>
    <w:rsid w:val="002A13DF"/>
    <w:rsid w:val="002A156D"/>
    <w:rsid w:val="002A1649"/>
    <w:rsid w:val="002A16E3"/>
    <w:rsid w:val="002A183D"/>
    <w:rsid w:val="002A183E"/>
    <w:rsid w:val="002A18FD"/>
    <w:rsid w:val="002A191E"/>
    <w:rsid w:val="002A1999"/>
    <w:rsid w:val="002A1B9A"/>
    <w:rsid w:val="002A1FBB"/>
    <w:rsid w:val="002A2077"/>
    <w:rsid w:val="002A213A"/>
    <w:rsid w:val="002A2172"/>
    <w:rsid w:val="002A25D1"/>
    <w:rsid w:val="002A27DC"/>
    <w:rsid w:val="002A2879"/>
    <w:rsid w:val="002A28B2"/>
    <w:rsid w:val="002A29A7"/>
    <w:rsid w:val="002A2AE9"/>
    <w:rsid w:val="002A2BD0"/>
    <w:rsid w:val="002A2C07"/>
    <w:rsid w:val="002A2E0F"/>
    <w:rsid w:val="002A2F21"/>
    <w:rsid w:val="002A3115"/>
    <w:rsid w:val="002A333A"/>
    <w:rsid w:val="002A3482"/>
    <w:rsid w:val="002A34E3"/>
    <w:rsid w:val="002A3604"/>
    <w:rsid w:val="002A367E"/>
    <w:rsid w:val="002A3800"/>
    <w:rsid w:val="002A3857"/>
    <w:rsid w:val="002A38C8"/>
    <w:rsid w:val="002A3989"/>
    <w:rsid w:val="002A39E4"/>
    <w:rsid w:val="002A3CCF"/>
    <w:rsid w:val="002A3D91"/>
    <w:rsid w:val="002A40BD"/>
    <w:rsid w:val="002A4121"/>
    <w:rsid w:val="002A424F"/>
    <w:rsid w:val="002A4281"/>
    <w:rsid w:val="002A49A5"/>
    <w:rsid w:val="002A50A0"/>
    <w:rsid w:val="002A52B6"/>
    <w:rsid w:val="002A554A"/>
    <w:rsid w:val="002A55A9"/>
    <w:rsid w:val="002A56BB"/>
    <w:rsid w:val="002A56F2"/>
    <w:rsid w:val="002A5850"/>
    <w:rsid w:val="002A5B2B"/>
    <w:rsid w:val="002A5B8D"/>
    <w:rsid w:val="002A5FB5"/>
    <w:rsid w:val="002A6191"/>
    <w:rsid w:val="002A625F"/>
    <w:rsid w:val="002A6477"/>
    <w:rsid w:val="002A64D3"/>
    <w:rsid w:val="002A64DC"/>
    <w:rsid w:val="002A65B6"/>
    <w:rsid w:val="002A66E1"/>
    <w:rsid w:val="002A6B9E"/>
    <w:rsid w:val="002A7132"/>
    <w:rsid w:val="002A7226"/>
    <w:rsid w:val="002A73C1"/>
    <w:rsid w:val="002A74E9"/>
    <w:rsid w:val="002A75EC"/>
    <w:rsid w:val="002A7910"/>
    <w:rsid w:val="002A7A6A"/>
    <w:rsid w:val="002A7BF8"/>
    <w:rsid w:val="002A7CBE"/>
    <w:rsid w:val="002A7FE0"/>
    <w:rsid w:val="002B0186"/>
    <w:rsid w:val="002B0425"/>
    <w:rsid w:val="002B04D2"/>
    <w:rsid w:val="002B0517"/>
    <w:rsid w:val="002B0539"/>
    <w:rsid w:val="002B0548"/>
    <w:rsid w:val="002B0580"/>
    <w:rsid w:val="002B0857"/>
    <w:rsid w:val="002B09F7"/>
    <w:rsid w:val="002B0AAE"/>
    <w:rsid w:val="002B0AE6"/>
    <w:rsid w:val="002B0B86"/>
    <w:rsid w:val="002B0E7C"/>
    <w:rsid w:val="002B0EDA"/>
    <w:rsid w:val="002B1088"/>
    <w:rsid w:val="002B10FE"/>
    <w:rsid w:val="002B11F7"/>
    <w:rsid w:val="002B1209"/>
    <w:rsid w:val="002B180C"/>
    <w:rsid w:val="002B1AE9"/>
    <w:rsid w:val="002B1CDC"/>
    <w:rsid w:val="002B1FC8"/>
    <w:rsid w:val="002B213E"/>
    <w:rsid w:val="002B232E"/>
    <w:rsid w:val="002B23D8"/>
    <w:rsid w:val="002B2589"/>
    <w:rsid w:val="002B26DC"/>
    <w:rsid w:val="002B28D9"/>
    <w:rsid w:val="002B2B0D"/>
    <w:rsid w:val="002B2C39"/>
    <w:rsid w:val="002B2EA3"/>
    <w:rsid w:val="002B2FEB"/>
    <w:rsid w:val="002B3126"/>
    <w:rsid w:val="002B31A5"/>
    <w:rsid w:val="002B3345"/>
    <w:rsid w:val="002B34CB"/>
    <w:rsid w:val="002B34EC"/>
    <w:rsid w:val="002B3546"/>
    <w:rsid w:val="002B3655"/>
    <w:rsid w:val="002B37BD"/>
    <w:rsid w:val="002B37FD"/>
    <w:rsid w:val="002B3975"/>
    <w:rsid w:val="002B3B80"/>
    <w:rsid w:val="002B4142"/>
    <w:rsid w:val="002B452E"/>
    <w:rsid w:val="002B45C0"/>
    <w:rsid w:val="002B45E5"/>
    <w:rsid w:val="002B4953"/>
    <w:rsid w:val="002B4F6E"/>
    <w:rsid w:val="002B5015"/>
    <w:rsid w:val="002B5077"/>
    <w:rsid w:val="002B525A"/>
    <w:rsid w:val="002B525B"/>
    <w:rsid w:val="002B5543"/>
    <w:rsid w:val="002B558D"/>
    <w:rsid w:val="002B5841"/>
    <w:rsid w:val="002B5853"/>
    <w:rsid w:val="002B58E6"/>
    <w:rsid w:val="002B592B"/>
    <w:rsid w:val="002B5974"/>
    <w:rsid w:val="002B59EF"/>
    <w:rsid w:val="002B5B96"/>
    <w:rsid w:val="002B5BFB"/>
    <w:rsid w:val="002B5D15"/>
    <w:rsid w:val="002B602B"/>
    <w:rsid w:val="002B60D1"/>
    <w:rsid w:val="002B6484"/>
    <w:rsid w:val="002B64BC"/>
    <w:rsid w:val="002B65C5"/>
    <w:rsid w:val="002B669D"/>
    <w:rsid w:val="002B6A9C"/>
    <w:rsid w:val="002B6AD7"/>
    <w:rsid w:val="002B6B44"/>
    <w:rsid w:val="002B6BA9"/>
    <w:rsid w:val="002B6D96"/>
    <w:rsid w:val="002B6DD8"/>
    <w:rsid w:val="002B6E99"/>
    <w:rsid w:val="002B7041"/>
    <w:rsid w:val="002B7395"/>
    <w:rsid w:val="002B73EE"/>
    <w:rsid w:val="002B75AC"/>
    <w:rsid w:val="002B75D7"/>
    <w:rsid w:val="002B75F0"/>
    <w:rsid w:val="002B75FB"/>
    <w:rsid w:val="002B76C3"/>
    <w:rsid w:val="002B78E0"/>
    <w:rsid w:val="002B79F9"/>
    <w:rsid w:val="002B7A67"/>
    <w:rsid w:val="002B7B12"/>
    <w:rsid w:val="002B7E6B"/>
    <w:rsid w:val="002B7F00"/>
    <w:rsid w:val="002B7F47"/>
    <w:rsid w:val="002B7F4D"/>
    <w:rsid w:val="002B7FA6"/>
    <w:rsid w:val="002C0398"/>
    <w:rsid w:val="002C0673"/>
    <w:rsid w:val="002C0717"/>
    <w:rsid w:val="002C0844"/>
    <w:rsid w:val="002C08BE"/>
    <w:rsid w:val="002C0902"/>
    <w:rsid w:val="002C09F1"/>
    <w:rsid w:val="002C0A1A"/>
    <w:rsid w:val="002C0C17"/>
    <w:rsid w:val="002C0C22"/>
    <w:rsid w:val="002C0C7A"/>
    <w:rsid w:val="002C0CC8"/>
    <w:rsid w:val="002C0EA1"/>
    <w:rsid w:val="002C1136"/>
    <w:rsid w:val="002C1317"/>
    <w:rsid w:val="002C1394"/>
    <w:rsid w:val="002C13B3"/>
    <w:rsid w:val="002C1462"/>
    <w:rsid w:val="002C15FD"/>
    <w:rsid w:val="002C165A"/>
    <w:rsid w:val="002C19A4"/>
    <w:rsid w:val="002C1D35"/>
    <w:rsid w:val="002C1DD5"/>
    <w:rsid w:val="002C1F42"/>
    <w:rsid w:val="002C1FA4"/>
    <w:rsid w:val="002C1FCB"/>
    <w:rsid w:val="002C203B"/>
    <w:rsid w:val="002C2075"/>
    <w:rsid w:val="002C20A3"/>
    <w:rsid w:val="002C22B8"/>
    <w:rsid w:val="002C2426"/>
    <w:rsid w:val="002C253E"/>
    <w:rsid w:val="002C25F3"/>
    <w:rsid w:val="002C2652"/>
    <w:rsid w:val="002C26AE"/>
    <w:rsid w:val="002C26CE"/>
    <w:rsid w:val="002C2723"/>
    <w:rsid w:val="002C287C"/>
    <w:rsid w:val="002C2A96"/>
    <w:rsid w:val="002C2A99"/>
    <w:rsid w:val="002C2D7E"/>
    <w:rsid w:val="002C2DA1"/>
    <w:rsid w:val="002C2EA5"/>
    <w:rsid w:val="002C2F71"/>
    <w:rsid w:val="002C35E0"/>
    <w:rsid w:val="002C36EF"/>
    <w:rsid w:val="002C372C"/>
    <w:rsid w:val="002C377B"/>
    <w:rsid w:val="002C387F"/>
    <w:rsid w:val="002C3FA4"/>
    <w:rsid w:val="002C4008"/>
    <w:rsid w:val="002C403C"/>
    <w:rsid w:val="002C405C"/>
    <w:rsid w:val="002C40FA"/>
    <w:rsid w:val="002C4143"/>
    <w:rsid w:val="002C4184"/>
    <w:rsid w:val="002C4357"/>
    <w:rsid w:val="002C4447"/>
    <w:rsid w:val="002C44E3"/>
    <w:rsid w:val="002C4646"/>
    <w:rsid w:val="002C482D"/>
    <w:rsid w:val="002C491D"/>
    <w:rsid w:val="002C49AF"/>
    <w:rsid w:val="002C4A32"/>
    <w:rsid w:val="002C4C11"/>
    <w:rsid w:val="002C4EAF"/>
    <w:rsid w:val="002C4EF5"/>
    <w:rsid w:val="002C4F2F"/>
    <w:rsid w:val="002C50DD"/>
    <w:rsid w:val="002C50F2"/>
    <w:rsid w:val="002C5162"/>
    <w:rsid w:val="002C5239"/>
    <w:rsid w:val="002C5410"/>
    <w:rsid w:val="002C54E2"/>
    <w:rsid w:val="002C563D"/>
    <w:rsid w:val="002C56B2"/>
    <w:rsid w:val="002C56D5"/>
    <w:rsid w:val="002C5745"/>
    <w:rsid w:val="002C5873"/>
    <w:rsid w:val="002C599D"/>
    <w:rsid w:val="002C5A92"/>
    <w:rsid w:val="002C5C40"/>
    <w:rsid w:val="002C5F2C"/>
    <w:rsid w:val="002C62A1"/>
    <w:rsid w:val="002C637D"/>
    <w:rsid w:val="002C638A"/>
    <w:rsid w:val="002C640A"/>
    <w:rsid w:val="002C6473"/>
    <w:rsid w:val="002C648F"/>
    <w:rsid w:val="002C6623"/>
    <w:rsid w:val="002C6643"/>
    <w:rsid w:val="002C6743"/>
    <w:rsid w:val="002C67BB"/>
    <w:rsid w:val="002C6820"/>
    <w:rsid w:val="002C6832"/>
    <w:rsid w:val="002C6847"/>
    <w:rsid w:val="002C684E"/>
    <w:rsid w:val="002C6970"/>
    <w:rsid w:val="002C6A52"/>
    <w:rsid w:val="002C6D21"/>
    <w:rsid w:val="002C6E02"/>
    <w:rsid w:val="002C70E0"/>
    <w:rsid w:val="002C739C"/>
    <w:rsid w:val="002C74FE"/>
    <w:rsid w:val="002C757A"/>
    <w:rsid w:val="002C76D3"/>
    <w:rsid w:val="002C779E"/>
    <w:rsid w:val="002C7C44"/>
    <w:rsid w:val="002D0153"/>
    <w:rsid w:val="002D02D6"/>
    <w:rsid w:val="002D02E5"/>
    <w:rsid w:val="002D035D"/>
    <w:rsid w:val="002D0375"/>
    <w:rsid w:val="002D03FD"/>
    <w:rsid w:val="002D0401"/>
    <w:rsid w:val="002D051E"/>
    <w:rsid w:val="002D05D1"/>
    <w:rsid w:val="002D060F"/>
    <w:rsid w:val="002D07C5"/>
    <w:rsid w:val="002D08FD"/>
    <w:rsid w:val="002D0B88"/>
    <w:rsid w:val="002D0D8E"/>
    <w:rsid w:val="002D0E7C"/>
    <w:rsid w:val="002D0F10"/>
    <w:rsid w:val="002D1175"/>
    <w:rsid w:val="002D1203"/>
    <w:rsid w:val="002D12F2"/>
    <w:rsid w:val="002D13A6"/>
    <w:rsid w:val="002D13BA"/>
    <w:rsid w:val="002D144B"/>
    <w:rsid w:val="002D1568"/>
    <w:rsid w:val="002D1804"/>
    <w:rsid w:val="002D1E97"/>
    <w:rsid w:val="002D1F6E"/>
    <w:rsid w:val="002D23DA"/>
    <w:rsid w:val="002D248D"/>
    <w:rsid w:val="002D249C"/>
    <w:rsid w:val="002D2699"/>
    <w:rsid w:val="002D283C"/>
    <w:rsid w:val="002D2B58"/>
    <w:rsid w:val="002D2C2F"/>
    <w:rsid w:val="002D2DF8"/>
    <w:rsid w:val="002D2E76"/>
    <w:rsid w:val="002D3159"/>
    <w:rsid w:val="002D3181"/>
    <w:rsid w:val="002D3357"/>
    <w:rsid w:val="002D34E2"/>
    <w:rsid w:val="002D3572"/>
    <w:rsid w:val="002D357A"/>
    <w:rsid w:val="002D3746"/>
    <w:rsid w:val="002D3809"/>
    <w:rsid w:val="002D39BE"/>
    <w:rsid w:val="002D3D34"/>
    <w:rsid w:val="002D3D4A"/>
    <w:rsid w:val="002D3DC3"/>
    <w:rsid w:val="002D3FA8"/>
    <w:rsid w:val="002D4028"/>
    <w:rsid w:val="002D402C"/>
    <w:rsid w:val="002D4048"/>
    <w:rsid w:val="002D408F"/>
    <w:rsid w:val="002D4462"/>
    <w:rsid w:val="002D4550"/>
    <w:rsid w:val="002D47D3"/>
    <w:rsid w:val="002D4840"/>
    <w:rsid w:val="002D4855"/>
    <w:rsid w:val="002D4901"/>
    <w:rsid w:val="002D4A2F"/>
    <w:rsid w:val="002D4CB6"/>
    <w:rsid w:val="002D4D8D"/>
    <w:rsid w:val="002D4F74"/>
    <w:rsid w:val="002D5127"/>
    <w:rsid w:val="002D56AE"/>
    <w:rsid w:val="002D582E"/>
    <w:rsid w:val="002D5892"/>
    <w:rsid w:val="002D5C0F"/>
    <w:rsid w:val="002D5E00"/>
    <w:rsid w:val="002D5FCC"/>
    <w:rsid w:val="002D60C1"/>
    <w:rsid w:val="002D61FF"/>
    <w:rsid w:val="002D629D"/>
    <w:rsid w:val="002D650F"/>
    <w:rsid w:val="002D658A"/>
    <w:rsid w:val="002D666C"/>
    <w:rsid w:val="002D6766"/>
    <w:rsid w:val="002D68F8"/>
    <w:rsid w:val="002D6A76"/>
    <w:rsid w:val="002D6B0F"/>
    <w:rsid w:val="002D6B33"/>
    <w:rsid w:val="002D6FC3"/>
    <w:rsid w:val="002D72B3"/>
    <w:rsid w:val="002D732B"/>
    <w:rsid w:val="002D748A"/>
    <w:rsid w:val="002D7604"/>
    <w:rsid w:val="002D7717"/>
    <w:rsid w:val="002D78D3"/>
    <w:rsid w:val="002D7B22"/>
    <w:rsid w:val="002D7CD3"/>
    <w:rsid w:val="002E0040"/>
    <w:rsid w:val="002E021D"/>
    <w:rsid w:val="002E0272"/>
    <w:rsid w:val="002E0409"/>
    <w:rsid w:val="002E059A"/>
    <w:rsid w:val="002E0657"/>
    <w:rsid w:val="002E066C"/>
    <w:rsid w:val="002E0895"/>
    <w:rsid w:val="002E0968"/>
    <w:rsid w:val="002E12A4"/>
    <w:rsid w:val="002E130D"/>
    <w:rsid w:val="002E16D1"/>
    <w:rsid w:val="002E173D"/>
    <w:rsid w:val="002E1792"/>
    <w:rsid w:val="002E18B4"/>
    <w:rsid w:val="002E19EC"/>
    <w:rsid w:val="002E1B35"/>
    <w:rsid w:val="002E1D65"/>
    <w:rsid w:val="002E2429"/>
    <w:rsid w:val="002E2780"/>
    <w:rsid w:val="002E2AC2"/>
    <w:rsid w:val="002E2BAE"/>
    <w:rsid w:val="002E2CC2"/>
    <w:rsid w:val="002E2D67"/>
    <w:rsid w:val="002E2D70"/>
    <w:rsid w:val="002E2E1B"/>
    <w:rsid w:val="002E2E73"/>
    <w:rsid w:val="002E2EB5"/>
    <w:rsid w:val="002E30C5"/>
    <w:rsid w:val="002E3541"/>
    <w:rsid w:val="002E37B7"/>
    <w:rsid w:val="002E37EE"/>
    <w:rsid w:val="002E3A37"/>
    <w:rsid w:val="002E3C48"/>
    <w:rsid w:val="002E3F5D"/>
    <w:rsid w:val="002E3FFA"/>
    <w:rsid w:val="002E4220"/>
    <w:rsid w:val="002E450F"/>
    <w:rsid w:val="002E4757"/>
    <w:rsid w:val="002E478F"/>
    <w:rsid w:val="002E4878"/>
    <w:rsid w:val="002E4A16"/>
    <w:rsid w:val="002E4A52"/>
    <w:rsid w:val="002E4AE2"/>
    <w:rsid w:val="002E4DC9"/>
    <w:rsid w:val="002E4F84"/>
    <w:rsid w:val="002E5254"/>
    <w:rsid w:val="002E528C"/>
    <w:rsid w:val="002E55A3"/>
    <w:rsid w:val="002E5701"/>
    <w:rsid w:val="002E575A"/>
    <w:rsid w:val="002E585A"/>
    <w:rsid w:val="002E5A50"/>
    <w:rsid w:val="002E5AC2"/>
    <w:rsid w:val="002E5D87"/>
    <w:rsid w:val="002E61D9"/>
    <w:rsid w:val="002E64B6"/>
    <w:rsid w:val="002E685F"/>
    <w:rsid w:val="002E690C"/>
    <w:rsid w:val="002E69BD"/>
    <w:rsid w:val="002E6A5F"/>
    <w:rsid w:val="002E6D3F"/>
    <w:rsid w:val="002E754C"/>
    <w:rsid w:val="002E75FB"/>
    <w:rsid w:val="002E784B"/>
    <w:rsid w:val="002E7965"/>
    <w:rsid w:val="002E79D2"/>
    <w:rsid w:val="002E7CE5"/>
    <w:rsid w:val="002F0077"/>
    <w:rsid w:val="002F0103"/>
    <w:rsid w:val="002F018C"/>
    <w:rsid w:val="002F0257"/>
    <w:rsid w:val="002F029E"/>
    <w:rsid w:val="002F03E2"/>
    <w:rsid w:val="002F04B9"/>
    <w:rsid w:val="002F0536"/>
    <w:rsid w:val="002F05C9"/>
    <w:rsid w:val="002F07B2"/>
    <w:rsid w:val="002F0823"/>
    <w:rsid w:val="002F09A6"/>
    <w:rsid w:val="002F09D7"/>
    <w:rsid w:val="002F0AB2"/>
    <w:rsid w:val="002F0C2F"/>
    <w:rsid w:val="002F0CB0"/>
    <w:rsid w:val="002F0F59"/>
    <w:rsid w:val="002F10FE"/>
    <w:rsid w:val="002F1163"/>
    <w:rsid w:val="002F1178"/>
    <w:rsid w:val="002F13FE"/>
    <w:rsid w:val="002F1674"/>
    <w:rsid w:val="002F1BE0"/>
    <w:rsid w:val="002F1C5E"/>
    <w:rsid w:val="002F1D80"/>
    <w:rsid w:val="002F1DE3"/>
    <w:rsid w:val="002F1EC6"/>
    <w:rsid w:val="002F1F2A"/>
    <w:rsid w:val="002F1FC8"/>
    <w:rsid w:val="002F2031"/>
    <w:rsid w:val="002F2130"/>
    <w:rsid w:val="002F24A9"/>
    <w:rsid w:val="002F24AC"/>
    <w:rsid w:val="002F25DD"/>
    <w:rsid w:val="002F26E8"/>
    <w:rsid w:val="002F275E"/>
    <w:rsid w:val="002F29C5"/>
    <w:rsid w:val="002F2B58"/>
    <w:rsid w:val="002F2C74"/>
    <w:rsid w:val="002F2E60"/>
    <w:rsid w:val="002F2F9A"/>
    <w:rsid w:val="002F3399"/>
    <w:rsid w:val="002F33E1"/>
    <w:rsid w:val="002F34C9"/>
    <w:rsid w:val="002F3563"/>
    <w:rsid w:val="002F35A0"/>
    <w:rsid w:val="002F3AAD"/>
    <w:rsid w:val="002F3C8F"/>
    <w:rsid w:val="002F3DB8"/>
    <w:rsid w:val="002F3F9B"/>
    <w:rsid w:val="002F3FB5"/>
    <w:rsid w:val="002F41D9"/>
    <w:rsid w:val="002F42A9"/>
    <w:rsid w:val="002F42B5"/>
    <w:rsid w:val="002F4558"/>
    <w:rsid w:val="002F4738"/>
    <w:rsid w:val="002F48E9"/>
    <w:rsid w:val="002F498F"/>
    <w:rsid w:val="002F4EF9"/>
    <w:rsid w:val="002F4FB4"/>
    <w:rsid w:val="002F4FEE"/>
    <w:rsid w:val="002F50FB"/>
    <w:rsid w:val="002F5174"/>
    <w:rsid w:val="002F5185"/>
    <w:rsid w:val="002F520B"/>
    <w:rsid w:val="002F544C"/>
    <w:rsid w:val="002F55E5"/>
    <w:rsid w:val="002F5951"/>
    <w:rsid w:val="002F5A2E"/>
    <w:rsid w:val="002F5B75"/>
    <w:rsid w:val="002F5C3E"/>
    <w:rsid w:val="002F615A"/>
    <w:rsid w:val="002F61F9"/>
    <w:rsid w:val="002F63F1"/>
    <w:rsid w:val="002F667A"/>
    <w:rsid w:val="002F6BB5"/>
    <w:rsid w:val="002F6C59"/>
    <w:rsid w:val="002F6D4B"/>
    <w:rsid w:val="002F6EE1"/>
    <w:rsid w:val="002F6F09"/>
    <w:rsid w:val="002F6F6D"/>
    <w:rsid w:val="002F726F"/>
    <w:rsid w:val="002F7312"/>
    <w:rsid w:val="002F73D8"/>
    <w:rsid w:val="002F7583"/>
    <w:rsid w:val="002F78F0"/>
    <w:rsid w:val="002F7BCE"/>
    <w:rsid w:val="002F7D73"/>
    <w:rsid w:val="002F7F9C"/>
    <w:rsid w:val="002F7FAD"/>
    <w:rsid w:val="003000B2"/>
    <w:rsid w:val="0030013A"/>
    <w:rsid w:val="003002A9"/>
    <w:rsid w:val="003006FF"/>
    <w:rsid w:val="00300878"/>
    <w:rsid w:val="003008BE"/>
    <w:rsid w:val="003009A8"/>
    <w:rsid w:val="00300BCE"/>
    <w:rsid w:val="00300BF2"/>
    <w:rsid w:val="00300C1E"/>
    <w:rsid w:val="00300EC3"/>
    <w:rsid w:val="0030104D"/>
    <w:rsid w:val="00301062"/>
    <w:rsid w:val="00301260"/>
    <w:rsid w:val="00301266"/>
    <w:rsid w:val="0030127D"/>
    <w:rsid w:val="0030131B"/>
    <w:rsid w:val="003013B5"/>
    <w:rsid w:val="003018AA"/>
    <w:rsid w:val="0030194C"/>
    <w:rsid w:val="00301A0F"/>
    <w:rsid w:val="00301A9D"/>
    <w:rsid w:val="00301B28"/>
    <w:rsid w:val="00301E9A"/>
    <w:rsid w:val="003023A6"/>
    <w:rsid w:val="0030245B"/>
    <w:rsid w:val="0030277D"/>
    <w:rsid w:val="003028A5"/>
    <w:rsid w:val="00302A41"/>
    <w:rsid w:val="00302CD8"/>
    <w:rsid w:val="00302CDC"/>
    <w:rsid w:val="00302D03"/>
    <w:rsid w:val="00302E09"/>
    <w:rsid w:val="00302EDD"/>
    <w:rsid w:val="00302F8E"/>
    <w:rsid w:val="0030310D"/>
    <w:rsid w:val="0030325F"/>
    <w:rsid w:val="00303266"/>
    <w:rsid w:val="00303332"/>
    <w:rsid w:val="00303506"/>
    <w:rsid w:val="0030381E"/>
    <w:rsid w:val="00303839"/>
    <w:rsid w:val="0030386E"/>
    <w:rsid w:val="003039D2"/>
    <w:rsid w:val="00303EF4"/>
    <w:rsid w:val="0030400C"/>
    <w:rsid w:val="00304436"/>
    <w:rsid w:val="0030448D"/>
    <w:rsid w:val="0030451F"/>
    <w:rsid w:val="0030454A"/>
    <w:rsid w:val="003045FD"/>
    <w:rsid w:val="00304610"/>
    <w:rsid w:val="003047CA"/>
    <w:rsid w:val="00304819"/>
    <w:rsid w:val="00304862"/>
    <w:rsid w:val="00304969"/>
    <w:rsid w:val="00304F54"/>
    <w:rsid w:val="00304FCE"/>
    <w:rsid w:val="00304FFD"/>
    <w:rsid w:val="003050A5"/>
    <w:rsid w:val="00305265"/>
    <w:rsid w:val="003052D8"/>
    <w:rsid w:val="00305318"/>
    <w:rsid w:val="00305345"/>
    <w:rsid w:val="00305411"/>
    <w:rsid w:val="0030552B"/>
    <w:rsid w:val="00305652"/>
    <w:rsid w:val="00305692"/>
    <w:rsid w:val="003058B5"/>
    <w:rsid w:val="00305C4C"/>
    <w:rsid w:val="00305EA1"/>
    <w:rsid w:val="00305FB6"/>
    <w:rsid w:val="00306381"/>
    <w:rsid w:val="0030642B"/>
    <w:rsid w:val="003064CF"/>
    <w:rsid w:val="003064D2"/>
    <w:rsid w:val="003064DF"/>
    <w:rsid w:val="003065BB"/>
    <w:rsid w:val="00306663"/>
    <w:rsid w:val="0030683F"/>
    <w:rsid w:val="0030697B"/>
    <w:rsid w:val="00306A9C"/>
    <w:rsid w:val="00306B28"/>
    <w:rsid w:val="00306D25"/>
    <w:rsid w:val="00306EB3"/>
    <w:rsid w:val="003072D7"/>
    <w:rsid w:val="0030730C"/>
    <w:rsid w:val="0030747E"/>
    <w:rsid w:val="00307A38"/>
    <w:rsid w:val="00307AEB"/>
    <w:rsid w:val="00307DC4"/>
    <w:rsid w:val="00307FAC"/>
    <w:rsid w:val="00310401"/>
    <w:rsid w:val="0031053D"/>
    <w:rsid w:val="00310679"/>
    <w:rsid w:val="00310714"/>
    <w:rsid w:val="0031075E"/>
    <w:rsid w:val="003109AC"/>
    <w:rsid w:val="00310C93"/>
    <w:rsid w:val="00310CE1"/>
    <w:rsid w:val="00310E82"/>
    <w:rsid w:val="00310F35"/>
    <w:rsid w:val="00311185"/>
    <w:rsid w:val="0031158A"/>
    <w:rsid w:val="0031177F"/>
    <w:rsid w:val="00311FA6"/>
    <w:rsid w:val="0031229F"/>
    <w:rsid w:val="00312376"/>
    <w:rsid w:val="0031253D"/>
    <w:rsid w:val="00312557"/>
    <w:rsid w:val="0031267B"/>
    <w:rsid w:val="00312846"/>
    <w:rsid w:val="00312A46"/>
    <w:rsid w:val="00312D02"/>
    <w:rsid w:val="00312D2A"/>
    <w:rsid w:val="00312D99"/>
    <w:rsid w:val="00312E64"/>
    <w:rsid w:val="00313198"/>
    <w:rsid w:val="00313268"/>
    <w:rsid w:val="00313299"/>
    <w:rsid w:val="003132A7"/>
    <w:rsid w:val="003133CA"/>
    <w:rsid w:val="00313442"/>
    <w:rsid w:val="003134A7"/>
    <w:rsid w:val="00313954"/>
    <w:rsid w:val="00313B59"/>
    <w:rsid w:val="00313BAC"/>
    <w:rsid w:val="00313C27"/>
    <w:rsid w:val="00313C92"/>
    <w:rsid w:val="00313CB4"/>
    <w:rsid w:val="00313D2E"/>
    <w:rsid w:val="00314021"/>
    <w:rsid w:val="00314060"/>
    <w:rsid w:val="00314098"/>
    <w:rsid w:val="0031451A"/>
    <w:rsid w:val="00314952"/>
    <w:rsid w:val="003149A4"/>
    <w:rsid w:val="003149BC"/>
    <w:rsid w:val="00314BCC"/>
    <w:rsid w:val="00314CC0"/>
    <w:rsid w:val="0031500F"/>
    <w:rsid w:val="0031503E"/>
    <w:rsid w:val="003150C8"/>
    <w:rsid w:val="003152C3"/>
    <w:rsid w:val="003156EF"/>
    <w:rsid w:val="0031575C"/>
    <w:rsid w:val="00315A0D"/>
    <w:rsid w:val="00315B0C"/>
    <w:rsid w:val="00315B81"/>
    <w:rsid w:val="00315C84"/>
    <w:rsid w:val="00316073"/>
    <w:rsid w:val="00316149"/>
    <w:rsid w:val="003161D8"/>
    <w:rsid w:val="003162A8"/>
    <w:rsid w:val="00316394"/>
    <w:rsid w:val="0031642E"/>
    <w:rsid w:val="003169DF"/>
    <w:rsid w:val="00316ACD"/>
    <w:rsid w:val="00316B8D"/>
    <w:rsid w:val="00316D0E"/>
    <w:rsid w:val="00316D18"/>
    <w:rsid w:val="00316E16"/>
    <w:rsid w:val="00316ED8"/>
    <w:rsid w:val="003173DA"/>
    <w:rsid w:val="0031743E"/>
    <w:rsid w:val="00317523"/>
    <w:rsid w:val="00317567"/>
    <w:rsid w:val="00317652"/>
    <w:rsid w:val="00317669"/>
    <w:rsid w:val="00317992"/>
    <w:rsid w:val="0031799E"/>
    <w:rsid w:val="00317A47"/>
    <w:rsid w:val="00317A6C"/>
    <w:rsid w:val="00317ACD"/>
    <w:rsid w:val="00317BE1"/>
    <w:rsid w:val="00317CEE"/>
    <w:rsid w:val="00317D1D"/>
    <w:rsid w:val="00317D37"/>
    <w:rsid w:val="00317E77"/>
    <w:rsid w:val="00317F2C"/>
    <w:rsid w:val="00320035"/>
    <w:rsid w:val="00320073"/>
    <w:rsid w:val="00320119"/>
    <w:rsid w:val="003201DD"/>
    <w:rsid w:val="00320444"/>
    <w:rsid w:val="003205BD"/>
    <w:rsid w:val="003206AB"/>
    <w:rsid w:val="003207C7"/>
    <w:rsid w:val="00320AE0"/>
    <w:rsid w:val="00320CAB"/>
    <w:rsid w:val="00320E83"/>
    <w:rsid w:val="00320E97"/>
    <w:rsid w:val="00320EA6"/>
    <w:rsid w:val="003210A3"/>
    <w:rsid w:val="003211F1"/>
    <w:rsid w:val="0032177E"/>
    <w:rsid w:val="0032179E"/>
    <w:rsid w:val="003217FA"/>
    <w:rsid w:val="003218AE"/>
    <w:rsid w:val="00321D66"/>
    <w:rsid w:val="003220CE"/>
    <w:rsid w:val="003224EB"/>
    <w:rsid w:val="00322521"/>
    <w:rsid w:val="003226E9"/>
    <w:rsid w:val="003227C0"/>
    <w:rsid w:val="00322877"/>
    <w:rsid w:val="00322DB3"/>
    <w:rsid w:val="00322E26"/>
    <w:rsid w:val="003230AC"/>
    <w:rsid w:val="0032310D"/>
    <w:rsid w:val="0032318A"/>
    <w:rsid w:val="0032353F"/>
    <w:rsid w:val="0032357D"/>
    <w:rsid w:val="003236DB"/>
    <w:rsid w:val="0032374A"/>
    <w:rsid w:val="00323773"/>
    <w:rsid w:val="00323820"/>
    <w:rsid w:val="00323C8A"/>
    <w:rsid w:val="00323CA9"/>
    <w:rsid w:val="00323D7F"/>
    <w:rsid w:val="00323DA0"/>
    <w:rsid w:val="00323DFA"/>
    <w:rsid w:val="00323EC4"/>
    <w:rsid w:val="00323FF8"/>
    <w:rsid w:val="00324019"/>
    <w:rsid w:val="0032401C"/>
    <w:rsid w:val="00324025"/>
    <w:rsid w:val="003241AF"/>
    <w:rsid w:val="003246BF"/>
    <w:rsid w:val="003246F8"/>
    <w:rsid w:val="0032485E"/>
    <w:rsid w:val="003249C2"/>
    <w:rsid w:val="00324B52"/>
    <w:rsid w:val="00324B5A"/>
    <w:rsid w:val="00324B5E"/>
    <w:rsid w:val="00324F93"/>
    <w:rsid w:val="00324FBB"/>
    <w:rsid w:val="00325047"/>
    <w:rsid w:val="003251BC"/>
    <w:rsid w:val="00325303"/>
    <w:rsid w:val="00325446"/>
    <w:rsid w:val="003255A0"/>
    <w:rsid w:val="00325697"/>
    <w:rsid w:val="003256AA"/>
    <w:rsid w:val="00325717"/>
    <w:rsid w:val="003257FA"/>
    <w:rsid w:val="00325940"/>
    <w:rsid w:val="00325948"/>
    <w:rsid w:val="00325B60"/>
    <w:rsid w:val="00325B94"/>
    <w:rsid w:val="00325CDC"/>
    <w:rsid w:val="00325E2F"/>
    <w:rsid w:val="00325F3A"/>
    <w:rsid w:val="003264F6"/>
    <w:rsid w:val="003265DD"/>
    <w:rsid w:val="00326687"/>
    <w:rsid w:val="00326940"/>
    <w:rsid w:val="00326946"/>
    <w:rsid w:val="003269FF"/>
    <w:rsid w:val="00326D0A"/>
    <w:rsid w:val="00326DB3"/>
    <w:rsid w:val="00326F2A"/>
    <w:rsid w:val="00326F6C"/>
    <w:rsid w:val="00326FD0"/>
    <w:rsid w:val="0032709A"/>
    <w:rsid w:val="0032732F"/>
    <w:rsid w:val="00327437"/>
    <w:rsid w:val="00327649"/>
    <w:rsid w:val="00327867"/>
    <w:rsid w:val="003278FD"/>
    <w:rsid w:val="0032790C"/>
    <w:rsid w:val="00327971"/>
    <w:rsid w:val="00327B53"/>
    <w:rsid w:val="00327CD0"/>
    <w:rsid w:val="00330061"/>
    <w:rsid w:val="00330238"/>
    <w:rsid w:val="003303D7"/>
    <w:rsid w:val="003303FF"/>
    <w:rsid w:val="00330432"/>
    <w:rsid w:val="003304E0"/>
    <w:rsid w:val="003306D2"/>
    <w:rsid w:val="0033071E"/>
    <w:rsid w:val="0033080E"/>
    <w:rsid w:val="00330AE5"/>
    <w:rsid w:val="00330B12"/>
    <w:rsid w:val="00330C9D"/>
    <w:rsid w:val="00330F2E"/>
    <w:rsid w:val="00330FE2"/>
    <w:rsid w:val="00331102"/>
    <w:rsid w:val="0033120A"/>
    <w:rsid w:val="00331430"/>
    <w:rsid w:val="003314D4"/>
    <w:rsid w:val="003315D8"/>
    <w:rsid w:val="00331671"/>
    <w:rsid w:val="003319ED"/>
    <w:rsid w:val="00331A2D"/>
    <w:rsid w:val="00331A52"/>
    <w:rsid w:val="00331A61"/>
    <w:rsid w:val="00331AF7"/>
    <w:rsid w:val="00331B0B"/>
    <w:rsid w:val="00331BA0"/>
    <w:rsid w:val="00331CFA"/>
    <w:rsid w:val="00332153"/>
    <w:rsid w:val="003323CF"/>
    <w:rsid w:val="0033271A"/>
    <w:rsid w:val="00332762"/>
    <w:rsid w:val="00332846"/>
    <w:rsid w:val="003329AE"/>
    <w:rsid w:val="00332D7C"/>
    <w:rsid w:val="00332EB1"/>
    <w:rsid w:val="00332EE8"/>
    <w:rsid w:val="003330C3"/>
    <w:rsid w:val="003330F8"/>
    <w:rsid w:val="00333276"/>
    <w:rsid w:val="003334E5"/>
    <w:rsid w:val="00333596"/>
    <w:rsid w:val="0033389E"/>
    <w:rsid w:val="00333AC7"/>
    <w:rsid w:val="00333BDA"/>
    <w:rsid w:val="00333EF6"/>
    <w:rsid w:val="00334040"/>
    <w:rsid w:val="0033428C"/>
    <w:rsid w:val="00334294"/>
    <w:rsid w:val="00334380"/>
    <w:rsid w:val="00334408"/>
    <w:rsid w:val="00334512"/>
    <w:rsid w:val="00334547"/>
    <w:rsid w:val="00334714"/>
    <w:rsid w:val="00334885"/>
    <w:rsid w:val="003349FE"/>
    <w:rsid w:val="00334AFF"/>
    <w:rsid w:val="00334B14"/>
    <w:rsid w:val="00334CE7"/>
    <w:rsid w:val="00334DA0"/>
    <w:rsid w:val="00334DBA"/>
    <w:rsid w:val="00334DE9"/>
    <w:rsid w:val="0033500C"/>
    <w:rsid w:val="00335035"/>
    <w:rsid w:val="00335118"/>
    <w:rsid w:val="0033524A"/>
    <w:rsid w:val="0033526D"/>
    <w:rsid w:val="003353A8"/>
    <w:rsid w:val="003354CF"/>
    <w:rsid w:val="0033560B"/>
    <w:rsid w:val="0033572B"/>
    <w:rsid w:val="00335817"/>
    <w:rsid w:val="003359C4"/>
    <w:rsid w:val="00335FA9"/>
    <w:rsid w:val="00336153"/>
    <w:rsid w:val="003363DD"/>
    <w:rsid w:val="003363F7"/>
    <w:rsid w:val="003364B6"/>
    <w:rsid w:val="0033664A"/>
    <w:rsid w:val="00336671"/>
    <w:rsid w:val="0033675B"/>
    <w:rsid w:val="0033677E"/>
    <w:rsid w:val="003367A0"/>
    <w:rsid w:val="003368D3"/>
    <w:rsid w:val="003368E0"/>
    <w:rsid w:val="00336AD8"/>
    <w:rsid w:val="00336AEB"/>
    <w:rsid w:val="00336B7D"/>
    <w:rsid w:val="00336C94"/>
    <w:rsid w:val="00336CB4"/>
    <w:rsid w:val="00336DE8"/>
    <w:rsid w:val="00336E79"/>
    <w:rsid w:val="0033703D"/>
    <w:rsid w:val="00337309"/>
    <w:rsid w:val="00337640"/>
    <w:rsid w:val="00337832"/>
    <w:rsid w:val="003378BF"/>
    <w:rsid w:val="0033790A"/>
    <w:rsid w:val="00337A25"/>
    <w:rsid w:val="00337B5F"/>
    <w:rsid w:val="00337C73"/>
    <w:rsid w:val="00337F02"/>
    <w:rsid w:val="00337FA5"/>
    <w:rsid w:val="0034004A"/>
    <w:rsid w:val="003404F3"/>
    <w:rsid w:val="00340585"/>
    <w:rsid w:val="00340716"/>
    <w:rsid w:val="0034087A"/>
    <w:rsid w:val="0034088D"/>
    <w:rsid w:val="00340A16"/>
    <w:rsid w:val="00340B24"/>
    <w:rsid w:val="00340FBF"/>
    <w:rsid w:val="00341153"/>
    <w:rsid w:val="0034125A"/>
    <w:rsid w:val="00341273"/>
    <w:rsid w:val="003412E7"/>
    <w:rsid w:val="00341566"/>
    <w:rsid w:val="00341632"/>
    <w:rsid w:val="003416FF"/>
    <w:rsid w:val="00341730"/>
    <w:rsid w:val="003418A7"/>
    <w:rsid w:val="003419D0"/>
    <w:rsid w:val="00341A3C"/>
    <w:rsid w:val="00341AF7"/>
    <w:rsid w:val="00342473"/>
    <w:rsid w:val="003424E5"/>
    <w:rsid w:val="003425C6"/>
    <w:rsid w:val="003427DA"/>
    <w:rsid w:val="003429ED"/>
    <w:rsid w:val="003429F4"/>
    <w:rsid w:val="00342BC7"/>
    <w:rsid w:val="00342CF7"/>
    <w:rsid w:val="00342DB8"/>
    <w:rsid w:val="00342F9B"/>
    <w:rsid w:val="00343010"/>
    <w:rsid w:val="003430E4"/>
    <w:rsid w:val="00343185"/>
    <w:rsid w:val="0034321F"/>
    <w:rsid w:val="003432B7"/>
    <w:rsid w:val="003435E7"/>
    <w:rsid w:val="003436D9"/>
    <w:rsid w:val="0034374F"/>
    <w:rsid w:val="003439A8"/>
    <w:rsid w:val="00343C92"/>
    <w:rsid w:val="00343D83"/>
    <w:rsid w:val="00343DC3"/>
    <w:rsid w:val="00343EC3"/>
    <w:rsid w:val="00343EC6"/>
    <w:rsid w:val="00343F26"/>
    <w:rsid w:val="0034410F"/>
    <w:rsid w:val="00344518"/>
    <w:rsid w:val="00344789"/>
    <w:rsid w:val="00344A25"/>
    <w:rsid w:val="00344B38"/>
    <w:rsid w:val="00344C48"/>
    <w:rsid w:val="00344C87"/>
    <w:rsid w:val="00344CE1"/>
    <w:rsid w:val="00344E20"/>
    <w:rsid w:val="00344E80"/>
    <w:rsid w:val="0034513E"/>
    <w:rsid w:val="00345814"/>
    <w:rsid w:val="00345996"/>
    <w:rsid w:val="00345CEF"/>
    <w:rsid w:val="00345D8F"/>
    <w:rsid w:val="00346206"/>
    <w:rsid w:val="003466B0"/>
    <w:rsid w:val="003466CC"/>
    <w:rsid w:val="0034683C"/>
    <w:rsid w:val="00346A6F"/>
    <w:rsid w:val="00346AFB"/>
    <w:rsid w:val="00346B02"/>
    <w:rsid w:val="00346B1A"/>
    <w:rsid w:val="00346C7F"/>
    <w:rsid w:val="00346CD1"/>
    <w:rsid w:val="00346CEA"/>
    <w:rsid w:val="00346E39"/>
    <w:rsid w:val="00347014"/>
    <w:rsid w:val="003471A5"/>
    <w:rsid w:val="00347206"/>
    <w:rsid w:val="0034740A"/>
    <w:rsid w:val="0034784C"/>
    <w:rsid w:val="00347A26"/>
    <w:rsid w:val="00347D17"/>
    <w:rsid w:val="00347E3E"/>
    <w:rsid w:val="00347E5B"/>
    <w:rsid w:val="00347F4D"/>
    <w:rsid w:val="0034EDCD"/>
    <w:rsid w:val="0035019E"/>
    <w:rsid w:val="003501F9"/>
    <w:rsid w:val="00350316"/>
    <w:rsid w:val="00350659"/>
    <w:rsid w:val="00350896"/>
    <w:rsid w:val="00350B52"/>
    <w:rsid w:val="00350C14"/>
    <w:rsid w:val="00350E36"/>
    <w:rsid w:val="00351039"/>
    <w:rsid w:val="00351041"/>
    <w:rsid w:val="00351312"/>
    <w:rsid w:val="003514C1"/>
    <w:rsid w:val="0035156D"/>
    <w:rsid w:val="0035190C"/>
    <w:rsid w:val="0035192C"/>
    <w:rsid w:val="003519A1"/>
    <w:rsid w:val="003519D4"/>
    <w:rsid w:val="00351AF4"/>
    <w:rsid w:val="00351B82"/>
    <w:rsid w:val="00351F90"/>
    <w:rsid w:val="00352084"/>
    <w:rsid w:val="003522C8"/>
    <w:rsid w:val="00352314"/>
    <w:rsid w:val="0035232E"/>
    <w:rsid w:val="00352567"/>
    <w:rsid w:val="00352860"/>
    <w:rsid w:val="00352A3C"/>
    <w:rsid w:val="00352A6D"/>
    <w:rsid w:val="00352BB6"/>
    <w:rsid w:val="00352BF2"/>
    <w:rsid w:val="00352EF0"/>
    <w:rsid w:val="003531DB"/>
    <w:rsid w:val="00353253"/>
    <w:rsid w:val="003532B7"/>
    <w:rsid w:val="003534EE"/>
    <w:rsid w:val="003537AB"/>
    <w:rsid w:val="0035386C"/>
    <w:rsid w:val="00353AEA"/>
    <w:rsid w:val="00353BD9"/>
    <w:rsid w:val="00353C57"/>
    <w:rsid w:val="00353D27"/>
    <w:rsid w:val="00353F03"/>
    <w:rsid w:val="00353F3F"/>
    <w:rsid w:val="00353F7D"/>
    <w:rsid w:val="003540A3"/>
    <w:rsid w:val="003541C1"/>
    <w:rsid w:val="00354433"/>
    <w:rsid w:val="003545DA"/>
    <w:rsid w:val="0035498F"/>
    <w:rsid w:val="00354A0C"/>
    <w:rsid w:val="00354BC6"/>
    <w:rsid w:val="00354D00"/>
    <w:rsid w:val="00354D2F"/>
    <w:rsid w:val="00354E79"/>
    <w:rsid w:val="00354FAC"/>
    <w:rsid w:val="0035503D"/>
    <w:rsid w:val="0035509D"/>
    <w:rsid w:val="00355164"/>
    <w:rsid w:val="00355210"/>
    <w:rsid w:val="00355394"/>
    <w:rsid w:val="003555B7"/>
    <w:rsid w:val="00355833"/>
    <w:rsid w:val="00355962"/>
    <w:rsid w:val="00355A37"/>
    <w:rsid w:val="00355C2F"/>
    <w:rsid w:val="00355CA6"/>
    <w:rsid w:val="00355D8B"/>
    <w:rsid w:val="00355F87"/>
    <w:rsid w:val="00355F98"/>
    <w:rsid w:val="00355FF8"/>
    <w:rsid w:val="00356085"/>
    <w:rsid w:val="0035608C"/>
    <w:rsid w:val="00356137"/>
    <w:rsid w:val="003564FE"/>
    <w:rsid w:val="003567CE"/>
    <w:rsid w:val="00356871"/>
    <w:rsid w:val="003568B6"/>
    <w:rsid w:val="003569AD"/>
    <w:rsid w:val="00356B85"/>
    <w:rsid w:val="00356D1D"/>
    <w:rsid w:val="00356D26"/>
    <w:rsid w:val="00356D54"/>
    <w:rsid w:val="00356D7A"/>
    <w:rsid w:val="00356E87"/>
    <w:rsid w:val="00356F86"/>
    <w:rsid w:val="00356FCF"/>
    <w:rsid w:val="003574F4"/>
    <w:rsid w:val="00357590"/>
    <w:rsid w:val="003575F6"/>
    <w:rsid w:val="003576C9"/>
    <w:rsid w:val="00357A4E"/>
    <w:rsid w:val="00357CA4"/>
    <w:rsid w:val="00357FB9"/>
    <w:rsid w:val="003601E9"/>
    <w:rsid w:val="003602BE"/>
    <w:rsid w:val="00360314"/>
    <w:rsid w:val="0036040A"/>
    <w:rsid w:val="0036041E"/>
    <w:rsid w:val="0036045C"/>
    <w:rsid w:val="003604AF"/>
    <w:rsid w:val="003604E7"/>
    <w:rsid w:val="00360507"/>
    <w:rsid w:val="00360866"/>
    <w:rsid w:val="00360B75"/>
    <w:rsid w:val="00360CE7"/>
    <w:rsid w:val="003610BC"/>
    <w:rsid w:val="00361300"/>
    <w:rsid w:val="00361837"/>
    <w:rsid w:val="0036199C"/>
    <w:rsid w:val="00361B6B"/>
    <w:rsid w:val="00361FD5"/>
    <w:rsid w:val="0036213F"/>
    <w:rsid w:val="0036250D"/>
    <w:rsid w:val="00362683"/>
    <w:rsid w:val="003626A8"/>
    <w:rsid w:val="00362722"/>
    <w:rsid w:val="00362737"/>
    <w:rsid w:val="003627FE"/>
    <w:rsid w:val="003629D2"/>
    <w:rsid w:val="00362B64"/>
    <w:rsid w:val="00362D24"/>
    <w:rsid w:val="0036300A"/>
    <w:rsid w:val="00363039"/>
    <w:rsid w:val="0036308E"/>
    <w:rsid w:val="003630E5"/>
    <w:rsid w:val="0036319E"/>
    <w:rsid w:val="003632AC"/>
    <w:rsid w:val="00363356"/>
    <w:rsid w:val="00363425"/>
    <w:rsid w:val="0036343A"/>
    <w:rsid w:val="0036343B"/>
    <w:rsid w:val="00363701"/>
    <w:rsid w:val="00363760"/>
    <w:rsid w:val="0036398A"/>
    <w:rsid w:val="003641F1"/>
    <w:rsid w:val="00364253"/>
    <w:rsid w:val="00364A8C"/>
    <w:rsid w:val="00364E80"/>
    <w:rsid w:val="00364F78"/>
    <w:rsid w:val="00364FF2"/>
    <w:rsid w:val="00365105"/>
    <w:rsid w:val="003651A5"/>
    <w:rsid w:val="003651B6"/>
    <w:rsid w:val="00365224"/>
    <w:rsid w:val="003654EC"/>
    <w:rsid w:val="00365593"/>
    <w:rsid w:val="003655F1"/>
    <w:rsid w:val="0036560B"/>
    <w:rsid w:val="00365AED"/>
    <w:rsid w:val="00365C8A"/>
    <w:rsid w:val="00365CBB"/>
    <w:rsid w:val="00365E2E"/>
    <w:rsid w:val="00365F95"/>
    <w:rsid w:val="00365FA1"/>
    <w:rsid w:val="00366054"/>
    <w:rsid w:val="0036616D"/>
    <w:rsid w:val="003661DF"/>
    <w:rsid w:val="0036626C"/>
    <w:rsid w:val="0036679F"/>
    <w:rsid w:val="00366835"/>
    <w:rsid w:val="003668FA"/>
    <w:rsid w:val="00366BD4"/>
    <w:rsid w:val="00366E11"/>
    <w:rsid w:val="00366E37"/>
    <w:rsid w:val="00366FE0"/>
    <w:rsid w:val="0036702F"/>
    <w:rsid w:val="003670BF"/>
    <w:rsid w:val="003671E6"/>
    <w:rsid w:val="00367266"/>
    <w:rsid w:val="00367813"/>
    <w:rsid w:val="003678AE"/>
    <w:rsid w:val="003679F0"/>
    <w:rsid w:val="003679F9"/>
    <w:rsid w:val="00367B83"/>
    <w:rsid w:val="00367B87"/>
    <w:rsid w:val="00367C55"/>
    <w:rsid w:val="00367D1D"/>
    <w:rsid w:val="00367E83"/>
    <w:rsid w:val="00367F6F"/>
    <w:rsid w:val="00367FA4"/>
    <w:rsid w:val="0037002E"/>
    <w:rsid w:val="003700B1"/>
    <w:rsid w:val="0037060B"/>
    <w:rsid w:val="00370E28"/>
    <w:rsid w:val="00370F39"/>
    <w:rsid w:val="00370F75"/>
    <w:rsid w:val="00370FBF"/>
    <w:rsid w:val="00371094"/>
    <w:rsid w:val="003710CE"/>
    <w:rsid w:val="003712D0"/>
    <w:rsid w:val="003712D7"/>
    <w:rsid w:val="00371507"/>
    <w:rsid w:val="003716AA"/>
    <w:rsid w:val="00371AD7"/>
    <w:rsid w:val="00371D43"/>
    <w:rsid w:val="00371EAA"/>
    <w:rsid w:val="00371F22"/>
    <w:rsid w:val="00371F3E"/>
    <w:rsid w:val="00372064"/>
    <w:rsid w:val="003721EA"/>
    <w:rsid w:val="00372285"/>
    <w:rsid w:val="00372349"/>
    <w:rsid w:val="00372359"/>
    <w:rsid w:val="0037241D"/>
    <w:rsid w:val="0037253A"/>
    <w:rsid w:val="0037258D"/>
    <w:rsid w:val="003725A3"/>
    <w:rsid w:val="00372710"/>
    <w:rsid w:val="00372B95"/>
    <w:rsid w:val="00372CA6"/>
    <w:rsid w:val="00372D03"/>
    <w:rsid w:val="00372D3E"/>
    <w:rsid w:val="00372DE4"/>
    <w:rsid w:val="00373010"/>
    <w:rsid w:val="00373027"/>
    <w:rsid w:val="003730C6"/>
    <w:rsid w:val="00373232"/>
    <w:rsid w:val="003734A2"/>
    <w:rsid w:val="00373A42"/>
    <w:rsid w:val="00373BC3"/>
    <w:rsid w:val="00373C95"/>
    <w:rsid w:val="00373E65"/>
    <w:rsid w:val="00373F61"/>
    <w:rsid w:val="00373F99"/>
    <w:rsid w:val="00373FC9"/>
    <w:rsid w:val="00374111"/>
    <w:rsid w:val="00374126"/>
    <w:rsid w:val="003743DD"/>
    <w:rsid w:val="00374413"/>
    <w:rsid w:val="0037479C"/>
    <w:rsid w:val="00374946"/>
    <w:rsid w:val="0037499A"/>
    <w:rsid w:val="00374ADF"/>
    <w:rsid w:val="00374C0A"/>
    <w:rsid w:val="00374C28"/>
    <w:rsid w:val="00374DB3"/>
    <w:rsid w:val="00374F84"/>
    <w:rsid w:val="00375122"/>
    <w:rsid w:val="003751EF"/>
    <w:rsid w:val="0037525C"/>
    <w:rsid w:val="0037535C"/>
    <w:rsid w:val="003753BF"/>
    <w:rsid w:val="003755D6"/>
    <w:rsid w:val="003757FD"/>
    <w:rsid w:val="003759D2"/>
    <w:rsid w:val="00375AF6"/>
    <w:rsid w:val="00375CE8"/>
    <w:rsid w:val="00375FF7"/>
    <w:rsid w:val="00376134"/>
    <w:rsid w:val="00376285"/>
    <w:rsid w:val="00376434"/>
    <w:rsid w:val="00376545"/>
    <w:rsid w:val="0037654B"/>
    <w:rsid w:val="003765D5"/>
    <w:rsid w:val="003765DA"/>
    <w:rsid w:val="0037686F"/>
    <w:rsid w:val="00376DC6"/>
    <w:rsid w:val="00376DEC"/>
    <w:rsid w:val="003770E6"/>
    <w:rsid w:val="00377151"/>
    <w:rsid w:val="003772D0"/>
    <w:rsid w:val="0037735C"/>
    <w:rsid w:val="0037738B"/>
    <w:rsid w:val="00377488"/>
    <w:rsid w:val="003774F8"/>
    <w:rsid w:val="0037752B"/>
    <w:rsid w:val="00377575"/>
    <w:rsid w:val="003776BA"/>
    <w:rsid w:val="00377804"/>
    <w:rsid w:val="003779C0"/>
    <w:rsid w:val="00377A40"/>
    <w:rsid w:val="00377AC3"/>
    <w:rsid w:val="00377C47"/>
    <w:rsid w:val="00377D77"/>
    <w:rsid w:val="00380012"/>
    <w:rsid w:val="0038011E"/>
    <w:rsid w:val="003801EB"/>
    <w:rsid w:val="00380252"/>
    <w:rsid w:val="00380269"/>
    <w:rsid w:val="003803B2"/>
    <w:rsid w:val="003806FF"/>
    <w:rsid w:val="00380A16"/>
    <w:rsid w:val="00380F15"/>
    <w:rsid w:val="00380FB2"/>
    <w:rsid w:val="00381019"/>
    <w:rsid w:val="0038106F"/>
    <w:rsid w:val="00381294"/>
    <w:rsid w:val="00381410"/>
    <w:rsid w:val="00381461"/>
    <w:rsid w:val="0038159C"/>
    <w:rsid w:val="0038164F"/>
    <w:rsid w:val="003816D2"/>
    <w:rsid w:val="0038179E"/>
    <w:rsid w:val="00381877"/>
    <w:rsid w:val="00381931"/>
    <w:rsid w:val="00381A52"/>
    <w:rsid w:val="00381B21"/>
    <w:rsid w:val="00381CA5"/>
    <w:rsid w:val="00381CD5"/>
    <w:rsid w:val="00381D1B"/>
    <w:rsid w:val="00381D4F"/>
    <w:rsid w:val="0038229D"/>
    <w:rsid w:val="0038240E"/>
    <w:rsid w:val="0038273E"/>
    <w:rsid w:val="00382B77"/>
    <w:rsid w:val="00382C3F"/>
    <w:rsid w:val="00382E30"/>
    <w:rsid w:val="00382E4B"/>
    <w:rsid w:val="00382EE2"/>
    <w:rsid w:val="003831EB"/>
    <w:rsid w:val="003833EC"/>
    <w:rsid w:val="0038352A"/>
    <w:rsid w:val="00383A9B"/>
    <w:rsid w:val="00383B98"/>
    <w:rsid w:val="00383BEA"/>
    <w:rsid w:val="00383E70"/>
    <w:rsid w:val="00384031"/>
    <w:rsid w:val="003840DE"/>
    <w:rsid w:val="00384133"/>
    <w:rsid w:val="00384145"/>
    <w:rsid w:val="00384252"/>
    <w:rsid w:val="00384290"/>
    <w:rsid w:val="0038488B"/>
    <w:rsid w:val="00384915"/>
    <w:rsid w:val="003849F9"/>
    <w:rsid w:val="00384AA3"/>
    <w:rsid w:val="00384BC3"/>
    <w:rsid w:val="00384E6F"/>
    <w:rsid w:val="003851DA"/>
    <w:rsid w:val="003856A6"/>
    <w:rsid w:val="00385972"/>
    <w:rsid w:val="00385B4A"/>
    <w:rsid w:val="00385DAA"/>
    <w:rsid w:val="00385EEC"/>
    <w:rsid w:val="00385FDA"/>
    <w:rsid w:val="00386168"/>
    <w:rsid w:val="003861AE"/>
    <w:rsid w:val="00386465"/>
    <w:rsid w:val="0038668D"/>
    <w:rsid w:val="00386693"/>
    <w:rsid w:val="003866CC"/>
    <w:rsid w:val="003866D6"/>
    <w:rsid w:val="003868BF"/>
    <w:rsid w:val="003869B6"/>
    <w:rsid w:val="00386BC1"/>
    <w:rsid w:val="00386D63"/>
    <w:rsid w:val="00386DEB"/>
    <w:rsid w:val="00386FC6"/>
    <w:rsid w:val="00387465"/>
    <w:rsid w:val="00387713"/>
    <w:rsid w:val="0038773E"/>
    <w:rsid w:val="00387B23"/>
    <w:rsid w:val="00387E33"/>
    <w:rsid w:val="00387E9F"/>
    <w:rsid w:val="003902B5"/>
    <w:rsid w:val="003904A7"/>
    <w:rsid w:val="00390505"/>
    <w:rsid w:val="00390659"/>
    <w:rsid w:val="00390694"/>
    <w:rsid w:val="003906B0"/>
    <w:rsid w:val="003906F7"/>
    <w:rsid w:val="0039088B"/>
    <w:rsid w:val="003909DE"/>
    <w:rsid w:val="00390AA9"/>
    <w:rsid w:val="0039100B"/>
    <w:rsid w:val="0039175A"/>
    <w:rsid w:val="0039175D"/>
    <w:rsid w:val="003918E2"/>
    <w:rsid w:val="00391D0A"/>
    <w:rsid w:val="00391E4E"/>
    <w:rsid w:val="00392040"/>
    <w:rsid w:val="00392098"/>
    <w:rsid w:val="003920D3"/>
    <w:rsid w:val="00392171"/>
    <w:rsid w:val="00392680"/>
    <w:rsid w:val="003927D3"/>
    <w:rsid w:val="0039288F"/>
    <w:rsid w:val="003929B5"/>
    <w:rsid w:val="00392B4C"/>
    <w:rsid w:val="00392BE8"/>
    <w:rsid w:val="00392C90"/>
    <w:rsid w:val="00392CF5"/>
    <w:rsid w:val="00392EE6"/>
    <w:rsid w:val="00392F39"/>
    <w:rsid w:val="00392F6B"/>
    <w:rsid w:val="00392F7E"/>
    <w:rsid w:val="00392FA3"/>
    <w:rsid w:val="00393018"/>
    <w:rsid w:val="003930BC"/>
    <w:rsid w:val="00393176"/>
    <w:rsid w:val="0039329A"/>
    <w:rsid w:val="003932BA"/>
    <w:rsid w:val="00393449"/>
    <w:rsid w:val="00393632"/>
    <w:rsid w:val="003936D4"/>
    <w:rsid w:val="003938B4"/>
    <w:rsid w:val="00393AD2"/>
    <w:rsid w:val="00393AF8"/>
    <w:rsid w:val="00393C5E"/>
    <w:rsid w:val="00393CDC"/>
    <w:rsid w:val="00393EE4"/>
    <w:rsid w:val="003940E5"/>
    <w:rsid w:val="00394209"/>
    <w:rsid w:val="00394320"/>
    <w:rsid w:val="00394516"/>
    <w:rsid w:val="00394708"/>
    <w:rsid w:val="00394718"/>
    <w:rsid w:val="0039484B"/>
    <w:rsid w:val="003949DD"/>
    <w:rsid w:val="003949DE"/>
    <w:rsid w:val="00394B3A"/>
    <w:rsid w:val="00394C85"/>
    <w:rsid w:val="00394C99"/>
    <w:rsid w:val="00394D5E"/>
    <w:rsid w:val="00394D93"/>
    <w:rsid w:val="00394DAC"/>
    <w:rsid w:val="00394F28"/>
    <w:rsid w:val="003952B6"/>
    <w:rsid w:val="0039572E"/>
    <w:rsid w:val="00395749"/>
    <w:rsid w:val="003957F7"/>
    <w:rsid w:val="00395821"/>
    <w:rsid w:val="00395838"/>
    <w:rsid w:val="00395900"/>
    <w:rsid w:val="00395923"/>
    <w:rsid w:val="00395A96"/>
    <w:rsid w:val="00395C45"/>
    <w:rsid w:val="00395DFA"/>
    <w:rsid w:val="00395E54"/>
    <w:rsid w:val="00395F18"/>
    <w:rsid w:val="00395FF9"/>
    <w:rsid w:val="00396004"/>
    <w:rsid w:val="00396063"/>
    <w:rsid w:val="003961A8"/>
    <w:rsid w:val="00396264"/>
    <w:rsid w:val="00396367"/>
    <w:rsid w:val="003963A5"/>
    <w:rsid w:val="003963BB"/>
    <w:rsid w:val="003964A4"/>
    <w:rsid w:val="003964E9"/>
    <w:rsid w:val="00396685"/>
    <w:rsid w:val="003968F8"/>
    <w:rsid w:val="00396BC9"/>
    <w:rsid w:val="00396E39"/>
    <w:rsid w:val="00396F21"/>
    <w:rsid w:val="00397760"/>
    <w:rsid w:val="0039780C"/>
    <w:rsid w:val="0039793E"/>
    <w:rsid w:val="003979E4"/>
    <w:rsid w:val="00397A2E"/>
    <w:rsid w:val="00397A96"/>
    <w:rsid w:val="00397BB6"/>
    <w:rsid w:val="00397C4B"/>
    <w:rsid w:val="00397C5A"/>
    <w:rsid w:val="00397E78"/>
    <w:rsid w:val="00397F03"/>
    <w:rsid w:val="00397FD1"/>
    <w:rsid w:val="003A02B8"/>
    <w:rsid w:val="003A02F6"/>
    <w:rsid w:val="003A031C"/>
    <w:rsid w:val="003A051E"/>
    <w:rsid w:val="003A05B2"/>
    <w:rsid w:val="003A0699"/>
    <w:rsid w:val="003A0705"/>
    <w:rsid w:val="003A073F"/>
    <w:rsid w:val="003A08AB"/>
    <w:rsid w:val="003A0A88"/>
    <w:rsid w:val="003A0B57"/>
    <w:rsid w:val="003A0B86"/>
    <w:rsid w:val="003A0DDD"/>
    <w:rsid w:val="003A0F50"/>
    <w:rsid w:val="003A10AA"/>
    <w:rsid w:val="003A1155"/>
    <w:rsid w:val="003A117F"/>
    <w:rsid w:val="003A1242"/>
    <w:rsid w:val="003A1248"/>
    <w:rsid w:val="003A12F2"/>
    <w:rsid w:val="003A14D0"/>
    <w:rsid w:val="003A14EB"/>
    <w:rsid w:val="003A173F"/>
    <w:rsid w:val="003A1A7F"/>
    <w:rsid w:val="003A1B6F"/>
    <w:rsid w:val="003A1D34"/>
    <w:rsid w:val="003A1E42"/>
    <w:rsid w:val="003A2129"/>
    <w:rsid w:val="003A21D9"/>
    <w:rsid w:val="003A222D"/>
    <w:rsid w:val="003A224A"/>
    <w:rsid w:val="003A24E1"/>
    <w:rsid w:val="003A250E"/>
    <w:rsid w:val="003A2944"/>
    <w:rsid w:val="003A2B2E"/>
    <w:rsid w:val="003A2BFD"/>
    <w:rsid w:val="003A2DB1"/>
    <w:rsid w:val="003A2E1C"/>
    <w:rsid w:val="003A3038"/>
    <w:rsid w:val="003A3069"/>
    <w:rsid w:val="003A31A6"/>
    <w:rsid w:val="003A347F"/>
    <w:rsid w:val="003A368B"/>
    <w:rsid w:val="003A3729"/>
    <w:rsid w:val="003A3742"/>
    <w:rsid w:val="003A3870"/>
    <w:rsid w:val="003A3A01"/>
    <w:rsid w:val="003A3A32"/>
    <w:rsid w:val="003A3B17"/>
    <w:rsid w:val="003A3B48"/>
    <w:rsid w:val="003A3D2A"/>
    <w:rsid w:val="003A41EC"/>
    <w:rsid w:val="003A4297"/>
    <w:rsid w:val="003A4419"/>
    <w:rsid w:val="003A442A"/>
    <w:rsid w:val="003A4520"/>
    <w:rsid w:val="003A4599"/>
    <w:rsid w:val="003A4764"/>
    <w:rsid w:val="003A476E"/>
    <w:rsid w:val="003A47F9"/>
    <w:rsid w:val="003A4A9E"/>
    <w:rsid w:val="003A4B7A"/>
    <w:rsid w:val="003A4B7E"/>
    <w:rsid w:val="003A4B87"/>
    <w:rsid w:val="003A4BE7"/>
    <w:rsid w:val="003A4D95"/>
    <w:rsid w:val="003A4EA3"/>
    <w:rsid w:val="003A4F6A"/>
    <w:rsid w:val="003A501C"/>
    <w:rsid w:val="003A5556"/>
    <w:rsid w:val="003A5696"/>
    <w:rsid w:val="003A56D6"/>
    <w:rsid w:val="003A56EA"/>
    <w:rsid w:val="003A5878"/>
    <w:rsid w:val="003A594B"/>
    <w:rsid w:val="003A5EC3"/>
    <w:rsid w:val="003A5FEB"/>
    <w:rsid w:val="003A614D"/>
    <w:rsid w:val="003A6231"/>
    <w:rsid w:val="003A62EF"/>
    <w:rsid w:val="003A62FD"/>
    <w:rsid w:val="003A64F9"/>
    <w:rsid w:val="003A66BF"/>
    <w:rsid w:val="003A6774"/>
    <w:rsid w:val="003A684A"/>
    <w:rsid w:val="003A68E2"/>
    <w:rsid w:val="003A6A26"/>
    <w:rsid w:val="003A6A3D"/>
    <w:rsid w:val="003A6ADF"/>
    <w:rsid w:val="003A6C47"/>
    <w:rsid w:val="003A6C6F"/>
    <w:rsid w:val="003A6C9B"/>
    <w:rsid w:val="003A6FEB"/>
    <w:rsid w:val="003A713A"/>
    <w:rsid w:val="003A7259"/>
    <w:rsid w:val="003A747E"/>
    <w:rsid w:val="003A7675"/>
    <w:rsid w:val="003A76E8"/>
    <w:rsid w:val="003A7A20"/>
    <w:rsid w:val="003A7C14"/>
    <w:rsid w:val="003A7EDE"/>
    <w:rsid w:val="003A7FB3"/>
    <w:rsid w:val="003B0084"/>
    <w:rsid w:val="003B008D"/>
    <w:rsid w:val="003B021E"/>
    <w:rsid w:val="003B0255"/>
    <w:rsid w:val="003B0662"/>
    <w:rsid w:val="003B0668"/>
    <w:rsid w:val="003B0763"/>
    <w:rsid w:val="003B076A"/>
    <w:rsid w:val="003B07BF"/>
    <w:rsid w:val="003B09CA"/>
    <w:rsid w:val="003B09D0"/>
    <w:rsid w:val="003B0A79"/>
    <w:rsid w:val="003B0AE1"/>
    <w:rsid w:val="003B0DAA"/>
    <w:rsid w:val="003B0E79"/>
    <w:rsid w:val="003B0E84"/>
    <w:rsid w:val="003B0EA4"/>
    <w:rsid w:val="003B12E3"/>
    <w:rsid w:val="003B1357"/>
    <w:rsid w:val="003B1418"/>
    <w:rsid w:val="003B15E2"/>
    <w:rsid w:val="003B162E"/>
    <w:rsid w:val="003B1685"/>
    <w:rsid w:val="003B1839"/>
    <w:rsid w:val="003B1852"/>
    <w:rsid w:val="003B185C"/>
    <w:rsid w:val="003B197D"/>
    <w:rsid w:val="003B1A48"/>
    <w:rsid w:val="003B1A54"/>
    <w:rsid w:val="003B1A9F"/>
    <w:rsid w:val="003B1B6A"/>
    <w:rsid w:val="003B1C78"/>
    <w:rsid w:val="003B1CCD"/>
    <w:rsid w:val="003B1D09"/>
    <w:rsid w:val="003B1D60"/>
    <w:rsid w:val="003B1D97"/>
    <w:rsid w:val="003B21E1"/>
    <w:rsid w:val="003B2371"/>
    <w:rsid w:val="003B249B"/>
    <w:rsid w:val="003B2522"/>
    <w:rsid w:val="003B2571"/>
    <w:rsid w:val="003B2633"/>
    <w:rsid w:val="003B268D"/>
    <w:rsid w:val="003B26A5"/>
    <w:rsid w:val="003B272D"/>
    <w:rsid w:val="003B28DC"/>
    <w:rsid w:val="003B2A40"/>
    <w:rsid w:val="003B2A52"/>
    <w:rsid w:val="003B2C0F"/>
    <w:rsid w:val="003B2D20"/>
    <w:rsid w:val="003B2E56"/>
    <w:rsid w:val="003B3104"/>
    <w:rsid w:val="003B3422"/>
    <w:rsid w:val="003B3542"/>
    <w:rsid w:val="003B35F2"/>
    <w:rsid w:val="003B36B8"/>
    <w:rsid w:val="003B3913"/>
    <w:rsid w:val="003B3A67"/>
    <w:rsid w:val="003B3A87"/>
    <w:rsid w:val="003B3B10"/>
    <w:rsid w:val="003B3C51"/>
    <w:rsid w:val="003B3E8D"/>
    <w:rsid w:val="003B3F73"/>
    <w:rsid w:val="003B3F95"/>
    <w:rsid w:val="003B4077"/>
    <w:rsid w:val="003B41B2"/>
    <w:rsid w:val="003B431E"/>
    <w:rsid w:val="003B44E7"/>
    <w:rsid w:val="003B4573"/>
    <w:rsid w:val="003B46C9"/>
    <w:rsid w:val="003B4704"/>
    <w:rsid w:val="003B47E7"/>
    <w:rsid w:val="003B48BA"/>
    <w:rsid w:val="003B49F2"/>
    <w:rsid w:val="003B4ADB"/>
    <w:rsid w:val="003B4D1C"/>
    <w:rsid w:val="003B50DF"/>
    <w:rsid w:val="003B5150"/>
    <w:rsid w:val="003B51C8"/>
    <w:rsid w:val="003B528E"/>
    <w:rsid w:val="003B5384"/>
    <w:rsid w:val="003B53C7"/>
    <w:rsid w:val="003B5428"/>
    <w:rsid w:val="003B5619"/>
    <w:rsid w:val="003B5748"/>
    <w:rsid w:val="003B588A"/>
    <w:rsid w:val="003B589F"/>
    <w:rsid w:val="003B5A16"/>
    <w:rsid w:val="003B5AE8"/>
    <w:rsid w:val="003B5BDE"/>
    <w:rsid w:val="003B5C35"/>
    <w:rsid w:val="003B5D3E"/>
    <w:rsid w:val="003B5E5E"/>
    <w:rsid w:val="003B5EF6"/>
    <w:rsid w:val="003B5FD0"/>
    <w:rsid w:val="003B6176"/>
    <w:rsid w:val="003B6207"/>
    <w:rsid w:val="003B6282"/>
    <w:rsid w:val="003B629D"/>
    <w:rsid w:val="003B62F1"/>
    <w:rsid w:val="003B6448"/>
    <w:rsid w:val="003B65FA"/>
    <w:rsid w:val="003B6730"/>
    <w:rsid w:val="003B67F8"/>
    <w:rsid w:val="003B68CD"/>
    <w:rsid w:val="003B68DE"/>
    <w:rsid w:val="003B6C56"/>
    <w:rsid w:val="003B6CB6"/>
    <w:rsid w:val="003B6CE5"/>
    <w:rsid w:val="003B6D0B"/>
    <w:rsid w:val="003B6DFE"/>
    <w:rsid w:val="003B6E0A"/>
    <w:rsid w:val="003B7082"/>
    <w:rsid w:val="003B72F2"/>
    <w:rsid w:val="003B7316"/>
    <w:rsid w:val="003B7544"/>
    <w:rsid w:val="003B75A7"/>
    <w:rsid w:val="003B776F"/>
    <w:rsid w:val="003B777A"/>
    <w:rsid w:val="003B799A"/>
    <w:rsid w:val="003B7A33"/>
    <w:rsid w:val="003B7AE2"/>
    <w:rsid w:val="003B7B88"/>
    <w:rsid w:val="003B7C7C"/>
    <w:rsid w:val="003C0027"/>
    <w:rsid w:val="003C00C6"/>
    <w:rsid w:val="003C0160"/>
    <w:rsid w:val="003C02FA"/>
    <w:rsid w:val="003C0413"/>
    <w:rsid w:val="003C05C2"/>
    <w:rsid w:val="003C072E"/>
    <w:rsid w:val="003C084A"/>
    <w:rsid w:val="003C0B99"/>
    <w:rsid w:val="003C0D76"/>
    <w:rsid w:val="003C0FA8"/>
    <w:rsid w:val="003C106B"/>
    <w:rsid w:val="003C11CE"/>
    <w:rsid w:val="003C120E"/>
    <w:rsid w:val="003C1367"/>
    <w:rsid w:val="003C1507"/>
    <w:rsid w:val="003C15C5"/>
    <w:rsid w:val="003C1631"/>
    <w:rsid w:val="003C1687"/>
    <w:rsid w:val="003C17E4"/>
    <w:rsid w:val="003C1808"/>
    <w:rsid w:val="003C185F"/>
    <w:rsid w:val="003C1AEA"/>
    <w:rsid w:val="003C1D6B"/>
    <w:rsid w:val="003C2122"/>
    <w:rsid w:val="003C2195"/>
    <w:rsid w:val="003C21D5"/>
    <w:rsid w:val="003C22EF"/>
    <w:rsid w:val="003C2315"/>
    <w:rsid w:val="003C2322"/>
    <w:rsid w:val="003C2598"/>
    <w:rsid w:val="003C2628"/>
    <w:rsid w:val="003C2841"/>
    <w:rsid w:val="003C28E1"/>
    <w:rsid w:val="003C2ED2"/>
    <w:rsid w:val="003C300E"/>
    <w:rsid w:val="003C3112"/>
    <w:rsid w:val="003C330A"/>
    <w:rsid w:val="003C3439"/>
    <w:rsid w:val="003C359D"/>
    <w:rsid w:val="003C37BE"/>
    <w:rsid w:val="003C3A21"/>
    <w:rsid w:val="003C3A2D"/>
    <w:rsid w:val="003C3AA9"/>
    <w:rsid w:val="003C3B69"/>
    <w:rsid w:val="003C3C04"/>
    <w:rsid w:val="003C3E04"/>
    <w:rsid w:val="003C3F20"/>
    <w:rsid w:val="003C3F5C"/>
    <w:rsid w:val="003C4054"/>
    <w:rsid w:val="003C40BA"/>
    <w:rsid w:val="003C40C7"/>
    <w:rsid w:val="003C4547"/>
    <w:rsid w:val="003C45B5"/>
    <w:rsid w:val="003C4677"/>
    <w:rsid w:val="003C481E"/>
    <w:rsid w:val="003C4AC6"/>
    <w:rsid w:val="003C4B63"/>
    <w:rsid w:val="003C4C3B"/>
    <w:rsid w:val="003C4E8F"/>
    <w:rsid w:val="003C5187"/>
    <w:rsid w:val="003C521F"/>
    <w:rsid w:val="003C526D"/>
    <w:rsid w:val="003C534D"/>
    <w:rsid w:val="003C539F"/>
    <w:rsid w:val="003C5602"/>
    <w:rsid w:val="003C563F"/>
    <w:rsid w:val="003C5711"/>
    <w:rsid w:val="003C575D"/>
    <w:rsid w:val="003C5921"/>
    <w:rsid w:val="003C5A95"/>
    <w:rsid w:val="003C5DDE"/>
    <w:rsid w:val="003C5ED4"/>
    <w:rsid w:val="003C6089"/>
    <w:rsid w:val="003C6100"/>
    <w:rsid w:val="003C6130"/>
    <w:rsid w:val="003C6479"/>
    <w:rsid w:val="003C655D"/>
    <w:rsid w:val="003C67D9"/>
    <w:rsid w:val="003C68FC"/>
    <w:rsid w:val="003C694C"/>
    <w:rsid w:val="003C6A5A"/>
    <w:rsid w:val="003C706D"/>
    <w:rsid w:val="003C72ED"/>
    <w:rsid w:val="003C7397"/>
    <w:rsid w:val="003C745A"/>
    <w:rsid w:val="003C7585"/>
    <w:rsid w:val="003C7587"/>
    <w:rsid w:val="003C764D"/>
    <w:rsid w:val="003C76E2"/>
    <w:rsid w:val="003C7712"/>
    <w:rsid w:val="003C7B72"/>
    <w:rsid w:val="003C7D75"/>
    <w:rsid w:val="003C7E65"/>
    <w:rsid w:val="003C7ECE"/>
    <w:rsid w:val="003C7F05"/>
    <w:rsid w:val="003D0012"/>
    <w:rsid w:val="003D00E4"/>
    <w:rsid w:val="003D0144"/>
    <w:rsid w:val="003D0160"/>
    <w:rsid w:val="003D0266"/>
    <w:rsid w:val="003D05BA"/>
    <w:rsid w:val="003D0656"/>
    <w:rsid w:val="003D065C"/>
    <w:rsid w:val="003D075F"/>
    <w:rsid w:val="003D0775"/>
    <w:rsid w:val="003D0836"/>
    <w:rsid w:val="003D0955"/>
    <w:rsid w:val="003D0A13"/>
    <w:rsid w:val="003D0B2A"/>
    <w:rsid w:val="003D0D4A"/>
    <w:rsid w:val="003D0FF6"/>
    <w:rsid w:val="003D1026"/>
    <w:rsid w:val="003D1060"/>
    <w:rsid w:val="003D13D0"/>
    <w:rsid w:val="003D1666"/>
    <w:rsid w:val="003D16B8"/>
    <w:rsid w:val="003D188F"/>
    <w:rsid w:val="003D18CC"/>
    <w:rsid w:val="003D1C84"/>
    <w:rsid w:val="003D1CD7"/>
    <w:rsid w:val="003D1F10"/>
    <w:rsid w:val="003D1FA1"/>
    <w:rsid w:val="003D2055"/>
    <w:rsid w:val="003D209B"/>
    <w:rsid w:val="003D20C1"/>
    <w:rsid w:val="003D20FE"/>
    <w:rsid w:val="003D213D"/>
    <w:rsid w:val="003D2244"/>
    <w:rsid w:val="003D2256"/>
    <w:rsid w:val="003D228A"/>
    <w:rsid w:val="003D2436"/>
    <w:rsid w:val="003D2583"/>
    <w:rsid w:val="003D27D9"/>
    <w:rsid w:val="003D283E"/>
    <w:rsid w:val="003D2859"/>
    <w:rsid w:val="003D2971"/>
    <w:rsid w:val="003D2A16"/>
    <w:rsid w:val="003D2A55"/>
    <w:rsid w:val="003D2BA3"/>
    <w:rsid w:val="003D2C11"/>
    <w:rsid w:val="003D2D88"/>
    <w:rsid w:val="003D2DA2"/>
    <w:rsid w:val="003D2DF0"/>
    <w:rsid w:val="003D2E07"/>
    <w:rsid w:val="003D2E25"/>
    <w:rsid w:val="003D2F8F"/>
    <w:rsid w:val="003D3014"/>
    <w:rsid w:val="003D30EE"/>
    <w:rsid w:val="003D32D5"/>
    <w:rsid w:val="003D3457"/>
    <w:rsid w:val="003D37F4"/>
    <w:rsid w:val="003D3827"/>
    <w:rsid w:val="003D38EC"/>
    <w:rsid w:val="003D392B"/>
    <w:rsid w:val="003D3B06"/>
    <w:rsid w:val="003D3B84"/>
    <w:rsid w:val="003D3B8C"/>
    <w:rsid w:val="003D3D85"/>
    <w:rsid w:val="003D3F4F"/>
    <w:rsid w:val="003D422D"/>
    <w:rsid w:val="003D4390"/>
    <w:rsid w:val="003D44A3"/>
    <w:rsid w:val="003D468C"/>
    <w:rsid w:val="003D4AB8"/>
    <w:rsid w:val="003D4BBD"/>
    <w:rsid w:val="003D4BF5"/>
    <w:rsid w:val="003D4D2C"/>
    <w:rsid w:val="003D4D8D"/>
    <w:rsid w:val="003D4E3E"/>
    <w:rsid w:val="003D4FA7"/>
    <w:rsid w:val="003D500F"/>
    <w:rsid w:val="003D50C1"/>
    <w:rsid w:val="003D50FB"/>
    <w:rsid w:val="003D51AA"/>
    <w:rsid w:val="003D51E1"/>
    <w:rsid w:val="003D5272"/>
    <w:rsid w:val="003D52B5"/>
    <w:rsid w:val="003D53C9"/>
    <w:rsid w:val="003D5436"/>
    <w:rsid w:val="003D54BD"/>
    <w:rsid w:val="003D5556"/>
    <w:rsid w:val="003D5654"/>
    <w:rsid w:val="003D5679"/>
    <w:rsid w:val="003D56E5"/>
    <w:rsid w:val="003D577A"/>
    <w:rsid w:val="003D58E5"/>
    <w:rsid w:val="003D590E"/>
    <w:rsid w:val="003D5913"/>
    <w:rsid w:val="003D595C"/>
    <w:rsid w:val="003D5BCA"/>
    <w:rsid w:val="003D5BE6"/>
    <w:rsid w:val="003D5CB7"/>
    <w:rsid w:val="003D5F95"/>
    <w:rsid w:val="003D6056"/>
    <w:rsid w:val="003D6111"/>
    <w:rsid w:val="003D63FD"/>
    <w:rsid w:val="003D6421"/>
    <w:rsid w:val="003D650B"/>
    <w:rsid w:val="003D659A"/>
    <w:rsid w:val="003D65A9"/>
    <w:rsid w:val="003D6605"/>
    <w:rsid w:val="003D660E"/>
    <w:rsid w:val="003D66D5"/>
    <w:rsid w:val="003D6717"/>
    <w:rsid w:val="003D6781"/>
    <w:rsid w:val="003D67A6"/>
    <w:rsid w:val="003D6B02"/>
    <w:rsid w:val="003D6BD0"/>
    <w:rsid w:val="003D6E09"/>
    <w:rsid w:val="003D70B1"/>
    <w:rsid w:val="003D70E2"/>
    <w:rsid w:val="003D712A"/>
    <w:rsid w:val="003D7197"/>
    <w:rsid w:val="003D7201"/>
    <w:rsid w:val="003D7417"/>
    <w:rsid w:val="003D7558"/>
    <w:rsid w:val="003D75B1"/>
    <w:rsid w:val="003D7652"/>
    <w:rsid w:val="003D77F9"/>
    <w:rsid w:val="003D79A0"/>
    <w:rsid w:val="003D79E1"/>
    <w:rsid w:val="003D7A4B"/>
    <w:rsid w:val="003D7B1A"/>
    <w:rsid w:val="003E016A"/>
    <w:rsid w:val="003E07F6"/>
    <w:rsid w:val="003E088D"/>
    <w:rsid w:val="003E0CD4"/>
    <w:rsid w:val="003E0F98"/>
    <w:rsid w:val="003E110C"/>
    <w:rsid w:val="003E13F6"/>
    <w:rsid w:val="003E19D1"/>
    <w:rsid w:val="003E1C0A"/>
    <w:rsid w:val="003E1C46"/>
    <w:rsid w:val="003E1CE8"/>
    <w:rsid w:val="003E1D67"/>
    <w:rsid w:val="003E1EE0"/>
    <w:rsid w:val="003E2134"/>
    <w:rsid w:val="003E2165"/>
    <w:rsid w:val="003E21F2"/>
    <w:rsid w:val="003E23BA"/>
    <w:rsid w:val="003E2463"/>
    <w:rsid w:val="003E258E"/>
    <w:rsid w:val="003E2612"/>
    <w:rsid w:val="003E2627"/>
    <w:rsid w:val="003E2667"/>
    <w:rsid w:val="003E267E"/>
    <w:rsid w:val="003E2685"/>
    <w:rsid w:val="003E26BA"/>
    <w:rsid w:val="003E2736"/>
    <w:rsid w:val="003E2985"/>
    <w:rsid w:val="003E29DD"/>
    <w:rsid w:val="003E2AC7"/>
    <w:rsid w:val="003E2BF3"/>
    <w:rsid w:val="003E2EFD"/>
    <w:rsid w:val="003E30D8"/>
    <w:rsid w:val="003E3122"/>
    <w:rsid w:val="003E3141"/>
    <w:rsid w:val="003E3162"/>
    <w:rsid w:val="003E32F9"/>
    <w:rsid w:val="003E3379"/>
    <w:rsid w:val="003E35BE"/>
    <w:rsid w:val="003E3622"/>
    <w:rsid w:val="003E3AA3"/>
    <w:rsid w:val="003E3C36"/>
    <w:rsid w:val="003E4402"/>
    <w:rsid w:val="003E4428"/>
    <w:rsid w:val="003E45EF"/>
    <w:rsid w:val="003E46A3"/>
    <w:rsid w:val="003E48CC"/>
    <w:rsid w:val="003E4B52"/>
    <w:rsid w:val="003E4C6F"/>
    <w:rsid w:val="003E4CE5"/>
    <w:rsid w:val="003E4DD1"/>
    <w:rsid w:val="003E502B"/>
    <w:rsid w:val="003E535B"/>
    <w:rsid w:val="003E535D"/>
    <w:rsid w:val="003E53B1"/>
    <w:rsid w:val="003E547F"/>
    <w:rsid w:val="003E56C7"/>
    <w:rsid w:val="003E57B4"/>
    <w:rsid w:val="003E57FE"/>
    <w:rsid w:val="003E5863"/>
    <w:rsid w:val="003E5866"/>
    <w:rsid w:val="003E5883"/>
    <w:rsid w:val="003E58CF"/>
    <w:rsid w:val="003E5A3F"/>
    <w:rsid w:val="003E5AF3"/>
    <w:rsid w:val="003E5BA6"/>
    <w:rsid w:val="003E6043"/>
    <w:rsid w:val="003E6145"/>
    <w:rsid w:val="003E62D6"/>
    <w:rsid w:val="003E6338"/>
    <w:rsid w:val="003E63DF"/>
    <w:rsid w:val="003E641B"/>
    <w:rsid w:val="003E655D"/>
    <w:rsid w:val="003E6659"/>
    <w:rsid w:val="003E6695"/>
    <w:rsid w:val="003E67DB"/>
    <w:rsid w:val="003E6829"/>
    <w:rsid w:val="003E68A7"/>
    <w:rsid w:val="003E68AF"/>
    <w:rsid w:val="003E69A8"/>
    <w:rsid w:val="003E6A53"/>
    <w:rsid w:val="003E6B74"/>
    <w:rsid w:val="003E6C73"/>
    <w:rsid w:val="003E6C76"/>
    <w:rsid w:val="003E6C9C"/>
    <w:rsid w:val="003E6F95"/>
    <w:rsid w:val="003E712F"/>
    <w:rsid w:val="003E71EA"/>
    <w:rsid w:val="003E723B"/>
    <w:rsid w:val="003E7243"/>
    <w:rsid w:val="003E766D"/>
    <w:rsid w:val="003E776B"/>
    <w:rsid w:val="003E788A"/>
    <w:rsid w:val="003E7E77"/>
    <w:rsid w:val="003E7EC9"/>
    <w:rsid w:val="003E7F76"/>
    <w:rsid w:val="003E7F7B"/>
    <w:rsid w:val="003E7F94"/>
    <w:rsid w:val="003F01D4"/>
    <w:rsid w:val="003F047A"/>
    <w:rsid w:val="003F04AB"/>
    <w:rsid w:val="003F04FB"/>
    <w:rsid w:val="003F0670"/>
    <w:rsid w:val="003F080D"/>
    <w:rsid w:val="003F088C"/>
    <w:rsid w:val="003F09E5"/>
    <w:rsid w:val="003F0AF8"/>
    <w:rsid w:val="003F0B1F"/>
    <w:rsid w:val="003F0C9C"/>
    <w:rsid w:val="003F0E16"/>
    <w:rsid w:val="003F0F15"/>
    <w:rsid w:val="003F0F84"/>
    <w:rsid w:val="003F1094"/>
    <w:rsid w:val="003F122C"/>
    <w:rsid w:val="003F12A2"/>
    <w:rsid w:val="003F161F"/>
    <w:rsid w:val="003F16C5"/>
    <w:rsid w:val="003F1B03"/>
    <w:rsid w:val="003F1BCD"/>
    <w:rsid w:val="003F1CE7"/>
    <w:rsid w:val="003F1D10"/>
    <w:rsid w:val="003F22FA"/>
    <w:rsid w:val="003F235B"/>
    <w:rsid w:val="003F23BF"/>
    <w:rsid w:val="003F257A"/>
    <w:rsid w:val="003F257C"/>
    <w:rsid w:val="003F25DA"/>
    <w:rsid w:val="003F2630"/>
    <w:rsid w:val="003F2704"/>
    <w:rsid w:val="003F289D"/>
    <w:rsid w:val="003F29A2"/>
    <w:rsid w:val="003F29D8"/>
    <w:rsid w:val="003F2A32"/>
    <w:rsid w:val="003F2ACA"/>
    <w:rsid w:val="003F2BE2"/>
    <w:rsid w:val="003F2D99"/>
    <w:rsid w:val="003F3044"/>
    <w:rsid w:val="003F3153"/>
    <w:rsid w:val="003F3164"/>
    <w:rsid w:val="003F323F"/>
    <w:rsid w:val="003F33B9"/>
    <w:rsid w:val="003F3699"/>
    <w:rsid w:val="003F36B1"/>
    <w:rsid w:val="003F36CD"/>
    <w:rsid w:val="003F38C2"/>
    <w:rsid w:val="003F3AC4"/>
    <w:rsid w:val="003F3CF7"/>
    <w:rsid w:val="003F3DC2"/>
    <w:rsid w:val="003F3E13"/>
    <w:rsid w:val="003F4118"/>
    <w:rsid w:val="003F443A"/>
    <w:rsid w:val="003F44B5"/>
    <w:rsid w:val="003F4528"/>
    <w:rsid w:val="003F4644"/>
    <w:rsid w:val="003F46DC"/>
    <w:rsid w:val="003F4826"/>
    <w:rsid w:val="003F483E"/>
    <w:rsid w:val="003F48BF"/>
    <w:rsid w:val="003F494B"/>
    <w:rsid w:val="003F49B5"/>
    <w:rsid w:val="003F4A6B"/>
    <w:rsid w:val="003F4B3A"/>
    <w:rsid w:val="003F4C3F"/>
    <w:rsid w:val="003F4E7D"/>
    <w:rsid w:val="003F4EDC"/>
    <w:rsid w:val="003F4F44"/>
    <w:rsid w:val="003F4F7C"/>
    <w:rsid w:val="003F52BA"/>
    <w:rsid w:val="003F544A"/>
    <w:rsid w:val="003F562B"/>
    <w:rsid w:val="003F5708"/>
    <w:rsid w:val="003F584A"/>
    <w:rsid w:val="003F5872"/>
    <w:rsid w:val="003F5B95"/>
    <w:rsid w:val="003F5C51"/>
    <w:rsid w:val="003F5E90"/>
    <w:rsid w:val="003F5EC3"/>
    <w:rsid w:val="003F62B5"/>
    <w:rsid w:val="003F6324"/>
    <w:rsid w:val="003F64B3"/>
    <w:rsid w:val="003F650F"/>
    <w:rsid w:val="003F656E"/>
    <w:rsid w:val="003F6588"/>
    <w:rsid w:val="003F65AF"/>
    <w:rsid w:val="003F66E8"/>
    <w:rsid w:val="003F6747"/>
    <w:rsid w:val="003F6892"/>
    <w:rsid w:val="003F6C7D"/>
    <w:rsid w:val="003F6D9F"/>
    <w:rsid w:val="003F6DBC"/>
    <w:rsid w:val="003F6DCA"/>
    <w:rsid w:val="003F6E5A"/>
    <w:rsid w:val="003F7021"/>
    <w:rsid w:val="003F7125"/>
    <w:rsid w:val="003F72B7"/>
    <w:rsid w:val="003F7457"/>
    <w:rsid w:val="003F75C6"/>
    <w:rsid w:val="003F7648"/>
    <w:rsid w:val="003F781F"/>
    <w:rsid w:val="003F799B"/>
    <w:rsid w:val="003F7B11"/>
    <w:rsid w:val="003F7DF0"/>
    <w:rsid w:val="003F7E7B"/>
    <w:rsid w:val="003F7EE7"/>
    <w:rsid w:val="003F7F93"/>
    <w:rsid w:val="00400063"/>
    <w:rsid w:val="004001CF"/>
    <w:rsid w:val="00400241"/>
    <w:rsid w:val="00400326"/>
    <w:rsid w:val="00400407"/>
    <w:rsid w:val="0040056E"/>
    <w:rsid w:val="00400B1B"/>
    <w:rsid w:val="00400B68"/>
    <w:rsid w:val="00400C7F"/>
    <w:rsid w:val="00400CFA"/>
    <w:rsid w:val="00400D03"/>
    <w:rsid w:val="00400D4C"/>
    <w:rsid w:val="00400E9C"/>
    <w:rsid w:val="00400EAE"/>
    <w:rsid w:val="00400F6B"/>
    <w:rsid w:val="00401073"/>
    <w:rsid w:val="004010F5"/>
    <w:rsid w:val="004012A9"/>
    <w:rsid w:val="004012B0"/>
    <w:rsid w:val="0040137F"/>
    <w:rsid w:val="00401643"/>
    <w:rsid w:val="00401752"/>
    <w:rsid w:val="0040175C"/>
    <w:rsid w:val="004017B0"/>
    <w:rsid w:val="00401965"/>
    <w:rsid w:val="004019E2"/>
    <w:rsid w:val="00401B8C"/>
    <w:rsid w:val="00401FC6"/>
    <w:rsid w:val="00402034"/>
    <w:rsid w:val="00402836"/>
    <w:rsid w:val="004028EE"/>
    <w:rsid w:val="004029E0"/>
    <w:rsid w:val="00402AEB"/>
    <w:rsid w:val="00402EA0"/>
    <w:rsid w:val="00403233"/>
    <w:rsid w:val="00403437"/>
    <w:rsid w:val="004034A2"/>
    <w:rsid w:val="00403582"/>
    <w:rsid w:val="004035DC"/>
    <w:rsid w:val="004035F4"/>
    <w:rsid w:val="0040366F"/>
    <w:rsid w:val="004039CD"/>
    <w:rsid w:val="00403AFC"/>
    <w:rsid w:val="00403B57"/>
    <w:rsid w:val="00403DAA"/>
    <w:rsid w:val="00403E1F"/>
    <w:rsid w:val="004040CE"/>
    <w:rsid w:val="0040419A"/>
    <w:rsid w:val="00404586"/>
    <w:rsid w:val="0040496D"/>
    <w:rsid w:val="00404A0D"/>
    <w:rsid w:val="00404B7B"/>
    <w:rsid w:val="00404B8D"/>
    <w:rsid w:val="00404CC5"/>
    <w:rsid w:val="00404F93"/>
    <w:rsid w:val="00405158"/>
    <w:rsid w:val="0040525E"/>
    <w:rsid w:val="00405348"/>
    <w:rsid w:val="00405441"/>
    <w:rsid w:val="004054D3"/>
    <w:rsid w:val="004055AB"/>
    <w:rsid w:val="004058ED"/>
    <w:rsid w:val="004059E5"/>
    <w:rsid w:val="004059EB"/>
    <w:rsid w:val="00405AE6"/>
    <w:rsid w:val="00405C6C"/>
    <w:rsid w:val="00406071"/>
    <w:rsid w:val="00406234"/>
    <w:rsid w:val="0040633C"/>
    <w:rsid w:val="00406498"/>
    <w:rsid w:val="004067AC"/>
    <w:rsid w:val="00406949"/>
    <w:rsid w:val="00406968"/>
    <w:rsid w:val="00406A74"/>
    <w:rsid w:val="00406F97"/>
    <w:rsid w:val="004071DC"/>
    <w:rsid w:val="00407339"/>
    <w:rsid w:val="004075C1"/>
    <w:rsid w:val="004077B1"/>
    <w:rsid w:val="00407868"/>
    <w:rsid w:val="00407892"/>
    <w:rsid w:val="00407C76"/>
    <w:rsid w:val="00407D0B"/>
    <w:rsid w:val="004101A7"/>
    <w:rsid w:val="004104CB"/>
    <w:rsid w:val="004105A5"/>
    <w:rsid w:val="004109D9"/>
    <w:rsid w:val="00410A95"/>
    <w:rsid w:val="00410B37"/>
    <w:rsid w:val="00410B8B"/>
    <w:rsid w:val="00410C2A"/>
    <w:rsid w:val="00410DE2"/>
    <w:rsid w:val="00410E6A"/>
    <w:rsid w:val="00410F47"/>
    <w:rsid w:val="00410FB0"/>
    <w:rsid w:val="004111A3"/>
    <w:rsid w:val="004112AE"/>
    <w:rsid w:val="0041134F"/>
    <w:rsid w:val="0041150A"/>
    <w:rsid w:val="00411530"/>
    <w:rsid w:val="004115AF"/>
    <w:rsid w:val="00411692"/>
    <w:rsid w:val="004116D2"/>
    <w:rsid w:val="004117FB"/>
    <w:rsid w:val="0041182D"/>
    <w:rsid w:val="00411838"/>
    <w:rsid w:val="00411D6C"/>
    <w:rsid w:val="00411D95"/>
    <w:rsid w:val="0041222B"/>
    <w:rsid w:val="004122B2"/>
    <w:rsid w:val="004122C1"/>
    <w:rsid w:val="00412490"/>
    <w:rsid w:val="00412851"/>
    <w:rsid w:val="00412A2B"/>
    <w:rsid w:val="00412CC5"/>
    <w:rsid w:val="00412D66"/>
    <w:rsid w:val="00412F62"/>
    <w:rsid w:val="00413128"/>
    <w:rsid w:val="004132BD"/>
    <w:rsid w:val="004133B2"/>
    <w:rsid w:val="00413447"/>
    <w:rsid w:val="004136CA"/>
    <w:rsid w:val="00413802"/>
    <w:rsid w:val="00413819"/>
    <w:rsid w:val="00413873"/>
    <w:rsid w:val="00413A03"/>
    <w:rsid w:val="00413CFC"/>
    <w:rsid w:val="00414005"/>
    <w:rsid w:val="004141E4"/>
    <w:rsid w:val="0041423B"/>
    <w:rsid w:val="00414270"/>
    <w:rsid w:val="004143B6"/>
    <w:rsid w:val="0041469F"/>
    <w:rsid w:val="004146D9"/>
    <w:rsid w:val="00414A04"/>
    <w:rsid w:val="00414A08"/>
    <w:rsid w:val="00414A21"/>
    <w:rsid w:val="00414B25"/>
    <w:rsid w:val="00414C29"/>
    <w:rsid w:val="00414CC3"/>
    <w:rsid w:val="00414D25"/>
    <w:rsid w:val="00414E22"/>
    <w:rsid w:val="00414ED8"/>
    <w:rsid w:val="0041505A"/>
    <w:rsid w:val="004152BF"/>
    <w:rsid w:val="0041539A"/>
    <w:rsid w:val="00415534"/>
    <w:rsid w:val="00415556"/>
    <w:rsid w:val="0041587E"/>
    <w:rsid w:val="004158D6"/>
    <w:rsid w:val="00415990"/>
    <w:rsid w:val="00415B28"/>
    <w:rsid w:val="00415D7C"/>
    <w:rsid w:val="00415E36"/>
    <w:rsid w:val="00415E41"/>
    <w:rsid w:val="00415F4B"/>
    <w:rsid w:val="00416082"/>
    <w:rsid w:val="00416390"/>
    <w:rsid w:val="00416686"/>
    <w:rsid w:val="00416767"/>
    <w:rsid w:val="00416B17"/>
    <w:rsid w:val="00416B4D"/>
    <w:rsid w:val="00416D25"/>
    <w:rsid w:val="00416D41"/>
    <w:rsid w:val="00416D5B"/>
    <w:rsid w:val="004171A7"/>
    <w:rsid w:val="004171E2"/>
    <w:rsid w:val="00417279"/>
    <w:rsid w:val="004175E4"/>
    <w:rsid w:val="00417759"/>
    <w:rsid w:val="004178D7"/>
    <w:rsid w:val="00417AFD"/>
    <w:rsid w:val="00417CC5"/>
    <w:rsid w:val="00417CFB"/>
    <w:rsid w:val="00417DD7"/>
    <w:rsid w:val="00417F6B"/>
    <w:rsid w:val="0042008E"/>
    <w:rsid w:val="004200D2"/>
    <w:rsid w:val="00420132"/>
    <w:rsid w:val="004205E1"/>
    <w:rsid w:val="00420850"/>
    <w:rsid w:val="004208B8"/>
    <w:rsid w:val="00420915"/>
    <w:rsid w:val="00420989"/>
    <w:rsid w:val="00420AE3"/>
    <w:rsid w:val="00420D22"/>
    <w:rsid w:val="00420FEA"/>
    <w:rsid w:val="00421050"/>
    <w:rsid w:val="004211D2"/>
    <w:rsid w:val="004213A6"/>
    <w:rsid w:val="0042147D"/>
    <w:rsid w:val="004214A1"/>
    <w:rsid w:val="004214CC"/>
    <w:rsid w:val="004216F8"/>
    <w:rsid w:val="004217E9"/>
    <w:rsid w:val="00421A77"/>
    <w:rsid w:val="00421B0D"/>
    <w:rsid w:val="004222F9"/>
    <w:rsid w:val="004222FB"/>
    <w:rsid w:val="0042237A"/>
    <w:rsid w:val="004224CD"/>
    <w:rsid w:val="00422637"/>
    <w:rsid w:val="00422671"/>
    <w:rsid w:val="004227B8"/>
    <w:rsid w:val="004229E5"/>
    <w:rsid w:val="00422A0F"/>
    <w:rsid w:val="00422C96"/>
    <w:rsid w:val="00422F37"/>
    <w:rsid w:val="004230A3"/>
    <w:rsid w:val="004236AF"/>
    <w:rsid w:val="00423700"/>
    <w:rsid w:val="00423720"/>
    <w:rsid w:val="00423ACB"/>
    <w:rsid w:val="00423C67"/>
    <w:rsid w:val="00423D8B"/>
    <w:rsid w:val="00423F64"/>
    <w:rsid w:val="00424159"/>
    <w:rsid w:val="00424583"/>
    <w:rsid w:val="0042463C"/>
    <w:rsid w:val="00424828"/>
    <w:rsid w:val="0042484F"/>
    <w:rsid w:val="004249B3"/>
    <w:rsid w:val="00424D1B"/>
    <w:rsid w:val="00424D3D"/>
    <w:rsid w:val="00424D4A"/>
    <w:rsid w:val="00424FB4"/>
    <w:rsid w:val="00425094"/>
    <w:rsid w:val="004251C2"/>
    <w:rsid w:val="004251E5"/>
    <w:rsid w:val="00425249"/>
    <w:rsid w:val="004253EA"/>
    <w:rsid w:val="00425442"/>
    <w:rsid w:val="004254A0"/>
    <w:rsid w:val="004257F5"/>
    <w:rsid w:val="00425800"/>
    <w:rsid w:val="00425A10"/>
    <w:rsid w:val="00425AA5"/>
    <w:rsid w:val="00425B01"/>
    <w:rsid w:val="00425B02"/>
    <w:rsid w:val="00425B4A"/>
    <w:rsid w:val="00425BCF"/>
    <w:rsid w:val="00425C6F"/>
    <w:rsid w:val="00425DD1"/>
    <w:rsid w:val="00425DF9"/>
    <w:rsid w:val="00425FA8"/>
    <w:rsid w:val="00426053"/>
    <w:rsid w:val="00426092"/>
    <w:rsid w:val="004265FB"/>
    <w:rsid w:val="004266D0"/>
    <w:rsid w:val="00426703"/>
    <w:rsid w:val="00426984"/>
    <w:rsid w:val="00426991"/>
    <w:rsid w:val="00426AE9"/>
    <w:rsid w:val="00426C64"/>
    <w:rsid w:val="00426D22"/>
    <w:rsid w:val="00426D2D"/>
    <w:rsid w:val="00426D66"/>
    <w:rsid w:val="00426E04"/>
    <w:rsid w:val="004270AB"/>
    <w:rsid w:val="004272FE"/>
    <w:rsid w:val="00427476"/>
    <w:rsid w:val="00427515"/>
    <w:rsid w:val="00427639"/>
    <w:rsid w:val="00427920"/>
    <w:rsid w:val="00427C6E"/>
    <w:rsid w:val="00427C70"/>
    <w:rsid w:val="00427C9D"/>
    <w:rsid w:val="00427F95"/>
    <w:rsid w:val="0042F6D1"/>
    <w:rsid w:val="004300EB"/>
    <w:rsid w:val="004301D1"/>
    <w:rsid w:val="0043025B"/>
    <w:rsid w:val="0043032C"/>
    <w:rsid w:val="00430536"/>
    <w:rsid w:val="00430570"/>
    <w:rsid w:val="0043064C"/>
    <w:rsid w:val="004307E5"/>
    <w:rsid w:val="00430ABC"/>
    <w:rsid w:val="00430BFA"/>
    <w:rsid w:val="00430D4A"/>
    <w:rsid w:val="00430DA9"/>
    <w:rsid w:val="00430E9B"/>
    <w:rsid w:val="00431189"/>
    <w:rsid w:val="004314CE"/>
    <w:rsid w:val="0043151D"/>
    <w:rsid w:val="0043157D"/>
    <w:rsid w:val="00431858"/>
    <w:rsid w:val="004319FD"/>
    <w:rsid w:val="00431B29"/>
    <w:rsid w:val="00431BD6"/>
    <w:rsid w:val="00431BF6"/>
    <w:rsid w:val="00431F56"/>
    <w:rsid w:val="00431F74"/>
    <w:rsid w:val="004320EE"/>
    <w:rsid w:val="004320F0"/>
    <w:rsid w:val="00432430"/>
    <w:rsid w:val="004325C8"/>
    <w:rsid w:val="00432632"/>
    <w:rsid w:val="0043283B"/>
    <w:rsid w:val="00432A00"/>
    <w:rsid w:val="00432BA4"/>
    <w:rsid w:val="00432C0F"/>
    <w:rsid w:val="00432C8B"/>
    <w:rsid w:val="00432E9F"/>
    <w:rsid w:val="00432F01"/>
    <w:rsid w:val="0043310E"/>
    <w:rsid w:val="004333D9"/>
    <w:rsid w:val="00433465"/>
    <w:rsid w:val="004334AE"/>
    <w:rsid w:val="00433735"/>
    <w:rsid w:val="0043384B"/>
    <w:rsid w:val="00433894"/>
    <w:rsid w:val="004338CC"/>
    <w:rsid w:val="00433903"/>
    <w:rsid w:val="00433927"/>
    <w:rsid w:val="004339A2"/>
    <w:rsid w:val="00433B05"/>
    <w:rsid w:val="00433B89"/>
    <w:rsid w:val="00433C10"/>
    <w:rsid w:val="00433CDF"/>
    <w:rsid w:val="00433DA3"/>
    <w:rsid w:val="00433DD6"/>
    <w:rsid w:val="00433F66"/>
    <w:rsid w:val="00434243"/>
    <w:rsid w:val="00434415"/>
    <w:rsid w:val="00434534"/>
    <w:rsid w:val="0043480C"/>
    <w:rsid w:val="00434859"/>
    <w:rsid w:val="004348DF"/>
    <w:rsid w:val="00434935"/>
    <w:rsid w:val="00434A1C"/>
    <w:rsid w:val="00434D07"/>
    <w:rsid w:val="00434D0E"/>
    <w:rsid w:val="00434DC8"/>
    <w:rsid w:val="0043517B"/>
    <w:rsid w:val="00435308"/>
    <w:rsid w:val="00435600"/>
    <w:rsid w:val="0043589B"/>
    <w:rsid w:val="00435943"/>
    <w:rsid w:val="00435B65"/>
    <w:rsid w:val="00435B85"/>
    <w:rsid w:val="00435C2D"/>
    <w:rsid w:val="00435C86"/>
    <w:rsid w:val="00435D56"/>
    <w:rsid w:val="00436240"/>
    <w:rsid w:val="00436336"/>
    <w:rsid w:val="004363BE"/>
    <w:rsid w:val="004366F6"/>
    <w:rsid w:val="00436743"/>
    <w:rsid w:val="0043682E"/>
    <w:rsid w:val="004369AE"/>
    <w:rsid w:val="004369CB"/>
    <w:rsid w:val="00436AAF"/>
    <w:rsid w:val="00436B63"/>
    <w:rsid w:val="00436D2B"/>
    <w:rsid w:val="00436E0E"/>
    <w:rsid w:val="00436F88"/>
    <w:rsid w:val="004371D5"/>
    <w:rsid w:val="0043742B"/>
    <w:rsid w:val="0043748A"/>
    <w:rsid w:val="004375B6"/>
    <w:rsid w:val="004375D4"/>
    <w:rsid w:val="00437626"/>
    <w:rsid w:val="0043767F"/>
    <w:rsid w:val="0043771A"/>
    <w:rsid w:val="004379F9"/>
    <w:rsid w:val="00437C7D"/>
    <w:rsid w:val="00437EB4"/>
    <w:rsid w:val="00440157"/>
    <w:rsid w:val="004402AF"/>
    <w:rsid w:val="0044046A"/>
    <w:rsid w:val="004404BD"/>
    <w:rsid w:val="004409E0"/>
    <w:rsid w:val="00440AB7"/>
    <w:rsid w:val="00440B13"/>
    <w:rsid w:val="00440C51"/>
    <w:rsid w:val="00440D30"/>
    <w:rsid w:val="00440D6A"/>
    <w:rsid w:val="00440E72"/>
    <w:rsid w:val="00440F22"/>
    <w:rsid w:val="00441098"/>
    <w:rsid w:val="00441192"/>
    <w:rsid w:val="004412C3"/>
    <w:rsid w:val="004412C4"/>
    <w:rsid w:val="0044142F"/>
    <w:rsid w:val="00441803"/>
    <w:rsid w:val="00441895"/>
    <w:rsid w:val="00441A21"/>
    <w:rsid w:val="00441A67"/>
    <w:rsid w:val="00441CED"/>
    <w:rsid w:val="00441CF1"/>
    <w:rsid w:val="00441D09"/>
    <w:rsid w:val="00441DAB"/>
    <w:rsid w:val="00441EA9"/>
    <w:rsid w:val="004423B8"/>
    <w:rsid w:val="004424EB"/>
    <w:rsid w:val="00442597"/>
    <w:rsid w:val="00442635"/>
    <w:rsid w:val="0044263B"/>
    <w:rsid w:val="00442735"/>
    <w:rsid w:val="00442CC8"/>
    <w:rsid w:val="00442E58"/>
    <w:rsid w:val="00442EBD"/>
    <w:rsid w:val="00442F65"/>
    <w:rsid w:val="00442F84"/>
    <w:rsid w:val="00443006"/>
    <w:rsid w:val="00443079"/>
    <w:rsid w:val="00443105"/>
    <w:rsid w:val="00443286"/>
    <w:rsid w:val="004433F2"/>
    <w:rsid w:val="0044344D"/>
    <w:rsid w:val="00443878"/>
    <w:rsid w:val="0044392D"/>
    <w:rsid w:val="00443AD8"/>
    <w:rsid w:val="00443C1B"/>
    <w:rsid w:val="00443C45"/>
    <w:rsid w:val="00443CEF"/>
    <w:rsid w:val="00443CFB"/>
    <w:rsid w:val="00443D62"/>
    <w:rsid w:val="00443ED3"/>
    <w:rsid w:val="004444B0"/>
    <w:rsid w:val="00444849"/>
    <w:rsid w:val="00444913"/>
    <w:rsid w:val="00444927"/>
    <w:rsid w:val="00444A94"/>
    <w:rsid w:val="00444CE8"/>
    <w:rsid w:val="00444D2B"/>
    <w:rsid w:val="00444D61"/>
    <w:rsid w:val="00444D7B"/>
    <w:rsid w:val="00444D93"/>
    <w:rsid w:val="00444E7E"/>
    <w:rsid w:val="00444EAF"/>
    <w:rsid w:val="00444F22"/>
    <w:rsid w:val="00444F3D"/>
    <w:rsid w:val="00444FC7"/>
    <w:rsid w:val="00445164"/>
    <w:rsid w:val="004453CB"/>
    <w:rsid w:val="00445499"/>
    <w:rsid w:val="00445553"/>
    <w:rsid w:val="004455FF"/>
    <w:rsid w:val="00445602"/>
    <w:rsid w:val="004456F5"/>
    <w:rsid w:val="004457E0"/>
    <w:rsid w:val="004458AA"/>
    <w:rsid w:val="00445913"/>
    <w:rsid w:val="00445B7D"/>
    <w:rsid w:val="00445CBE"/>
    <w:rsid w:val="00445DE9"/>
    <w:rsid w:val="00445E63"/>
    <w:rsid w:val="0044629D"/>
    <w:rsid w:val="0044653D"/>
    <w:rsid w:val="0044670C"/>
    <w:rsid w:val="00446828"/>
    <w:rsid w:val="00446887"/>
    <w:rsid w:val="00446B46"/>
    <w:rsid w:val="00446CB6"/>
    <w:rsid w:val="00446FC8"/>
    <w:rsid w:val="0044708A"/>
    <w:rsid w:val="0044714E"/>
    <w:rsid w:val="004474A0"/>
    <w:rsid w:val="00447791"/>
    <w:rsid w:val="00447853"/>
    <w:rsid w:val="00447878"/>
    <w:rsid w:val="004478FF"/>
    <w:rsid w:val="00447A14"/>
    <w:rsid w:val="00447A99"/>
    <w:rsid w:val="00447AB1"/>
    <w:rsid w:val="00447B69"/>
    <w:rsid w:val="00447B81"/>
    <w:rsid w:val="00447CF9"/>
    <w:rsid w:val="00447EC2"/>
    <w:rsid w:val="00447FEF"/>
    <w:rsid w:val="0045044F"/>
    <w:rsid w:val="0045048E"/>
    <w:rsid w:val="00450518"/>
    <w:rsid w:val="00450589"/>
    <w:rsid w:val="004505BC"/>
    <w:rsid w:val="004506EC"/>
    <w:rsid w:val="00450AE4"/>
    <w:rsid w:val="00450D23"/>
    <w:rsid w:val="00450F57"/>
    <w:rsid w:val="00451235"/>
    <w:rsid w:val="0045136B"/>
    <w:rsid w:val="00451646"/>
    <w:rsid w:val="00451667"/>
    <w:rsid w:val="004517FD"/>
    <w:rsid w:val="00451856"/>
    <w:rsid w:val="004519CB"/>
    <w:rsid w:val="00451AD2"/>
    <w:rsid w:val="00451B09"/>
    <w:rsid w:val="00451C12"/>
    <w:rsid w:val="00451C43"/>
    <w:rsid w:val="00451CF9"/>
    <w:rsid w:val="004521FE"/>
    <w:rsid w:val="004522C5"/>
    <w:rsid w:val="0045247E"/>
    <w:rsid w:val="00452544"/>
    <w:rsid w:val="004525ED"/>
    <w:rsid w:val="00452659"/>
    <w:rsid w:val="004527CA"/>
    <w:rsid w:val="00452953"/>
    <w:rsid w:val="00452988"/>
    <w:rsid w:val="00452D41"/>
    <w:rsid w:val="00452ED0"/>
    <w:rsid w:val="00453120"/>
    <w:rsid w:val="00453403"/>
    <w:rsid w:val="004536B3"/>
    <w:rsid w:val="004537B7"/>
    <w:rsid w:val="00453D64"/>
    <w:rsid w:val="00453DCE"/>
    <w:rsid w:val="00453DDF"/>
    <w:rsid w:val="00453E28"/>
    <w:rsid w:val="00453EC4"/>
    <w:rsid w:val="0045408F"/>
    <w:rsid w:val="0045416F"/>
    <w:rsid w:val="00454373"/>
    <w:rsid w:val="0045443A"/>
    <w:rsid w:val="004548E5"/>
    <w:rsid w:val="00454BA8"/>
    <w:rsid w:val="00454C24"/>
    <w:rsid w:val="00454C99"/>
    <w:rsid w:val="00454CED"/>
    <w:rsid w:val="00454F72"/>
    <w:rsid w:val="00454FCF"/>
    <w:rsid w:val="004552CC"/>
    <w:rsid w:val="004555AE"/>
    <w:rsid w:val="0045562B"/>
    <w:rsid w:val="00455721"/>
    <w:rsid w:val="00455746"/>
    <w:rsid w:val="00455A69"/>
    <w:rsid w:val="00455AE9"/>
    <w:rsid w:val="00455C1E"/>
    <w:rsid w:val="00455C6C"/>
    <w:rsid w:val="00455D7F"/>
    <w:rsid w:val="00455DD3"/>
    <w:rsid w:val="004561DB"/>
    <w:rsid w:val="0045655F"/>
    <w:rsid w:val="0045666D"/>
    <w:rsid w:val="004567AE"/>
    <w:rsid w:val="00456820"/>
    <w:rsid w:val="00456CA1"/>
    <w:rsid w:val="00456D5A"/>
    <w:rsid w:val="0045737A"/>
    <w:rsid w:val="004577BC"/>
    <w:rsid w:val="00457BCC"/>
    <w:rsid w:val="00457BE3"/>
    <w:rsid w:val="00457C5C"/>
    <w:rsid w:val="00457D00"/>
    <w:rsid w:val="00457FDB"/>
    <w:rsid w:val="0046018D"/>
    <w:rsid w:val="00460251"/>
    <w:rsid w:val="00460257"/>
    <w:rsid w:val="004603ED"/>
    <w:rsid w:val="00460597"/>
    <w:rsid w:val="004606EC"/>
    <w:rsid w:val="004606FB"/>
    <w:rsid w:val="00460A2F"/>
    <w:rsid w:val="00460D33"/>
    <w:rsid w:val="00460EE1"/>
    <w:rsid w:val="00460FA0"/>
    <w:rsid w:val="004611E5"/>
    <w:rsid w:val="00461311"/>
    <w:rsid w:val="0046133C"/>
    <w:rsid w:val="00461613"/>
    <w:rsid w:val="00461E69"/>
    <w:rsid w:val="00461F07"/>
    <w:rsid w:val="00461F7E"/>
    <w:rsid w:val="00461FC6"/>
    <w:rsid w:val="00461FFC"/>
    <w:rsid w:val="0046219B"/>
    <w:rsid w:val="0046237F"/>
    <w:rsid w:val="0046247B"/>
    <w:rsid w:val="0046255A"/>
    <w:rsid w:val="00462588"/>
    <w:rsid w:val="00462622"/>
    <w:rsid w:val="004628BE"/>
    <w:rsid w:val="00462971"/>
    <w:rsid w:val="00462A39"/>
    <w:rsid w:val="00462B43"/>
    <w:rsid w:val="00462C36"/>
    <w:rsid w:val="00462C39"/>
    <w:rsid w:val="00462D1C"/>
    <w:rsid w:val="00462E32"/>
    <w:rsid w:val="00462FB0"/>
    <w:rsid w:val="00462FC6"/>
    <w:rsid w:val="00463036"/>
    <w:rsid w:val="0046322B"/>
    <w:rsid w:val="00463374"/>
    <w:rsid w:val="0046337C"/>
    <w:rsid w:val="0046348E"/>
    <w:rsid w:val="0046355C"/>
    <w:rsid w:val="004636FE"/>
    <w:rsid w:val="004638DE"/>
    <w:rsid w:val="004639B3"/>
    <w:rsid w:val="00463B12"/>
    <w:rsid w:val="00463B69"/>
    <w:rsid w:val="00463DE1"/>
    <w:rsid w:val="00463DED"/>
    <w:rsid w:val="00463E5E"/>
    <w:rsid w:val="00463EF7"/>
    <w:rsid w:val="00463F1B"/>
    <w:rsid w:val="00463F69"/>
    <w:rsid w:val="00464520"/>
    <w:rsid w:val="00464552"/>
    <w:rsid w:val="0046468A"/>
    <w:rsid w:val="00464812"/>
    <w:rsid w:val="004649C5"/>
    <w:rsid w:val="00464CB3"/>
    <w:rsid w:val="00464D21"/>
    <w:rsid w:val="00464DE8"/>
    <w:rsid w:val="00464FA4"/>
    <w:rsid w:val="0046500E"/>
    <w:rsid w:val="004654F6"/>
    <w:rsid w:val="00465624"/>
    <w:rsid w:val="00465662"/>
    <w:rsid w:val="004656E8"/>
    <w:rsid w:val="00465D1C"/>
    <w:rsid w:val="00465DAA"/>
    <w:rsid w:val="00465F35"/>
    <w:rsid w:val="0046606C"/>
    <w:rsid w:val="004660A3"/>
    <w:rsid w:val="00466192"/>
    <w:rsid w:val="004661E4"/>
    <w:rsid w:val="0046658B"/>
    <w:rsid w:val="00466958"/>
    <w:rsid w:val="00466FEA"/>
    <w:rsid w:val="004670A4"/>
    <w:rsid w:val="004670E5"/>
    <w:rsid w:val="00467139"/>
    <w:rsid w:val="004672A4"/>
    <w:rsid w:val="004674CC"/>
    <w:rsid w:val="00467596"/>
    <w:rsid w:val="00467688"/>
    <w:rsid w:val="00467695"/>
    <w:rsid w:val="004676AC"/>
    <w:rsid w:val="004676EE"/>
    <w:rsid w:val="004677EB"/>
    <w:rsid w:val="00467885"/>
    <w:rsid w:val="00467956"/>
    <w:rsid w:val="00467991"/>
    <w:rsid w:val="00467B35"/>
    <w:rsid w:val="00467BB6"/>
    <w:rsid w:val="00467BFE"/>
    <w:rsid w:val="00467C00"/>
    <w:rsid w:val="00467C25"/>
    <w:rsid w:val="00467CA7"/>
    <w:rsid w:val="00467D2E"/>
    <w:rsid w:val="00467D3D"/>
    <w:rsid w:val="00470185"/>
    <w:rsid w:val="0047025B"/>
    <w:rsid w:val="004703A9"/>
    <w:rsid w:val="00470530"/>
    <w:rsid w:val="0047068B"/>
    <w:rsid w:val="004707FB"/>
    <w:rsid w:val="004708E3"/>
    <w:rsid w:val="00470AD3"/>
    <w:rsid w:val="00470B9B"/>
    <w:rsid w:val="00470CB5"/>
    <w:rsid w:val="00470D95"/>
    <w:rsid w:val="00471328"/>
    <w:rsid w:val="004715ED"/>
    <w:rsid w:val="004716A9"/>
    <w:rsid w:val="00471778"/>
    <w:rsid w:val="004719BD"/>
    <w:rsid w:val="00471BE9"/>
    <w:rsid w:val="00471C7B"/>
    <w:rsid w:val="00471D0C"/>
    <w:rsid w:val="00471F97"/>
    <w:rsid w:val="00471FC4"/>
    <w:rsid w:val="0047229E"/>
    <w:rsid w:val="004725FD"/>
    <w:rsid w:val="00472608"/>
    <w:rsid w:val="0047272C"/>
    <w:rsid w:val="00472822"/>
    <w:rsid w:val="004729C7"/>
    <w:rsid w:val="00472A35"/>
    <w:rsid w:val="00472E80"/>
    <w:rsid w:val="00472E87"/>
    <w:rsid w:val="00472EAF"/>
    <w:rsid w:val="00472ED3"/>
    <w:rsid w:val="004731D4"/>
    <w:rsid w:val="00473220"/>
    <w:rsid w:val="00473549"/>
    <w:rsid w:val="00473692"/>
    <w:rsid w:val="004737C3"/>
    <w:rsid w:val="004738FC"/>
    <w:rsid w:val="00473A8E"/>
    <w:rsid w:val="00473C75"/>
    <w:rsid w:val="00473D9D"/>
    <w:rsid w:val="00473F5B"/>
    <w:rsid w:val="00474134"/>
    <w:rsid w:val="0047421C"/>
    <w:rsid w:val="00474650"/>
    <w:rsid w:val="00474745"/>
    <w:rsid w:val="00474819"/>
    <w:rsid w:val="00474A37"/>
    <w:rsid w:val="00474AD8"/>
    <w:rsid w:val="00474B6C"/>
    <w:rsid w:val="00474BB0"/>
    <w:rsid w:val="00474C07"/>
    <w:rsid w:val="00474C48"/>
    <w:rsid w:val="00474D01"/>
    <w:rsid w:val="00474E43"/>
    <w:rsid w:val="00474EA0"/>
    <w:rsid w:val="00474F87"/>
    <w:rsid w:val="00474FD5"/>
    <w:rsid w:val="004750F1"/>
    <w:rsid w:val="00475154"/>
    <w:rsid w:val="004751B2"/>
    <w:rsid w:val="004752EE"/>
    <w:rsid w:val="00475434"/>
    <w:rsid w:val="004754F3"/>
    <w:rsid w:val="0047577F"/>
    <w:rsid w:val="004757C1"/>
    <w:rsid w:val="004759D6"/>
    <w:rsid w:val="00475B98"/>
    <w:rsid w:val="00475BE5"/>
    <w:rsid w:val="00475DF7"/>
    <w:rsid w:val="00476005"/>
    <w:rsid w:val="004760E3"/>
    <w:rsid w:val="0047615C"/>
    <w:rsid w:val="004761EB"/>
    <w:rsid w:val="00476290"/>
    <w:rsid w:val="00476469"/>
    <w:rsid w:val="00476503"/>
    <w:rsid w:val="00476596"/>
    <w:rsid w:val="0047686C"/>
    <w:rsid w:val="004768AF"/>
    <w:rsid w:val="0047699F"/>
    <w:rsid w:val="004769A6"/>
    <w:rsid w:val="004769BD"/>
    <w:rsid w:val="00476C0D"/>
    <w:rsid w:val="00476DF5"/>
    <w:rsid w:val="00476F2D"/>
    <w:rsid w:val="00477095"/>
    <w:rsid w:val="004772D5"/>
    <w:rsid w:val="004772F4"/>
    <w:rsid w:val="00477499"/>
    <w:rsid w:val="0047761E"/>
    <w:rsid w:val="0047763E"/>
    <w:rsid w:val="004777AC"/>
    <w:rsid w:val="0047782F"/>
    <w:rsid w:val="00477890"/>
    <w:rsid w:val="004778A6"/>
    <w:rsid w:val="004778CD"/>
    <w:rsid w:val="004778F6"/>
    <w:rsid w:val="00477B2F"/>
    <w:rsid w:val="00477BE6"/>
    <w:rsid w:val="00477C59"/>
    <w:rsid w:val="00477CB6"/>
    <w:rsid w:val="00477F57"/>
    <w:rsid w:val="00477FA8"/>
    <w:rsid w:val="00480044"/>
    <w:rsid w:val="0048005C"/>
    <w:rsid w:val="004802DC"/>
    <w:rsid w:val="00480401"/>
    <w:rsid w:val="0048040E"/>
    <w:rsid w:val="00480485"/>
    <w:rsid w:val="0048054E"/>
    <w:rsid w:val="004805EA"/>
    <w:rsid w:val="0048064D"/>
    <w:rsid w:val="00480DD9"/>
    <w:rsid w:val="00480E23"/>
    <w:rsid w:val="004811A4"/>
    <w:rsid w:val="0048158E"/>
    <w:rsid w:val="0048187D"/>
    <w:rsid w:val="00481A21"/>
    <w:rsid w:val="00481C54"/>
    <w:rsid w:val="00481CD9"/>
    <w:rsid w:val="00481D01"/>
    <w:rsid w:val="00481FBA"/>
    <w:rsid w:val="004821E4"/>
    <w:rsid w:val="00482208"/>
    <w:rsid w:val="0048234F"/>
    <w:rsid w:val="00482422"/>
    <w:rsid w:val="004826E8"/>
    <w:rsid w:val="00482A02"/>
    <w:rsid w:val="00482C4F"/>
    <w:rsid w:val="00482D81"/>
    <w:rsid w:val="00482E7B"/>
    <w:rsid w:val="00482F33"/>
    <w:rsid w:val="004830BC"/>
    <w:rsid w:val="004831A2"/>
    <w:rsid w:val="004831F5"/>
    <w:rsid w:val="004832C4"/>
    <w:rsid w:val="004832E6"/>
    <w:rsid w:val="004832EE"/>
    <w:rsid w:val="004833AD"/>
    <w:rsid w:val="004836B2"/>
    <w:rsid w:val="0048387A"/>
    <w:rsid w:val="004838E3"/>
    <w:rsid w:val="004839BB"/>
    <w:rsid w:val="00483B14"/>
    <w:rsid w:val="00483B62"/>
    <w:rsid w:val="00483C3A"/>
    <w:rsid w:val="00483C61"/>
    <w:rsid w:val="00483D34"/>
    <w:rsid w:val="00483EB1"/>
    <w:rsid w:val="00483FFD"/>
    <w:rsid w:val="0048400E"/>
    <w:rsid w:val="0048459A"/>
    <w:rsid w:val="00484763"/>
    <w:rsid w:val="00484AA2"/>
    <w:rsid w:val="00484B75"/>
    <w:rsid w:val="00484C9F"/>
    <w:rsid w:val="00484F81"/>
    <w:rsid w:val="00485109"/>
    <w:rsid w:val="00485248"/>
    <w:rsid w:val="004852BE"/>
    <w:rsid w:val="004852FF"/>
    <w:rsid w:val="00485391"/>
    <w:rsid w:val="004854F6"/>
    <w:rsid w:val="00485924"/>
    <w:rsid w:val="00485DC9"/>
    <w:rsid w:val="00486075"/>
    <w:rsid w:val="004860B9"/>
    <w:rsid w:val="004860D9"/>
    <w:rsid w:val="0048614B"/>
    <w:rsid w:val="00486305"/>
    <w:rsid w:val="004863F2"/>
    <w:rsid w:val="0048643D"/>
    <w:rsid w:val="00486473"/>
    <w:rsid w:val="0048649B"/>
    <w:rsid w:val="00486551"/>
    <w:rsid w:val="00486609"/>
    <w:rsid w:val="00486938"/>
    <w:rsid w:val="00486AB9"/>
    <w:rsid w:val="00486F64"/>
    <w:rsid w:val="00487166"/>
    <w:rsid w:val="004872F2"/>
    <w:rsid w:val="00487318"/>
    <w:rsid w:val="00487450"/>
    <w:rsid w:val="0048783C"/>
    <w:rsid w:val="00487ACE"/>
    <w:rsid w:val="00487AE5"/>
    <w:rsid w:val="00487C73"/>
    <w:rsid w:val="00487CD0"/>
    <w:rsid w:val="00487F2D"/>
    <w:rsid w:val="00489943"/>
    <w:rsid w:val="00490130"/>
    <w:rsid w:val="00490152"/>
    <w:rsid w:val="00490366"/>
    <w:rsid w:val="00490497"/>
    <w:rsid w:val="004905D3"/>
    <w:rsid w:val="00490915"/>
    <w:rsid w:val="00490AAE"/>
    <w:rsid w:val="00490BE3"/>
    <w:rsid w:val="00490C4D"/>
    <w:rsid w:val="00490CE4"/>
    <w:rsid w:val="0049136D"/>
    <w:rsid w:val="0049142D"/>
    <w:rsid w:val="00491507"/>
    <w:rsid w:val="0049160C"/>
    <w:rsid w:val="00491816"/>
    <w:rsid w:val="00491B6F"/>
    <w:rsid w:val="00491B70"/>
    <w:rsid w:val="00491D64"/>
    <w:rsid w:val="00491D83"/>
    <w:rsid w:val="00491F0A"/>
    <w:rsid w:val="00491F9E"/>
    <w:rsid w:val="00491FB2"/>
    <w:rsid w:val="0049206F"/>
    <w:rsid w:val="00492079"/>
    <w:rsid w:val="00492273"/>
    <w:rsid w:val="00492318"/>
    <w:rsid w:val="004924A7"/>
    <w:rsid w:val="004924BC"/>
    <w:rsid w:val="004926D3"/>
    <w:rsid w:val="004927B9"/>
    <w:rsid w:val="00492AD3"/>
    <w:rsid w:val="00492B31"/>
    <w:rsid w:val="00492B81"/>
    <w:rsid w:val="00492BE8"/>
    <w:rsid w:val="00492CBB"/>
    <w:rsid w:val="00492F04"/>
    <w:rsid w:val="00492F7C"/>
    <w:rsid w:val="00493026"/>
    <w:rsid w:val="004931C1"/>
    <w:rsid w:val="0049331C"/>
    <w:rsid w:val="004935C8"/>
    <w:rsid w:val="0049366F"/>
    <w:rsid w:val="00493782"/>
    <w:rsid w:val="00493834"/>
    <w:rsid w:val="00493979"/>
    <w:rsid w:val="00493B70"/>
    <w:rsid w:val="00493CC4"/>
    <w:rsid w:val="00493CD1"/>
    <w:rsid w:val="00493EB0"/>
    <w:rsid w:val="00493EC5"/>
    <w:rsid w:val="00494051"/>
    <w:rsid w:val="0049406A"/>
    <w:rsid w:val="00494112"/>
    <w:rsid w:val="004942F5"/>
    <w:rsid w:val="004942F7"/>
    <w:rsid w:val="00494457"/>
    <w:rsid w:val="00494585"/>
    <w:rsid w:val="0049471C"/>
    <w:rsid w:val="004947D6"/>
    <w:rsid w:val="00494977"/>
    <w:rsid w:val="004949BE"/>
    <w:rsid w:val="00494AF8"/>
    <w:rsid w:val="00494BEA"/>
    <w:rsid w:val="00494BF4"/>
    <w:rsid w:val="004950C0"/>
    <w:rsid w:val="004950DF"/>
    <w:rsid w:val="0049554C"/>
    <w:rsid w:val="004958BA"/>
    <w:rsid w:val="004958BF"/>
    <w:rsid w:val="00495A30"/>
    <w:rsid w:val="00495B10"/>
    <w:rsid w:val="00495B32"/>
    <w:rsid w:val="00495C06"/>
    <w:rsid w:val="00495DCA"/>
    <w:rsid w:val="00495E9C"/>
    <w:rsid w:val="00495FDF"/>
    <w:rsid w:val="00495FFF"/>
    <w:rsid w:val="0049602C"/>
    <w:rsid w:val="004960EA"/>
    <w:rsid w:val="00496248"/>
    <w:rsid w:val="004965AE"/>
    <w:rsid w:val="004966BA"/>
    <w:rsid w:val="00496A08"/>
    <w:rsid w:val="00496A24"/>
    <w:rsid w:val="00496B54"/>
    <w:rsid w:val="00496BCF"/>
    <w:rsid w:val="00496C23"/>
    <w:rsid w:val="00496DBE"/>
    <w:rsid w:val="00496DFF"/>
    <w:rsid w:val="00496ED3"/>
    <w:rsid w:val="00496F67"/>
    <w:rsid w:val="00496FE5"/>
    <w:rsid w:val="0049701F"/>
    <w:rsid w:val="0049702C"/>
    <w:rsid w:val="00497119"/>
    <w:rsid w:val="00497148"/>
    <w:rsid w:val="00497248"/>
    <w:rsid w:val="00497291"/>
    <w:rsid w:val="00497482"/>
    <w:rsid w:val="00497566"/>
    <w:rsid w:val="0049778B"/>
    <w:rsid w:val="00497858"/>
    <w:rsid w:val="004978D8"/>
    <w:rsid w:val="00497D17"/>
    <w:rsid w:val="00497EEF"/>
    <w:rsid w:val="00497F6C"/>
    <w:rsid w:val="004A009C"/>
    <w:rsid w:val="004A00FF"/>
    <w:rsid w:val="004A02AF"/>
    <w:rsid w:val="004A0412"/>
    <w:rsid w:val="004A0471"/>
    <w:rsid w:val="004A05BA"/>
    <w:rsid w:val="004A06A6"/>
    <w:rsid w:val="004A06D9"/>
    <w:rsid w:val="004A09E8"/>
    <w:rsid w:val="004A0CB9"/>
    <w:rsid w:val="004A11A2"/>
    <w:rsid w:val="004A12F8"/>
    <w:rsid w:val="004A13CB"/>
    <w:rsid w:val="004A164A"/>
    <w:rsid w:val="004A1743"/>
    <w:rsid w:val="004A192D"/>
    <w:rsid w:val="004A1A23"/>
    <w:rsid w:val="004A1AA3"/>
    <w:rsid w:val="004A1C75"/>
    <w:rsid w:val="004A1CFF"/>
    <w:rsid w:val="004A1DD9"/>
    <w:rsid w:val="004A211F"/>
    <w:rsid w:val="004A2131"/>
    <w:rsid w:val="004A2321"/>
    <w:rsid w:val="004A23D7"/>
    <w:rsid w:val="004A2A44"/>
    <w:rsid w:val="004A2A79"/>
    <w:rsid w:val="004A2AD9"/>
    <w:rsid w:val="004A2CF1"/>
    <w:rsid w:val="004A2E36"/>
    <w:rsid w:val="004A2FED"/>
    <w:rsid w:val="004A3053"/>
    <w:rsid w:val="004A32BF"/>
    <w:rsid w:val="004A32FF"/>
    <w:rsid w:val="004A3317"/>
    <w:rsid w:val="004A3436"/>
    <w:rsid w:val="004A3503"/>
    <w:rsid w:val="004A3710"/>
    <w:rsid w:val="004A384F"/>
    <w:rsid w:val="004A3D93"/>
    <w:rsid w:val="004A4192"/>
    <w:rsid w:val="004A41E3"/>
    <w:rsid w:val="004A41ED"/>
    <w:rsid w:val="004A422E"/>
    <w:rsid w:val="004A4276"/>
    <w:rsid w:val="004A427C"/>
    <w:rsid w:val="004A437F"/>
    <w:rsid w:val="004A45DB"/>
    <w:rsid w:val="004A4602"/>
    <w:rsid w:val="004A479A"/>
    <w:rsid w:val="004A4848"/>
    <w:rsid w:val="004A4A37"/>
    <w:rsid w:val="004A4A4D"/>
    <w:rsid w:val="004A4A7B"/>
    <w:rsid w:val="004A4AB2"/>
    <w:rsid w:val="004A4BFB"/>
    <w:rsid w:val="004A4C0C"/>
    <w:rsid w:val="004A4C9F"/>
    <w:rsid w:val="004A4D2D"/>
    <w:rsid w:val="004A4D8B"/>
    <w:rsid w:val="004A4F19"/>
    <w:rsid w:val="004A5197"/>
    <w:rsid w:val="004A5207"/>
    <w:rsid w:val="004A5284"/>
    <w:rsid w:val="004A5455"/>
    <w:rsid w:val="004A55DD"/>
    <w:rsid w:val="004A57D3"/>
    <w:rsid w:val="004A5A39"/>
    <w:rsid w:val="004A5B58"/>
    <w:rsid w:val="004A5C02"/>
    <w:rsid w:val="004A5EF7"/>
    <w:rsid w:val="004A618A"/>
    <w:rsid w:val="004A6426"/>
    <w:rsid w:val="004A64E8"/>
    <w:rsid w:val="004A661E"/>
    <w:rsid w:val="004A6658"/>
    <w:rsid w:val="004A66D3"/>
    <w:rsid w:val="004A6790"/>
    <w:rsid w:val="004A6CB5"/>
    <w:rsid w:val="004A6D15"/>
    <w:rsid w:val="004A6DEF"/>
    <w:rsid w:val="004A7055"/>
    <w:rsid w:val="004A70B4"/>
    <w:rsid w:val="004A7424"/>
    <w:rsid w:val="004A743B"/>
    <w:rsid w:val="004A76FB"/>
    <w:rsid w:val="004A7737"/>
    <w:rsid w:val="004A782D"/>
    <w:rsid w:val="004A7C69"/>
    <w:rsid w:val="004A7D48"/>
    <w:rsid w:val="004A7DD2"/>
    <w:rsid w:val="004A7E74"/>
    <w:rsid w:val="004A7EEE"/>
    <w:rsid w:val="004B026C"/>
    <w:rsid w:val="004B0327"/>
    <w:rsid w:val="004B035A"/>
    <w:rsid w:val="004B04B9"/>
    <w:rsid w:val="004B0732"/>
    <w:rsid w:val="004B07AB"/>
    <w:rsid w:val="004B0832"/>
    <w:rsid w:val="004B0871"/>
    <w:rsid w:val="004B0A29"/>
    <w:rsid w:val="004B0EC2"/>
    <w:rsid w:val="004B1105"/>
    <w:rsid w:val="004B1164"/>
    <w:rsid w:val="004B133A"/>
    <w:rsid w:val="004B1355"/>
    <w:rsid w:val="004B155D"/>
    <w:rsid w:val="004B178A"/>
    <w:rsid w:val="004B1846"/>
    <w:rsid w:val="004B187C"/>
    <w:rsid w:val="004B18AB"/>
    <w:rsid w:val="004B18C2"/>
    <w:rsid w:val="004B18EA"/>
    <w:rsid w:val="004B1950"/>
    <w:rsid w:val="004B1A20"/>
    <w:rsid w:val="004B1A35"/>
    <w:rsid w:val="004B1B41"/>
    <w:rsid w:val="004B1C5D"/>
    <w:rsid w:val="004B1CC0"/>
    <w:rsid w:val="004B1D8B"/>
    <w:rsid w:val="004B22C3"/>
    <w:rsid w:val="004B2346"/>
    <w:rsid w:val="004B23F2"/>
    <w:rsid w:val="004B255E"/>
    <w:rsid w:val="004B2B4D"/>
    <w:rsid w:val="004B2BD9"/>
    <w:rsid w:val="004B2D85"/>
    <w:rsid w:val="004B2F0E"/>
    <w:rsid w:val="004B3618"/>
    <w:rsid w:val="004B397E"/>
    <w:rsid w:val="004B3999"/>
    <w:rsid w:val="004B39C4"/>
    <w:rsid w:val="004B3C35"/>
    <w:rsid w:val="004B3C73"/>
    <w:rsid w:val="004B3DDE"/>
    <w:rsid w:val="004B3E27"/>
    <w:rsid w:val="004B3F8D"/>
    <w:rsid w:val="004B3FAB"/>
    <w:rsid w:val="004B43F2"/>
    <w:rsid w:val="004B4400"/>
    <w:rsid w:val="004B4499"/>
    <w:rsid w:val="004B4625"/>
    <w:rsid w:val="004B46A5"/>
    <w:rsid w:val="004B474E"/>
    <w:rsid w:val="004B48C2"/>
    <w:rsid w:val="004B4A13"/>
    <w:rsid w:val="004B4C51"/>
    <w:rsid w:val="004B4E4E"/>
    <w:rsid w:val="004B4FD5"/>
    <w:rsid w:val="004B5196"/>
    <w:rsid w:val="004B5204"/>
    <w:rsid w:val="004B5450"/>
    <w:rsid w:val="004B58AA"/>
    <w:rsid w:val="004B5B03"/>
    <w:rsid w:val="004B5C96"/>
    <w:rsid w:val="004B5F34"/>
    <w:rsid w:val="004B60F1"/>
    <w:rsid w:val="004B6239"/>
    <w:rsid w:val="004B6311"/>
    <w:rsid w:val="004B6346"/>
    <w:rsid w:val="004B6388"/>
    <w:rsid w:val="004B63A6"/>
    <w:rsid w:val="004B659B"/>
    <w:rsid w:val="004B67E4"/>
    <w:rsid w:val="004B6882"/>
    <w:rsid w:val="004B68C6"/>
    <w:rsid w:val="004B69E8"/>
    <w:rsid w:val="004B6B3F"/>
    <w:rsid w:val="004B6B49"/>
    <w:rsid w:val="004B6CE8"/>
    <w:rsid w:val="004B6D71"/>
    <w:rsid w:val="004B6F4A"/>
    <w:rsid w:val="004B6FBF"/>
    <w:rsid w:val="004B707E"/>
    <w:rsid w:val="004B7270"/>
    <w:rsid w:val="004B72F4"/>
    <w:rsid w:val="004B75B8"/>
    <w:rsid w:val="004B7854"/>
    <w:rsid w:val="004B79B9"/>
    <w:rsid w:val="004B7A36"/>
    <w:rsid w:val="004B7A4B"/>
    <w:rsid w:val="004B7C31"/>
    <w:rsid w:val="004B7C32"/>
    <w:rsid w:val="004B7E68"/>
    <w:rsid w:val="004B7EAF"/>
    <w:rsid w:val="004C00AC"/>
    <w:rsid w:val="004C0270"/>
    <w:rsid w:val="004C02F2"/>
    <w:rsid w:val="004C0395"/>
    <w:rsid w:val="004C0899"/>
    <w:rsid w:val="004C0A28"/>
    <w:rsid w:val="004C0A61"/>
    <w:rsid w:val="004C0E00"/>
    <w:rsid w:val="004C0E14"/>
    <w:rsid w:val="004C0E4B"/>
    <w:rsid w:val="004C0EC3"/>
    <w:rsid w:val="004C0F41"/>
    <w:rsid w:val="004C0FA4"/>
    <w:rsid w:val="004C10D3"/>
    <w:rsid w:val="004C1118"/>
    <w:rsid w:val="004C11EB"/>
    <w:rsid w:val="004C1348"/>
    <w:rsid w:val="004C13FA"/>
    <w:rsid w:val="004C140D"/>
    <w:rsid w:val="004C161D"/>
    <w:rsid w:val="004C17B3"/>
    <w:rsid w:val="004C1888"/>
    <w:rsid w:val="004C18C9"/>
    <w:rsid w:val="004C1C76"/>
    <w:rsid w:val="004C1D49"/>
    <w:rsid w:val="004C1DE6"/>
    <w:rsid w:val="004C1E67"/>
    <w:rsid w:val="004C1E77"/>
    <w:rsid w:val="004C1FAF"/>
    <w:rsid w:val="004C2087"/>
    <w:rsid w:val="004C22C1"/>
    <w:rsid w:val="004C2324"/>
    <w:rsid w:val="004C2393"/>
    <w:rsid w:val="004C24C1"/>
    <w:rsid w:val="004C271B"/>
    <w:rsid w:val="004C2C92"/>
    <w:rsid w:val="004C305E"/>
    <w:rsid w:val="004C3079"/>
    <w:rsid w:val="004C338E"/>
    <w:rsid w:val="004C3617"/>
    <w:rsid w:val="004C3666"/>
    <w:rsid w:val="004C37B1"/>
    <w:rsid w:val="004C3917"/>
    <w:rsid w:val="004C3A25"/>
    <w:rsid w:val="004C3BA7"/>
    <w:rsid w:val="004C3CD4"/>
    <w:rsid w:val="004C3DD6"/>
    <w:rsid w:val="004C4052"/>
    <w:rsid w:val="004C40E6"/>
    <w:rsid w:val="004C42A9"/>
    <w:rsid w:val="004C4745"/>
    <w:rsid w:val="004C4A07"/>
    <w:rsid w:val="004C4A39"/>
    <w:rsid w:val="004C4D9C"/>
    <w:rsid w:val="004C4FC3"/>
    <w:rsid w:val="004C51B8"/>
    <w:rsid w:val="004C525D"/>
    <w:rsid w:val="004C5347"/>
    <w:rsid w:val="004C53DA"/>
    <w:rsid w:val="004C59F3"/>
    <w:rsid w:val="004C5B5E"/>
    <w:rsid w:val="004C5BFB"/>
    <w:rsid w:val="004C5E75"/>
    <w:rsid w:val="004C6051"/>
    <w:rsid w:val="004C60C4"/>
    <w:rsid w:val="004C60CD"/>
    <w:rsid w:val="004C6239"/>
    <w:rsid w:val="004C63A5"/>
    <w:rsid w:val="004C65C1"/>
    <w:rsid w:val="004C6655"/>
    <w:rsid w:val="004C685A"/>
    <w:rsid w:val="004C693C"/>
    <w:rsid w:val="004C6A08"/>
    <w:rsid w:val="004C6A32"/>
    <w:rsid w:val="004C6B2D"/>
    <w:rsid w:val="004C6B8D"/>
    <w:rsid w:val="004C6BA8"/>
    <w:rsid w:val="004C6C16"/>
    <w:rsid w:val="004C6C9D"/>
    <w:rsid w:val="004C6D02"/>
    <w:rsid w:val="004C6EAD"/>
    <w:rsid w:val="004C70A4"/>
    <w:rsid w:val="004C70C4"/>
    <w:rsid w:val="004C7232"/>
    <w:rsid w:val="004C7314"/>
    <w:rsid w:val="004C78D8"/>
    <w:rsid w:val="004C7A99"/>
    <w:rsid w:val="004C7C40"/>
    <w:rsid w:val="004C7D4C"/>
    <w:rsid w:val="004C7F5A"/>
    <w:rsid w:val="004D0338"/>
    <w:rsid w:val="004D0380"/>
    <w:rsid w:val="004D03AC"/>
    <w:rsid w:val="004D049A"/>
    <w:rsid w:val="004D0709"/>
    <w:rsid w:val="004D0914"/>
    <w:rsid w:val="004D0BA3"/>
    <w:rsid w:val="004D0D0F"/>
    <w:rsid w:val="004D0D4A"/>
    <w:rsid w:val="004D0D79"/>
    <w:rsid w:val="004D0E7E"/>
    <w:rsid w:val="004D0EA6"/>
    <w:rsid w:val="004D10AD"/>
    <w:rsid w:val="004D10CB"/>
    <w:rsid w:val="004D11F7"/>
    <w:rsid w:val="004D1329"/>
    <w:rsid w:val="004D132D"/>
    <w:rsid w:val="004D1411"/>
    <w:rsid w:val="004D1508"/>
    <w:rsid w:val="004D1561"/>
    <w:rsid w:val="004D1649"/>
    <w:rsid w:val="004D175C"/>
    <w:rsid w:val="004D178F"/>
    <w:rsid w:val="004D1793"/>
    <w:rsid w:val="004D1A6A"/>
    <w:rsid w:val="004D1CD6"/>
    <w:rsid w:val="004D1EB1"/>
    <w:rsid w:val="004D1ED5"/>
    <w:rsid w:val="004D20D1"/>
    <w:rsid w:val="004D210D"/>
    <w:rsid w:val="004D252C"/>
    <w:rsid w:val="004D2619"/>
    <w:rsid w:val="004D261B"/>
    <w:rsid w:val="004D26A6"/>
    <w:rsid w:val="004D2758"/>
    <w:rsid w:val="004D27DE"/>
    <w:rsid w:val="004D28B2"/>
    <w:rsid w:val="004D29E8"/>
    <w:rsid w:val="004D2C00"/>
    <w:rsid w:val="004D2D1E"/>
    <w:rsid w:val="004D2D1F"/>
    <w:rsid w:val="004D2F06"/>
    <w:rsid w:val="004D3035"/>
    <w:rsid w:val="004D305B"/>
    <w:rsid w:val="004D312E"/>
    <w:rsid w:val="004D3212"/>
    <w:rsid w:val="004D3279"/>
    <w:rsid w:val="004D3419"/>
    <w:rsid w:val="004D349E"/>
    <w:rsid w:val="004D3519"/>
    <w:rsid w:val="004D37D6"/>
    <w:rsid w:val="004D3913"/>
    <w:rsid w:val="004D3957"/>
    <w:rsid w:val="004D39DB"/>
    <w:rsid w:val="004D3B84"/>
    <w:rsid w:val="004D3E70"/>
    <w:rsid w:val="004D3F60"/>
    <w:rsid w:val="004D40C2"/>
    <w:rsid w:val="004D4151"/>
    <w:rsid w:val="004D4155"/>
    <w:rsid w:val="004D422D"/>
    <w:rsid w:val="004D42CE"/>
    <w:rsid w:val="004D43AB"/>
    <w:rsid w:val="004D44E8"/>
    <w:rsid w:val="004D44EE"/>
    <w:rsid w:val="004D455A"/>
    <w:rsid w:val="004D45A6"/>
    <w:rsid w:val="004D460F"/>
    <w:rsid w:val="004D46DF"/>
    <w:rsid w:val="004D46F4"/>
    <w:rsid w:val="004D48B9"/>
    <w:rsid w:val="004D4924"/>
    <w:rsid w:val="004D4BBB"/>
    <w:rsid w:val="004D4C24"/>
    <w:rsid w:val="004D4F70"/>
    <w:rsid w:val="004D5002"/>
    <w:rsid w:val="004D5099"/>
    <w:rsid w:val="004D517C"/>
    <w:rsid w:val="004D524E"/>
    <w:rsid w:val="004D5828"/>
    <w:rsid w:val="004D5A9D"/>
    <w:rsid w:val="004D5DA7"/>
    <w:rsid w:val="004D5E20"/>
    <w:rsid w:val="004D5E66"/>
    <w:rsid w:val="004D5F38"/>
    <w:rsid w:val="004D60C0"/>
    <w:rsid w:val="004D65B2"/>
    <w:rsid w:val="004D66E7"/>
    <w:rsid w:val="004D6DAA"/>
    <w:rsid w:val="004D7016"/>
    <w:rsid w:val="004D7193"/>
    <w:rsid w:val="004D72AA"/>
    <w:rsid w:val="004D72B5"/>
    <w:rsid w:val="004D7305"/>
    <w:rsid w:val="004D7416"/>
    <w:rsid w:val="004D7715"/>
    <w:rsid w:val="004D7748"/>
    <w:rsid w:val="004D777C"/>
    <w:rsid w:val="004D77FF"/>
    <w:rsid w:val="004D7815"/>
    <w:rsid w:val="004D79C4"/>
    <w:rsid w:val="004DD68F"/>
    <w:rsid w:val="004E01A3"/>
    <w:rsid w:val="004E02BA"/>
    <w:rsid w:val="004E0389"/>
    <w:rsid w:val="004E0431"/>
    <w:rsid w:val="004E043D"/>
    <w:rsid w:val="004E0615"/>
    <w:rsid w:val="004E0712"/>
    <w:rsid w:val="004E084F"/>
    <w:rsid w:val="004E09B2"/>
    <w:rsid w:val="004E09F2"/>
    <w:rsid w:val="004E0A37"/>
    <w:rsid w:val="004E0A47"/>
    <w:rsid w:val="004E0A9A"/>
    <w:rsid w:val="004E0E81"/>
    <w:rsid w:val="004E132E"/>
    <w:rsid w:val="004E1359"/>
    <w:rsid w:val="004E13BF"/>
    <w:rsid w:val="004E14F7"/>
    <w:rsid w:val="004E1501"/>
    <w:rsid w:val="004E15FF"/>
    <w:rsid w:val="004E1603"/>
    <w:rsid w:val="004E176B"/>
    <w:rsid w:val="004E19F8"/>
    <w:rsid w:val="004E1ADF"/>
    <w:rsid w:val="004E1B2A"/>
    <w:rsid w:val="004E1BFF"/>
    <w:rsid w:val="004E1C47"/>
    <w:rsid w:val="004E1CA2"/>
    <w:rsid w:val="004E1CCE"/>
    <w:rsid w:val="004E1D09"/>
    <w:rsid w:val="004E1ECA"/>
    <w:rsid w:val="004E1EFB"/>
    <w:rsid w:val="004E1FD6"/>
    <w:rsid w:val="004E20C9"/>
    <w:rsid w:val="004E21DE"/>
    <w:rsid w:val="004E2285"/>
    <w:rsid w:val="004E23B5"/>
    <w:rsid w:val="004E252E"/>
    <w:rsid w:val="004E254E"/>
    <w:rsid w:val="004E2730"/>
    <w:rsid w:val="004E284E"/>
    <w:rsid w:val="004E2876"/>
    <w:rsid w:val="004E28E4"/>
    <w:rsid w:val="004E2976"/>
    <w:rsid w:val="004E2A0B"/>
    <w:rsid w:val="004E2C22"/>
    <w:rsid w:val="004E2D5D"/>
    <w:rsid w:val="004E31E2"/>
    <w:rsid w:val="004E33FE"/>
    <w:rsid w:val="004E3442"/>
    <w:rsid w:val="004E34DD"/>
    <w:rsid w:val="004E34F7"/>
    <w:rsid w:val="004E3503"/>
    <w:rsid w:val="004E355C"/>
    <w:rsid w:val="004E375C"/>
    <w:rsid w:val="004E37DF"/>
    <w:rsid w:val="004E37E8"/>
    <w:rsid w:val="004E3EE4"/>
    <w:rsid w:val="004E3FA0"/>
    <w:rsid w:val="004E3FB4"/>
    <w:rsid w:val="004E4005"/>
    <w:rsid w:val="004E400B"/>
    <w:rsid w:val="004E40E1"/>
    <w:rsid w:val="004E41C4"/>
    <w:rsid w:val="004E45A6"/>
    <w:rsid w:val="004E4823"/>
    <w:rsid w:val="004E4BA7"/>
    <w:rsid w:val="004E4C01"/>
    <w:rsid w:val="004E4C6B"/>
    <w:rsid w:val="004E4D6B"/>
    <w:rsid w:val="004E4E75"/>
    <w:rsid w:val="004E4EA6"/>
    <w:rsid w:val="004E5092"/>
    <w:rsid w:val="004E50AD"/>
    <w:rsid w:val="004E514B"/>
    <w:rsid w:val="004E52A9"/>
    <w:rsid w:val="004E532B"/>
    <w:rsid w:val="004E5662"/>
    <w:rsid w:val="004E56A6"/>
    <w:rsid w:val="004E56A7"/>
    <w:rsid w:val="004E571F"/>
    <w:rsid w:val="004E5849"/>
    <w:rsid w:val="004E590A"/>
    <w:rsid w:val="004E5A90"/>
    <w:rsid w:val="004E5B26"/>
    <w:rsid w:val="004E5B9C"/>
    <w:rsid w:val="004E5EAA"/>
    <w:rsid w:val="004E638E"/>
    <w:rsid w:val="004E6978"/>
    <w:rsid w:val="004E6CD2"/>
    <w:rsid w:val="004E6D02"/>
    <w:rsid w:val="004E6ECE"/>
    <w:rsid w:val="004E76EF"/>
    <w:rsid w:val="004E76FD"/>
    <w:rsid w:val="004E7CE5"/>
    <w:rsid w:val="004E7D16"/>
    <w:rsid w:val="004E7F5F"/>
    <w:rsid w:val="004E7FFE"/>
    <w:rsid w:val="004F00FC"/>
    <w:rsid w:val="004F0115"/>
    <w:rsid w:val="004F03CD"/>
    <w:rsid w:val="004F0462"/>
    <w:rsid w:val="004F05CA"/>
    <w:rsid w:val="004F0611"/>
    <w:rsid w:val="004F085B"/>
    <w:rsid w:val="004F094B"/>
    <w:rsid w:val="004F095E"/>
    <w:rsid w:val="004F0A33"/>
    <w:rsid w:val="004F0D44"/>
    <w:rsid w:val="004F0D5A"/>
    <w:rsid w:val="004F0D90"/>
    <w:rsid w:val="004F0ED5"/>
    <w:rsid w:val="004F0F66"/>
    <w:rsid w:val="004F113D"/>
    <w:rsid w:val="004F1486"/>
    <w:rsid w:val="004F1500"/>
    <w:rsid w:val="004F169C"/>
    <w:rsid w:val="004F1AD3"/>
    <w:rsid w:val="004F1C16"/>
    <w:rsid w:val="004F1C6A"/>
    <w:rsid w:val="004F1D34"/>
    <w:rsid w:val="004F2005"/>
    <w:rsid w:val="004F2014"/>
    <w:rsid w:val="004F21E8"/>
    <w:rsid w:val="004F220E"/>
    <w:rsid w:val="004F229E"/>
    <w:rsid w:val="004F22B1"/>
    <w:rsid w:val="004F245C"/>
    <w:rsid w:val="004F2540"/>
    <w:rsid w:val="004F26F6"/>
    <w:rsid w:val="004F2706"/>
    <w:rsid w:val="004F2734"/>
    <w:rsid w:val="004F2C51"/>
    <w:rsid w:val="004F2D83"/>
    <w:rsid w:val="004F3215"/>
    <w:rsid w:val="004F36D0"/>
    <w:rsid w:val="004F37E9"/>
    <w:rsid w:val="004F37F5"/>
    <w:rsid w:val="004F38A0"/>
    <w:rsid w:val="004F38E3"/>
    <w:rsid w:val="004F398E"/>
    <w:rsid w:val="004F39A8"/>
    <w:rsid w:val="004F3C7A"/>
    <w:rsid w:val="004F3F22"/>
    <w:rsid w:val="004F418C"/>
    <w:rsid w:val="004F4365"/>
    <w:rsid w:val="004F4489"/>
    <w:rsid w:val="004F4676"/>
    <w:rsid w:val="004F474C"/>
    <w:rsid w:val="004F47F4"/>
    <w:rsid w:val="004F4992"/>
    <w:rsid w:val="004F499A"/>
    <w:rsid w:val="004F4B88"/>
    <w:rsid w:val="004F4D12"/>
    <w:rsid w:val="004F4D7D"/>
    <w:rsid w:val="004F5045"/>
    <w:rsid w:val="004F504C"/>
    <w:rsid w:val="004F5189"/>
    <w:rsid w:val="004F51CC"/>
    <w:rsid w:val="004F5319"/>
    <w:rsid w:val="004F5453"/>
    <w:rsid w:val="004F5568"/>
    <w:rsid w:val="004F55EF"/>
    <w:rsid w:val="004F5651"/>
    <w:rsid w:val="004F5B33"/>
    <w:rsid w:val="004F5BAB"/>
    <w:rsid w:val="004F5BF7"/>
    <w:rsid w:val="004F5DF7"/>
    <w:rsid w:val="004F5EED"/>
    <w:rsid w:val="004F5F11"/>
    <w:rsid w:val="004F5F99"/>
    <w:rsid w:val="004F62E0"/>
    <w:rsid w:val="004F6717"/>
    <w:rsid w:val="004F6720"/>
    <w:rsid w:val="004F67B1"/>
    <w:rsid w:val="004F6941"/>
    <w:rsid w:val="004F69AC"/>
    <w:rsid w:val="004F6B33"/>
    <w:rsid w:val="004F6B9A"/>
    <w:rsid w:val="004F6DB8"/>
    <w:rsid w:val="004F6E69"/>
    <w:rsid w:val="004F6F7A"/>
    <w:rsid w:val="004F6FB6"/>
    <w:rsid w:val="004F6FFC"/>
    <w:rsid w:val="004F716F"/>
    <w:rsid w:val="004F7229"/>
    <w:rsid w:val="004F72FF"/>
    <w:rsid w:val="004F7312"/>
    <w:rsid w:val="004F733C"/>
    <w:rsid w:val="004F7E5D"/>
    <w:rsid w:val="004F7F43"/>
    <w:rsid w:val="004F7F70"/>
    <w:rsid w:val="00500027"/>
    <w:rsid w:val="0050028D"/>
    <w:rsid w:val="0050031C"/>
    <w:rsid w:val="005003D8"/>
    <w:rsid w:val="00500440"/>
    <w:rsid w:val="005005A2"/>
    <w:rsid w:val="005009E3"/>
    <w:rsid w:val="00500A6A"/>
    <w:rsid w:val="00500C91"/>
    <w:rsid w:val="00500DC0"/>
    <w:rsid w:val="00500DCB"/>
    <w:rsid w:val="00500F25"/>
    <w:rsid w:val="00500FF3"/>
    <w:rsid w:val="005011BA"/>
    <w:rsid w:val="005013BA"/>
    <w:rsid w:val="00501A16"/>
    <w:rsid w:val="00501C48"/>
    <w:rsid w:val="00501F57"/>
    <w:rsid w:val="0050201C"/>
    <w:rsid w:val="00502025"/>
    <w:rsid w:val="005025AB"/>
    <w:rsid w:val="005026B0"/>
    <w:rsid w:val="005026DD"/>
    <w:rsid w:val="00502902"/>
    <w:rsid w:val="00502962"/>
    <w:rsid w:val="00502A27"/>
    <w:rsid w:val="00502A6F"/>
    <w:rsid w:val="00502A99"/>
    <w:rsid w:val="00502AC1"/>
    <w:rsid w:val="00502D31"/>
    <w:rsid w:val="00502F96"/>
    <w:rsid w:val="00503113"/>
    <w:rsid w:val="00503132"/>
    <w:rsid w:val="00503223"/>
    <w:rsid w:val="00503227"/>
    <w:rsid w:val="005032DA"/>
    <w:rsid w:val="005036EB"/>
    <w:rsid w:val="00503810"/>
    <w:rsid w:val="00503A0C"/>
    <w:rsid w:val="00503A23"/>
    <w:rsid w:val="00503BE3"/>
    <w:rsid w:val="00503DBE"/>
    <w:rsid w:val="0050417D"/>
    <w:rsid w:val="005041E0"/>
    <w:rsid w:val="00504294"/>
    <w:rsid w:val="00504304"/>
    <w:rsid w:val="0050447A"/>
    <w:rsid w:val="005045FB"/>
    <w:rsid w:val="00504AC2"/>
    <w:rsid w:val="00505090"/>
    <w:rsid w:val="005050CE"/>
    <w:rsid w:val="00505263"/>
    <w:rsid w:val="0050563F"/>
    <w:rsid w:val="005058E7"/>
    <w:rsid w:val="0050592A"/>
    <w:rsid w:val="00505B39"/>
    <w:rsid w:val="00505BE7"/>
    <w:rsid w:val="00505D47"/>
    <w:rsid w:val="00505DE1"/>
    <w:rsid w:val="00505EEF"/>
    <w:rsid w:val="0050604E"/>
    <w:rsid w:val="00506694"/>
    <w:rsid w:val="0050687E"/>
    <w:rsid w:val="00506BA5"/>
    <w:rsid w:val="00506CE6"/>
    <w:rsid w:val="00506F5E"/>
    <w:rsid w:val="00506F9C"/>
    <w:rsid w:val="00506FC7"/>
    <w:rsid w:val="00507054"/>
    <w:rsid w:val="0050705E"/>
    <w:rsid w:val="005071EA"/>
    <w:rsid w:val="005073F0"/>
    <w:rsid w:val="00507401"/>
    <w:rsid w:val="005074F5"/>
    <w:rsid w:val="00507C88"/>
    <w:rsid w:val="00507D08"/>
    <w:rsid w:val="00507D3E"/>
    <w:rsid w:val="00507D48"/>
    <w:rsid w:val="00507E3D"/>
    <w:rsid w:val="0051001A"/>
    <w:rsid w:val="0051017E"/>
    <w:rsid w:val="00510741"/>
    <w:rsid w:val="0051094B"/>
    <w:rsid w:val="00510A42"/>
    <w:rsid w:val="00510B01"/>
    <w:rsid w:val="00510B29"/>
    <w:rsid w:val="00510DF8"/>
    <w:rsid w:val="00510F87"/>
    <w:rsid w:val="0051114D"/>
    <w:rsid w:val="005111E7"/>
    <w:rsid w:val="0051121B"/>
    <w:rsid w:val="0051126C"/>
    <w:rsid w:val="0051135D"/>
    <w:rsid w:val="00511393"/>
    <w:rsid w:val="005113BF"/>
    <w:rsid w:val="005114EB"/>
    <w:rsid w:val="0051163E"/>
    <w:rsid w:val="00511831"/>
    <w:rsid w:val="00511A4E"/>
    <w:rsid w:val="00511C09"/>
    <w:rsid w:val="00512153"/>
    <w:rsid w:val="005121B2"/>
    <w:rsid w:val="005124C1"/>
    <w:rsid w:val="005125FE"/>
    <w:rsid w:val="005127C5"/>
    <w:rsid w:val="00512AD9"/>
    <w:rsid w:val="00512B5E"/>
    <w:rsid w:val="00512B76"/>
    <w:rsid w:val="00512E3A"/>
    <w:rsid w:val="0051304E"/>
    <w:rsid w:val="00513064"/>
    <w:rsid w:val="005130C4"/>
    <w:rsid w:val="005130EE"/>
    <w:rsid w:val="0051318D"/>
    <w:rsid w:val="005132C6"/>
    <w:rsid w:val="0051351C"/>
    <w:rsid w:val="00513744"/>
    <w:rsid w:val="00513885"/>
    <w:rsid w:val="00513A0B"/>
    <w:rsid w:val="00513FB0"/>
    <w:rsid w:val="0051420B"/>
    <w:rsid w:val="005142EC"/>
    <w:rsid w:val="005143F8"/>
    <w:rsid w:val="00514748"/>
    <w:rsid w:val="005147B1"/>
    <w:rsid w:val="005149C9"/>
    <w:rsid w:val="00514A69"/>
    <w:rsid w:val="00514BBA"/>
    <w:rsid w:val="00514BCE"/>
    <w:rsid w:val="005151DB"/>
    <w:rsid w:val="00515317"/>
    <w:rsid w:val="005153CE"/>
    <w:rsid w:val="005154FC"/>
    <w:rsid w:val="005155F2"/>
    <w:rsid w:val="00515630"/>
    <w:rsid w:val="00515673"/>
    <w:rsid w:val="005158E0"/>
    <w:rsid w:val="00515B0E"/>
    <w:rsid w:val="00515B84"/>
    <w:rsid w:val="00515B8D"/>
    <w:rsid w:val="00515FE9"/>
    <w:rsid w:val="0051602B"/>
    <w:rsid w:val="00516103"/>
    <w:rsid w:val="0051623C"/>
    <w:rsid w:val="005163B5"/>
    <w:rsid w:val="005164AA"/>
    <w:rsid w:val="005164DB"/>
    <w:rsid w:val="005164F1"/>
    <w:rsid w:val="00516582"/>
    <w:rsid w:val="005165F8"/>
    <w:rsid w:val="005167D4"/>
    <w:rsid w:val="005167DC"/>
    <w:rsid w:val="0051684B"/>
    <w:rsid w:val="005168A0"/>
    <w:rsid w:val="00516972"/>
    <w:rsid w:val="00516D17"/>
    <w:rsid w:val="00516DD0"/>
    <w:rsid w:val="00516E44"/>
    <w:rsid w:val="00516EBF"/>
    <w:rsid w:val="005170BD"/>
    <w:rsid w:val="00517164"/>
    <w:rsid w:val="005172A0"/>
    <w:rsid w:val="005173D1"/>
    <w:rsid w:val="00517407"/>
    <w:rsid w:val="0051749C"/>
    <w:rsid w:val="005175BE"/>
    <w:rsid w:val="0051773A"/>
    <w:rsid w:val="0051779E"/>
    <w:rsid w:val="00517886"/>
    <w:rsid w:val="005178A9"/>
    <w:rsid w:val="005178E5"/>
    <w:rsid w:val="0051796B"/>
    <w:rsid w:val="00517A0C"/>
    <w:rsid w:val="00517B6A"/>
    <w:rsid w:val="00517E24"/>
    <w:rsid w:val="00517EAD"/>
    <w:rsid w:val="005201D2"/>
    <w:rsid w:val="005201D4"/>
    <w:rsid w:val="005202E4"/>
    <w:rsid w:val="005202ED"/>
    <w:rsid w:val="00520356"/>
    <w:rsid w:val="0052051B"/>
    <w:rsid w:val="0052062F"/>
    <w:rsid w:val="00520647"/>
    <w:rsid w:val="005207DB"/>
    <w:rsid w:val="00520D48"/>
    <w:rsid w:val="00520E80"/>
    <w:rsid w:val="00520FDA"/>
    <w:rsid w:val="00521016"/>
    <w:rsid w:val="00521567"/>
    <w:rsid w:val="00521578"/>
    <w:rsid w:val="0052178A"/>
    <w:rsid w:val="005217BE"/>
    <w:rsid w:val="00521A10"/>
    <w:rsid w:val="00521AD7"/>
    <w:rsid w:val="00521C6F"/>
    <w:rsid w:val="00521E1B"/>
    <w:rsid w:val="00521E42"/>
    <w:rsid w:val="005220C0"/>
    <w:rsid w:val="00522130"/>
    <w:rsid w:val="0052222F"/>
    <w:rsid w:val="005223CB"/>
    <w:rsid w:val="0052245C"/>
    <w:rsid w:val="005227BF"/>
    <w:rsid w:val="005228AC"/>
    <w:rsid w:val="00522A30"/>
    <w:rsid w:val="00522E99"/>
    <w:rsid w:val="00523096"/>
    <w:rsid w:val="0052313C"/>
    <w:rsid w:val="00523197"/>
    <w:rsid w:val="00523244"/>
    <w:rsid w:val="0052333B"/>
    <w:rsid w:val="00523439"/>
    <w:rsid w:val="00523463"/>
    <w:rsid w:val="005235E7"/>
    <w:rsid w:val="0052367F"/>
    <w:rsid w:val="00523AC8"/>
    <w:rsid w:val="00523BA4"/>
    <w:rsid w:val="00523D7B"/>
    <w:rsid w:val="00523E97"/>
    <w:rsid w:val="005240C8"/>
    <w:rsid w:val="00524115"/>
    <w:rsid w:val="0052411C"/>
    <w:rsid w:val="005242CB"/>
    <w:rsid w:val="00524364"/>
    <w:rsid w:val="00524367"/>
    <w:rsid w:val="00524422"/>
    <w:rsid w:val="005247A9"/>
    <w:rsid w:val="00524985"/>
    <w:rsid w:val="005249DF"/>
    <w:rsid w:val="005249E4"/>
    <w:rsid w:val="00524BCB"/>
    <w:rsid w:val="00524CA0"/>
    <w:rsid w:val="00524CFB"/>
    <w:rsid w:val="00524DDF"/>
    <w:rsid w:val="00524F75"/>
    <w:rsid w:val="00524F93"/>
    <w:rsid w:val="00524F99"/>
    <w:rsid w:val="00524F9B"/>
    <w:rsid w:val="005250D8"/>
    <w:rsid w:val="005250FA"/>
    <w:rsid w:val="00525115"/>
    <w:rsid w:val="00525170"/>
    <w:rsid w:val="005256C1"/>
    <w:rsid w:val="00525726"/>
    <w:rsid w:val="0052582B"/>
    <w:rsid w:val="00525A06"/>
    <w:rsid w:val="00525A2E"/>
    <w:rsid w:val="00525A7E"/>
    <w:rsid w:val="00525B2B"/>
    <w:rsid w:val="00525B53"/>
    <w:rsid w:val="00525B78"/>
    <w:rsid w:val="00525C20"/>
    <w:rsid w:val="00525CD8"/>
    <w:rsid w:val="00525D22"/>
    <w:rsid w:val="005260F0"/>
    <w:rsid w:val="0052621C"/>
    <w:rsid w:val="0052625D"/>
    <w:rsid w:val="00526493"/>
    <w:rsid w:val="00526628"/>
    <w:rsid w:val="005266AE"/>
    <w:rsid w:val="005266DA"/>
    <w:rsid w:val="00526721"/>
    <w:rsid w:val="005268A4"/>
    <w:rsid w:val="0052692F"/>
    <w:rsid w:val="00526A24"/>
    <w:rsid w:val="00526E1A"/>
    <w:rsid w:val="00526E9A"/>
    <w:rsid w:val="00526EF4"/>
    <w:rsid w:val="00527099"/>
    <w:rsid w:val="005270C8"/>
    <w:rsid w:val="00527149"/>
    <w:rsid w:val="00527169"/>
    <w:rsid w:val="00527732"/>
    <w:rsid w:val="00527A70"/>
    <w:rsid w:val="00527E72"/>
    <w:rsid w:val="00527E86"/>
    <w:rsid w:val="00527EF9"/>
    <w:rsid w:val="005301E2"/>
    <w:rsid w:val="0053028A"/>
    <w:rsid w:val="00530427"/>
    <w:rsid w:val="0053043E"/>
    <w:rsid w:val="005304BC"/>
    <w:rsid w:val="0053051D"/>
    <w:rsid w:val="0053053D"/>
    <w:rsid w:val="00530881"/>
    <w:rsid w:val="0053089B"/>
    <w:rsid w:val="005309CB"/>
    <w:rsid w:val="00530B07"/>
    <w:rsid w:val="00530BB6"/>
    <w:rsid w:val="00530C6D"/>
    <w:rsid w:val="00530E37"/>
    <w:rsid w:val="00530FD1"/>
    <w:rsid w:val="005310BF"/>
    <w:rsid w:val="005312DA"/>
    <w:rsid w:val="0053149F"/>
    <w:rsid w:val="005317AC"/>
    <w:rsid w:val="005319DE"/>
    <w:rsid w:val="00531BB2"/>
    <w:rsid w:val="00531BE7"/>
    <w:rsid w:val="00531E59"/>
    <w:rsid w:val="00531F63"/>
    <w:rsid w:val="00531F88"/>
    <w:rsid w:val="00532181"/>
    <w:rsid w:val="005322B6"/>
    <w:rsid w:val="005323AB"/>
    <w:rsid w:val="005323C2"/>
    <w:rsid w:val="005326AB"/>
    <w:rsid w:val="00532896"/>
    <w:rsid w:val="00532E4F"/>
    <w:rsid w:val="00532F8A"/>
    <w:rsid w:val="00533110"/>
    <w:rsid w:val="00533111"/>
    <w:rsid w:val="0053314A"/>
    <w:rsid w:val="00533598"/>
    <w:rsid w:val="00533712"/>
    <w:rsid w:val="00533A07"/>
    <w:rsid w:val="00533C14"/>
    <w:rsid w:val="00533C2C"/>
    <w:rsid w:val="00533C71"/>
    <w:rsid w:val="00533D24"/>
    <w:rsid w:val="00533E95"/>
    <w:rsid w:val="00533F06"/>
    <w:rsid w:val="0053409C"/>
    <w:rsid w:val="005342EC"/>
    <w:rsid w:val="005344AF"/>
    <w:rsid w:val="00534518"/>
    <w:rsid w:val="00534538"/>
    <w:rsid w:val="0053454A"/>
    <w:rsid w:val="00534689"/>
    <w:rsid w:val="0053472F"/>
    <w:rsid w:val="0053481F"/>
    <w:rsid w:val="00534B7B"/>
    <w:rsid w:val="00534CE0"/>
    <w:rsid w:val="00534D3D"/>
    <w:rsid w:val="00534FD6"/>
    <w:rsid w:val="005351D3"/>
    <w:rsid w:val="005351F5"/>
    <w:rsid w:val="005353B8"/>
    <w:rsid w:val="005355CB"/>
    <w:rsid w:val="005356DF"/>
    <w:rsid w:val="0053580C"/>
    <w:rsid w:val="00535867"/>
    <w:rsid w:val="0053591A"/>
    <w:rsid w:val="00535C54"/>
    <w:rsid w:val="00535D4A"/>
    <w:rsid w:val="00535DE4"/>
    <w:rsid w:val="00535E60"/>
    <w:rsid w:val="00536026"/>
    <w:rsid w:val="0053602A"/>
    <w:rsid w:val="0053625C"/>
    <w:rsid w:val="00536281"/>
    <w:rsid w:val="005363EB"/>
    <w:rsid w:val="0053642D"/>
    <w:rsid w:val="0053652C"/>
    <w:rsid w:val="0053654C"/>
    <w:rsid w:val="0053669F"/>
    <w:rsid w:val="005366D6"/>
    <w:rsid w:val="005368C7"/>
    <w:rsid w:val="00536C8D"/>
    <w:rsid w:val="00536C92"/>
    <w:rsid w:val="00536FC5"/>
    <w:rsid w:val="0053715A"/>
    <w:rsid w:val="005371D3"/>
    <w:rsid w:val="005372F6"/>
    <w:rsid w:val="00537671"/>
    <w:rsid w:val="005376FD"/>
    <w:rsid w:val="00537812"/>
    <w:rsid w:val="00537852"/>
    <w:rsid w:val="00537873"/>
    <w:rsid w:val="005378D3"/>
    <w:rsid w:val="0053793B"/>
    <w:rsid w:val="005379D9"/>
    <w:rsid w:val="00537AD0"/>
    <w:rsid w:val="00537B1F"/>
    <w:rsid w:val="00537C03"/>
    <w:rsid w:val="00537CFE"/>
    <w:rsid w:val="00537D79"/>
    <w:rsid w:val="00537ED4"/>
    <w:rsid w:val="00537F11"/>
    <w:rsid w:val="00537F4A"/>
    <w:rsid w:val="00537FFC"/>
    <w:rsid w:val="0054025F"/>
    <w:rsid w:val="0054030C"/>
    <w:rsid w:val="005406A7"/>
    <w:rsid w:val="00540A39"/>
    <w:rsid w:val="00540A66"/>
    <w:rsid w:val="00540A70"/>
    <w:rsid w:val="00541055"/>
    <w:rsid w:val="005410EA"/>
    <w:rsid w:val="00541214"/>
    <w:rsid w:val="0054157B"/>
    <w:rsid w:val="005415E7"/>
    <w:rsid w:val="005415FB"/>
    <w:rsid w:val="00541705"/>
    <w:rsid w:val="00541E8D"/>
    <w:rsid w:val="00541FC6"/>
    <w:rsid w:val="005420E4"/>
    <w:rsid w:val="005424DD"/>
    <w:rsid w:val="005424E6"/>
    <w:rsid w:val="005424E9"/>
    <w:rsid w:val="005424FD"/>
    <w:rsid w:val="00542544"/>
    <w:rsid w:val="00542903"/>
    <w:rsid w:val="00542AE6"/>
    <w:rsid w:val="00542C72"/>
    <w:rsid w:val="00542DB0"/>
    <w:rsid w:val="00542E9A"/>
    <w:rsid w:val="00542EB6"/>
    <w:rsid w:val="00542FD7"/>
    <w:rsid w:val="00542FF2"/>
    <w:rsid w:val="0054305D"/>
    <w:rsid w:val="0054308B"/>
    <w:rsid w:val="005432AD"/>
    <w:rsid w:val="005432BB"/>
    <w:rsid w:val="00543350"/>
    <w:rsid w:val="005433C8"/>
    <w:rsid w:val="005433DF"/>
    <w:rsid w:val="00543653"/>
    <w:rsid w:val="00543911"/>
    <w:rsid w:val="00543AA4"/>
    <w:rsid w:val="00543C69"/>
    <w:rsid w:val="0054418A"/>
    <w:rsid w:val="005441AB"/>
    <w:rsid w:val="0054468E"/>
    <w:rsid w:val="005447D4"/>
    <w:rsid w:val="00544992"/>
    <w:rsid w:val="005449BE"/>
    <w:rsid w:val="00544B42"/>
    <w:rsid w:val="00544CA7"/>
    <w:rsid w:val="00545113"/>
    <w:rsid w:val="005453F6"/>
    <w:rsid w:val="005457A4"/>
    <w:rsid w:val="00545830"/>
    <w:rsid w:val="00545B06"/>
    <w:rsid w:val="00545B17"/>
    <w:rsid w:val="00545CD4"/>
    <w:rsid w:val="00545CEA"/>
    <w:rsid w:val="00545E62"/>
    <w:rsid w:val="005461A7"/>
    <w:rsid w:val="00546347"/>
    <w:rsid w:val="0054652B"/>
    <w:rsid w:val="005465C1"/>
    <w:rsid w:val="00546749"/>
    <w:rsid w:val="005467A5"/>
    <w:rsid w:val="005467EF"/>
    <w:rsid w:val="005467FA"/>
    <w:rsid w:val="0054694B"/>
    <w:rsid w:val="00546AF7"/>
    <w:rsid w:val="00546BD1"/>
    <w:rsid w:val="00546DDC"/>
    <w:rsid w:val="00547084"/>
    <w:rsid w:val="0054711F"/>
    <w:rsid w:val="0054726A"/>
    <w:rsid w:val="005472E6"/>
    <w:rsid w:val="00547359"/>
    <w:rsid w:val="0054748D"/>
    <w:rsid w:val="005475B8"/>
    <w:rsid w:val="005476FD"/>
    <w:rsid w:val="00547772"/>
    <w:rsid w:val="00547885"/>
    <w:rsid w:val="00547B26"/>
    <w:rsid w:val="00547CA9"/>
    <w:rsid w:val="00550233"/>
    <w:rsid w:val="005502F1"/>
    <w:rsid w:val="0055030C"/>
    <w:rsid w:val="00550344"/>
    <w:rsid w:val="0055046E"/>
    <w:rsid w:val="005507B3"/>
    <w:rsid w:val="00550972"/>
    <w:rsid w:val="00550B7D"/>
    <w:rsid w:val="00550D9A"/>
    <w:rsid w:val="00550F11"/>
    <w:rsid w:val="005512D9"/>
    <w:rsid w:val="005514C1"/>
    <w:rsid w:val="005515C5"/>
    <w:rsid w:val="00551984"/>
    <w:rsid w:val="00551AB8"/>
    <w:rsid w:val="00551D8F"/>
    <w:rsid w:val="00551E11"/>
    <w:rsid w:val="0055201F"/>
    <w:rsid w:val="005520E3"/>
    <w:rsid w:val="00552112"/>
    <w:rsid w:val="00552206"/>
    <w:rsid w:val="005522CD"/>
    <w:rsid w:val="005526B1"/>
    <w:rsid w:val="005526E7"/>
    <w:rsid w:val="0055297E"/>
    <w:rsid w:val="00552A4D"/>
    <w:rsid w:val="00552C13"/>
    <w:rsid w:val="00552C7F"/>
    <w:rsid w:val="00552CBA"/>
    <w:rsid w:val="00552F2A"/>
    <w:rsid w:val="00552FBC"/>
    <w:rsid w:val="005531C5"/>
    <w:rsid w:val="0055333A"/>
    <w:rsid w:val="005534DB"/>
    <w:rsid w:val="005534F0"/>
    <w:rsid w:val="00553505"/>
    <w:rsid w:val="00553546"/>
    <w:rsid w:val="0055369F"/>
    <w:rsid w:val="005536A2"/>
    <w:rsid w:val="00553995"/>
    <w:rsid w:val="00553C96"/>
    <w:rsid w:val="00553CF4"/>
    <w:rsid w:val="00553D72"/>
    <w:rsid w:val="00553E78"/>
    <w:rsid w:val="00553F03"/>
    <w:rsid w:val="00554165"/>
    <w:rsid w:val="0055437F"/>
    <w:rsid w:val="00554408"/>
    <w:rsid w:val="00554498"/>
    <w:rsid w:val="00554A49"/>
    <w:rsid w:val="00554B67"/>
    <w:rsid w:val="00554C18"/>
    <w:rsid w:val="00554CA8"/>
    <w:rsid w:val="00554CDE"/>
    <w:rsid w:val="00554F63"/>
    <w:rsid w:val="00554F8A"/>
    <w:rsid w:val="005550C4"/>
    <w:rsid w:val="0055568E"/>
    <w:rsid w:val="005556C9"/>
    <w:rsid w:val="005556F0"/>
    <w:rsid w:val="005558A3"/>
    <w:rsid w:val="00555B2F"/>
    <w:rsid w:val="00555C7F"/>
    <w:rsid w:val="00555DD7"/>
    <w:rsid w:val="00555E76"/>
    <w:rsid w:val="00555E7A"/>
    <w:rsid w:val="00555FD5"/>
    <w:rsid w:val="0055615B"/>
    <w:rsid w:val="005563E1"/>
    <w:rsid w:val="0055640C"/>
    <w:rsid w:val="0055641B"/>
    <w:rsid w:val="005564CE"/>
    <w:rsid w:val="00556934"/>
    <w:rsid w:val="00556982"/>
    <w:rsid w:val="005569B0"/>
    <w:rsid w:val="005569FE"/>
    <w:rsid w:val="00556D04"/>
    <w:rsid w:val="00556E1A"/>
    <w:rsid w:val="00556E76"/>
    <w:rsid w:val="00556E9E"/>
    <w:rsid w:val="005570C8"/>
    <w:rsid w:val="005570D3"/>
    <w:rsid w:val="00557309"/>
    <w:rsid w:val="0055735A"/>
    <w:rsid w:val="00557499"/>
    <w:rsid w:val="00557C7F"/>
    <w:rsid w:val="00557CB4"/>
    <w:rsid w:val="00557FDD"/>
    <w:rsid w:val="00560059"/>
    <w:rsid w:val="005601A8"/>
    <w:rsid w:val="005601D1"/>
    <w:rsid w:val="00560282"/>
    <w:rsid w:val="00560351"/>
    <w:rsid w:val="005606E2"/>
    <w:rsid w:val="0056088F"/>
    <w:rsid w:val="005608BE"/>
    <w:rsid w:val="005609F0"/>
    <w:rsid w:val="005615BD"/>
    <w:rsid w:val="00561604"/>
    <w:rsid w:val="00561695"/>
    <w:rsid w:val="0056188C"/>
    <w:rsid w:val="005618F9"/>
    <w:rsid w:val="00561947"/>
    <w:rsid w:val="005619B8"/>
    <w:rsid w:val="005619D2"/>
    <w:rsid w:val="00561AC4"/>
    <w:rsid w:val="00561C10"/>
    <w:rsid w:val="00562089"/>
    <w:rsid w:val="005620DB"/>
    <w:rsid w:val="00562270"/>
    <w:rsid w:val="0056277B"/>
    <w:rsid w:val="00562809"/>
    <w:rsid w:val="0056294C"/>
    <w:rsid w:val="005629A1"/>
    <w:rsid w:val="00562A3F"/>
    <w:rsid w:val="00562D59"/>
    <w:rsid w:val="00562D5F"/>
    <w:rsid w:val="00562DB7"/>
    <w:rsid w:val="00562DCC"/>
    <w:rsid w:val="0056301B"/>
    <w:rsid w:val="0056344A"/>
    <w:rsid w:val="00563555"/>
    <w:rsid w:val="0056360E"/>
    <w:rsid w:val="005638DF"/>
    <w:rsid w:val="005639AB"/>
    <w:rsid w:val="005639EB"/>
    <w:rsid w:val="00563BB9"/>
    <w:rsid w:val="00563CE3"/>
    <w:rsid w:val="00564191"/>
    <w:rsid w:val="0056429B"/>
    <w:rsid w:val="005646CF"/>
    <w:rsid w:val="005647F1"/>
    <w:rsid w:val="00564C2C"/>
    <w:rsid w:val="00564D68"/>
    <w:rsid w:val="00564F09"/>
    <w:rsid w:val="00565122"/>
    <w:rsid w:val="0056515B"/>
    <w:rsid w:val="0056524C"/>
    <w:rsid w:val="005652A7"/>
    <w:rsid w:val="0056549F"/>
    <w:rsid w:val="005656B5"/>
    <w:rsid w:val="0056577C"/>
    <w:rsid w:val="00565B57"/>
    <w:rsid w:val="00565BBD"/>
    <w:rsid w:val="00565CEB"/>
    <w:rsid w:val="00565E05"/>
    <w:rsid w:val="00565E35"/>
    <w:rsid w:val="00566062"/>
    <w:rsid w:val="0056667E"/>
    <w:rsid w:val="00566CD2"/>
    <w:rsid w:val="00566D36"/>
    <w:rsid w:val="00566FCA"/>
    <w:rsid w:val="00567033"/>
    <w:rsid w:val="005675E5"/>
    <w:rsid w:val="00567642"/>
    <w:rsid w:val="005676A7"/>
    <w:rsid w:val="00567878"/>
    <w:rsid w:val="00567A54"/>
    <w:rsid w:val="00567D46"/>
    <w:rsid w:val="00567DDD"/>
    <w:rsid w:val="0056F795"/>
    <w:rsid w:val="00570185"/>
    <w:rsid w:val="0057036E"/>
    <w:rsid w:val="005703D8"/>
    <w:rsid w:val="005706A1"/>
    <w:rsid w:val="005706C4"/>
    <w:rsid w:val="005707E6"/>
    <w:rsid w:val="0057092D"/>
    <w:rsid w:val="00570AAD"/>
    <w:rsid w:val="00570ABA"/>
    <w:rsid w:val="00570B67"/>
    <w:rsid w:val="00570DA2"/>
    <w:rsid w:val="00570E07"/>
    <w:rsid w:val="00571010"/>
    <w:rsid w:val="00571106"/>
    <w:rsid w:val="0057110E"/>
    <w:rsid w:val="005712DD"/>
    <w:rsid w:val="00571470"/>
    <w:rsid w:val="005715E6"/>
    <w:rsid w:val="0057180E"/>
    <w:rsid w:val="00571820"/>
    <w:rsid w:val="0057182B"/>
    <w:rsid w:val="00571D1B"/>
    <w:rsid w:val="00571D74"/>
    <w:rsid w:val="00571EC1"/>
    <w:rsid w:val="00572008"/>
    <w:rsid w:val="00572069"/>
    <w:rsid w:val="0057249E"/>
    <w:rsid w:val="00572617"/>
    <w:rsid w:val="005726B6"/>
    <w:rsid w:val="0057299C"/>
    <w:rsid w:val="00572C02"/>
    <w:rsid w:val="00572FD8"/>
    <w:rsid w:val="00573092"/>
    <w:rsid w:val="005730A1"/>
    <w:rsid w:val="0057357D"/>
    <w:rsid w:val="00573799"/>
    <w:rsid w:val="005737D2"/>
    <w:rsid w:val="0057391A"/>
    <w:rsid w:val="0057398B"/>
    <w:rsid w:val="00573AFC"/>
    <w:rsid w:val="00573B5E"/>
    <w:rsid w:val="00573BEC"/>
    <w:rsid w:val="00573C78"/>
    <w:rsid w:val="0057405F"/>
    <w:rsid w:val="005743E3"/>
    <w:rsid w:val="00574442"/>
    <w:rsid w:val="00574457"/>
    <w:rsid w:val="005744EF"/>
    <w:rsid w:val="00574963"/>
    <w:rsid w:val="00574987"/>
    <w:rsid w:val="00574B03"/>
    <w:rsid w:val="00574B45"/>
    <w:rsid w:val="00574D26"/>
    <w:rsid w:val="00574DF0"/>
    <w:rsid w:val="00574E29"/>
    <w:rsid w:val="00575030"/>
    <w:rsid w:val="005751B8"/>
    <w:rsid w:val="00575318"/>
    <w:rsid w:val="005754BB"/>
    <w:rsid w:val="005755CF"/>
    <w:rsid w:val="00575613"/>
    <w:rsid w:val="005759E9"/>
    <w:rsid w:val="00575AD5"/>
    <w:rsid w:val="00575C0C"/>
    <w:rsid w:val="00575C58"/>
    <w:rsid w:val="00575EB0"/>
    <w:rsid w:val="0057600B"/>
    <w:rsid w:val="005760B8"/>
    <w:rsid w:val="00576209"/>
    <w:rsid w:val="00576406"/>
    <w:rsid w:val="0057641D"/>
    <w:rsid w:val="00576776"/>
    <w:rsid w:val="00576779"/>
    <w:rsid w:val="0057677E"/>
    <w:rsid w:val="005767F8"/>
    <w:rsid w:val="0057680B"/>
    <w:rsid w:val="00576AF1"/>
    <w:rsid w:val="00576B3B"/>
    <w:rsid w:val="00576C35"/>
    <w:rsid w:val="00576DD8"/>
    <w:rsid w:val="00576E1A"/>
    <w:rsid w:val="00576E24"/>
    <w:rsid w:val="00577171"/>
    <w:rsid w:val="00577198"/>
    <w:rsid w:val="005772DC"/>
    <w:rsid w:val="005772F3"/>
    <w:rsid w:val="00577370"/>
    <w:rsid w:val="0057741C"/>
    <w:rsid w:val="0057743C"/>
    <w:rsid w:val="00577606"/>
    <w:rsid w:val="0057772C"/>
    <w:rsid w:val="00577754"/>
    <w:rsid w:val="00577B49"/>
    <w:rsid w:val="0057E4CC"/>
    <w:rsid w:val="00580047"/>
    <w:rsid w:val="005801A5"/>
    <w:rsid w:val="005802E1"/>
    <w:rsid w:val="00580320"/>
    <w:rsid w:val="0058032D"/>
    <w:rsid w:val="00580535"/>
    <w:rsid w:val="005805BB"/>
    <w:rsid w:val="005805BF"/>
    <w:rsid w:val="005805F3"/>
    <w:rsid w:val="00580781"/>
    <w:rsid w:val="00580812"/>
    <w:rsid w:val="005809DB"/>
    <w:rsid w:val="00580A67"/>
    <w:rsid w:val="00580E60"/>
    <w:rsid w:val="00580EF5"/>
    <w:rsid w:val="00581027"/>
    <w:rsid w:val="00581370"/>
    <w:rsid w:val="00581413"/>
    <w:rsid w:val="0058141F"/>
    <w:rsid w:val="0058159F"/>
    <w:rsid w:val="005815EC"/>
    <w:rsid w:val="005815ED"/>
    <w:rsid w:val="00581A12"/>
    <w:rsid w:val="00581D07"/>
    <w:rsid w:val="00581DE9"/>
    <w:rsid w:val="00581E36"/>
    <w:rsid w:val="00581EEA"/>
    <w:rsid w:val="00581FFC"/>
    <w:rsid w:val="00582121"/>
    <w:rsid w:val="00582447"/>
    <w:rsid w:val="00582646"/>
    <w:rsid w:val="00582647"/>
    <w:rsid w:val="00582D5B"/>
    <w:rsid w:val="00582E57"/>
    <w:rsid w:val="00583216"/>
    <w:rsid w:val="00583292"/>
    <w:rsid w:val="005834B9"/>
    <w:rsid w:val="0058371A"/>
    <w:rsid w:val="0058371E"/>
    <w:rsid w:val="00583938"/>
    <w:rsid w:val="0058393E"/>
    <w:rsid w:val="0058394F"/>
    <w:rsid w:val="00583A7B"/>
    <w:rsid w:val="00583AFB"/>
    <w:rsid w:val="00583B56"/>
    <w:rsid w:val="00583D7C"/>
    <w:rsid w:val="00583D99"/>
    <w:rsid w:val="00583DA9"/>
    <w:rsid w:val="00583DF4"/>
    <w:rsid w:val="00583F72"/>
    <w:rsid w:val="00583FA8"/>
    <w:rsid w:val="00584127"/>
    <w:rsid w:val="005841B0"/>
    <w:rsid w:val="00584283"/>
    <w:rsid w:val="0058439D"/>
    <w:rsid w:val="0058467E"/>
    <w:rsid w:val="0058476A"/>
    <w:rsid w:val="00584AF0"/>
    <w:rsid w:val="00584B8D"/>
    <w:rsid w:val="00584D2C"/>
    <w:rsid w:val="0058525D"/>
    <w:rsid w:val="005854D7"/>
    <w:rsid w:val="0058555B"/>
    <w:rsid w:val="00585654"/>
    <w:rsid w:val="005856ED"/>
    <w:rsid w:val="00585780"/>
    <w:rsid w:val="0058594F"/>
    <w:rsid w:val="00585B3C"/>
    <w:rsid w:val="00585B92"/>
    <w:rsid w:val="00585D65"/>
    <w:rsid w:val="00585F3C"/>
    <w:rsid w:val="0058604A"/>
    <w:rsid w:val="0058611B"/>
    <w:rsid w:val="005862E3"/>
    <w:rsid w:val="005866C4"/>
    <w:rsid w:val="005868A0"/>
    <w:rsid w:val="00586BF8"/>
    <w:rsid w:val="00586D38"/>
    <w:rsid w:val="0058713B"/>
    <w:rsid w:val="00587166"/>
    <w:rsid w:val="00587450"/>
    <w:rsid w:val="00587500"/>
    <w:rsid w:val="005878ED"/>
    <w:rsid w:val="00587CCC"/>
    <w:rsid w:val="00587D5B"/>
    <w:rsid w:val="00587FBB"/>
    <w:rsid w:val="0059015F"/>
    <w:rsid w:val="0059056C"/>
    <w:rsid w:val="005905BD"/>
    <w:rsid w:val="005906BF"/>
    <w:rsid w:val="005907AB"/>
    <w:rsid w:val="005907E1"/>
    <w:rsid w:val="00590958"/>
    <w:rsid w:val="00590D89"/>
    <w:rsid w:val="00590E5D"/>
    <w:rsid w:val="00590E77"/>
    <w:rsid w:val="00590FC5"/>
    <w:rsid w:val="00591039"/>
    <w:rsid w:val="00591218"/>
    <w:rsid w:val="005913AE"/>
    <w:rsid w:val="005913E5"/>
    <w:rsid w:val="005914BD"/>
    <w:rsid w:val="00591C98"/>
    <w:rsid w:val="00591CAF"/>
    <w:rsid w:val="00591D39"/>
    <w:rsid w:val="00591F40"/>
    <w:rsid w:val="00591F62"/>
    <w:rsid w:val="0059210D"/>
    <w:rsid w:val="0059221A"/>
    <w:rsid w:val="00592288"/>
    <w:rsid w:val="00592373"/>
    <w:rsid w:val="00592480"/>
    <w:rsid w:val="00592489"/>
    <w:rsid w:val="0059263B"/>
    <w:rsid w:val="005926D5"/>
    <w:rsid w:val="0059274A"/>
    <w:rsid w:val="005929E5"/>
    <w:rsid w:val="00592B3F"/>
    <w:rsid w:val="00592B8A"/>
    <w:rsid w:val="00592BD4"/>
    <w:rsid w:val="00592C7E"/>
    <w:rsid w:val="00592D31"/>
    <w:rsid w:val="00592D54"/>
    <w:rsid w:val="00593020"/>
    <w:rsid w:val="0059307E"/>
    <w:rsid w:val="005930FE"/>
    <w:rsid w:val="00593210"/>
    <w:rsid w:val="00593248"/>
    <w:rsid w:val="00593342"/>
    <w:rsid w:val="00593435"/>
    <w:rsid w:val="0059348F"/>
    <w:rsid w:val="00593553"/>
    <w:rsid w:val="005935DE"/>
    <w:rsid w:val="005935EB"/>
    <w:rsid w:val="00593807"/>
    <w:rsid w:val="00593CFE"/>
    <w:rsid w:val="00593EBB"/>
    <w:rsid w:val="00593F5E"/>
    <w:rsid w:val="00594086"/>
    <w:rsid w:val="0059412A"/>
    <w:rsid w:val="0059423C"/>
    <w:rsid w:val="00594285"/>
    <w:rsid w:val="00594343"/>
    <w:rsid w:val="00594416"/>
    <w:rsid w:val="005944CB"/>
    <w:rsid w:val="005944E5"/>
    <w:rsid w:val="00594667"/>
    <w:rsid w:val="00594887"/>
    <w:rsid w:val="0059495D"/>
    <w:rsid w:val="005949A9"/>
    <w:rsid w:val="00594B25"/>
    <w:rsid w:val="00594BF9"/>
    <w:rsid w:val="00594C15"/>
    <w:rsid w:val="00594C51"/>
    <w:rsid w:val="00594C6A"/>
    <w:rsid w:val="00594D2E"/>
    <w:rsid w:val="00594F31"/>
    <w:rsid w:val="00594FB2"/>
    <w:rsid w:val="005950BC"/>
    <w:rsid w:val="005951CB"/>
    <w:rsid w:val="00595278"/>
    <w:rsid w:val="005954A5"/>
    <w:rsid w:val="00595AFC"/>
    <w:rsid w:val="00595DBA"/>
    <w:rsid w:val="00595DE7"/>
    <w:rsid w:val="005960AC"/>
    <w:rsid w:val="005968DE"/>
    <w:rsid w:val="005968E4"/>
    <w:rsid w:val="0059694B"/>
    <w:rsid w:val="00596A8D"/>
    <w:rsid w:val="00596C9E"/>
    <w:rsid w:val="005972EF"/>
    <w:rsid w:val="00597333"/>
    <w:rsid w:val="005974A3"/>
    <w:rsid w:val="0059768E"/>
    <w:rsid w:val="00597761"/>
    <w:rsid w:val="005979A5"/>
    <w:rsid w:val="00597A57"/>
    <w:rsid w:val="00597AF4"/>
    <w:rsid w:val="00597E92"/>
    <w:rsid w:val="0059E131"/>
    <w:rsid w:val="0059EC6B"/>
    <w:rsid w:val="005A00A1"/>
    <w:rsid w:val="005A0390"/>
    <w:rsid w:val="005A03E3"/>
    <w:rsid w:val="005A064B"/>
    <w:rsid w:val="005A0996"/>
    <w:rsid w:val="005A0BA0"/>
    <w:rsid w:val="005A0D83"/>
    <w:rsid w:val="005A0FB9"/>
    <w:rsid w:val="005A1049"/>
    <w:rsid w:val="005A1117"/>
    <w:rsid w:val="005A1178"/>
    <w:rsid w:val="005A1241"/>
    <w:rsid w:val="005A128E"/>
    <w:rsid w:val="005A12A6"/>
    <w:rsid w:val="005A13C8"/>
    <w:rsid w:val="005A159F"/>
    <w:rsid w:val="005A175A"/>
    <w:rsid w:val="005A177B"/>
    <w:rsid w:val="005A1929"/>
    <w:rsid w:val="005A1AC3"/>
    <w:rsid w:val="005A1CAC"/>
    <w:rsid w:val="005A1DD0"/>
    <w:rsid w:val="005A207B"/>
    <w:rsid w:val="005A20A3"/>
    <w:rsid w:val="005A227A"/>
    <w:rsid w:val="005A24AA"/>
    <w:rsid w:val="005A27A7"/>
    <w:rsid w:val="005A27C2"/>
    <w:rsid w:val="005A2862"/>
    <w:rsid w:val="005A2A6E"/>
    <w:rsid w:val="005A2E1A"/>
    <w:rsid w:val="005A2E1F"/>
    <w:rsid w:val="005A2E44"/>
    <w:rsid w:val="005A2F12"/>
    <w:rsid w:val="005A2FB3"/>
    <w:rsid w:val="005A308F"/>
    <w:rsid w:val="005A3149"/>
    <w:rsid w:val="005A3254"/>
    <w:rsid w:val="005A32BC"/>
    <w:rsid w:val="005A3313"/>
    <w:rsid w:val="005A34FB"/>
    <w:rsid w:val="005A3781"/>
    <w:rsid w:val="005A37B6"/>
    <w:rsid w:val="005A38B4"/>
    <w:rsid w:val="005A39A7"/>
    <w:rsid w:val="005A39E7"/>
    <w:rsid w:val="005A3AA3"/>
    <w:rsid w:val="005A3B2C"/>
    <w:rsid w:val="005A3B64"/>
    <w:rsid w:val="005A3C34"/>
    <w:rsid w:val="005A3E29"/>
    <w:rsid w:val="005A4127"/>
    <w:rsid w:val="005A436F"/>
    <w:rsid w:val="005A440D"/>
    <w:rsid w:val="005A45D6"/>
    <w:rsid w:val="005A474F"/>
    <w:rsid w:val="005A49A9"/>
    <w:rsid w:val="005A4ACD"/>
    <w:rsid w:val="005A4D6C"/>
    <w:rsid w:val="005A4F14"/>
    <w:rsid w:val="005A50C6"/>
    <w:rsid w:val="005A513B"/>
    <w:rsid w:val="005A5385"/>
    <w:rsid w:val="005A57B5"/>
    <w:rsid w:val="005A5B4F"/>
    <w:rsid w:val="005A5BC3"/>
    <w:rsid w:val="005A5ECE"/>
    <w:rsid w:val="005A623B"/>
    <w:rsid w:val="005A63DF"/>
    <w:rsid w:val="005A6753"/>
    <w:rsid w:val="005A697D"/>
    <w:rsid w:val="005A6983"/>
    <w:rsid w:val="005A69EF"/>
    <w:rsid w:val="005A6B4F"/>
    <w:rsid w:val="005A6EA4"/>
    <w:rsid w:val="005A6EDB"/>
    <w:rsid w:val="005A6F14"/>
    <w:rsid w:val="005A7060"/>
    <w:rsid w:val="005A7399"/>
    <w:rsid w:val="005A73A5"/>
    <w:rsid w:val="005A7533"/>
    <w:rsid w:val="005A7813"/>
    <w:rsid w:val="005A7A0D"/>
    <w:rsid w:val="005A7C32"/>
    <w:rsid w:val="005A7C81"/>
    <w:rsid w:val="005A7DDE"/>
    <w:rsid w:val="005A7F0F"/>
    <w:rsid w:val="005B0111"/>
    <w:rsid w:val="005B03C1"/>
    <w:rsid w:val="005B043F"/>
    <w:rsid w:val="005B0853"/>
    <w:rsid w:val="005B0855"/>
    <w:rsid w:val="005B0AE8"/>
    <w:rsid w:val="005B0B2F"/>
    <w:rsid w:val="005B0C5A"/>
    <w:rsid w:val="005B0C6F"/>
    <w:rsid w:val="005B0E17"/>
    <w:rsid w:val="005B103D"/>
    <w:rsid w:val="005B12D6"/>
    <w:rsid w:val="005B14AC"/>
    <w:rsid w:val="005B1502"/>
    <w:rsid w:val="005B1589"/>
    <w:rsid w:val="005B15E2"/>
    <w:rsid w:val="005B1634"/>
    <w:rsid w:val="005B1803"/>
    <w:rsid w:val="005B1903"/>
    <w:rsid w:val="005B1A86"/>
    <w:rsid w:val="005B1A99"/>
    <w:rsid w:val="005B1DC0"/>
    <w:rsid w:val="005B1EAC"/>
    <w:rsid w:val="005B1FD1"/>
    <w:rsid w:val="005B1FE2"/>
    <w:rsid w:val="005B20FE"/>
    <w:rsid w:val="005B2149"/>
    <w:rsid w:val="005B2203"/>
    <w:rsid w:val="005B243E"/>
    <w:rsid w:val="005B2477"/>
    <w:rsid w:val="005B2931"/>
    <w:rsid w:val="005B298D"/>
    <w:rsid w:val="005B2A6A"/>
    <w:rsid w:val="005B2D0D"/>
    <w:rsid w:val="005B3022"/>
    <w:rsid w:val="005B305C"/>
    <w:rsid w:val="005B31BA"/>
    <w:rsid w:val="005B3211"/>
    <w:rsid w:val="005B33EB"/>
    <w:rsid w:val="005B3461"/>
    <w:rsid w:val="005B36E5"/>
    <w:rsid w:val="005B3785"/>
    <w:rsid w:val="005B37BA"/>
    <w:rsid w:val="005B382B"/>
    <w:rsid w:val="005B3991"/>
    <w:rsid w:val="005B3A03"/>
    <w:rsid w:val="005B3D9D"/>
    <w:rsid w:val="005B3E34"/>
    <w:rsid w:val="005B3EF6"/>
    <w:rsid w:val="005B4303"/>
    <w:rsid w:val="005B441C"/>
    <w:rsid w:val="005B44C3"/>
    <w:rsid w:val="005B4545"/>
    <w:rsid w:val="005B49F3"/>
    <w:rsid w:val="005B4A4C"/>
    <w:rsid w:val="005B4C0B"/>
    <w:rsid w:val="005B4D4E"/>
    <w:rsid w:val="005B4E64"/>
    <w:rsid w:val="005B4EEF"/>
    <w:rsid w:val="005B4FFB"/>
    <w:rsid w:val="005B522D"/>
    <w:rsid w:val="005B5355"/>
    <w:rsid w:val="005B5426"/>
    <w:rsid w:val="005B560E"/>
    <w:rsid w:val="005B580A"/>
    <w:rsid w:val="005B58AF"/>
    <w:rsid w:val="005B5970"/>
    <w:rsid w:val="005B5A2E"/>
    <w:rsid w:val="005B5F9A"/>
    <w:rsid w:val="005B602E"/>
    <w:rsid w:val="005B603A"/>
    <w:rsid w:val="005B611C"/>
    <w:rsid w:val="005B61B7"/>
    <w:rsid w:val="005B6314"/>
    <w:rsid w:val="005B6776"/>
    <w:rsid w:val="005B67C4"/>
    <w:rsid w:val="005B6BD0"/>
    <w:rsid w:val="005B6F24"/>
    <w:rsid w:val="005B6F34"/>
    <w:rsid w:val="005B6F56"/>
    <w:rsid w:val="005B704D"/>
    <w:rsid w:val="005B7356"/>
    <w:rsid w:val="005B743E"/>
    <w:rsid w:val="005B74E5"/>
    <w:rsid w:val="005B75B7"/>
    <w:rsid w:val="005B77F5"/>
    <w:rsid w:val="005B789C"/>
    <w:rsid w:val="005B79D5"/>
    <w:rsid w:val="005B7AB4"/>
    <w:rsid w:val="005B7C9F"/>
    <w:rsid w:val="005B7DC5"/>
    <w:rsid w:val="005C00C5"/>
    <w:rsid w:val="005C0205"/>
    <w:rsid w:val="005C021F"/>
    <w:rsid w:val="005C0273"/>
    <w:rsid w:val="005C029D"/>
    <w:rsid w:val="005C032D"/>
    <w:rsid w:val="005C0333"/>
    <w:rsid w:val="005C0350"/>
    <w:rsid w:val="005C0444"/>
    <w:rsid w:val="005C0457"/>
    <w:rsid w:val="005C04B6"/>
    <w:rsid w:val="005C05E1"/>
    <w:rsid w:val="005C0786"/>
    <w:rsid w:val="005C0825"/>
    <w:rsid w:val="005C0897"/>
    <w:rsid w:val="005C0B89"/>
    <w:rsid w:val="005C0F5C"/>
    <w:rsid w:val="005C11AC"/>
    <w:rsid w:val="005C1396"/>
    <w:rsid w:val="005C13E5"/>
    <w:rsid w:val="005C163A"/>
    <w:rsid w:val="005C1687"/>
    <w:rsid w:val="005C1855"/>
    <w:rsid w:val="005C1E50"/>
    <w:rsid w:val="005C1FFF"/>
    <w:rsid w:val="005C252F"/>
    <w:rsid w:val="005C2758"/>
    <w:rsid w:val="005C2917"/>
    <w:rsid w:val="005C2A9F"/>
    <w:rsid w:val="005C2BB0"/>
    <w:rsid w:val="005C2BBB"/>
    <w:rsid w:val="005C2DE7"/>
    <w:rsid w:val="005C2F71"/>
    <w:rsid w:val="005C2FAC"/>
    <w:rsid w:val="005C3026"/>
    <w:rsid w:val="005C33DC"/>
    <w:rsid w:val="005C33EC"/>
    <w:rsid w:val="005C3429"/>
    <w:rsid w:val="005C3578"/>
    <w:rsid w:val="005C35CB"/>
    <w:rsid w:val="005C3641"/>
    <w:rsid w:val="005C3680"/>
    <w:rsid w:val="005C3804"/>
    <w:rsid w:val="005C38BA"/>
    <w:rsid w:val="005C3BA0"/>
    <w:rsid w:val="005C3BDE"/>
    <w:rsid w:val="005C3CA5"/>
    <w:rsid w:val="005C3D94"/>
    <w:rsid w:val="005C3DB0"/>
    <w:rsid w:val="005C3F1F"/>
    <w:rsid w:val="005C3F8D"/>
    <w:rsid w:val="005C4061"/>
    <w:rsid w:val="005C429C"/>
    <w:rsid w:val="005C4304"/>
    <w:rsid w:val="005C43C1"/>
    <w:rsid w:val="005C4451"/>
    <w:rsid w:val="005C4520"/>
    <w:rsid w:val="005C4B21"/>
    <w:rsid w:val="005C4B61"/>
    <w:rsid w:val="005C4CFD"/>
    <w:rsid w:val="005C4D48"/>
    <w:rsid w:val="005C4DB1"/>
    <w:rsid w:val="005C4E9E"/>
    <w:rsid w:val="005C4EF0"/>
    <w:rsid w:val="005C520B"/>
    <w:rsid w:val="005C52CB"/>
    <w:rsid w:val="005C52DB"/>
    <w:rsid w:val="005C5308"/>
    <w:rsid w:val="005C54A9"/>
    <w:rsid w:val="005C56E0"/>
    <w:rsid w:val="005C5859"/>
    <w:rsid w:val="005C5944"/>
    <w:rsid w:val="005C5A01"/>
    <w:rsid w:val="005C5A04"/>
    <w:rsid w:val="005C5AC3"/>
    <w:rsid w:val="005C5B6B"/>
    <w:rsid w:val="005C5C3F"/>
    <w:rsid w:val="005C5D16"/>
    <w:rsid w:val="005C5D60"/>
    <w:rsid w:val="005C5E75"/>
    <w:rsid w:val="005C5F15"/>
    <w:rsid w:val="005C5F5D"/>
    <w:rsid w:val="005C6433"/>
    <w:rsid w:val="005C65AD"/>
    <w:rsid w:val="005C6635"/>
    <w:rsid w:val="005C6742"/>
    <w:rsid w:val="005C68ED"/>
    <w:rsid w:val="005C6960"/>
    <w:rsid w:val="005C6A6E"/>
    <w:rsid w:val="005C6F3C"/>
    <w:rsid w:val="005C6F47"/>
    <w:rsid w:val="005C727C"/>
    <w:rsid w:val="005C7494"/>
    <w:rsid w:val="005C7570"/>
    <w:rsid w:val="005C76DF"/>
    <w:rsid w:val="005C779B"/>
    <w:rsid w:val="005C79C6"/>
    <w:rsid w:val="005C79F0"/>
    <w:rsid w:val="005C7FE5"/>
    <w:rsid w:val="005C7FEE"/>
    <w:rsid w:val="005D00F8"/>
    <w:rsid w:val="005D01F6"/>
    <w:rsid w:val="005D02CA"/>
    <w:rsid w:val="005D02D9"/>
    <w:rsid w:val="005D03D2"/>
    <w:rsid w:val="005D04A9"/>
    <w:rsid w:val="005D057D"/>
    <w:rsid w:val="005D0734"/>
    <w:rsid w:val="005D07B2"/>
    <w:rsid w:val="005D0826"/>
    <w:rsid w:val="005D0980"/>
    <w:rsid w:val="005D0B56"/>
    <w:rsid w:val="005D0C3C"/>
    <w:rsid w:val="005D0FC8"/>
    <w:rsid w:val="005D1011"/>
    <w:rsid w:val="005D10CD"/>
    <w:rsid w:val="005D125C"/>
    <w:rsid w:val="005D13D3"/>
    <w:rsid w:val="005D1507"/>
    <w:rsid w:val="005D1728"/>
    <w:rsid w:val="005D17CB"/>
    <w:rsid w:val="005D17CE"/>
    <w:rsid w:val="005D1809"/>
    <w:rsid w:val="005D1983"/>
    <w:rsid w:val="005D19BE"/>
    <w:rsid w:val="005D1AC2"/>
    <w:rsid w:val="005D1F2F"/>
    <w:rsid w:val="005D22B2"/>
    <w:rsid w:val="005D27CF"/>
    <w:rsid w:val="005D2979"/>
    <w:rsid w:val="005D2BCD"/>
    <w:rsid w:val="005D2BED"/>
    <w:rsid w:val="005D2C21"/>
    <w:rsid w:val="005D2D29"/>
    <w:rsid w:val="005D2DCD"/>
    <w:rsid w:val="005D30E9"/>
    <w:rsid w:val="005D3745"/>
    <w:rsid w:val="005D37E4"/>
    <w:rsid w:val="005D389E"/>
    <w:rsid w:val="005D3E7C"/>
    <w:rsid w:val="005D3EE5"/>
    <w:rsid w:val="005D4038"/>
    <w:rsid w:val="005D41E4"/>
    <w:rsid w:val="005D41E7"/>
    <w:rsid w:val="005D4308"/>
    <w:rsid w:val="005D4376"/>
    <w:rsid w:val="005D44BA"/>
    <w:rsid w:val="005D45CB"/>
    <w:rsid w:val="005D45FA"/>
    <w:rsid w:val="005D499D"/>
    <w:rsid w:val="005D4B6A"/>
    <w:rsid w:val="005D4FE6"/>
    <w:rsid w:val="005D516F"/>
    <w:rsid w:val="005D52D5"/>
    <w:rsid w:val="005D52DB"/>
    <w:rsid w:val="005D54F7"/>
    <w:rsid w:val="005D552B"/>
    <w:rsid w:val="005D569A"/>
    <w:rsid w:val="005D56DE"/>
    <w:rsid w:val="005D5A5B"/>
    <w:rsid w:val="005D5AC6"/>
    <w:rsid w:val="005D5AD3"/>
    <w:rsid w:val="005D5B1B"/>
    <w:rsid w:val="005D5BE8"/>
    <w:rsid w:val="005D5BEC"/>
    <w:rsid w:val="005D5D14"/>
    <w:rsid w:val="005D5F90"/>
    <w:rsid w:val="005D6181"/>
    <w:rsid w:val="005D626E"/>
    <w:rsid w:val="005D6785"/>
    <w:rsid w:val="005D6813"/>
    <w:rsid w:val="005D6858"/>
    <w:rsid w:val="005D699B"/>
    <w:rsid w:val="005D6B7B"/>
    <w:rsid w:val="005D6BB7"/>
    <w:rsid w:val="005D6C49"/>
    <w:rsid w:val="005D6D8C"/>
    <w:rsid w:val="005D6F87"/>
    <w:rsid w:val="005D70C5"/>
    <w:rsid w:val="005D724D"/>
    <w:rsid w:val="005D7530"/>
    <w:rsid w:val="005D75B8"/>
    <w:rsid w:val="005D78FC"/>
    <w:rsid w:val="005D7931"/>
    <w:rsid w:val="005D796E"/>
    <w:rsid w:val="005D7A37"/>
    <w:rsid w:val="005D7C77"/>
    <w:rsid w:val="005D7D81"/>
    <w:rsid w:val="005D7EA4"/>
    <w:rsid w:val="005D7F56"/>
    <w:rsid w:val="005E02DD"/>
    <w:rsid w:val="005E02E1"/>
    <w:rsid w:val="005E0676"/>
    <w:rsid w:val="005E07C0"/>
    <w:rsid w:val="005E09E1"/>
    <w:rsid w:val="005E0C21"/>
    <w:rsid w:val="005E10D7"/>
    <w:rsid w:val="005E118F"/>
    <w:rsid w:val="005E129C"/>
    <w:rsid w:val="005E141C"/>
    <w:rsid w:val="005E14E0"/>
    <w:rsid w:val="005E16CA"/>
    <w:rsid w:val="005E16D6"/>
    <w:rsid w:val="005E16E5"/>
    <w:rsid w:val="005E175B"/>
    <w:rsid w:val="005E1BCE"/>
    <w:rsid w:val="005E1D43"/>
    <w:rsid w:val="005E1E7D"/>
    <w:rsid w:val="005E1E7E"/>
    <w:rsid w:val="005E1E9B"/>
    <w:rsid w:val="005E225E"/>
    <w:rsid w:val="005E2270"/>
    <w:rsid w:val="005E2519"/>
    <w:rsid w:val="005E25D4"/>
    <w:rsid w:val="005E25F3"/>
    <w:rsid w:val="005E27D1"/>
    <w:rsid w:val="005E2984"/>
    <w:rsid w:val="005E2A81"/>
    <w:rsid w:val="005E2B8B"/>
    <w:rsid w:val="005E2DD2"/>
    <w:rsid w:val="005E2E86"/>
    <w:rsid w:val="005E2EA1"/>
    <w:rsid w:val="005E307B"/>
    <w:rsid w:val="005E373A"/>
    <w:rsid w:val="005E3944"/>
    <w:rsid w:val="005E398B"/>
    <w:rsid w:val="005E3B1D"/>
    <w:rsid w:val="005E3EDE"/>
    <w:rsid w:val="005E3EEC"/>
    <w:rsid w:val="005E40C0"/>
    <w:rsid w:val="005E4101"/>
    <w:rsid w:val="005E4333"/>
    <w:rsid w:val="005E4438"/>
    <w:rsid w:val="005E46E6"/>
    <w:rsid w:val="005E479D"/>
    <w:rsid w:val="005E47B8"/>
    <w:rsid w:val="005E487C"/>
    <w:rsid w:val="005E4882"/>
    <w:rsid w:val="005E488C"/>
    <w:rsid w:val="005E48DF"/>
    <w:rsid w:val="005E4A65"/>
    <w:rsid w:val="005E4C74"/>
    <w:rsid w:val="005E4ED2"/>
    <w:rsid w:val="005E4F63"/>
    <w:rsid w:val="005E4F82"/>
    <w:rsid w:val="005E50C8"/>
    <w:rsid w:val="005E5520"/>
    <w:rsid w:val="005E5884"/>
    <w:rsid w:val="005E5C20"/>
    <w:rsid w:val="005E6092"/>
    <w:rsid w:val="005E65A3"/>
    <w:rsid w:val="005E65B7"/>
    <w:rsid w:val="005E6600"/>
    <w:rsid w:val="005E68A6"/>
    <w:rsid w:val="005E694C"/>
    <w:rsid w:val="005E6C09"/>
    <w:rsid w:val="005E6C0B"/>
    <w:rsid w:val="005E710A"/>
    <w:rsid w:val="005E72FF"/>
    <w:rsid w:val="005E73CD"/>
    <w:rsid w:val="005E7639"/>
    <w:rsid w:val="005E76AC"/>
    <w:rsid w:val="005E777E"/>
    <w:rsid w:val="005E79F1"/>
    <w:rsid w:val="005E7A77"/>
    <w:rsid w:val="005E7BB0"/>
    <w:rsid w:val="005E7EC5"/>
    <w:rsid w:val="005E7EE9"/>
    <w:rsid w:val="005EB348"/>
    <w:rsid w:val="005F05E2"/>
    <w:rsid w:val="005F0729"/>
    <w:rsid w:val="005F1479"/>
    <w:rsid w:val="005F1570"/>
    <w:rsid w:val="005F1756"/>
    <w:rsid w:val="005F1942"/>
    <w:rsid w:val="005F19E8"/>
    <w:rsid w:val="005F1A6A"/>
    <w:rsid w:val="005F1E41"/>
    <w:rsid w:val="005F1F80"/>
    <w:rsid w:val="005F1F8F"/>
    <w:rsid w:val="005F2300"/>
    <w:rsid w:val="005F26ED"/>
    <w:rsid w:val="005F273F"/>
    <w:rsid w:val="005F2814"/>
    <w:rsid w:val="005F2870"/>
    <w:rsid w:val="005F2920"/>
    <w:rsid w:val="005F2994"/>
    <w:rsid w:val="005F2BA5"/>
    <w:rsid w:val="005F2D3B"/>
    <w:rsid w:val="005F2DA1"/>
    <w:rsid w:val="005F2E94"/>
    <w:rsid w:val="005F2F6C"/>
    <w:rsid w:val="005F3097"/>
    <w:rsid w:val="005F309F"/>
    <w:rsid w:val="005F30B4"/>
    <w:rsid w:val="005F30C4"/>
    <w:rsid w:val="005F33AB"/>
    <w:rsid w:val="005F3517"/>
    <w:rsid w:val="005F3765"/>
    <w:rsid w:val="005F3832"/>
    <w:rsid w:val="005F38FC"/>
    <w:rsid w:val="005F3A6C"/>
    <w:rsid w:val="005F3F5D"/>
    <w:rsid w:val="005F3FA6"/>
    <w:rsid w:val="005F438A"/>
    <w:rsid w:val="005F4399"/>
    <w:rsid w:val="005F4518"/>
    <w:rsid w:val="005F452D"/>
    <w:rsid w:val="005F469B"/>
    <w:rsid w:val="005F4731"/>
    <w:rsid w:val="005F47C6"/>
    <w:rsid w:val="005F489E"/>
    <w:rsid w:val="005F48CC"/>
    <w:rsid w:val="005F493D"/>
    <w:rsid w:val="005F4AAB"/>
    <w:rsid w:val="005F4B25"/>
    <w:rsid w:val="005F4CA2"/>
    <w:rsid w:val="005F4CA4"/>
    <w:rsid w:val="005F4D68"/>
    <w:rsid w:val="005F4EDD"/>
    <w:rsid w:val="005F4F34"/>
    <w:rsid w:val="005F4FD4"/>
    <w:rsid w:val="005F5051"/>
    <w:rsid w:val="005F52FB"/>
    <w:rsid w:val="005F53E7"/>
    <w:rsid w:val="005F5460"/>
    <w:rsid w:val="005F54BC"/>
    <w:rsid w:val="005F560A"/>
    <w:rsid w:val="005F56B0"/>
    <w:rsid w:val="005F5828"/>
    <w:rsid w:val="005F58B1"/>
    <w:rsid w:val="005F58E0"/>
    <w:rsid w:val="005F5D0B"/>
    <w:rsid w:val="005F5ECF"/>
    <w:rsid w:val="005F5FD2"/>
    <w:rsid w:val="005F64C3"/>
    <w:rsid w:val="005F64EF"/>
    <w:rsid w:val="005F66CF"/>
    <w:rsid w:val="005F67A2"/>
    <w:rsid w:val="005F690F"/>
    <w:rsid w:val="005F69E3"/>
    <w:rsid w:val="005F6B77"/>
    <w:rsid w:val="005F6D51"/>
    <w:rsid w:val="005F6DD6"/>
    <w:rsid w:val="005F6DDB"/>
    <w:rsid w:val="005F6F42"/>
    <w:rsid w:val="005F7147"/>
    <w:rsid w:val="005F71FC"/>
    <w:rsid w:val="005F7295"/>
    <w:rsid w:val="005F72D6"/>
    <w:rsid w:val="005F777D"/>
    <w:rsid w:val="005F78E4"/>
    <w:rsid w:val="005F7CAD"/>
    <w:rsid w:val="005F7D0F"/>
    <w:rsid w:val="005F7D42"/>
    <w:rsid w:val="005F7FDB"/>
    <w:rsid w:val="00600014"/>
    <w:rsid w:val="0060016F"/>
    <w:rsid w:val="006006AA"/>
    <w:rsid w:val="006008F0"/>
    <w:rsid w:val="00600A87"/>
    <w:rsid w:val="00600BA8"/>
    <w:rsid w:val="00600CFD"/>
    <w:rsid w:val="00601064"/>
    <w:rsid w:val="00601170"/>
    <w:rsid w:val="00601568"/>
    <w:rsid w:val="00601734"/>
    <w:rsid w:val="00601879"/>
    <w:rsid w:val="006018A2"/>
    <w:rsid w:val="0060191A"/>
    <w:rsid w:val="0060191B"/>
    <w:rsid w:val="00601958"/>
    <w:rsid w:val="00601A57"/>
    <w:rsid w:val="00601ADC"/>
    <w:rsid w:val="00601BBD"/>
    <w:rsid w:val="00601D2B"/>
    <w:rsid w:val="00601DE5"/>
    <w:rsid w:val="00601FD5"/>
    <w:rsid w:val="00601FE5"/>
    <w:rsid w:val="006025AB"/>
    <w:rsid w:val="0060263C"/>
    <w:rsid w:val="006028D6"/>
    <w:rsid w:val="0060296E"/>
    <w:rsid w:val="00602AFB"/>
    <w:rsid w:val="00602B92"/>
    <w:rsid w:val="00602CEC"/>
    <w:rsid w:val="00602F12"/>
    <w:rsid w:val="00603520"/>
    <w:rsid w:val="00603629"/>
    <w:rsid w:val="006038BE"/>
    <w:rsid w:val="00604247"/>
    <w:rsid w:val="006043EB"/>
    <w:rsid w:val="0060483C"/>
    <w:rsid w:val="006049B9"/>
    <w:rsid w:val="00604A24"/>
    <w:rsid w:val="00604B3C"/>
    <w:rsid w:val="00604D76"/>
    <w:rsid w:val="00604EFE"/>
    <w:rsid w:val="00604FBB"/>
    <w:rsid w:val="0060501A"/>
    <w:rsid w:val="00605024"/>
    <w:rsid w:val="00605561"/>
    <w:rsid w:val="0060578F"/>
    <w:rsid w:val="00605816"/>
    <w:rsid w:val="006059EE"/>
    <w:rsid w:val="00605A5F"/>
    <w:rsid w:val="00605A82"/>
    <w:rsid w:val="00605C1A"/>
    <w:rsid w:val="00605CD5"/>
    <w:rsid w:val="00606051"/>
    <w:rsid w:val="006062D5"/>
    <w:rsid w:val="00606332"/>
    <w:rsid w:val="0060648F"/>
    <w:rsid w:val="006066F4"/>
    <w:rsid w:val="00606780"/>
    <w:rsid w:val="00606A71"/>
    <w:rsid w:val="00606AAD"/>
    <w:rsid w:val="00606D1B"/>
    <w:rsid w:val="00606E26"/>
    <w:rsid w:val="00606F34"/>
    <w:rsid w:val="00606FE8"/>
    <w:rsid w:val="006070C9"/>
    <w:rsid w:val="00607426"/>
    <w:rsid w:val="006076CE"/>
    <w:rsid w:val="00607756"/>
    <w:rsid w:val="00607A0E"/>
    <w:rsid w:val="00607A12"/>
    <w:rsid w:val="00607B49"/>
    <w:rsid w:val="00607CCA"/>
    <w:rsid w:val="00607CF2"/>
    <w:rsid w:val="00607D3B"/>
    <w:rsid w:val="00607E6E"/>
    <w:rsid w:val="00607F16"/>
    <w:rsid w:val="0061002E"/>
    <w:rsid w:val="006104B1"/>
    <w:rsid w:val="00610540"/>
    <w:rsid w:val="006108BF"/>
    <w:rsid w:val="00610916"/>
    <w:rsid w:val="00610A4A"/>
    <w:rsid w:val="00610A7D"/>
    <w:rsid w:val="00610B01"/>
    <w:rsid w:val="00610B22"/>
    <w:rsid w:val="00610C5B"/>
    <w:rsid w:val="00610D7E"/>
    <w:rsid w:val="00610E52"/>
    <w:rsid w:val="0061118E"/>
    <w:rsid w:val="00611217"/>
    <w:rsid w:val="006115A7"/>
    <w:rsid w:val="00611621"/>
    <w:rsid w:val="00611689"/>
    <w:rsid w:val="0061168A"/>
    <w:rsid w:val="006118AE"/>
    <w:rsid w:val="00611938"/>
    <w:rsid w:val="006119B1"/>
    <w:rsid w:val="006119FD"/>
    <w:rsid w:val="00611AC4"/>
    <w:rsid w:val="00611B18"/>
    <w:rsid w:val="00611E18"/>
    <w:rsid w:val="00611ED4"/>
    <w:rsid w:val="00611FFE"/>
    <w:rsid w:val="006122AE"/>
    <w:rsid w:val="006123CC"/>
    <w:rsid w:val="006123D6"/>
    <w:rsid w:val="006125D6"/>
    <w:rsid w:val="006127AA"/>
    <w:rsid w:val="00612896"/>
    <w:rsid w:val="00612979"/>
    <w:rsid w:val="00612AAD"/>
    <w:rsid w:val="00612D80"/>
    <w:rsid w:val="00612E22"/>
    <w:rsid w:val="00612F62"/>
    <w:rsid w:val="0061310F"/>
    <w:rsid w:val="006131E2"/>
    <w:rsid w:val="0061341A"/>
    <w:rsid w:val="00613704"/>
    <w:rsid w:val="006137AD"/>
    <w:rsid w:val="006137D3"/>
    <w:rsid w:val="00613C9A"/>
    <w:rsid w:val="00613E20"/>
    <w:rsid w:val="0061413B"/>
    <w:rsid w:val="00614190"/>
    <w:rsid w:val="0061457D"/>
    <w:rsid w:val="00614663"/>
    <w:rsid w:val="00614703"/>
    <w:rsid w:val="00614765"/>
    <w:rsid w:val="00614795"/>
    <w:rsid w:val="00614993"/>
    <w:rsid w:val="00614A1D"/>
    <w:rsid w:val="00614B4C"/>
    <w:rsid w:val="00614BC9"/>
    <w:rsid w:val="006151CA"/>
    <w:rsid w:val="0061520F"/>
    <w:rsid w:val="006154CC"/>
    <w:rsid w:val="00615538"/>
    <w:rsid w:val="006157B3"/>
    <w:rsid w:val="0061595E"/>
    <w:rsid w:val="00615C45"/>
    <w:rsid w:val="00615C8F"/>
    <w:rsid w:val="00615CCB"/>
    <w:rsid w:val="00615E30"/>
    <w:rsid w:val="00615E79"/>
    <w:rsid w:val="006161FD"/>
    <w:rsid w:val="0061634B"/>
    <w:rsid w:val="0061637D"/>
    <w:rsid w:val="0061648E"/>
    <w:rsid w:val="006164C2"/>
    <w:rsid w:val="006167C9"/>
    <w:rsid w:val="006169CC"/>
    <w:rsid w:val="006169D6"/>
    <w:rsid w:val="00616B9F"/>
    <w:rsid w:val="00616C25"/>
    <w:rsid w:val="00616CB3"/>
    <w:rsid w:val="00616D89"/>
    <w:rsid w:val="0061709F"/>
    <w:rsid w:val="006170BC"/>
    <w:rsid w:val="00617366"/>
    <w:rsid w:val="006177DF"/>
    <w:rsid w:val="006177EB"/>
    <w:rsid w:val="006179AA"/>
    <w:rsid w:val="00617A22"/>
    <w:rsid w:val="00617A62"/>
    <w:rsid w:val="00617B5F"/>
    <w:rsid w:val="00617D91"/>
    <w:rsid w:val="00617FD2"/>
    <w:rsid w:val="00620066"/>
    <w:rsid w:val="00620083"/>
    <w:rsid w:val="006201DA"/>
    <w:rsid w:val="00620392"/>
    <w:rsid w:val="006203FB"/>
    <w:rsid w:val="006205B5"/>
    <w:rsid w:val="006207AE"/>
    <w:rsid w:val="006207DC"/>
    <w:rsid w:val="00620AFB"/>
    <w:rsid w:val="00620B99"/>
    <w:rsid w:val="00620CCB"/>
    <w:rsid w:val="00620D0C"/>
    <w:rsid w:val="00620ED5"/>
    <w:rsid w:val="00621018"/>
    <w:rsid w:val="00621150"/>
    <w:rsid w:val="006212F6"/>
    <w:rsid w:val="00621446"/>
    <w:rsid w:val="00621655"/>
    <w:rsid w:val="00621C57"/>
    <w:rsid w:val="00621DFE"/>
    <w:rsid w:val="00621E69"/>
    <w:rsid w:val="00621F4D"/>
    <w:rsid w:val="00622016"/>
    <w:rsid w:val="006220A7"/>
    <w:rsid w:val="006220C9"/>
    <w:rsid w:val="0062219B"/>
    <w:rsid w:val="006221D9"/>
    <w:rsid w:val="00622276"/>
    <w:rsid w:val="0062228B"/>
    <w:rsid w:val="00622463"/>
    <w:rsid w:val="00622647"/>
    <w:rsid w:val="00622677"/>
    <w:rsid w:val="0062280A"/>
    <w:rsid w:val="00622861"/>
    <w:rsid w:val="00622934"/>
    <w:rsid w:val="00622A47"/>
    <w:rsid w:val="00622D08"/>
    <w:rsid w:val="00622DF9"/>
    <w:rsid w:val="00622E95"/>
    <w:rsid w:val="00622F4D"/>
    <w:rsid w:val="00623043"/>
    <w:rsid w:val="006232A9"/>
    <w:rsid w:val="0062330C"/>
    <w:rsid w:val="00623537"/>
    <w:rsid w:val="006239C5"/>
    <w:rsid w:val="00623B15"/>
    <w:rsid w:val="00623CEE"/>
    <w:rsid w:val="00623CF9"/>
    <w:rsid w:val="00623D7B"/>
    <w:rsid w:val="00623DD4"/>
    <w:rsid w:val="00623DF6"/>
    <w:rsid w:val="00623E2B"/>
    <w:rsid w:val="00623E37"/>
    <w:rsid w:val="00623F27"/>
    <w:rsid w:val="006240A3"/>
    <w:rsid w:val="006241BA"/>
    <w:rsid w:val="0062431A"/>
    <w:rsid w:val="00624364"/>
    <w:rsid w:val="00624510"/>
    <w:rsid w:val="00624828"/>
    <w:rsid w:val="00624B21"/>
    <w:rsid w:val="00624BE5"/>
    <w:rsid w:val="00624C9A"/>
    <w:rsid w:val="006250B4"/>
    <w:rsid w:val="006250FB"/>
    <w:rsid w:val="006253C2"/>
    <w:rsid w:val="0062572A"/>
    <w:rsid w:val="006257EB"/>
    <w:rsid w:val="006259D7"/>
    <w:rsid w:val="00625E08"/>
    <w:rsid w:val="00625E81"/>
    <w:rsid w:val="006262DF"/>
    <w:rsid w:val="0062645A"/>
    <w:rsid w:val="0062662E"/>
    <w:rsid w:val="006269F1"/>
    <w:rsid w:val="00626A8B"/>
    <w:rsid w:val="00626CE3"/>
    <w:rsid w:val="00626E04"/>
    <w:rsid w:val="00626F42"/>
    <w:rsid w:val="0062703F"/>
    <w:rsid w:val="00627350"/>
    <w:rsid w:val="00627664"/>
    <w:rsid w:val="00627695"/>
    <w:rsid w:val="0062773D"/>
    <w:rsid w:val="0062773F"/>
    <w:rsid w:val="006278D7"/>
    <w:rsid w:val="00627A23"/>
    <w:rsid w:val="00627B19"/>
    <w:rsid w:val="00627DCC"/>
    <w:rsid w:val="00627E19"/>
    <w:rsid w:val="006306A2"/>
    <w:rsid w:val="00630795"/>
    <w:rsid w:val="00630AD2"/>
    <w:rsid w:val="00630BB2"/>
    <w:rsid w:val="00630D0C"/>
    <w:rsid w:val="00630E4B"/>
    <w:rsid w:val="00630FEB"/>
    <w:rsid w:val="0063104E"/>
    <w:rsid w:val="0063109C"/>
    <w:rsid w:val="006310DB"/>
    <w:rsid w:val="00631377"/>
    <w:rsid w:val="006313C2"/>
    <w:rsid w:val="00631513"/>
    <w:rsid w:val="006315EB"/>
    <w:rsid w:val="0063182E"/>
    <w:rsid w:val="00631A48"/>
    <w:rsid w:val="00631AEF"/>
    <w:rsid w:val="00631CBF"/>
    <w:rsid w:val="00631D2C"/>
    <w:rsid w:val="00631ECA"/>
    <w:rsid w:val="00631FB3"/>
    <w:rsid w:val="00632097"/>
    <w:rsid w:val="006321D7"/>
    <w:rsid w:val="00632572"/>
    <w:rsid w:val="006325B4"/>
    <w:rsid w:val="00632F17"/>
    <w:rsid w:val="00632F37"/>
    <w:rsid w:val="0063321D"/>
    <w:rsid w:val="006334D5"/>
    <w:rsid w:val="006334F4"/>
    <w:rsid w:val="006336C2"/>
    <w:rsid w:val="0063379B"/>
    <w:rsid w:val="006337D0"/>
    <w:rsid w:val="006338D7"/>
    <w:rsid w:val="006338E2"/>
    <w:rsid w:val="00633B21"/>
    <w:rsid w:val="00633DAC"/>
    <w:rsid w:val="006340ED"/>
    <w:rsid w:val="006341A5"/>
    <w:rsid w:val="00634284"/>
    <w:rsid w:val="006342BF"/>
    <w:rsid w:val="00634545"/>
    <w:rsid w:val="00634675"/>
    <w:rsid w:val="00634BFD"/>
    <w:rsid w:val="00634CB8"/>
    <w:rsid w:val="006354A5"/>
    <w:rsid w:val="00635762"/>
    <w:rsid w:val="006357AB"/>
    <w:rsid w:val="00635824"/>
    <w:rsid w:val="006359EE"/>
    <w:rsid w:val="00635DF2"/>
    <w:rsid w:val="00636462"/>
    <w:rsid w:val="006365A0"/>
    <w:rsid w:val="0063686D"/>
    <w:rsid w:val="00636A65"/>
    <w:rsid w:val="00636B0F"/>
    <w:rsid w:val="00636B20"/>
    <w:rsid w:val="00636BD9"/>
    <w:rsid w:val="00636BE5"/>
    <w:rsid w:val="00636CE3"/>
    <w:rsid w:val="00636DBE"/>
    <w:rsid w:val="00636E48"/>
    <w:rsid w:val="00637207"/>
    <w:rsid w:val="006374E2"/>
    <w:rsid w:val="006374EC"/>
    <w:rsid w:val="006376CE"/>
    <w:rsid w:val="006377CA"/>
    <w:rsid w:val="006377DE"/>
    <w:rsid w:val="006379FD"/>
    <w:rsid w:val="00637A01"/>
    <w:rsid w:val="00637A6E"/>
    <w:rsid w:val="00637B95"/>
    <w:rsid w:val="00637D90"/>
    <w:rsid w:val="0064031F"/>
    <w:rsid w:val="006406E6"/>
    <w:rsid w:val="0064076E"/>
    <w:rsid w:val="0064079C"/>
    <w:rsid w:val="006407AF"/>
    <w:rsid w:val="006407D8"/>
    <w:rsid w:val="006408D5"/>
    <w:rsid w:val="0064096F"/>
    <w:rsid w:val="00640991"/>
    <w:rsid w:val="006409AB"/>
    <w:rsid w:val="00640A00"/>
    <w:rsid w:val="00640A22"/>
    <w:rsid w:val="00640AE5"/>
    <w:rsid w:val="00640D56"/>
    <w:rsid w:val="00640D8F"/>
    <w:rsid w:val="00640EF3"/>
    <w:rsid w:val="00640F27"/>
    <w:rsid w:val="00640F88"/>
    <w:rsid w:val="00641142"/>
    <w:rsid w:val="00641CEA"/>
    <w:rsid w:val="00641DDC"/>
    <w:rsid w:val="00641E26"/>
    <w:rsid w:val="00641F67"/>
    <w:rsid w:val="0064204C"/>
    <w:rsid w:val="006420C4"/>
    <w:rsid w:val="00642262"/>
    <w:rsid w:val="00642279"/>
    <w:rsid w:val="00642292"/>
    <w:rsid w:val="00642477"/>
    <w:rsid w:val="00642535"/>
    <w:rsid w:val="0064295E"/>
    <w:rsid w:val="006429FA"/>
    <w:rsid w:val="00642A63"/>
    <w:rsid w:val="00642BAF"/>
    <w:rsid w:val="00642D67"/>
    <w:rsid w:val="00642DCE"/>
    <w:rsid w:val="00642E2D"/>
    <w:rsid w:val="00643031"/>
    <w:rsid w:val="0064305C"/>
    <w:rsid w:val="00643211"/>
    <w:rsid w:val="006432AB"/>
    <w:rsid w:val="0064333F"/>
    <w:rsid w:val="00643445"/>
    <w:rsid w:val="00643711"/>
    <w:rsid w:val="00643841"/>
    <w:rsid w:val="006438BE"/>
    <w:rsid w:val="00643B49"/>
    <w:rsid w:val="00643B60"/>
    <w:rsid w:val="00643C08"/>
    <w:rsid w:val="00643CE3"/>
    <w:rsid w:val="00643EA1"/>
    <w:rsid w:val="006440D5"/>
    <w:rsid w:val="00644314"/>
    <w:rsid w:val="00644482"/>
    <w:rsid w:val="006445F6"/>
    <w:rsid w:val="00644894"/>
    <w:rsid w:val="00644DBC"/>
    <w:rsid w:val="00644E12"/>
    <w:rsid w:val="00644E1B"/>
    <w:rsid w:val="0064521E"/>
    <w:rsid w:val="00645274"/>
    <w:rsid w:val="006452DE"/>
    <w:rsid w:val="0064531E"/>
    <w:rsid w:val="006453DA"/>
    <w:rsid w:val="00645487"/>
    <w:rsid w:val="006454E6"/>
    <w:rsid w:val="00645538"/>
    <w:rsid w:val="0064557A"/>
    <w:rsid w:val="00645583"/>
    <w:rsid w:val="006455DB"/>
    <w:rsid w:val="0064598A"/>
    <w:rsid w:val="00645A72"/>
    <w:rsid w:val="00645D39"/>
    <w:rsid w:val="00645DE1"/>
    <w:rsid w:val="00645E93"/>
    <w:rsid w:val="00645F5D"/>
    <w:rsid w:val="006460F4"/>
    <w:rsid w:val="00646180"/>
    <w:rsid w:val="00646189"/>
    <w:rsid w:val="00646195"/>
    <w:rsid w:val="00646273"/>
    <w:rsid w:val="0064637B"/>
    <w:rsid w:val="0064648A"/>
    <w:rsid w:val="006464EC"/>
    <w:rsid w:val="00646507"/>
    <w:rsid w:val="0064674A"/>
    <w:rsid w:val="0064678C"/>
    <w:rsid w:val="0064689C"/>
    <w:rsid w:val="006468D3"/>
    <w:rsid w:val="006468F4"/>
    <w:rsid w:val="00646943"/>
    <w:rsid w:val="00646955"/>
    <w:rsid w:val="00646B03"/>
    <w:rsid w:val="00646B68"/>
    <w:rsid w:val="00646B77"/>
    <w:rsid w:val="00646BB2"/>
    <w:rsid w:val="00646C83"/>
    <w:rsid w:val="00646DFA"/>
    <w:rsid w:val="00646F8F"/>
    <w:rsid w:val="00646FBA"/>
    <w:rsid w:val="00647118"/>
    <w:rsid w:val="0064738E"/>
    <w:rsid w:val="006475CD"/>
    <w:rsid w:val="006477C6"/>
    <w:rsid w:val="00647C62"/>
    <w:rsid w:val="00647F7D"/>
    <w:rsid w:val="0065015A"/>
    <w:rsid w:val="00650181"/>
    <w:rsid w:val="00650303"/>
    <w:rsid w:val="00650431"/>
    <w:rsid w:val="00650510"/>
    <w:rsid w:val="006507E8"/>
    <w:rsid w:val="0065091B"/>
    <w:rsid w:val="00650AB2"/>
    <w:rsid w:val="00650CB9"/>
    <w:rsid w:val="00650FAC"/>
    <w:rsid w:val="006512E7"/>
    <w:rsid w:val="00651322"/>
    <w:rsid w:val="0065158A"/>
    <w:rsid w:val="0065161A"/>
    <w:rsid w:val="006516DB"/>
    <w:rsid w:val="00651942"/>
    <w:rsid w:val="00651A4F"/>
    <w:rsid w:val="00651AB3"/>
    <w:rsid w:val="00651C07"/>
    <w:rsid w:val="00651D85"/>
    <w:rsid w:val="00651E00"/>
    <w:rsid w:val="0065218C"/>
    <w:rsid w:val="0065224D"/>
    <w:rsid w:val="006522ED"/>
    <w:rsid w:val="0065247C"/>
    <w:rsid w:val="00652568"/>
    <w:rsid w:val="0065270E"/>
    <w:rsid w:val="00652739"/>
    <w:rsid w:val="006529E3"/>
    <w:rsid w:val="00652A23"/>
    <w:rsid w:val="00652A29"/>
    <w:rsid w:val="00652ADF"/>
    <w:rsid w:val="00652D85"/>
    <w:rsid w:val="00652F53"/>
    <w:rsid w:val="00652F80"/>
    <w:rsid w:val="006532A5"/>
    <w:rsid w:val="00653318"/>
    <w:rsid w:val="00653408"/>
    <w:rsid w:val="00653481"/>
    <w:rsid w:val="0065355F"/>
    <w:rsid w:val="006536A5"/>
    <w:rsid w:val="006536B4"/>
    <w:rsid w:val="0065398B"/>
    <w:rsid w:val="00653BC2"/>
    <w:rsid w:val="00653DA9"/>
    <w:rsid w:val="00653EE5"/>
    <w:rsid w:val="00654162"/>
    <w:rsid w:val="006541FC"/>
    <w:rsid w:val="0065429B"/>
    <w:rsid w:val="00654503"/>
    <w:rsid w:val="0065466D"/>
    <w:rsid w:val="006548D8"/>
    <w:rsid w:val="00654CBF"/>
    <w:rsid w:val="00654E1C"/>
    <w:rsid w:val="00654F61"/>
    <w:rsid w:val="00655001"/>
    <w:rsid w:val="006550EA"/>
    <w:rsid w:val="00655153"/>
    <w:rsid w:val="006551C4"/>
    <w:rsid w:val="00655540"/>
    <w:rsid w:val="0065562F"/>
    <w:rsid w:val="006556C9"/>
    <w:rsid w:val="006557AC"/>
    <w:rsid w:val="00655864"/>
    <w:rsid w:val="006559F3"/>
    <w:rsid w:val="00655A90"/>
    <w:rsid w:val="00655C02"/>
    <w:rsid w:val="00655E0F"/>
    <w:rsid w:val="00655E91"/>
    <w:rsid w:val="00655F01"/>
    <w:rsid w:val="006561E6"/>
    <w:rsid w:val="006563F7"/>
    <w:rsid w:val="006564D7"/>
    <w:rsid w:val="00656683"/>
    <w:rsid w:val="00656685"/>
    <w:rsid w:val="006566F6"/>
    <w:rsid w:val="0065673E"/>
    <w:rsid w:val="0065679F"/>
    <w:rsid w:val="006569A7"/>
    <w:rsid w:val="00656E66"/>
    <w:rsid w:val="00656F43"/>
    <w:rsid w:val="00656FB7"/>
    <w:rsid w:val="006578D6"/>
    <w:rsid w:val="00657A9C"/>
    <w:rsid w:val="00657C77"/>
    <w:rsid w:val="00657CE8"/>
    <w:rsid w:val="00660002"/>
    <w:rsid w:val="00660050"/>
    <w:rsid w:val="00660226"/>
    <w:rsid w:val="0066022D"/>
    <w:rsid w:val="00660289"/>
    <w:rsid w:val="006602FC"/>
    <w:rsid w:val="006604C5"/>
    <w:rsid w:val="0066058A"/>
    <w:rsid w:val="00660690"/>
    <w:rsid w:val="006609AA"/>
    <w:rsid w:val="00660ACE"/>
    <w:rsid w:val="00660B14"/>
    <w:rsid w:val="00660EF9"/>
    <w:rsid w:val="006610DA"/>
    <w:rsid w:val="00661292"/>
    <w:rsid w:val="006613E8"/>
    <w:rsid w:val="006614B3"/>
    <w:rsid w:val="0066158F"/>
    <w:rsid w:val="0066166F"/>
    <w:rsid w:val="00661941"/>
    <w:rsid w:val="00661A90"/>
    <w:rsid w:val="00661B6D"/>
    <w:rsid w:val="00661B6E"/>
    <w:rsid w:val="00661D88"/>
    <w:rsid w:val="00661D8D"/>
    <w:rsid w:val="00662206"/>
    <w:rsid w:val="006623A1"/>
    <w:rsid w:val="0066250D"/>
    <w:rsid w:val="006625B0"/>
    <w:rsid w:val="00662687"/>
    <w:rsid w:val="00662768"/>
    <w:rsid w:val="00662794"/>
    <w:rsid w:val="00662A2C"/>
    <w:rsid w:val="00662A71"/>
    <w:rsid w:val="00662A9B"/>
    <w:rsid w:val="00662ADE"/>
    <w:rsid w:val="00662B6A"/>
    <w:rsid w:val="00662C25"/>
    <w:rsid w:val="00662C90"/>
    <w:rsid w:val="00662CEB"/>
    <w:rsid w:val="00662E45"/>
    <w:rsid w:val="00662F50"/>
    <w:rsid w:val="00663019"/>
    <w:rsid w:val="006631F6"/>
    <w:rsid w:val="00663232"/>
    <w:rsid w:val="0066333B"/>
    <w:rsid w:val="006635F9"/>
    <w:rsid w:val="006636F8"/>
    <w:rsid w:val="006638BE"/>
    <w:rsid w:val="0066390A"/>
    <w:rsid w:val="006639D0"/>
    <w:rsid w:val="00663DEE"/>
    <w:rsid w:val="00663F13"/>
    <w:rsid w:val="00664169"/>
    <w:rsid w:val="006642B0"/>
    <w:rsid w:val="006642CD"/>
    <w:rsid w:val="006646B8"/>
    <w:rsid w:val="006646E7"/>
    <w:rsid w:val="0066472C"/>
    <w:rsid w:val="006647CF"/>
    <w:rsid w:val="006648F3"/>
    <w:rsid w:val="00664932"/>
    <w:rsid w:val="00664A10"/>
    <w:rsid w:val="00664A95"/>
    <w:rsid w:val="00664AA0"/>
    <w:rsid w:val="00664B1F"/>
    <w:rsid w:val="00664CD9"/>
    <w:rsid w:val="00664EBA"/>
    <w:rsid w:val="006650D3"/>
    <w:rsid w:val="00665125"/>
    <w:rsid w:val="00665151"/>
    <w:rsid w:val="006651D5"/>
    <w:rsid w:val="00665522"/>
    <w:rsid w:val="0066575E"/>
    <w:rsid w:val="00665806"/>
    <w:rsid w:val="006658E2"/>
    <w:rsid w:val="00665925"/>
    <w:rsid w:val="00665D73"/>
    <w:rsid w:val="00665E1B"/>
    <w:rsid w:val="00665F82"/>
    <w:rsid w:val="00666200"/>
    <w:rsid w:val="00666239"/>
    <w:rsid w:val="00666299"/>
    <w:rsid w:val="0066635A"/>
    <w:rsid w:val="006663C8"/>
    <w:rsid w:val="006663D7"/>
    <w:rsid w:val="0066650E"/>
    <w:rsid w:val="00666586"/>
    <w:rsid w:val="006665F7"/>
    <w:rsid w:val="0066687A"/>
    <w:rsid w:val="006669F4"/>
    <w:rsid w:val="00666A3D"/>
    <w:rsid w:val="00666A61"/>
    <w:rsid w:val="00666ABA"/>
    <w:rsid w:val="00666B38"/>
    <w:rsid w:val="00666C5F"/>
    <w:rsid w:val="00666E94"/>
    <w:rsid w:val="00666EB4"/>
    <w:rsid w:val="00666EF5"/>
    <w:rsid w:val="00667119"/>
    <w:rsid w:val="006673D1"/>
    <w:rsid w:val="00667619"/>
    <w:rsid w:val="0066762B"/>
    <w:rsid w:val="0066773E"/>
    <w:rsid w:val="00667745"/>
    <w:rsid w:val="00667810"/>
    <w:rsid w:val="00667C88"/>
    <w:rsid w:val="00667CA4"/>
    <w:rsid w:val="00667ED7"/>
    <w:rsid w:val="00667FA2"/>
    <w:rsid w:val="00667FFA"/>
    <w:rsid w:val="0067003C"/>
    <w:rsid w:val="0067009D"/>
    <w:rsid w:val="006703C9"/>
    <w:rsid w:val="0067056D"/>
    <w:rsid w:val="0067072B"/>
    <w:rsid w:val="0067074E"/>
    <w:rsid w:val="006707D7"/>
    <w:rsid w:val="00670878"/>
    <w:rsid w:val="00670F6B"/>
    <w:rsid w:val="00670FCC"/>
    <w:rsid w:val="00671349"/>
    <w:rsid w:val="006715AC"/>
    <w:rsid w:val="006715AE"/>
    <w:rsid w:val="006715FE"/>
    <w:rsid w:val="00671701"/>
    <w:rsid w:val="00671769"/>
    <w:rsid w:val="006718C3"/>
    <w:rsid w:val="0067199D"/>
    <w:rsid w:val="00671DB0"/>
    <w:rsid w:val="00671DB7"/>
    <w:rsid w:val="00671E93"/>
    <w:rsid w:val="00671EE5"/>
    <w:rsid w:val="00671F43"/>
    <w:rsid w:val="006720D2"/>
    <w:rsid w:val="0067221D"/>
    <w:rsid w:val="006724A3"/>
    <w:rsid w:val="006724D4"/>
    <w:rsid w:val="006724FC"/>
    <w:rsid w:val="00672553"/>
    <w:rsid w:val="00672655"/>
    <w:rsid w:val="006726A3"/>
    <w:rsid w:val="006726CE"/>
    <w:rsid w:val="00672C14"/>
    <w:rsid w:val="00672DAB"/>
    <w:rsid w:val="00672E6D"/>
    <w:rsid w:val="00672E7C"/>
    <w:rsid w:val="00672F5F"/>
    <w:rsid w:val="00673047"/>
    <w:rsid w:val="0067310B"/>
    <w:rsid w:val="0067314E"/>
    <w:rsid w:val="006732FF"/>
    <w:rsid w:val="0067334D"/>
    <w:rsid w:val="0067337B"/>
    <w:rsid w:val="0067366B"/>
    <w:rsid w:val="006737D8"/>
    <w:rsid w:val="00673942"/>
    <w:rsid w:val="00673BE1"/>
    <w:rsid w:val="00673BEC"/>
    <w:rsid w:val="00673DB2"/>
    <w:rsid w:val="00674261"/>
    <w:rsid w:val="00674446"/>
    <w:rsid w:val="00674938"/>
    <w:rsid w:val="00674991"/>
    <w:rsid w:val="00674B1A"/>
    <w:rsid w:val="00674D2D"/>
    <w:rsid w:val="00674D4A"/>
    <w:rsid w:val="00674DCB"/>
    <w:rsid w:val="00674E59"/>
    <w:rsid w:val="00674E61"/>
    <w:rsid w:val="00674EC0"/>
    <w:rsid w:val="00674F5F"/>
    <w:rsid w:val="0067512F"/>
    <w:rsid w:val="00675306"/>
    <w:rsid w:val="00675346"/>
    <w:rsid w:val="0067544C"/>
    <w:rsid w:val="006754CB"/>
    <w:rsid w:val="006754FB"/>
    <w:rsid w:val="0067564C"/>
    <w:rsid w:val="0067567D"/>
    <w:rsid w:val="00675806"/>
    <w:rsid w:val="00675850"/>
    <w:rsid w:val="006758FE"/>
    <w:rsid w:val="00675A23"/>
    <w:rsid w:val="00675A94"/>
    <w:rsid w:val="00675C10"/>
    <w:rsid w:val="00675DAF"/>
    <w:rsid w:val="006760F9"/>
    <w:rsid w:val="00676287"/>
    <w:rsid w:val="006763A8"/>
    <w:rsid w:val="00676464"/>
    <w:rsid w:val="00676484"/>
    <w:rsid w:val="00676488"/>
    <w:rsid w:val="00676499"/>
    <w:rsid w:val="006764EF"/>
    <w:rsid w:val="0067681A"/>
    <w:rsid w:val="006768AD"/>
    <w:rsid w:val="00676AF0"/>
    <w:rsid w:val="00676B9C"/>
    <w:rsid w:val="00676EFC"/>
    <w:rsid w:val="00676FAA"/>
    <w:rsid w:val="0067712A"/>
    <w:rsid w:val="0067736C"/>
    <w:rsid w:val="006773D0"/>
    <w:rsid w:val="00677424"/>
    <w:rsid w:val="006775D9"/>
    <w:rsid w:val="00677612"/>
    <w:rsid w:val="0067771A"/>
    <w:rsid w:val="0067781D"/>
    <w:rsid w:val="006779EE"/>
    <w:rsid w:val="00677D17"/>
    <w:rsid w:val="00677DD9"/>
    <w:rsid w:val="00677E39"/>
    <w:rsid w:val="0068034C"/>
    <w:rsid w:val="00680400"/>
    <w:rsid w:val="0068045B"/>
    <w:rsid w:val="006804FE"/>
    <w:rsid w:val="00680615"/>
    <w:rsid w:val="006808C7"/>
    <w:rsid w:val="0068090D"/>
    <w:rsid w:val="0068096B"/>
    <w:rsid w:val="00680B7F"/>
    <w:rsid w:val="00680C9E"/>
    <w:rsid w:val="00680CB0"/>
    <w:rsid w:val="00680D79"/>
    <w:rsid w:val="00680DB7"/>
    <w:rsid w:val="0068140F"/>
    <w:rsid w:val="0068146A"/>
    <w:rsid w:val="0068147E"/>
    <w:rsid w:val="00681531"/>
    <w:rsid w:val="006816A2"/>
    <w:rsid w:val="006817C2"/>
    <w:rsid w:val="006818C7"/>
    <w:rsid w:val="006819DF"/>
    <w:rsid w:val="00681BDD"/>
    <w:rsid w:val="00681BFA"/>
    <w:rsid w:val="00681CC5"/>
    <w:rsid w:val="00681D14"/>
    <w:rsid w:val="00681D64"/>
    <w:rsid w:val="00681FA3"/>
    <w:rsid w:val="0068203D"/>
    <w:rsid w:val="006822CC"/>
    <w:rsid w:val="00682801"/>
    <w:rsid w:val="00682E51"/>
    <w:rsid w:val="00683014"/>
    <w:rsid w:val="00683028"/>
    <w:rsid w:val="00683082"/>
    <w:rsid w:val="0068309F"/>
    <w:rsid w:val="0068311F"/>
    <w:rsid w:val="006831B0"/>
    <w:rsid w:val="006832F1"/>
    <w:rsid w:val="006834CC"/>
    <w:rsid w:val="006834D5"/>
    <w:rsid w:val="006834E2"/>
    <w:rsid w:val="006835B3"/>
    <w:rsid w:val="00683765"/>
    <w:rsid w:val="00683796"/>
    <w:rsid w:val="006837A7"/>
    <w:rsid w:val="006838EE"/>
    <w:rsid w:val="00683A57"/>
    <w:rsid w:val="00683C6B"/>
    <w:rsid w:val="00683DEE"/>
    <w:rsid w:val="00683E47"/>
    <w:rsid w:val="00683EB8"/>
    <w:rsid w:val="0068405B"/>
    <w:rsid w:val="0068415A"/>
    <w:rsid w:val="006842CB"/>
    <w:rsid w:val="006844AB"/>
    <w:rsid w:val="006846A6"/>
    <w:rsid w:val="006847A6"/>
    <w:rsid w:val="006849AC"/>
    <w:rsid w:val="00684C37"/>
    <w:rsid w:val="00684DED"/>
    <w:rsid w:val="00684EC0"/>
    <w:rsid w:val="00684F4D"/>
    <w:rsid w:val="00685068"/>
    <w:rsid w:val="00685171"/>
    <w:rsid w:val="006852DD"/>
    <w:rsid w:val="0068531D"/>
    <w:rsid w:val="006853B1"/>
    <w:rsid w:val="006854D7"/>
    <w:rsid w:val="00685964"/>
    <w:rsid w:val="00685ABA"/>
    <w:rsid w:val="00685B87"/>
    <w:rsid w:val="00685BC3"/>
    <w:rsid w:val="00685BC7"/>
    <w:rsid w:val="00685C4D"/>
    <w:rsid w:val="00685D1D"/>
    <w:rsid w:val="00685E58"/>
    <w:rsid w:val="00685EE4"/>
    <w:rsid w:val="00685EE8"/>
    <w:rsid w:val="00685F0C"/>
    <w:rsid w:val="00686172"/>
    <w:rsid w:val="006861C1"/>
    <w:rsid w:val="006864DD"/>
    <w:rsid w:val="0068657B"/>
    <w:rsid w:val="00686589"/>
    <w:rsid w:val="006867F4"/>
    <w:rsid w:val="0068684E"/>
    <w:rsid w:val="00686984"/>
    <w:rsid w:val="00686A86"/>
    <w:rsid w:val="00686AEE"/>
    <w:rsid w:val="00686EDB"/>
    <w:rsid w:val="00687045"/>
    <w:rsid w:val="006870AD"/>
    <w:rsid w:val="006870B0"/>
    <w:rsid w:val="006871F2"/>
    <w:rsid w:val="00687230"/>
    <w:rsid w:val="00687379"/>
    <w:rsid w:val="006873CC"/>
    <w:rsid w:val="006875D4"/>
    <w:rsid w:val="0068777C"/>
    <w:rsid w:val="00687794"/>
    <w:rsid w:val="006879D1"/>
    <w:rsid w:val="00687A17"/>
    <w:rsid w:val="00687C56"/>
    <w:rsid w:val="00687C6A"/>
    <w:rsid w:val="00687D2F"/>
    <w:rsid w:val="00687EF4"/>
    <w:rsid w:val="0069057D"/>
    <w:rsid w:val="006905CF"/>
    <w:rsid w:val="00690639"/>
    <w:rsid w:val="0069064E"/>
    <w:rsid w:val="00690905"/>
    <w:rsid w:val="00690A10"/>
    <w:rsid w:val="00690CCC"/>
    <w:rsid w:val="00690F3F"/>
    <w:rsid w:val="00690F94"/>
    <w:rsid w:val="0069102D"/>
    <w:rsid w:val="00691265"/>
    <w:rsid w:val="006915D0"/>
    <w:rsid w:val="0069160B"/>
    <w:rsid w:val="006917D6"/>
    <w:rsid w:val="00691A23"/>
    <w:rsid w:val="00691B3E"/>
    <w:rsid w:val="00691B8A"/>
    <w:rsid w:val="00691DEF"/>
    <w:rsid w:val="00691FB3"/>
    <w:rsid w:val="00692249"/>
    <w:rsid w:val="006923D9"/>
    <w:rsid w:val="006924E9"/>
    <w:rsid w:val="00692821"/>
    <w:rsid w:val="00692E63"/>
    <w:rsid w:val="0069312E"/>
    <w:rsid w:val="0069333E"/>
    <w:rsid w:val="00693AA5"/>
    <w:rsid w:val="00693AD5"/>
    <w:rsid w:val="00693C4E"/>
    <w:rsid w:val="00693D10"/>
    <w:rsid w:val="00693D93"/>
    <w:rsid w:val="00694075"/>
    <w:rsid w:val="006940A7"/>
    <w:rsid w:val="006940F4"/>
    <w:rsid w:val="00694178"/>
    <w:rsid w:val="00694251"/>
    <w:rsid w:val="0069429C"/>
    <w:rsid w:val="006942A7"/>
    <w:rsid w:val="0069443D"/>
    <w:rsid w:val="00694564"/>
    <w:rsid w:val="006945FE"/>
    <w:rsid w:val="0069460F"/>
    <w:rsid w:val="006946CB"/>
    <w:rsid w:val="006946F4"/>
    <w:rsid w:val="00694A90"/>
    <w:rsid w:val="00694D3F"/>
    <w:rsid w:val="00694D51"/>
    <w:rsid w:val="00694F3E"/>
    <w:rsid w:val="00694F56"/>
    <w:rsid w:val="00695058"/>
    <w:rsid w:val="00695252"/>
    <w:rsid w:val="0069525C"/>
    <w:rsid w:val="0069534D"/>
    <w:rsid w:val="00695703"/>
    <w:rsid w:val="006958AE"/>
    <w:rsid w:val="006958C7"/>
    <w:rsid w:val="0069596D"/>
    <w:rsid w:val="006959E4"/>
    <w:rsid w:val="00696096"/>
    <w:rsid w:val="006960BE"/>
    <w:rsid w:val="00696138"/>
    <w:rsid w:val="00696224"/>
    <w:rsid w:val="0069631C"/>
    <w:rsid w:val="006963C6"/>
    <w:rsid w:val="00696454"/>
    <w:rsid w:val="006965F9"/>
    <w:rsid w:val="006966D7"/>
    <w:rsid w:val="006968C3"/>
    <w:rsid w:val="006968F0"/>
    <w:rsid w:val="00696A94"/>
    <w:rsid w:val="00696B62"/>
    <w:rsid w:val="00696B80"/>
    <w:rsid w:val="00696D46"/>
    <w:rsid w:val="00696D48"/>
    <w:rsid w:val="00696F59"/>
    <w:rsid w:val="006970EA"/>
    <w:rsid w:val="006971E2"/>
    <w:rsid w:val="0069774C"/>
    <w:rsid w:val="00697A62"/>
    <w:rsid w:val="00697AC5"/>
    <w:rsid w:val="00697EED"/>
    <w:rsid w:val="00697F5F"/>
    <w:rsid w:val="006A00F8"/>
    <w:rsid w:val="006A031C"/>
    <w:rsid w:val="006A040B"/>
    <w:rsid w:val="006A075A"/>
    <w:rsid w:val="006A0877"/>
    <w:rsid w:val="006A088C"/>
    <w:rsid w:val="006A0901"/>
    <w:rsid w:val="006A090C"/>
    <w:rsid w:val="006A10DA"/>
    <w:rsid w:val="006A1A1C"/>
    <w:rsid w:val="006A1C29"/>
    <w:rsid w:val="006A1CA8"/>
    <w:rsid w:val="006A1E49"/>
    <w:rsid w:val="006A208F"/>
    <w:rsid w:val="006A209D"/>
    <w:rsid w:val="006A20CC"/>
    <w:rsid w:val="006A20F4"/>
    <w:rsid w:val="006A216E"/>
    <w:rsid w:val="006A2210"/>
    <w:rsid w:val="006A24BB"/>
    <w:rsid w:val="006A27CF"/>
    <w:rsid w:val="006A27D9"/>
    <w:rsid w:val="006A2824"/>
    <w:rsid w:val="006A29CC"/>
    <w:rsid w:val="006A2D1F"/>
    <w:rsid w:val="006A2E7C"/>
    <w:rsid w:val="006A2F29"/>
    <w:rsid w:val="006A3162"/>
    <w:rsid w:val="006A327B"/>
    <w:rsid w:val="006A3307"/>
    <w:rsid w:val="006A3444"/>
    <w:rsid w:val="006A34C7"/>
    <w:rsid w:val="006A34EB"/>
    <w:rsid w:val="006A364D"/>
    <w:rsid w:val="006A3BCF"/>
    <w:rsid w:val="006A3D2C"/>
    <w:rsid w:val="006A4052"/>
    <w:rsid w:val="006A412C"/>
    <w:rsid w:val="006A4248"/>
    <w:rsid w:val="006A4263"/>
    <w:rsid w:val="006A4434"/>
    <w:rsid w:val="006A44A6"/>
    <w:rsid w:val="006A490C"/>
    <w:rsid w:val="006A49A8"/>
    <w:rsid w:val="006A4DC8"/>
    <w:rsid w:val="006A4E8A"/>
    <w:rsid w:val="006A4E9F"/>
    <w:rsid w:val="006A525F"/>
    <w:rsid w:val="006A52D1"/>
    <w:rsid w:val="006A5377"/>
    <w:rsid w:val="006A5499"/>
    <w:rsid w:val="006A54AA"/>
    <w:rsid w:val="006A55E0"/>
    <w:rsid w:val="006A55F2"/>
    <w:rsid w:val="006A5679"/>
    <w:rsid w:val="006A56EC"/>
    <w:rsid w:val="006A58AF"/>
    <w:rsid w:val="006A592B"/>
    <w:rsid w:val="006A5933"/>
    <w:rsid w:val="006A5F8E"/>
    <w:rsid w:val="006A5F9C"/>
    <w:rsid w:val="006A601E"/>
    <w:rsid w:val="006A605D"/>
    <w:rsid w:val="006A60B2"/>
    <w:rsid w:val="006A6126"/>
    <w:rsid w:val="006A61A9"/>
    <w:rsid w:val="006A6205"/>
    <w:rsid w:val="006A6267"/>
    <w:rsid w:val="006A62AB"/>
    <w:rsid w:val="006A62C3"/>
    <w:rsid w:val="006A62E0"/>
    <w:rsid w:val="006A6349"/>
    <w:rsid w:val="006A67A5"/>
    <w:rsid w:val="006A6A53"/>
    <w:rsid w:val="006A6A81"/>
    <w:rsid w:val="006A6EC1"/>
    <w:rsid w:val="006A7176"/>
    <w:rsid w:val="006A7286"/>
    <w:rsid w:val="006A73A5"/>
    <w:rsid w:val="006A73ED"/>
    <w:rsid w:val="006A7418"/>
    <w:rsid w:val="006A74AE"/>
    <w:rsid w:val="006A74F4"/>
    <w:rsid w:val="006A7544"/>
    <w:rsid w:val="006A7560"/>
    <w:rsid w:val="006A761F"/>
    <w:rsid w:val="006A7788"/>
    <w:rsid w:val="006A7789"/>
    <w:rsid w:val="006A7B1A"/>
    <w:rsid w:val="006A7B90"/>
    <w:rsid w:val="006A7C3E"/>
    <w:rsid w:val="006B019A"/>
    <w:rsid w:val="006B044A"/>
    <w:rsid w:val="006B05EE"/>
    <w:rsid w:val="006B06AF"/>
    <w:rsid w:val="006B0902"/>
    <w:rsid w:val="006B0CEF"/>
    <w:rsid w:val="006B0E13"/>
    <w:rsid w:val="006B1279"/>
    <w:rsid w:val="006B1421"/>
    <w:rsid w:val="006B1524"/>
    <w:rsid w:val="006B15B8"/>
    <w:rsid w:val="006B15E1"/>
    <w:rsid w:val="006B1608"/>
    <w:rsid w:val="006B17D6"/>
    <w:rsid w:val="006B1940"/>
    <w:rsid w:val="006B1969"/>
    <w:rsid w:val="006B1A9B"/>
    <w:rsid w:val="006B1AFC"/>
    <w:rsid w:val="006B1C19"/>
    <w:rsid w:val="006B1CB7"/>
    <w:rsid w:val="006B1EE0"/>
    <w:rsid w:val="006B1EF1"/>
    <w:rsid w:val="006B1FE5"/>
    <w:rsid w:val="006B2082"/>
    <w:rsid w:val="006B2120"/>
    <w:rsid w:val="006B2177"/>
    <w:rsid w:val="006B24B0"/>
    <w:rsid w:val="006B25F9"/>
    <w:rsid w:val="006B2774"/>
    <w:rsid w:val="006B27B0"/>
    <w:rsid w:val="006B27F1"/>
    <w:rsid w:val="006B2A12"/>
    <w:rsid w:val="006B2A35"/>
    <w:rsid w:val="006B2ACE"/>
    <w:rsid w:val="006B2B73"/>
    <w:rsid w:val="006B2BFE"/>
    <w:rsid w:val="006B2E07"/>
    <w:rsid w:val="006B3276"/>
    <w:rsid w:val="006B332F"/>
    <w:rsid w:val="006B33B3"/>
    <w:rsid w:val="006B34EB"/>
    <w:rsid w:val="006B3893"/>
    <w:rsid w:val="006B38B4"/>
    <w:rsid w:val="006B3BC0"/>
    <w:rsid w:val="006B3E82"/>
    <w:rsid w:val="006B405C"/>
    <w:rsid w:val="006B4234"/>
    <w:rsid w:val="006B466E"/>
    <w:rsid w:val="006B4682"/>
    <w:rsid w:val="006B4727"/>
    <w:rsid w:val="006B480D"/>
    <w:rsid w:val="006B4AA7"/>
    <w:rsid w:val="006B4B88"/>
    <w:rsid w:val="006B4EF8"/>
    <w:rsid w:val="006B51A9"/>
    <w:rsid w:val="006B5604"/>
    <w:rsid w:val="006B563A"/>
    <w:rsid w:val="006B57B7"/>
    <w:rsid w:val="006B57DF"/>
    <w:rsid w:val="006B5B06"/>
    <w:rsid w:val="006B5B6D"/>
    <w:rsid w:val="006B5C01"/>
    <w:rsid w:val="006B5E2D"/>
    <w:rsid w:val="006B5E96"/>
    <w:rsid w:val="006B5F74"/>
    <w:rsid w:val="006B604D"/>
    <w:rsid w:val="006B60A8"/>
    <w:rsid w:val="006B61AA"/>
    <w:rsid w:val="006B61CD"/>
    <w:rsid w:val="006B63F2"/>
    <w:rsid w:val="006B6614"/>
    <w:rsid w:val="006B66E6"/>
    <w:rsid w:val="006B6710"/>
    <w:rsid w:val="006B6936"/>
    <w:rsid w:val="006B6985"/>
    <w:rsid w:val="006B69DA"/>
    <w:rsid w:val="006B6AA7"/>
    <w:rsid w:val="006B6F98"/>
    <w:rsid w:val="006B7114"/>
    <w:rsid w:val="006B732F"/>
    <w:rsid w:val="006B735D"/>
    <w:rsid w:val="006B73F8"/>
    <w:rsid w:val="006B7479"/>
    <w:rsid w:val="006B74D5"/>
    <w:rsid w:val="006B75A1"/>
    <w:rsid w:val="006B7604"/>
    <w:rsid w:val="006B7632"/>
    <w:rsid w:val="006B76D8"/>
    <w:rsid w:val="006B796A"/>
    <w:rsid w:val="006B7AA2"/>
    <w:rsid w:val="006B7B67"/>
    <w:rsid w:val="006B7C20"/>
    <w:rsid w:val="006BD82B"/>
    <w:rsid w:val="006C005D"/>
    <w:rsid w:val="006C00E9"/>
    <w:rsid w:val="006C0119"/>
    <w:rsid w:val="006C02AA"/>
    <w:rsid w:val="006C0541"/>
    <w:rsid w:val="006C0590"/>
    <w:rsid w:val="006C0707"/>
    <w:rsid w:val="006C0C41"/>
    <w:rsid w:val="006C0D36"/>
    <w:rsid w:val="006C1047"/>
    <w:rsid w:val="006C1417"/>
    <w:rsid w:val="006C1497"/>
    <w:rsid w:val="006C15B3"/>
    <w:rsid w:val="006C16B8"/>
    <w:rsid w:val="006C1867"/>
    <w:rsid w:val="006C19A8"/>
    <w:rsid w:val="006C19BF"/>
    <w:rsid w:val="006C1A07"/>
    <w:rsid w:val="006C1C7B"/>
    <w:rsid w:val="006C1CF9"/>
    <w:rsid w:val="006C1DA6"/>
    <w:rsid w:val="006C1DDA"/>
    <w:rsid w:val="006C2061"/>
    <w:rsid w:val="006C26BD"/>
    <w:rsid w:val="006C2A78"/>
    <w:rsid w:val="006C2B7D"/>
    <w:rsid w:val="006C2B8C"/>
    <w:rsid w:val="006C2CB2"/>
    <w:rsid w:val="006C2F2C"/>
    <w:rsid w:val="006C2FDC"/>
    <w:rsid w:val="006C316E"/>
    <w:rsid w:val="006C326B"/>
    <w:rsid w:val="006C3538"/>
    <w:rsid w:val="006C3689"/>
    <w:rsid w:val="006C37AD"/>
    <w:rsid w:val="006C37F9"/>
    <w:rsid w:val="006C3A44"/>
    <w:rsid w:val="006C3CFF"/>
    <w:rsid w:val="006C3D57"/>
    <w:rsid w:val="006C3E24"/>
    <w:rsid w:val="006C3E50"/>
    <w:rsid w:val="006C3E65"/>
    <w:rsid w:val="006C4142"/>
    <w:rsid w:val="006C4160"/>
    <w:rsid w:val="006C443F"/>
    <w:rsid w:val="006C4524"/>
    <w:rsid w:val="006C45B5"/>
    <w:rsid w:val="006C4617"/>
    <w:rsid w:val="006C472A"/>
    <w:rsid w:val="006C4767"/>
    <w:rsid w:val="006C4AF9"/>
    <w:rsid w:val="006C4B09"/>
    <w:rsid w:val="006C4C04"/>
    <w:rsid w:val="006C4CDB"/>
    <w:rsid w:val="006C4D20"/>
    <w:rsid w:val="006C5331"/>
    <w:rsid w:val="006C5570"/>
    <w:rsid w:val="006C5A7C"/>
    <w:rsid w:val="006C5B18"/>
    <w:rsid w:val="006C5B4E"/>
    <w:rsid w:val="006C5D66"/>
    <w:rsid w:val="006C5DE9"/>
    <w:rsid w:val="006C5EFA"/>
    <w:rsid w:val="006C6192"/>
    <w:rsid w:val="006C6267"/>
    <w:rsid w:val="006C6287"/>
    <w:rsid w:val="006C6335"/>
    <w:rsid w:val="006C644B"/>
    <w:rsid w:val="006C6495"/>
    <w:rsid w:val="006C6580"/>
    <w:rsid w:val="006C6788"/>
    <w:rsid w:val="006C6A38"/>
    <w:rsid w:val="006C6BA3"/>
    <w:rsid w:val="006C6E8E"/>
    <w:rsid w:val="006C70A4"/>
    <w:rsid w:val="006C7124"/>
    <w:rsid w:val="006C71DC"/>
    <w:rsid w:val="006C71DD"/>
    <w:rsid w:val="006C73B4"/>
    <w:rsid w:val="006C73C8"/>
    <w:rsid w:val="006C747A"/>
    <w:rsid w:val="006C7499"/>
    <w:rsid w:val="006C75C4"/>
    <w:rsid w:val="006C7633"/>
    <w:rsid w:val="006C7781"/>
    <w:rsid w:val="006C7832"/>
    <w:rsid w:val="006C78FC"/>
    <w:rsid w:val="006C7900"/>
    <w:rsid w:val="006C798F"/>
    <w:rsid w:val="006C7A4C"/>
    <w:rsid w:val="006C7B93"/>
    <w:rsid w:val="006C7C15"/>
    <w:rsid w:val="006C7C4F"/>
    <w:rsid w:val="006C7C60"/>
    <w:rsid w:val="006C7DBD"/>
    <w:rsid w:val="006C7E55"/>
    <w:rsid w:val="006C7FE9"/>
    <w:rsid w:val="006C7FF6"/>
    <w:rsid w:val="006C7FFB"/>
    <w:rsid w:val="006CB5BA"/>
    <w:rsid w:val="006D0218"/>
    <w:rsid w:val="006D0397"/>
    <w:rsid w:val="006D0398"/>
    <w:rsid w:val="006D03C8"/>
    <w:rsid w:val="006D04A2"/>
    <w:rsid w:val="006D04F7"/>
    <w:rsid w:val="006D0625"/>
    <w:rsid w:val="006D0630"/>
    <w:rsid w:val="006D06E1"/>
    <w:rsid w:val="006D071B"/>
    <w:rsid w:val="006D0753"/>
    <w:rsid w:val="006D0812"/>
    <w:rsid w:val="006D08B0"/>
    <w:rsid w:val="006D0AC1"/>
    <w:rsid w:val="006D0AE3"/>
    <w:rsid w:val="006D0B23"/>
    <w:rsid w:val="006D0DD5"/>
    <w:rsid w:val="006D0FB3"/>
    <w:rsid w:val="006D10C8"/>
    <w:rsid w:val="006D11AE"/>
    <w:rsid w:val="006D11C4"/>
    <w:rsid w:val="006D11F2"/>
    <w:rsid w:val="006D1258"/>
    <w:rsid w:val="006D12CA"/>
    <w:rsid w:val="006D1317"/>
    <w:rsid w:val="006D1561"/>
    <w:rsid w:val="006D15FB"/>
    <w:rsid w:val="006D171B"/>
    <w:rsid w:val="006D1973"/>
    <w:rsid w:val="006D1B6C"/>
    <w:rsid w:val="006D1DA4"/>
    <w:rsid w:val="006D21E3"/>
    <w:rsid w:val="006D27EE"/>
    <w:rsid w:val="006D2AAA"/>
    <w:rsid w:val="006D2BC3"/>
    <w:rsid w:val="006D2CFD"/>
    <w:rsid w:val="006D2D24"/>
    <w:rsid w:val="006D2D6F"/>
    <w:rsid w:val="006D3067"/>
    <w:rsid w:val="006D30DA"/>
    <w:rsid w:val="006D30E2"/>
    <w:rsid w:val="006D32A1"/>
    <w:rsid w:val="006D35D8"/>
    <w:rsid w:val="006D361B"/>
    <w:rsid w:val="006D36EA"/>
    <w:rsid w:val="006D3748"/>
    <w:rsid w:val="006D3A07"/>
    <w:rsid w:val="006D3B2F"/>
    <w:rsid w:val="006D3BDD"/>
    <w:rsid w:val="006D3C53"/>
    <w:rsid w:val="006D3D5D"/>
    <w:rsid w:val="006D3D87"/>
    <w:rsid w:val="006D4058"/>
    <w:rsid w:val="006D409F"/>
    <w:rsid w:val="006D41FC"/>
    <w:rsid w:val="006D427E"/>
    <w:rsid w:val="006D43D4"/>
    <w:rsid w:val="006D473F"/>
    <w:rsid w:val="006D4B61"/>
    <w:rsid w:val="006D4C83"/>
    <w:rsid w:val="006D4DCE"/>
    <w:rsid w:val="006D4DD4"/>
    <w:rsid w:val="006D4E2C"/>
    <w:rsid w:val="006D4FA0"/>
    <w:rsid w:val="006D5018"/>
    <w:rsid w:val="006D51F0"/>
    <w:rsid w:val="006D5201"/>
    <w:rsid w:val="006D54E7"/>
    <w:rsid w:val="006D5556"/>
    <w:rsid w:val="006D559B"/>
    <w:rsid w:val="006D5653"/>
    <w:rsid w:val="006D56D7"/>
    <w:rsid w:val="006D589E"/>
    <w:rsid w:val="006D58EA"/>
    <w:rsid w:val="006D58ED"/>
    <w:rsid w:val="006D5B2C"/>
    <w:rsid w:val="006D5B48"/>
    <w:rsid w:val="006D5C5D"/>
    <w:rsid w:val="006D5CE6"/>
    <w:rsid w:val="006D5D85"/>
    <w:rsid w:val="006D6111"/>
    <w:rsid w:val="006D66E5"/>
    <w:rsid w:val="006D6C0B"/>
    <w:rsid w:val="006D6D2C"/>
    <w:rsid w:val="006D6D48"/>
    <w:rsid w:val="006D6F3A"/>
    <w:rsid w:val="006D737F"/>
    <w:rsid w:val="006D745E"/>
    <w:rsid w:val="006D75F8"/>
    <w:rsid w:val="006D7663"/>
    <w:rsid w:val="006D76C0"/>
    <w:rsid w:val="006D76D1"/>
    <w:rsid w:val="006D774C"/>
    <w:rsid w:val="006D777E"/>
    <w:rsid w:val="006D77AE"/>
    <w:rsid w:val="006D789A"/>
    <w:rsid w:val="006D7C86"/>
    <w:rsid w:val="006D7D28"/>
    <w:rsid w:val="006D7F72"/>
    <w:rsid w:val="006DA86C"/>
    <w:rsid w:val="006E0033"/>
    <w:rsid w:val="006E0067"/>
    <w:rsid w:val="006E03F0"/>
    <w:rsid w:val="006E06BB"/>
    <w:rsid w:val="006E0779"/>
    <w:rsid w:val="006E0843"/>
    <w:rsid w:val="006E09B4"/>
    <w:rsid w:val="006E0A9E"/>
    <w:rsid w:val="006E0BE4"/>
    <w:rsid w:val="006E0DEB"/>
    <w:rsid w:val="006E0E34"/>
    <w:rsid w:val="006E0FB3"/>
    <w:rsid w:val="006E10A8"/>
    <w:rsid w:val="006E1109"/>
    <w:rsid w:val="006E1269"/>
    <w:rsid w:val="006E1438"/>
    <w:rsid w:val="006E16CA"/>
    <w:rsid w:val="006E17EF"/>
    <w:rsid w:val="006E1D05"/>
    <w:rsid w:val="006E23B9"/>
    <w:rsid w:val="006E2412"/>
    <w:rsid w:val="006E24C1"/>
    <w:rsid w:val="006E2561"/>
    <w:rsid w:val="006E284A"/>
    <w:rsid w:val="006E2A2D"/>
    <w:rsid w:val="006E303F"/>
    <w:rsid w:val="006E304B"/>
    <w:rsid w:val="006E30E5"/>
    <w:rsid w:val="006E35D5"/>
    <w:rsid w:val="006E3A32"/>
    <w:rsid w:val="006E3DDE"/>
    <w:rsid w:val="006E40F0"/>
    <w:rsid w:val="006E442C"/>
    <w:rsid w:val="006E444F"/>
    <w:rsid w:val="006E46AD"/>
    <w:rsid w:val="006E46C7"/>
    <w:rsid w:val="006E486B"/>
    <w:rsid w:val="006E48B8"/>
    <w:rsid w:val="006E4E4B"/>
    <w:rsid w:val="006E4E6F"/>
    <w:rsid w:val="006E4F3B"/>
    <w:rsid w:val="006E52DD"/>
    <w:rsid w:val="006E532F"/>
    <w:rsid w:val="006E5389"/>
    <w:rsid w:val="006E53B0"/>
    <w:rsid w:val="006E541F"/>
    <w:rsid w:val="006E5486"/>
    <w:rsid w:val="006E5C73"/>
    <w:rsid w:val="006E5D56"/>
    <w:rsid w:val="006E5DB2"/>
    <w:rsid w:val="006E5F41"/>
    <w:rsid w:val="006E6309"/>
    <w:rsid w:val="006E646E"/>
    <w:rsid w:val="006E6496"/>
    <w:rsid w:val="006E6584"/>
    <w:rsid w:val="006E67FF"/>
    <w:rsid w:val="006E6949"/>
    <w:rsid w:val="006E6AA3"/>
    <w:rsid w:val="006E6C87"/>
    <w:rsid w:val="006E6E05"/>
    <w:rsid w:val="006E6E83"/>
    <w:rsid w:val="006E70F2"/>
    <w:rsid w:val="006E710E"/>
    <w:rsid w:val="006E73A2"/>
    <w:rsid w:val="006E7703"/>
    <w:rsid w:val="006E77CB"/>
    <w:rsid w:val="006E7853"/>
    <w:rsid w:val="006E78A1"/>
    <w:rsid w:val="006E78AC"/>
    <w:rsid w:val="006E7AF6"/>
    <w:rsid w:val="006E7C42"/>
    <w:rsid w:val="006E7C56"/>
    <w:rsid w:val="006E7DDE"/>
    <w:rsid w:val="006E7E22"/>
    <w:rsid w:val="006E7F90"/>
    <w:rsid w:val="006F0021"/>
    <w:rsid w:val="006F006D"/>
    <w:rsid w:val="006F04F0"/>
    <w:rsid w:val="006F0988"/>
    <w:rsid w:val="006F0A1E"/>
    <w:rsid w:val="006F0ADA"/>
    <w:rsid w:val="006F0BE5"/>
    <w:rsid w:val="006F0DFB"/>
    <w:rsid w:val="006F0E37"/>
    <w:rsid w:val="006F0EF3"/>
    <w:rsid w:val="006F1215"/>
    <w:rsid w:val="006F1486"/>
    <w:rsid w:val="006F149B"/>
    <w:rsid w:val="006F1779"/>
    <w:rsid w:val="006F1880"/>
    <w:rsid w:val="006F1893"/>
    <w:rsid w:val="006F18F7"/>
    <w:rsid w:val="006F1ADE"/>
    <w:rsid w:val="006F1B8D"/>
    <w:rsid w:val="006F1C43"/>
    <w:rsid w:val="006F1C88"/>
    <w:rsid w:val="006F1CE6"/>
    <w:rsid w:val="006F1D0F"/>
    <w:rsid w:val="006F1F3B"/>
    <w:rsid w:val="006F1F5A"/>
    <w:rsid w:val="006F21F4"/>
    <w:rsid w:val="006F223A"/>
    <w:rsid w:val="006F2406"/>
    <w:rsid w:val="006F2525"/>
    <w:rsid w:val="006F2A1D"/>
    <w:rsid w:val="006F2A42"/>
    <w:rsid w:val="006F2AC0"/>
    <w:rsid w:val="006F2B14"/>
    <w:rsid w:val="006F2B5E"/>
    <w:rsid w:val="006F2B75"/>
    <w:rsid w:val="006F2D86"/>
    <w:rsid w:val="006F2EFB"/>
    <w:rsid w:val="006F2F31"/>
    <w:rsid w:val="006F2F4E"/>
    <w:rsid w:val="006F2FAC"/>
    <w:rsid w:val="006F3019"/>
    <w:rsid w:val="006F31D5"/>
    <w:rsid w:val="006F31E0"/>
    <w:rsid w:val="006F32D2"/>
    <w:rsid w:val="006F3665"/>
    <w:rsid w:val="006F36F0"/>
    <w:rsid w:val="006F3717"/>
    <w:rsid w:val="006F37B3"/>
    <w:rsid w:val="006F39A2"/>
    <w:rsid w:val="006F3AF4"/>
    <w:rsid w:val="006F4236"/>
    <w:rsid w:val="006F4256"/>
    <w:rsid w:val="006F42DC"/>
    <w:rsid w:val="006F4469"/>
    <w:rsid w:val="006F449C"/>
    <w:rsid w:val="006F469E"/>
    <w:rsid w:val="006F4919"/>
    <w:rsid w:val="006F4C42"/>
    <w:rsid w:val="006F4CC1"/>
    <w:rsid w:val="006F4D20"/>
    <w:rsid w:val="006F4DAE"/>
    <w:rsid w:val="006F4E5F"/>
    <w:rsid w:val="006F4F12"/>
    <w:rsid w:val="006F4F1C"/>
    <w:rsid w:val="006F50EA"/>
    <w:rsid w:val="006F52C1"/>
    <w:rsid w:val="006F54FD"/>
    <w:rsid w:val="006F5527"/>
    <w:rsid w:val="006F55C5"/>
    <w:rsid w:val="006F55E4"/>
    <w:rsid w:val="006F55F8"/>
    <w:rsid w:val="006F57A1"/>
    <w:rsid w:val="006F57DC"/>
    <w:rsid w:val="006F5901"/>
    <w:rsid w:val="006F599E"/>
    <w:rsid w:val="006F5A55"/>
    <w:rsid w:val="006F5BA8"/>
    <w:rsid w:val="006F5C35"/>
    <w:rsid w:val="006F5C36"/>
    <w:rsid w:val="006F5DA8"/>
    <w:rsid w:val="006F5E5E"/>
    <w:rsid w:val="006F60CE"/>
    <w:rsid w:val="006F612A"/>
    <w:rsid w:val="006F6525"/>
    <w:rsid w:val="006F654A"/>
    <w:rsid w:val="006F66D6"/>
    <w:rsid w:val="006F67F3"/>
    <w:rsid w:val="006F6849"/>
    <w:rsid w:val="006F6CC4"/>
    <w:rsid w:val="006F6EAB"/>
    <w:rsid w:val="006F6EB1"/>
    <w:rsid w:val="006F6FCF"/>
    <w:rsid w:val="006F702D"/>
    <w:rsid w:val="006F702E"/>
    <w:rsid w:val="006F7189"/>
    <w:rsid w:val="006F722C"/>
    <w:rsid w:val="006F725F"/>
    <w:rsid w:val="006F72E7"/>
    <w:rsid w:val="006F750D"/>
    <w:rsid w:val="006F768A"/>
    <w:rsid w:val="006F7816"/>
    <w:rsid w:val="006F7A72"/>
    <w:rsid w:val="006F7E85"/>
    <w:rsid w:val="006F7F93"/>
    <w:rsid w:val="006FE207"/>
    <w:rsid w:val="006FF39D"/>
    <w:rsid w:val="00700116"/>
    <w:rsid w:val="00700170"/>
    <w:rsid w:val="00700351"/>
    <w:rsid w:val="0070042F"/>
    <w:rsid w:val="007008D5"/>
    <w:rsid w:val="00700C8E"/>
    <w:rsid w:val="00700DB1"/>
    <w:rsid w:val="00700ECD"/>
    <w:rsid w:val="00700FCD"/>
    <w:rsid w:val="00701217"/>
    <w:rsid w:val="007012EA"/>
    <w:rsid w:val="007013FD"/>
    <w:rsid w:val="00701512"/>
    <w:rsid w:val="00701670"/>
    <w:rsid w:val="00701C34"/>
    <w:rsid w:val="00701C4A"/>
    <w:rsid w:val="00701C5C"/>
    <w:rsid w:val="00701CD8"/>
    <w:rsid w:val="00701DAC"/>
    <w:rsid w:val="00701F2E"/>
    <w:rsid w:val="00701F9F"/>
    <w:rsid w:val="00701FF8"/>
    <w:rsid w:val="00702100"/>
    <w:rsid w:val="00702168"/>
    <w:rsid w:val="0070237C"/>
    <w:rsid w:val="007023CC"/>
    <w:rsid w:val="00702519"/>
    <w:rsid w:val="007026D6"/>
    <w:rsid w:val="007026FF"/>
    <w:rsid w:val="00702792"/>
    <w:rsid w:val="00702996"/>
    <w:rsid w:val="00702A4C"/>
    <w:rsid w:val="00702B0A"/>
    <w:rsid w:val="00703373"/>
    <w:rsid w:val="00703A65"/>
    <w:rsid w:val="00703BC8"/>
    <w:rsid w:val="00703C8F"/>
    <w:rsid w:val="00703D2D"/>
    <w:rsid w:val="00703D76"/>
    <w:rsid w:val="00703DD3"/>
    <w:rsid w:val="00703E0F"/>
    <w:rsid w:val="00703E49"/>
    <w:rsid w:val="00703E88"/>
    <w:rsid w:val="00703F1C"/>
    <w:rsid w:val="00703F48"/>
    <w:rsid w:val="00703F64"/>
    <w:rsid w:val="00704112"/>
    <w:rsid w:val="007041A2"/>
    <w:rsid w:val="00704306"/>
    <w:rsid w:val="00704413"/>
    <w:rsid w:val="00704477"/>
    <w:rsid w:val="0070456F"/>
    <w:rsid w:val="007045F8"/>
    <w:rsid w:val="0070488B"/>
    <w:rsid w:val="00704960"/>
    <w:rsid w:val="00704AA9"/>
    <w:rsid w:val="00704ABD"/>
    <w:rsid w:val="00704ABE"/>
    <w:rsid w:val="00704DA7"/>
    <w:rsid w:val="00704E6C"/>
    <w:rsid w:val="00704FE3"/>
    <w:rsid w:val="0070500D"/>
    <w:rsid w:val="00705164"/>
    <w:rsid w:val="00705208"/>
    <w:rsid w:val="007053C0"/>
    <w:rsid w:val="0070540F"/>
    <w:rsid w:val="0070554C"/>
    <w:rsid w:val="007056B1"/>
    <w:rsid w:val="0070577F"/>
    <w:rsid w:val="00705BB7"/>
    <w:rsid w:val="00705F0D"/>
    <w:rsid w:val="007060AF"/>
    <w:rsid w:val="007060D8"/>
    <w:rsid w:val="0070613F"/>
    <w:rsid w:val="007062B5"/>
    <w:rsid w:val="00706351"/>
    <w:rsid w:val="00706767"/>
    <w:rsid w:val="007067AF"/>
    <w:rsid w:val="007068A8"/>
    <w:rsid w:val="00706ABC"/>
    <w:rsid w:val="00706DBA"/>
    <w:rsid w:val="00707148"/>
    <w:rsid w:val="0070715A"/>
    <w:rsid w:val="0070719B"/>
    <w:rsid w:val="00707210"/>
    <w:rsid w:val="00707218"/>
    <w:rsid w:val="00707236"/>
    <w:rsid w:val="00707269"/>
    <w:rsid w:val="007074F0"/>
    <w:rsid w:val="0070756C"/>
    <w:rsid w:val="0070770C"/>
    <w:rsid w:val="007077AF"/>
    <w:rsid w:val="007078F1"/>
    <w:rsid w:val="00707979"/>
    <w:rsid w:val="00707999"/>
    <w:rsid w:val="00707A86"/>
    <w:rsid w:val="00707B51"/>
    <w:rsid w:val="00707F1E"/>
    <w:rsid w:val="007100B8"/>
    <w:rsid w:val="00710139"/>
    <w:rsid w:val="007101CA"/>
    <w:rsid w:val="007101D2"/>
    <w:rsid w:val="007101F3"/>
    <w:rsid w:val="00710214"/>
    <w:rsid w:val="0071027C"/>
    <w:rsid w:val="007105C4"/>
    <w:rsid w:val="0071066D"/>
    <w:rsid w:val="00710708"/>
    <w:rsid w:val="00710830"/>
    <w:rsid w:val="00710AA0"/>
    <w:rsid w:val="00710AC3"/>
    <w:rsid w:val="00710ADE"/>
    <w:rsid w:val="00710B37"/>
    <w:rsid w:val="00710D1F"/>
    <w:rsid w:val="00710DDF"/>
    <w:rsid w:val="00710F67"/>
    <w:rsid w:val="00711322"/>
    <w:rsid w:val="00711323"/>
    <w:rsid w:val="00711349"/>
    <w:rsid w:val="00711735"/>
    <w:rsid w:val="007117CD"/>
    <w:rsid w:val="00711935"/>
    <w:rsid w:val="00711ACB"/>
    <w:rsid w:val="00711DEE"/>
    <w:rsid w:val="00711E11"/>
    <w:rsid w:val="00712BC5"/>
    <w:rsid w:val="00712C61"/>
    <w:rsid w:val="00712C84"/>
    <w:rsid w:val="00712D9B"/>
    <w:rsid w:val="00712EF3"/>
    <w:rsid w:val="00712F0C"/>
    <w:rsid w:val="00712FBA"/>
    <w:rsid w:val="00713373"/>
    <w:rsid w:val="007133F3"/>
    <w:rsid w:val="00713434"/>
    <w:rsid w:val="0071396D"/>
    <w:rsid w:val="00713D54"/>
    <w:rsid w:val="00713F97"/>
    <w:rsid w:val="00714068"/>
    <w:rsid w:val="0071410F"/>
    <w:rsid w:val="0071424B"/>
    <w:rsid w:val="00714256"/>
    <w:rsid w:val="007143B7"/>
    <w:rsid w:val="0071442E"/>
    <w:rsid w:val="00714492"/>
    <w:rsid w:val="00714683"/>
    <w:rsid w:val="00714750"/>
    <w:rsid w:val="00714753"/>
    <w:rsid w:val="0071488A"/>
    <w:rsid w:val="0071494A"/>
    <w:rsid w:val="00714C33"/>
    <w:rsid w:val="00714D51"/>
    <w:rsid w:val="00714E40"/>
    <w:rsid w:val="00714F13"/>
    <w:rsid w:val="00714F47"/>
    <w:rsid w:val="007151A1"/>
    <w:rsid w:val="0071560A"/>
    <w:rsid w:val="00715669"/>
    <w:rsid w:val="007158DB"/>
    <w:rsid w:val="00715A1F"/>
    <w:rsid w:val="00715B04"/>
    <w:rsid w:val="00715C79"/>
    <w:rsid w:val="007160BD"/>
    <w:rsid w:val="00716141"/>
    <w:rsid w:val="00716408"/>
    <w:rsid w:val="0071644F"/>
    <w:rsid w:val="007165C8"/>
    <w:rsid w:val="0071661B"/>
    <w:rsid w:val="00716C77"/>
    <w:rsid w:val="00716C9E"/>
    <w:rsid w:val="00716DC9"/>
    <w:rsid w:val="00716E2B"/>
    <w:rsid w:val="00716F46"/>
    <w:rsid w:val="007171F3"/>
    <w:rsid w:val="007172A9"/>
    <w:rsid w:val="0071732E"/>
    <w:rsid w:val="0071749A"/>
    <w:rsid w:val="00717527"/>
    <w:rsid w:val="0071765D"/>
    <w:rsid w:val="007176B9"/>
    <w:rsid w:val="007177F2"/>
    <w:rsid w:val="00717B93"/>
    <w:rsid w:val="00717BC6"/>
    <w:rsid w:val="00717C07"/>
    <w:rsid w:val="00717D58"/>
    <w:rsid w:val="00717E9A"/>
    <w:rsid w:val="0072001D"/>
    <w:rsid w:val="00720052"/>
    <w:rsid w:val="00720060"/>
    <w:rsid w:val="00720265"/>
    <w:rsid w:val="007202F4"/>
    <w:rsid w:val="007203D3"/>
    <w:rsid w:val="007207DD"/>
    <w:rsid w:val="00720B5A"/>
    <w:rsid w:val="00720B7E"/>
    <w:rsid w:val="00720B7F"/>
    <w:rsid w:val="00720DC4"/>
    <w:rsid w:val="00720E0D"/>
    <w:rsid w:val="007213D0"/>
    <w:rsid w:val="0072178D"/>
    <w:rsid w:val="007219E5"/>
    <w:rsid w:val="00721C3D"/>
    <w:rsid w:val="00721DBB"/>
    <w:rsid w:val="00721DE5"/>
    <w:rsid w:val="00721E20"/>
    <w:rsid w:val="007221E7"/>
    <w:rsid w:val="00722280"/>
    <w:rsid w:val="007222A6"/>
    <w:rsid w:val="0072231D"/>
    <w:rsid w:val="00722415"/>
    <w:rsid w:val="00722618"/>
    <w:rsid w:val="00722672"/>
    <w:rsid w:val="0072278B"/>
    <w:rsid w:val="007227BC"/>
    <w:rsid w:val="0072283E"/>
    <w:rsid w:val="0072284D"/>
    <w:rsid w:val="00722864"/>
    <w:rsid w:val="0072291E"/>
    <w:rsid w:val="00722A50"/>
    <w:rsid w:val="00722AB0"/>
    <w:rsid w:val="00722C19"/>
    <w:rsid w:val="00722C5A"/>
    <w:rsid w:val="00722EA1"/>
    <w:rsid w:val="007230EE"/>
    <w:rsid w:val="0072319F"/>
    <w:rsid w:val="00723451"/>
    <w:rsid w:val="007234B5"/>
    <w:rsid w:val="0072359C"/>
    <w:rsid w:val="007237F4"/>
    <w:rsid w:val="00723978"/>
    <w:rsid w:val="00723A3F"/>
    <w:rsid w:val="00723E0E"/>
    <w:rsid w:val="00723FBE"/>
    <w:rsid w:val="00724345"/>
    <w:rsid w:val="007243A8"/>
    <w:rsid w:val="007243AB"/>
    <w:rsid w:val="007245FE"/>
    <w:rsid w:val="0072464B"/>
    <w:rsid w:val="007246BB"/>
    <w:rsid w:val="00724A0E"/>
    <w:rsid w:val="00724C50"/>
    <w:rsid w:val="00724C58"/>
    <w:rsid w:val="00724D68"/>
    <w:rsid w:val="00724EB3"/>
    <w:rsid w:val="00724FAD"/>
    <w:rsid w:val="00725144"/>
    <w:rsid w:val="00725245"/>
    <w:rsid w:val="0072565B"/>
    <w:rsid w:val="007256EF"/>
    <w:rsid w:val="00725CC5"/>
    <w:rsid w:val="00725F36"/>
    <w:rsid w:val="00725FFA"/>
    <w:rsid w:val="00726058"/>
    <w:rsid w:val="00726088"/>
    <w:rsid w:val="007261AB"/>
    <w:rsid w:val="007265FC"/>
    <w:rsid w:val="00726649"/>
    <w:rsid w:val="0072665D"/>
    <w:rsid w:val="007266CE"/>
    <w:rsid w:val="007266FD"/>
    <w:rsid w:val="007267AD"/>
    <w:rsid w:val="0072684D"/>
    <w:rsid w:val="007268C4"/>
    <w:rsid w:val="00726A77"/>
    <w:rsid w:val="00726CB2"/>
    <w:rsid w:val="00726DEC"/>
    <w:rsid w:val="00726E8F"/>
    <w:rsid w:val="00726E9D"/>
    <w:rsid w:val="00726F6A"/>
    <w:rsid w:val="00726FB0"/>
    <w:rsid w:val="0072724F"/>
    <w:rsid w:val="0072731F"/>
    <w:rsid w:val="0072740B"/>
    <w:rsid w:val="00727543"/>
    <w:rsid w:val="00727854"/>
    <w:rsid w:val="007278C6"/>
    <w:rsid w:val="00727BFB"/>
    <w:rsid w:val="00727C5E"/>
    <w:rsid w:val="00727F2F"/>
    <w:rsid w:val="00730177"/>
    <w:rsid w:val="00730337"/>
    <w:rsid w:val="00730536"/>
    <w:rsid w:val="00730662"/>
    <w:rsid w:val="00730735"/>
    <w:rsid w:val="007307D2"/>
    <w:rsid w:val="00730932"/>
    <w:rsid w:val="00730A50"/>
    <w:rsid w:val="00730A96"/>
    <w:rsid w:val="00730E7D"/>
    <w:rsid w:val="00731133"/>
    <w:rsid w:val="00731484"/>
    <w:rsid w:val="0073150B"/>
    <w:rsid w:val="00731728"/>
    <w:rsid w:val="00731824"/>
    <w:rsid w:val="007318BD"/>
    <w:rsid w:val="00731BD2"/>
    <w:rsid w:val="0073213B"/>
    <w:rsid w:val="007321A4"/>
    <w:rsid w:val="007321D3"/>
    <w:rsid w:val="00732203"/>
    <w:rsid w:val="0073233F"/>
    <w:rsid w:val="0073259D"/>
    <w:rsid w:val="0073273B"/>
    <w:rsid w:val="007329C8"/>
    <w:rsid w:val="00732B43"/>
    <w:rsid w:val="00732C90"/>
    <w:rsid w:val="00732D04"/>
    <w:rsid w:val="00732D77"/>
    <w:rsid w:val="00732D86"/>
    <w:rsid w:val="00732E90"/>
    <w:rsid w:val="00733072"/>
    <w:rsid w:val="007330C9"/>
    <w:rsid w:val="00733102"/>
    <w:rsid w:val="00733164"/>
    <w:rsid w:val="00733185"/>
    <w:rsid w:val="00733292"/>
    <w:rsid w:val="00733295"/>
    <w:rsid w:val="007333CA"/>
    <w:rsid w:val="00733835"/>
    <w:rsid w:val="00733AE2"/>
    <w:rsid w:val="00733B2A"/>
    <w:rsid w:val="00733B4A"/>
    <w:rsid w:val="00733C4A"/>
    <w:rsid w:val="00733CCA"/>
    <w:rsid w:val="00733CFE"/>
    <w:rsid w:val="00733ECE"/>
    <w:rsid w:val="007340ED"/>
    <w:rsid w:val="0073420B"/>
    <w:rsid w:val="00734287"/>
    <w:rsid w:val="00734356"/>
    <w:rsid w:val="007345F9"/>
    <w:rsid w:val="00734616"/>
    <w:rsid w:val="00734775"/>
    <w:rsid w:val="00734A0C"/>
    <w:rsid w:val="00734C1B"/>
    <w:rsid w:val="00734C8C"/>
    <w:rsid w:val="00734CC0"/>
    <w:rsid w:val="00734D52"/>
    <w:rsid w:val="00734F45"/>
    <w:rsid w:val="007351F0"/>
    <w:rsid w:val="0073522B"/>
    <w:rsid w:val="007352B5"/>
    <w:rsid w:val="0073542A"/>
    <w:rsid w:val="00735600"/>
    <w:rsid w:val="007356EE"/>
    <w:rsid w:val="0073577D"/>
    <w:rsid w:val="007357FD"/>
    <w:rsid w:val="00735887"/>
    <w:rsid w:val="00735920"/>
    <w:rsid w:val="00735967"/>
    <w:rsid w:val="00735D7E"/>
    <w:rsid w:val="007362BE"/>
    <w:rsid w:val="007362C3"/>
    <w:rsid w:val="00736372"/>
    <w:rsid w:val="007365BF"/>
    <w:rsid w:val="007365FD"/>
    <w:rsid w:val="007366C3"/>
    <w:rsid w:val="00736A22"/>
    <w:rsid w:val="00736AB8"/>
    <w:rsid w:val="00736F5F"/>
    <w:rsid w:val="007371A5"/>
    <w:rsid w:val="007374F3"/>
    <w:rsid w:val="007374F5"/>
    <w:rsid w:val="00737665"/>
    <w:rsid w:val="00737866"/>
    <w:rsid w:val="00737919"/>
    <w:rsid w:val="00737997"/>
    <w:rsid w:val="00737ABA"/>
    <w:rsid w:val="00737B6F"/>
    <w:rsid w:val="00737D86"/>
    <w:rsid w:val="0074000E"/>
    <w:rsid w:val="0074046A"/>
    <w:rsid w:val="0074049C"/>
    <w:rsid w:val="007405E7"/>
    <w:rsid w:val="00740602"/>
    <w:rsid w:val="00740648"/>
    <w:rsid w:val="007406E0"/>
    <w:rsid w:val="007407DE"/>
    <w:rsid w:val="0074084C"/>
    <w:rsid w:val="00740939"/>
    <w:rsid w:val="00740A05"/>
    <w:rsid w:val="00740A9E"/>
    <w:rsid w:val="00740ADC"/>
    <w:rsid w:val="00740B42"/>
    <w:rsid w:val="00740C8E"/>
    <w:rsid w:val="00740E17"/>
    <w:rsid w:val="00740ED4"/>
    <w:rsid w:val="00740FBA"/>
    <w:rsid w:val="00741115"/>
    <w:rsid w:val="00741173"/>
    <w:rsid w:val="0074130F"/>
    <w:rsid w:val="0074171F"/>
    <w:rsid w:val="007419DC"/>
    <w:rsid w:val="00741AA0"/>
    <w:rsid w:val="00741AF3"/>
    <w:rsid w:val="00741C48"/>
    <w:rsid w:val="00741C82"/>
    <w:rsid w:val="00741DC6"/>
    <w:rsid w:val="00741E72"/>
    <w:rsid w:val="00742098"/>
    <w:rsid w:val="007420E9"/>
    <w:rsid w:val="007420FE"/>
    <w:rsid w:val="0074211F"/>
    <w:rsid w:val="00742415"/>
    <w:rsid w:val="00742519"/>
    <w:rsid w:val="00742819"/>
    <w:rsid w:val="00742850"/>
    <w:rsid w:val="007428F6"/>
    <w:rsid w:val="007429B5"/>
    <w:rsid w:val="00742AF1"/>
    <w:rsid w:val="00742B7E"/>
    <w:rsid w:val="00742C5C"/>
    <w:rsid w:val="00742D06"/>
    <w:rsid w:val="00743010"/>
    <w:rsid w:val="0074304D"/>
    <w:rsid w:val="00743102"/>
    <w:rsid w:val="00743256"/>
    <w:rsid w:val="007432AB"/>
    <w:rsid w:val="007433A6"/>
    <w:rsid w:val="007434DD"/>
    <w:rsid w:val="007435C2"/>
    <w:rsid w:val="00743668"/>
    <w:rsid w:val="0074377D"/>
    <w:rsid w:val="00743791"/>
    <w:rsid w:val="0074381A"/>
    <w:rsid w:val="00743B1F"/>
    <w:rsid w:val="00743BBF"/>
    <w:rsid w:val="00743DB1"/>
    <w:rsid w:val="00743DB9"/>
    <w:rsid w:val="00743EAF"/>
    <w:rsid w:val="00743EC9"/>
    <w:rsid w:val="00743F0F"/>
    <w:rsid w:val="00744029"/>
    <w:rsid w:val="0074445B"/>
    <w:rsid w:val="007446DE"/>
    <w:rsid w:val="00744DE6"/>
    <w:rsid w:val="00744E8B"/>
    <w:rsid w:val="00745110"/>
    <w:rsid w:val="0074524A"/>
    <w:rsid w:val="007454FE"/>
    <w:rsid w:val="00745578"/>
    <w:rsid w:val="00745580"/>
    <w:rsid w:val="007455E7"/>
    <w:rsid w:val="00745755"/>
    <w:rsid w:val="007458ED"/>
    <w:rsid w:val="00745907"/>
    <w:rsid w:val="00745967"/>
    <w:rsid w:val="00745D69"/>
    <w:rsid w:val="00745E2D"/>
    <w:rsid w:val="00745EE9"/>
    <w:rsid w:val="00745FAF"/>
    <w:rsid w:val="00746094"/>
    <w:rsid w:val="0074609E"/>
    <w:rsid w:val="0074618D"/>
    <w:rsid w:val="007461F0"/>
    <w:rsid w:val="00746209"/>
    <w:rsid w:val="00746225"/>
    <w:rsid w:val="00746299"/>
    <w:rsid w:val="007463C2"/>
    <w:rsid w:val="007464E7"/>
    <w:rsid w:val="0074661B"/>
    <w:rsid w:val="00746678"/>
    <w:rsid w:val="007466F4"/>
    <w:rsid w:val="00746AF3"/>
    <w:rsid w:val="00746BA0"/>
    <w:rsid w:val="00746D71"/>
    <w:rsid w:val="00746E95"/>
    <w:rsid w:val="00746F50"/>
    <w:rsid w:val="00746F80"/>
    <w:rsid w:val="007474F2"/>
    <w:rsid w:val="0074759B"/>
    <w:rsid w:val="007475A6"/>
    <w:rsid w:val="0074765E"/>
    <w:rsid w:val="00747715"/>
    <w:rsid w:val="007477E0"/>
    <w:rsid w:val="0074789E"/>
    <w:rsid w:val="007501F4"/>
    <w:rsid w:val="0075024A"/>
    <w:rsid w:val="007502E3"/>
    <w:rsid w:val="007503C1"/>
    <w:rsid w:val="0075046C"/>
    <w:rsid w:val="007504D7"/>
    <w:rsid w:val="0075060A"/>
    <w:rsid w:val="0075078A"/>
    <w:rsid w:val="0075093B"/>
    <w:rsid w:val="007509CD"/>
    <w:rsid w:val="007509F9"/>
    <w:rsid w:val="00750C40"/>
    <w:rsid w:val="00750D29"/>
    <w:rsid w:val="00750D39"/>
    <w:rsid w:val="00750D92"/>
    <w:rsid w:val="007511BD"/>
    <w:rsid w:val="007515A0"/>
    <w:rsid w:val="007515DE"/>
    <w:rsid w:val="00751620"/>
    <w:rsid w:val="00751903"/>
    <w:rsid w:val="00751AC8"/>
    <w:rsid w:val="00751BE1"/>
    <w:rsid w:val="00751D2F"/>
    <w:rsid w:val="00751D58"/>
    <w:rsid w:val="00751FD3"/>
    <w:rsid w:val="007522B3"/>
    <w:rsid w:val="007524E9"/>
    <w:rsid w:val="007526BD"/>
    <w:rsid w:val="007526C5"/>
    <w:rsid w:val="007527D1"/>
    <w:rsid w:val="007527DA"/>
    <w:rsid w:val="0075287C"/>
    <w:rsid w:val="0075288E"/>
    <w:rsid w:val="00752CE6"/>
    <w:rsid w:val="00753102"/>
    <w:rsid w:val="00753182"/>
    <w:rsid w:val="007533AE"/>
    <w:rsid w:val="007534E9"/>
    <w:rsid w:val="007537A7"/>
    <w:rsid w:val="0075391A"/>
    <w:rsid w:val="00753A28"/>
    <w:rsid w:val="00753C04"/>
    <w:rsid w:val="00753E18"/>
    <w:rsid w:val="00753F1D"/>
    <w:rsid w:val="00753F3A"/>
    <w:rsid w:val="00754254"/>
    <w:rsid w:val="007542AF"/>
    <w:rsid w:val="007543A1"/>
    <w:rsid w:val="00754511"/>
    <w:rsid w:val="0075452E"/>
    <w:rsid w:val="007545B5"/>
    <w:rsid w:val="007546BD"/>
    <w:rsid w:val="00754773"/>
    <w:rsid w:val="00754B4D"/>
    <w:rsid w:val="00754C1B"/>
    <w:rsid w:val="00754C59"/>
    <w:rsid w:val="00754D90"/>
    <w:rsid w:val="007552DB"/>
    <w:rsid w:val="00755550"/>
    <w:rsid w:val="007556CD"/>
    <w:rsid w:val="00755791"/>
    <w:rsid w:val="0075583E"/>
    <w:rsid w:val="00755B33"/>
    <w:rsid w:val="00755BCE"/>
    <w:rsid w:val="00755C0B"/>
    <w:rsid w:val="00755D9F"/>
    <w:rsid w:val="00755E2C"/>
    <w:rsid w:val="00755F21"/>
    <w:rsid w:val="00756042"/>
    <w:rsid w:val="007560AC"/>
    <w:rsid w:val="007561C7"/>
    <w:rsid w:val="0075636D"/>
    <w:rsid w:val="0075665B"/>
    <w:rsid w:val="00756725"/>
    <w:rsid w:val="00756762"/>
    <w:rsid w:val="00756967"/>
    <w:rsid w:val="00756BD5"/>
    <w:rsid w:val="00756CFE"/>
    <w:rsid w:val="00756E9F"/>
    <w:rsid w:val="00756FBB"/>
    <w:rsid w:val="00757104"/>
    <w:rsid w:val="00757269"/>
    <w:rsid w:val="007573EA"/>
    <w:rsid w:val="00757449"/>
    <w:rsid w:val="0075789B"/>
    <w:rsid w:val="00757920"/>
    <w:rsid w:val="007579F4"/>
    <w:rsid w:val="00757A38"/>
    <w:rsid w:val="00757AFF"/>
    <w:rsid w:val="00757D62"/>
    <w:rsid w:val="00757E7E"/>
    <w:rsid w:val="00757F17"/>
    <w:rsid w:val="00757F3B"/>
    <w:rsid w:val="00757FA3"/>
    <w:rsid w:val="00757FC8"/>
    <w:rsid w:val="0076030A"/>
    <w:rsid w:val="0076043D"/>
    <w:rsid w:val="007604FB"/>
    <w:rsid w:val="00760564"/>
    <w:rsid w:val="00760637"/>
    <w:rsid w:val="00760694"/>
    <w:rsid w:val="007607A6"/>
    <w:rsid w:val="007607CE"/>
    <w:rsid w:val="00760834"/>
    <w:rsid w:val="007608B0"/>
    <w:rsid w:val="0076091A"/>
    <w:rsid w:val="00760B09"/>
    <w:rsid w:val="00760B1B"/>
    <w:rsid w:val="00760EE4"/>
    <w:rsid w:val="00761035"/>
    <w:rsid w:val="00761171"/>
    <w:rsid w:val="0076125C"/>
    <w:rsid w:val="007612CE"/>
    <w:rsid w:val="0076144C"/>
    <w:rsid w:val="0076157E"/>
    <w:rsid w:val="007617A4"/>
    <w:rsid w:val="00761966"/>
    <w:rsid w:val="00761AB5"/>
    <w:rsid w:val="00761B23"/>
    <w:rsid w:val="00761BF2"/>
    <w:rsid w:val="00761CD3"/>
    <w:rsid w:val="00761CEE"/>
    <w:rsid w:val="00761D27"/>
    <w:rsid w:val="00761D44"/>
    <w:rsid w:val="00761FE3"/>
    <w:rsid w:val="0076213A"/>
    <w:rsid w:val="0076218F"/>
    <w:rsid w:val="00762198"/>
    <w:rsid w:val="00762579"/>
    <w:rsid w:val="00762716"/>
    <w:rsid w:val="00762815"/>
    <w:rsid w:val="007629E8"/>
    <w:rsid w:val="00762ACE"/>
    <w:rsid w:val="00762AF7"/>
    <w:rsid w:val="00762AF9"/>
    <w:rsid w:val="00762B3F"/>
    <w:rsid w:val="00762BC8"/>
    <w:rsid w:val="00762BC9"/>
    <w:rsid w:val="00762C3A"/>
    <w:rsid w:val="00762C47"/>
    <w:rsid w:val="00762CD8"/>
    <w:rsid w:val="00762D08"/>
    <w:rsid w:val="00762D12"/>
    <w:rsid w:val="00762D5B"/>
    <w:rsid w:val="00763021"/>
    <w:rsid w:val="00763169"/>
    <w:rsid w:val="0076342F"/>
    <w:rsid w:val="0076358E"/>
    <w:rsid w:val="00763741"/>
    <w:rsid w:val="00763859"/>
    <w:rsid w:val="007639C0"/>
    <w:rsid w:val="00763A55"/>
    <w:rsid w:val="00763D0F"/>
    <w:rsid w:val="00763EAC"/>
    <w:rsid w:val="0076422C"/>
    <w:rsid w:val="00764596"/>
    <w:rsid w:val="00764629"/>
    <w:rsid w:val="007646F9"/>
    <w:rsid w:val="0076486A"/>
    <w:rsid w:val="0076495D"/>
    <w:rsid w:val="007649DF"/>
    <w:rsid w:val="007649E4"/>
    <w:rsid w:val="00764CBD"/>
    <w:rsid w:val="00765159"/>
    <w:rsid w:val="007652FF"/>
    <w:rsid w:val="00765441"/>
    <w:rsid w:val="007654F5"/>
    <w:rsid w:val="007655C8"/>
    <w:rsid w:val="0076567B"/>
    <w:rsid w:val="0076578D"/>
    <w:rsid w:val="00765853"/>
    <w:rsid w:val="00765854"/>
    <w:rsid w:val="007658AE"/>
    <w:rsid w:val="007658DF"/>
    <w:rsid w:val="00765AE5"/>
    <w:rsid w:val="00765F9D"/>
    <w:rsid w:val="00766139"/>
    <w:rsid w:val="0076644D"/>
    <w:rsid w:val="007666C1"/>
    <w:rsid w:val="007668C9"/>
    <w:rsid w:val="007668D3"/>
    <w:rsid w:val="00766B07"/>
    <w:rsid w:val="00766CA5"/>
    <w:rsid w:val="00766CED"/>
    <w:rsid w:val="00766D11"/>
    <w:rsid w:val="00766F2D"/>
    <w:rsid w:val="00766F39"/>
    <w:rsid w:val="007671A1"/>
    <w:rsid w:val="00767521"/>
    <w:rsid w:val="007679F8"/>
    <w:rsid w:val="00767BC6"/>
    <w:rsid w:val="00767DB4"/>
    <w:rsid w:val="00767E03"/>
    <w:rsid w:val="00770208"/>
    <w:rsid w:val="00770436"/>
    <w:rsid w:val="007704A7"/>
    <w:rsid w:val="0077065A"/>
    <w:rsid w:val="007707AE"/>
    <w:rsid w:val="0077092D"/>
    <w:rsid w:val="00770B99"/>
    <w:rsid w:val="00770BAD"/>
    <w:rsid w:val="00770C5B"/>
    <w:rsid w:val="00770DBD"/>
    <w:rsid w:val="0077127F"/>
    <w:rsid w:val="00771398"/>
    <w:rsid w:val="00771567"/>
    <w:rsid w:val="00771619"/>
    <w:rsid w:val="007716C6"/>
    <w:rsid w:val="0077175C"/>
    <w:rsid w:val="007717DC"/>
    <w:rsid w:val="007717F7"/>
    <w:rsid w:val="00771872"/>
    <w:rsid w:val="0077188C"/>
    <w:rsid w:val="007719B4"/>
    <w:rsid w:val="00771A5E"/>
    <w:rsid w:val="00771AF5"/>
    <w:rsid w:val="00771D9C"/>
    <w:rsid w:val="00771F62"/>
    <w:rsid w:val="00772049"/>
    <w:rsid w:val="00772064"/>
    <w:rsid w:val="007720D2"/>
    <w:rsid w:val="00772108"/>
    <w:rsid w:val="0077212F"/>
    <w:rsid w:val="0077215A"/>
    <w:rsid w:val="007721AC"/>
    <w:rsid w:val="0077222C"/>
    <w:rsid w:val="007722FE"/>
    <w:rsid w:val="0077242C"/>
    <w:rsid w:val="007724D0"/>
    <w:rsid w:val="0077269C"/>
    <w:rsid w:val="00772723"/>
    <w:rsid w:val="00772868"/>
    <w:rsid w:val="007728DD"/>
    <w:rsid w:val="00772D1A"/>
    <w:rsid w:val="00772E72"/>
    <w:rsid w:val="00773021"/>
    <w:rsid w:val="007731CF"/>
    <w:rsid w:val="00773289"/>
    <w:rsid w:val="007732DD"/>
    <w:rsid w:val="0077348F"/>
    <w:rsid w:val="00773556"/>
    <w:rsid w:val="0077361D"/>
    <w:rsid w:val="007739B9"/>
    <w:rsid w:val="00773B14"/>
    <w:rsid w:val="00773C27"/>
    <w:rsid w:val="00773CD3"/>
    <w:rsid w:val="00773D48"/>
    <w:rsid w:val="00773DDE"/>
    <w:rsid w:val="007740F9"/>
    <w:rsid w:val="007741C6"/>
    <w:rsid w:val="007741DB"/>
    <w:rsid w:val="0077423C"/>
    <w:rsid w:val="0077423F"/>
    <w:rsid w:val="00774378"/>
    <w:rsid w:val="00774467"/>
    <w:rsid w:val="007744B0"/>
    <w:rsid w:val="00774607"/>
    <w:rsid w:val="007746CD"/>
    <w:rsid w:val="007747CA"/>
    <w:rsid w:val="00774863"/>
    <w:rsid w:val="00774A11"/>
    <w:rsid w:val="00774A45"/>
    <w:rsid w:val="00774C63"/>
    <w:rsid w:val="00774D65"/>
    <w:rsid w:val="00774EE4"/>
    <w:rsid w:val="00774F4F"/>
    <w:rsid w:val="00774FA1"/>
    <w:rsid w:val="00775187"/>
    <w:rsid w:val="007753DB"/>
    <w:rsid w:val="00775495"/>
    <w:rsid w:val="0077558A"/>
    <w:rsid w:val="00775652"/>
    <w:rsid w:val="00775846"/>
    <w:rsid w:val="007759CC"/>
    <w:rsid w:val="00775A9C"/>
    <w:rsid w:val="00775B46"/>
    <w:rsid w:val="00775FFF"/>
    <w:rsid w:val="007760E5"/>
    <w:rsid w:val="007762F4"/>
    <w:rsid w:val="0077645F"/>
    <w:rsid w:val="00776615"/>
    <w:rsid w:val="007767B0"/>
    <w:rsid w:val="00776974"/>
    <w:rsid w:val="0077698A"/>
    <w:rsid w:val="00776D2D"/>
    <w:rsid w:val="0077714A"/>
    <w:rsid w:val="007771F7"/>
    <w:rsid w:val="00777269"/>
    <w:rsid w:val="00777339"/>
    <w:rsid w:val="0077759C"/>
    <w:rsid w:val="00777600"/>
    <w:rsid w:val="0077762D"/>
    <w:rsid w:val="0077794A"/>
    <w:rsid w:val="00777C7D"/>
    <w:rsid w:val="00777CA6"/>
    <w:rsid w:val="00777D6E"/>
    <w:rsid w:val="00777EA4"/>
    <w:rsid w:val="0078015C"/>
    <w:rsid w:val="007801C9"/>
    <w:rsid w:val="0078052F"/>
    <w:rsid w:val="00780651"/>
    <w:rsid w:val="007808F9"/>
    <w:rsid w:val="00780B9C"/>
    <w:rsid w:val="00780CCB"/>
    <w:rsid w:val="00780D0D"/>
    <w:rsid w:val="00780D85"/>
    <w:rsid w:val="007810B3"/>
    <w:rsid w:val="0078130E"/>
    <w:rsid w:val="00781421"/>
    <w:rsid w:val="00781931"/>
    <w:rsid w:val="00781942"/>
    <w:rsid w:val="00781CE0"/>
    <w:rsid w:val="00781D27"/>
    <w:rsid w:val="00781E45"/>
    <w:rsid w:val="00781E7F"/>
    <w:rsid w:val="00781EAA"/>
    <w:rsid w:val="00781F90"/>
    <w:rsid w:val="007820EF"/>
    <w:rsid w:val="0078216E"/>
    <w:rsid w:val="007821B8"/>
    <w:rsid w:val="007823ED"/>
    <w:rsid w:val="0078259A"/>
    <w:rsid w:val="00782808"/>
    <w:rsid w:val="0078297A"/>
    <w:rsid w:val="00782A1A"/>
    <w:rsid w:val="00782A8E"/>
    <w:rsid w:val="00782C02"/>
    <w:rsid w:val="00782E73"/>
    <w:rsid w:val="00782F73"/>
    <w:rsid w:val="00782FCA"/>
    <w:rsid w:val="00783571"/>
    <w:rsid w:val="007838D4"/>
    <w:rsid w:val="00783B46"/>
    <w:rsid w:val="00783BB7"/>
    <w:rsid w:val="00783BB9"/>
    <w:rsid w:val="00783BF7"/>
    <w:rsid w:val="00783C78"/>
    <w:rsid w:val="00783D0B"/>
    <w:rsid w:val="00783D43"/>
    <w:rsid w:val="00783D9C"/>
    <w:rsid w:val="007843B3"/>
    <w:rsid w:val="00784695"/>
    <w:rsid w:val="00784776"/>
    <w:rsid w:val="007847A0"/>
    <w:rsid w:val="00784B39"/>
    <w:rsid w:val="00784C4B"/>
    <w:rsid w:val="00784D19"/>
    <w:rsid w:val="00784E57"/>
    <w:rsid w:val="00785102"/>
    <w:rsid w:val="0078511E"/>
    <w:rsid w:val="007852BD"/>
    <w:rsid w:val="007855F0"/>
    <w:rsid w:val="00785607"/>
    <w:rsid w:val="00785668"/>
    <w:rsid w:val="0078574F"/>
    <w:rsid w:val="00785774"/>
    <w:rsid w:val="007858D5"/>
    <w:rsid w:val="0078599D"/>
    <w:rsid w:val="0078599E"/>
    <w:rsid w:val="0078599F"/>
    <w:rsid w:val="00785A2B"/>
    <w:rsid w:val="00785B75"/>
    <w:rsid w:val="00785D9A"/>
    <w:rsid w:val="00785E97"/>
    <w:rsid w:val="00785F67"/>
    <w:rsid w:val="00785FFF"/>
    <w:rsid w:val="00786277"/>
    <w:rsid w:val="007862CB"/>
    <w:rsid w:val="0078657B"/>
    <w:rsid w:val="007865A5"/>
    <w:rsid w:val="007865D8"/>
    <w:rsid w:val="007866EB"/>
    <w:rsid w:val="00786796"/>
    <w:rsid w:val="00786B42"/>
    <w:rsid w:val="00786B75"/>
    <w:rsid w:val="00786F3A"/>
    <w:rsid w:val="00787005"/>
    <w:rsid w:val="00787134"/>
    <w:rsid w:val="007871EB"/>
    <w:rsid w:val="007871FD"/>
    <w:rsid w:val="0078727F"/>
    <w:rsid w:val="00787313"/>
    <w:rsid w:val="00787320"/>
    <w:rsid w:val="00787346"/>
    <w:rsid w:val="00787A1F"/>
    <w:rsid w:val="00787AA8"/>
    <w:rsid w:val="00787AC5"/>
    <w:rsid w:val="00787F84"/>
    <w:rsid w:val="007900C8"/>
    <w:rsid w:val="00790238"/>
    <w:rsid w:val="00790362"/>
    <w:rsid w:val="007906F2"/>
    <w:rsid w:val="00790ADB"/>
    <w:rsid w:val="00790BD0"/>
    <w:rsid w:val="00790BE1"/>
    <w:rsid w:val="00790CD7"/>
    <w:rsid w:val="00791310"/>
    <w:rsid w:val="007913A4"/>
    <w:rsid w:val="0079141E"/>
    <w:rsid w:val="007914A9"/>
    <w:rsid w:val="0079156D"/>
    <w:rsid w:val="00791715"/>
    <w:rsid w:val="007917FF"/>
    <w:rsid w:val="00791C0A"/>
    <w:rsid w:val="00791C47"/>
    <w:rsid w:val="00791E7C"/>
    <w:rsid w:val="007920A6"/>
    <w:rsid w:val="00792185"/>
    <w:rsid w:val="00792255"/>
    <w:rsid w:val="00792262"/>
    <w:rsid w:val="007923B8"/>
    <w:rsid w:val="00792414"/>
    <w:rsid w:val="007925D4"/>
    <w:rsid w:val="007927F0"/>
    <w:rsid w:val="00792841"/>
    <w:rsid w:val="007929C4"/>
    <w:rsid w:val="00792A9B"/>
    <w:rsid w:val="00792AED"/>
    <w:rsid w:val="00792D18"/>
    <w:rsid w:val="00793064"/>
    <w:rsid w:val="007930E5"/>
    <w:rsid w:val="00793122"/>
    <w:rsid w:val="007931DB"/>
    <w:rsid w:val="00793349"/>
    <w:rsid w:val="007934CE"/>
    <w:rsid w:val="00793566"/>
    <w:rsid w:val="0079368F"/>
    <w:rsid w:val="00793843"/>
    <w:rsid w:val="007938CA"/>
    <w:rsid w:val="007938E9"/>
    <w:rsid w:val="00793A1B"/>
    <w:rsid w:val="00793A60"/>
    <w:rsid w:val="00793A86"/>
    <w:rsid w:val="00793A89"/>
    <w:rsid w:val="00793D41"/>
    <w:rsid w:val="00793DF5"/>
    <w:rsid w:val="00793E55"/>
    <w:rsid w:val="00793EC7"/>
    <w:rsid w:val="00793FBA"/>
    <w:rsid w:val="00794334"/>
    <w:rsid w:val="00794446"/>
    <w:rsid w:val="00794668"/>
    <w:rsid w:val="0079476F"/>
    <w:rsid w:val="007947D8"/>
    <w:rsid w:val="007948FA"/>
    <w:rsid w:val="007954EC"/>
    <w:rsid w:val="00795841"/>
    <w:rsid w:val="007958EC"/>
    <w:rsid w:val="007958F3"/>
    <w:rsid w:val="00795D11"/>
    <w:rsid w:val="00795D33"/>
    <w:rsid w:val="0079616D"/>
    <w:rsid w:val="00796380"/>
    <w:rsid w:val="007963D3"/>
    <w:rsid w:val="007963FC"/>
    <w:rsid w:val="00796719"/>
    <w:rsid w:val="00796757"/>
    <w:rsid w:val="007967FF"/>
    <w:rsid w:val="00796AF8"/>
    <w:rsid w:val="00796D2C"/>
    <w:rsid w:val="00796D67"/>
    <w:rsid w:val="00796FBB"/>
    <w:rsid w:val="00797200"/>
    <w:rsid w:val="00797282"/>
    <w:rsid w:val="00797400"/>
    <w:rsid w:val="00797633"/>
    <w:rsid w:val="00797AD8"/>
    <w:rsid w:val="00797B19"/>
    <w:rsid w:val="00797BC7"/>
    <w:rsid w:val="00797BEE"/>
    <w:rsid w:val="00797D93"/>
    <w:rsid w:val="00797E3E"/>
    <w:rsid w:val="007A01A3"/>
    <w:rsid w:val="007A033E"/>
    <w:rsid w:val="007A0530"/>
    <w:rsid w:val="007A0568"/>
    <w:rsid w:val="007A05DD"/>
    <w:rsid w:val="007A068B"/>
    <w:rsid w:val="007A0698"/>
    <w:rsid w:val="007A07AB"/>
    <w:rsid w:val="007A0877"/>
    <w:rsid w:val="007A08AF"/>
    <w:rsid w:val="007A0C27"/>
    <w:rsid w:val="007A0DDC"/>
    <w:rsid w:val="007A0E1D"/>
    <w:rsid w:val="007A0E52"/>
    <w:rsid w:val="007A0F33"/>
    <w:rsid w:val="007A0FD3"/>
    <w:rsid w:val="007A0FE4"/>
    <w:rsid w:val="007A10E1"/>
    <w:rsid w:val="007A13B8"/>
    <w:rsid w:val="007A13CB"/>
    <w:rsid w:val="007A1468"/>
    <w:rsid w:val="007A16C8"/>
    <w:rsid w:val="007A173A"/>
    <w:rsid w:val="007A17A6"/>
    <w:rsid w:val="007A1835"/>
    <w:rsid w:val="007A18B6"/>
    <w:rsid w:val="007A1A61"/>
    <w:rsid w:val="007A1C34"/>
    <w:rsid w:val="007A1EAC"/>
    <w:rsid w:val="007A1FCE"/>
    <w:rsid w:val="007A2104"/>
    <w:rsid w:val="007A21E7"/>
    <w:rsid w:val="007A2252"/>
    <w:rsid w:val="007A2303"/>
    <w:rsid w:val="007A246F"/>
    <w:rsid w:val="007A25D3"/>
    <w:rsid w:val="007A2669"/>
    <w:rsid w:val="007A27F0"/>
    <w:rsid w:val="007A281A"/>
    <w:rsid w:val="007A28FE"/>
    <w:rsid w:val="007A299A"/>
    <w:rsid w:val="007A299B"/>
    <w:rsid w:val="007A2DBC"/>
    <w:rsid w:val="007A3080"/>
    <w:rsid w:val="007A315C"/>
    <w:rsid w:val="007A3193"/>
    <w:rsid w:val="007A31CB"/>
    <w:rsid w:val="007A35EB"/>
    <w:rsid w:val="007A3749"/>
    <w:rsid w:val="007A38DC"/>
    <w:rsid w:val="007A3C14"/>
    <w:rsid w:val="007A3C71"/>
    <w:rsid w:val="007A3C98"/>
    <w:rsid w:val="007A3CE3"/>
    <w:rsid w:val="007A3E14"/>
    <w:rsid w:val="007A3E37"/>
    <w:rsid w:val="007A40CE"/>
    <w:rsid w:val="007A4106"/>
    <w:rsid w:val="007A4201"/>
    <w:rsid w:val="007A4304"/>
    <w:rsid w:val="007A455D"/>
    <w:rsid w:val="007A4684"/>
    <w:rsid w:val="007A46A9"/>
    <w:rsid w:val="007A46BF"/>
    <w:rsid w:val="007A4833"/>
    <w:rsid w:val="007A49B6"/>
    <w:rsid w:val="007A4EDC"/>
    <w:rsid w:val="007A4F06"/>
    <w:rsid w:val="007A505E"/>
    <w:rsid w:val="007A5324"/>
    <w:rsid w:val="007A541E"/>
    <w:rsid w:val="007A556E"/>
    <w:rsid w:val="007A5A58"/>
    <w:rsid w:val="007A5C41"/>
    <w:rsid w:val="007A5C4E"/>
    <w:rsid w:val="007A5D9F"/>
    <w:rsid w:val="007A5DD9"/>
    <w:rsid w:val="007A5E4E"/>
    <w:rsid w:val="007A5EB3"/>
    <w:rsid w:val="007A61F0"/>
    <w:rsid w:val="007A6225"/>
    <w:rsid w:val="007A6240"/>
    <w:rsid w:val="007A6374"/>
    <w:rsid w:val="007A6503"/>
    <w:rsid w:val="007A6697"/>
    <w:rsid w:val="007A6BF2"/>
    <w:rsid w:val="007A6D3C"/>
    <w:rsid w:val="007A6DA2"/>
    <w:rsid w:val="007A6FA0"/>
    <w:rsid w:val="007A7205"/>
    <w:rsid w:val="007A74E5"/>
    <w:rsid w:val="007A75E5"/>
    <w:rsid w:val="007A7A18"/>
    <w:rsid w:val="007A7B9C"/>
    <w:rsid w:val="007A7DC5"/>
    <w:rsid w:val="007A9E8A"/>
    <w:rsid w:val="007B0162"/>
    <w:rsid w:val="007B032E"/>
    <w:rsid w:val="007B035B"/>
    <w:rsid w:val="007B06B5"/>
    <w:rsid w:val="007B06E4"/>
    <w:rsid w:val="007B06E8"/>
    <w:rsid w:val="007B09B0"/>
    <w:rsid w:val="007B0A3D"/>
    <w:rsid w:val="007B0EF4"/>
    <w:rsid w:val="007B110A"/>
    <w:rsid w:val="007B134C"/>
    <w:rsid w:val="007B155E"/>
    <w:rsid w:val="007B15FD"/>
    <w:rsid w:val="007B174A"/>
    <w:rsid w:val="007B195F"/>
    <w:rsid w:val="007B1A57"/>
    <w:rsid w:val="007B1C82"/>
    <w:rsid w:val="007B1F05"/>
    <w:rsid w:val="007B1F09"/>
    <w:rsid w:val="007B25C4"/>
    <w:rsid w:val="007B2786"/>
    <w:rsid w:val="007B27FB"/>
    <w:rsid w:val="007B2AC6"/>
    <w:rsid w:val="007B2B66"/>
    <w:rsid w:val="007B2BFF"/>
    <w:rsid w:val="007B2D6F"/>
    <w:rsid w:val="007B2D9A"/>
    <w:rsid w:val="007B2DE4"/>
    <w:rsid w:val="007B3038"/>
    <w:rsid w:val="007B30FA"/>
    <w:rsid w:val="007B33F5"/>
    <w:rsid w:val="007B34A9"/>
    <w:rsid w:val="007B3612"/>
    <w:rsid w:val="007B362F"/>
    <w:rsid w:val="007B3661"/>
    <w:rsid w:val="007B3764"/>
    <w:rsid w:val="007B3C67"/>
    <w:rsid w:val="007B3C86"/>
    <w:rsid w:val="007B3D1F"/>
    <w:rsid w:val="007B3D25"/>
    <w:rsid w:val="007B3D82"/>
    <w:rsid w:val="007B3F19"/>
    <w:rsid w:val="007B3F3E"/>
    <w:rsid w:val="007B4224"/>
    <w:rsid w:val="007B42A3"/>
    <w:rsid w:val="007B42A5"/>
    <w:rsid w:val="007B42FE"/>
    <w:rsid w:val="007B438F"/>
    <w:rsid w:val="007B44E5"/>
    <w:rsid w:val="007B458C"/>
    <w:rsid w:val="007B4613"/>
    <w:rsid w:val="007B46D7"/>
    <w:rsid w:val="007B47B1"/>
    <w:rsid w:val="007B47E3"/>
    <w:rsid w:val="007B4824"/>
    <w:rsid w:val="007B4B18"/>
    <w:rsid w:val="007B4BDD"/>
    <w:rsid w:val="007B4E75"/>
    <w:rsid w:val="007B5255"/>
    <w:rsid w:val="007B5530"/>
    <w:rsid w:val="007B570C"/>
    <w:rsid w:val="007B57CA"/>
    <w:rsid w:val="007B582E"/>
    <w:rsid w:val="007B585E"/>
    <w:rsid w:val="007B58D2"/>
    <w:rsid w:val="007B59BE"/>
    <w:rsid w:val="007B5C44"/>
    <w:rsid w:val="007B5D6A"/>
    <w:rsid w:val="007B5E2C"/>
    <w:rsid w:val="007B5F57"/>
    <w:rsid w:val="007B6020"/>
    <w:rsid w:val="007B603D"/>
    <w:rsid w:val="007B603E"/>
    <w:rsid w:val="007B6138"/>
    <w:rsid w:val="007B6218"/>
    <w:rsid w:val="007B62B9"/>
    <w:rsid w:val="007B63B9"/>
    <w:rsid w:val="007B6935"/>
    <w:rsid w:val="007B6D7B"/>
    <w:rsid w:val="007B6E20"/>
    <w:rsid w:val="007B6EAB"/>
    <w:rsid w:val="007B6FD6"/>
    <w:rsid w:val="007B70DB"/>
    <w:rsid w:val="007B7100"/>
    <w:rsid w:val="007B710B"/>
    <w:rsid w:val="007B7127"/>
    <w:rsid w:val="007B748B"/>
    <w:rsid w:val="007B7507"/>
    <w:rsid w:val="007B76B0"/>
    <w:rsid w:val="007B7908"/>
    <w:rsid w:val="007B799E"/>
    <w:rsid w:val="007B7AE2"/>
    <w:rsid w:val="007B7C46"/>
    <w:rsid w:val="007B7CFE"/>
    <w:rsid w:val="007B7D07"/>
    <w:rsid w:val="007B7F2A"/>
    <w:rsid w:val="007C009B"/>
    <w:rsid w:val="007C00C1"/>
    <w:rsid w:val="007C0184"/>
    <w:rsid w:val="007C0390"/>
    <w:rsid w:val="007C043F"/>
    <w:rsid w:val="007C0497"/>
    <w:rsid w:val="007C04A7"/>
    <w:rsid w:val="007C0D9C"/>
    <w:rsid w:val="007C0EFA"/>
    <w:rsid w:val="007C10F5"/>
    <w:rsid w:val="007C11CA"/>
    <w:rsid w:val="007C120E"/>
    <w:rsid w:val="007C1238"/>
    <w:rsid w:val="007C126B"/>
    <w:rsid w:val="007C14C4"/>
    <w:rsid w:val="007C1660"/>
    <w:rsid w:val="007C1DE8"/>
    <w:rsid w:val="007C2152"/>
    <w:rsid w:val="007C22A0"/>
    <w:rsid w:val="007C231B"/>
    <w:rsid w:val="007C27EA"/>
    <w:rsid w:val="007C285D"/>
    <w:rsid w:val="007C2973"/>
    <w:rsid w:val="007C2A72"/>
    <w:rsid w:val="007C2A87"/>
    <w:rsid w:val="007C2BEB"/>
    <w:rsid w:val="007C2CFB"/>
    <w:rsid w:val="007C2DF4"/>
    <w:rsid w:val="007C2E93"/>
    <w:rsid w:val="007C2F03"/>
    <w:rsid w:val="007C2F56"/>
    <w:rsid w:val="007C3079"/>
    <w:rsid w:val="007C31B9"/>
    <w:rsid w:val="007C3328"/>
    <w:rsid w:val="007C343B"/>
    <w:rsid w:val="007C343C"/>
    <w:rsid w:val="007C34B4"/>
    <w:rsid w:val="007C38D6"/>
    <w:rsid w:val="007C390D"/>
    <w:rsid w:val="007C3942"/>
    <w:rsid w:val="007C3C09"/>
    <w:rsid w:val="007C3F8E"/>
    <w:rsid w:val="007C4496"/>
    <w:rsid w:val="007C4528"/>
    <w:rsid w:val="007C4576"/>
    <w:rsid w:val="007C4932"/>
    <w:rsid w:val="007C4934"/>
    <w:rsid w:val="007C4B22"/>
    <w:rsid w:val="007C4CEA"/>
    <w:rsid w:val="007C4F13"/>
    <w:rsid w:val="007C4F29"/>
    <w:rsid w:val="007C4FD0"/>
    <w:rsid w:val="007C4FEE"/>
    <w:rsid w:val="007C520E"/>
    <w:rsid w:val="007C525C"/>
    <w:rsid w:val="007C5407"/>
    <w:rsid w:val="007C5545"/>
    <w:rsid w:val="007C55B1"/>
    <w:rsid w:val="007C570A"/>
    <w:rsid w:val="007C572A"/>
    <w:rsid w:val="007C57DC"/>
    <w:rsid w:val="007C57DF"/>
    <w:rsid w:val="007C58C7"/>
    <w:rsid w:val="007C5ADE"/>
    <w:rsid w:val="007C5B00"/>
    <w:rsid w:val="007C5BF2"/>
    <w:rsid w:val="007C5EC0"/>
    <w:rsid w:val="007C5EC8"/>
    <w:rsid w:val="007C5F48"/>
    <w:rsid w:val="007C5F59"/>
    <w:rsid w:val="007C6104"/>
    <w:rsid w:val="007C6476"/>
    <w:rsid w:val="007C6568"/>
    <w:rsid w:val="007C6604"/>
    <w:rsid w:val="007C6643"/>
    <w:rsid w:val="007C677D"/>
    <w:rsid w:val="007C6B32"/>
    <w:rsid w:val="007C6B87"/>
    <w:rsid w:val="007C6C78"/>
    <w:rsid w:val="007C6ECA"/>
    <w:rsid w:val="007C7020"/>
    <w:rsid w:val="007C74E6"/>
    <w:rsid w:val="007C784C"/>
    <w:rsid w:val="007C78FD"/>
    <w:rsid w:val="007C7955"/>
    <w:rsid w:val="007C798B"/>
    <w:rsid w:val="007C7ACF"/>
    <w:rsid w:val="007C7C48"/>
    <w:rsid w:val="007C7CDC"/>
    <w:rsid w:val="007C7D64"/>
    <w:rsid w:val="007C7E54"/>
    <w:rsid w:val="007D00BC"/>
    <w:rsid w:val="007D0133"/>
    <w:rsid w:val="007D01C6"/>
    <w:rsid w:val="007D0358"/>
    <w:rsid w:val="007D051A"/>
    <w:rsid w:val="007D0558"/>
    <w:rsid w:val="007D0576"/>
    <w:rsid w:val="007D059A"/>
    <w:rsid w:val="007D05B3"/>
    <w:rsid w:val="007D05ED"/>
    <w:rsid w:val="007D07D8"/>
    <w:rsid w:val="007D0839"/>
    <w:rsid w:val="007D08E2"/>
    <w:rsid w:val="007D0E76"/>
    <w:rsid w:val="007D0F90"/>
    <w:rsid w:val="007D0FAF"/>
    <w:rsid w:val="007D106E"/>
    <w:rsid w:val="007D10F3"/>
    <w:rsid w:val="007D1164"/>
    <w:rsid w:val="007D13C5"/>
    <w:rsid w:val="007D159B"/>
    <w:rsid w:val="007D1663"/>
    <w:rsid w:val="007D180D"/>
    <w:rsid w:val="007D18B0"/>
    <w:rsid w:val="007D1DC0"/>
    <w:rsid w:val="007D1E1A"/>
    <w:rsid w:val="007D1FB3"/>
    <w:rsid w:val="007D1FCC"/>
    <w:rsid w:val="007D2085"/>
    <w:rsid w:val="007D208D"/>
    <w:rsid w:val="007D23EE"/>
    <w:rsid w:val="007D242B"/>
    <w:rsid w:val="007D272B"/>
    <w:rsid w:val="007D2A94"/>
    <w:rsid w:val="007D2AE6"/>
    <w:rsid w:val="007D2B36"/>
    <w:rsid w:val="007D2C3A"/>
    <w:rsid w:val="007D2CD7"/>
    <w:rsid w:val="007D33DA"/>
    <w:rsid w:val="007D355F"/>
    <w:rsid w:val="007D3638"/>
    <w:rsid w:val="007D3711"/>
    <w:rsid w:val="007D3728"/>
    <w:rsid w:val="007D37D6"/>
    <w:rsid w:val="007D3978"/>
    <w:rsid w:val="007D3D91"/>
    <w:rsid w:val="007D4145"/>
    <w:rsid w:val="007D44D6"/>
    <w:rsid w:val="007D45FC"/>
    <w:rsid w:val="007D4759"/>
    <w:rsid w:val="007D477E"/>
    <w:rsid w:val="007D4A0F"/>
    <w:rsid w:val="007D4FB9"/>
    <w:rsid w:val="007D5401"/>
    <w:rsid w:val="007D578F"/>
    <w:rsid w:val="007D57E4"/>
    <w:rsid w:val="007D5827"/>
    <w:rsid w:val="007D5C44"/>
    <w:rsid w:val="007D5F51"/>
    <w:rsid w:val="007D5FFE"/>
    <w:rsid w:val="007D6033"/>
    <w:rsid w:val="007D6091"/>
    <w:rsid w:val="007D60C8"/>
    <w:rsid w:val="007D61AA"/>
    <w:rsid w:val="007D62A1"/>
    <w:rsid w:val="007D66BC"/>
    <w:rsid w:val="007D67CA"/>
    <w:rsid w:val="007D6803"/>
    <w:rsid w:val="007D68BD"/>
    <w:rsid w:val="007D6AF4"/>
    <w:rsid w:val="007D6EB5"/>
    <w:rsid w:val="007D728D"/>
    <w:rsid w:val="007D72A4"/>
    <w:rsid w:val="007D75DA"/>
    <w:rsid w:val="007D75ED"/>
    <w:rsid w:val="007D77B9"/>
    <w:rsid w:val="007D791A"/>
    <w:rsid w:val="007D7AB6"/>
    <w:rsid w:val="007D7B19"/>
    <w:rsid w:val="007D7BB7"/>
    <w:rsid w:val="007D7BBE"/>
    <w:rsid w:val="007D7CBB"/>
    <w:rsid w:val="007D7CE6"/>
    <w:rsid w:val="007D7D55"/>
    <w:rsid w:val="007D7E56"/>
    <w:rsid w:val="007D7FCA"/>
    <w:rsid w:val="007D7FEA"/>
    <w:rsid w:val="007E0020"/>
    <w:rsid w:val="007E013D"/>
    <w:rsid w:val="007E01AC"/>
    <w:rsid w:val="007E01FA"/>
    <w:rsid w:val="007E0628"/>
    <w:rsid w:val="007E06CE"/>
    <w:rsid w:val="007E0896"/>
    <w:rsid w:val="007E09EC"/>
    <w:rsid w:val="007E0A40"/>
    <w:rsid w:val="007E0C28"/>
    <w:rsid w:val="007E0D9A"/>
    <w:rsid w:val="007E0F05"/>
    <w:rsid w:val="007E0F89"/>
    <w:rsid w:val="007E0F99"/>
    <w:rsid w:val="007E1009"/>
    <w:rsid w:val="007E11CF"/>
    <w:rsid w:val="007E1264"/>
    <w:rsid w:val="007E141D"/>
    <w:rsid w:val="007E1637"/>
    <w:rsid w:val="007E1898"/>
    <w:rsid w:val="007E1958"/>
    <w:rsid w:val="007E19E1"/>
    <w:rsid w:val="007E1A50"/>
    <w:rsid w:val="007E1A59"/>
    <w:rsid w:val="007E1CB2"/>
    <w:rsid w:val="007E1E3B"/>
    <w:rsid w:val="007E1EF5"/>
    <w:rsid w:val="007E1F78"/>
    <w:rsid w:val="007E1F82"/>
    <w:rsid w:val="007E239D"/>
    <w:rsid w:val="007E23A2"/>
    <w:rsid w:val="007E2441"/>
    <w:rsid w:val="007E246B"/>
    <w:rsid w:val="007E24B8"/>
    <w:rsid w:val="007E25A7"/>
    <w:rsid w:val="007E26E8"/>
    <w:rsid w:val="007E28E0"/>
    <w:rsid w:val="007E29A4"/>
    <w:rsid w:val="007E29EF"/>
    <w:rsid w:val="007E2A78"/>
    <w:rsid w:val="007E2A94"/>
    <w:rsid w:val="007E2EE2"/>
    <w:rsid w:val="007E2EFF"/>
    <w:rsid w:val="007E307E"/>
    <w:rsid w:val="007E30B7"/>
    <w:rsid w:val="007E30BB"/>
    <w:rsid w:val="007E3175"/>
    <w:rsid w:val="007E3199"/>
    <w:rsid w:val="007E36C4"/>
    <w:rsid w:val="007E385F"/>
    <w:rsid w:val="007E3A15"/>
    <w:rsid w:val="007E3C7A"/>
    <w:rsid w:val="007E411D"/>
    <w:rsid w:val="007E41C6"/>
    <w:rsid w:val="007E4254"/>
    <w:rsid w:val="007E4512"/>
    <w:rsid w:val="007E459E"/>
    <w:rsid w:val="007E4722"/>
    <w:rsid w:val="007E47A6"/>
    <w:rsid w:val="007E48C9"/>
    <w:rsid w:val="007E4C9B"/>
    <w:rsid w:val="007E5211"/>
    <w:rsid w:val="007E525C"/>
    <w:rsid w:val="007E5544"/>
    <w:rsid w:val="007E5A4E"/>
    <w:rsid w:val="007E5ADD"/>
    <w:rsid w:val="007E60E4"/>
    <w:rsid w:val="007E616C"/>
    <w:rsid w:val="007E620A"/>
    <w:rsid w:val="007E64C4"/>
    <w:rsid w:val="007E64CA"/>
    <w:rsid w:val="007E6727"/>
    <w:rsid w:val="007E67C0"/>
    <w:rsid w:val="007E6848"/>
    <w:rsid w:val="007E68A8"/>
    <w:rsid w:val="007E6A81"/>
    <w:rsid w:val="007E6AAE"/>
    <w:rsid w:val="007E6B32"/>
    <w:rsid w:val="007E6BC1"/>
    <w:rsid w:val="007E6C32"/>
    <w:rsid w:val="007E6E0F"/>
    <w:rsid w:val="007E6E89"/>
    <w:rsid w:val="007E6FD7"/>
    <w:rsid w:val="007E713F"/>
    <w:rsid w:val="007E71DA"/>
    <w:rsid w:val="007E7243"/>
    <w:rsid w:val="007E7687"/>
    <w:rsid w:val="007E77F4"/>
    <w:rsid w:val="007E7885"/>
    <w:rsid w:val="007E7920"/>
    <w:rsid w:val="007E794F"/>
    <w:rsid w:val="007E79E5"/>
    <w:rsid w:val="007E7A3B"/>
    <w:rsid w:val="007E7BCF"/>
    <w:rsid w:val="007E7BDF"/>
    <w:rsid w:val="007E7DAD"/>
    <w:rsid w:val="007E7E9B"/>
    <w:rsid w:val="007F001B"/>
    <w:rsid w:val="007F0096"/>
    <w:rsid w:val="007F037A"/>
    <w:rsid w:val="007F041A"/>
    <w:rsid w:val="007F05D5"/>
    <w:rsid w:val="007F0720"/>
    <w:rsid w:val="007F08FC"/>
    <w:rsid w:val="007F0A00"/>
    <w:rsid w:val="007F0A08"/>
    <w:rsid w:val="007F0F0D"/>
    <w:rsid w:val="007F0F29"/>
    <w:rsid w:val="007F104D"/>
    <w:rsid w:val="007F1163"/>
    <w:rsid w:val="007F11DD"/>
    <w:rsid w:val="007F160E"/>
    <w:rsid w:val="007F16AE"/>
    <w:rsid w:val="007F18BC"/>
    <w:rsid w:val="007F192E"/>
    <w:rsid w:val="007F1C4D"/>
    <w:rsid w:val="007F1FEF"/>
    <w:rsid w:val="007F22C0"/>
    <w:rsid w:val="007F2326"/>
    <w:rsid w:val="007F241E"/>
    <w:rsid w:val="007F2473"/>
    <w:rsid w:val="007F24EF"/>
    <w:rsid w:val="007F259D"/>
    <w:rsid w:val="007F29F9"/>
    <w:rsid w:val="007F2E46"/>
    <w:rsid w:val="007F30DE"/>
    <w:rsid w:val="007F3253"/>
    <w:rsid w:val="007F32A6"/>
    <w:rsid w:val="007F3310"/>
    <w:rsid w:val="007F336D"/>
    <w:rsid w:val="007F355C"/>
    <w:rsid w:val="007F35C9"/>
    <w:rsid w:val="007F376B"/>
    <w:rsid w:val="007F3909"/>
    <w:rsid w:val="007F3988"/>
    <w:rsid w:val="007F3C48"/>
    <w:rsid w:val="007F3D00"/>
    <w:rsid w:val="007F3DF6"/>
    <w:rsid w:val="007F402E"/>
    <w:rsid w:val="007F434C"/>
    <w:rsid w:val="007F436B"/>
    <w:rsid w:val="007F4401"/>
    <w:rsid w:val="007F4452"/>
    <w:rsid w:val="007F469B"/>
    <w:rsid w:val="007F46E0"/>
    <w:rsid w:val="007F46F6"/>
    <w:rsid w:val="007F4864"/>
    <w:rsid w:val="007F488A"/>
    <w:rsid w:val="007F49DD"/>
    <w:rsid w:val="007F4BB2"/>
    <w:rsid w:val="007F4DC1"/>
    <w:rsid w:val="007F4FA8"/>
    <w:rsid w:val="007F5391"/>
    <w:rsid w:val="007F5538"/>
    <w:rsid w:val="007F56AB"/>
    <w:rsid w:val="007F5778"/>
    <w:rsid w:val="007F57F3"/>
    <w:rsid w:val="007F5805"/>
    <w:rsid w:val="007F5881"/>
    <w:rsid w:val="007F59D7"/>
    <w:rsid w:val="007F5C68"/>
    <w:rsid w:val="007F5C85"/>
    <w:rsid w:val="007F5C9C"/>
    <w:rsid w:val="007F5CD9"/>
    <w:rsid w:val="007F602B"/>
    <w:rsid w:val="007F613E"/>
    <w:rsid w:val="007F6446"/>
    <w:rsid w:val="007F658F"/>
    <w:rsid w:val="007F6616"/>
    <w:rsid w:val="007F6825"/>
    <w:rsid w:val="007F686C"/>
    <w:rsid w:val="007F68DA"/>
    <w:rsid w:val="007F6B49"/>
    <w:rsid w:val="007F6D24"/>
    <w:rsid w:val="007F6D5A"/>
    <w:rsid w:val="007F6E77"/>
    <w:rsid w:val="007F6E98"/>
    <w:rsid w:val="007F6E9D"/>
    <w:rsid w:val="007F711F"/>
    <w:rsid w:val="007F72FF"/>
    <w:rsid w:val="007F747B"/>
    <w:rsid w:val="007F74C8"/>
    <w:rsid w:val="007F7569"/>
    <w:rsid w:val="007F75D0"/>
    <w:rsid w:val="007F75E5"/>
    <w:rsid w:val="007F75F2"/>
    <w:rsid w:val="007F76CC"/>
    <w:rsid w:val="007F79EE"/>
    <w:rsid w:val="007F7B40"/>
    <w:rsid w:val="007F7C17"/>
    <w:rsid w:val="007F7EC1"/>
    <w:rsid w:val="007F7EF4"/>
    <w:rsid w:val="007F7F52"/>
    <w:rsid w:val="007F7FAE"/>
    <w:rsid w:val="00800098"/>
    <w:rsid w:val="00800177"/>
    <w:rsid w:val="008005A4"/>
    <w:rsid w:val="008007E2"/>
    <w:rsid w:val="0080095C"/>
    <w:rsid w:val="00800BB1"/>
    <w:rsid w:val="00800CFA"/>
    <w:rsid w:val="00800EA8"/>
    <w:rsid w:val="00800F8F"/>
    <w:rsid w:val="008010D8"/>
    <w:rsid w:val="008010F1"/>
    <w:rsid w:val="00801181"/>
    <w:rsid w:val="0080124A"/>
    <w:rsid w:val="008015BE"/>
    <w:rsid w:val="008015ED"/>
    <w:rsid w:val="00801822"/>
    <w:rsid w:val="008019D5"/>
    <w:rsid w:val="00801A77"/>
    <w:rsid w:val="00801AC5"/>
    <w:rsid w:val="00801B09"/>
    <w:rsid w:val="00801B59"/>
    <w:rsid w:val="00801D26"/>
    <w:rsid w:val="00801D70"/>
    <w:rsid w:val="00801E81"/>
    <w:rsid w:val="00801EE7"/>
    <w:rsid w:val="00801FDF"/>
    <w:rsid w:val="0080212D"/>
    <w:rsid w:val="0080216C"/>
    <w:rsid w:val="00802269"/>
    <w:rsid w:val="0080232E"/>
    <w:rsid w:val="00802396"/>
    <w:rsid w:val="008024A7"/>
    <w:rsid w:val="0080251C"/>
    <w:rsid w:val="0080266B"/>
    <w:rsid w:val="008027FC"/>
    <w:rsid w:val="00802AB2"/>
    <w:rsid w:val="00802AB6"/>
    <w:rsid w:val="00802B5E"/>
    <w:rsid w:val="00802BD9"/>
    <w:rsid w:val="00802C4A"/>
    <w:rsid w:val="00802C8F"/>
    <w:rsid w:val="00802CF2"/>
    <w:rsid w:val="00803104"/>
    <w:rsid w:val="00803124"/>
    <w:rsid w:val="00803275"/>
    <w:rsid w:val="0080340E"/>
    <w:rsid w:val="008035F4"/>
    <w:rsid w:val="0080369C"/>
    <w:rsid w:val="00803971"/>
    <w:rsid w:val="00803A03"/>
    <w:rsid w:val="00803B79"/>
    <w:rsid w:val="00803C24"/>
    <w:rsid w:val="00803CBD"/>
    <w:rsid w:val="00803E1A"/>
    <w:rsid w:val="00803F8C"/>
    <w:rsid w:val="00804239"/>
    <w:rsid w:val="0080482F"/>
    <w:rsid w:val="008048EE"/>
    <w:rsid w:val="00804B1D"/>
    <w:rsid w:val="00804B36"/>
    <w:rsid w:val="00804B9F"/>
    <w:rsid w:val="00804CA2"/>
    <w:rsid w:val="00804FD1"/>
    <w:rsid w:val="00805047"/>
    <w:rsid w:val="00805308"/>
    <w:rsid w:val="00805345"/>
    <w:rsid w:val="0080578A"/>
    <w:rsid w:val="0080594B"/>
    <w:rsid w:val="0080599C"/>
    <w:rsid w:val="00805C2F"/>
    <w:rsid w:val="00805E11"/>
    <w:rsid w:val="00805E1D"/>
    <w:rsid w:val="00805EE7"/>
    <w:rsid w:val="00805F00"/>
    <w:rsid w:val="00805FB3"/>
    <w:rsid w:val="008060DE"/>
    <w:rsid w:val="008061B0"/>
    <w:rsid w:val="00806221"/>
    <w:rsid w:val="0080631A"/>
    <w:rsid w:val="00806506"/>
    <w:rsid w:val="00806556"/>
    <w:rsid w:val="008065D2"/>
    <w:rsid w:val="00806722"/>
    <w:rsid w:val="0080673A"/>
    <w:rsid w:val="00806871"/>
    <w:rsid w:val="008068C3"/>
    <w:rsid w:val="008069C3"/>
    <w:rsid w:val="00806A22"/>
    <w:rsid w:val="00806AA7"/>
    <w:rsid w:val="00806B08"/>
    <w:rsid w:val="00806B21"/>
    <w:rsid w:val="00806B48"/>
    <w:rsid w:val="00806BA9"/>
    <w:rsid w:val="00806C33"/>
    <w:rsid w:val="00806D64"/>
    <w:rsid w:val="00806D7E"/>
    <w:rsid w:val="00806DA1"/>
    <w:rsid w:val="00806EEE"/>
    <w:rsid w:val="00806F3E"/>
    <w:rsid w:val="00806F86"/>
    <w:rsid w:val="0080711C"/>
    <w:rsid w:val="00807243"/>
    <w:rsid w:val="00807272"/>
    <w:rsid w:val="0080727B"/>
    <w:rsid w:val="0080746D"/>
    <w:rsid w:val="00807493"/>
    <w:rsid w:val="0080762F"/>
    <w:rsid w:val="00807678"/>
    <w:rsid w:val="00807701"/>
    <w:rsid w:val="0080773B"/>
    <w:rsid w:val="00807883"/>
    <w:rsid w:val="00807BD0"/>
    <w:rsid w:val="00807D1D"/>
    <w:rsid w:val="00807E45"/>
    <w:rsid w:val="00807E8E"/>
    <w:rsid w:val="00807FD1"/>
    <w:rsid w:val="00810077"/>
    <w:rsid w:val="0081043F"/>
    <w:rsid w:val="0081044D"/>
    <w:rsid w:val="0081050B"/>
    <w:rsid w:val="00810515"/>
    <w:rsid w:val="00810556"/>
    <w:rsid w:val="0081074C"/>
    <w:rsid w:val="00810783"/>
    <w:rsid w:val="00810ACB"/>
    <w:rsid w:val="00810BFA"/>
    <w:rsid w:val="00810C25"/>
    <w:rsid w:val="00810C32"/>
    <w:rsid w:val="00810DFB"/>
    <w:rsid w:val="00811094"/>
    <w:rsid w:val="008110FB"/>
    <w:rsid w:val="00811297"/>
    <w:rsid w:val="0081143D"/>
    <w:rsid w:val="008114B3"/>
    <w:rsid w:val="00811509"/>
    <w:rsid w:val="00811534"/>
    <w:rsid w:val="008115DB"/>
    <w:rsid w:val="0081160A"/>
    <w:rsid w:val="00811716"/>
    <w:rsid w:val="00811723"/>
    <w:rsid w:val="008117BB"/>
    <w:rsid w:val="00811929"/>
    <w:rsid w:val="00811ACF"/>
    <w:rsid w:val="00811C16"/>
    <w:rsid w:val="00811DD0"/>
    <w:rsid w:val="0081201A"/>
    <w:rsid w:val="00812254"/>
    <w:rsid w:val="0081230A"/>
    <w:rsid w:val="008123B6"/>
    <w:rsid w:val="008125B4"/>
    <w:rsid w:val="00812A72"/>
    <w:rsid w:val="00812BD5"/>
    <w:rsid w:val="00812FA7"/>
    <w:rsid w:val="008131C2"/>
    <w:rsid w:val="008131C9"/>
    <w:rsid w:val="0081327C"/>
    <w:rsid w:val="008132C1"/>
    <w:rsid w:val="00813677"/>
    <w:rsid w:val="008136D7"/>
    <w:rsid w:val="008137FF"/>
    <w:rsid w:val="00813864"/>
    <w:rsid w:val="00813889"/>
    <w:rsid w:val="008138B4"/>
    <w:rsid w:val="00813929"/>
    <w:rsid w:val="00813A53"/>
    <w:rsid w:val="00813B79"/>
    <w:rsid w:val="00813F7E"/>
    <w:rsid w:val="00814165"/>
    <w:rsid w:val="00814247"/>
    <w:rsid w:val="0081428E"/>
    <w:rsid w:val="0081429D"/>
    <w:rsid w:val="00814374"/>
    <w:rsid w:val="008143C4"/>
    <w:rsid w:val="00814530"/>
    <w:rsid w:val="008145F0"/>
    <w:rsid w:val="0081468D"/>
    <w:rsid w:val="00814766"/>
    <w:rsid w:val="0081491E"/>
    <w:rsid w:val="00814A2A"/>
    <w:rsid w:val="00814D30"/>
    <w:rsid w:val="00814F22"/>
    <w:rsid w:val="00815012"/>
    <w:rsid w:val="008152FC"/>
    <w:rsid w:val="008153D2"/>
    <w:rsid w:val="0081550B"/>
    <w:rsid w:val="00815617"/>
    <w:rsid w:val="00815991"/>
    <w:rsid w:val="00815ACF"/>
    <w:rsid w:val="00815B73"/>
    <w:rsid w:val="00815C88"/>
    <w:rsid w:val="00815D22"/>
    <w:rsid w:val="00816071"/>
    <w:rsid w:val="00816110"/>
    <w:rsid w:val="008161F7"/>
    <w:rsid w:val="008161F8"/>
    <w:rsid w:val="0081626B"/>
    <w:rsid w:val="00816309"/>
    <w:rsid w:val="0081673C"/>
    <w:rsid w:val="00816D2A"/>
    <w:rsid w:val="00816DBC"/>
    <w:rsid w:val="00817013"/>
    <w:rsid w:val="0081702F"/>
    <w:rsid w:val="008171F9"/>
    <w:rsid w:val="008172A2"/>
    <w:rsid w:val="008172E2"/>
    <w:rsid w:val="00817390"/>
    <w:rsid w:val="008173CE"/>
    <w:rsid w:val="00817402"/>
    <w:rsid w:val="00817786"/>
    <w:rsid w:val="00817BA0"/>
    <w:rsid w:val="00817D74"/>
    <w:rsid w:val="00817D90"/>
    <w:rsid w:val="0082024C"/>
    <w:rsid w:val="008202A1"/>
    <w:rsid w:val="00820435"/>
    <w:rsid w:val="0082048B"/>
    <w:rsid w:val="008204BE"/>
    <w:rsid w:val="0082076D"/>
    <w:rsid w:val="008208AE"/>
    <w:rsid w:val="00820950"/>
    <w:rsid w:val="008209BA"/>
    <w:rsid w:val="00820ADD"/>
    <w:rsid w:val="00820AE1"/>
    <w:rsid w:val="00820C1B"/>
    <w:rsid w:val="00820C25"/>
    <w:rsid w:val="00820CA2"/>
    <w:rsid w:val="00820E96"/>
    <w:rsid w:val="00820F16"/>
    <w:rsid w:val="00820FA0"/>
    <w:rsid w:val="00821251"/>
    <w:rsid w:val="0082139E"/>
    <w:rsid w:val="008213CD"/>
    <w:rsid w:val="008213D2"/>
    <w:rsid w:val="008214FB"/>
    <w:rsid w:val="00821B19"/>
    <w:rsid w:val="00821BD6"/>
    <w:rsid w:val="00821C23"/>
    <w:rsid w:val="00821C41"/>
    <w:rsid w:val="00821CF9"/>
    <w:rsid w:val="00822032"/>
    <w:rsid w:val="00822061"/>
    <w:rsid w:val="00822270"/>
    <w:rsid w:val="008226A2"/>
    <w:rsid w:val="008226B0"/>
    <w:rsid w:val="00822854"/>
    <w:rsid w:val="00822856"/>
    <w:rsid w:val="008229E9"/>
    <w:rsid w:val="00822A64"/>
    <w:rsid w:val="00822AF4"/>
    <w:rsid w:val="00822D06"/>
    <w:rsid w:val="00822D98"/>
    <w:rsid w:val="00822EEE"/>
    <w:rsid w:val="00822F73"/>
    <w:rsid w:val="008231BE"/>
    <w:rsid w:val="00823375"/>
    <w:rsid w:val="0082339A"/>
    <w:rsid w:val="008238ED"/>
    <w:rsid w:val="00823A61"/>
    <w:rsid w:val="00823C9D"/>
    <w:rsid w:val="00823E73"/>
    <w:rsid w:val="008241E1"/>
    <w:rsid w:val="008242D1"/>
    <w:rsid w:val="008245B1"/>
    <w:rsid w:val="00824826"/>
    <w:rsid w:val="008248B9"/>
    <w:rsid w:val="008248EE"/>
    <w:rsid w:val="00824A2C"/>
    <w:rsid w:val="00824AA2"/>
    <w:rsid w:val="00824B46"/>
    <w:rsid w:val="00824B90"/>
    <w:rsid w:val="00824D38"/>
    <w:rsid w:val="00824ED3"/>
    <w:rsid w:val="00825037"/>
    <w:rsid w:val="00825085"/>
    <w:rsid w:val="00825118"/>
    <w:rsid w:val="008251BE"/>
    <w:rsid w:val="00825503"/>
    <w:rsid w:val="00825694"/>
    <w:rsid w:val="008256BE"/>
    <w:rsid w:val="008256E6"/>
    <w:rsid w:val="008257C3"/>
    <w:rsid w:val="0082594D"/>
    <w:rsid w:val="00825C69"/>
    <w:rsid w:val="00825F33"/>
    <w:rsid w:val="00826104"/>
    <w:rsid w:val="0082610A"/>
    <w:rsid w:val="00826409"/>
    <w:rsid w:val="008264A7"/>
    <w:rsid w:val="008264D5"/>
    <w:rsid w:val="008265AF"/>
    <w:rsid w:val="00826678"/>
    <w:rsid w:val="008266E7"/>
    <w:rsid w:val="008267A0"/>
    <w:rsid w:val="008268E1"/>
    <w:rsid w:val="008268E2"/>
    <w:rsid w:val="00826A1A"/>
    <w:rsid w:val="00826A96"/>
    <w:rsid w:val="00826B32"/>
    <w:rsid w:val="00826BB9"/>
    <w:rsid w:val="00826C9C"/>
    <w:rsid w:val="00826D36"/>
    <w:rsid w:val="00826F06"/>
    <w:rsid w:val="00826F54"/>
    <w:rsid w:val="00826F56"/>
    <w:rsid w:val="00826FF2"/>
    <w:rsid w:val="00827053"/>
    <w:rsid w:val="00827141"/>
    <w:rsid w:val="008272D7"/>
    <w:rsid w:val="008273A5"/>
    <w:rsid w:val="008275DD"/>
    <w:rsid w:val="00827643"/>
    <w:rsid w:val="00827A69"/>
    <w:rsid w:val="00827C56"/>
    <w:rsid w:val="00827CA1"/>
    <w:rsid w:val="00827D6A"/>
    <w:rsid w:val="00827D6C"/>
    <w:rsid w:val="008301F7"/>
    <w:rsid w:val="00830276"/>
    <w:rsid w:val="0083036E"/>
    <w:rsid w:val="00830548"/>
    <w:rsid w:val="008306AB"/>
    <w:rsid w:val="008306AF"/>
    <w:rsid w:val="008309D9"/>
    <w:rsid w:val="00830A5A"/>
    <w:rsid w:val="00830AEF"/>
    <w:rsid w:val="00830C00"/>
    <w:rsid w:val="00830C85"/>
    <w:rsid w:val="00830F0E"/>
    <w:rsid w:val="00831299"/>
    <w:rsid w:val="008312AE"/>
    <w:rsid w:val="00831300"/>
    <w:rsid w:val="008313CC"/>
    <w:rsid w:val="00831402"/>
    <w:rsid w:val="00831452"/>
    <w:rsid w:val="00831626"/>
    <w:rsid w:val="00831654"/>
    <w:rsid w:val="00831738"/>
    <w:rsid w:val="008318F1"/>
    <w:rsid w:val="00831A5F"/>
    <w:rsid w:val="00831ADB"/>
    <w:rsid w:val="00831E5A"/>
    <w:rsid w:val="00831EA9"/>
    <w:rsid w:val="00831EFF"/>
    <w:rsid w:val="00832022"/>
    <w:rsid w:val="0083221F"/>
    <w:rsid w:val="0083235E"/>
    <w:rsid w:val="00832433"/>
    <w:rsid w:val="00832545"/>
    <w:rsid w:val="0083264D"/>
    <w:rsid w:val="00832C90"/>
    <w:rsid w:val="00832CBE"/>
    <w:rsid w:val="00832EEB"/>
    <w:rsid w:val="008332BF"/>
    <w:rsid w:val="008333C9"/>
    <w:rsid w:val="00833423"/>
    <w:rsid w:val="0083361C"/>
    <w:rsid w:val="0083367C"/>
    <w:rsid w:val="008336FB"/>
    <w:rsid w:val="00833755"/>
    <w:rsid w:val="0083380A"/>
    <w:rsid w:val="00833857"/>
    <w:rsid w:val="00833B80"/>
    <w:rsid w:val="00833D77"/>
    <w:rsid w:val="00833D85"/>
    <w:rsid w:val="00833E15"/>
    <w:rsid w:val="0083400A"/>
    <w:rsid w:val="00834212"/>
    <w:rsid w:val="00834475"/>
    <w:rsid w:val="008344EC"/>
    <w:rsid w:val="008344EE"/>
    <w:rsid w:val="0083461D"/>
    <w:rsid w:val="008346AC"/>
    <w:rsid w:val="008347E2"/>
    <w:rsid w:val="00834829"/>
    <w:rsid w:val="00834A8B"/>
    <w:rsid w:val="00834B5B"/>
    <w:rsid w:val="00834B5F"/>
    <w:rsid w:val="00834C65"/>
    <w:rsid w:val="0083524A"/>
    <w:rsid w:val="008352F0"/>
    <w:rsid w:val="00835301"/>
    <w:rsid w:val="00835DA3"/>
    <w:rsid w:val="00835EAB"/>
    <w:rsid w:val="00835F26"/>
    <w:rsid w:val="00835FBE"/>
    <w:rsid w:val="0083602D"/>
    <w:rsid w:val="0083639D"/>
    <w:rsid w:val="008364BF"/>
    <w:rsid w:val="00836904"/>
    <w:rsid w:val="00836E18"/>
    <w:rsid w:val="00836E69"/>
    <w:rsid w:val="00836FCC"/>
    <w:rsid w:val="00837022"/>
    <w:rsid w:val="0083715C"/>
    <w:rsid w:val="00837180"/>
    <w:rsid w:val="008371D4"/>
    <w:rsid w:val="00837292"/>
    <w:rsid w:val="00837326"/>
    <w:rsid w:val="008373C8"/>
    <w:rsid w:val="00837858"/>
    <w:rsid w:val="008378D8"/>
    <w:rsid w:val="00837923"/>
    <w:rsid w:val="008379C4"/>
    <w:rsid w:val="00837A26"/>
    <w:rsid w:val="00837A58"/>
    <w:rsid w:val="00837F53"/>
    <w:rsid w:val="0083905B"/>
    <w:rsid w:val="00840083"/>
    <w:rsid w:val="0084011C"/>
    <w:rsid w:val="008403D5"/>
    <w:rsid w:val="008405C6"/>
    <w:rsid w:val="008406C1"/>
    <w:rsid w:val="00840932"/>
    <w:rsid w:val="00840C5F"/>
    <w:rsid w:val="00840D04"/>
    <w:rsid w:val="00840D3B"/>
    <w:rsid w:val="00840DED"/>
    <w:rsid w:val="00840E11"/>
    <w:rsid w:val="0084100F"/>
    <w:rsid w:val="00841152"/>
    <w:rsid w:val="00841368"/>
    <w:rsid w:val="008415EE"/>
    <w:rsid w:val="00841834"/>
    <w:rsid w:val="008418DA"/>
    <w:rsid w:val="008419F2"/>
    <w:rsid w:val="00841A4C"/>
    <w:rsid w:val="00841E5F"/>
    <w:rsid w:val="00841EFD"/>
    <w:rsid w:val="0084200B"/>
    <w:rsid w:val="008422FD"/>
    <w:rsid w:val="00842CD9"/>
    <w:rsid w:val="00842DF3"/>
    <w:rsid w:val="00842E25"/>
    <w:rsid w:val="00842E43"/>
    <w:rsid w:val="008430A0"/>
    <w:rsid w:val="008430D4"/>
    <w:rsid w:val="008430DB"/>
    <w:rsid w:val="0084314E"/>
    <w:rsid w:val="008433AB"/>
    <w:rsid w:val="0084356A"/>
    <w:rsid w:val="008436B5"/>
    <w:rsid w:val="00843915"/>
    <w:rsid w:val="0084391C"/>
    <w:rsid w:val="00843963"/>
    <w:rsid w:val="00843B0D"/>
    <w:rsid w:val="00843B86"/>
    <w:rsid w:val="00843C20"/>
    <w:rsid w:val="00843CF1"/>
    <w:rsid w:val="00843EAE"/>
    <w:rsid w:val="00843FDC"/>
    <w:rsid w:val="00844298"/>
    <w:rsid w:val="008442E3"/>
    <w:rsid w:val="0084439A"/>
    <w:rsid w:val="0084444B"/>
    <w:rsid w:val="0084460C"/>
    <w:rsid w:val="008448DC"/>
    <w:rsid w:val="0084492E"/>
    <w:rsid w:val="00844B0E"/>
    <w:rsid w:val="00844CAE"/>
    <w:rsid w:val="00845039"/>
    <w:rsid w:val="008451E8"/>
    <w:rsid w:val="00845227"/>
    <w:rsid w:val="008452D1"/>
    <w:rsid w:val="00845839"/>
    <w:rsid w:val="0084587F"/>
    <w:rsid w:val="00845991"/>
    <w:rsid w:val="00845CC8"/>
    <w:rsid w:val="00845D71"/>
    <w:rsid w:val="00845DBD"/>
    <w:rsid w:val="00845F4A"/>
    <w:rsid w:val="00846315"/>
    <w:rsid w:val="0084655E"/>
    <w:rsid w:val="0084656E"/>
    <w:rsid w:val="00846617"/>
    <w:rsid w:val="00846710"/>
    <w:rsid w:val="00846964"/>
    <w:rsid w:val="00846973"/>
    <w:rsid w:val="00846A55"/>
    <w:rsid w:val="00846C5E"/>
    <w:rsid w:val="00846C7A"/>
    <w:rsid w:val="00846D49"/>
    <w:rsid w:val="00846EDB"/>
    <w:rsid w:val="00846F73"/>
    <w:rsid w:val="00847029"/>
    <w:rsid w:val="0084709F"/>
    <w:rsid w:val="00847132"/>
    <w:rsid w:val="008473BA"/>
    <w:rsid w:val="008473ED"/>
    <w:rsid w:val="0084740C"/>
    <w:rsid w:val="008474A9"/>
    <w:rsid w:val="008477C6"/>
    <w:rsid w:val="008477C9"/>
    <w:rsid w:val="008478D2"/>
    <w:rsid w:val="00847B7B"/>
    <w:rsid w:val="00847BCE"/>
    <w:rsid w:val="00847EEA"/>
    <w:rsid w:val="00850066"/>
    <w:rsid w:val="00850233"/>
    <w:rsid w:val="008502EF"/>
    <w:rsid w:val="0085041A"/>
    <w:rsid w:val="00850AE5"/>
    <w:rsid w:val="00850B39"/>
    <w:rsid w:val="00850C45"/>
    <w:rsid w:val="00850F14"/>
    <w:rsid w:val="00851045"/>
    <w:rsid w:val="0085108E"/>
    <w:rsid w:val="0085129A"/>
    <w:rsid w:val="00851332"/>
    <w:rsid w:val="008513C1"/>
    <w:rsid w:val="008516F9"/>
    <w:rsid w:val="00851C4E"/>
    <w:rsid w:val="00851D83"/>
    <w:rsid w:val="00851EA5"/>
    <w:rsid w:val="008525BF"/>
    <w:rsid w:val="00852B15"/>
    <w:rsid w:val="00852B4B"/>
    <w:rsid w:val="00852FD6"/>
    <w:rsid w:val="00853131"/>
    <w:rsid w:val="0085323D"/>
    <w:rsid w:val="00853628"/>
    <w:rsid w:val="00853850"/>
    <w:rsid w:val="00853998"/>
    <w:rsid w:val="00853C51"/>
    <w:rsid w:val="00853E8A"/>
    <w:rsid w:val="00853F00"/>
    <w:rsid w:val="00853F89"/>
    <w:rsid w:val="008540C4"/>
    <w:rsid w:val="00854113"/>
    <w:rsid w:val="008542E4"/>
    <w:rsid w:val="0085464A"/>
    <w:rsid w:val="008548D7"/>
    <w:rsid w:val="0085497A"/>
    <w:rsid w:val="00854A91"/>
    <w:rsid w:val="00854ABB"/>
    <w:rsid w:val="00854BD9"/>
    <w:rsid w:val="00854C88"/>
    <w:rsid w:val="008554F7"/>
    <w:rsid w:val="00855899"/>
    <w:rsid w:val="00855BCA"/>
    <w:rsid w:val="00855C75"/>
    <w:rsid w:val="00855D67"/>
    <w:rsid w:val="00855DF9"/>
    <w:rsid w:val="008560B7"/>
    <w:rsid w:val="008560C2"/>
    <w:rsid w:val="008561A7"/>
    <w:rsid w:val="00856247"/>
    <w:rsid w:val="008562B4"/>
    <w:rsid w:val="008562D4"/>
    <w:rsid w:val="00856464"/>
    <w:rsid w:val="00856494"/>
    <w:rsid w:val="008564A5"/>
    <w:rsid w:val="00856508"/>
    <w:rsid w:val="0085679E"/>
    <w:rsid w:val="008567E6"/>
    <w:rsid w:val="00856893"/>
    <w:rsid w:val="008568F1"/>
    <w:rsid w:val="00856A1D"/>
    <w:rsid w:val="00856A70"/>
    <w:rsid w:val="00856BDF"/>
    <w:rsid w:val="00856E48"/>
    <w:rsid w:val="0085701B"/>
    <w:rsid w:val="0085716E"/>
    <w:rsid w:val="00857173"/>
    <w:rsid w:val="008571F3"/>
    <w:rsid w:val="008574AA"/>
    <w:rsid w:val="008574BD"/>
    <w:rsid w:val="00857515"/>
    <w:rsid w:val="008575F7"/>
    <w:rsid w:val="0085766F"/>
    <w:rsid w:val="0085772D"/>
    <w:rsid w:val="008577F9"/>
    <w:rsid w:val="008579BF"/>
    <w:rsid w:val="00857ACB"/>
    <w:rsid w:val="00857B9E"/>
    <w:rsid w:val="00857C3C"/>
    <w:rsid w:val="00857DA4"/>
    <w:rsid w:val="00857DE3"/>
    <w:rsid w:val="00857DE4"/>
    <w:rsid w:val="00857F3F"/>
    <w:rsid w:val="00857FE7"/>
    <w:rsid w:val="00860465"/>
    <w:rsid w:val="008604A8"/>
    <w:rsid w:val="008606A9"/>
    <w:rsid w:val="00860734"/>
    <w:rsid w:val="00860795"/>
    <w:rsid w:val="0086079F"/>
    <w:rsid w:val="008607F1"/>
    <w:rsid w:val="00860A6C"/>
    <w:rsid w:val="00860B21"/>
    <w:rsid w:val="00860BEB"/>
    <w:rsid w:val="00860CD4"/>
    <w:rsid w:val="00860E17"/>
    <w:rsid w:val="00860E4D"/>
    <w:rsid w:val="0086105F"/>
    <w:rsid w:val="0086116E"/>
    <w:rsid w:val="008611F5"/>
    <w:rsid w:val="00861365"/>
    <w:rsid w:val="008615E9"/>
    <w:rsid w:val="008615FF"/>
    <w:rsid w:val="0086186F"/>
    <w:rsid w:val="00861B18"/>
    <w:rsid w:val="00861B64"/>
    <w:rsid w:val="00861C39"/>
    <w:rsid w:val="00861CDC"/>
    <w:rsid w:val="00861D12"/>
    <w:rsid w:val="00861E5C"/>
    <w:rsid w:val="00862072"/>
    <w:rsid w:val="0086221D"/>
    <w:rsid w:val="00862370"/>
    <w:rsid w:val="008623DF"/>
    <w:rsid w:val="00862462"/>
    <w:rsid w:val="00862956"/>
    <w:rsid w:val="00862B2B"/>
    <w:rsid w:val="00862CBC"/>
    <w:rsid w:val="00862FBA"/>
    <w:rsid w:val="00863085"/>
    <w:rsid w:val="008634D7"/>
    <w:rsid w:val="008635A6"/>
    <w:rsid w:val="008638F0"/>
    <w:rsid w:val="00863991"/>
    <w:rsid w:val="00863C09"/>
    <w:rsid w:val="00863C6D"/>
    <w:rsid w:val="00863D4C"/>
    <w:rsid w:val="00863F54"/>
    <w:rsid w:val="0086416F"/>
    <w:rsid w:val="008641D2"/>
    <w:rsid w:val="008642A7"/>
    <w:rsid w:val="008643D6"/>
    <w:rsid w:val="0086452F"/>
    <w:rsid w:val="008647B1"/>
    <w:rsid w:val="00864887"/>
    <w:rsid w:val="00864A36"/>
    <w:rsid w:val="00864B89"/>
    <w:rsid w:val="00864C83"/>
    <w:rsid w:val="00864D8C"/>
    <w:rsid w:val="00864DBC"/>
    <w:rsid w:val="00864DC3"/>
    <w:rsid w:val="00864EC7"/>
    <w:rsid w:val="00864F64"/>
    <w:rsid w:val="00864FAE"/>
    <w:rsid w:val="0086517F"/>
    <w:rsid w:val="008654BE"/>
    <w:rsid w:val="008655E3"/>
    <w:rsid w:val="008656CF"/>
    <w:rsid w:val="0086578E"/>
    <w:rsid w:val="00865E93"/>
    <w:rsid w:val="00865F64"/>
    <w:rsid w:val="00866164"/>
    <w:rsid w:val="008661FF"/>
    <w:rsid w:val="0086624A"/>
    <w:rsid w:val="0086627C"/>
    <w:rsid w:val="008664F3"/>
    <w:rsid w:val="00866649"/>
    <w:rsid w:val="008668F8"/>
    <w:rsid w:val="00866B22"/>
    <w:rsid w:val="00866B99"/>
    <w:rsid w:val="00866C87"/>
    <w:rsid w:val="00866DB9"/>
    <w:rsid w:val="00866DBE"/>
    <w:rsid w:val="00866F6F"/>
    <w:rsid w:val="00867003"/>
    <w:rsid w:val="008670A1"/>
    <w:rsid w:val="0086720C"/>
    <w:rsid w:val="00867293"/>
    <w:rsid w:val="008672D3"/>
    <w:rsid w:val="008673F5"/>
    <w:rsid w:val="00867414"/>
    <w:rsid w:val="008676EF"/>
    <w:rsid w:val="008678BE"/>
    <w:rsid w:val="008678D1"/>
    <w:rsid w:val="008678D2"/>
    <w:rsid w:val="00867A38"/>
    <w:rsid w:val="00867BB8"/>
    <w:rsid w:val="00867C3D"/>
    <w:rsid w:val="00867CA0"/>
    <w:rsid w:val="00867D19"/>
    <w:rsid w:val="00867EE3"/>
    <w:rsid w:val="0087002A"/>
    <w:rsid w:val="00870286"/>
    <w:rsid w:val="0087029C"/>
    <w:rsid w:val="00870549"/>
    <w:rsid w:val="00870550"/>
    <w:rsid w:val="00870663"/>
    <w:rsid w:val="0087075C"/>
    <w:rsid w:val="008708B3"/>
    <w:rsid w:val="008709E7"/>
    <w:rsid w:val="00870A40"/>
    <w:rsid w:val="00870BF9"/>
    <w:rsid w:val="00870DD1"/>
    <w:rsid w:val="0087102E"/>
    <w:rsid w:val="0087116A"/>
    <w:rsid w:val="00871253"/>
    <w:rsid w:val="0087165B"/>
    <w:rsid w:val="0087165C"/>
    <w:rsid w:val="00871727"/>
    <w:rsid w:val="0087193D"/>
    <w:rsid w:val="00871A2C"/>
    <w:rsid w:val="00871C33"/>
    <w:rsid w:val="00871D37"/>
    <w:rsid w:val="00871EC9"/>
    <w:rsid w:val="00872004"/>
    <w:rsid w:val="0087202D"/>
    <w:rsid w:val="008720DC"/>
    <w:rsid w:val="0087213E"/>
    <w:rsid w:val="00872173"/>
    <w:rsid w:val="00872302"/>
    <w:rsid w:val="008723A4"/>
    <w:rsid w:val="0087240D"/>
    <w:rsid w:val="0087245A"/>
    <w:rsid w:val="008724B1"/>
    <w:rsid w:val="00872524"/>
    <w:rsid w:val="00872647"/>
    <w:rsid w:val="008727A2"/>
    <w:rsid w:val="00872BA9"/>
    <w:rsid w:val="00872D17"/>
    <w:rsid w:val="00872F1B"/>
    <w:rsid w:val="00873055"/>
    <w:rsid w:val="00873076"/>
    <w:rsid w:val="00873273"/>
    <w:rsid w:val="0087331C"/>
    <w:rsid w:val="008733D3"/>
    <w:rsid w:val="008734C2"/>
    <w:rsid w:val="0087383C"/>
    <w:rsid w:val="008738AA"/>
    <w:rsid w:val="0087397E"/>
    <w:rsid w:val="00873BB0"/>
    <w:rsid w:val="00873BDF"/>
    <w:rsid w:val="00873F36"/>
    <w:rsid w:val="008740EC"/>
    <w:rsid w:val="008742B5"/>
    <w:rsid w:val="0087430A"/>
    <w:rsid w:val="0087449A"/>
    <w:rsid w:val="008748BA"/>
    <w:rsid w:val="008749C5"/>
    <w:rsid w:val="00874E0C"/>
    <w:rsid w:val="00874F77"/>
    <w:rsid w:val="00874F97"/>
    <w:rsid w:val="008753A1"/>
    <w:rsid w:val="008756DB"/>
    <w:rsid w:val="008757C1"/>
    <w:rsid w:val="008759B9"/>
    <w:rsid w:val="00875BA6"/>
    <w:rsid w:val="00875D46"/>
    <w:rsid w:val="00875D5B"/>
    <w:rsid w:val="0087613B"/>
    <w:rsid w:val="00876382"/>
    <w:rsid w:val="008765EC"/>
    <w:rsid w:val="0087665D"/>
    <w:rsid w:val="0087678D"/>
    <w:rsid w:val="0087692A"/>
    <w:rsid w:val="0087694E"/>
    <w:rsid w:val="0087696F"/>
    <w:rsid w:val="00876FFC"/>
    <w:rsid w:val="0087714A"/>
    <w:rsid w:val="00877182"/>
    <w:rsid w:val="008771C0"/>
    <w:rsid w:val="008771CF"/>
    <w:rsid w:val="008771EE"/>
    <w:rsid w:val="008772E6"/>
    <w:rsid w:val="00877646"/>
    <w:rsid w:val="00877675"/>
    <w:rsid w:val="00877A0A"/>
    <w:rsid w:val="00877AD4"/>
    <w:rsid w:val="00877B21"/>
    <w:rsid w:val="00877B24"/>
    <w:rsid w:val="00877CBE"/>
    <w:rsid w:val="00877D8C"/>
    <w:rsid w:val="00877DC6"/>
    <w:rsid w:val="00880152"/>
    <w:rsid w:val="00880254"/>
    <w:rsid w:val="00880501"/>
    <w:rsid w:val="00880562"/>
    <w:rsid w:val="00880712"/>
    <w:rsid w:val="00880867"/>
    <w:rsid w:val="00880A62"/>
    <w:rsid w:val="00880D00"/>
    <w:rsid w:val="00880EDF"/>
    <w:rsid w:val="008810AD"/>
    <w:rsid w:val="00881402"/>
    <w:rsid w:val="0088148F"/>
    <w:rsid w:val="008817AA"/>
    <w:rsid w:val="008819D0"/>
    <w:rsid w:val="00881B2C"/>
    <w:rsid w:val="00881D9D"/>
    <w:rsid w:val="00881ED9"/>
    <w:rsid w:val="00881F59"/>
    <w:rsid w:val="0088204B"/>
    <w:rsid w:val="0088219A"/>
    <w:rsid w:val="008821ED"/>
    <w:rsid w:val="0088229D"/>
    <w:rsid w:val="00882479"/>
    <w:rsid w:val="00882576"/>
    <w:rsid w:val="008825C8"/>
    <w:rsid w:val="00882662"/>
    <w:rsid w:val="008828F3"/>
    <w:rsid w:val="0088293E"/>
    <w:rsid w:val="00882C7F"/>
    <w:rsid w:val="00882E2F"/>
    <w:rsid w:val="00883077"/>
    <w:rsid w:val="00883078"/>
    <w:rsid w:val="0088314C"/>
    <w:rsid w:val="0088340C"/>
    <w:rsid w:val="0088342B"/>
    <w:rsid w:val="008834C5"/>
    <w:rsid w:val="008835B7"/>
    <w:rsid w:val="00883680"/>
    <w:rsid w:val="00883715"/>
    <w:rsid w:val="008838AB"/>
    <w:rsid w:val="00883950"/>
    <w:rsid w:val="008839FD"/>
    <w:rsid w:val="00883A05"/>
    <w:rsid w:val="00883ACC"/>
    <w:rsid w:val="00883C18"/>
    <w:rsid w:val="00883C73"/>
    <w:rsid w:val="00883ED0"/>
    <w:rsid w:val="00883EF4"/>
    <w:rsid w:val="0088418E"/>
    <w:rsid w:val="00884261"/>
    <w:rsid w:val="00884696"/>
    <w:rsid w:val="0088474E"/>
    <w:rsid w:val="00884C3F"/>
    <w:rsid w:val="00884D31"/>
    <w:rsid w:val="00884DB2"/>
    <w:rsid w:val="00884E02"/>
    <w:rsid w:val="00884E35"/>
    <w:rsid w:val="00884F38"/>
    <w:rsid w:val="00885004"/>
    <w:rsid w:val="008851C6"/>
    <w:rsid w:val="0088523B"/>
    <w:rsid w:val="00885295"/>
    <w:rsid w:val="0088529D"/>
    <w:rsid w:val="00885342"/>
    <w:rsid w:val="008855BB"/>
    <w:rsid w:val="0088562F"/>
    <w:rsid w:val="00885811"/>
    <w:rsid w:val="0088589F"/>
    <w:rsid w:val="00885A07"/>
    <w:rsid w:val="00885AC0"/>
    <w:rsid w:val="00885B43"/>
    <w:rsid w:val="00885C3A"/>
    <w:rsid w:val="00885C69"/>
    <w:rsid w:val="00885D58"/>
    <w:rsid w:val="00885DCB"/>
    <w:rsid w:val="00885ED7"/>
    <w:rsid w:val="00885FAE"/>
    <w:rsid w:val="0088611E"/>
    <w:rsid w:val="008861DA"/>
    <w:rsid w:val="0088627B"/>
    <w:rsid w:val="00886289"/>
    <w:rsid w:val="00886324"/>
    <w:rsid w:val="00886331"/>
    <w:rsid w:val="00886363"/>
    <w:rsid w:val="0088657B"/>
    <w:rsid w:val="00886621"/>
    <w:rsid w:val="00886826"/>
    <w:rsid w:val="0088690E"/>
    <w:rsid w:val="008869EF"/>
    <w:rsid w:val="00886A3F"/>
    <w:rsid w:val="00886A96"/>
    <w:rsid w:val="00886CB7"/>
    <w:rsid w:val="00886D19"/>
    <w:rsid w:val="00886DDE"/>
    <w:rsid w:val="00886EED"/>
    <w:rsid w:val="008870EA"/>
    <w:rsid w:val="00887140"/>
    <w:rsid w:val="008873BC"/>
    <w:rsid w:val="00887482"/>
    <w:rsid w:val="00887744"/>
    <w:rsid w:val="00887856"/>
    <w:rsid w:val="008878AB"/>
    <w:rsid w:val="0088795A"/>
    <w:rsid w:val="00887A2D"/>
    <w:rsid w:val="00887B0C"/>
    <w:rsid w:val="00887B1A"/>
    <w:rsid w:val="00887D18"/>
    <w:rsid w:val="00887D63"/>
    <w:rsid w:val="00887E29"/>
    <w:rsid w:val="00887E87"/>
    <w:rsid w:val="00887EF3"/>
    <w:rsid w:val="00887F23"/>
    <w:rsid w:val="008901DB"/>
    <w:rsid w:val="008901DC"/>
    <w:rsid w:val="00890241"/>
    <w:rsid w:val="0089035F"/>
    <w:rsid w:val="008903AC"/>
    <w:rsid w:val="008905A5"/>
    <w:rsid w:val="008908AD"/>
    <w:rsid w:val="00890C29"/>
    <w:rsid w:val="00890E24"/>
    <w:rsid w:val="00890E91"/>
    <w:rsid w:val="00891014"/>
    <w:rsid w:val="00891094"/>
    <w:rsid w:val="00891495"/>
    <w:rsid w:val="0089160B"/>
    <w:rsid w:val="008919C4"/>
    <w:rsid w:val="00891B30"/>
    <w:rsid w:val="00891CAA"/>
    <w:rsid w:val="00891E88"/>
    <w:rsid w:val="00892349"/>
    <w:rsid w:val="00892546"/>
    <w:rsid w:val="008925BB"/>
    <w:rsid w:val="008927CE"/>
    <w:rsid w:val="008927F8"/>
    <w:rsid w:val="00893066"/>
    <w:rsid w:val="00893221"/>
    <w:rsid w:val="00893294"/>
    <w:rsid w:val="0089366B"/>
    <w:rsid w:val="008936D9"/>
    <w:rsid w:val="0089371A"/>
    <w:rsid w:val="00893736"/>
    <w:rsid w:val="00893829"/>
    <w:rsid w:val="00893833"/>
    <w:rsid w:val="00893A96"/>
    <w:rsid w:val="00893B2B"/>
    <w:rsid w:val="00893B79"/>
    <w:rsid w:val="00893C1D"/>
    <w:rsid w:val="00893CCE"/>
    <w:rsid w:val="00893D79"/>
    <w:rsid w:val="00893F1E"/>
    <w:rsid w:val="00894244"/>
    <w:rsid w:val="008942CC"/>
    <w:rsid w:val="008942F3"/>
    <w:rsid w:val="0089432C"/>
    <w:rsid w:val="008945B8"/>
    <w:rsid w:val="0089461F"/>
    <w:rsid w:val="00894641"/>
    <w:rsid w:val="0089471C"/>
    <w:rsid w:val="00894952"/>
    <w:rsid w:val="00894ACC"/>
    <w:rsid w:val="00894E25"/>
    <w:rsid w:val="0089501D"/>
    <w:rsid w:val="008952A7"/>
    <w:rsid w:val="0089539C"/>
    <w:rsid w:val="008955DC"/>
    <w:rsid w:val="00895BF4"/>
    <w:rsid w:val="00895C42"/>
    <w:rsid w:val="00895C52"/>
    <w:rsid w:val="0089605B"/>
    <w:rsid w:val="0089620E"/>
    <w:rsid w:val="0089655E"/>
    <w:rsid w:val="00896643"/>
    <w:rsid w:val="00896816"/>
    <w:rsid w:val="00896871"/>
    <w:rsid w:val="00896895"/>
    <w:rsid w:val="0089694A"/>
    <w:rsid w:val="00896AB1"/>
    <w:rsid w:val="00896B1A"/>
    <w:rsid w:val="00896BF6"/>
    <w:rsid w:val="00896C27"/>
    <w:rsid w:val="00896D42"/>
    <w:rsid w:val="00896E59"/>
    <w:rsid w:val="00896F44"/>
    <w:rsid w:val="00896FCE"/>
    <w:rsid w:val="00897022"/>
    <w:rsid w:val="008970B1"/>
    <w:rsid w:val="00897138"/>
    <w:rsid w:val="00897719"/>
    <w:rsid w:val="0089771D"/>
    <w:rsid w:val="00897735"/>
    <w:rsid w:val="0089773C"/>
    <w:rsid w:val="008977A9"/>
    <w:rsid w:val="008978B9"/>
    <w:rsid w:val="00897C6E"/>
    <w:rsid w:val="008A0060"/>
    <w:rsid w:val="008A0310"/>
    <w:rsid w:val="008A03E6"/>
    <w:rsid w:val="008A0601"/>
    <w:rsid w:val="008A06B5"/>
    <w:rsid w:val="008A074D"/>
    <w:rsid w:val="008A07BE"/>
    <w:rsid w:val="008A0B9C"/>
    <w:rsid w:val="008A0C0B"/>
    <w:rsid w:val="008A0D09"/>
    <w:rsid w:val="008A0E89"/>
    <w:rsid w:val="008A0EEF"/>
    <w:rsid w:val="008A10D0"/>
    <w:rsid w:val="008A111F"/>
    <w:rsid w:val="008A1343"/>
    <w:rsid w:val="008A1524"/>
    <w:rsid w:val="008A18B1"/>
    <w:rsid w:val="008A18CF"/>
    <w:rsid w:val="008A19A5"/>
    <w:rsid w:val="008A1AB1"/>
    <w:rsid w:val="008A1B65"/>
    <w:rsid w:val="008A1C26"/>
    <w:rsid w:val="008A1CDB"/>
    <w:rsid w:val="008A1D93"/>
    <w:rsid w:val="008A1DFE"/>
    <w:rsid w:val="008A1E46"/>
    <w:rsid w:val="008A1ED1"/>
    <w:rsid w:val="008A1F42"/>
    <w:rsid w:val="008A1FA6"/>
    <w:rsid w:val="008A1FEA"/>
    <w:rsid w:val="008A202C"/>
    <w:rsid w:val="008A23AB"/>
    <w:rsid w:val="008A2459"/>
    <w:rsid w:val="008A2573"/>
    <w:rsid w:val="008A25A8"/>
    <w:rsid w:val="008A26D6"/>
    <w:rsid w:val="008A284A"/>
    <w:rsid w:val="008A2A8A"/>
    <w:rsid w:val="008A2A98"/>
    <w:rsid w:val="008A2D39"/>
    <w:rsid w:val="008A2DB4"/>
    <w:rsid w:val="008A2E40"/>
    <w:rsid w:val="008A3103"/>
    <w:rsid w:val="008A3471"/>
    <w:rsid w:val="008A34DF"/>
    <w:rsid w:val="008A3905"/>
    <w:rsid w:val="008A3A11"/>
    <w:rsid w:val="008A3E1F"/>
    <w:rsid w:val="008A3E61"/>
    <w:rsid w:val="008A3EAD"/>
    <w:rsid w:val="008A3F3F"/>
    <w:rsid w:val="008A3FAC"/>
    <w:rsid w:val="008A439C"/>
    <w:rsid w:val="008A4501"/>
    <w:rsid w:val="008A465E"/>
    <w:rsid w:val="008A4806"/>
    <w:rsid w:val="008A4AFB"/>
    <w:rsid w:val="008A4B3C"/>
    <w:rsid w:val="008A4C8A"/>
    <w:rsid w:val="008A4DD6"/>
    <w:rsid w:val="008A501B"/>
    <w:rsid w:val="008A51B7"/>
    <w:rsid w:val="008A529A"/>
    <w:rsid w:val="008A547B"/>
    <w:rsid w:val="008A5747"/>
    <w:rsid w:val="008A58C9"/>
    <w:rsid w:val="008A59CF"/>
    <w:rsid w:val="008A5B27"/>
    <w:rsid w:val="008A5B38"/>
    <w:rsid w:val="008A5B70"/>
    <w:rsid w:val="008A5D7A"/>
    <w:rsid w:val="008A5E5F"/>
    <w:rsid w:val="008A5EB5"/>
    <w:rsid w:val="008A60B0"/>
    <w:rsid w:val="008A6152"/>
    <w:rsid w:val="008A619A"/>
    <w:rsid w:val="008A61EC"/>
    <w:rsid w:val="008A62E9"/>
    <w:rsid w:val="008A635F"/>
    <w:rsid w:val="008A63FA"/>
    <w:rsid w:val="008A64BD"/>
    <w:rsid w:val="008A662A"/>
    <w:rsid w:val="008A66FE"/>
    <w:rsid w:val="008A67DF"/>
    <w:rsid w:val="008A6956"/>
    <w:rsid w:val="008A6ADF"/>
    <w:rsid w:val="008A6AE0"/>
    <w:rsid w:val="008A6BB2"/>
    <w:rsid w:val="008A6C2F"/>
    <w:rsid w:val="008A6D45"/>
    <w:rsid w:val="008A6D84"/>
    <w:rsid w:val="008A6FA2"/>
    <w:rsid w:val="008A6FAC"/>
    <w:rsid w:val="008A6FBB"/>
    <w:rsid w:val="008A731E"/>
    <w:rsid w:val="008A7325"/>
    <w:rsid w:val="008A73F1"/>
    <w:rsid w:val="008A7608"/>
    <w:rsid w:val="008A7A7B"/>
    <w:rsid w:val="008A7AD9"/>
    <w:rsid w:val="008A7BBD"/>
    <w:rsid w:val="008A8BA6"/>
    <w:rsid w:val="008ABDFF"/>
    <w:rsid w:val="008B02AF"/>
    <w:rsid w:val="008B035B"/>
    <w:rsid w:val="008B07B9"/>
    <w:rsid w:val="008B0974"/>
    <w:rsid w:val="008B0997"/>
    <w:rsid w:val="008B0BFD"/>
    <w:rsid w:val="008B0D82"/>
    <w:rsid w:val="008B0FF2"/>
    <w:rsid w:val="008B1246"/>
    <w:rsid w:val="008B12FC"/>
    <w:rsid w:val="008B13AF"/>
    <w:rsid w:val="008B16FF"/>
    <w:rsid w:val="008B175C"/>
    <w:rsid w:val="008B1906"/>
    <w:rsid w:val="008B1A21"/>
    <w:rsid w:val="008B1B0A"/>
    <w:rsid w:val="008B1C52"/>
    <w:rsid w:val="008B1E46"/>
    <w:rsid w:val="008B2091"/>
    <w:rsid w:val="008B21C6"/>
    <w:rsid w:val="008B2598"/>
    <w:rsid w:val="008B26A9"/>
    <w:rsid w:val="008B274C"/>
    <w:rsid w:val="008B276C"/>
    <w:rsid w:val="008B2785"/>
    <w:rsid w:val="008B2827"/>
    <w:rsid w:val="008B2B6C"/>
    <w:rsid w:val="008B2BBA"/>
    <w:rsid w:val="008B2D91"/>
    <w:rsid w:val="008B2E4B"/>
    <w:rsid w:val="008B2F25"/>
    <w:rsid w:val="008B2F81"/>
    <w:rsid w:val="008B2F86"/>
    <w:rsid w:val="008B312C"/>
    <w:rsid w:val="008B3230"/>
    <w:rsid w:val="008B33CA"/>
    <w:rsid w:val="008B340B"/>
    <w:rsid w:val="008B3468"/>
    <w:rsid w:val="008B367F"/>
    <w:rsid w:val="008B3986"/>
    <w:rsid w:val="008B3C3F"/>
    <w:rsid w:val="008B3C45"/>
    <w:rsid w:val="008B3C5A"/>
    <w:rsid w:val="008B3C99"/>
    <w:rsid w:val="008B4002"/>
    <w:rsid w:val="008B418F"/>
    <w:rsid w:val="008B4216"/>
    <w:rsid w:val="008B42F9"/>
    <w:rsid w:val="008B44A2"/>
    <w:rsid w:val="008B453A"/>
    <w:rsid w:val="008B4550"/>
    <w:rsid w:val="008B4741"/>
    <w:rsid w:val="008B49C1"/>
    <w:rsid w:val="008B4A3F"/>
    <w:rsid w:val="008B4C04"/>
    <w:rsid w:val="008B4C26"/>
    <w:rsid w:val="008B4C4F"/>
    <w:rsid w:val="008B4E65"/>
    <w:rsid w:val="008B51C5"/>
    <w:rsid w:val="008B5306"/>
    <w:rsid w:val="008B530A"/>
    <w:rsid w:val="008B54DA"/>
    <w:rsid w:val="008B5961"/>
    <w:rsid w:val="008B59EC"/>
    <w:rsid w:val="008B5A0C"/>
    <w:rsid w:val="008B5A1C"/>
    <w:rsid w:val="008B5A91"/>
    <w:rsid w:val="008B5B2E"/>
    <w:rsid w:val="008B5B8B"/>
    <w:rsid w:val="008B5E48"/>
    <w:rsid w:val="008B5F83"/>
    <w:rsid w:val="008B6001"/>
    <w:rsid w:val="008B6042"/>
    <w:rsid w:val="008B606C"/>
    <w:rsid w:val="008B64AD"/>
    <w:rsid w:val="008B65FC"/>
    <w:rsid w:val="008B673A"/>
    <w:rsid w:val="008B68F8"/>
    <w:rsid w:val="008B692D"/>
    <w:rsid w:val="008B6947"/>
    <w:rsid w:val="008B6AB3"/>
    <w:rsid w:val="008B6AFF"/>
    <w:rsid w:val="008B6B0D"/>
    <w:rsid w:val="008B6C75"/>
    <w:rsid w:val="008B6DC0"/>
    <w:rsid w:val="008B71E1"/>
    <w:rsid w:val="008B71FF"/>
    <w:rsid w:val="008B7224"/>
    <w:rsid w:val="008B76AF"/>
    <w:rsid w:val="008B7765"/>
    <w:rsid w:val="008B778E"/>
    <w:rsid w:val="008B7964"/>
    <w:rsid w:val="008B7CE7"/>
    <w:rsid w:val="008B7DD2"/>
    <w:rsid w:val="008C019B"/>
    <w:rsid w:val="008C063C"/>
    <w:rsid w:val="008C08FA"/>
    <w:rsid w:val="008C0A7D"/>
    <w:rsid w:val="008C0DCB"/>
    <w:rsid w:val="008C0E9A"/>
    <w:rsid w:val="008C0ECD"/>
    <w:rsid w:val="008C0F87"/>
    <w:rsid w:val="008C0FFB"/>
    <w:rsid w:val="008C1168"/>
    <w:rsid w:val="008C11C0"/>
    <w:rsid w:val="008C122A"/>
    <w:rsid w:val="008C1513"/>
    <w:rsid w:val="008C18C4"/>
    <w:rsid w:val="008C1947"/>
    <w:rsid w:val="008C1975"/>
    <w:rsid w:val="008C1AB8"/>
    <w:rsid w:val="008C1BD1"/>
    <w:rsid w:val="008C1C95"/>
    <w:rsid w:val="008C1C9C"/>
    <w:rsid w:val="008C1E2C"/>
    <w:rsid w:val="008C1E4E"/>
    <w:rsid w:val="008C20D8"/>
    <w:rsid w:val="008C2188"/>
    <w:rsid w:val="008C21F6"/>
    <w:rsid w:val="008C23AF"/>
    <w:rsid w:val="008C248E"/>
    <w:rsid w:val="008C2692"/>
    <w:rsid w:val="008C2822"/>
    <w:rsid w:val="008C284C"/>
    <w:rsid w:val="008C2A1A"/>
    <w:rsid w:val="008C2AFC"/>
    <w:rsid w:val="008C2B0E"/>
    <w:rsid w:val="008C2D41"/>
    <w:rsid w:val="008C2FA3"/>
    <w:rsid w:val="008C3066"/>
    <w:rsid w:val="008C30C1"/>
    <w:rsid w:val="008C30DA"/>
    <w:rsid w:val="008C33F1"/>
    <w:rsid w:val="008C34F7"/>
    <w:rsid w:val="008C375E"/>
    <w:rsid w:val="008C3887"/>
    <w:rsid w:val="008C3A7C"/>
    <w:rsid w:val="008C3AC7"/>
    <w:rsid w:val="008C3B0D"/>
    <w:rsid w:val="008C3B94"/>
    <w:rsid w:val="008C3D42"/>
    <w:rsid w:val="008C3E4F"/>
    <w:rsid w:val="008C41FB"/>
    <w:rsid w:val="008C494D"/>
    <w:rsid w:val="008C4A76"/>
    <w:rsid w:val="008C4CBA"/>
    <w:rsid w:val="008C4D11"/>
    <w:rsid w:val="008C4D17"/>
    <w:rsid w:val="008C4DB2"/>
    <w:rsid w:val="008C5024"/>
    <w:rsid w:val="008C516C"/>
    <w:rsid w:val="008C5436"/>
    <w:rsid w:val="008C573B"/>
    <w:rsid w:val="008C57B6"/>
    <w:rsid w:val="008C5872"/>
    <w:rsid w:val="008C58D9"/>
    <w:rsid w:val="008C5902"/>
    <w:rsid w:val="008C5934"/>
    <w:rsid w:val="008C5AC9"/>
    <w:rsid w:val="008C5EF8"/>
    <w:rsid w:val="008C615B"/>
    <w:rsid w:val="008C61A3"/>
    <w:rsid w:val="008C620E"/>
    <w:rsid w:val="008C6237"/>
    <w:rsid w:val="008C64CB"/>
    <w:rsid w:val="008C6670"/>
    <w:rsid w:val="008C6724"/>
    <w:rsid w:val="008C67C9"/>
    <w:rsid w:val="008C6AE3"/>
    <w:rsid w:val="008C6C08"/>
    <w:rsid w:val="008C6E8A"/>
    <w:rsid w:val="008C71CC"/>
    <w:rsid w:val="008C7200"/>
    <w:rsid w:val="008C7272"/>
    <w:rsid w:val="008C75EF"/>
    <w:rsid w:val="008C782A"/>
    <w:rsid w:val="008C78D1"/>
    <w:rsid w:val="008C79BE"/>
    <w:rsid w:val="008C7A33"/>
    <w:rsid w:val="008C7BB2"/>
    <w:rsid w:val="008C7D4A"/>
    <w:rsid w:val="008C7D51"/>
    <w:rsid w:val="008C7F24"/>
    <w:rsid w:val="008D0060"/>
    <w:rsid w:val="008D0144"/>
    <w:rsid w:val="008D01AF"/>
    <w:rsid w:val="008D0521"/>
    <w:rsid w:val="008D069E"/>
    <w:rsid w:val="008D07D0"/>
    <w:rsid w:val="008D0808"/>
    <w:rsid w:val="008D0AD3"/>
    <w:rsid w:val="008D0AE9"/>
    <w:rsid w:val="008D0AEA"/>
    <w:rsid w:val="008D0C61"/>
    <w:rsid w:val="008D0EF8"/>
    <w:rsid w:val="008D0F25"/>
    <w:rsid w:val="008D0FCC"/>
    <w:rsid w:val="008D12CC"/>
    <w:rsid w:val="008D13A1"/>
    <w:rsid w:val="008D1579"/>
    <w:rsid w:val="008D1712"/>
    <w:rsid w:val="008D1738"/>
    <w:rsid w:val="008D182E"/>
    <w:rsid w:val="008D1AED"/>
    <w:rsid w:val="008D1CD4"/>
    <w:rsid w:val="008D1D8A"/>
    <w:rsid w:val="008D1E66"/>
    <w:rsid w:val="008D1F40"/>
    <w:rsid w:val="008D20EF"/>
    <w:rsid w:val="008D22F0"/>
    <w:rsid w:val="008D23C9"/>
    <w:rsid w:val="008D242E"/>
    <w:rsid w:val="008D2491"/>
    <w:rsid w:val="008D24A5"/>
    <w:rsid w:val="008D2725"/>
    <w:rsid w:val="008D27C0"/>
    <w:rsid w:val="008D27C1"/>
    <w:rsid w:val="008D2885"/>
    <w:rsid w:val="008D2B81"/>
    <w:rsid w:val="008D2CEE"/>
    <w:rsid w:val="008D2D7F"/>
    <w:rsid w:val="008D2DE9"/>
    <w:rsid w:val="008D2DEE"/>
    <w:rsid w:val="008D2E54"/>
    <w:rsid w:val="008D2F74"/>
    <w:rsid w:val="008D308D"/>
    <w:rsid w:val="008D3384"/>
    <w:rsid w:val="008D350D"/>
    <w:rsid w:val="008D354A"/>
    <w:rsid w:val="008D3751"/>
    <w:rsid w:val="008D3785"/>
    <w:rsid w:val="008D379F"/>
    <w:rsid w:val="008D37B5"/>
    <w:rsid w:val="008D37C2"/>
    <w:rsid w:val="008D38AE"/>
    <w:rsid w:val="008D39A3"/>
    <w:rsid w:val="008D3AC1"/>
    <w:rsid w:val="008D3AC6"/>
    <w:rsid w:val="008D3D6D"/>
    <w:rsid w:val="008D3DFC"/>
    <w:rsid w:val="008D3ED4"/>
    <w:rsid w:val="008D3FA6"/>
    <w:rsid w:val="008D407C"/>
    <w:rsid w:val="008D4696"/>
    <w:rsid w:val="008D46B6"/>
    <w:rsid w:val="008D471D"/>
    <w:rsid w:val="008D4AAF"/>
    <w:rsid w:val="008D4B54"/>
    <w:rsid w:val="008D4E94"/>
    <w:rsid w:val="008D5032"/>
    <w:rsid w:val="008D52DC"/>
    <w:rsid w:val="008D5307"/>
    <w:rsid w:val="008D574A"/>
    <w:rsid w:val="008D5782"/>
    <w:rsid w:val="008D5B4D"/>
    <w:rsid w:val="008D5D77"/>
    <w:rsid w:val="008D5D98"/>
    <w:rsid w:val="008D5DB1"/>
    <w:rsid w:val="008D62A3"/>
    <w:rsid w:val="008D639F"/>
    <w:rsid w:val="008D63D0"/>
    <w:rsid w:val="008D6559"/>
    <w:rsid w:val="008D6663"/>
    <w:rsid w:val="008D6853"/>
    <w:rsid w:val="008D6889"/>
    <w:rsid w:val="008D68A8"/>
    <w:rsid w:val="008D6A19"/>
    <w:rsid w:val="008D6A9A"/>
    <w:rsid w:val="008D6B66"/>
    <w:rsid w:val="008D6C20"/>
    <w:rsid w:val="008D6E8B"/>
    <w:rsid w:val="008D71F1"/>
    <w:rsid w:val="008D7209"/>
    <w:rsid w:val="008D7459"/>
    <w:rsid w:val="008D7652"/>
    <w:rsid w:val="008D76B7"/>
    <w:rsid w:val="008D79CA"/>
    <w:rsid w:val="008D7AB8"/>
    <w:rsid w:val="008D7C0A"/>
    <w:rsid w:val="008D7C38"/>
    <w:rsid w:val="008D7F75"/>
    <w:rsid w:val="008E0537"/>
    <w:rsid w:val="008E05D6"/>
    <w:rsid w:val="008E0611"/>
    <w:rsid w:val="008E09CA"/>
    <w:rsid w:val="008E09DE"/>
    <w:rsid w:val="008E0D9A"/>
    <w:rsid w:val="008E0E99"/>
    <w:rsid w:val="008E0EB2"/>
    <w:rsid w:val="008E12B5"/>
    <w:rsid w:val="008E171C"/>
    <w:rsid w:val="008E175D"/>
    <w:rsid w:val="008E17D5"/>
    <w:rsid w:val="008E17E8"/>
    <w:rsid w:val="008E1969"/>
    <w:rsid w:val="008E1B3F"/>
    <w:rsid w:val="008E2051"/>
    <w:rsid w:val="008E207C"/>
    <w:rsid w:val="008E22C1"/>
    <w:rsid w:val="008E22F9"/>
    <w:rsid w:val="008E2310"/>
    <w:rsid w:val="008E2327"/>
    <w:rsid w:val="008E245E"/>
    <w:rsid w:val="008E2506"/>
    <w:rsid w:val="008E269E"/>
    <w:rsid w:val="008E2787"/>
    <w:rsid w:val="008E2794"/>
    <w:rsid w:val="008E29F2"/>
    <w:rsid w:val="008E2A20"/>
    <w:rsid w:val="008E2B5C"/>
    <w:rsid w:val="008E2C3C"/>
    <w:rsid w:val="008E2D1D"/>
    <w:rsid w:val="008E2D48"/>
    <w:rsid w:val="008E2E25"/>
    <w:rsid w:val="008E2F5A"/>
    <w:rsid w:val="008E3029"/>
    <w:rsid w:val="008E30FB"/>
    <w:rsid w:val="008E32EF"/>
    <w:rsid w:val="008E330D"/>
    <w:rsid w:val="008E339A"/>
    <w:rsid w:val="008E3570"/>
    <w:rsid w:val="008E360D"/>
    <w:rsid w:val="008E379E"/>
    <w:rsid w:val="008E3845"/>
    <w:rsid w:val="008E394A"/>
    <w:rsid w:val="008E39E5"/>
    <w:rsid w:val="008E3F64"/>
    <w:rsid w:val="008E410F"/>
    <w:rsid w:val="008E4327"/>
    <w:rsid w:val="008E448F"/>
    <w:rsid w:val="008E45CC"/>
    <w:rsid w:val="008E4636"/>
    <w:rsid w:val="008E464A"/>
    <w:rsid w:val="008E467B"/>
    <w:rsid w:val="008E4A03"/>
    <w:rsid w:val="008E4A25"/>
    <w:rsid w:val="008E4BC3"/>
    <w:rsid w:val="008E4BE4"/>
    <w:rsid w:val="008E4DEB"/>
    <w:rsid w:val="008E4E06"/>
    <w:rsid w:val="008E5096"/>
    <w:rsid w:val="008E5193"/>
    <w:rsid w:val="008E51BD"/>
    <w:rsid w:val="008E52AD"/>
    <w:rsid w:val="008E53C6"/>
    <w:rsid w:val="008E53FA"/>
    <w:rsid w:val="008E54A7"/>
    <w:rsid w:val="008E5598"/>
    <w:rsid w:val="008E55D6"/>
    <w:rsid w:val="008E5743"/>
    <w:rsid w:val="008E57A5"/>
    <w:rsid w:val="008E5860"/>
    <w:rsid w:val="008E5D22"/>
    <w:rsid w:val="008E5D24"/>
    <w:rsid w:val="008E5FB5"/>
    <w:rsid w:val="008E6038"/>
    <w:rsid w:val="008E6092"/>
    <w:rsid w:val="008E60D0"/>
    <w:rsid w:val="008E6345"/>
    <w:rsid w:val="008E64E0"/>
    <w:rsid w:val="008E65AD"/>
    <w:rsid w:val="008E660F"/>
    <w:rsid w:val="008E6695"/>
    <w:rsid w:val="008E6740"/>
    <w:rsid w:val="008E6752"/>
    <w:rsid w:val="008E6797"/>
    <w:rsid w:val="008E6933"/>
    <w:rsid w:val="008E698D"/>
    <w:rsid w:val="008E6E7A"/>
    <w:rsid w:val="008E6EFB"/>
    <w:rsid w:val="008E71A7"/>
    <w:rsid w:val="008E72E6"/>
    <w:rsid w:val="008E7302"/>
    <w:rsid w:val="008E7306"/>
    <w:rsid w:val="008E7495"/>
    <w:rsid w:val="008E7676"/>
    <w:rsid w:val="008E7751"/>
    <w:rsid w:val="008E7911"/>
    <w:rsid w:val="008E7B8B"/>
    <w:rsid w:val="008E7EE6"/>
    <w:rsid w:val="008F00CB"/>
    <w:rsid w:val="008F0236"/>
    <w:rsid w:val="008F032A"/>
    <w:rsid w:val="008F034A"/>
    <w:rsid w:val="008F039C"/>
    <w:rsid w:val="008F04E5"/>
    <w:rsid w:val="008F09F9"/>
    <w:rsid w:val="008F0A0F"/>
    <w:rsid w:val="008F0A11"/>
    <w:rsid w:val="008F0AAA"/>
    <w:rsid w:val="008F0EB6"/>
    <w:rsid w:val="008F0F40"/>
    <w:rsid w:val="008F1075"/>
    <w:rsid w:val="008F10A6"/>
    <w:rsid w:val="008F10F8"/>
    <w:rsid w:val="008F1149"/>
    <w:rsid w:val="008F114B"/>
    <w:rsid w:val="008F11B8"/>
    <w:rsid w:val="008F1407"/>
    <w:rsid w:val="008F151A"/>
    <w:rsid w:val="008F15ED"/>
    <w:rsid w:val="008F1817"/>
    <w:rsid w:val="008F19DE"/>
    <w:rsid w:val="008F19F2"/>
    <w:rsid w:val="008F1DAA"/>
    <w:rsid w:val="008F2159"/>
    <w:rsid w:val="008F227A"/>
    <w:rsid w:val="008F24FA"/>
    <w:rsid w:val="008F287F"/>
    <w:rsid w:val="008F28C6"/>
    <w:rsid w:val="008F28E5"/>
    <w:rsid w:val="008F2987"/>
    <w:rsid w:val="008F2A1C"/>
    <w:rsid w:val="008F2CEB"/>
    <w:rsid w:val="008F2E60"/>
    <w:rsid w:val="008F2F2B"/>
    <w:rsid w:val="008F2F54"/>
    <w:rsid w:val="008F2F72"/>
    <w:rsid w:val="008F3062"/>
    <w:rsid w:val="008F3073"/>
    <w:rsid w:val="008F332C"/>
    <w:rsid w:val="008F3571"/>
    <w:rsid w:val="008F363E"/>
    <w:rsid w:val="008F370B"/>
    <w:rsid w:val="008F378A"/>
    <w:rsid w:val="008F386E"/>
    <w:rsid w:val="008F3BD0"/>
    <w:rsid w:val="008F3C1E"/>
    <w:rsid w:val="008F3E17"/>
    <w:rsid w:val="008F3EBB"/>
    <w:rsid w:val="008F3F0B"/>
    <w:rsid w:val="008F3F93"/>
    <w:rsid w:val="008F403C"/>
    <w:rsid w:val="008F44BE"/>
    <w:rsid w:val="008F456B"/>
    <w:rsid w:val="008F457E"/>
    <w:rsid w:val="008F466A"/>
    <w:rsid w:val="008F46C8"/>
    <w:rsid w:val="008F47C9"/>
    <w:rsid w:val="008F4914"/>
    <w:rsid w:val="008F4923"/>
    <w:rsid w:val="008F4AD6"/>
    <w:rsid w:val="008F4BCD"/>
    <w:rsid w:val="008F4D1A"/>
    <w:rsid w:val="008F4F4B"/>
    <w:rsid w:val="008F51F3"/>
    <w:rsid w:val="008F528D"/>
    <w:rsid w:val="008F52CF"/>
    <w:rsid w:val="008F5362"/>
    <w:rsid w:val="008F5399"/>
    <w:rsid w:val="008F53DB"/>
    <w:rsid w:val="008F5447"/>
    <w:rsid w:val="008F54DA"/>
    <w:rsid w:val="008F55F7"/>
    <w:rsid w:val="008F5A2B"/>
    <w:rsid w:val="008F5D73"/>
    <w:rsid w:val="008F5DDE"/>
    <w:rsid w:val="008F5EDB"/>
    <w:rsid w:val="008F623A"/>
    <w:rsid w:val="008F634A"/>
    <w:rsid w:val="008F6866"/>
    <w:rsid w:val="008F6964"/>
    <w:rsid w:val="008F698A"/>
    <w:rsid w:val="008F698D"/>
    <w:rsid w:val="008F6C40"/>
    <w:rsid w:val="008F6EB9"/>
    <w:rsid w:val="008F6EE3"/>
    <w:rsid w:val="008F702D"/>
    <w:rsid w:val="008F7190"/>
    <w:rsid w:val="008F7268"/>
    <w:rsid w:val="008F7405"/>
    <w:rsid w:val="008F754B"/>
    <w:rsid w:val="008F767A"/>
    <w:rsid w:val="008F76D6"/>
    <w:rsid w:val="008F776F"/>
    <w:rsid w:val="008F78A0"/>
    <w:rsid w:val="008F7934"/>
    <w:rsid w:val="008F7A2D"/>
    <w:rsid w:val="008F7B90"/>
    <w:rsid w:val="008F7BFA"/>
    <w:rsid w:val="008F7C0B"/>
    <w:rsid w:val="008F7D87"/>
    <w:rsid w:val="008F7E03"/>
    <w:rsid w:val="008F7F1F"/>
    <w:rsid w:val="009000C0"/>
    <w:rsid w:val="0090014C"/>
    <w:rsid w:val="009001A0"/>
    <w:rsid w:val="009001EC"/>
    <w:rsid w:val="0090020C"/>
    <w:rsid w:val="00900324"/>
    <w:rsid w:val="00900486"/>
    <w:rsid w:val="00900842"/>
    <w:rsid w:val="0090091C"/>
    <w:rsid w:val="00900A69"/>
    <w:rsid w:val="00900ACD"/>
    <w:rsid w:val="00900C0A"/>
    <w:rsid w:val="00900C64"/>
    <w:rsid w:val="00900C6C"/>
    <w:rsid w:val="00900CED"/>
    <w:rsid w:val="00900E03"/>
    <w:rsid w:val="00900F87"/>
    <w:rsid w:val="0090120D"/>
    <w:rsid w:val="00901243"/>
    <w:rsid w:val="009012EC"/>
    <w:rsid w:val="00901540"/>
    <w:rsid w:val="0090166D"/>
    <w:rsid w:val="009016A3"/>
    <w:rsid w:val="00901752"/>
    <w:rsid w:val="00901797"/>
    <w:rsid w:val="009017B3"/>
    <w:rsid w:val="00901AF3"/>
    <w:rsid w:val="00901BB3"/>
    <w:rsid w:val="00901DAF"/>
    <w:rsid w:val="00901EF3"/>
    <w:rsid w:val="00901FCC"/>
    <w:rsid w:val="00901FE1"/>
    <w:rsid w:val="009021D9"/>
    <w:rsid w:val="00902337"/>
    <w:rsid w:val="009023D7"/>
    <w:rsid w:val="00902414"/>
    <w:rsid w:val="0090258B"/>
    <w:rsid w:val="009025B7"/>
    <w:rsid w:val="009026D3"/>
    <w:rsid w:val="0090270C"/>
    <w:rsid w:val="00902812"/>
    <w:rsid w:val="00902920"/>
    <w:rsid w:val="00902A15"/>
    <w:rsid w:val="00902A6C"/>
    <w:rsid w:val="00902BDC"/>
    <w:rsid w:val="00902C39"/>
    <w:rsid w:val="00902EA8"/>
    <w:rsid w:val="00902F47"/>
    <w:rsid w:val="00902FCE"/>
    <w:rsid w:val="009030BB"/>
    <w:rsid w:val="0090319B"/>
    <w:rsid w:val="009035E8"/>
    <w:rsid w:val="0090382C"/>
    <w:rsid w:val="00903871"/>
    <w:rsid w:val="00903AAF"/>
    <w:rsid w:val="00903C79"/>
    <w:rsid w:val="00903D41"/>
    <w:rsid w:val="00904120"/>
    <w:rsid w:val="0090418B"/>
    <w:rsid w:val="00904311"/>
    <w:rsid w:val="0090452F"/>
    <w:rsid w:val="0090461E"/>
    <w:rsid w:val="009047FB"/>
    <w:rsid w:val="00904816"/>
    <w:rsid w:val="009048A5"/>
    <w:rsid w:val="009048BC"/>
    <w:rsid w:val="009048C6"/>
    <w:rsid w:val="009048DF"/>
    <w:rsid w:val="00904970"/>
    <w:rsid w:val="00904D75"/>
    <w:rsid w:val="009050C8"/>
    <w:rsid w:val="00905315"/>
    <w:rsid w:val="00905759"/>
    <w:rsid w:val="009059A2"/>
    <w:rsid w:val="00905A7B"/>
    <w:rsid w:val="00905DED"/>
    <w:rsid w:val="00905EAD"/>
    <w:rsid w:val="00906144"/>
    <w:rsid w:val="009062F2"/>
    <w:rsid w:val="00906424"/>
    <w:rsid w:val="009064A4"/>
    <w:rsid w:val="0090651C"/>
    <w:rsid w:val="00906552"/>
    <w:rsid w:val="00906676"/>
    <w:rsid w:val="00906883"/>
    <w:rsid w:val="009069AD"/>
    <w:rsid w:val="00906BA6"/>
    <w:rsid w:val="00906D74"/>
    <w:rsid w:val="00906E4D"/>
    <w:rsid w:val="00906F10"/>
    <w:rsid w:val="00907074"/>
    <w:rsid w:val="00907164"/>
    <w:rsid w:val="009073D0"/>
    <w:rsid w:val="00907468"/>
    <w:rsid w:val="00907494"/>
    <w:rsid w:val="0090778C"/>
    <w:rsid w:val="00907B47"/>
    <w:rsid w:val="00907BB1"/>
    <w:rsid w:val="00910294"/>
    <w:rsid w:val="00910434"/>
    <w:rsid w:val="00910556"/>
    <w:rsid w:val="009105FC"/>
    <w:rsid w:val="00910A0B"/>
    <w:rsid w:val="00910A8B"/>
    <w:rsid w:val="00910AD8"/>
    <w:rsid w:val="00910B5B"/>
    <w:rsid w:val="00910BA2"/>
    <w:rsid w:val="00910DC1"/>
    <w:rsid w:val="00910DE3"/>
    <w:rsid w:val="00911258"/>
    <w:rsid w:val="00911268"/>
    <w:rsid w:val="00911393"/>
    <w:rsid w:val="00911459"/>
    <w:rsid w:val="009118F3"/>
    <w:rsid w:val="00911A29"/>
    <w:rsid w:val="00911A97"/>
    <w:rsid w:val="00911C6D"/>
    <w:rsid w:val="00911D14"/>
    <w:rsid w:val="00911FB4"/>
    <w:rsid w:val="009120FE"/>
    <w:rsid w:val="009121EF"/>
    <w:rsid w:val="00912336"/>
    <w:rsid w:val="00912554"/>
    <w:rsid w:val="00912600"/>
    <w:rsid w:val="0091266C"/>
    <w:rsid w:val="009126E5"/>
    <w:rsid w:val="0091272B"/>
    <w:rsid w:val="00912A1D"/>
    <w:rsid w:val="00912FF2"/>
    <w:rsid w:val="009135B5"/>
    <w:rsid w:val="009135BA"/>
    <w:rsid w:val="00913653"/>
    <w:rsid w:val="0091382C"/>
    <w:rsid w:val="009138C3"/>
    <w:rsid w:val="00913925"/>
    <w:rsid w:val="009139FD"/>
    <w:rsid w:val="00913B34"/>
    <w:rsid w:val="00913BF5"/>
    <w:rsid w:val="00913C26"/>
    <w:rsid w:val="00913DAA"/>
    <w:rsid w:val="00913FAF"/>
    <w:rsid w:val="0091402F"/>
    <w:rsid w:val="00914165"/>
    <w:rsid w:val="0091437C"/>
    <w:rsid w:val="009143C5"/>
    <w:rsid w:val="00914493"/>
    <w:rsid w:val="00914541"/>
    <w:rsid w:val="00914607"/>
    <w:rsid w:val="00914614"/>
    <w:rsid w:val="009146B5"/>
    <w:rsid w:val="0091471E"/>
    <w:rsid w:val="00914994"/>
    <w:rsid w:val="009149CB"/>
    <w:rsid w:val="00914B52"/>
    <w:rsid w:val="00914C3F"/>
    <w:rsid w:val="00914C62"/>
    <w:rsid w:val="00914D77"/>
    <w:rsid w:val="00914E5D"/>
    <w:rsid w:val="009151C9"/>
    <w:rsid w:val="0091522A"/>
    <w:rsid w:val="009153FB"/>
    <w:rsid w:val="00915BEF"/>
    <w:rsid w:val="00915D14"/>
    <w:rsid w:val="00915E92"/>
    <w:rsid w:val="0091613E"/>
    <w:rsid w:val="00916164"/>
    <w:rsid w:val="009161FC"/>
    <w:rsid w:val="00916298"/>
    <w:rsid w:val="009162B1"/>
    <w:rsid w:val="009162C6"/>
    <w:rsid w:val="00916574"/>
    <w:rsid w:val="009167B4"/>
    <w:rsid w:val="00916A70"/>
    <w:rsid w:val="00916B16"/>
    <w:rsid w:val="00916B9A"/>
    <w:rsid w:val="00916D24"/>
    <w:rsid w:val="00916DA7"/>
    <w:rsid w:val="00916EA1"/>
    <w:rsid w:val="00916FEA"/>
    <w:rsid w:val="00917538"/>
    <w:rsid w:val="009179B9"/>
    <w:rsid w:val="00917A91"/>
    <w:rsid w:val="00917ADD"/>
    <w:rsid w:val="00917B33"/>
    <w:rsid w:val="00917DFF"/>
    <w:rsid w:val="00917E43"/>
    <w:rsid w:val="00917EA3"/>
    <w:rsid w:val="00917FF2"/>
    <w:rsid w:val="00917FFC"/>
    <w:rsid w:val="00920077"/>
    <w:rsid w:val="0092008E"/>
    <w:rsid w:val="009201AC"/>
    <w:rsid w:val="00920317"/>
    <w:rsid w:val="0092057D"/>
    <w:rsid w:val="0092062D"/>
    <w:rsid w:val="00920632"/>
    <w:rsid w:val="0092071B"/>
    <w:rsid w:val="00920770"/>
    <w:rsid w:val="009207A1"/>
    <w:rsid w:val="0092083F"/>
    <w:rsid w:val="009208A9"/>
    <w:rsid w:val="00920AA6"/>
    <w:rsid w:val="00920F9B"/>
    <w:rsid w:val="00921130"/>
    <w:rsid w:val="00921534"/>
    <w:rsid w:val="00921535"/>
    <w:rsid w:val="009215C0"/>
    <w:rsid w:val="009215D5"/>
    <w:rsid w:val="009215EE"/>
    <w:rsid w:val="0092166D"/>
    <w:rsid w:val="00921A59"/>
    <w:rsid w:val="00921ADC"/>
    <w:rsid w:val="00921FAB"/>
    <w:rsid w:val="0092218B"/>
    <w:rsid w:val="00922203"/>
    <w:rsid w:val="00922207"/>
    <w:rsid w:val="009222EA"/>
    <w:rsid w:val="00922343"/>
    <w:rsid w:val="0092243A"/>
    <w:rsid w:val="0092250E"/>
    <w:rsid w:val="009225DF"/>
    <w:rsid w:val="0092296B"/>
    <w:rsid w:val="00922BE9"/>
    <w:rsid w:val="00922C1A"/>
    <w:rsid w:val="00922CC2"/>
    <w:rsid w:val="00922FC0"/>
    <w:rsid w:val="00923031"/>
    <w:rsid w:val="009230D5"/>
    <w:rsid w:val="00923144"/>
    <w:rsid w:val="00923342"/>
    <w:rsid w:val="00923349"/>
    <w:rsid w:val="00923514"/>
    <w:rsid w:val="00923803"/>
    <w:rsid w:val="00923909"/>
    <w:rsid w:val="00923A25"/>
    <w:rsid w:val="00923A34"/>
    <w:rsid w:val="00923AE1"/>
    <w:rsid w:val="00923BA9"/>
    <w:rsid w:val="00923BB2"/>
    <w:rsid w:val="00923C4A"/>
    <w:rsid w:val="00923E3F"/>
    <w:rsid w:val="00923EC6"/>
    <w:rsid w:val="00923FBA"/>
    <w:rsid w:val="00924463"/>
    <w:rsid w:val="009244DF"/>
    <w:rsid w:val="009244E1"/>
    <w:rsid w:val="00924656"/>
    <w:rsid w:val="009246DF"/>
    <w:rsid w:val="0092494D"/>
    <w:rsid w:val="00924990"/>
    <w:rsid w:val="00924A08"/>
    <w:rsid w:val="00924C35"/>
    <w:rsid w:val="00924C95"/>
    <w:rsid w:val="009251EF"/>
    <w:rsid w:val="00925246"/>
    <w:rsid w:val="00925350"/>
    <w:rsid w:val="009253A6"/>
    <w:rsid w:val="00925481"/>
    <w:rsid w:val="00925523"/>
    <w:rsid w:val="0092576B"/>
    <w:rsid w:val="00925776"/>
    <w:rsid w:val="0092583C"/>
    <w:rsid w:val="009259BF"/>
    <w:rsid w:val="009259F0"/>
    <w:rsid w:val="00925D6F"/>
    <w:rsid w:val="00925DE7"/>
    <w:rsid w:val="00925E36"/>
    <w:rsid w:val="00926028"/>
    <w:rsid w:val="00926056"/>
    <w:rsid w:val="009261A4"/>
    <w:rsid w:val="00926276"/>
    <w:rsid w:val="00926310"/>
    <w:rsid w:val="0092648F"/>
    <w:rsid w:val="009264DE"/>
    <w:rsid w:val="00926883"/>
    <w:rsid w:val="009268CA"/>
    <w:rsid w:val="00926A5A"/>
    <w:rsid w:val="00926A6F"/>
    <w:rsid w:val="00926AFA"/>
    <w:rsid w:val="00926DB2"/>
    <w:rsid w:val="00926E32"/>
    <w:rsid w:val="0092702A"/>
    <w:rsid w:val="00927128"/>
    <w:rsid w:val="00927259"/>
    <w:rsid w:val="00927261"/>
    <w:rsid w:val="00927284"/>
    <w:rsid w:val="00927522"/>
    <w:rsid w:val="00927592"/>
    <w:rsid w:val="009276D2"/>
    <w:rsid w:val="00927874"/>
    <w:rsid w:val="00927B8F"/>
    <w:rsid w:val="00927D51"/>
    <w:rsid w:val="00927D5F"/>
    <w:rsid w:val="00927DEC"/>
    <w:rsid w:val="00927E1D"/>
    <w:rsid w:val="00927E2E"/>
    <w:rsid w:val="00927EA4"/>
    <w:rsid w:val="00927ECB"/>
    <w:rsid w:val="009300FA"/>
    <w:rsid w:val="00930376"/>
    <w:rsid w:val="009306D9"/>
    <w:rsid w:val="0093073D"/>
    <w:rsid w:val="00930901"/>
    <w:rsid w:val="0093090F"/>
    <w:rsid w:val="00930955"/>
    <w:rsid w:val="009309A6"/>
    <w:rsid w:val="00930A17"/>
    <w:rsid w:val="00930A54"/>
    <w:rsid w:val="00930ADE"/>
    <w:rsid w:val="00930B57"/>
    <w:rsid w:val="00930BBD"/>
    <w:rsid w:val="00930CF3"/>
    <w:rsid w:val="00931010"/>
    <w:rsid w:val="009311E1"/>
    <w:rsid w:val="00931364"/>
    <w:rsid w:val="00931366"/>
    <w:rsid w:val="009313AB"/>
    <w:rsid w:val="009314AF"/>
    <w:rsid w:val="0093154B"/>
    <w:rsid w:val="00931562"/>
    <w:rsid w:val="00931595"/>
    <w:rsid w:val="009315F0"/>
    <w:rsid w:val="00931680"/>
    <w:rsid w:val="009316CF"/>
    <w:rsid w:val="009317DF"/>
    <w:rsid w:val="009319E7"/>
    <w:rsid w:val="00931A7B"/>
    <w:rsid w:val="00931AFB"/>
    <w:rsid w:val="00931CE1"/>
    <w:rsid w:val="00931F21"/>
    <w:rsid w:val="009322FF"/>
    <w:rsid w:val="00932439"/>
    <w:rsid w:val="00932492"/>
    <w:rsid w:val="0093264D"/>
    <w:rsid w:val="00932650"/>
    <w:rsid w:val="00932768"/>
    <w:rsid w:val="009327E2"/>
    <w:rsid w:val="00932BC9"/>
    <w:rsid w:val="009330E5"/>
    <w:rsid w:val="00933138"/>
    <w:rsid w:val="0093313E"/>
    <w:rsid w:val="009331B2"/>
    <w:rsid w:val="00933274"/>
    <w:rsid w:val="009333B2"/>
    <w:rsid w:val="00933405"/>
    <w:rsid w:val="00933470"/>
    <w:rsid w:val="00933501"/>
    <w:rsid w:val="0093357F"/>
    <w:rsid w:val="00933603"/>
    <w:rsid w:val="00933820"/>
    <w:rsid w:val="0093385B"/>
    <w:rsid w:val="0093391C"/>
    <w:rsid w:val="00933A03"/>
    <w:rsid w:val="00933B59"/>
    <w:rsid w:val="0093414E"/>
    <w:rsid w:val="009341AC"/>
    <w:rsid w:val="00934336"/>
    <w:rsid w:val="00934345"/>
    <w:rsid w:val="00934557"/>
    <w:rsid w:val="00934694"/>
    <w:rsid w:val="00934C41"/>
    <w:rsid w:val="00934DCC"/>
    <w:rsid w:val="00934F0A"/>
    <w:rsid w:val="00934F93"/>
    <w:rsid w:val="00935197"/>
    <w:rsid w:val="009351E5"/>
    <w:rsid w:val="0093527A"/>
    <w:rsid w:val="009354AB"/>
    <w:rsid w:val="009354FC"/>
    <w:rsid w:val="0093561E"/>
    <w:rsid w:val="00935662"/>
    <w:rsid w:val="00935780"/>
    <w:rsid w:val="00935978"/>
    <w:rsid w:val="00935B86"/>
    <w:rsid w:val="00935BE5"/>
    <w:rsid w:val="00935C49"/>
    <w:rsid w:val="00935C4A"/>
    <w:rsid w:val="009360DF"/>
    <w:rsid w:val="00936566"/>
    <w:rsid w:val="00936B98"/>
    <w:rsid w:val="00936BDA"/>
    <w:rsid w:val="0093713E"/>
    <w:rsid w:val="00937245"/>
    <w:rsid w:val="00937A49"/>
    <w:rsid w:val="00937AB4"/>
    <w:rsid w:val="00937CB2"/>
    <w:rsid w:val="00937DCE"/>
    <w:rsid w:val="00937FC2"/>
    <w:rsid w:val="0094003C"/>
    <w:rsid w:val="0094004F"/>
    <w:rsid w:val="0094026F"/>
    <w:rsid w:val="0094054D"/>
    <w:rsid w:val="0094055A"/>
    <w:rsid w:val="00940629"/>
    <w:rsid w:val="009407DF"/>
    <w:rsid w:val="00940982"/>
    <w:rsid w:val="00940A66"/>
    <w:rsid w:val="00940BD3"/>
    <w:rsid w:val="00940DB1"/>
    <w:rsid w:val="0094105A"/>
    <w:rsid w:val="009410FB"/>
    <w:rsid w:val="009413E5"/>
    <w:rsid w:val="009416C5"/>
    <w:rsid w:val="0094175F"/>
    <w:rsid w:val="0094188F"/>
    <w:rsid w:val="009418AC"/>
    <w:rsid w:val="0094190A"/>
    <w:rsid w:val="00941A1A"/>
    <w:rsid w:val="00941B94"/>
    <w:rsid w:val="00941D94"/>
    <w:rsid w:val="00941EDA"/>
    <w:rsid w:val="00941FCD"/>
    <w:rsid w:val="00942056"/>
    <w:rsid w:val="00942099"/>
    <w:rsid w:val="009420BD"/>
    <w:rsid w:val="0094218F"/>
    <w:rsid w:val="00942328"/>
    <w:rsid w:val="0094240D"/>
    <w:rsid w:val="00942479"/>
    <w:rsid w:val="0094260B"/>
    <w:rsid w:val="009427E0"/>
    <w:rsid w:val="009429FF"/>
    <w:rsid w:val="00942C24"/>
    <w:rsid w:val="00942FB8"/>
    <w:rsid w:val="00943213"/>
    <w:rsid w:val="00943223"/>
    <w:rsid w:val="0094349C"/>
    <w:rsid w:val="009434E1"/>
    <w:rsid w:val="0094359A"/>
    <w:rsid w:val="0094359D"/>
    <w:rsid w:val="0094363C"/>
    <w:rsid w:val="009436F9"/>
    <w:rsid w:val="00943711"/>
    <w:rsid w:val="009438AF"/>
    <w:rsid w:val="009439B9"/>
    <w:rsid w:val="009439BA"/>
    <w:rsid w:val="00943C4D"/>
    <w:rsid w:val="00943CBC"/>
    <w:rsid w:val="00943D39"/>
    <w:rsid w:val="00943D47"/>
    <w:rsid w:val="00943F65"/>
    <w:rsid w:val="00943FCA"/>
    <w:rsid w:val="0094403E"/>
    <w:rsid w:val="00944085"/>
    <w:rsid w:val="0094410D"/>
    <w:rsid w:val="009441EE"/>
    <w:rsid w:val="009441F0"/>
    <w:rsid w:val="0094421A"/>
    <w:rsid w:val="00944640"/>
    <w:rsid w:val="00944775"/>
    <w:rsid w:val="00944796"/>
    <w:rsid w:val="009447C9"/>
    <w:rsid w:val="00944848"/>
    <w:rsid w:val="0094488F"/>
    <w:rsid w:val="00944937"/>
    <w:rsid w:val="009449F7"/>
    <w:rsid w:val="00944D7F"/>
    <w:rsid w:val="00944E00"/>
    <w:rsid w:val="00944E97"/>
    <w:rsid w:val="0094505F"/>
    <w:rsid w:val="0094509B"/>
    <w:rsid w:val="009450DA"/>
    <w:rsid w:val="00945143"/>
    <w:rsid w:val="00945164"/>
    <w:rsid w:val="009451EB"/>
    <w:rsid w:val="0094522B"/>
    <w:rsid w:val="00945281"/>
    <w:rsid w:val="009452C9"/>
    <w:rsid w:val="00945679"/>
    <w:rsid w:val="00945945"/>
    <w:rsid w:val="00945949"/>
    <w:rsid w:val="00945D1D"/>
    <w:rsid w:val="00945D33"/>
    <w:rsid w:val="00945DFB"/>
    <w:rsid w:val="00945EDA"/>
    <w:rsid w:val="009462F2"/>
    <w:rsid w:val="00946374"/>
    <w:rsid w:val="009463CE"/>
    <w:rsid w:val="009464E7"/>
    <w:rsid w:val="0094665C"/>
    <w:rsid w:val="00946715"/>
    <w:rsid w:val="00946927"/>
    <w:rsid w:val="00946AC5"/>
    <w:rsid w:val="00946B66"/>
    <w:rsid w:val="00946E2C"/>
    <w:rsid w:val="00946F92"/>
    <w:rsid w:val="00946FBC"/>
    <w:rsid w:val="009471C3"/>
    <w:rsid w:val="00947381"/>
    <w:rsid w:val="009476EA"/>
    <w:rsid w:val="00947878"/>
    <w:rsid w:val="00947B88"/>
    <w:rsid w:val="00947EDD"/>
    <w:rsid w:val="0095009A"/>
    <w:rsid w:val="009500BE"/>
    <w:rsid w:val="0095038D"/>
    <w:rsid w:val="00950404"/>
    <w:rsid w:val="009508F4"/>
    <w:rsid w:val="00950930"/>
    <w:rsid w:val="00950B46"/>
    <w:rsid w:val="00950B86"/>
    <w:rsid w:val="00950C0E"/>
    <w:rsid w:val="00950D22"/>
    <w:rsid w:val="00950D6F"/>
    <w:rsid w:val="00951036"/>
    <w:rsid w:val="009514B2"/>
    <w:rsid w:val="00951A1E"/>
    <w:rsid w:val="00951BB6"/>
    <w:rsid w:val="00951CE0"/>
    <w:rsid w:val="00951CF8"/>
    <w:rsid w:val="00951D4D"/>
    <w:rsid w:val="00951DCE"/>
    <w:rsid w:val="00951FE1"/>
    <w:rsid w:val="009520E0"/>
    <w:rsid w:val="009520FC"/>
    <w:rsid w:val="009521C0"/>
    <w:rsid w:val="00952310"/>
    <w:rsid w:val="009527DF"/>
    <w:rsid w:val="00952872"/>
    <w:rsid w:val="00952B97"/>
    <w:rsid w:val="00952EF4"/>
    <w:rsid w:val="00952FF3"/>
    <w:rsid w:val="009531E6"/>
    <w:rsid w:val="0095328B"/>
    <w:rsid w:val="00953611"/>
    <w:rsid w:val="009537E7"/>
    <w:rsid w:val="00953825"/>
    <w:rsid w:val="00953826"/>
    <w:rsid w:val="009539B0"/>
    <w:rsid w:val="00953C1F"/>
    <w:rsid w:val="00953C64"/>
    <w:rsid w:val="00953C77"/>
    <w:rsid w:val="00953D90"/>
    <w:rsid w:val="00953DAD"/>
    <w:rsid w:val="00953E3D"/>
    <w:rsid w:val="0095403F"/>
    <w:rsid w:val="009541EC"/>
    <w:rsid w:val="0095428D"/>
    <w:rsid w:val="0095435A"/>
    <w:rsid w:val="00954379"/>
    <w:rsid w:val="009543D3"/>
    <w:rsid w:val="0095459F"/>
    <w:rsid w:val="00954658"/>
    <w:rsid w:val="009548BE"/>
    <w:rsid w:val="00954A18"/>
    <w:rsid w:val="00954C13"/>
    <w:rsid w:val="00954CA9"/>
    <w:rsid w:val="00954D0D"/>
    <w:rsid w:val="00954FBD"/>
    <w:rsid w:val="0095564A"/>
    <w:rsid w:val="00955654"/>
    <w:rsid w:val="0095574D"/>
    <w:rsid w:val="009559E8"/>
    <w:rsid w:val="00955A78"/>
    <w:rsid w:val="00955AD3"/>
    <w:rsid w:val="00955B57"/>
    <w:rsid w:val="00955B78"/>
    <w:rsid w:val="00955FDD"/>
    <w:rsid w:val="00956013"/>
    <w:rsid w:val="00956035"/>
    <w:rsid w:val="009560C4"/>
    <w:rsid w:val="00956457"/>
    <w:rsid w:val="0095698A"/>
    <w:rsid w:val="00956A6C"/>
    <w:rsid w:val="00956AB5"/>
    <w:rsid w:val="00956BA7"/>
    <w:rsid w:val="00956C43"/>
    <w:rsid w:val="00956E5C"/>
    <w:rsid w:val="009570A4"/>
    <w:rsid w:val="0095728C"/>
    <w:rsid w:val="00957295"/>
    <w:rsid w:val="00957503"/>
    <w:rsid w:val="00957915"/>
    <w:rsid w:val="009579DD"/>
    <w:rsid w:val="00957C28"/>
    <w:rsid w:val="00957DE4"/>
    <w:rsid w:val="00957F1D"/>
    <w:rsid w:val="00957FBF"/>
    <w:rsid w:val="00960228"/>
    <w:rsid w:val="00960367"/>
    <w:rsid w:val="00960416"/>
    <w:rsid w:val="00960581"/>
    <w:rsid w:val="009606D0"/>
    <w:rsid w:val="00960773"/>
    <w:rsid w:val="0096082C"/>
    <w:rsid w:val="00960983"/>
    <w:rsid w:val="009609C3"/>
    <w:rsid w:val="00960B33"/>
    <w:rsid w:val="00960E13"/>
    <w:rsid w:val="00960E1C"/>
    <w:rsid w:val="00961233"/>
    <w:rsid w:val="0096131B"/>
    <w:rsid w:val="009614E6"/>
    <w:rsid w:val="00961548"/>
    <w:rsid w:val="00961586"/>
    <w:rsid w:val="00961640"/>
    <w:rsid w:val="00961839"/>
    <w:rsid w:val="00961A91"/>
    <w:rsid w:val="00961B7B"/>
    <w:rsid w:val="00961BC8"/>
    <w:rsid w:val="00961DD3"/>
    <w:rsid w:val="00961FF7"/>
    <w:rsid w:val="00962009"/>
    <w:rsid w:val="009620B2"/>
    <w:rsid w:val="00962153"/>
    <w:rsid w:val="009621F8"/>
    <w:rsid w:val="00962233"/>
    <w:rsid w:val="00962423"/>
    <w:rsid w:val="00962511"/>
    <w:rsid w:val="0096255C"/>
    <w:rsid w:val="00962615"/>
    <w:rsid w:val="00962A44"/>
    <w:rsid w:val="00962A55"/>
    <w:rsid w:val="00962AAA"/>
    <w:rsid w:val="00962B85"/>
    <w:rsid w:val="00962D26"/>
    <w:rsid w:val="00962D3A"/>
    <w:rsid w:val="009630F8"/>
    <w:rsid w:val="009633AB"/>
    <w:rsid w:val="009635DD"/>
    <w:rsid w:val="009635FB"/>
    <w:rsid w:val="0096385C"/>
    <w:rsid w:val="00963A2F"/>
    <w:rsid w:val="00963C45"/>
    <w:rsid w:val="00963DD2"/>
    <w:rsid w:val="00964520"/>
    <w:rsid w:val="00964898"/>
    <w:rsid w:val="009648D2"/>
    <w:rsid w:val="00964D60"/>
    <w:rsid w:val="0096502E"/>
    <w:rsid w:val="009650B6"/>
    <w:rsid w:val="009651F8"/>
    <w:rsid w:val="00965219"/>
    <w:rsid w:val="00965408"/>
    <w:rsid w:val="0096549F"/>
    <w:rsid w:val="00965782"/>
    <w:rsid w:val="009657BB"/>
    <w:rsid w:val="0096581B"/>
    <w:rsid w:val="00965858"/>
    <w:rsid w:val="00965895"/>
    <w:rsid w:val="00965F2D"/>
    <w:rsid w:val="00966090"/>
    <w:rsid w:val="009662E1"/>
    <w:rsid w:val="00966326"/>
    <w:rsid w:val="009665E5"/>
    <w:rsid w:val="009666CB"/>
    <w:rsid w:val="00966821"/>
    <w:rsid w:val="009668B6"/>
    <w:rsid w:val="009668D7"/>
    <w:rsid w:val="00966A38"/>
    <w:rsid w:val="00966B79"/>
    <w:rsid w:val="00966DCC"/>
    <w:rsid w:val="00967074"/>
    <w:rsid w:val="009672E9"/>
    <w:rsid w:val="009673AC"/>
    <w:rsid w:val="009675FD"/>
    <w:rsid w:val="00967641"/>
    <w:rsid w:val="0096764C"/>
    <w:rsid w:val="0096767E"/>
    <w:rsid w:val="00967770"/>
    <w:rsid w:val="009679AC"/>
    <w:rsid w:val="00967BAB"/>
    <w:rsid w:val="00967C24"/>
    <w:rsid w:val="00967E94"/>
    <w:rsid w:val="0097015F"/>
    <w:rsid w:val="00970192"/>
    <w:rsid w:val="0097057E"/>
    <w:rsid w:val="00970A8F"/>
    <w:rsid w:val="00970B52"/>
    <w:rsid w:val="00970DD6"/>
    <w:rsid w:val="00970F34"/>
    <w:rsid w:val="00970FD9"/>
    <w:rsid w:val="00971127"/>
    <w:rsid w:val="00971211"/>
    <w:rsid w:val="0097126A"/>
    <w:rsid w:val="00971581"/>
    <w:rsid w:val="0097174F"/>
    <w:rsid w:val="0097183A"/>
    <w:rsid w:val="009718B8"/>
    <w:rsid w:val="00971973"/>
    <w:rsid w:val="00971986"/>
    <w:rsid w:val="009719C2"/>
    <w:rsid w:val="00971BE6"/>
    <w:rsid w:val="00971CB3"/>
    <w:rsid w:val="00971DC0"/>
    <w:rsid w:val="00971F2C"/>
    <w:rsid w:val="00972069"/>
    <w:rsid w:val="009720A1"/>
    <w:rsid w:val="00972234"/>
    <w:rsid w:val="00972254"/>
    <w:rsid w:val="0097230D"/>
    <w:rsid w:val="0097240E"/>
    <w:rsid w:val="009724B9"/>
    <w:rsid w:val="009724F3"/>
    <w:rsid w:val="0097250C"/>
    <w:rsid w:val="00972834"/>
    <w:rsid w:val="009728C9"/>
    <w:rsid w:val="00972AA1"/>
    <w:rsid w:val="00972C51"/>
    <w:rsid w:val="00972DA1"/>
    <w:rsid w:val="00972E86"/>
    <w:rsid w:val="009731E4"/>
    <w:rsid w:val="00973231"/>
    <w:rsid w:val="009734C3"/>
    <w:rsid w:val="00973964"/>
    <w:rsid w:val="00973F55"/>
    <w:rsid w:val="00973FBD"/>
    <w:rsid w:val="009740C4"/>
    <w:rsid w:val="00974198"/>
    <w:rsid w:val="009741A0"/>
    <w:rsid w:val="009742A7"/>
    <w:rsid w:val="0097435F"/>
    <w:rsid w:val="009743CB"/>
    <w:rsid w:val="009744F0"/>
    <w:rsid w:val="00974702"/>
    <w:rsid w:val="00974BDD"/>
    <w:rsid w:val="00974EA8"/>
    <w:rsid w:val="00974F16"/>
    <w:rsid w:val="00974FD3"/>
    <w:rsid w:val="00975316"/>
    <w:rsid w:val="00975394"/>
    <w:rsid w:val="009755C6"/>
    <w:rsid w:val="00975902"/>
    <w:rsid w:val="00975966"/>
    <w:rsid w:val="00975CB6"/>
    <w:rsid w:val="00975E57"/>
    <w:rsid w:val="0097603F"/>
    <w:rsid w:val="0097612E"/>
    <w:rsid w:val="009763C2"/>
    <w:rsid w:val="00976893"/>
    <w:rsid w:val="009768EC"/>
    <w:rsid w:val="00976A8A"/>
    <w:rsid w:val="00976C56"/>
    <w:rsid w:val="00976F86"/>
    <w:rsid w:val="00976F92"/>
    <w:rsid w:val="009770D4"/>
    <w:rsid w:val="0097717C"/>
    <w:rsid w:val="00977280"/>
    <w:rsid w:val="00977308"/>
    <w:rsid w:val="0097735B"/>
    <w:rsid w:val="009777F1"/>
    <w:rsid w:val="00977B1F"/>
    <w:rsid w:val="00977C51"/>
    <w:rsid w:val="00977E23"/>
    <w:rsid w:val="00977F15"/>
    <w:rsid w:val="00977FFB"/>
    <w:rsid w:val="0098057E"/>
    <w:rsid w:val="009805FD"/>
    <w:rsid w:val="00980602"/>
    <w:rsid w:val="009806C2"/>
    <w:rsid w:val="0098072D"/>
    <w:rsid w:val="0098094B"/>
    <w:rsid w:val="009809B1"/>
    <w:rsid w:val="00980A0F"/>
    <w:rsid w:val="00980E08"/>
    <w:rsid w:val="0098118F"/>
    <w:rsid w:val="009812C3"/>
    <w:rsid w:val="00981347"/>
    <w:rsid w:val="00981586"/>
    <w:rsid w:val="00981749"/>
    <w:rsid w:val="00981B66"/>
    <w:rsid w:val="00981E07"/>
    <w:rsid w:val="00981F93"/>
    <w:rsid w:val="0098202E"/>
    <w:rsid w:val="009821B7"/>
    <w:rsid w:val="009823D5"/>
    <w:rsid w:val="009824F0"/>
    <w:rsid w:val="0098254C"/>
    <w:rsid w:val="009826FA"/>
    <w:rsid w:val="0098298B"/>
    <w:rsid w:val="00982D79"/>
    <w:rsid w:val="00982DF9"/>
    <w:rsid w:val="0098315B"/>
    <w:rsid w:val="0098320E"/>
    <w:rsid w:val="009834B9"/>
    <w:rsid w:val="0098351F"/>
    <w:rsid w:val="0098354E"/>
    <w:rsid w:val="00983704"/>
    <w:rsid w:val="00983959"/>
    <w:rsid w:val="00983A33"/>
    <w:rsid w:val="00983A5E"/>
    <w:rsid w:val="00983CA2"/>
    <w:rsid w:val="00983D61"/>
    <w:rsid w:val="00983EAF"/>
    <w:rsid w:val="009842B0"/>
    <w:rsid w:val="00984318"/>
    <w:rsid w:val="009843CF"/>
    <w:rsid w:val="00984534"/>
    <w:rsid w:val="009845A4"/>
    <w:rsid w:val="00984627"/>
    <w:rsid w:val="009846D4"/>
    <w:rsid w:val="009848F9"/>
    <w:rsid w:val="00984AB8"/>
    <w:rsid w:val="00984BB2"/>
    <w:rsid w:val="00984C48"/>
    <w:rsid w:val="00984CAA"/>
    <w:rsid w:val="00984DBA"/>
    <w:rsid w:val="00984FC5"/>
    <w:rsid w:val="00985371"/>
    <w:rsid w:val="009853A5"/>
    <w:rsid w:val="00985571"/>
    <w:rsid w:val="009855FC"/>
    <w:rsid w:val="00985776"/>
    <w:rsid w:val="009859A2"/>
    <w:rsid w:val="00985A4D"/>
    <w:rsid w:val="00985BB7"/>
    <w:rsid w:val="00985D22"/>
    <w:rsid w:val="00985E94"/>
    <w:rsid w:val="00986037"/>
    <w:rsid w:val="0098615A"/>
    <w:rsid w:val="009862D8"/>
    <w:rsid w:val="00986304"/>
    <w:rsid w:val="00986451"/>
    <w:rsid w:val="00986530"/>
    <w:rsid w:val="009868A3"/>
    <w:rsid w:val="00986C52"/>
    <w:rsid w:val="00986C86"/>
    <w:rsid w:val="00986F74"/>
    <w:rsid w:val="00987044"/>
    <w:rsid w:val="00987105"/>
    <w:rsid w:val="00987167"/>
    <w:rsid w:val="00987228"/>
    <w:rsid w:val="0098745B"/>
    <w:rsid w:val="00987593"/>
    <w:rsid w:val="0098759D"/>
    <w:rsid w:val="009876C3"/>
    <w:rsid w:val="00987863"/>
    <w:rsid w:val="009878BC"/>
    <w:rsid w:val="009878EE"/>
    <w:rsid w:val="009878F2"/>
    <w:rsid w:val="0098798C"/>
    <w:rsid w:val="00987A8A"/>
    <w:rsid w:val="00987B51"/>
    <w:rsid w:val="00987C2C"/>
    <w:rsid w:val="00987CE7"/>
    <w:rsid w:val="00987DF5"/>
    <w:rsid w:val="00987E68"/>
    <w:rsid w:val="00990153"/>
    <w:rsid w:val="00990263"/>
    <w:rsid w:val="009903ED"/>
    <w:rsid w:val="00990410"/>
    <w:rsid w:val="00990416"/>
    <w:rsid w:val="009904DD"/>
    <w:rsid w:val="00990709"/>
    <w:rsid w:val="009907CE"/>
    <w:rsid w:val="0099080A"/>
    <w:rsid w:val="00990920"/>
    <w:rsid w:val="0099093E"/>
    <w:rsid w:val="00990A0C"/>
    <w:rsid w:val="00990AAC"/>
    <w:rsid w:val="00990BAB"/>
    <w:rsid w:val="00990D91"/>
    <w:rsid w:val="00991206"/>
    <w:rsid w:val="0099125D"/>
    <w:rsid w:val="009913B0"/>
    <w:rsid w:val="0099157E"/>
    <w:rsid w:val="00991710"/>
    <w:rsid w:val="00991788"/>
    <w:rsid w:val="009917EA"/>
    <w:rsid w:val="009918A8"/>
    <w:rsid w:val="00991AA6"/>
    <w:rsid w:val="00991E2C"/>
    <w:rsid w:val="00991FCB"/>
    <w:rsid w:val="00991FD4"/>
    <w:rsid w:val="009922D6"/>
    <w:rsid w:val="00992325"/>
    <w:rsid w:val="009924C5"/>
    <w:rsid w:val="00992541"/>
    <w:rsid w:val="009926AE"/>
    <w:rsid w:val="009926E3"/>
    <w:rsid w:val="009927E1"/>
    <w:rsid w:val="009928D9"/>
    <w:rsid w:val="00992965"/>
    <w:rsid w:val="00992997"/>
    <w:rsid w:val="00992A70"/>
    <w:rsid w:val="00992F1A"/>
    <w:rsid w:val="00993005"/>
    <w:rsid w:val="009933C3"/>
    <w:rsid w:val="00993443"/>
    <w:rsid w:val="00993697"/>
    <w:rsid w:val="009936EC"/>
    <w:rsid w:val="00993842"/>
    <w:rsid w:val="00993880"/>
    <w:rsid w:val="0099394F"/>
    <w:rsid w:val="0099396B"/>
    <w:rsid w:val="00993A94"/>
    <w:rsid w:val="00993B8F"/>
    <w:rsid w:val="00993CA6"/>
    <w:rsid w:val="00993E66"/>
    <w:rsid w:val="00993FC4"/>
    <w:rsid w:val="00994549"/>
    <w:rsid w:val="00994604"/>
    <w:rsid w:val="00994689"/>
    <w:rsid w:val="009947FD"/>
    <w:rsid w:val="00994835"/>
    <w:rsid w:val="00994F13"/>
    <w:rsid w:val="00995492"/>
    <w:rsid w:val="009954B2"/>
    <w:rsid w:val="009954CE"/>
    <w:rsid w:val="0099568F"/>
    <w:rsid w:val="009956D8"/>
    <w:rsid w:val="00995904"/>
    <w:rsid w:val="0099592E"/>
    <w:rsid w:val="00995968"/>
    <w:rsid w:val="00995B1C"/>
    <w:rsid w:val="00995C56"/>
    <w:rsid w:val="00995C71"/>
    <w:rsid w:val="00995D0F"/>
    <w:rsid w:val="00995EA4"/>
    <w:rsid w:val="00995F1A"/>
    <w:rsid w:val="00996365"/>
    <w:rsid w:val="009964BF"/>
    <w:rsid w:val="009964F4"/>
    <w:rsid w:val="00996B9F"/>
    <w:rsid w:val="00996F33"/>
    <w:rsid w:val="00997288"/>
    <w:rsid w:val="009972B4"/>
    <w:rsid w:val="009972D7"/>
    <w:rsid w:val="0099730D"/>
    <w:rsid w:val="0099741E"/>
    <w:rsid w:val="009976D7"/>
    <w:rsid w:val="00997993"/>
    <w:rsid w:val="00997FF0"/>
    <w:rsid w:val="009A009B"/>
    <w:rsid w:val="009A02F5"/>
    <w:rsid w:val="009A0494"/>
    <w:rsid w:val="009A04EC"/>
    <w:rsid w:val="009A05A6"/>
    <w:rsid w:val="009A069C"/>
    <w:rsid w:val="009A06D0"/>
    <w:rsid w:val="009A07D7"/>
    <w:rsid w:val="009A0FAE"/>
    <w:rsid w:val="009A1581"/>
    <w:rsid w:val="009A185F"/>
    <w:rsid w:val="009A18EC"/>
    <w:rsid w:val="009A1938"/>
    <w:rsid w:val="009A1A63"/>
    <w:rsid w:val="009A1AEA"/>
    <w:rsid w:val="009A1D88"/>
    <w:rsid w:val="009A1DE8"/>
    <w:rsid w:val="009A1E85"/>
    <w:rsid w:val="009A2026"/>
    <w:rsid w:val="009A20FA"/>
    <w:rsid w:val="009A2170"/>
    <w:rsid w:val="009A2394"/>
    <w:rsid w:val="009A24A8"/>
    <w:rsid w:val="009A24CC"/>
    <w:rsid w:val="009A27EC"/>
    <w:rsid w:val="009A2969"/>
    <w:rsid w:val="009A2A56"/>
    <w:rsid w:val="009A2D1E"/>
    <w:rsid w:val="009A2F77"/>
    <w:rsid w:val="009A305E"/>
    <w:rsid w:val="009A3273"/>
    <w:rsid w:val="009A34D0"/>
    <w:rsid w:val="009A3611"/>
    <w:rsid w:val="009A3612"/>
    <w:rsid w:val="009A361B"/>
    <w:rsid w:val="009A37E2"/>
    <w:rsid w:val="009A3845"/>
    <w:rsid w:val="009A3847"/>
    <w:rsid w:val="009A39F1"/>
    <w:rsid w:val="009A412E"/>
    <w:rsid w:val="009A4209"/>
    <w:rsid w:val="009A433C"/>
    <w:rsid w:val="009A43FA"/>
    <w:rsid w:val="009A443D"/>
    <w:rsid w:val="009A4B00"/>
    <w:rsid w:val="009A4C6D"/>
    <w:rsid w:val="009A5016"/>
    <w:rsid w:val="009A50E0"/>
    <w:rsid w:val="009A5193"/>
    <w:rsid w:val="009A52FD"/>
    <w:rsid w:val="009A565C"/>
    <w:rsid w:val="009A56D0"/>
    <w:rsid w:val="009A57B6"/>
    <w:rsid w:val="009A5A41"/>
    <w:rsid w:val="009A5BBC"/>
    <w:rsid w:val="009A5D7B"/>
    <w:rsid w:val="009A6018"/>
    <w:rsid w:val="009A605C"/>
    <w:rsid w:val="009A61A9"/>
    <w:rsid w:val="009A61C9"/>
    <w:rsid w:val="009A6272"/>
    <w:rsid w:val="009A6350"/>
    <w:rsid w:val="009A65A3"/>
    <w:rsid w:val="009A662A"/>
    <w:rsid w:val="009A687F"/>
    <w:rsid w:val="009A6BB2"/>
    <w:rsid w:val="009A6BE8"/>
    <w:rsid w:val="009A6FA2"/>
    <w:rsid w:val="009A7349"/>
    <w:rsid w:val="009A767D"/>
    <w:rsid w:val="009A7749"/>
    <w:rsid w:val="009A77C8"/>
    <w:rsid w:val="009A7AA2"/>
    <w:rsid w:val="009A7BAD"/>
    <w:rsid w:val="009A7CD1"/>
    <w:rsid w:val="009A7DBB"/>
    <w:rsid w:val="009A7DCA"/>
    <w:rsid w:val="009A7E0A"/>
    <w:rsid w:val="009A7E90"/>
    <w:rsid w:val="009A7F30"/>
    <w:rsid w:val="009A7F52"/>
    <w:rsid w:val="009B002C"/>
    <w:rsid w:val="009B01F2"/>
    <w:rsid w:val="009B03BE"/>
    <w:rsid w:val="009B05BE"/>
    <w:rsid w:val="009B07B2"/>
    <w:rsid w:val="009B08FC"/>
    <w:rsid w:val="009B0C30"/>
    <w:rsid w:val="009B0D64"/>
    <w:rsid w:val="009B0EEA"/>
    <w:rsid w:val="009B10AA"/>
    <w:rsid w:val="009B12BF"/>
    <w:rsid w:val="009B13B8"/>
    <w:rsid w:val="009B15A4"/>
    <w:rsid w:val="009B18DF"/>
    <w:rsid w:val="009B19E4"/>
    <w:rsid w:val="009B1AF6"/>
    <w:rsid w:val="009B1B5B"/>
    <w:rsid w:val="009B1C03"/>
    <w:rsid w:val="009B1F02"/>
    <w:rsid w:val="009B2070"/>
    <w:rsid w:val="009B21C7"/>
    <w:rsid w:val="009B2290"/>
    <w:rsid w:val="009B24CA"/>
    <w:rsid w:val="009B2551"/>
    <w:rsid w:val="009B28AD"/>
    <w:rsid w:val="009B2B2B"/>
    <w:rsid w:val="009B2B4B"/>
    <w:rsid w:val="009B2DBA"/>
    <w:rsid w:val="009B2E41"/>
    <w:rsid w:val="009B2F08"/>
    <w:rsid w:val="009B2FF5"/>
    <w:rsid w:val="009B308D"/>
    <w:rsid w:val="009B30B9"/>
    <w:rsid w:val="009B321C"/>
    <w:rsid w:val="009B3298"/>
    <w:rsid w:val="009B3319"/>
    <w:rsid w:val="009B3401"/>
    <w:rsid w:val="009B3443"/>
    <w:rsid w:val="009B347F"/>
    <w:rsid w:val="009B356F"/>
    <w:rsid w:val="009B3611"/>
    <w:rsid w:val="009B36EF"/>
    <w:rsid w:val="009B3864"/>
    <w:rsid w:val="009B38C8"/>
    <w:rsid w:val="009B394D"/>
    <w:rsid w:val="009B3972"/>
    <w:rsid w:val="009B39C3"/>
    <w:rsid w:val="009B3C27"/>
    <w:rsid w:val="009B3CA8"/>
    <w:rsid w:val="009B3F5A"/>
    <w:rsid w:val="009B3FFC"/>
    <w:rsid w:val="009B411C"/>
    <w:rsid w:val="009B4273"/>
    <w:rsid w:val="009B42B3"/>
    <w:rsid w:val="009B44A4"/>
    <w:rsid w:val="009B45A8"/>
    <w:rsid w:val="009B45B1"/>
    <w:rsid w:val="009B45CE"/>
    <w:rsid w:val="009B4616"/>
    <w:rsid w:val="009B4DB5"/>
    <w:rsid w:val="009B4DC7"/>
    <w:rsid w:val="009B4E69"/>
    <w:rsid w:val="009B4ED2"/>
    <w:rsid w:val="009B4EDA"/>
    <w:rsid w:val="009B4F74"/>
    <w:rsid w:val="009B520E"/>
    <w:rsid w:val="009B549E"/>
    <w:rsid w:val="009B5516"/>
    <w:rsid w:val="009B5691"/>
    <w:rsid w:val="009B5883"/>
    <w:rsid w:val="009B59C7"/>
    <w:rsid w:val="009B5B49"/>
    <w:rsid w:val="009B5CA7"/>
    <w:rsid w:val="009B5D9C"/>
    <w:rsid w:val="009B5EBB"/>
    <w:rsid w:val="009B5F37"/>
    <w:rsid w:val="009B62A8"/>
    <w:rsid w:val="009B62BB"/>
    <w:rsid w:val="009B62C1"/>
    <w:rsid w:val="009B6569"/>
    <w:rsid w:val="009B673F"/>
    <w:rsid w:val="009B67A6"/>
    <w:rsid w:val="009B6AB1"/>
    <w:rsid w:val="009B6ABE"/>
    <w:rsid w:val="009B6B0C"/>
    <w:rsid w:val="009B6BD6"/>
    <w:rsid w:val="009B6DB8"/>
    <w:rsid w:val="009B6EC3"/>
    <w:rsid w:val="009B7108"/>
    <w:rsid w:val="009B723C"/>
    <w:rsid w:val="009B743D"/>
    <w:rsid w:val="009B7597"/>
    <w:rsid w:val="009B76F9"/>
    <w:rsid w:val="009B77D9"/>
    <w:rsid w:val="009B7955"/>
    <w:rsid w:val="009B7A5B"/>
    <w:rsid w:val="009B7B53"/>
    <w:rsid w:val="009B7C14"/>
    <w:rsid w:val="009B7D01"/>
    <w:rsid w:val="009C0306"/>
    <w:rsid w:val="009C03A5"/>
    <w:rsid w:val="009C0856"/>
    <w:rsid w:val="009C0872"/>
    <w:rsid w:val="009C0898"/>
    <w:rsid w:val="009C0C2E"/>
    <w:rsid w:val="009C0C35"/>
    <w:rsid w:val="009C1434"/>
    <w:rsid w:val="009C149D"/>
    <w:rsid w:val="009C14AC"/>
    <w:rsid w:val="009C1551"/>
    <w:rsid w:val="009C16A7"/>
    <w:rsid w:val="009C177A"/>
    <w:rsid w:val="009C17F2"/>
    <w:rsid w:val="009C182D"/>
    <w:rsid w:val="009C188E"/>
    <w:rsid w:val="009C1DE6"/>
    <w:rsid w:val="009C1E08"/>
    <w:rsid w:val="009C1F5B"/>
    <w:rsid w:val="009C2050"/>
    <w:rsid w:val="009C216E"/>
    <w:rsid w:val="009C22EF"/>
    <w:rsid w:val="009C2312"/>
    <w:rsid w:val="009C2431"/>
    <w:rsid w:val="009C255D"/>
    <w:rsid w:val="009C25E9"/>
    <w:rsid w:val="009C26F4"/>
    <w:rsid w:val="009C270D"/>
    <w:rsid w:val="009C295E"/>
    <w:rsid w:val="009C29C7"/>
    <w:rsid w:val="009C2A24"/>
    <w:rsid w:val="009C2C90"/>
    <w:rsid w:val="009C2D8A"/>
    <w:rsid w:val="009C3117"/>
    <w:rsid w:val="009C3540"/>
    <w:rsid w:val="009C3938"/>
    <w:rsid w:val="009C3ABF"/>
    <w:rsid w:val="009C3ACF"/>
    <w:rsid w:val="009C3B5C"/>
    <w:rsid w:val="009C3ECF"/>
    <w:rsid w:val="009C3EDF"/>
    <w:rsid w:val="009C4056"/>
    <w:rsid w:val="009C40F3"/>
    <w:rsid w:val="009C4382"/>
    <w:rsid w:val="009C479B"/>
    <w:rsid w:val="009C4871"/>
    <w:rsid w:val="009C4A53"/>
    <w:rsid w:val="009C4AF4"/>
    <w:rsid w:val="009C4B02"/>
    <w:rsid w:val="009C4B77"/>
    <w:rsid w:val="009C4BE7"/>
    <w:rsid w:val="009C4BF4"/>
    <w:rsid w:val="009C4C85"/>
    <w:rsid w:val="009C4CC4"/>
    <w:rsid w:val="009C4ED1"/>
    <w:rsid w:val="009C4F1F"/>
    <w:rsid w:val="009C518C"/>
    <w:rsid w:val="009C53C7"/>
    <w:rsid w:val="009C5484"/>
    <w:rsid w:val="009C5832"/>
    <w:rsid w:val="009C58F1"/>
    <w:rsid w:val="009C591D"/>
    <w:rsid w:val="009C59BF"/>
    <w:rsid w:val="009C5B18"/>
    <w:rsid w:val="009C5B79"/>
    <w:rsid w:val="009C5C33"/>
    <w:rsid w:val="009C5C3F"/>
    <w:rsid w:val="009C5CCB"/>
    <w:rsid w:val="009C5CD4"/>
    <w:rsid w:val="009C5E30"/>
    <w:rsid w:val="009C6196"/>
    <w:rsid w:val="009C6208"/>
    <w:rsid w:val="009C628D"/>
    <w:rsid w:val="009C6479"/>
    <w:rsid w:val="009C6743"/>
    <w:rsid w:val="009C6892"/>
    <w:rsid w:val="009C6D65"/>
    <w:rsid w:val="009C6DD7"/>
    <w:rsid w:val="009C6ED3"/>
    <w:rsid w:val="009C6FED"/>
    <w:rsid w:val="009C70AB"/>
    <w:rsid w:val="009C72CE"/>
    <w:rsid w:val="009C72FB"/>
    <w:rsid w:val="009C7602"/>
    <w:rsid w:val="009C775A"/>
    <w:rsid w:val="009C7784"/>
    <w:rsid w:val="009C7EDA"/>
    <w:rsid w:val="009C7F4F"/>
    <w:rsid w:val="009D01F9"/>
    <w:rsid w:val="009D028C"/>
    <w:rsid w:val="009D0389"/>
    <w:rsid w:val="009D03F4"/>
    <w:rsid w:val="009D044A"/>
    <w:rsid w:val="009D06C3"/>
    <w:rsid w:val="009D077D"/>
    <w:rsid w:val="009D08B1"/>
    <w:rsid w:val="009D0905"/>
    <w:rsid w:val="009D0954"/>
    <w:rsid w:val="009D0988"/>
    <w:rsid w:val="009D0D51"/>
    <w:rsid w:val="009D0DD2"/>
    <w:rsid w:val="009D0FCA"/>
    <w:rsid w:val="009D10E3"/>
    <w:rsid w:val="009D1222"/>
    <w:rsid w:val="009D12FB"/>
    <w:rsid w:val="009D148B"/>
    <w:rsid w:val="009D14A6"/>
    <w:rsid w:val="009D1552"/>
    <w:rsid w:val="009D157C"/>
    <w:rsid w:val="009D1805"/>
    <w:rsid w:val="009D18BA"/>
    <w:rsid w:val="009D1AB8"/>
    <w:rsid w:val="009D1BFD"/>
    <w:rsid w:val="009D1D3B"/>
    <w:rsid w:val="009D1DA3"/>
    <w:rsid w:val="009D1DBD"/>
    <w:rsid w:val="009D20D7"/>
    <w:rsid w:val="009D21C2"/>
    <w:rsid w:val="009D21E6"/>
    <w:rsid w:val="009D21F4"/>
    <w:rsid w:val="009D22FB"/>
    <w:rsid w:val="009D2482"/>
    <w:rsid w:val="009D2494"/>
    <w:rsid w:val="009D2527"/>
    <w:rsid w:val="009D26E3"/>
    <w:rsid w:val="009D2703"/>
    <w:rsid w:val="009D2767"/>
    <w:rsid w:val="009D27A6"/>
    <w:rsid w:val="009D280B"/>
    <w:rsid w:val="009D29A2"/>
    <w:rsid w:val="009D2A4F"/>
    <w:rsid w:val="009D2A97"/>
    <w:rsid w:val="009D2B0C"/>
    <w:rsid w:val="009D2C99"/>
    <w:rsid w:val="009D2CD7"/>
    <w:rsid w:val="009D2F80"/>
    <w:rsid w:val="009D30F5"/>
    <w:rsid w:val="009D3219"/>
    <w:rsid w:val="009D3261"/>
    <w:rsid w:val="009D336A"/>
    <w:rsid w:val="009D342F"/>
    <w:rsid w:val="009D385B"/>
    <w:rsid w:val="009D3976"/>
    <w:rsid w:val="009D39DD"/>
    <w:rsid w:val="009D3A2D"/>
    <w:rsid w:val="009D3A77"/>
    <w:rsid w:val="009D3C06"/>
    <w:rsid w:val="009D3C49"/>
    <w:rsid w:val="009D3D80"/>
    <w:rsid w:val="009D3E1D"/>
    <w:rsid w:val="009D3E3F"/>
    <w:rsid w:val="009D4426"/>
    <w:rsid w:val="009D458B"/>
    <w:rsid w:val="009D4762"/>
    <w:rsid w:val="009D477B"/>
    <w:rsid w:val="009D47F8"/>
    <w:rsid w:val="009D4926"/>
    <w:rsid w:val="009D4B18"/>
    <w:rsid w:val="009D4CEB"/>
    <w:rsid w:val="009D4CFD"/>
    <w:rsid w:val="009D4E86"/>
    <w:rsid w:val="009D4F85"/>
    <w:rsid w:val="009D5110"/>
    <w:rsid w:val="009D515A"/>
    <w:rsid w:val="009D5487"/>
    <w:rsid w:val="009D54AA"/>
    <w:rsid w:val="009D54C6"/>
    <w:rsid w:val="009D5521"/>
    <w:rsid w:val="009D57A0"/>
    <w:rsid w:val="009D57F8"/>
    <w:rsid w:val="009D58D9"/>
    <w:rsid w:val="009D5CB8"/>
    <w:rsid w:val="009D5EB5"/>
    <w:rsid w:val="009D63EA"/>
    <w:rsid w:val="009D6876"/>
    <w:rsid w:val="009D689B"/>
    <w:rsid w:val="009D6D9F"/>
    <w:rsid w:val="009D6FD6"/>
    <w:rsid w:val="009D6FE1"/>
    <w:rsid w:val="009D7160"/>
    <w:rsid w:val="009D73BE"/>
    <w:rsid w:val="009D73DF"/>
    <w:rsid w:val="009D7431"/>
    <w:rsid w:val="009D74C6"/>
    <w:rsid w:val="009D758A"/>
    <w:rsid w:val="009D77AB"/>
    <w:rsid w:val="009D77FF"/>
    <w:rsid w:val="009D78AA"/>
    <w:rsid w:val="009D78DA"/>
    <w:rsid w:val="009D7C0B"/>
    <w:rsid w:val="009D7DCD"/>
    <w:rsid w:val="009D7E67"/>
    <w:rsid w:val="009D7F87"/>
    <w:rsid w:val="009E01EA"/>
    <w:rsid w:val="009E0287"/>
    <w:rsid w:val="009E0335"/>
    <w:rsid w:val="009E0367"/>
    <w:rsid w:val="009E0712"/>
    <w:rsid w:val="009E082C"/>
    <w:rsid w:val="009E0967"/>
    <w:rsid w:val="009E09EB"/>
    <w:rsid w:val="009E0AE2"/>
    <w:rsid w:val="009E0B0D"/>
    <w:rsid w:val="009E0FAB"/>
    <w:rsid w:val="009E11F0"/>
    <w:rsid w:val="009E13B6"/>
    <w:rsid w:val="009E13C4"/>
    <w:rsid w:val="009E1731"/>
    <w:rsid w:val="009E173B"/>
    <w:rsid w:val="009E19D9"/>
    <w:rsid w:val="009E19F1"/>
    <w:rsid w:val="009E1A62"/>
    <w:rsid w:val="009E1AAB"/>
    <w:rsid w:val="009E1C28"/>
    <w:rsid w:val="009E1CB6"/>
    <w:rsid w:val="009E1D05"/>
    <w:rsid w:val="009E1D11"/>
    <w:rsid w:val="009E1D5D"/>
    <w:rsid w:val="009E1E34"/>
    <w:rsid w:val="009E1F13"/>
    <w:rsid w:val="009E211A"/>
    <w:rsid w:val="009E249C"/>
    <w:rsid w:val="009E25DD"/>
    <w:rsid w:val="009E25FD"/>
    <w:rsid w:val="009E2702"/>
    <w:rsid w:val="009E2759"/>
    <w:rsid w:val="009E2903"/>
    <w:rsid w:val="009E2A21"/>
    <w:rsid w:val="009E2A37"/>
    <w:rsid w:val="009E2AAE"/>
    <w:rsid w:val="009E2AE4"/>
    <w:rsid w:val="009E2CAF"/>
    <w:rsid w:val="009E305D"/>
    <w:rsid w:val="009E31FD"/>
    <w:rsid w:val="009E33EC"/>
    <w:rsid w:val="009E3544"/>
    <w:rsid w:val="009E3629"/>
    <w:rsid w:val="009E373F"/>
    <w:rsid w:val="009E386C"/>
    <w:rsid w:val="009E38A8"/>
    <w:rsid w:val="009E399D"/>
    <w:rsid w:val="009E39F9"/>
    <w:rsid w:val="009E3AD1"/>
    <w:rsid w:val="009E3B47"/>
    <w:rsid w:val="009E3BD9"/>
    <w:rsid w:val="009E3C1F"/>
    <w:rsid w:val="009E3D05"/>
    <w:rsid w:val="009E4633"/>
    <w:rsid w:val="009E4AB2"/>
    <w:rsid w:val="009E4BC3"/>
    <w:rsid w:val="009E4CFA"/>
    <w:rsid w:val="009E4DC8"/>
    <w:rsid w:val="009E4FD7"/>
    <w:rsid w:val="009E50C2"/>
    <w:rsid w:val="009E517C"/>
    <w:rsid w:val="009E51B7"/>
    <w:rsid w:val="009E5250"/>
    <w:rsid w:val="009E537E"/>
    <w:rsid w:val="009E54B4"/>
    <w:rsid w:val="009E5696"/>
    <w:rsid w:val="009E5722"/>
    <w:rsid w:val="009E5730"/>
    <w:rsid w:val="009E5894"/>
    <w:rsid w:val="009E5A01"/>
    <w:rsid w:val="009E5B8A"/>
    <w:rsid w:val="009E5BAB"/>
    <w:rsid w:val="009E5C73"/>
    <w:rsid w:val="009E6145"/>
    <w:rsid w:val="009E6459"/>
    <w:rsid w:val="009E648D"/>
    <w:rsid w:val="009E64DA"/>
    <w:rsid w:val="009E657A"/>
    <w:rsid w:val="009E65C1"/>
    <w:rsid w:val="009E670F"/>
    <w:rsid w:val="009E6899"/>
    <w:rsid w:val="009E6925"/>
    <w:rsid w:val="009E6933"/>
    <w:rsid w:val="009E69CD"/>
    <w:rsid w:val="009E6A2A"/>
    <w:rsid w:val="009E6F9D"/>
    <w:rsid w:val="009E713E"/>
    <w:rsid w:val="009E7205"/>
    <w:rsid w:val="009E7429"/>
    <w:rsid w:val="009E7767"/>
    <w:rsid w:val="009E788D"/>
    <w:rsid w:val="009E7958"/>
    <w:rsid w:val="009E798F"/>
    <w:rsid w:val="009E7A05"/>
    <w:rsid w:val="009E7B75"/>
    <w:rsid w:val="009E7C0B"/>
    <w:rsid w:val="009E7C0E"/>
    <w:rsid w:val="009F0095"/>
    <w:rsid w:val="009F0116"/>
    <w:rsid w:val="009F0151"/>
    <w:rsid w:val="009F0383"/>
    <w:rsid w:val="009F063D"/>
    <w:rsid w:val="009F0CE2"/>
    <w:rsid w:val="009F11B4"/>
    <w:rsid w:val="009F12F9"/>
    <w:rsid w:val="009F1752"/>
    <w:rsid w:val="009F1A1D"/>
    <w:rsid w:val="009F1B70"/>
    <w:rsid w:val="009F1CEB"/>
    <w:rsid w:val="009F1FD5"/>
    <w:rsid w:val="009F27AE"/>
    <w:rsid w:val="009F2921"/>
    <w:rsid w:val="009F2933"/>
    <w:rsid w:val="009F2A83"/>
    <w:rsid w:val="009F2C46"/>
    <w:rsid w:val="009F2DE7"/>
    <w:rsid w:val="009F2FF0"/>
    <w:rsid w:val="009F325E"/>
    <w:rsid w:val="009F3595"/>
    <w:rsid w:val="009F35B8"/>
    <w:rsid w:val="009F35BD"/>
    <w:rsid w:val="009F35C7"/>
    <w:rsid w:val="009F3962"/>
    <w:rsid w:val="009F3968"/>
    <w:rsid w:val="009F3CE7"/>
    <w:rsid w:val="009F3D3D"/>
    <w:rsid w:val="009F3F06"/>
    <w:rsid w:val="009F40AF"/>
    <w:rsid w:val="009F413D"/>
    <w:rsid w:val="009F4191"/>
    <w:rsid w:val="009F41F2"/>
    <w:rsid w:val="009F4249"/>
    <w:rsid w:val="009F4352"/>
    <w:rsid w:val="009F4516"/>
    <w:rsid w:val="009F4593"/>
    <w:rsid w:val="009F471F"/>
    <w:rsid w:val="009F481B"/>
    <w:rsid w:val="009F4950"/>
    <w:rsid w:val="009F4A6D"/>
    <w:rsid w:val="009F4AC5"/>
    <w:rsid w:val="009F4BE2"/>
    <w:rsid w:val="009F4F91"/>
    <w:rsid w:val="009F51E7"/>
    <w:rsid w:val="009F5220"/>
    <w:rsid w:val="009F52D6"/>
    <w:rsid w:val="009F52EF"/>
    <w:rsid w:val="009F559D"/>
    <w:rsid w:val="009F56CB"/>
    <w:rsid w:val="009F571B"/>
    <w:rsid w:val="009F5AB0"/>
    <w:rsid w:val="009F5D0E"/>
    <w:rsid w:val="009F5E53"/>
    <w:rsid w:val="009F5F21"/>
    <w:rsid w:val="009F5F92"/>
    <w:rsid w:val="009F640A"/>
    <w:rsid w:val="009F6586"/>
    <w:rsid w:val="009F663A"/>
    <w:rsid w:val="009F6677"/>
    <w:rsid w:val="009F676D"/>
    <w:rsid w:val="009F67E2"/>
    <w:rsid w:val="009F6D7F"/>
    <w:rsid w:val="009F6E6E"/>
    <w:rsid w:val="009F6E85"/>
    <w:rsid w:val="009F6EF8"/>
    <w:rsid w:val="009F6FB6"/>
    <w:rsid w:val="009F71F5"/>
    <w:rsid w:val="009F7548"/>
    <w:rsid w:val="009F778B"/>
    <w:rsid w:val="009F789A"/>
    <w:rsid w:val="009F79F6"/>
    <w:rsid w:val="009F7B08"/>
    <w:rsid w:val="009F7FB9"/>
    <w:rsid w:val="00A002DC"/>
    <w:rsid w:val="00A0030A"/>
    <w:rsid w:val="00A0041C"/>
    <w:rsid w:val="00A004C6"/>
    <w:rsid w:val="00A004E0"/>
    <w:rsid w:val="00A00552"/>
    <w:rsid w:val="00A00640"/>
    <w:rsid w:val="00A0074F"/>
    <w:rsid w:val="00A0076C"/>
    <w:rsid w:val="00A00904"/>
    <w:rsid w:val="00A0094F"/>
    <w:rsid w:val="00A00AAB"/>
    <w:rsid w:val="00A00BC6"/>
    <w:rsid w:val="00A00BDE"/>
    <w:rsid w:val="00A00D49"/>
    <w:rsid w:val="00A00E28"/>
    <w:rsid w:val="00A00F37"/>
    <w:rsid w:val="00A00FFA"/>
    <w:rsid w:val="00A01342"/>
    <w:rsid w:val="00A0141A"/>
    <w:rsid w:val="00A014CF"/>
    <w:rsid w:val="00A01561"/>
    <w:rsid w:val="00A01749"/>
    <w:rsid w:val="00A018CC"/>
    <w:rsid w:val="00A018D4"/>
    <w:rsid w:val="00A019B6"/>
    <w:rsid w:val="00A01C70"/>
    <w:rsid w:val="00A02037"/>
    <w:rsid w:val="00A02080"/>
    <w:rsid w:val="00A02105"/>
    <w:rsid w:val="00A02116"/>
    <w:rsid w:val="00A02198"/>
    <w:rsid w:val="00A022EC"/>
    <w:rsid w:val="00A02384"/>
    <w:rsid w:val="00A02552"/>
    <w:rsid w:val="00A02731"/>
    <w:rsid w:val="00A027D8"/>
    <w:rsid w:val="00A028E8"/>
    <w:rsid w:val="00A02948"/>
    <w:rsid w:val="00A02C1A"/>
    <w:rsid w:val="00A03184"/>
    <w:rsid w:val="00A03226"/>
    <w:rsid w:val="00A03442"/>
    <w:rsid w:val="00A035D1"/>
    <w:rsid w:val="00A035E0"/>
    <w:rsid w:val="00A036E8"/>
    <w:rsid w:val="00A038EE"/>
    <w:rsid w:val="00A03983"/>
    <w:rsid w:val="00A03A54"/>
    <w:rsid w:val="00A03B3C"/>
    <w:rsid w:val="00A03D56"/>
    <w:rsid w:val="00A0412F"/>
    <w:rsid w:val="00A04163"/>
    <w:rsid w:val="00A041EA"/>
    <w:rsid w:val="00A04310"/>
    <w:rsid w:val="00A0441F"/>
    <w:rsid w:val="00A0449C"/>
    <w:rsid w:val="00A045ED"/>
    <w:rsid w:val="00A0461D"/>
    <w:rsid w:val="00A04630"/>
    <w:rsid w:val="00A04733"/>
    <w:rsid w:val="00A04877"/>
    <w:rsid w:val="00A048A8"/>
    <w:rsid w:val="00A0498E"/>
    <w:rsid w:val="00A04A31"/>
    <w:rsid w:val="00A04BB6"/>
    <w:rsid w:val="00A04D58"/>
    <w:rsid w:val="00A04D68"/>
    <w:rsid w:val="00A04F41"/>
    <w:rsid w:val="00A05013"/>
    <w:rsid w:val="00A05096"/>
    <w:rsid w:val="00A050F9"/>
    <w:rsid w:val="00A0517A"/>
    <w:rsid w:val="00A05191"/>
    <w:rsid w:val="00A052B5"/>
    <w:rsid w:val="00A052CC"/>
    <w:rsid w:val="00A053AE"/>
    <w:rsid w:val="00A05713"/>
    <w:rsid w:val="00A05929"/>
    <w:rsid w:val="00A05AA0"/>
    <w:rsid w:val="00A05B7F"/>
    <w:rsid w:val="00A05E06"/>
    <w:rsid w:val="00A063BE"/>
    <w:rsid w:val="00A065EF"/>
    <w:rsid w:val="00A06663"/>
    <w:rsid w:val="00A067B8"/>
    <w:rsid w:val="00A06C8B"/>
    <w:rsid w:val="00A06D8E"/>
    <w:rsid w:val="00A06D90"/>
    <w:rsid w:val="00A06DC3"/>
    <w:rsid w:val="00A07261"/>
    <w:rsid w:val="00A07652"/>
    <w:rsid w:val="00A07731"/>
    <w:rsid w:val="00A100AD"/>
    <w:rsid w:val="00A1046D"/>
    <w:rsid w:val="00A10666"/>
    <w:rsid w:val="00A106AD"/>
    <w:rsid w:val="00A1077D"/>
    <w:rsid w:val="00A10AFC"/>
    <w:rsid w:val="00A10C3E"/>
    <w:rsid w:val="00A10CAA"/>
    <w:rsid w:val="00A10F4A"/>
    <w:rsid w:val="00A10F9A"/>
    <w:rsid w:val="00A11276"/>
    <w:rsid w:val="00A11546"/>
    <w:rsid w:val="00A116DD"/>
    <w:rsid w:val="00A118DB"/>
    <w:rsid w:val="00A11C4C"/>
    <w:rsid w:val="00A11D0D"/>
    <w:rsid w:val="00A11E03"/>
    <w:rsid w:val="00A120B3"/>
    <w:rsid w:val="00A12147"/>
    <w:rsid w:val="00A1281F"/>
    <w:rsid w:val="00A12A23"/>
    <w:rsid w:val="00A12C01"/>
    <w:rsid w:val="00A12E73"/>
    <w:rsid w:val="00A12F08"/>
    <w:rsid w:val="00A134A3"/>
    <w:rsid w:val="00A13D24"/>
    <w:rsid w:val="00A13F0E"/>
    <w:rsid w:val="00A13F86"/>
    <w:rsid w:val="00A14125"/>
    <w:rsid w:val="00A14424"/>
    <w:rsid w:val="00A14450"/>
    <w:rsid w:val="00A144C8"/>
    <w:rsid w:val="00A14538"/>
    <w:rsid w:val="00A145ED"/>
    <w:rsid w:val="00A14657"/>
    <w:rsid w:val="00A146A2"/>
    <w:rsid w:val="00A147D2"/>
    <w:rsid w:val="00A1485D"/>
    <w:rsid w:val="00A148AF"/>
    <w:rsid w:val="00A14989"/>
    <w:rsid w:val="00A14B4E"/>
    <w:rsid w:val="00A14BB6"/>
    <w:rsid w:val="00A14E9A"/>
    <w:rsid w:val="00A14EBF"/>
    <w:rsid w:val="00A14F5A"/>
    <w:rsid w:val="00A1526C"/>
    <w:rsid w:val="00A153B8"/>
    <w:rsid w:val="00A15482"/>
    <w:rsid w:val="00A1552D"/>
    <w:rsid w:val="00A15557"/>
    <w:rsid w:val="00A1570B"/>
    <w:rsid w:val="00A1584C"/>
    <w:rsid w:val="00A15947"/>
    <w:rsid w:val="00A15975"/>
    <w:rsid w:val="00A15DC7"/>
    <w:rsid w:val="00A15F0A"/>
    <w:rsid w:val="00A15F83"/>
    <w:rsid w:val="00A166B0"/>
    <w:rsid w:val="00A16876"/>
    <w:rsid w:val="00A16C56"/>
    <w:rsid w:val="00A16CA5"/>
    <w:rsid w:val="00A16CDF"/>
    <w:rsid w:val="00A16E83"/>
    <w:rsid w:val="00A16FCB"/>
    <w:rsid w:val="00A1724A"/>
    <w:rsid w:val="00A17349"/>
    <w:rsid w:val="00A17355"/>
    <w:rsid w:val="00A1744E"/>
    <w:rsid w:val="00A175C3"/>
    <w:rsid w:val="00A17A1B"/>
    <w:rsid w:val="00A17A5D"/>
    <w:rsid w:val="00A17B4A"/>
    <w:rsid w:val="00A20116"/>
    <w:rsid w:val="00A202C4"/>
    <w:rsid w:val="00A20391"/>
    <w:rsid w:val="00A203C8"/>
    <w:rsid w:val="00A204C8"/>
    <w:rsid w:val="00A206AD"/>
    <w:rsid w:val="00A2099B"/>
    <w:rsid w:val="00A20AC6"/>
    <w:rsid w:val="00A20B0B"/>
    <w:rsid w:val="00A20B21"/>
    <w:rsid w:val="00A20B27"/>
    <w:rsid w:val="00A20D06"/>
    <w:rsid w:val="00A20E7A"/>
    <w:rsid w:val="00A20F5E"/>
    <w:rsid w:val="00A20F7F"/>
    <w:rsid w:val="00A20F8E"/>
    <w:rsid w:val="00A21146"/>
    <w:rsid w:val="00A212E0"/>
    <w:rsid w:val="00A21304"/>
    <w:rsid w:val="00A21391"/>
    <w:rsid w:val="00A2147A"/>
    <w:rsid w:val="00A21664"/>
    <w:rsid w:val="00A2176C"/>
    <w:rsid w:val="00A218B6"/>
    <w:rsid w:val="00A21C0C"/>
    <w:rsid w:val="00A21F54"/>
    <w:rsid w:val="00A21F9B"/>
    <w:rsid w:val="00A2209D"/>
    <w:rsid w:val="00A225EC"/>
    <w:rsid w:val="00A22633"/>
    <w:rsid w:val="00A22645"/>
    <w:rsid w:val="00A22942"/>
    <w:rsid w:val="00A22B07"/>
    <w:rsid w:val="00A22C8C"/>
    <w:rsid w:val="00A22E80"/>
    <w:rsid w:val="00A22E9A"/>
    <w:rsid w:val="00A22ED0"/>
    <w:rsid w:val="00A22EF7"/>
    <w:rsid w:val="00A22F68"/>
    <w:rsid w:val="00A230E5"/>
    <w:rsid w:val="00A2334D"/>
    <w:rsid w:val="00A23607"/>
    <w:rsid w:val="00A2369E"/>
    <w:rsid w:val="00A237A0"/>
    <w:rsid w:val="00A23940"/>
    <w:rsid w:val="00A23962"/>
    <w:rsid w:val="00A23A72"/>
    <w:rsid w:val="00A23C07"/>
    <w:rsid w:val="00A23D2E"/>
    <w:rsid w:val="00A23D30"/>
    <w:rsid w:val="00A23D6E"/>
    <w:rsid w:val="00A23DB6"/>
    <w:rsid w:val="00A23DCD"/>
    <w:rsid w:val="00A240DA"/>
    <w:rsid w:val="00A2424C"/>
    <w:rsid w:val="00A24264"/>
    <w:rsid w:val="00A2435C"/>
    <w:rsid w:val="00A24663"/>
    <w:rsid w:val="00A24755"/>
    <w:rsid w:val="00A24782"/>
    <w:rsid w:val="00A24800"/>
    <w:rsid w:val="00A24AA8"/>
    <w:rsid w:val="00A24AC1"/>
    <w:rsid w:val="00A24B5C"/>
    <w:rsid w:val="00A24BF5"/>
    <w:rsid w:val="00A24F6F"/>
    <w:rsid w:val="00A25193"/>
    <w:rsid w:val="00A2533D"/>
    <w:rsid w:val="00A256FB"/>
    <w:rsid w:val="00A25731"/>
    <w:rsid w:val="00A2588E"/>
    <w:rsid w:val="00A25AE3"/>
    <w:rsid w:val="00A25B5D"/>
    <w:rsid w:val="00A25F28"/>
    <w:rsid w:val="00A25FBE"/>
    <w:rsid w:val="00A26083"/>
    <w:rsid w:val="00A260F2"/>
    <w:rsid w:val="00A26462"/>
    <w:rsid w:val="00A26811"/>
    <w:rsid w:val="00A2683B"/>
    <w:rsid w:val="00A26A83"/>
    <w:rsid w:val="00A26BD1"/>
    <w:rsid w:val="00A26E06"/>
    <w:rsid w:val="00A26F67"/>
    <w:rsid w:val="00A26F8C"/>
    <w:rsid w:val="00A27122"/>
    <w:rsid w:val="00A27266"/>
    <w:rsid w:val="00A27318"/>
    <w:rsid w:val="00A2755E"/>
    <w:rsid w:val="00A27591"/>
    <w:rsid w:val="00A2761F"/>
    <w:rsid w:val="00A27641"/>
    <w:rsid w:val="00A27838"/>
    <w:rsid w:val="00A27857"/>
    <w:rsid w:val="00A27A15"/>
    <w:rsid w:val="00A27A4E"/>
    <w:rsid w:val="00A27A5C"/>
    <w:rsid w:val="00A27B8F"/>
    <w:rsid w:val="00A27CE3"/>
    <w:rsid w:val="00A27D34"/>
    <w:rsid w:val="00A27D75"/>
    <w:rsid w:val="00A27F77"/>
    <w:rsid w:val="00A2CAB0"/>
    <w:rsid w:val="00A3046E"/>
    <w:rsid w:val="00A30537"/>
    <w:rsid w:val="00A30965"/>
    <w:rsid w:val="00A313EF"/>
    <w:rsid w:val="00A31607"/>
    <w:rsid w:val="00A316ED"/>
    <w:rsid w:val="00A31A20"/>
    <w:rsid w:val="00A31B43"/>
    <w:rsid w:val="00A31BD1"/>
    <w:rsid w:val="00A31C82"/>
    <w:rsid w:val="00A3215B"/>
    <w:rsid w:val="00A3216E"/>
    <w:rsid w:val="00A32194"/>
    <w:rsid w:val="00A32217"/>
    <w:rsid w:val="00A32320"/>
    <w:rsid w:val="00A3236F"/>
    <w:rsid w:val="00A32461"/>
    <w:rsid w:val="00A32525"/>
    <w:rsid w:val="00A325E2"/>
    <w:rsid w:val="00A32656"/>
    <w:rsid w:val="00A331AA"/>
    <w:rsid w:val="00A3326D"/>
    <w:rsid w:val="00A332A9"/>
    <w:rsid w:val="00A3335C"/>
    <w:rsid w:val="00A3338D"/>
    <w:rsid w:val="00A3346B"/>
    <w:rsid w:val="00A33539"/>
    <w:rsid w:val="00A3361B"/>
    <w:rsid w:val="00A3367C"/>
    <w:rsid w:val="00A338DE"/>
    <w:rsid w:val="00A339A0"/>
    <w:rsid w:val="00A339D4"/>
    <w:rsid w:val="00A33A49"/>
    <w:rsid w:val="00A33ACB"/>
    <w:rsid w:val="00A33DAA"/>
    <w:rsid w:val="00A341E3"/>
    <w:rsid w:val="00A342B1"/>
    <w:rsid w:val="00A342F0"/>
    <w:rsid w:val="00A34523"/>
    <w:rsid w:val="00A345C6"/>
    <w:rsid w:val="00A34812"/>
    <w:rsid w:val="00A3495B"/>
    <w:rsid w:val="00A34B4A"/>
    <w:rsid w:val="00A34C5A"/>
    <w:rsid w:val="00A34E31"/>
    <w:rsid w:val="00A3512D"/>
    <w:rsid w:val="00A353CD"/>
    <w:rsid w:val="00A35422"/>
    <w:rsid w:val="00A358ED"/>
    <w:rsid w:val="00A35AE6"/>
    <w:rsid w:val="00A35BB3"/>
    <w:rsid w:val="00A35C37"/>
    <w:rsid w:val="00A3603D"/>
    <w:rsid w:val="00A3612B"/>
    <w:rsid w:val="00A361AE"/>
    <w:rsid w:val="00A36250"/>
    <w:rsid w:val="00A3626A"/>
    <w:rsid w:val="00A363B8"/>
    <w:rsid w:val="00A36412"/>
    <w:rsid w:val="00A36642"/>
    <w:rsid w:val="00A3665F"/>
    <w:rsid w:val="00A3689F"/>
    <w:rsid w:val="00A36AB1"/>
    <w:rsid w:val="00A36AD3"/>
    <w:rsid w:val="00A36B83"/>
    <w:rsid w:val="00A36C6D"/>
    <w:rsid w:val="00A36C73"/>
    <w:rsid w:val="00A36DB9"/>
    <w:rsid w:val="00A36F0A"/>
    <w:rsid w:val="00A36F42"/>
    <w:rsid w:val="00A3708A"/>
    <w:rsid w:val="00A37091"/>
    <w:rsid w:val="00A37194"/>
    <w:rsid w:val="00A371EB"/>
    <w:rsid w:val="00A37533"/>
    <w:rsid w:val="00A379AB"/>
    <w:rsid w:val="00A37B7F"/>
    <w:rsid w:val="00A37C89"/>
    <w:rsid w:val="00A37D62"/>
    <w:rsid w:val="00A37E93"/>
    <w:rsid w:val="00A38BC0"/>
    <w:rsid w:val="00A40029"/>
    <w:rsid w:val="00A40451"/>
    <w:rsid w:val="00A406A8"/>
    <w:rsid w:val="00A40776"/>
    <w:rsid w:val="00A408B8"/>
    <w:rsid w:val="00A408DF"/>
    <w:rsid w:val="00A40957"/>
    <w:rsid w:val="00A40BDA"/>
    <w:rsid w:val="00A40D6E"/>
    <w:rsid w:val="00A40E02"/>
    <w:rsid w:val="00A41274"/>
    <w:rsid w:val="00A413B3"/>
    <w:rsid w:val="00A4143C"/>
    <w:rsid w:val="00A4175C"/>
    <w:rsid w:val="00A41863"/>
    <w:rsid w:val="00A41AE3"/>
    <w:rsid w:val="00A41B12"/>
    <w:rsid w:val="00A41CC3"/>
    <w:rsid w:val="00A41D0A"/>
    <w:rsid w:val="00A4201B"/>
    <w:rsid w:val="00A422AF"/>
    <w:rsid w:val="00A42533"/>
    <w:rsid w:val="00A425A4"/>
    <w:rsid w:val="00A42628"/>
    <w:rsid w:val="00A42688"/>
    <w:rsid w:val="00A4277F"/>
    <w:rsid w:val="00A427D2"/>
    <w:rsid w:val="00A428A2"/>
    <w:rsid w:val="00A428EE"/>
    <w:rsid w:val="00A42930"/>
    <w:rsid w:val="00A42B80"/>
    <w:rsid w:val="00A42BFE"/>
    <w:rsid w:val="00A42C27"/>
    <w:rsid w:val="00A42D38"/>
    <w:rsid w:val="00A42DCD"/>
    <w:rsid w:val="00A42F0C"/>
    <w:rsid w:val="00A43002"/>
    <w:rsid w:val="00A430AB"/>
    <w:rsid w:val="00A43164"/>
    <w:rsid w:val="00A4316F"/>
    <w:rsid w:val="00A431F0"/>
    <w:rsid w:val="00A435AA"/>
    <w:rsid w:val="00A435B3"/>
    <w:rsid w:val="00A43928"/>
    <w:rsid w:val="00A4395F"/>
    <w:rsid w:val="00A43961"/>
    <w:rsid w:val="00A439AC"/>
    <w:rsid w:val="00A43A1F"/>
    <w:rsid w:val="00A43A21"/>
    <w:rsid w:val="00A43A68"/>
    <w:rsid w:val="00A43A76"/>
    <w:rsid w:val="00A43BED"/>
    <w:rsid w:val="00A43CC8"/>
    <w:rsid w:val="00A43D23"/>
    <w:rsid w:val="00A43FE6"/>
    <w:rsid w:val="00A44017"/>
    <w:rsid w:val="00A440EF"/>
    <w:rsid w:val="00A440FC"/>
    <w:rsid w:val="00A4464D"/>
    <w:rsid w:val="00A4480B"/>
    <w:rsid w:val="00A44966"/>
    <w:rsid w:val="00A449DB"/>
    <w:rsid w:val="00A44C28"/>
    <w:rsid w:val="00A44E45"/>
    <w:rsid w:val="00A44F87"/>
    <w:rsid w:val="00A450C9"/>
    <w:rsid w:val="00A4517D"/>
    <w:rsid w:val="00A45225"/>
    <w:rsid w:val="00A45368"/>
    <w:rsid w:val="00A45AC9"/>
    <w:rsid w:val="00A45B85"/>
    <w:rsid w:val="00A45C6C"/>
    <w:rsid w:val="00A45D6C"/>
    <w:rsid w:val="00A45EC4"/>
    <w:rsid w:val="00A45F61"/>
    <w:rsid w:val="00A45FF3"/>
    <w:rsid w:val="00A45FFD"/>
    <w:rsid w:val="00A46559"/>
    <w:rsid w:val="00A466EC"/>
    <w:rsid w:val="00A46D95"/>
    <w:rsid w:val="00A46F92"/>
    <w:rsid w:val="00A47031"/>
    <w:rsid w:val="00A4739B"/>
    <w:rsid w:val="00A473FC"/>
    <w:rsid w:val="00A4742D"/>
    <w:rsid w:val="00A47571"/>
    <w:rsid w:val="00A4761A"/>
    <w:rsid w:val="00A4768C"/>
    <w:rsid w:val="00A47690"/>
    <w:rsid w:val="00A47C6C"/>
    <w:rsid w:val="00A47D4F"/>
    <w:rsid w:val="00A500EA"/>
    <w:rsid w:val="00A50208"/>
    <w:rsid w:val="00A5023E"/>
    <w:rsid w:val="00A502B1"/>
    <w:rsid w:val="00A50301"/>
    <w:rsid w:val="00A504F5"/>
    <w:rsid w:val="00A50698"/>
    <w:rsid w:val="00A50713"/>
    <w:rsid w:val="00A50977"/>
    <w:rsid w:val="00A50BBF"/>
    <w:rsid w:val="00A50D05"/>
    <w:rsid w:val="00A50E19"/>
    <w:rsid w:val="00A51061"/>
    <w:rsid w:val="00A51432"/>
    <w:rsid w:val="00A51460"/>
    <w:rsid w:val="00A517F7"/>
    <w:rsid w:val="00A5184F"/>
    <w:rsid w:val="00A518CF"/>
    <w:rsid w:val="00A518EF"/>
    <w:rsid w:val="00A519F3"/>
    <w:rsid w:val="00A51A65"/>
    <w:rsid w:val="00A51AE9"/>
    <w:rsid w:val="00A51BD2"/>
    <w:rsid w:val="00A51D1F"/>
    <w:rsid w:val="00A51E14"/>
    <w:rsid w:val="00A51EBB"/>
    <w:rsid w:val="00A51FB4"/>
    <w:rsid w:val="00A5208B"/>
    <w:rsid w:val="00A523E4"/>
    <w:rsid w:val="00A524BB"/>
    <w:rsid w:val="00A525D4"/>
    <w:rsid w:val="00A527A9"/>
    <w:rsid w:val="00A52863"/>
    <w:rsid w:val="00A528D5"/>
    <w:rsid w:val="00A53222"/>
    <w:rsid w:val="00A538D7"/>
    <w:rsid w:val="00A53A67"/>
    <w:rsid w:val="00A53A99"/>
    <w:rsid w:val="00A53C6D"/>
    <w:rsid w:val="00A53CF3"/>
    <w:rsid w:val="00A53DE8"/>
    <w:rsid w:val="00A54049"/>
    <w:rsid w:val="00A541C8"/>
    <w:rsid w:val="00A542B3"/>
    <w:rsid w:val="00A54731"/>
    <w:rsid w:val="00A54A09"/>
    <w:rsid w:val="00A54A9A"/>
    <w:rsid w:val="00A54B51"/>
    <w:rsid w:val="00A54C04"/>
    <w:rsid w:val="00A54CA4"/>
    <w:rsid w:val="00A54D0E"/>
    <w:rsid w:val="00A54D8F"/>
    <w:rsid w:val="00A54D99"/>
    <w:rsid w:val="00A54DD1"/>
    <w:rsid w:val="00A54E74"/>
    <w:rsid w:val="00A55107"/>
    <w:rsid w:val="00A55157"/>
    <w:rsid w:val="00A556E5"/>
    <w:rsid w:val="00A55836"/>
    <w:rsid w:val="00A559BE"/>
    <w:rsid w:val="00A55AF1"/>
    <w:rsid w:val="00A55C16"/>
    <w:rsid w:val="00A55D79"/>
    <w:rsid w:val="00A55D9F"/>
    <w:rsid w:val="00A55F56"/>
    <w:rsid w:val="00A561E5"/>
    <w:rsid w:val="00A563F3"/>
    <w:rsid w:val="00A56499"/>
    <w:rsid w:val="00A565C3"/>
    <w:rsid w:val="00A5686C"/>
    <w:rsid w:val="00A5686F"/>
    <w:rsid w:val="00A56A48"/>
    <w:rsid w:val="00A56CFD"/>
    <w:rsid w:val="00A56D44"/>
    <w:rsid w:val="00A56DA0"/>
    <w:rsid w:val="00A56F06"/>
    <w:rsid w:val="00A56F2E"/>
    <w:rsid w:val="00A56FC0"/>
    <w:rsid w:val="00A56FF9"/>
    <w:rsid w:val="00A5711F"/>
    <w:rsid w:val="00A57127"/>
    <w:rsid w:val="00A572A3"/>
    <w:rsid w:val="00A572D1"/>
    <w:rsid w:val="00A5734E"/>
    <w:rsid w:val="00A5744F"/>
    <w:rsid w:val="00A574C0"/>
    <w:rsid w:val="00A57528"/>
    <w:rsid w:val="00A57562"/>
    <w:rsid w:val="00A575D2"/>
    <w:rsid w:val="00A577D9"/>
    <w:rsid w:val="00A57897"/>
    <w:rsid w:val="00A579E2"/>
    <w:rsid w:val="00A57B3F"/>
    <w:rsid w:val="00A57CC9"/>
    <w:rsid w:val="00A57D2D"/>
    <w:rsid w:val="00A57D69"/>
    <w:rsid w:val="00A57EB2"/>
    <w:rsid w:val="00A57F28"/>
    <w:rsid w:val="00A60201"/>
    <w:rsid w:val="00A60331"/>
    <w:rsid w:val="00A603BD"/>
    <w:rsid w:val="00A6050D"/>
    <w:rsid w:val="00A6061D"/>
    <w:rsid w:val="00A60664"/>
    <w:rsid w:val="00A608F0"/>
    <w:rsid w:val="00A60ADA"/>
    <w:rsid w:val="00A60C1A"/>
    <w:rsid w:val="00A611AE"/>
    <w:rsid w:val="00A611BE"/>
    <w:rsid w:val="00A61233"/>
    <w:rsid w:val="00A614E3"/>
    <w:rsid w:val="00A615FA"/>
    <w:rsid w:val="00A617BE"/>
    <w:rsid w:val="00A618B5"/>
    <w:rsid w:val="00A61A4B"/>
    <w:rsid w:val="00A61AF3"/>
    <w:rsid w:val="00A61B59"/>
    <w:rsid w:val="00A61BED"/>
    <w:rsid w:val="00A61C78"/>
    <w:rsid w:val="00A61CD0"/>
    <w:rsid w:val="00A61D60"/>
    <w:rsid w:val="00A61EAC"/>
    <w:rsid w:val="00A62088"/>
    <w:rsid w:val="00A62107"/>
    <w:rsid w:val="00A621C6"/>
    <w:rsid w:val="00A62546"/>
    <w:rsid w:val="00A625F1"/>
    <w:rsid w:val="00A62A1E"/>
    <w:rsid w:val="00A62AF6"/>
    <w:rsid w:val="00A62B09"/>
    <w:rsid w:val="00A62B28"/>
    <w:rsid w:val="00A62B54"/>
    <w:rsid w:val="00A62EA9"/>
    <w:rsid w:val="00A6320F"/>
    <w:rsid w:val="00A6326F"/>
    <w:rsid w:val="00A63353"/>
    <w:rsid w:val="00A6355B"/>
    <w:rsid w:val="00A63574"/>
    <w:rsid w:val="00A635DC"/>
    <w:rsid w:val="00A63B3B"/>
    <w:rsid w:val="00A63C75"/>
    <w:rsid w:val="00A63D21"/>
    <w:rsid w:val="00A63D6E"/>
    <w:rsid w:val="00A63F99"/>
    <w:rsid w:val="00A63FC1"/>
    <w:rsid w:val="00A64343"/>
    <w:rsid w:val="00A6442E"/>
    <w:rsid w:val="00A6450E"/>
    <w:rsid w:val="00A646B8"/>
    <w:rsid w:val="00A646E7"/>
    <w:rsid w:val="00A647B5"/>
    <w:rsid w:val="00A647D9"/>
    <w:rsid w:val="00A6482F"/>
    <w:rsid w:val="00A64910"/>
    <w:rsid w:val="00A64A24"/>
    <w:rsid w:val="00A64C6C"/>
    <w:rsid w:val="00A64CAD"/>
    <w:rsid w:val="00A64E27"/>
    <w:rsid w:val="00A64E43"/>
    <w:rsid w:val="00A64F1D"/>
    <w:rsid w:val="00A64F2A"/>
    <w:rsid w:val="00A65166"/>
    <w:rsid w:val="00A6524D"/>
    <w:rsid w:val="00A652C5"/>
    <w:rsid w:val="00A65374"/>
    <w:rsid w:val="00A6539D"/>
    <w:rsid w:val="00A655A6"/>
    <w:rsid w:val="00A65649"/>
    <w:rsid w:val="00A65829"/>
    <w:rsid w:val="00A659DB"/>
    <w:rsid w:val="00A65C78"/>
    <w:rsid w:val="00A65C8B"/>
    <w:rsid w:val="00A65CDF"/>
    <w:rsid w:val="00A65DDB"/>
    <w:rsid w:val="00A65E56"/>
    <w:rsid w:val="00A660D2"/>
    <w:rsid w:val="00A6613D"/>
    <w:rsid w:val="00A6682D"/>
    <w:rsid w:val="00A66DBA"/>
    <w:rsid w:val="00A66DEC"/>
    <w:rsid w:val="00A66F0B"/>
    <w:rsid w:val="00A66F63"/>
    <w:rsid w:val="00A66FC7"/>
    <w:rsid w:val="00A6702F"/>
    <w:rsid w:val="00A6712F"/>
    <w:rsid w:val="00A6713C"/>
    <w:rsid w:val="00A67188"/>
    <w:rsid w:val="00A67342"/>
    <w:rsid w:val="00A67A4A"/>
    <w:rsid w:val="00A67A7F"/>
    <w:rsid w:val="00A67A8A"/>
    <w:rsid w:val="00A67AA9"/>
    <w:rsid w:val="00A67D9E"/>
    <w:rsid w:val="00A67FB9"/>
    <w:rsid w:val="00A7009A"/>
    <w:rsid w:val="00A7015D"/>
    <w:rsid w:val="00A70161"/>
    <w:rsid w:val="00A70181"/>
    <w:rsid w:val="00A702C4"/>
    <w:rsid w:val="00A70460"/>
    <w:rsid w:val="00A705A2"/>
    <w:rsid w:val="00A70939"/>
    <w:rsid w:val="00A7093B"/>
    <w:rsid w:val="00A709A3"/>
    <w:rsid w:val="00A70C5A"/>
    <w:rsid w:val="00A70D3B"/>
    <w:rsid w:val="00A70D50"/>
    <w:rsid w:val="00A70D72"/>
    <w:rsid w:val="00A70F7B"/>
    <w:rsid w:val="00A70FBC"/>
    <w:rsid w:val="00A7143B"/>
    <w:rsid w:val="00A71447"/>
    <w:rsid w:val="00A719C7"/>
    <w:rsid w:val="00A719D1"/>
    <w:rsid w:val="00A71B91"/>
    <w:rsid w:val="00A71DCC"/>
    <w:rsid w:val="00A721B7"/>
    <w:rsid w:val="00A722A2"/>
    <w:rsid w:val="00A72470"/>
    <w:rsid w:val="00A724B9"/>
    <w:rsid w:val="00A72A64"/>
    <w:rsid w:val="00A72BF7"/>
    <w:rsid w:val="00A72C8F"/>
    <w:rsid w:val="00A72CC0"/>
    <w:rsid w:val="00A72E9F"/>
    <w:rsid w:val="00A7322E"/>
    <w:rsid w:val="00A732E4"/>
    <w:rsid w:val="00A73382"/>
    <w:rsid w:val="00A735D2"/>
    <w:rsid w:val="00A737C8"/>
    <w:rsid w:val="00A73872"/>
    <w:rsid w:val="00A7398F"/>
    <w:rsid w:val="00A739CB"/>
    <w:rsid w:val="00A73A9F"/>
    <w:rsid w:val="00A73BEF"/>
    <w:rsid w:val="00A73D83"/>
    <w:rsid w:val="00A73E9E"/>
    <w:rsid w:val="00A741A8"/>
    <w:rsid w:val="00A74200"/>
    <w:rsid w:val="00A745A5"/>
    <w:rsid w:val="00A7470F"/>
    <w:rsid w:val="00A748CB"/>
    <w:rsid w:val="00A7496F"/>
    <w:rsid w:val="00A74E1F"/>
    <w:rsid w:val="00A74FD3"/>
    <w:rsid w:val="00A75052"/>
    <w:rsid w:val="00A751E1"/>
    <w:rsid w:val="00A75448"/>
    <w:rsid w:val="00A75485"/>
    <w:rsid w:val="00A755C1"/>
    <w:rsid w:val="00A755FB"/>
    <w:rsid w:val="00A7566D"/>
    <w:rsid w:val="00A7570F"/>
    <w:rsid w:val="00A75737"/>
    <w:rsid w:val="00A757CF"/>
    <w:rsid w:val="00A75856"/>
    <w:rsid w:val="00A75976"/>
    <w:rsid w:val="00A75ABE"/>
    <w:rsid w:val="00A75CB3"/>
    <w:rsid w:val="00A75D09"/>
    <w:rsid w:val="00A75E46"/>
    <w:rsid w:val="00A75E54"/>
    <w:rsid w:val="00A7613D"/>
    <w:rsid w:val="00A76169"/>
    <w:rsid w:val="00A7628F"/>
    <w:rsid w:val="00A76459"/>
    <w:rsid w:val="00A76723"/>
    <w:rsid w:val="00A76B39"/>
    <w:rsid w:val="00A76B41"/>
    <w:rsid w:val="00A76B6F"/>
    <w:rsid w:val="00A76B88"/>
    <w:rsid w:val="00A76BA6"/>
    <w:rsid w:val="00A76D09"/>
    <w:rsid w:val="00A76DF2"/>
    <w:rsid w:val="00A76FC1"/>
    <w:rsid w:val="00A77782"/>
    <w:rsid w:val="00A77A67"/>
    <w:rsid w:val="00A77B41"/>
    <w:rsid w:val="00A77BB7"/>
    <w:rsid w:val="00A77C06"/>
    <w:rsid w:val="00A77C53"/>
    <w:rsid w:val="00A77C78"/>
    <w:rsid w:val="00A77D13"/>
    <w:rsid w:val="00A77D64"/>
    <w:rsid w:val="00A77DC7"/>
    <w:rsid w:val="00A77EF6"/>
    <w:rsid w:val="00A77FF3"/>
    <w:rsid w:val="00A7B2FA"/>
    <w:rsid w:val="00A8015C"/>
    <w:rsid w:val="00A801F4"/>
    <w:rsid w:val="00A80234"/>
    <w:rsid w:val="00A80273"/>
    <w:rsid w:val="00A803FD"/>
    <w:rsid w:val="00A80587"/>
    <w:rsid w:val="00A80602"/>
    <w:rsid w:val="00A8081D"/>
    <w:rsid w:val="00A80A81"/>
    <w:rsid w:val="00A80D9E"/>
    <w:rsid w:val="00A81040"/>
    <w:rsid w:val="00A810B6"/>
    <w:rsid w:val="00A810BE"/>
    <w:rsid w:val="00A8112F"/>
    <w:rsid w:val="00A8129C"/>
    <w:rsid w:val="00A81487"/>
    <w:rsid w:val="00A8158A"/>
    <w:rsid w:val="00A8182E"/>
    <w:rsid w:val="00A8185C"/>
    <w:rsid w:val="00A81ADA"/>
    <w:rsid w:val="00A81D66"/>
    <w:rsid w:val="00A81FEC"/>
    <w:rsid w:val="00A81FFE"/>
    <w:rsid w:val="00A823AC"/>
    <w:rsid w:val="00A823DC"/>
    <w:rsid w:val="00A82553"/>
    <w:rsid w:val="00A825BA"/>
    <w:rsid w:val="00A82704"/>
    <w:rsid w:val="00A82D28"/>
    <w:rsid w:val="00A82E42"/>
    <w:rsid w:val="00A83019"/>
    <w:rsid w:val="00A8307C"/>
    <w:rsid w:val="00A83133"/>
    <w:rsid w:val="00A83222"/>
    <w:rsid w:val="00A83232"/>
    <w:rsid w:val="00A833CA"/>
    <w:rsid w:val="00A83597"/>
    <w:rsid w:val="00A836AC"/>
    <w:rsid w:val="00A83817"/>
    <w:rsid w:val="00A83A87"/>
    <w:rsid w:val="00A83B39"/>
    <w:rsid w:val="00A83FEB"/>
    <w:rsid w:val="00A841D6"/>
    <w:rsid w:val="00A84203"/>
    <w:rsid w:val="00A843B4"/>
    <w:rsid w:val="00A84490"/>
    <w:rsid w:val="00A845C7"/>
    <w:rsid w:val="00A84641"/>
    <w:rsid w:val="00A8480D"/>
    <w:rsid w:val="00A8489D"/>
    <w:rsid w:val="00A8495A"/>
    <w:rsid w:val="00A84D00"/>
    <w:rsid w:val="00A84F05"/>
    <w:rsid w:val="00A8511C"/>
    <w:rsid w:val="00A85167"/>
    <w:rsid w:val="00A85196"/>
    <w:rsid w:val="00A8549C"/>
    <w:rsid w:val="00A854C2"/>
    <w:rsid w:val="00A85738"/>
    <w:rsid w:val="00A8583B"/>
    <w:rsid w:val="00A85927"/>
    <w:rsid w:val="00A859F9"/>
    <w:rsid w:val="00A85B05"/>
    <w:rsid w:val="00A85B44"/>
    <w:rsid w:val="00A85FD9"/>
    <w:rsid w:val="00A8605A"/>
    <w:rsid w:val="00A86146"/>
    <w:rsid w:val="00A8625B"/>
    <w:rsid w:val="00A862F2"/>
    <w:rsid w:val="00A86423"/>
    <w:rsid w:val="00A8644F"/>
    <w:rsid w:val="00A8658B"/>
    <w:rsid w:val="00A86660"/>
    <w:rsid w:val="00A867B9"/>
    <w:rsid w:val="00A86984"/>
    <w:rsid w:val="00A86A61"/>
    <w:rsid w:val="00A86B29"/>
    <w:rsid w:val="00A86B40"/>
    <w:rsid w:val="00A86B50"/>
    <w:rsid w:val="00A86BCA"/>
    <w:rsid w:val="00A8705B"/>
    <w:rsid w:val="00A8710D"/>
    <w:rsid w:val="00A87535"/>
    <w:rsid w:val="00A87545"/>
    <w:rsid w:val="00A87711"/>
    <w:rsid w:val="00A877DE"/>
    <w:rsid w:val="00A87874"/>
    <w:rsid w:val="00A87946"/>
    <w:rsid w:val="00A8798D"/>
    <w:rsid w:val="00A87C09"/>
    <w:rsid w:val="00A87D82"/>
    <w:rsid w:val="00A87EB2"/>
    <w:rsid w:val="00A87F94"/>
    <w:rsid w:val="00A9009F"/>
    <w:rsid w:val="00A9019B"/>
    <w:rsid w:val="00A9025A"/>
    <w:rsid w:val="00A90BF5"/>
    <w:rsid w:val="00A90F33"/>
    <w:rsid w:val="00A90F88"/>
    <w:rsid w:val="00A90F8D"/>
    <w:rsid w:val="00A90FED"/>
    <w:rsid w:val="00A91140"/>
    <w:rsid w:val="00A91446"/>
    <w:rsid w:val="00A916FB"/>
    <w:rsid w:val="00A919AA"/>
    <w:rsid w:val="00A91C48"/>
    <w:rsid w:val="00A91E33"/>
    <w:rsid w:val="00A91EDF"/>
    <w:rsid w:val="00A91F48"/>
    <w:rsid w:val="00A91F6A"/>
    <w:rsid w:val="00A91F93"/>
    <w:rsid w:val="00A92022"/>
    <w:rsid w:val="00A921D8"/>
    <w:rsid w:val="00A924A0"/>
    <w:rsid w:val="00A924FC"/>
    <w:rsid w:val="00A925BB"/>
    <w:rsid w:val="00A9266A"/>
    <w:rsid w:val="00A92827"/>
    <w:rsid w:val="00A92883"/>
    <w:rsid w:val="00A92C48"/>
    <w:rsid w:val="00A92EB6"/>
    <w:rsid w:val="00A92F1C"/>
    <w:rsid w:val="00A92FF8"/>
    <w:rsid w:val="00A931C4"/>
    <w:rsid w:val="00A931ED"/>
    <w:rsid w:val="00A935E2"/>
    <w:rsid w:val="00A938A7"/>
    <w:rsid w:val="00A939D4"/>
    <w:rsid w:val="00A93BB4"/>
    <w:rsid w:val="00A941AF"/>
    <w:rsid w:val="00A941C8"/>
    <w:rsid w:val="00A9429A"/>
    <w:rsid w:val="00A942E4"/>
    <w:rsid w:val="00A94334"/>
    <w:rsid w:val="00A94339"/>
    <w:rsid w:val="00A943CD"/>
    <w:rsid w:val="00A9458D"/>
    <w:rsid w:val="00A94D6D"/>
    <w:rsid w:val="00A94F79"/>
    <w:rsid w:val="00A94FA8"/>
    <w:rsid w:val="00A94FE9"/>
    <w:rsid w:val="00A9527C"/>
    <w:rsid w:val="00A952E1"/>
    <w:rsid w:val="00A954C9"/>
    <w:rsid w:val="00A954F4"/>
    <w:rsid w:val="00A95570"/>
    <w:rsid w:val="00A95701"/>
    <w:rsid w:val="00A9572B"/>
    <w:rsid w:val="00A95856"/>
    <w:rsid w:val="00A9589E"/>
    <w:rsid w:val="00A95B2B"/>
    <w:rsid w:val="00A95B98"/>
    <w:rsid w:val="00A95C79"/>
    <w:rsid w:val="00A95CDD"/>
    <w:rsid w:val="00A95D01"/>
    <w:rsid w:val="00A95E53"/>
    <w:rsid w:val="00A962FA"/>
    <w:rsid w:val="00A96525"/>
    <w:rsid w:val="00A9666A"/>
    <w:rsid w:val="00A967DC"/>
    <w:rsid w:val="00A969A3"/>
    <w:rsid w:val="00A969A9"/>
    <w:rsid w:val="00A96C86"/>
    <w:rsid w:val="00A96FEE"/>
    <w:rsid w:val="00A9707D"/>
    <w:rsid w:val="00A973D4"/>
    <w:rsid w:val="00A978CA"/>
    <w:rsid w:val="00A97903"/>
    <w:rsid w:val="00A97916"/>
    <w:rsid w:val="00A979BE"/>
    <w:rsid w:val="00A97B0C"/>
    <w:rsid w:val="00A97B5D"/>
    <w:rsid w:val="00A97CA2"/>
    <w:rsid w:val="00A97DE2"/>
    <w:rsid w:val="00A97F45"/>
    <w:rsid w:val="00A97F52"/>
    <w:rsid w:val="00AA0157"/>
    <w:rsid w:val="00AA0465"/>
    <w:rsid w:val="00AA077B"/>
    <w:rsid w:val="00AA09FE"/>
    <w:rsid w:val="00AA0B1D"/>
    <w:rsid w:val="00AA0B5C"/>
    <w:rsid w:val="00AA0CCE"/>
    <w:rsid w:val="00AA0F59"/>
    <w:rsid w:val="00AA1022"/>
    <w:rsid w:val="00AA10AF"/>
    <w:rsid w:val="00AA10D0"/>
    <w:rsid w:val="00AA1236"/>
    <w:rsid w:val="00AA1489"/>
    <w:rsid w:val="00AA1498"/>
    <w:rsid w:val="00AA1649"/>
    <w:rsid w:val="00AA1690"/>
    <w:rsid w:val="00AA1799"/>
    <w:rsid w:val="00AA1927"/>
    <w:rsid w:val="00AA1946"/>
    <w:rsid w:val="00AA1AB8"/>
    <w:rsid w:val="00AA1B0E"/>
    <w:rsid w:val="00AA1C2B"/>
    <w:rsid w:val="00AA1E87"/>
    <w:rsid w:val="00AA1EB1"/>
    <w:rsid w:val="00AA1F4A"/>
    <w:rsid w:val="00AA202C"/>
    <w:rsid w:val="00AA22A5"/>
    <w:rsid w:val="00AA2591"/>
    <w:rsid w:val="00AA25DD"/>
    <w:rsid w:val="00AA2658"/>
    <w:rsid w:val="00AA26A1"/>
    <w:rsid w:val="00AA2809"/>
    <w:rsid w:val="00AA282E"/>
    <w:rsid w:val="00AA2B61"/>
    <w:rsid w:val="00AA2CDE"/>
    <w:rsid w:val="00AA3049"/>
    <w:rsid w:val="00AA30E0"/>
    <w:rsid w:val="00AA348A"/>
    <w:rsid w:val="00AA3540"/>
    <w:rsid w:val="00AA3654"/>
    <w:rsid w:val="00AA3733"/>
    <w:rsid w:val="00AA399D"/>
    <w:rsid w:val="00AA3CA3"/>
    <w:rsid w:val="00AA3E8C"/>
    <w:rsid w:val="00AA3EA6"/>
    <w:rsid w:val="00AA3F99"/>
    <w:rsid w:val="00AA4392"/>
    <w:rsid w:val="00AA459A"/>
    <w:rsid w:val="00AA4729"/>
    <w:rsid w:val="00AA488B"/>
    <w:rsid w:val="00AA48E0"/>
    <w:rsid w:val="00AA4A6B"/>
    <w:rsid w:val="00AA4D4A"/>
    <w:rsid w:val="00AA4DF3"/>
    <w:rsid w:val="00AA4E2E"/>
    <w:rsid w:val="00AA4FFD"/>
    <w:rsid w:val="00AA5268"/>
    <w:rsid w:val="00AA549E"/>
    <w:rsid w:val="00AA54DB"/>
    <w:rsid w:val="00AA55E4"/>
    <w:rsid w:val="00AA5A5B"/>
    <w:rsid w:val="00AA5A83"/>
    <w:rsid w:val="00AA5B65"/>
    <w:rsid w:val="00AA5C34"/>
    <w:rsid w:val="00AA5C5F"/>
    <w:rsid w:val="00AA5C90"/>
    <w:rsid w:val="00AA5D82"/>
    <w:rsid w:val="00AA5F48"/>
    <w:rsid w:val="00AA62ED"/>
    <w:rsid w:val="00AA63AC"/>
    <w:rsid w:val="00AA648E"/>
    <w:rsid w:val="00AA6491"/>
    <w:rsid w:val="00AA674A"/>
    <w:rsid w:val="00AA682E"/>
    <w:rsid w:val="00AA699D"/>
    <w:rsid w:val="00AA6B1C"/>
    <w:rsid w:val="00AA6B37"/>
    <w:rsid w:val="00AA6F9D"/>
    <w:rsid w:val="00AA6FA6"/>
    <w:rsid w:val="00AA6FE0"/>
    <w:rsid w:val="00AA7048"/>
    <w:rsid w:val="00AA7225"/>
    <w:rsid w:val="00AA733D"/>
    <w:rsid w:val="00AA74C7"/>
    <w:rsid w:val="00AA7502"/>
    <w:rsid w:val="00AA780B"/>
    <w:rsid w:val="00AA78C6"/>
    <w:rsid w:val="00AA798A"/>
    <w:rsid w:val="00AA79B0"/>
    <w:rsid w:val="00AA7A70"/>
    <w:rsid w:val="00AA7BD6"/>
    <w:rsid w:val="00AA7D24"/>
    <w:rsid w:val="00AA7D82"/>
    <w:rsid w:val="00AA7E7B"/>
    <w:rsid w:val="00AA7EFD"/>
    <w:rsid w:val="00AA7FA1"/>
    <w:rsid w:val="00AB01F7"/>
    <w:rsid w:val="00AB02EB"/>
    <w:rsid w:val="00AB0353"/>
    <w:rsid w:val="00AB05A3"/>
    <w:rsid w:val="00AB05C6"/>
    <w:rsid w:val="00AB0767"/>
    <w:rsid w:val="00AB08E1"/>
    <w:rsid w:val="00AB095F"/>
    <w:rsid w:val="00AB0B06"/>
    <w:rsid w:val="00AB0B19"/>
    <w:rsid w:val="00AB0D20"/>
    <w:rsid w:val="00AB0F10"/>
    <w:rsid w:val="00AB177D"/>
    <w:rsid w:val="00AB196B"/>
    <w:rsid w:val="00AB1A18"/>
    <w:rsid w:val="00AB1A8A"/>
    <w:rsid w:val="00AB1ABF"/>
    <w:rsid w:val="00AB1C64"/>
    <w:rsid w:val="00AB2164"/>
    <w:rsid w:val="00AB2234"/>
    <w:rsid w:val="00AB244C"/>
    <w:rsid w:val="00AB2794"/>
    <w:rsid w:val="00AB27E0"/>
    <w:rsid w:val="00AB2958"/>
    <w:rsid w:val="00AB2A2A"/>
    <w:rsid w:val="00AB2AB8"/>
    <w:rsid w:val="00AB2E11"/>
    <w:rsid w:val="00AB2E60"/>
    <w:rsid w:val="00AB2E77"/>
    <w:rsid w:val="00AB2F9E"/>
    <w:rsid w:val="00AB302C"/>
    <w:rsid w:val="00AB31B9"/>
    <w:rsid w:val="00AB34AD"/>
    <w:rsid w:val="00AB34B6"/>
    <w:rsid w:val="00AB3634"/>
    <w:rsid w:val="00AB3797"/>
    <w:rsid w:val="00AB38E5"/>
    <w:rsid w:val="00AB39C1"/>
    <w:rsid w:val="00AB39F1"/>
    <w:rsid w:val="00AB3A46"/>
    <w:rsid w:val="00AB3B61"/>
    <w:rsid w:val="00AB3B9E"/>
    <w:rsid w:val="00AB3C44"/>
    <w:rsid w:val="00AB3C81"/>
    <w:rsid w:val="00AB3DDF"/>
    <w:rsid w:val="00AB3EDE"/>
    <w:rsid w:val="00AB40FB"/>
    <w:rsid w:val="00AB42FB"/>
    <w:rsid w:val="00AB43DC"/>
    <w:rsid w:val="00AB4478"/>
    <w:rsid w:val="00AB4516"/>
    <w:rsid w:val="00AB4532"/>
    <w:rsid w:val="00AB4643"/>
    <w:rsid w:val="00AB4788"/>
    <w:rsid w:val="00AB47FA"/>
    <w:rsid w:val="00AB48F0"/>
    <w:rsid w:val="00AB4BAD"/>
    <w:rsid w:val="00AB4CA4"/>
    <w:rsid w:val="00AB4D63"/>
    <w:rsid w:val="00AB4D76"/>
    <w:rsid w:val="00AB5182"/>
    <w:rsid w:val="00AB5227"/>
    <w:rsid w:val="00AB5586"/>
    <w:rsid w:val="00AB569A"/>
    <w:rsid w:val="00AB57CC"/>
    <w:rsid w:val="00AB5852"/>
    <w:rsid w:val="00AB5925"/>
    <w:rsid w:val="00AB592D"/>
    <w:rsid w:val="00AB5943"/>
    <w:rsid w:val="00AB5BD6"/>
    <w:rsid w:val="00AB5CCF"/>
    <w:rsid w:val="00AB5D25"/>
    <w:rsid w:val="00AB5D8F"/>
    <w:rsid w:val="00AB5DAF"/>
    <w:rsid w:val="00AB5E8F"/>
    <w:rsid w:val="00AB5E9C"/>
    <w:rsid w:val="00AB5F74"/>
    <w:rsid w:val="00AB6073"/>
    <w:rsid w:val="00AB6267"/>
    <w:rsid w:val="00AB6271"/>
    <w:rsid w:val="00AB62E0"/>
    <w:rsid w:val="00AB62E3"/>
    <w:rsid w:val="00AB6667"/>
    <w:rsid w:val="00AB66AE"/>
    <w:rsid w:val="00AB6760"/>
    <w:rsid w:val="00AB6B55"/>
    <w:rsid w:val="00AB6BC6"/>
    <w:rsid w:val="00AB6CC3"/>
    <w:rsid w:val="00AB700B"/>
    <w:rsid w:val="00AB7129"/>
    <w:rsid w:val="00AB735A"/>
    <w:rsid w:val="00AB73BE"/>
    <w:rsid w:val="00AB73C3"/>
    <w:rsid w:val="00AB73EE"/>
    <w:rsid w:val="00AB7428"/>
    <w:rsid w:val="00AB76C4"/>
    <w:rsid w:val="00AB774F"/>
    <w:rsid w:val="00AB7A25"/>
    <w:rsid w:val="00AB7A51"/>
    <w:rsid w:val="00AB7ADD"/>
    <w:rsid w:val="00AB7F6E"/>
    <w:rsid w:val="00AB7FB2"/>
    <w:rsid w:val="00AC0266"/>
    <w:rsid w:val="00AC05D7"/>
    <w:rsid w:val="00AC05DD"/>
    <w:rsid w:val="00AC0684"/>
    <w:rsid w:val="00AC06A1"/>
    <w:rsid w:val="00AC06F7"/>
    <w:rsid w:val="00AC086B"/>
    <w:rsid w:val="00AC0AAE"/>
    <w:rsid w:val="00AC0BCA"/>
    <w:rsid w:val="00AC0DF6"/>
    <w:rsid w:val="00AC0ED3"/>
    <w:rsid w:val="00AC100E"/>
    <w:rsid w:val="00AC13C2"/>
    <w:rsid w:val="00AC1437"/>
    <w:rsid w:val="00AC14D1"/>
    <w:rsid w:val="00AC1A02"/>
    <w:rsid w:val="00AC1AA6"/>
    <w:rsid w:val="00AC1AD6"/>
    <w:rsid w:val="00AC1B60"/>
    <w:rsid w:val="00AC1CFF"/>
    <w:rsid w:val="00AC1E1F"/>
    <w:rsid w:val="00AC1F0D"/>
    <w:rsid w:val="00AC1FD0"/>
    <w:rsid w:val="00AC2606"/>
    <w:rsid w:val="00AC2631"/>
    <w:rsid w:val="00AC26C9"/>
    <w:rsid w:val="00AC2706"/>
    <w:rsid w:val="00AC29D9"/>
    <w:rsid w:val="00AC2A75"/>
    <w:rsid w:val="00AC2AEE"/>
    <w:rsid w:val="00AC2CDD"/>
    <w:rsid w:val="00AC2DE2"/>
    <w:rsid w:val="00AC2F00"/>
    <w:rsid w:val="00AC300D"/>
    <w:rsid w:val="00AC327E"/>
    <w:rsid w:val="00AC350C"/>
    <w:rsid w:val="00AC3652"/>
    <w:rsid w:val="00AC3677"/>
    <w:rsid w:val="00AC3782"/>
    <w:rsid w:val="00AC3791"/>
    <w:rsid w:val="00AC38D8"/>
    <w:rsid w:val="00AC38FF"/>
    <w:rsid w:val="00AC3BAB"/>
    <w:rsid w:val="00AC3D87"/>
    <w:rsid w:val="00AC415F"/>
    <w:rsid w:val="00AC4348"/>
    <w:rsid w:val="00AC43B6"/>
    <w:rsid w:val="00AC44F8"/>
    <w:rsid w:val="00AC47BF"/>
    <w:rsid w:val="00AC4A14"/>
    <w:rsid w:val="00AC4B1B"/>
    <w:rsid w:val="00AC4C0D"/>
    <w:rsid w:val="00AC4D58"/>
    <w:rsid w:val="00AC4D61"/>
    <w:rsid w:val="00AC4E48"/>
    <w:rsid w:val="00AC4F0A"/>
    <w:rsid w:val="00AC4F59"/>
    <w:rsid w:val="00AC522C"/>
    <w:rsid w:val="00AC522E"/>
    <w:rsid w:val="00AC537A"/>
    <w:rsid w:val="00AC5465"/>
    <w:rsid w:val="00AC59E2"/>
    <w:rsid w:val="00AC5A13"/>
    <w:rsid w:val="00AC5B53"/>
    <w:rsid w:val="00AC5B9E"/>
    <w:rsid w:val="00AC5C3C"/>
    <w:rsid w:val="00AC5C7A"/>
    <w:rsid w:val="00AC5CAC"/>
    <w:rsid w:val="00AC5CBD"/>
    <w:rsid w:val="00AC5CCD"/>
    <w:rsid w:val="00AC5DCE"/>
    <w:rsid w:val="00AC618E"/>
    <w:rsid w:val="00AC628B"/>
    <w:rsid w:val="00AC6328"/>
    <w:rsid w:val="00AC6514"/>
    <w:rsid w:val="00AC658C"/>
    <w:rsid w:val="00AC6799"/>
    <w:rsid w:val="00AC67C8"/>
    <w:rsid w:val="00AC6B10"/>
    <w:rsid w:val="00AC6CBE"/>
    <w:rsid w:val="00AC6D4D"/>
    <w:rsid w:val="00AC6D94"/>
    <w:rsid w:val="00AC6E39"/>
    <w:rsid w:val="00AC717D"/>
    <w:rsid w:val="00AC72AC"/>
    <w:rsid w:val="00AC7305"/>
    <w:rsid w:val="00AC7340"/>
    <w:rsid w:val="00AC75AC"/>
    <w:rsid w:val="00AC7691"/>
    <w:rsid w:val="00AC77C7"/>
    <w:rsid w:val="00AC78FE"/>
    <w:rsid w:val="00AC7923"/>
    <w:rsid w:val="00AC7A14"/>
    <w:rsid w:val="00AC7CCD"/>
    <w:rsid w:val="00AC7CDE"/>
    <w:rsid w:val="00AC7CE8"/>
    <w:rsid w:val="00AC7D36"/>
    <w:rsid w:val="00ACABE3"/>
    <w:rsid w:val="00AD0051"/>
    <w:rsid w:val="00AD011E"/>
    <w:rsid w:val="00AD033A"/>
    <w:rsid w:val="00AD04B9"/>
    <w:rsid w:val="00AD0676"/>
    <w:rsid w:val="00AD092C"/>
    <w:rsid w:val="00AD0AD4"/>
    <w:rsid w:val="00AD0B0B"/>
    <w:rsid w:val="00AD0CE1"/>
    <w:rsid w:val="00AD0F36"/>
    <w:rsid w:val="00AD1001"/>
    <w:rsid w:val="00AD10ED"/>
    <w:rsid w:val="00AD1117"/>
    <w:rsid w:val="00AD1128"/>
    <w:rsid w:val="00AD1241"/>
    <w:rsid w:val="00AD1383"/>
    <w:rsid w:val="00AD13FC"/>
    <w:rsid w:val="00AD158A"/>
    <w:rsid w:val="00AD15B9"/>
    <w:rsid w:val="00AD16A4"/>
    <w:rsid w:val="00AD16D0"/>
    <w:rsid w:val="00AD17B9"/>
    <w:rsid w:val="00AD1804"/>
    <w:rsid w:val="00AD184D"/>
    <w:rsid w:val="00AD18EB"/>
    <w:rsid w:val="00AD1937"/>
    <w:rsid w:val="00AD1B1B"/>
    <w:rsid w:val="00AD1C2A"/>
    <w:rsid w:val="00AD1DC3"/>
    <w:rsid w:val="00AD1E0A"/>
    <w:rsid w:val="00AD1E56"/>
    <w:rsid w:val="00AD2000"/>
    <w:rsid w:val="00AD207C"/>
    <w:rsid w:val="00AD2384"/>
    <w:rsid w:val="00AD239C"/>
    <w:rsid w:val="00AD23BD"/>
    <w:rsid w:val="00AD2439"/>
    <w:rsid w:val="00AD24E9"/>
    <w:rsid w:val="00AD250B"/>
    <w:rsid w:val="00AD2714"/>
    <w:rsid w:val="00AD2744"/>
    <w:rsid w:val="00AD295B"/>
    <w:rsid w:val="00AD2B48"/>
    <w:rsid w:val="00AD2D24"/>
    <w:rsid w:val="00AD2D46"/>
    <w:rsid w:val="00AD2DD0"/>
    <w:rsid w:val="00AD2E46"/>
    <w:rsid w:val="00AD3099"/>
    <w:rsid w:val="00AD30C7"/>
    <w:rsid w:val="00AD30FE"/>
    <w:rsid w:val="00AD33B5"/>
    <w:rsid w:val="00AD36FF"/>
    <w:rsid w:val="00AD3877"/>
    <w:rsid w:val="00AD390E"/>
    <w:rsid w:val="00AD3A57"/>
    <w:rsid w:val="00AD3BDB"/>
    <w:rsid w:val="00AD3FD9"/>
    <w:rsid w:val="00AD4016"/>
    <w:rsid w:val="00AD416C"/>
    <w:rsid w:val="00AD417B"/>
    <w:rsid w:val="00AD417C"/>
    <w:rsid w:val="00AD42C7"/>
    <w:rsid w:val="00AD4303"/>
    <w:rsid w:val="00AD4449"/>
    <w:rsid w:val="00AD4458"/>
    <w:rsid w:val="00AD45D1"/>
    <w:rsid w:val="00AD45F1"/>
    <w:rsid w:val="00AD4629"/>
    <w:rsid w:val="00AD471D"/>
    <w:rsid w:val="00AD489D"/>
    <w:rsid w:val="00AD4D8D"/>
    <w:rsid w:val="00AD4DBB"/>
    <w:rsid w:val="00AD4E1D"/>
    <w:rsid w:val="00AD4E45"/>
    <w:rsid w:val="00AD4F6D"/>
    <w:rsid w:val="00AD51F6"/>
    <w:rsid w:val="00AD51FC"/>
    <w:rsid w:val="00AD5557"/>
    <w:rsid w:val="00AD556E"/>
    <w:rsid w:val="00AD5667"/>
    <w:rsid w:val="00AD5705"/>
    <w:rsid w:val="00AD572D"/>
    <w:rsid w:val="00AD5C7B"/>
    <w:rsid w:val="00AD5D18"/>
    <w:rsid w:val="00AD5D41"/>
    <w:rsid w:val="00AD5E0A"/>
    <w:rsid w:val="00AD5F25"/>
    <w:rsid w:val="00AD6008"/>
    <w:rsid w:val="00AD6253"/>
    <w:rsid w:val="00AD625C"/>
    <w:rsid w:val="00AD65E1"/>
    <w:rsid w:val="00AD6698"/>
    <w:rsid w:val="00AD673E"/>
    <w:rsid w:val="00AD684B"/>
    <w:rsid w:val="00AD69A7"/>
    <w:rsid w:val="00AD6B2B"/>
    <w:rsid w:val="00AD6BFF"/>
    <w:rsid w:val="00AD6C3C"/>
    <w:rsid w:val="00AD6C7F"/>
    <w:rsid w:val="00AD6F07"/>
    <w:rsid w:val="00AD6F1A"/>
    <w:rsid w:val="00AD7035"/>
    <w:rsid w:val="00AD7044"/>
    <w:rsid w:val="00AD7080"/>
    <w:rsid w:val="00AD71AA"/>
    <w:rsid w:val="00AD7360"/>
    <w:rsid w:val="00AD74D0"/>
    <w:rsid w:val="00AD7B6E"/>
    <w:rsid w:val="00AD7B91"/>
    <w:rsid w:val="00AD7BB2"/>
    <w:rsid w:val="00AD7BC2"/>
    <w:rsid w:val="00AD7F3A"/>
    <w:rsid w:val="00AD7F4D"/>
    <w:rsid w:val="00AE0232"/>
    <w:rsid w:val="00AE0433"/>
    <w:rsid w:val="00AE04E4"/>
    <w:rsid w:val="00AE0735"/>
    <w:rsid w:val="00AE0A04"/>
    <w:rsid w:val="00AE0D15"/>
    <w:rsid w:val="00AE0D9C"/>
    <w:rsid w:val="00AE0E9E"/>
    <w:rsid w:val="00AE11F7"/>
    <w:rsid w:val="00AE1204"/>
    <w:rsid w:val="00AE1249"/>
    <w:rsid w:val="00AE1291"/>
    <w:rsid w:val="00AE1344"/>
    <w:rsid w:val="00AE16F7"/>
    <w:rsid w:val="00AE1819"/>
    <w:rsid w:val="00AE1B51"/>
    <w:rsid w:val="00AE1C33"/>
    <w:rsid w:val="00AE1D7C"/>
    <w:rsid w:val="00AE1D95"/>
    <w:rsid w:val="00AE1E30"/>
    <w:rsid w:val="00AE1F9F"/>
    <w:rsid w:val="00AE1FDA"/>
    <w:rsid w:val="00AE2018"/>
    <w:rsid w:val="00AE2032"/>
    <w:rsid w:val="00AE21BA"/>
    <w:rsid w:val="00AE21FE"/>
    <w:rsid w:val="00AE2305"/>
    <w:rsid w:val="00AE2312"/>
    <w:rsid w:val="00AE2396"/>
    <w:rsid w:val="00AE288D"/>
    <w:rsid w:val="00AE28F7"/>
    <w:rsid w:val="00AE2974"/>
    <w:rsid w:val="00AE29B3"/>
    <w:rsid w:val="00AE29FD"/>
    <w:rsid w:val="00AE2B3C"/>
    <w:rsid w:val="00AE2B49"/>
    <w:rsid w:val="00AE2C4A"/>
    <w:rsid w:val="00AE331E"/>
    <w:rsid w:val="00AE3622"/>
    <w:rsid w:val="00AE3C26"/>
    <w:rsid w:val="00AE3C79"/>
    <w:rsid w:val="00AE3CBE"/>
    <w:rsid w:val="00AE3EBD"/>
    <w:rsid w:val="00AE426A"/>
    <w:rsid w:val="00AE427C"/>
    <w:rsid w:val="00AE43CD"/>
    <w:rsid w:val="00AE450F"/>
    <w:rsid w:val="00AE4A12"/>
    <w:rsid w:val="00AE4B71"/>
    <w:rsid w:val="00AE4F63"/>
    <w:rsid w:val="00AE50BC"/>
    <w:rsid w:val="00AE522E"/>
    <w:rsid w:val="00AE525D"/>
    <w:rsid w:val="00AE532E"/>
    <w:rsid w:val="00AE55B9"/>
    <w:rsid w:val="00AE581B"/>
    <w:rsid w:val="00AE591B"/>
    <w:rsid w:val="00AE5AB8"/>
    <w:rsid w:val="00AE5B66"/>
    <w:rsid w:val="00AE5E49"/>
    <w:rsid w:val="00AE621E"/>
    <w:rsid w:val="00AE63D8"/>
    <w:rsid w:val="00AE664C"/>
    <w:rsid w:val="00AE665F"/>
    <w:rsid w:val="00AE674A"/>
    <w:rsid w:val="00AE6841"/>
    <w:rsid w:val="00AE68D1"/>
    <w:rsid w:val="00AE692E"/>
    <w:rsid w:val="00AE69D1"/>
    <w:rsid w:val="00AE6AC5"/>
    <w:rsid w:val="00AE6E6F"/>
    <w:rsid w:val="00AE6E84"/>
    <w:rsid w:val="00AE702F"/>
    <w:rsid w:val="00AE70F9"/>
    <w:rsid w:val="00AE73DF"/>
    <w:rsid w:val="00AE75B4"/>
    <w:rsid w:val="00AE7AEE"/>
    <w:rsid w:val="00AE7B08"/>
    <w:rsid w:val="00AE7B63"/>
    <w:rsid w:val="00AE7C8B"/>
    <w:rsid w:val="00AE7EB3"/>
    <w:rsid w:val="00AF005D"/>
    <w:rsid w:val="00AF0187"/>
    <w:rsid w:val="00AF0492"/>
    <w:rsid w:val="00AF055F"/>
    <w:rsid w:val="00AF05DE"/>
    <w:rsid w:val="00AF06BA"/>
    <w:rsid w:val="00AF0710"/>
    <w:rsid w:val="00AF0985"/>
    <w:rsid w:val="00AF09C0"/>
    <w:rsid w:val="00AF0B19"/>
    <w:rsid w:val="00AF0B24"/>
    <w:rsid w:val="00AF0D1E"/>
    <w:rsid w:val="00AF0DEC"/>
    <w:rsid w:val="00AF0E1F"/>
    <w:rsid w:val="00AF1052"/>
    <w:rsid w:val="00AF12A9"/>
    <w:rsid w:val="00AF12FF"/>
    <w:rsid w:val="00AF1510"/>
    <w:rsid w:val="00AF16B7"/>
    <w:rsid w:val="00AF1761"/>
    <w:rsid w:val="00AF1864"/>
    <w:rsid w:val="00AF1890"/>
    <w:rsid w:val="00AF1A26"/>
    <w:rsid w:val="00AF1B3B"/>
    <w:rsid w:val="00AF1C7C"/>
    <w:rsid w:val="00AF1DF6"/>
    <w:rsid w:val="00AF1ED8"/>
    <w:rsid w:val="00AF2265"/>
    <w:rsid w:val="00AF2280"/>
    <w:rsid w:val="00AF235B"/>
    <w:rsid w:val="00AF245B"/>
    <w:rsid w:val="00AF248B"/>
    <w:rsid w:val="00AF2576"/>
    <w:rsid w:val="00AF26EC"/>
    <w:rsid w:val="00AF282A"/>
    <w:rsid w:val="00AF2E54"/>
    <w:rsid w:val="00AF31D0"/>
    <w:rsid w:val="00AF3259"/>
    <w:rsid w:val="00AF3289"/>
    <w:rsid w:val="00AF32ED"/>
    <w:rsid w:val="00AF352C"/>
    <w:rsid w:val="00AF36A9"/>
    <w:rsid w:val="00AF36CA"/>
    <w:rsid w:val="00AF3897"/>
    <w:rsid w:val="00AF390C"/>
    <w:rsid w:val="00AF39F8"/>
    <w:rsid w:val="00AF3A63"/>
    <w:rsid w:val="00AF3B83"/>
    <w:rsid w:val="00AF3C7E"/>
    <w:rsid w:val="00AF3CA3"/>
    <w:rsid w:val="00AF3D2F"/>
    <w:rsid w:val="00AF3DF6"/>
    <w:rsid w:val="00AF3F20"/>
    <w:rsid w:val="00AF406D"/>
    <w:rsid w:val="00AF4130"/>
    <w:rsid w:val="00AF41BC"/>
    <w:rsid w:val="00AF434D"/>
    <w:rsid w:val="00AF43EC"/>
    <w:rsid w:val="00AF4464"/>
    <w:rsid w:val="00AF47A5"/>
    <w:rsid w:val="00AF498C"/>
    <w:rsid w:val="00AF49BE"/>
    <w:rsid w:val="00AF4A7E"/>
    <w:rsid w:val="00AF4BFA"/>
    <w:rsid w:val="00AF4D73"/>
    <w:rsid w:val="00AF4EAF"/>
    <w:rsid w:val="00AF5033"/>
    <w:rsid w:val="00AF508D"/>
    <w:rsid w:val="00AF51DB"/>
    <w:rsid w:val="00AF52FC"/>
    <w:rsid w:val="00AF54A7"/>
    <w:rsid w:val="00AF570C"/>
    <w:rsid w:val="00AF57BF"/>
    <w:rsid w:val="00AF57E7"/>
    <w:rsid w:val="00AF583E"/>
    <w:rsid w:val="00AF59D8"/>
    <w:rsid w:val="00AF5AB3"/>
    <w:rsid w:val="00AF5CF3"/>
    <w:rsid w:val="00AF5E53"/>
    <w:rsid w:val="00AF61DE"/>
    <w:rsid w:val="00AF6402"/>
    <w:rsid w:val="00AF644E"/>
    <w:rsid w:val="00AF64C1"/>
    <w:rsid w:val="00AF66AC"/>
    <w:rsid w:val="00AF66CB"/>
    <w:rsid w:val="00AF695E"/>
    <w:rsid w:val="00AF6998"/>
    <w:rsid w:val="00AF6C40"/>
    <w:rsid w:val="00AF703B"/>
    <w:rsid w:val="00AF7052"/>
    <w:rsid w:val="00AF735F"/>
    <w:rsid w:val="00AF73FC"/>
    <w:rsid w:val="00AF7524"/>
    <w:rsid w:val="00AF784A"/>
    <w:rsid w:val="00AF7B1F"/>
    <w:rsid w:val="00B00084"/>
    <w:rsid w:val="00B0014D"/>
    <w:rsid w:val="00B004E7"/>
    <w:rsid w:val="00B0067F"/>
    <w:rsid w:val="00B00740"/>
    <w:rsid w:val="00B0076E"/>
    <w:rsid w:val="00B0094F"/>
    <w:rsid w:val="00B00CF9"/>
    <w:rsid w:val="00B01083"/>
    <w:rsid w:val="00B011C5"/>
    <w:rsid w:val="00B012BC"/>
    <w:rsid w:val="00B01324"/>
    <w:rsid w:val="00B01690"/>
    <w:rsid w:val="00B01749"/>
    <w:rsid w:val="00B0178A"/>
    <w:rsid w:val="00B0196E"/>
    <w:rsid w:val="00B01AA2"/>
    <w:rsid w:val="00B01B0E"/>
    <w:rsid w:val="00B01F9F"/>
    <w:rsid w:val="00B0214D"/>
    <w:rsid w:val="00B022D7"/>
    <w:rsid w:val="00B02577"/>
    <w:rsid w:val="00B02A2E"/>
    <w:rsid w:val="00B02AA9"/>
    <w:rsid w:val="00B02B0E"/>
    <w:rsid w:val="00B02B40"/>
    <w:rsid w:val="00B02BF7"/>
    <w:rsid w:val="00B02D8E"/>
    <w:rsid w:val="00B02DC9"/>
    <w:rsid w:val="00B02EE6"/>
    <w:rsid w:val="00B02F01"/>
    <w:rsid w:val="00B02F33"/>
    <w:rsid w:val="00B02FD3"/>
    <w:rsid w:val="00B0301E"/>
    <w:rsid w:val="00B031E3"/>
    <w:rsid w:val="00B031FE"/>
    <w:rsid w:val="00B033EC"/>
    <w:rsid w:val="00B0368A"/>
    <w:rsid w:val="00B0373F"/>
    <w:rsid w:val="00B03AB9"/>
    <w:rsid w:val="00B03B97"/>
    <w:rsid w:val="00B03C7D"/>
    <w:rsid w:val="00B03D23"/>
    <w:rsid w:val="00B03D27"/>
    <w:rsid w:val="00B0424C"/>
    <w:rsid w:val="00B04476"/>
    <w:rsid w:val="00B04486"/>
    <w:rsid w:val="00B0470E"/>
    <w:rsid w:val="00B04716"/>
    <w:rsid w:val="00B0478C"/>
    <w:rsid w:val="00B0488A"/>
    <w:rsid w:val="00B049D8"/>
    <w:rsid w:val="00B04A2D"/>
    <w:rsid w:val="00B04A79"/>
    <w:rsid w:val="00B04D5C"/>
    <w:rsid w:val="00B04ED2"/>
    <w:rsid w:val="00B050DB"/>
    <w:rsid w:val="00B05176"/>
    <w:rsid w:val="00B051E3"/>
    <w:rsid w:val="00B051E6"/>
    <w:rsid w:val="00B0546D"/>
    <w:rsid w:val="00B05A7E"/>
    <w:rsid w:val="00B05AF2"/>
    <w:rsid w:val="00B05DBF"/>
    <w:rsid w:val="00B05E43"/>
    <w:rsid w:val="00B0605E"/>
    <w:rsid w:val="00B0612F"/>
    <w:rsid w:val="00B061BC"/>
    <w:rsid w:val="00B061C7"/>
    <w:rsid w:val="00B062C6"/>
    <w:rsid w:val="00B062F4"/>
    <w:rsid w:val="00B06391"/>
    <w:rsid w:val="00B06573"/>
    <w:rsid w:val="00B066E3"/>
    <w:rsid w:val="00B068D4"/>
    <w:rsid w:val="00B06932"/>
    <w:rsid w:val="00B069B9"/>
    <w:rsid w:val="00B06A64"/>
    <w:rsid w:val="00B06B6E"/>
    <w:rsid w:val="00B06C9F"/>
    <w:rsid w:val="00B0712B"/>
    <w:rsid w:val="00B07150"/>
    <w:rsid w:val="00B072F4"/>
    <w:rsid w:val="00B077A4"/>
    <w:rsid w:val="00B079BF"/>
    <w:rsid w:val="00B07A9C"/>
    <w:rsid w:val="00B07AB5"/>
    <w:rsid w:val="00B07B3A"/>
    <w:rsid w:val="00B07C22"/>
    <w:rsid w:val="00B07C70"/>
    <w:rsid w:val="00B07D13"/>
    <w:rsid w:val="00B07ED7"/>
    <w:rsid w:val="00B07F49"/>
    <w:rsid w:val="00B10171"/>
    <w:rsid w:val="00B10173"/>
    <w:rsid w:val="00B1017A"/>
    <w:rsid w:val="00B10290"/>
    <w:rsid w:val="00B10306"/>
    <w:rsid w:val="00B1036F"/>
    <w:rsid w:val="00B103D1"/>
    <w:rsid w:val="00B10490"/>
    <w:rsid w:val="00B10527"/>
    <w:rsid w:val="00B10672"/>
    <w:rsid w:val="00B10899"/>
    <w:rsid w:val="00B10BCA"/>
    <w:rsid w:val="00B11115"/>
    <w:rsid w:val="00B1114A"/>
    <w:rsid w:val="00B1116F"/>
    <w:rsid w:val="00B112FD"/>
    <w:rsid w:val="00B1134A"/>
    <w:rsid w:val="00B11402"/>
    <w:rsid w:val="00B117AF"/>
    <w:rsid w:val="00B118F3"/>
    <w:rsid w:val="00B11A6B"/>
    <w:rsid w:val="00B11B1C"/>
    <w:rsid w:val="00B11E75"/>
    <w:rsid w:val="00B11E81"/>
    <w:rsid w:val="00B11ED7"/>
    <w:rsid w:val="00B1206D"/>
    <w:rsid w:val="00B122EA"/>
    <w:rsid w:val="00B12355"/>
    <w:rsid w:val="00B12AB7"/>
    <w:rsid w:val="00B12B44"/>
    <w:rsid w:val="00B12B70"/>
    <w:rsid w:val="00B12BBE"/>
    <w:rsid w:val="00B12BF3"/>
    <w:rsid w:val="00B12C92"/>
    <w:rsid w:val="00B13233"/>
    <w:rsid w:val="00B13417"/>
    <w:rsid w:val="00B138FE"/>
    <w:rsid w:val="00B139C0"/>
    <w:rsid w:val="00B13A23"/>
    <w:rsid w:val="00B13B29"/>
    <w:rsid w:val="00B13F1D"/>
    <w:rsid w:val="00B13F2D"/>
    <w:rsid w:val="00B13F3E"/>
    <w:rsid w:val="00B13FE3"/>
    <w:rsid w:val="00B14035"/>
    <w:rsid w:val="00B1446A"/>
    <w:rsid w:val="00B144DF"/>
    <w:rsid w:val="00B14506"/>
    <w:rsid w:val="00B14508"/>
    <w:rsid w:val="00B14657"/>
    <w:rsid w:val="00B14673"/>
    <w:rsid w:val="00B146F2"/>
    <w:rsid w:val="00B14761"/>
    <w:rsid w:val="00B148C9"/>
    <w:rsid w:val="00B14AD4"/>
    <w:rsid w:val="00B14C29"/>
    <w:rsid w:val="00B14D5D"/>
    <w:rsid w:val="00B14DA7"/>
    <w:rsid w:val="00B14E4D"/>
    <w:rsid w:val="00B14E9C"/>
    <w:rsid w:val="00B1503A"/>
    <w:rsid w:val="00B1516A"/>
    <w:rsid w:val="00B15264"/>
    <w:rsid w:val="00B15347"/>
    <w:rsid w:val="00B153F7"/>
    <w:rsid w:val="00B154CB"/>
    <w:rsid w:val="00B15637"/>
    <w:rsid w:val="00B156C1"/>
    <w:rsid w:val="00B15941"/>
    <w:rsid w:val="00B159B6"/>
    <w:rsid w:val="00B15CC1"/>
    <w:rsid w:val="00B15CC3"/>
    <w:rsid w:val="00B15E70"/>
    <w:rsid w:val="00B15EA8"/>
    <w:rsid w:val="00B160EB"/>
    <w:rsid w:val="00B162C8"/>
    <w:rsid w:val="00B1658D"/>
    <w:rsid w:val="00B16C67"/>
    <w:rsid w:val="00B16D01"/>
    <w:rsid w:val="00B16D34"/>
    <w:rsid w:val="00B17084"/>
    <w:rsid w:val="00B170BC"/>
    <w:rsid w:val="00B17257"/>
    <w:rsid w:val="00B1735C"/>
    <w:rsid w:val="00B17538"/>
    <w:rsid w:val="00B17545"/>
    <w:rsid w:val="00B177C4"/>
    <w:rsid w:val="00B178AD"/>
    <w:rsid w:val="00B17AEE"/>
    <w:rsid w:val="00B17B3F"/>
    <w:rsid w:val="00B17D0A"/>
    <w:rsid w:val="00B17E39"/>
    <w:rsid w:val="00B17F45"/>
    <w:rsid w:val="00B17F92"/>
    <w:rsid w:val="00B20089"/>
    <w:rsid w:val="00B201D7"/>
    <w:rsid w:val="00B20236"/>
    <w:rsid w:val="00B2026D"/>
    <w:rsid w:val="00B20395"/>
    <w:rsid w:val="00B20431"/>
    <w:rsid w:val="00B20564"/>
    <w:rsid w:val="00B2094D"/>
    <w:rsid w:val="00B2096A"/>
    <w:rsid w:val="00B20A20"/>
    <w:rsid w:val="00B20A36"/>
    <w:rsid w:val="00B20A76"/>
    <w:rsid w:val="00B20AB3"/>
    <w:rsid w:val="00B20D11"/>
    <w:rsid w:val="00B20DA2"/>
    <w:rsid w:val="00B20DDF"/>
    <w:rsid w:val="00B20FD1"/>
    <w:rsid w:val="00B21590"/>
    <w:rsid w:val="00B21838"/>
    <w:rsid w:val="00B219C3"/>
    <w:rsid w:val="00B21ABC"/>
    <w:rsid w:val="00B21AF9"/>
    <w:rsid w:val="00B21B47"/>
    <w:rsid w:val="00B21C38"/>
    <w:rsid w:val="00B21DE0"/>
    <w:rsid w:val="00B21FBE"/>
    <w:rsid w:val="00B22134"/>
    <w:rsid w:val="00B223D7"/>
    <w:rsid w:val="00B22441"/>
    <w:rsid w:val="00B22829"/>
    <w:rsid w:val="00B228E9"/>
    <w:rsid w:val="00B22A0D"/>
    <w:rsid w:val="00B22BDC"/>
    <w:rsid w:val="00B22BE1"/>
    <w:rsid w:val="00B230A7"/>
    <w:rsid w:val="00B2314D"/>
    <w:rsid w:val="00B23225"/>
    <w:rsid w:val="00B23370"/>
    <w:rsid w:val="00B23373"/>
    <w:rsid w:val="00B2339E"/>
    <w:rsid w:val="00B233F2"/>
    <w:rsid w:val="00B23517"/>
    <w:rsid w:val="00B23518"/>
    <w:rsid w:val="00B2351D"/>
    <w:rsid w:val="00B235EC"/>
    <w:rsid w:val="00B23636"/>
    <w:rsid w:val="00B2372E"/>
    <w:rsid w:val="00B2372F"/>
    <w:rsid w:val="00B239E2"/>
    <w:rsid w:val="00B23A67"/>
    <w:rsid w:val="00B23C22"/>
    <w:rsid w:val="00B23D6A"/>
    <w:rsid w:val="00B23D76"/>
    <w:rsid w:val="00B23DA4"/>
    <w:rsid w:val="00B24045"/>
    <w:rsid w:val="00B243AF"/>
    <w:rsid w:val="00B2446F"/>
    <w:rsid w:val="00B249F7"/>
    <w:rsid w:val="00B24ABC"/>
    <w:rsid w:val="00B24BCD"/>
    <w:rsid w:val="00B24DC0"/>
    <w:rsid w:val="00B24DC8"/>
    <w:rsid w:val="00B24DFB"/>
    <w:rsid w:val="00B24FEE"/>
    <w:rsid w:val="00B25216"/>
    <w:rsid w:val="00B252B3"/>
    <w:rsid w:val="00B25388"/>
    <w:rsid w:val="00B253FC"/>
    <w:rsid w:val="00B25573"/>
    <w:rsid w:val="00B25692"/>
    <w:rsid w:val="00B257CE"/>
    <w:rsid w:val="00B25873"/>
    <w:rsid w:val="00B259E2"/>
    <w:rsid w:val="00B25B75"/>
    <w:rsid w:val="00B25D50"/>
    <w:rsid w:val="00B25D52"/>
    <w:rsid w:val="00B26448"/>
    <w:rsid w:val="00B26693"/>
    <w:rsid w:val="00B268F8"/>
    <w:rsid w:val="00B26B12"/>
    <w:rsid w:val="00B26BA2"/>
    <w:rsid w:val="00B26BCC"/>
    <w:rsid w:val="00B26C42"/>
    <w:rsid w:val="00B26E72"/>
    <w:rsid w:val="00B27050"/>
    <w:rsid w:val="00B271EB"/>
    <w:rsid w:val="00B27277"/>
    <w:rsid w:val="00B272A0"/>
    <w:rsid w:val="00B27427"/>
    <w:rsid w:val="00B274A3"/>
    <w:rsid w:val="00B27503"/>
    <w:rsid w:val="00B27651"/>
    <w:rsid w:val="00B276A3"/>
    <w:rsid w:val="00B27A2C"/>
    <w:rsid w:val="00B27CD2"/>
    <w:rsid w:val="00B27E0C"/>
    <w:rsid w:val="00B30091"/>
    <w:rsid w:val="00B300D2"/>
    <w:rsid w:val="00B3015F"/>
    <w:rsid w:val="00B301C7"/>
    <w:rsid w:val="00B301E1"/>
    <w:rsid w:val="00B3028E"/>
    <w:rsid w:val="00B302D0"/>
    <w:rsid w:val="00B30334"/>
    <w:rsid w:val="00B304E0"/>
    <w:rsid w:val="00B30834"/>
    <w:rsid w:val="00B308DB"/>
    <w:rsid w:val="00B3092D"/>
    <w:rsid w:val="00B30DB2"/>
    <w:rsid w:val="00B30EA7"/>
    <w:rsid w:val="00B3111C"/>
    <w:rsid w:val="00B31193"/>
    <w:rsid w:val="00B3119D"/>
    <w:rsid w:val="00B315A6"/>
    <w:rsid w:val="00B31677"/>
    <w:rsid w:val="00B316A6"/>
    <w:rsid w:val="00B316D3"/>
    <w:rsid w:val="00B31776"/>
    <w:rsid w:val="00B3178B"/>
    <w:rsid w:val="00B31926"/>
    <w:rsid w:val="00B3193F"/>
    <w:rsid w:val="00B31962"/>
    <w:rsid w:val="00B31F0D"/>
    <w:rsid w:val="00B31FB8"/>
    <w:rsid w:val="00B3202B"/>
    <w:rsid w:val="00B320A0"/>
    <w:rsid w:val="00B320DB"/>
    <w:rsid w:val="00B32114"/>
    <w:rsid w:val="00B3211F"/>
    <w:rsid w:val="00B3215F"/>
    <w:rsid w:val="00B3216A"/>
    <w:rsid w:val="00B3222E"/>
    <w:rsid w:val="00B32321"/>
    <w:rsid w:val="00B32489"/>
    <w:rsid w:val="00B32542"/>
    <w:rsid w:val="00B32696"/>
    <w:rsid w:val="00B326D3"/>
    <w:rsid w:val="00B3293E"/>
    <w:rsid w:val="00B32B7C"/>
    <w:rsid w:val="00B32C43"/>
    <w:rsid w:val="00B32DE3"/>
    <w:rsid w:val="00B32EAE"/>
    <w:rsid w:val="00B32FC2"/>
    <w:rsid w:val="00B33052"/>
    <w:rsid w:val="00B331D7"/>
    <w:rsid w:val="00B33809"/>
    <w:rsid w:val="00B33918"/>
    <w:rsid w:val="00B33D3A"/>
    <w:rsid w:val="00B33DE5"/>
    <w:rsid w:val="00B34256"/>
    <w:rsid w:val="00B344CD"/>
    <w:rsid w:val="00B34578"/>
    <w:rsid w:val="00B34632"/>
    <w:rsid w:val="00B346CD"/>
    <w:rsid w:val="00B347D8"/>
    <w:rsid w:val="00B3482A"/>
    <w:rsid w:val="00B34D1F"/>
    <w:rsid w:val="00B34F99"/>
    <w:rsid w:val="00B35177"/>
    <w:rsid w:val="00B3537D"/>
    <w:rsid w:val="00B353FE"/>
    <w:rsid w:val="00B35484"/>
    <w:rsid w:val="00B354A5"/>
    <w:rsid w:val="00B3563A"/>
    <w:rsid w:val="00B3564C"/>
    <w:rsid w:val="00B35657"/>
    <w:rsid w:val="00B359D3"/>
    <w:rsid w:val="00B35A1E"/>
    <w:rsid w:val="00B35A89"/>
    <w:rsid w:val="00B35ACF"/>
    <w:rsid w:val="00B35B03"/>
    <w:rsid w:val="00B35B60"/>
    <w:rsid w:val="00B35CA1"/>
    <w:rsid w:val="00B36051"/>
    <w:rsid w:val="00B36457"/>
    <w:rsid w:val="00B36BBA"/>
    <w:rsid w:val="00B36C33"/>
    <w:rsid w:val="00B36CB7"/>
    <w:rsid w:val="00B36F43"/>
    <w:rsid w:val="00B3703F"/>
    <w:rsid w:val="00B37483"/>
    <w:rsid w:val="00B375D5"/>
    <w:rsid w:val="00B3776A"/>
    <w:rsid w:val="00B3799C"/>
    <w:rsid w:val="00B37CDA"/>
    <w:rsid w:val="00B37F65"/>
    <w:rsid w:val="00B40193"/>
    <w:rsid w:val="00B40231"/>
    <w:rsid w:val="00B4024F"/>
    <w:rsid w:val="00B40354"/>
    <w:rsid w:val="00B40414"/>
    <w:rsid w:val="00B40545"/>
    <w:rsid w:val="00B405F8"/>
    <w:rsid w:val="00B40814"/>
    <w:rsid w:val="00B40D90"/>
    <w:rsid w:val="00B40E6A"/>
    <w:rsid w:val="00B40FBE"/>
    <w:rsid w:val="00B4119D"/>
    <w:rsid w:val="00B411B8"/>
    <w:rsid w:val="00B4130C"/>
    <w:rsid w:val="00B4132C"/>
    <w:rsid w:val="00B41345"/>
    <w:rsid w:val="00B413D8"/>
    <w:rsid w:val="00B41486"/>
    <w:rsid w:val="00B41676"/>
    <w:rsid w:val="00B416CD"/>
    <w:rsid w:val="00B417A0"/>
    <w:rsid w:val="00B418F2"/>
    <w:rsid w:val="00B41A68"/>
    <w:rsid w:val="00B41AEC"/>
    <w:rsid w:val="00B41B3F"/>
    <w:rsid w:val="00B41B5C"/>
    <w:rsid w:val="00B41C18"/>
    <w:rsid w:val="00B41D02"/>
    <w:rsid w:val="00B41F86"/>
    <w:rsid w:val="00B42147"/>
    <w:rsid w:val="00B4229C"/>
    <w:rsid w:val="00B4233A"/>
    <w:rsid w:val="00B42432"/>
    <w:rsid w:val="00B42799"/>
    <w:rsid w:val="00B42953"/>
    <w:rsid w:val="00B42A76"/>
    <w:rsid w:val="00B42C88"/>
    <w:rsid w:val="00B42CFD"/>
    <w:rsid w:val="00B42E6C"/>
    <w:rsid w:val="00B42FC5"/>
    <w:rsid w:val="00B430FA"/>
    <w:rsid w:val="00B43135"/>
    <w:rsid w:val="00B438BF"/>
    <w:rsid w:val="00B4396A"/>
    <w:rsid w:val="00B43DE3"/>
    <w:rsid w:val="00B43EBD"/>
    <w:rsid w:val="00B43FC8"/>
    <w:rsid w:val="00B4402D"/>
    <w:rsid w:val="00B4409D"/>
    <w:rsid w:val="00B4419A"/>
    <w:rsid w:val="00B44270"/>
    <w:rsid w:val="00B4443D"/>
    <w:rsid w:val="00B44573"/>
    <w:rsid w:val="00B4473A"/>
    <w:rsid w:val="00B44965"/>
    <w:rsid w:val="00B44A47"/>
    <w:rsid w:val="00B44BB3"/>
    <w:rsid w:val="00B44BD6"/>
    <w:rsid w:val="00B44C16"/>
    <w:rsid w:val="00B44E80"/>
    <w:rsid w:val="00B450A9"/>
    <w:rsid w:val="00B4513B"/>
    <w:rsid w:val="00B451FC"/>
    <w:rsid w:val="00B45248"/>
    <w:rsid w:val="00B455E2"/>
    <w:rsid w:val="00B458D3"/>
    <w:rsid w:val="00B45A1D"/>
    <w:rsid w:val="00B45AAB"/>
    <w:rsid w:val="00B45AAC"/>
    <w:rsid w:val="00B45B73"/>
    <w:rsid w:val="00B45E32"/>
    <w:rsid w:val="00B45E99"/>
    <w:rsid w:val="00B4600A"/>
    <w:rsid w:val="00B46366"/>
    <w:rsid w:val="00B464FA"/>
    <w:rsid w:val="00B46757"/>
    <w:rsid w:val="00B46833"/>
    <w:rsid w:val="00B4697E"/>
    <w:rsid w:val="00B4698D"/>
    <w:rsid w:val="00B46A5E"/>
    <w:rsid w:val="00B46B2F"/>
    <w:rsid w:val="00B46BF3"/>
    <w:rsid w:val="00B46C84"/>
    <w:rsid w:val="00B46D37"/>
    <w:rsid w:val="00B46EF1"/>
    <w:rsid w:val="00B46F05"/>
    <w:rsid w:val="00B47019"/>
    <w:rsid w:val="00B47169"/>
    <w:rsid w:val="00B471AA"/>
    <w:rsid w:val="00B47233"/>
    <w:rsid w:val="00B472CE"/>
    <w:rsid w:val="00B47466"/>
    <w:rsid w:val="00B4749D"/>
    <w:rsid w:val="00B474CC"/>
    <w:rsid w:val="00B47537"/>
    <w:rsid w:val="00B4773A"/>
    <w:rsid w:val="00B477B1"/>
    <w:rsid w:val="00B477D0"/>
    <w:rsid w:val="00B478C8"/>
    <w:rsid w:val="00B47AD3"/>
    <w:rsid w:val="00B47F7A"/>
    <w:rsid w:val="00B503BF"/>
    <w:rsid w:val="00B5064A"/>
    <w:rsid w:val="00B50845"/>
    <w:rsid w:val="00B509C1"/>
    <w:rsid w:val="00B50C05"/>
    <w:rsid w:val="00B50CDF"/>
    <w:rsid w:val="00B50D48"/>
    <w:rsid w:val="00B51081"/>
    <w:rsid w:val="00B5119F"/>
    <w:rsid w:val="00B512D4"/>
    <w:rsid w:val="00B5130B"/>
    <w:rsid w:val="00B51357"/>
    <w:rsid w:val="00B51456"/>
    <w:rsid w:val="00B51584"/>
    <w:rsid w:val="00B51A87"/>
    <w:rsid w:val="00B51BA8"/>
    <w:rsid w:val="00B51C01"/>
    <w:rsid w:val="00B51F20"/>
    <w:rsid w:val="00B51FDF"/>
    <w:rsid w:val="00B520F6"/>
    <w:rsid w:val="00B52134"/>
    <w:rsid w:val="00B5229F"/>
    <w:rsid w:val="00B5234C"/>
    <w:rsid w:val="00B52355"/>
    <w:rsid w:val="00B524E3"/>
    <w:rsid w:val="00B52556"/>
    <w:rsid w:val="00B5282E"/>
    <w:rsid w:val="00B528C7"/>
    <w:rsid w:val="00B52933"/>
    <w:rsid w:val="00B52C09"/>
    <w:rsid w:val="00B52EF2"/>
    <w:rsid w:val="00B52FE6"/>
    <w:rsid w:val="00B530DF"/>
    <w:rsid w:val="00B53152"/>
    <w:rsid w:val="00B53268"/>
    <w:rsid w:val="00B53643"/>
    <w:rsid w:val="00B53669"/>
    <w:rsid w:val="00B537D5"/>
    <w:rsid w:val="00B53A2A"/>
    <w:rsid w:val="00B53C27"/>
    <w:rsid w:val="00B53D7C"/>
    <w:rsid w:val="00B54580"/>
    <w:rsid w:val="00B546FD"/>
    <w:rsid w:val="00B54A17"/>
    <w:rsid w:val="00B54AEB"/>
    <w:rsid w:val="00B54DFE"/>
    <w:rsid w:val="00B54E1E"/>
    <w:rsid w:val="00B54F41"/>
    <w:rsid w:val="00B55198"/>
    <w:rsid w:val="00B552C7"/>
    <w:rsid w:val="00B553A6"/>
    <w:rsid w:val="00B55609"/>
    <w:rsid w:val="00B5595C"/>
    <w:rsid w:val="00B55965"/>
    <w:rsid w:val="00B55996"/>
    <w:rsid w:val="00B55BA7"/>
    <w:rsid w:val="00B55D1F"/>
    <w:rsid w:val="00B55D58"/>
    <w:rsid w:val="00B55EE3"/>
    <w:rsid w:val="00B55F71"/>
    <w:rsid w:val="00B55FB7"/>
    <w:rsid w:val="00B56112"/>
    <w:rsid w:val="00B5620B"/>
    <w:rsid w:val="00B56266"/>
    <w:rsid w:val="00B5634E"/>
    <w:rsid w:val="00B56459"/>
    <w:rsid w:val="00B568CC"/>
    <w:rsid w:val="00B56A79"/>
    <w:rsid w:val="00B56DF0"/>
    <w:rsid w:val="00B56F1C"/>
    <w:rsid w:val="00B56F83"/>
    <w:rsid w:val="00B5706B"/>
    <w:rsid w:val="00B572E3"/>
    <w:rsid w:val="00B5734B"/>
    <w:rsid w:val="00B5770A"/>
    <w:rsid w:val="00B5774C"/>
    <w:rsid w:val="00B5784B"/>
    <w:rsid w:val="00B57990"/>
    <w:rsid w:val="00B57A6D"/>
    <w:rsid w:val="00B57B7A"/>
    <w:rsid w:val="00B57C52"/>
    <w:rsid w:val="00B57DD3"/>
    <w:rsid w:val="00B57F86"/>
    <w:rsid w:val="00B57FFD"/>
    <w:rsid w:val="00B6026C"/>
    <w:rsid w:val="00B60471"/>
    <w:rsid w:val="00B60540"/>
    <w:rsid w:val="00B608F8"/>
    <w:rsid w:val="00B60C95"/>
    <w:rsid w:val="00B60E49"/>
    <w:rsid w:val="00B61034"/>
    <w:rsid w:val="00B6128C"/>
    <w:rsid w:val="00B612C6"/>
    <w:rsid w:val="00B614EE"/>
    <w:rsid w:val="00B61754"/>
    <w:rsid w:val="00B619AD"/>
    <w:rsid w:val="00B61A14"/>
    <w:rsid w:val="00B61C37"/>
    <w:rsid w:val="00B61EDC"/>
    <w:rsid w:val="00B61F81"/>
    <w:rsid w:val="00B61FCB"/>
    <w:rsid w:val="00B6205E"/>
    <w:rsid w:val="00B6206A"/>
    <w:rsid w:val="00B621AA"/>
    <w:rsid w:val="00B6229F"/>
    <w:rsid w:val="00B623A8"/>
    <w:rsid w:val="00B623D6"/>
    <w:rsid w:val="00B62448"/>
    <w:rsid w:val="00B62837"/>
    <w:rsid w:val="00B62847"/>
    <w:rsid w:val="00B62A05"/>
    <w:rsid w:val="00B62A12"/>
    <w:rsid w:val="00B62B96"/>
    <w:rsid w:val="00B62D4F"/>
    <w:rsid w:val="00B63129"/>
    <w:rsid w:val="00B6334D"/>
    <w:rsid w:val="00B6354C"/>
    <w:rsid w:val="00B63690"/>
    <w:rsid w:val="00B6379D"/>
    <w:rsid w:val="00B63A15"/>
    <w:rsid w:val="00B63DD3"/>
    <w:rsid w:val="00B63F00"/>
    <w:rsid w:val="00B63F4F"/>
    <w:rsid w:val="00B64084"/>
    <w:rsid w:val="00B64104"/>
    <w:rsid w:val="00B641F8"/>
    <w:rsid w:val="00B64253"/>
    <w:rsid w:val="00B642A4"/>
    <w:rsid w:val="00B645F6"/>
    <w:rsid w:val="00B64630"/>
    <w:rsid w:val="00B6470E"/>
    <w:rsid w:val="00B64933"/>
    <w:rsid w:val="00B64C39"/>
    <w:rsid w:val="00B64CC8"/>
    <w:rsid w:val="00B64CD4"/>
    <w:rsid w:val="00B64D7C"/>
    <w:rsid w:val="00B64E4D"/>
    <w:rsid w:val="00B64EED"/>
    <w:rsid w:val="00B6517E"/>
    <w:rsid w:val="00B65333"/>
    <w:rsid w:val="00B654E4"/>
    <w:rsid w:val="00B6583E"/>
    <w:rsid w:val="00B658EF"/>
    <w:rsid w:val="00B6594E"/>
    <w:rsid w:val="00B65A1B"/>
    <w:rsid w:val="00B65B4B"/>
    <w:rsid w:val="00B65B9D"/>
    <w:rsid w:val="00B65BB0"/>
    <w:rsid w:val="00B65EA4"/>
    <w:rsid w:val="00B65F4D"/>
    <w:rsid w:val="00B66112"/>
    <w:rsid w:val="00B66192"/>
    <w:rsid w:val="00B6636E"/>
    <w:rsid w:val="00B66381"/>
    <w:rsid w:val="00B6638D"/>
    <w:rsid w:val="00B66856"/>
    <w:rsid w:val="00B6686E"/>
    <w:rsid w:val="00B6698F"/>
    <w:rsid w:val="00B66BB6"/>
    <w:rsid w:val="00B66C6A"/>
    <w:rsid w:val="00B66D20"/>
    <w:rsid w:val="00B66D8A"/>
    <w:rsid w:val="00B66FB7"/>
    <w:rsid w:val="00B6700E"/>
    <w:rsid w:val="00B670F6"/>
    <w:rsid w:val="00B6722C"/>
    <w:rsid w:val="00B67674"/>
    <w:rsid w:val="00B677D2"/>
    <w:rsid w:val="00B6783F"/>
    <w:rsid w:val="00B6797B"/>
    <w:rsid w:val="00B67990"/>
    <w:rsid w:val="00B67B31"/>
    <w:rsid w:val="00B703C5"/>
    <w:rsid w:val="00B7049A"/>
    <w:rsid w:val="00B705C2"/>
    <w:rsid w:val="00B70721"/>
    <w:rsid w:val="00B707A7"/>
    <w:rsid w:val="00B70ADA"/>
    <w:rsid w:val="00B71216"/>
    <w:rsid w:val="00B7124D"/>
    <w:rsid w:val="00B7143D"/>
    <w:rsid w:val="00B716B0"/>
    <w:rsid w:val="00B716D9"/>
    <w:rsid w:val="00B7179A"/>
    <w:rsid w:val="00B71993"/>
    <w:rsid w:val="00B71DA9"/>
    <w:rsid w:val="00B71E31"/>
    <w:rsid w:val="00B72102"/>
    <w:rsid w:val="00B7220A"/>
    <w:rsid w:val="00B72274"/>
    <w:rsid w:val="00B7228E"/>
    <w:rsid w:val="00B724E8"/>
    <w:rsid w:val="00B7281F"/>
    <w:rsid w:val="00B7292F"/>
    <w:rsid w:val="00B729F7"/>
    <w:rsid w:val="00B72A58"/>
    <w:rsid w:val="00B72AF0"/>
    <w:rsid w:val="00B72C9A"/>
    <w:rsid w:val="00B72CF8"/>
    <w:rsid w:val="00B72F97"/>
    <w:rsid w:val="00B73201"/>
    <w:rsid w:val="00B73349"/>
    <w:rsid w:val="00B7348A"/>
    <w:rsid w:val="00B7354D"/>
    <w:rsid w:val="00B735D2"/>
    <w:rsid w:val="00B73766"/>
    <w:rsid w:val="00B739F3"/>
    <w:rsid w:val="00B73BD8"/>
    <w:rsid w:val="00B73D52"/>
    <w:rsid w:val="00B73DEC"/>
    <w:rsid w:val="00B73FCA"/>
    <w:rsid w:val="00B73FCC"/>
    <w:rsid w:val="00B74154"/>
    <w:rsid w:val="00B74338"/>
    <w:rsid w:val="00B74424"/>
    <w:rsid w:val="00B744E3"/>
    <w:rsid w:val="00B74518"/>
    <w:rsid w:val="00B746CE"/>
    <w:rsid w:val="00B746D8"/>
    <w:rsid w:val="00B746F9"/>
    <w:rsid w:val="00B7485C"/>
    <w:rsid w:val="00B7487F"/>
    <w:rsid w:val="00B7490E"/>
    <w:rsid w:val="00B74961"/>
    <w:rsid w:val="00B74C6C"/>
    <w:rsid w:val="00B74D17"/>
    <w:rsid w:val="00B74EB0"/>
    <w:rsid w:val="00B74FD5"/>
    <w:rsid w:val="00B75019"/>
    <w:rsid w:val="00B75089"/>
    <w:rsid w:val="00B75233"/>
    <w:rsid w:val="00B752CC"/>
    <w:rsid w:val="00B75347"/>
    <w:rsid w:val="00B75471"/>
    <w:rsid w:val="00B755F8"/>
    <w:rsid w:val="00B75706"/>
    <w:rsid w:val="00B7576A"/>
    <w:rsid w:val="00B75911"/>
    <w:rsid w:val="00B7591A"/>
    <w:rsid w:val="00B75976"/>
    <w:rsid w:val="00B759B4"/>
    <w:rsid w:val="00B75AD0"/>
    <w:rsid w:val="00B75C0F"/>
    <w:rsid w:val="00B75E80"/>
    <w:rsid w:val="00B7638A"/>
    <w:rsid w:val="00B767CD"/>
    <w:rsid w:val="00B769BB"/>
    <w:rsid w:val="00B76A1F"/>
    <w:rsid w:val="00B76C58"/>
    <w:rsid w:val="00B76CAE"/>
    <w:rsid w:val="00B76D31"/>
    <w:rsid w:val="00B77450"/>
    <w:rsid w:val="00B775A8"/>
    <w:rsid w:val="00B775AF"/>
    <w:rsid w:val="00B776A5"/>
    <w:rsid w:val="00B77ACE"/>
    <w:rsid w:val="00B77D66"/>
    <w:rsid w:val="00B77F5F"/>
    <w:rsid w:val="00B803BD"/>
    <w:rsid w:val="00B80473"/>
    <w:rsid w:val="00B806D8"/>
    <w:rsid w:val="00B80956"/>
    <w:rsid w:val="00B80BA3"/>
    <w:rsid w:val="00B80C28"/>
    <w:rsid w:val="00B80EFA"/>
    <w:rsid w:val="00B80F27"/>
    <w:rsid w:val="00B81020"/>
    <w:rsid w:val="00B81120"/>
    <w:rsid w:val="00B8121E"/>
    <w:rsid w:val="00B81497"/>
    <w:rsid w:val="00B8171D"/>
    <w:rsid w:val="00B81828"/>
    <w:rsid w:val="00B81879"/>
    <w:rsid w:val="00B81A95"/>
    <w:rsid w:val="00B81B68"/>
    <w:rsid w:val="00B82166"/>
    <w:rsid w:val="00B822C0"/>
    <w:rsid w:val="00B82402"/>
    <w:rsid w:val="00B8249C"/>
    <w:rsid w:val="00B82549"/>
    <w:rsid w:val="00B825DC"/>
    <w:rsid w:val="00B827F5"/>
    <w:rsid w:val="00B82986"/>
    <w:rsid w:val="00B829A8"/>
    <w:rsid w:val="00B82A27"/>
    <w:rsid w:val="00B82DB6"/>
    <w:rsid w:val="00B82DE6"/>
    <w:rsid w:val="00B83100"/>
    <w:rsid w:val="00B8314C"/>
    <w:rsid w:val="00B83372"/>
    <w:rsid w:val="00B8353D"/>
    <w:rsid w:val="00B836B0"/>
    <w:rsid w:val="00B8377E"/>
    <w:rsid w:val="00B83814"/>
    <w:rsid w:val="00B83A89"/>
    <w:rsid w:val="00B8403F"/>
    <w:rsid w:val="00B841C9"/>
    <w:rsid w:val="00B84310"/>
    <w:rsid w:val="00B84434"/>
    <w:rsid w:val="00B8475D"/>
    <w:rsid w:val="00B847F3"/>
    <w:rsid w:val="00B84994"/>
    <w:rsid w:val="00B84B16"/>
    <w:rsid w:val="00B84C59"/>
    <w:rsid w:val="00B84C7A"/>
    <w:rsid w:val="00B84D89"/>
    <w:rsid w:val="00B85010"/>
    <w:rsid w:val="00B85082"/>
    <w:rsid w:val="00B850A2"/>
    <w:rsid w:val="00B8518A"/>
    <w:rsid w:val="00B85226"/>
    <w:rsid w:val="00B85363"/>
    <w:rsid w:val="00B855F9"/>
    <w:rsid w:val="00B857FE"/>
    <w:rsid w:val="00B85836"/>
    <w:rsid w:val="00B858A2"/>
    <w:rsid w:val="00B858D1"/>
    <w:rsid w:val="00B85950"/>
    <w:rsid w:val="00B85983"/>
    <w:rsid w:val="00B85A6B"/>
    <w:rsid w:val="00B85BFC"/>
    <w:rsid w:val="00B85CF9"/>
    <w:rsid w:val="00B85D18"/>
    <w:rsid w:val="00B85DE6"/>
    <w:rsid w:val="00B85DEA"/>
    <w:rsid w:val="00B85E2C"/>
    <w:rsid w:val="00B85F66"/>
    <w:rsid w:val="00B86039"/>
    <w:rsid w:val="00B860F0"/>
    <w:rsid w:val="00B861ED"/>
    <w:rsid w:val="00B8632B"/>
    <w:rsid w:val="00B86330"/>
    <w:rsid w:val="00B864BB"/>
    <w:rsid w:val="00B864C2"/>
    <w:rsid w:val="00B865D7"/>
    <w:rsid w:val="00B86643"/>
    <w:rsid w:val="00B86AD6"/>
    <w:rsid w:val="00B86C2E"/>
    <w:rsid w:val="00B86C74"/>
    <w:rsid w:val="00B86E68"/>
    <w:rsid w:val="00B86F80"/>
    <w:rsid w:val="00B86FB6"/>
    <w:rsid w:val="00B8710F"/>
    <w:rsid w:val="00B87263"/>
    <w:rsid w:val="00B872DA"/>
    <w:rsid w:val="00B872DF"/>
    <w:rsid w:val="00B8735C"/>
    <w:rsid w:val="00B87513"/>
    <w:rsid w:val="00B8765E"/>
    <w:rsid w:val="00B87776"/>
    <w:rsid w:val="00B87780"/>
    <w:rsid w:val="00B8779B"/>
    <w:rsid w:val="00B87947"/>
    <w:rsid w:val="00B87A20"/>
    <w:rsid w:val="00B87F1E"/>
    <w:rsid w:val="00B90000"/>
    <w:rsid w:val="00B9057B"/>
    <w:rsid w:val="00B9079A"/>
    <w:rsid w:val="00B907CC"/>
    <w:rsid w:val="00B90902"/>
    <w:rsid w:val="00B90968"/>
    <w:rsid w:val="00B90A04"/>
    <w:rsid w:val="00B90A49"/>
    <w:rsid w:val="00B90A56"/>
    <w:rsid w:val="00B90AAD"/>
    <w:rsid w:val="00B90B1A"/>
    <w:rsid w:val="00B90B94"/>
    <w:rsid w:val="00B90CB8"/>
    <w:rsid w:val="00B90CEF"/>
    <w:rsid w:val="00B90FC9"/>
    <w:rsid w:val="00B9136C"/>
    <w:rsid w:val="00B913F1"/>
    <w:rsid w:val="00B91429"/>
    <w:rsid w:val="00B914C2"/>
    <w:rsid w:val="00B91554"/>
    <w:rsid w:val="00B915BC"/>
    <w:rsid w:val="00B9170F"/>
    <w:rsid w:val="00B917C2"/>
    <w:rsid w:val="00B917CA"/>
    <w:rsid w:val="00B919A3"/>
    <w:rsid w:val="00B91A1A"/>
    <w:rsid w:val="00B91AF5"/>
    <w:rsid w:val="00B91B19"/>
    <w:rsid w:val="00B91B49"/>
    <w:rsid w:val="00B91B91"/>
    <w:rsid w:val="00B91D21"/>
    <w:rsid w:val="00B91DA8"/>
    <w:rsid w:val="00B91E93"/>
    <w:rsid w:val="00B91FD1"/>
    <w:rsid w:val="00B9205A"/>
    <w:rsid w:val="00B921CD"/>
    <w:rsid w:val="00B9222C"/>
    <w:rsid w:val="00B922F8"/>
    <w:rsid w:val="00B92497"/>
    <w:rsid w:val="00B927B5"/>
    <w:rsid w:val="00B928C2"/>
    <w:rsid w:val="00B928CF"/>
    <w:rsid w:val="00B92919"/>
    <w:rsid w:val="00B92C65"/>
    <w:rsid w:val="00B92D67"/>
    <w:rsid w:val="00B92DE1"/>
    <w:rsid w:val="00B92E26"/>
    <w:rsid w:val="00B92E5B"/>
    <w:rsid w:val="00B92EE2"/>
    <w:rsid w:val="00B93047"/>
    <w:rsid w:val="00B9314F"/>
    <w:rsid w:val="00B9329F"/>
    <w:rsid w:val="00B9333F"/>
    <w:rsid w:val="00B934A2"/>
    <w:rsid w:val="00B93708"/>
    <w:rsid w:val="00B937C9"/>
    <w:rsid w:val="00B938F8"/>
    <w:rsid w:val="00B93B61"/>
    <w:rsid w:val="00B93D2D"/>
    <w:rsid w:val="00B94022"/>
    <w:rsid w:val="00B940C7"/>
    <w:rsid w:val="00B9410D"/>
    <w:rsid w:val="00B942BB"/>
    <w:rsid w:val="00B94435"/>
    <w:rsid w:val="00B9448A"/>
    <w:rsid w:val="00B94561"/>
    <w:rsid w:val="00B945E4"/>
    <w:rsid w:val="00B946BE"/>
    <w:rsid w:val="00B947A0"/>
    <w:rsid w:val="00B948E5"/>
    <w:rsid w:val="00B94AFD"/>
    <w:rsid w:val="00B94C4E"/>
    <w:rsid w:val="00B94CD7"/>
    <w:rsid w:val="00B94D2E"/>
    <w:rsid w:val="00B94D91"/>
    <w:rsid w:val="00B94EAC"/>
    <w:rsid w:val="00B950FE"/>
    <w:rsid w:val="00B9529B"/>
    <w:rsid w:val="00B954D4"/>
    <w:rsid w:val="00B95635"/>
    <w:rsid w:val="00B95876"/>
    <w:rsid w:val="00B958AC"/>
    <w:rsid w:val="00B95956"/>
    <w:rsid w:val="00B95DBD"/>
    <w:rsid w:val="00B95F5D"/>
    <w:rsid w:val="00B95FFD"/>
    <w:rsid w:val="00B9601D"/>
    <w:rsid w:val="00B961F0"/>
    <w:rsid w:val="00B965FC"/>
    <w:rsid w:val="00B96840"/>
    <w:rsid w:val="00B96A87"/>
    <w:rsid w:val="00B96AAF"/>
    <w:rsid w:val="00B96ACC"/>
    <w:rsid w:val="00B96C25"/>
    <w:rsid w:val="00B96D40"/>
    <w:rsid w:val="00B96E99"/>
    <w:rsid w:val="00B96F04"/>
    <w:rsid w:val="00B971D9"/>
    <w:rsid w:val="00B973DA"/>
    <w:rsid w:val="00B97426"/>
    <w:rsid w:val="00B974B0"/>
    <w:rsid w:val="00B97737"/>
    <w:rsid w:val="00B978E1"/>
    <w:rsid w:val="00B97FA5"/>
    <w:rsid w:val="00B9A54B"/>
    <w:rsid w:val="00BA0332"/>
    <w:rsid w:val="00BA04A0"/>
    <w:rsid w:val="00BA057C"/>
    <w:rsid w:val="00BA06A0"/>
    <w:rsid w:val="00BA079E"/>
    <w:rsid w:val="00BA08A8"/>
    <w:rsid w:val="00BA0A99"/>
    <w:rsid w:val="00BA0BEA"/>
    <w:rsid w:val="00BA0CD3"/>
    <w:rsid w:val="00BA0CEC"/>
    <w:rsid w:val="00BA0D1D"/>
    <w:rsid w:val="00BA0D24"/>
    <w:rsid w:val="00BA0D4A"/>
    <w:rsid w:val="00BA0D7C"/>
    <w:rsid w:val="00BA0ECB"/>
    <w:rsid w:val="00BA0F04"/>
    <w:rsid w:val="00BA1161"/>
    <w:rsid w:val="00BA127B"/>
    <w:rsid w:val="00BA1340"/>
    <w:rsid w:val="00BA13AB"/>
    <w:rsid w:val="00BA1514"/>
    <w:rsid w:val="00BA159E"/>
    <w:rsid w:val="00BA1845"/>
    <w:rsid w:val="00BA18D5"/>
    <w:rsid w:val="00BA18EC"/>
    <w:rsid w:val="00BA19F1"/>
    <w:rsid w:val="00BA1F4D"/>
    <w:rsid w:val="00BA229C"/>
    <w:rsid w:val="00BA24E6"/>
    <w:rsid w:val="00BA2576"/>
    <w:rsid w:val="00BA26EB"/>
    <w:rsid w:val="00BA28B3"/>
    <w:rsid w:val="00BA299B"/>
    <w:rsid w:val="00BA2A3D"/>
    <w:rsid w:val="00BA31FB"/>
    <w:rsid w:val="00BA333C"/>
    <w:rsid w:val="00BA364F"/>
    <w:rsid w:val="00BA38A0"/>
    <w:rsid w:val="00BA3933"/>
    <w:rsid w:val="00BA3D01"/>
    <w:rsid w:val="00BA3FFA"/>
    <w:rsid w:val="00BA401D"/>
    <w:rsid w:val="00BA4194"/>
    <w:rsid w:val="00BA42F7"/>
    <w:rsid w:val="00BA45D0"/>
    <w:rsid w:val="00BA47D9"/>
    <w:rsid w:val="00BA48D5"/>
    <w:rsid w:val="00BA494F"/>
    <w:rsid w:val="00BA4C72"/>
    <w:rsid w:val="00BA4DA7"/>
    <w:rsid w:val="00BA4DE9"/>
    <w:rsid w:val="00BA4F01"/>
    <w:rsid w:val="00BA4F04"/>
    <w:rsid w:val="00BA4F78"/>
    <w:rsid w:val="00BA4FEC"/>
    <w:rsid w:val="00BA5008"/>
    <w:rsid w:val="00BA508C"/>
    <w:rsid w:val="00BA52EE"/>
    <w:rsid w:val="00BA542D"/>
    <w:rsid w:val="00BA558A"/>
    <w:rsid w:val="00BA566D"/>
    <w:rsid w:val="00BA5708"/>
    <w:rsid w:val="00BA5C22"/>
    <w:rsid w:val="00BA5D11"/>
    <w:rsid w:val="00BA6291"/>
    <w:rsid w:val="00BA62F7"/>
    <w:rsid w:val="00BA6318"/>
    <w:rsid w:val="00BA665D"/>
    <w:rsid w:val="00BA6735"/>
    <w:rsid w:val="00BA68B4"/>
    <w:rsid w:val="00BA6939"/>
    <w:rsid w:val="00BA69BF"/>
    <w:rsid w:val="00BA69ED"/>
    <w:rsid w:val="00BA6A3C"/>
    <w:rsid w:val="00BA6B55"/>
    <w:rsid w:val="00BA6B7A"/>
    <w:rsid w:val="00BA6C2B"/>
    <w:rsid w:val="00BA6C2D"/>
    <w:rsid w:val="00BA6E43"/>
    <w:rsid w:val="00BA6F71"/>
    <w:rsid w:val="00BA6FC4"/>
    <w:rsid w:val="00BA703A"/>
    <w:rsid w:val="00BA71F1"/>
    <w:rsid w:val="00BA737F"/>
    <w:rsid w:val="00BA74DF"/>
    <w:rsid w:val="00BA756D"/>
    <w:rsid w:val="00BA7570"/>
    <w:rsid w:val="00BA75CF"/>
    <w:rsid w:val="00BA7640"/>
    <w:rsid w:val="00BA77C7"/>
    <w:rsid w:val="00BA7850"/>
    <w:rsid w:val="00BA7894"/>
    <w:rsid w:val="00BA7979"/>
    <w:rsid w:val="00BA7E4B"/>
    <w:rsid w:val="00BA7E8F"/>
    <w:rsid w:val="00BA7F9E"/>
    <w:rsid w:val="00BB0084"/>
    <w:rsid w:val="00BB01E6"/>
    <w:rsid w:val="00BB024C"/>
    <w:rsid w:val="00BB080D"/>
    <w:rsid w:val="00BB0872"/>
    <w:rsid w:val="00BB0893"/>
    <w:rsid w:val="00BB0A9F"/>
    <w:rsid w:val="00BB0DC2"/>
    <w:rsid w:val="00BB0FF0"/>
    <w:rsid w:val="00BB1078"/>
    <w:rsid w:val="00BB12A5"/>
    <w:rsid w:val="00BB12DA"/>
    <w:rsid w:val="00BB1465"/>
    <w:rsid w:val="00BB150C"/>
    <w:rsid w:val="00BB16AE"/>
    <w:rsid w:val="00BB1771"/>
    <w:rsid w:val="00BB177C"/>
    <w:rsid w:val="00BB1A0E"/>
    <w:rsid w:val="00BB1C27"/>
    <w:rsid w:val="00BB1CF9"/>
    <w:rsid w:val="00BB1D0B"/>
    <w:rsid w:val="00BB1EA2"/>
    <w:rsid w:val="00BB213F"/>
    <w:rsid w:val="00BB2225"/>
    <w:rsid w:val="00BB246B"/>
    <w:rsid w:val="00BB24CF"/>
    <w:rsid w:val="00BB25D3"/>
    <w:rsid w:val="00BB2635"/>
    <w:rsid w:val="00BB2655"/>
    <w:rsid w:val="00BB26A4"/>
    <w:rsid w:val="00BB26C1"/>
    <w:rsid w:val="00BB28D1"/>
    <w:rsid w:val="00BB2963"/>
    <w:rsid w:val="00BB2B24"/>
    <w:rsid w:val="00BB2C66"/>
    <w:rsid w:val="00BB3112"/>
    <w:rsid w:val="00BB31F8"/>
    <w:rsid w:val="00BB3403"/>
    <w:rsid w:val="00BB38CC"/>
    <w:rsid w:val="00BB38F9"/>
    <w:rsid w:val="00BB3A0D"/>
    <w:rsid w:val="00BB3B1F"/>
    <w:rsid w:val="00BB3C15"/>
    <w:rsid w:val="00BB3C4F"/>
    <w:rsid w:val="00BB3ED7"/>
    <w:rsid w:val="00BB423C"/>
    <w:rsid w:val="00BB425B"/>
    <w:rsid w:val="00BB4620"/>
    <w:rsid w:val="00BB4679"/>
    <w:rsid w:val="00BB4850"/>
    <w:rsid w:val="00BB48BB"/>
    <w:rsid w:val="00BB49E3"/>
    <w:rsid w:val="00BB4F5B"/>
    <w:rsid w:val="00BB505B"/>
    <w:rsid w:val="00BB50DF"/>
    <w:rsid w:val="00BB5205"/>
    <w:rsid w:val="00BB5307"/>
    <w:rsid w:val="00BB5398"/>
    <w:rsid w:val="00BB5432"/>
    <w:rsid w:val="00BB54B0"/>
    <w:rsid w:val="00BB55FD"/>
    <w:rsid w:val="00BB5685"/>
    <w:rsid w:val="00BB573E"/>
    <w:rsid w:val="00BB5B66"/>
    <w:rsid w:val="00BB5E77"/>
    <w:rsid w:val="00BB5EFB"/>
    <w:rsid w:val="00BB5F52"/>
    <w:rsid w:val="00BB5F8C"/>
    <w:rsid w:val="00BB5FF3"/>
    <w:rsid w:val="00BB60F1"/>
    <w:rsid w:val="00BB6382"/>
    <w:rsid w:val="00BB6454"/>
    <w:rsid w:val="00BB6494"/>
    <w:rsid w:val="00BB6498"/>
    <w:rsid w:val="00BB663C"/>
    <w:rsid w:val="00BB6910"/>
    <w:rsid w:val="00BB6985"/>
    <w:rsid w:val="00BB69C4"/>
    <w:rsid w:val="00BB69C8"/>
    <w:rsid w:val="00BB6D75"/>
    <w:rsid w:val="00BB6D8F"/>
    <w:rsid w:val="00BB6DF9"/>
    <w:rsid w:val="00BB6EF0"/>
    <w:rsid w:val="00BB7003"/>
    <w:rsid w:val="00BB7179"/>
    <w:rsid w:val="00BB71DC"/>
    <w:rsid w:val="00BB72A5"/>
    <w:rsid w:val="00BB745E"/>
    <w:rsid w:val="00BB7674"/>
    <w:rsid w:val="00BB7A14"/>
    <w:rsid w:val="00BB7ACE"/>
    <w:rsid w:val="00BB7BCA"/>
    <w:rsid w:val="00BB7BDF"/>
    <w:rsid w:val="00BB7CB9"/>
    <w:rsid w:val="00BB7EB0"/>
    <w:rsid w:val="00BC0113"/>
    <w:rsid w:val="00BC02B8"/>
    <w:rsid w:val="00BC058A"/>
    <w:rsid w:val="00BC0DBA"/>
    <w:rsid w:val="00BC0EFC"/>
    <w:rsid w:val="00BC0F8A"/>
    <w:rsid w:val="00BC11CC"/>
    <w:rsid w:val="00BC12BC"/>
    <w:rsid w:val="00BC1336"/>
    <w:rsid w:val="00BC1470"/>
    <w:rsid w:val="00BC1479"/>
    <w:rsid w:val="00BC1525"/>
    <w:rsid w:val="00BC1560"/>
    <w:rsid w:val="00BC1626"/>
    <w:rsid w:val="00BC1805"/>
    <w:rsid w:val="00BC1899"/>
    <w:rsid w:val="00BC18D5"/>
    <w:rsid w:val="00BC1A2C"/>
    <w:rsid w:val="00BC1A94"/>
    <w:rsid w:val="00BC1A9F"/>
    <w:rsid w:val="00BC1DDA"/>
    <w:rsid w:val="00BC209E"/>
    <w:rsid w:val="00BC23E9"/>
    <w:rsid w:val="00BC2462"/>
    <w:rsid w:val="00BC2536"/>
    <w:rsid w:val="00BC2903"/>
    <w:rsid w:val="00BC299E"/>
    <w:rsid w:val="00BC2A8C"/>
    <w:rsid w:val="00BC2ACA"/>
    <w:rsid w:val="00BC2B3E"/>
    <w:rsid w:val="00BC2D51"/>
    <w:rsid w:val="00BC2E5D"/>
    <w:rsid w:val="00BC2EBB"/>
    <w:rsid w:val="00BC3177"/>
    <w:rsid w:val="00BC3279"/>
    <w:rsid w:val="00BC32C6"/>
    <w:rsid w:val="00BC33B7"/>
    <w:rsid w:val="00BC3591"/>
    <w:rsid w:val="00BC3698"/>
    <w:rsid w:val="00BC37A0"/>
    <w:rsid w:val="00BC380A"/>
    <w:rsid w:val="00BC3967"/>
    <w:rsid w:val="00BC3A36"/>
    <w:rsid w:val="00BC3A78"/>
    <w:rsid w:val="00BC3C50"/>
    <w:rsid w:val="00BC3EA9"/>
    <w:rsid w:val="00BC406B"/>
    <w:rsid w:val="00BC41D7"/>
    <w:rsid w:val="00BC4256"/>
    <w:rsid w:val="00BC4500"/>
    <w:rsid w:val="00BC4554"/>
    <w:rsid w:val="00BC48E5"/>
    <w:rsid w:val="00BC4B52"/>
    <w:rsid w:val="00BC4B64"/>
    <w:rsid w:val="00BC4C21"/>
    <w:rsid w:val="00BC4CB0"/>
    <w:rsid w:val="00BC4D7F"/>
    <w:rsid w:val="00BC4EAF"/>
    <w:rsid w:val="00BC4F3A"/>
    <w:rsid w:val="00BC5049"/>
    <w:rsid w:val="00BC51A9"/>
    <w:rsid w:val="00BC5339"/>
    <w:rsid w:val="00BC5472"/>
    <w:rsid w:val="00BC555D"/>
    <w:rsid w:val="00BC55C2"/>
    <w:rsid w:val="00BC57EF"/>
    <w:rsid w:val="00BC583B"/>
    <w:rsid w:val="00BC5848"/>
    <w:rsid w:val="00BC59D5"/>
    <w:rsid w:val="00BC5A27"/>
    <w:rsid w:val="00BC5A59"/>
    <w:rsid w:val="00BC5A75"/>
    <w:rsid w:val="00BC5BCD"/>
    <w:rsid w:val="00BC5D9F"/>
    <w:rsid w:val="00BC5F03"/>
    <w:rsid w:val="00BC601D"/>
    <w:rsid w:val="00BC605A"/>
    <w:rsid w:val="00BC6329"/>
    <w:rsid w:val="00BC691E"/>
    <w:rsid w:val="00BC6C3F"/>
    <w:rsid w:val="00BC6D18"/>
    <w:rsid w:val="00BC6D83"/>
    <w:rsid w:val="00BC6E1D"/>
    <w:rsid w:val="00BC6E6F"/>
    <w:rsid w:val="00BC6F81"/>
    <w:rsid w:val="00BC70CB"/>
    <w:rsid w:val="00BC7103"/>
    <w:rsid w:val="00BC71C4"/>
    <w:rsid w:val="00BC7378"/>
    <w:rsid w:val="00BC737C"/>
    <w:rsid w:val="00BC73B4"/>
    <w:rsid w:val="00BC7602"/>
    <w:rsid w:val="00BC7B46"/>
    <w:rsid w:val="00BC7B7C"/>
    <w:rsid w:val="00BC7DA7"/>
    <w:rsid w:val="00BC7DE8"/>
    <w:rsid w:val="00BC7E3A"/>
    <w:rsid w:val="00BD002D"/>
    <w:rsid w:val="00BD005B"/>
    <w:rsid w:val="00BD03EE"/>
    <w:rsid w:val="00BD03F6"/>
    <w:rsid w:val="00BD0455"/>
    <w:rsid w:val="00BD05E8"/>
    <w:rsid w:val="00BD06ED"/>
    <w:rsid w:val="00BD0783"/>
    <w:rsid w:val="00BD078A"/>
    <w:rsid w:val="00BD083C"/>
    <w:rsid w:val="00BD08A9"/>
    <w:rsid w:val="00BD0979"/>
    <w:rsid w:val="00BD099F"/>
    <w:rsid w:val="00BD09E7"/>
    <w:rsid w:val="00BD0B70"/>
    <w:rsid w:val="00BD0DA3"/>
    <w:rsid w:val="00BD0E09"/>
    <w:rsid w:val="00BD0F25"/>
    <w:rsid w:val="00BD0F95"/>
    <w:rsid w:val="00BD1314"/>
    <w:rsid w:val="00BD1375"/>
    <w:rsid w:val="00BD1444"/>
    <w:rsid w:val="00BD14F3"/>
    <w:rsid w:val="00BD1626"/>
    <w:rsid w:val="00BD1647"/>
    <w:rsid w:val="00BD1961"/>
    <w:rsid w:val="00BD1B48"/>
    <w:rsid w:val="00BD1C8C"/>
    <w:rsid w:val="00BD1FE6"/>
    <w:rsid w:val="00BD20D6"/>
    <w:rsid w:val="00BD2134"/>
    <w:rsid w:val="00BD215F"/>
    <w:rsid w:val="00BD232E"/>
    <w:rsid w:val="00BD25C6"/>
    <w:rsid w:val="00BD266B"/>
    <w:rsid w:val="00BD2B3D"/>
    <w:rsid w:val="00BD2CE1"/>
    <w:rsid w:val="00BD2E88"/>
    <w:rsid w:val="00BD301F"/>
    <w:rsid w:val="00BD3046"/>
    <w:rsid w:val="00BD3141"/>
    <w:rsid w:val="00BD33F4"/>
    <w:rsid w:val="00BD34C7"/>
    <w:rsid w:val="00BD34DA"/>
    <w:rsid w:val="00BD3626"/>
    <w:rsid w:val="00BD36EF"/>
    <w:rsid w:val="00BD37F9"/>
    <w:rsid w:val="00BD37FE"/>
    <w:rsid w:val="00BD3BA8"/>
    <w:rsid w:val="00BD3E1A"/>
    <w:rsid w:val="00BD3E34"/>
    <w:rsid w:val="00BD403B"/>
    <w:rsid w:val="00BD42E4"/>
    <w:rsid w:val="00BD4357"/>
    <w:rsid w:val="00BD441A"/>
    <w:rsid w:val="00BD4C9F"/>
    <w:rsid w:val="00BD4CD6"/>
    <w:rsid w:val="00BD5082"/>
    <w:rsid w:val="00BD513B"/>
    <w:rsid w:val="00BD51B4"/>
    <w:rsid w:val="00BD52C3"/>
    <w:rsid w:val="00BD52D6"/>
    <w:rsid w:val="00BD53B5"/>
    <w:rsid w:val="00BD5472"/>
    <w:rsid w:val="00BD5481"/>
    <w:rsid w:val="00BD583D"/>
    <w:rsid w:val="00BD5908"/>
    <w:rsid w:val="00BD595C"/>
    <w:rsid w:val="00BD5A2E"/>
    <w:rsid w:val="00BD5B73"/>
    <w:rsid w:val="00BD5C3D"/>
    <w:rsid w:val="00BD5D8A"/>
    <w:rsid w:val="00BD5E9E"/>
    <w:rsid w:val="00BD5F84"/>
    <w:rsid w:val="00BD617F"/>
    <w:rsid w:val="00BD656A"/>
    <w:rsid w:val="00BD65D8"/>
    <w:rsid w:val="00BD667A"/>
    <w:rsid w:val="00BD68AF"/>
    <w:rsid w:val="00BD6E2E"/>
    <w:rsid w:val="00BD6E9C"/>
    <w:rsid w:val="00BD6F08"/>
    <w:rsid w:val="00BD6FF5"/>
    <w:rsid w:val="00BD70D6"/>
    <w:rsid w:val="00BD70F6"/>
    <w:rsid w:val="00BD7124"/>
    <w:rsid w:val="00BD7414"/>
    <w:rsid w:val="00BD74E3"/>
    <w:rsid w:val="00BD74E4"/>
    <w:rsid w:val="00BD7790"/>
    <w:rsid w:val="00BD77D2"/>
    <w:rsid w:val="00BD782C"/>
    <w:rsid w:val="00BD7B67"/>
    <w:rsid w:val="00BD7D0C"/>
    <w:rsid w:val="00BD7D42"/>
    <w:rsid w:val="00BD7D9D"/>
    <w:rsid w:val="00BD7F04"/>
    <w:rsid w:val="00BE0055"/>
    <w:rsid w:val="00BE0060"/>
    <w:rsid w:val="00BE006D"/>
    <w:rsid w:val="00BE0081"/>
    <w:rsid w:val="00BE0175"/>
    <w:rsid w:val="00BE0334"/>
    <w:rsid w:val="00BE0455"/>
    <w:rsid w:val="00BE0474"/>
    <w:rsid w:val="00BE04CA"/>
    <w:rsid w:val="00BE0569"/>
    <w:rsid w:val="00BE05ED"/>
    <w:rsid w:val="00BE069C"/>
    <w:rsid w:val="00BE08C2"/>
    <w:rsid w:val="00BE0EB2"/>
    <w:rsid w:val="00BE1057"/>
    <w:rsid w:val="00BE107A"/>
    <w:rsid w:val="00BE10D8"/>
    <w:rsid w:val="00BE10E1"/>
    <w:rsid w:val="00BE1285"/>
    <w:rsid w:val="00BE1574"/>
    <w:rsid w:val="00BE16EB"/>
    <w:rsid w:val="00BE1A32"/>
    <w:rsid w:val="00BE1A4E"/>
    <w:rsid w:val="00BE1A50"/>
    <w:rsid w:val="00BE1AAB"/>
    <w:rsid w:val="00BE1CC3"/>
    <w:rsid w:val="00BE20EC"/>
    <w:rsid w:val="00BE241E"/>
    <w:rsid w:val="00BE264E"/>
    <w:rsid w:val="00BE265B"/>
    <w:rsid w:val="00BE2716"/>
    <w:rsid w:val="00BE2751"/>
    <w:rsid w:val="00BE2764"/>
    <w:rsid w:val="00BE2946"/>
    <w:rsid w:val="00BE2A09"/>
    <w:rsid w:val="00BE2A73"/>
    <w:rsid w:val="00BE2BBC"/>
    <w:rsid w:val="00BE2C14"/>
    <w:rsid w:val="00BE2CA6"/>
    <w:rsid w:val="00BE2D9F"/>
    <w:rsid w:val="00BE2E80"/>
    <w:rsid w:val="00BE2F7F"/>
    <w:rsid w:val="00BE312A"/>
    <w:rsid w:val="00BE336A"/>
    <w:rsid w:val="00BE345D"/>
    <w:rsid w:val="00BE3548"/>
    <w:rsid w:val="00BE36ED"/>
    <w:rsid w:val="00BE37FF"/>
    <w:rsid w:val="00BE3809"/>
    <w:rsid w:val="00BE3850"/>
    <w:rsid w:val="00BE3B21"/>
    <w:rsid w:val="00BE3BDB"/>
    <w:rsid w:val="00BE3E1F"/>
    <w:rsid w:val="00BE3EBD"/>
    <w:rsid w:val="00BE4156"/>
    <w:rsid w:val="00BE4621"/>
    <w:rsid w:val="00BE46C7"/>
    <w:rsid w:val="00BE4738"/>
    <w:rsid w:val="00BE4877"/>
    <w:rsid w:val="00BE4AB7"/>
    <w:rsid w:val="00BE4BC1"/>
    <w:rsid w:val="00BE4D6A"/>
    <w:rsid w:val="00BE505D"/>
    <w:rsid w:val="00BE5083"/>
    <w:rsid w:val="00BE5142"/>
    <w:rsid w:val="00BE51EA"/>
    <w:rsid w:val="00BE51FC"/>
    <w:rsid w:val="00BE5369"/>
    <w:rsid w:val="00BE53D9"/>
    <w:rsid w:val="00BE54D6"/>
    <w:rsid w:val="00BE568A"/>
    <w:rsid w:val="00BE58E2"/>
    <w:rsid w:val="00BE5D1C"/>
    <w:rsid w:val="00BE5D29"/>
    <w:rsid w:val="00BE5D38"/>
    <w:rsid w:val="00BE5E08"/>
    <w:rsid w:val="00BE5E97"/>
    <w:rsid w:val="00BE60AD"/>
    <w:rsid w:val="00BE61F2"/>
    <w:rsid w:val="00BE63DF"/>
    <w:rsid w:val="00BE673E"/>
    <w:rsid w:val="00BE67F8"/>
    <w:rsid w:val="00BE6846"/>
    <w:rsid w:val="00BE6A3D"/>
    <w:rsid w:val="00BE6D25"/>
    <w:rsid w:val="00BE6F6F"/>
    <w:rsid w:val="00BE7148"/>
    <w:rsid w:val="00BE73CF"/>
    <w:rsid w:val="00BE7505"/>
    <w:rsid w:val="00BE7523"/>
    <w:rsid w:val="00BE76A1"/>
    <w:rsid w:val="00BE7705"/>
    <w:rsid w:val="00BE771C"/>
    <w:rsid w:val="00BE7739"/>
    <w:rsid w:val="00BE77DB"/>
    <w:rsid w:val="00BE77DE"/>
    <w:rsid w:val="00BE78A0"/>
    <w:rsid w:val="00BE7A41"/>
    <w:rsid w:val="00BE7B29"/>
    <w:rsid w:val="00BE7C08"/>
    <w:rsid w:val="00BF0291"/>
    <w:rsid w:val="00BF04AF"/>
    <w:rsid w:val="00BF0808"/>
    <w:rsid w:val="00BF080C"/>
    <w:rsid w:val="00BF0ABF"/>
    <w:rsid w:val="00BF0CA0"/>
    <w:rsid w:val="00BF0F03"/>
    <w:rsid w:val="00BF1245"/>
    <w:rsid w:val="00BF1298"/>
    <w:rsid w:val="00BF12A6"/>
    <w:rsid w:val="00BF1545"/>
    <w:rsid w:val="00BF15FA"/>
    <w:rsid w:val="00BF1A52"/>
    <w:rsid w:val="00BF1B27"/>
    <w:rsid w:val="00BF1FB1"/>
    <w:rsid w:val="00BF20EE"/>
    <w:rsid w:val="00BF2373"/>
    <w:rsid w:val="00BF24F4"/>
    <w:rsid w:val="00BF276E"/>
    <w:rsid w:val="00BF27A2"/>
    <w:rsid w:val="00BF27E4"/>
    <w:rsid w:val="00BF2C4C"/>
    <w:rsid w:val="00BF2DFC"/>
    <w:rsid w:val="00BF2F6C"/>
    <w:rsid w:val="00BF2F85"/>
    <w:rsid w:val="00BF30C3"/>
    <w:rsid w:val="00BF33B2"/>
    <w:rsid w:val="00BF34FB"/>
    <w:rsid w:val="00BF350E"/>
    <w:rsid w:val="00BF3682"/>
    <w:rsid w:val="00BF3732"/>
    <w:rsid w:val="00BF37D8"/>
    <w:rsid w:val="00BF3844"/>
    <w:rsid w:val="00BF3A4D"/>
    <w:rsid w:val="00BF3AB7"/>
    <w:rsid w:val="00BF3B01"/>
    <w:rsid w:val="00BF3B59"/>
    <w:rsid w:val="00BF3B6F"/>
    <w:rsid w:val="00BF3BBE"/>
    <w:rsid w:val="00BF3D3F"/>
    <w:rsid w:val="00BF3DB2"/>
    <w:rsid w:val="00BF3DFE"/>
    <w:rsid w:val="00BF3EB0"/>
    <w:rsid w:val="00BF4001"/>
    <w:rsid w:val="00BF41CE"/>
    <w:rsid w:val="00BF42FB"/>
    <w:rsid w:val="00BF43C4"/>
    <w:rsid w:val="00BF4424"/>
    <w:rsid w:val="00BF45A2"/>
    <w:rsid w:val="00BF46F5"/>
    <w:rsid w:val="00BF4856"/>
    <w:rsid w:val="00BF4866"/>
    <w:rsid w:val="00BF4870"/>
    <w:rsid w:val="00BF4D81"/>
    <w:rsid w:val="00BF5096"/>
    <w:rsid w:val="00BF5173"/>
    <w:rsid w:val="00BF5505"/>
    <w:rsid w:val="00BF578B"/>
    <w:rsid w:val="00BF5796"/>
    <w:rsid w:val="00BF57F6"/>
    <w:rsid w:val="00BF5A85"/>
    <w:rsid w:val="00BF5BB2"/>
    <w:rsid w:val="00BF5BC3"/>
    <w:rsid w:val="00BF5C82"/>
    <w:rsid w:val="00BF63C9"/>
    <w:rsid w:val="00BF63E5"/>
    <w:rsid w:val="00BF659A"/>
    <w:rsid w:val="00BF6B53"/>
    <w:rsid w:val="00BF6CF8"/>
    <w:rsid w:val="00BF6E6A"/>
    <w:rsid w:val="00BF6EBB"/>
    <w:rsid w:val="00BF7439"/>
    <w:rsid w:val="00BF74F5"/>
    <w:rsid w:val="00BF7531"/>
    <w:rsid w:val="00BF7A75"/>
    <w:rsid w:val="00BF7F0C"/>
    <w:rsid w:val="00BF7F5D"/>
    <w:rsid w:val="00BF7F77"/>
    <w:rsid w:val="00C000A8"/>
    <w:rsid w:val="00C00131"/>
    <w:rsid w:val="00C004E6"/>
    <w:rsid w:val="00C00AEA"/>
    <w:rsid w:val="00C00BC2"/>
    <w:rsid w:val="00C00CB5"/>
    <w:rsid w:val="00C00F32"/>
    <w:rsid w:val="00C00F82"/>
    <w:rsid w:val="00C01187"/>
    <w:rsid w:val="00C01199"/>
    <w:rsid w:val="00C01593"/>
    <w:rsid w:val="00C015E1"/>
    <w:rsid w:val="00C01703"/>
    <w:rsid w:val="00C017D3"/>
    <w:rsid w:val="00C0188B"/>
    <w:rsid w:val="00C018EB"/>
    <w:rsid w:val="00C01A1A"/>
    <w:rsid w:val="00C01C33"/>
    <w:rsid w:val="00C01C5C"/>
    <w:rsid w:val="00C01CA7"/>
    <w:rsid w:val="00C01E02"/>
    <w:rsid w:val="00C01E77"/>
    <w:rsid w:val="00C020FA"/>
    <w:rsid w:val="00C0250B"/>
    <w:rsid w:val="00C02618"/>
    <w:rsid w:val="00C02702"/>
    <w:rsid w:val="00C028B8"/>
    <w:rsid w:val="00C02AE9"/>
    <w:rsid w:val="00C02B26"/>
    <w:rsid w:val="00C02B69"/>
    <w:rsid w:val="00C02D59"/>
    <w:rsid w:val="00C02D6F"/>
    <w:rsid w:val="00C02DA4"/>
    <w:rsid w:val="00C02E28"/>
    <w:rsid w:val="00C02EF7"/>
    <w:rsid w:val="00C02F58"/>
    <w:rsid w:val="00C031AB"/>
    <w:rsid w:val="00C03223"/>
    <w:rsid w:val="00C032BC"/>
    <w:rsid w:val="00C032BE"/>
    <w:rsid w:val="00C033C2"/>
    <w:rsid w:val="00C0342F"/>
    <w:rsid w:val="00C034B7"/>
    <w:rsid w:val="00C036C9"/>
    <w:rsid w:val="00C03766"/>
    <w:rsid w:val="00C038A7"/>
    <w:rsid w:val="00C03AE6"/>
    <w:rsid w:val="00C03C3A"/>
    <w:rsid w:val="00C03D37"/>
    <w:rsid w:val="00C03DA0"/>
    <w:rsid w:val="00C03EE4"/>
    <w:rsid w:val="00C04054"/>
    <w:rsid w:val="00C04229"/>
    <w:rsid w:val="00C042C1"/>
    <w:rsid w:val="00C0445B"/>
    <w:rsid w:val="00C0458A"/>
    <w:rsid w:val="00C045C1"/>
    <w:rsid w:val="00C04669"/>
    <w:rsid w:val="00C049D1"/>
    <w:rsid w:val="00C04B71"/>
    <w:rsid w:val="00C05025"/>
    <w:rsid w:val="00C0506A"/>
    <w:rsid w:val="00C052B2"/>
    <w:rsid w:val="00C05383"/>
    <w:rsid w:val="00C05422"/>
    <w:rsid w:val="00C05580"/>
    <w:rsid w:val="00C05966"/>
    <w:rsid w:val="00C05A9C"/>
    <w:rsid w:val="00C05B35"/>
    <w:rsid w:val="00C05BA5"/>
    <w:rsid w:val="00C05C48"/>
    <w:rsid w:val="00C05C53"/>
    <w:rsid w:val="00C05CFA"/>
    <w:rsid w:val="00C05F5D"/>
    <w:rsid w:val="00C06495"/>
    <w:rsid w:val="00C065EB"/>
    <w:rsid w:val="00C06697"/>
    <w:rsid w:val="00C06951"/>
    <w:rsid w:val="00C069AC"/>
    <w:rsid w:val="00C069D4"/>
    <w:rsid w:val="00C06B4D"/>
    <w:rsid w:val="00C06EDD"/>
    <w:rsid w:val="00C07333"/>
    <w:rsid w:val="00C07518"/>
    <w:rsid w:val="00C0752D"/>
    <w:rsid w:val="00C07788"/>
    <w:rsid w:val="00C07826"/>
    <w:rsid w:val="00C07842"/>
    <w:rsid w:val="00C07AFB"/>
    <w:rsid w:val="00C07B3C"/>
    <w:rsid w:val="00C07C88"/>
    <w:rsid w:val="00C07D8C"/>
    <w:rsid w:val="00C07ED7"/>
    <w:rsid w:val="00C100F2"/>
    <w:rsid w:val="00C1015A"/>
    <w:rsid w:val="00C101B3"/>
    <w:rsid w:val="00C104C3"/>
    <w:rsid w:val="00C10632"/>
    <w:rsid w:val="00C10883"/>
    <w:rsid w:val="00C10923"/>
    <w:rsid w:val="00C1096E"/>
    <w:rsid w:val="00C109A3"/>
    <w:rsid w:val="00C10A08"/>
    <w:rsid w:val="00C10B2E"/>
    <w:rsid w:val="00C10D5D"/>
    <w:rsid w:val="00C10E21"/>
    <w:rsid w:val="00C10EB3"/>
    <w:rsid w:val="00C10F7F"/>
    <w:rsid w:val="00C10FC5"/>
    <w:rsid w:val="00C1105D"/>
    <w:rsid w:val="00C11107"/>
    <w:rsid w:val="00C1110E"/>
    <w:rsid w:val="00C1122F"/>
    <w:rsid w:val="00C11469"/>
    <w:rsid w:val="00C11497"/>
    <w:rsid w:val="00C1159A"/>
    <w:rsid w:val="00C11679"/>
    <w:rsid w:val="00C11719"/>
    <w:rsid w:val="00C11834"/>
    <w:rsid w:val="00C118A3"/>
    <w:rsid w:val="00C11977"/>
    <w:rsid w:val="00C11BC3"/>
    <w:rsid w:val="00C11C35"/>
    <w:rsid w:val="00C11E31"/>
    <w:rsid w:val="00C11F6B"/>
    <w:rsid w:val="00C120C3"/>
    <w:rsid w:val="00C1215C"/>
    <w:rsid w:val="00C121E6"/>
    <w:rsid w:val="00C12271"/>
    <w:rsid w:val="00C12511"/>
    <w:rsid w:val="00C12549"/>
    <w:rsid w:val="00C127A1"/>
    <w:rsid w:val="00C12852"/>
    <w:rsid w:val="00C12916"/>
    <w:rsid w:val="00C129A3"/>
    <w:rsid w:val="00C129C1"/>
    <w:rsid w:val="00C12A21"/>
    <w:rsid w:val="00C12A80"/>
    <w:rsid w:val="00C12E10"/>
    <w:rsid w:val="00C12E20"/>
    <w:rsid w:val="00C12E3B"/>
    <w:rsid w:val="00C12F3F"/>
    <w:rsid w:val="00C12F41"/>
    <w:rsid w:val="00C12F6C"/>
    <w:rsid w:val="00C13079"/>
    <w:rsid w:val="00C135E6"/>
    <w:rsid w:val="00C1387B"/>
    <w:rsid w:val="00C13A73"/>
    <w:rsid w:val="00C13DC3"/>
    <w:rsid w:val="00C13E09"/>
    <w:rsid w:val="00C13E89"/>
    <w:rsid w:val="00C13EC4"/>
    <w:rsid w:val="00C13F86"/>
    <w:rsid w:val="00C1412E"/>
    <w:rsid w:val="00C1420B"/>
    <w:rsid w:val="00C1424F"/>
    <w:rsid w:val="00C143C7"/>
    <w:rsid w:val="00C143D1"/>
    <w:rsid w:val="00C1441F"/>
    <w:rsid w:val="00C14651"/>
    <w:rsid w:val="00C146CE"/>
    <w:rsid w:val="00C146F6"/>
    <w:rsid w:val="00C148F3"/>
    <w:rsid w:val="00C14971"/>
    <w:rsid w:val="00C14981"/>
    <w:rsid w:val="00C14C8C"/>
    <w:rsid w:val="00C14CE5"/>
    <w:rsid w:val="00C14E7E"/>
    <w:rsid w:val="00C15071"/>
    <w:rsid w:val="00C15395"/>
    <w:rsid w:val="00C153E3"/>
    <w:rsid w:val="00C15541"/>
    <w:rsid w:val="00C1554D"/>
    <w:rsid w:val="00C15570"/>
    <w:rsid w:val="00C155D3"/>
    <w:rsid w:val="00C155FD"/>
    <w:rsid w:val="00C15715"/>
    <w:rsid w:val="00C158D4"/>
    <w:rsid w:val="00C15D8B"/>
    <w:rsid w:val="00C15EE0"/>
    <w:rsid w:val="00C160FA"/>
    <w:rsid w:val="00C161D8"/>
    <w:rsid w:val="00C16463"/>
    <w:rsid w:val="00C16729"/>
    <w:rsid w:val="00C1677F"/>
    <w:rsid w:val="00C1678F"/>
    <w:rsid w:val="00C1695C"/>
    <w:rsid w:val="00C169D6"/>
    <w:rsid w:val="00C16B2D"/>
    <w:rsid w:val="00C16CD2"/>
    <w:rsid w:val="00C16CF3"/>
    <w:rsid w:val="00C171DF"/>
    <w:rsid w:val="00C1727E"/>
    <w:rsid w:val="00C17470"/>
    <w:rsid w:val="00C17995"/>
    <w:rsid w:val="00C17C3F"/>
    <w:rsid w:val="00C17C6B"/>
    <w:rsid w:val="00C17D06"/>
    <w:rsid w:val="00C17EB4"/>
    <w:rsid w:val="00C2024D"/>
    <w:rsid w:val="00C20373"/>
    <w:rsid w:val="00C2038B"/>
    <w:rsid w:val="00C20429"/>
    <w:rsid w:val="00C206E9"/>
    <w:rsid w:val="00C20738"/>
    <w:rsid w:val="00C20879"/>
    <w:rsid w:val="00C208B2"/>
    <w:rsid w:val="00C20932"/>
    <w:rsid w:val="00C20954"/>
    <w:rsid w:val="00C20990"/>
    <w:rsid w:val="00C209F8"/>
    <w:rsid w:val="00C20B31"/>
    <w:rsid w:val="00C20C01"/>
    <w:rsid w:val="00C20C80"/>
    <w:rsid w:val="00C2100F"/>
    <w:rsid w:val="00C21272"/>
    <w:rsid w:val="00C21279"/>
    <w:rsid w:val="00C2127C"/>
    <w:rsid w:val="00C213E3"/>
    <w:rsid w:val="00C214A7"/>
    <w:rsid w:val="00C215EF"/>
    <w:rsid w:val="00C2169C"/>
    <w:rsid w:val="00C21782"/>
    <w:rsid w:val="00C21A5A"/>
    <w:rsid w:val="00C21AE2"/>
    <w:rsid w:val="00C21AFB"/>
    <w:rsid w:val="00C21BEF"/>
    <w:rsid w:val="00C21BF2"/>
    <w:rsid w:val="00C22034"/>
    <w:rsid w:val="00C22126"/>
    <w:rsid w:val="00C22232"/>
    <w:rsid w:val="00C222B9"/>
    <w:rsid w:val="00C2239F"/>
    <w:rsid w:val="00C22556"/>
    <w:rsid w:val="00C22560"/>
    <w:rsid w:val="00C2258D"/>
    <w:rsid w:val="00C22677"/>
    <w:rsid w:val="00C22810"/>
    <w:rsid w:val="00C22BA4"/>
    <w:rsid w:val="00C22D0B"/>
    <w:rsid w:val="00C22DF2"/>
    <w:rsid w:val="00C22E48"/>
    <w:rsid w:val="00C2302B"/>
    <w:rsid w:val="00C230E2"/>
    <w:rsid w:val="00C232F8"/>
    <w:rsid w:val="00C23425"/>
    <w:rsid w:val="00C2348E"/>
    <w:rsid w:val="00C237B3"/>
    <w:rsid w:val="00C2380A"/>
    <w:rsid w:val="00C23B25"/>
    <w:rsid w:val="00C23C7B"/>
    <w:rsid w:val="00C23CB0"/>
    <w:rsid w:val="00C24140"/>
    <w:rsid w:val="00C2415E"/>
    <w:rsid w:val="00C241DB"/>
    <w:rsid w:val="00C24224"/>
    <w:rsid w:val="00C24350"/>
    <w:rsid w:val="00C243D5"/>
    <w:rsid w:val="00C245A6"/>
    <w:rsid w:val="00C245DD"/>
    <w:rsid w:val="00C246C1"/>
    <w:rsid w:val="00C24968"/>
    <w:rsid w:val="00C249CB"/>
    <w:rsid w:val="00C24B70"/>
    <w:rsid w:val="00C24CDC"/>
    <w:rsid w:val="00C24EA9"/>
    <w:rsid w:val="00C24F31"/>
    <w:rsid w:val="00C25038"/>
    <w:rsid w:val="00C2516F"/>
    <w:rsid w:val="00C251E6"/>
    <w:rsid w:val="00C253EA"/>
    <w:rsid w:val="00C25438"/>
    <w:rsid w:val="00C254F9"/>
    <w:rsid w:val="00C2568A"/>
    <w:rsid w:val="00C25721"/>
    <w:rsid w:val="00C25823"/>
    <w:rsid w:val="00C25914"/>
    <w:rsid w:val="00C25B6F"/>
    <w:rsid w:val="00C25F6E"/>
    <w:rsid w:val="00C2601B"/>
    <w:rsid w:val="00C2602A"/>
    <w:rsid w:val="00C2604C"/>
    <w:rsid w:val="00C26365"/>
    <w:rsid w:val="00C26387"/>
    <w:rsid w:val="00C26492"/>
    <w:rsid w:val="00C2666E"/>
    <w:rsid w:val="00C267D3"/>
    <w:rsid w:val="00C26A5C"/>
    <w:rsid w:val="00C26F24"/>
    <w:rsid w:val="00C26F5A"/>
    <w:rsid w:val="00C2716A"/>
    <w:rsid w:val="00C272F0"/>
    <w:rsid w:val="00C27328"/>
    <w:rsid w:val="00C274E0"/>
    <w:rsid w:val="00C274F7"/>
    <w:rsid w:val="00C2753E"/>
    <w:rsid w:val="00C275DE"/>
    <w:rsid w:val="00C27640"/>
    <w:rsid w:val="00C27888"/>
    <w:rsid w:val="00C278DE"/>
    <w:rsid w:val="00C27B98"/>
    <w:rsid w:val="00C27C33"/>
    <w:rsid w:val="00C27D5A"/>
    <w:rsid w:val="00C28EFC"/>
    <w:rsid w:val="00C30172"/>
    <w:rsid w:val="00C30195"/>
    <w:rsid w:val="00C3029D"/>
    <w:rsid w:val="00C303B4"/>
    <w:rsid w:val="00C304FE"/>
    <w:rsid w:val="00C30531"/>
    <w:rsid w:val="00C3065C"/>
    <w:rsid w:val="00C3066A"/>
    <w:rsid w:val="00C3066D"/>
    <w:rsid w:val="00C30794"/>
    <w:rsid w:val="00C30876"/>
    <w:rsid w:val="00C30BE3"/>
    <w:rsid w:val="00C30CC5"/>
    <w:rsid w:val="00C30D33"/>
    <w:rsid w:val="00C30DF6"/>
    <w:rsid w:val="00C30E15"/>
    <w:rsid w:val="00C30FB7"/>
    <w:rsid w:val="00C31014"/>
    <w:rsid w:val="00C31016"/>
    <w:rsid w:val="00C3114D"/>
    <w:rsid w:val="00C31171"/>
    <w:rsid w:val="00C312E2"/>
    <w:rsid w:val="00C31341"/>
    <w:rsid w:val="00C31413"/>
    <w:rsid w:val="00C31697"/>
    <w:rsid w:val="00C3180A"/>
    <w:rsid w:val="00C31A75"/>
    <w:rsid w:val="00C31B8E"/>
    <w:rsid w:val="00C31CE8"/>
    <w:rsid w:val="00C31E42"/>
    <w:rsid w:val="00C31F7C"/>
    <w:rsid w:val="00C32052"/>
    <w:rsid w:val="00C3228C"/>
    <w:rsid w:val="00C322AD"/>
    <w:rsid w:val="00C32376"/>
    <w:rsid w:val="00C3241F"/>
    <w:rsid w:val="00C324C6"/>
    <w:rsid w:val="00C32691"/>
    <w:rsid w:val="00C32984"/>
    <w:rsid w:val="00C32A48"/>
    <w:rsid w:val="00C32AB2"/>
    <w:rsid w:val="00C32AB7"/>
    <w:rsid w:val="00C32B71"/>
    <w:rsid w:val="00C32D07"/>
    <w:rsid w:val="00C32EA4"/>
    <w:rsid w:val="00C32EE3"/>
    <w:rsid w:val="00C332EF"/>
    <w:rsid w:val="00C33304"/>
    <w:rsid w:val="00C33437"/>
    <w:rsid w:val="00C3351C"/>
    <w:rsid w:val="00C335BC"/>
    <w:rsid w:val="00C33690"/>
    <w:rsid w:val="00C336AC"/>
    <w:rsid w:val="00C33733"/>
    <w:rsid w:val="00C337A2"/>
    <w:rsid w:val="00C337B4"/>
    <w:rsid w:val="00C33A1A"/>
    <w:rsid w:val="00C33B4C"/>
    <w:rsid w:val="00C33F41"/>
    <w:rsid w:val="00C340E3"/>
    <w:rsid w:val="00C341D4"/>
    <w:rsid w:val="00C34281"/>
    <w:rsid w:val="00C3428B"/>
    <w:rsid w:val="00C342A3"/>
    <w:rsid w:val="00C34499"/>
    <w:rsid w:val="00C34536"/>
    <w:rsid w:val="00C34561"/>
    <w:rsid w:val="00C345B5"/>
    <w:rsid w:val="00C34688"/>
    <w:rsid w:val="00C34694"/>
    <w:rsid w:val="00C3490D"/>
    <w:rsid w:val="00C34CF3"/>
    <w:rsid w:val="00C34D42"/>
    <w:rsid w:val="00C350EF"/>
    <w:rsid w:val="00C35124"/>
    <w:rsid w:val="00C35153"/>
    <w:rsid w:val="00C35430"/>
    <w:rsid w:val="00C35548"/>
    <w:rsid w:val="00C35640"/>
    <w:rsid w:val="00C359B8"/>
    <w:rsid w:val="00C35D49"/>
    <w:rsid w:val="00C35DD9"/>
    <w:rsid w:val="00C35EAB"/>
    <w:rsid w:val="00C35F24"/>
    <w:rsid w:val="00C35F4B"/>
    <w:rsid w:val="00C35F67"/>
    <w:rsid w:val="00C35F7F"/>
    <w:rsid w:val="00C35FA9"/>
    <w:rsid w:val="00C36141"/>
    <w:rsid w:val="00C36180"/>
    <w:rsid w:val="00C3632E"/>
    <w:rsid w:val="00C365FA"/>
    <w:rsid w:val="00C367D2"/>
    <w:rsid w:val="00C36A75"/>
    <w:rsid w:val="00C36EDC"/>
    <w:rsid w:val="00C36F52"/>
    <w:rsid w:val="00C370D4"/>
    <w:rsid w:val="00C3725D"/>
    <w:rsid w:val="00C372DB"/>
    <w:rsid w:val="00C3755D"/>
    <w:rsid w:val="00C37601"/>
    <w:rsid w:val="00C376B2"/>
    <w:rsid w:val="00C377E9"/>
    <w:rsid w:val="00C378A5"/>
    <w:rsid w:val="00C37A12"/>
    <w:rsid w:val="00C40135"/>
    <w:rsid w:val="00C401B7"/>
    <w:rsid w:val="00C4050B"/>
    <w:rsid w:val="00C40605"/>
    <w:rsid w:val="00C40623"/>
    <w:rsid w:val="00C40639"/>
    <w:rsid w:val="00C4081A"/>
    <w:rsid w:val="00C40869"/>
    <w:rsid w:val="00C40AF5"/>
    <w:rsid w:val="00C40BE9"/>
    <w:rsid w:val="00C40EF1"/>
    <w:rsid w:val="00C40F52"/>
    <w:rsid w:val="00C40F95"/>
    <w:rsid w:val="00C410A1"/>
    <w:rsid w:val="00C4118C"/>
    <w:rsid w:val="00C411CC"/>
    <w:rsid w:val="00C412E0"/>
    <w:rsid w:val="00C414BE"/>
    <w:rsid w:val="00C41586"/>
    <w:rsid w:val="00C4159C"/>
    <w:rsid w:val="00C416D4"/>
    <w:rsid w:val="00C4174B"/>
    <w:rsid w:val="00C41A8F"/>
    <w:rsid w:val="00C41A94"/>
    <w:rsid w:val="00C41B7C"/>
    <w:rsid w:val="00C41CF5"/>
    <w:rsid w:val="00C41D05"/>
    <w:rsid w:val="00C41F68"/>
    <w:rsid w:val="00C42193"/>
    <w:rsid w:val="00C42488"/>
    <w:rsid w:val="00C4253B"/>
    <w:rsid w:val="00C42687"/>
    <w:rsid w:val="00C427C3"/>
    <w:rsid w:val="00C4288A"/>
    <w:rsid w:val="00C4292A"/>
    <w:rsid w:val="00C42B99"/>
    <w:rsid w:val="00C42CC7"/>
    <w:rsid w:val="00C42D7B"/>
    <w:rsid w:val="00C42EBA"/>
    <w:rsid w:val="00C42FC2"/>
    <w:rsid w:val="00C430B4"/>
    <w:rsid w:val="00C43426"/>
    <w:rsid w:val="00C436AF"/>
    <w:rsid w:val="00C43827"/>
    <w:rsid w:val="00C43C54"/>
    <w:rsid w:val="00C44462"/>
    <w:rsid w:val="00C44974"/>
    <w:rsid w:val="00C449FF"/>
    <w:rsid w:val="00C44A6C"/>
    <w:rsid w:val="00C45027"/>
    <w:rsid w:val="00C4532C"/>
    <w:rsid w:val="00C45350"/>
    <w:rsid w:val="00C45404"/>
    <w:rsid w:val="00C45570"/>
    <w:rsid w:val="00C458AA"/>
    <w:rsid w:val="00C4598A"/>
    <w:rsid w:val="00C45A69"/>
    <w:rsid w:val="00C45BC4"/>
    <w:rsid w:val="00C45CCA"/>
    <w:rsid w:val="00C45CD5"/>
    <w:rsid w:val="00C45E4C"/>
    <w:rsid w:val="00C45FD6"/>
    <w:rsid w:val="00C46192"/>
    <w:rsid w:val="00C46331"/>
    <w:rsid w:val="00C4635F"/>
    <w:rsid w:val="00C464AC"/>
    <w:rsid w:val="00C46578"/>
    <w:rsid w:val="00C46699"/>
    <w:rsid w:val="00C46724"/>
    <w:rsid w:val="00C46781"/>
    <w:rsid w:val="00C467C4"/>
    <w:rsid w:val="00C46801"/>
    <w:rsid w:val="00C468D0"/>
    <w:rsid w:val="00C46A65"/>
    <w:rsid w:val="00C470FC"/>
    <w:rsid w:val="00C47620"/>
    <w:rsid w:val="00C47637"/>
    <w:rsid w:val="00C47795"/>
    <w:rsid w:val="00C4784E"/>
    <w:rsid w:val="00C47865"/>
    <w:rsid w:val="00C479A4"/>
    <w:rsid w:val="00C47F7E"/>
    <w:rsid w:val="00C5007E"/>
    <w:rsid w:val="00C50095"/>
    <w:rsid w:val="00C500C7"/>
    <w:rsid w:val="00C5011B"/>
    <w:rsid w:val="00C501B9"/>
    <w:rsid w:val="00C502D0"/>
    <w:rsid w:val="00C50334"/>
    <w:rsid w:val="00C50450"/>
    <w:rsid w:val="00C505EA"/>
    <w:rsid w:val="00C50683"/>
    <w:rsid w:val="00C507FC"/>
    <w:rsid w:val="00C5093C"/>
    <w:rsid w:val="00C509C6"/>
    <w:rsid w:val="00C50C0F"/>
    <w:rsid w:val="00C50D2F"/>
    <w:rsid w:val="00C51030"/>
    <w:rsid w:val="00C51265"/>
    <w:rsid w:val="00C512F4"/>
    <w:rsid w:val="00C513B6"/>
    <w:rsid w:val="00C513F0"/>
    <w:rsid w:val="00C515C3"/>
    <w:rsid w:val="00C51699"/>
    <w:rsid w:val="00C51A67"/>
    <w:rsid w:val="00C51B8F"/>
    <w:rsid w:val="00C51C82"/>
    <w:rsid w:val="00C52444"/>
    <w:rsid w:val="00C525DC"/>
    <w:rsid w:val="00C526E7"/>
    <w:rsid w:val="00C52759"/>
    <w:rsid w:val="00C52942"/>
    <w:rsid w:val="00C52977"/>
    <w:rsid w:val="00C529CF"/>
    <w:rsid w:val="00C52A8E"/>
    <w:rsid w:val="00C52B9D"/>
    <w:rsid w:val="00C52CF8"/>
    <w:rsid w:val="00C52FEA"/>
    <w:rsid w:val="00C53021"/>
    <w:rsid w:val="00C53255"/>
    <w:rsid w:val="00C53324"/>
    <w:rsid w:val="00C53328"/>
    <w:rsid w:val="00C53356"/>
    <w:rsid w:val="00C5336D"/>
    <w:rsid w:val="00C534AF"/>
    <w:rsid w:val="00C534B7"/>
    <w:rsid w:val="00C53605"/>
    <w:rsid w:val="00C536AE"/>
    <w:rsid w:val="00C53A9C"/>
    <w:rsid w:val="00C53CA2"/>
    <w:rsid w:val="00C53CF7"/>
    <w:rsid w:val="00C53D9B"/>
    <w:rsid w:val="00C53DAE"/>
    <w:rsid w:val="00C53E82"/>
    <w:rsid w:val="00C5408F"/>
    <w:rsid w:val="00C540A0"/>
    <w:rsid w:val="00C546C6"/>
    <w:rsid w:val="00C54715"/>
    <w:rsid w:val="00C54737"/>
    <w:rsid w:val="00C5473B"/>
    <w:rsid w:val="00C549B0"/>
    <w:rsid w:val="00C54D0E"/>
    <w:rsid w:val="00C54E47"/>
    <w:rsid w:val="00C553F5"/>
    <w:rsid w:val="00C5541A"/>
    <w:rsid w:val="00C554A7"/>
    <w:rsid w:val="00C554F6"/>
    <w:rsid w:val="00C554FC"/>
    <w:rsid w:val="00C5554E"/>
    <w:rsid w:val="00C55992"/>
    <w:rsid w:val="00C55995"/>
    <w:rsid w:val="00C55A09"/>
    <w:rsid w:val="00C55A3D"/>
    <w:rsid w:val="00C55D19"/>
    <w:rsid w:val="00C55E43"/>
    <w:rsid w:val="00C55E9D"/>
    <w:rsid w:val="00C55ECF"/>
    <w:rsid w:val="00C55FC9"/>
    <w:rsid w:val="00C560C2"/>
    <w:rsid w:val="00C56511"/>
    <w:rsid w:val="00C566DC"/>
    <w:rsid w:val="00C5683E"/>
    <w:rsid w:val="00C569C6"/>
    <w:rsid w:val="00C56B55"/>
    <w:rsid w:val="00C56B7B"/>
    <w:rsid w:val="00C56C83"/>
    <w:rsid w:val="00C56C8E"/>
    <w:rsid w:val="00C56CAF"/>
    <w:rsid w:val="00C56CD5"/>
    <w:rsid w:val="00C57111"/>
    <w:rsid w:val="00C57187"/>
    <w:rsid w:val="00C572A9"/>
    <w:rsid w:val="00C572EF"/>
    <w:rsid w:val="00C57369"/>
    <w:rsid w:val="00C574B5"/>
    <w:rsid w:val="00C575E1"/>
    <w:rsid w:val="00C57787"/>
    <w:rsid w:val="00C5782F"/>
    <w:rsid w:val="00C578FF"/>
    <w:rsid w:val="00C5795A"/>
    <w:rsid w:val="00C57999"/>
    <w:rsid w:val="00C57A5F"/>
    <w:rsid w:val="00C57B51"/>
    <w:rsid w:val="00C57D65"/>
    <w:rsid w:val="00C57D72"/>
    <w:rsid w:val="00C57DE7"/>
    <w:rsid w:val="00C57E92"/>
    <w:rsid w:val="00C57FA0"/>
    <w:rsid w:val="00C57FD9"/>
    <w:rsid w:val="00C60181"/>
    <w:rsid w:val="00C60389"/>
    <w:rsid w:val="00C605BD"/>
    <w:rsid w:val="00C6063F"/>
    <w:rsid w:val="00C60758"/>
    <w:rsid w:val="00C60A4B"/>
    <w:rsid w:val="00C60D9D"/>
    <w:rsid w:val="00C60E19"/>
    <w:rsid w:val="00C60E9B"/>
    <w:rsid w:val="00C60EB8"/>
    <w:rsid w:val="00C610A7"/>
    <w:rsid w:val="00C610B8"/>
    <w:rsid w:val="00C6112B"/>
    <w:rsid w:val="00C611E3"/>
    <w:rsid w:val="00C611ED"/>
    <w:rsid w:val="00C611F2"/>
    <w:rsid w:val="00C612B9"/>
    <w:rsid w:val="00C612F7"/>
    <w:rsid w:val="00C61342"/>
    <w:rsid w:val="00C61406"/>
    <w:rsid w:val="00C61B87"/>
    <w:rsid w:val="00C61DB1"/>
    <w:rsid w:val="00C62265"/>
    <w:rsid w:val="00C6264C"/>
    <w:rsid w:val="00C62655"/>
    <w:rsid w:val="00C62667"/>
    <w:rsid w:val="00C62821"/>
    <w:rsid w:val="00C62DB0"/>
    <w:rsid w:val="00C63215"/>
    <w:rsid w:val="00C63397"/>
    <w:rsid w:val="00C63498"/>
    <w:rsid w:val="00C635BC"/>
    <w:rsid w:val="00C635FA"/>
    <w:rsid w:val="00C6377B"/>
    <w:rsid w:val="00C6394E"/>
    <w:rsid w:val="00C6398E"/>
    <w:rsid w:val="00C63A0E"/>
    <w:rsid w:val="00C63A91"/>
    <w:rsid w:val="00C63A9C"/>
    <w:rsid w:val="00C63D82"/>
    <w:rsid w:val="00C63EA7"/>
    <w:rsid w:val="00C63FB3"/>
    <w:rsid w:val="00C64180"/>
    <w:rsid w:val="00C64540"/>
    <w:rsid w:val="00C645E6"/>
    <w:rsid w:val="00C64646"/>
    <w:rsid w:val="00C64729"/>
    <w:rsid w:val="00C6473C"/>
    <w:rsid w:val="00C647A2"/>
    <w:rsid w:val="00C64A6D"/>
    <w:rsid w:val="00C64AEE"/>
    <w:rsid w:val="00C64D83"/>
    <w:rsid w:val="00C65197"/>
    <w:rsid w:val="00C65256"/>
    <w:rsid w:val="00C65284"/>
    <w:rsid w:val="00C65477"/>
    <w:rsid w:val="00C65553"/>
    <w:rsid w:val="00C65670"/>
    <w:rsid w:val="00C656CF"/>
    <w:rsid w:val="00C65C30"/>
    <w:rsid w:val="00C65E02"/>
    <w:rsid w:val="00C65E73"/>
    <w:rsid w:val="00C65FAC"/>
    <w:rsid w:val="00C66044"/>
    <w:rsid w:val="00C661F6"/>
    <w:rsid w:val="00C663AA"/>
    <w:rsid w:val="00C66440"/>
    <w:rsid w:val="00C6646F"/>
    <w:rsid w:val="00C66592"/>
    <w:rsid w:val="00C66651"/>
    <w:rsid w:val="00C666E0"/>
    <w:rsid w:val="00C66839"/>
    <w:rsid w:val="00C66A79"/>
    <w:rsid w:val="00C66BBD"/>
    <w:rsid w:val="00C67062"/>
    <w:rsid w:val="00C671BD"/>
    <w:rsid w:val="00C67349"/>
    <w:rsid w:val="00C677FD"/>
    <w:rsid w:val="00C678A1"/>
    <w:rsid w:val="00C678B2"/>
    <w:rsid w:val="00C67915"/>
    <w:rsid w:val="00C67B47"/>
    <w:rsid w:val="00C700B7"/>
    <w:rsid w:val="00C70645"/>
    <w:rsid w:val="00C706AE"/>
    <w:rsid w:val="00C708F9"/>
    <w:rsid w:val="00C7097E"/>
    <w:rsid w:val="00C70980"/>
    <w:rsid w:val="00C70FA9"/>
    <w:rsid w:val="00C71271"/>
    <w:rsid w:val="00C71356"/>
    <w:rsid w:val="00C715C5"/>
    <w:rsid w:val="00C716F2"/>
    <w:rsid w:val="00C71857"/>
    <w:rsid w:val="00C718AD"/>
    <w:rsid w:val="00C719C8"/>
    <w:rsid w:val="00C71BB8"/>
    <w:rsid w:val="00C7204E"/>
    <w:rsid w:val="00C723F5"/>
    <w:rsid w:val="00C724AD"/>
    <w:rsid w:val="00C7291E"/>
    <w:rsid w:val="00C72C2F"/>
    <w:rsid w:val="00C72D24"/>
    <w:rsid w:val="00C731F3"/>
    <w:rsid w:val="00C73268"/>
    <w:rsid w:val="00C73283"/>
    <w:rsid w:val="00C732BC"/>
    <w:rsid w:val="00C73326"/>
    <w:rsid w:val="00C73543"/>
    <w:rsid w:val="00C7360A"/>
    <w:rsid w:val="00C736E9"/>
    <w:rsid w:val="00C73735"/>
    <w:rsid w:val="00C738F4"/>
    <w:rsid w:val="00C73925"/>
    <w:rsid w:val="00C7399A"/>
    <w:rsid w:val="00C73A4D"/>
    <w:rsid w:val="00C73AC0"/>
    <w:rsid w:val="00C73B4A"/>
    <w:rsid w:val="00C73B94"/>
    <w:rsid w:val="00C73FA3"/>
    <w:rsid w:val="00C73FD7"/>
    <w:rsid w:val="00C74053"/>
    <w:rsid w:val="00C74070"/>
    <w:rsid w:val="00C741AD"/>
    <w:rsid w:val="00C74287"/>
    <w:rsid w:val="00C742AA"/>
    <w:rsid w:val="00C742CE"/>
    <w:rsid w:val="00C745C5"/>
    <w:rsid w:val="00C746D2"/>
    <w:rsid w:val="00C746EF"/>
    <w:rsid w:val="00C74792"/>
    <w:rsid w:val="00C747F2"/>
    <w:rsid w:val="00C74A5C"/>
    <w:rsid w:val="00C74B88"/>
    <w:rsid w:val="00C74BEA"/>
    <w:rsid w:val="00C74C7C"/>
    <w:rsid w:val="00C74CE5"/>
    <w:rsid w:val="00C74E64"/>
    <w:rsid w:val="00C74E6A"/>
    <w:rsid w:val="00C74F03"/>
    <w:rsid w:val="00C74F3C"/>
    <w:rsid w:val="00C7525A"/>
    <w:rsid w:val="00C75289"/>
    <w:rsid w:val="00C7539B"/>
    <w:rsid w:val="00C754DC"/>
    <w:rsid w:val="00C755CC"/>
    <w:rsid w:val="00C75618"/>
    <w:rsid w:val="00C7575E"/>
    <w:rsid w:val="00C757B8"/>
    <w:rsid w:val="00C75889"/>
    <w:rsid w:val="00C759F4"/>
    <w:rsid w:val="00C75BE7"/>
    <w:rsid w:val="00C75C64"/>
    <w:rsid w:val="00C760AC"/>
    <w:rsid w:val="00C7634E"/>
    <w:rsid w:val="00C763DF"/>
    <w:rsid w:val="00C7646F"/>
    <w:rsid w:val="00C7663C"/>
    <w:rsid w:val="00C76891"/>
    <w:rsid w:val="00C76ADF"/>
    <w:rsid w:val="00C76CCE"/>
    <w:rsid w:val="00C76CFC"/>
    <w:rsid w:val="00C76F5A"/>
    <w:rsid w:val="00C7709D"/>
    <w:rsid w:val="00C7739F"/>
    <w:rsid w:val="00C7744C"/>
    <w:rsid w:val="00C778A4"/>
    <w:rsid w:val="00C77AB0"/>
    <w:rsid w:val="00C77C21"/>
    <w:rsid w:val="00C77D76"/>
    <w:rsid w:val="00C77E7D"/>
    <w:rsid w:val="00C801E9"/>
    <w:rsid w:val="00C802AA"/>
    <w:rsid w:val="00C80307"/>
    <w:rsid w:val="00C804A6"/>
    <w:rsid w:val="00C8076B"/>
    <w:rsid w:val="00C80A6F"/>
    <w:rsid w:val="00C80B6F"/>
    <w:rsid w:val="00C80BC4"/>
    <w:rsid w:val="00C80BD5"/>
    <w:rsid w:val="00C80D26"/>
    <w:rsid w:val="00C80DB5"/>
    <w:rsid w:val="00C80E00"/>
    <w:rsid w:val="00C80ECE"/>
    <w:rsid w:val="00C80F47"/>
    <w:rsid w:val="00C80FF2"/>
    <w:rsid w:val="00C81104"/>
    <w:rsid w:val="00C81120"/>
    <w:rsid w:val="00C81371"/>
    <w:rsid w:val="00C813B1"/>
    <w:rsid w:val="00C813B2"/>
    <w:rsid w:val="00C8144D"/>
    <w:rsid w:val="00C81758"/>
    <w:rsid w:val="00C8178B"/>
    <w:rsid w:val="00C8179A"/>
    <w:rsid w:val="00C817BA"/>
    <w:rsid w:val="00C819DD"/>
    <w:rsid w:val="00C81AF2"/>
    <w:rsid w:val="00C81CF6"/>
    <w:rsid w:val="00C81D53"/>
    <w:rsid w:val="00C81EB1"/>
    <w:rsid w:val="00C81F48"/>
    <w:rsid w:val="00C820BD"/>
    <w:rsid w:val="00C821D3"/>
    <w:rsid w:val="00C82200"/>
    <w:rsid w:val="00C823D2"/>
    <w:rsid w:val="00C827C8"/>
    <w:rsid w:val="00C8281B"/>
    <w:rsid w:val="00C82AD1"/>
    <w:rsid w:val="00C82AFB"/>
    <w:rsid w:val="00C82BAF"/>
    <w:rsid w:val="00C82BCC"/>
    <w:rsid w:val="00C82DF3"/>
    <w:rsid w:val="00C82E5B"/>
    <w:rsid w:val="00C830A7"/>
    <w:rsid w:val="00C8321B"/>
    <w:rsid w:val="00C83231"/>
    <w:rsid w:val="00C837AC"/>
    <w:rsid w:val="00C837AE"/>
    <w:rsid w:val="00C83869"/>
    <w:rsid w:val="00C83920"/>
    <w:rsid w:val="00C83A13"/>
    <w:rsid w:val="00C83CCA"/>
    <w:rsid w:val="00C83DF1"/>
    <w:rsid w:val="00C83F23"/>
    <w:rsid w:val="00C8432D"/>
    <w:rsid w:val="00C843A6"/>
    <w:rsid w:val="00C844ED"/>
    <w:rsid w:val="00C845D5"/>
    <w:rsid w:val="00C845FE"/>
    <w:rsid w:val="00C84867"/>
    <w:rsid w:val="00C849D6"/>
    <w:rsid w:val="00C84A9A"/>
    <w:rsid w:val="00C84C80"/>
    <w:rsid w:val="00C84D50"/>
    <w:rsid w:val="00C84E58"/>
    <w:rsid w:val="00C85196"/>
    <w:rsid w:val="00C854A3"/>
    <w:rsid w:val="00C855AD"/>
    <w:rsid w:val="00C8573A"/>
    <w:rsid w:val="00C8588C"/>
    <w:rsid w:val="00C859B2"/>
    <w:rsid w:val="00C85B39"/>
    <w:rsid w:val="00C85BD6"/>
    <w:rsid w:val="00C85F3C"/>
    <w:rsid w:val="00C86098"/>
    <w:rsid w:val="00C8618A"/>
    <w:rsid w:val="00C86231"/>
    <w:rsid w:val="00C8626E"/>
    <w:rsid w:val="00C862BA"/>
    <w:rsid w:val="00C8634E"/>
    <w:rsid w:val="00C86355"/>
    <w:rsid w:val="00C865C0"/>
    <w:rsid w:val="00C865FA"/>
    <w:rsid w:val="00C86675"/>
    <w:rsid w:val="00C86728"/>
    <w:rsid w:val="00C86804"/>
    <w:rsid w:val="00C86885"/>
    <w:rsid w:val="00C86B8F"/>
    <w:rsid w:val="00C86CBA"/>
    <w:rsid w:val="00C86D40"/>
    <w:rsid w:val="00C86D75"/>
    <w:rsid w:val="00C86FE3"/>
    <w:rsid w:val="00C8714C"/>
    <w:rsid w:val="00C872DE"/>
    <w:rsid w:val="00C87510"/>
    <w:rsid w:val="00C8768A"/>
    <w:rsid w:val="00C879F2"/>
    <w:rsid w:val="00C87A71"/>
    <w:rsid w:val="00C87BEC"/>
    <w:rsid w:val="00C87C84"/>
    <w:rsid w:val="00C87CA4"/>
    <w:rsid w:val="00C87D41"/>
    <w:rsid w:val="00C90296"/>
    <w:rsid w:val="00C90368"/>
    <w:rsid w:val="00C9036A"/>
    <w:rsid w:val="00C90606"/>
    <w:rsid w:val="00C906E3"/>
    <w:rsid w:val="00C90839"/>
    <w:rsid w:val="00C908F6"/>
    <w:rsid w:val="00C90A17"/>
    <w:rsid w:val="00C90B4A"/>
    <w:rsid w:val="00C90B4B"/>
    <w:rsid w:val="00C90BE0"/>
    <w:rsid w:val="00C90CF0"/>
    <w:rsid w:val="00C90D41"/>
    <w:rsid w:val="00C90F04"/>
    <w:rsid w:val="00C90F8B"/>
    <w:rsid w:val="00C90FFF"/>
    <w:rsid w:val="00C9102D"/>
    <w:rsid w:val="00C9132B"/>
    <w:rsid w:val="00C913F4"/>
    <w:rsid w:val="00C91629"/>
    <w:rsid w:val="00C916CB"/>
    <w:rsid w:val="00C917AB"/>
    <w:rsid w:val="00C91806"/>
    <w:rsid w:val="00C9180B"/>
    <w:rsid w:val="00C91A82"/>
    <w:rsid w:val="00C91AEE"/>
    <w:rsid w:val="00C91AF4"/>
    <w:rsid w:val="00C91B1D"/>
    <w:rsid w:val="00C91B23"/>
    <w:rsid w:val="00C91B59"/>
    <w:rsid w:val="00C91B81"/>
    <w:rsid w:val="00C91BDA"/>
    <w:rsid w:val="00C91BE8"/>
    <w:rsid w:val="00C91C3E"/>
    <w:rsid w:val="00C91C7D"/>
    <w:rsid w:val="00C91DC1"/>
    <w:rsid w:val="00C91F09"/>
    <w:rsid w:val="00C9203F"/>
    <w:rsid w:val="00C92245"/>
    <w:rsid w:val="00C92301"/>
    <w:rsid w:val="00C92462"/>
    <w:rsid w:val="00C92504"/>
    <w:rsid w:val="00C92592"/>
    <w:rsid w:val="00C925B6"/>
    <w:rsid w:val="00C92876"/>
    <w:rsid w:val="00C92A13"/>
    <w:rsid w:val="00C92BEF"/>
    <w:rsid w:val="00C92F4A"/>
    <w:rsid w:val="00C92F80"/>
    <w:rsid w:val="00C931A7"/>
    <w:rsid w:val="00C93224"/>
    <w:rsid w:val="00C934C7"/>
    <w:rsid w:val="00C935FF"/>
    <w:rsid w:val="00C9370B"/>
    <w:rsid w:val="00C93DFC"/>
    <w:rsid w:val="00C93F30"/>
    <w:rsid w:val="00C9412C"/>
    <w:rsid w:val="00C94191"/>
    <w:rsid w:val="00C9421B"/>
    <w:rsid w:val="00C942B1"/>
    <w:rsid w:val="00C942D8"/>
    <w:rsid w:val="00C94379"/>
    <w:rsid w:val="00C94552"/>
    <w:rsid w:val="00C9467E"/>
    <w:rsid w:val="00C94AD9"/>
    <w:rsid w:val="00C94BB6"/>
    <w:rsid w:val="00C94BE5"/>
    <w:rsid w:val="00C95259"/>
    <w:rsid w:val="00C95277"/>
    <w:rsid w:val="00C95332"/>
    <w:rsid w:val="00C95552"/>
    <w:rsid w:val="00C956B6"/>
    <w:rsid w:val="00C958B6"/>
    <w:rsid w:val="00C9594B"/>
    <w:rsid w:val="00C959EB"/>
    <w:rsid w:val="00C95AFA"/>
    <w:rsid w:val="00C95C47"/>
    <w:rsid w:val="00C95CAC"/>
    <w:rsid w:val="00C95CD8"/>
    <w:rsid w:val="00C95CE1"/>
    <w:rsid w:val="00C95D10"/>
    <w:rsid w:val="00C95D44"/>
    <w:rsid w:val="00C96081"/>
    <w:rsid w:val="00C96230"/>
    <w:rsid w:val="00C96259"/>
    <w:rsid w:val="00C962FF"/>
    <w:rsid w:val="00C96462"/>
    <w:rsid w:val="00C96477"/>
    <w:rsid w:val="00C9654E"/>
    <w:rsid w:val="00C96584"/>
    <w:rsid w:val="00C967EB"/>
    <w:rsid w:val="00C967F1"/>
    <w:rsid w:val="00C96820"/>
    <w:rsid w:val="00C96A18"/>
    <w:rsid w:val="00C96C6E"/>
    <w:rsid w:val="00C96CDC"/>
    <w:rsid w:val="00C96F45"/>
    <w:rsid w:val="00C96F6F"/>
    <w:rsid w:val="00C972CC"/>
    <w:rsid w:val="00C972D1"/>
    <w:rsid w:val="00C975DD"/>
    <w:rsid w:val="00C97757"/>
    <w:rsid w:val="00C97787"/>
    <w:rsid w:val="00C978DD"/>
    <w:rsid w:val="00C97957"/>
    <w:rsid w:val="00C97AB2"/>
    <w:rsid w:val="00C97B0A"/>
    <w:rsid w:val="00C97CA6"/>
    <w:rsid w:val="00C97D8B"/>
    <w:rsid w:val="00C97E67"/>
    <w:rsid w:val="00C97F25"/>
    <w:rsid w:val="00CA0199"/>
    <w:rsid w:val="00CA0274"/>
    <w:rsid w:val="00CA0415"/>
    <w:rsid w:val="00CA0563"/>
    <w:rsid w:val="00CA06A7"/>
    <w:rsid w:val="00CA06D1"/>
    <w:rsid w:val="00CA07E5"/>
    <w:rsid w:val="00CA0956"/>
    <w:rsid w:val="00CA0A32"/>
    <w:rsid w:val="00CA0D46"/>
    <w:rsid w:val="00CA0DD2"/>
    <w:rsid w:val="00CA0ED2"/>
    <w:rsid w:val="00CA108F"/>
    <w:rsid w:val="00CA1274"/>
    <w:rsid w:val="00CA14AF"/>
    <w:rsid w:val="00CA1912"/>
    <w:rsid w:val="00CA1994"/>
    <w:rsid w:val="00CA1A48"/>
    <w:rsid w:val="00CA1C13"/>
    <w:rsid w:val="00CA2018"/>
    <w:rsid w:val="00CA20D1"/>
    <w:rsid w:val="00CA2110"/>
    <w:rsid w:val="00CA23C9"/>
    <w:rsid w:val="00CA2586"/>
    <w:rsid w:val="00CA25AA"/>
    <w:rsid w:val="00CA25DC"/>
    <w:rsid w:val="00CA2639"/>
    <w:rsid w:val="00CA2891"/>
    <w:rsid w:val="00CA28A1"/>
    <w:rsid w:val="00CA2B2F"/>
    <w:rsid w:val="00CA2BA7"/>
    <w:rsid w:val="00CA2D04"/>
    <w:rsid w:val="00CA2EE6"/>
    <w:rsid w:val="00CA348C"/>
    <w:rsid w:val="00CA36EC"/>
    <w:rsid w:val="00CA372B"/>
    <w:rsid w:val="00CA37A8"/>
    <w:rsid w:val="00CA37EC"/>
    <w:rsid w:val="00CA39B2"/>
    <w:rsid w:val="00CA3A3A"/>
    <w:rsid w:val="00CA3A3F"/>
    <w:rsid w:val="00CA3DEC"/>
    <w:rsid w:val="00CA3FD0"/>
    <w:rsid w:val="00CA40BA"/>
    <w:rsid w:val="00CA4115"/>
    <w:rsid w:val="00CA4196"/>
    <w:rsid w:val="00CA41D9"/>
    <w:rsid w:val="00CA4246"/>
    <w:rsid w:val="00CA44F7"/>
    <w:rsid w:val="00CA460C"/>
    <w:rsid w:val="00CA4957"/>
    <w:rsid w:val="00CA49B8"/>
    <w:rsid w:val="00CA4AFD"/>
    <w:rsid w:val="00CA4BC9"/>
    <w:rsid w:val="00CA4D21"/>
    <w:rsid w:val="00CA4D76"/>
    <w:rsid w:val="00CA5069"/>
    <w:rsid w:val="00CA5297"/>
    <w:rsid w:val="00CA53CA"/>
    <w:rsid w:val="00CA550C"/>
    <w:rsid w:val="00CA584D"/>
    <w:rsid w:val="00CA589D"/>
    <w:rsid w:val="00CA5B01"/>
    <w:rsid w:val="00CA5C8A"/>
    <w:rsid w:val="00CA5E0F"/>
    <w:rsid w:val="00CA5F8F"/>
    <w:rsid w:val="00CA61AF"/>
    <w:rsid w:val="00CA6533"/>
    <w:rsid w:val="00CA653A"/>
    <w:rsid w:val="00CA658F"/>
    <w:rsid w:val="00CA6762"/>
    <w:rsid w:val="00CA6917"/>
    <w:rsid w:val="00CA6925"/>
    <w:rsid w:val="00CA6CBF"/>
    <w:rsid w:val="00CA6D69"/>
    <w:rsid w:val="00CA6D7E"/>
    <w:rsid w:val="00CA6EBC"/>
    <w:rsid w:val="00CA6F89"/>
    <w:rsid w:val="00CA6FED"/>
    <w:rsid w:val="00CA7050"/>
    <w:rsid w:val="00CA72D5"/>
    <w:rsid w:val="00CA7450"/>
    <w:rsid w:val="00CA7543"/>
    <w:rsid w:val="00CA76B2"/>
    <w:rsid w:val="00CA771A"/>
    <w:rsid w:val="00CA7812"/>
    <w:rsid w:val="00CA78AE"/>
    <w:rsid w:val="00CA7971"/>
    <w:rsid w:val="00CA79BD"/>
    <w:rsid w:val="00CA7AE8"/>
    <w:rsid w:val="00CA7B8F"/>
    <w:rsid w:val="00CB00B4"/>
    <w:rsid w:val="00CB02C4"/>
    <w:rsid w:val="00CB0413"/>
    <w:rsid w:val="00CB04C7"/>
    <w:rsid w:val="00CB04DB"/>
    <w:rsid w:val="00CB0783"/>
    <w:rsid w:val="00CB094E"/>
    <w:rsid w:val="00CB0B22"/>
    <w:rsid w:val="00CB0B79"/>
    <w:rsid w:val="00CB0C34"/>
    <w:rsid w:val="00CB0EA2"/>
    <w:rsid w:val="00CB0F60"/>
    <w:rsid w:val="00CB0FCF"/>
    <w:rsid w:val="00CB1022"/>
    <w:rsid w:val="00CB1026"/>
    <w:rsid w:val="00CB12A5"/>
    <w:rsid w:val="00CB13EE"/>
    <w:rsid w:val="00CB147B"/>
    <w:rsid w:val="00CB16EB"/>
    <w:rsid w:val="00CB1B2A"/>
    <w:rsid w:val="00CB1BB4"/>
    <w:rsid w:val="00CB1DE5"/>
    <w:rsid w:val="00CB1E37"/>
    <w:rsid w:val="00CB2183"/>
    <w:rsid w:val="00CB2215"/>
    <w:rsid w:val="00CB2286"/>
    <w:rsid w:val="00CB2428"/>
    <w:rsid w:val="00CB24B0"/>
    <w:rsid w:val="00CB276C"/>
    <w:rsid w:val="00CB2A9F"/>
    <w:rsid w:val="00CB2B78"/>
    <w:rsid w:val="00CB2DFA"/>
    <w:rsid w:val="00CB2E8A"/>
    <w:rsid w:val="00CB300A"/>
    <w:rsid w:val="00CB3069"/>
    <w:rsid w:val="00CB3089"/>
    <w:rsid w:val="00CB32CC"/>
    <w:rsid w:val="00CB3348"/>
    <w:rsid w:val="00CB335C"/>
    <w:rsid w:val="00CB359A"/>
    <w:rsid w:val="00CB36DB"/>
    <w:rsid w:val="00CB3791"/>
    <w:rsid w:val="00CB3797"/>
    <w:rsid w:val="00CB3826"/>
    <w:rsid w:val="00CB3987"/>
    <w:rsid w:val="00CB39FF"/>
    <w:rsid w:val="00CB3A52"/>
    <w:rsid w:val="00CB3ABC"/>
    <w:rsid w:val="00CB3D72"/>
    <w:rsid w:val="00CB3E75"/>
    <w:rsid w:val="00CB3F6B"/>
    <w:rsid w:val="00CB42C3"/>
    <w:rsid w:val="00CB4301"/>
    <w:rsid w:val="00CB432E"/>
    <w:rsid w:val="00CB437C"/>
    <w:rsid w:val="00CB4447"/>
    <w:rsid w:val="00CB45FA"/>
    <w:rsid w:val="00CB48EE"/>
    <w:rsid w:val="00CB495E"/>
    <w:rsid w:val="00CB4B0A"/>
    <w:rsid w:val="00CB4B16"/>
    <w:rsid w:val="00CB4BFD"/>
    <w:rsid w:val="00CB4DFD"/>
    <w:rsid w:val="00CB4FAB"/>
    <w:rsid w:val="00CB502C"/>
    <w:rsid w:val="00CB507F"/>
    <w:rsid w:val="00CB51F4"/>
    <w:rsid w:val="00CB52C8"/>
    <w:rsid w:val="00CB52EA"/>
    <w:rsid w:val="00CB57AC"/>
    <w:rsid w:val="00CB57E6"/>
    <w:rsid w:val="00CB593E"/>
    <w:rsid w:val="00CB5A2C"/>
    <w:rsid w:val="00CB5B79"/>
    <w:rsid w:val="00CB5D2E"/>
    <w:rsid w:val="00CB5E87"/>
    <w:rsid w:val="00CB5F45"/>
    <w:rsid w:val="00CB6538"/>
    <w:rsid w:val="00CB6682"/>
    <w:rsid w:val="00CB67C6"/>
    <w:rsid w:val="00CB6A36"/>
    <w:rsid w:val="00CB6A84"/>
    <w:rsid w:val="00CB6CD5"/>
    <w:rsid w:val="00CB6CF1"/>
    <w:rsid w:val="00CB6E39"/>
    <w:rsid w:val="00CB6F10"/>
    <w:rsid w:val="00CB7336"/>
    <w:rsid w:val="00CB7485"/>
    <w:rsid w:val="00CB7590"/>
    <w:rsid w:val="00CB75F7"/>
    <w:rsid w:val="00CB765D"/>
    <w:rsid w:val="00CB7808"/>
    <w:rsid w:val="00CB7A62"/>
    <w:rsid w:val="00CB7D34"/>
    <w:rsid w:val="00CC081C"/>
    <w:rsid w:val="00CC0996"/>
    <w:rsid w:val="00CC09F9"/>
    <w:rsid w:val="00CC0D6C"/>
    <w:rsid w:val="00CC0DD0"/>
    <w:rsid w:val="00CC0E09"/>
    <w:rsid w:val="00CC0F50"/>
    <w:rsid w:val="00CC0F60"/>
    <w:rsid w:val="00CC0F89"/>
    <w:rsid w:val="00CC0FAB"/>
    <w:rsid w:val="00CC1192"/>
    <w:rsid w:val="00CC1282"/>
    <w:rsid w:val="00CC16F3"/>
    <w:rsid w:val="00CC1723"/>
    <w:rsid w:val="00CC17CB"/>
    <w:rsid w:val="00CC17D2"/>
    <w:rsid w:val="00CC18A5"/>
    <w:rsid w:val="00CC1F1B"/>
    <w:rsid w:val="00CC226A"/>
    <w:rsid w:val="00CC28A2"/>
    <w:rsid w:val="00CC28AC"/>
    <w:rsid w:val="00CC2AAA"/>
    <w:rsid w:val="00CC2AAD"/>
    <w:rsid w:val="00CC2E50"/>
    <w:rsid w:val="00CC3237"/>
    <w:rsid w:val="00CC3637"/>
    <w:rsid w:val="00CC36E9"/>
    <w:rsid w:val="00CC39C9"/>
    <w:rsid w:val="00CC39DD"/>
    <w:rsid w:val="00CC3B0F"/>
    <w:rsid w:val="00CC3D36"/>
    <w:rsid w:val="00CC3FAC"/>
    <w:rsid w:val="00CC4300"/>
    <w:rsid w:val="00CC44FC"/>
    <w:rsid w:val="00CC4546"/>
    <w:rsid w:val="00CC462D"/>
    <w:rsid w:val="00CC47BC"/>
    <w:rsid w:val="00CC48C7"/>
    <w:rsid w:val="00CC4A02"/>
    <w:rsid w:val="00CC4A6C"/>
    <w:rsid w:val="00CC4BE2"/>
    <w:rsid w:val="00CC4C7A"/>
    <w:rsid w:val="00CC4D97"/>
    <w:rsid w:val="00CC4E6F"/>
    <w:rsid w:val="00CC4F26"/>
    <w:rsid w:val="00CC4F46"/>
    <w:rsid w:val="00CC533B"/>
    <w:rsid w:val="00CC53B4"/>
    <w:rsid w:val="00CC54EB"/>
    <w:rsid w:val="00CC5581"/>
    <w:rsid w:val="00CC559F"/>
    <w:rsid w:val="00CC568E"/>
    <w:rsid w:val="00CC5691"/>
    <w:rsid w:val="00CC56C3"/>
    <w:rsid w:val="00CC5742"/>
    <w:rsid w:val="00CC57A7"/>
    <w:rsid w:val="00CC5A5B"/>
    <w:rsid w:val="00CC5C68"/>
    <w:rsid w:val="00CC5CC5"/>
    <w:rsid w:val="00CC611B"/>
    <w:rsid w:val="00CC619C"/>
    <w:rsid w:val="00CC61D6"/>
    <w:rsid w:val="00CC63A4"/>
    <w:rsid w:val="00CC670E"/>
    <w:rsid w:val="00CC682D"/>
    <w:rsid w:val="00CC6860"/>
    <w:rsid w:val="00CC6AE2"/>
    <w:rsid w:val="00CC6D0F"/>
    <w:rsid w:val="00CC6E8B"/>
    <w:rsid w:val="00CC6F6C"/>
    <w:rsid w:val="00CC6FF4"/>
    <w:rsid w:val="00CC71F2"/>
    <w:rsid w:val="00CC72E2"/>
    <w:rsid w:val="00CC7509"/>
    <w:rsid w:val="00CC755C"/>
    <w:rsid w:val="00CC75BC"/>
    <w:rsid w:val="00CC75CA"/>
    <w:rsid w:val="00CC776C"/>
    <w:rsid w:val="00CC7955"/>
    <w:rsid w:val="00CC7B15"/>
    <w:rsid w:val="00CC7D4E"/>
    <w:rsid w:val="00CC7DD9"/>
    <w:rsid w:val="00CC7DF1"/>
    <w:rsid w:val="00CC7F7D"/>
    <w:rsid w:val="00CC7FBA"/>
    <w:rsid w:val="00CC7FF1"/>
    <w:rsid w:val="00CD00A4"/>
    <w:rsid w:val="00CD0138"/>
    <w:rsid w:val="00CD024B"/>
    <w:rsid w:val="00CD0293"/>
    <w:rsid w:val="00CD02CE"/>
    <w:rsid w:val="00CD0518"/>
    <w:rsid w:val="00CD0594"/>
    <w:rsid w:val="00CD0633"/>
    <w:rsid w:val="00CD0655"/>
    <w:rsid w:val="00CD0739"/>
    <w:rsid w:val="00CD0803"/>
    <w:rsid w:val="00CD0996"/>
    <w:rsid w:val="00CD0A93"/>
    <w:rsid w:val="00CD0BB1"/>
    <w:rsid w:val="00CD0D96"/>
    <w:rsid w:val="00CD0EB0"/>
    <w:rsid w:val="00CD0F53"/>
    <w:rsid w:val="00CD0F66"/>
    <w:rsid w:val="00CD1011"/>
    <w:rsid w:val="00CD11B0"/>
    <w:rsid w:val="00CD11B3"/>
    <w:rsid w:val="00CD1434"/>
    <w:rsid w:val="00CD1572"/>
    <w:rsid w:val="00CD16A5"/>
    <w:rsid w:val="00CD16B8"/>
    <w:rsid w:val="00CD1BBA"/>
    <w:rsid w:val="00CD1E97"/>
    <w:rsid w:val="00CD214B"/>
    <w:rsid w:val="00CD2210"/>
    <w:rsid w:val="00CD2356"/>
    <w:rsid w:val="00CD2463"/>
    <w:rsid w:val="00CD2521"/>
    <w:rsid w:val="00CD25D1"/>
    <w:rsid w:val="00CD26EF"/>
    <w:rsid w:val="00CD2713"/>
    <w:rsid w:val="00CD2742"/>
    <w:rsid w:val="00CD2798"/>
    <w:rsid w:val="00CD295D"/>
    <w:rsid w:val="00CD2A08"/>
    <w:rsid w:val="00CD2B5F"/>
    <w:rsid w:val="00CD2C47"/>
    <w:rsid w:val="00CD2E0B"/>
    <w:rsid w:val="00CD2EB4"/>
    <w:rsid w:val="00CD2F32"/>
    <w:rsid w:val="00CD2FAA"/>
    <w:rsid w:val="00CD30D6"/>
    <w:rsid w:val="00CD32AC"/>
    <w:rsid w:val="00CD362F"/>
    <w:rsid w:val="00CD3A37"/>
    <w:rsid w:val="00CD3B0A"/>
    <w:rsid w:val="00CD42DA"/>
    <w:rsid w:val="00CD4453"/>
    <w:rsid w:val="00CD4500"/>
    <w:rsid w:val="00CD455E"/>
    <w:rsid w:val="00CD467D"/>
    <w:rsid w:val="00CD473C"/>
    <w:rsid w:val="00CD487C"/>
    <w:rsid w:val="00CD4A39"/>
    <w:rsid w:val="00CD4B14"/>
    <w:rsid w:val="00CD4B47"/>
    <w:rsid w:val="00CD52E1"/>
    <w:rsid w:val="00CD52F4"/>
    <w:rsid w:val="00CD5471"/>
    <w:rsid w:val="00CD5688"/>
    <w:rsid w:val="00CD5863"/>
    <w:rsid w:val="00CD5E4F"/>
    <w:rsid w:val="00CD5EC5"/>
    <w:rsid w:val="00CD6097"/>
    <w:rsid w:val="00CD614F"/>
    <w:rsid w:val="00CD625A"/>
    <w:rsid w:val="00CD6269"/>
    <w:rsid w:val="00CD6453"/>
    <w:rsid w:val="00CD64B6"/>
    <w:rsid w:val="00CD6552"/>
    <w:rsid w:val="00CD6634"/>
    <w:rsid w:val="00CD6647"/>
    <w:rsid w:val="00CD668A"/>
    <w:rsid w:val="00CD698C"/>
    <w:rsid w:val="00CD69F8"/>
    <w:rsid w:val="00CD6AB4"/>
    <w:rsid w:val="00CD6BA4"/>
    <w:rsid w:val="00CD6C9A"/>
    <w:rsid w:val="00CD6D8B"/>
    <w:rsid w:val="00CD6DBB"/>
    <w:rsid w:val="00CD7057"/>
    <w:rsid w:val="00CD709B"/>
    <w:rsid w:val="00CD72F8"/>
    <w:rsid w:val="00CD7315"/>
    <w:rsid w:val="00CD755D"/>
    <w:rsid w:val="00CD7936"/>
    <w:rsid w:val="00CD79B5"/>
    <w:rsid w:val="00CD79F2"/>
    <w:rsid w:val="00CD7ACA"/>
    <w:rsid w:val="00CD7F28"/>
    <w:rsid w:val="00CE026A"/>
    <w:rsid w:val="00CE03A5"/>
    <w:rsid w:val="00CE0637"/>
    <w:rsid w:val="00CE068A"/>
    <w:rsid w:val="00CE0962"/>
    <w:rsid w:val="00CE0B56"/>
    <w:rsid w:val="00CE0DAD"/>
    <w:rsid w:val="00CE0DE9"/>
    <w:rsid w:val="00CE0E4D"/>
    <w:rsid w:val="00CE0EF0"/>
    <w:rsid w:val="00CE1413"/>
    <w:rsid w:val="00CE145A"/>
    <w:rsid w:val="00CE15FF"/>
    <w:rsid w:val="00CE16BC"/>
    <w:rsid w:val="00CE182A"/>
    <w:rsid w:val="00CE1D72"/>
    <w:rsid w:val="00CE2176"/>
    <w:rsid w:val="00CE21D3"/>
    <w:rsid w:val="00CE2378"/>
    <w:rsid w:val="00CE26F0"/>
    <w:rsid w:val="00CE272A"/>
    <w:rsid w:val="00CE27A5"/>
    <w:rsid w:val="00CE289D"/>
    <w:rsid w:val="00CE2A0E"/>
    <w:rsid w:val="00CE2A3D"/>
    <w:rsid w:val="00CE2AC9"/>
    <w:rsid w:val="00CE2B24"/>
    <w:rsid w:val="00CE2B82"/>
    <w:rsid w:val="00CE2CFC"/>
    <w:rsid w:val="00CE2D2D"/>
    <w:rsid w:val="00CE2E38"/>
    <w:rsid w:val="00CE2E89"/>
    <w:rsid w:val="00CE3029"/>
    <w:rsid w:val="00CE330E"/>
    <w:rsid w:val="00CE3399"/>
    <w:rsid w:val="00CE344F"/>
    <w:rsid w:val="00CE3657"/>
    <w:rsid w:val="00CE3864"/>
    <w:rsid w:val="00CE39E7"/>
    <w:rsid w:val="00CE3C4D"/>
    <w:rsid w:val="00CE3F4C"/>
    <w:rsid w:val="00CE3F7C"/>
    <w:rsid w:val="00CE42A5"/>
    <w:rsid w:val="00CE4374"/>
    <w:rsid w:val="00CE43F5"/>
    <w:rsid w:val="00CE4496"/>
    <w:rsid w:val="00CE481C"/>
    <w:rsid w:val="00CE4B8B"/>
    <w:rsid w:val="00CE4BA3"/>
    <w:rsid w:val="00CE4BE8"/>
    <w:rsid w:val="00CE4D8F"/>
    <w:rsid w:val="00CE4DDD"/>
    <w:rsid w:val="00CE4F1E"/>
    <w:rsid w:val="00CE50B2"/>
    <w:rsid w:val="00CE50E2"/>
    <w:rsid w:val="00CE5113"/>
    <w:rsid w:val="00CE5153"/>
    <w:rsid w:val="00CE53BB"/>
    <w:rsid w:val="00CE548C"/>
    <w:rsid w:val="00CE5509"/>
    <w:rsid w:val="00CE553E"/>
    <w:rsid w:val="00CE55E7"/>
    <w:rsid w:val="00CE565C"/>
    <w:rsid w:val="00CE567C"/>
    <w:rsid w:val="00CE5754"/>
    <w:rsid w:val="00CE5799"/>
    <w:rsid w:val="00CE57E5"/>
    <w:rsid w:val="00CE5802"/>
    <w:rsid w:val="00CE580C"/>
    <w:rsid w:val="00CE58D1"/>
    <w:rsid w:val="00CE5A2F"/>
    <w:rsid w:val="00CE5A8B"/>
    <w:rsid w:val="00CE5B67"/>
    <w:rsid w:val="00CE5B8D"/>
    <w:rsid w:val="00CE5CA1"/>
    <w:rsid w:val="00CE5F7C"/>
    <w:rsid w:val="00CE5F88"/>
    <w:rsid w:val="00CE5FE7"/>
    <w:rsid w:val="00CE60E7"/>
    <w:rsid w:val="00CE61AC"/>
    <w:rsid w:val="00CE61F7"/>
    <w:rsid w:val="00CE6256"/>
    <w:rsid w:val="00CE64F8"/>
    <w:rsid w:val="00CE6765"/>
    <w:rsid w:val="00CE6910"/>
    <w:rsid w:val="00CE6BD5"/>
    <w:rsid w:val="00CE6D3D"/>
    <w:rsid w:val="00CE707A"/>
    <w:rsid w:val="00CE70B2"/>
    <w:rsid w:val="00CE727A"/>
    <w:rsid w:val="00CE75A0"/>
    <w:rsid w:val="00CE7638"/>
    <w:rsid w:val="00CE7691"/>
    <w:rsid w:val="00CE7767"/>
    <w:rsid w:val="00CE7869"/>
    <w:rsid w:val="00CE7895"/>
    <w:rsid w:val="00CE7909"/>
    <w:rsid w:val="00CE7C97"/>
    <w:rsid w:val="00CE7CBE"/>
    <w:rsid w:val="00CE7DED"/>
    <w:rsid w:val="00CE7F5B"/>
    <w:rsid w:val="00CF013E"/>
    <w:rsid w:val="00CF02D6"/>
    <w:rsid w:val="00CF044E"/>
    <w:rsid w:val="00CF0462"/>
    <w:rsid w:val="00CF0650"/>
    <w:rsid w:val="00CF06D8"/>
    <w:rsid w:val="00CF084B"/>
    <w:rsid w:val="00CF0AC4"/>
    <w:rsid w:val="00CF0AE1"/>
    <w:rsid w:val="00CF0BA4"/>
    <w:rsid w:val="00CF0E15"/>
    <w:rsid w:val="00CF0F1B"/>
    <w:rsid w:val="00CF119C"/>
    <w:rsid w:val="00CF1295"/>
    <w:rsid w:val="00CF169B"/>
    <w:rsid w:val="00CF17DE"/>
    <w:rsid w:val="00CF18C0"/>
    <w:rsid w:val="00CF18FF"/>
    <w:rsid w:val="00CF1CD9"/>
    <w:rsid w:val="00CF1D9E"/>
    <w:rsid w:val="00CF1E54"/>
    <w:rsid w:val="00CF1F67"/>
    <w:rsid w:val="00CF20C1"/>
    <w:rsid w:val="00CF22F4"/>
    <w:rsid w:val="00CF238D"/>
    <w:rsid w:val="00CF23BA"/>
    <w:rsid w:val="00CF2498"/>
    <w:rsid w:val="00CF2594"/>
    <w:rsid w:val="00CF28C2"/>
    <w:rsid w:val="00CF29E2"/>
    <w:rsid w:val="00CF2EEF"/>
    <w:rsid w:val="00CF31CC"/>
    <w:rsid w:val="00CF3276"/>
    <w:rsid w:val="00CF347C"/>
    <w:rsid w:val="00CF35C7"/>
    <w:rsid w:val="00CF35F2"/>
    <w:rsid w:val="00CF365F"/>
    <w:rsid w:val="00CF3697"/>
    <w:rsid w:val="00CF36AC"/>
    <w:rsid w:val="00CF38C5"/>
    <w:rsid w:val="00CF3976"/>
    <w:rsid w:val="00CF3A30"/>
    <w:rsid w:val="00CF3A73"/>
    <w:rsid w:val="00CF3AB4"/>
    <w:rsid w:val="00CF3B4B"/>
    <w:rsid w:val="00CF3C61"/>
    <w:rsid w:val="00CF3DB0"/>
    <w:rsid w:val="00CF3ED4"/>
    <w:rsid w:val="00CF3F64"/>
    <w:rsid w:val="00CF4124"/>
    <w:rsid w:val="00CF41D9"/>
    <w:rsid w:val="00CF421D"/>
    <w:rsid w:val="00CF4423"/>
    <w:rsid w:val="00CF4440"/>
    <w:rsid w:val="00CF473A"/>
    <w:rsid w:val="00CF47C0"/>
    <w:rsid w:val="00CF488B"/>
    <w:rsid w:val="00CF4948"/>
    <w:rsid w:val="00CF4B68"/>
    <w:rsid w:val="00CF4BC1"/>
    <w:rsid w:val="00CF4CBB"/>
    <w:rsid w:val="00CF4DD0"/>
    <w:rsid w:val="00CF4FBA"/>
    <w:rsid w:val="00CF5126"/>
    <w:rsid w:val="00CF5763"/>
    <w:rsid w:val="00CF57A8"/>
    <w:rsid w:val="00CF57EE"/>
    <w:rsid w:val="00CF5929"/>
    <w:rsid w:val="00CF5CD5"/>
    <w:rsid w:val="00CF5E17"/>
    <w:rsid w:val="00CF5E8E"/>
    <w:rsid w:val="00CF5F48"/>
    <w:rsid w:val="00CF5F7F"/>
    <w:rsid w:val="00CF6203"/>
    <w:rsid w:val="00CF63BB"/>
    <w:rsid w:val="00CF64C0"/>
    <w:rsid w:val="00CF64FC"/>
    <w:rsid w:val="00CF6503"/>
    <w:rsid w:val="00CF6534"/>
    <w:rsid w:val="00CF6687"/>
    <w:rsid w:val="00CF6885"/>
    <w:rsid w:val="00CF6913"/>
    <w:rsid w:val="00CF6FB6"/>
    <w:rsid w:val="00CF6FD3"/>
    <w:rsid w:val="00CF727E"/>
    <w:rsid w:val="00CF736A"/>
    <w:rsid w:val="00CF75E5"/>
    <w:rsid w:val="00CF7723"/>
    <w:rsid w:val="00CF77C2"/>
    <w:rsid w:val="00CF7AF1"/>
    <w:rsid w:val="00CF7FE5"/>
    <w:rsid w:val="00D000B8"/>
    <w:rsid w:val="00D00384"/>
    <w:rsid w:val="00D00560"/>
    <w:rsid w:val="00D0099C"/>
    <w:rsid w:val="00D00E73"/>
    <w:rsid w:val="00D00ED4"/>
    <w:rsid w:val="00D0102F"/>
    <w:rsid w:val="00D01074"/>
    <w:rsid w:val="00D01137"/>
    <w:rsid w:val="00D0116F"/>
    <w:rsid w:val="00D01304"/>
    <w:rsid w:val="00D01347"/>
    <w:rsid w:val="00D0154B"/>
    <w:rsid w:val="00D01626"/>
    <w:rsid w:val="00D0163F"/>
    <w:rsid w:val="00D017DF"/>
    <w:rsid w:val="00D01827"/>
    <w:rsid w:val="00D018AC"/>
    <w:rsid w:val="00D0192A"/>
    <w:rsid w:val="00D019A6"/>
    <w:rsid w:val="00D01CB9"/>
    <w:rsid w:val="00D01DEB"/>
    <w:rsid w:val="00D02631"/>
    <w:rsid w:val="00D02739"/>
    <w:rsid w:val="00D029B2"/>
    <w:rsid w:val="00D02A60"/>
    <w:rsid w:val="00D02CEA"/>
    <w:rsid w:val="00D02D9A"/>
    <w:rsid w:val="00D02EFB"/>
    <w:rsid w:val="00D02F6E"/>
    <w:rsid w:val="00D03017"/>
    <w:rsid w:val="00D03148"/>
    <w:rsid w:val="00D033DC"/>
    <w:rsid w:val="00D03443"/>
    <w:rsid w:val="00D035D7"/>
    <w:rsid w:val="00D03AE7"/>
    <w:rsid w:val="00D03E82"/>
    <w:rsid w:val="00D03F21"/>
    <w:rsid w:val="00D040BE"/>
    <w:rsid w:val="00D040D6"/>
    <w:rsid w:val="00D04676"/>
    <w:rsid w:val="00D046AD"/>
    <w:rsid w:val="00D04792"/>
    <w:rsid w:val="00D0484A"/>
    <w:rsid w:val="00D04914"/>
    <w:rsid w:val="00D04C54"/>
    <w:rsid w:val="00D04E0B"/>
    <w:rsid w:val="00D04FB2"/>
    <w:rsid w:val="00D050E3"/>
    <w:rsid w:val="00D0513C"/>
    <w:rsid w:val="00D0578D"/>
    <w:rsid w:val="00D05A7C"/>
    <w:rsid w:val="00D05CC5"/>
    <w:rsid w:val="00D05E34"/>
    <w:rsid w:val="00D05EB6"/>
    <w:rsid w:val="00D0609B"/>
    <w:rsid w:val="00D06128"/>
    <w:rsid w:val="00D0612E"/>
    <w:rsid w:val="00D062A8"/>
    <w:rsid w:val="00D065C3"/>
    <w:rsid w:val="00D06AEF"/>
    <w:rsid w:val="00D06C31"/>
    <w:rsid w:val="00D06CF4"/>
    <w:rsid w:val="00D06E29"/>
    <w:rsid w:val="00D06E5E"/>
    <w:rsid w:val="00D06F42"/>
    <w:rsid w:val="00D07083"/>
    <w:rsid w:val="00D0747A"/>
    <w:rsid w:val="00D0776D"/>
    <w:rsid w:val="00D077ED"/>
    <w:rsid w:val="00D0786A"/>
    <w:rsid w:val="00D07A29"/>
    <w:rsid w:val="00D07B9D"/>
    <w:rsid w:val="00D07E9D"/>
    <w:rsid w:val="00D07F68"/>
    <w:rsid w:val="00D07FBF"/>
    <w:rsid w:val="00D10044"/>
    <w:rsid w:val="00D101F9"/>
    <w:rsid w:val="00D10338"/>
    <w:rsid w:val="00D104D9"/>
    <w:rsid w:val="00D10916"/>
    <w:rsid w:val="00D109AA"/>
    <w:rsid w:val="00D10D6F"/>
    <w:rsid w:val="00D10DB2"/>
    <w:rsid w:val="00D10E0B"/>
    <w:rsid w:val="00D11058"/>
    <w:rsid w:val="00D11290"/>
    <w:rsid w:val="00D112DC"/>
    <w:rsid w:val="00D11310"/>
    <w:rsid w:val="00D115E2"/>
    <w:rsid w:val="00D117A6"/>
    <w:rsid w:val="00D11917"/>
    <w:rsid w:val="00D11C65"/>
    <w:rsid w:val="00D11E1E"/>
    <w:rsid w:val="00D120A3"/>
    <w:rsid w:val="00D1239F"/>
    <w:rsid w:val="00D1245A"/>
    <w:rsid w:val="00D12521"/>
    <w:rsid w:val="00D12626"/>
    <w:rsid w:val="00D12720"/>
    <w:rsid w:val="00D1272D"/>
    <w:rsid w:val="00D12829"/>
    <w:rsid w:val="00D12870"/>
    <w:rsid w:val="00D12967"/>
    <w:rsid w:val="00D12B36"/>
    <w:rsid w:val="00D12C10"/>
    <w:rsid w:val="00D12DA4"/>
    <w:rsid w:val="00D12FFD"/>
    <w:rsid w:val="00D131F4"/>
    <w:rsid w:val="00D133FE"/>
    <w:rsid w:val="00D13535"/>
    <w:rsid w:val="00D137B9"/>
    <w:rsid w:val="00D13A00"/>
    <w:rsid w:val="00D13B10"/>
    <w:rsid w:val="00D13C05"/>
    <w:rsid w:val="00D13DC1"/>
    <w:rsid w:val="00D13E5B"/>
    <w:rsid w:val="00D13F72"/>
    <w:rsid w:val="00D143D1"/>
    <w:rsid w:val="00D1477D"/>
    <w:rsid w:val="00D148C0"/>
    <w:rsid w:val="00D148E5"/>
    <w:rsid w:val="00D149B0"/>
    <w:rsid w:val="00D149FB"/>
    <w:rsid w:val="00D14A01"/>
    <w:rsid w:val="00D14A58"/>
    <w:rsid w:val="00D14BC3"/>
    <w:rsid w:val="00D15179"/>
    <w:rsid w:val="00D151A7"/>
    <w:rsid w:val="00D154E7"/>
    <w:rsid w:val="00D155F6"/>
    <w:rsid w:val="00D158E4"/>
    <w:rsid w:val="00D15A4A"/>
    <w:rsid w:val="00D15C69"/>
    <w:rsid w:val="00D15CEB"/>
    <w:rsid w:val="00D15F53"/>
    <w:rsid w:val="00D15F75"/>
    <w:rsid w:val="00D162A1"/>
    <w:rsid w:val="00D16487"/>
    <w:rsid w:val="00D1658B"/>
    <w:rsid w:val="00D167C8"/>
    <w:rsid w:val="00D169D1"/>
    <w:rsid w:val="00D16D90"/>
    <w:rsid w:val="00D172E1"/>
    <w:rsid w:val="00D17343"/>
    <w:rsid w:val="00D175D3"/>
    <w:rsid w:val="00D177C2"/>
    <w:rsid w:val="00D177EA"/>
    <w:rsid w:val="00D17846"/>
    <w:rsid w:val="00D1784F"/>
    <w:rsid w:val="00D17B5B"/>
    <w:rsid w:val="00D17D61"/>
    <w:rsid w:val="00D17FBC"/>
    <w:rsid w:val="00D20005"/>
    <w:rsid w:val="00D2010F"/>
    <w:rsid w:val="00D20112"/>
    <w:rsid w:val="00D202B4"/>
    <w:rsid w:val="00D202CD"/>
    <w:rsid w:val="00D20351"/>
    <w:rsid w:val="00D20682"/>
    <w:rsid w:val="00D206A9"/>
    <w:rsid w:val="00D20BD4"/>
    <w:rsid w:val="00D20DD7"/>
    <w:rsid w:val="00D20F39"/>
    <w:rsid w:val="00D20F6C"/>
    <w:rsid w:val="00D2129E"/>
    <w:rsid w:val="00D2134F"/>
    <w:rsid w:val="00D21401"/>
    <w:rsid w:val="00D21523"/>
    <w:rsid w:val="00D21684"/>
    <w:rsid w:val="00D2169E"/>
    <w:rsid w:val="00D2189E"/>
    <w:rsid w:val="00D218B9"/>
    <w:rsid w:val="00D21AE9"/>
    <w:rsid w:val="00D21C2C"/>
    <w:rsid w:val="00D21D2E"/>
    <w:rsid w:val="00D2200A"/>
    <w:rsid w:val="00D220B3"/>
    <w:rsid w:val="00D22161"/>
    <w:rsid w:val="00D22365"/>
    <w:rsid w:val="00D22442"/>
    <w:rsid w:val="00D225D5"/>
    <w:rsid w:val="00D225D6"/>
    <w:rsid w:val="00D2260B"/>
    <w:rsid w:val="00D22693"/>
    <w:rsid w:val="00D2274A"/>
    <w:rsid w:val="00D228A4"/>
    <w:rsid w:val="00D228E4"/>
    <w:rsid w:val="00D22948"/>
    <w:rsid w:val="00D22CE1"/>
    <w:rsid w:val="00D22DAC"/>
    <w:rsid w:val="00D22E4D"/>
    <w:rsid w:val="00D22EEE"/>
    <w:rsid w:val="00D22F05"/>
    <w:rsid w:val="00D2332B"/>
    <w:rsid w:val="00D23331"/>
    <w:rsid w:val="00D233A4"/>
    <w:rsid w:val="00D234A3"/>
    <w:rsid w:val="00D23743"/>
    <w:rsid w:val="00D239CF"/>
    <w:rsid w:val="00D23A2A"/>
    <w:rsid w:val="00D23A8F"/>
    <w:rsid w:val="00D23B5D"/>
    <w:rsid w:val="00D23DE0"/>
    <w:rsid w:val="00D23E84"/>
    <w:rsid w:val="00D23ED4"/>
    <w:rsid w:val="00D240F0"/>
    <w:rsid w:val="00D241E8"/>
    <w:rsid w:val="00D243A2"/>
    <w:rsid w:val="00D24A4E"/>
    <w:rsid w:val="00D24BF9"/>
    <w:rsid w:val="00D2504B"/>
    <w:rsid w:val="00D25134"/>
    <w:rsid w:val="00D2515A"/>
    <w:rsid w:val="00D2533E"/>
    <w:rsid w:val="00D2536D"/>
    <w:rsid w:val="00D25647"/>
    <w:rsid w:val="00D2564D"/>
    <w:rsid w:val="00D257A3"/>
    <w:rsid w:val="00D257C1"/>
    <w:rsid w:val="00D25899"/>
    <w:rsid w:val="00D259EF"/>
    <w:rsid w:val="00D25A38"/>
    <w:rsid w:val="00D25D64"/>
    <w:rsid w:val="00D25E89"/>
    <w:rsid w:val="00D260C7"/>
    <w:rsid w:val="00D26142"/>
    <w:rsid w:val="00D26177"/>
    <w:rsid w:val="00D261A1"/>
    <w:rsid w:val="00D261D0"/>
    <w:rsid w:val="00D263E9"/>
    <w:rsid w:val="00D26693"/>
    <w:rsid w:val="00D267C8"/>
    <w:rsid w:val="00D268AF"/>
    <w:rsid w:val="00D26988"/>
    <w:rsid w:val="00D26B51"/>
    <w:rsid w:val="00D26BC7"/>
    <w:rsid w:val="00D26C16"/>
    <w:rsid w:val="00D26C7D"/>
    <w:rsid w:val="00D27229"/>
    <w:rsid w:val="00D27291"/>
    <w:rsid w:val="00D273B0"/>
    <w:rsid w:val="00D273B2"/>
    <w:rsid w:val="00D274CD"/>
    <w:rsid w:val="00D274FD"/>
    <w:rsid w:val="00D275C2"/>
    <w:rsid w:val="00D27720"/>
    <w:rsid w:val="00D2784B"/>
    <w:rsid w:val="00D278C8"/>
    <w:rsid w:val="00D279DB"/>
    <w:rsid w:val="00D27C05"/>
    <w:rsid w:val="00D27C0D"/>
    <w:rsid w:val="00D27E32"/>
    <w:rsid w:val="00D3003E"/>
    <w:rsid w:val="00D30122"/>
    <w:rsid w:val="00D3027B"/>
    <w:rsid w:val="00D3035B"/>
    <w:rsid w:val="00D303A7"/>
    <w:rsid w:val="00D3047E"/>
    <w:rsid w:val="00D305D7"/>
    <w:rsid w:val="00D30678"/>
    <w:rsid w:val="00D30E9C"/>
    <w:rsid w:val="00D310BA"/>
    <w:rsid w:val="00D31115"/>
    <w:rsid w:val="00D312A3"/>
    <w:rsid w:val="00D313C7"/>
    <w:rsid w:val="00D31423"/>
    <w:rsid w:val="00D3149C"/>
    <w:rsid w:val="00D3152F"/>
    <w:rsid w:val="00D3162E"/>
    <w:rsid w:val="00D3167A"/>
    <w:rsid w:val="00D3179F"/>
    <w:rsid w:val="00D31A67"/>
    <w:rsid w:val="00D31A7A"/>
    <w:rsid w:val="00D31CE9"/>
    <w:rsid w:val="00D31F7A"/>
    <w:rsid w:val="00D3203D"/>
    <w:rsid w:val="00D32151"/>
    <w:rsid w:val="00D32180"/>
    <w:rsid w:val="00D32881"/>
    <w:rsid w:val="00D32A97"/>
    <w:rsid w:val="00D32C36"/>
    <w:rsid w:val="00D32D31"/>
    <w:rsid w:val="00D32D4B"/>
    <w:rsid w:val="00D32E52"/>
    <w:rsid w:val="00D32F3D"/>
    <w:rsid w:val="00D3301C"/>
    <w:rsid w:val="00D33038"/>
    <w:rsid w:val="00D33090"/>
    <w:rsid w:val="00D331EE"/>
    <w:rsid w:val="00D3326B"/>
    <w:rsid w:val="00D332B3"/>
    <w:rsid w:val="00D332BA"/>
    <w:rsid w:val="00D334A9"/>
    <w:rsid w:val="00D33530"/>
    <w:rsid w:val="00D3355F"/>
    <w:rsid w:val="00D33657"/>
    <w:rsid w:val="00D33759"/>
    <w:rsid w:val="00D3376A"/>
    <w:rsid w:val="00D3386E"/>
    <w:rsid w:val="00D3389B"/>
    <w:rsid w:val="00D33BA0"/>
    <w:rsid w:val="00D33CAE"/>
    <w:rsid w:val="00D33DFB"/>
    <w:rsid w:val="00D340A5"/>
    <w:rsid w:val="00D340E3"/>
    <w:rsid w:val="00D3436F"/>
    <w:rsid w:val="00D3441F"/>
    <w:rsid w:val="00D344A1"/>
    <w:rsid w:val="00D3467B"/>
    <w:rsid w:val="00D34A6A"/>
    <w:rsid w:val="00D34D9F"/>
    <w:rsid w:val="00D34F2F"/>
    <w:rsid w:val="00D34F86"/>
    <w:rsid w:val="00D34FD7"/>
    <w:rsid w:val="00D350BA"/>
    <w:rsid w:val="00D351AD"/>
    <w:rsid w:val="00D3572F"/>
    <w:rsid w:val="00D35818"/>
    <w:rsid w:val="00D3581E"/>
    <w:rsid w:val="00D35B1A"/>
    <w:rsid w:val="00D35BD4"/>
    <w:rsid w:val="00D35C40"/>
    <w:rsid w:val="00D35C5C"/>
    <w:rsid w:val="00D35DD7"/>
    <w:rsid w:val="00D35F0F"/>
    <w:rsid w:val="00D35FC3"/>
    <w:rsid w:val="00D360AC"/>
    <w:rsid w:val="00D36178"/>
    <w:rsid w:val="00D36434"/>
    <w:rsid w:val="00D36458"/>
    <w:rsid w:val="00D3654C"/>
    <w:rsid w:val="00D3673A"/>
    <w:rsid w:val="00D36897"/>
    <w:rsid w:val="00D36E95"/>
    <w:rsid w:val="00D36F01"/>
    <w:rsid w:val="00D36F22"/>
    <w:rsid w:val="00D36F30"/>
    <w:rsid w:val="00D36FFE"/>
    <w:rsid w:val="00D371F0"/>
    <w:rsid w:val="00D373E1"/>
    <w:rsid w:val="00D37778"/>
    <w:rsid w:val="00D377B9"/>
    <w:rsid w:val="00D378AE"/>
    <w:rsid w:val="00D3792C"/>
    <w:rsid w:val="00D379D4"/>
    <w:rsid w:val="00D37F32"/>
    <w:rsid w:val="00D38D7B"/>
    <w:rsid w:val="00D40376"/>
    <w:rsid w:val="00D40457"/>
    <w:rsid w:val="00D40479"/>
    <w:rsid w:val="00D405DF"/>
    <w:rsid w:val="00D405EC"/>
    <w:rsid w:val="00D407B7"/>
    <w:rsid w:val="00D40811"/>
    <w:rsid w:val="00D40950"/>
    <w:rsid w:val="00D40CE8"/>
    <w:rsid w:val="00D40FF7"/>
    <w:rsid w:val="00D410C3"/>
    <w:rsid w:val="00D41121"/>
    <w:rsid w:val="00D413C0"/>
    <w:rsid w:val="00D413D2"/>
    <w:rsid w:val="00D41417"/>
    <w:rsid w:val="00D4157A"/>
    <w:rsid w:val="00D41B0D"/>
    <w:rsid w:val="00D41B3B"/>
    <w:rsid w:val="00D41BCD"/>
    <w:rsid w:val="00D41D4B"/>
    <w:rsid w:val="00D41E25"/>
    <w:rsid w:val="00D41E57"/>
    <w:rsid w:val="00D41EA8"/>
    <w:rsid w:val="00D41FCC"/>
    <w:rsid w:val="00D422B2"/>
    <w:rsid w:val="00D4243E"/>
    <w:rsid w:val="00D42530"/>
    <w:rsid w:val="00D42676"/>
    <w:rsid w:val="00D430E7"/>
    <w:rsid w:val="00D431A6"/>
    <w:rsid w:val="00D43398"/>
    <w:rsid w:val="00D43763"/>
    <w:rsid w:val="00D438BA"/>
    <w:rsid w:val="00D4390A"/>
    <w:rsid w:val="00D439A7"/>
    <w:rsid w:val="00D43A40"/>
    <w:rsid w:val="00D43ADC"/>
    <w:rsid w:val="00D43AFB"/>
    <w:rsid w:val="00D43B40"/>
    <w:rsid w:val="00D43D1E"/>
    <w:rsid w:val="00D44001"/>
    <w:rsid w:val="00D4406B"/>
    <w:rsid w:val="00D44212"/>
    <w:rsid w:val="00D44279"/>
    <w:rsid w:val="00D44318"/>
    <w:rsid w:val="00D44489"/>
    <w:rsid w:val="00D44896"/>
    <w:rsid w:val="00D449A4"/>
    <w:rsid w:val="00D44BAA"/>
    <w:rsid w:val="00D44BF3"/>
    <w:rsid w:val="00D44C7E"/>
    <w:rsid w:val="00D44E5F"/>
    <w:rsid w:val="00D44F77"/>
    <w:rsid w:val="00D44FA6"/>
    <w:rsid w:val="00D4501D"/>
    <w:rsid w:val="00D45161"/>
    <w:rsid w:val="00D45168"/>
    <w:rsid w:val="00D4531D"/>
    <w:rsid w:val="00D45452"/>
    <w:rsid w:val="00D455D6"/>
    <w:rsid w:val="00D4560D"/>
    <w:rsid w:val="00D45693"/>
    <w:rsid w:val="00D45696"/>
    <w:rsid w:val="00D457B9"/>
    <w:rsid w:val="00D4582D"/>
    <w:rsid w:val="00D458C7"/>
    <w:rsid w:val="00D458CD"/>
    <w:rsid w:val="00D45902"/>
    <w:rsid w:val="00D45A20"/>
    <w:rsid w:val="00D45A3D"/>
    <w:rsid w:val="00D45AE6"/>
    <w:rsid w:val="00D45D2C"/>
    <w:rsid w:val="00D45DB2"/>
    <w:rsid w:val="00D45E35"/>
    <w:rsid w:val="00D45EC0"/>
    <w:rsid w:val="00D45F7D"/>
    <w:rsid w:val="00D45FAC"/>
    <w:rsid w:val="00D461C1"/>
    <w:rsid w:val="00D461EA"/>
    <w:rsid w:val="00D4637A"/>
    <w:rsid w:val="00D46605"/>
    <w:rsid w:val="00D4697B"/>
    <w:rsid w:val="00D46A62"/>
    <w:rsid w:val="00D46B36"/>
    <w:rsid w:val="00D46E6B"/>
    <w:rsid w:val="00D4717D"/>
    <w:rsid w:val="00D471D4"/>
    <w:rsid w:val="00D47375"/>
    <w:rsid w:val="00D473A8"/>
    <w:rsid w:val="00D474D4"/>
    <w:rsid w:val="00D476BB"/>
    <w:rsid w:val="00D47975"/>
    <w:rsid w:val="00D47B90"/>
    <w:rsid w:val="00D47BED"/>
    <w:rsid w:val="00D47CC0"/>
    <w:rsid w:val="00D47D54"/>
    <w:rsid w:val="00D47DCA"/>
    <w:rsid w:val="00D47FDB"/>
    <w:rsid w:val="00D5002D"/>
    <w:rsid w:val="00D50194"/>
    <w:rsid w:val="00D501F2"/>
    <w:rsid w:val="00D50331"/>
    <w:rsid w:val="00D50467"/>
    <w:rsid w:val="00D504CB"/>
    <w:rsid w:val="00D505A7"/>
    <w:rsid w:val="00D50871"/>
    <w:rsid w:val="00D509FB"/>
    <w:rsid w:val="00D50A7F"/>
    <w:rsid w:val="00D50BBA"/>
    <w:rsid w:val="00D50BCE"/>
    <w:rsid w:val="00D50BF0"/>
    <w:rsid w:val="00D50C47"/>
    <w:rsid w:val="00D50DFE"/>
    <w:rsid w:val="00D50E19"/>
    <w:rsid w:val="00D510E8"/>
    <w:rsid w:val="00D51136"/>
    <w:rsid w:val="00D513C4"/>
    <w:rsid w:val="00D513FC"/>
    <w:rsid w:val="00D515F8"/>
    <w:rsid w:val="00D516D6"/>
    <w:rsid w:val="00D51787"/>
    <w:rsid w:val="00D517C3"/>
    <w:rsid w:val="00D5185A"/>
    <w:rsid w:val="00D5197D"/>
    <w:rsid w:val="00D51A43"/>
    <w:rsid w:val="00D51AD8"/>
    <w:rsid w:val="00D51F48"/>
    <w:rsid w:val="00D5228B"/>
    <w:rsid w:val="00D52366"/>
    <w:rsid w:val="00D52452"/>
    <w:rsid w:val="00D5281E"/>
    <w:rsid w:val="00D52860"/>
    <w:rsid w:val="00D5294C"/>
    <w:rsid w:val="00D529DD"/>
    <w:rsid w:val="00D52A1E"/>
    <w:rsid w:val="00D52A9B"/>
    <w:rsid w:val="00D52C1A"/>
    <w:rsid w:val="00D52C65"/>
    <w:rsid w:val="00D52E8F"/>
    <w:rsid w:val="00D52F2C"/>
    <w:rsid w:val="00D52F4C"/>
    <w:rsid w:val="00D53024"/>
    <w:rsid w:val="00D530A4"/>
    <w:rsid w:val="00D53338"/>
    <w:rsid w:val="00D5333F"/>
    <w:rsid w:val="00D5344E"/>
    <w:rsid w:val="00D53567"/>
    <w:rsid w:val="00D537FC"/>
    <w:rsid w:val="00D5388E"/>
    <w:rsid w:val="00D538AA"/>
    <w:rsid w:val="00D538B5"/>
    <w:rsid w:val="00D538E1"/>
    <w:rsid w:val="00D53B86"/>
    <w:rsid w:val="00D53E50"/>
    <w:rsid w:val="00D53E83"/>
    <w:rsid w:val="00D5458C"/>
    <w:rsid w:val="00D547F4"/>
    <w:rsid w:val="00D549B1"/>
    <w:rsid w:val="00D549EA"/>
    <w:rsid w:val="00D54B44"/>
    <w:rsid w:val="00D54D1F"/>
    <w:rsid w:val="00D54F43"/>
    <w:rsid w:val="00D54F7B"/>
    <w:rsid w:val="00D55630"/>
    <w:rsid w:val="00D55769"/>
    <w:rsid w:val="00D5578B"/>
    <w:rsid w:val="00D55B59"/>
    <w:rsid w:val="00D55B87"/>
    <w:rsid w:val="00D56011"/>
    <w:rsid w:val="00D560BE"/>
    <w:rsid w:val="00D5624E"/>
    <w:rsid w:val="00D562C8"/>
    <w:rsid w:val="00D56343"/>
    <w:rsid w:val="00D563EA"/>
    <w:rsid w:val="00D5640B"/>
    <w:rsid w:val="00D565F9"/>
    <w:rsid w:val="00D56642"/>
    <w:rsid w:val="00D569D4"/>
    <w:rsid w:val="00D56C7B"/>
    <w:rsid w:val="00D56C84"/>
    <w:rsid w:val="00D56D91"/>
    <w:rsid w:val="00D56E76"/>
    <w:rsid w:val="00D56F77"/>
    <w:rsid w:val="00D56FD4"/>
    <w:rsid w:val="00D5715D"/>
    <w:rsid w:val="00D5719F"/>
    <w:rsid w:val="00D571BB"/>
    <w:rsid w:val="00D57340"/>
    <w:rsid w:val="00D57618"/>
    <w:rsid w:val="00D576C0"/>
    <w:rsid w:val="00D57787"/>
    <w:rsid w:val="00D5778B"/>
    <w:rsid w:val="00D578F5"/>
    <w:rsid w:val="00D57964"/>
    <w:rsid w:val="00D57A5F"/>
    <w:rsid w:val="00D57D19"/>
    <w:rsid w:val="00D60002"/>
    <w:rsid w:val="00D6007D"/>
    <w:rsid w:val="00D60549"/>
    <w:rsid w:val="00D60890"/>
    <w:rsid w:val="00D608BD"/>
    <w:rsid w:val="00D60916"/>
    <w:rsid w:val="00D60985"/>
    <w:rsid w:val="00D60B37"/>
    <w:rsid w:val="00D60B3B"/>
    <w:rsid w:val="00D60CCC"/>
    <w:rsid w:val="00D60CE5"/>
    <w:rsid w:val="00D60D0A"/>
    <w:rsid w:val="00D60F04"/>
    <w:rsid w:val="00D61292"/>
    <w:rsid w:val="00D6149E"/>
    <w:rsid w:val="00D615F1"/>
    <w:rsid w:val="00D6171D"/>
    <w:rsid w:val="00D61A02"/>
    <w:rsid w:val="00D61BDE"/>
    <w:rsid w:val="00D61E36"/>
    <w:rsid w:val="00D61FAE"/>
    <w:rsid w:val="00D621D9"/>
    <w:rsid w:val="00D622C5"/>
    <w:rsid w:val="00D623F4"/>
    <w:rsid w:val="00D627BF"/>
    <w:rsid w:val="00D6291A"/>
    <w:rsid w:val="00D62A06"/>
    <w:rsid w:val="00D62E6E"/>
    <w:rsid w:val="00D630BF"/>
    <w:rsid w:val="00D63495"/>
    <w:rsid w:val="00D634ED"/>
    <w:rsid w:val="00D638E7"/>
    <w:rsid w:val="00D638F5"/>
    <w:rsid w:val="00D63946"/>
    <w:rsid w:val="00D639C7"/>
    <w:rsid w:val="00D63AD2"/>
    <w:rsid w:val="00D63DCB"/>
    <w:rsid w:val="00D63EBA"/>
    <w:rsid w:val="00D641ED"/>
    <w:rsid w:val="00D642F7"/>
    <w:rsid w:val="00D6436B"/>
    <w:rsid w:val="00D64389"/>
    <w:rsid w:val="00D645C8"/>
    <w:rsid w:val="00D6495D"/>
    <w:rsid w:val="00D649AB"/>
    <w:rsid w:val="00D64C4A"/>
    <w:rsid w:val="00D64C6A"/>
    <w:rsid w:val="00D64CE4"/>
    <w:rsid w:val="00D64DAA"/>
    <w:rsid w:val="00D650C8"/>
    <w:rsid w:val="00D65536"/>
    <w:rsid w:val="00D65700"/>
    <w:rsid w:val="00D6586A"/>
    <w:rsid w:val="00D65920"/>
    <w:rsid w:val="00D65947"/>
    <w:rsid w:val="00D659AD"/>
    <w:rsid w:val="00D659B5"/>
    <w:rsid w:val="00D659C6"/>
    <w:rsid w:val="00D65A58"/>
    <w:rsid w:val="00D65D79"/>
    <w:rsid w:val="00D669CC"/>
    <w:rsid w:val="00D66AB9"/>
    <w:rsid w:val="00D66B34"/>
    <w:rsid w:val="00D66C04"/>
    <w:rsid w:val="00D66D88"/>
    <w:rsid w:val="00D67042"/>
    <w:rsid w:val="00D67279"/>
    <w:rsid w:val="00D67320"/>
    <w:rsid w:val="00D676FF"/>
    <w:rsid w:val="00D677A7"/>
    <w:rsid w:val="00D67878"/>
    <w:rsid w:val="00D679DF"/>
    <w:rsid w:val="00D67BA8"/>
    <w:rsid w:val="00D67CD6"/>
    <w:rsid w:val="00D67E16"/>
    <w:rsid w:val="00D67FBD"/>
    <w:rsid w:val="00D70023"/>
    <w:rsid w:val="00D701E4"/>
    <w:rsid w:val="00D70209"/>
    <w:rsid w:val="00D702FC"/>
    <w:rsid w:val="00D70322"/>
    <w:rsid w:val="00D7038E"/>
    <w:rsid w:val="00D70412"/>
    <w:rsid w:val="00D7064D"/>
    <w:rsid w:val="00D70864"/>
    <w:rsid w:val="00D708FB"/>
    <w:rsid w:val="00D709D1"/>
    <w:rsid w:val="00D70B4F"/>
    <w:rsid w:val="00D70C64"/>
    <w:rsid w:val="00D70D0B"/>
    <w:rsid w:val="00D70DAF"/>
    <w:rsid w:val="00D70E9E"/>
    <w:rsid w:val="00D70FB4"/>
    <w:rsid w:val="00D70FF4"/>
    <w:rsid w:val="00D71021"/>
    <w:rsid w:val="00D713C5"/>
    <w:rsid w:val="00D7146F"/>
    <w:rsid w:val="00D714FE"/>
    <w:rsid w:val="00D71502"/>
    <w:rsid w:val="00D7150D"/>
    <w:rsid w:val="00D71931"/>
    <w:rsid w:val="00D7193E"/>
    <w:rsid w:val="00D71A6C"/>
    <w:rsid w:val="00D71A9C"/>
    <w:rsid w:val="00D71B70"/>
    <w:rsid w:val="00D71C51"/>
    <w:rsid w:val="00D71D0A"/>
    <w:rsid w:val="00D71D4B"/>
    <w:rsid w:val="00D71FDE"/>
    <w:rsid w:val="00D72015"/>
    <w:rsid w:val="00D72033"/>
    <w:rsid w:val="00D72139"/>
    <w:rsid w:val="00D72390"/>
    <w:rsid w:val="00D72488"/>
    <w:rsid w:val="00D724E2"/>
    <w:rsid w:val="00D72572"/>
    <w:rsid w:val="00D72734"/>
    <w:rsid w:val="00D72838"/>
    <w:rsid w:val="00D7296A"/>
    <w:rsid w:val="00D72976"/>
    <w:rsid w:val="00D72AB2"/>
    <w:rsid w:val="00D72B97"/>
    <w:rsid w:val="00D72C1B"/>
    <w:rsid w:val="00D72C36"/>
    <w:rsid w:val="00D72C39"/>
    <w:rsid w:val="00D72EE7"/>
    <w:rsid w:val="00D72F1C"/>
    <w:rsid w:val="00D72F51"/>
    <w:rsid w:val="00D72FF2"/>
    <w:rsid w:val="00D731F7"/>
    <w:rsid w:val="00D73548"/>
    <w:rsid w:val="00D73727"/>
    <w:rsid w:val="00D7373F"/>
    <w:rsid w:val="00D73789"/>
    <w:rsid w:val="00D737A1"/>
    <w:rsid w:val="00D73828"/>
    <w:rsid w:val="00D73988"/>
    <w:rsid w:val="00D73AAF"/>
    <w:rsid w:val="00D73ACB"/>
    <w:rsid w:val="00D73C82"/>
    <w:rsid w:val="00D73EFD"/>
    <w:rsid w:val="00D7400C"/>
    <w:rsid w:val="00D74047"/>
    <w:rsid w:val="00D74072"/>
    <w:rsid w:val="00D74324"/>
    <w:rsid w:val="00D7449A"/>
    <w:rsid w:val="00D74656"/>
    <w:rsid w:val="00D746C9"/>
    <w:rsid w:val="00D74702"/>
    <w:rsid w:val="00D74727"/>
    <w:rsid w:val="00D7484F"/>
    <w:rsid w:val="00D74A0B"/>
    <w:rsid w:val="00D74E2F"/>
    <w:rsid w:val="00D74E84"/>
    <w:rsid w:val="00D7508C"/>
    <w:rsid w:val="00D7510C"/>
    <w:rsid w:val="00D7521C"/>
    <w:rsid w:val="00D752AC"/>
    <w:rsid w:val="00D75318"/>
    <w:rsid w:val="00D75375"/>
    <w:rsid w:val="00D753D7"/>
    <w:rsid w:val="00D755F3"/>
    <w:rsid w:val="00D75687"/>
    <w:rsid w:val="00D756F8"/>
    <w:rsid w:val="00D75807"/>
    <w:rsid w:val="00D7584F"/>
    <w:rsid w:val="00D75A73"/>
    <w:rsid w:val="00D75B41"/>
    <w:rsid w:val="00D75C56"/>
    <w:rsid w:val="00D75C75"/>
    <w:rsid w:val="00D75FC5"/>
    <w:rsid w:val="00D76051"/>
    <w:rsid w:val="00D7606B"/>
    <w:rsid w:val="00D76124"/>
    <w:rsid w:val="00D761B1"/>
    <w:rsid w:val="00D761D8"/>
    <w:rsid w:val="00D76326"/>
    <w:rsid w:val="00D7640C"/>
    <w:rsid w:val="00D765B1"/>
    <w:rsid w:val="00D769FC"/>
    <w:rsid w:val="00D76B01"/>
    <w:rsid w:val="00D76B86"/>
    <w:rsid w:val="00D76BFB"/>
    <w:rsid w:val="00D76D8C"/>
    <w:rsid w:val="00D76EB8"/>
    <w:rsid w:val="00D770DC"/>
    <w:rsid w:val="00D772BF"/>
    <w:rsid w:val="00D772C7"/>
    <w:rsid w:val="00D77573"/>
    <w:rsid w:val="00D775EB"/>
    <w:rsid w:val="00D77652"/>
    <w:rsid w:val="00D776F0"/>
    <w:rsid w:val="00D779BC"/>
    <w:rsid w:val="00D77A66"/>
    <w:rsid w:val="00D77C6B"/>
    <w:rsid w:val="00D77CC7"/>
    <w:rsid w:val="00D77D8E"/>
    <w:rsid w:val="00D77EA3"/>
    <w:rsid w:val="00D80191"/>
    <w:rsid w:val="00D80376"/>
    <w:rsid w:val="00D80468"/>
    <w:rsid w:val="00D8059E"/>
    <w:rsid w:val="00D80699"/>
    <w:rsid w:val="00D8093F"/>
    <w:rsid w:val="00D809F3"/>
    <w:rsid w:val="00D80A9C"/>
    <w:rsid w:val="00D80B78"/>
    <w:rsid w:val="00D80BB1"/>
    <w:rsid w:val="00D80C7F"/>
    <w:rsid w:val="00D80CD7"/>
    <w:rsid w:val="00D80ECE"/>
    <w:rsid w:val="00D80F57"/>
    <w:rsid w:val="00D81032"/>
    <w:rsid w:val="00D81124"/>
    <w:rsid w:val="00D81286"/>
    <w:rsid w:val="00D81A4B"/>
    <w:rsid w:val="00D81B78"/>
    <w:rsid w:val="00D81CF1"/>
    <w:rsid w:val="00D81D5B"/>
    <w:rsid w:val="00D81E79"/>
    <w:rsid w:val="00D822FD"/>
    <w:rsid w:val="00D82365"/>
    <w:rsid w:val="00D8237B"/>
    <w:rsid w:val="00D82420"/>
    <w:rsid w:val="00D824CE"/>
    <w:rsid w:val="00D82525"/>
    <w:rsid w:val="00D8275A"/>
    <w:rsid w:val="00D82985"/>
    <w:rsid w:val="00D82B72"/>
    <w:rsid w:val="00D82EC4"/>
    <w:rsid w:val="00D82F01"/>
    <w:rsid w:val="00D82FA6"/>
    <w:rsid w:val="00D83191"/>
    <w:rsid w:val="00D832AF"/>
    <w:rsid w:val="00D8389F"/>
    <w:rsid w:val="00D8391E"/>
    <w:rsid w:val="00D83A2C"/>
    <w:rsid w:val="00D83F3A"/>
    <w:rsid w:val="00D842DF"/>
    <w:rsid w:val="00D844FE"/>
    <w:rsid w:val="00D84678"/>
    <w:rsid w:val="00D846B0"/>
    <w:rsid w:val="00D847B7"/>
    <w:rsid w:val="00D8486E"/>
    <w:rsid w:val="00D84915"/>
    <w:rsid w:val="00D84AD9"/>
    <w:rsid w:val="00D84AE2"/>
    <w:rsid w:val="00D84D91"/>
    <w:rsid w:val="00D84E06"/>
    <w:rsid w:val="00D84F87"/>
    <w:rsid w:val="00D85004"/>
    <w:rsid w:val="00D8500F"/>
    <w:rsid w:val="00D8504D"/>
    <w:rsid w:val="00D8515A"/>
    <w:rsid w:val="00D8528A"/>
    <w:rsid w:val="00D852C5"/>
    <w:rsid w:val="00D85513"/>
    <w:rsid w:val="00D85576"/>
    <w:rsid w:val="00D85591"/>
    <w:rsid w:val="00D857AE"/>
    <w:rsid w:val="00D857FE"/>
    <w:rsid w:val="00D85829"/>
    <w:rsid w:val="00D859F1"/>
    <w:rsid w:val="00D85C1D"/>
    <w:rsid w:val="00D85C47"/>
    <w:rsid w:val="00D85D71"/>
    <w:rsid w:val="00D85E0F"/>
    <w:rsid w:val="00D85ED3"/>
    <w:rsid w:val="00D86067"/>
    <w:rsid w:val="00D865A9"/>
    <w:rsid w:val="00D86669"/>
    <w:rsid w:val="00D867E8"/>
    <w:rsid w:val="00D86C3F"/>
    <w:rsid w:val="00D86C43"/>
    <w:rsid w:val="00D86DC5"/>
    <w:rsid w:val="00D87184"/>
    <w:rsid w:val="00D872DA"/>
    <w:rsid w:val="00D8737A"/>
    <w:rsid w:val="00D8764C"/>
    <w:rsid w:val="00D878B1"/>
    <w:rsid w:val="00D87A4D"/>
    <w:rsid w:val="00D87B88"/>
    <w:rsid w:val="00D87BD2"/>
    <w:rsid w:val="00D87C92"/>
    <w:rsid w:val="00D87D83"/>
    <w:rsid w:val="00D87EA2"/>
    <w:rsid w:val="00D9002F"/>
    <w:rsid w:val="00D90054"/>
    <w:rsid w:val="00D90146"/>
    <w:rsid w:val="00D90335"/>
    <w:rsid w:val="00D905D9"/>
    <w:rsid w:val="00D906F5"/>
    <w:rsid w:val="00D90772"/>
    <w:rsid w:val="00D907BC"/>
    <w:rsid w:val="00D907C7"/>
    <w:rsid w:val="00D9082F"/>
    <w:rsid w:val="00D90858"/>
    <w:rsid w:val="00D90914"/>
    <w:rsid w:val="00D909DA"/>
    <w:rsid w:val="00D90D5B"/>
    <w:rsid w:val="00D90DA0"/>
    <w:rsid w:val="00D90E50"/>
    <w:rsid w:val="00D90EF3"/>
    <w:rsid w:val="00D90F8E"/>
    <w:rsid w:val="00D9111A"/>
    <w:rsid w:val="00D911EC"/>
    <w:rsid w:val="00D911FA"/>
    <w:rsid w:val="00D91240"/>
    <w:rsid w:val="00D9126F"/>
    <w:rsid w:val="00D91786"/>
    <w:rsid w:val="00D91852"/>
    <w:rsid w:val="00D9189E"/>
    <w:rsid w:val="00D91AA6"/>
    <w:rsid w:val="00D91B06"/>
    <w:rsid w:val="00D91B79"/>
    <w:rsid w:val="00D91D78"/>
    <w:rsid w:val="00D91FC3"/>
    <w:rsid w:val="00D91FC5"/>
    <w:rsid w:val="00D91FF0"/>
    <w:rsid w:val="00D92093"/>
    <w:rsid w:val="00D921B1"/>
    <w:rsid w:val="00D92719"/>
    <w:rsid w:val="00D92DAE"/>
    <w:rsid w:val="00D93182"/>
    <w:rsid w:val="00D9329D"/>
    <w:rsid w:val="00D938A4"/>
    <w:rsid w:val="00D93987"/>
    <w:rsid w:val="00D93C28"/>
    <w:rsid w:val="00D93ED8"/>
    <w:rsid w:val="00D9414F"/>
    <w:rsid w:val="00D9436B"/>
    <w:rsid w:val="00D94428"/>
    <w:rsid w:val="00D9451F"/>
    <w:rsid w:val="00D94673"/>
    <w:rsid w:val="00D94992"/>
    <w:rsid w:val="00D94BA0"/>
    <w:rsid w:val="00D95003"/>
    <w:rsid w:val="00D951E3"/>
    <w:rsid w:val="00D95509"/>
    <w:rsid w:val="00D95888"/>
    <w:rsid w:val="00D959ED"/>
    <w:rsid w:val="00D95A31"/>
    <w:rsid w:val="00D95A4D"/>
    <w:rsid w:val="00D95BE9"/>
    <w:rsid w:val="00D95FE1"/>
    <w:rsid w:val="00D96370"/>
    <w:rsid w:val="00D96471"/>
    <w:rsid w:val="00D96CC5"/>
    <w:rsid w:val="00D96D3E"/>
    <w:rsid w:val="00D96EAB"/>
    <w:rsid w:val="00D96ED6"/>
    <w:rsid w:val="00D97140"/>
    <w:rsid w:val="00D971EF"/>
    <w:rsid w:val="00D97375"/>
    <w:rsid w:val="00D9752E"/>
    <w:rsid w:val="00D97AD8"/>
    <w:rsid w:val="00D97C5C"/>
    <w:rsid w:val="00D97E80"/>
    <w:rsid w:val="00DA017B"/>
    <w:rsid w:val="00DA02F3"/>
    <w:rsid w:val="00DA03BC"/>
    <w:rsid w:val="00DA067B"/>
    <w:rsid w:val="00DA09D8"/>
    <w:rsid w:val="00DA0B1A"/>
    <w:rsid w:val="00DA0B30"/>
    <w:rsid w:val="00DA0E31"/>
    <w:rsid w:val="00DA1126"/>
    <w:rsid w:val="00DA134B"/>
    <w:rsid w:val="00DA17EE"/>
    <w:rsid w:val="00DA1903"/>
    <w:rsid w:val="00DA19AA"/>
    <w:rsid w:val="00DA19E6"/>
    <w:rsid w:val="00DA1A13"/>
    <w:rsid w:val="00DA1A4B"/>
    <w:rsid w:val="00DA1B56"/>
    <w:rsid w:val="00DA1BC0"/>
    <w:rsid w:val="00DA20DC"/>
    <w:rsid w:val="00DA215C"/>
    <w:rsid w:val="00DA223F"/>
    <w:rsid w:val="00DA22B9"/>
    <w:rsid w:val="00DA23B3"/>
    <w:rsid w:val="00DA23CB"/>
    <w:rsid w:val="00DA2422"/>
    <w:rsid w:val="00DA24FD"/>
    <w:rsid w:val="00DA2510"/>
    <w:rsid w:val="00DA2AA4"/>
    <w:rsid w:val="00DA2C4D"/>
    <w:rsid w:val="00DA2D97"/>
    <w:rsid w:val="00DA3260"/>
    <w:rsid w:val="00DA33C1"/>
    <w:rsid w:val="00DA348C"/>
    <w:rsid w:val="00DA34FF"/>
    <w:rsid w:val="00DA35BF"/>
    <w:rsid w:val="00DA35CF"/>
    <w:rsid w:val="00DA369E"/>
    <w:rsid w:val="00DA37E6"/>
    <w:rsid w:val="00DA3947"/>
    <w:rsid w:val="00DA39A6"/>
    <w:rsid w:val="00DA3B62"/>
    <w:rsid w:val="00DA3BB6"/>
    <w:rsid w:val="00DA3C34"/>
    <w:rsid w:val="00DA3D57"/>
    <w:rsid w:val="00DA3F27"/>
    <w:rsid w:val="00DA3F78"/>
    <w:rsid w:val="00DA4209"/>
    <w:rsid w:val="00DA424C"/>
    <w:rsid w:val="00DA4262"/>
    <w:rsid w:val="00DA427E"/>
    <w:rsid w:val="00DA4404"/>
    <w:rsid w:val="00DA45CA"/>
    <w:rsid w:val="00DA46A9"/>
    <w:rsid w:val="00DA475C"/>
    <w:rsid w:val="00DA47C8"/>
    <w:rsid w:val="00DA4813"/>
    <w:rsid w:val="00DA4909"/>
    <w:rsid w:val="00DA4B05"/>
    <w:rsid w:val="00DA4D22"/>
    <w:rsid w:val="00DA4EE9"/>
    <w:rsid w:val="00DA4F1A"/>
    <w:rsid w:val="00DA52F0"/>
    <w:rsid w:val="00DA54C6"/>
    <w:rsid w:val="00DA54E3"/>
    <w:rsid w:val="00DA563B"/>
    <w:rsid w:val="00DA59BE"/>
    <w:rsid w:val="00DA59F6"/>
    <w:rsid w:val="00DA5A32"/>
    <w:rsid w:val="00DA6360"/>
    <w:rsid w:val="00DA63E7"/>
    <w:rsid w:val="00DA6484"/>
    <w:rsid w:val="00DA6864"/>
    <w:rsid w:val="00DA6B3E"/>
    <w:rsid w:val="00DA6C2C"/>
    <w:rsid w:val="00DA6C7F"/>
    <w:rsid w:val="00DA6E97"/>
    <w:rsid w:val="00DA6EAF"/>
    <w:rsid w:val="00DA6F9D"/>
    <w:rsid w:val="00DA717D"/>
    <w:rsid w:val="00DA736B"/>
    <w:rsid w:val="00DA737F"/>
    <w:rsid w:val="00DA741A"/>
    <w:rsid w:val="00DA7538"/>
    <w:rsid w:val="00DA753F"/>
    <w:rsid w:val="00DA766C"/>
    <w:rsid w:val="00DA77E1"/>
    <w:rsid w:val="00DA794F"/>
    <w:rsid w:val="00DA7AEF"/>
    <w:rsid w:val="00DA7B40"/>
    <w:rsid w:val="00DA7BBF"/>
    <w:rsid w:val="00DA7CCB"/>
    <w:rsid w:val="00DA7D90"/>
    <w:rsid w:val="00DB01F6"/>
    <w:rsid w:val="00DB0329"/>
    <w:rsid w:val="00DB034D"/>
    <w:rsid w:val="00DB0438"/>
    <w:rsid w:val="00DB0506"/>
    <w:rsid w:val="00DB0588"/>
    <w:rsid w:val="00DB07DF"/>
    <w:rsid w:val="00DB08CE"/>
    <w:rsid w:val="00DB0958"/>
    <w:rsid w:val="00DB096D"/>
    <w:rsid w:val="00DB0AD4"/>
    <w:rsid w:val="00DB0ED5"/>
    <w:rsid w:val="00DB1312"/>
    <w:rsid w:val="00DB13EE"/>
    <w:rsid w:val="00DB13F6"/>
    <w:rsid w:val="00DB1870"/>
    <w:rsid w:val="00DB1ABC"/>
    <w:rsid w:val="00DB1B93"/>
    <w:rsid w:val="00DB1DD2"/>
    <w:rsid w:val="00DB218F"/>
    <w:rsid w:val="00DB2432"/>
    <w:rsid w:val="00DB2505"/>
    <w:rsid w:val="00DB2636"/>
    <w:rsid w:val="00DB268D"/>
    <w:rsid w:val="00DB269F"/>
    <w:rsid w:val="00DB26A6"/>
    <w:rsid w:val="00DB2941"/>
    <w:rsid w:val="00DB2AFE"/>
    <w:rsid w:val="00DB2ED7"/>
    <w:rsid w:val="00DB2F47"/>
    <w:rsid w:val="00DB2F9C"/>
    <w:rsid w:val="00DB3100"/>
    <w:rsid w:val="00DB3156"/>
    <w:rsid w:val="00DB325E"/>
    <w:rsid w:val="00DB335F"/>
    <w:rsid w:val="00DB3542"/>
    <w:rsid w:val="00DB37B5"/>
    <w:rsid w:val="00DB3864"/>
    <w:rsid w:val="00DB38B7"/>
    <w:rsid w:val="00DB3A08"/>
    <w:rsid w:val="00DB3BDB"/>
    <w:rsid w:val="00DB3D9B"/>
    <w:rsid w:val="00DB3DB7"/>
    <w:rsid w:val="00DB3DEA"/>
    <w:rsid w:val="00DB3EEA"/>
    <w:rsid w:val="00DB417F"/>
    <w:rsid w:val="00DB4224"/>
    <w:rsid w:val="00DB4639"/>
    <w:rsid w:val="00DB46C9"/>
    <w:rsid w:val="00DB49E2"/>
    <w:rsid w:val="00DB4A32"/>
    <w:rsid w:val="00DB4C69"/>
    <w:rsid w:val="00DB4C83"/>
    <w:rsid w:val="00DB4C9A"/>
    <w:rsid w:val="00DB4CA1"/>
    <w:rsid w:val="00DB4E60"/>
    <w:rsid w:val="00DB5039"/>
    <w:rsid w:val="00DB510A"/>
    <w:rsid w:val="00DB5157"/>
    <w:rsid w:val="00DB51D1"/>
    <w:rsid w:val="00DB5273"/>
    <w:rsid w:val="00DB53E7"/>
    <w:rsid w:val="00DB545D"/>
    <w:rsid w:val="00DB55FC"/>
    <w:rsid w:val="00DB5759"/>
    <w:rsid w:val="00DB577D"/>
    <w:rsid w:val="00DB57DB"/>
    <w:rsid w:val="00DB598C"/>
    <w:rsid w:val="00DB5AC1"/>
    <w:rsid w:val="00DB5ADD"/>
    <w:rsid w:val="00DB5BEC"/>
    <w:rsid w:val="00DB5C9B"/>
    <w:rsid w:val="00DB5D30"/>
    <w:rsid w:val="00DB5DAE"/>
    <w:rsid w:val="00DB5E97"/>
    <w:rsid w:val="00DB5F6C"/>
    <w:rsid w:val="00DB5FB9"/>
    <w:rsid w:val="00DB607C"/>
    <w:rsid w:val="00DB6088"/>
    <w:rsid w:val="00DB6092"/>
    <w:rsid w:val="00DB618A"/>
    <w:rsid w:val="00DB619F"/>
    <w:rsid w:val="00DB6340"/>
    <w:rsid w:val="00DB64C7"/>
    <w:rsid w:val="00DB662E"/>
    <w:rsid w:val="00DB6816"/>
    <w:rsid w:val="00DB6A43"/>
    <w:rsid w:val="00DB6A6C"/>
    <w:rsid w:val="00DB6BC5"/>
    <w:rsid w:val="00DB6BE3"/>
    <w:rsid w:val="00DB6CA9"/>
    <w:rsid w:val="00DB6D48"/>
    <w:rsid w:val="00DB6E00"/>
    <w:rsid w:val="00DB6F2C"/>
    <w:rsid w:val="00DB71B1"/>
    <w:rsid w:val="00DB7231"/>
    <w:rsid w:val="00DB727D"/>
    <w:rsid w:val="00DB734E"/>
    <w:rsid w:val="00DB742E"/>
    <w:rsid w:val="00DB750D"/>
    <w:rsid w:val="00DB7B46"/>
    <w:rsid w:val="00DB7E72"/>
    <w:rsid w:val="00DB7F06"/>
    <w:rsid w:val="00DB7F2A"/>
    <w:rsid w:val="00DB7F7A"/>
    <w:rsid w:val="00DB7FB9"/>
    <w:rsid w:val="00DB7FEE"/>
    <w:rsid w:val="00DC000A"/>
    <w:rsid w:val="00DC0024"/>
    <w:rsid w:val="00DC046C"/>
    <w:rsid w:val="00DC0A3B"/>
    <w:rsid w:val="00DC0A95"/>
    <w:rsid w:val="00DC0CB6"/>
    <w:rsid w:val="00DC0EC7"/>
    <w:rsid w:val="00DC0EDF"/>
    <w:rsid w:val="00DC10BF"/>
    <w:rsid w:val="00DC1313"/>
    <w:rsid w:val="00DC167B"/>
    <w:rsid w:val="00DC1745"/>
    <w:rsid w:val="00DC184B"/>
    <w:rsid w:val="00DC19EF"/>
    <w:rsid w:val="00DC1ADF"/>
    <w:rsid w:val="00DC1C0E"/>
    <w:rsid w:val="00DC1C12"/>
    <w:rsid w:val="00DC1D91"/>
    <w:rsid w:val="00DC1EE9"/>
    <w:rsid w:val="00DC1F92"/>
    <w:rsid w:val="00DC216C"/>
    <w:rsid w:val="00DC22BC"/>
    <w:rsid w:val="00DC23BA"/>
    <w:rsid w:val="00DC2693"/>
    <w:rsid w:val="00DC278F"/>
    <w:rsid w:val="00DC27CF"/>
    <w:rsid w:val="00DC2E59"/>
    <w:rsid w:val="00DC32F6"/>
    <w:rsid w:val="00DC3331"/>
    <w:rsid w:val="00DC3451"/>
    <w:rsid w:val="00DC34E5"/>
    <w:rsid w:val="00DC3576"/>
    <w:rsid w:val="00DC3679"/>
    <w:rsid w:val="00DC3787"/>
    <w:rsid w:val="00DC3826"/>
    <w:rsid w:val="00DC3AA1"/>
    <w:rsid w:val="00DC3C0C"/>
    <w:rsid w:val="00DC3DFA"/>
    <w:rsid w:val="00DC3F0A"/>
    <w:rsid w:val="00DC3F46"/>
    <w:rsid w:val="00DC409B"/>
    <w:rsid w:val="00DC40A5"/>
    <w:rsid w:val="00DC4183"/>
    <w:rsid w:val="00DC437E"/>
    <w:rsid w:val="00DC438A"/>
    <w:rsid w:val="00DC43E4"/>
    <w:rsid w:val="00DC44C6"/>
    <w:rsid w:val="00DC4669"/>
    <w:rsid w:val="00DC4963"/>
    <w:rsid w:val="00DC4B41"/>
    <w:rsid w:val="00DC4BC7"/>
    <w:rsid w:val="00DC4C27"/>
    <w:rsid w:val="00DC4D23"/>
    <w:rsid w:val="00DC4D9D"/>
    <w:rsid w:val="00DC4DAD"/>
    <w:rsid w:val="00DC5144"/>
    <w:rsid w:val="00DC522E"/>
    <w:rsid w:val="00DC5883"/>
    <w:rsid w:val="00DC589D"/>
    <w:rsid w:val="00DC59AE"/>
    <w:rsid w:val="00DC59FB"/>
    <w:rsid w:val="00DC5B7F"/>
    <w:rsid w:val="00DC5BC0"/>
    <w:rsid w:val="00DC5F93"/>
    <w:rsid w:val="00DC6228"/>
    <w:rsid w:val="00DC66A2"/>
    <w:rsid w:val="00DC6761"/>
    <w:rsid w:val="00DC67B2"/>
    <w:rsid w:val="00DC67E8"/>
    <w:rsid w:val="00DC682F"/>
    <w:rsid w:val="00DC69CB"/>
    <w:rsid w:val="00DC6B27"/>
    <w:rsid w:val="00DC6BCE"/>
    <w:rsid w:val="00DC6CF8"/>
    <w:rsid w:val="00DC6DB0"/>
    <w:rsid w:val="00DC71B1"/>
    <w:rsid w:val="00DC7350"/>
    <w:rsid w:val="00DC73B1"/>
    <w:rsid w:val="00DC73C8"/>
    <w:rsid w:val="00DC7478"/>
    <w:rsid w:val="00DC752A"/>
    <w:rsid w:val="00DC7552"/>
    <w:rsid w:val="00DC75A2"/>
    <w:rsid w:val="00DC77A3"/>
    <w:rsid w:val="00DC7A3F"/>
    <w:rsid w:val="00DC7AA6"/>
    <w:rsid w:val="00DC7AC5"/>
    <w:rsid w:val="00DC7AF0"/>
    <w:rsid w:val="00DC7AF2"/>
    <w:rsid w:val="00DC7B22"/>
    <w:rsid w:val="00DC7B60"/>
    <w:rsid w:val="00DC7F04"/>
    <w:rsid w:val="00DD03B8"/>
    <w:rsid w:val="00DD0607"/>
    <w:rsid w:val="00DD074D"/>
    <w:rsid w:val="00DD07B2"/>
    <w:rsid w:val="00DD081C"/>
    <w:rsid w:val="00DD096B"/>
    <w:rsid w:val="00DD0D50"/>
    <w:rsid w:val="00DD0D5F"/>
    <w:rsid w:val="00DD0FB1"/>
    <w:rsid w:val="00DD105F"/>
    <w:rsid w:val="00DD1096"/>
    <w:rsid w:val="00DD1114"/>
    <w:rsid w:val="00DD116C"/>
    <w:rsid w:val="00DD1353"/>
    <w:rsid w:val="00DD1448"/>
    <w:rsid w:val="00DD14AA"/>
    <w:rsid w:val="00DD15F3"/>
    <w:rsid w:val="00DD18A5"/>
    <w:rsid w:val="00DD1B10"/>
    <w:rsid w:val="00DD1BD2"/>
    <w:rsid w:val="00DD2259"/>
    <w:rsid w:val="00DD22A5"/>
    <w:rsid w:val="00DD247C"/>
    <w:rsid w:val="00DD24E8"/>
    <w:rsid w:val="00DD24F4"/>
    <w:rsid w:val="00DD256B"/>
    <w:rsid w:val="00DD26E7"/>
    <w:rsid w:val="00DD2C08"/>
    <w:rsid w:val="00DD2D63"/>
    <w:rsid w:val="00DD2E31"/>
    <w:rsid w:val="00DD2F13"/>
    <w:rsid w:val="00DD2FB3"/>
    <w:rsid w:val="00DD2FC9"/>
    <w:rsid w:val="00DD32EA"/>
    <w:rsid w:val="00DD338D"/>
    <w:rsid w:val="00DD3429"/>
    <w:rsid w:val="00DD3452"/>
    <w:rsid w:val="00DD3783"/>
    <w:rsid w:val="00DD3CA2"/>
    <w:rsid w:val="00DD3D41"/>
    <w:rsid w:val="00DD3DFB"/>
    <w:rsid w:val="00DD3E55"/>
    <w:rsid w:val="00DD3FFA"/>
    <w:rsid w:val="00DD4136"/>
    <w:rsid w:val="00DD4180"/>
    <w:rsid w:val="00DD4313"/>
    <w:rsid w:val="00DD45BB"/>
    <w:rsid w:val="00DD4789"/>
    <w:rsid w:val="00DD47CF"/>
    <w:rsid w:val="00DD4941"/>
    <w:rsid w:val="00DD4BCE"/>
    <w:rsid w:val="00DD4C3B"/>
    <w:rsid w:val="00DD4D2D"/>
    <w:rsid w:val="00DD4EC3"/>
    <w:rsid w:val="00DD4F38"/>
    <w:rsid w:val="00DD4FDD"/>
    <w:rsid w:val="00DD50D1"/>
    <w:rsid w:val="00DD52B3"/>
    <w:rsid w:val="00DD5509"/>
    <w:rsid w:val="00DD5619"/>
    <w:rsid w:val="00DD563A"/>
    <w:rsid w:val="00DD5668"/>
    <w:rsid w:val="00DD56AF"/>
    <w:rsid w:val="00DD5760"/>
    <w:rsid w:val="00DD58BA"/>
    <w:rsid w:val="00DD5B81"/>
    <w:rsid w:val="00DD5BA2"/>
    <w:rsid w:val="00DD6187"/>
    <w:rsid w:val="00DD618B"/>
    <w:rsid w:val="00DD6251"/>
    <w:rsid w:val="00DD62F2"/>
    <w:rsid w:val="00DD66F8"/>
    <w:rsid w:val="00DD6925"/>
    <w:rsid w:val="00DD6A81"/>
    <w:rsid w:val="00DD6EAF"/>
    <w:rsid w:val="00DD7026"/>
    <w:rsid w:val="00DD702D"/>
    <w:rsid w:val="00DD719A"/>
    <w:rsid w:val="00DD7220"/>
    <w:rsid w:val="00DD72F2"/>
    <w:rsid w:val="00DD7312"/>
    <w:rsid w:val="00DD7404"/>
    <w:rsid w:val="00DD7455"/>
    <w:rsid w:val="00DD75F5"/>
    <w:rsid w:val="00DD7624"/>
    <w:rsid w:val="00DD77A6"/>
    <w:rsid w:val="00DD781A"/>
    <w:rsid w:val="00DD78BC"/>
    <w:rsid w:val="00DD79D4"/>
    <w:rsid w:val="00DD7A26"/>
    <w:rsid w:val="00DD7EDD"/>
    <w:rsid w:val="00DD7FB4"/>
    <w:rsid w:val="00DD7FE3"/>
    <w:rsid w:val="00DD7FFA"/>
    <w:rsid w:val="00DDB2F9"/>
    <w:rsid w:val="00DE0275"/>
    <w:rsid w:val="00DE02E4"/>
    <w:rsid w:val="00DE03ED"/>
    <w:rsid w:val="00DE040C"/>
    <w:rsid w:val="00DE0634"/>
    <w:rsid w:val="00DE07FC"/>
    <w:rsid w:val="00DE08F4"/>
    <w:rsid w:val="00DE091B"/>
    <w:rsid w:val="00DE095A"/>
    <w:rsid w:val="00DE09FC"/>
    <w:rsid w:val="00DE0A72"/>
    <w:rsid w:val="00DE0C0B"/>
    <w:rsid w:val="00DE0CB6"/>
    <w:rsid w:val="00DE0CED"/>
    <w:rsid w:val="00DE0EA6"/>
    <w:rsid w:val="00DE10CD"/>
    <w:rsid w:val="00DE10FB"/>
    <w:rsid w:val="00DE1259"/>
    <w:rsid w:val="00DE1281"/>
    <w:rsid w:val="00DE128E"/>
    <w:rsid w:val="00DE12FF"/>
    <w:rsid w:val="00DE14B8"/>
    <w:rsid w:val="00DE15CC"/>
    <w:rsid w:val="00DE19DE"/>
    <w:rsid w:val="00DE1B30"/>
    <w:rsid w:val="00DE1BE4"/>
    <w:rsid w:val="00DE1DD0"/>
    <w:rsid w:val="00DE1E3B"/>
    <w:rsid w:val="00DE1FE6"/>
    <w:rsid w:val="00DE2267"/>
    <w:rsid w:val="00DE2360"/>
    <w:rsid w:val="00DE2597"/>
    <w:rsid w:val="00DE27E9"/>
    <w:rsid w:val="00DE2835"/>
    <w:rsid w:val="00DE2B82"/>
    <w:rsid w:val="00DE2D80"/>
    <w:rsid w:val="00DE300E"/>
    <w:rsid w:val="00DE3086"/>
    <w:rsid w:val="00DE32F7"/>
    <w:rsid w:val="00DE35E2"/>
    <w:rsid w:val="00DE363C"/>
    <w:rsid w:val="00DE3680"/>
    <w:rsid w:val="00DE37C2"/>
    <w:rsid w:val="00DE3858"/>
    <w:rsid w:val="00DE3B3A"/>
    <w:rsid w:val="00DE3DF6"/>
    <w:rsid w:val="00DE3DFB"/>
    <w:rsid w:val="00DE3FE9"/>
    <w:rsid w:val="00DE4089"/>
    <w:rsid w:val="00DE4106"/>
    <w:rsid w:val="00DE4127"/>
    <w:rsid w:val="00DE4152"/>
    <w:rsid w:val="00DE41C8"/>
    <w:rsid w:val="00DE423B"/>
    <w:rsid w:val="00DE42EB"/>
    <w:rsid w:val="00DE48BB"/>
    <w:rsid w:val="00DE4A56"/>
    <w:rsid w:val="00DE4E2C"/>
    <w:rsid w:val="00DE50BC"/>
    <w:rsid w:val="00DE5291"/>
    <w:rsid w:val="00DE54C4"/>
    <w:rsid w:val="00DE561E"/>
    <w:rsid w:val="00DE5656"/>
    <w:rsid w:val="00DE56A7"/>
    <w:rsid w:val="00DE581B"/>
    <w:rsid w:val="00DE5963"/>
    <w:rsid w:val="00DE5979"/>
    <w:rsid w:val="00DE59DC"/>
    <w:rsid w:val="00DE5B04"/>
    <w:rsid w:val="00DE5B23"/>
    <w:rsid w:val="00DE60C5"/>
    <w:rsid w:val="00DE63BD"/>
    <w:rsid w:val="00DE66AD"/>
    <w:rsid w:val="00DE6803"/>
    <w:rsid w:val="00DE6AF9"/>
    <w:rsid w:val="00DE6B32"/>
    <w:rsid w:val="00DE6B4F"/>
    <w:rsid w:val="00DE6EDD"/>
    <w:rsid w:val="00DE6EE0"/>
    <w:rsid w:val="00DE7166"/>
    <w:rsid w:val="00DE72A1"/>
    <w:rsid w:val="00DE74B0"/>
    <w:rsid w:val="00DE75CA"/>
    <w:rsid w:val="00DE7923"/>
    <w:rsid w:val="00DE7A87"/>
    <w:rsid w:val="00DE7B35"/>
    <w:rsid w:val="00DE7B59"/>
    <w:rsid w:val="00DE7BB6"/>
    <w:rsid w:val="00DE7DAA"/>
    <w:rsid w:val="00DE7F44"/>
    <w:rsid w:val="00DF004C"/>
    <w:rsid w:val="00DF00FC"/>
    <w:rsid w:val="00DF01F7"/>
    <w:rsid w:val="00DF0269"/>
    <w:rsid w:val="00DF02DC"/>
    <w:rsid w:val="00DF037A"/>
    <w:rsid w:val="00DF0440"/>
    <w:rsid w:val="00DF048C"/>
    <w:rsid w:val="00DF0884"/>
    <w:rsid w:val="00DF0972"/>
    <w:rsid w:val="00DF09E3"/>
    <w:rsid w:val="00DF1529"/>
    <w:rsid w:val="00DF154F"/>
    <w:rsid w:val="00DF157D"/>
    <w:rsid w:val="00DF18C6"/>
    <w:rsid w:val="00DF1983"/>
    <w:rsid w:val="00DF19CE"/>
    <w:rsid w:val="00DF1C28"/>
    <w:rsid w:val="00DF205B"/>
    <w:rsid w:val="00DF23C2"/>
    <w:rsid w:val="00DF24E6"/>
    <w:rsid w:val="00DF25E0"/>
    <w:rsid w:val="00DF2672"/>
    <w:rsid w:val="00DF2712"/>
    <w:rsid w:val="00DF28B2"/>
    <w:rsid w:val="00DF29DF"/>
    <w:rsid w:val="00DF2A01"/>
    <w:rsid w:val="00DF2DEC"/>
    <w:rsid w:val="00DF2E02"/>
    <w:rsid w:val="00DF2E0A"/>
    <w:rsid w:val="00DF2E36"/>
    <w:rsid w:val="00DF2EB1"/>
    <w:rsid w:val="00DF2F02"/>
    <w:rsid w:val="00DF3040"/>
    <w:rsid w:val="00DF318E"/>
    <w:rsid w:val="00DF3436"/>
    <w:rsid w:val="00DF3471"/>
    <w:rsid w:val="00DF3494"/>
    <w:rsid w:val="00DF351C"/>
    <w:rsid w:val="00DF35CC"/>
    <w:rsid w:val="00DF35D4"/>
    <w:rsid w:val="00DF361F"/>
    <w:rsid w:val="00DF367D"/>
    <w:rsid w:val="00DF36C4"/>
    <w:rsid w:val="00DF38FB"/>
    <w:rsid w:val="00DF3B00"/>
    <w:rsid w:val="00DF3B21"/>
    <w:rsid w:val="00DF3B46"/>
    <w:rsid w:val="00DF3BE8"/>
    <w:rsid w:val="00DF3DA2"/>
    <w:rsid w:val="00DF3F58"/>
    <w:rsid w:val="00DF40F6"/>
    <w:rsid w:val="00DF4239"/>
    <w:rsid w:val="00DF43DC"/>
    <w:rsid w:val="00DF44DE"/>
    <w:rsid w:val="00DF45F7"/>
    <w:rsid w:val="00DF465C"/>
    <w:rsid w:val="00DF492D"/>
    <w:rsid w:val="00DF49B5"/>
    <w:rsid w:val="00DF4B34"/>
    <w:rsid w:val="00DF4BBE"/>
    <w:rsid w:val="00DF4C48"/>
    <w:rsid w:val="00DF4D58"/>
    <w:rsid w:val="00DF4DCF"/>
    <w:rsid w:val="00DF4DF8"/>
    <w:rsid w:val="00DF55A1"/>
    <w:rsid w:val="00DF5777"/>
    <w:rsid w:val="00DF5904"/>
    <w:rsid w:val="00DF5A48"/>
    <w:rsid w:val="00DF5B2A"/>
    <w:rsid w:val="00DF5B6B"/>
    <w:rsid w:val="00DF5E1B"/>
    <w:rsid w:val="00DF605D"/>
    <w:rsid w:val="00DF6138"/>
    <w:rsid w:val="00DF61D1"/>
    <w:rsid w:val="00DF6260"/>
    <w:rsid w:val="00DF62F4"/>
    <w:rsid w:val="00DF6331"/>
    <w:rsid w:val="00DF63D9"/>
    <w:rsid w:val="00DF675F"/>
    <w:rsid w:val="00DF6865"/>
    <w:rsid w:val="00DF6934"/>
    <w:rsid w:val="00DF6A5F"/>
    <w:rsid w:val="00DF6B40"/>
    <w:rsid w:val="00DF6E8C"/>
    <w:rsid w:val="00DF6FD1"/>
    <w:rsid w:val="00DF71A7"/>
    <w:rsid w:val="00DF7350"/>
    <w:rsid w:val="00DF7354"/>
    <w:rsid w:val="00DF7359"/>
    <w:rsid w:val="00DF7373"/>
    <w:rsid w:val="00DF73B8"/>
    <w:rsid w:val="00DF73FB"/>
    <w:rsid w:val="00DF76CD"/>
    <w:rsid w:val="00DF787F"/>
    <w:rsid w:val="00DF78A4"/>
    <w:rsid w:val="00DF78DF"/>
    <w:rsid w:val="00DF791A"/>
    <w:rsid w:val="00DF7946"/>
    <w:rsid w:val="00DF7950"/>
    <w:rsid w:val="00DF79B5"/>
    <w:rsid w:val="00DF7EB7"/>
    <w:rsid w:val="00DF7EC2"/>
    <w:rsid w:val="00DF7F33"/>
    <w:rsid w:val="00E00080"/>
    <w:rsid w:val="00E0012D"/>
    <w:rsid w:val="00E00270"/>
    <w:rsid w:val="00E004BB"/>
    <w:rsid w:val="00E004E8"/>
    <w:rsid w:val="00E005B5"/>
    <w:rsid w:val="00E00651"/>
    <w:rsid w:val="00E00791"/>
    <w:rsid w:val="00E007F8"/>
    <w:rsid w:val="00E00826"/>
    <w:rsid w:val="00E009BF"/>
    <w:rsid w:val="00E00B40"/>
    <w:rsid w:val="00E00CDC"/>
    <w:rsid w:val="00E00DD0"/>
    <w:rsid w:val="00E00E2C"/>
    <w:rsid w:val="00E00FC9"/>
    <w:rsid w:val="00E00FF5"/>
    <w:rsid w:val="00E01157"/>
    <w:rsid w:val="00E01188"/>
    <w:rsid w:val="00E0134A"/>
    <w:rsid w:val="00E01362"/>
    <w:rsid w:val="00E0136B"/>
    <w:rsid w:val="00E0144C"/>
    <w:rsid w:val="00E017FA"/>
    <w:rsid w:val="00E01889"/>
    <w:rsid w:val="00E0188C"/>
    <w:rsid w:val="00E01942"/>
    <w:rsid w:val="00E01A7D"/>
    <w:rsid w:val="00E01F5A"/>
    <w:rsid w:val="00E02045"/>
    <w:rsid w:val="00E020CE"/>
    <w:rsid w:val="00E02127"/>
    <w:rsid w:val="00E023C9"/>
    <w:rsid w:val="00E025AD"/>
    <w:rsid w:val="00E02A27"/>
    <w:rsid w:val="00E02DAD"/>
    <w:rsid w:val="00E02FE4"/>
    <w:rsid w:val="00E03386"/>
    <w:rsid w:val="00E038F2"/>
    <w:rsid w:val="00E0399A"/>
    <w:rsid w:val="00E03A4F"/>
    <w:rsid w:val="00E03C10"/>
    <w:rsid w:val="00E03F5D"/>
    <w:rsid w:val="00E04077"/>
    <w:rsid w:val="00E044A4"/>
    <w:rsid w:val="00E047A7"/>
    <w:rsid w:val="00E049B1"/>
    <w:rsid w:val="00E04AE0"/>
    <w:rsid w:val="00E04B92"/>
    <w:rsid w:val="00E04CDD"/>
    <w:rsid w:val="00E04ED9"/>
    <w:rsid w:val="00E04EEE"/>
    <w:rsid w:val="00E04F31"/>
    <w:rsid w:val="00E04F53"/>
    <w:rsid w:val="00E04FC3"/>
    <w:rsid w:val="00E05081"/>
    <w:rsid w:val="00E050D3"/>
    <w:rsid w:val="00E050FC"/>
    <w:rsid w:val="00E05278"/>
    <w:rsid w:val="00E0528B"/>
    <w:rsid w:val="00E05605"/>
    <w:rsid w:val="00E0560A"/>
    <w:rsid w:val="00E056A1"/>
    <w:rsid w:val="00E056B7"/>
    <w:rsid w:val="00E05836"/>
    <w:rsid w:val="00E058BC"/>
    <w:rsid w:val="00E05B09"/>
    <w:rsid w:val="00E05CB7"/>
    <w:rsid w:val="00E05D63"/>
    <w:rsid w:val="00E05DA4"/>
    <w:rsid w:val="00E05DD7"/>
    <w:rsid w:val="00E05E34"/>
    <w:rsid w:val="00E05EE9"/>
    <w:rsid w:val="00E05F59"/>
    <w:rsid w:val="00E05FA7"/>
    <w:rsid w:val="00E06216"/>
    <w:rsid w:val="00E0634F"/>
    <w:rsid w:val="00E067E1"/>
    <w:rsid w:val="00E068A3"/>
    <w:rsid w:val="00E06A62"/>
    <w:rsid w:val="00E06B41"/>
    <w:rsid w:val="00E06B90"/>
    <w:rsid w:val="00E06D6B"/>
    <w:rsid w:val="00E06E66"/>
    <w:rsid w:val="00E06E69"/>
    <w:rsid w:val="00E06F5C"/>
    <w:rsid w:val="00E06F76"/>
    <w:rsid w:val="00E070FA"/>
    <w:rsid w:val="00E0718B"/>
    <w:rsid w:val="00E0724C"/>
    <w:rsid w:val="00E073CB"/>
    <w:rsid w:val="00E07438"/>
    <w:rsid w:val="00E075C8"/>
    <w:rsid w:val="00E0764F"/>
    <w:rsid w:val="00E0777A"/>
    <w:rsid w:val="00E07873"/>
    <w:rsid w:val="00E078C3"/>
    <w:rsid w:val="00E078D6"/>
    <w:rsid w:val="00E07AD5"/>
    <w:rsid w:val="00E07E03"/>
    <w:rsid w:val="00E100EC"/>
    <w:rsid w:val="00E1012B"/>
    <w:rsid w:val="00E10280"/>
    <w:rsid w:val="00E1065D"/>
    <w:rsid w:val="00E106E5"/>
    <w:rsid w:val="00E10747"/>
    <w:rsid w:val="00E10836"/>
    <w:rsid w:val="00E1090B"/>
    <w:rsid w:val="00E1096A"/>
    <w:rsid w:val="00E1097E"/>
    <w:rsid w:val="00E10B37"/>
    <w:rsid w:val="00E10C23"/>
    <w:rsid w:val="00E10D60"/>
    <w:rsid w:val="00E10E32"/>
    <w:rsid w:val="00E10F0D"/>
    <w:rsid w:val="00E1100F"/>
    <w:rsid w:val="00E1119D"/>
    <w:rsid w:val="00E111BD"/>
    <w:rsid w:val="00E111E9"/>
    <w:rsid w:val="00E1167F"/>
    <w:rsid w:val="00E11BA2"/>
    <w:rsid w:val="00E11C01"/>
    <w:rsid w:val="00E11DC7"/>
    <w:rsid w:val="00E1212B"/>
    <w:rsid w:val="00E1227C"/>
    <w:rsid w:val="00E12330"/>
    <w:rsid w:val="00E1248C"/>
    <w:rsid w:val="00E125B5"/>
    <w:rsid w:val="00E125F3"/>
    <w:rsid w:val="00E12697"/>
    <w:rsid w:val="00E12A4C"/>
    <w:rsid w:val="00E12BA5"/>
    <w:rsid w:val="00E12BBF"/>
    <w:rsid w:val="00E12CFF"/>
    <w:rsid w:val="00E12E35"/>
    <w:rsid w:val="00E12F3E"/>
    <w:rsid w:val="00E1308B"/>
    <w:rsid w:val="00E131C7"/>
    <w:rsid w:val="00E13275"/>
    <w:rsid w:val="00E134CF"/>
    <w:rsid w:val="00E13561"/>
    <w:rsid w:val="00E13588"/>
    <w:rsid w:val="00E137C5"/>
    <w:rsid w:val="00E13902"/>
    <w:rsid w:val="00E13AD3"/>
    <w:rsid w:val="00E13B11"/>
    <w:rsid w:val="00E13BF0"/>
    <w:rsid w:val="00E13BF4"/>
    <w:rsid w:val="00E13DB7"/>
    <w:rsid w:val="00E13FC7"/>
    <w:rsid w:val="00E14154"/>
    <w:rsid w:val="00E141E2"/>
    <w:rsid w:val="00E142EE"/>
    <w:rsid w:val="00E143F7"/>
    <w:rsid w:val="00E145A2"/>
    <w:rsid w:val="00E146CF"/>
    <w:rsid w:val="00E146DC"/>
    <w:rsid w:val="00E147AB"/>
    <w:rsid w:val="00E1498E"/>
    <w:rsid w:val="00E149C3"/>
    <w:rsid w:val="00E14BE7"/>
    <w:rsid w:val="00E14C2E"/>
    <w:rsid w:val="00E14D87"/>
    <w:rsid w:val="00E150EB"/>
    <w:rsid w:val="00E1514E"/>
    <w:rsid w:val="00E15166"/>
    <w:rsid w:val="00E152E7"/>
    <w:rsid w:val="00E15330"/>
    <w:rsid w:val="00E1559E"/>
    <w:rsid w:val="00E155EF"/>
    <w:rsid w:val="00E15A65"/>
    <w:rsid w:val="00E15FE7"/>
    <w:rsid w:val="00E160DE"/>
    <w:rsid w:val="00E160F8"/>
    <w:rsid w:val="00E1612C"/>
    <w:rsid w:val="00E163B8"/>
    <w:rsid w:val="00E16779"/>
    <w:rsid w:val="00E16931"/>
    <w:rsid w:val="00E16999"/>
    <w:rsid w:val="00E16B66"/>
    <w:rsid w:val="00E16C1E"/>
    <w:rsid w:val="00E172E8"/>
    <w:rsid w:val="00E173C6"/>
    <w:rsid w:val="00E1748C"/>
    <w:rsid w:val="00E17850"/>
    <w:rsid w:val="00E179E1"/>
    <w:rsid w:val="00E17CC1"/>
    <w:rsid w:val="00E2014D"/>
    <w:rsid w:val="00E20656"/>
    <w:rsid w:val="00E20729"/>
    <w:rsid w:val="00E2082E"/>
    <w:rsid w:val="00E2082F"/>
    <w:rsid w:val="00E209DF"/>
    <w:rsid w:val="00E20CF0"/>
    <w:rsid w:val="00E210AA"/>
    <w:rsid w:val="00E212A4"/>
    <w:rsid w:val="00E212F6"/>
    <w:rsid w:val="00E21342"/>
    <w:rsid w:val="00E214A2"/>
    <w:rsid w:val="00E21566"/>
    <w:rsid w:val="00E21717"/>
    <w:rsid w:val="00E21744"/>
    <w:rsid w:val="00E218F2"/>
    <w:rsid w:val="00E21B87"/>
    <w:rsid w:val="00E21D73"/>
    <w:rsid w:val="00E21E5F"/>
    <w:rsid w:val="00E21EEF"/>
    <w:rsid w:val="00E21F2A"/>
    <w:rsid w:val="00E21F52"/>
    <w:rsid w:val="00E22036"/>
    <w:rsid w:val="00E229E5"/>
    <w:rsid w:val="00E22AEF"/>
    <w:rsid w:val="00E22CC8"/>
    <w:rsid w:val="00E2341E"/>
    <w:rsid w:val="00E23448"/>
    <w:rsid w:val="00E2345E"/>
    <w:rsid w:val="00E23B4F"/>
    <w:rsid w:val="00E23BAF"/>
    <w:rsid w:val="00E23D77"/>
    <w:rsid w:val="00E23D94"/>
    <w:rsid w:val="00E23F3D"/>
    <w:rsid w:val="00E2414F"/>
    <w:rsid w:val="00E2442A"/>
    <w:rsid w:val="00E2455B"/>
    <w:rsid w:val="00E2461F"/>
    <w:rsid w:val="00E24A88"/>
    <w:rsid w:val="00E24CC4"/>
    <w:rsid w:val="00E24DA9"/>
    <w:rsid w:val="00E24DDE"/>
    <w:rsid w:val="00E251A3"/>
    <w:rsid w:val="00E2559C"/>
    <w:rsid w:val="00E25837"/>
    <w:rsid w:val="00E259D2"/>
    <w:rsid w:val="00E25A16"/>
    <w:rsid w:val="00E25BEE"/>
    <w:rsid w:val="00E25F22"/>
    <w:rsid w:val="00E25F25"/>
    <w:rsid w:val="00E25FAA"/>
    <w:rsid w:val="00E26008"/>
    <w:rsid w:val="00E26447"/>
    <w:rsid w:val="00E26461"/>
    <w:rsid w:val="00E2649B"/>
    <w:rsid w:val="00E265DF"/>
    <w:rsid w:val="00E2675B"/>
    <w:rsid w:val="00E26960"/>
    <w:rsid w:val="00E26B9E"/>
    <w:rsid w:val="00E26C10"/>
    <w:rsid w:val="00E26E9A"/>
    <w:rsid w:val="00E26FA3"/>
    <w:rsid w:val="00E270D6"/>
    <w:rsid w:val="00E27460"/>
    <w:rsid w:val="00E27562"/>
    <w:rsid w:val="00E279C7"/>
    <w:rsid w:val="00E27A41"/>
    <w:rsid w:val="00E302C4"/>
    <w:rsid w:val="00E30302"/>
    <w:rsid w:val="00E30337"/>
    <w:rsid w:val="00E30579"/>
    <w:rsid w:val="00E306BA"/>
    <w:rsid w:val="00E30736"/>
    <w:rsid w:val="00E307DC"/>
    <w:rsid w:val="00E30988"/>
    <w:rsid w:val="00E309CA"/>
    <w:rsid w:val="00E30A4E"/>
    <w:rsid w:val="00E30C47"/>
    <w:rsid w:val="00E30EDD"/>
    <w:rsid w:val="00E31121"/>
    <w:rsid w:val="00E31756"/>
    <w:rsid w:val="00E31792"/>
    <w:rsid w:val="00E31894"/>
    <w:rsid w:val="00E31910"/>
    <w:rsid w:val="00E31940"/>
    <w:rsid w:val="00E31A81"/>
    <w:rsid w:val="00E31BFF"/>
    <w:rsid w:val="00E31D5F"/>
    <w:rsid w:val="00E31EBA"/>
    <w:rsid w:val="00E322D2"/>
    <w:rsid w:val="00E3236A"/>
    <w:rsid w:val="00E325FA"/>
    <w:rsid w:val="00E32754"/>
    <w:rsid w:val="00E3276C"/>
    <w:rsid w:val="00E327F2"/>
    <w:rsid w:val="00E32B17"/>
    <w:rsid w:val="00E32CBD"/>
    <w:rsid w:val="00E32E71"/>
    <w:rsid w:val="00E33025"/>
    <w:rsid w:val="00E33188"/>
    <w:rsid w:val="00E332F7"/>
    <w:rsid w:val="00E33493"/>
    <w:rsid w:val="00E3349D"/>
    <w:rsid w:val="00E335C3"/>
    <w:rsid w:val="00E336B4"/>
    <w:rsid w:val="00E336C1"/>
    <w:rsid w:val="00E336FC"/>
    <w:rsid w:val="00E33851"/>
    <w:rsid w:val="00E33A99"/>
    <w:rsid w:val="00E33D57"/>
    <w:rsid w:val="00E33EB7"/>
    <w:rsid w:val="00E33F6E"/>
    <w:rsid w:val="00E340F4"/>
    <w:rsid w:val="00E3434F"/>
    <w:rsid w:val="00E3445D"/>
    <w:rsid w:val="00E344A8"/>
    <w:rsid w:val="00E34641"/>
    <w:rsid w:val="00E3480D"/>
    <w:rsid w:val="00E348D4"/>
    <w:rsid w:val="00E34973"/>
    <w:rsid w:val="00E349A5"/>
    <w:rsid w:val="00E34A87"/>
    <w:rsid w:val="00E34A9B"/>
    <w:rsid w:val="00E34B22"/>
    <w:rsid w:val="00E34BA9"/>
    <w:rsid w:val="00E34C3B"/>
    <w:rsid w:val="00E34C60"/>
    <w:rsid w:val="00E34EBD"/>
    <w:rsid w:val="00E351E3"/>
    <w:rsid w:val="00E35240"/>
    <w:rsid w:val="00E3526E"/>
    <w:rsid w:val="00E352CC"/>
    <w:rsid w:val="00E355CE"/>
    <w:rsid w:val="00E3565B"/>
    <w:rsid w:val="00E3570F"/>
    <w:rsid w:val="00E358A5"/>
    <w:rsid w:val="00E35947"/>
    <w:rsid w:val="00E35B66"/>
    <w:rsid w:val="00E35D09"/>
    <w:rsid w:val="00E35EFE"/>
    <w:rsid w:val="00E35F0D"/>
    <w:rsid w:val="00E35FB4"/>
    <w:rsid w:val="00E362BA"/>
    <w:rsid w:val="00E362F5"/>
    <w:rsid w:val="00E365E8"/>
    <w:rsid w:val="00E36690"/>
    <w:rsid w:val="00E366A8"/>
    <w:rsid w:val="00E36778"/>
    <w:rsid w:val="00E36958"/>
    <w:rsid w:val="00E36B8F"/>
    <w:rsid w:val="00E36C80"/>
    <w:rsid w:val="00E36CC4"/>
    <w:rsid w:val="00E36D00"/>
    <w:rsid w:val="00E36E41"/>
    <w:rsid w:val="00E36FE9"/>
    <w:rsid w:val="00E37260"/>
    <w:rsid w:val="00E37283"/>
    <w:rsid w:val="00E375A4"/>
    <w:rsid w:val="00E376C7"/>
    <w:rsid w:val="00E379B2"/>
    <w:rsid w:val="00E37B0C"/>
    <w:rsid w:val="00E37B37"/>
    <w:rsid w:val="00E400DA"/>
    <w:rsid w:val="00E40211"/>
    <w:rsid w:val="00E4035E"/>
    <w:rsid w:val="00E403C3"/>
    <w:rsid w:val="00E40470"/>
    <w:rsid w:val="00E40688"/>
    <w:rsid w:val="00E406E5"/>
    <w:rsid w:val="00E40772"/>
    <w:rsid w:val="00E40B35"/>
    <w:rsid w:val="00E40B47"/>
    <w:rsid w:val="00E40B4F"/>
    <w:rsid w:val="00E40C90"/>
    <w:rsid w:val="00E4111E"/>
    <w:rsid w:val="00E4115D"/>
    <w:rsid w:val="00E41319"/>
    <w:rsid w:val="00E41445"/>
    <w:rsid w:val="00E4153F"/>
    <w:rsid w:val="00E4154C"/>
    <w:rsid w:val="00E41686"/>
    <w:rsid w:val="00E41944"/>
    <w:rsid w:val="00E41ABE"/>
    <w:rsid w:val="00E41AF9"/>
    <w:rsid w:val="00E41B08"/>
    <w:rsid w:val="00E41B71"/>
    <w:rsid w:val="00E41C7E"/>
    <w:rsid w:val="00E41CEC"/>
    <w:rsid w:val="00E41D60"/>
    <w:rsid w:val="00E41FB2"/>
    <w:rsid w:val="00E423B3"/>
    <w:rsid w:val="00E423DB"/>
    <w:rsid w:val="00E42566"/>
    <w:rsid w:val="00E426DC"/>
    <w:rsid w:val="00E42752"/>
    <w:rsid w:val="00E4279A"/>
    <w:rsid w:val="00E4281F"/>
    <w:rsid w:val="00E428AB"/>
    <w:rsid w:val="00E42A7A"/>
    <w:rsid w:val="00E42AE8"/>
    <w:rsid w:val="00E42CA3"/>
    <w:rsid w:val="00E42F9F"/>
    <w:rsid w:val="00E42FB7"/>
    <w:rsid w:val="00E430AD"/>
    <w:rsid w:val="00E4324B"/>
    <w:rsid w:val="00E4324C"/>
    <w:rsid w:val="00E4335E"/>
    <w:rsid w:val="00E43496"/>
    <w:rsid w:val="00E43640"/>
    <w:rsid w:val="00E43653"/>
    <w:rsid w:val="00E43746"/>
    <w:rsid w:val="00E43E50"/>
    <w:rsid w:val="00E43FAC"/>
    <w:rsid w:val="00E440FA"/>
    <w:rsid w:val="00E4411E"/>
    <w:rsid w:val="00E442D3"/>
    <w:rsid w:val="00E445AC"/>
    <w:rsid w:val="00E4479C"/>
    <w:rsid w:val="00E4482D"/>
    <w:rsid w:val="00E44957"/>
    <w:rsid w:val="00E44E61"/>
    <w:rsid w:val="00E44E7C"/>
    <w:rsid w:val="00E44EDE"/>
    <w:rsid w:val="00E450CA"/>
    <w:rsid w:val="00E4554C"/>
    <w:rsid w:val="00E4557D"/>
    <w:rsid w:val="00E45640"/>
    <w:rsid w:val="00E45803"/>
    <w:rsid w:val="00E45C36"/>
    <w:rsid w:val="00E45C3B"/>
    <w:rsid w:val="00E45C48"/>
    <w:rsid w:val="00E45D1E"/>
    <w:rsid w:val="00E4600D"/>
    <w:rsid w:val="00E46169"/>
    <w:rsid w:val="00E461DA"/>
    <w:rsid w:val="00E463EA"/>
    <w:rsid w:val="00E465D2"/>
    <w:rsid w:val="00E468EE"/>
    <w:rsid w:val="00E4695B"/>
    <w:rsid w:val="00E46A58"/>
    <w:rsid w:val="00E46A91"/>
    <w:rsid w:val="00E46C8B"/>
    <w:rsid w:val="00E46E4B"/>
    <w:rsid w:val="00E46F2C"/>
    <w:rsid w:val="00E47026"/>
    <w:rsid w:val="00E470B3"/>
    <w:rsid w:val="00E470C8"/>
    <w:rsid w:val="00E47350"/>
    <w:rsid w:val="00E4737A"/>
    <w:rsid w:val="00E47513"/>
    <w:rsid w:val="00E47664"/>
    <w:rsid w:val="00E476A2"/>
    <w:rsid w:val="00E476B5"/>
    <w:rsid w:val="00E47942"/>
    <w:rsid w:val="00E47D12"/>
    <w:rsid w:val="00E47D6A"/>
    <w:rsid w:val="00E47DAB"/>
    <w:rsid w:val="00E47E07"/>
    <w:rsid w:val="00E47FA5"/>
    <w:rsid w:val="00E5026E"/>
    <w:rsid w:val="00E502BE"/>
    <w:rsid w:val="00E503DE"/>
    <w:rsid w:val="00E50493"/>
    <w:rsid w:val="00E504A9"/>
    <w:rsid w:val="00E504E9"/>
    <w:rsid w:val="00E50568"/>
    <w:rsid w:val="00E506B7"/>
    <w:rsid w:val="00E5082A"/>
    <w:rsid w:val="00E50966"/>
    <w:rsid w:val="00E509C9"/>
    <w:rsid w:val="00E50A17"/>
    <w:rsid w:val="00E50C59"/>
    <w:rsid w:val="00E50C91"/>
    <w:rsid w:val="00E50CA0"/>
    <w:rsid w:val="00E50F5B"/>
    <w:rsid w:val="00E5139A"/>
    <w:rsid w:val="00E513AE"/>
    <w:rsid w:val="00E51435"/>
    <w:rsid w:val="00E5153B"/>
    <w:rsid w:val="00E51580"/>
    <w:rsid w:val="00E515AB"/>
    <w:rsid w:val="00E5161C"/>
    <w:rsid w:val="00E516A5"/>
    <w:rsid w:val="00E51840"/>
    <w:rsid w:val="00E51876"/>
    <w:rsid w:val="00E518AC"/>
    <w:rsid w:val="00E518D3"/>
    <w:rsid w:val="00E519A4"/>
    <w:rsid w:val="00E51BBB"/>
    <w:rsid w:val="00E51BD1"/>
    <w:rsid w:val="00E51D72"/>
    <w:rsid w:val="00E51D89"/>
    <w:rsid w:val="00E51E83"/>
    <w:rsid w:val="00E51EEA"/>
    <w:rsid w:val="00E51FDB"/>
    <w:rsid w:val="00E5207E"/>
    <w:rsid w:val="00E5218D"/>
    <w:rsid w:val="00E521C0"/>
    <w:rsid w:val="00E526E6"/>
    <w:rsid w:val="00E526E8"/>
    <w:rsid w:val="00E52882"/>
    <w:rsid w:val="00E529D8"/>
    <w:rsid w:val="00E52B7D"/>
    <w:rsid w:val="00E52F6F"/>
    <w:rsid w:val="00E533CE"/>
    <w:rsid w:val="00E53448"/>
    <w:rsid w:val="00E5357F"/>
    <w:rsid w:val="00E5367B"/>
    <w:rsid w:val="00E536E7"/>
    <w:rsid w:val="00E538C4"/>
    <w:rsid w:val="00E53BE5"/>
    <w:rsid w:val="00E53CC2"/>
    <w:rsid w:val="00E53EA2"/>
    <w:rsid w:val="00E54606"/>
    <w:rsid w:val="00E54873"/>
    <w:rsid w:val="00E549AD"/>
    <w:rsid w:val="00E54AEC"/>
    <w:rsid w:val="00E54BED"/>
    <w:rsid w:val="00E54D12"/>
    <w:rsid w:val="00E54E10"/>
    <w:rsid w:val="00E54F34"/>
    <w:rsid w:val="00E5505D"/>
    <w:rsid w:val="00E554B2"/>
    <w:rsid w:val="00E55657"/>
    <w:rsid w:val="00E55680"/>
    <w:rsid w:val="00E55767"/>
    <w:rsid w:val="00E5581E"/>
    <w:rsid w:val="00E5582A"/>
    <w:rsid w:val="00E5598F"/>
    <w:rsid w:val="00E55A20"/>
    <w:rsid w:val="00E55C62"/>
    <w:rsid w:val="00E55D38"/>
    <w:rsid w:val="00E55DA5"/>
    <w:rsid w:val="00E56297"/>
    <w:rsid w:val="00E564F8"/>
    <w:rsid w:val="00E56671"/>
    <w:rsid w:val="00E567B0"/>
    <w:rsid w:val="00E567E4"/>
    <w:rsid w:val="00E56C4D"/>
    <w:rsid w:val="00E56CA6"/>
    <w:rsid w:val="00E56EE2"/>
    <w:rsid w:val="00E56F6B"/>
    <w:rsid w:val="00E56F94"/>
    <w:rsid w:val="00E5720C"/>
    <w:rsid w:val="00E572D1"/>
    <w:rsid w:val="00E5751C"/>
    <w:rsid w:val="00E5770B"/>
    <w:rsid w:val="00E57843"/>
    <w:rsid w:val="00E5791B"/>
    <w:rsid w:val="00E579B3"/>
    <w:rsid w:val="00E57A71"/>
    <w:rsid w:val="00E57F5B"/>
    <w:rsid w:val="00E57F8B"/>
    <w:rsid w:val="00E604EC"/>
    <w:rsid w:val="00E606F7"/>
    <w:rsid w:val="00E60786"/>
    <w:rsid w:val="00E60B61"/>
    <w:rsid w:val="00E60B7B"/>
    <w:rsid w:val="00E60B84"/>
    <w:rsid w:val="00E60E0A"/>
    <w:rsid w:val="00E60E9A"/>
    <w:rsid w:val="00E613A9"/>
    <w:rsid w:val="00E61429"/>
    <w:rsid w:val="00E6154A"/>
    <w:rsid w:val="00E61968"/>
    <w:rsid w:val="00E61A02"/>
    <w:rsid w:val="00E61C55"/>
    <w:rsid w:val="00E61DA7"/>
    <w:rsid w:val="00E61E7C"/>
    <w:rsid w:val="00E6209C"/>
    <w:rsid w:val="00E621ED"/>
    <w:rsid w:val="00E62246"/>
    <w:rsid w:val="00E6226D"/>
    <w:rsid w:val="00E62338"/>
    <w:rsid w:val="00E623A7"/>
    <w:rsid w:val="00E62681"/>
    <w:rsid w:val="00E626C5"/>
    <w:rsid w:val="00E62958"/>
    <w:rsid w:val="00E62962"/>
    <w:rsid w:val="00E62A0E"/>
    <w:rsid w:val="00E62A45"/>
    <w:rsid w:val="00E62A6F"/>
    <w:rsid w:val="00E62D72"/>
    <w:rsid w:val="00E62E6F"/>
    <w:rsid w:val="00E62F5B"/>
    <w:rsid w:val="00E63052"/>
    <w:rsid w:val="00E6341C"/>
    <w:rsid w:val="00E634B4"/>
    <w:rsid w:val="00E63522"/>
    <w:rsid w:val="00E63587"/>
    <w:rsid w:val="00E6359E"/>
    <w:rsid w:val="00E6362B"/>
    <w:rsid w:val="00E63796"/>
    <w:rsid w:val="00E63B0A"/>
    <w:rsid w:val="00E63B77"/>
    <w:rsid w:val="00E63BB8"/>
    <w:rsid w:val="00E63CF1"/>
    <w:rsid w:val="00E63CFE"/>
    <w:rsid w:val="00E63EEA"/>
    <w:rsid w:val="00E640E8"/>
    <w:rsid w:val="00E6448E"/>
    <w:rsid w:val="00E6450E"/>
    <w:rsid w:val="00E646CD"/>
    <w:rsid w:val="00E64722"/>
    <w:rsid w:val="00E648E5"/>
    <w:rsid w:val="00E64B00"/>
    <w:rsid w:val="00E64C0A"/>
    <w:rsid w:val="00E64C37"/>
    <w:rsid w:val="00E64D99"/>
    <w:rsid w:val="00E64EB3"/>
    <w:rsid w:val="00E64EDF"/>
    <w:rsid w:val="00E64F0F"/>
    <w:rsid w:val="00E650FD"/>
    <w:rsid w:val="00E65482"/>
    <w:rsid w:val="00E65756"/>
    <w:rsid w:val="00E6584A"/>
    <w:rsid w:val="00E6589F"/>
    <w:rsid w:val="00E65CFE"/>
    <w:rsid w:val="00E65CFF"/>
    <w:rsid w:val="00E65F56"/>
    <w:rsid w:val="00E66135"/>
    <w:rsid w:val="00E661C9"/>
    <w:rsid w:val="00E66466"/>
    <w:rsid w:val="00E666B1"/>
    <w:rsid w:val="00E666DB"/>
    <w:rsid w:val="00E6672D"/>
    <w:rsid w:val="00E66770"/>
    <w:rsid w:val="00E66A02"/>
    <w:rsid w:val="00E66AC9"/>
    <w:rsid w:val="00E66D64"/>
    <w:rsid w:val="00E66E3F"/>
    <w:rsid w:val="00E671EB"/>
    <w:rsid w:val="00E67237"/>
    <w:rsid w:val="00E67315"/>
    <w:rsid w:val="00E67387"/>
    <w:rsid w:val="00E67596"/>
    <w:rsid w:val="00E67674"/>
    <w:rsid w:val="00E6770F"/>
    <w:rsid w:val="00E6774E"/>
    <w:rsid w:val="00E678DA"/>
    <w:rsid w:val="00E67926"/>
    <w:rsid w:val="00E67A5E"/>
    <w:rsid w:val="00E67D0F"/>
    <w:rsid w:val="00E67E67"/>
    <w:rsid w:val="00E67F44"/>
    <w:rsid w:val="00E70332"/>
    <w:rsid w:val="00E70342"/>
    <w:rsid w:val="00E7041B"/>
    <w:rsid w:val="00E704EB"/>
    <w:rsid w:val="00E70660"/>
    <w:rsid w:val="00E70856"/>
    <w:rsid w:val="00E709FC"/>
    <w:rsid w:val="00E70A6E"/>
    <w:rsid w:val="00E70C00"/>
    <w:rsid w:val="00E70E70"/>
    <w:rsid w:val="00E70EF1"/>
    <w:rsid w:val="00E70F5B"/>
    <w:rsid w:val="00E71096"/>
    <w:rsid w:val="00E711B2"/>
    <w:rsid w:val="00E71349"/>
    <w:rsid w:val="00E713D0"/>
    <w:rsid w:val="00E714A3"/>
    <w:rsid w:val="00E714EE"/>
    <w:rsid w:val="00E71535"/>
    <w:rsid w:val="00E71562"/>
    <w:rsid w:val="00E715BF"/>
    <w:rsid w:val="00E715D8"/>
    <w:rsid w:val="00E715F3"/>
    <w:rsid w:val="00E716CB"/>
    <w:rsid w:val="00E71848"/>
    <w:rsid w:val="00E71A9B"/>
    <w:rsid w:val="00E71BE2"/>
    <w:rsid w:val="00E71DB0"/>
    <w:rsid w:val="00E7202D"/>
    <w:rsid w:val="00E722DD"/>
    <w:rsid w:val="00E72449"/>
    <w:rsid w:val="00E72473"/>
    <w:rsid w:val="00E725F0"/>
    <w:rsid w:val="00E72653"/>
    <w:rsid w:val="00E72718"/>
    <w:rsid w:val="00E7274E"/>
    <w:rsid w:val="00E727F6"/>
    <w:rsid w:val="00E729B6"/>
    <w:rsid w:val="00E72A8C"/>
    <w:rsid w:val="00E72E4E"/>
    <w:rsid w:val="00E7321E"/>
    <w:rsid w:val="00E7342D"/>
    <w:rsid w:val="00E7347D"/>
    <w:rsid w:val="00E736B0"/>
    <w:rsid w:val="00E73842"/>
    <w:rsid w:val="00E738F7"/>
    <w:rsid w:val="00E73C04"/>
    <w:rsid w:val="00E73D74"/>
    <w:rsid w:val="00E73E7E"/>
    <w:rsid w:val="00E73ED1"/>
    <w:rsid w:val="00E73F3B"/>
    <w:rsid w:val="00E74409"/>
    <w:rsid w:val="00E7444D"/>
    <w:rsid w:val="00E74744"/>
    <w:rsid w:val="00E74928"/>
    <w:rsid w:val="00E74A60"/>
    <w:rsid w:val="00E74C27"/>
    <w:rsid w:val="00E74EAF"/>
    <w:rsid w:val="00E74F14"/>
    <w:rsid w:val="00E74F59"/>
    <w:rsid w:val="00E7522B"/>
    <w:rsid w:val="00E75252"/>
    <w:rsid w:val="00E75387"/>
    <w:rsid w:val="00E753E3"/>
    <w:rsid w:val="00E75653"/>
    <w:rsid w:val="00E7594C"/>
    <w:rsid w:val="00E75AE6"/>
    <w:rsid w:val="00E75BAA"/>
    <w:rsid w:val="00E75BFD"/>
    <w:rsid w:val="00E75C06"/>
    <w:rsid w:val="00E7609D"/>
    <w:rsid w:val="00E760FD"/>
    <w:rsid w:val="00E76178"/>
    <w:rsid w:val="00E761D8"/>
    <w:rsid w:val="00E765FB"/>
    <w:rsid w:val="00E76895"/>
    <w:rsid w:val="00E76941"/>
    <w:rsid w:val="00E76B08"/>
    <w:rsid w:val="00E76B15"/>
    <w:rsid w:val="00E76DA8"/>
    <w:rsid w:val="00E76DC8"/>
    <w:rsid w:val="00E76EDB"/>
    <w:rsid w:val="00E7712F"/>
    <w:rsid w:val="00E771E5"/>
    <w:rsid w:val="00E772CE"/>
    <w:rsid w:val="00E77304"/>
    <w:rsid w:val="00E77536"/>
    <w:rsid w:val="00E77703"/>
    <w:rsid w:val="00E777CB"/>
    <w:rsid w:val="00E77A27"/>
    <w:rsid w:val="00E77A4F"/>
    <w:rsid w:val="00E77B36"/>
    <w:rsid w:val="00E77BBD"/>
    <w:rsid w:val="00E77C55"/>
    <w:rsid w:val="00E77CA2"/>
    <w:rsid w:val="00E77CB0"/>
    <w:rsid w:val="00E77D2D"/>
    <w:rsid w:val="00E77D35"/>
    <w:rsid w:val="00E77F70"/>
    <w:rsid w:val="00E77F94"/>
    <w:rsid w:val="00E8005F"/>
    <w:rsid w:val="00E801B7"/>
    <w:rsid w:val="00E8027E"/>
    <w:rsid w:val="00E802BF"/>
    <w:rsid w:val="00E804D7"/>
    <w:rsid w:val="00E8064D"/>
    <w:rsid w:val="00E808FA"/>
    <w:rsid w:val="00E8093A"/>
    <w:rsid w:val="00E80A09"/>
    <w:rsid w:val="00E80C1C"/>
    <w:rsid w:val="00E80E84"/>
    <w:rsid w:val="00E8115A"/>
    <w:rsid w:val="00E81554"/>
    <w:rsid w:val="00E8165A"/>
    <w:rsid w:val="00E81757"/>
    <w:rsid w:val="00E81775"/>
    <w:rsid w:val="00E81809"/>
    <w:rsid w:val="00E818CB"/>
    <w:rsid w:val="00E81B2F"/>
    <w:rsid w:val="00E81B6D"/>
    <w:rsid w:val="00E81E49"/>
    <w:rsid w:val="00E81EF0"/>
    <w:rsid w:val="00E8208C"/>
    <w:rsid w:val="00E82191"/>
    <w:rsid w:val="00E82960"/>
    <w:rsid w:val="00E82999"/>
    <w:rsid w:val="00E82A0B"/>
    <w:rsid w:val="00E82D77"/>
    <w:rsid w:val="00E82DEB"/>
    <w:rsid w:val="00E831F1"/>
    <w:rsid w:val="00E832BC"/>
    <w:rsid w:val="00E832E4"/>
    <w:rsid w:val="00E8331A"/>
    <w:rsid w:val="00E8356A"/>
    <w:rsid w:val="00E83778"/>
    <w:rsid w:val="00E83888"/>
    <w:rsid w:val="00E8397E"/>
    <w:rsid w:val="00E839E3"/>
    <w:rsid w:val="00E839F3"/>
    <w:rsid w:val="00E83AD5"/>
    <w:rsid w:val="00E83CCF"/>
    <w:rsid w:val="00E83CEB"/>
    <w:rsid w:val="00E83DB9"/>
    <w:rsid w:val="00E83F1E"/>
    <w:rsid w:val="00E84081"/>
    <w:rsid w:val="00E84507"/>
    <w:rsid w:val="00E8450F"/>
    <w:rsid w:val="00E84601"/>
    <w:rsid w:val="00E8471E"/>
    <w:rsid w:val="00E848BB"/>
    <w:rsid w:val="00E848BC"/>
    <w:rsid w:val="00E84AD7"/>
    <w:rsid w:val="00E84E59"/>
    <w:rsid w:val="00E84FD8"/>
    <w:rsid w:val="00E85072"/>
    <w:rsid w:val="00E85317"/>
    <w:rsid w:val="00E85481"/>
    <w:rsid w:val="00E85C2E"/>
    <w:rsid w:val="00E85C57"/>
    <w:rsid w:val="00E85C5D"/>
    <w:rsid w:val="00E85D7F"/>
    <w:rsid w:val="00E85E86"/>
    <w:rsid w:val="00E85F25"/>
    <w:rsid w:val="00E865E5"/>
    <w:rsid w:val="00E866FC"/>
    <w:rsid w:val="00E8691B"/>
    <w:rsid w:val="00E86A96"/>
    <w:rsid w:val="00E86A9C"/>
    <w:rsid w:val="00E86CAB"/>
    <w:rsid w:val="00E86DBB"/>
    <w:rsid w:val="00E871DE"/>
    <w:rsid w:val="00E872A1"/>
    <w:rsid w:val="00E87429"/>
    <w:rsid w:val="00E8744F"/>
    <w:rsid w:val="00E87506"/>
    <w:rsid w:val="00E87582"/>
    <w:rsid w:val="00E875FD"/>
    <w:rsid w:val="00E87A37"/>
    <w:rsid w:val="00E87B0A"/>
    <w:rsid w:val="00E87D90"/>
    <w:rsid w:val="00E87FD7"/>
    <w:rsid w:val="00E900C1"/>
    <w:rsid w:val="00E900D6"/>
    <w:rsid w:val="00E9024E"/>
    <w:rsid w:val="00E9027A"/>
    <w:rsid w:val="00E90340"/>
    <w:rsid w:val="00E903E0"/>
    <w:rsid w:val="00E90426"/>
    <w:rsid w:val="00E906E9"/>
    <w:rsid w:val="00E9079F"/>
    <w:rsid w:val="00E9099E"/>
    <w:rsid w:val="00E90A58"/>
    <w:rsid w:val="00E90C11"/>
    <w:rsid w:val="00E90C68"/>
    <w:rsid w:val="00E90D30"/>
    <w:rsid w:val="00E90E56"/>
    <w:rsid w:val="00E90F43"/>
    <w:rsid w:val="00E90F9A"/>
    <w:rsid w:val="00E91041"/>
    <w:rsid w:val="00E911BB"/>
    <w:rsid w:val="00E911CA"/>
    <w:rsid w:val="00E91297"/>
    <w:rsid w:val="00E91904"/>
    <w:rsid w:val="00E91A3A"/>
    <w:rsid w:val="00E91C2E"/>
    <w:rsid w:val="00E91C47"/>
    <w:rsid w:val="00E91D52"/>
    <w:rsid w:val="00E91EBD"/>
    <w:rsid w:val="00E91F13"/>
    <w:rsid w:val="00E92062"/>
    <w:rsid w:val="00E92067"/>
    <w:rsid w:val="00E92632"/>
    <w:rsid w:val="00E926C7"/>
    <w:rsid w:val="00E9274C"/>
    <w:rsid w:val="00E927D0"/>
    <w:rsid w:val="00E928CF"/>
    <w:rsid w:val="00E9290F"/>
    <w:rsid w:val="00E92B2F"/>
    <w:rsid w:val="00E92C79"/>
    <w:rsid w:val="00E92DA9"/>
    <w:rsid w:val="00E92E80"/>
    <w:rsid w:val="00E92F5B"/>
    <w:rsid w:val="00E93115"/>
    <w:rsid w:val="00E93131"/>
    <w:rsid w:val="00E93177"/>
    <w:rsid w:val="00E931F8"/>
    <w:rsid w:val="00E93248"/>
    <w:rsid w:val="00E93790"/>
    <w:rsid w:val="00E937CB"/>
    <w:rsid w:val="00E93B1A"/>
    <w:rsid w:val="00E93B61"/>
    <w:rsid w:val="00E93D6F"/>
    <w:rsid w:val="00E93D72"/>
    <w:rsid w:val="00E93DF8"/>
    <w:rsid w:val="00E93E21"/>
    <w:rsid w:val="00E93EBB"/>
    <w:rsid w:val="00E9400E"/>
    <w:rsid w:val="00E9404F"/>
    <w:rsid w:val="00E943BF"/>
    <w:rsid w:val="00E944A2"/>
    <w:rsid w:val="00E944D0"/>
    <w:rsid w:val="00E9453E"/>
    <w:rsid w:val="00E94728"/>
    <w:rsid w:val="00E9482E"/>
    <w:rsid w:val="00E9494A"/>
    <w:rsid w:val="00E94B80"/>
    <w:rsid w:val="00E94B9D"/>
    <w:rsid w:val="00E94C85"/>
    <w:rsid w:val="00E94F24"/>
    <w:rsid w:val="00E9530D"/>
    <w:rsid w:val="00E95349"/>
    <w:rsid w:val="00E953AE"/>
    <w:rsid w:val="00E953F0"/>
    <w:rsid w:val="00E95430"/>
    <w:rsid w:val="00E954E0"/>
    <w:rsid w:val="00E95656"/>
    <w:rsid w:val="00E95782"/>
    <w:rsid w:val="00E957A9"/>
    <w:rsid w:val="00E9599D"/>
    <w:rsid w:val="00E95B03"/>
    <w:rsid w:val="00E95B7E"/>
    <w:rsid w:val="00E95C98"/>
    <w:rsid w:val="00E95F65"/>
    <w:rsid w:val="00E96327"/>
    <w:rsid w:val="00E963B6"/>
    <w:rsid w:val="00E964DC"/>
    <w:rsid w:val="00E964F1"/>
    <w:rsid w:val="00E9650D"/>
    <w:rsid w:val="00E966AA"/>
    <w:rsid w:val="00E96727"/>
    <w:rsid w:val="00E9685C"/>
    <w:rsid w:val="00E96923"/>
    <w:rsid w:val="00E96B41"/>
    <w:rsid w:val="00E96C3C"/>
    <w:rsid w:val="00E96D61"/>
    <w:rsid w:val="00E96DA8"/>
    <w:rsid w:val="00E96E03"/>
    <w:rsid w:val="00E96EDC"/>
    <w:rsid w:val="00E96EEA"/>
    <w:rsid w:val="00E96F5A"/>
    <w:rsid w:val="00E96FDB"/>
    <w:rsid w:val="00E9703B"/>
    <w:rsid w:val="00E9717C"/>
    <w:rsid w:val="00E971BB"/>
    <w:rsid w:val="00E972F1"/>
    <w:rsid w:val="00E972F2"/>
    <w:rsid w:val="00E9734B"/>
    <w:rsid w:val="00E9737C"/>
    <w:rsid w:val="00E97456"/>
    <w:rsid w:val="00E975B2"/>
    <w:rsid w:val="00E975C7"/>
    <w:rsid w:val="00E9762C"/>
    <w:rsid w:val="00E977F4"/>
    <w:rsid w:val="00E9787E"/>
    <w:rsid w:val="00E979ED"/>
    <w:rsid w:val="00E97B15"/>
    <w:rsid w:val="00E97CEF"/>
    <w:rsid w:val="00E97EE9"/>
    <w:rsid w:val="00EA0304"/>
    <w:rsid w:val="00EA0572"/>
    <w:rsid w:val="00EA05BA"/>
    <w:rsid w:val="00EA05D7"/>
    <w:rsid w:val="00EA0657"/>
    <w:rsid w:val="00EA093A"/>
    <w:rsid w:val="00EA0958"/>
    <w:rsid w:val="00EA0CE4"/>
    <w:rsid w:val="00EA0E15"/>
    <w:rsid w:val="00EA0F89"/>
    <w:rsid w:val="00EA0FC4"/>
    <w:rsid w:val="00EA1037"/>
    <w:rsid w:val="00EA11BA"/>
    <w:rsid w:val="00EA13C7"/>
    <w:rsid w:val="00EA16B6"/>
    <w:rsid w:val="00EA174F"/>
    <w:rsid w:val="00EA17D2"/>
    <w:rsid w:val="00EA180E"/>
    <w:rsid w:val="00EA1AA4"/>
    <w:rsid w:val="00EA1B63"/>
    <w:rsid w:val="00EA1D93"/>
    <w:rsid w:val="00EA2161"/>
    <w:rsid w:val="00EA2367"/>
    <w:rsid w:val="00EA2764"/>
    <w:rsid w:val="00EA2A37"/>
    <w:rsid w:val="00EA2C77"/>
    <w:rsid w:val="00EA2CEA"/>
    <w:rsid w:val="00EA2D93"/>
    <w:rsid w:val="00EA3077"/>
    <w:rsid w:val="00EA308E"/>
    <w:rsid w:val="00EA319E"/>
    <w:rsid w:val="00EA3334"/>
    <w:rsid w:val="00EA3738"/>
    <w:rsid w:val="00EA3739"/>
    <w:rsid w:val="00EA37DC"/>
    <w:rsid w:val="00EA387A"/>
    <w:rsid w:val="00EA3ABD"/>
    <w:rsid w:val="00EA3C21"/>
    <w:rsid w:val="00EA3D31"/>
    <w:rsid w:val="00EA3E6B"/>
    <w:rsid w:val="00EA3F0A"/>
    <w:rsid w:val="00EA3FF9"/>
    <w:rsid w:val="00EA4069"/>
    <w:rsid w:val="00EA41CD"/>
    <w:rsid w:val="00EA437C"/>
    <w:rsid w:val="00EA4550"/>
    <w:rsid w:val="00EA4640"/>
    <w:rsid w:val="00EA469E"/>
    <w:rsid w:val="00EA470C"/>
    <w:rsid w:val="00EA47DE"/>
    <w:rsid w:val="00EA4972"/>
    <w:rsid w:val="00EA4A00"/>
    <w:rsid w:val="00EA4CF3"/>
    <w:rsid w:val="00EA4EA9"/>
    <w:rsid w:val="00EA5150"/>
    <w:rsid w:val="00EA51B7"/>
    <w:rsid w:val="00EA5348"/>
    <w:rsid w:val="00EA5519"/>
    <w:rsid w:val="00EA58CE"/>
    <w:rsid w:val="00EA5A9D"/>
    <w:rsid w:val="00EA5B46"/>
    <w:rsid w:val="00EA5BCC"/>
    <w:rsid w:val="00EA5C11"/>
    <w:rsid w:val="00EA5D84"/>
    <w:rsid w:val="00EA5EB8"/>
    <w:rsid w:val="00EA5F82"/>
    <w:rsid w:val="00EA5F98"/>
    <w:rsid w:val="00EA63CE"/>
    <w:rsid w:val="00EA64C5"/>
    <w:rsid w:val="00EA67B9"/>
    <w:rsid w:val="00EA69C0"/>
    <w:rsid w:val="00EA6A20"/>
    <w:rsid w:val="00EA6CDA"/>
    <w:rsid w:val="00EA6E0A"/>
    <w:rsid w:val="00EA6E13"/>
    <w:rsid w:val="00EA6F40"/>
    <w:rsid w:val="00EA70DB"/>
    <w:rsid w:val="00EA713C"/>
    <w:rsid w:val="00EA714B"/>
    <w:rsid w:val="00EA7544"/>
    <w:rsid w:val="00EA77D6"/>
    <w:rsid w:val="00EA780D"/>
    <w:rsid w:val="00EA79DC"/>
    <w:rsid w:val="00EA7BBB"/>
    <w:rsid w:val="00EA7F98"/>
    <w:rsid w:val="00EAA9C6"/>
    <w:rsid w:val="00EB063C"/>
    <w:rsid w:val="00EB066C"/>
    <w:rsid w:val="00EB07BE"/>
    <w:rsid w:val="00EB0809"/>
    <w:rsid w:val="00EB0816"/>
    <w:rsid w:val="00EB0897"/>
    <w:rsid w:val="00EB0A78"/>
    <w:rsid w:val="00EB0BB1"/>
    <w:rsid w:val="00EB0BEB"/>
    <w:rsid w:val="00EB0CF3"/>
    <w:rsid w:val="00EB1075"/>
    <w:rsid w:val="00EB11C6"/>
    <w:rsid w:val="00EB1258"/>
    <w:rsid w:val="00EB177A"/>
    <w:rsid w:val="00EB18A8"/>
    <w:rsid w:val="00EB19E0"/>
    <w:rsid w:val="00EB19EC"/>
    <w:rsid w:val="00EB1DAF"/>
    <w:rsid w:val="00EB1FB5"/>
    <w:rsid w:val="00EB1FCE"/>
    <w:rsid w:val="00EB2233"/>
    <w:rsid w:val="00EB2294"/>
    <w:rsid w:val="00EB22EF"/>
    <w:rsid w:val="00EB258B"/>
    <w:rsid w:val="00EB2660"/>
    <w:rsid w:val="00EB277D"/>
    <w:rsid w:val="00EB27B7"/>
    <w:rsid w:val="00EB2847"/>
    <w:rsid w:val="00EB28C1"/>
    <w:rsid w:val="00EB2958"/>
    <w:rsid w:val="00EB2A48"/>
    <w:rsid w:val="00EB2A82"/>
    <w:rsid w:val="00EB2B93"/>
    <w:rsid w:val="00EB2D1B"/>
    <w:rsid w:val="00EB2D4B"/>
    <w:rsid w:val="00EB2EF0"/>
    <w:rsid w:val="00EB2F70"/>
    <w:rsid w:val="00EB3082"/>
    <w:rsid w:val="00EB33FE"/>
    <w:rsid w:val="00EB34F5"/>
    <w:rsid w:val="00EB3516"/>
    <w:rsid w:val="00EB35CA"/>
    <w:rsid w:val="00EB3632"/>
    <w:rsid w:val="00EB3719"/>
    <w:rsid w:val="00EB3B6E"/>
    <w:rsid w:val="00EB3FF8"/>
    <w:rsid w:val="00EB4136"/>
    <w:rsid w:val="00EB42CE"/>
    <w:rsid w:val="00EB45B7"/>
    <w:rsid w:val="00EB460D"/>
    <w:rsid w:val="00EB47A9"/>
    <w:rsid w:val="00EB49A4"/>
    <w:rsid w:val="00EB4A1B"/>
    <w:rsid w:val="00EB4A2B"/>
    <w:rsid w:val="00EB4A96"/>
    <w:rsid w:val="00EB4B63"/>
    <w:rsid w:val="00EB4C00"/>
    <w:rsid w:val="00EB4F30"/>
    <w:rsid w:val="00EB4FF6"/>
    <w:rsid w:val="00EB500C"/>
    <w:rsid w:val="00EB53F7"/>
    <w:rsid w:val="00EB5567"/>
    <w:rsid w:val="00EB56B0"/>
    <w:rsid w:val="00EB57CD"/>
    <w:rsid w:val="00EB5988"/>
    <w:rsid w:val="00EB5AAE"/>
    <w:rsid w:val="00EB5B9C"/>
    <w:rsid w:val="00EB5BCF"/>
    <w:rsid w:val="00EB5BF9"/>
    <w:rsid w:val="00EB5C41"/>
    <w:rsid w:val="00EB5C74"/>
    <w:rsid w:val="00EB5DC8"/>
    <w:rsid w:val="00EB5E81"/>
    <w:rsid w:val="00EB5F14"/>
    <w:rsid w:val="00EB611F"/>
    <w:rsid w:val="00EB619E"/>
    <w:rsid w:val="00EB6293"/>
    <w:rsid w:val="00EB6394"/>
    <w:rsid w:val="00EB6568"/>
    <w:rsid w:val="00EB65AE"/>
    <w:rsid w:val="00EB66E2"/>
    <w:rsid w:val="00EB6B1B"/>
    <w:rsid w:val="00EB6FF4"/>
    <w:rsid w:val="00EB7022"/>
    <w:rsid w:val="00EB71C9"/>
    <w:rsid w:val="00EB71F5"/>
    <w:rsid w:val="00EB7443"/>
    <w:rsid w:val="00EB7634"/>
    <w:rsid w:val="00EB7763"/>
    <w:rsid w:val="00EB7CF2"/>
    <w:rsid w:val="00EC0249"/>
    <w:rsid w:val="00EC0254"/>
    <w:rsid w:val="00EC02BE"/>
    <w:rsid w:val="00EC04CF"/>
    <w:rsid w:val="00EC0595"/>
    <w:rsid w:val="00EC06A1"/>
    <w:rsid w:val="00EC06BB"/>
    <w:rsid w:val="00EC07BE"/>
    <w:rsid w:val="00EC094E"/>
    <w:rsid w:val="00EC09F9"/>
    <w:rsid w:val="00EC0A65"/>
    <w:rsid w:val="00EC0ADD"/>
    <w:rsid w:val="00EC0D75"/>
    <w:rsid w:val="00EC0DD9"/>
    <w:rsid w:val="00EC0F84"/>
    <w:rsid w:val="00EC10C4"/>
    <w:rsid w:val="00EC131F"/>
    <w:rsid w:val="00EC1334"/>
    <w:rsid w:val="00EC1596"/>
    <w:rsid w:val="00EC1637"/>
    <w:rsid w:val="00EC16B3"/>
    <w:rsid w:val="00EC189D"/>
    <w:rsid w:val="00EC18BF"/>
    <w:rsid w:val="00EC19FE"/>
    <w:rsid w:val="00EC1B19"/>
    <w:rsid w:val="00EC1B4E"/>
    <w:rsid w:val="00EC1B5E"/>
    <w:rsid w:val="00EC1C74"/>
    <w:rsid w:val="00EC1E76"/>
    <w:rsid w:val="00EC1EA4"/>
    <w:rsid w:val="00EC1FD6"/>
    <w:rsid w:val="00EC224C"/>
    <w:rsid w:val="00EC22B2"/>
    <w:rsid w:val="00EC25A0"/>
    <w:rsid w:val="00EC29D0"/>
    <w:rsid w:val="00EC2AF1"/>
    <w:rsid w:val="00EC2CA4"/>
    <w:rsid w:val="00EC2EE4"/>
    <w:rsid w:val="00EC330F"/>
    <w:rsid w:val="00EC331D"/>
    <w:rsid w:val="00EC34D0"/>
    <w:rsid w:val="00EC35A0"/>
    <w:rsid w:val="00EC3839"/>
    <w:rsid w:val="00EC3857"/>
    <w:rsid w:val="00EC38EF"/>
    <w:rsid w:val="00EC3ABE"/>
    <w:rsid w:val="00EC3C52"/>
    <w:rsid w:val="00EC3DE5"/>
    <w:rsid w:val="00EC3EE0"/>
    <w:rsid w:val="00EC41F5"/>
    <w:rsid w:val="00EC428F"/>
    <w:rsid w:val="00EC42A3"/>
    <w:rsid w:val="00EC461B"/>
    <w:rsid w:val="00EC4822"/>
    <w:rsid w:val="00EC4B5D"/>
    <w:rsid w:val="00EC4D75"/>
    <w:rsid w:val="00EC4FE9"/>
    <w:rsid w:val="00EC5107"/>
    <w:rsid w:val="00EC5322"/>
    <w:rsid w:val="00EC5695"/>
    <w:rsid w:val="00EC56C0"/>
    <w:rsid w:val="00EC56CD"/>
    <w:rsid w:val="00EC577F"/>
    <w:rsid w:val="00EC582D"/>
    <w:rsid w:val="00EC58D4"/>
    <w:rsid w:val="00EC5A13"/>
    <w:rsid w:val="00EC5B3C"/>
    <w:rsid w:val="00EC5DF8"/>
    <w:rsid w:val="00EC5E5F"/>
    <w:rsid w:val="00EC5F2D"/>
    <w:rsid w:val="00EC635C"/>
    <w:rsid w:val="00EC65B4"/>
    <w:rsid w:val="00EC6661"/>
    <w:rsid w:val="00EC6701"/>
    <w:rsid w:val="00EC6C54"/>
    <w:rsid w:val="00EC6D6A"/>
    <w:rsid w:val="00EC6DFA"/>
    <w:rsid w:val="00EC7090"/>
    <w:rsid w:val="00EC70CF"/>
    <w:rsid w:val="00EC7125"/>
    <w:rsid w:val="00EC721B"/>
    <w:rsid w:val="00EC721E"/>
    <w:rsid w:val="00EC7261"/>
    <w:rsid w:val="00EC7273"/>
    <w:rsid w:val="00EC73E5"/>
    <w:rsid w:val="00EC741C"/>
    <w:rsid w:val="00EC746B"/>
    <w:rsid w:val="00EC751B"/>
    <w:rsid w:val="00EC7590"/>
    <w:rsid w:val="00EC75BF"/>
    <w:rsid w:val="00EC77F1"/>
    <w:rsid w:val="00EC789E"/>
    <w:rsid w:val="00EC78BB"/>
    <w:rsid w:val="00EC790C"/>
    <w:rsid w:val="00EC7AD2"/>
    <w:rsid w:val="00EC7C25"/>
    <w:rsid w:val="00EC7CC1"/>
    <w:rsid w:val="00EC7E6E"/>
    <w:rsid w:val="00EC7F7F"/>
    <w:rsid w:val="00ED0010"/>
    <w:rsid w:val="00ED01D9"/>
    <w:rsid w:val="00ED02B3"/>
    <w:rsid w:val="00ED02DC"/>
    <w:rsid w:val="00ED049D"/>
    <w:rsid w:val="00ED0657"/>
    <w:rsid w:val="00ED074F"/>
    <w:rsid w:val="00ED07EA"/>
    <w:rsid w:val="00ED0ACB"/>
    <w:rsid w:val="00ED0DAD"/>
    <w:rsid w:val="00ED0F12"/>
    <w:rsid w:val="00ED1145"/>
    <w:rsid w:val="00ED15DD"/>
    <w:rsid w:val="00ED1639"/>
    <w:rsid w:val="00ED163E"/>
    <w:rsid w:val="00ED1716"/>
    <w:rsid w:val="00ED187B"/>
    <w:rsid w:val="00ED1D4E"/>
    <w:rsid w:val="00ED1D81"/>
    <w:rsid w:val="00ED1FCA"/>
    <w:rsid w:val="00ED25C8"/>
    <w:rsid w:val="00ED2734"/>
    <w:rsid w:val="00ED2819"/>
    <w:rsid w:val="00ED2832"/>
    <w:rsid w:val="00ED28C7"/>
    <w:rsid w:val="00ED2929"/>
    <w:rsid w:val="00ED2B48"/>
    <w:rsid w:val="00ED3304"/>
    <w:rsid w:val="00ED341D"/>
    <w:rsid w:val="00ED3574"/>
    <w:rsid w:val="00ED3580"/>
    <w:rsid w:val="00ED3630"/>
    <w:rsid w:val="00ED3848"/>
    <w:rsid w:val="00ED385D"/>
    <w:rsid w:val="00ED3940"/>
    <w:rsid w:val="00ED39BB"/>
    <w:rsid w:val="00ED3B9A"/>
    <w:rsid w:val="00ED3BB3"/>
    <w:rsid w:val="00ED3CCD"/>
    <w:rsid w:val="00ED3E1E"/>
    <w:rsid w:val="00ED3E88"/>
    <w:rsid w:val="00ED3EC1"/>
    <w:rsid w:val="00ED4177"/>
    <w:rsid w:val="00ED4345"/>
    <w:rsid w:val="00ED44DD"/>
    <w:rsid w:val="00ED4567"/>
    <w:rsid w:val="00ED46DA"/>
    <w:rsid w:val="00ED477C"/>
    <w:rsid w:val="00ED480B"/>
    <w:rsid w:val="00ED48BA"/>
    <w:rsid w:val="00ED4AA0"/>
    <w:rsid w:val="00ED4ECB"/>
    <w:rsid w:val="00ED4EF1"/>
    <w:rsid w:val="00ED5012"/>
    <w:rsid w:val="00ED5082"/>
    <w:rsid w:val="00ED5310"/>
    <w:rsid w:val="00ED551B"/>
    <w:rsid w:val="00ED590F"/>
    <w:rsid w:val="00ED5A56"/>
    <w:rsid w:val="00ED5B65"/>
    <w:rsid w:val="00ED5D55"/>
    <w:rsid w:val="00ED5ECE"/>
    <w:rsid w:val="00ED5F4E"/>
    <w:rsid w:val="00ED6446"/>
    <w:rsid w:val="00ED645B"/>
    <w:rsid w:val="00ED6592"/>
    <w:rsid w:val="00ED66B4"/>
    <w:rsid w:val="00ED67AE"/>
    <w:rsid w:val="00ED6878"/>
    <w:rsid w:val="00ED6939"/>
    <w:rsid w:val="00ED6B00"/>
    <w:rsid w:val="00ED6B5C"/>
    <w:rsid w:val="00ED6DEE"/>
    <w:rsid w:val="00ED6F9E"/>
    <w:rsid w:val="00ED70AC"/>
    <w:rsid w:val="00ED7100"/>
    <w:rsid w:val="00ED7399"/>
    <w:rsid w:val="00ED745D"/>
    <w:rsid w:val="00ED7476"/>
    <w:rsid w:val="00ED74D7"/>
    <w:rsid w:val="00ED74EF"/>
    <w:rsid w:val="00ED756F"/>
    <w:rsid w:val="00ED76F9"/>
    <w:rsid w:val="00ED78F2"/>
    <w:rsid w:val="00ED7987"/>
    <w:rsid w:val="00ED79CF"/>
    <w:rsid w:val="00ED7AD1"/>
    <w:rsid w:val="00ED7B68"/>
    <w:rsid w:val="00ED7C19"/>
    <w:rsid w:val="00ED7DEE"/>
    <w:rsid w:val="00EE0158"/>
    <w:rsid w:val="00EE01E3"/>
    <w:rsid w:val="00EE02FB"/>
    <w:rsid w:val="00EE0320"/>
    <w:rsid w:val="00EE054D"/>
    <w:rsid w:val="00EE06A6"/>
    <w:rsid w:val="00EE07B2"/>
    <w:rsid w:val="00EE0899"/>
    <w:rsid w:val="00EE0A72"/>
    <w:rsid w:val="00EE0BC6"/>
    <w:rsid w:val="00EE0EF0"/>
    <w:rsid w:val="00EE0F65"/>
    <w:rsid w:val="00EE1228"/>
    <w:rsid w:val="00EE12AD"/>
    <w:rsid w:val="00EE16C6"/>
    <w:rsid w:val="00EE17B0"/>
    <w:rsid w:val="00EE1858"/>
    <w:rsid w:val="00EE1B65"/>
    <w:rsid w:val="00EE1F8D"/>
    <w:rsid w:val="00EE25B4"/>
    <w:rsid w:val="00EE26D9"/>
    <w:rsid w:val="00EE2803"/>
    <w:rsid w:val="00EE29FE"/>
    <w:rsid w:val="00EE2BE9"/>
    <w:rsid w:val="00EE2CBF"/>
    <w:rsid w:val="00EE2DA3"/>
    <w:rsid w:val="00EE2EDD"/>
    <w:rsid w:val="00EE325D"/>
    <w:rsid w:val="00EE3330"/>
    <w:rsid w:val="00EE33F4"/>
    <w:rsid w:val="00EE352D"/>
    <w:rsid w:val="00EE35BE"/>
    <w:rsid w:val="00EE36A3"/>
    <w:rsid w:val="00EE36E2"/>
    <w:rsid w:val="00EE370C"/>
    <w:rsid w:val="00EE3BC6"/>
    <w:rsid w:val="00EE3C2A"/>
    <w:rsid w:val="00EE3C2C"/>
    <w:rsid w:val="00EE3EEB"/>
    <w:rsid w:val="00EE3F0A"/>
    <w:rsid w:val="00EE3FC2"/>
    <w:rsid w:val="00EE4261"/>
    <w:rsid w:val="00EE4262"/>
    <w:rsid w:val="00EE4378"/>
    <w:rsid w:val="00EE4673"/>
    <w:rsid w:val="00EE4729"/>
    <w:rsid w:val="00EE4BA6"/>
    <w:rsid w:val="00EE4C5E"/>
    <w:rsid w:val="00EE4C7D"/>
    <w:rsid w:val="00EE4DAD"/>
    <w:rsid w:val="00EE4F4F"/>
    <w:rsid w:val="00EE5160"/>
    <w:rsid w:val="00EE53D5"/>
    <w:rsid w:val="00EE54DF"/>
    <w:rsid w:val="00EE5578"/>
    <w:rsid w:val="00EE55B2"/>
    <w:rsid w:val="00EE581A"/>
    <w:rsid w:val="00EE5A22"/>
    <w:rsid w:val="00EE5A38"/>
    <w:rsid w:val="00EE5BD6"/>
    <w:rsid w:val="00EE5C87"/>
    <w:rsid w:val="00EE5C92"/>
    <w:rsid w:val="00EE5CE5"/>
    <w:rsid w:val="00EE5DE1"/>
    <w:rsid w:val="00EE5EDD"/>
    <w:rsid w:val="00EE5EF0"/>
    <w:rsid w:val="00EE5EF6"/>
    <w:rsid w:val="00EE5F95"/>
    <w:rsid w:val="00EE6162"/>
    <w:rsid w:val="00EE62D0"/>
    <w:rsid w:val="00EE6302"/>
    <w:rsid w:val="00EE65BA"/>
    <w:rsid w:val="00EE67A8"/>
    <w:rsid w:val="00EE67DA"/>
    <w:rsid w:val="00EE6805"/>
    <w:rsid w:val="00EE6813"/>
    <w:rsid w:val="00EE68CB"/>
    <w:rsid w:val="00EE690F"/>
    <w:rsid w:val="00EE6B7F"/>
    <w:rsid w:val="00EE6E85"/>
    <w:rsid w:val="00EE6EAF"/>
    <w:rsid w:val="00EE6FA1"/>
    <w:rsid w:val="00EE7096"/>
    <w:rsid w:val="00EE70B9"/>
    <w:rsid w:val="00EE7113"/>
    <w:rsid w:val="00EE7206"/>
    <w:rsid w:val="00EE7611"/>
    <w:rsid w:val="00EE770F"/>
    <w:rsid w:val="00EE78F2"/>
    <w:rsid w:val="00EE79F2"/>
    <w:rsid w:val="00EE7C9C"/>
    <w:rsid w:val="00EF0094"/>
    <w:rsid w:val="00EF00A0"/>
    <w:rsid w:val="00EF0563"/>
    <w:rsid w:val="00EF059A"/>
    <w:rsid w:val="00EF05BD"/>
    <w:rsid w:val="00EF0624"/>
    <w:rsid w:val="00EF08FE"/>
    <w:rsid w:val="00EF091A"/>
    <w:rsid w:val="00EF0971"/>
    <w:rsid w:val="00EF0A40"/>
    <w:rsid w:val="00EF0AA0"/>
    <w:rsid w:val="00EF0B94"/>
    <w:rsid w:val="00EF0CC5"/>
    <w:rsid w:val="00EF0E66"/>
    <w:rsid w:val="00EF1106"/>
    <w:rsid w:val="00EF123C"/>
    <w:rsid w:val="00EF12DB"/>
    <w:rsid w:val="00EF13D7"/>
    <w:rsid w:val="00EF14DF"/>
    <w:rsid w:val="00EF15A2"/>
    <w:rsid w:val="00EF165F"/>
    <w:rsid w:val="00EF1766"/>
    <w:rsid w:val="00EF1A8A"/>
    <w:rsid w:val="00EF1BB3"/>
    <w:rsid w:val="00EF202A"/>
    <w:rsid w:val="00EF2056"/>
    <w:rsid w:val="00EF2153"/>
    <w:rsid w:val="00EF246F"/>
    <w:rsid w:val="00EF2742"/>
    <w:rsid w:val="00EF2775"/>
    <w:rsid w:val="00EF2A76"/>
    <w:rsid w:val="00EF2D70"/>
    <w:rsid w:val="00EF2DAF"/>
    <w:rsid w:val="00EF2F44"/>
    <w:rsid w:val="00EF30B2"/>
    <w:rsid w:val="00EF343D"/>
    <w:rsid w:val="00EF34AE"/>
    <w:rsid w:val="00EF34C1"/>
    <w:rsid w:val="00EF36A4"/>
    <w:rsid w:val="00EF38E5"/>
    <w:rsid w:val="00EF3CC1"/>
    <w:rsid w:val="00EF4176"/>
    <w:rsid w:val="00EF4216"/>
    <w:rsid w:val="00EF42A2"/>
    <w:rsid w:val="00EF4312"/>
    <w:rsid w:val="00EF43AC"/>
    <w:rsid w:val="00EF457D"/>
    <w:rsid w:val="00EF4623"/>
    <w:rsid w:val="00EF47FD"/>
    <w:rsid w:val="00EF48E4"/>
    <w:rsid w:val="00EF48EF"/>
    <w:rsid w:val="00EF4A31"/>
    <w:rsid w:val="00EF4C9D"/>
    <w:rsid w:val="00EF4D36"/>
    <w:rsid w:val="00EF4FA4"/>
    <w:rsid w:val="00EF4FB5"/>
    <w:rsid w:val="00EF5398"/>
    <w:rsid w:val="00EF53F0"/>
    <w:rsid w:val="00EF56CE"/>
    <w:rsid w:val="00EF5749"/>
    <w:rsid w:val="00EF5848"/>
    <w:rsid w:val="00EF5A29"/>
    <w:rsid w:val="00EF5CC9"/>
    <w:rsid w:val="00EF5E5A"/>
    <w:rsid w:val="00EF602B"/>
    <w:rsid w:val="00EF60B4"/>
    <w:rsid w:val="00EF617B"/>
    <w:rsid w:val="00EF6356"/>
    <w:rsid w:val="00EF64BD"/>
    <w:rsid w:val="00EF678D"/>
    <w:rsid w:val="00EF6965"/>
    <w:rsid w:val="00EF69A0"/>
    <w:rsid w:val="00EF6B0E"/>
    <w:rsid w:val="00EF6B4A"/>
    <w:rsid w:val="00EF6B86"/>
    <w:rsid w:val="00EF6BDA"/>
    <w:rsid w:val="00EF6BDC"/>
    <w:rsid w:val="00EF6D38"/>
    <w:rsid w:val="00EF6FD3"/>
    <w:rsid w:val="00EF7016"/>
    <w:rsid w:val="00EF70D8"/>
    <w:rsid w:val="00EF7297"/>
    <w:rsid w:val="00EF72E7"/>
    <w:rsid w:val="00EF7378"/>
    <w:rsid w:val="00EF7472"/>
    <w:rsid w:val="00EF7527"/>
    <w:rsid w:val="00EF76F3"/>
    <w:rsid w:val="00EF7725"/>
    <w:rsid w:val="00EF7772"/>
    <w:rsid w:val="00EF782E"/>
    <w:rsid w:val="00EF78C3"/>
    <w:rsid w:val="00EF7961"/>
    <w:rsid w:val="00EF79BD"/>
    <w:rsid w:val="00EF7C02"/>
    <w:rsid w:val="00EF7C70"/>
    <w:rsid w:val="00EF7E85"/>
    <w:rsid w:val="00EF7F27"/>
    <w:rsid w:val="00EF7FDE"/>
    <w:rsid w:val="00F000CE"/>
    <w:rsid w:val="00F000E4"/>
    <w:rsid w:val="00F000ED"/>
    <w:rsid w:val="00F0045F"/>
    <w:rsid w:val="00F007D4"/>
    <w:rsid w:val="00F00916"/>
    <w:rsid w:val="00F00B69"/>
    <w:rsid w:val="00F00C2F"/>
    <w:rsid w:val="00F00C58"/>
    <w:rsid w:val="00F00E0D"/>
    <w:rsid w:val="00F00E10"/>
    <w:rsid w:val="00F01573"/>
    <w:rsid w:val="00F015F9"/>
    <w:rsid w:val="00F01673"/>
    <w:rsid w:val="00F01863"/>
    <w:rsid w:val="00F01AEE"/>
    <w:rsid w:val="00F01B05"/>
    <w:rsid w:val="00F01BBB"/>
    <w:rsid w:val="00F01BC8"/>
    <w:rsid w:val="00F01C8D"/>
    <w:rsid w:val="00F01ECF"/>
    <w:rsid w:val="00F021AB"/>
    <w:rsid w:val="00F021FF"/>
    <w:rsid w:val="00F02217"/>
    <w:rsid w:val="00F02266"/>
    <w:rsid w:val="00F0227A"/>
    <w:rsid w:val="00F02282"/>
    <w:rsid w:val="00F023C3"/>
    <w:rsid w:val="00F02868"/>
    <w:rsid w:val="00F02A1D"/>
    <w:rsid w:val="00F02A3A"/>
    <w:rsid w:val="00F02AB4"/>
    <w:rsid w:val="00F02B2E"/>
    <w:rsid w:val="00F02CB6"/>
    <w:rsid w:val="00F02CB7"/>
    <w:rsid w:val="00F02E90"/>
    <w:rsid w:val="00F02EEC"/>
    <w:rsid w:val="00F03053"/>
    <w:rsid w:val="00F032E7"/>
    <w:rsid w:val="00F035EC"/>
    <w:rsid w:val="00F038E9"/>
    <w:rsid w:val="00F038ED"/>
    <w:rsid w:val="00F039BC"/>
    <w:rsid w:val="00F03A25"/>
    <w:rsid w:val="00F03A3B"/>
    <w:rsid w:val="00F03A63"/>
    <w:rsid w:val="00F03ABA"/>
    <w:rsid w:val="00F03F11"/>
    <w:rsid w:val="00F03FAF"/>
    <w:rsid w:val="00F03FCD"/>
    <w:rsid w:val="00F041ED"/>
    <w:rsid w:val="00F04498"/>
    <w:rsid w:val="00F04622"/>
    <w:rsid w:val="00F046F5"/>
    <w:rsid w:val="00F047DB"/>
    <w:rsid w:val="00F0487B"/>
    <w:rsid w:val="00F0491B"/>
    <w:rsid w:val="00F049D1"/>
    <w:rsid w:val="00F0506A"/>
    <w:rsid w:val="00F0515F"/>
    <w:rsid w:val="00F05398"/>
    <w:rsid w:val="00F053A0"/>
    <w:rsid w:val="00F05472"/>
    <w:rsid w:val="00F05485"/>
    <w:rsid w:val="00F05524"/>
    <w:rsid w:val="00F05644"/>
    <w:rsid w:val="00F05717"/>
    <w:rsid w:val="00F05A56"/>
    <w:rsid w:val="00F05AD4"/>
    <w:rsid w:val="00F05E88"/>
    <w:rsid w:val="00F06278"/>
    <w:rsid w:val="00F063C9"/>
    <w:rsid w:val="00F0665C"/>
    <w:rsid w:val="00F06939"/>
    <w:rsid w:val="00F06A26"/>
    <w:rsid w:val="00F06BC1"/>
    <w:rsid w:val="00F06D1A"/>
    <w:rsid w:val="00F06DC2"/>
    <w:rsid w:val="00F06E0C"/>
    <w:rsid w:val="00F06E9C"/>
    <w:rsid w:val="00F06F26"/>
    <w:rsid w:val="00F07054"/>
    <w:rsid w:val="00F07161"/>
    <w:rsid w:val="00F07252"/>
    <w:rsid w:val="00F07507"/>
    <w:rsid w:val="00F075B1"/>
    <w:rsid w:val="00F077B9"/>
    <w:rsid w:val="00F078D6"/>
    <w:rsid w:val="00F07978"/>
    <w:rsid w:val="00F079E9"/>
    <w:rsid w:val="00F07CAA"/>
    <w:rsid w:val="00F07CE6"/>
    <w:rsid w:val="00F07EB5"/>
    <w:rsid w:val="00F10191"/>
    <w:rsid w:val="00F101F4"/>
    <w:rsid w:val="00F1023B"/>
    <w:rsid w:val="00F102C1"/>
    <w:rsid w:val="00F102F1"/>
    <w:rsid w:val="00F10481"/>
    <w:rsid w:val="00F10566"/>
    <w:rsid w:val="00F1074B"/>
    <w:rsid w:val="00F107E7"/>
    <w:rsid w:val="00F108CF"/>
    <w:rsid w:val="00F109E2"/>
    <w:rsid w:val="00F10A69"/>
    <w:rsid w:val="00F10AA7"/>
    <w:rsid w:val="00F10AF7"/>
    <w:rsid w:val="00F1105D"/>
    <w:rsid w:val="00F111D6"/>
    <w:rsid w:val="00F112FC"/>
    <w:rsid w:val="00F11343"/>
    <w:rsid w:val="00F1134F"/>
    <w:rsid w:val="00F11686"/>
    <w:rsid w:val="00F1168C"/>
    <w:rsid w:val="00F11704"/>
    <w:rsid w:val="00F11705"/>
    <w:rsid w:val="00F117C9"/>
    <w:rsid w:val="00F118DB"/>
    <w:rsid w:val="00F11C12"/>
    <w:rsid w:val="00F11FB4"/>
    <w:rsid w:val="00F1202F"/>
    <w:rsid w:val="00F120B9"/>
    <w:rsid w:val="00F121C3"/>
    <w:rsid w:val="00F123DF"/>
    <w:rsid w:val="00F1297A"/>
    <w:rsid w:val="00F12AD2"/>
    <w:rsid w:val="00F12B63"/>
    <w:rsid w:val="00F12C30"/>
    <w:rsid w:val="00F12C6B"/>
    <w:rsid w:val="00F12CD4"/>
    <w:rsid w:val="00F12E13"/>
    <w:rsid w:val="00F12F25"/>
    <w:rsid w:val="00F13009"/>
    <w:rsid w:val="00F13319"/>
    <w:rsid w:val="00F1337E"/>
    <w:rsid w:val="00F13638"/>
    <w:rsid w:val="00F1398E"/>
    <w:rsid w:val="00F13FB5"/>
    <w:rsid w:val="00F1411E"/>
    <w:rsid w:val="00F141DA"/>
    <w:rsid w:val="00F14200"/>
    <w:rsid w:val="00F143B7"/>
    <w:rsid w:val="00F143F6"/>
    <w:rsid w:val="00F14419"/>
    <w:rsid w:val="00F147D9"/>
    <w:rsid w:val="00F1486F"/>
    <w:rsid w:val="00F149FD"/>
    <w:rsid w:val="00F14A91"/>
    <w:rsid w:val="00F14BDE"/>
    <w:rsid w:val="00F14E99"/>
    <w:rsid w:val="00F1500C"/>
    <w:rsid w:val="00F15026"/>
    <w:rsid w:val="00F150C6"/>
    <w:rsid w:val="00F15228"/>
    <w:rsid w:val="00F152EE"/>
    <w:rsid w:val="00F154F7"/>
    <w:rsid w:val="00F1555E"/>
    <w:rsid w:val="00F155FE"/>
    <w:rsid w:val="00F1570C"/>
    <w:rsid w:val="00F15972"/>
    <w:rsid w:val="00F15D83"/>
    <w:rsid w:val="00F15EFB"/>
    <w:rsid w:val="00F16027"/>
    <w:rsid w:val="00F16219"/>
    <w:rsid w:val="00F16253"/>
    <w:rsid w:val="00F1635D"/>
    <w:rsid w:val="00F16451"/>
    <w:rsid w:val="00F1655B"/>
    <w:rsid w:val="00F165BE"/>
    <w:rsid w:val="00F1677A"/>
    <w:rsid w:val="00F167AB"/>
    <w:rsid w:val="00F168D5"/>
    <w:rsid w:val="00F1690A"/>
    <w:rsid w:val="00F16945"/>
    <w:rsid w:val="00F16AF3"/>
    <w:rsid w:val="00F16B31"/>
    <w:rsid w:val="00F16EC3"/>
    <w:rsid w:val="00F16EC4"/>
    <w:rsid w:val="00F16EF3"/>
    <w:rsid w:val="00F16FCD"/>
    <w:rsid w:val="00F17001"/>
    <w:rsid w:val="00F1704C"/>
    <w:rsid w:val="00F17273"/>
    <w:rsid w:val="00F17309"/>
    <w:rsid w:val="00F1731E"/>
    <w:rsid w:val="00F17509"/>
    <w:rsid w:val="00F177CF"/>
    <w:rsid w:val="00F17932"/>
    <w:rsid w:val="00F179A5"/>
    <w:rsid w:val="00F17A0A"/>
    <w:rsid w:val="00F17EAC"/>
    <w:rsid w:val="00F17F67"/>
    <w:rsid w:val="00F20004"/>
    <w:rsid w:val="00F2009D"/>
    <w:rsid w:val="00F200E4"/>
    <w:rsid w:val="00F200ED"/>
    <w:rsid w:val="00F201D6"/>
    <w:rsid w:val="00F201FC"/>
    <w:rsid w:val="00F20337"/>
    <w:rsid w:val="00F2050E"/>
    <w:rsid w:val="00F20CF3"/>
    <w:rsid w:val="00F20D2A"/>
    <w:rsid w:val="00F21299"/>
    <w:rsid w:val="00F212C5"/>
    <w:rsid w:val="00F212EE"/>
    <w:rsid w:val="00F2144B"/>
    <w:rsid w:val="00F21533"/>
    <w:rsid w:val="00F2153C"/>
    <w:rsid w:val="00F2177A"/>
    <w:rsid w:val="00F218CD"/>
    <w:rsid w:val="00F21904"/>
    <w:rsid w:val="00F21DC6"/>
    <w:rsid w:val="00F2200B"/>
    <w:rsid w:val="00F222B6"/>
    <w:rsid w:val="00F225EE"/>
    <w:rsid w:val="00F22803"/>
    <w:rsid w:val="00F228A1"/>
    <w:rsid w:val="00F22A77"/>
    <w:rsid w:val="00F22CEF"/>
    <w:rsid w:val="00F2326B"/>
    <w:rsid w:val="00F233F3"/>
    <w:rsid w:val="00F23786"/>
    <w:rsid w:val="00F23B59"/>
    <w:rsid w:val="00F23B89"/>
    <w:rsid w:val="00F23DEA"/>
    <w:rsid w:val="00F23F98"/>
    <w:rsid w:val="00F23FF6"/>
    <w:rsid w:val="00F241F1"/>
    <w:rsid w:val="00F242FF"/>
    <w:rsid w:val="00F2433F"/>
    <w:rsid w:val="00F243F1"/>
    <w:rsid w:val="00F24423"/>
    <w:rsid w:val="00F24627"/>
    <w:rsid w:val="00F24996"/>
    <w:rsid w:val="00F24BDE"/>
    <w:rsid w:val="00F24CA1"/>
    <w:rsid w:val="00F24D6D"/>
    <w:rsid w:val="00F24F35"/>
    <w:rsid w:val="00F250D2"/>
    <w:rsid w:val="00F25275"/>
    <w:rsid w:val="00F2529A"/>
    <w:rsid w:val="00F252F6"/>
    <w:rsid w:val="00F253A9"/>
    <w:rsid w:val="00F254F1"/>
    <w:rsid w:val="00F2554F"/>
    <w:rsid w:val="00F2557B"/>
    <w:rsid w:val="00F256B4"/>
    <w:rsid w:val="00F2570D"/>
    <w:rsid w:val="00F2576C"/>
    <w:rsid w:val="00F25822"/>
    <w:rsid w:val="00F25970"/>
    <w:rsid w:val="00F25993"/>
    <w:rsid w:val="00F25A14"/>
    <w:rsid w:val="00F25BEC"/>
    <w:rsid w:val="00F25D02"/>
    <w:rsid w:val="00F25D4B"/>
    <w:rsid w:val="00F25F20"/>
    <w:rsid w:val="00F25F32"/>
    <w:rsid w:val="00F2605A"/>
    <w:rsid w:val="00F261F1"/>
    <w:rsid w:val="00F263EC"/>
    <w:rsid w:val="00F2651E"/>
    <w:rsid w:val="00F266E9"/>
    <w:rsid w:val="00F2692A"/>
    <w:rsid w:val="00F26952"/>
    <w:rsid w:val="00F269A8"/>
    <w:rsid w:val="00F269EE"/>
    <w:rsid w:val="00F26AA4"/>
    <w:rsid w:val="00F26DF2"/>
    <w:rsid w:val="00F26DF9"/>
    <w:rsid w:val="00F26E8F"/>
    <w:rsid w:val="00F26EC9"/>
    <w:rsid w:val="00F26FAB"/>
    <w:rsid w:val="00F27190"/>
    <w:rsid w:val="00F2726B"/>
    <w:rsid w:val="00F27446"/>
    <w:rsid w:val="00F2746F"/>
    <w:rsid w:val="00F27754"/>
    <w:rsid w:val="00F27B6E"/>
    <w:rsid w:val="00F27BF3"/>
    <w:rsid w:val="00F27C94"/>
    <w:rsid w:val="00F27F15"/>
    <w:rsid w:val="00F3017E"/>
    <w:rsid w:val="00F30408"/>
    <w:rsid w:val="00F30559"/>
    <w:rsid w:val="00F306E7"/>
    <w:rsid w:val="00F308F5"/>
    <w:rsid w:val="00F309DC"/>
    <w:rsid w:val="00F30A1D"/>
    <w:rsid w:val="00F30A81"/>
    <w:rsid w:val="00F30B7F"/>
    <w:rsid w:val="00F30C37"/>
    <w:rsid w:val="00F30D47"/>
    <w:rsid w:val="00F31038"/>
    <w:rsid w:val="00F3117E"/>
    <w:rsid w:val="00F311EA"/>
    <w:rsid w:val="00F31592"/>
    <w:rsid w:val="00F31BE0"/>
    <w:rsid w:val="00F31CC9"/>
    <w:rsid w:val="00F31E06"/>
    <w:rsid w:val="00F320EB"/>
    <w:rsid w:val="00F321A0"/>
    <w:rsid w:val="00F321CB"/>
    <w:rsid w:val="00F3223C"/>
    <w:rsid w:val="00F32318"/>
    <w:rsid w:val="00F32340"/>
    <w:rsid w:val="00F3240F"/>
    <w:rsid w:val="00F326F5"/>
    <w:rsid w:val="00F328D6"/>
    <w:rsid w:val="00F32A0C"/>
    <w:rsid w:val="00F32A4E"/>
    <w:rsid w:val="00F32ABB"/>
    <w:rsid w:val="00F32B56"/>
    <w:rsid w:val="00F32C9D"/>
    <w:rsid w:val="00F32DF7"/>
    <w:rsid w:val="00F32E05"/>
    <w:rsid w:val="00F32F4C"/>
    <w:rsid w:val="00F3320D"/>
    <w:rsid w:val="00F33461"/>
    <w:rsid w:val="00F33891"/>
    <w:rsid w:val="00F338D8"/>
    <w:rsid w:val="00F33A00"/>
    <w:rsid w:val="00F33A32"/>
    <w:rsid w:val="00F33AF2"/>
    <w:rsid w:val="00F33C97"/>
    <w:rsid w:val="00F34089"/>
    <w:rsid w:val="00F34460"/>
    <w:rsid w:val="00F34671"/>
    <w:rsid w:val="00F34809"/>
    <w:rsid w:val="00F34A09"/>
    <w:rsid w:val="00F34B6A"/>
    <w:rsid w:val="00F34B90"/>
    <w:rsid w:val="00F3519C"/>
    <w:rsid w:val="00F352F2"/>
    <w:rsid w:val="00F35506"/>
    <w:rsid w:val="00F35764"/>
    <w:rsid w:val="00F35770"/>
    <w:rsid w:val="00F35AC2"/>
    <w:rsid w:val="00F35F9F"/>
    <w:rsid w:val="00F35FBE"/>
    <w:rsid w:val="00F3602D"/>
    <w:rsid w:val="00F36062"/>
    <w:rsid w:val="00F36079"/>
    <w:rsid w:val="00F3625D"/>
    <w:rsid w:val="00F363BC"/>
    <w:rsid w:val="00F36415"/>
    <w:rsid w:val="00F3643B"/>
    <w:rsid w:val="00F364F8"/>
    <w:rsid w:val="00F36504"/>
    <w:rsid w:val="00F365E7"/>
    <w:rsid w:val="00F36664"/>
    <w:rsid w:val="00F36683"/>
    <w:rsid w:val="00F3677D"/>
    <w:rsid w:val="00F368BC"/>
    <w:rsid w:val="00F36B5E"/>
    <w:rsid w:val="00F36BD5"/>
    <w:rsid w:val="00F36E5E"/>
    <w:rsid w:val="00F37012"/>
    <w:rsid w:val="00F3711F"/>
    <w:rsid w:val="00F371A6"/>
    <w:rsid w:val="00F371FA"/>
    <w:rsid w:val="00F371FE"/>
    <w:rsid w:val="00F3769A"/>
    <w:rsid w:val="00F37901"/>
    <w:rsid w:val="00F37A25"/>
    <w:rsid w:val="00F37BD5"/>
    <w:rsid w:val="00F37BEF"/>
    <w:rsid w:val="00F37C66"/>
    <w:rsid w:val="00F37D96"/>
    <w:rsid w:val="00F37EF8"/>
    <w:rsid w:val="00F37FB7"/>
    <w:rsid w:val="00F40279"/>
    <w:rsid w:val="00F4040D"/>
    <w:rsid w:val="00F40717"/>
    <w:rsid w:val="00F407C7"/>
    <w:rsid w:val="00F40837"/>
    <w:rsid w:val="00F40865"/>
    <w:rsid w:val="00F40AEB"/>
    <w:rsid w:val="00F40E74"/>
    <w:rsid w:val="00F40F13"/>
    <w:rsid w:val="00F410C5"/>
    <w:rsid w:val="00F4115A"/>
    <w:rsid w:val="00F411EF"/>
    <w:rsid w:val="00F413E6"/>
    <w:rsid w:val="00F4146C"/>
    <w:rsid w:val="00F414B4"/>
    <w:rsid w:val="00F414E3"/>
    <w:rsid w:val="00F415EA"/>
    <w:rsid w:val="00F41602"/>
    <w:rsid w:val="00F41757"/>
    <w:rsid w:val="00F41810"/>
    <w:rsid w:val="00F41BA8"/>
    <w:rsid w:val="00F41CC5"/>
    <w:rsid w:val="00F42021"/>
    <w:rsid w:val="00F42198"/>
    <w:rsid w:val="00F426D2"/>
    <w:rsid w:val="00F428DE"/>
    <w:rsid w:val="00F42A27"/>
    <w:rsid w:val="00F42B3B"/>
    <w:rsid w:val="00F42BE7"/>
    <w:rsid w:val="00F42CFD"/>
    <w:rsid w:val="00F42EE4"/>
    <w:rsid w:val="00F42F04"/>
    <w:rsid w:val="00F43015"/>
    <w:rsid w:val="00F431E0"/>
    <w:rsid w:val="00F433BD"/>
    <w:rsid w:val="00F433D6"/>
    <w:rsid w:val="00F43837"/>
    <w:rsid w:val="00F4394F"/>
    <w:rsid w:val="00F43BE4"/>
    <w:rsid w:val="00F43EC0"/>
    <w:rsid w:val="00F43F20"/>
    <w:rsid w:val="00F43FBB"/>
    <w:rsid w:val="00F43FE7"/>
    <w:rsid w:val="00F440E8"/>
    <w:rsid w:val="00F441ED"/>
    <w:rsid w:val="00F44472"/>
    <w:rsid w:val="00F4450E"/>
    <w:rsid w:val="00F44510"/>
    <w:rsid w:val="00F4461E"/>
    <w:rsid w:val="00F447E7"/>
    <w:rsid w:val="00F44807"/>
    <w:rsid w:val="00F4488D"/>
    <w:rsid w:val="00F448CB"/>
    <w:rsid w:val="00F449D1"/>
    <w:rsid w:val="00F44D63"/>
    <w:rsid w:val="00F44E71"/>
    <w:rsid w:val="00F44F24"/>
    <w:rsid w:val="00F44FD6"/>
    <w:rsid w:val="00F450E4"/>
    <w:rsid w:val="00F45296"/>
    <w:rsid w:val="00F452D4"/>
    <w:rsid w:val="00F45435"/>
    <w:rsid w:val="00F45447"/>
    <w:rsid w:val="00F455C1"/>
    <w:rsid w:val="00F455F4"/>
    <w:rsid w:val="00F458C8"/>
    <w:rsid w:val="00F45A2F"/>
    <w:rsid w:val="00F45ACB"/>
    <w:rsid w:val="00F45C24"/>
    <w:rsid w:val="00F45E4A"/>
    <w:rsid w:val="00F460CA"/>
    <w:rsid w:val="00F4612A"/>
    <w:rsid w:val="00F46350"/>
    <w:rsid w:val="00F4648B"/>
    <w:rsid w:val="00F4665C"/>
    <w:rsid w:val="00F46697"/>
    <w:rsid w:val="00F466C3"/>
    <w:rsid w:val="00F46A25"/>
    <w:rsid w:val="00F46A73"/>
    <w:rsid w:val="00F46ABE"/>
    <w:rsid w:val="00F46B3B"/>
    <w:rsid w:val="00F46BB6"/>
    <w:rsid w:val="00F46CA8"/>
    <w:rsid w:val="00F46DF5"/>
    <w:rsid w:val="00F46FBD"/>
    <w:rsid w:val="00F46FFA"/>
    <w:rsid w:val="00F47079"/>
    <w:rsid w:val="00F474AD"/>
    <w:rsid w:val="00F474EB"/>
    <w:rsid w:val="00F47547"/>
    <w:rsid w:val="00F475A4"/>
    <w:rsid w:val="00F475C0"/>
    <w:rsid w:val="00F475F1"/>
    <w:rsid w:val="00F476ED"/>
    <w:rsid w:val="00F476F0"/>
    <w:rsid w:val="00F47A23"/>
    <w:rsid w:val="00F47E1D"/>
    <w:rsid w:val="00F47FDC"/>
    <w:rsid w:val="00F50336"/>
    <w:rsid w:val="00F505A3"/>
    <w:rsid w:val="00F506DE"/>
    <w:rsid w:val="00F50982"/>
    <w:rsid w:val="00F50AD5"/>
    <w:rsid w:val="00F50B8A"/>
    <w:rsid w:val="00F50BF3"/>
    <w:rsid w:val="00F50C01"/>
    <w:rsid w:val="00F50DD7"/>
    <w:rsid w:val="00F50E95"/>
    <w:rsid w:val="00F510C5"/>
    <w:rsid w:val="00F514CA"/>
    <w:rsid w:val="00F5179E"/>
    <w:rsid w:val="00F517D6"/>
    <w:rsid w:val="00F518B8"/>
    <w:rsid w:val="00F51C20"/>
    <w:rsid w:val="00F51DF6"/>
    <w:rsid w:val="00F51F8B"/>
    <w:rsid w:val="00F51FA7"/>
    <w:rsid w:val="00F52160"/>
    <w:rsid w:val="00F521B7"/>
    <w:rsid w:val="00F5224D"/>
    <w:rsid w:val="00F52311"/>
    <w:rsid w:val="00F525A1"/>
    <w:rsid w:val="00F5284C"/>
    <w:rsid w:val="00F52A3B"/>
    <w:rsid w:val="00F52A63"/>
    <w:rsid w:val="00F52A70"/>
    <w:rsid w:val="00F52A72"/>
    <w:rsid w:val="00F52B51"/>
    <w:rsid w:val="00F52BE2"/>
    <w:rsid w:val="00F52C57"/>
    <w:rsid w:val="00F52D73"/>
    <w:rsid w:val="00F52D76"/>
    <w:rsid w:val="00F52E58"/>
    <w:rsid w:val="00F5304D"/>
    <w:rsid w:val="00F532EE"/>
    <w:rsid w:val="00F536BB"/>
    <w:rsid w:val="00F53705"/>
    <w:rsid w:val="00F53788"/>
    <w:rsid w:val="00F537A3"/>
    <w:rsid w:val="00F537AB"/>
    <w:rsid w:val="00F538CC"/>
    <w:rsid w:val="00F53A29"/>
    <w:rsid w:val="00F53B7B"/>
    <w:rsid w:val="00F53D36"/>
    <w:rsid w:val="00F53DD7"/>
    <w:rsid w:val="00F53F54"/>
    <w:rsid w:val="00F541C5"/>
    <w:rsid w:val="00F543D0"/>
    <w:rsid w:val="00F548D8"/>
    <w:rsid w:val="00F54BAE"/>
    <w:rsid w:val="00F54D3C"/>
    <w:rsid w:val="00F54E4A"/>
    <w:rsid w:val="00F54E76"/>
    <w:rsid w:val="00F550E8"/>
    <w:rsid w:val="00F55231"/>
    <w:rsid w:val="00F5538A"/>
    <w:rsid w:val="00F555CA"/>
    <w:rsid w:val="00F556EC"/>
    <w:rsid w:val="00F55778"/>
    <w:rsid w:val="00F55800"/>
    <w:rsid w:val="00F55828"/>
    <w:rsid w:val="00F55957"/>
    <w:rsid w:val="00F55DC7"/>
    <w:rsid w:val="00F55E56"/>
    <w:rsid w:val="00F55EFB"/>
    <w:rsid w:val="00F5604D"/>
    <w:rsid w:val="00F560AE"/>
    <w:rsid w:val="00F560B5"/>
    <w:rsid w:val="00F56247"/>
    <w:rsid w:val="00F566EB"/>
    <w:rsid w:val="00F5670A"/>
    <w:rsid w:val="00F568FA"/>
    <w:rsid w:val="00F56C0E"/>
    <w:rsid w:val="00F56C12"/>
    <w:rsid w:val="00F56D17"/>
    <w:rsid w:val="00F56DE0"/>
    <w:rsid w:val="00F56E85"/>
    <w:rsid w:val="00F5727B"/>
    <w:rsid w:val="00F572BC"/>
    <w:rsid w:val="00F572F1"/>
    <w:rsid w:val="00F575C8"/>
    <w:rsid w:val="00F576BD"/>
    <w:rsid w:val="00F57827"/>
    <w:rsid w:val="00F57D54"/>
    <w:rsid w:val="00F57DA7"/>
    <w:rsid w:val="00F57E5C"/>
    <w:rsid w:val="00F57F75"/>
    <w:rsid w:val="00F60144"/>
    <w:rsid w:val="00F6018C"/>
    <w:rsid w:val="00F60286"/>
    <w:rsid w:val="00F605BE"/>
    <w:rsid w:val="00F608D8"/>
    <w:rsid w:val="00F60A7D"/>
    <w:rsid w:val="00F60A96"/>
    <w:rsid w:val="00F60B6B"/>
    <w:rsid w:val="00F60C6E"/>
    <w:rsid w:val="00F60EFD"/>
    <w:rsid w:val="00F60F89"/>
    <w:rsid w:val="00F6102C"/>
    <w:rsid w:val="00F6104D"/>
    <w:rsid w:val="00F610C6"/>
    <w:rsid w:val="00F61107"/>
    <w:rsid w:val="00F6127D"/>
    <w:rsid w:val="00F61648"/>
    <w:rsid w:val="00F61857"/>
    <w:rsid w:val="00F618D0"/>
    <w:rsid w:val="00F61984"/>
    <w:rsid w:val="00F619E5"/>
    <w:rsid w:val="00F61A87"/>
    <w:rsid w:val="00F61C26"/>
    <w:rsid w:val="00F61C99"/>
    <w:rsid w:val="00F61E7E"/>
    <w:rsid w:val="00F61F38"/>
    <w:rsid w:val="00F6202A"/>
    <w:rsid w:val="00F62176"/>
    <w:rsid w:val="00F6228C"/>
    <w:rsid w:val="00F62298"/>
    <w:rsid w:val="00F62771"/>
    <w:rsid w:val="00F62805"/>
    <w:rsid w:val="00F6291E"/>
    <w:rsid w:val="00F62967"/>
    <w:rsid w:val="00F62979"/>
    <w:rsid w:val="00F629A5"/>
    <w:rsid w:val="00F62ADE"/>
    <w:rsid w:val="00F62AEC"/>
    <w:rsid w:val="00F62B5E"/>
    <w:rsid w:val="00F630AE"/>
    <w:rsid w:val="00F6319D"/>
    <w:rsid w:val="00F63207"/>
    <w:rsid w:val="00F6325D"/>
    <w:rsid w:val="00F6335A"/>
    <w:rsid w:val="00F636A5"/>
    <w:rsid w:val="00F63885"/>
    <w:rsid w:val="00F6388A"/>
    <w:rsid w:val="00F63B3C"/>
    <w:rsid w:val="00F63BC0"/>
    <w:rsid w:val="00F63DA2"/>
    <w:rsid w:val="00F63F6B"/>
    <w:rsid w:val="00F64106"/>
    <w:rsid w:val="00F64323"/>
    <w:rsid w:val="00F64517"/>
    <w:rsid w:val="00F64644"/>
    <w:rsid w:val="00F64730"/>
    <w:rsid w:val="00F649F9"/>
    <w:rsid w:val="00F64C8D"/>
    <w:rsid w:val="00F64E63"/>
    <w:rsid w:val="00F64F3A"/>
    <w:rsid w:val="00F65014"/>
    <w:rsid w:val="00F65082"/>
    <w:rsid w:val="00F654EB"/>
    <w:rsid w:val="00F65546"/>
    <w:rsid w:val="00F65615"/>
    <w:rsid w:val="00F656E0"/>
    <w:rsid w:val="00F65724"/>
    <w:rsid w:val="00F65750"/>
    <w:rsid w:val="00F659AC"/>
    <w:rsid w:val="00F65B35"/>
    <w:rsid w:val="00F65B9E"/>
    <w:rsid w:val="00F65C2C"/>
    <w:rsid w:val="00F65CB9"/>
    <w:rsid w:val="00F65D2C"/>
    <w:rsid w:val="00F66949"/>
    <w:rsid w:val="00F669DB"/>
    <w:rsid w:val="00F66AEF"/>
    <w:rsid w:val="00F66B25"/>
    <w:rsid w:val="00F66B8C"/>
    <w:rsid w:val="00F66D53"/>
    <w:rsid w:val="00F6708E"/>
    <w:rsid w:val="00F670D8"/>
    <w:rsid w:val="00F673C6"/>
    <w:rsid w:val="00F676CD"/>
    <w:rsid w:val="00F67999"/>
    <w:rsid w:val="00F679FA"/>
    <w:rsid w:val="00F67A6A"/>
    <w:rsid w:val="00F67BA5"/>
    <w:rsid w:val="00F67C64"/>
    <w:rsid w:val="00F67D87"/>
    <w:rsid w:val="00F67DAF"/>
    <w:rsid w:val="00F67F42"/>
    <w:rsid w:val="00F67FA9"/>
    <w:rsid w:val="00F70055"/>
    <w:rsid w:val="00F7012D"/>
    <w:rsid w:val="00F70330"/>
    <w:rsid w:val="00F70488"/>
    <w:rsid w:val="00F704A0"/>
    <w:rsid w:val="00F705C8"/>
    <w:rsid w:val="00F707C8"/>
    <w:rsid w:val="00F7098E"/>
    <w:rsid w:val="00F70A77"/>
    <w:rsid w:val="00F70AD1"/>
    <w:rsid w:val="00F70ADF"/>
    <w:rsid w:val="00F70B62"/>
    <w:rsid w:val="00F70B6A"/>
    <w:rsid w:val="00F70BA2"/>
    <w:rsid w:val="00F70F98"/>
    <w:rsid w:val="00F71205"/>
    <w:rsid w:val="00F71458"/>
    <w:rsid w:val="00F71464"/>
    <w:rsid w:val="00F71724"/>
    <w:rsid w:val="00F71840"/>
    <w:rsid w:val="00F718C4"/>
    <w:rsid w:val="00F7191A"/>
    <w:rsid w:val="00F71CF2"/>
    <w:rsid w:val="00F71DF1"/>
    <w:rsid w:val="00F71E52"/>
    <w:rsid w:val="00F71FD3"/>
    <w:rsid w:val="00F720D4"/>
    <w:rsid w:val="00F72171"/>
    <w:rsid w:val="00F722FE"/>
    <w:rsid w:val="00F72466"/>
    <w:rsid w:val="00F724DB"/>
    <w:rsid w:val="00F725C3"/>
    <w:rsid w:val="00F72828"/>
    <w:rsid w:val="00F7284C"/>
    <w:rsid w:val="00F72A9D"/>
    <w:rsid w:val="00F72B19"/>
    <w:rsid w:val="00F72B67"/>
    <w:rsid w:val="00F72B70"/>
    <w:rsid w:val="00F72CB0"/>
    <w:rsid w:val="00F72F32"/>
    <w:rsid w:val="00F73022"/>
    <w:rsid w:val="00F731D5"/>
    <w:rsid w:val="00F733E1"/>
    <w:rsid w:val="00F73490"/>
    <w:rsid w:val="00F7352E"/>
    <w:rsid w:val="00F73540"/>
    <w:rsid w:val="00F7373B"/>
    <w:rsid w:val="00F7389D"/>
    <w:rsid w:val="00F739A2"/>
    <w:rsid w:val="00F73C6C"/>
    <w:rsid w:val="00F73E58"/>
    <w:rsid w:val="00F73E7E"/>
    <w:rsid w:val="00F73E95"/>
    <w:rsid w:val="00F73F7C"/>
    <w:rsid w:val="00F73FB1"/>
    <w:rsid w:val="00F7401D"/>
    <w:rsid w:val="00F7409B"/>
    <w:rsid w:val="00F74120"/>
    <w:rsid w:val="00F74332"/>
    <w:rsid w:val="00F743B2"/>
    <w:rsid w:val="00F74527"/>
    <w:rsid w:val="00F7452E"/>
    <w:rsid w:val="00F74543"/>
    <w:rsid w:val="00F74638"/>
    <w:rsid w:val="00F7479A"/>
    <w:rsid w:val="00F747F6"/>
    <w:rsid w:val="00F74924"/>
    <w:rsid w:val="00F74ADF"/>
    <w:rsid w:val="00F74BF6"/>
    <w:rsid w:val="00F74C79"/>
    <w:rsid w:val="00F74C8C"/>
    <w:rsid w:val="00F74E89"/>
    <w:rsid w:val="00F7513A"/>
    <w:rsid w:val="00F753B9"/>
    <w:rsid w:val="00F75780"/>
    <w:rsid w:val="00F75790"/>
    <w:rsid w:val="00F75799"/>
    <w:rsid w:val="00F75868"/>
    <w:rsid w:val="00F75BD6"/>
    <w:rsid w:val="00F75DD3"/>
    <w:rsid w:val="00F75E71"/>
    <w:rsid w:val="00F760BD"/>
    <w:rsid w:val="00F76228"/>
    <w:rsid w:val="00F76335"/>
    <w:rsid w:val="00F7640F"/>
    <w:rsid w:val="00F7670A"/>
    <w:rsid w:val="00F76726"/>
    <w:rsid w:val="00F767B2"/>
    <w:rsid w:val="00F76A4F"/>
    <w:rsid w:val="00F76D47"/>
    <w:rsid w:val="00F76FA3"/>
    <w:rsid w:val="00F77029"/>
    <w:rsid w:val="00F770F5"/>
    <w:rsid w:val="00F77111"/>
    <w:rsid w:val="00F771BE"/>
    <w:rsid w:val="00F77474"/>
    <w:rsid w:val="00F775AA"/>
    <w:rsid w:val="00F776E3"/>
    <w:rsid w:val="00F77742"/>
    <w:rsid w:val="00F77753"/>
    <w:rsid w:val="00F77AA4"/>
    <w:rsid w:val="00F77CCE"/>
    <w:rsid w:val="00F77EF5"/>
    <w:rsid w:val="00F77FD0"/>
    <w:rsid w:val="00F8006D"/>
    <w:rsid w:val="00F8022C"/>
    <w:rsid w:val="00F8035D"/>
    <w:rsid w:val="00F807B2"/>
    <w:rsid w:val="00F807DD"/>
    <w:rsid w:val="00F80848"/>
    <w:rsid w:val="00F808CE"/>
    <w:rsid w:val="00F80929"/>
    <w:rsid w:val="00F80B3A"/>
    <w:rsid w:val="00F80C18"/>
    <w:rsid w:val="00F80E16"/>
    <w:rsid w:val="00F814CF"/>
    <w:rsid w:val="00F8153D"/>
    <w:rsid w:val="00F81733"/>
    <w:rsid w:val="00F81764"/>
    <w:rsid w:val="00F81AE1"/>
    <w:rsid w:val="00F81B80"/>
    <w:rsid w:val="00F81BDE"/>
    <w:rsid w:val="00F81E5B"/>
    <w:rsid w:val="00F81E6D"/>
    <w:rsid w:val="00F81F76"/>
    <w:rsid w:val="00F81FE0"/>
    <w:rsid w:val="00F8243E"/>
    <w:rsid w:val="00F825A1"/>
    <w:rsid w:val="00F82621"/>
    <w:rsid w:val="00F826A1"/>
    <w:rsid w:val="00F826D6"/>
    <w:rsid w:val="00F828AF"/>
    <w:rsid w:val="00F82C58"/>
    <w:rsid w:val="00F82CBC"/>
    <w:rsid w:val="00F82D87"/>
    <w:rsid w:val="00F82E02"/>
    <w:rsid w:val="00F83157"/>
    <w:rsid w:val="00F831C0"/>
    <w:rsid w:val="00F8332C"/>
    <w:rsid w:val="00F83387"/>
    <w:rsid w:val="00F83391"/>
    <w:rsid w:val="00F83392"/>
    <w:rsid w:val="00F8349B"/>
    <w:rsid w:val="00F835F2"/>
    <w:rsid w:val="00F8368F"/>
    <w:rsid w:val="00F8379F"/>
    <w:rsid w:val="00F838E6"/>
    <w:rsid w:val="00F8394E"/>
    <w:rsid w:val="00F83A4E"/>
    <w:rsid w:val="00F83A8C"/>
    <w:rsid w:val="00F83DAA"/>
    <w:rsid w:val="00F83F1B"/>
    <w:rsid w:val="00F84159"/>
    <w:rsid w:val="00F8422A"/>
    <w:rsid w:val="00F842D7"/>
    <w:rsid w:val="00F8450D"/>
    <w:rsid w:val="00F84598"/>
    <w:rsid w:val="00F848DB"/>
    <w:rsid w:val="00F8491B"/>
    <w:rsid w:val="00F84962"/>
    <w:rsid w:val="00F84B95"/>
    <w:rsid w:val="00F84C75"/>
    <w:rsid w:val="00F84D76"/>
    <w:rsid w:val="00F84EC1"/>
    <w:rsid w:val="00F850E9"/>
    <w:rsid w:val="00F85611"/>
    <w:rsid w:val="00F856B5"/>
    <w:rsid w:val="00F85711"/>
    <w:rsid w:val="00F8572A"/>
    <w:rsid w:val="00F857F0"/>
    <w:rsid w:val="00F85821"/>
    <w:rsid w:val="00F85864"/>
    <w:rsid w:val="00F85CA8"/>
    <w:rsid w:val="00F85CFF"/>
    <w:rsid w:val="00F85D23"/>
    <w:rsid w:val="00F85D29"/>
    <w:rsid w:val="00F85D6B"/>
    <w:rsid w:val="00F86019"/>
    <w:rsid w:val="00F861BB"/>
    <w:rsid w:val="00F8623F"/>
    <w:rsid w:val="00F863F4"/>
    <w:rsid w:val="00F86639"/>
    <w:rsid w:val="00F86864"/>
    <w:rsid w:val="00F868C6"/>
    <w:rsid w:val="00F86984"/>
    <w:rsid w:val="00F869EE"/>
    <w:rsid w:val="00F86B59"/>
    <w:rsid w:val="00F86C88"/>
    <w:rsid w:val="00F86CFE"/>
    <w:rsid w:val="00F86D21"/>
    <w:rsid w:val="00F86E31"/>
    <w:rsid w:val="00F86EAF"/>
    <w:rsid w:val="00F86EF3"/>
    <w:rsid w:val="00F86F93"/>
    <w:rsid w:val="00F87366"/>
    <w:rsid w:val="00F87488"/>
    <w:rsid w:val="00F8765C"/>
    <w:rsid w:val="00F87AFB"/>
    <w:rsid w:val="00F87D37"/>
    <w:rsid w:val="00F90079"/>
    <w:rsid w:val="00F903C6"/>
    <w:rsid w:val="00F903F6"/>
    <w:rsid w:val="00F90466"/>
    <w:rsid w:val="00F9048D"/>
    <w:rsid w:val="00F9073F"/>
    <w:rsid w:val="00F90BE1"/>
    <w:rsid w:val="00F90C14"/>
    <w:rsid w:val="00F90D6E"/>
    <w:rsid w:val="00F90DE0"/>
    <w:rsid w:val="00F910F3"/>
    <w:rsid w:val="00F91246"/>
    <w:rsid w:val="00F9124A"/>
    <w:rsid w:val="00F913ED"/>
    <w:rsid w:val="00F9140D"/>
    <w:rsid w:val="00F9144C"/>
    <w:rsid w:val="00F914F7"/>
    <w:rsid w:val="00F91585"/>
    <w:rsid w:val="00F91666"/>
    <w:rsid w:val="00F91712"/>
    <w:rsid w:val="00F9172F"/>
    <w:rsid w:val="00F91827"/>
    <w:rsid w:val="00F919E8"/>
    <w:rsid w:val="00F91A7A"/>
    <w:rsid w:val="00F91AC1"/>
    <w:rsid w:val="00F91D1B"/>
    <w:rsid w:val="00F91EA4"/>
    <w:rsid w:val="00F9205B"/>
    <w:rsid w:val="00F92153"/>
    <w:rsid w:val="00F9216A"/>
    <w:rsid w:val="00F924CD"/>
    <w:rsid w:val="00F9268E"/>
    <w:rsid w:val="00F92690"/>
    <w:rsid w:val="00F92878"/>
    <w:rsid w:val="00F928C0"/>
    <w:rsid w:val="00F92908"/>
    <w:rsid w:val="00F92928"/>
    <w:rsid w:val="00F92B29"/>
    <w:rsid w:val="00F92BB7"/>
    <w:rsid w:val="00F92E56"/>
    <w:rsid w:val="00F9307C"/>
    <w:rsid w:val="00F930D7"/>
    <w:rsid w:val="00F93120"/>
    <w:rsid w:val="00F932AD"/>
    <w:rsid w:val="00F93457"/>
    <w:rsid w:val="00F934C6"/>
    <w:rsid w:val="00F9362F"/>
    <w:rsid w:val="00F93767"/>
    <w:rsid w:val="00F9392C"/>
    <w:rsid w:val="00F939A4"/>
    <w:rsid w:val="00F939A5"/>
    <w:rsid w:val="00F93AB0"/>
    <w:rsid w:val="00F93C5C"/>
    <w:rsid w:val="00F93E2E"/>
    <w:rsid w:val="00F93F05"/>
    <w:rsid w:val="00F940AD"/>
    <w:rsid w:val="00F941EF"/>
    <w:rsid w:val="00F94229"/>
    <w:rsid w:val="00F942D7"/>
    <w:rsid w:val="00F946C2"/>
    <w:rsid w:val="00F946FD"/>
    <w:rsid w:val="00F94785"/>
    <w:rsid w:val="00F94991"/>
    <w:rsid w:val="00F94BE4"/>
    <w:rsid w:val="00F94C9C"/>
    <w:rsid w:val="00F94D71"/>
    <w:rsid w:val="00F94EED"/>
    <w:rsid w:val="00F94F29"/>
    <w:rsid w:val="00F95054"/>
    <w:rsid w:val="00F95327"/>
    <w:rsid w:val="00F9534C"/>
    <w:rsid w:val="00F9545D"/>
    <w:rsid w:val="00F954D6"/>
    <w:rsid w:val="00F9556D"/>
    <w:rsid w:val="00F9562F"/>
    <w:rsid w:val="00F95770"/>
    <w:rsid w:val="00F95A92"/>
    <w:rsid w:val="00F95BBE"/>
    <w:rsid w:val="00F95C3E"/>
    <w:rsid w:val="00F95D19"/>
    <w:rsid w:val="00F95DED"/>
    <w:rsid w:val="00F95FA0"/>
    <w:rsid w:val="00F96730"/>
    <w:rsid w:val="00F96750"/>
    <w:rsid w:val="00F9688E"/>
    <w:rsid w:val="00F96908"/>
    <w:rsid w:val="00F96A38"/>
    <w:rsid w:val="00F96DA4"/>
    <w:rsid w:val="00F96F2E"/>
    <w:rsid w:val="00F96F89"/>
    <w:rsid w:val="00F9719C"/>
    <w:rsid w:val="00F971B3"/>
    <w:rsid w:val="00F971BB"/>
    <w:rsid w:val="00F97230"/>
    <w:rsid w:val="00F972E5"/>
    <w:rsid w:val="00F9764C"/>
    <w:rsid w:val="00F976FF"/>
    <w:rsid w:val="00F979F7"/>
    <w:rsid w:val="00F97AC8"/>
    <w:rsid w:val="00F97AF2"/>
    <w:rsid w:val="00F97CB0"/>
    <w:rsid w:val="00F97F46"/>
    <w:rsid w:val="00F97F68"/>
    <w:rsid w:val="00FA0230"/>
    <w:rsid w:val="00FA023F"/>
    <w:rsid w:val="00FA03E3"/>
    <w:rsid w:val="00FA04E7"/>
    <w:rsid w:val="00FA0522"/>
    <w:rsid w:val="00FA0AF8"/>
    <w:rsid w:val="00FA1018"/>
    <w:rsid w:val="00FA119C"/>
    <w:rsid w:val="00FA11D6"/>
    <w:rsid w:val="00FA1387"/>
    <w:rsid w:val="00FA13CB"/>
    <w:rsid w:val="00FA14D8"/>
    <w:rsid w:val="00FA1955"/>
    <w:rsid w:val="00FA1959"/>
    <w:rsid w:val="00FA1A80"/>
    <w:rsid w:val="00FA1B24"/>
    <w:rsid w:val="00FA1D0D"/>
    <w:rsid w:val="00FA1D6D"/>
    <w:rsid w:val="00FA1E64"/>
    <w:rsid w:val="00FA1EE9"/>
    <w:rsid w:val="00FA1EF7"/>
    <w:rsid w:val="00FA1F61"/>
    <w:rsid w:val="00FA2096"/>
    <w:rsid w:val="00FA2370"/>
    <w:rsid w:val="00FA23BA"/>
    <w:rsid w:val="00FA2452"/>
    <w:rsid w:val="00FA265B"/>
    <w:rsid w:val="00FA2996"/>
    <w:rsid w:val="00FA2B5A"/>
    <w:rsid w:val="00FA2BDE"/>
    <w:rsid w:val="00FA2C73"/>
    <w:rsid w:val="00FA2CC2"/>
    <w:rsid w:val="00FA2DB3"/>
    <w:rsid w:val="00FA2E79"/>
    <w:rsid w:val="00FA30F4"/>
    <w:rsid w:val="00FA325C"/>
    <w:rsid w:val="00FA32F8"/>
    <w:rsid w:val="00FA3319"/>
    <w:rsid w:val="00FA33FF"/>
    <w:rsid w:val="00FA368A"/>
    <w:rsid w:val="00FA369A"/>
    <w:rsid w:val="00FA3747"/>
    <w:rsid w:val="00FA3A0F"/>
    <w:rsid w:val="00FA3C47"/>
    <w:rsid w:val="00FA3CD3"/>
    <w:rsid w:val="00FA3D1A"/>
    <w:rsid w:val="00FA3F42"/>
    <w:rsid w:val="00FA417A"/>
    <w:rsid w:val="00FA42AE"/>
    <w:rsid w:val="00FA4407"/>
    <w:rsid w:val="00FA4486"/>
    <w:rsid w:val="00FA4758"/>
    <w:rsid w:val="00FA4AAD"/>
    <w:rsid w:val="00FA4C7D"/>
    <w:rsid w:val="00FA4EBA"/>
    <w:rsid w:val="00FA5090"/>
    <w:rsid w:val="00FA5139"/>
    <w:rsid w:val="00FA525E"/>
    <w:rsid w:val="00FA5553"/>
    <w:rsid w:val="00FA560C"/>
    <w:rsid w:val="00FA567E"/>
    <w:rsid w:val="00FA570B"/>
    <w:rsid w:val="00FA5B62"/>
    <w:rsid w:val="00FA5C92"/>
    <w:rsid w:val="00FA5EBB"/>
    <w:rsid w:val="00FA5EEB"/>
    <w:rsid w:val="00FA5F26"/>
    <w:rsid w:val="00FA61D7"/>
    <w:rsid w:val="00FA6311"/>
    <w:rsid w:val="00FA633E"/>
    <w:rsid w:val="00FA6551"/>
    <w:rsid w:val="00FA6656"/>
    <w:rsid w:val="00FA6698"/>
    <w:rsid w:val="00FA69DE"/>
    <w:rsid w:val="00FA6A0C"/>
    <w:rsid w:val="00FA6A16"/>
    <w:rsid w:val="00FA6C25"/>
    <w:rsid w:val="00FA6EB7"/>
    <w:rsid w:val="00FA746B"/>
    <w:rsid w:val="00FA748F"/>
    <w:rsid w:val="00FA750F"/>
    <w:rsid w:val="00FA78C7"/>
    <w:rsid w:val="00FA79BF"/>
    <w:rsid w:val="00FA7B02"/>
    <w:rsid w:val="00FA7CCE"/>
    <w:rsid w:val="00FB0051"/>
    <w:rsid w:val="00FB00B1"/>
    <w:rsid w:val="00FB038B"/>
    <w:rsid w:val="00FB049F"/>
    <w:rsid w:val="00FB0606"/>
    <w:rsid w:val="00FB062C"/>
    <w:rsid w:val="00FB0650"/>
    <w:rsid w:val="00FB06D7"/>
    <w:rsid w:val="00FB06EE"/>
    <w:rsid w:val="00FB0803"/>
    <w:rsid w:val="00FB08C5"/>
    <w:rsid w:val="00FB0913"/>
    <w:rsid w:val="00FB0A1E"/>
    <w:rsid w:val="00FB0C79"/>
    <w:rsid w:val="00FB0D3E"/>
    <w:rsid w:val="00FB0E48"/>
    <w:rsid w:val="00FB0E97"/>
    <w:rsid w:val="00FB0F15"/>
    <w:rsid w:val="00FB1082"/>
    <w:rsid w:val="00FB13D0"/>
    <w:rsid w:val="00FB14C1"/>
    <w:rsid w:val="00FB1580"/>
    <w:rsid w:val="00FB16FA"/>
    <w:rsid w:val="00FB171A"/>
    <w:rsid w:val="00FB1A21"/>
    <w:rsid w:val="00FB1A46"/>
    <w:rsid w:val="00FB1A96"/>
    <w:rsid w:val="00FB1B4B"/>
    <w:rsid w:val="00FB1D78"/>
    <w:rsid w:val="00FB1DE4"/>
    <w:rsid w:val="00FB1DF8"/>
    <w:rsid w:val="00FB20B2"/>
    <w:rsid w:val="00FB20D7"/>
    <w:rsid w:val="00FB2413"/>
    <w:rsid w:val="00FB24D8"/>
    <w:rsid w:val="00FB2A78"/>
    <w:rsid w:val="00FB2AD4"/>
    <w:rsid w:val="00FB2B5E"/>
    <w:rsid w:val="00FB2BF1"/>
    <w:rsid w:val="00FB2C38"/>
    <w:rsid w:val="00FB2F8A"/>
    <w:rsid w:val="00FB31B4"/>
    <w:rsid w:val="00FB3242"/>
    <w:rsid w:val="00FB36DC"/>
    <w:rsid w:val="00FB3729"/>
    <w:rsid w:val="00FB3924"/>
    <w:rsid w:val="00FB3960"/>
    <w:rsid w:val="00FB3B3E"/>
    <w:rsid w:val="00FB3BAF"/>
    <w:rsid w:val="00FB40AB"/>
    <w:rsid w:val="00FB417D"/>
    <w:rsid w:val="00FB4210"/>
    <w:rsid w:val="00FB4234"/>
    <w:rsid w:val="00FB43BE"/>
    <w:rsid w:val="00FB4800"/>
    <w:rsid w:val="00FB4883"/>
    <w:rsid w:val="00FB4906"/>
    <w:rsid w:val="00FB494D"/>
    <w:rsid w:val="00FB4B8A"/>
    <w:rsid w:val="00FB4C4C"/>
    <w:rsid w:val="00FB4F9C"/>
    <w:rsid w:val="00FB50C6"/>
    <w:rsid w:val="00FB53FA"/>
    <w:rsid w:val="00FB59D7"/>
    <w:rsid w:val="00FB5B6D"/>
    <w:rsid w:val="00FB5C15"/>
    <w:rsid w:val="00FB5C5E"/>
    <w:rsid w:val="00FB5C83"/>
    <w:rsid w:val="00FB5E0C"/>
    <w:rsid w:val="00FB5E93"/>
    <w:rsid w:val="00FB5FDC"/>
    <w:rsid w:val="00FB6023"/>
    <w:rsid w:val="00FB6079"/>
    <w:rsid w:val="00FB6168"/>
    <w:rsid w:val="00FB625B"/>
    <w:rsid w:val="00FB62D4"/>
    <w:rsid w:val="00FB6622"/>
    <w:rsid w:val="00FB67E4"/>
    <w:rsid w:val="00FB6E4C"/>
    <w:rsid w:val="00FB6ED2"/>
    <w:rsid w:val="00FB6EE8"/>
    <w:rsid w:val="00FB7162"/>
    <w:rsid w:val="00FB71DC"/>
    <w:rsid w:val="00FB74C0"/>
    <w:rsid w:val="00FB7557"/>
    <w:rsid w:val="00FB77E7"/>
    <w:rsid w:val="00FB782D"/>
    <w:rsid w:val="00FB78FE"/>
    <w:rsid w:val="00FB7DDA"/>
    <w:rsid w:val="00FB7E3C"/>
    <w:rsid w:val="00FB7EE5"/>
    <w:rsid w:val="00FB7F73"/>
    <w:rsid w:val="00FB7F93"/>
    <w:rsid w:val="00FC006C"/>
    <w:rsid w:val="00FC0116"/>
    <w:rsid w:val="00FC01D7"/>
    <w:rsid w:val="00FC06DC"/>
    <w:rsid w:val="00FC06FB"/>
    <w:rsid w:val="00FC078C"/>
    <w:rsid w:val="00FC07DA"/>
    <w:rsid w:val="00FC0972"/>
    <w:rsid w:val="00FC0B58"/>
    <w:rsid w:val="00FC0EC6"/>
    <w:rsid w:val="00FC140C"/>
    <w:rsid w:val="00FC15AB"/>
    <w:rsid w:val="00FC162A"/>
    <w:rsid w:val="00FC1722"/>
    <w:rsid w:val="00FC189B"/>
    <w:rsid w:val="00FC19A1"/>
    <w:rsid w:val="00FC19C6"/>
    <w:rsid w:val="00FC19E3"/>
    <w:rsid w:val="00FC1C9C"/>
    <w:rsid w:val="00FC1EB5"/>
    <w:rsid w:val="00FC1F6A"/>
    <w:rsid w:val="00FC2014"/>
    <w:rsid w:val="00FC2071"/>
    <w:rsid w:val="00FC2114"/>
    <w:rsid w:val="00FC223B"/>
    <w:rsid w:val="00FC2442"/>
    <w:rsid w:val="00FC252C"/>
    <w:rsid w:val="00FC26DC"/>
    <w:rsid w:val="00FC2726"/>
    <w:rsid w:val="00FC2A14"/>
    <w:rsid w:val="00FC2B06"/>
    <w:rsid w:val="00FC2C52"/>
    <w:rsid w:val="00FC2CC4"/>
    <w:rsid w:val="00FC2D40"/>
    <w:rsid w:val="00FC2DE4"/>
    <w:rsid w:val="00FC2EA9"/>
    <w:rsid w:val="00FC2F7F"/>
    <w:rsid w:val="00FC2F9B"/>
    <w:rsid w:val="00FC3010"/>
    <w:rsid w:val="00FC3110"/>
    <w:rsid w:val="00FC314A"/>
    <w:rsid w:val="00FC32DE"/>
    <w:rsid w:val="00FC334A"/>
    <w:rsid w:val="00FC3355"/>
    <w:rsid w:val="00FC33C9"/>
    <w:rsid w:val="00FC33E0"/>
    <w:rsid w:val="00FC358F"/>
    <w:rsid w:val="00FC36BF"/>
    <w:rsid w:val="00FC38BD"/>
    <w:rsid w:val="00FC3906"/>
    <w:rsid w:val="00FC3AD4"/>
    <w:rsid w:val="00FC3B71"/>
    <w:rsid w:val="00FC3FD6"/>
    <w:rsid w:val="00FC4107"/>
    <w:rsid w:val="00FC417E"/>
    <w:rsid w:val="00FC42C8"/>
    <w:rsid w:val="00FC4444"/>
    <w:rsid w:val="00FC445F"/>
    <w:rsid w:val="00FC4785"/>
    <w:rsid w:val="00FC47AE"/>
    <w:rsid w:val="00FC47F3"/>
    <w:rsid w:val="00FC483A"/>
    <w:rsid w:val="00FC48A9"/>
    <w:rsid w:val="00FC48B9"/>
    <w:rsid w:val="00FC4901"/>
    <w:rsid w:val="00FC4A4B"/>
    <w:rsid w:val="00FC4A7D"/>
    <w:rsid w:val="00FC4B91"/>
    <w:rsid w:val="00FC4CD3"/>
    <w:rsid w:val="00FC522D"/>
    <w:rsid w:val="00FC52AA"/>
    <w:rsid w:val="00FC5745"/>
    <w:rsid w:val="00FC5977"/>
    <w:rsid w:val="00FC59C1"/>
    <w:rsid w:val="00FC5BE6"/>
    <w:rsid w:val="00FC5C25"/>
    <w:rsid w:val="00FC5D21"/>
    <w:rsid w:val="00FC5E88"/>
    <w:rsid w:val="00FC60AB"/>
    <w:rsid w:val="00FC6480"/>
    <w:rsid w:val="00FC6741"/>
    <w:rsid w:val="00FC68D2"/>
    <w:rsid w:val="00FC6934"/>
    <w:rsid w:val="00FC6968"/>
    <w:rsid w:val="00FC69A0"/>
    <w:rsid w:val="00FC6BBE"/>
    <w:rsid w:val="00FC6FDD"/>
    <w:rsid w:val="00FC6FF9"/>
    <w:rsid w:val="00FC7088"/>
    <w:rsid w:val="00FC7177"/>
    <w:rsid w:val="00FC7264"/>
    <w:rsid w:val="00FC736E"/>
    <w:rsid w:val="00FC7967"/>
    <w:rsid w:val="00FC7E10"/>
    <w:rsid w:val="00FC7E19"/>
    <w:rsid w:val="00FC7EB1"/>
    <w:rsid w:val="00FD026B"/>
    <w:rsid w:val="00FD02B3"/>
    <w:rsid w:val="00FD02E9"/>
    <w:rsid w:val="00FD05BE"/>
    <w:rsid w:val="00FD065A"/>
    <w:rsid w:val="00FD08F1"/>
    <w:rsid w:val="00FD0954"/>
    <w:rsid w:val="00FD0A8F"/>
    <w:rsid w:val="00FD0AD8"/>
    <w:rsid w:val="00FD0B2C"/>
    <w:rsid w:val="00FD0B4C"/>
    <w:rsid w:val="00FD0B5B"/>
    <w:rsid w:val="00FD0DFA"/>
    <w:rsid w:val="00FD0E7E"/>
    <w:rsid w:val="00FD1285"/>
    <w:rsid w:val="00FD133C"/>
    <w:rsid w:val="00FD140B"/>
    <w:rsid w:val="00FD17BA"/>
    <w:rsid w:val="00FD17F9"/>
    <w:rsid w:val="00FD1922"/>
    <w:rsid w:val="00FD1BEE"/>
    <w:rsid w:val="00FD1C14"/>
    <w:rsid w:val="00FD1D90"/>
    <w:rsid w:val="00FD1E82"/>
    <w:rsid w:val="00FD2024"/>
    <w:rsid w:val="00FD223E"/>
    <w:rsid w:val="00FD237E"/>
    <w:rsid w:val="00FD23A3"/>
    <w:rsid w:val="00FD2473"/>
    <w:rsid w:val="00FD2547"/>
    <w:rsid w:val="00FD254C"/>
    <w:rsid w:val="00FD25B3"/>
    <w:rsid w:val="00FD2708"/>
    <w:rsid w:val="00FD2819"/>
    <w:rsid w:val="00FD2918"/>
    <w:rsid w:val="00FD2A59"/>
    <w:rsid w:val="00FD2C64"/>
    <w:rsid w:val="00FD2D14"/>
    <w:rsid w:val="00FD3008"/>
    <w:rsid w:val="00FD32ED"/>
    <w:rsid w:val="00FD35EA"/>
    <w:rsid w:val="00FD35FE"/>
    <w:rsid w:val="00FD3688"/>
    <w:rsid w:val="00FD3694"/>
    <w:rsid w:val="00FD36C5"/>
    <w:rsid w:val="00FD36E4"/>
    <w:rsid w:val="00FD374D"/>
    <w:rsid w:val="00FD392B"/>
    <w:rsid w:val="00FD3F4F"/>
    <w:rsid w:val="00FD3FB8"/>
    <w:rsid w:val="00FD3FF1"/>
    <w:rsid w:val="00FD4066"/>
    <w:rsid w:val="00FD427D"/>
    <w:rsid w:val="00FD436F"/>
    <w:rsid w:val="00FD450B"/>
    <w:rsid w:val="00FD4551"/>
    <w:rsid w:val="00FD4BCA"/>
    <w:rsid w:val="00FD4C17"/>
    <w:rsid w:val="00FD4E58"/>
    <w:rsid w:val="00FD4EFD"/>
    <w:rsid w:val="00FD505A"/>
    <w:rsid w:val="00FD50B2"/>
    <w:rsid w:val="00FD517D"/>
    <w:rsid w:val="00FD51FB"/>
    <w:rsid w:val="00FD5259"/>
    <w:rsid w:val="00FD526A"/>
    <w:rsid w:val="00FD52E7"/>
    <w:rsid w:val="00FD52EF"/>
    <w:rsid w:val="00FD536E"/>
    <w:rsid w:val="00FD53A7"/>
    <w:rsid w:val="00FD543D"/>
    <w:rsid w:val="00FD55AF"/>
    <w:rsid w:val="00FD5683"/>
    <w:rsid w:val="00FD5748"/>
    <w:rsid w:val="00FD5923"/>
    <w:rsid w:val="00FD5C12"/>
    <w:rsid w:val="00FD5C2A"/>
    <w:rsid w:val="00FD5C9C"/>
    <w:rsid w:val="00FD5D30"/>
    <w:rsid w:val="00FD5F20"/>
    <w:rsid w:val="00FD5F4B"/>
    <w:rsid w:val="00FD5F8E"/>
    <w:rsid w:val="00FD60C5"/>
    <w:rsid w:val="00FD618B"/>
    <w:rsid w:val="00FD649E"/>
    <w:rsid w:val="00FD650A"/>
    <w:rsid w:val="00FD66CB"/>
    <w:rsid w:val="00FD67EB"/>
    <w:rsid w:val="00FD6A55"/>
    <w:rsid w:val="00FD6A6A"/>
    <w:rsid w:val="00FD6B3B"/>
    <w:rsid w:val="00FD6B84"/>
    <w:rsid w:val="00FD6C8E"/>
    <w:rsid w:val="00FD6E88"/>
    <w:rsid w:val="00FD6F6F"/>
    <w:rsid w:val="00FD6FCD"/>
    <w:rsid w:val="00FD7198"/>
    <w:rsid w:val="00FD7278"/>
    <w:rsid w:val="00FD7410"/>
    <w:rsid w:val="00FD7485"/>
    <w:rsid w:val="00FD7499"/>
    <w:rsid w:val="00FD7820"/>
    <w:rsid w:val="00FD783E"/>
    <w:rsid w:val="00FD78E1"/>
    <w:rsid w:val="00FD7A79"/>
    <w:rsid w:val="00FD7B10"/>
    <w:rsid w:val="00FD7B9E"/>
    <w:rsid w:val="00FD7BD2"/>
    <w:rsid w:val="00FD7DFC"/>
    <w:rsid w:val="00FD7E01"/>
    <w:rsid w:val="00FD7EFC"/>
    <w:rsid w:val="00FD7F53"/>
    <w:rsid w:val="00FE000C"/>
    <w:rsid w:val="00FE01A8"/>
    <w:rsid w:val="00FE0462"/>
    <w:rsid w:val="00FE06AB"/>
    <w:rsid w:val="00FE071B"/>
    <w:rsid w:val="00FE0933"/>
    <w:rsid w:val="00FE099D"/>
    <w:rsid w:val="00FE0ACE"/>
    <w:rsid w:val="00FE0BD4"/>
    <w:rsid w:val="00FE0BE7"/>
    <w:rsid w:val="00FE0C56"/>
    <w:rsid w:val="00FE0CD6"/>
    <w:rsid w:val="00FE0D70"/>
    <w:rsid w:val="00FE118C"/>
    <w:rsid w:val="00FE1309"/>
    <w:rsid w:val="00FE1682"/>
    <w:rsid w:val="00FE1691"/>
    <w:rsid w:val="00FE1A3C"/>
    <w:rsid w:val="00FE1B59"/>
    <w:rsid w:val="00FE1B6C"/>
    <w:rsid w:val="00FE1C30"/>
    <w:rsid w:val="00FE1D9C"/>
    <w:rsid w:val="00FE1DBC"/>
    <w:rsid w:val="00FE1E22"/>
    <w:rsid w:val="00FE1EB3"/>
    <w:rsid w:val="00FE1F28"/>
    <w:rsid w:val="00FE20AF"/>
    <w:rsid w:val="00FE2380"/>
    <w:rsid w:val="00FE2595"/>
    <w:rsid w:val="00FE279E"/>
    <w:rsid w:val="00FE2817"/>
    <w:rsid w:val="00FE28BA"/>
    <w:rsid w:val="00FE2A6E"/>
    <w:rsid w:val="00FE2B1C"/>
    <w:rsid w:val="00FE2D59"/>
    <w:rsid w:val="00FE2DA5"/>
    <w:rsid w:val="00FE2DCB"/>
    <w:rsid w:val="00FE2E55"/>
    <w:rsid w:val="00FE2FD4"/>
    <w:rsid w:val="00FE311D"/>
    <w:rsid w:val="00FE327F"/>
    <w:rsid w:val="00FE328F"/>
    <w:rsid w:val="00FE34B7"/>
    <w:rsid w:val="00FE3547"/>
    <w:rsid w:val="00FE3579"/>
    <w:rsid w:val="00FE371E"/>
    <w:rsid w:val="00FE380A"/>
    <w:rsid w:val="00FE38D1"/>
    <w:rsid w:val="00FE39B6"/>
    <w:rsid w:val="00FE39C7"/>
    <w:rsid w:val="00FE3B70"/>
    <w:rsid w:val="00FE3D1D"/>
    <w:rsid w:val="00FE3F1F"/>
    <w:rsid w:val="00FE3FD0"/>
    <w:rsid w:val="00FE407E"/>
    <w:rsid w:val="00FE41A9"/>
    <w:rsid w:val="00FE41C3"/>
    <w:rsid w:val="00FE44BD"/>
    <w:rsid w:val="00FE453D"/>
    <w:rsid w:val="00FE4682"/>
    <w:rsid w:val="00FE46D8"/>
    <w:rsid w:val="00FE499E"/>
    <w:rsid w:val="00FE4CC7"/>
    <w:rsid w:val="00FE4D49"/>
    <w:rsid w:val="00FE4EAC"/>
    <w:rsid w:val="00FE4EBA"/>
    <w:rsid w:val="00FE5156"/>
    <w:rsid w:val="00FE51F7"/>
    <w:rsid w:val="00FE522E"/>
    <w:rsid w:val="00FE5336"/>
    <w:rsid w:val="00FE55EF"/>
    <w:rsid w:val="00FE5784"/>
    <w:rsid w:val="00FE57B6"/>
    <w:rsid w:val="00FE5F44"/>
    <w:rsid w:val="00FE6497"/>
    <w:rsid w:val="00FE65F1"/>
    <w:rsid w:val="00FE668D"/>
    <w:rsid w:val="00FE6765"/>
    <w:rsid w:val="00FE6849"/>
    <w:rsid w:val="00FE6869"/>
    <w:rsid w:val="00FE6972"/>
    <w:rsid w:val="00FE69CC"/>
    <w:rsid w:val="00FE6C44"/>
    <w:rsid w:val="00FE6CAC"/>
    <w:rsid w:val="00FE6D50"/>
    <w:rsid w:val="00FE6DB9"/>
    <w:rsid w:val="00FE6E0F"/>
    <w:rsid w:val="00FE6EEC"/>
    <w:rsid w:val="00FE6F09"/>
    <w:rsid w:val="00FE7181"/>
    <w:rsid w:val="00FE747D"/>
    <w:rsid w:val="00FE74E8"/>
    <w:rsid w:val="00FE7525"/>
    <w:rsid w:val="00FE75E8"/>
    <w:rsid w:val="00FE7694"/>
    <w:rsid w:val="00FE7810"/>
    <w:rsid w:val="00FE789A"/>
    <w:rsid w:val="00FE7F51"/>
    <w:rsid w:val="00FE7F88"/>
    <w:rsid w:val="00FF0010"/>
    <w:rsid w:val="00FF0102"/>
    <w:rsid w:val="00FF01FC"/>
    <w:rsid w:val="00FF02D9"/>
    <w:rsid w:val="00FF03D9"/>
    <w:rsid w:val="00FF041E"/>
    <w:rsid w:val="00FF068C"/>
    <w:rsid w:val="00FF080B"/>
    <w:rsid w:val="00FF084D"/>
    <w:rsid w:val="00FF0BB3"/>
    <w:rsid w:val="00FF0BFA"/>
    <w:rsid w:val="00FF0C1A"/>
    <w:rsid w:val="00FF0C89"/>
    <w:rsid w:val="00FF0D27"/>
    <w:rsid w:val="00FF0E6D"/>
    <w:rsid w:val="00FF0E84"/>
    <w:rsid w:val="00FF0EFA"/>
    <w:rsid w:val="00FF1099"/>
    <w:rsid w:val="00FF10BC"/>
    <w:rsid w:val="00FF115C"/>
    <w:rsid w:val="00FF11E9"/>
    <w:rsid w:val="00FF12A3"/>
    <w:rsid w:val="00FF1410"/>
    <w:rsid w:val="00FF14B6"/>
    <w:rsid w:val="00FF16DF"/>
    <w:rsid w:val="00FF195B"/>
    <w:rsid w:val="00FF1969"/>
    <w:rsid w:val="00FF1D14"/>
    <w:rsid w:val="00FF1D46"/>
    <w:rsid w:val="00FF1E7F"/>
    <w:rsid w:val="00FF21B4"/>
    <w:rsid w:val="00FF21DC"/>
    <w:rsid w:val="00FF2584"/>
    <w:rsid w:val="00FF2693"/>
    <w:rsid w:val="00FF2721"/>
    <w:rsid w:val="00FF2795"/>
    <w:rsid w:val="00FF28A8"/>
    <w:rsid w:val="00FF2A6F"/>
    <w:rsid w:val="00FF2AB0"/>
    <w:rsid w:val="00FF2AD2"/>
    <w:rsid w:val="00FF2F78"/>
    <w:rsid w:val="00FF2FC3"/>
    <w:rsid w:val="00FF30F3"/>
    <w:rsid w:val="00FF3256"/>
    <w:rsid w:val="00FF329D"/>
    <w:rsid w:val="00FF33B0"/>
    <w:rsid w:val="00FF35C4"/>
    <w:rsid w:val="00FF3655"/>
    <w:rsid w:val="00FF3666"/>
    <w:rsid w:val="00FF3823"/>
    <w:rsid w:val="00FF3840"/>
    <w:rsid w:val="00FF39C7"/>
    <w:rsid w:val="00FF3A80"/>
    <w:rsid w:val="00FF3BC7"/>
    <w:rsid w:val="00FF3C66"/>
    <w:rsid w:val="00FF3D93"/>
    <w:rsid w:val="00FF41A8"/>
    <w:rsid w:val="00FF41DE"/>
    <w:rsid w:val="00FF41F8"/>
    <w:rsid w:val="00FF437D"/>
    <w:rsid w:val="00FF43FE"/>
    <w:rsid w:val="00FF4433"/>
    <w:rsid w:val="00FF450D"/>
    <w:rsid w:val="00FF4519"/>
    <w:rsid w:val="00FF4576"/>
    <w:rsid w:val="00FF48C6"/>
    <w:rsid w:val="00FF4ADD"/>
    <w:rsid w:val="00FF4AFC"/>
    <w:rsid w:val="00FF4B74"/>
    <w:rsid w:val="00FF4D04"/>
    <w:rsid w:val="00FF4D4F"/>
    <w:rsid w:val="00FF4DFB"/>
    <w:rsid w:val="00FF4F7F"/>
    <w:rsid w:val="00FF5147"/>
    <w:rsid w:val="00FF532D"/>
    <w:rsid w:val="00FF5567"/>
    <w:rsid w:val="00FF55D5"/>
    <w:rsid w:val="00FF5744"/>
    <w:rsid w:val="00FF59E2"/>
    <w:rsid w:val="00FF5AF5"/>
    <w:rsid w:val="00FF5B88"/>
    <w:rsid w:val="00FF5D78"/>
    <w:rsid w:val="00FF5D91"/>
    <w:rsid w:val="00FF5E89"/>
    <w:rsid w:val="00FF5FAD"/>
    <w:rsid w:val="00FF602A"/>
    <w:rsid w:val="00FF61EC"/>
    <w:rsid w:val="00FF621E"/>
    <w:rsid w:val="00FF643A"/>
    <w:rsid w:val="00FF64FA"/>
    <w:rsid w:val="00FF6621"/>
    <w:rsid w:val="00FF6877"/>
    <w:rsid w:val="00FF68B7"/>
    <w:rsid w:val="00FF6951"/>
    <w:rsid w:val="00FF716E"/>
    <w:rsid w:val="00FF71DD"/>
    <w:rsid w:val="00FF7232"/>
    <w:rsid w:val="00FF7244"/>
    <w:rsid w:val="00FF72F7"/>
    <w:rsid w:val="00FF732E"/>
    <w:rsid w:val="00FF7342"/>
    <w:rsid w:val="00FF73E5"/>
    <w:rsid w:val="00FF76B5"/>
    <w:rsid w:val="00FF76D1"/>
    <w:rsid w:val="00FF7716"/>
    <w:rsid w:val="00FF7799"/>
    <w:rsid w:val="00FF77C0"/>
    <w:rsid w:val="00FF7881"/>
    <w:rsid w:val="00FF799D"/>
    <w:rsid w:val="00FF7B39"/>
    <w:rsid w:val="00FF7C19"/>
    <w:rsid w:val="00FF7D6C"/>
    <w:rsid w:val="00FF7DF4"/>
    <w:rsid w:val="00FF7E05"/>
    <w:rsid w:val="00FF7EAD"/>
    <w:rsid w:val="010CDAD8"/>
    <w:rsid w:val="011B7DCF"/>
    <w:rsid w:val="011D523D"/>
    <w:rsid w:val="012A3D3D"/>
    <w:rsid w:val="0130B83D"/>
    <w:rsid w:val="0135B1BC"/>
    <w:rsid w:val="013AD05C"/>
    <w:rsid w:val="014682DF"/>
    <w:rsid w:val="0149B3A7"/>
    <w:rsid w:val="014DAA5E"/>
    <w:rsid w:val="01644AAE"/>
    <w:rsid w:val="016730CF"/>
    <w:rsid w:val="016BDA4A"/>
    <w:rsid w:val="016C0335"/>
    <w:rsid w:val="016D94BA"/>
    <w:rsid w:val="0170F635"/>
    <w:rsid w:val="0172FC42"/>
    <w:rsid w:val="0173C1D0"/>
    <w:rsid w:val="01747D94"/>
    <w:rsid w:val="017E5D6E"/>
    <w:rsid w:val="0182450A"/>
    <w:rsid w:val="01860FA4"/>
    <w:rsid w:val="018A8BAF"/>
    <w:rsid w:val="019132F5"/>
    <w:rsid w:val="0193FB1B"/>
    <w:rsid w:val="01999C8D"/>
    <w:rsid w:val="019A2E90"/>
    <w:rsid w:val="01AE50A3"/>
    <w:rsid w:val="01B4B06F"/>
    <w:rsid w:val="01BCF04D"/>
    <w:rsid w:val="01BECC4D"/>
    <w:rsid w:val="01C9AAA2"/>
    <w:rsid w:val="01CA2581"/>
    <w:rsid w:val="01CC85A8"/>
    <w:rsid w:val="01D14164"/>
    <w:rsid w:val="01DE592B"/>
    <w:rsid w:val="01E7491D"/>
    <w:rsid w:val="01F0CD20"/>
    <w:rsid w:val="01F50B9D"/>
    <w:rsid w:val="01FC779C"/>
    <w:rsid w:val="01FE30EB"/>
    <w:rsid w:val="02021398"/>
    <w:rsid w:val="020A6F2C"/>
    <w:rsid w:val="0219C05B"/>
    <w:rsid w:val="021E8461"/>
    <w:rsid w:val="022A60FD"/>
    <w:rsid w:val="022B5AD9"/>
    <w:rsid w:val="022FA605"/>
    <w:rsid w:val="0233CDF4"/>
    <w:rsid w:val="0233FBEA"/>
    <w:rsid w:val="023A3206"/>
    <w:rsid w:val="0240C141"/>
    <w:rsid w:val="0242C422"/>
    <w:rsid w:val="02475A8B"/>
    <w:rsid w:val="0248D369"/>
    <w:rsid w:val="024B19F8"/>
    <w:rsid w:val="024CE16D"/>
    <w:rsid w:val="02522176"/>
    <w:rsid w:val="0252B502"/>
    <w:rsid w:val="02534ECA"/>
    <w:rsid w:val="0256D581"/>
    <w:rsid w:val="025D3540"/>
    <w:rsid w:val="02696517"/>
    <w:rsid w:val="027AED61"/>
    <w:rsid w:val="027FEB17"/>
    <w:rsid w:val="028671A7"/>
    <w:rsid w:val="02873C53"/>
    <w:rsid w:val="0287CB9E"/>
    <w:rsid w:val="0289629A"/>
    <w:rsid w:val="028C22F2"/>
    <w:rsid w:val="02960000"/>
    <w:rsid w:val="0296E703"/>
    <w:rsid w:val="029D54C5"/>
    <w:rsid w:val="02A0E325"/>
    <w:rsid w:val="02A70DAB"/>
    <w:rsid w:val="02AD5AEA"/>
    <w:rsid w:val="02B7B738"/>
    <w:rsid w:val="02B91C7D"/>
    <w:rsid w:val="02B91CA2"/>
    <w:rsid w:val="02BB023C"/>
    <w:rsid w:val="02BB25CE"/>
    <w:rsid w:val="02BCDB44"/>
    <w:rsid w:val="02BDB98D"/>
    <w:rsid w:val="02CC3C1B"/>
    <w:rsid w:val="02CE069B"/>
    <w:rsid w:val="02D685C6"/>
    <w:rsid w:val="02D8381F"/>
    <w:rsid w:val="02E1C50C"/>
    <w:rsid w:val="02E77A93"/>
    <w:rsid w:val="02E90894"/>
    <w:rsid w:val="02EA0E94"/>
    <w:rsid w:val="02EB7AF8"/>
    <w:rsid w:val="02EE37F7"/>
    <w:rsid w:val="02EFE31A"/>
    <w:rsid w:val="02F38BA2"/>
    <w:rsid w:val="02FA0C68"/>
    <w:rsid w:val="030003CE"/>
    <w:rsid w:val="030044F2"/>
    <w:rsid w:val="030359C4"/>
    <w:rsid w:val="030A09F2"/>
    <w:rsid w:val="030EC736"/>
    <w:rsid w:val="03103762"/>
    <w:rsid w:val="031809E6"/>
    <w:rsid w:val="0319A977"/>
    <w:rsid w:val="03205907"/>
    <w:rsid w:val="03281F92"/>
    <w:rsid w:val="0329AA11"/>
    <w:rsid w:val="032A56D5"/>
    <w:rsid w:val="032E6593"/>
    <w:rsid w:val="03314C44"/>
    <w:rsid w:val="033212A1"/>
    <w:rsid w:val="0333A40F"/>
    <w:rsid w:val="03368706"/>
    <w:rsid w:val="033B1A1E"/>
    <w:rsid w:val="033BBD52"/>
    <w:rsid w:val="033CBF73"/>
    <w:rsid w:val="033D09C6"/>
    <w:rsid w:val="0341CCE3"/>
    <w:rsid w:val="0343EBF7"/>
    <w:rsid w:val="03448CC4"/>
    <w:rsid w:val="03465A0E"/>
    <w:rsid w:val="034F9A56"/>
    <w:rsid w:val="034FA436"/>
    <w:rsid w:val="035204CA"/>
    <w:rsid w:val="0352F329"/>
    <w:rsid w:val="03589488"/>
    <w:rsid w:val="0362FE1F"/>
    <w:rsid w:val="036AFB09"/>
    <w:rsid w:val="03726A2D"/>
    <w:rsid w:val="0377859D"/>
    <w:rsid w:val="037A12EE"/>
    <w:rsid w:val="037C3E8E"/>
    <w:rsid w:val="037CF422"/>
    <w:rsid w:val="0383F794"/>
    <w:rsid w:val="0384BE06"/>
    <w:rsid w:val="03898136"/>
    <w:rsid w:val="038DC957"/>
    <w:rsid w:val="03911284"/>
    <w:rsid w:val="03935A76"/>
    <w:rsid w:val="0396C32A"/>
    <w:rsid w:val="03B4A167"/>
    <w:rsid w:val="03B921FB"/>
    <w:rsid w:val="03B99318"/>
    <w:rsid w:val="03C04A41"/>
    <w:rsid w:val="03C36AA1"/>
    <w:rsid w:val="03C90F05"/>
    <w:rsid w:val="03D229BE"/>
    <w:rsid w:val="03D24C14"/>
    <w:rsid w:val="03DCC57B"/>
    <w:rsid w:val="03E4B415"/>
    <w:rsid w:val="03EA0352"/>
    <w:rsid w:val="03EC72CB"/>
    <w:rsid w:val="03EEE92D"/>
    <w:rsid w:val="03F7C85E"/>
    <w:rsid w:val="03F8E206"/>
    <w:rsid w:val="03FF23C6"/>
    <w:rsid w:val="04028706"/>
    <w:rsid w:val="04034E51"/>
    <w:rsid w:val="040425E2"/>
    <w:rsid w:val="0405779D"/>
    <w:rsid w:val="040B2CB0"/>
    <w:rsid w:val="04192D38"/>
    <w:rsid w:val="04196CD8"/>
    <w:rsid w:val="041B54A4"/>
    <w:rsid w:val="041CDBBC"/>
    <w:rsid w:val="041F7196"/>
    <w:rsid w:val="042863CB"/>
    <w:rsid w:val="0432D89D"/>
    <w:rsid w:val="043E9ECE"/>
    <w:rsid w:val="044DB88A"/>
    <w:rsid w:val="04608AD9"/>
    <w:rsid w:val="04655DD6"/>
    <w:rsid w:val="04723C33"/>
    <w:rsid w:val="04732356"/>
    <w:rsid w:val="0480C7B2"/>
    <w:rsid w:val="0488950E"/>
    <w:rsid w:val="048E5ED9"/>
    <w:rsid w:val="04928DA5"/>
    <w:rsid w:val="04930726"/>
    <w:rsid w:val="049925FD"/>
    <w:rsid w:val="049CEED3"/>
    <w:rsid w:val="049E751C"/>
    <w:rsid w:val="04A2B380"/>
    <w:rsid w:val="04A365DE"/>
    <w:rsid w:val="04A36C22"/>
    <w:rsid w:val="04AD3F3F"/>
    <w:rsid w:val="04C146B0"/>
    <w:rsid w:val="04C39C3E"/>
    <w:rsid w:val="04D1C10F"/>
    <w:rsid w:val="04D5D518"/>
    <w:rsid w:val="04D7954B"/>
    <w:rsid w:val="04DE5308"/>
    <w:rsid w:val="04E23C0F"/>
    <w:rsid w:val="04E4FD20"/>
    <w:rsid w:val="04EACE9D"/>
    <w:rsid w:val="04EC54E9"/>
    <w:rsid w:val="04EED890"/>
    <w:rsid w:val="04F30715"/>
    <w:rsid w:val="04F80508"/>
    <w:rsid w:val="04FAD5AF"/>
    <w:rsid w:val="04FBF621"/>
    <w:rsid w:val="04FCC684"/>
    <w:rsid w:val="04FDD17F"/>
    <w:rsid w:val="05058BC0"/>
    <w:rsid w:val="0509B55B"/>
    <w:rsid w:val="050BAE00"/>
    <w:rsid w:val="050BAE2D"/>
    <w:rsid w:val="0516058E"/>
    <w:rsid w:val="0516CB5E"/>
    <w:rsid w:val="0518354C"/>
    <w:rsid w:val="0519E614"/>
    <w:rsid w:val="0520CA3A"/>
    <w:rsid w:val="05261D79"/>
    <w:rsid w:val="052A97EF"/>
    <w:rsid w:val="052AE24C"/>
    <w:rsid w:val="052B97AA"/>
    <w:rsid w:val="052BC6E7"/>
    <w:rsid w:val="0539039C"/>
    <w:rsid w:val="0540E746"/>
    <w:rsid w:val="05450A5C"/>
    <w:rsid w:val="054D2AC1"/>
    <w:rsid w:val="054E7902"/>
    <w:rsid w:val="0552312D"/>
    <w:rsid w:val="055408B5"/>
    <w:rsid w:val="055798B2"/>
    <w:rsid w:val="0560DEA5"/>
    <w:rsid w:val="0563A349"/>
    <w:rsid w:val="0566B552"/>
    <w:rsid w:val="0567E2F4"/>
    <w:rsid w:val="05697CA9"/>
    <w:rsid w:val="0571427B"/>
    <w:rsid w:val="05725BDE"/>
    <w:rsid w:val="057B314B"/>
    <w:rsid w:val="057CA0BE"/>
    <w:rsid w:val="057DEAC5"/>
    <w:rsid w:val="05824E4F"/>
    <w:rsid w:val="05842DB7"/>
    <w:rsid w:val="058B8D6C"/>
    <w:rsid w:val="0591D8E8"/>
    <w:rsid w:val="059C32B7"/>
    <w:rsid w:val="059CCA35"/>
    <w:rsid w:val="05A10F84"/>
    <w:rsid w:val="05A5E7AE"/>
    <w:rsid w:val="05B95B85"/>
    <w:rsid w:val="05BB2753"/>
    <w:rsid w:val="05D1E6B4"/>
    <w:rsid w:val="05D4C626"/>
    <w:rsid w:val="05D78ACA"/>
    <w:rsid w:val="05D98E91"/>
    <w:rsid w:val="05D9B306"/>
    <w:rsid w:val="05DD4320"/>
    <w:rsid w:val="05DF384C"/>
    <w:rsid w:val="05E4ACA8"/>
    <w:rsid w:val="05EAB768"/>
    <w:rsid w:val="05EB298D"/>
    <w:rsid w:val="05F2DC48"/>
    <w:rsid w:val="05FE2452"/>
    <w:rsid w:val="0601247A"/>
    <w:rsid w:val="06026EDC"/>
    <w:rsid w:val="06046F73"/>
    <w:rsid w:val="0606A313"/>
    <w:rsid w:val="0606A898"/>
    <w:rsid w:val="060D9B09"/>
    <w:rsid w:val="060E72A8"/>
    <w:rsid w:val="0617B07B"/>
    <w:rsid w:val="0618A592"/>
    <w:rsid w:val="061965F6"/>
    <w:rsid w:val="061E1D14"/>
    <w:rsid w:val="062AAC7D"/>
    <w:rsid w:val="062FAA3B"/>
    <w:rsid w:val="06316501"/>
    <w:rsid w:val="0636B7BB"/>
    <w:rsid w:val="06390D46"/>
    <w:rsid w:val="06449D30"/>
    <w:rsid w:val="064EBA68"/>
    <w:rsid w:val="065582A7"/>
    <w:rsid w:val="06579306"/>
    <w:rsid w:val="065B3FEA"/>
    <w:rsid w:val="066273AA"/>
    <w:rsid w:val="066683B1"/>
    <w:rsid w:val="066BF2BC"/>
    <w:rsid w:val="066E54C7"/>
    <w:rsid w:val="06787511"/>
    <w:rsid w:val="067D404A"/>
    <w:rsid w:val="067E49D9"/>
    <w:rsid w:val="0680411A"/>
    <w:rsid w:val="0680D450"/>
    <w:rsid w:val="0681299B"/>
    <w:rsid w:val="06844556"/>
    <w:rsid w:val="06879B50"/>
    <w:rsid w:val="0695AE0E"/>
    <w:rsid w:val="0697F9B0"/>
    <w:rsid w:val="069B3A9D"/>
    <w:rsid w:val="06A00E88"/>
    <w:rsid w:val="06A7255A"/>
    <w:rsid w:val="06AB349B"/>
    <w:rsid w:val="06ABD0E1"/>
    <w:rsid w:val="06AD139D"/>
    <w:rsid w:val="06B2C5DB"/>
    <w:rsid w:val="06B5A10C"/>
    <w:rsid w:val="06BD37D5"/>
    <w:rsid w:val="06BEB37C"/>
    <w:rsid w:val="06BF4717"/>
    <w:rsid w:val="06C15216"/>
    <w:rsid w:val="06C525DE"/>
    <w:rsid w:val="06C617AB"/>
    <w:rsid w:val="06C79AAE"/>
    <w:rsid w:val="06CBED85"/>
    <w:rsid w:val="06D0073F"/>
    <w:rsid w:val="06D5F369"/>
    <w:rsid w:val="06D72B94"/>
    <w:rsid w:val="06D92BB8"/>
    <w:rsid w:val="06DB4172"/>
    <w:rsid w:val="06DB7536"/>
    <w:rsid w:val="06E1878B"/>
    <w:rsid w:val="06E1BA5F"/>
    <w:rsid w:val="06E3DDE5"/>
    <w:rsid w:val="06E4211D"/>
    <w:rsid w:val="06E5A687"/>
    <w:rsid w:val="06E9C593"/>
    <w:rsid w:val="06F0FD6F"/>
    <w:rsid w:val="06FC1788"/>
    <w:rsid w:val="06FD2DB1"/>
    <w:rsid w:val="06FE6D1F"/>
    <w:rsid w:val="07014BD5"/>
    <w:rsid w:val="07024E14"/>
    <w:rsid w:val="07047D9E"/>
    <w:rsid w:val="070AD348"/>
    <w:rsid w:val="070F8CA4"/>
    <w:rsid w:val="07104974"/>
    <w:rsid w:val="07104CF6"/>
    <w:rsid w:val="07199CB0"/>
    <w:rsid w:val="07273010"/>
    <w:rsid w:val="072E514B"/>
    <w:rsid w:val="072E99F1"/>
    <w:rsid w:val="072FF3FC"/>
    <w:rsid w:val="0739AB3C"/>
    <w:rsid w:val="073B5951"/>
    <w:rsid w:val="0744F0D3"/>
    <w:rsid w:val="074591D6"/>
    <w:rsid w:val="0748965F"/>
    <w:rsid w:val="074FC9D2"/>
    <w:rsid w:val="0753FE5A"/>
    <w:rsid w:val="0757F4C2"/>
    <w:rsid w:val="075A966B"/>
    <w:rsid w:val="075C0A8F"/>
    <w:rsid w:val="07616440"/>
    <w:rsid w:val="07622C69"/>
    <w:rsid w:val="0763F7F0"/>
    <w:rsid w:val="076F2900"/>
    <w:rsid w:val="0771B6BC"/>
    <w:rsid w:val="077696C6"/>
    <w:rsid w:val="07778314"/>
    <w:rsid w:val="07781BB7"/>
    <w:rsid w:val="077D656A"/>
    <w:rsid w:val="077F117B"/>
    <w:rsid w:val="078776F6"/>
    <w:rsid w:val="0788FCB4"/>
    <w:rsid w:val="078F9950"/>
    <w:rsid w:val="079199C0"/>
    <w:rsid w:val="0799D24B"/>
    <w:rsid w:val="079B3A66"/>
    <w:rsid w:val="079C7E0C"/>
    <w:rsid w:val="079E5AD9"/>
    <w:rsid w:val="07A6B13B"/>
    <w:rsid w:val="07A80B0C"/>
    <w:rsid w:val="07AEA1C5"/>
    <w:rsid w:val="07AFA7C4"/>
    <w:rsid w:val="07B77332"/>
    <w:rsid w:val="07B8A542"/>
    <w:rsid w:val="07C1BCEE"/>
    <w:rsid w:val="07C387FB"/>
    <w:rsid w:val="07CE2218"/>
    <w:rsid w:val="07D94ED9"/>
    <w:rsid w:val="07D960E3"/>
    <w:rsid w:val="07D99D4D"/>
    <w:rsid w:val="07E064C0"/>
    <w:rsid w:val="07E386FF"/>
    <w:rsid w:val="07E5E1DE"/>
    <w:rsid w:val="07ED86F8"/>
    <w:rsid w:val="07EFA968"/>
    <w:rsid w:val="07F3521E"/>
    <w:rsid w:val="07F68712"/>
    <w:rsid w:val="07F6F0D9"/>
    <w:rsid w:val="07F98896"/>
    <w:rsid w:val="07FA306D"/>
    <w:rsid w:val="07FA8582"/>
    <w:rsid w:val="07FBAD2B"/>
    <w:rsid w:val="07FEB58B"/>
    <w:rsid w:val="080790D6"/>
    <w:rsid w:val="080DB5DB"/>
    <w:rsid w:val="080EFFBE"/>
    <w:rsid w:val="0810043B"/>
    <w:rsid w:val="0811BDEA"/>
    <w:rsid w:val="08130FE9"/>
    <w:rsid w:val="081D465E"/>
    <w:rsid w:val="0825C917"/>
    <w:rsid w:val="082AEDD5"/>
    <w:rsid w:val="082C4220"/>
    <w:rsid w:val="083D4C5A"/>
    <w:rsid w:val="083D6900"/>
    <w:rsid w:val="0847474D"/>
    <w:rsid w:val="084AB953"/>
    <w:rsid w:val="084CB850"/>
    <w:rsid w:val="084DF1E7"/>
    <w:rsid w:val="0852403A"/>
    <w:rsid w:val="08544487"/>
    <w:rsid w:val="0854C423"/>
    <w:rsid w:val="0855BBAD"/>
    <w:rsid w:val="0857A391"/>
    <w:rsid w:val="0861AE1D"/>
    <w:rsid w:val="08651F37"/>
    <w:rsid w:val="08692A8A"/>
    <w:rsid w:val="086F7C82"/>
    <w:rsid w:val="087305CF"/>
    <w:rsid w:val="087387C0"/>
    <w:rsid w:val="088ECFD1"/>
    <w:rsid w:val="08909033"/>
    <w:rsid w:val="0890C1AA"/>
    <w:rsid w:val="08980863"/>
    <w:rsid w:val="0898292E"/>
    <w:rsid w:val="08988B92"/>
    <w:rsid w:val="089D35B0"/>
    <w:rsid w:val="08A9C06B"/>
    <w:rsid w:val="08AB17AA"/>
    <w:rsid w:val="08AFBE9A"/>
    <w:rsid w:val="08BB2EAC"/>
    <w:rsid w:val="08BBA6C9"/>
    <w:rsid w:val="08C1924F"/>
    <w:rsid w:val="08C48257"/>
    <w:rsid w:val="08CD3BA7"/>
    <w:rsid w:val="08CF94DD"/>
    <w:rsid w:val="08D869C9"/>
    <w:rsid w:val="08E019CA"/>
    <w:rsid w:val="08E24D15"/>
    <w:rsid w:val="08E3B311"/>
    <w:rsid w:val="08EB1F8C"/>
    <w:rsid w:val="08EF356D"/>
    <w:rsid w:val="08F32D89"/>
    <w:rsid w:val="08FAEF03"/>
    <w:rsid w:val="08FCFCC2"/>
    <w:rsid w:val="0906E9FA"/>
    <w:rsid w:val="0908660C"/>
    <w:rsid w:val="09098388"/>
    <w:rsid w:val="090A5997"/>
    <w:rsid w:val="091650FF"/>
    <w:rsid w:val="0917EF3C"/>
    <w:rsid w:val="091B041C"/>
    <w:rsid w:val="091CE5FF"/>
    <w:rsid w:val="0922692A"/>
    <w:rsid w:val="09226A75"/>
    <w:rsid w:val="0928B051"/>
    <w:rsid w:val="092F1822"/>
    <w:rsid w:val="09329636"/>
    <w:rsid w:val="09355B8E"/>
    <w:rsid w:val="093A39DA"/>
    <w:rsid w:val="093F8BE8"/>
    <w:rsid w:val="09412249"/>
    <w:rsid w:val="0942A84F"/>
    <w:rsid w:val="09510169"/>
    <w:rsid w:val="09510D48"/>
    <w:rsid w:val="095600FF"/>
    <w:rsid w:val="0956B35D"/>
    <w:rsid w:val="095A5244"/>
    <w:rsid w:val="098145E9"/>
    <w:rsid w:val="0982D42B"/>
    <w:rsid w:val="09850E7C"/>
    <w:rsid w:val="098D9714"/>
    <w:rsid w:val="098F637A"/>
    <w:rsid w:val="0994046D"/>
    <w:rsid w:val="0999502C"/>
    <w:rsid w:val="099F05CA"/>
    <w:rsid w:val="09A16B8C"/>
    <w:rsid w:val="09A97051"/>
    <w:rsid w:val="09AB6C42"/>
    <w:rsid w:val="09AC9749"/>
    <w:rsid w:val="09B86BB1"/>
    <w:rsid w:val="09C41345"/>
    <w:rsid w:val="09C4BF27"/>
    <w:rsid w:val="09C4D053"/>
    <w:rsid w:val="09C82A6D"/>
    <w:rsid w:val="09C9017C"/>
    <w:rsid w:val="09CCE326"/>
    <w:rsid w:val="09D295E9"/>
    <w:rsid w:val="09DC272A"/>
    <w:rsid w:val="09E468FB"/>
    <w:rsid w:val="09E7C1EC"/>
    <w:rsid w:val="09ECA5A0"/>
    <w:rsid w:val="09F2A053"/>
    <w:rsid w:val="09F8F46D"/>
    <w:rsid w:val="09FA533B"/>
    <w:rsid w:val="0A00B924"/>
    <w:rsid w:val="0A06A7CB"/>
    <w:rsid w:val="0A07B364"/>
    <w:rsid w:val="0A0887C1"/>
    <w:rsid w:val="0A0A8C59"/>
    <w:rsid w:val="0A0A99B5"/>
    <w:rsid w:val="0A0A9AC2"/>
    <w:rsid w:val="0A0F2E35"/>
    <w:rsid w:val="0A10914E"/>
    <w:rsid w:val="0A110428"/>
    <w:rsid w:val="0A15D938"/>
    <w:rsid w:val="0A17070E"/>
    <w:rsid w:val="0A17F564"/>
    <w:rsid w:val="0A18B19C"/>
    <w:rsid w:val="0A1E6E32"/>
    <w:rsid w:val="0A1FB367"/>
    <w:rsid w:val="0A2610D5"/>
    <w:rsid w:val="0A2A3E48"/>
    <w:rsid w:val="0A388C7B"/>
    <w:rsid w:val="0A3D71FE"/>
    <w:rsid w:val="0A46DB6C"/>
    <w:rsid w:val="0A48C867"/>
    <w:rsid w:val="0A504CCF"/>
    <w:rsid w:val="0A529179"/>
    <w:rsid w:val="0A540A5F"/>
    <w:rsid w:val="0A5735EA"/>
    <w:rsid w:val="0A59AD17"/>
    <w:rsid w:val="0A5DD86E"/>
    <w:rsid w:val="0A606A34"/>
    <w:rsid w:val="0A6131C5"/>
    <w:rsid w:val="0A634A65"/>
    <w:rsid w:val="0A658FA8"/>
    <w:rsid w:val="0A68E0E1"/>
    <w:rsid w:val="0A6A0AFF"/>
    <w:rsid w:val="0A6D3301"/>
    <w:rsid w:val="0A6E3566"/>
    <w:rsid w:val="0A700830"/>
    <w:rsid w:val="0A719DE1"/>
    <w:rsid w:val="0A74D908"/>
    <w:rsid w:val="0A76256D"/>
    <w:rsid w:val="0A77EF10"/>
    <w:rsid w:val="0A7AD3CB"/>
    <w:rsid w:val="0A7DC6EB"/>
    <w:rsid w:val="0A80FAA2"/>
    <w:rsid w:val="0A81E476"/>
    <w:rsid w:val="0A8667E1"/>
    <w:rsid w:val="0A8ACF31"/>
    <w:rsid w:val="0A8BDC27"/>
    <w:rsid w:val="0A905E6B"/>
    <w:rsid w:val="0A92BE5B"/>
    <w:rsid w:val="0A99A833"/>
    <w:rsid w:val="0A9AABBE"/>
    <w:rsid w:val="0AA0FA61"/>
    <w:rsid w:val="0AA12838"/>
    <w:rsid w:val="0AAD8467"/>
    <w:rsid w:val="0AB87BBC"/>
    <w:rsid w:val="0AB888A2"/>
    <w:rsid w:val="0AB8C585"/>
    <w:rsid w:val="0ABAECB7"/>
    <w:rsid w:val="0ABE7C88"/>
    <w:rsid w:val="0ABFFE93"/>
    <w:rsid w:val="0ACA45AD"/>
    <w:rsid w:val="0ACC5A29"/>
    <w:rsid w:val="0ACC8440"/>
    <w:rsid w:val="0ACE6D57"/>
    <w:rsid w:val="0ADC1BE9"/>
    <w:rsid w:val="0ADD6E47"/>
    <w:rsid w:val="0AE02050"/>
    <w:rsid w:val="0AE0276D"/>
    <w:rsid w:val="0AE054C7"/>
    <w:rsid w:val="0AED3F03"/>
    <w:rsid w:val="0AF1803F"/>
    <w:rsid w:val="0AF41EDF"/>
    <w:rsid w:val="0AF78A14"/>
    <w:rsid w:val="0AFF5349"/>
    <w:rsid w:val="0B05E331"/>
    <w:rsid w:val="0B067E26"/>
    <w:rsid w:val="0B074DBA"/>
    <w:rsid w:val="0B0F2D17"/>
    <w:rsid w:val="0B10C7BD"/>
    <w:rsid w:val="0B1B7C84"/>
    <w:rsid w:val="0B1DD9BC"/>
    <w:rsid w:val="0B224E17"/>
    <w:rsid w:val="0B261F63"/>
    <w:rsid w:val="0B2705F3"/>
    <w:rsid w:val="0B2922BB"/>
    <w:rsid w:val="0B29C071"/>
    <w:rsid w:val="0B2FF10F"/>
    <w:rsid w:val="0B31854A"/>
    <w:rsid w:val="0B322417"/>
    <w:rsid w:val="0B37B829"/>
    <w:rsid w:val="0B3B8332"/>
    <w:rsid w:val="0B3D3C6B"/>
    <w:rsid w:val="0B497590"/>
    <w:rsid w:val="0B50F725"/>
    <w:rsid w:val="0B66E3E7"/>
    <w:rsid w:val="0B67A75B"/>
    <w:rsid w:val="0B6869AF"/>
    <w:rsid w:val="0B691166"/>
    <w:rsid w:val="0B6BFF84"/>
    <w:rsid w:val="0B7A56AF"/>
    <w:rsid w:val="0B7E8155"/>
    <w:rsid w:val="0B92D529"/>
    <w:rsid w:val="0B935024"/>
    <w:rsid w:val="0B9D5617"/>
    <w:rsid w:val="0BA31368"/>
    <w:rsid w:val="0BAE3C8D"/>
    <w:rsid w:val="0BB554EB"/>
    <w:rsid w:val="0BB5C5A5"/>
    <w:rsid w:val="0BB6A9B0"/>
    <w:rsid w:val="0BCA6A08"/>
    <w:rsid w:val="0BD2D356"/>
    <w:rsid w:val="0BD33D6D"/>
    <w:rsid w:val="0BD8F8EA"/>
    <w:rsid w:val="0BD98D92"/>
    <w:rsid w:val="0BDDA8CC"/>
    <w:rsid w:val="0BDFD19E"/>
    <w:rsid w:val="0BE0300F"/>
    <w:rsid w:val="0BE4733E"/>
    <w:rsid w:val="0BE97A3A"/>
    <w:rsid w:val="0BEC444E"/>
    <w:rsid w:val="0BF91006"/>
    <w:rsid w:val="0BFBCEFB"/>
    <w:rsid w:val="0BFD601F"/>
    <w:rsid w:val="0C038BCF"/>
    <w:rsid w:val="0C06263E"/>
    <w:rsid w:val="0C06EE4E"/>
    <w:rsid w:val="0C070F57"/>
    <w:rsid w:val="0C090DB9"/>
    <w:rsid w:val="0C098F2B"/>
    <w:rsid w:val="0C0BBA98"/>
    <w:rsid w:val="0C11D244"/>
    <w:rsid w:val="0C1AA908"/>
    <w:rsid w:val="0C1BC3F2"/>
    <w:rsid w:val="0C1CD991"/>
    <w:rsid w:val="0C1D37A5"/>
    <w:rsid w:val="0C1E37C2"/>
    <w:rsid w:val="0C1FACCF"/>
    <w:rsid w:val="0C2C71E2"/>
    <w:rsid w:val="0C380E13"/>
    <w:rsid w:val="0C395BD4"/>
    <w:rsid w:val="0C3A9155"/>
    <w:rsid w:val="0C3C3A4B"/>
    <w:rsid w:val="0C3D8F86"/>
    <w:rsid w:val="0C406955"/>
    <w:rsid w:val="0C443168"/>
    <w:rsid w:val="0C457548"/>
    <w:rsid w:val="0C47688F"/>
    <w:rsid w:val="0C4EFED7"/>
    <w:rsid w:val="0C50302E"/>
    <w:rsid w:val="0C53DC98"/>
    <w:rsid w:val="0C57351B"/>
    <w:rsid w:val="0C5FD62A"/>
    <w:rsid w:val="0C6270E3"/>
    <w:rsid w:val="0C65FBB2"/>
    <w:rsid w:val="0C6F386E"/>
    <w:rsid w:val="0C76395A"/>
    <w:rsid w:val="0C77BD38"/>
    <w:rsid w:val="0C785770"/>
    <w:rsid w:val="0C7A30E9"/>
    <w:rsid w:val="0C7BDB5C"/>
    <w:rsid w:val="0C80D058"/>
    <w:rsid w:val="0C832450"/>
    <w:rsid w:val="0C878E32"/>
    <w:rsid w:val="0C8A0532"/>
    <w:rsid w:val="0C98CABF"/>
    <w:rsid w:val="0C9C5BB3"/>
    <w:rsid w:val="0C9D6F7A"/>
    <w:rsid w:val="0C9FAA42"/>
    <w:rsid w:val="0CA1CD48"/>
    <w:rsid w:val="0CA26D0F"/>
    <w:rsid w:val="0CA4F242"/>
    <w:rsid w:val="0CA7D64E"/>
    <w:rsid w:val="0CAA76F4"/>
    <w:rsid w:val="0CB08E6E"/>
    <w:rsid w:val="0CB14197"/>
    <w:rsid w:val="0CB2F841"/>
    <w:rsid w:val="0CB57F14"/>
    <w:rsid w:val="0CB7E101"/>
    <w:rsid w:val="0CB957D7"/>
    <w:rsid w:val="0CBA6BEC"/>
    <w:rsid w:val="0CBB32B1"/>
    <w:rsid w:val="0CBC1353"/>
    <w:rsid w:val="0CC998DC"/>
    <w:rsid w:val="0CD2FC89"/>
    <w:rsid w:val="0CD874D2"/>
    <w:rsid w:val="0CE01BDD"/>
    <w:rsid w:val="0CE05FF8"/>
    <w:rsid w:val="0CE9D282"/>
    <w:rsid w:val="0CEDBD8A"/>
    <w:rsid w:val="0CEFB3E8"/>
    <w:rsid w:val="0CF18759"/>
    <w:rsid w:val="0CF27D5F"/>
    <w:rsid w:val="0CF90053"/>
    <w:rsid w:val="0CFA9D8B"/>
    <w:rsid w:val="0CFD6269"/>
    <w:rsid w:val="0CFDE0B6"/>
    <w:rsid w:val="0D004762"/>
    <w:rsid w:val="0D006552"/>
    <w:rsid w:val="0D009285"/>
    <w:rsid w:val="0D0875B8"/>
    <w:rsid w:val="0D0EB9B5"/>
    <w:rsid w:val="0D0FAD68"/>
    <w:rsid w:val="0D11D67D"/>
    <w:rsid w:val="0D12A15F"/>
    <w:rsid w:val="0D1CAAB7"/>
    <w:rsid w:val="0D247EED"/>
    <w:rsid w:val="0D251A9C"/>
    <w:rsid w:val="0D26BAC1"/>
    <w:rsid w:val="0D310DD4"/>
    <w:rsid w:val="0D319A47"/>
    <w:rsid w:val="0D35747E"/>
    <w:rsid w:val="0D374263"/>
    <w:rsid w:val="0D4DAA0A"/>
    <w:rsid w:val="0D51945C"/>
    <w:rsid w:val="0D5333B4"/>
    <w:rsid w:val="0D569787"/>
    <w:rsid w:val="0D574B67"/>
    <w:rsid w:val="0D5BF631"/>
    <w:rsid w:val="0D630B17"/>
    <w:rsid w:val="0D6413A8"/>
    <w:rsid w:val="0D69CC22"/>
    <w:rsid w:val="0D6EE3E4"/>
    <w:rsid w:val="0D790989"/>
    <w:rsid w:val="0D7DD1B5"/>
    <w:rsid w:val="0D88A833"/>
    <w:rsid w:val="0D898F85"/>
    <w:rsid w:val="0D947302"/>
    <w:rsid w:val="0D953CF2"/>
    <w:rsid w:val="0D9CA6D0"/>
    <w:rsid w:val="0D9EA6F7"/>
    <w:rsid w:val="0DAF6387"/>
    <w:rsid w:val="0DB03091"/>
    <w:rsid w:val="0DBF4547"/>
    <w:rsid w:val="0DCE87FC"/>
    <w:rsid w:val="0DCF2796"/>
    <w:rsid w:val="0DD1D638"/>
    <w:rsid w:val="0DD1DA50"/>
    <w:rsid w:val="0DD4BAB3"/>
    <w:rsid w:val="0DD8E81C"/>
    <w:rsid w:val="0DDD9314"/>
    <w:rsid w:val="0DE208DB"/>
    <w:rsid w:val="0DE820E2"/>
    <w:rsid w:val="0DEA0FFA"/>
    <w:rsid w:val="0DEC84BE"/>
    <w:rsid w:val="0DEDA953"/>
    <w:rsid w:val="0DEEA224"/>
    <w:rsid w:val="0DF2CA7A"/>
    <w:rsid w:val="0DF356E9"/>
    <w:rsid w:val="0DFB8E40"/>
    <w:rsid w:val="0DFEC730"/>
    <w:rsid w:val="0E018720"/>
    <w:rsid w:val="0E03EB57"/>
    <w:rsid w:val="0E067EAD"/>
    <w:rsid w:val="0E076A39"/>
    <w:rsid w:val="0E0F92B2"/>
    <w:rsid w:val="0E17E05D"/>
    <w:rsid w:val="0E1CA700"/>
    <w:rsid w:val="0E227944"/>
    <w:rsid w:val="0E23C2B9"/>
    <w:rsid w:val="0E27C2C8"/>
    <w:rsid w:val="0E282F71"/>
    <w:rsid w:val="0E2CACDC"/>
    <w:rsid w:val="0E31BA9D"/>
    <w:rsid w:val="0E32DE1B"/>
    <w:rsid w:val="0E3C39F3"/>
    <w:rsid w:val="0E4A2BDE"/>
    <w:rsid w:val="0E5D37DE"/>
    <w:rsid w:val="0E6465EE"/>
    <w:rsid w:val="0E650E6F"/>
    <w:rsid w:val="0E74A260"/>
    <w:rsid w:val="0E7DBB2D"/>
    <w:rsid w:val="0E879A11"/>
    <w:rsid w:val="0E8E2CD4"/>
    <w:rsid w:val="0E8EE123"/>
    <w:rsid w:val="0E95C6AA"/>
    <w:rsid w:val="0E961721"/>
    <w:rsid w:val="0E9634EE"/>
    <w:rsid w:val="0EA65BD3"/>
    <w:rsid w:val="0EA87FD4"/>
    <w:rsid w:val="0EA90392"/>
    <w:rsid w:val="0EAC1F61"/>
    <w:rsid w:val="0EB0AD03"/>
    <w:rsid w:val="0EB2E629"/>
    <w:rsid w:val="0EB572C0"/>
    <w:rsid w:val="0EBA4415"/>
    <w:rsid w:val="0EBBED20"/>
    <w:rsid w:val="0EC0A773"/>
    <w:rsid w:val="0ECF241F"/>
    <w:rsid w:val="0EE23933"/>
    <w:rsid w:val="0EE25459"/>
    <w:rsid w:val="0EEE52B6"/>
    <w:rsid w:val="0EF69E22"/>
    <w:rsid w:val="0EFDCFBF"/>
    <w:rsid w:val="0EFF07A4"/>
    <w:rsid w:val="0EFFEA14"/>
    <w:rsid w:val="0F028391"/>
    <w:rsid w:val="0F056FC8"/>
    <w:rsid w:val="0F069B70"/>
    <w:rsid w:val="0F08675E"/>
    <w:rsid w:val="0F0934B5"/>
    <w:rsid w:val="0F0E2C33"/>
    <w:rsid w:val="0F1AE49C"/>
    <w:rsid w:val="0F1DAD9F"/>
    <w:rsid w:val="0F1FA8F9"/>
    <w:rsid w:val="0F23B856"/>
    <w:rsid w:val="0F2488E6"/>
    <w:rsid w:val="0F2A7B6B"/>
    <w:rsid w:val="0F2A9C96"/>
    <w:rsid w:val="0F357937"/>
    <w:rsid w:val="0F377F8A"/>
    <w:rsid w:val="0F4685B5"/>
    <w:rsid w:val="0F46B62F"/>
    <w:rsid w:val="0F482663"/>
    <w:rsid w:val="0F4BE1BE"/>
    <w:rsid w:val="0F5477E2"/>
    <w:rsid w:val="0F5CD7F4"/>
    <w:rsid w:val="0F66BE19"/>
    <w:rsid w:val="0F6ABFEC"/>
    <w:rsid w:val="0F6F1A02"/>
    <w:rsid w:val="0F70E7EE"/>
    <w:rsid w:val="0F7470F1"/>
    <w:rsid w:val="0F77D252"/>
    <w:rsid w:val="0F7EF0BE"/>
    <w:rsid w:val="0F80AF32"/>
    <w:rsid w:val="0F80C1F0"/>
    <w:rsid w:val="0F81EE4D"/>
    <w:rsid w:val="0F8720FD"/>
    <w:rsid w:val="0F8B629A"/>
    <w:rsid w:val="0F928BDD"/>
    <w:rsid w:val="0F9540E7"/>
    <w:rsid w:val="0F99EF69"/>
    <w:rsid w:val="0F9B6F80"/>
    <w:rsid w:val="0F9DA3A9"/>
    <w:rsid w:val="0FB4CDD5"/>
    <w:rsid w:val="0FB4F4CC"/>
    <w:rsid w:val="0FC2B68F"/>
    <w:rsid w:val="0FC498BB"/>
    <w:rsid w:val="0FC58D86"/>
    <w:rsid w:val="0FC80AFA"/>
    <w:rsid w:val="0FC98BD5"/>
    <w:rsid w:val="0FCBC826"/>
    <w:rsid w:val="0FCF6A6A"/>
    <w:rsid w:val="0FE376D5"/>
    <w:rsid w:val="0FED75BB"/>
    <w:rsid w:val="0FF18D9D"/>
    <w:rsid w:val="0FF5320C"/>
    <w:rsid w:val="0FF72ECA"/>
    <w:rsid w:val="0FFDF333"/>
    <w:rsid w:val="10199CE4"/>
    <w:rsid w:val="101FE2B7"/>
    <w:rsid w:val="1027D0BA"/>
    <w:rsid w:val="1029DA34"/>
    <w:rsid w:val="102CC757"/>
    <w:rsid w:val="10390A6A"/>
    <w:rsid w:val="103D73C6"/>
    <w:rsid w:val="10434414"/>
    <w:rsid w:val="10489174"/>
    <w:rsid w:val="104AA118"/>
    <w:rsid w:val="104E387E"/>
    <w:rsid w:val="10544890"/>
    <w:rsid w:val="1069CC49"/>
    <w:rsid w:val="106AD46F"/>
    <w:rsid w:val="106D04E0"/>
    <w:rsid w:val="1074141E"/>
    <w:rsid w:val="1074D14E"/>
    <w:rsid w:val="107CCB37"/>
    <w:rsid w:val="107DD940"/>
    <w:rsid w:val="107E0683"/>
    <w:rsid w:val="107E9176"/>
    <w:rsid w:val="107F30C7"/>
    <w:rsid w:val="10824D4F"/>
    <w:rsid w:val="1089BCBF"/>
    <w:rsid w:val="108BFDA6"/>
    <w:rsid w:val="10905494"/>
    <w:rsid w:val="1090A7FB"/>
    <w:rsid w:val="1092837B"/>
    <w:rsid w:val="1094F042"/>
    <w:rsid w:val="1094F476"/>
    <w:rsid w:val="10988E92"/>
    <w:rsid w:val="10AA8BF7"/>
    <w:rsid w:val="10AC3CC9"/>
    <w:rsid w:val="10ADF0D9"/>
    <w:rsid w:val="10B7F5DE"/>
    <w:rsid w:val="10BC7ED7"/>
    <w:rsid w:val="10C2EE6F"/>
    <w:rsid w:val="10C34BE2"/>
    <w:rsid w:val="10C49C3C"/>
    <w:rsid w:val="10C4CB54"/>
    <w:rsid w:val="10CFAE8A"/>
    <w:rsid w:val="10E05482"/>
    <w:rsid w:val="10E40909"/>
    <w:rsid w:val="10F03BE8"/>
    <w:rsid w:val="10F5E3DD"/>
    <w:rsid w:val="10F94634"/>
    <w:rsid w:val="11006BEF"/>
    <w:rsid w:val="110A2963"/>
    <w:rsid w:val="110A70DB"/>
    <w:rsid w:val="110CF371"/>
    <w:rsid w:val="11139A0C"/>
    <w:rsid w:val="1115189A"/>
    <w:rsid w:val="111A3E3E"/>
    <w:rsid w:val="111DBD66"/>
    <w:rsid w:val="111F90F4"/>
    <w:rsid w:val="112164CD"/>
    <w:rsid w:val="11216D0E"/>
    <w:rsid w:val="1125E169"/>
    <w:rsid w:val="1129FF03"/>
    <w:rsid w:val="113ACD8A"/>
    <w:rsid w:val="114AB400"/>
    <w:rsid w:val="114BA928"/>
    <w:rsid w:val="114CFDB5"/>
    <w:rsid w:val="114D0EE4"/>
    <w:rsid w:val="114D818E"/>
    <w:rsid w:val="11515300"/>
    <w:rsid w:val="11541453"/>
    <w:rsid w:val="115679ED"/>
    <w:rsid w:val="115B2DBB"/>
    <w:rsid w:val="1162E481"/>
    <w:rsid w:val="11648AC3"/>
    <w:rsid w:val="116685BC"/>
    <w:rsid w:val="1176A7B9"/>
    <w:rsid w:val="1176D05C"/>
    <w:rsid w:val="117840D7"/>
    <w:rsid w:val="117F9F07"/>
    <w:rsid w:val="1184D9B0"/>
    <w:rsid w:val="11863949"/>
    <w:rsid w:val="11898E53"/>
    <w:rsid w:val="1189FCDC"/>
    <w:rsid w:val="118A101F"/>
    <w:rsid w:val="1190C527"/>
    <w:rsid w:val="1199DB7E"/>
    <w:rsid w:val="119A37B1"/>
    <w:rsid w:val="119A4C3E"/>
    <w:rsid w:val="11A25278"/>
    <w:rsid w:val="11A435B9"/>
    <w:rsid w:val="11A60D7B"/>
    <w:rsid w:val="11AB24E4"/>
    <w:rsid w:val="11AD3613"/>
    <w:rsid w:val="11B109A7"/>
    <w:rsid w:val="11B362AE"/>
    <w:rsid w:val="11BA6DD8"/>
    <w:rsid w:val="11C892C0"/>
    <w:rsid w:val="11CC9975"/>
    <w:rsid w:val="11D33423"/>
    <w:rsid w:val="11D72B74"/>
    <w:rsid w:val="11D75715"/>
    <w:rsid w:val="11D77E2E"/>
    <w:rsid w:val="11E15309"/>
    <w:rsid w:val="11E18369"/>
    <w:rsid w:val="11E70A5B"/>
    <w:rsid w:val="11E8332F"/>
    <w:rsid w:val="11E90E86"/>
    <w:rsid w:val="11EC09C7"/>
    <w:rsid w:val="11F00159"/>
    <w:rsid w:val="11FDA145"/>
    <w:rsid w:val="1201A3EA"/>
    <w:rsid w:val="12093D38"/>
    <w:rsid w:val="12094314"/>
    <w:rsid w:val="120B4ADF"/>
    <w:rsid w:val="120BCE2C"/>
    <w:rsid w:val="1216684A"/>
    <w:rsid w:val="12186670"/>
    <w:rsid w:val="12197546"/>
    <w:rsid w:val="121E9C82"/>
    <w:rsid w:val="121ECDAC"/>
    <w:rsid w:val="12214E6C"/>
    <w:rsid w:val="122998E9"/>
    <w:rsid w:val="122BD235"/>
    <w:rsid w:val="123022E8"/>
    <w:rsid w:val="12393705"/>
    <w:rsid w:val="123C54A3"/>
    <w:rsid w:val="123F5FA1"/>
    <w:rsid w:val="123FA183"/>
    <w:rsid w:val="1240A374"/>
    <w:rsid w:val="1243FEE7"/>
    <w:rsid w:val="124A33E5"/>
    <w:rsid w:val="124AC30E"/>
    <w:rsid w:val="1251E0CD"/>
    <w:rsid w:val="12578C23"/>
    <w:rsid w:val="1257F102"/>
    <w:rsid w:val="12584265"/>
    <w:rsid w:val="125A2298"/>
    <w:rsid w:val="125AE034"/>
    <w:rsid w:val="125EC91D"/>
    <w:rsid w:val="126CE273"/>
    <w:rsid w:val="12718FB6"/>
    <w:rsid w:val="12727131"/>
    <w:rsid w:val="1272AC12"/>
    <w:rsid w:val="12779A5F"/>
    <w:rsid w:val="127AFB16"/>
    <w:rsid w:val="127C1B0D"/>
    <w:rsid w:val="128453A2"/>
    <w:rsid w:val="1285D1CC"/>
    <w:rsid w:val="1287E6D7"/>
    <w:rsid w:val="128D34FF"/>
    <w:rsid w:val="1290A84A"/>
    <w:rsid w:val="1290CAB5"/>
    <w:rsid w:val="12917BA5"/>
    <w:rsid w:val="12A1AB20"/>
    <w:rsid w:val="12A1C9FB"/>
    <w:rsid w:val="12A75CD3"/>
    <w:rsid w:val="12A928B8"/>
    <w:rsid w:val="12AC24BC"/>
    <w:rsid w:val="12B06162"/>
    <w:rsid w:val="12B46807"/>
    <w:rsid w:val="12B5CE99"/>
    <w:rsid w:val="12B71603"/>
    <w:rsid w:val="12BABFA8"/>
    <w:rsid w:val="12BD1D1E"/>
    <w:rsid w:val="12C1C15F"/>
    <w:rsid w:val="12C38B1F"/>
    <w:rsid w:val="12C6FB64"/>
    <w:rsid w:val="12C880F0"/>
    <w:rsid w:val="12D13131"/>
    <w:rsid w:val="12D9C22C"/>
    <w:rsid w:val="12D9F58A"/>
    <w:rsid w:val="12DA8C0D"/>
    <w:rsid w:val="12DBB3D8"/>
    <w:rsid w:val="12EA4760"/>
    <w:rsid w:val="12EE3726"/>
    <w:rsid w:val="12EE42A8"/>
    <w:rsid w:val="12EED3AB"/>
    <w:rsid w:val="12F41F92"/>
    <w:rsid w:val="12F78F2F"/>
    <w:rsid w:val="13032057"/>
    <w:rsid w:val="130489B7"/>
    <w:rsid w:val="130730EC"/>
    <w:rsid w:val="130967E9"/>
    <w:rsid w:val="130C7D79"/>
    <w:rsid w:val="130CBE45"/>
    <w:rsid w:val="131D1C00"/>
    <w:rsid w:val="1326FF59"/>
    <w:rsid w:val="13281FEF"/>
    <w:rsid w:val="13290E1C"/>
    <w:rsid w:val="132BA43F"/>
    <w:rsid w:val="1334D4A9"/>
    <w:rsid w:val="133BFD25"/>
    <w:rsid w:val="134C8458"/>
    <w:rsid w:val="1352150B"/>
    <w:rsid w:val="13548AC7"/>
    <w:rsid w:val="13576558"/>
    <w:rsid w:val="135E6AEE"/>
    <w:rsid w:val="1365DFE3"/>
    <w:rsid w:val="136E91D9"/>
    <w:rsid w:val="136FA8AA"/>
    <w:rsid w:val="1370C065"/>
    <w:rsid w:val="1372EE6D"/>
    <w:rsid w:val="13772439"/>
    <w:rsid w:val="13778294"/>
    <w:rsid w:val="1377FCC1"/>
    <w:rsid w:val="1381EF12"/>
    <w:rsid w:val="1383D60A"/>
    <w:rsid w:val="1386CCB6"/>
    <w:rsid w:val="13871CF3"/>
    <w:rsid w:val="1387ABF5"/>
    <w:rsid w:val="1388317F"/>
    <w:rsid w:val="139060D3"/>
    <w:rsid w:val="139239FA"/>
    <w:rsid w:val="1398685B"/>
    <w:rsid w:val="139E35E0"/>
    <w:rsid w:val="139F60D5"/>
    <w:rsid w:val="13A17EF0"/>
    <w:rsid w:val="13A44E9B"/>
    <w:rsid w:val="13A691BD"/>
    <w:rsid w:val="13AE1234"/>
    <w:rsid w:val="13AEF3CC"/>
    <w:rsid w:val="13B241DF"/>
    <w:rsid w:val="13B37376"/>
    <w:rsid w:val="13B409FE"/>
    <w:rsid w:val="13B97B5D"/>
    <w:rsid w:val="13BADB3D"/>
    <w:rsid w:val="13C6A09D"/>
    <w:rsid w:val="13C95311"/>
    <w:rsid w:val="13CC2587"/>
    <w:rsid w:val="13CC8BBD"/>
    <w:rsid w:val="13D17F77"/>
    <w:rsid w:val="13D19876"/>
    <w:rsid w:val="13D4B049"/>
    <w:rsid w:val="13D9AAB0"/>
    <w:rsid w:val="13DADA99"/>
    <w:rsid w:val="13E14169"/>
    <w:rsid w:val="13F1B4ED"/>
    <w:rsid w:val="13F27402"/>
    <w:rsid w:val="13F75905"/>
    <w:rsid w:val="140223B7"/>
    <w:rsid w:val="1402B4D8"/>
    <w:rsid w:val="14054BEF"/>
    <w:rsid w:val="1405AD4A"/>
    <w:rsid w:val="140743A4"/>
    <w:rsid w:val="1407806A"/>
    <w:rsid w:val="140ACF0C"/>
    <w:rsid w:val="140D0CB3"/>
    <w:rsid w:val="14119B88"/>
    <w:rsid w:val="141555B6"/>
    <w:rsid w:val="14156029"/>
    <w:rsid w:val="141897FF"/>
    <w:rsid w:val="14211102"/>
    <w:rsid w:val="14230FFE"/>
    <w:rsid w:val="142EF567"/>
    <w:rsid w:val="143259E4"/>
    <w:rsid w:val="1434F9FA"/>
    <w:rsid w:val="14386988"/>
    <w:rsid w:val="143E6307"/>
    <w:rsid w:val="14417CE3"/>
    <w:rsid w:val="1445CBDA"/>
    <w:rsid w:val="144A54CC"/>
    <w:rsid w:val="144AACC0"/>
    <w:rsid w:val="144CFA7E"/>
    <w:rsid w:val="144D7C54"/>
    <w:rsid w:val="145E0790"/>
    <w:rsid w:val="146001C3"/>
    <w:rsid w:val="14645144"/>
    <w:rsid w:val="146506F7"/>
    <w:rsid w:val="14654805"/>
    <w:rsid w:val="1466029B"/>
    <w:rsid w:val="146D32F9"/>
    <w:rsid w:val="146DD3B1"/>
    <w:rsid w:val="146F88F1"/>
    <w:rsid w:val="147090BF"/>
    <w:rsid w:val="147BCF59"/>
    <w:rsid w:val="147EC079"/>
    <w:rsid w:val="14844924"/>
    <w:rsid w:val="148620FD"/>
    <w:rsid w:val="1497F078"/>
    <w:rsid w:val="149806D7"/>
    <w:rsid w:val="149B1C87"/>
    <w:rsid w:val="149B2E91"/>
    <w:rsid w:val="14A0C7F0"/>
    <w:rsid w:val="14A35657"/>
    <w:rsid w:val="14A4D4A0"/>
    <w:rsid w:val="14B19FE5"/>
    <w:rsid w:val="14B2CAB1"/>
    <w:rsid w:val="14B62DB9"/>
    <w:rsid w:val="14B9C7DB"/>
    <w:rsid w:val="14BA0372"/>
    <w:rsid w:val="14C0527D"/>
    <w:rsid w:val="14C5014B"/>
    <w:rsid w:val="14C52843"/>
    <w:rsid w:val="14C5433F"/>
    <w:rsid w:val="14C67337"/>
    <w:rsid w:val="14D21D3C"/>
    <w:rsid w:val="14D5F7FC"/>
    <w:rsid w:val="14DDE9C8"/>
    <w:rsid w:val="14E412CD"/>
    <w:rsid w:val="14E8BDBD"/>
    <w:rsid w:val="14E95D41"/>
    <w:rsid w:val="14EAE768"/>
    <w:rsid w:val="14EAEF38"/>
    <w:rsid w:val="14F94FD9"/>
    <w:rsid w:val="14FD03C2"/>
    <w:rsid w:val="1510805F"/>
    <w:rsid w:val="151B3A30"/>
    <w:rsid w:val="151CCC04"/>
    <w:rsid w:val="151D57D6"/>
    <w:rsid w:val="15216894"/>
    <w:rsid w:val="15243F29"/>
    <w:rsid w:val="152B5D7F"/>
    <w:rsid w:val="15381B38"/>
    <w:rsid w:val="153B775F"/>
    <w:rsid w:val="153C7C69"/>
    <w:rsid w:val="154AE319"/>
    <w:rsid w:val="154C0AC5"/>
    <w:rsid w:val="154D03A0"/>
    <w:rsid w:val="154DC1D2"/>
    <w:rsid w:val="15615058"/>
    <w:rsid w:val="15696BEC"/>
    <w:rsid w:val="156F9E4E"/>
    <w:rsid w:val="156FA464"/>
    <w:rsid w:val="15747644"/>
    <w:rsid w:val="157879D0"/>
    <w:rsid w:val="15794D24"/>
    <w:rsid w:val="157C602D"/>
    <w:rsid w:val="15814C80"/>
    <w:rsid w:val="15817DCC"/>
    <w:rsid w:val="15897342"/>
    <w:rsid w:val="1596CF17"/>
    <w:rsid w:val="159D2F47"/>
    <w:rsid w:val="15B33815"/>
    <w:rsid w:val="15B75C72"/>
    <w:rsid w:val="15B7DB13"/>
    <w:rsid w:val="15C21CB5"/>
    <w:rsid w:val="15C80E18"/>
    <w:rsid w:val="15D4D491"/>
    <w:rsid w:val="15DE558D"/>
    <w:rsid w:val="15E15848"/>
    <w:rsid w:val="15E3ADDE"/>
    <w:rsid w:val="15E3C3C4"/>
    <w:rsid w:val="15E446E8"/>
    <w:rsid w:val="15E65801"/>
    <w:rsid w:val="15E83EC1"/>
    <w:rsid w:val="15E978B2"/>
    <w:rsid w:val="15F007D6"/>
    <w:rsid w:val="15F43629"/>
    <w:rsid w:val="15F58080"/>
    <w:rsid w:val="15F6420D"/>
    <w:rsid w:val="15F67790"/>
    <w:rsid w:val="15FC4B40"/>
    <w:rsid w:val="16014B68"/>
    <w:rsid w:val="160203F2"/>
    <w:rsid w:val="160BCA23"/>
    <w:rsid w:val="162189D7"/>
    <w:rsid w:val="1626FD4F"/>
    <w:rsid w:val="162CA30E"/>
    <w:rsid w:val="1633333A"/>
    <w:rsid w:val="1633BC34"/>
    <w:rsid w:val="163E1DC9"/>
    <w:rsid w:val="1641E3B0"/>
    <w:rsid w:val="1647F3B8"/>
    <w:rsid w:val="1648EA89"/>
    <w:rsid w:val="1654CFD4"/>
    <w:rsid w:val="1656C096"/>
    <w:rsid w:val="1657B7B0"/>
    <w:rsid w:val="166713C7"/>
    <w:rsid w:val="1674A157"/>
    <w:rsid w:val="167547C4"/>
    <w:rsid w:val="16795B3C"/>
    <w:rsid w:val="1681D41C"/>
    <w:rsid w:val="168406B2"/>
    <w:rsid w:val="16850778"/>
    <w:rsid w:val="168597A0"/>
    <w:rsid w:val="168BFE04"/>
    <w:rsid w:val="16927101"/>
    <w:rsid w:val="169662BE"/>
    <w:rsid w:val="169AEB76"/>
    <w:rsid w:val="169C6636"/>
    <w:rsid w:val="169D3037"/>
    <w:rsid w:val="169E4882"/>
    <w:rsid w:val="16A8B0A6"/>
    <w:rsid w:val="16B70486"/>
    <w:rsid w:val="16C10E27"/>
    <w:rsid w:val="16C7FA67"/>
    <w:rsid w:val="16D066EB"/>
    <w:rsid w:val="16D27EA9"/>
    <w:rsid w:val="16D9BC30"/>
    <w:rsid w:val="16E1F21B"/>
    <w:rsid w:val="16EA27A4"/>
    <w:rsid w:val="16EEC602"/>
    <w:rsid w:val="16F5CC5B"/>
    <w:rsid w:val="16F6DB5B"/>
    <w:rsid w:val="16F83DF1"/>
    <w:rsid w:val="16FB83CF"/>
    <w:rsid w:val="16FEC90A"/>
    <w:rsid w:val="1701C637"/>
    <w:rsid w:val="170A6FC5"/>
    <w:rsid w:val="170DE092"/>
    <w:rsid w:val="170F29FE"/>
    <w:rsid w:val="17154372"/>
    <w:rsid w:val="17173012"/>
    <w:rsid w:val="17186266"/>
    <w:rsid w:val="17194BED"/>
    <w:rsid w:val="171C06F3"/>
    <w:rsid w:val="171DC178"/>
    <w:rsid w:val="17257AD1"/>
    <w:rsid w:val="1728241C"/>
    <w:rsid w:val="17318D00"/>
    <w:rsid w:val="1735D9C6"/>
    <w:rsid w:val="173A4145"/>
    <w:rsid w:val="173DC5B1"/>
    <w:rsid w:val="173E26F0"/>
    <w:rsid w:val="17411339"/>
    <w:rsid w:val="1741C5C9"/>
    <w:rsid w:val="17460DC4"/>
    <w:rsid w:val="1748F8AB"/>
    <w:rsid w:val="17491689"/>
    <w:rsid w:val="174B1E68"/>
    <w:rsid w:val="174B32D0"/>
    <w:rsid w:val="17518249"/>
    <w:rsid w:val="1752379D"/>
    <w:rsid w:val="1757CADF"/>
    <w:rsid w:val="1758A849"/>
    <w:rsid w:val="17633860"/>
    <w:rsid w:val="1763CACF"/>
    <w:rsid w:val="176EF97E"/>
    <w:rsid w:val="17824360"/>
    <w:rsid w:val="178B1085"/>
    <w:rsid w:val="178B6967"/>
    <w:rsid w:val="178DCF92"/>
    <w:rsid w:val="178E4C94"/>
    <w:rsid w:val="178ECE51"/>
    <w:rsid w:val="178EED8C"/>
    <w:rsid w:val="17956435"/>
    <w:rsid w:val="179AB4A4"/>
    <w:rsid w:val="17A50CEA"/>
    <w:rsid w:val="17AF655C"/>
    <w:rsid w:val="17B3318D"/>
    <w:rsid w:val="17B6461F"/>
    <w:rsid w:val="17BECEA7"/>
    <w:rsid w:val="17C1D6C4"/>
    <w:rsid w:val="17C58EF1"/>
    <w:rsid w:val="17C67DC6"/>
    <w:rsid w:val="17E9265F"/>
    <w:rsid w:val="17EAB1F2"/>
    <w:rsid w:val="17ED8C04"/>
    <w:rsid w:val="17F2340A"/>
    <w:rsid w:val="17F3CACB"/>
    <w:rsid w:val="17F5C27E"/>
    <w:rsid w:val="17F61EE4"/>
    <w:rsid w:val="17FD7C18"/>
    <w:rsid w:val="1801572C"/>
    <w:rsid w:val="1803060C"/>
    <w:rsid w:val="1803FA46"/>
    <w:rsid w:val="18053BBC"/>
    <w:rsid w:val="1805BC5F"/>
    <w:rsid w:val="180A68F9"/>
    <w:rsid w:val="18151570"/>
    <w:rsid w:val="181B5B12"/>
    <w:rsid w:val="1821AFAB"/>
    <w:rsid w:val="1822EA5C"/>
    <w:rsid w:val="18244AB7"/>
    <w:rsid w:val="1826545B"/>
    <w:rsid w:val="184D1D45"/>
    <w:rsid w:val="184D6E7B"/>
    <w:rsid w:val="184FF47B"/>
    <w:rsid w:val="18532F5D"/>
    <w:rsid w:val="185A0A50"/>
    <w:rsid w:val="186A988A"/>
    <w:rsid w:val="186CF7D9"/>
    <w:rsid w:val="186D2560"/>
    <w:rsid w:val="186D34ED"/>
    <w:rsid w:val="1871E70D"/>
    <w:rsid w:val="18784697"/>
    <w:rsid w:val="187FEA50"/>
    <w:rsid w:val="18885D26"/>
    <w:rsid w:val="188C775A"/>
    <w:rsid w:val="1892E616"/>
    <w:rsid w:val="1895F608"/>
    <w:rsid w:val="18982FB3"/>
    <w:rsid w:val="189A8D01"/>
    <w:rsid w:val="18A33445"/>
    <w:rsid w:val="18A727DD"/>
    <w:rsid w:val="18A78FC7"/>
    <w:rsid w:val="18ADF75C"/>
    <w:rsid w:val="18B4F6FE"/>
    <w:rsid w:val="18C2106E"/>
    <w:rsid w:val="18C35EC3"/>
    <w:rsid w:val="18CA1F82"/>
    <w:rsid w:val="18D28B78"/>
    <w:rsid w:val="18D4E63E"/>
    <w:rsid w:val="18D4F335"/>
    <w:rsid w:val="18DDF0C3"/>
    <w:rsid w:val="18E05539"/>
    <w:rsid w:val="18E7C2E5"/>
    <w:rsid w:val="18F63FC1"/>
    <w:rsid w:val="18F66515"/>
    <w:rsid w:val="18F85B84"/>
    <w:rsid w:val="18FFFFC0"/>
    <w:rsid w:val="19020B88"/>
    <w:rsid w:val="190BA239"/>
    <w:rsid w:val="190EECAA"/>
    <w:rsid w:val="190F87D0"/>
    <w:rsid w:val="1915BA4F"/>
    <w:rsid w:val="1917DD35"/>
    <w:rsid w:val="191832BC"/>
    <w:rsid w:val="19227EDF"/>
    <w:rsid w:val="19308507"/>
    <w:rsid w:val="193D2292"/>
    <w:rsid w:val="19402CDA"/>
    <w:rsid w:val="1948AFFA"/>
    <w:rsid w:val="1955D033"/>
    <w:rsid w:val="195873A2"/>
    <w:rsid w:val="19592EB2"/>
    <w:rsid w:val="195A5502"/>
    <w:rsid w:val="195D46CB"/>
    <w:rsid w:val="19602474"/>
    <w:rsid w:val="1966AC44"/>
    <w:rsid w:val="196B1D07"/>
    <w:rsid w:val="196F4610"/>
    <w:rsid w:val="19710BFC"/>
    <w:rsid w:val="197420BD"/>
    <w:rsid w:val="1984EF57"/>
    <w:rsid w:val="198A31AE"/>
    <w:rsid w:val="198CE60F"/>
    <w:rsid w:val="198E9D40"/>
    <w:rsid w:val="19918401"/>
    <w:rsid w:val="199676C2"/>
    <w:rsid w:val="1997E57C"/>
    <w:rsid w:val="199EBA56"/>
    <w:rsid w:val="19A10A55"/>
    <w:rsid w:val="19A46AA7"/>
    <w:rsid w:val="19A5CC76"/>
    <w:rsid w:val="19A6C0D4"/>
    <w:rsid w:val="19A6F5B2"/>
    <w:rsid w:val="19A7FED4"/>
    <w:rsid w:val="19AB6A69"/>
    <w:rsid w:val="19B356A1"/>
    <w:rsid w:val="19B64F8B"/>
    <w:rsid w:val="19C27E34"/>
    <w:rsid w:val="19C60C94"/>
    <w:rsid w:val="19C622E8"/>
    <w:rsid w:val="19C67C0A"/>
    <w:rsid w:val="19CD4206"/>
    <w:rsid w:val="19DDCDF7"/>
    <w:rsid w:val="19E4B447"/>
    <w:rsid w:val="19F1792C"/>
    <w:rsid w:val="19F847F8"/>
    <w:rsid w:val="19FD6642"/>
    <w:rsid w:val="19FDD2EE"/>
    <w:rsid w:val="19FF1F54"/>
    <w:rsid w:val="19FF2F4E"/>
    <w:rsid w:val="19FF52B1"/>
    <w:rsid w:val="1A00437E"/>
    <w:rsid w:val="1A105DB7"/>
    <w:rsid w:val="1A15481A"/>
    <w:rsid w:val="1A1900FD"/>
    <w:rsid w:val="1A1960A0"/>
    <w:rsid w:val="1A19FEAF"/>
    <w:rsid w:val="1A1A16C0"/>
    <w:rsid w:val="1A1E522A"/>
    <w:rsid w:val="1A1E916E"/>
    <w:rsid w:val="1A1EEFFA"/>
    <w:rsid w:val="1A238257"/>
    <w:rsid w:val="1A2BA76D"/>
    <w:rsid w:val="1A2CE217"/>
    <w:rsid w:val="1A2D83C4"/>
    <w:rsid w:val="1A326C52"/>
    <w:rsid w:val="1A332976"/>
    <w:rsid w:val="1A3D41F9"/>
    <w:rsid w:val="1A3E9A7D"/>
    <w:rsid w:val="1A3FFBFA"/>
    <w:rsid w:val="1A43F5BF"/>
    <w:rsid w:val="1A481A1E"/>
    <w:rsid w:val="1A547250"/>
    <w:rsid w:val="1A59979F"/>
    <w:rsid w:val="1A5B11DE"/>
    <w:rsid w:val="1A5B7287"/>
    <w:rsid w:val="1A5CA961"/>
    <w:rsid w:val="1A5DA374"/>
    <w:rsid w:val="1A5E45D7"/>
    <w:rsid w:val="1A6037CA"/>
    <w:rsid w:val="1A654BE9"/>
    <w:rsid w:val="1A68A6BA"/>
    <w:rsid w:val="1A6A770B"/>
    <w:rsid w:val="1A6FFD45"/>
    <w:rsid w:val="1A746A44"/>
    <w:rsid w:val="1A7C8BA6"/>
    <w:rsid w:val="1A7E144A"/>
    <w:rsid w:val="1A91FD5F"/>
    <w:rsid w:val="1A962F01"/>
    <w:rsid w:val="1A9AE159"/>
    <w:rsid w:val="1AA2CC3D"/>
    <w:rsid w:val="1AB87D92"/>
    <w:rsid w:val="1ABB4370"/>
    <w:rsid w:val="1ABE3111"/>
    <w:rsid w:val="1AC28CE0"/>
    <w:rsid w:val="1AC4B14A"/>
    <w:rsid w:val="1AC8B219"/>
    <w:rsid w:val="1ACA4154"/>
    <w:rsid w:val="1ACA6799"/>
    <w:rsid w:val="1ACFD42A"/>
    <w:rsid w:val="1AD0A2E2"/>
    <w:rsid w:val="1AD17C83"/>
    <w:rsid w:val="1AE26AF9"/>
    <w:rsid w:val="1AEF7F11"/>
    <w:rsid w:val="1AF67B62"/>
    <w:rsid w:val="1AF8778B"/>
    <w:rsid w:val="1AFCBD75"/>
    <w:rsid w:val="1AFFAF52"/>
    <w:rsid w:val="1B033990"/>
    <w:rsid w:val="1B043946"/>
    <w:rsid w:val="1B070115"/>
    <w:rsid w:val="1B0B9AF8"/>
    <w:rsid w:val="1B0F573A"/>
    <w:rsid w:val="1B106C71"/>
    <w:rsid w:val="1B14CB84"/>
    <w:rsid w:val="1B1DCC71"/>
    <w:rsid w:val="1B1F9169"/>
    <w:rsid w:val="1B295D59"/>
    <w:rsid w:val="1B2A89FE"/>
    <w:rsid w:val="1B35F02E"/>
    <w:rsid w:val="1B3A447E"/>
    <w:rsid w:val="1B3DD08F"/>
    <w:rsid w:val="1B41A01B"/>
    <w:rsid w:val="1B4883E3"/>
    <w:rsid w:val="1B553443"/>
    <w:rsid w:val="1B560CC8"/>
    <w:rsid w:val="1B5AF00B"/>
    <w:rsid w:val="1B6160EE"/>
    <w:rsid w:val="1B62C66B"/>
    <w:rsid w:val="1B6BAB62"/>
    <w:rsid w:val="1B6EFE6B"/>
    <w:rsid w:val="1B6F33EA"/>
    <w:rsid w:val="1B744ECA"/>
    <w:rsid w:val="1B7AE7B0"/>
    <w:rsid w:val="1B888EFD"/>
    <w:rsid w:val="1B8D6712"/>
    <w:rsid w:val="1BB2A881"/>
    <w:rsid w:val="1BB7D550"/>
    <w:rsid w:val="1BBE4598"/>
    <w:rsid w:val="1BBE86E4"/>
    <w:rsid w:val="1BBF4B3C"/>
    <w:rsid w:val="1BCAB34B"/>
    <w:rsid w:val="1BCB840E"/>
    <w:rsid w:val="1BD0B17B"/>
    <w:rsid w:val="1BD54302"/>
    <w:rsid w:val="1BD89CE4"/>
    <w:rsid w:val="1BE2C8EE"/>
    <w:rsid w:val="1BEB7E42"/>
    <w:rsid w:val="1BF419F5"/>
    <w:rsid w:val="1BF5063B"/>
    <w:rsid w:val="1BF9D0B9"/>
    <w:rsid w:val="1BFD2AFA"/>
    <w:rsid w:val="1BFF4E09"/>
    <w:rsid w:val="1BFFD8E4"/>
    <w:rsid w:val="1C01FDE7"/>
    <w:rsid w:val="1C049D32"/>
    <w:rsid w:val="1C075755"/>
    <w:rsid w:val="1C0D2FC9"/>
    <w:rsid w:val="1C10077A"/>
    <w:rsid w:val="1C157D6E"/>
    <w:rsid w:val="1C15913B"/>
    <w:rsid w:val="1C1C43B6"/>
    <w:rsid w:val="1C2692BB"/>
    <w:rsid w:val="1C2AF039"/>
    <w:rsid w:val="1C2CD9BA"/>
    <w:rsid w:val="1C3201C4"/>
    <w:rsid w:val="1C32485F"/>
    <w:rsid w:val="1C3A744C"/>
    <w:rsid w:val="1C3ACCD0"/>
    <w:rsid w:val="1C3F1A7F"/>
    <w:rsid w:val="1C41AC38"/>
    <w:rsid w:val="1C440ACC"/>
    <w:rsid w:val="1C49F090"/>
    <w:rsid w:val="1C50C0D7"/>
    <w:rsid w:val="1C514DAF"/>
    <w:rsid w:val="1C538FBB"/>
    <w:rsid w:val="1C58F227"/>
    <w:rsid w:val="1C5E66CE"/>
    <w:rsid w:val="1C5F6062"/>
    <w:rsid w:val="1C62B2C1"/>
    <w:rsid w:val="1C6A9C1F"/>
    <w:rsid w:val="1C6BD50D"/>
    <w:rsid w:val="1C6D3112"/>
    <w:rsid w:val="1C7185DD"/>
    <w:rsid w:val="1C71E5E3"/>
    <w:rsid w:val="1C7270FE"/>
    <w:rsid w:val="1C74A0EE"/>
    <w:rsid w:val="1C7C0515"/>
    <w:rsid w:val="1C81428E"/>
    <w:rsid w:val="1C8CDE46"/>
    <w:rsid w:val="1C910A04"/>
    <w:rsid w:val="1C95455D"/>
    <w:rsid w:val="1C96015B"/>
    <w:rsid w:val="1C97E6C8"/>
    <w:rsid w:val="1C9C9956"/>
    <w:rsid w:val="1CAC4AD8"/>
    <w:rsid w:val="1CAE904A"/>
    <w:rsid w:val="1CB38A86"/>
    <w:rsid w:val="1CB66F52"/>
    <w:rsid w:val="1CB88A72"/>
    <w:rsid w:val="1CBE7DF0"/>
    <w:rsid w:val="1CC070A7"/>
    <w:rsid w:val="1CC5B9C7"/>
    <w:rsid w:val="1CC8C51D"/>
    <w:rsid w:val="1CCA00A8"/>
    <w:rsid w:val="1CCD1507"/>
    <w:rsid w:val="1CD9AEE8"/>
    <w:rsid w:val="1CDAA444"/>
    <w:rsid w:val="1CDAC8F1"/>
    <w:rsid w:val="1CDBA376"/>
    <w:rsid w:val="1CEB21DD"/>
    <w:rsid w:val="1CEBCB73"/>
    <w:rsid w:val="1CED5BF6"/>
    <w:rsid w:val="1CEFB2C7"/>
    <w:rsid w:val="1CFA029D"/>
    <w:rsid w:val="1CFDA01F"/>
    <w:rsid w:val="1D01CA34"/>
    <w:rsid w:val="1D05AD3D"/>
    <w:rsid w:val="1D0C8F66"/>
    <w:rsid w:val="1D1303A7"/>
    <w:rsid w:val="1D137840"/>
    <w:rsid w:val="1D22CA8F"/>
    <w:rsid w:val="1D22DFA6"/>
    <w:rsid w:val="1D26B312"/>
    <w:rsid w:val="1D27AEFA"/>
    <w:rsid w:val="1D334A94"/>
    <w:rsid w:val="1D3940D9"/>
    <w:rsid w:val="1D3CA4F3"/>
    <w:rsid w:val="1D3FF347"/>
    <w:rsid w:val="1D4A2467"/>
    <w:rsid w:val="1D528F4B"/>
    <w:rsid w:val="1D56DCB6"/>
    <w:rsid w:val="1D5A33F6"/>
    <w:rsid w:val="1D5B92A5"/>
    <w:rsid w:val="1D5CCA0E"/>
    <w:rsid w:val="1D67969A"/>
    <w:rsid w:val="1D693B7B"/>
    <w:rsid w:val="1D7371B0"/>
    <w:rsid w:val="1D75A400"/>
    <w:rsid w:val="1D8A9771"/>
    <w:rsid w:val="1D8E4FBD"/>
    <w:rsid w:val="1D8EE675"/>
    <w:rsid w:val="1D903A6E"/>
    <w:rsid w:val="1D94DDD1"/>
    <w:rsid w:val="1D95F5B8"/>
    <w:rsid w:val="1D9A466C"/>
    <w:rsid w:val="1DA06D30"/>
    <w:rsid w:val="1DA0A5C5"/>
    <w:rsid w:val="1DA44642"/>
    <w:rsid w:val="1DAE403F"/>
    <w:rsid w:val="1DB48945"/>
    <w:rsid w:val="1DBDBE1B"/>
    <w:rsid w:val="1DBFF970"/>
    <w:rsid w:val="1DC00647"/>
    <w:rsid w:val="1DC07972"/>
    <w:rsid w:val="1DC0996A"/>
    <w:rsid w:val="1DCA5118"/>
    <w:rsid w:val="1DCB1ADC"/>
    <w:rsid w:val="1DE32884"/>
    <w:rsid w:val="1DE517CE"/>
    <w:rsid w:val="1DE95913"/>
    <w:rsid w:val="1DEB1D2A"/>
    <w:rsid w:val="1DEFF04C"/>
    <w:rsid w:val="1DF15E89"/>
    <w:rsid w:val="1DF4F69E"/>
    <w:rsid w:val="1DFB1ABD"/>
    <w:rsid w:val="1DFEB3CD"/>
    <w:rsid w:val="1E0CFF5B"/>
    <w:rsid w:val="1E10C49C"/>
    <w:rsid w:val="1E10CA9C"/>
    <w:rsid w:val="1E183B97"/>
    <w:rsid w:val="1E201F32"/>
    <w:rsid w:val="1E24C81E"/>
    <w:rsid w:val="1E303E8B"/>
    <w:rsid w:val="1E34FF0C"/>
    <w:rsid w:val="1E37C6CE"/>
    <w:rsid w:val="1E3906C2"/>
    <w:rsid w:val="1E3DFC65"/>
    <w:rsid w:val="1E3F433A"/>
    <w:rsid w:val="1E420890"/>
    <w:rsid w:val="1E43A62A"/>
    <w:rsid w:val="1E446D4D"/>
    <w:rsid w:val="1E46D34F"/>
    <w:rsid w:val="1E48A3D2"/>
    <w:rsid w:val="1E48E6E4"/>
    <w:rsid w:val="1E4AD020"/>
    <w:rsid w:val="1E4D96BF"/>
    <w:rsid w:val="1E52943D"/>
    <w:rsid w:val="1E5388EF"/>
    <w:rsid w:val="1E5C2164"/>
    <w:rsid w:val="1E5E45B1"/>
    <w:rsid w:val="1E5F3D10"/>
    <w:rsid w:val="1E626BC3"/>
    <w:rsid w:val="1E64DCE8"/>
    <w:rsid w:val="1E65E5FD"/>
    <w:rsid w:val="1E683B18"/>
    <w:rsid w:val="1E6A8455"/>
    <w:rsid w:val="1E6B1928"/>
    <w:rsid w:val="1E6D4553"/>
    <w:rsid w:val="1E6DDFCF"/>
    <w:rsid w:val="1E6F0C3F"/>
    <w:rsid w:val="1E707F92"/>
    <w:rsid w:val="1E7A61E4"/>
    <w:rsid w:val="1E7F9587"/>
    <w:rsid w:val="1E8268E7"/>
    <w:rsid w:val="1E83188B"/>
    <w:rsid w:val="1E85AD81"/>
    <w:rsid w:val="1E85D9D2"/>
    <w:rsid w:val="1E894742"/>
    <w:rsid w:val="1E8C8317"/>
    <w:rsid w:val="1E90F4A8"/>
    <w:rsid w:val="1E98BB75"/>
    <w:rsid w:val="1E9D4DCF"/>
    <w:rsid w:val="1EA28612"/>
    <w:rsid w:val="1EAE9BAC"/>
    <w:rsid w:val="1EB2027C"/>
    <w:rsid w:val="1EB8E6AD"/>
    <w:rsid w:val="1EB984D8"/>
    <w:rsid w:val="1EC5E1C3"/>
    <w:rsid w:val="1ED10286"/>
    <w:rsid w:val="1EDA744B"/>
    <w:rsid w:val="1EDC5FC2"/>
    <w:rsid w:val="1EE2BC5A"/>
    <w:rsid w:val="1EE4E09B"/>
    <w:rsid w:val="1EE5179C"/>
    <w:rsid w:val="1EE55D6F"/>
    <w:rsid w:val="1EE98177"/>
    <w:rsid w:val="1EEC744D"/>
    <w:rsid w:val="1EEE2B9C"/>
    <w:rsid w:val="1EF7206E"/>
    <w:rsid w:val="1EF91A6D"/>
    <w:rsid w:val="1EFCCE66"/>
    <w:rsid w:val="1F0059EE"/>
    <w:rsid w:val="1F02F424"/>
    <w:rsid w:val="1F055295"/>
    <w:rsid w:val="1F0D78DE"/>
    <w:rsid w:val="1F15550C"/>
    <w:rsid w:val="1F1778A1"/>
    <w:rsid w:val="1F1DDD37"/>
    <w:rsid w:val="1F22AA93"/>
    <w:rsid w:val="1F274578"/>
    <w:rsid w:val="1F27CDA8"/>
    <w:rsid w:val="1F3305BA"/>
    <w:rsid w:val="1F37F6D6"/>
    <w:rsid w:val="1F3ABDC9"/>
    <w:rsid w:val="1F422437"/>
    <w:rsid w:val="1F4441FE"/>
    <w:rsid w:val="1F46C624"/>
    <w:rsid w:val="1F487AB6"/>
    <w:rsid w:val="1F4EB390"/>
    <w:rsid w:val="1F4FB6AE"/>
    <w:rsid w:val="1F5E7466"/>
    <w:rsid w:val="1F5FBD7F"/>
    <w:rsid w:val="1F6542A1"/>
    <w:rsid w:val="1F68C7EC"/>
    <w:rsid w:val="1F82F6A8"/>
    <w:rsid w:val="1F85DE17"/>
    <w:rsid w:val="1F8640E8"/>
    <w:rsid w:val="1F8D180F"/>
    <w:rsid w:val="1F9BCD45"/>
    <w:rsid w:val="1F9FC206"/>
    <w:rsid w:val="1FAF54EE"/>
    <w:rsid w:val="1FB34A0A"/>
    <w:rsid w:val="1FB4F4A0"/>
    <w:rsid w:val="1FBC1274"/>
    <w:rsid w:val="1FBDFBAB"/>
    <w:rsid w:val="1FBED9F4"/>
    <w:rsid w:val="1FC1F018"/>
    <w:rsid w:val="1FCCAC98"/>
    <w:rsid w:val="1FD33C09"/>
    <w:rsid w:val="1FDB0005"/>
    <w:rsid w:val="1FDEFB61"/>
    <w:rsid w:val="1FE31F20"/>
    <w:rsid w:val="1FE3D293"/>
    <w:rsid w:val="1FE493D3"/>
    <w:rsid w:val="1FEDED1E"/>
    <w:rsid w:val="1FF1CEBA"/>
    <w:rsid w:val="1FF1D152"/>
    <w:rsid w:val="1FF53D57"/>
    <w:rsid w:val="200034DC"/>
    <w:rsid w:val="20003DF4"/>
    <w:rsid w:val="2000888D"/>
    <w:rsid w:val="2003548B"/>
    <w:rsid w:val="200C2879"/>
    <w:rsid w:val="200DAF34"/>
    <w:rsid w:val="20107228"/>
    <w:rsid w:val="2013BD16"/>
    <w:rsid w:val="2013C9F9"/>
    <w:rsid w:val="201AAD9F"/>
    <w:rsid w:val="201C3118"/>
    <w:rsid w:val="201D0FB5"/>
    <w:rsid w:val="20233D09"/>
    <w:rsid w:val="20288568"/>
    <w:rsid w:val="202969A8"/>
    <w:rsid w:val="202CAE83"/>
    <w:rsid w:val="202CDA62"/>
    <w:rsid w:val="2030BB69"/>
    <w:rsid w:val="2037AE62"/>
    <w:rsid w:val="204E965A"/>
    <w:rsid w:val="204F098A"/>
    <w:rsid w:val="2052FDEA"/>
    <w:rsid w:val="20566D46"/>
    <w:rsid w:val="205757DA"/>
    <w:rsid w:val="205DDC44"/>
    <w:rsid w:val="2064FAFE"/>
    <w:rsid w:val="206DDB84"/>
    <w:rsid w:val="20722B5F"/>
    <w:rsid w:val="20746740"/>
    <w:rsid w:val="2075F8D7"/>
    <w:rsid w:val="207681D8"/>
    <w:rsid w:val="20774FB1"/>
    <w:rsid w:val="20784BFB"/>
    <w:rsid w:val="207F518E"/>
    <w:rsid w:val="208447E5"/>
    <w:rsid w:val="20845933"/>
    <w:rsid w:val="20857961"/>
    <w:rsid w:val="2085F5D2"/>
    <w:rsid w:val="20910E17"/>
    <w:rsid w:val="209B3CF7"/>
    <w:rsid w:val="209EA48C"/>
    <w:rsid w:val="20A541FC"/>
    <w:rsid w:val="20A74C31"/>
    <w:rsid w:val="20AA1AAD"/>
    <w:rsid w:val="20AAA3DA"/>
    <w:rsid w:val="20AE8DF5"/>
    <w:rsid w:val="20B0A65A"/>
    <w:rsid w:val="20B48E9F"/>
    <w:rsid w:val="20B51484"/>
    <w:rsid w:val="20B5E2C6"/>
    <w:rsid w:val="20BC0AF5"/>
    <w:rsid w:val="20BE46C4"/>
    <w:rsid w:val="20BF6ADA"/>
    <w:rsid w:val="20C384B7"/>
    <w:rsid w:val="20CA32DF"/>
    <w:rsid w:val="20CCD90B"/>
    <w:rsid w:val="20CDE10C"/>
    <w:rsid w:val="20CEF126"/>
    <w:rsid w:val="20D55DDD"/>
    <w:rsid w:val="20DBD35E"/>
    <w:rsid w:val="20E27358"/>
    <w:rsid w:val="20E40EF5"/>
    <w:rsid w:val="20F625B1"/>
    <w:rsid w:val="20FD66BB"/>
    <w:rsid w:val="20FF4A5C"/>
    <w:rsid w:val="2104CEAC"/>
    <w:rsid w:val="2106A84A"/>
    <w:rsid w:val="2107844D"/>
    <w:rsid w:val="210A9BFF"/>
    <w:rsid w:val="210FF4EB"/>
    <w:rsid w:val="21110E18"/>
    <w:rsid w:val="21197CBA"/>
    <w:rsid w:val="211D813D"/>
    <w:rsid w:val="211EA882"/>
    <w:rsid w:val="21292EBF"/>
    <w:rsid w:val="2129E1DF"/>
    <w:rsid w:val="212C211B"/>
    <w:rsid w:val="212D6253"/>
    <w:rsid w:val="2148F0E9"/>
    <w:rsid w:val="214D6AF3"/>
    <w:rsid w:val="214ECA1E"/>
    <w:rsid w:val="2151CF2C"/>
    <w:rsid w:val="2157F0A5"/>
    <w:rsid w:val="2158B439"/>
    <w:rsid w:val="215DBC57"/>
    <w:rsid w:val="216090AB"/>
    <w:rsid w:val="21609DBF"/>
    <w:rsid w:val="2160E573"/>
    <w:rsid w:val="21619A3C"/>
    <w:rsid w:val="21659F9F"/>
    <w:rsid w:val="216B6EE7"/>
    <w:rsid w:val="2174AEB1"/>
    <w:rsid w:val="217EB456"/>
    <w:rsid w:val="2185960A"/>
    <w:rsid w:val="218743D7"/>
    <w:rsid w:val="2192C88F"/>
    <w:rsid w:val="2195D1CC"/>
    <w:rsid w:val="21988AF2"/>
    <w:rsid w:val="219A1774"/>
    <w:rsid w:val="219B8699"/>
    <w:rsid w:val="21A14077"/>
    <w:rsid w:val="21A48EFE"/>
    <w:rsid w:val="21A92595"/>
    <w:rsid w:val="21AA4CA1"/>
    <w:rsid w:val="21B1BE4B"/>
    <w:rsid w:val="21B250C9"/>
    <w:rsid w:val="21C2386A"/>
    <w:rsid w:val="21CB11D4"/>
    <w:rsid w:val="21CDCF70"/>
    <w:rsid w:val="21D48D4B"/>
    <w:rsid w:val="21E6470F"/>
    <w:rsid w:val="21EE2BBA"/>
    <w:rsid w:val="21EFE7F3"/>
    <w:rsid w:val="21F249F0"/>
    <w:rsid w:val="21F28F7E"/>
    <w:rsid w:val="21F3AF95"/>
    <w:rsid w:val="21F58A5A"/>
    <w:rsid w:val="21F81278"/>
    <w:rsid w:val="21F958DD"/>
    <w:rsid w:val="21F9EAC7"/>
    <w:rsid w:val="21FC7CEF"/>
    <w:rsid w:val="2204F31C"/>
    <w:rsid w:val="220F64C7"/>
    <w:rsid w:val="220FC104"/>
    <w:rsid w:val="22121659"/>
    <w:rsid w:val="222940D0"/>
    <w:rsid w:val="222DF56C"/>
    <w:rsid w:val="222F174E"/>
    <w:rsid w:val="223615D7"/>
    <w:rsid w:val="223EC2EE"/>
    <w:rsid w:val="2241B9A9"/>
    <w:rsid w:val="22423299"/>
    <w:rsid w:val="2246DE83"/>
    <w:rsid w:val="2249FC1E"/>
    <w:rsid w:val="225467AE"/>
    <w:rsid w:val="22583EF6"/>
    <w:rsid w:val="225E4D7A"/>
    <w:rsid w:val="22644FCB"/>
    <w:rsid w:val="226A6285"/>
    <w:rsid w:val="226EF708"/>
    <w:rsid w:val="226F30C9"/>
    <w:rsid w:val="22760320"/>
    <w:rsid w:val="2282C121"/>
    <w:rsid w:val="229399E2"/>
    <w:rsid w:val="22986B52"/>
    <w:rsid w:val="229B5660"/>
    <w:rsid w:val="229EC4F9"/>
    <w:rsid w:val="229F50CB"/>
    <w:rsid w:val="229F51E1"/>
    <w:rsid w:val="22A81078"/>
    <w:rsid w:val="22A868E5"/>
    <w:rsid w:val="22A90BF5"/>
    <w:rsid w:val="22B2C4C4"/>
    <w:rsid w:val="22BC1C53"/>
    <w:rsid w:val="22C16DBE"/>
    <w:rsid w:val="22C3F3CE"/>
    <w:rsid w:val="22C44F41"/>
    <w:rsid w:val="22C74374"/>
    <w:rsid w:val="22CA256B"/>
    <w:rsid w:val="22CC8ED2"/>
    <w:rsid w:val="22E02579"/>
    <w:rsid w:val="22E2824B"/>
    <w:rsid w:val="22E31E48"/>
    <w:rsid w:val="22E6A370"/>
    <w:rsid w:val="22F02D89"/>
    <w:rsid w:val="22F4C7C2"/>
    <w:rsid w:val="22FB528D"/>
    <w:rsid w:val="23059CA0"/>
    <w:rsid w:val="2307296E"/>
    <w:rsid w:val="230763B7"/>
    <w:rsid w:val="230A0B04"/>
    <w:rsid w:val="230BE7AB"/>
    <w:rsid w:val="2313FC3E"/>
    <w:rsid w:val="23165CEF"/>
    <w:rsid w:val="231CCFD0"/>
    <w:rsid w:val="231EFBA4"/>
    <w:rsid w:val="2327F4E1"/>
    <w:rsid w:val="2328F58E"/>
    <w:rsid w:val="233D08B6"/>
    <w:rsid w:val="233E6E4B"/>
    <w:rsid w:val="234460DF"/>
    <w:rsid w:val="234AF454"/>
    <w:rsid w:val="234DDD85"/>
    <w:rsid w:val="235152C4"/>
    <w:rsid w:val="23520E63"/>
    <w:rsid w:val="235952E1"/>
    <w:rsid w:val="235C192D"/>
    <w:rsid w:val="235DAEA0"/>
    <w:rsid w:val="2361BAF7"/>
    <w:rsid w:val="236DC300"/>
    <w:rsid w:val="2372D0AA"/>
    <w:rsid w:val="237C30C2"/>
    <w:rsid w:val="238191D4"/>
    <w:rsid w:val="238229B4"/>
    <w:rsid w:val="238BF5D6"/>
    <w:rsid w:val="238EA06D"/>
    <w:rsid w:val="23916E4B"/>
    <w:rsid w:val="239541F4"/>
    <w:rsid w:val="239670C9"/>
    <w:rsid w:val="239FC4D9"/>
    <w:rsid w:val="23A02A69"/>
    <w:rsid w:val="23A96890"/>
    <w:rsid w:val="23AAFF07"/>
    <w:rsid w:val="23B1F01B"/>
    <w:rsid w:val="23B3C348"/>
    <w:rsid w:val="23B74C62"/>
    <w:rsid w:val="23BE602B"/>
    <w:rsid w:val="23C20FC9"/>
    <w:rsid w:val="23C3A302"/>
    <w:rsid w:val="23C3CE3E"/>
    <w:rsid w:val="23C4E9D6"/>
    <w:rsid w:val="23C67E90"/>
    <w:rsid w:val="23C848C9"/>
    <w:rsid w:val="23CCD364"/>
    <w:rsid w:val="23E9B989"/>
    <w:rsid w:val="23EB085D"/>
    <w:rsid w:val="23ED3612"/>
    <w:rsid w:val="23F90D25"/>
    <w:rsid w:val="23FB0F51"/>
    <w:rsid w:val="240167DE"/>
    <w:rsid w:val="2402ADE6"/>
    <w:rsid w:val="24087927"/>
    <w:rsid w:val="241EF58B"/>
    <w:rsid w:val="2424CE2C"/>
    <w:rsid w:val="242A393D"/>
    <w:rsid w:val="242B7196"/>
    <w:rsid w:val="242E99FA"/>
    <w:rsid w:val="2433533A"/>
    <w:rsid w:val="243E66F2"/>
    <w:rsid w:val="2451ACB9"/>
    <w:rsid w:val="2452FD20"/>
    <w:rsid w:val="2454B9F7"/>
    <w:rsid w:val="2458C700"/>
    <w:rsid w:val="246266AA"/>
    <w:rsid w:val="246741B3"/>
    <w:rsid w:val="2470E791"/>
    <w:rsid w:val="24725587"/>
    <w:rsid w:val="24752FAC"/>
    <w:rsid w:val="247A1BBD"/>
    <w:rsid w:val="24841F40"/>
    <w:rsid w:val="2487678F"/>
    <w:rsid w:val="248CB99E"/>
    <w:rsid w:val="2490B58C"/>
    <w:rsid w:val="24912362"/>
    <w:rsid w:val="249A31A4"/>
    <w:rsid w:val="24A1F6D7"/>
    <w:rsid w:val="24A8DF29"/>
    <w:rsid w:val="24AD76DC"/>
    <w:rsid w:val="24B50B61"/>
    <w:rsid w:val="24B71F6A"/>
    <w:rsid w:val="24BB9A34"/>
    <w:rsid w:val="24BD05D3"/>
    <w:rsid w:val="24C67AC0"/>
    <w:rsid w:val="24C68C14"/>
    <w:rsid w:val="24CD6F92"/>
    <w:rsid w:val="24D25DE0"/>
    <w:rsid w:val="24D31635"/>
    <w:rsid w:val="24DED221"/>
    <w:rsid w:val="24E52FB2"/>
    <w:rsid w:val="24EB624E"/>
    <w:rsid w:val="24EB68B3"/>
    <w:rsid w:val="24EE2FFA"/>
    <w:rsid w:val="24EF0201"/>
    <w:rsid w:val="24F186A4"/>
    <w:rsid w:val="24F69A02"/>
    <w:rsid w:val="250F4AEF"/>
    <w:rsid w:val="25130B06"/>
    <w:rsid w:val="251457C1"/>
    <w:rsid w:val="25178FFC"/>
    <w:rsid w:val="25210FF8"/>
    <w:rsid w:val="2523E145"/>
    <w:rsid w:val="252498C8"/>
    <w:rsid w:val="25286CDD"/>
    <w:rsid w:val="252B6DE4"/>
    <w:rsid w:val="252C40A5"/>
    <w:rsid w:val="2534471E"/>
    <w:rsid w:val="2535235C"/>
    <w:rsid w:val="253834DB"/>
    <w:rsid w:val="253BA5AF"/>
    <w:rsid w:val="253F1CD2"/>
    <w:rsid w:val="254A7690"/>
    <w:rsid w:val="2552F8C4"/>
    <w:rsid w:val="25539F31"/>
    <w:rsid w:val="25610DB6"/>
    <w:rsid w:val="256B421B"/>
    <w:rsid w:val="256D2D53"/>
    <w:rsid w:val="25707EE2"/>
    <w:rsid w:val="2579DB88"/>
    <w:rsid w:val="25950917"/>
    <w:rsid w:val="25958CEC"/>
    <w:rsid w:val="25959E32"/>
    <w:rsid w:val="25A29E46"/>
    <w:rsid w:val="25A6D2AC"/>
    <w:rsid w:val="25AEB378"/>
    <w:rsid w:val="25AF838B"/>
    <w:rsid w:val="25B7F85E"/>
    <w:rsid w:val="25BA43BA"/>
    <w:rsid w:val="25BC4B87"/>
    <w:rsid w:val="25BD0358"/>
    <w:rsid w:val="25C978B9"/>
    <w:rsid w:val="25D79568"/>
    <w:rsid w:val="25DA1D45"/>
    <w:rsid w:val="25DC7738"/>
    <w:rsid w:val="25E10604"/>
    <w:rsid w:val="25E39EA0"/>
    <w:rsid w:val="25E60E98"/>
    <w:rsid w:val="25E71A98"/>
    <w:rsid w:val="25F34403"/>
    <w:rsid w:val="25F43748"/>
    <w:rsid w:val="25FAA4B7"/>
    <w:rsid w:val="2608E588"/>
    <w:rsid w:val="26099421"/>
    <w:rsid w:val="260B0684"/>
    <w:rsid w:val="260BCC37"/>
    <w:rsid w:val="261304D2"/>
    <w:rsid w:val="2616AF17"/>
    <w:rsid w:val="2627DC81"/>
    <w:rsid w:val="262D504D"/>
    <w:rsid w:val="2637C46D"/>
    <w:rsid w:val="263836AA"/>
    <w:rsid w:val="26418A6F"/>
    <w:rsid w:val="2641ACDC"/>
    <w:rsid w:val="264392C4"/>
    <w:rsid w:val="264A0CEF"/>
    <w:rsid w:val="264B9B03"/>
    <w:rsid w:val="26529762"/>
    <w:rsid w:val="2656D20A"/>
    <w:rsid w:val="265AE5F6"/>
    <w:rsid w:val="265B6563"/>
    <w:rsid w:val="265D0B2B"/>
    <w:rsid w:val="265D3C17"/>
    <w:rsid w:val="265D4A39"/>
    <w:rsid w:val="265EB659"/>
    <w:rsid w:val="265ED5D6"/>
    <w:rsid w:val="26664153"/>
    <w:rsid w:val="266C59F0"/>
    <w:rsid w:val="266F0081"/>
    <w:rsid w:val="267941DC"/>
    <w:rsid w:val="2679EEDB"/>
    <w:rsid w:val="267AF6FB"/>
    <w:rsid w:val="267BD183"/>
    <w:rsid w:val="267E8D0F"/>
    <w:rsid w:val="268A5EC8"/>
    <w:rsid w:val="268AF3D3"/>
    <w:rsid w:val="268DB521"/>
    <w:rsid w:val="269603B6"/>
    <w:rsid w:val="26971492"/>
    <w:rsid w:val="26971C2C"/>
    <w:rsid w:val="26979DB6"/>
    <w:rsid w:val="2699C127"/>
    <w:rsid w:val="269C41E5"/>
    <w:rsid w:val="269E0245"/>
    <w:rsid w:val="26A55F04"/>
    <w:rsid w:val="26B3286A"/>
    <w:rsid w:val="26B6B4CA"/>
    <w:rsid w:val="26B78A9B"/>
    <w:rsid w:val="26B8CC9C"/>
    <w:rsid w:val="26C20226"/>
    <w:rsid w:val="26C7DFF8"/>
    <w:rsid w:val="26C86630"/>
    <w:rsid w:val="26D8FF8C"/>
    <w:rsid w:val="26E0C5DC"/>
    <w:rsid w:val="26E17CE7"/>
    <w:rsid w:val="26EF6E56"/>
    <w:rsid w:val="26F212CC"/>
    <w:rsid w:val="26F2FC1E"/>
    <w:rsid w:val="26F47E9F"/>
    <w:rsid w:val="26FCA87C"/>
    <w:rsid w:val="270A8E24"/>
    <w:rsid w:val="270B50DB"/>
    <w:rsid w:val="270CD455"/>
    <w:rsid w:val="270DEF86"/>
    <w:rsid w:val="270E81D9"/>
    <w:rsid w:val="27130A20"/>
    <w:rsid w:val="2713FD96"/>
    <w:rsid w:val="27156B9D"/>
    <w:rsid w:val="2716D62C"/>
    <w:rsid w:val="27192396"/>
    <w:rsid w:val="2719F33D"/>
    <w:rsid w:val="27209CC1"/>
    <w:rsid w:val="2727323D"/>
    <w:rsid w:val="27281384"/>
    <w:rsid w:val="272A1E6A"/>
    <w:rsid w:val="272D2730"/>
    <w:rsid w:val="272DA5AC"/>
    <w:rsid w:val="2732F0DA"/>
    <w:rsid w:val="273425BC"/>
    <w:rsid w:val="273752FF"/>
    <w:rsid w:val="2737DF5E"/>
    <w:rsid w:val="273F0E4A"/>
    <w:rsid w:val="27551B14"/>
    <w:rsid w:val="27566243"/>
    <w:rsid w:val="2756C58A"/>
    <w:rsid w:val="2756D40D"/>
    <w:rsid w:val="275BE033"/>
    <w:rsid w:val="276CBD3F"/>
    <w:rsid w:val="2773FBF3"/>
    <w:rsid w:val="2778D6F0"/>
    <w:rsid w:val="277A55C0"/>
    <w:rsid w:val="277CC53F"/>
    <w:rsid w:val="277EF8F4"/>
    <w:rsid w:val="278030D4"/>
    <w:rsid w:val="278264BF"/>
    <w:rsid w:val="27836F7E"/>
    <w:rsid w:val="2783A263"/>
    <w:rsid w:val="2785A90B"/>
    <w:rsid w:val="27941612"/>
    <w:rsid w:val="27947127"/>
    <w:rsid w:val="27977866"/>
    <w:rsid w:val="279A2CAD"/>
    <w:rsid w:val="279C3D58"/>
    <w:rsid w:val="27A39C70"/>
    <w:rsid w:val="27A4FAAF"/>
    <w:rsid w:val="27AF37D5"/>
    <w:rsid w:val="27B9F41B"/>
    <w:rsid w:val="27BBE052"/>
    <w:rsid w:val="27C60463"/>
    <w:rsid w:val="27C79376"/>
    <w:rsid w:val="27D23221"/>
    <w:rsid w:val="27DBB9F6"/>
    <w:rsid w:val="27DBDB86"/>
    <w:rsid w:val="27DCA355"/>
    <w:rsid w:val="27E0A63A"/>
    <w:rsid w:val="27E86D27"/>
    <w:rsid w:val="27E97ED8"/>
    <w:rsid w:val="27F13B08"/>
    <w:rsid w:val="27F64821"/>
    <w:rsid w:val="27F6D2CA"/>
    <w:rsid w:val="27F77575"/>
    <w:rsid w:val="27F8F172"/>
    <w:rsid w:val="28003C72"/>
    <w:rsid w:val="28011170"/>
    <w:rsid w:val="28041DFA"/>
    <w:rsid w:val="28054907"/>
    <w:rsid w:val="28073A7F"/>
    <w:rsid w:val="2808BB42"/>
    <w:rsid w:val="280B1ECF"/>
    <w:rsid w:val="280C13E5"/>
    <w:rsid w:val="280C7E7F"/>
    <w:rsid w:val="280E5472"/>
    <w:rsid w:val="280F3383"/>
    <w:rsid w:val="280FBE5E"/>
    <w:rsid w:val="281283BE"/>
    <w:rsid w:val="281488F5"/>
    <w:rsid w:val="281590A0"/>
    <w:rsid w:val="28166D81"/>
    <w:rsid w:val="2816A997"/>
    <w:rsid w:val="281E3252"/>
    <w:rsid w:val="281EDD45"/>
    <w:rsid w:val="2822D133"/>
    <w:rsid w:val="28233D93"/>
    <w:rsid w:val="282B3200"/>
    <w:rsid w:val="282B5EFA"/>
    <w:rsid w:val="282BD078"/>
    <w:rsid w:val="282D6E90"/>
    <w:rsid w:val="283566D1"/>
    <w:rsid w:val="28373C50"/>
    <w:rsid w:val="2837E483"/>
    <w:rsid w:val="2837ED26"/>
    <w:rsid w:val="2839D9E4"/>
    <w:rsid w:val="283D192E"/>
    <w:rsid w:val="284A4BC9"/>
    <w:rsid w:val="2851984E"/>
    <w:rsid w:val="2851F770"/>
    <w:rsid w:val="2853B779"/>
    <w:rsid w:val="28588342"/>
    <w:rsid w:val="285A515B"/>
    <w:rsid w:val="285E6FFE"/>
    <w:rsid w:val="2862B8D8"/>
    <w:rsid w:val="286335CA"/>
    <w:rsid w:val="28633860"/>
    <w:rsid w:val="28680316"/>
    <w:rsid w:val="287F6E4E"/>
    <w:rsid w:val="28837704"/>
    <w:rsid w:val="2888DF72"/>
    <w:rsid w:val="288AAD61"/>
    <w:rsid w:val="288CEA26"/>
    <w:rsid w:val="288DFA7C"/>
    <w:rsid w:val="2891D64A"/>
    <w:rsid w:val="28AA6739"/>
    <w:rsid w:val="28AFE1C2"/>
    <w:rsid w:val="28B20195"/>
    <w:rsid w:val="28B80968"/>
    <w:rsid w:val="28B85653"/>
    <w:rsid w:val="28B9AFCA"/>
    <w:rsid w:val="28BA432F"/>
    <w:rsid w:val="28BA6245"/>
    <w:rsid w:val="28C24971"/>
    <w:rsid w:val="28C8A3D4"/>
    <w:rsid w:val="28CC9788"/>
    <w:rsid w:val="28D6AF70"/>
    <w:rsid w:val="28DB68E2"/>
    <w:rsid w:val="28E30AE6"/>
    <w:rsid w:val="28E4F9DA"/>
    <w:rsid w:val="28EF6A45"/>
    <w:rsid w:val="28F09F2B"/>
    <w:rsid w:val="28F2222B"/>
    <w:rsid w:val="28F59348"/>
    <w:rsid w:val="29025B19"/>
    <w:rsid w:val="290D314A"/>
    <w:rsid w:val="2911261B"/>
    <w:rsid w:val="29168FBF"/>
    <w:rsid w:val="2921E9AF"/>
    <w:rsid w:val="292B48C2"/>
    <w:rsid w:val="29348A64"/>
    <w:rsid w:val="29398260"/>
    <w:rsid w:val="2944AC0A"/>
    <w:rsid w:val="294522B7"/>
    <w:rsid w:val="2948F287"/>
    <w:rsid w:val="294A9799"/>
    <w:rsid w:val="294D254A"/>
    <w:rsid w:val="2950DA37"/>
    <w:rsid w:val="2956ED66"/>
    <w:rsid w:val="295D4892"/>
    <w:rsid w:val="297AA2B1"/>
    <w:rsid w:val="2989E4F3"/>
    <w:rsid w:val="298B9367"/>
    <w:rsid w:val="298DD0F4"/>
    <w:rsid w:val="2995FC24"/>
    <w:rsid w:val="29974F3E"/>
    <w:rsid w:val="299A092E"/>
    <w:rsid w:val="299D86EF"/>
    <w:rsid w:val="29A7B69B"/>
    <w:rsid w:val="29AD2214"/>
    <w:rsid w:val="29B7023B"/>
    <w:rsid w:val="29BDB76F"/>
    <w:rsid w:val="29C0A123"/>
    <w:rsid w:val="29CD8ADF"/>
    <w:rsid w:val="29D4D99D"/>
    <w:rsid w:val="29DD2445"/>
    <w:rsid w:val="29E26ED5"/>
    <w:rsid w:val="29EF376F"/>
    <w:rsid w:val="29F517DD"/>
    <w:rsid w:val="29F5BB17"/>
    <w:rsid w:val="29F65500"/>
    <w:rsid w:val="2A081703"/>
    <w:rsid w:val="2A09212D"/>
    <w:rsid w:val="2A0E50C3"/>
    <w:rsid w:val="2A0F691E"/>
    <w:rsid w:val="2A100F51"/>
    <w:rsid w:val="2A122025"/>
    <w:rsid w:val="2A1A95FE"/>
    <w:rsid w:val="2A1C1432"/>
    <w:rsid w:val="2A21B30B"/>
    <w:rsid w:val="2A24EA78"/>
    <w:rsid w:val="2A2B1320"/>
    <w:rsid w:val="2A31BAF8"/>
    <w:rsid w:val="2A31E29C"/>
    <w:rsid w:val="2A38F991"/>
    <w:rsid w:val="2A3A1319"/>
    <w:rsid w:val="2A3CEEDB"/>
    <w:rsid w:val="2A433AA0"/>
    <w:rsid w:val="2A489254"/>
    <w:rsid w:val="2A541019"/>
    <w:rsid w:val="2A5B3D0E"/>
    <w:rsid w:val="2A5C0F6F"/>
    <w:rsid w:val="2A6980D7"/>
    <w:rsid w:val="2A6A1AAB"/>
    <w:rsid w:val="2A738B1B"/>
    <w:rsid w:val="2A7469FE"/>
    <w:rsid w:val="2A74C56E"/>
    <w:rsid w:val="2A75AA03"/>
    <w:rsid w:val="2A80FAE4"/>
    <w:rsid w:val="2A89633A"/>
    <w:rsid w:val="2A89D573"/>
    <w:rsid w:val="2A8CA1F7"/>
    <w:rsid w:val="2A8CF798"/>
    <w:rsid w:val="2A8F0A14"/>
    <w:rsid w:val="2A956BAA"/>
    <w:rsid w:val="2AA79CEC"/>
    <w:rsid w:val="2AACA6ED"/>
    <w:rsid w:val="2AAF24F6"/>
    <w:rsid w:val="2AB912FE"/>
    <w:rsid w:val="2AC584D2"/>
    <w:rsid w:val="2AC7461D"/>
    <w:rsid w:val="2AC74E91"/>
    <w:rsid w:val="2AC8DC51"/>
    <w:rsid w:val="2ACED5B6"/>
    <w:rsid w:val="2AD77FE1"/>
    <w:rsid w:val="2ADA41D3"/>
    <w:rsid w:val="2ADA8247"/>
    <w:rsid w:val="2ADFF569"/>
    <w:rsid w:val="2AE4816F"/>
    <w:rsid w:val="2AE8630F"/>
    <w:rsid w:val="2AEE7952"/>
    <w:rsid w:val="2AF85D1D"/>
    <w:rsid w:val="2B08B980"/>
    <w:rsid w:val="2B11E793"/>
    <w:rsid w:val="2B154638"/>
    <w:rsid w:val="2B1BA2BD"/>
    <w:rsid w:val="2B1E9687"/>
    <w:rsid w:val="2B215782"/>
    <w:rsid w:val="2B2269CE"/>
    <w:rsid w:val="2B22A1F4"/>
    <w:rsid w:val="2B2411F7"/>
    <w:rsid w:val="2B245686"/>
    <w:rsid w:val="2B25A45C"/>
    <w:rsid w:val="2B25D360"/>
    <w:rsid w:val="2B3015FC"/>
    <w:rsid w:val="2B34E86B"/>
    <w:rsid w:val="2B353EED"/>
    <w:rsid w:val="2B366C44"/>
    <w:rsid w:val="2B3DA6BC"/>
    <w:rsid w:val="2B455392"/>
    <w:rsid w:val="2B488D71"/>
    <w:rsid w:val="2B4C064F"/>
    <w:rsid w:val="2B4C6737"/>
    <w:rsid w:val="2B4ED42A"/>
    <w:rsid w:val="2B508B8D"/>
    <w:rsid w:val="2B518EE2"/>
    <w:rsid w:val="2B685D54"/>
    <w:rsid w:val="2B68F7D7"/>
    <w:rsid w:val="2B6BB08E"/>
    <w:rsid w:val="2B6C8A21"/>
    <w:rsid w:val="2B6CEF16"/>
    <w:rsid w:val="2B6E1BDA"/>
    <w:rsid w:val="2B6F1FC4"/>
    <w:rsid w:val="2B7120A7"/>
    <w:rsid w:val="2B744DA7"/>
    <w:rsid w:val="2B876207"/>
    <w:rsid w:val="2B8A43B4"/>
    <w:rsid w:val="2B921327"/>
    <w:rsid w:val="2B95E272"/>
    <w:rsid w:val="2B985532"/>
    <w:rsid w:val="2B993E7C"/>
    <w:rsid w:val="2BA276AF"/>
    <w:rsid w:val="2BA7B293"/>
    <w:rsid w:val="2BAAB151"/>
    <w:rsid w:val="2BB12F04"/>
    <w:rsid w:val="2BB370E7"/>
    <w:rsid w:val="2BD00DBE"/>
    <w:rsid w:val="2BD1DD6A"/>
    <w:rsid w:val="2BD46D03"/>
    <w:rsid w:val="2BD4BDCC"/>
    <w:rsid w:val="2BD92BBE"/>
    <w:rsid w:val="2BDCAEDE"/>
    <w:rsid w:val="2BE0BB38"/>
    <w:rsid w:val="2BE10621"/>
    <w:rsid w:val="2BE17256"/>
    <w:rsid w:val="2BFECA45"/>
    <w:rsid w:val="2C0E79A8"/>
    <w:rsid w:val="2C191514"/>
    <w:rsid w:val="2C19B20E"/>
    <w:rsid w:val="2C1AAAD8"/>
    <w:rsid w:val="2C1DF655"/>
    <w:rsid w:val="2C2015E7"/>
    <w:rsid w:val="2C230C56"/>
    <w:rsid w:val="2C2581D3"/>
    <w:rsid w:val="2C28F6EE"/>
    <w:rsid w:val="2C30C27E"/>
    <w:rsid w:val="2C3620A3"/>
    <w:rsid w:val="2C377E52"/>
    <w:rsid w:val="2C39EE92"/>
    <w:rsid w:val="2C3B409E"/>
    <w:rsid w:val="2C3B5DED"/>
    <w:rsid w:val="2C3C6352"/>
    <w:rsid w:val="2C3D6F7B"/>
    <w:rsid w:val="2C3F904C"/>
    <w:rsid w:val="2C40C5AF"/>
    <w:rsid w:val="2C42FFB9"/>
    <w:rsid w:val="2C49AF7B"/>
    <w:rsid w:val="2C4A2057"/>
    <w:rsid w:val="2C55A25E"/>
    <w:rsid w:val="2C571AED"/>
    <w:rsid w:val="2C5A46FF"/>
    <w:rsid w:val="2C5F1708"/>
    <w:rsid w:val="2C7571BE"/>
    <w:rsid w:val="2C75CF19"/>
    <w:rsid w:val="2C762203"/>
    <w:rsid w:val="2C7CF1CC"/>
    <w:rsid w:val="2C801429"/>
    <w:rsid w:val="2C830E2F"/>
    <w:rsid w:val="2C9389B9"/>
    <w:rsid w:val="2C96E2CE"/>
    <w:rsid w:val="2C99C0DA"/>
    <w:rsid w:val="2C9F4899"/>
    <w:rsid w:val="2CACB1B9"/>
    <w:rsid w:val="2CAE599F"/>
    <w:rsid w:val="2CAF6366"/>
    <w:rsid w:val="2CAFA3DC"/>
    <w:rsid w:val="2CAFE817"/>
    <w:rsid w:val="2CB38576"/>
    <w:rsid w:val="2CB67004"/>
    <w:rsid w:val="2CB688D5"/>
    <w:rsid w:val="2CB6939C"/>
    <w:rsid w:val="2CC0E310"/>
    <w:rsid w:val="2CCC3BD1"/>
    <w:rsid w:val="2CCDF491"/>
    <w:rsid w:val="2CD2C420"/>
    <w:rsid w:val="2CD555BA"/>
    <w:rsid w:val="2CD72A99"/>
    <w:rsid w:val="2CD73956"/>
    <w:rsid w:val="2CD7C06F"/>
    <w:rsid w:val="2CD921DC"/>
    <w:rsid w:val="2CE00C19"/>
    <w:rsid w:val="2CE5B947"/>
    <w:rsid w:val="2CEF3CEC"/>
    <w:rsid w:val="2CF89B62"/>
    <w:rsid w:val="2CFC6B66"/>
    <w:rsid w:val="2CFCCF19"/>
    <w:rsid w:val="2D01D80F"/>
    <w:rsid w:val="2D035716"/>
    <w:rsid w:val="2D052693"/>
    <w:rsid w:val="2D0572AB"/>
    <w:rsid w:val="2D1D0F4E"/>
    <w:rsid w:val="2D219E8E"/>
    <w:rsid w:val="2D3162C4"/>
    <w:rsid w:val="2D4067CE"/>
    <w:rsid w:val="2D42A6E6"/>
    <w:rsid w:val="2D4A8BCE"/>
    <w:rsid w:val="2D4C171B"/>
    <w:rsid w:val="2D578638"/>
    <w:rsid w:val="2D5AA9B4"/>
    <w:rsid w:val="2D632A21"/>
    <w:rsid w:val="2D6464E9"/>
    <w:rsid w:val="2D671DA1"/>
    <w:rsid w:val="2D6B32F2"/>
    <w:rsid w:val="2D75997A"/>
    <w:rsid w:val="2D7725E3"/>
    <w:rsid w:val="2D7FB10C"/>
    <w:rsid w:val="2D81186D"/>
    <w:rsid w:val="2D850811"/>
    <w:rsid w:val="2D87FE21"/>
    <w:rsid w:val="2D895D41"/>
    <w:rsid w:val="2D9752ED"/>
    <w:rsid w:val="2D9A065E"/>
    <w:rsid w:val="2D9A389E"/>
    <w:rsid w:val="2DA216E3"/>
    <w:rsid w:val="2DA28F69"/>
    <w:rsid w:val="2DA6DE82"/>
    <w:rsid w:val="2DA94F0F"/>
    <w:rsid w:val="2DB0D718"/>
    <w:rsid w:val="2DB4C5C1"/>
    <w:rsid w:val="2DBCA174"/>
    <w:rsid w:val="2DC07FAC"/>
    <w:rsid w:val="2DC2DDB3"/>
    <w:rsid w:val="2DC3734E"/>
    <w:rsid w:val="2DC4F534"/>
    <w:rsid w:val="2DCC3F4C"/>
    <w:rsid w:val="2DCF9C71"/>
    <w:rsid w:val="2DD308B8"/>
    <w:rsid w:val="2DD4E759"/>
    <w:rsid w:val="2DDE8395"/>
    <w:rsid w:val="2DDEB9DF"/>
    <w:rsid w:val="2DE36D2B"/>
    <w:rsid w:val="2DE84F7E"/>
    <w:rsid w:val="2DEAB84E"/>
    <w:rsid w:val="2DEAE362"/>
    <w:rsid w:val="2DEC3BD8"/>
    <w:rsid w:val="2DEDBC6E"/>
    <w:rsid w:val="2DEE9229"/>
    <w:rsid w:val="2DEFF20E"/>
    <w:rsid w:val="2DF56053"/>
    <w:rsid w:val="2DFA9592"/>
    <w:rsid w:val="2E0305DC"/>
    <w:rsid w:val="2E03482D"/>
    <w:rsid w:val="2E0C2F5F"/>
    <w:rsid w:val="2E1EB5AD"/>
    <w:rsid w:val="2E2B6DCB"/>
    <w:rsid w:val="2E33DA5A"/>
    <w:rsid w:val="2E3D0BFE"/>
    <w:rsid w:val="2E412E73"/>
    <w:rsid w:val="2E43CA80"/>
    <w:rsid w:val="2E4539C6"/>
    <w:rsid w:val="2E4AFEF0"/>
    <w:rsid w:val="2E4EF2C5"/>
    <w:rsid w:val="2E4FDE26"/>
    <w:rsid w:val="2E53E4E7"/>
    <w:rsid w:val="2E55A73E"/>
    <w:rsid w:val="2E59F583"/>
    <w:rsid w:val="2E5C5246"/>
    <w:rsid w:val="2E5F686D"/>
    <w:rsid w:val="2E631041"/>
    <w:rsid w:val="2E6376A0"/>
    <w:rsid w:val="2E77DE1D"/>
    <w:rsid w:val="2E7AAEE8"/>
    <w:rsid w:val="2E8812CB"/>
    <w:rsid w:val="2E8B3A1C"/>
    <w:rsid w:val="2E8BECD3"/>
    <w:rsid w:val="2E97B9EA"/>
    <w:rsid w:val="2E985A0A"/>
    <w:rsid w:val="2E9F6BBA"/>
    <w:rsid w:val="2EA3A032"/>
    <w:rsid w:val="2EAF2615"/>
    <w:rsid w:val="2EB28E81"/>
    <w:rsid w:val="2EB3B51E"/>
    <w:rsid w:val="2EB44EA2"/>
    <w:rsid w:val="2EB5D886"/>
    <w:rsid w:val="2EBE076D"/>
    <w:rsid w:val="2EBFC2A0"/>
    <w:rsid w:val="2EC2CF7A"/>
    <w:rsid w:val="2ECD27CC"/>
    <w:rsid w:val="2ED47645"/>
    <w:rsid w:val="2ED55C4D"/>
    <w:rsid w:val="2ED799E4"/>
    <w:rsid w:val="2ED9FFBA"/>
    <w:rsid w:val="2EDA8901"/>
    <w:rsid w:val="2EDB7D5F"/>
    <w:rsid w:val="2EE07CB2"/>
    <w:rsid w:val="2EE31D33"/>
    <w:rsid w:val="2EE4A5E4"/>
    <w:rsid w:val="2EE8591E"/>
    <w:rsid w:val="2EF5553B"/>
    <w:rsid w:val="2EF65C04"/>
    <w:rsid w:val="2F0B99DE"/>
    <w:rsid w:val="2F0BA9BF"/>
    <w:rsid w:val="2F0FB872"/>
    <w:rsid w:val="2F101793"/>
    <w:rsid w:val="2F12CFC3"/>
    <w:rsid w:val="2F1307BA"/>
    <w:rsid w:val="2F158F65"/>
    <w:rsid w:val="2F1D74E7"/>
    <w:rsid w:val="2F237866"/>
    <w:rsid w:val="2F2A74FE"/>
    <w:rsid w:val="2F2F4C51"/>
    <w:rsid w:val="2F3465AE"/>
    <w:rsid w:val="2F37B473"/>
    <w:rsid w:val="2F384199"/>
    <w:rsid w:val="2F3CB625"/>
    <w:rsid w:val="2F3D3950"/>
    <w:rsid w:val="2F43033D"/>
    <w:rsid w:val="2F4D5C7D"/>
    <w:rsid w:val="2F4DE790"/>
    <w:rsid w:val="2F53E661"/>
    <w:rsid w:val="2F58B5EA"/>
    <w:rsid w:val="2F5A8C08"/>
    <w:rsid w:val="2F609F5D"/>
    <w:rsid w:val="2F626DD3"/>
    <w:rsid w:val="2F645476"/>
    <w:rsid w:val="2F6B6BF9"/>
    <w:rsid w:val="2F7AB543"/>
    <w:rsid w:val="2F86776F"/>
    <w:rsid w:val="2F8F7440"/>
    <w:rsid w:val="2F924E51"/>
    <w:rsid w:val="2F9F8062"/>
    <w:rsid w:val="2FA36848"/>
    <w:rsid w:val="2FC01A4C"/>
    <w:rsid w:val="2FC13AE9"/>
    <w:rsid w:val="2FC6DEFF"/>
    <w:rsid w:val="2FCA41B7"/>
    <w:rsid w:val="2FE2D3FE"/>
    <w:rsid w:val="2FF012FD"/>
    <w:rsid w:val="2FF37069"/>
    <w:rsid w:val="2FFCB721"/>
    <w:rsid w:val="2FFE0581"/>
    <w:rsid w:val="2FFF4A1B"/>
    <w:rsid w:val="300C9211"/>
    <w:rsid w:val="3010CBEA"/>
    <w:rsid w:val="301242ED"/>
    <w:rsid w:val="3012E073"/>
    <w:rsid w:val="30139F62"/>
    <w:rsid w:val="3013B5AF"/>
    <w:rsid w:val="30162D1B"/>
    <w:rsid w:val="30186E61"/>
    <w:rsid w:val="301A3CB9"/>
    <w:rsid w:val="30269BE8"/>
    <w:rsid w:val="3032D57E"/>
    <w:rsid w:val="30395874"/>
    <w:rsid w:val="303CABC0"/>
    <w:rsid w:val="303F4CFB"/>
    <w:rsid w:val="304BE830"/>
    <w:rsid w:val="3052FB30"/>
    <w:rsid w:val="3058AB72"/>
    <w:rsid w:val="306298E5"/>
    <w:rsid w:val="30656222"/>
    <w:rsid w:val="306836DB"/>
    <w:rsid w:val="3069F0BD"/>
    <w:rsid w:val="3073943E"/>
    <w:rsid w:val="3074A761"/>
    <w:rsid w:val="307B0525"/>
    <w:rsid w:val="3081FBE2"/>
    <w:rsid w:val="3086DA1D"/>
    <w:rsid w:val="3094FB46"/>
    <w:rsid w:val="309D181E"/>
    <w:rsid w:val="309F6D07"/>
    <w:rsid w:val="30A2F9C9"/>
    <w:rsid w:val="30AB9D9A"/>
    <w:rsid w:val="30B02279"/>
    <w:rsid w:val="30C054B0"/>
    <w:rsid w:val="30C26F8E"/>
    <w:rsid w:val="30CA1C1D"/>
    <w:rsid w:val="30CACED0"/>
    <w:rsid w:val="30CC3CF4"/>
    <w:rsid w:val="30D59B84"/>
    <w:rsid w:val="30DE99EC"/>
    <w:rsid w:val="30E663E6"/>
    <w:rsid w:val="30F32DC4"/>
    <w:rsid w:val="30F4492D"/>
    <w:rsid w:val="30FBCE75"/>
    <w:rsid w:val="310028A3"/>
    <w:rsid w:val="31014B20"/>
    <w:rsid w:val="310542A6"/>
    <w:rsid w:val="310660B7"/>
    <w:rsid w:val="310F8AAF"/>
    <w:rsid w:val="311167A2"/>
    <w:rsid w:val="31168AFD"/>
    <w:rsid w:val="311B308D"/>
    <w:rsid w:val="312862DF"/>
    <w:rsid w:val="3129D076"/>
    <w:rsid w:val="312CF7A0"/>
    <w:rsid w:val="3135E6B8"/>
    <w:rsid w:val="31368880"/>
    <w:rsid w:val="313F183A"/>
    <w:rsid w:val="3145EC83"/>
    <w:rsid w:val="31464EA9"/>
    <w:rsid w:val="31477D08"/>
    <w:rsid w:val="31538B8C"/>
    <w:rsid w:val="31539892"/>
    <w:rsid w:val="31545CF3"/>
    <w:rsid w:val="3159ADFF"/>
    <w:rsid w:val="315D1492"/>
    <w:rsid w:val="3172D195"/>
    <w:rsid w:val="3173666B"/>
    <w:rsid w:val="3177C5E4"/>
    <w:rsid w:val="3177D54C"/>
    <w:rsid w:val="3178EF9C"/>
    <w:rsid w:val="317DF185"/>
    <w:rsid w:val="3181008E"/>
    <w:rsid w:val="318176EE"/>
    <w:rsid w:val="31951DE8"/>
    <w:rsid w:val="319B0042"/>
    <w:rsid w:val="319DD7EB"/>
    <w:rsid w:val="319FC70E"/>
    <w:rsid w:val="31A21B13"/>
    <w:rsid w:val="31A4404E"/>
    <w:rsid w:val="31A9555E"/>
    <w:rsid w:val="31B4C81E"/>
    <w:rsid w:val="31BA6F46"/>
    <w:rsid w:val="31BC0D8C"/>
    <w:rsid w:val="31C156E7"/>
    <w:rsid w:val="31C646B8"/>
    <w:rsid w:val="31C76799"/>
    <w:rsid w:val="31C85DED"/>
    <w:rsid w:val="31CBEEC0"/>
    <w:rsid w:val="31E28A8A"/>
    <w:rsid w:val="31E9CC17"/>
    <w:rsid w:val="31EF8669"/>
    <w:rsid w:val="31F1A923"/>
    <w:rsid w:val="31F371D5"/>
    <w:rsid w:val="31F77044"/>
    <w:rsid w:val="3202513C"/>
    <w:rsid w:val="3203C2A2"/>
    <w:rsid w:val="3216A8B6"/>
    <w:rsid w:val="321D262D"/>
    <w:rsid w:val="322A6B62"/>
    <w:rsid w:val="322FDA08"/>
    <w:rsid w:val="3230958C"/>
    <w:rsid w:val="3231E9E9"/>
    <w:rsid w:val="3231EA24"/>
    <w:rsid w:val="3237C698"/>
    <w:rsid w:val="32388EEA"/>
    <w:rsid w:val="32389B97"/>
    <w:rsid w:val="323B89E8"/>
    <w:rsid w:val="323EC88C"/>
    <w:rsid w:val="32442990"/>
    <w:rsid w:val="324831F9"/>
    <w:rsid w:val="3249DE27"/>
    <w:rsid w:val="32561E68"/>
    <w:rsid w:val="3256CB47"/>
    <w:rsid w:val="3257BAF6"/>
    <w:rsid w:val="325F2CA0"/>
    <w:rsid w:val="326FA5D9"/>
    <w:rsid w:val="327FE243"/>
    <w:rsid w:val="327FF0D5"/>
    <w:rsid w:val="328632D8"/>
    <w:rsid w:val="32922D9A"/>
    <w:rsid w:val="329C63D8"/>
    <w:rsid w:val="329CA0B6"/>
    <w:rsid w:val="329D2791"/>
    <w:rsid w:val="329E77EF"/>
    <w:rsid w:val="32A2C39F"/>
    <w:rsid w:val="32A2F75C"/>
    <w:rsid w:val="32A3A48C"/>
    <w:rsid w:val="32A44743"/>
    <w:rsid w:val="32A5089E"/>
    <w:rsid w:val="32AC1F66"/>
    <w:rsid w:val="32AC9FC8"/>
    <w:rsid w:val="32ADBBBB"/>
    <w:rsid w:val="32AEBE90"/>
    <w:rsid w:val="32AF1E3C"/>
    <w:rsid w:val="32B33B9C"/>
    <w:rsid w:val="32B52A45"/>
    <w:rsid w:val="32C34747"/>
    <w:rsid w:val="32C44A01"/>
    <w:rsid w:val="32CF49B7"/>
    <w:rsid w:val="32D58192"/>
    <w:rsid w:val="32DFD51A"/>
    <w:rsid w:val="32E1CB33"/>
    <w:rsid w:val="32E73462"/>
    <w:rsid w:val="32E74276"/>
    <w:rsid w:val="32EF22A7"/>
    <w:rsid w:val="32F2CB95"/>
    <w:rsid w:val="32F4A902"/>
    <w:rsid w:val="32F4F39F"/>
    <w:rsid w:val="32F6DAF8"/>
    <w:rsid w:val="32FDAA1D"/>
    <w:rsid w:val="33027FED"/>
    <w:rsid w:val="330AB526"/>
    <w:rsid w:val="330C9F0F"/>
    <w:rsid w:val="330FF51F"/>
    <w:rsid w:val="33117FF9"/>
    <w:rsid w:val="331BB4AC"/>
    <w:rsid w:val="331F067B"/>
    <w:rsid w:val="3321C26F"/>
    <w:rsid w:val="3323F970"/>
    <w:rsid w:val="33267111"/>
    <w:rsid w:val="332D3BCB"/>
    <w:rsid w:val="332E3F5A"/>
    <w:rsid w:val="333365DA"/>
    <w:rsid w:val="33337D37"/>
    <w:rsid w:val="3336886A"/>
    <w:rsid w:val="333764E8"/>
    <w:rsid w:val="3338D80D"/>
    <w:rsid w:val="333A2C0C"/>
    <w:rsid w:val="333A8D67"/>
    <w:rsid w:val="333B310D"/>
    <w:rsid w:val="333C68BD"/>
    <w:rsid w:val="333DC782"/>
    <w:rsid w:val="333DFB38"/>
    <w:rsid w:val="333E574B"/>
    <w:rsid w:val="3343809A"/>
    <w:rsid w:val="334426D2"/>
    <w:rsid w:val="33458EB2"/>
    <w:rsid w:val="334A9151"/>
    <w:rsid w:val="334C630F"/>
    <w:rsid w:val="334F9C87"/>
    <w:rsid w:val="335D379F"/>
    <w:rsid w:val="335F97D8"/>
    <w:rsid w:val="335FA496"/>
    <w:rsid w:val="335FFE60"/>
    <w:rsid w:val="336297C8"/>
    <w:rsid w:val="3362D18F"/>
    <w:rsid w:val="3365B8D6"/>
    <w:rsid w:val="3369F680"/>
    <w:rsid w:val="336CA950"/>
    <w:rsid w:val="337969AE"/>
    <w:rsid w:val="337A27D0"/>
    <w:rsid w:val="337CD9D9"/>
    <w:rsid w:val="337EC869"/>
    <w:rsid w:val="33816651"/>
    <w:rsid w:val="3382E036"/>
    <w:rsid w:val="338308CB"/>
    <w:rsid w:val="338448B2"/>
    <w:rsid w:val="338A2FF6"/>
    <w:rsid w:val="338B3E51"/>
    <w:rsid w:val="338FD1DB"/>
    <w:rsid w:val="33941BBC"/>
    <w:rsid w:val="33961010"/>
    <w:rsid w:val="339A9F2E"/>
    <w:rsid w:val="339B2D72"/>
    <w:rsid w:val="33A5FCE5"/>
    <w:rsid w:val="33AA607B"/>
    <w:rsid w:val="33AD7D2F"/>
    <w:rsid w:val="33B3CD06"/>
    <w:rsid w:val="33C875E7"/>
    <w:rsid w:val="33CA4676"/>
    <w:rsid w:val="33D8500B"/>
    <w:rsid w:val="33DD6AED"/>
    <w:rsid w:val="33E34104"/>
    <w:rsid w:val="33EB4D15"/>
    <w:rsid w:val="33F2F0A3"/>
    <w:rsid w:val="33F87B3D"/>
    <w:rsid w:val="33FABE38"/>
    <w:rsid w:val="33FC6CDD"/>
    <w:rsid w:val="33FD497C"/>
    <w:rsid w:val="3405D1DB"/>
    <w:rsid w:val="34105816"/>
    <w:rsid w:val="34112599"/>
    <w:rsid w:val="341913BA"/>
    <w:rsid w:val="341D21EC"/>
    <w:rsid w:val="34211B78"/>
    <w:rsid w:val="342B1EA4"/>
    <w:rsid w:val="342F99D2"/>
    <w:rsid w:val="3431E47E"/>
    <w:rsid w:val="34388DA8"/>
    <w:rsid w:val="343EF2FB"/>
    <w:rsid w:val="34416B3E"/>
    <w:rsid w:val="3444906E"/>
    <w:rsid w:val="3445CA26"/>
    <w:rsid w:val="345E95BC"/>
    <w:rsid w:val="3465C75B"/>
    <w:rsid w:val="346A8051"/>
    <w:rsid w:val="346C240A"/>
    <w:rsid w:val="346C85DD"/>
    <w:rsid w:val="346D14EE"/>
    <w:rsid w:val="34733B5F"/>
    <w:rsid w:val="34750C7D"/>
    <w:rsid w:val="347653FA"/>
    <w:rsid w:val="347A5567"/>
    <w:rsid w:val="348F5D74"/>
    <w:rsid w:val="349920B6"/>
    <w:rsid w:val="349E6430"/>
    <w:rsid w:val="34A5128E"/>
    <w:rsid w:val="34A901CA"/>
    <w:rsid w:val="34B903B5"/>
    <w:rsid w:val="34BE6DAE"/>
    <w:rsid w:val="34BE8FBF"/>
    <w:rsid w:val="34C0C1EE"/>
    <w:rsid w:val="34C6FDE7"/>
    <w:rsid w:val="34CB40B0"/>
    <w:rsid w:val="34CEE610"/>
    <w:rsid w:val="34D1A52C"/>
    <w:rsid w:val="34DB6DA2"/>
    <w:rsid w:val="34DD1E4D"/>
    <w:rsid w:val="34E1B381"/>
    <w:rsid w:val="34EE7E92"/>
    <w:rsid w:val="34EFD26A"/>
    <w:rsid w:val="34F068C8"/>
    <w:rsid w:val="34F39761"/>
    <w:rsid w:val="34F4EB8A"/>
    <w:rsid w:val="34F785D9"/>
    <w:rsid w:val="34F7C413"/>
    <w:rsid w:val="3501BF4E"/>
    <w:rsid w:val="350362EC"/>
    <w:rsid w:val="3508023B"/>
    <w:rsid w:val="350FF6B8"/>
    <w:rsid w:val="35275654"/>
    <w:rsid w:val="352C4B5B"/>
    <w:rsid w:val="352CF357"/>
    <w:rsid w:val="3530063E"/>
    <w:rsid w:val="353D7EBB"/>
    <w:rsid w:val="354B84E5"/>
    <w:rsid w:val="354D2056"/>
    <w:rsid w:val="354F0DB4"/>
    <w:rsid w:val="3554F62E"/>
    <w:rsid w:val="35557C1F"/>
    <w:rsid w:val="3556775C"/>
    <w:rsid w:val="355F7D1A"/>
    <w:rsid w:val="35666756"/>
    <w:rsid w:val="35794DCC"/>
    <w:rsid w:val="357B8B62"/>
    <w:rsid w:val="357BD2C1"/>
    <w:rsid w:val="3587B96E"/>
    <w:rsid w:val="358876E2"/>
    <w:rsid w:val="3592ED05"/>
    <w:rsid w:val="359A9376"/>
    <w:rsid w:val="359DE4D4"/>
    <w:rsid w:val="35A0BB08"/>
    <w:rsid w:val="35A7813D"/>
    <w:rsid w:val="35A850E1"/>
    <w:rsid w:val="35AFBB6B"/>
    <w:rsid w:val="35C57056"/>
    <w:rsid w:val="35CCD7F7"/>
    <w:rsid w:val="35D1DDE6"/>
    <w:rsid w:val="35D441C4"/>
    <w:rsid w:val="35D7B05E"/>
    <w:rsid w:val="35E00272"/>
    <w:rsid w:val="35E4D5F3"/>
    <w:rsid w:val="35EA89FF"/>
    <w:rsid w:val="35EA9EEA"/>
    <w:rsid w:val="35F94AAC"/>
    <w:rsid w:val="35FB3A31"/>
    <w:rsid w:val="35FEFA74"/>
    <w:rsid w:val="36017DCD"/>
    <w:rsid w:val="3601E187"/>
    <w:rsid w:val="36040C3B"/>
    <w:rsid w:val="3604C675"/>
    <w:rsid w:val="36075681"/>
    <w:rsid w:val="36143EAE"/>
    <w:rsid w:val="36157FA9"/>
    <w:rsid w:val="361731D3"/>
    <w:rsid w:val="361EB6D4"/>
    <w:rsid w:val="36240718"/>
    <w:rsid w:val="36243EEA"/>
    <w:rsid w:val="3625BCE1"/>
    <w:rsid w:val="3635D2C2"/>
    <w:rsid w:val="363B7445"/>
    <w:rsid w:val="363DDBC0"/>
    <w:rsid w:val="3641D32B"/>
    <w:rsid w:val="36441D9B"/>
    <w:rsid w:val="36466542"/>
    <w:rsid w:val="36466966"/>
    <w:rsid w:val="3649558B"/>
    <w:rsid w:val="364C4C32"/>
    <w:rsid w:val="364E9254"/>
    <w:rsid w:val="36686A71"/>
    <w:rsid w:val="3669A6A6"/>
    <w:rsid w:val="36722442"/>
    <w:rsid w:val="3672C640"/>
    <w:rsid w:val="36874D70"/>
    <w:rsid w:val="368B0904"/>
    <w:rsid w:val="368B2695"/>
    <w:rsid w:val="368E3435"/>
    <w:rsid w:val="368F17FD"/>
    <w:rsid w:val="3694C47E"/>
    <w:rsid w:val="369DD4C2"/>
    <w:rsid w:val="36B49009"/>
    <w:rsid w:val="36B9F0C6"/>
    <w:rsid w:val="36C64A9B"/>
    <w:rsid w:val="36CA6891"/>
    <w:rsid w:val="36D25803"/>
    <w:rsid w:val="36D6841C"/>
    <w:rsid w:val="36DBDC55"/>
    <w:rsid w:val="36E85DB5"/>
    <w:rsid w:val="36FB2ADC"/>
    <w:rsid w:val="36FBBAF6"/>
    <w:rsid w:val="36FD00BE"/>
    <w:rsid w:val="36FFEBEC"/>
    <w:rsid w:val="37064444"/>
    <w:rsid w:val="370F4F18"/>
    <w:rsid w:val="371A41D2"/>
    <w:rsid w:val="371C6DAB"/>
    <w:rsid w:val="371F450C"/>
    <w:rsid w:val="37277F46"/>
    <w:rsid w:val="37284297"/>
    <w:rsid w:val="3728B25B"/>
    <w:rsid w:val="372E7EE7"/>
    <w:rsid w:val="37304B9B"/>
    <w:rsid w:val="373C31BA"/>
    <w:rsid w:val="373D881F"/>
    <w:rsid w:val="373EEA9B"/>
    <w:rsid w:val="374838E4"/>
    <w:rsid w:val="375BCA82"/>
    <w:rsid w:val="37624973"/>
    <w:rsid w:val="37627C02"/>
    <w:rsid w:val="3762E743"/>
    <w:rsid w:val="37643A2E"/>
    <w:rsid w:val="3764CF30"/>
    <w:rsid w:val="376A056B"/>
    <w:rsid w:val="376AA1B7"/>
    <w:rsid w:val="376B438E"/>
    <w:rsid w:val="376B5EAF"/>
    <w:rsid w:val="376C9BE1"/>
    <w:rsid w:val="377218DE"/>
    <w:rsid w:val="37773C59"/>
    <w:rsid w:val="3779A9DD"/>
    <w:rsid w:val="377A8EEB"/>
    <w:rsid w:val="377C29CD"/>
    <w:rsid w:val="3780E77A"/>
    <w:rsid w:val="3781C679"/>
    <w:rsid w:val="37880AB4"/>
    <w:rsid w:val="37880E5D"/>
    <w:rsid w:val="37895BAC"/>
    <w:rsid w:val="378AB2E9"/>
    <w:rsid w:val="378DF037"/>
    <w:rsid w:val="37942C1D"/>
    <w:rsid w:val="379AC12D"/>
    <w:rsid w:val="379D130B"/>
    <w:rsid w:val="379D6ECA"/>
    <w:rsid w:val="37A001D9"/>
    <w:rsid w:val="37A01300"/>
    <w:rsid w:val="37A229D4"/>
    <w:rsid w:val="37A3627A"/>
    <w:rsid w:val="37A38923"/>
    <w:rsid w:val="37A4094E"/>
    <w:rsid w:val="37A61CFB"/>
    <w:rsid w:val="37A6F735"/>
    <w:rsid w:val="37C4D77D"/>
    <w:rsid w:val="37C4DBFA"/>
    <w:rsid w:val="37D2976E"/>
    <w:rsid w:val="37D3C2DB"/>
    <w:rsid w:val="37D4CC42"/>
    <w:rsid w:val="37D7A94A"/>
    <w:rsid w:val="37D8ACC9"/>
    <w:rsid w:val="37E803B2"/>
    <w:rsid w:val="37F2FEC2"/>
    <w:rsid w:val="37F7E206"/>
    <w:rsid w:val="37F7FEDE"/>
    <w:rsid w:val="37F8EE83"/>
    <w:rsid w:val="37FAF0E8"/>
    <w:rsid w:val="37FE33FC"/>
    <w:rsid w:val="37FEE576"/>
    <w:rsid w:val="38068754"/>
    <w:rsid w:val="38075EC7"/>
    <w:rsid w:val="380AEFE2"/>
    <w:rsid w:val="380B5F40"/>
    <w:rsid w:val="380D7800"/>
    <w:rsid w:val="380DA152"/>
    <w:rsid w:val="381E3350"/>
    <w:rsid w:val="3820FDD2"/>
    <w:rsid w:val="3828F1A5"/>
    <w:rsid w:val="382D7DFB"/>
    <w:rsid w:val="383672F2"/>
    <w:rsid w:val="383C9C04"/>
    <w:rsid w:val="38415AA0"/>
    <w:rsid w:val="384E09AC"/>
    <w:rsid w:val="38576445"/>
    <w:rsid w:val="385996F8"/>
    <w:rsid w:val="385BCAF8"/>
    <w:rsid w:val="38639CF3"/>
    <w:rsid w:val="38684625"/>
    <w:rsid w:val="386A146B"/>
    <w:rsid w:val="386F6EA2"/>
    <w:rsid w:val="38783547"/>
    <w:rsid w:val="387D0255"/>
    <w:rsid w:val="3881EA54"/>
    <w:rsid w:val="3884BAA0"/>
    <w:rsid w:val="3885DCD8"/>
    <w:rsid w:val="388971D4"/>
    <w:rsid w:val="388F2736"/>
    <w:rsid w:val="388F8005"/>
    <w:rsid w:val="3890ADC2"/>
    <w:rsid w:val="3895E00B"/>
    <w:rsid w:val="3896CC0C"/>
    <w:rsid w:val="389A6945"/>
    <w:rsid w:val="389D9BBE"/>
    <w:rsid w:val="389E31A2"/>
    <w:rsid w:val="38AE37E2"/>
    <w:rsid w:val="38B1B48B"/>
    <w:rsid w:val="38B90DE7"/>
    <w:rsid w:val="38B9DF72"/>
    <w:rsid w:val="38CD1202"/>
    <w:rsid w:val="38CE8927"/>
    <w:rsid w:val="38D7CBAB"/>
    <w:rsid w:val="38D90E10"/>
    <w:rsid w:val="38DD0009"/>
    <w:rsid w:val="38DF97EB"/>
    <w:rsid w:val="38E0D822"/>
    <w:rsid w:val="38E4A0B7"/>
    <w:rsid w:val="38E5B377"/>
    <w:rsid w:val="38EEE2D4"/>
    <w:rsid w:val="38F20F32"/>
    <w:rsid w:val="38F532A5"/>
    <w:rsid w:val="39001AD3"/>
    <w:rsid w:val="39006BB7"/>
    <w:rsid w:val="39033FCC"/>
    <w:rsid w:val="39045A22"/>
    <w:rsid w:val="39059451"/>
    <w:rsid w:val="3906580F"/>
    <w:rsid w:val="390F716E"/>
    <w:rsid w:val="39124934"/>
    <w:rsid w:val="39175E77"/>
    <w:rsid w:val="391A9CB8"/>
    <w:rsid w:val="3926C66C"/>
    <w:rsid w:val="392E4B3F"/>
    <w:rsid w:val="393471F9"/>
    <w:rsid w:val="3934FFD9"/>
    <w:rsid w:val="39369D14"/>
    <w:rsid w:val="3936B4F7"/>
    <w:rsid w:val="3938EF4E"/>
    <w:rsid w:val="3939946B"/>
    <w:rsid w:val="393A49F5"/>
    <w:rsid w:val="393CD4B7"/>
    <w:rsid w:val="393F6D75"/>
    <w:rsid w:val="394B7E47"/>
    <w:rsid w:val="39518053"/>
    <w:rsid w:val="395C2822"/>
    <w:rsid w:val="395D9830"/>
    <w:rsid w:val="395E8A6A"/>
    <w:rsid w:val="396B5D54"/>
    <w:rsid w:val="396B72EB"/>
    <w:rsid w:val="3971F6CB"/>
    <w:rsid w:val="39726F93"/>
    <w:rsid w:val="3985DF7A"/>
    <w:rsid w:val="3989447F"/>
    <w:rsid w:val="398AB984"/>
    <w:rsid w:val="398C2DC5"/>
    <w:rsid w:val="398C50A6"/>
    <w:rsid w:val="399129A4"/>
    <w:rsid w:val="399248C8"/>
    <w:rsid w:val="3994EB27"/>
    <w:rsid w:val="39969253"/>
    <w:rsid w:val="39A02C1B"/>
    <w:rsid w:val="39A7ECA5"/>
    <w:rsid w:val="39AAA4C8"/>
    <w:rsid w:val="39AD9AB7"/>
    <w:rsid w:val="39B2E4AD"/>
    <w:rsid w:val="39B69EFB"/>
    <w:rsid w:val="39BA9040"/>
    <w:rsid w:val="39C33B77"/>
    <w:rsid w:val="39C59847"/>
    <w:rsid w:val="39C5DC80"/>
    <w:rsid w:val="39C99838"/>
    <w:rsid w:val="39CC58A2"/>
    <w:rsid w:val="39CCB9D5"/>
    <w:rsid w:val="39E4213D"/>
    <w:rsid w:val="39E68A49"/>
    <w:rsid w:val="39E72B83"/>
    <w:rsid w:val="39F98C52"/>
    <w:rsid w:val="3A003C70"/>
    <w:rsid w:val="3A01E12E"/>
    <w:rsid w:val="3A050051"/>
    <w:rsid w:val="3A073ADC"/>
    <w:rsid w:val="3A09DAC0"/>
    <w:rsid w:val="3A0B386E"/>
    <w:rsid w:val="3A0B6186"/>
    <w:rsid w:val="3A0CABAA"/>
    <w:rsid w:val="3A1958D9"/>
    <w:rsid w:val="3A1A6177"/>
    <w:rsid w:val="3A23298E"/>
    <w:rsid w:val="3A2ABFFE"/>
    <w:rsid w:val="3A372704"/>
    <w:rsid w:val="3A3C6991"/>
    <w:rsid w:val="3A3DE8C8"/>
    <w:rsid w:val="3A3FFD49"/>
    <w:rsid w:val="3A43C3C5"/>
    <w:rsid w:val="3A4AC767"/>
    <w:rsid w:val="3A4F3039"/>
    <w:rsid w:val="3A4F3D30"/>
    <w:rsid w:val="3A5283E4"/>
    <w:rsid w:val="3A6E373E"/>
    <w:rsid w:val="3A7083FF"/>
    <w:rsid w:val="3A79EF4E"/>
    <w:rsid w:val="3A7E8F1F"/>
    <w:rsid w:val="3A7FCA84"/>
    <w:rsid w:val="3A845FB1"/>
    <w:rsid w:val="3A8820DF"/>
    <w:rsid w:val="3A90C7DE"/>
    <w:rsid w:val="3A9336F9"/>
    <w:rsid w:val="3A980FFD"/>
    <w:rsid w:val="3A9C2A4F"/>
    <w:rsid w:val="3A9D0BAF"/>
    <w:rsid w:val="3AA1A6F1"/>
    <w:rsid w:val="3AA32DBD"/>
    <w:rsid w:val="3AA76C68"/>
    <w:rsid w:val="3AA9D789"/>
    <w:rsid w:val="3AAB9E50"/>
    <w:rsid w:val="3AAC114F"/>
    <w:rsid w:val="3AB232B1"/>
    <w:rsid w:val="3AB40D3A"/>
    <w:rsid w:val="3AC05A12"/>
    <w:rsid w:val="3AC6C9D4"/>
    <w:rsid w:val="3ACBB864"/>
    <w:rsid w:val="3AD44ECD"/>
    <w:rsid w:val="3AD530F0"/>
    <w:rsid w:val="3AD72B9D"/>
    <w:rsid w:val="3AD846D1"/>
    <w:rsid w:val="3AD9A19F"/>
    <w:rsid w:val="3ADFBF18"/>
    <w:rsid w:val="3AE28CDB"/>
    <w:rsid w:val="3AE625F1"/>
    <w:rsid w:val="3AEB383D"/>
    <w:rsid w:val="3AF22A38"/>
    <w:rsid w:val="3AF43E64"/>
    <w:rsid w:val="3AFF16E8"/>
    <w:rsid w:val="3B00A3C7"/>
    <w:rsid w:val="3B086610"/>
    <w:rsid w:val="3B15577D"/>
    <w:rsid w:val="3B1A0791"/>
    <w:rsid w:val="3B1D145B"/>
    <w:rsid w:val="3B1F8482"/>
    <w:rsid w:val="3B2196F4"/>
    <w:rsid w:val="3B244419"/>
    <w:rsid w:val="3B265EB4"/>
    <w:rsid w:val="3B28DA54"/>
    <w:rsid w:val="3B405A7C"/>
    <w:rsid w:val="3B453E5F"/>
    <w:rsid w:val="3B582175"/>
    <w:rsid w:val="3B58DF86"/>
    <w:rsid w:val="3B6452E3"/>
    <w:rsid w:val="3B665447"/>
    <w:rsid w:val="3B6B3DC1"/>
    <w:rsid w:val="3B6CCD35"/>
    <w:rsid w:val="3B703CD6"/>
    <w:rsid w:val="3B7123D3"/>
    <w:rsid w:val="3B723880"/>
    <w:rsid w:val="3B794209"/>
    <w:rsid w:val="3B7A4BE3"/>
    <w:rsid w:val="3B7B0AFF"/>
    <w:rsid w:val="3B7C197D"/>
    <w:rsid w:val="3B865BE6"/>
    <w:rsid w:val="3B88B483"/>
    <w:rsid w:val="3B8F1A09"/>
    <w:rsid w:val="3B8FC98E"/>
    <w:rsid w:val="3B9C0287"/>
    <w:rsid w:val="3B9C33A1"/>
    <w:rsid w:val="3B9CD88D"/>
    <w:rsid w:val="3B9D2F33"/>
    <w:rsid w:val="3BA624CB"/>
    <w:rsid w:val="3BA68DA0"/>
    <w:rsid w:val="3BA70F50"/>
    <w:rsid w:val="3BAAD9DA"/>
    <w:rsid w:val="3BB11046"/>
    <w:rsid w:val="3BB3E1CE"/>
    <w:rsid w:val="3BC1601D"/>
    <w:rsid w:val="3BC1BCF8"/>
    <w:rsid w:val="3BC27A74"/>
    <w:rsid w:val="3BCC9649"/>
    <w:rsid w:val="3BCE1348"/>
    <w:rsid w:val="3BD1056A"/>
    <w:rsid w:val="3BD55E85"/>
    <w:rsid w:val="3BDF9515"/>
    <w:rsid w:val="3BEBA27E"/>
    <w:rsid w:val="3BEEB494"/>
    <w:rsid w:val="3BF02E35"/>
    <w:rsid w:val="3BF1D2F3"/>
    <w:rsid w:val="3BF66251"/>
    <w:rsid w:val="3BF8FBAB"/>
    <w:rsid w:val="3BFA5510"/>
    <w:rsid w:val="3C04B194"/>
    <w:rsid w:val="3C04DE3B"/>
    <w:rsid w:val="3C04E2EC"/>
    <w:rsid w:val="3C056905"/>
    <w:rsid w:val="3C06525C"/>
    <w:rsid w:val="3C0692C9"/>
    <w:rsid w:val="3C0F3EE8"/>
    <w:rsid w:val="3C1859A7"/>
    <w:rsid w:val="3C192A29"/>
    <w:rsid w:val="3C1A0FCA"/>
    <w:rsid w:val="3C1AC8B1"/>
    <w:rsid w:val="3C1E297A"/>
    <w:rsid w:val="3C222EB4"/>
    <w:rsid w:val="3C266C05"/>
    <w:rsid w:val="3C28C106"/>
    <w:rsid w:val="3C2F7AA9"/>
    <w:rsid w:val="3C3EE656"/>
    <w:rsid w:val="3C45E55F"/>
    <w:rsid w:val="3C464A8C"/>
    <w:rsid w:val="3C46FAFA"/>
    <w:rsid w:val="3C4A041B"/>
    <w:rsid w:val="3C4BD945"/>
    <w:rsid w:val="3C5278BE"/>
    <w:rsid w:val="3C5874A5"/>
    <w:rsid w:val="3C66F937"/>
    <w:rsid w:val="3C69A200"/>
    <w:rsid w:val="3C6D2D61"/>
    <w:rsid w:val="3C6F4240"/>
    <w:rsid w:val="3C6F7A76"/>
    <w:rsid w:val="3C6FD4EF"/>
    <w:rsid w:val="3C718E12"/>
    <w:rsid w:val="3C785564"/>
    <w:rsid w:val="3C789AF6"/>
    <w:rsid w:val="3C7B362A"/>
    <w:rsid w:val="3C7E5FF5"/>
    <w:rsid w:val="3C83AC15"/>
    <w:rsid w:val="3C85773B"/>
    <w:rsid w:val="3C885FDE"/>
    <w:rsid w:val="3C887615"/>
    <w:rsid w:val="3C8D156D"/>
    <w:rsid w:val="3C8EFE60"/>
    <w:rsid w:val="3C8FA1C5"/>
    <w:rsid w:val="3C90E5D6"/>
    <w:rsid w:val="3C91458F"/>
    <w:rsid w:val="3C9430A2"/>
    <w:rsid w:val="3C9760D2"/>
    <w:rsid w:val="3C9C69EA"/>
    <w:rsid w:val="3CA57231"/>
    <w:rsid w:val="3CAE398F"/>
    <w:rsid w:val="3CB1CDD8"/>
    <w:rsid w:val="3CB353AC"/>
    <w:rsid w:val="3CBFC553"/>
    <w:rsid w:val="3CC1FDB2"/>
    <w:rsid w:val="3CC2743A"/>
    <w:rsid w:val="3CC3706F"/>
    <w:rsid w:val="3CD128A3"/>
    <w:rsid w:val="3CD5132D"/>
    <w:rsid w:val="3CD66A4B"/>
    <w:rsid w:val="3CDCAC01"/>
    <w:rsid w:val="3CDDD539"/>
    <w:rsid w:val="3CDF5EB4"/>
    <w:rsid w:val="3CE0719D"/>
    <w:rsid w:val="3CE0DE7A"/>
    <w:rsid w:val="3CE934A8"/>
    <w:rsid w:val="3D021F4E"/>
    <w:rsid w:val="3D02A5C7"/>
    <w:rsid w:val="3D04202B"/>
    <w:rsid w:val="3D047D6A"/>
    <w:rsid w:val="3D0760D7"/>
    <w:rsid w:val="3D0C3689"/>
    <w:rsid w:val="3D142A97"/>
    <w:rsid w:val="3D1495D0"/>
    <w:rsid w:val="3D15D436"/>
    <w:rsid w:val="3D17442E"/>
    <w:rsid w:val="3D18C9D8"/>
    <w:rsid w:val="3D28ED64"/>
    <w:rsid w:val="3D3AECFB"/>
    <w:rsid w:val="3D3E425E"/>
    <w:rsid w:val="3D40C24C"/>
    <w:rsid w:val="3D4282C2"/>
    <w:rsid w:val="3D44326E"/>
    <w:rsid w:val="3D448FB5"/>
    <w:rsid w:val="3D467038"/>
    <w:rsid w:val="3D4A09DA"/>
    <w:rsid w:val="3D4B4A48"/>
    <w:rsid w:val="3D4C2396"/>
    <w:rsid w:val="3D533074"/>
    <w:rsid w:val="3D668B5E"/>
    <w:rsid w:val="3D719AA2"/>
    <w:rsid w:val="3D726E02"/>
    <w:rsid w:val="3D74A483"/>
    <w:rsid w:val="3D75A5DC"/>
    <w:rsid w:val="3D780DE5"/>
    <w:rsid w:val="3D7E155D"/>
    <w:rsid w:val="3D7E4C05"/>
    <w:rsid w:val="3D7EBFD8"/>
    <w:rsid w:val="3D81767E"/>
    <w:rsid w:val="3D89E4ED"/>
    <w:rsid w:val="3D8BA8BB"/>
    <w:rsid w:val="3D8D6846"/>
    <w:rsid w:val="3D9275C9"/>
    <w:rsid w:val="3D9F53FB"/>
    <w:rsid w:val="3DA37861"/>
    <w:rsid w:val="3DA40379"/>
    <w:rsid w:val="3DA916B5"/>
    <w:rsid w:val="3DAE7678"/>
    <w:rsid w:val="3DB2BE83"/>
    <w:rsid w:val="3DB2CA74"/>
    <w:rsid w:val="3DB531DF"/>
    <w:rsid w:val="3DB91FC9"/>
    <w:rsid w:val="3DB9EEC1"/>
    <w:rsid w:val="3DBBB328"/>
    <w:rsid w:val="3DBBCE6B"/>
    <w:rsid w:val="3DC20430"/>
    <w:rsid w:val="3DC332D8"/>
    <w:rsid w:val="3DC3441F"/>
    <w:rsid w:val="3DC721B5"/>
    <w:rsid w:val="3DC7D5A2"/>
    <w:rsid w:val="3DD31153"/>
    <w:rsid w:val="3DDB3018"/>
    <w:rsid w:val="3DDD3A0E"/>
    <w:rsid w:val="3DE29C05"/>
    <w:rsid w:val="3DE3035C"/>
    <w:rsid w:val="3DE3C56D"/>
    <w:rsid w:val="3DF0A3D1"/>
    <w:rsid w:val="3DF444B5"/>
    <w:rsid w:val="3E017C23"/>
    <w:rsid w:val="3E04A273"/>
    <w:rsid w:val="3E100BEF"/>
    <w:rsid w:val="3E102A8C"/>
    <w:rsid w:val="3E1DE21E"/>
    <w:rsid w:val="3E1E1AD6"/>
    <w:rsid w:val="3E2347F2"/>
    <w:rsid w:val="3E2364CC"/>
    <w:rsid w:val="3E3432D3"/>
    <w:rsid w:val="3E35829F"/>
    <w:rsid w:val="3E427F95"/>
    <w:rsid w:val="3E432F5A"/>
    <w:rsid w:val="3E476FFF"/>
    <w:rsid w:val="3E4BA0EB"/>
    <w:rsid w:val="3E4D9103"/>
    <w:rsid w:val="3E51785F"/>
    <w:rsid w:val="3E52670D"/>
    <w:rsid w:val="3E547E4C"/>
    <w:rsid w:val="3E56F0F6"/>
    <w:rsid w:val="3E59803F"/>
    <w:rsid w:val="3E696E26"/>
    <w:rsid w:val="3E6975F4"/>
    <w:rsid w:val="3E71C42A"/>
    <w:rsid w:val="3E726AC0"/>
    <w:rsid w:val="3E8DFB43"/>
    <w:rsid w:val="3E987726"/>
    <w:rsid w:val="3E99CEA0"/>
    <w:rsid w:val="3E9E8776"/>
    <w:rsid w:val="3EA341B3"/>
    <w:rsid w:val="3EA5D089"/>
    <w:rsid w:val="3EAC52C2"/>
    <w:rsid w:val="3EAF957F"/>
    <w:rsid w:val="3EB11F52"/>
    <w:rsid w:val="3EB26E91"/>
    <w:rsid w:val="3EB4D5A2"/>
    <w:rsid w:val="3EB59FFB"/>
    <w:rsid w:val="3EBCB31E"/>
    <w:rsid w:val="3EC39171"/>
    <w:rsid w:val="3EC3DDAE"/>
    <w:rsid w:val="3EC7E900"/>
    <w:rsid w:val="3ECD3255"/>
    <w:rsid w:val="3ED0410A"/>
    <w:rsid w:val="3ED2AB4C"/>
    <w:rsid w:val="3EDCB34E"/>
    <w:rsid w:val="3EDD0969"/>
    <w:rsid w:val="3EDDAC59"/>
    <w:rsid w:val="3EE0234B"/>
    <w:rsid w:val="3EE098B0"/>
    <w:rsid w:val="3EE0BAB4"/>
    <w:rsid w:val="3EE2A573"/>
    <w:rsid w:val="3EE3FF8B"/>
    <w:rsid w:val="3EF0FB04"/>
    <w:rsid w:val="3F01CED9"/>
    <w:rsid w:val="3F02E921"/>
    <w:rsid w:val="3F0543FA"/>
    <w:rsid w:val="3F0D8E91"/>
    <w:rsid w:val="3F107131"/>
    <w:rsid w:val="3F163970"/>
    <w:rsid w:val="3F1A6DDC"/>
    <w:rsid w:val="3F28114F"/>
    <w:rsid w:val="3F28D698"/>
    <w:rsid w:val="3F2A44B6"/>
    <w:rsid w:val="3F2B73BC"/>
    <w:rsid w:val="3F2E4F19"/>
    <w:rsid w:val="3F324A76"/>
    <w:rsid w:val="3F3BF426"/>
    <w:rsid w:val="3F41C02E"/>
    <w:rsid w:val="3F41D16C"/>
    <w:rsid w:val="3F5064DE"/>
    <w:rsid w:val="3F521079"/>
    <w:rsid w:val="3F53721D"/>
    <w:rsid w:val="3F5A0E91"/>
    <w:rsid w:val="3F5F9480"/>
    <w:rsid w:val="3F637B72"/>
    <w:rsid w:val="3F6B2918"/>
    <w:rsid w:val="3F6C24C4"/>
    <w:rsid w:val="3F73E3CF"/>
    <w:rsid w:val="3F751115"/>
    <w:rsid w:val="3F7C248C"/>
    <w:rsid w:val="3F829305"/>
    <w:rsid w:val="3F966828"/>
    <w:rsid w:val="3F974C03"/>
    <w:rsid w:val="3F993379"/>
    <w:rsid w:val="3F9A880A"/>
    <w:rsid w:val="3F9ABB4E"/>
    <w:rsid w:val="3F9C5695"/>
    <w:rsid w:val="3F9E412D"/>
    <w:rsid w:val="3FA214C2"/>
    <w:rsid w:val="3FA76003"/>
    <w:rsid w:val="3FADB8F3"/>
    <w:rsid w:val="3FAFB600"/>
    <w:rsid w:val="3FB31A81"/>
    <w:rsid w:val="3FB746B2"/>
    <w:rsid w:val="3FB88243"/>
    <w:rsid w:val="3FB96C4E"/>
    <w:rsid w:val="3FC3A40F"/>
    <w:rsid w:val="3FC848C6"/>
    <w:rsid w:val="3FCA3F61"/>
    <w:rsid w:val="3FCAD998"/>
    <w:rsid w:val="3FCCD28B"/>
    <w:rsid w:val="3FD5494D"/>
    <w:rsid w:val="3FDED7C4"/>
    <w:rsid w:val="3FE33951"/>
    <w:rsid w:val="3FE4FCDD"/>
    <w:rsid w:val="3FE6C750"/>
    <w:rsid w:val="3FF077FC"/>
    <w:rsid w:val="3FF8EAAD"/>
    <w:rsid w:val="4008E3A8"/>
    <w:rsid w:val="400FA6A6"/>
    <w:rsid w:val="40135C5F"/>
    <w:rsid w:val="40178039"/>
    <w:rsid w:val="4019E764"/>
    <w:rsid w:val="40269F18"/>
    <w:rsid w:val="4028AB6E"/>
    <w:rsid w:val="402ABAC0"/>
    <w:rsid w:val="402AF796"/>
    <w:rsid w:val="40316272"/>
    <w:rsid w:val="4032440E"/>
    <w:rsid w:val="403313B2"/>
    <w:rsid w:val="40332AA6"/>
    <w:rsid w:val="403A1A01"/>
    <w:rsid w:val="4043FADF"/>
    <w:rsid w:val="404C06D9"/>
    <w:rsid w:val="405C37BB"/>
    <w:rsid w:val="406A77CD"/>
    <w:rsid w:val="406D7363"/>
    <w:rsid w:val="406F77B5"/>
    <w:rsid w:val="407CF479"/>
    <w:rsid w:val="40818773"/>
    <w:rsid w:val="4084563D"/>
    <w:rsid w:val="4086E2CB"/>
    <w:rsid w:val="4089EB3E"/>
    <w:rsid w:val="408B7DFE"/>
    <w:rsid w:val="4090B571"/>
    <w:rsid w:val="40919903"/>
    <w:rsid w:val="40948263"/>
    <w:rsid w:val="4096E2E2"/>
    <w:rsid w:val="409DC3B3"/>
    <w:rsid w:val="409FA159"/>
    <w:rsid w:val="40A04648"/>
    <w:rsid w:val="40A2D9FD"/>
    <w:rsid w:val="40A30841"/>
    <w:rsid w:val="40A368A0"/>
    <w:rsid w:val="40A3FA24"/>
    <w:rsid w:val="40ACEB76"/>
    <w:rsid w:val="40ADCBAB"/>
    <w:rsid w:val="40AFA95B"/>
    <w:rsid w:val="40B2BF64"/>
    <w:rsid w:val="40B2ED6A"/>
    <w:rsid w:val="40B304F3"/>
    <w:rsid w:val="40B386FF"/>
    <w:rsid w:val="40BD4D25"/>
    <w:rsid w:val="40C254A2"/>
    <w:rsid w:val="40CED92E"/>
    <w:rsid w:val="40D122CC"/>
    <w:rsid w:val="40D1B63C"/>
    <w:rsid w:val="40D2079B"/>
    <w:rsid w:val="40D72D8C"/>
    <w:rsid w:val="40DE3F87"/>
    <w:rsid w:val="40E285A5"/>
    <w:rsid w:val="40E5B13B"/>
    <w:rsid w:val="40EDED53"/>
    <w:rsid w:val="40F30C0F"/>
    <w:rsid w:val="41023FFB"/>
    <w:rsid w:val="410722DE"/>
    <w:rsid w:val="41090E7B"/>
    <w:rsid w:val="410FDA62"/>
    <w:rsid w:val="4112E85E"/>
    <w:rsid w:val="41154A8A"/>
    <w:rsid w:val="411694DE"/>
    <w:rsid w:val="4118CFB5"/>
    <w:rsid w:val="411C64EA"/>
    <w:rsid w:val="4120EB75"/>
    <w:rsid w:val="412E945F"/>
    <w:rsid w:val="413AE531"/>
    <w:rsid w:val="413CB479"/>
    <w:rsid w:val="41464CFE"/>
    <w:rsid w:val="414A20E0"/>
    <w:rsid w:val="414CB33B"/>
    <w:rsid w:val="414E52E1"/>
    <w:rsid w:val="4153B328"/>
    <w:rsid w:val="41592A43"/>
    <w:rsid w:val="41594F73"/>
    <w:rsid w:val="4168AD62"/>
    <w:rsid w:val="416E88F8"/>
    <w:rsid w:val="41753F94"/>
    <w:rsid w:val="4176EAB1"/>
    <w:rsid w:val="4177838B"/>
    <w:rsid w:val="4177D32D"/>
    <w:rsid w:val="41794247"/>
    <w:rsid w:val="417FCE0F"/>
    <w:rsid w:val="418C9513"/>
    <w:rsid w:val="4190A6C7"/>
    <w:rsid w:val="4198F1A3"/>
    <w:rsid w:val="419A1A3A"/>
    <w:rsid w:val="419B9F98"/>
    <w:rsid w:val="419F6FCE"/>
    <w:rsid w:val="41A66C9D"/>
    <w:rsid w:val="41AFFAF7"/>
    <w:rsid w:val="41B8F3EC"/>
    <w:rsid w:val="41C0711B"/>
    <w:rsid w:val="41C1F65F"/>
    <w:rsid w:val="41C9BEDB"/>
    <w:rsid w:val="41CEA752"/>
    <w:rsid w:val="41D0FF41"/>
    <w:rsid w:val="41D51071"/>
    <w:rsid w:val="41D5F95A"/>
    <w:rsid w:val="41D8CFE5"/>
    <w:rsid w:val="41E1176C"/>
    <w:rsid w:val="41EC734B"/>
    <w:rsid w:val="41EC7F9B"/>
    <w:rsid w:val="41F3C00A"/>
    <w:rsid w:val="41F7691C"/>
    <w:rsid w:val="41F88B27"/>
    <w:rsid w:val="41FD52C8"/>
    <w:rsid w:val="41FD81A6"/>
    <w:rsid w:val="42015A89"/>
    <w:rsid w:val="420184BD"/>
    <w:rsid w:val="42030285"/>
    <w:rsid w:val="4204C5FA"/>
    <w:rsid w:val="42093EA8"/>
    <w:rsid w:val="420CA130"/>
    <w:rsid w:val="421E9DA3"/>
    <w:rsid w:val="42203CC6"/>
    <w:rsid w:val="422298F4"/>
    <w:rsid w:val="4223E85E"/>
    <w:rsid w:val="42295471"/>
    <w:rsid w:val="422B7BEF"/>
    <w:rsid w:val="423C6EE5"/>
    <w:rsid w:val="42447E6D"/>
    <w:rsid w:val="42486E7D"/>
    <w:rsid w:val="4251BCE9"/>
    <w:rsid w:val="425733B3"/>
    <w:rsid w:val="425E60E5"/>
    <w:rsid w:val="42651167"/>
    <w:rsid w:val="426776F7"/>
    <w:rsid w:val="4269AD13"/>
    <w:rsid w:val="42743CD2"/>
    <w:rsid w:val="42795BF9"/>
    <w:rsid w:val="427D5417"/>
    <w:rsid w:val="428CE231"/>
    <w:rsid w:val="42903950"/>
    <w:rsid w:val="4294B113"/>
    <w:rsid w:val="429BBB50"/>
    <w:rsid w:val="42A2E85E"/>
    <w:rsid w:val="42A607B2"/>
    <w:rsid w:val="42A91BEF"/>
    <w:rsid w:val="42AB2EE4"/>
    <w:rsid w:val="42AB87E3"/>
    <w:rsid w:val="42B1CB40"/>
    <w:rsid w:val="42B37450"/>
    <w:rsid w:val="42C1BAD6"/>
    <w:rsid w:val="42C609CE"/>
    <w:rsid w:val="42D311FE"/>
    <w:rsid w:val="42E9A583"/>
    <w:rsid w:val="42ECE205"/>
    <w:rsid w:val="42ED6931"/>
    <w:rsid w:val="42EE0B60"/>
    <w:rsid w:val="42EEEBB8"/>
    <w:rsid w:val="42F488AE"/>
    <w:rsid w:val="4300DC04"/>
    <w:rsid w:val="430B68E7"/>
    <w:rsid w:val="431428E6"/>
    <w:rsid w:val="43228C96"/>
    <w:rsid w:val="432417B2"/>
    <w:rsid w:val="43254590"/>
    <w:rsid w:val="43265636"/>
    <w:rsid w:val="4327A0C9"/>
    <w:rsid w:val="432BE540"/>
    <w:rsid w:val="432C0C5D"/>
    <w:rsid w:val="433416CC"/>
    <w:rsid w:val="433823DF"/>
    <w:rsid w:val="433DF6BC"/>
    <w:rsid w:val="434515CD"/>
    <w:rsid w:val="434D0272"/>
    <w:rsid w:val="434E0BD5"/>
    <w:rsid w:val="4372BC9B"/>
    <w:rsid w:val="437308A1"/>
    <w:rsid w:val="437545EB"/>
    <w:rsid w:val="4377E46C"/>
    <w:rsid w:val="4377F34B"/>
    <w:rsid w:val="437A9C8F"/>
    <w:rsid w:val="437BBC40"/>
    <w:rsid w:val="437C63C4"/>
    <w:rsid w:val="4382852B"/>
    <w:rsid w:val="4386DEE3"/>
    <w:rsid w:val="43887EC1"/>
    <w:rsid w:val="438C832B"/>
    <w:rsid w:val="438D27E8"/>
    <w:rsid w:val="4394A61F"/>
    <w:rsid w:val="4396F361"/>
    <w:rsid w:val="4399289C"/>
    <w:rsid w:val="439BE692"/>
    <w:rsid w:val="43A8906C"/>
    <w:rsid w:val="43AEF605"/>
    <w:rsid w:val="43B4C5D7"/>
    <w:rsid w:val="43B79AD2"/>
    <w:rsid w:val="43CB60D6"/>
    <w:rsid w:val="43D17218"/>
    <w:rsid w:val="43DCFDC5"/>
    <w:rsid w:val="43F0C603"/>
    <w:rsid w:val="43F2C7D2"/>
    <w:rsid w:val="43F402F4"/>
    <w:rsid w:val="43F50560"/>
    <w:rsid w:val="43F843D8"/>
    <w:rsid w:val="4401E8C1"/>
    <w:rsid w:val="44024F20"/>
    <w:rsid w:val="4414FF42"/>
    <w:rsid w:val="44180F97"/>
    <w:rsid w:val="44195A15"/>
    <w:rsid w:val="44199EE0"/>
    <w:rsid w:val="441E4E6A"/>
    <w:rsid w:val="44225258"/>
    <w:rsid w:val="442396E3"/>
    <w:rsid w:val="4423FEC4"/>
    <w:rsid w:val="442ABCC2"/>
    <w:rsid w:val="442F5F00"/>
    <w:rsid w:val="44300750"/>
    <w:rsid w:val="4435751B"/>
    <w:rsid w:val="4438C4D7"/>
    <w:rsid w:val="443E0BBB"/>
    <w:rsid w:val="443EAAE8"/>
    <w:rsid w:val="444122D6"/>
    <w:rsid w:val="444487FF"/>
    <w:rsid w:val="4444A142"/>
    <w:rsid w:val="4445828D"/>
    <w:rsid w:val="44464C95"/>
    <w:rsid w:val="444A0A21"/>
    <w:rsid w:val="4453A7C2"/>
    <w:rsid w:val="4456D6D5"/>
    <w:rsid w:val="445CE3F9"/>
    <w:rsid w:val="445EEA4D"/>
    <w:rsid w:val="44613055"/>
    <w:rsid w:val="44688A30"/>
    <w:rsid w:val="446898CD"/>
    <w:rsid w:val="446B6504"/>
    <w:rsid w:val="446F3BA6"/>
    <w:rsid w:val="447181F8"/>
    <w:rsid w:val="447244D4"/>
    <w:rsid w:val="44783017"/>
    <w:rsid w:val="447C1611"/>
    <w:rsid w:val="447C7927"/>
    <w:rsid w:val="447CCA6E"/>
    <w:rsid w:val="447E36F8"/>
    <w:rsid w:val="447F566D"/>
    <w:rsid w:val="44886D37"/>
    <w:rsid w:val="4492BE59"/>
    <w:rsid w:val="44AA3D46"/>
    <w:rsid w:val="44AB4ABE"/>
    <w:rsid w:val="44ACA442"/>
    <w:rsid w:val="44AED072"/>
    <w:rsid w:val="44B12C6C"/>
    <w:rsid w:val="44BD7CD3"/>
    <w:rsid w:val="44BF3E3C"/>
    <w:rsid w:val="44BFE9F6"/>
    <w:rsid w:val="44C67916"/>
    <w:rsid w:val="44D1E0D1"/>
    <w:rsid w:val="44D82C0C"/>
    <w:rsid w:val="44D91156"/>
    <w:rsid w:val="44DC6DAA"/>
    <w:rsid w:val="44DD1128"/>
    <w:rsid w:val="44E7BF6F"/>
    <w:rsid w:val="44E855FD"/>
    <w:rsid w:val="44E86331"/>
    <w:rsid w:val="44F3A734"/>
    <w:rsid w:val="44F59FEF"/>
    <w:rsid w:val="44FAEF6D"/>
    <w:rsid w:val="44FB75A6"/>
    <w:rsid w:val="44FBEAB0"/>
    <w:rsid w:val="44FC3F92"/>
    <w:rsid w:val="45023D4D"/>
    <w:rsid w:val="45081EDD"/>
    <w:rsid w:val="450A3C03"/>
    <w:rsid w:val="450ACFA8"/>
    <w:rsid w:val="4513FA64"/>
    <w:rsid w:val="451DFB02"/>
    <w:rsid w:val="451F3223"/>
    <w:rsid w:val="45201A9C"/>
    <w:rsid w:val="4525D882"/>
    <w:rsid w:val="452E00CD"/>
    <w:rsid w:val="452E0A19"/>
    <w:rsid w:val="4534E26B"/>
    <w:rsid w:val="4535098C"/>
    <w:rsid w:val="453A7158"/>
    <w:rsid w:val="453BDD26"/>
    <w:rsid w:val="4549732E"/>
    <w:rsid w:val="454ADDBA"/>
    <w:rsid w:val="454F3D6F"/>
    <w:rsid w:val="45508AA9"/>
    <w:rsid w:val="4554ADCC"/>
    <w:rsid w:val="45656783"/>
    <w:rsid w:val="45663925"/>
    <w:rsid w:val="4567BA92"/>
    <w:rsid w:val="45696D95"/>
    <w:rsid w:val="456A7E27"/>
    <w:rsid w:val="456B759D"/>
    <w:rsid w:val="456CB075"/>
    <w:rsid w:val="456FC7C7"/>
    <w:rsid w:val="457493E7"/>
    <w:rsid w:val="4577B23F"/>
    <w:rsid w:val="457F0C70"/>
    <w:rsid w:val="4581913A"/>
    <w:rsid w:val="458C8F4C"/>
    <w:rsid w:val="45918746"/>
    <w:rsid w:val="45ADC7A2"/>
    <w:rsid w:val="45ADE95B"/>
    <w:rsid w:val="45BC1B78"/>
    <w:rsid w:val="45BC836C"/>
    <w:rsid w:val="45BEB7C9"/>
    <w:rsid w:val="45C278F6"/>
    <w:rsid w:val="45C5392F"/>
    <w:rsid w:val="45C57A9D"/>
    <w:rsid w:val="45CA8265"/>
    <w:rsid w:val="45CB23D7"/>
    <w:rsid w:val="45D4C08E"/>
    <w:rsid w:val="45DB9E90"/>
    <w:rsid w:val="45DC4D1B"/>
    <w:rsid w:val="45DEB8EA"/>
    <w:rsid w:val="45E05A45"/>
    <w:rsid w:val="45E2D442"/>
    <w:rsid w:val="45E5F62E"/>
    <w:rsid w:val="45ECA586"/>
    <w:rsid w:val="45F5B2CB"/>
    <w:rsid w:val="45F8F8EE"/>
    <w:rsid w:val="45FEAD0C"/>
    <w:rsid w:val="460332A3"/>
    <w:rsid w:val="4614C5C3"/>
    <w:rsid w:val="46180667"/>
    <w:rsid w:val="46218F56"/>
    <w:rsid w:val="46236851"/>
    <w:rsid w:val="4628D1F7"/>
    <w:rsid w:val="462ECC06"/>
    <w:rsid w:val="463C1BAC"/>
    <w:rsid w:val="463E68B9"/>
    <w:rsid w:val="463F3388"/>
    <w:rsid w:val="4644BD42"/>
    <w:rsid w:val="46455E53"/>
    <w:rsid w:val="46465926"/>
    <w:rsid w:val="464717FF"/>
    <w:rsid w:val="464DAA5B"/>
    <w:rsid w:val="4652A0F8"/>
    <w:rsid w:val="46586F05"/>
    <w:rsid w:val="465A069B"/>
    <w:rsid w:val="4669D049"/>
    <w:rsid w:val="466CBBBD"/>
    <w:rsid w:val="4675B2A3"/>
    <w:rsid w:val="467DD5F4"/>
    <w:rsid w:val="468496AD"/>
    <w:rsid w:val="46885226"/>
    <w:rsid w:val="468A89E9"/>
    <w:rsid w:val="4693155C"/>
    <w:rsid w:val="4697DA5E"/>
    <w:rsid w:val="4699AA19"/>
    <w:rsid w:val="469E2C97"/>
    <w:rsid w:val="46A683B0"/>
    <w:rsid w:val="46BE8AA0"/>
    <w:rsid w:val="46BF7629"/>
    <w:rsid w:val="46C3C6A5"/>
    <w:rsid w:val="46C54A3B"/>
    <w:rsid w:val="46C71FBC"/>
    <w:rsid w:val="46D17648"/>
    <w:rsid w:val="46DC1B07"/>
    <w:rsid w:val="46DF54AB"/>
    <w:rsid w:val="46E640E3"/>
    <w:rsid w:val="46EE6B3C"/>
    <w:rsid w:val="46F37B79"/>
    <w:rsid w:val="46F3B475"/>
    <w:rsid w:val="46F7C64C"/>
    <w:rsid w:val="46F7FEB7"/>
    <w:rsid w:val="46FB1386"/>
    <w:rsid w:val="46FB5ABF"/>
    <w:rsid w:val="46FBA473"/>
    <w:rsid w:val="46FBA7FB"/>
    <w:rsid w:val="4704052F"/>
    <w:rsid w:val="4704B9A3"/>
    <w:rsid w:val="470897CE"/>
    <w:rsid w:val="470EC03C"/>
    <w:rsid w:val="471408BD"/>
    <w:rsid w:val="471CFDF7"/>
    <w:rsid w:val="47303254"/>
    <w:rsid w:val="4731FD9D"/>
    <w:rsid w:val="473BC2CC"/>
    <w:rsid w:val="4741D2A2"/>
    <w:rsid w:val="47430D23"/>
    <w:rsid w:val="474F99C2"/>
    <w:rsid w:val="475131AA"/>
    <w:rsid w:val="475981EB"/>
    <w:rsid w:val="475A580B"/>
    <w:rsid w:val="475C6495"/>
    <w:rsid w:val="475E33BF"/>
    <w:rsid w:val="475FE181"/>
    <w:rsid w:val="4764AF8D"/>
    <w:rsid w:val="476CE166"/>
    <w:rsid w:val="476D5D03"/>
    <w:rsid w:val="47774E8B"/>
    <w:rsid w:val="477A77F5"/>
    <w:rsid w:val="477FA39B"/>
    <w:rsid w:val="4784CF40"/>
    <w:rsid w:val="4797E156"/>
    <w:rsid w:val="479C85E3"/>
    <w:rsid w:val="47A25A7C"/>
    <w:rsid w:val="47A2633E"/>
    <w:rsid w:val="47A364DA"/>
    <w:rsid w:val="47A44001"/>
    <w:rsid w:val="47A6790F"/>
    <w:rsid w:val="47A89C7F"/>
    <w:rsid w:val="47B0840B"/>
    <w:rsid w:val="47B2D5BC"/>
    <w:rsid w:val="47B75E31"/>
    <w:rsid w:val="47C2C155"/>
    <w:rsid w:val="47C53F79"/>
    <w:rsid w:val="47C95CF9"/>
    <w:rsid w:val="47CB6D6E"/>
    <w:rsid w:val="47CBAF64"/>
    <w:rsid w:val="47CF03BD"/>
    <w:rsid w:val="47D74162"/>
    <w:rsid w:val="47D9E15A"/>
    <w:rsid w:val="47DBA293"/>
    <w:rsid w:val="47E298EE"/>
    <w:rsid w:val="47E8961C"/>
    <w:rsid w:val="47F039E5"/>
    <w:rsid w:val="48059A9C"/>
    <w:rsid w:val="48093AEA"/>
    <w:rsid w:val="48097B35"/>
    <w:rsid w:val="480BE4D9"/>
    <w:rsid w:val="48120D7B"/>
    <w:rsid w:val="4817C1E2"/>
    <w:rsid w:val="481FCAC6"/>
    <w:rsid w:val="4827B9C5"/>
    <w:rsid w:val="48317879"/>
    <w:rsid w:val="483BD764"/>
    <w:rsid w:val="484270EE"/>
    <w:rsid w:val="4845DF7B"/>
    <w:rsid w:val="484C756F"/>
    <w:rsid w:val="484D2EDC"/>
    <w:rsid w:val="48501202"/>
    <w:rsid w:val="48506371"/>
    <w:rsid w:val="4852BCC7"/>
    <w:rsid w:val="485EE138"/>
    <w:rsid w:val="485F74FA"/>
    <w:rsid w:val="48600C22"/>
    <w:rsid w:val="48633857"/>
    <w:rsid w:val="4864FB17"/>
    <w:rsid w:val="48678FE8"/>
    <w:rsid w:val="486A897A"/>
    <w:rsid w:val="486F658E"/>
    <w:rsid w:val="4876CC80"/>
    <w:rsid w:val="487C8054"/>
    <w:rsid w:val="487D6D01"/>
    <w:rsid w:val="488277A4"/>
    <w:rsid w:val="4885668F"/>
    <w:rsid w:val="488F3C9C"/>
    <w:rsid w:val="4891F474"/>
    <w:rsid w:val="48961309"/>
    <w:rsid w:val="489D4388"/>
    <w:rsid w:val="489F9877"/>
    <w:rsid w:val="48A39A3B"/>
    <w:rsid w:val="48A6B4E4"/>
    <w:rsid w:val="48A86086"/>
    <w:rsid w:val="48AB43F3"/>
    <w:rsid w:val="48B03558"/>
    <w:rsid w:val="48B45DE9"/>
    <w:rsid w:val="48B6E1F1"/>
    <w:rsid w:val="48BABF9F"/>
    <w:rsid w:val="48C3BFDA"/>
    <w:rsid w:val="48CAA61F"/>
    <w:rsid w:val="48CCFB44"/>
    <w:rsid w:val="48D4B30B"/>
    <w:rsid w:val="48D4D912"/>
    <w:rsid w:val="48DAE679"/>
    <w:rsid w:val="48E2BFC1"/>
    <w:rsid w:val="48E33CC8"/>
    <w:rsid w:val="48E4A495"/>
    <w:rsid w:val="48E4F00E"/>
    <w:rsid w:val="48E8A924"/>
    <w:rsid w:val="48F0692E"/>
    <w:rsid w:val="48F2EC3D"/>
    <w:rsid w:val="48FB9067"/>
    <w:rsid w:val="490266AE"/>
    <w:rsid w:val="49096B9D"/>
    <w:rsid w:val="490D4A8A"/>
    <w:rsid w:val="49118CF0"/>
    <w:rsid w:val="49164D32"/>
    <w:rsid w:val="4916846D"/>
    <w:rsid w:val="491F2442"/>
    <w:rsid w:val="49211288"/>
    <w:rsid w:val="4926CFF8"/>
    <w:rsid w:val="4928F7B6"/>
    <w:rsid w:val="49327FD2"/>
    <w:rsid w:val="49381E80"/>
    <w:rsid w:val="4938DF5F"/>
    <w:rsid w:val="4942F602"/>
    <w:rsid w:val="494308AC"/>
    <w:rsid w:val="49436814"/>
    <w:rsid w:val="494459F8"/>
    <w:rsid w:val="4945692D"/>
    <w:rsid w:val="4946638C"/>
    <w:rsid w:val="4950D4B4"/>
    <w:rsid w:val="4959A05C"/>
    <w:rsid w:val="495B5BCE"/>
    <w:rsid w:val="495B88B8"/>
    <w:rsid w:val="496194E2"/>
    <w:rsid w:val="496E5A7F"/>
    <w:rsid w:val="496F3EDC"/>
    <w:rsid w:val="49708642"/>
    <w:rsid w:val="49750878"/>
    <w:rsid w:val="49756F14"/>
    <w:rsid w:val="49794103"/>
    <w:rsid w:val="498A036E"/>
    <w:rsid w:val="498C6C35"/>
    <w:rsid w:val="499582B4"/>
    <w:rsid w:val="4995CDBB"/>
    <w:rsid w:val="499BCDFC"/>
    <w:rsid w:val="499F0196"/>
    <w:rsid w:val="49A19893"/>
    <w:rsid w:val="49A39287"/>
    <w:rsid w:val="49A5162D"/>
    <w:rsid w:val="49A7B24A"/>
    <w:rsid w:val="49B0B786"/>
    <w:rsid w:val="49B67BD5"/>
    <w:rsid w:val="49BD7787"/>
    <w:rsid w:val="49C15360"/>
    <w:rsid w:val="49C443DE"/>
    <w:rsid w:val="49C8C4C6"/>
    <w:rsid w:val="49CC5452"/>
    <w:rsid w:val="49CCA98A"/>
    <w:rsid w:val="49D52ADA"/>
    <w:rsid w:val="49D538CA"/>
    <w:rsid w:val="49D9BFA7"/>
    <w:rsid w:val="49E4F304"/>
    <w:rsid w:val="49E705F0"/>
    <w:rsid w:val="49E713D7"/>
    <w:rsid w:val="49FACF37"/>
    <w:rsid w:val="49FB1A68"/>
    <w:rsid w:val="4A0177F4"/>
    <w:rsid w:val="4A204F8F"/>
    <w:rsid w:val="4A227C70"/>
    <w:rsid w:val="4A44BAF0"/>
    <w:rsid w:val="4A4DBE63"/>
    <w:rsid w:val="4A509514"/>
    <w:rsid w:val="4A53737D"/>
    <w:rsid w:val="4A53A275"/>
    <w:rsid w:val="4A5B69BC"/>
    <w:rsid w:val="4A5BDF52"/>
    <w:rsid w:val="4A68CC5F"/>
    <w:rsid w:val="4A6A0945"/>
    <w:rsid w:val="4A6CD1D0"/>
    <w:rsid w:val="4A7041C1"/>
    <w:rsid w:val="4A7534F9"/>
    <w:rsid w:val="4A78AF35"/>
    <w:rsid w:val="4A7BF23E"/>
    <w:rsid w:val="4A81201B"/>
    <w:rsid w:val="4A815425"/>
    <w:rsid w:val="4A8C7790"/>
    <w:rsid w:val="4A8CCB90"/>
    <w:rsid w:val="4A8DB1EC"/>
    <w:rsid w:val="4A8EEB70"/>
    <w:rsid w:val="4A943207"/>
    <w:rsid w:val="4A993371"/>
    <w:rsid w:val="4A9F8577"/>
    <w:rsid w:val="4AA2B034"/>
    <w:rsid w:val="4AA8861D"/>
    <w:rsid w:val="4AADA6E1"/>
    <w:rsid w:val="4AADB6A6"/>
    <w:rsid w:val="4AAF3CE4"/>
    <w:rsid w:val="4ABAB790"/>
    <w:rsid w:val="4AC0755F"/>
    <w:rsid w:val="4AC0C50D"/>
    <w:rsid w:val="4AD2AEF5"/>
    <w:rsid w:val="4ADC40DF"/>
    <w:rsid w:val="4ADE0BBF"/>
    <w:rsid w:val="4ADE2739"/>
    <w:rsid w:val="4AE10938"/>
    <w:rsid w:val="4AE2B464"/>
    <w:rsid w:val="4AEC862E"/>
    <w:rsid w:val="4AF143E3"/>
    <w:rsid w:val="4AF589F4"/>
    <w:rsid w:val="4AFB291C"/>
    <w:rsid w:val="4B004E10"/>
    <w:rsid w:val="4B00AD60"/>
    <w:rsid w:val="4B06108C"/>
    <w:rsid w:val="4B1030F9"/>
    <w:rsid w:val="4B114C22"/>
    <w:rsid w:val="4B12B07A"/>
    <w:rsid w:val="4B14B03B"/>
    <w:rsid w:val="4B15C2B9"/>
    <w:rsid w:val="4B1CED18"/>
    <w:rsid w:val="4B1E613A"/>
    <w:rsid w:val="4B219D46"/>
    <w:rsid w:val="4B2400F8"/>
    <w:rsid w:val="4B2714FD"/>
    <w:rsid w:val="4B2B1F44"/>
    <w:rsid w:val="4B2DEF38"/>
    <w:rsid w:val="4B2FCC16"/>
    <w:rsid w:val="4B3B21CE"/>
    <w:rsid w:val="4B449533"/>
    <w:rsid w:val="4B4B758D"/>
    <w:rsid w:val="4B4D1863"/>
    <w:rsid w:val="4B4DB76A"/>
    <w:rsid w:val="4B5012D0"/>
    <w:rsid w:val="4B5EA948"/>
    <w:rsid w:val="4B607CE3"/>
    <w:rsid w:val="4B657311"/>
    <w:rsid w:val="4B6846AD"/>
    <w:rsid w:val="4B6AE050"/>
    <w:rsid w:val="4B6E378D"/>
    <w:rsid w:val="4B7FCBE6"/>
    <w:rsid w:val="4B85B15D"/>
    <w:rsid w:val="4B88E277"/>
    <w:rsid w:val="4B8A7855"/>
    <w:rsid w:val="4B8AF91A"/>
    <w:rsid w:val="4B94275F"/>
    <w:rsid w:val="4B9CAE37"/>
    <w:rsid w:val="4BA069C4"/>
    <w:rsid w:val="4BA431A7"/>
    <w:rsid w:val="4BA7214B"/>
    <w:rsid w:val="4BAA5BEB"/>
    <w:rsid w:val="4BAA8ADF"/>
    <w:rsid w:val="4BB18766"/>
    <w:rsid w:val="4BB24D7B"/>
    <w:rsid w:val="4BB60407"/>
    <w:rsid w:val="4BB9DBC4"/>
    <w:rsid w:val="4BBBE889"/>
    <w:rsid w:val="4BC0B6EF"/>
    <w:rsid w:val="4BC3FE2B"/>
    <w:rsid w:val="4BC68367"/>
    <w:rsid w:val="4BD45B10"/>
    <w:rsid w:val="4BD93B40"/>
    <w:rsid w:val="4BDB7A18"/>
    <w:rsid w:val="4BE8444B"/>
    <w:rsid w:val="4BEB79A3"/>
    <w:rsid w:val="4BEC92EB"/>
    <w:rsid w:val="4BED36FA"/>
    <w:rsid w:val="4BF998CB"/>
    <w:rsid w:val="4BFB172D"/>
    <w:rsid w:val="4C0AC032"/>
    <w:rsid w:val="4C0C399B"/>
    <w:rsid w:val="4C11BEFB"/>
    <w:rsid w:val="4C12DFDF"/>
    <w:rsid w:val="4C18D8DE"/>
    <w:rsid w:val="4C1D8251"/>
    <w:rsid w:val="4C20C34F"/>
    <w:rsid w:val="4C2267B0"/>
    <w:rsid w:val="4C27A032"/>
    <w:rsid w:val="4C2AF353"/>
    <w:rsid w:val="4C302D81"/>
    <w:rsid w:val="4C34EEFF"/>
    <w:rsid w:val="4C37389E"/>
    <w:rsid w:val="4C4092C9"/>
    <w:rsid w:val="4C426059"/>
    <w:rsid w:val="4C459B05"/>
    <w:rsid w:val="4C480809"/>
    <w:rsid w:val="4C4D50AE"/>
    <w:rsid w:val="4C4DAA59"/>
    <w:rsid w:val="4C57D462"/>
    <w:rsid w:val="4C5C7C2B"/>
    <w:rsid w:val="4C5E525E"/>
    <w:rsid w:val="4C636518"/>
    <w:rsid w:val="4C677F5D"/>
    <w:rsid w:val="4C67F0B2"/>
    <w:rsid w:val="4C6B7829"/>
    <w:rsid w:val="4C6FF604"/>
    <w:rsid w:val="4C769342"/>
    <w:rsid w:val="4C795783"/>
    <w:rsid w:val="4C8A6F2F"/>
    <w:rsid w:val="4C8C91CB"/>
    <w:rsid w:val="4C957ED0"/>
    <w:rsid w:val="4C97132D"/>
    <w:rsid w:val="4C9A22EF"/>
    <w:rsid w:val="4CA06CA7"/>
    <w:rsid w:val="4CA91E0C"/>
    <w:rsid w:val="4CAC1777"/>
    <w:rsid w:val="4CADE7A5"/>
    <w:rsid w:val="4CB4D5F9"/>
    <w:rsid w:val="4CB56D02"/>
    <w:rsid w:val="4CB59934"/>
    <w:rsid w:val="4CB76844"/>
    <w:rsid w:val="4CBB08FC"/>
    <w:rsid w:val="4CBBFFEF"/>
    <w:rsid w:val="4CBED4DD"/>
    <w:rsid w:val="4CBF085E"/>
    <w:rsid w:val="4CC2FF59"/>
    <w:rsid w:val="4CC4A2E8"/>
    <w:rsid w:val="4CC50AC8"/>
    <w:rsid w:val="4CC7CECD"/>
    <w:rsid w:val="4CCA7571"/>
    <w:rsid w:val="4CD5719B"/>
    <w:rsid w:val="4CD66922"/>
    <w:rsid w:val="4CDEA21F"/>
    <w:rsid w:val="4CFB9BF7"/>
    <w:rsid w:val="4CFC0960"/>
    <w:rsid w:val="4CFFF03F"/>
    <w:rsid w:val="4D03B32E"/>
    <w:rsid w:val="4D063827"/>
    <w:rsid w:val="4D07C3B0"/>
    <w:rsid w:val="4D130B69"/>
    <w:rsid w:val="4D1D66D7"/>
    <w:rsid w:val="4D238528"/>
    <w:rsid w:val="4D252659"/>
    <w:rsid w:val="4D25A30E"/>
    <w:rsid w:val="4D285800"/>
    <w:rsid w:val="4D344B5D"/>
    <w:rsid w:val="4D34E362"/>
    <w:rsid w:val="4D36F5DA"/>
    <w:rsid w:val="4D37E8EF"/>
    <w:rsid w:val="4D3D23A4"/>
    <w:rsid w:val="4D464CEB"/>
    <w:rsid w:val="4D46C9D9"/>
    <w:rsid w:val="4D46E570"/>
    <w:rsid w:val="4D53E537"/>
    <w:rsid w:val="4D550F61"/>
    <w:rsid w:val="4D58FA31"/>
    <w:rsid w:val="4D595D2F"/>
    <w:rsid w:val="4D612364"/>
    <w:rsid w:val="4D6F3295"/>
    <w:rsid w:val="4D75C29C"/>
    <w:rsid w:val="4D79EA7D"/>
    <w:rsid w:val="4D7A18D1"/>
    <w:rsid w:val="4D7D48B3"/>
    <w:rsid w:val="4D7ECE9D"/>
    <w:rsid w:val="4D87B105"/>
    <w:rsid w:val="4D8B80A8"/>
    <w:rsid w:val="4D8D9A9B"/>
    <w:rsid w:val="4D8FEE62"/>
    <w:rsid w:val="4D90A063"/>
    <w:rsid w:val="4D90EEBC"/>
    <w:rsid w:val="4DA2C7B5"/>
    <w:rsid w:val="4DA482BE"/>
    <w:rsid w:val="4DAEE399"/>
    <w:rsid w:val="4DB2BF8D"/>
    <w:rsid w:val="4DBEF401"/>
    <w:rsid w:val="4DBF8AE0"/>
    <w:rsid w:val="4DC5AD22"/>
    <w:rsid w:val="4DC9BDF8"/>
    <w:rsid w:val="4DCBDB37"/>
    <w:rsid w:val="4DD03CEA"/>
    <w:rsid w:val="4DD61E49"/>
    <w:rsid w:val="4DE28C11"/>
    <w:rsid w:val="4DE4AC7F"/>
    <w:rsid w:val="4DF1B41B"/>
    <w:rsid w:val="4DF8B1AE"/>
    <w:rsid w:val="4DFC6DA7"/>
    <w:rsid w:val="4DFCE1CD"/>
    <w:rsid w:val="4E001886"/>
    <w:rsid w:val="4E0B9B5A"/>
    <w:rsid w:val="4E0CC4D1"/>
    <w:rsid w:val="4E0CF417"/>
    <w:rsid w:val="4E106DD7"/>
    <w:rsid w:val="4E130A73"/>
    <w:rsid w:val="4E18A607"/>
    <w:rsid w:val="4E1F1FAE"/>
    <w:rsid w:val="4E2914F6"/>
    <w:rsid w:val="4E34487B"/>
    <w:rsid w:val="4E3C9A8D"/>
    <w:rsid w:val="4E4052A9"/>
    <w:rsid w:val="4E407E97"/>
    <w:rsid w:val="4E4CC23C"/>
    <w:rsid w:val="4E4CEAB7"/>
    <w:rsid w:val="4E51EF6D"/>
    <w:rsid w:val="4E55A7B4"/>
    <w:rsid w:val="4E55B9C9"/>
    <w:rsid w:val="4E60BF8D"/>
    <w:rsid w:val="4E61F46E"/>
    <w:rsid w:val="4E6A321F"/>
    <w:rsid w:val="4E7150FA"/>
    <w:rsid w:val="4E72FC95"/>
    <w:rsid w:val="4E7404DB"/>
    <w:rsid w:val="4E76B8CE"/>
    <w:rsid w:val="4E7D0DE9"/>
    <w:rsid w:val="4E7D3D01"/>
    <w:rsid w:val="4E7E4F83"/>
    <w:rsid w:val="4E807FA4"/>
    <w:rsid w:val="4E81B832"/>
    <w:rsid w:val="4E82DE5A"/>
    <w:rsid w:val="4E86735B"/>
    <w:rsid w:val="4E92C303"/>
    <w:rsid w:val="4E998D00"/>
    <w:rsid w:val="4E9A6161"/>
    <w:rsid w:val="4EA127FF"/>
    <w:rsid w:val="4EA21D4B"/>
    <w:rsid w:val="4EA5E8B7"/>
    <w:rsid w:val="4EAE8386"/>
    <w:rsid w:val="4EB112CF"/>
    <w:rsid w:val="4EB2C323"/>
    <w:rsid w:val="4EC5D830"/>
    <w:rsid w:val="4EC935C3"/>
    <w:rsid w:val="4ECCB493"/>
    <w:rsid w:val="4ECDB5D8"/>
    <w:rsid w:val="4ECDB6B2"/>
    <w:rsid w:val="4ED80021"/>
    <w:rsid w:val="4ED8B970"/>
    <w:rsid w:val="4EDDA371"/>
    <w:rsid w:val="4EDEA17D"/>
    <w:rsid w:val="4EE04E57"/>
    <w:rsid w:val="4EE2AC03"/>
    <w:rsid w:val="4EE66326"/>
    <w:rsid w:val="4EEA87AD"/>
    <w:rsid w:val="4EF1057F"/>
    <w:rsid w:val="4EF202C8"/>
    <w:rsid w:val="4EF5406F"/>
    <w:rsid w:val="4EFADA8B"/>
    <w:rsid w:val="4F013C79"/>
    <w:rsid w:val="4F076909"/>
    <w:rsid w:val="4F0A10AD"/>
    <w:rsid w:val="4F110E1C"/>
    <w:rsid w:val="4F121B03"/>
    <w:rsid w:val="4F140007"/>
    <w:rsid w:val="4F1828A0"/>
    <w:rsid w:val="4F1C2E19"/>
    <w:rsid w:val="4F1F00CD"/>
    <w:rsid w:val="4F1F9B13"/>
    <w:rsid w:val="4F297660"/>
    <w:rsid w:val="4F2B5C65"/>
    <w:rsid w:val="4F2B9C19"/>
    <w:rsid w:val="4F317A66"/>
    <w:rsid w:val="4F33CCE3"/>
    <w:rsid w:val="4F39387E"/>
    <w:rsid w:val="4F3C2B3A"/>
    <w:rsid w:val="4F53FA5D"/>
    <w:rsid w:val="4F549068"/>
    <w:rsid w:val="4F59198A"/>
    <w:rsid w:val="4F5A20D4"/>
    <w:rsid w:val="4F5A6E8C"/>
    <w:rsid w:val="4F5D91C9"/>
    <w:rsid w:val="4F5FF01B"/>
    <w:rsid w:val="4F60E720"/>
    <w:rsid w:val="4F675AD7"/>
    <w:rsid w:val="4F6C0BBC"/>
    <w:rsid w:val="4F6F8D24"/>
    <w:rsid w:val="4F72FB3C"/>
    <w:rsid w:val="4F802D6D"/>
    <w:rsid w:val="4F833AD6"/>
    <w:rsid w:val="4F89CD51"/>
    <w:rsid w:val="4F8F4BBB"/>
    <w:rsid w:val="4FA31E0F"/>
    <w:rsid w:val="4FA388BD"/>
    <w:rsid w:val="4FA90ECC"/>
    <w:rsid w:val="4FA9A62E"/>
    <w:rsid w:val="4FB390FC"/>
    <w:rsid w:val="4FB3F299"/>
    <w:rsid w:val="4FC25338"/>
    <w:rsid w:val="4FC3B5E4"/>
    <w:rsid w:val="4FD8F574"/>
    <w:rsid w:val="4FDA3FC3"/>
    <w:rsid w:val="4FE02DDE"/>
    <w:rsid w:val="4FE23428"/>
    <w:rsid w:val="4FECA536"/>
    <w:rsid w:val="4FF1E0E0"/>
    <w:rsid w:val="4FF2DB0E"/>
    <w:rsid w:val="4FFD49C7"/>
    <w:rsid w:val="4FFEC558"/>
    <w:rsid w:val="4FFEFF6E"/>
    <w:rsid w:val="50081EC8"/>
    <w:rsid w:val="500978BB"/>
    <w:rsid w:val="500D5B76"/>
    <w:rsid w:val="5010ED17"/>
    <w:rsid w:val="5011B925"/>
    <w:rsid w:val="5011D4F6"/>
    <w:rsid w:val="5016C82F"/>
    <w:rsid w:val="5017320F"/>
    <w:rsid w:val="501AE7D1"/>
    <w:rsid w:val="501B358C"/>
    <w:rsid w:val="501EE818"/>
    <w:rsid w:val="50239B07"/>
    <w:rsid w:val="502456B3"/>
    <w:rsid w:val="502B00AF"/>
    <w:rsid w:val="502B9891"/>
    <w:rsid w:val="503586B9"/>
    <w:rsid w:val="50365D21"/>
    <w:rsid w:val="50388AD8"/>
    <w:rsid w:val="503B645B"/>
    <w:rsid w:val="503DEDAC"/>
    <w:rsid w:val="504EDBDB"/>
    <w:rsid w:val="504F9D74"/>
    <w:rsid w:val="5050C07A"/>
    <w:rsid w:val="5058AA16"/>
    <w:rsid w:val="505BA123"/>
    <w:rsid w:val="505E0242"/>
    <w:rsid w:val="505EACAA"/>
    <w:rsid w:val="5064EC3E"/>
    <w:rsid w:val="5068B1EC"/>
    <w:rsid w:val="506D8B79"/>
    <w:rsid w:val="50737361"/>
    <w:rsid w:val="5078B395"/>
    <w:rsid w:val="507BF991"/>
    <w:rsid w:val="50815BCA"/>
    <w:rsid w:val="508EFFCC"/>
    <w:rsid w:val="5097B0A2"/>
    <w:rsid w:val="5099BBFB"/>
    <w:rsid w:val="509A74E0"/>
    <w:rsid w:val="509EF93C"/>
    <w:rsid w:val="509F0906"/>
    <w:rsid w:val="50A58B84"/>
    <w:rsid w:val="50B01B59"/>
    <w:rsid w:val="50B90A65"/>
    <w:rsid w:val="50BB658A"/>
    <w:rsid w:val="50C24908"/>
    <w:rsid w:val="50C5C721"/>
    <w:rsid w:val="50C8C3DE"/>
    <w:rsid w:val="50D07CB8"/>
    <w:rsid w:val="50D7277E"/>
    <w:rsid w:val="50D79390"/>
    <w:rsid w:val="50D8B1F9"/>
    <w:rsid w:val="50D9AF4A"/>
    <w:rsid w:val="50DDE302"/>
    <w:rsid w:val="50DFE574"/>
    <w:rsid w:val="50E4C0CE"/>
    <w:rsid w:val="50EE1E7E"/>
    <w:rsid w:val="50F7880F"/>
    <w:rsid w:val="50FC231E"/>
    <w:rsid w:val="50FE9F8D"/>
    <w:rsid w:val="50FEDBF2"/>
    <w:rsid w:val="51037A2E"/>
    <w:rsid w:val="510DD233"/>
    <w:rsid w:val="5113D7D4"/>
    <w:rsid w:val="511642AB"/>
    <w:rsid w:val="511B8A69"/>
    <w:rsid w:val="5122744B"/>
    <w:rsid w:val="512FE199"/>
    <w:rsid w:val="5131619C"/>
    <w:rsid w:val="5136BDF4"/>
    <w:rsid w:val="513CE857"/>
    <w:rsid w:val="513F0DC8"/>
    <w:rsid w:val="51403F13"/>
    <w:rsid w:val="5144FEEF"/>
    <w:rsid w:val="514925B5"/>
    <w:rsid w:val="5158946B"/>
    <w:rsid w:val="5159DE43"/>
    <w:rsid w:val="515E80BE"/>
    <w:rsid w:val="51681925"/>
    <w:rsid w:val="516B8E3F"/>
    <w:rsid w:val="516EE722"/>
    <w:rsid w:val="51786475"/>
    <w:rsid w:val="517919BB"/>
    <w:rsid w:val="517CB236"/>
    <w:rsid w:val="51897737"/>
    <w:rsid w:val="518F4E2F"/>
    <w:rsid w:val="5190C4E2"/>
    <w:rsid w:val="5196444B"/>
    <w:rsid w:val="519806E2"/>
    <w:rsid w:val="51A12BF1"/>
    <w:rsid w:val="51A17C63"/>
    <w:rsid w:val="51A92B69"/>
    <w:rsid w:val="51A9C57D"/>
    <w:rsid w:val="51AA6929"/>
    <w:rsid w:val="51B39907"/>
    <w:rsid w:val="51B91D49"/>
    <w:rsid w:val="51B99C79"/>
    <w:rsid w:val="51C59B5D"/>
    <w:rsid w:val="51C6B8CB"/>
    <w:rsid w:val="51CCCDE8"/>
    <w:rsid w:val="51D6360F"/>
    <w:rsid w:val="51D802F1"/>
    <w:rsid w:val="51DA0633"/>
    <w:rsid w:val="51DFC589"/>
    <w:rsid w:val="51E294C3"/>
    <w:rsid w:val="51E32DF4"/>
    <w:rsid w:val="51E951A0"/>
    <w:rsid w:val="51EB6FCD"/>
    <w:rsid w:val="51EE2B80"/>
    <w:rsid w:val="51F3A991"/>
    <w:rsid w:val="52021ED4"/>
    <w:rsid w:val="52100967"/>
    <w:rsid w:val="5211EE7F"/>
    <w:rsid w:val="521812AD"/>
    <w:rsid w:val="521B6CAA"/>
    <w:rsid w:val="521E6909"/>
    <w:rsid w:val="52211E49"/>
    <w:rsid w:val="5224E904"/>
    <w:rsid w:val="522AA0CC"/>
    <w:rsid w:val="522D62F7"/>
    <w:rsid w:val="5233234C"/>
    <w:rsid w:val="5234D9FD"/>
    <w:rsid w:val="5234FD0B"/>
    <w:rsid w:val="5243410A"/>
    <w:rsid w:val="5243C5FC"/>
    <w:rsid w:val="524A6D33"/>
    <w:rsid w:val="524D48D9"/>
    <w:rsid w:val="524F4EBC"/>
    <w:rsid w:val="5252A0C2"/>
    <w:rsid w:val="52574CB1"/>
    <w:rsid w:val="525C132B"/>
    <w:rsid w:val="525C3235"/>
    <w:rsid w:val="525E8A0E"/>
    <w:rsid w:val="5266621B"/>
    <w:rsid w:val="5267BF93"/>
    <w:rsid w:val="526946EE"/>
    <w:rsid w:val="526A55D2"/>
    <w:rsid w:val="5270C498"/>
    <w:rsid w:val="5277A56D"/>
    <w:rsid w:val="527C4525"/>
    <w:rsid w:val="5288D8FA"/>
    <w:rsid w:val="528A2C1A"/>
    <w:rsid w:val="52A17485"/>
    <w:rsid w:val="52A650A4"/>
    <w:rsid w:val="52A9FF7A"/>
    <w:rsid w:val="52AB3E7E"/>
    <w:rsid w:val="52AD8551"/>
    <w:rsid w:val="52AF0663"/>
    <w:rsid w:val="52B02905"/>
    <w:rsid w:val="52B3646B"/>
    <w:rsid w:val="52B541ED"/>
    <w:rsid w:val="52B97395"/>
    <w:rsid w:val="52BA27F6"/>
    <w:rsid w:val="52C2A557"/>
    <w:rsid w:val="52D18749"/>
    <w:rsid w:val="52DB9585"/>
    <w:rsid w:val="52DD1C7A"/>
    <w:rsid w:val="52E006A5"/>
    <w:rsid w:val="52E2FEE6"/>
    <w:rsid w:val="52EDF303"/>
    <w:rsid w:val="52F78B35"/>
    <w:rsid w:val="52F9201F"/>
    <w:rsid w:val="52FA01A1"/>
    <w:rsid w:val="52FC3837"/>
    <w:rsid w:val="53001708"/>
    <w:rsid w:val="5300CAE3"/>
    <w:rsid w:val="5303C022"/>
    <w:rsid w:val="530EB3A5"/>
    <w:rsid w:val="53131FB7"/>
    <w:rsid w:val="5314BD79"/>
    <w:rsid w:val="53152E3E"/>
    <w:rsid w:val="531AE5F6"/>
    <w:rsid w:val="53221741"/>
    <w:rsid w:val="5328903D"/>
    <w:rsid w:val="532A4E12"/>
    <w:rsid w:val="5334664D"/>
    <w:rsid w:val="533859D1"/>
    <w:rsid w:val="5340BBC5"/>
    <w:rsid w:val="53424928"/>
    <w:rsid w:val="5344AB70"/>
    <w:rsid w:val="5351A2FB"/>
    <w:rsid w:val="5352ACE7"/>
    <w:rsid w:val="5353D47A"/>
    <w:rsid w:val="53549437"/>
    <w:rsid w:val="535D0C19"/>
    <w:rsid w:val="535F1203"/>
    <w:rsid w:val="536139D5"/>
    <w:rsid w:val="53652635"/>
    <w:rsid w:val="536BF629"/>
    <w:rsid w:val="536ED30D"/>
    <w:rsid w:val="537681DC"/>
    <w:rsid w:val="5382FADB"/>
    <w:rsid w:val="538D0C25"/>
    <w:rsid w:val="538DBF7D"/>
    <w:rsid w:val="53928588"/>
    <w:rsid w:val="53AC7236"/>
    <w:rsid w:val="53AEC0B0"/>
    <w:rsid w:val="53B90559"/>
    <w:rsid w:val="53BA9F36"/>
    <w:rsid w:val="53C59EED"/>
    <w:rsid w:val="53C6AE65"/>
    <w:rsid w:val="53CACD47"/>
    <w:rsid w:val="53CE3B5C"/>
    <w:rsid w:val="53D2ECB2"/>
    <w:rsid w:val="53D403B3"/>
    <w:rsid w:val="53D506E5"/>
    <w:rsid w:val="53D8656C"/>
    <w:rsid w:val="53D91D53"/>
    <w:rsid w:val="53DB90B6"/>
    <w:rsid w:val="53DE1989"/>
    <w:rsid w:val="53E3044C"/>
    <w:rsid w:val="53E36365"/>
    <w:rsid w:val="53EC3B62"/>
    <w:rsid w:val="53EF40E3"/>
    <w:rsid w:val="53F724F0"/>
    <w:rsid w:val="53F961C2"/>
    <w:rsid w:val="53FF03FC"/>
    <w:rsid w:val="54005431"/>
    <w:rsid w:val="54027885"/>
    <w:rsid w:val="54030C47"/>
    <w:rsid w:val="540C5A8A"/>
    <w:rsid w:val="54110E06"/>
    <w:rsid w:val="5411FBF9"/>
    <w:rsid w:val="54218C00"/>
    <w:rsid w:val="54282C36"/>
    <w:rsid w:val="542AE295"/>
    <w:rsid w:val="542E9543"/>
    <w:rsid w:val="54303C22"/>
    <w:rsid w:val="5437D1FF"/>
    <w:rsid w:val="543F98BC"/>
    <w:rsid w:val="54427886"/>
    <w:rsid w:val="5448D13D"/>
    <w:rsid w:val="544982B4"/>
    <w:rsid w:val="544A2988"/>
    <w:rsid w:val="5453F946"/>
    <w:rsid w:val="5455BA8F"/>
    <w:rsid w:val="545AA9E6"/>
    <w:rsid w:val="54628D10"/>
    <w:rsid w:val="5465FBA2"/>
    <w:rsid w:val="546C2A75"/>
    <w:rsid w:val="54782C1E"/>
    <w:rsid w:val="547AB6A3"/>
    <w:rsid w:val="547CA9E3"/>
    <w:rsid w:val="548174A1"/>
    <w:rsid w:val="54847DE2"/>
    <w:rsid w:val="5484A02C"/>
    <w:rsid w:val="548C90D5"/>
    <w:rsid w:val="548DF6FB"/>
    <w:rsid w:val="548F861F"/>
    <w:rsid w:val="54921345"/>
    <w:rsid w:val="5498CE4E"/>
    <w:rsid w:val="549D7A4B"/>
    <w:rsid w:val="549DC15C"/>
    <w:rsid w:val="54AB63BA"/>
    <w:rsid w:val="54AC27CB"/>
    <w:rsid w:val="54ACDD0D"/>
    <w:rsid w:val="54B051D0"/>
    <w:rsid w:val="54B08AB9"/>
    <w:rsid w:val="54B0A1A7"/>
    <w:rsid w:val="54B762AB"/>
    <w:rsid w:val="54BB4C42"/>
    <w:rsid w:val="54BD7FF7"/>
    <w:rsid w:val="54C19E44"/>
    <w:rsid w:val="54C5F1F4"/>
    <w:rsid w:val="54C8CCC2"/>
    <w:rsid w:val="54C91608"/>
    <w:rsid w:val="54CDCCF8"/>
    <w:rsid w:val="54D2564F"/>
    <w:rsid w:val="54D2BE11"/>
    <w:rsid w:val="54D71E5D"/>
    <w:rsid w:val="54E0C502"/>
    <w:rsid w:val="54E43983"/>
    <w:rsid w:val="54E4FE65"/>
    <w:rsid w:val="54E96885"/>
    <w:rsid w:val="54EB6842"/>
    <w:rsid w:val="54EC67F4"/>
    <w:rsid w:val="54F42453"/>
    <w:rsid w:val="54F8D540"/>
    <w:rsid w:val="55011E1D"/>
    <w:rsid w:val="5503C37E"/>
    <w:rsid w:val="55046C41"/>
    <w:rsid w:val="5504E8AF"/>
    <w:rsid w:val="5508FED5"/>
    <w:rsid w:val="551A25DA"/>
    <w:rsid w:val="551B4868"/>
    <w:rsid w:val="552188C4"/>
    <w:rsid w:val="5523E788"/>
    <w:rsid w:val="5527C876"/>
    <w:rsid w:val="552AD36A"/>
    <w:rsid w:val="552BA9F7"/>
    <w:rsid w:val="55305894"/>
    <w:rsid w:val="553D7309"/>
    <w:rsid w:val="55402898"/>
    <w:rsid w:val="5540C8BD"/>
    <w:rsid w:val="55451BDC"/>
    <w:rsid w:val="5545F5F6"/>
    <w:rsid w:val="554F7DAC"/>
    <w:rsid w:val="554FB335"/>
    <w:rsid w:val="55513840"/>
    <w:rsid w:val="555A152B"/>
    <w:rsid w:val="555B0D1A"/>
    <w:rsid w:val="555E918E"/>
    <w:rsid w:val="555E9FAC"/>
    <w:rsid w:val="556299F3"/>
    <w:rsid w:val="5566FE4D"/>
    <w:rsid w:val="5568F099"/>
    <w:rsid w:val="556BC4AC"/>
    <w:rsid w:val="55735C37"/>
    <w:rsid w:val="55747870"/>
    <w:rsid w:val="5577E448"/>
    <w:rsid w:val="5587322F"/>
    <w:rsid w:val="55877E94"/>
    <w:rsid w:val="5590DEFB"/>
    <w:rsid w:val="55926475"/>
    <w:rsid w:val="55981F4B"/>
    <w:rsid w:val="559A1BF8"/>
    <w:rsid w:val="559C1ACB"/>
    <w:rsid w:val="559C567C"/>
    <w:rsid w:val="559FA5AA"/>
    <w:rsid w:val="55A0A71D"/>
    <w:rsid w:val="55A6289E"/>
    <w:rsid w:val="55AB0A68"/>
    <w:rsid w:val="55B25196"/>
    <w:rsid w:val="55BD0A31"/>
    <w:rsid w:val="55C1F7FD"/>
    <w:rsid w:val="55C3471F"/>
    <w:rsid w:val="55C80AFF"/>
    <w:rsid w:val="55CFA882"/>
    <w:rsid w:val="55D0F634"/>
    <w:rsid w:val="55D28B73"/>
    <w:rsid w:val="55D3DD64"/>
    <w:rsid w:val="55D94983"/>
    <w:rsid w:val="55E00ADA"/>
    <w:rsid w:val="55F2ECFD"/>
    <w:rsid w:val="55F59ADE"/>
    <w:rsid w:val="55FDD8E0"/>
    <w:rsid w:val="5604207A"/>
    <w:rsid w:val="560A69C0"/>
    <w:rsid w:val="5610690C"/>
    <w:rsid w:val="56139D67"/>
    <w:rsid w:val="561ADC9A"/>
    <w:rsid w:val="562B9054"/>
    <w:rsid w:val="563C9DB0"/>
    <w:rsid w:val="56436986"/>
    <w:rsid w:val="564653AD"/>
    <w:rsid w:val="5647BF63"/>
    <w:rsid w:val="564AD3F1"/>
    <w:rsid w:val="564D7BC1"/>
    <w:rsid w:val="565D206E"/>
    <w:rsid w:val="565DE8F1"/>
    <w:rsid w:val="565F7277"/>
    <w:rsid w:val="565F8419"/>
    <w:rsid w:val="566631A8"/>
    <w:rsid w:val="566984D7"/>
    <w:rsid w:val="566D5870"/>
    <w:rsid w:val="566FD96F"/>
    <w:rsid w:val="566FEEC3"/>
    <w:rsid w:val="56712F21"/>
    <w:rsid w:val="567187C8"/>
    <w:rsid w:val="56759FBA"/>
    <w:rsid w:val="56775678"/>
    <w:rsid w:val="56792866"/>
    <w:rsid w:val="567C3DF8"/>
    <w:rsid w:val="5686D89D"/>
    <w:rsid w:val="568726AF"/>
    <w:rsid w:val="568CFD5F"/>
    <w:rsid w:val="5693096A"/>
    <w:rsid w:val="5693A34A"/>
    <w:rsid w:val="56A48F6B"/>
    <w:rsid w:val="56A7A61E"/>
    <w:rsid w:val="56B25672"/>
    <w:rsid w:val="56B40C3C"/>
    <w:rsid w:val="56B6FC78"/>
    <w:rsid w:val="56B82063"/>
    <w:rsid w:val="56BAB850"/>
    <w:rsid w:val="56C0DA1D"/>
    <w:rsid w:val="56C69389"/>
    <w:rsid w:val="56C90620"/>
    <w:rsid w:val="56C9B02F"/>
    <w:rsid w:val="56CC3089"/>
    <w:rsid w:val="56D3818D"/>
    <w:rsid w:val="56DF44FC"/>
    <w:rsid w:val="56E07C30"/>
    <w:rsid w:val="56EACEBA"/>
    <w:rsid w:val="56F0893F"/>
    <w:rsid w:val="56F56D6A"/>
    <w:rsid w:val="56F7003C"/>
    <w:rsid w:val="56F70282"/>
    <w:rsid w:val="5701A082"/>
    <w:rsid w:val="5702C727"/>
    <w:rsid w:val="5710EBEA"/>
    <w:rsid w:val="5715CCA6"/>
    <w:rsid w:val="5718EAB1"/>
    <w:rsid w:val="57198FA9"/>
    <w:rsid w:val="571B4BA0"/>
    <w:rsid w:val="5728CCC8"/>
    <w:rsid w:val="572B37BD"/>
    <w:rsid w:val="572BAE56"/>
    <w:rsid w:val="572DB3D9"/>
    <w:rsid w:val="5738040B"/>
    <w:rsid w:val="573ACFE8"/>
    <w:rsid w:val="573C1084"/>
    <w:rsid w:val="57404018"/>
    <w:rsid w:val="5740D493"/>
    <w:rsid w:val="5740EC80"/>
    <w:rsid w:val="57475FA6"/>
    <w:rsid w:val="574B5B9D"/>
    <w:rsid w:val="574C572C"/>
    <w:rsid w:val="574CF13E"/>
    <w:rsid w:val="5755E365"/>
    <w:rsid w:val="57570B4B"/>
    <w:rsid w:val="57599E8D"/>
    <w:rsid w:val="57645982"/>
    <w:rsid w:val="57657E8A"/>
    <w:rsid w:val="5765BED4"/>
    <w:rsid w:val="576A401B"/>
    <w:rsid w:val="576E12E2"/>
    <w:rsid w:val="57700DBA"/>
    <w:rsid w:val="577B7310"/>
    <w:rsid w:val="577CEF78"/>
    <w:rsid w:val="5781EF56"/>
    <w:rsid w:val="57823FFC"/>
    <w:rsid w:val="578AEE65"/>
    <w:rsid w:val="57919768"/>
    <w:rsid w:val="57A11B0A"/>
    <w:rsid w:val="57A2B9CB"/>
    <w:rsid w:val="57A3DFD9"/>
    <w:rsid w:val="57A63AA1"/>
    <w:rsid w:val="57A65CB6"/>
    <w:rsid w:val="57A86996"/>
    <w:rsid w:val="57AB94F0"/>
    <w:rsid w:val="57B10F2A"/>
    <w:rsid w:val="57B44763"/>
    <w:rsid w:val="57B59B64"/>
    <w:rsid w:val="57B6E210"/>
    <w:rsid w:val="57B92C7F"/>
    <w:rsid w:val="57BD7221"/>
    <w:rsid w:val="57C1DAC5"/>
    <w:rsid w:val="57C7468C"/>
    <w:rsid w:val="57C78358"/>
    <w:rsid w:val="57C81B8D"/>
    <w:rsid w:val="57D8977C"/>
    <w:rsid w:val="57E7C0B7"/>
    <w:rsid w:val="57EE851A"/>
    <w:rsid w:val="57F59316"/>
    <w:rsid w:val="57F8895E"/>
    <w:rsid w:val="57F8C52F"/>
    <w:rsid w:val="57FADE49"/>
    <w:rsid w:val="58004FD5"/>
    <w:rsid w:val="58006EFE"/>
    <w:rsid w:val="58012E16"/>
    <w:rsid w:val="5803F6A2"/>
    <w:rsid w:val="580804BB"/>
    <w:rsid w:val="580B2DCA"/>
    <w:rsid w:val="580F324D"/>
    <w:rsid w:val="5825DC67"/>
    <w:rsid w:val="582B5B56"/>
    <w:rsid w:val="582FC105"/>
    <w:rsid w:val="58359871"/>
    <w:rsid w:val="58379D3A"/>
    <w:rsid w:val="583EEDDA"/>
    <w:rsid w:val="58422759"/>
    <w:rsid w:val="5845EF23"/>
    <w:rsid w:val="584B53D2"/>
    <w:rsid w:val="584C93C1"/>
    <w:rsid w:val="5856713F"/>
    <w:rsid w:val="5856E548"/>
    <w:rsid w:val="585833B7"/>
    <w:rsid w:val="58600931"/>
    <w:rsid w:val="586894C4"/>
    <w:rsid w:val="586F87E3"/>
    <w:rsid w:val="587875E2"/>
    <w:rsid w:val="587BF84F"/>
    <w:rsid w:val="587CBE5C"/>
    <w:rsid w:val="5885EEF8"/>
    <w:rsid w:val="58886826"/>
    <w:rsid w:val="5889F38E"/>
    <w:rsid w:val="588BAD44"/>
    <w:rsid w:val="588EC28A"/>
    <w:rsid w:val="58906145"/>
    <w:rsid w:val="5890CEB0"/>
    <w:rsid w:val="5891AB05"/>
    <w:rsid w:val="589435A5"/>
    <w:rsid w:val="5894673A"/>
    <w:rsid w:val="589E70B0"/>
    <w:rsid w:val="58AF4EF3"/>
    <w:rsid w:val="58B192B8"/>
    <w:rsid w:val="58B24418"/>
    <w:rsid w:val="58B366DC"/>
    <w:rsid w:val="58B5A5D0"/>
    <w:rsid w:val="58B5AC20"/>
    <w:rsid w:val="58B78107"/>
    <w:rsid w:val="58BBF09F"/>
    <w:rsid w:val="58BE9429"/>
    <w:rsid w:val="58BF6C30"/>
    <w:rsid w:val="58CA7D98"/>
    <w:rsid w:val="58DBD157"/>
    <w:rsid w:val="58E2A433"/>
    <w:rsid w:val="58ED2144"/>
    <w:rsid w:val="58F3E7AF"/>
    <w:rsid w:val="58F5E1A5"/>
    <w:rsid w:val="5903E6D3"/>
    <w:rsid w:val="590695A8"/>
    <w:rsid w:val="591237EC"/>
    <w:rsid w:val="591BAB69"/>
    <w:rsid w:val="59229646"/>
    <w:rsid w:val="592398A0"/>
    <w:rsid w:val="592519CE"/>
    <w:rsid w:val="592A4591"/>
    <w:rsid w:val="592FCA80"/>
    <w:rsid w:val="59468345"/>
    <w:rsid w:val="594CF51F"/>
    <w:rsid w:val="5950B527"/>
    <w:rsid w:val="595F5CB7"/>
    <w:rsid w:val="5960D5D8"/>
    <w:rsid w:val="59639AA4"/>
    <w:rsid w:val="596BF045"/>
    <w:rsid w:val="597B7D35"/>
    <w:rsid w:val="59849F35"/>
    <w:rsid w:val="59859036"/>
    <w:rsid w:val="5987ACE9"/>
    <w:rsid w:val="59891145"/>
    <w:rsid w:val="598A4CDA"/>
    <w:rsid w:val="598CC04D"/>
    <w:rsid w:val="59A31996"/>
    <w:rsid w:val="59A48F91"/>
    <w:rsid w:val="59A7148A"/>
    <w:rsid w:val="59AACDA9"/>
    <w:rsid w:val="59ABCFE8"/>
    <w:rsid w:val="59ADF7EF"/>
    <w:rsid w:val="59B5A4ED"/>
    <w:rsid w:val="59B6918B"/>
    <w:rsid w:val="59BA13BA"/>
    <w:rsid w:val="59BB088F"/>
    <w:rsid w:val="59BF17B1"/>
    <w:rsid w:val="59C455D7"/>
    <w:rsid w:val="59C5DD88"/>
    <w:rsid w:val="59C6579F"/>
    <w:rsid w:val="59D0BDB8"/>
    <w:rsid w:val="59D29086"/>
    <w:rsid w:val="59D6E453"/>
    <w:rsid w:val="59DB67F9"/>
    <w:rsid w:val="59E30806"/>
    <w:rsid w:val="59E65A47"/>
    <w:rsid w:val="59E8A79F"/>
    <w:rsid w:val="59EA9F4C"/>
    <w:rsid w:val="59F47D3A"/>
    <w:rsid w:val="59F6B637"/>
    <w:rsid w:val="59F71FA3"/>
    <w:rsid w:val="59FF7311"/>
    <w:rsid w:val="59FFFB79"/>
    <w:rsid w:val="5A05E0E2"/>
    <w:rsid w:val="5A0C60E0"/>
    <w:rsid w:val="5A1BAA08"/>
    <w:rsid w:val="5A1E5071"/>
    <w:rsid w:val="5A20A66F"/>
    <w:rsid w:val="5A27FDF1"/>
    <w:rsid w:val="5A320E9A"/>
    <w:rsid w:val="5A34CF79"/>
    <w:rsid w:val="5A3C8CA8"/>
    <w:rsid w:val="5A3E4D6F"/>
    <w:rsid w:val="5A403708"/>
    <w:rsid w:val="5A4C9238"/>
    <w:rsid w:val="5A5AF445"/>
    <w:rsid w:val="5A5BFD74"/>
    <w:rsid w:val="5A5E25DB"/>
    <w:rsid w:val="5A62E36B"/>
    <w:rsid w:val="5A6488CD"/>
    <w:rsid w:val="5A67A6DE"/>
    <w:rsid w:val="5A692606"/>
    <w:rsid w:val="5A69BD77"/>
    <w:rsid w:val="5A6E2A72"/>
    <w:rsid w:val="5A7C0C40"/>
    <w:rsid w:val="5A8079F0"/>
    <w:rsid w:val="5A86A4EF"/>
    <w:rsid w:val="5A8807B1"/>
    <w:rsid w:val="5A8B4790"/>
    <w:rsid w:val="5A8D2315"/>
    <w:rsid w:val="5A9040AF"/>
    <w:rsid w:val="5A904B83"/>
    <w:rsid w:val="5A92F6A3"/>
    <w:rsid w:val="5A93AD3C"/>
    <w:rsid w:val="5A978F4A"/>
    <w:rsid w:val="5AA0E0F5"/>
    <w:rsid w:val="5AA1C90D"/>
    <w:rsid w:val="5AA46313"/>
    <w:rsid w:val="5AA808B1"/>
    <w:rsid w:val="5AAAB3E8"/>
    <w:rsid w:val="5AB22EE6"/>
    <w:rsid w:val="5ABA17FB"/>
    <w:rsid w:val="5ABCC8FF"/>
    <w:rsid w:val="5ABD6F06"/>
    <w:rsid w:val="5AC21AED"/>
    <w:rsid w:val="5AC2B00C"/>
    <w:rsid w:val="5AC9B613"/>
    <w:rsid w:val="5AD21E3B"/>
    <w:rsid w:val="5AD34B2F"/>
    <w:rsid w:val="5AD98EA8"/>
    <w:rsid w:val="5ADCFEE8"/>
    <w:rsid w:val="5AE7CC09"/>
    <w:rsid w:val="5AE7D73F"/>
    <w:rsid w:val="5AE85116"/>
    <w:rsid w:val="5AEF1EFD"/>
    <w:rsid w:val="5AF9ADE9"/>
    <w:rsid w:val="5AFB4407"/>
    <w:rsid w:val="5AFB4F40"/>
    <w:rsid w:val="5AFC1DF9"/>
    <w:rsid w:val="5AFCE7E1"/>
    <w:rsid w:val="5B03DDED"/>
    <w:rsid w:val="5B05F8A5"/>
    <w:rsid w:val="5B0ABF8E"/>
    <w:rsid w:val="5B14622A"/>
    <w:rsid w:val="5B1D6858"/>
    <w:rsid w:val="5B1FE62E"/>
    <w:rsid w:val="5B2A5267"/>
    <w:rsid w:val="5B2AD218"/>
    <w:rsid w:val="5B2BFE6C"/>
    <w:rsid w:val="5B2C4509"/>
    <w:rsid w:val="5B3025B1"/>
    <w:rsid w:val="5B350315"/>
    <w:rsid w:val="5B3B04F7"/>
    <w:rsid w:val="5B42498C"/>
    <w:rsid w:val="5B4887A7"/>
    <w:rsid w:val="5B4984D8"/>
    <w:rsid w:val="5B4B508A"/>
    <w:rsid w:val="5B4BBFDC"/>
    <w:rsid w:val="5B4BCB32"/>
    <w:rsid w:val="5B524076"/>
    <w:rsid w:val="5B58E6A6"/>
    <w:rsid w:val="5B62882B"/>
    <w:rsid w:val="5B64EB61"/>
    <w:rsid w:val="5B70B327"/>
    <w:rsid w:val="5B718D37"/>
    <w:rsid w:val="5B71A1C1"/>
    <w:rsid w:val="5B73541A"/>
    <w:rsid w:val="5B7370C8"/>
    <w:rsid w:val="5B73EBFB"/>
    <w:rsid w:val="5B7D1372"/>
    <w:rsid w:val="5B830BE9"/>
    <w:rsid w:val="5B8399E1"/>
    <w:rsid w:val="5B899F4F"/>
    <w:rsid w:val="5B89C791"/>
    <w:rsid w:val="5B8A688D"/>
    <w:rsid w:val="5B8A91EF"/>
    <w:rsid w:val="5B8AADA0"/>
    <w:rsid w:val="5B8E82BF"/>
    <w:rsid w:val="5B963C5E"/>
    <w:rsid w:val="5B9696F4"/>
    <w:rsid w:val="5B9D21B0"/>
    <w:rsid w:val="5B9D2E67"/>
    <w:rsid w:val="5B9E5C23"/>
    <w:rsid w:val="5BA092E8"/>
    <w:rsid w:val="5BA1AE44"/>
    <w:rsid w:val="5BA66ADF"/>
    <w:rsid w:val="5BB0EBC7"/>
    <w:rsid w:val="5BB60C8D"/>
    <w:rsid w:val="5BB740BE"/>
    <w:rsid w:val="5BC18ECF"/>
    <w:rsid w:val="5BC6C859"/>
    <w:rsid w:val="5BC7D3D7"/>
    <w:rsid w:val="5BD6C3C3"/>
    <w:rsid w:val="5BDE2E95"/>
    <w:rsid w:val="5BDEA1A1"/>
    <w:rsid w:val="5BE178F0"/>
    <w:rsid w:val="5BE272DA"/>
    <w:rsid w:val="5BECE76F"/>
    <w:rsid w:val="5BF1582E"/>
    <w:rsid w:val="5BFD7457"/>
    <w:rsid w:val="5BFF8ABC"/>
    <w:rsid w:val="5C0DD382"/>
    <w:rsid w:val="5C114D2F"/>
    <w:rsid w:val="5C20BE89"/>
    <w:rsid w:val="5C237823"/>
    <w:rsid w:val="5C26A08C"/>
    <w:rsid w:val="5C293D46"/>
    <w:rsid w:val="5C2D5262"/>
    <w:rsid w:val="5C2D9CCE"/>
    <w:rsid w:val="5C2DF46C"/>
    <w:rsid w:val="5C47D450"/>
    <w:rsid w:val="5C4A4C61"/>
    <w:rsid w:val="5C4F7480"/>
    <w:rsid w:val="5C50B626"/>
    <w:rsid w:val="5C55676F"/>
    <w:rsid w:val="5C59058F"/>
    <w:rsid w:val="5C5A3EFC"/>
    <w:rsid w:val="5C5EBA5B"/>
    <w:rsid w:val="5C5FC181"/>
    <w:rsid w:val="5C658594"/>
    <w:rsid w:val="5C6DE49A"/>
    <w:rsid w:val="5C6FB6A8"/>
    <w:rsid w:val="5C75E4AD"/>
    <w:rsid w:val="5C7A9C1D"/>
    <w:rsid w:val="5C801709"/>
    <w:rsid w:val="5C82E1EF"/>
    <w:rsid w:val="5C8B5439"/>
    <w:rsid w:val="5C8C714B"/>
    <w:rsid w:val="5C8CECB5"/>
    <w:rsid w:val="5C907285"/>
    <w:rsid w:val="5C91973C"/>
    <w:rsid w:val="5C97BDFE"/>
    <w:rsid w:val="5C9FC1E8"/>
    <w:rsid w:val="5CA0D344"/>
    <w:rsid w:val="5CA419BF"/>
    <w:rsid w:val="5CA79F9E"/>
    <w:rsid w:val="5CAA8D10"/>
    <w:rsid w:val="5CB3BB3D"/>
    <w:rsid w:val="5CB66DE3"/>
    <w:rsid w:val="5CBCBE55"/>
    <w:rsid w:val="5CC582C6"/>
    <w:rsid w:val="5CC9F31A"/>
    <w:rsid w:val="5CCD2F8E"/>
    <w:rsid w:val="5CD645FF"/>
    <w:rsid w:val="5CDC809C"/>
    <w:rsid w:val="5CDFC57E"/>
    <w:rsid w:val="5CE2B35F"/>
    <w:rsid w:val="5CEE112E"/>
    <w:rsid w:val="5CEEE256"/>
    <w:rsid w:val="5CF96CD9"/>
    <w:rsid w:val="5D046264"/>
    <w:rsid w:val="5D05FD07"/>
    <w:rsid w:val="5D07B16A"/>
    <w:rsid w:val="5D196328"/>
    <w:rsid w:val="5D19C209"/>
    <w:rsid w:val="5D1C01A5"/>
    <w:rsid w:val="5D1E52AD"/>
    <w:rsid w:val="5D23B645"/>
    <w:rsid w:val="5D39C798"/>
    <w:rsid w:val="5D3F1BCE"/>
    <w:rsid w:val="5D3F7F73"/>
    <w:rsid w:val="5D427FF5"/>
    <w:rsid w:val="5D45FD71"/>
    <w:rsid w:val="5D48FE60"/>
    <w:rsid w:val="5D4E73D7"/>
    <w:rsid w:val="5D4F168E"/>
    <w:rsid w:val="5D545B96"/>
    <w:rsid w:val="5D636967"/>
    <w:rsid w:val="5D654521"/>
    <w:rsid w:val="5D6D8DEE"/>
    <w:rsid w:val="5D729B2D"/>
    <w:rsid w:val="5D72EBCC"/>
    <w:rsid w:val="5D747DAC"/>
    <w:rsid w:val="5D76A8DB"/>
    <w:rsid w:val="5D7978F6"/>
    <w:rsid w:val="5D7C3F7A"/>
    <w:rsid w:val="5D8996B7"/>
    <w:rsid w:val="5D8CE72E"/>
    <w:rsid w:val="5D92D44E"/>
    <w:rsid w:val="5D96E77A"/>
    <w:rsid w:val="5D988F67"/>
    <w:rsid w:val="5D997984"/>
    <w:rsid w:val="5D9B3BB0"/>
    <w:rsid w:val="5D9CA257"/>
    <w:rsid w:val="5D9E3081"/>
    <w:rsid w:val="5DA0B8CF"/>
    <w:rsid w:val="5DA48949"/>
    <w:rsid w:val="5DA6A521"/>
    <w:rsid w:val="5DA8A84E"/>
    <w:rsid w:val="5DAC9712"/>
    <w:rsid w:val="5DACDA23"/>
    <w:rsid w:val="5DAE42A7"/>
    <w:rsid w:val="5DAFA3F9"/>
    <w:rsid w:val="5DB7CF05"/>
    <w:rsid w:val="5DB9938E"/>
    <w:rsid w:val="5DC274E4"/>
    <w:rsid w:val="5DC38B01"/>
    <w:rsid w:val="5DC94008"/>
    <w:rsid w:val="5DC9BE56"/>
    <w:rsid w:val="5DCE7D58"/>
    <w:rsid w:val="5DCF162A"/>
    <w:rsid w:val="5DD30271"/>
    <w:rsid w:val="5DDB57D4"/>
    <w:rsid w:val="5DDC5974"/>
    <w:rsid w:val="5DDD0B52"/>
    <w:rsid w:val="5DDDCD17"/>
    <w:rsid w:val="5DE412E6"/>
    <w:rsid w:val="5DE5399A"/>
    <w:rsid w:val="5DF4288F"/>
    <w:rsid w:val="5DF7A5C9"/>
    <w:rsid w:val="5DF84CDC"/>
    <w:rsid w:val="5DFA24D9"/>
    <w:rsid w:val="5E02F657"/>
    <w:rsid w:val="5E0C24E6"/>
    <w:rsid w:val="5E17BBFF"/>
    <w:rsid w:val="5E1BA1D2"/>
    <w:rsid w:val="5E1C3200"/>
    <w:rsid w:val="5E203062"/>
    <w:rsid w:val="5E21A64D"/>
    <w:rsid w:val="5E23CA89"/>
    <w:rsid w:val="5E2877DB"/>
    <w:rsid w:val="5E2C00A2"/>
    <w:rsid w:val="5E2CEC97"/>
    <w:rsid w:val="5E2EB0E8"/>
    <w:rsid w:val="5E359372"/>
    <w:rsid w:val="5E35A276"/>
    <w:rsid w:val="5E3CA414"/>
    <w:rsid w:val="5E3DB3AD"/>
    <w:rsid w:val="5E416A12"/>
    <w:rsid w:val="5E4308C1"/>
    <w:rsid w:val="5E4B649D"/>
    <w:rsid w:val="5E510D47"/>
    <w:rsid w:val="5E519C6B"/>
    <w:rsid w:val="5E57C610"/>
    <w:rsid w:val="5E5C3CD6"/>
    <w:rsid w:val="5E5CA06D"/>
    <w:rsid w:val="5E5D31DB"/>
    <w:rsid w:val="5E5FC420"/>
    <w:rsid w:val="5E6602F0"/>
    <w:rsid w:val="5E6DF172"/>
    <w:rsid w:val="5E71CA96"/>
    <w:rsid w:val="5E75F20D"/>
    <w:rsid w:val="5E7E174F"/>
    <w:rsid w:val="5E800049"/>
    <w:rsid w:val="5E845290"/>
    <w:rsid w:val="5E86ACBF"/>
    <w:rsid w:val="5E8857EF"/>
    <w:rsid w:val="5E8A2699"/>
    <w:rsid w:val="5E8A79E6"/>
    <w:rsid w:val="5E8BDFA4"/>
    <w:rsid w:val="5E8C6805"/>
    <w:rsid w:val="5E8EEE4A"/>
    <w:rsid w:val="5E90353E"/>
    <w:rsid w:val="5E944CE9"/>
    <w:rsid w:val="5E9B337B"/>
    <w:rsid w:val="5E9B3FFA"/>
    <w:rsid w:val="5EA09169"/>
    <w:rsid w:val="5EAAC4F8"/>
    <w:rsid w:val="5EAD5ACE"/>
    <w:rsid w:val="5EAD9F6E"/>
    <w:rsid w:val="5EB5AB8F"/>
    <w:rsid w:val="5EC0637F"/>
    <w:rsid w:val="5EC23854"/>
    <w:rsid w:val="5ED45427"/>
    <w:rsid w:val="5ED4B2BB"/>
    <w:rsid w:val="5ED97917"/>
    <w:rsid w:val="5EDB89B4"/>
    <w:rsid w:val="5EDE6D65"/>
    <w:rsid w:val="5EE524A2"/>
    <w:rsid w:val="5EE77595"/>
    <w:rsid w:val="5EEABB9E"/>
    <w:rsid w:val="5EEBAF37"/>
    <w:rsid w:val="5EF109DB"/>
    <w:rsid w:val="5EF987A6"/>
    <w:rsid w:val="5F01C271"/>
    <w:rsid w:val="5F0205E7"/>
    <w:rsid w:val="5F032560"/>
    <w:rsid w:val="5F049EDD"/>
    <w:rsid w:val="5F130F3F"/>
    <w:rsid w:val="5F1DBBD4"/>
    <w:rsid w:val="5F1DE171"/>
    <w:rsid w:val="5F1FA230"/>
    <w:rsid w:val="5F26BE7F"/>
    <w:rsid w:val="5F27CAA4"/>
    <w:rsid w:val="5F29CF9C"/>
    <w:rsid w:val="5F2B8189"/>
    <w:rsid w:val="5F2BEB67"/>
    <w:rsid w:val="5F318E77"/>
    <w:rsid w:val="5F346283"/>
    <w:rsid w:val="5F34873E"/>
    <w:rsid w:val="5F36FCB8"/>
    <w:rsid w:val="5F39A6EC"/>
    <w:rsid w:val="5F39E840"/>
    <w:rsid w:val="5F3D5BA9"/>
    <w:rsid w:val="5F3DA12D"/>
    <w:rsid w:val="5F3F481F"/>
    <w:rsid w:val="5F453D07"/>
    <w:rsid w:val="5F4A4F58"/>
    <w:rsid w:val="5F4CB250"/>
    <w:rsid w:val="5F541BC8"/>
    <w:rsid w:val="5F5AA12A"/>
    <w:rsid w:val="5F5BDD79"/>
    <w:rsid w:val="5F5E847A"/>
    <w:rsid w:val="5F5F8E0B"/>
    <w:rsid w:val="5F61A01D"/>
    <w:rsid w:val="5F63978F"/>
    <w:rsid w:val="5F640CB0"/>
    <w:rsid w:val="5F643413"/>
    <w:rsid w:val="5F68E62D"/>
    <w:rsid w:val="5F6C9C55"/>
    <w:rsid w:val="5F717F2B"/>
    <w:rsid w:val="5F73F0B4"/>
    <w:rsid w:val="5F779CC1"/>
    <w:rsid w:val="5F7A7D13"/>
    <w:rsid w:val="5F8B97BD"/>
    <w:rsid w:val="5F959E17"/>
    <w:rsid w:val="5FA42455"/>
    <w:rsid w:val="5FAF73E4"/>
    <w:rsid w:val="5FBC0629"/>
    <w:rsid w:val="5FC1B418"/>
    <w:rsid w:val="5FCA7D85"/>
    <w:rsid w:val="5FCA9CA0"/>
    <w:rsid w:val="5FCDD2F6"/>
    <w:rsid w:val="5FCDDFEC"/>
    <w:rsid w:val="5FCDF34F"/>
    <w:rsid w:val="5FD261A4"/>
    <w:rsid w:val="5FD74FAF"/>
    <w:rsid w:val="5FDA63F8"/>
    <w:rsid w:val="5FDF38B1"/>
    <w:rsid w:val="5FE27DD5"/>
    <w:rsid w:val="5FED6178"/>
    <w:rsid w:val="5FFD8193"/>
    <w:rsid w:val="60014FDD"/>
    <w:rsid w:val="6005A8FE"/>
    <w:rsid w:val="600D4544"/>
    <w:rsid w:val="60137AAC"/>
    <w:rsid w:val="6017A693"/>
    <w:rsid w:val="6017E180"/>
    <w:rsid w:val="60195E6A"/>
    <w:rsid w:val="602D4F56"/>
    <w:rsid w:val="60311B06"/>
    <w:rsid w:val="603259A8"/>
    <w:rsid w:val="603A6118"/>
    <w:rsid w:val="603AF1EC"/>
    <w:rsid w:val="603E0B08"/>
    <w:rsid w:val="6042054A"/>
    <w:rsid w:val="6044E75D"/>
    <w:rsid w:val="6046C1FF"/>
    <w:rsid w:val="60471367"/>
    <w:rsid w:val="60476A99"/>
    <w:rsid w:val="6048D693"/>
    <w:rsid w:val="604A8F82"/>
    <w:rsid w:val="604C31EE"/>
    <w:rsid w:val="605011F4"/>
    <w:rsid w:val="6059A0D6"/>
    <w:rsid w:val="605BC1F7"/>
    <w:rsid w:val="605FC7A0"/>
    <w:rsid w:val="6060A739"/>
    <w:rsid w:val="60641232"/>
    <w:rsid w:val="6066F4B8"/>
    <w:rsid w:val="606ACB0B"/>
    <w:rsid w:val="606B0B0A"/>
    <w:rsid w:val="606BACDA"/>
    <w:rsid w:val="6070643B"/>
    <w:rsid w:val="60737465"/>
    <w:rsid w:val="6079E0CB"/>
    <w:rsid w:val="60804DA0"/>
    <w:rsid w:val="60843A01"/>
    <w:rsid w:val="608BD003"/>
    <w:rsid w:val="608CB454"/>
    <w:rsid w:val="608EF651"/>
    <w:rsid w:val="608FA6D9"/>
    <w:rsid w:val="6091F8CC"/>
    <w:rsid w:val="60991ADB"/>
    <w:rsid w:val="609B558E"/>
    <w:rsid w:val="609FF4FA"/>
    <w:rsid w:val="60A51D24"/>
    <w:rsid w:val="60A54C68"/>
    <w:rsid w:val="60A9855F"/>
    <w:rsid w:val="60B97515"/>
    <w:rsid w:val="60C4C4B2"/>
    <w:rsid w:val="60C5322F"/>
    <w:rsid w:val="60C7FA53"/>
    <w:rsid w:val="60CA50D8"/>
    <w:rsid w:val="60D0A653"/>
    <w:rsid w:val="60D5066D"/>
    <w:rsid w:val="60DB2BB8"/>
    <w:rsid w:val="60E19468"/>
    <w:rsid w:val="60E30C76"/>
    <w:rsid w:val="60EB4419"/>
    <w:rsid w:val="60EC32C5"/>
    <w:rsid w:val="60ECADAF"/>
    <w:rsid w:val="60F023E5"/>
    <w:rsid w:val="60F3D3F3"/>
    <w:rsid w:val="60F52FC2"/>
    <w:rsid w:val="60F590BF"/>
    <w:rsid w:val="61045C7A"/>
    <w:rsid w:val="6105D0DA"/>
    <w:rsid w:val="61090141"/>
    <w:rsid w:val="610C5778"/>
    <w:rsid w:val="61113155"/>
    <w:rsid w:val="6111DC71"/>
    <w:rsid w:val="611B567C"/>
    <w:rsid w:val="611C6D30"/>
    <w:rsid w:val="611ECC51"/>
    <w:rsid w:val="6123728F"/>
    <w:rsid w:val="6124ECF5"/>
    <w:rsid w:val="61347B62"/>
    <w:rsid w:val="6136FA74"/>
    <w:rsid w:val="613780C8"/>
    <w:rsid w:val="6138733E"/>
    <w:rsid w:val="61396D49"/>
    <w:rsid w:val="613C318F"/>
    <w:rsid w:val="61403D06"/>
    <w:rsid w:val="6149723D"/>
    <w:rsid w:val="615FA118"/>
    <w:rsid w:val="616CCFBF"/>
    <w:rsid w:val="6179AB7D"/>
    <w:rsid w:val="617F400A"/>
    <w:rsid w:val="61800B2A"/>
    <w:rsid w:val="61847695"/>
    <w:rsid w:val="6188FC29"/>
    <w:rsid w:val="618E7DC0"/>
    <w:rsid w:val="61916F2C"/>
    <w:rsid w:val="61942D5F"/>
    <w:rsid w:val="619829FC"/>
    <w:rsid w:val="619B80EA"/>
    <w:rsid w:val="619F23CF"/>
    <w:rsid w:val="61A4B94F"/>
    <w:rsid w:val="61A8696D"/>
    <w:rsid w:val="61AF8A60"/>
    <w:rsid w:val="61AFC218"/>
    <w:rsid w:val="61B08113"/>
    <w:rsid w:val="61B73032"/>
    <w:rsid w:val="61BBD295"/>
    <w:rsid w:val="61BFA5B6"/>
    <w:rsid w:val="61C231F1"/>
    <w:rsid w:val="61C27E8A"/>
    <w:rsid w:val="61C29E91"/>
    <w:rsid w:val="61C943AB"/>
    <w:rsid w:val="61C9CAA9"/>
    <w:rsid w:val="61CAA012"/>
    <w:rsid w:val="61CAE521"/>
    <w:rsid w:val="61CC6AD6"/>
    <w:rsid w:val="61D56710"/>
    <w:rsid w:val="61D8B095"/>
    <w:rsid w:val="61DB2707"/>
    <w:rsid w:val="61DB7CBD"/>
    <w:rsid w:val="61DD0E53"/>
    <w:rsid w:val="61E8BB2E"/>
    <w:rsid w:val="61F47649"/>
    <w:rsid w:val="61F5B838"/>
    <w:rsid w:val="61F80570"/>
    <w:rsid w:val="61FA4FD4"/>
    <w:rsid w:val="61FD4411"/>
    <w:rsid w:val="61FD92F5"/>
    <w:rsid w:val="61FE6C44"/>
    <w:rsid w:val="62084A7B"/>
    <w:rsid w:val="620DF5A9"/>
    <w:rsid w:val="621A9C23"/>
    <w:rsid w:val="6223D503"/>
    <w:rsid w:val="62364891"/>
    <w:rsid w:val="62384FCE"/>
    <w:rsid w:val="623D2AEB"/>
    <w:rsid w:val="62426E3C"/>
    <w:rsid w:val="62428663"/>
    <w:rsid w:val="624ABE1A"/>
    <w:rsid w:val="624C3601"/>
    <w:rsid w:val="624D3DEA"/>
    <w:rsid w:val="624F718E"/>
    <w:rsid w:val="62512D53"/>
    <w:rsid w:val="62525385"/>
    <w:rsid w:val="62526873"/>
    <w:rsid w:val="6254AE36"/>
    <w:rsid w:val="6254EAA2"/>
    <w:rsid w:val="62580EC2"/>
    <w:rsid w:val="625B2860"/>
    <w:rsid w:val="625CD893"/>
    <w:rsid w:val="6260456A"/>
    <w:rsid w:val="6260977B"/>
    <w:rsid w:val="6265A0A5"/>
    <w:rsid w:val="626AA8F9"/>
    <w:rsid w:val="6270D818"/>
    <w:rsid w:val="6272EA4D"/>
    <w:rsid w:val="627B50BC"/>
    <w:rsid w:val="627DBE19"/>
    <w:rsid w:val="627E32CC"/>
    <w:rsid w:val="6280E992"/>
    <w:rsid w:val="628668EF"/>
    <w:rsid w:val="628D3D2A"/>
    <w:rsid w:val="6292F3F3"/>
    <w:rsid w:val="629332FC"/>
    <w:rsid w:val="6293DA98"/>
    <w:rsid w:val="6294D3A9"/>
    <w:rsid w:val="6296817C"/>
    <w:rsid w:val="6297CB01"/>
    <w:rsid w:val="6299E066"/>
    <w:rsid w:val="629A541F"/>
    <w:rsid w:val="629A8189"/>
    <w:rsid w:val="62A10AED"/>
    <w:rsid w:val="62AFD733"/>
    <w:rsid w:val="62BAE155"/>
    <w:rsid w:val="62BCC08E"/>
    <w:rsid w:val="62C835F0"/>
    <w:rsid w:val="62CF9853"/>
    <w:rsid w:val="62E09FAD"/>
    <w:rsid w:val="62F83633"/>
    <w:rsid w:val="62FA81CA"/>
    <w:rsid w:val="62FEC120"/>
    <w:rsid w:val="63053380"/>
    <w:rsid w:val="63054D14"/>
    <w:rsid w:val="63071DEC"/>
    <w:rsid w:val="630AF255"/>
    <w:rsid w:val="630CD30F"/>
    <w:rsid w:val="630E2B66"/>
    <w:rsid w:val="63120F97"/>
    <w:rsid w:val="631399DF"/>
    <w:rsid w:val="631D118A"/>
    <w:rsid w:val="631FD0E9"/>
    <w:rsid w:val="6321A6AF"/>
    <w:rsid w:val="63256F0D"/>
    <w:rsid w:val="6325EF0D"/>
    <w:rsid w:val="6327DAA3"/>
    <w:rsid w:val="6327F41F"/>
    <w:rsid w:val="63289BA5"/>
    <w:rsid w:val="632979CD"/>
    <w:rsid w:val="632B3A01"/>
    <w:rsid w:val="6337CC34"/>
    <w:rsid w:val="633A3E2D"/>
    <w:rsid w:val="633D67F5"/>
    <w:rsid w:val="63410E9F"/>
    <w:rsid w:val="6349A8ED"/>
    <w:rsid w:val="634CE6C3"/>
    <w:rsid w:val="6354C0F5"/>
    <w:rsid w:val="6365140C"/>
    <w:rsid w:val="63668771"/>
    <w:rsid w:val="636A6270"/>
    <w:rsid w:val="636C9B7D"/>
    <w:rsid w:val="6379CEFE"/>
    <w:rsid w:val="637BBDD7"/>
    <w:rsid w:val="6380DACC"/>
    <w:rsid w:val="63810585"/>
    <w:rsid w:val="638599F5"/>
    <w:rsid w:val="6385D47D"/>
    <w:rsid w:val="6388507F"/>
    <w:rsid w:val="6389D689"/>
    <w:rsid w:val="63910E1D"/>
    <w:rsid w:val="63961CCA"/>
    <w:rsid w:val="639B792F"/>
    <w:rsid w:val="639C024B"/>
    <w:rsid w:val="639D73D3"/>
    <w:rsid w:val="63B3C99F"/>
    <w:rsid w:val="63BDFD79"/>
    <w:rsid w:val="63C10125"/>
    <w:rsid w:val="63C15D7F"/>
    <w:rsid w:val="63C44AD1"/>
    <w:rsid w:val="63C96B3C"/>
    <w:rsid w:val="63D3F60B"/>
    <w:rsid w:val="63D94B1B"/>
    <w:rsid w:val="63DCEA2B"/>
    <w:rsid w:val="63E23B68"/>
    <w:rsid w:val="63E343C4"/>
    <w:rsid w:val="63E7DF5B"/>
    <w:rsid w:val="63EC19E5"/>
    <w:rsid w:val="63F2329B"/>
    <w:rsid w:val="63F325B5"/>
    <w:rsid w:val="63F3C00A"/>
    <w:rsid w:val="63F5F1F0"/>
    <w:rsid w:val="6403A4DE"/>
    <w:rsid w:val="6404C215"/>
    <w:rsid w:val="640A121B"/>
    <w:rsid w:val="6413C119"/>
    <w:rsid w:val="64178AB0"/>
    <w:rsid w:val="64184CC7"/>
    <w:rsid w:val="641937A7"/>
    <w:rsid w:val="641944B2"/>
    <w:rsid w:val="642035BD"/>
    <w:rsid w:val="642358E0"/>
    <w:rsid w:val="64243816"/>
    <w:rsid w:val="642C7A81"/>
    <w:rsid w:val="643051A0"/>
    <w:rsid w:val="6436B7A3"/>
    <w:rsid w:val="64511FC4"/>
    <w:rsid w:val="645319FD"/>
    <w:rsid w:val="645897EF"/>
    <w:rsid w:val="645F6D0F"/>
    <w:rsid w:val="64618F32"/>
    <w:rsid w:val="646274D9"/>
    <w:rsid w:val="646DD0A7"/>
    <w:rsid w:val="64710439"/>
    <w:rsid w:val="64732DB3"/>
    <w:rsid w:val="647422E9"/>
    <w:rsid w:val="647573AE"/>
    <w:rsid w:val="64781199"/>
    <w:rsid w:val="647B09B0"/>
    <w:rsid w:val="647C2311"/>
    <w:rsid w:val="64855C06"/>
    <w:rsid w:val="64868363"/>
    <w:rsid w:val="6488287E"/>
    <w:rsid w:val="64884E9B"/>
    <w:rsid w:val="649FFFB7"/>
    <w:rsid w:val="64A5B844"/>
    <w:rsid w:val="64A5F474"/>
    <w:rsid w:val="64A6D2B1"/>
    <w:rsid w:val="64AE6E39"/>
    <w:rsid w:val="64B035B7"/>
    <w:rsid w:val="64B09423"/>
    <w:rsid w:val="64B23168"/>
    <w:rsid w:val="64B92994"/>
    <w:rsid w:val="64C03AF1"/>
    <w:rsid w:val="64C280BB"/>
    <w:rsid w:val="64C5AE02"/>
    <w:rsid w:val="64CE7536"/>
    <w:rsid w:val="64CFC0B5"/>
    <w:rsid w:val="64D0838C"/>
    <w:rsid w:val="64D941C6"/>
    <w:rsid w:val="64D9492A"/>
    <w:rsid w:val="64DB8FD5"/>
    <w:rsid w:val="64E3709A"/>
    <w:rsid w:val="64EA8A38"/>
    <w:rsid w:val="64EB13A1"/>
    <w:rsid w:val="64F110FD"/>
    <w:rsid w:val="64F2EDD9"/>
    <w:rsid w:val="64F835A1"/>
    <w:rsid w:val="64FB649F"/>
    <w:rsid w:val="64FBA730"/>
    <w:rsid w:val="64FBBE8F"/>
    <w:rsid w:val="64FC2521"/>
    <w:rsid w:val="65000877"/>
    <w:rsid w:val="65036A27"/>
    <w:rsid w:val="650EB3DE"/>
    <w:rsid w:val="6515DDFF"/>
    <w:rsid w:val="6524C89C"/>
    <w:rsid w:val="6525F8E0"/>
    <w:rsid w:val="6531F4BA"/>
    <w:rsid w:val="65355C9F"/>
    <w:rsid w:val="653636F0"/>
    <w:rsid w:val="653EC0E8"/>
    <w:rsid w:val="6555F815"/>
    <w:rsid w:val="6572098F"/>
    <w:rsid w:val="6577C70B"/>
    <w:rsid w:val="658257B0"/>
    <w:rsid w:val="658CFFF0"/>
    <w:rsid w:val="6596058B"/>
    <w:rsid w:val="65A1B9E1"/>
    <w:rsid w:val="65A99E10"/>
    <w:rsid w:val="65AC5655"/>
    <w:rsid w:val="65B3900C"/>
    <w:rsid w:val="65B62018"/>
    <w:rsid w:val="65B9DDC5"/>
    <w:rsid w:val="65BAE310"/>
    <w:rsid w:val="65BC2D74"/>
    <w:rsid w:val="65BE0724"/>
    <w:rsid w:val="65BF168A"/>
    <w:rsid w:val="65C86CE4"/>
    <w:rsid w:val="65CD039F"/>
    <w:rsid w:val="65D2D15C"/>
    <w:rsid w:val="65D71861"/>
    <w:rsid w:val="65D738E0"/>
    <w:rsid w:val="65DE6A1C"/>
    <w:rsid w:val="65E0B0A6"/>
    <w:rsid w:val="65E3CEA3"/>
    <w:rsid w:val="65E991FD"/>
    <w:rsid w:val="65F00E6B"/>
    <w:rsid w:val="65F1C0F3"/>
    <w:rsid w:val="65F33BAA"/>
    <w:rsid w:val="65F5AFE6"/>
    <w:rsid w:val="65FBE6DF"/>
    <w:rsid w:val="660AF1C9"/>
    <w:rsid w:val="660E1A66"/>
    <w:rsid w:val="661F4DDD"/>
    <w:rsid w:val="661F6B4F"/>
    <w:rsid w:val="6624CF9D"/>
    <w:rsid w:val="6625536D"/>
    <w:rsid w:val="662786E6"/>
    <w:rsid w:val="662C8C25"/>
    <w:rsid w:val="662F3691"/>
    <w:rsid w:val="6631C455"/>
    <w:rsid w:val="6634F275"/>
    <w:rsid w:val="663E7F82"/>
    <w:rsid w:val="664B8661"/>
    <w:rsid w:val="664D9923"/>
    <w:rsid w:val="664E961E"/>
    <w:rsid w:val="6652827A"/>
    <w:rsid w:val="66528E5C"/>
    <w:rsid w:val="6659D73F"/>
    <w:rsid w:val="665B081F"/>
    <w:rsid w:val="665D94E3"/>
    <w:rsid w:val="6665C36C"/>
    <w:rsid w:val="666B5CA8"/>
    <w:rsid w:val="667181AD"/>
    <w:rsid w:val="6675BF36"/>
    <w:rsid w:val="6676775E"/>
    <w:rsid w:val="667820B5"/>
    <w:rsid w:val="667D6712"/>
    <w:rsid w:val="667E2CA5"/>
    <w:rsid w:val="667EC9F7"/>
    <w:rsid w:val="66896E9D"/>
    <w:rsid w:val="668F11BF"/>
    <w:rsid w:val="669107E2"/>
    <w:rsid w:val="66923D1B"/>
    <w:rsid w:val="669CB4CE"/>
    <w:rsid w:val="66ABEFEB"/>
    <w:rsid w:val="66BA1029"/>
    <w:rsid w:val="66BCDDC8"/>
    <w:rsid w:val="66BD2510"/>
    <w:rsid w:val="66BE58C9"/>
    <w:rsid w:val="66C75D80"/>
    <w:rsid w:val="66CAC550"/>
    <w:rsid w:val="66D2C568"/>
    <w:rsid w:val="66D6A24E"/>
    <w:rsid w:val="66DD6D81"/>
    <w:rsid w:val="66DF96E3"/>
    <w:rsid w:val="66E1194F"/>
    <w:rsid w:val="66E763FA"/>
    <w:rsid w:val="66E89AEB"/>
    <w:rsid w:val="66F2755F"/>
    <w:rsid w:val="66F33FFA"/>
    <w:rsid w:val="67025E61"/>
    <w:rsid w:val="670CA5C0"/>
    <w:rsid w:val="6711FE15"/>
    <w:rsid w:val="67120C74"/>
    <w:rsid w:val="67169FC0"/>
    <w:rsid w:val="6717EE85"/>
    <w:rsid w:val="671980DE"/>
    <w:rsid w:val="6738C234"/>
    <w:rsid w:val="67406E83"/>
    <w:rsid w:val="6740E1C8"/>
    <w:rsid w:val="674326AC"/>
    <w:rsid w:val="67471254"/>
    <w:rsid w:val="6748457C"/>
    <w:rsid w:val="674EDDB0"/>
    <w:rsid w:val="6753E329"/>
    <w:rsid w:val="675CBB09"/>
    <w:rsid w:val="67616F11"/>
    <w:rsid w:val="6762BDD0"/>
    <w:rsid w:val="676431BE"/>
    <w:rsid w:val="6767D08A"/>
    <w:rsid w:val="6767F303"/>
    <w:rsid w:val="6772856D"/>
    <w:rsid w:val="67786714"/>
    <w:rsid w:val="677C0008"/>
    <w:rsid w:val="677E76D0"/>
    <w:rsid w:val="677FB79A"/>
    <w:rsid w:val="67832531"/>
    <w:rsid w:val="6784CCA7"/>
    <w:rsid w:val="67888235"/>
    <w:rsid w:val="679DDED7"/>
    <w:rsid w:val="679F38F1"/>
    <w:rsid w:val="67A116EE"/>
    <w:rsid w:val="67A2C9D5"/>
    <w:rsid w:val="67AC6C07"/>
    <w:rsid w:val="67AE7650"/>
    <w:rsid w:val="67C2EB7E"/>
    <w:rsid w:val="67C73F46"/>
    <w:rsid w:val="67CC3F9E"/>
    <w:rsid w:val="67D2A3D2"/>
    <w:rsid w:val="67D68ED8"/>
    <w:rsid w:val="67D9E4C5"/>
    <w:rsid w:val="67DB736E"/>
    <w:rsid w:val="67DE87CB"/>
    <w:rsid w:val="67DFC385"/>
    <w:rsid w:val="67EA45DC"/>
    <w:rsid w:val="67EA6DB0"/>
    <w:rsid w:val="67ED54B3"/>
    <w:rsid w:val="67F050D5"/>
    <w:rsid w:val="67F3A457"/>
    <w:rsid w:val="67F8E3DF"/>
    <w:rsid w:val="67F9B6FE"/>
    <w:rsid w:val="67FAFD2A"/>
    <w:rsid w:val="67FF29F4"/>
    <w:rsid w:val="68038810"/>
    <w:rsid w:val="680765E5"/>
    <w:rsid w:val="680B20EE"/>
    <w:rsid w:val="680E2DFB"/>
    <w:rsid w:val="68173B69"/>
    <w:rsid w:val="6818B56D"/>
    <w:rsid w:val="681B4298"/>
    <w:rsid w:val="681FB810"/>
    <w:rsid w:val="68264B16"/>
    <w:rsid w:val="68276480"/>
    <w:rsid w:val="68290F62"/>
    <w:rsid w:val="682F1BE3"/>
    <w:rsid w:val="68356D78"/>
    <w:rsid w:val="6838C40C"/>
    <w:rsid w:val="683E7BCA"/>
    <w:rsid w:val="683F5ACC"/>
    <w:rsid w:val="684187EC"/>
    <w:rsid w:val="68423E20"/>
    <w:rsid w:val="68425D5B"/>
    <w:rsid w:val="6845541A"/>
    <w:rsid w:val="6848FA4E"/>
    <w:rsid w:val="684B44F1"/>
    <w:rsid w:val="684DBBD1"/>
    <w:rsid w:val="684E6861"/>
    <w:rsid w:val="68533E6D"/>
    <w:rsid w:val="685702C8"/>
    <w:rsid w:val="685AA2F8"/>
    <w:rsid w:val="685C1A91"/>
    <w:rsid w:val="6863331B"/>
    <w:rsid w:val="686A1075"/>
    <w:rsid w:val="686BF6B9"/>
    <w:rsid w:val="6875BC9E"/>
    <w:rsid w:val="687A438C"/>
    <w:rsid w:val="687E57D5"/>
    <w:rsid w:val="687F2729"/>
    <w:rsid w:val="687FEF1A"/>
    <w:rsid w:val="6882E52D"/>
    <w:rsid w:val="688A587D"/>
    <w:rsid w:val="68929C6A"/>
    <w:rsid w:val="689422AA"/>
    <w:rsid w:val="6896654C"/>
    <w:rsid w:val="68982F9E"/>
    <w:rsid w:val="68A0254F"/>
    <w:rsid w:val="68A52988"/>
    <w:rsid w:val="68A8328E"/>
    <w:rsid w:val="68AAC1BD"/>
    <w:rsid w:val="68B29017"/>
    <w:rsid w:val="68B9979C"/>
    <w:rsid w:val="68BA0864"/>
    <w:rsid w:val="68BBE74F"/>
    <w:rsid w:val="68C3411A"/>
    <w:rsid w:val="68C9E5B9"/>
    <w:rsid w:val="68CA8778"/>
    <w:rsid w:val="68CBF4DD"/>
    <w:rsid w:val="68CC0437"/>
    <w:rsid w:val="68D0924B"/>
    <w:rsid w:val="68D17B86"/>
    <w:rsid w:val="68D17EAE"/>
    <w:rsid w:val="68D1D43B"/>
    <w:rsid w:val="68D531D4"/>
    <w:rsid w:val="68D9FC33"/>
    <w:rsid w:val="68DC2F3D"/>
    <w:rsid w:val="68E03D3E"/>
    <w:rsid w:val="68E27A5A"/>
    <w:rsid w:val="68E3051B"/>
    <w:rsid w:val="68EB36D5"/>
    <w:rsid w:val="68FDB104"/>
    <w:rsid w:val="69023B54"/>
    <w:rsid w:val="6909B8B0"/>
    <w:rsid w:val="690FDE0D"/>
    <w:rsid w:val="6910D7BF"/>
    <w:rsid w:val="6910D831"/>
    <w:rsid w:val="6912B695"/>
    <w:rsid w:val="691D732B"/>
    <w:rsid w:val="6921911D"/>
    <w:rsid w:val="692BF8B6"/>
    <w:rsid w:val="692EEC1C"/>
    <w:rsid w:val="693BDB6B"/>
    <w:rsid w:val="693C0EC4"/>
    <w:rsid w:val="694067E5"/>
    <w:rsid w:val="69433536"/>
    <w:rsid w:val="6948796E"/>
    <w:rsid w:val="694891BB"/>
    <w:rsid w:val="694C02FA"/>
    <w:rsid w:val="694EB6AA"/>
    <w:rsid w:val="69529C82"/>
    <w:rsid w:val="6957E9F9"/>
    <w:rsid w:val="695A152D"/>
    <w:rsid w:val="695A5CFE"/>
    <w:rsid w:val="6965CA1D"/>
    <w:rsid w:val="697C2018"/>
    <w:rsid w:val="698013F5"/>
    <w:rsid w:val="698204CE"/>
    <w:rsid w:val="69835C3A"/>
    <w:rsid w:val="69A00B96"/>
    <w:rsid w:val="69A56484"/>
    <w:rsid w:val="69BBC310"/>
    <w:rsid w:val="69BC2F28"/>
    <w:rsid w:val="69C03AAF"/>
    <w:rsid w:val="69C0F8B0"/>
    <w:rsid w:val="69C8FE9D"/>
    <w:rsid w:val="69CA85E3"/>
    <w:rsid w:val="69CC18D1"/>
    <w:rsid w:val="69CF9FB0"/>
    <w:rsid w:val="69D3CFA2"/>
    <w:rsid w:val="69DC3DC4"/>
    <w:rsid w:val="69E30D40"/>
    <w:rsid w:val="69E46C7B"/>
    <w:rsid w:val="69FF675E"/>
    <w:rsid w:val="6A09A4CF"/>
    <w:rsid w:val="6A0F1FF4"/>
    <w:rsid w:val="6A104103"/>
    <w:rsid w:val="6A116846"/>
    <w:rsid w:val="6A1A3EAB"/>
    <w:rsid w:val="6A1FF022"/>
    <w:rsid w:val="6A33479D"/>
    <w:rsid w:val="6A3649E6"/>
    <w:rsid w:val="6A397DE5"/>
    <w:rsid w:val="6A3F8516"/>
    <w:rsid w:val="6A41D305"/>
    <w:rsid w:val="6A43EF16"/>
    <w:rsid w:val="6A4599D1"/>
    <w:rsid w:val="6A48A12D"/>
    <w:rsid w:val="6A540B86"/>
    <w:rsid w:val="6A7015E4"/>
    <w:rsid w:val="6A70F75F"/>
    <w:rsid w:val="6A72EA28"/>
    <w:rsid w:val="6A786DA9"/>
    <w:rsid w:val="6A7A2A86"/>
    <w:rsid w:val="6A804761"/>
    <w:rsid w:val="6A839F11"/>
    <w:rsid w:val="6A8FF083"/>
    <w:rsid w:val="6A9666FC"/>
    <w:rsid w:val="6A9B5AA0"/>
    <w:rsid w:val="6AA1FD26"/>
    <w:rsid w:val="6AA76BCE"/>
    <w:rsid w:val="6AA7F116"/>
    <w:rsid w:val="6AB2AC27"/>
    <w:rsid w:val="6AB62296"/>
    <w:rsid w:val="6AB65F03"/>
    <w:rsid w:val="6AB94F56"/>
    <w:rsid w:val="6ABB338B"/>
    <w:rsid w:val="6ABDE188"/>
    <w:rsid w:val="6AC2DDA8"/>
    <w:rsid w:val="6AC56258"/>
    <w:rsid w:val="6AC83799"/>
    <w:rsid w:val="6AD122FF"/>
    <w:rsid w:val="6AD6A949"/>
    <w:rsid w:val="6AD6ECF5"/>
    <w:rsid w:val="6AD78C5A"/>
    <w:rsid w:val="6AE0D217"/>
    <w:rsid w:val="6AE9EBB9"/>
    <w:rsid w:val="6AEF8AC9"/>
    <w:rsid w:val="6AF230BC"/>
    <w:rsid w:val="6AF91E59"/>
    <w:rsid w:val="6AFB0FD1"/>
    <w:rsid w:val="6AFBE521"/>
    <w:rsid w:val="6B001FCE"/>
    <w:rsid w:val="6B1221A0"/>
    <w:rsid w:val="6B174620"/>
    <w:rsid w:val="6B28DF8E"/>
    <w:rsid w:val="6B2943DD"/>
    <w:rsid w:val="6B2BF9F7"/>
    <w:rsid w:val="6B315984"/>
    <w:rsid w:val="6B38FEA8"/>
    <w:rsid w:val="6B39DEC9"/>
    <w:rsid w:val="6B3BE18F"/>
    <w:rsid w:val="6B3BE9D6"/>
    <w:rsid w:val="6B3C4D37"/>
    <w:rsid w:val="6B419D23"/>
    <w:rsid w:val="6B4360E5"/>
    <w:rsid w:val="6B46DCD1"/>
    <w:rsid w:val="6B4F6E7B"/>
    <w:rsid w:val="6B50B837"/>
    <w:rsid w:val="6B526D05"/>
    <w:rsid w:val="6B543170"/>
    <w:rsid w:val="6B546266"/>
    <w:rsid w:val="6B552B87"/>
    <w:rsid w:val="6B55C29D"/>
    <w:rsid w:val="6B5D40BB"/>
    <w:rsid w:val="6B5DE60A"/>
    <w:rsid w:val="6B697C35"/>
    <w:rsid w:val="6B6C4540"/>
    <w:rsid w:val="6B6CF60C"/>
    <w:rsid w:val="6B6FC874"/>
    <w:rsid w:val="6B761F7F"/>
    <w:rsid w:val="6B8BC237"/>
    <w:rsid w:val="6B99053A"/>
    <w:rsid w:val="6B9B104A"/>
    <w:rsid w:val="6B9D6827"/>
    <w:rsid w:val="6BA6D5D3"/>
    <w:rsid w:val="6BADEB25"/>
    <w:rsid w:val="6BB0FBBA"/>
    <w:rsid w:val="6BB2FF70"/>
    <w:rsid w:val="6BB65296"/>
    <w:rsid w:val="6BB6BC54"/>
    <w:rsid w:val="6BBACEFF"/>
    <w:rsid w:val="6BBDBFEB"/>
    <w:rsid w:val="6BBF1376"/>
    <w:rsid w:val="6BC1ED8E"/>
    <w:rsid w:val="6BC9E23F"/>
    <w:rsid w:val="6BCED756"/>
    <w:rsid w:val="6BD1B9C1"/>
    <w:rsid w:val="6BD23033"/>
    <w:rsid w:val="6BD35F2B"/>
    <w:rsid w:val="6BD8CAA5"/>
    <w:rsid w:val="6BE3627B"/>
    <w:rsid w:val="6BE4F524"/>
    <w:rsid w:val="6BE52DD7"/>
    <w:rsid w:val="6BEA7E60"/>
    <w:rsid w:val="6BF5450D"/>
    <w:rsid w:val="6BF71102"/>
    <w:rsid w:val="6BFF3D64"/>
    <w:rsid w:val="6C049135"/>
    <w:rsid w:val="6C0922C0"/>
    <w:rsid w:val="6C0A4841"/>
    <w:rsid w:val="6C0EEFB6"/>
    <w:rsid w:val="6C0FB574"/>
    <w:rsid w:val="6C17A65F"/>
    <w:rsid w:val="6C19053A"/>
    <w:rsid w:val="6C194CE0"/>
    <w:rsid w:val="6C2585A3"/>
    <w:rsid w:val="6C27653D"/>
    <w:rsid w:val="6C294FBC"/>
    <w:rsid w:val="6C394F98"/>
    <w:rsid w:val="6C489F12"/>
    <w:rsid w:val="6C592820"/>
    <w:rsid w:val="6C5E63E5"/>
    <w:rsid w:val="6C60AAFA"/>
    <w:rsid w:val="6C613D37"/>
    <w:rsid w:val="6C61837A"/>
    <w:rsid w:val="6C706A04"/>
    <w:rsid w:val="6C708FF7"/>
    <w:rsid w:val="6C74109C"/>
    <w:rsid w:val="6C75871E"/>
    <w:rsid w:val="6C7DC593"/>
    <w:rsid w:val="6C80355E"/>
    <w:rsid w:val="6C849576"/>
    <w:rsid w:val="6C87A9B8"/>
    <w:rsid w:val="6C893499"/>
    <w:rsid w:val="6C8A9051"/>
    <w:rsid w:val="6C8DD873"/>
    <w:rsid w:val="6C907D71"/>
    <w:rsid w:val="6C90F9DE"/>
    <w:rsid w:val="6C9870E5"/>
    <w:rsid w:val="6C99846B"/>
    <w:rsid w:val="6C9ACD86"/>
    <w:rsid w:val="6C9ADC8A"/>
    <w:rsid w:val="6C9CC8B2"/>
    <w:rsid w:val="6CA195B0"/>
    <w:rsid w:val="6CA2D896"/>
    <w:rsid w:val="6CAD8882"/>
    <w:rsid w:val="6CBB5090"/>
    <w:rsid w:val="6CBCFCF4"/>
    <w:rsid w:val="6CC85323"/>
    <w:rsid w:val="6CC9B899"/>
    <w:rsid w:val="6CCAA5F9"/>
    <w:rsid w:val="6CDFB4AF"/>
    <w:rsid w:val="6CE5FFB6"/>
    <w:rsid w:val="6CEB849F"/>
    <w:rsid w:val="6CF06406"/>
    <w:rsid w:val="6CF2BB6B"/>
    <w:rsid w:val="6CF3C533"/>
    <w:rsid w:val="6CF6413E"/>
    <w:rsid w:val="6CFA36BA"/>
    <w:rsid w:val="6CFD4A5A"/>
    <w:rsid w:val="6D00DD8D"/>
    <w:rsid w:val="6D04837E"/>
    <w:rsid w:val="6D049141"/>
    <w:rsid w:val="6D08B845"/>
    <w:rsid w:val="6D09A86C"/>
    <w:rsid w:val="6D0E1B01"/>
    <w:rsid w:val="6D16FC16"/>
    <w:rsid w:val="6D212711"/>
    <w:rsid w:val="6D260DE4"/>
    <w:rsid w:val="6D2BF90A"/>
    <w:rsid w:val="6D2EDBEB"/>
    <w:rsid w:val="6D30E756"/>
    <w:rsid w:val="6D373E86"/>
    <w:rsid w:val="6D379247"/>
    <w:rsid w:val="6D3A52AB"/>
    <w:rsid w:val="6D3A8EE7"/>
    <w:rsid w:val="6D440AFE"/>
    <w:rsid w:val="6D451711"/>
    <w:rsid w:val="6D49E3BA"/>
    <w:rsid w:val="6D4A02C7"/>
    <w:rsid w:val="6D55088E"/>
    <w:rsid w:val="6D59168C"/>
    <w:rsid w:val="6D5A9CD7"/>
    <w:rsid w:val="6D5BC0F9"/>
    <w:rsid w:val="6D5C7E3F"/>
    <w:rsid w:val="6D5E58BD"/>
    <w:rsid w:val="6D6393BF"/>
    <w:rsid w:val="6D65799C"/>
    <w:rsid w:val="6D65984A"/>
    <w:rsid w:val="6D6CC3BF"/>
    <w:rsid w:val="6D6E9524"/>
    <w:rsid w:val="6D711CEF"/>
    <w:rsid w:val="6D728B8F"/>
    <w:rsid w:val="6D73F028"/>
    <w:rsid w:val="6D7700AF"/>
    <w:rsid w:val="6D7A4134"/>
    <w:rsid w:val="6D7D25F0"/>
    <w:rsid w:val="6D832DC6"/>
    <w:rsid w:val="6D8ECB8E"/>
    <w:rsid w:val="6D8FB77E"/>
    <w:rsid w:val="6D96E1FF"/>
    <w:rsid w:val="6D97C3FD"/>
    <w:rsid w:val="6D9C41F9"/>
    <w:rsid w:val="6D9E7CA5"/>
    <w:rsid w:val="6D9EEDF4"/>
    <w:rsid w:val="6DA455D6"/>
    <w:rsid w:val="6DAFE4FA"/>
    <w:rsid w:val="6DC1CE63"/>
    <w:rsid w:val="6DC94EBA"/>
    <w:rsid w:val="6DCBF450"/>
    <w:rsid w:val="6DD10ACE"/>
    <w:rsid w:val="6DD6412B"/>
    <w:rsid w:val="6DD8AE2C"/>
    <w:rsid w:val="6DECC3B3"/>
    <w:rsid w:val="6DEFB232"/>
    <w:rsid w:val="6DF0F946"/>
    <w:rsid w:val="6E0461D8"/>
    <w:rsid w:val="6E0B6996"/>
    <w:rsid w:val="6E0FCB90"/>
    <w:rsid w:val="6E17B99F"/>
    <w:rsid w:val="6E2DE1CE"/>
    <w:rsid w:val="6E2E55B9"/>
    <w:rsid w:val="6E32748D"/>
    <w:rsid w:val="6E363E71"/>
    <w:rsid w:val="6E3680F5"/>
    <w:rsid w:val="6E3BD988"/>
    <w:rsid w:val="6E3EA1A7"/>
    <w:rsid w:val="6E4BCD6C"/>
    <w:rsid w:val="6E53E575"/>
    <w:rsid w:val="6E5CE598"/>
    <w:rsid w:val="6E62F58F"/>
    <w:rsid w:val="6E66CD27"/>
    <w:rsid w:val="6E6B1845"/>
    <w:rsid w:val="6E6E8B90"/>
    <w:rsid w:val="6E75DA1F"/>
    <w:rsid w:val="6E76372F"/>
    <w:rsid w:val="6E79ADC5"/>
    <w:rsid w:val="6E79D417"/>
    <w:rsid w:val="6E7BA384"/>
    <w:rsid w:val="6E7D6783"/>
    <w:rsid w:val="6E833DD4"/>
    <w:rsid w:val="6E869C40"/>
    <w:rsid w:val="6E8C03D9"/>
    <w:rsid w:val="6E8CB609"/>
    <w:rsid w:val="6E8F2206"/>
    <w:rsid w:val="6E9182E7"/>
    <w:rsid w:val="6E991C1A"/>
    <w:rsid w:val="6E9E456C"/>
    <w:rsid w:val="6EA330C3"/>
    <w:rsid w:val="6EA9A507"/>
    <w:rsid w:val="6EB0C7F8"/>
    <w:rsid w:val="6EBBC4CC"/>
    <w:rsid w:val="6EBD028B"/>
    <w:rsid w:val="6EBE233E"/>
    <w:rsid w:val="6EBEC599"/>
    <w:rsid w:val="6EC73717"/>
    <w:rsid w:val="6ECE83CA"/>
    <w:rsid w:val="6ECE90C4"/>
    <w:rsid w:val="6ED41461"/>
    <w:rsid w:val="6ED4A27F"/>
    <w:rsid w:val="6ED4A6DF"/>
    <w:rsid w:val="6ED5058E"/>
    <w:rsid w:val="6ED5ED53"/>
    <w:rsid w:val="6ED844DA"/>
    <w:rsid w:val="6EDF1471"/>
    <w:rsid w:val="6EE16262"/>
    <w:rsid w:val="6EF12771"/>
    <w:rsid w:val="6EF722B0"/>
    <w:rsid w:val="6EF97513"/>
    <w:rsid w:val="6EF99411"/>
    <w:rsid w:val="6F004E29"/>
    <w:rsid w:val="6F0B44C2"/>
    <w:rsid w:val="6F0C0F58"/>
    <w:rsid w:val="6F1765AB"/>
    <w:rsid w:val="6F29AF71"/>
    <w:rsid w:val="6F2D9F9C"/>
    <w:rsid w:val="6F3777ED"/>
    <w:rsid w:val="6F382004"/>
    <w:rsid w:val="6F38E172"/>
    <w:rsid w:val="6F3B2B38"/>
    <w:rsid w:val="6F45A55B"/>
    <w:rsid w:val="6F45DAC1"/>
    <w:rsid w:val="6F490E77"/>
    <w:rsid w:val="6F4C610E"/>
    <w:rsid w:val="6F4D5B38"/>
    <w:rsid w:val="6F4DBCA8"/>
    <w:rsid w:val="6F5399E1"/>
    <w:rsid w:val="6F5683B9"/>
    <w:rsid w:val="6F5716F7"/>
    <w:rsid w:val="6F581343"/>
    <w:rsid w:val="6F5835AF"/>
    <w:rsid w:val="6F5BB01B"/>
    <w:rsid w:val="6F5D7E8D"/>
    <w:rsid w:val="6F5EEF80"/>
    <w:rsid w:val="6F601B22"/>
    <w:rsid w:val="6F609F68"/>
    <w:rsid w:val="6F6F3338"/>
    <w:rsid w:val="6F740D13"/>
    <w:rsid w:val="6F7AA61D"/>
    <w:rsid w:val="6F7C7067"/>
    <w:rsid w:val="6F82E141"/>
    <w:rsid w:val="6F837A7B"/>
    <w:rsid w:val="6F8997D1"/>
    <w:rsid w:val="6F8DFFF1"/>
    <w:rsid w:val="6F8E6FF9"/>
    <w:rsid w:val="6F905E83"/>
    <w:rsid w:val="6F90A722"/>
    <w:rsid w:val="6F9183F2"/>
    <w:rsid w:val="6F9236D1"/>
    <w:rsid w:val="6F972AD1"/>
    <w:rsid w:val="6F97337D"/>
    <w:rsid w:val="6FA11215"/>
    <w:rsid w:val="6FA122B7"/>
    <w:rsid w:val="6FA2FB7F"/>
    <w:rsid w:val="6FA659AF"/>
    <w:rsid w:val="6FA9DBD6"/>
    <w:rsid w:val="6FAA439C"/>
    <w:rsid w:val="6FAB8C25"/>
    <w:rsid w:val="6FAF13B8"/>
    <w:rsid w:val="6FB72193"/>
    <w:rsid w:val="6FBA6717"/>
    <w:rsid w:val="6FD1A95A"/>
    <w:rsid w:val="6FD206DF"/>
    <w:rsid w:val="6FDDFC6B"/>
    <w:rsid w:val="6FE5ED0C"/>
    <w:rsid w:val="6FE65313"/>
    <w:rsid w:val="6FEA0089"/>
    <w:rsid w:val="6FEC0129"/>
    <w:rsid w:val="6FEDE2BE"/>
    <w:rsid w:val="6FF2D072"/>
    <w:rsid w:val="6FF47D1B"/>
    <w:rsid w:val="6FF55725"/>
    <w:rsid w:val="6FFB1EBD"/>
    <w:rsid w:val="6FFFEE57"/>
    <w:rsid w:val="7001520D"/>
    <w:rsid w:val="7004AD3D"/>
    <w:rsid w:val="70059E8C"/>
    <w:rsid w:val="7005E180"/>
    <w:rsid w:val="70092DFA"/>
    <w:rsid w:val="7009A9B1"/>
    <w:rsid w:val="70118267"/>
    <w:rsid w:val="7013BA74"/>
    <w:rsid w:val="701A0DEA"/>
    <w:rsid w:val="7022BB62"/>
    <w:rsid w:val="70231A8F"/>
    <w:rsid w:val="70292E55"/>
    <w:rsid w:val="702AD3B2"/>
    <w:rsid w:val="702FBD39"/>
    <w:rsid w:val="702FF671"/>
    <w:rsid w:val="7030E8D4"/>
    <w:rsid w:val="7030FE25"/>
    <w:rsid w:val="70355588"/>
    <w:rsid w:val="703B88BC"/>
    <w:rsid w:val="7043A929"/>
    <w:rsid w:val="70446970"/>
    <w:rsid w:val="70451CE7"/>
    <w:rsid w:val="70459323"/>
    <w:rsid w:val="7052405C"/>
    <w:rsid w:val="70597821"/>
    <w:rsid w:val="70599A48"/>
    <w:rsid w:val="705B89A8"/>
    <w:rsid w:val="705D157E"/>
    <w:rsid w:val="705D794C"/>
    <w:rsid w:val="7064C891"/>
    <w:rsid w:val="70656EF5"/>
    <w:rsid w:val="706A794B"/>
    <w:rsid w:val="706AA4B5"/>
    <w:rsid w:val="706B5BF0"/>
    <w:rsid w:val="706FB983"/>
    <w:rsid w:val="70715F08"/>
    <w:rsid w:val="7079CED6"/>
    <w:rsid w:val="707D584F"/>
    <w:rsid w:val="70868EC6"/>
    <w:rsid w:val="708ED448"/>
    <w:rsid w:val="7091B6CB"/>
    <w:rsid w:val="7093B4D7"/>
    <w:rsid w:val="70961EB9"/>
    <w:rsid w:val="709C6F3B"/>
    <w:rsid w:val="70A1C159"/>
    <w:rsid w:val="70BB532E"/>
    <w:rsid w:val="70BB9B6B"/>
    <w:rsid w:val="70BCE606"/>
    <w:rsid w:val="70C25948"/>
    <w:rsid w:val="70C41147"/>
    <w:rsid w:val="70C57260"/>
    <w:rsid w:val="70C71BE8"/>
    <w:rsid w:val="70CD259E"/>
    <w:rsid w:val="70CD9375"/>
    <w:rsid w:val="70D2A64C"/>
    <w:rsid w:val="70DD7347"/>
    <w:rsid w:val="70DF50CE"/>
    <w:rsid w:val="70E6619C"/>
    <w:rsid w:val="70E8D80C"/>
    <w:rsid w:val="70E9A43A"/>
    <w:rsid w:val="70E9A985"/>
    <w:rsid w:val="70F32A4D"/>
    <w:rsid w:val="70F59C44"/>
    <w:rsid w:val="70F5CB20"/>
    <w:rsid w:val="7100E5ED"/>
    <w:rsid w:val="7101AF43"/>
    <w:rsid w:val="71119BD3"/>
    <w:rsid w:val="7118CCDF"/>
    <w:rsid w:val="711BF8C7"/>
    <w:rsid w:val="711F3825"/>
    <w:rsid w:val="712358CF"/>
    <w:rsid w:val="7123BD20"/>
    <w:rsid w:val="7135F641"/>
    <w:rsid w:val="713B1C2B"/>
    <w:rsid w:val="713F47CB"/>
    <w:rsid w:val="7141766F"/>
    <w:rsid w:val="7143BFD7"/>
    <w:rsid w:val="714FA69B"/>
    <w:rsid w:val="71505DFE"/>
    <w:rsid w:val="71540D91"/>
    <w:rsid w:val="7158D1CF"/>
    <w:rsid w:val="7158DEA7"/>
    <w:rsid w:val="715EF6ED"/>
    <w:rsid w:val="71670ED8"/>
    <w:rsid w:val="7168FBF0"/>
    <w:rsid w:val="716CCC6D"/>
    <w:rsid w:val="716D3CFA"/>
    <w:rsid w:val="716F1CEF"/>
    <w:rsid w:val="717242EE"/>
    <w:rsid w:val="71729484"/>
    <w:rsid w:val="717349A2"/>
    <w:rsid w:val="717453E5"/>
    <w:rsid w:val="7174729A"/>
    <w:rsid w:val="71771FFA"/>
    <w:rsid w:val="71787660"/>
    <w:rsid w:val="717B979D"/>
    <w:rsid w:val="717CC23E"/>
    <w:rsid w:val="7180EBD9"/>
    <w:rsid w:val="7184AF17"/>
    <w:rsid w:val="7189E55B"/>
    <w:rsid w:val="718B36ED"/>
    <w:rsid w:val="718ECE0B"/>
    <w:rsid w:val="718FE781"/>
    <w:rsid w:val="719051DB"/>
    <w:rsid w:val="7192312D"/>
    <w:rsid w:val="71927F8B"/>
    <w:rsid w:val="71930C32"/>
    <w:rsid w:val="7198CB96"/>
    <w:rsid w:val="71AD8056"/>
    <w:rsid w:val="71B08ED3"/>
    <w:rsid w:val="71B5D4DA"/>
    <w:rsid w:val="71B9C476"/>
    <w:rsid w:val="71C075A4"/>
    <w:rsid w:val="71C113E3"/>
    <w:rsid w:val="71C60619"/>
    <w:rsid w:val="71CFC4C8"/>
    <w:rsid w:val="71D351E5"/>
    <w:rsid w:val="71E43E02"/>
    <w:rsid w:val="71ECD70D"/>
    <w:rsid w:val="71EF788D"/>
    <w:rsid w:val="71EF87D2"/>
    <w:rsid w:val="71F09FFB"/>
    <w:rsid w:val="71F1B285"/>
    <w:rsid w:val="71F8A635"/>
    <w:rsid w:val="71F8FB5A"/>
    <w:rsid w:val="71FD13C4"/>
    <w:rsid w:val="71FD3898"/>
    <w:rsid w:val="71FDA4E9"/>
    <w:rsid w:val="720169C2"/>
    <w:rsid w:val="7206DE11"/>
    <w:rsid w:val="720854DC"/>
    <w:rsid w:val="720C6A75"/>
    <w:rsid w:val="7210D5F2"/>
    <w:rsid w:val="721E0DF2"/>
    <w:rsid w:val="721E284A"/>
    <w:rsid w:val="722182A4"/>
    <w:rsid w:val="722447B5"/>
    <w:rsid w:val="7224A6D8"/>
    <w:rsid w:val="722FE36F"/>
    <w:rsid w:val="723088DD"/>
    <w:rsid w:val="7232F8BB"/>
    <w:rsid w:val="7233A370"/>
    <w:rsid w:val="7234833A"/>
    <w:rsid w:val="7237163E"/>
    <w:rsid w:val="723D66E3"/>
    <w:rsid w:val="72452FBA"/>
    <w:rsid w:val="724617E9"/>
    <w:rsid w:val="7247698D"/>
    <w:rsid w:val="724F7D34"/>
    <w:rsid w:val="7257B07F"/>
    <w:rsid w:val="72611BDC"/>
    <w:rsid w:val="726300AD"/>
    <w:rsid w:val="72637A7E"/>
    <w:rsid w:val="7268475B"/>
    <w:rsid w:val="7269DCF3"/>
    <w:rsid w:val="726AAE11"/>
    <w:rsid w:val="726BA3D0"/>
    <w:rsid w:val="726BFB16"/>
    <w:rsid w:val="726EC4DA"/>
    <w:rsid w:val="72733481"/>
    <w:rsid w:val="727C164D"/>
    <w:rsid w:val="7287D9D1"/>
    <w:rsid w:val="72909256"/>
    <w:rsid w:val="7294074A"/>
    <w:rsid w:val="729627C9"/>
    <w:rsid w:val="729AAA4B"/>
    <w:rsid w:val="72A26C69"/>
    <w:rsid w:val="72A5479A"/>
    <w:rsid w:val="72A86D88"/>
    <w:rsid w:val="72AF382E"/>
    <w:rsid w:val="72AF3ED8"/>
    <w:rsid w:val="72AF6618"/>
    <w:rsid w:val="72B160E4"/>
    <w:rsid w:val="72B6C292"/>
    <w:rsid w:val="72BAF7E2"/>
    <w:rsid w:val="72BDC9F9"/>
    <w:rsid w:val="72C4A967"/>
    <w:rsid w:val="72C4DD5D"/>
    <w:rsid w:val="72C5ACBA"/>
    <w:rsid w:val="72C88552"/>
    <w:rsid w:val="72CE1805"/>
    <w:rsid w:val="72DE19E8"/>
    <w:rsid w:val="72DFE7C2"/>
    <w:rsid w:val="72E3EA62"/>
    <w:rsid w:val="72E69F6F"/>
    <w:rsid w:val="72F30975"/>
    <w:rsid w:val="72F43416"/>
    <w:rsid w:val="72F43838"/>
    <w:rsid w:val="72F788B3"/>
    <w:rsid w:val="72FB31B4"/>
    <w:rsid w:val="7302AD42"/>
    <w:rsid w:val="73055E33"/>
    <w:rsid w:val="73086F59"/>
    <w:rsid w:val="73097BE8"/>
    <w:rsid w:val="7309F4CA"/>
    <w:rsid w:val="730B1944"/>
    <w:rsid w:val="731123AB"/>
    <w:rsid w:val="7317E013"/>
    <w:rsid w:val="73180E5A"/>
    <w:rsid w:val="731C7C4F"/>
    <w:rsid w:val="732000E2"/>
    <w:rsid w:val="73219FCD"/>
    <w:rsid w:val="73223E61"/>
    <w:rsid w:val="7327F0B5"/>
    <w:rsid w:val="7328058B"/>
    <w:rsid w:val="7329FD60"/>
    <w:rsid w:val="732DC01B"/>
    <w:rsid w:val="7331B308"/>
    <w:rsid w:val="733920C8"/>
    <w:rsid w:val="733FA4FE"/>
    <w:rsid w:val="73490F4D"/>
    <w:rsid w:val="734B6329"/>
    <w:rsid w:val="734DC982"/>
    <w:rsid w:val="734E90FF"/>
    <w:rsid w:val="7351BF29"/>
    <w:rsid w:val="7356EC75"/>
    <w:rsid w:val="7359297A"/>
    <w:rsid w:val="735A6E26"/>
    <w:rsid w:val="735C2F8F"/>
    <w:rsid w:val="73644137"/>
    <w:rsid w:val="73650845"/>
    <w:rsid w:val="7372159D"/>
    <w:rsid w:val="737EF578"/>
    <w:rsid w:val="7385CC88"/>
    <w:rsid w:val="73930F28"/>
    <w:rsid w:val="739B260E"/>
    <w:rsid w:val="73AF416C"/>
    <w:rsid w:val="73B30B21"/>
    <w:rsid w:val="73B37F5E"/>
    <w:rsid w:val="73B41DB7"/>
    <w:rsid w:val="73B69F67"/>
    <w:rsid w:val="73B74680"/>
    <w:rsid w:val="73C137F5"/>
    <w:rsid w:val="73C544AD"/>
    <w:rsid w:val="73DCFF00"/>
    <w:rsid w:val="73E273A6"/>
    <w:rsid w:val="73ECB021"/>
    <w:rsid w:val="73EE206C"/>
    <w:rsid w:val="73EEAEE7"/>
    <w:rsid w:val="73F2323A"/>
    <w:rsid w:val="73F66057"/>
    <w:rsid w:val="73FEEA18"/>
    <w:rsid w:val="73FFB8FE"/>
    <w:rsid w:val="7401879B"/>
    <w:rsid w:val="7403E3F6"/>
    <w:rsid w:val="7404EEC9"/>
    <w:rsid w:val="7409D38D"/>
    <w:rsid w:val="740ACBD6"/>
    <w:rsid w:val="7411A3DC"/>
    <w:rsid w:val="74271809"/>
    <w:rsid w:val="74290089"/>
    <w:rsid w:val="74298A6F"/>
    <w:rsid w:val="742E91A8"/>
    <w:rsid w:val="743466B6"/>
    <w:rsid w:val="74389120"/>
    <w:rsid w:val="743A1BD1"/>
    <w:rsid w:val="743BC538"/>
    <w:rsid w:val="744440C7"/>
    <w:rsid w:val="744769B0"/>
    <w:rsid w:val="744D5457"/>
    <w:rsid w:val="744DA357"/>
    <w:rsid w:val="74540134"/>
    <w:rsid w:val="745560DD"/>
    <w:rsid w:val="74587BB4"/>
    <w:rsid w:val="745DDC91"/>
    <w:rsid w:val="745E8699"/>
    <w:rsid w:val="746CAED1"/>
    <w:rsid w:val="746F1588"/>
    <w:rsid w:val="74705218"/>
    <w:rsid w:val="74753188"/>
    <w:rsid w:val="7477921D"/>
    <w:rsid w:val="747A5405"/>
    <w:rsid w:val="7489FAE3"/>
    <w:rsid w:val="748AD818"/>
    <w:rsid w:val="748DE370"/>
    <w:rsid w:val="7491DA3A"/>
    <w:rsid w:val="7495E7C1"/>
    <w:rsid w:val="749B1748"/>
    <w:rsid w:val="749FFFB6"/>
    <w:rsid w:val="74A0EE6C"/>
    <w:rsid w:val="74AC324C"/>
    <w:rsid w:val="74B61147"/>
    <w:rsid w:val="74C89CF6"/>
    <w:rsid w:val="74CABBE9"/>
    <w:rsid w:val="74CD895D"/>
    <w:rsid w:val="74D6E8A5"/>
    <w:rsid w:val="74D74F2B"/>
    <w:rsid w:val="74DD5B30"/>
    <w:rsid w:val="74E4052D"/>
    <w:rsid w:val="74E617BE"/>
    <w:rsid w:val="74EFC2ED"/>
    <w:rsid w:val="74F45415"/>
    <w:rsid w:val="75001E0A"/>
    <w:rsid w:val="750BF1DB"/>
    <w:rsid w:val="750CD4CD"/>
    <w:rsid w:val="7517ACB8"/>
    <w:rsid w:val="751C87E1"/>
    <w:rsid w:val="751D8873"/>
    <w:rsid w:val="752322CF"/>
    <w:rsid w:val="752ACB39"/>
    <w:rsid w:val="752CF27C"/>
    <w:rsid w:val="753ABA8F"/>
    <w:rsid w:val="753D51F5"/>
    <w:rsid w:val="753EEA0A"/>
    <w:rsid w:val="7540FAC6"/>
    <w:rsid w:val="75453141"/>
    <w:rsid w:val="754DD122"/>
    <w:rsid w:val="754F910A"/>
    <w:rsid w:val="755AD848"/>
    <w:rsid w:val="756D3C59"/>
    <w:rsid w:val="7571C79A"/>
    <w:rsid w:val="75748724"/>
    <w:rsid w:val="757575D7"/>
    <w:rsid w:val="757579BE"/>
    <w:rsid w:val="7577BB2E"/>
    <w:rsid w:val="757AECAB"/>
    <w:rsid w:val="757BAAC3"/>
    <w:rsid w:val="75836E8E"/>
    <w:rsid w:val="758816A5"/>
    <w:rsid w:val="758E683D"/>
    <w:rsid w:val="758FA896"/>
    <w:rsid w:val="7593E638"/>
    <w:rsid w:val="759A94BE"/>
    <w:rsid w:val="759EE0A5"/>
    <w:rsid w:val="75A1C319"/>
    <w:rsid w:val="75A1C80C"/>
    <w:rsid w:val="75A41188"/>
    <w:rsid w:val="75A43529"/>
    <w:rsid w:val="75AD2D9D"/>
    <w:rsid w:val="75B4C565"/>
    <w:rsid w:val="75B6BE8D"/>
    <w:rsid w:val="75B7A1BB"/>
    <w:rsid w:val="75B7DB83"/>
    <w:rsid w:val="75BEAA1B"/>
    <w:rsid w:val="75C22AD9"/>
    <w:rsid w:val="75C3E52D"/>
    <w:rsid w:val="75C696B4"/>
    <w:rsid w:val="75D62853"/>
    <w:rsid w:val="75DA975A"/>
    <w:rsid w:val="75DCDA9B"/>
    <w:rsid w:val="75DF3749"/>
    <w:rsid w:val="75E0DAD2"/>
    <w:rsid w:val="75E9C20A"/>
    <w:rsid w:val="75ECAFCA"/>
    <w:rsid w:val="75ED2B71"/>
    <w:rsid w:val="75EFB173"/>
    <w:rsid w:val="75F0D9C3"/>
    <w:rsid w:val="75FDFD5D"/>
    <w:rsid w:val="760034D5"/>
    <w:rsid w:val="76123F96"/>
    <w:rsid w:val="7613DF9C"/>
    <w:rsid w:val="7617EE8F"/>
    <w:rsid w:val="761C54DF"/>
    <w:rsid w:val="7625FF9F"/>
    <w:rsid w:val="76274575"/>
    <w:rsid w:val="763332E2"/>
    <w:rsid w:val="7638A869"/>
    <w:rsid w:val="763A997C"/>
    <w:rsid w:val="763DA13B"/>
    <w:rsid w:val="7646E8E1"/>
    <w:rsid w:val="764E9E08"/>
    <w:rsid w:val="76523440"/>
    <w:rsid w:val="7657628B"/>
    <w:rsid w:val="765A789C"/>
    <w:rsid w:val="76610EB8"/>
    <w:rsid w:val="7666A9CF"/>
    <w:rsid w:val="7668AC1C"/>
    <w:rsid w:val="7668C05F"/>
    <w:rsid w:val="766D63D3"/>
    <w:rsid w:val="766E105E"/>
    <w:rsid w:val="7677DD82"/>
    <w:rsid w:val="7679775B"/>
    <w:rsid w:val="767CB21A"/>
    <w:rsid w:val="767EBA1D"/>
    <w:rsid w:val="768B90D3"/>
    <w:rsid w:val="768DD408"/>
    <w:rsid w:val="76935788"/>
    <w:rsid w:val="76A4FC30"/>
    <w:rsid w:val="76A5076E"/>
    <w:rsid w:val="76AA60DA"/>
    <w:rsid w:val="76B0C8E8"/>
    <w:rsid w:val="76B1AF2F"/>
    <w:rsid w:val="76BD5BBA"/>
    <w:rsid w:val="76C3A5BD"/>
    <w:rsid w:val="76C80E4E"/>
    <w:rsid w:val="76C80EE9"/>
    <w:rsid w:val="76C9CA2B"/>
    <w:rsid w:val="76CDED7B"/>
    <w:rsid w:val="76CE7C95"/>
    <w:rsid w:val="76CF3A18"/>
    <w:rsid w:val="76D069EA"/>
    <w:rsid w:val="76D08C59"/>
    <w:rsid w:val="76D25969"/>
    <w:rsid w:val="76DCAE4A"/>
    <w:rsid w:val="76DD5B6E"/>
    <w:rsid w:val="76E49328"/>
    <w:rsid w:val="76E9E6FE"/>
    <w:rsid w:val="76EED867"/>
    <w:rsid w:val="76F01584"/>
    <w:rsid w:val="76F31C80"/>
    <w:rsid w:val="7704F13A"/>
    <w:rsid w:val="77067262"/>
    <w:rsid w:val="770A9C5F"/>
    <w:rsid w:val="770E31E9"/>
    <w:rsid w:val="7715EE02"/>
    <w:rsid w:val="771F709E"/>
    <w:rsid w:val="772A50A0"/>
    <w:rsid w:val="7731556F"/>
    <w:rsid w:val="77326154"/>
    <w:rsid w:val="773C8125"/>
    <w:rsid w:val="773EECB9"/>
    <w:rsid w:val="77400025"/>
    <w:rsid w:val="77416724"/>
    <w:rsid w:val="774260A9"/>
    <w:rsid w:val="774AD87E"/>
    <w:rsid w:val="774D915C"/>
    <w:rsid w:val="774FA384"/>
    <w:rsid w:val="77525A93"/>
    <w:rsid w:val="7757B6A0"/>
    <w:rsid w:val="77620096"/>
    <w:rsid w:val="7767BB34"/>
    <w:rsid w:val="7774963A"/>
    <w:rsid w:val="77793105"/>
    <w:rsid w:val="777EEBE7"/>
    <w:rsid w:val="77857DB4"/>
    <w:rsid w:val="778A381B"/>
    <w:rsid w:val="778AE885"/>
    <w:rsid w:val="778B835B"/>
    <w:rsid w:val="778CF540"/>
    <w:rsid w:val="778EE2B0"/>
    <w:rsid w:val="77988738"/>
    <w:rsid w:val="7799CC84"/>
    <w:rsid w:val="779B5DBA"/>
    <w:rsid w:val="779EFDF2"/>
    <w:rsid w:val="77A09CC4"/>
    <w:rsid w:val="77A1CA32"/>
    <w:rsid w:val="77A1E03E"/>
    <w:rsid w:val="77A9DE87"/>
    <w:rsid w:val="77AD3F9E"/>
    <w:rsid w:val="77AF618C"/>
    <w:rsid w:val="77BB659C"/>
    <w:rsid w:val="77BD3E50"/>
    <w:rsid w:val="77C10945"/>
    <w:rsid w:val="77C1E29A"/>
    <w:rsid w:val="77C39961"/>
    <w:rsid w:val="77CBBC8E"/>
    <w:rsid w:val="77CE4E06"/>
    <w:rsid w:val="77CFA6FB"/>
    <w:rsid w:val="77D05876"/>
    <w:rsid w:val="77D7E520"/>
    <w:rsid w:val="77DF6B42"/>
    <w:rsid w:val="77DFD902"/>
    <w:rsid w:val="77ECBF16"/>
    <w:rsid w:val="77F513BF"/>
    <w:rsid w:val="78008512"/>
    <w:rsid w:val="7800BA58"/>
    <w:rsid w:val="78012EA9"/>
    <w:rsid w:val="78068190"/>
    <w:rsid w:val="78118A2B"/>
    <w:rsid w:val="78130C51"/>
    <w:rsid w:val="7815ABB4"/>
    <w:rsid w:val="7818BF29"/>
    <w:rsid w:val="7819EB9A"/>
    <w:rsid w:val="781A2B00"/>
    <w:rsid w:val="781A69AD"/>
    <w:rsid w:val="781BB7CC"/>
    <w:rsid w:val="781CCB5C"/>
    <w:rsid w:val="781EA8C0"/>
    <w:rsid w:val="78228223"/>
    <w:rsid w:val="7839045D"/>
    <w:rsid w:val="783911E4"/>
    <w:rsid w:val="783AF5B6"/>
    <w:rsid w:val="7844A3ED"/>
    <w:rsid w:val="7845BDB2"/>
    <w:rsid w:val="78474711"/>
    <w:rsid w:val="7849C833"/>
    <w:rsid w:val="784A1776"/>
    <w:rsid w:val="784AABB8"/>
    <w:rsid w:val="784AB5C8"/>
    <w:rsid w:val="784FAE31"/>
    <w:rsid w:val="78542253"/>
    <w:rsid w:val="78544831"/>
    <w:rsid w:val="78553025"/>
    <w:rsid w:val="7861E107"/>
    <w:rsid w:val="787178D8"/>
    <w:rsid w:val="787196BA"/>
    <w:rsid w:val="78734861"/>
    <w:rsid w:val="78740B84"/>
    <w:rsid w:val="7876EB2D"/>
    <w:rsid w:val="787A641E"/>
    <w:rsid w:val="787A6EC7"/>
    <w:rsid w:val="7881C4AB"/>
    <w:rsid w:val="78912421"/>
    <w:rsid w:val="78984065"/>
    <w:rsid w:val="78A3316F"/>
    <w:rsid w:val="78A4825C"/>
    <w:rsid w:val="78A4A4C8"/>
    <w:rsid w:val="78A5756E"/>
    <w:rsid w:val="78A64213"/>
    <w:rsid w:val="78A662D2"/>
    <w:rsid w:val="78AED7D6"/>
    <w:rsid w:val="78B10F7E"/>
    <w:rsid w:val="78B6C06E"/>
    <w:rsid w:val="78C0B047"/>
    <w:rsid w:val="78CEA1BA"/>
    <w:rsid w:val="78D098CF"/>
    <w:rsid w:val="78D32B61"/>
    <w:rsid w:val="78D3F084"/>
    <w:rsid w:val="78DF0E56"/>
    <w:rsid w:val="78EB34EA"/>
    <w:rsid w:val="78EC9877"/>
    <w:rsid w:val="78F2E75D"/>
    <w:rsid w:val="78F32A8C"/>
    <w:rsid w:val="78F3F274"/>
    <w:rsid w:val="78F90D39"/>
    <w:rsid w:val="78F96E77"/>
    <w:rsid w:val="78FD6C90"/>
    <w:rsid w:val="790369B1"/>
    <w:rsid w:val="7903F487"/>
    <w:rsid w:val="7908D97E"/>
    <w:rsid w:val="790AAD32"/>
    <w:rsid w:val="790BE696"/>
    <w:rsid w:val="7918C106"/>
    <w:rsid w:val="792093B6"/>
    <w:rsid w:val="7923E29F"/>
    <w:rsid w:val="792AA6AE"/>
    <w:rsid w:val="792BBF9F"/>
    <w:rsid w:val="792D670F"/>
    <w:rsid w:val="79313D18"/>
    <w:rsid w:val="7934F095"/>
    <w:rsid w:val="793BCB8B"/>
    <w:rsid w:val="79433D09"/>
    <w:rsid w:val="79484EF2"/>
    <w:rsid w:val="79485E08"/>
    <w:rsid w:val="79494FEA"/>
    <w:rsid w:val="7950625C"/>
    <w:rsid w:val="79562E30"/>
    <w:rsid w:val="7960D669"/>
    <w:rsid w:val="7963A08E"/>
    <w:rsid w:val="79671F33"/>
    <w:rsid w:val="79682D78"/>
    <w:rsid w:val="796ACF23"/>
    <w:rsid w:val="796AE781"/>
    <w:rsid w:val="7984425D"/>
    <w:rsid w:val="79858D59"/>
    <w:rsid w:val="79866398"/>
    <w:rsid w:val="7986DFDD"/>
    <w:rsid w:val="7989924F"/>
    <w:rsid w:val="798FE350"/>
    <w:rsid w:val="799463CF"/>
    <w:rsid w:val="7998EF89"/>
    <w:rsid w:val="799AADD0"/>
    <w:rsid w:val="799C20E6"/>
    <w:rsid w:val="79A98D51"/>
    <w:rsid w:val="79A9CED4"/>
    <w:rsid w:val="79AA1FEC"/>
    <w:rsid w:val="79AE58D8"/>
    <w:rsid w:val="79AFA064"/>
    <w:rsid w:val="79B29B42"/>
    <w:rsid w:val="79C01530"/>
    <w:rsid w:val="79C8391F"/>
    <w:rsid w:val="79C985E3"/>
    <w:rsid w:val="79CAD175"/>
    <w:rsid w:val="79CF4AE9"/>
    <w:rsid w:val="79D6608D"/>
    <w:rsid w:val="79E31421"/>
    <w:rsid w:val="79E3CC28"/>
    <w:rsid w:val="79EFD267"/>
    <w:rsid w:val="79FBE8AE"/>
    <w:rsid w:val="7A066BA6"/>
    <w:rsid w:val="7A09A003"/>
    <w:rsid w:val="7A128786"/>
    <w:rsid w:val="7A143A03"/>
    <w:rsid w:val="7A1A8424"/>
    <w:rsid w:val="7A2256CB"/>
    <w:rsid w:val="7A27893F"/>
    <w:rsid w:val="7A30C9CD"/>
    <w:rsid w:val="7A34008D"/>
    <w:rsid w:val="7A344132"/>
    <w:rsid w:val="7A39F7E1"/>
    <w:rsid w:val="7A3B96EE"/>
    <w:rsid w:val="7A3F0507"/>
    <w:rsid w:val="7A5FA4D4"/>
    <w:rsid w:val="7A653F36"/>
    <w:rsid w:val="7A6D7918"/>
    <w:rsid w:val="7A744FB4"/>
    <w:rsid w:val="7A74E62E"/>
    <w:rsid w:val="7A762A2A"/>
    <w:rsid w:val="7A772B63"/>
    <w:rsid w:val="7A7D2A5E"/>
    <w:rsid w:val="7A7D56B6"/>
    <w:rsid w:val="7A81F73A"/>
    <w:rsid w:val="7A85E66B"/>
    <w:rsid w:val="7A89BCF3"/>
    <w:rsid w:val="7A8D1CF8"/>
    <w:rsid w:val="7A8F746A"/>
    <w:rsid w:val="7A99248D"/>
    <w:rsid w:val="7AA5F926"/>
    <w:rsid w:val="7AA8419E"/>
    <w:rsid w:val="7AA92793"/>
    <w:rsid w:val="7AB122B6"/>
    <w:rsid w:val="7AB35FFC"/>
    <w:rsid w:val="7AB40BFF"/>
    <w:rsid w:val="7AB79D45"/>
    <w:rsid w:val="7AC28885"/>
    <w:rsid w:val="7AC8DDEB"/>
    <w:rsid w:val="7ACD444A"/>
    <w:rsid w:val="7ACD9917"/>
    <w:rsid w:val="7AD08236"/>
    <w:rsid w:val="7AD4D28B"/>
    <w:rsid w:val="7ADDAB9D"/>
    <w:rsid w:val="7AE66046"/>
    <w:rsid w:val="7AE9D3C5"/>
    <w:rsid w:val="7AEF63CA"/>
    <w:rsid w:val="7AF1C9E5"/>
    <w:rsid w:val="7AF61F93"/>
    <w:rsid w:val="7AF6A64E"/>
    <w:rsid w:val="7AF707CB"/>
    <w:rsid w:val="7AFED381"/>
    <w:rsid w:val="7B07B956"/>
    <w:rsid w:val="7B118A4F"/>
    <w:rsid w:val="7B223E50"/>
    <w:rsid w:val="7B2BF866"/>
    <w:rsid w:val="7B38140B"/>
    <w:rsid w:val="7B3989B3"/>
    <w:rsid w:val="7B43F74E"/>
    <w:rsid w:val="7B457CF9"/>
    <w:rsid w:val="7B4EB443"/>
    <w:rsid w:val="7B56CBAE"/>
    <w:rsid w:val="7B5F8E66"/>
    <w:rsid w:val="7B648D08"/>
    <w:rsid w:val="7B688E05"/>
    <w:rsid w:val="7B6E8A0C"/>
    <w:rsid w:val="7B73636E"/>
    <w:rsid w:val="7B75D734"/>
    <w:rsid w:val="7B7F5566"/>
    <w:rsid w:val="7B83B236"/>
    <w:rsid w:val="7B8556A2"/>
    <w:rsid w:val="7B8653AF"/>
    <w:rsid w:val="7B8E3A46"/>
    <w:rsid w:val="7B919AE8"/>
    <w:rsid w:val="7B9840CC"/>
    <w:rsid w:val="7B9A1BA6"/>
    <w:rsid w:val="7B9DC3D4"/>
    <w:rsid w:val="7B9E6904"/>
    <w:rsid w:val="7B9F4BFC"/>
    <w:rsid w:val="7BA142F3"/>
    <w:rsid w:val="7BA1DD37"/>
    <w:rsid w:val="7BA1F28A"/>
    <w:rsid w:val="7BA29B89"/>
    <w:rsid w:val="7BA98A36"/>
    <w:rsid w:val="7BAA10A1"/>
    <w:rsid w:val="7BB1736E"/>
    <w:rsid w:val="7BB20175"/>
    <w:rsid w:val="7BB9CD35"/>
    <w:rsid w:val="7BBB4DCB"/>
    <w:rsid w:val="7BBF7E91"/>
    <w:rsid w:val="7BCF721D"/>
    <w:rsid w:val="7BD46D6B"/>
    <w:rsid w:val="7BDA959D"/>
    <w:rsid w:val="7BDEC3A6"/>
    <w:rsid w:val="7BE19631"/>
    <w:rsid w:val="7BE3C416"/>
    <w:rsid w:val="7BE4CF66"/>
    <w:rsid w:val="7BEA836A"/>
    <w:rsid w:val="7BF73BE7"/>
    <w:rsid w:val="7BFAD0F4"/>
    <w:rsid w:val="7C01A05C"/>
    <w:rsid w:val="7C09F9F9"/>
    <w:rsid w:val="7C110C96"/>
    <w:rsid w:val="7C154CB4"/>
    <w:rsid w:val="7C1A961E"/>
    <w:rsid w:val="7C234088"/>
    <w:rsid w:val="7C2655EB"/>
    <w:rsid w:val="7C400B92"/>
    <w:rsid w:val="7C41DADE"/>
    <w:rsid w:val="7C428E23"/>
    <w:rsid w:val="7C452023"/>
    <w:rsid w:val="7C4761DA"/>
    <w:rsid w:val="7C483DF1"/>
    <w:rsid w:val="7C4A3C1A"/>
    <w:rsid w:val="7C5071E0"/>
    <w:rsid w:val="7C5A989A"/>
    <w:rsid w:val="7C5F7CB6"/>
    <w:rsid w:val="7C638F9E"/>
    <w:rsid w:val="7C782DEB"/>
    <w:rsid w:val="7C82F562"/>
    <w:rsid w:val="7C86FA6B"/>
    <w:rsid w:val="7C8B0420"/>
    <w:rsid w:val="7C8E0CCB"/>
    <w:rsid w:val="7C92B296"/>
    <w:rsid w:val="7C950046"/>
    <w:rsid w:val="7C9ABD87"/>
    <w:rsid w:val="7CA4DD48"/>
    <w:rsid w:val="7CA64F12"/>
    <w:rsid w:val="7CB413F5"/>
    <w:rsid w:val="7CBA92D6"/>
    <w:rsid w:val="7CCA8FC2"/>
    <w:rsid w:val="7CCCB439"/>
    <w:rsid w:val="7CCD3249"/>
    <w:rsid w:val="7CD090FE"/>
    <w:rsid w:val="7CDA3C4A"/>
    <w:rsid w:val="7CDEBD7D"/>
    <w:rsid w:val="7CE08852"/>
    <w:rsid w:val="7CE34133"/>
    <w:rsid w:val="7CE4F77A"/>
    <w:rsid w:val="7CE59A44"/>
    <w:rsid w:val="7CE760B4"/>
    <w:rsid w:val="7CECB55D"/>
    <w:rsid w:val="7CED6791"/>
    <w:rsid w:val="7CED8DC7"/>
    <w:rsid w:val="7CF7DE43"/>
    <w:rsid w:val="7CF92693"/>
    <w:rsid w:val="7CFE932C"/>
    <w:rsid w:val="7D0253B2"/>
    <w:rsid w:val="7D02E32E"/>
    <w:rsid w:val="7D097753"/>
    <w:rsid w:val="7D0B4222"/>
    <w:rsid w:val="7D142416"/>
    <w:rsid w:val="7D22DD29"/>
    <w:rsid w:val="7D24360E"/>
    <w:rsid w:val="7D28C71D"/>
    <w:rsid w:val="7D2A1CC9"/>
    <w:rsid w:val="7D2DAEC3"/>
    <w:rsid w:val="7D31D677"/>
    <w:rsid w:val="7D34E4DE"/>
    <w:rsid w:val="7D39CC39"/>
    <w:rsid w:val="7D3E96E6"/>
    <w:rsid w:val="7D4779C0"/>
    <w:rsid w:val="7D4ADD27"/>
    <w:rsid w:val="7D50A6D7"/>
    <w:rsid w:val="7D52D7EF"/>
    <w:rsid w:val="7D595C41"/>
    <w:rsid w:val="7D5ADA3F"/>
    <w:rsid w:val="7D60D80C"/>
    <w:rsid w:val="7D6226A0"/>
    <w:rsid w:val="7D6A7DDA"/>
    <w:rsid w:val="7D6B35A4"/>
    <w:rsid w:val="7D6C344E"/>
    <w:rsid w:val="7D78DC3A"/>
    <w:rsid w:val="7D7B47BC"/>
    <w:rsid w:val="7D807779"/>
    <w:rsid w:val="7D8A6C73"/>
    <w:rsid w:val="7D8B4F6D"/>
    <w:rsid w:val="7D8F2F1C"/>
    <w:rsid w:val="7D900577"/>
    <w:rsid w:val="7D968861"/>
    <w:rsid w:val="7D9A80AE"/>
    <w:rsid w:val="7D9E0A3D"/>
    <w:rsid w:val="7D9F1029"/>
    <w:rsid w:val="7DA9AD19"/>
    <w:rsid w:val="7DA9FCF1"/>
    <w:rsid w:val="7DAFB6D0"/>
    <w:rsid w:val="7DBBE3C1"/>
    <w:rsid w:val="7DC2632A"/>
    <w:rsid w:val="7DCAED5B"/>
    <w:rsid w:val="7DCCB4FC"/>
    <w:rsid w:val="7DCF609D"/>
    <w:rsid w:val="7DD12742"/>
    <w:rsid w:val="7DD4622B"/>
    <w:rsid w:val="7DD65276"/>
    <w:rsid w:val="7DD6DCA6"/>
    <w:rsid w:val="7DDBBD75"/>
    <w:rsid w:val="7DEDB865"/>
    <w:rsid w:val="7DF1129B"/>
    <w:rsid w:val="7DF8C146"/>
    <w:rsid w:val="7DF94CEE"/>
    <w:rsid w:val="7DFCA961"/>
    <w:rsid w:val="7DFD79E1"/>
    <w:rsid w:val="7DFEC317"/>
    <w:rsid w:val="7E013242"/>
    <w:rsid w:val="7E02FFC2"/>
    <w:rsid w:val="7E05CF3D"/>
    <w:rsid w:val="7E08C43F"/>
    <w:rsid w:val="7E0E6388"/>
    <w:rsid w:val="7E0FC609"/>
    <w:rsid w:val="7E1BA6D2"/>
    <w:rsid w:val="7E1D12EA"/>
    <w:rsid w:val="7E25649F"/>
    <w:rsid w:val="7E269566"/>
    <w:rsid w:val="7E28A153"/>
    <w:rsid w:val="7E28FFFE"/>
    <w:rsid w:val="7E30A574"/>
    <w:rsid w:val="7E346A00"/>
    <w:rsid w:val="7E363BBA"/>
    <w:rsid w:val="7E508076"/>
    <w:rsid w:val="7E5A6AF4"/>
    <w:rsid w:val="7E5C4CB2"/>
    <w:rsid w:val="7E610495"/>
    <w:rsid w:val="7E63AB10"/>
    <w:rsid w:val="7E69281E"/>
    <w:rsid w:val="7E6B3372"/>
    <w:rsid w:val="7E6D20E1"/>
    <w:rsid w:val="7E7123B7"/>
    <w:rsid w:val="7E743D7A"/>
    <w:rsid w:val="7E766828"/>
    <w:rsid w:val="7E7B61FC"/>
    <w:rsid w:val="7E8B22CA"/>
    <w:rsid w:val="7E8C6EF8"/>
    <w:rsid w:val="7E905F19"/>
    <w:rsid w:val="7E91E3B4"/>
    <w:rsid w:val="7E988188"/>
    <w:rsid w:val="7EA699DB"/>
    <w:rsid w:val="7EA8B8E6"/>
    <w:rsid w:val="7EA9AF7C"/>
    <w:rsid w:val="7EAC6403"/>
    <w:rsid w:val="7EAF3B68"/>
    <w:rsid w:val="7EB10036"/>
    <w:rsid w:val="7EB542F9"/>
    <w:rsid w:val="7EB8DCDC"/>
    <w:rsid w:val="7EBAC817"/>
    <w:rsid w:val="7EBDB6ED"/>
    <w:rsid w:val="7EBED995"/>
    <w:rsid w:val="7EBF22EC"/>
    <w:rsid w:val="7EC29622"/>
    <w:rsid w:val="7EC6FFC6"/>
    <w:rsid w:val="7EC9B7AB"/>
    <w:rsid w:val="7ED3193A"/>
    <w:rsid w:val="7ED79D76"/>
    <w:rsid w:val="7EDC8610"/>
    <w:rsid w:val="7EE05831"/>
    <w:rsid w:val="7EE5777C"/>
    <w:rsid w:val="7EF8A3B0"/>
    <w:rsid w:val="7EFA1A2A"/>
    <w:rsid w:val="7EFF4301"/>
    <w:rsid w:val="7F00F5EE"/>
    <w:rsid w:val="7F0165B5"/>
    <w:rsid w:val="7F02A281"/>
    <w:rsid w:val="7F03F41E"/>
    <w:rsid w:val="7F0A9257"/>
    <w:rsid w:val="7F102704"/>
    <w:rsid w:val="7F12473A"/>
    <w:rsid w:val="7F1584F9"/>
    <w:rsid w:val="7F161A18"/>
    <w:rsid w:val="7F184BCC"/>
    <w:rsid w:val="7F1B7D44"/>
    <w:rsid w:val="7F202E25"/>
    <w:rsid w:val="7F21F2DB"/>
    <w:rsid w:val="7F21F7F7"/>
    <w:rsid w:val="7F254C1D"/>
    <w:rsid w:val="7F2696EE"/>
    <w:rsid w:val="7F276507"/>
    <w:rsid w:val="7F2C56D5"/>
    <w:rsid w:val="7F34B65B"/>
    <w:rsid w:val="7F3951C1"/>
    <w:rsid w:val="7F439383"/>
    <w:rsid w:val="7F49A116"/>
    <w:rsid w:val="7F4B9C3F"/>
    <w:rsid w:val="7F4E8516"/>
    <w:rsid w:val="7F513CBF"/>
    <w:rsid w:val="7F52F5D7"/>
    <w:rsid w:val="7F56CE0A"/>
    <w:rsid w:val="7F58CF25"/>
    <w:rsid w:val="7F5B64D4"/>
    <w:rsid w:val="7F63770B"/>
    <w:rsid w:val="7F649527"/>
    <w:rsid w:val="7F64AC70"/>
    <w:rsid w:val="7F6C117D"/>
    <w:rsid w:val="7F6C4EA1"/>
    <w:rsid w:val="7F6D499B"/>
    <w:rsid w:val="7F6DC87F"/>
    <w:rsid w:val="7F6FF8FB"/>
    <w:rsid w:val="7F7015A5"/>
    <w:rsid w:val="7F70AC04"/>
    <w:rsid w:val="7F798EF7"/>
    <w:rsid w:val="7F7E1460"/>
    <w:rsid w:val="7F7F4175"/>
    <w:rsid w:val="7F809213"/>
    <w:rsid w:val="7F87EFEC"/>
    <w:rsid w:val="7F89536A"/>
    <w:rsid w:val="7F89AD7A"/>
    <w:rsid w:val="7F95B545"/>
    <w:rsid w:val="7F97134D"/>
    <w:rsid w:val="7F9F29F1"/>
    <w:rsid w:val="7F9F97D7"/>
    <w:rsid w:val="7FA19529"/>
    <w:rsid w:val="7FA68E4A"/>
    <w:rsid w:val="7FA765E5"/>
    <w:rsid w:val="7FA8D5E9"/>
    <w:rsid w:val="7FAB4597"/>
    <w:rsid w:val="7FADDFE5"/>
    <w:rsid w:val="7FADF2FE"/>
    <w:rsid w:val="7FB42CB2"/>
    <w:rsid w:val="7FB465EC"/>
    <w:rsid w:val="7FBA7D72"/>
    <w:rsid w:val="7FBF1848"/>
    <w:rsid w:val="7FC5A1A4"/>
    <w:rsid w:val="7FC6DA82"/>
    <w:rsid w:val="7FCFB31E"/>
    <w:rsid w:val="7FD07453"/>
    <w:rsid w:val="7FD0C189"/>
    <w:rsid w:val="7FD98EBD"/>
    <w:rsid w:val="7FDA99E4"/>
    <w:rsid w:val="7FE3ED8A"/>
    <w:rsid w:val="7FE72321"/>
    <w:rsid w:val="7FE9B127"/>
    <w:rsid w:val="7FE9B497"/>
    <w:rsid w:val="7FF5389A"/>
    <w:rsid w:val="7FF5612B"/>
    <w:rsid w:val="7FFAF2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0C7BF"/>
  <w15:docId w15:val="{3A7930A9-7CD3-4ADD-BDD5-C8B3A6E4A5B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8C9"/>
    <w:rPr>
      <w:rFonts w:ascii="Palatino Linotype" w:eastAsia="Aptos" w:hAnsi="Palatino Linotype" w:cs="Palatino"/>
      <w:sz w:val="24"/>
      <w:szCs w:val="24"/>
    </w:rPr>
  </w:style>
  <w:style w:type="paragraph" w:styleId="Heading1">
    <w:name w:val="heading 1"/>
    <w:basedOn w:val="Normal"/>
    <w:next w:val="standard"/>
    <w:qFormat/>
    <w:rsid w:val="002E3C48"/>
    <w:pPr>
      <w:keepNext/>
      <w:spacing w:before="120" w:after="240"/>
      <w:outlineLvl w:val="0"/>
    </w:pPr>
    <w:rPr>
      <w:b/>
      <w:caps/>
      <w:kern w:val="28"/>
      <w:u w:val="single"/>
    </w:rPr>
  </w:style>
  <w:style w:type="paragraph" w:styleId="Heading2">
    <w:name w:val="heading 2"/>
    <w:basedOn w:val="Normal"/>
    <w:next w:val="sub1"/>
    <w:link w:val="Heading2Char"/>
    <w:qFormat/>
    <w:rsid w:val="00E14C2E"/>
    <w:pPr>
      <w:keepNext/>
      <w:keepLines/>
      <w:numPr>
        <w:numId w:val="16"/>
      </w:numPr>
      <w:spacing w:before="160" w:after="80" w:line="278" w:lineRule="auto"/>
      <w:outlineLvl w:val="1"/>
    </w:pPr>
    <w:rPr>
      <w:rFonts w:eastAsia="Palatino Linotype"/>
      <w:b/>
      <w:bCs/>
      <w:color w:val="000000"/>
      <w:kern w:val="2"/>
      <w14:ligatures w14:val="standardContextual"/>
    </w:rPr>
  </w:style>
  <w:style w:type="paragraph" w:styleId="Heading3">
    <w:name w:val="heading 3"/>
    <w:basedOn w:val="Normal"/>
    <w:next w:val="sub2"/>
    <w:qFormat/>
    <w:rsid w:val="00BF33B2"/>
    <w:pPr>
      <w:spacing w:before="240" w:after="80"/>
      <w:ind w:left="792" w:hanging="432"/>
      <w:outlineLvl w:val="2"/>
    </w:pPr>
    <w:rPr>
      <w:rFonts w:eastAsia="Palatino Linotype"/>
      <w:b/>
    </w:rPr>
  </w:style>
  <w:style w:type="paragraph" w:styleId="Heading4">
    <w:name w:val="heading 4"/>
    <w:basedOn w:val="Normal"/>
    <w:next w:val="sub3"/>
    <w:qFormat/>
    <w:rsid w:val="00BF33B2"/>
    <w:pPr>
      <w:numPr>
        <w:ilvl w:val="2"/>
        <w:numId w:val="16"/>
      </w:numPr>
      <w:spacing w:before="240" w:after="80" w:line="278" w:lineRule="auto"/>
      <w:outlineLvl w:val="3"/>
    </w:pPr>
    <w:rPr>
      <w:rFonts w:eastAsia="Palatino Linotype"/>
      <w:b/>
    </w:rPr>
  </w:style>
  <w:style w:type="paragraph" w:styleId="Heading5">
    <w:name w:val="heading 5"/>
    <w:basedOn w:val="Heading4"/>
    <w:next w:val="sub4"/>
    <w:qFormat/>
    <w:rsid w:val="007A35EB"/>
    <w:pPr>
      <w:numPr>
        <w:ilvl w:val="3"/>
      </w:numPr>
      <w:outlineLvl w:val="4"/>
    </w:p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F65AF"/>
    <w:pPr>
      <w:tabs>
        <w:tab w:val="num" w:pos="360"/>
      </w:tabs>
      <w:spacing w:after="60"/>
      <w:ind w:left="360" w:hanging="360"/>
    </w:pPr>
  </w:style>
  <w:style w:type="paragraph" w:styleId="EndnoteText">
    <w:name w:val="endnote text"/>
    <w:basedOn w:val="Normal"/>
    <w:semiHidden/>
    <w:rPr>
      <w:sz w:val="20"/>
    </w:rPr>
  </w:style>
  <w:style w:type="paragraph" w:customStyle="1" w:styleId="standard">
    <w:name w:val="standard"/>
    <w:basedOn w:val="Normal"/>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Style1">
    <w:name w:val="Style1"/>
    <w:basedOn w:val="1ListIndent"/>
    <w:pPr>
      <w:numPr>
        <w:numId w:val="0"/>
      </w:numPr>
    </w:pPr>
  </w:style>
  <w:style w:type="paragraph" w:styleId="TOC4">
    <w:name w:val="toc 4"/>
    <w:basedOn w:val="Normal"/>
    <w:next w:val="Normal"/>
    <w:semiHidden/>
    <w:pPr>
      <w:tabs>
        <w:tab w:val="right" w:leader="dot" w:pos="9360"/>
      </w:tabs>
      <w:ind w:left="720"/>
    </w:pPr>
  </w:style>
  <w:style w:type="paragraph" w:customStyle="1" w:styleId="main">
    <w:name w:val="main"/>
    <w:basedOn w:val="Normal"/>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after="240"/>
    </w:pPr>
  </w:style>
  <w:style w:type="paragraph" w:styleId="Header">
    <w:name w:val="header"/>
    <w:basedOn w:val="Normal"/>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paragraph" w:customStyle="1" w:styleId="AListIndent">
    <w:name w:val="A. List Indent"/>
    <w:basedOn w:val="1ListIndent"/>
    <w:pPr>
      <w:numPr>
        <w:numId w:val="1"/>
      </w:numPr>
      <w:ind w:left="1440" w:hanging="720"/>
    </w:pPr>
  </w:style>
  <w:style w:type="character" w:styleId="EndnoteReference">
    <w:name w:val="endnote reference"/>
    <w:semiHidden/>
    <w:rPr>
      <w:vertAlign w:val="superscript"/>
    </w:rPr>
  </w:style>
  <w:style w:type="paragraph" w:customStyle="1" w:styleId="1ListIndent">
    <w:name w:val="1. List Indent"/>
    <w:basedOn w:val="num2"/>
    <w:pPr>
      <w:numPr>
        <w:numId w:val="2"/>
      </w:numPr>
      <w:ind w:left="1080"/>
    </w:pPr>
  </w:style>
  <w:style w:type="character" w:styleId="FootnoteReference">
    <w:name w:val="footnote reference"/>
    <w:uiPriority w:val="99"/>
    <w:semiHidden/>
    <w:rPr>
      <w:vertAlign w:val="superscript"/>
    </w:rPr>
  </w:style>
  <w:style w:type="paragraph" w:styleId="List">
    <w:name w:val="List"/>
    <w:basedOn w:val="Normal"/>
    <w:pPr>
      <w:ind w:left="360" w:hanging="360"/>
    </w:pPr>
    <w:rPr>
      <w:rFonts w:ascii="Times New Roman" w:hAnsi="Times New Roman"/>
    </w:rPr>
  </w:style>
  <w:style w:type="paragraph" w:customStyle="1" w:styleId="Res-Caption">
    <w:name w:val="Res-Caption"/>
    <w:basedOn w:val="Normal"/>
    <w:pPr>
      <w:ind w:left="720" w:right="720"/>
    </w:pPr>
  </w:style>
  <w:style w:type="paragraph" w:customStyle="1" w:styleId="Res-TitleResolution">
    <w:name w:val="Res-Title (Resolution)"/>
    <w:basedOn w:val="main"/>
  </w:style>
  <w:style w:type="paragraph" w:customStyle="1" w:styleId="ALs">
    <w:name w:val="ALs"/>
    <w:basedOn w:val="Normal"/>
    <w:rPr>
      <w:rFonts w:ascii="Times New Roman" w:hAnsi="Times New Roman"/>
    </w:rPr>
  </w:style>
  <w:style w:type="paragraph" w:styleId="ListParagraph">
    <w:name w:val="List Paragraph"/>
    <w:basedOn w:val="Normal"/>
    <w:uiPriority w:val="34"/>
    <w:qFormat/>
    <w:rsid w:val="003F6E5A"/>
    <w:pPr>
      <w:ind w:left="720"/>
      <w:contextualSpacing/>
    </w:pPr>
  </w:style>
  <w:style w:type="paragraph" w:styleId="BalloonText">
    <w:name w:val="Balloon Text"/>
    <w:basedOn w:val="Normal"/>
    <w:link w:val="BalloonTextChar"/>
    <w:rsid w:val="00D822FD"/>
    <w:rPr>
      <w:rFonts w:ascii="Segoe UI" w:hAnsi="Segoe UI" w:cs="Segoe UI"/>
      <w:sz w:val="18"/>
      <w:szCs w:val="18"/>
    </w:rPr>
  </w:style>
  <w:style w:type="character" w:customStyle="1" w:styleId="BalloonTextChar">
    <w:name w:val="Balloon Text Char"/>
    <w:basedOn w:val="DefaultParagraphFont"/>
    <w:link w:val="BalloonText"/>
    <w:rsid w:val="00D822FD"/>
    <w:rPr>
      <w:rFonts w:ascii="Segoe UI" w:hAnsi="Segoe UI" w:cs="Segoe UI"/>
      <w:sz w:val="18"/>
      <w:szCs w:val="18"/>
    </w:rPr>
  </w:style>
  <w:style w:type="character" w:styleId="Hyperlink">
    <w:name w:val="Hyperlink"/>
    <w:basedOn w:val="DefaultParagraphFont"/>
    <w:unhideWhenUsed/>
    <w:rsid w:val="009D63EA"/>
    <w:rPr>
      <w:color w:val="0000FF" w:themeColor="hyperlink"/>
      <w:u w:val="single"/>
    </w:rPr>
  </w:style>
  <w:style w:type="character" w:styleId="UnresolvedMention">
    <w:name w:val="Unresolved Mention"/>
    <w:basedOn w:val="DefaultParagraphFont"/>
    <w:uiPriority w:val="99"/>
    <w:semiHidden/>
    <w:unhideWhenUsed/>
    <w:rsid w:val="009D63EA"/>
    <w:rPr>
      <w:color w:val="605E5C"/>
      <w:shd w:val="clear" w:color="auto" w:fill="E1DFDD"/>
    </w:rPr>
  </w:style>
  <w:style w:type="character" w:styleId="FollowedHyperlink">
    <w:name w:val="FollowedHyperlink"/>
    <w:basedOn w:val="DefaultParagraphFont"/>
    <w:semiHidden/>
    <w:unhideWhenUsed/>
    <w:rsid w:val="00D515F8"/>
    <w:rPr>
      <w:color w:val="800080" w:themeColor="followedHyperlink"/>
      <w:u w:val="single"/>
    </w:rPr>
  </w:style>
  <w:style w:type="paragraph" w:customStyle="1" w:styleId="xres-caption">
    <w:name w:val="x_res-caption"/>
    <w:basedOn w:val="Normal"/>
    <w:rsid w:val="003B28DC"/>
    <w:pPr>
      <w:spacing w:before="100" w:beforeAutospacing="1" w:after="100" w:afterAutospacing="1"/>
    </w:pPr>
    <w:rPr>
      <w:rFonts w:ascii="Times New Roman" w:hAnsi="Times New Roman"/>
    </w:rPr>
  </w:style>
  <w:style w:type="character" w:customStyle="1" w:styleId="FooterChar">
    <w:name w:val="Footer Char"/>
    <w:basedOn w:val="DefaultParagraphFont"/>
    <w:link w:val="Footer"/>
    <w:uiPriority w:val="99"/>
    <w:rsid w:val="00B913F1"/>
    <w:rPr>
      <w:rFonts w:ascii="Palatino" w:hAnsi="Palatino"/>
      <w:sz w:val="26"/>
    </w:rPr>
  </w:style>
  <w:style w:type="character" w:customStyle="1" w:styleId="Heading2Char">
    <w:name w:val="Heading 2 Char"/>
    <w:basedOn w:val="DefaultParagraphFont"/>
    <w:link w:val="Heading2"/>
    <w:rsid w:val="00E14C2E"/>
    <w:rPr>
      <w:rFonts w:ascii="Palatino Linotype" w:eastAsia="Palatino Linotype" w:hAnsi="Palatino Linotype" w:cs="Palatino"/>
      <w:b/>
      <w:bCs/>
      <w:color w:val="000000"/>
      <w:kern w:val="2"/>
      <w:sz w:val="24"/>
      <w:szCs w:val="24"/>
      <w14:ligatures w14:val="standardContextual"/>
    </w:rPr>
  </w:style>
  <w:style w:type="table" w:styleId="TableGrid">
    <w:name w:val="Table Grid"/>
    <w:aliases w:val="CPUC gold lines"/>
    <w:basedOn w:val="TableNormal"/>
    <w:uiPriority w:val="39"/>
    <w:rsid w:val="00425A10"/>
    <w:pPr>
      <w:spacing w:before="40" w:after="40" w:line="264" w:lineRule="auto"/>
    </w:pPr>
    <w:rPr>
      <w:rFonts w:ascii="Garamond" w:eastAsiaTheme="minorHAnsi" w:hAnsi="Garamond" w:cstheme="minorBidi"/>
      <w:sz w:val="22"/>
      <w:szCs w:val="24"/>
    </w:rPr>
    <w:tblPr>
      <w:tblBorders>
        <w:top w:val="single" w:sz="4" w:space="0" w:color="C4BC96" w:themeColor="background2" w:themeShade="BF"/>
        <w:bottom w:val="single" w:sz="4" w:space="0" w:color="C4BC96" w:themeColor="background2" w:themeShade="BF"/>
        <w:insideH w:val="single" w:sz="4" w:space="0" w:color="C4BC96" w:themeColor="background2" w:themeShade="BF"/>
      </w:tblBorders>
    </w:tblPr>
    <w:tcPr>
      <w:vAlign w:val="center"/>
    </w:tcPr>
  </w:style>
  <w:style w:type="character" w:styleId="CommentReference">
    <w:name w:val="annotation reference"/>
    <w:basedOn w:val="DefaultParagraphFont"/>
    <w:semiHidden/>
    <w:unhideWhenUsed/>
    <w:rsid w:val="00A212E0"/>
    <w:rPr>
      <w:sz w:val="16"/>
      <w:szCs w:val="16"/>
    </w:rPr>
  </w:style>
  <w:style w:type="paragraph" w:styleId="CommentText">
    <w:name w:val="annotation text"/>
    <w:basedOn w:val="Normal"/>
    <w:link w:val="CommentTextChar"/>
    <w:unhideWhenUsed/>
    <w:rsid w:val="00A212E0"/>
    <w:rPr>
      <w:sz w:val="20"/>
      <w:szCs w:val="20"/>
    </w:rPr>
  </w:style>
  <w:style w:type="character" w:customStyle="1" w:styleId="CommentTextChar">
    <w:name w:val="Comment Text Char"/>
    <w:basedOn w:val="DefaultParagraphFont"/>
    <w:link w:val="CommentText"/>
    <w:rsid w:val="00A212E0"/>
    <w:rPr>
      <w:rFonts w:ascii="Palatino Linotype" w:eastAsia="Aptos" w:hAnsi="Palatino Linotype" w:cs="Palatino"/>
    </w:rPr>
  </w:style>
  <w:style w:type="paragraph" w:styleId="CommentSubject">
    <w:name w:val="annotation subject"/>
    <w:basedOn w:val="CommentText"/>
    <w:next w:val="CommentText"/>
    <w:link w:val="CommentSubjectChar"/>
    <w:semiHidden/>
    <w:unhideWhenUsed/>
    <w:rsid w:val="00A212E0"/>
    <w:rPr>
      <w:b/>
      <w:bCs/>
    </w:rPr>
  </w:style>
  <w:style w:type="character" w:customStyle="1" w:styleId="CommentSubjectChar">
    <w:name w:val="Comment Subject Char"/>
    <w:basedOn w:val="CommentTextChar"/>
    <w:link w:val="CommentSubject"/>
    <w:semiHidden/>
    <w:rsid w:val="00A212E0"/>
    <w:rPr>
      <w:rFonts w:ascii="Palatino Linotype" w:eastAsia="Aptos" w:hAnsi="Palatino Linotype" w:cs="Palatino"/>
      <w:b/>
      <w:bCs/>
    </w:rPr>
  </w:style>
  <w:style w:type="character" w:customStyle="1" w:styleId="FootnoteTextChar">
    <w:name w:val="Footnote Text Char"/>
    <w:basedOn w:val="DefaultParagraphFont"/>
    <w:link w:val="FootnoteText"/>
    <w:uiPriority w:val="99"/>
    <w:semiHidden/>
    <w:rsid w:val="006707D7"/>
    <w:rPr>
      <w:rFonts w:ascii="Palatino Linotype" w:eastAsia="Aptos" w:hAnsi="Palatino Linotype" w:cs="Palatino"/>
      <w:sz w:val="24"/>
      <w:szCs w:val="24"/>
    </w:rPr>
  </w:style>
  <w:style w:type="paragraph" w:styleId="NormalWeb">
    <w:name w:val="Normal (Web)"/>
    <w:basedOn w:val="Normal"/>
    <w:uiPriority w:val="99"/>
    <w:semiHidden/>
    <w:unhideWhenUsed/>
    <w:rsid w:val="0052309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23096"/>
    <w:rPr>
      <w:b/>
      <w:bCs/>
    </w:rPr>
  </w:style>
  <w:style w:type="character" w:styleId="Mention">
    <w:name w:val="Mention"/>
    <w:basedOn w:val="DefaultParagraphFont"/>
    <w:uiPriority w:val="99"/>
    <w:unhideWhenUsed/>
    <w:rsid w:val="00F57F75"/>
    <w:rPr>
      <w:color w:val="2B579A"/>
      <w:shd w:val="clear" w:color="auto" w:fill="E6E6E6"/>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37228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372285"/>
  </w:style>
  <w:style w:type="character" w:customStyle="1" w:styleId="eop">
    <w:name w:val="eop"/>
    <w:basedOn w:val="DefaultParagraphFont"/>
    <w:rsid w:val="00372285"/>
  </w:style>
  <w:style w:type="paragraph" w:styleId="Revision">
    <w:name w:val="Revision"/>
    <w:hidden/>
    <w:uiPriority w:val="99"/>
    <w:semiHidden/>
    <w:rsid w:val="0091522A"/>
    <w:rPr>
      <w:rFonts w:ascii="Palatino Linotype" w:eastAsia="Aptos" w:hAnsi="Palatino Linotype" w:cs="Palatino"/>
      <w:sz w:val="24"/>
      <w:szCs w:val="24"/>
    </w:rPr>
  </w:style>
  <w:style w:type="paragraph" w:styleId="Caption">
    <w:name w:val="caption"/>
    <w:basedOn w:val="Normal"/>
    <w:next w:val="Normal"/>
    <w:unhideWhenUsed/>
    <w:qFormat/>
    <w:rsid w:val="00B70721"/>
    <w:pPr>
      <w:spacing w:after="200"/>
      <w:jc w:val="center"/>
    </w:pPr>
    <w:rPr>
      <w:i/>
      <w:iCs/>
      <w:color w:val="000000" w:themeColor="text1"/>
      <w:szCs w:val="18"/>
    </w:r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01314">
      <w:bodyDiv w:val="1"/>
      <w:marLeft w:val="0"/>
      <w:marRight w:val="0"/>
      <w:marTop w:val="0"/>
      <w:marBottom w:val="0"/>
      <w:divBdr>
        <w:top w:val="none" w:sz="0" w:space="0" w:color="auto"/>
        <w:left w:val="none" w:sz="0" w:space="0" w:color="auto"/>
        <w:bottom w:val="none" w:sz="0" w:space="0" w:color="auto"/>
        <w:right w:val="none" w:sz="0" w:space="0" w:color="auto"/>
      </w:divBdr>
      <w:divsChild>
        <w:div w:id="45881002">
          <w:marLeft w:val="0"/>
          <w:marRight w:val="0"/>
          <w:marTop w:val="0"/>
          <w:marBottom w:val="0"/>
          <w:divBdr>
            <w:top w:val="none" w:sz="0" w:space="0" w:color="auto"/>
            <w:left w:val="none" w:sz="0" w:space="0" w:color="auto"/>
            <w:bottom w:val="none" w:sz="0" w:space="0" w:color="auto"/>
            <w:right w:val="none" w:sz="0" w:space="0" w:color="auto"/>
          </w:divBdr>
        </w:div>
        <w:div w:id="55322705">
          <w:marLeft w:val="0"/>
          <w:marRight w:val="0"/>
          <w:marTop w:val="0"/>
          <w:marBottom w:val="0"/>
          <w:divBdr>
            <w:top w:val="none" w:sz="0" w:space="0" w:color="auto"/>
            <w:left w:val="none" w:sz="0" w:space="0" w:color="auto"/>
            <w:bottom w:val="none" w:sz="0" w:space="0" w:color="auto"/>
            <w:right w:val="none" w:sz="0" w:space="0" w:color="auto"/>
          </w:divBdr>
        </w:div>
        <w:div w:id="74400833">
          <w:marLeft w:val="0"/>
          <w:marRight w:val="0"/>
          <w:marTop w:val="0"/>
          <w:marBottom w:val="0"/>
          <w:divBdr>
            <w:top w:val="none" w:sz="0" w:space="0" w:color="auto"/>
            <w:left w:val="none" w:sz="0" w:space="0" w:color="auto"/>
            <w:bottom w:val="none" w:sz="0" w:space="0" w:color="auto"/>
            <w:right w:val="none" w:sz="0" w:space="0" w:color="auto"/>
          </w:divBdr>
        </w:div>
        <w:div w:id="155919154">
          <w:marLeft w:val="0"/>
          <w:marRight w:val="0"/>
          <w:marTop w:val="0"/>
          <w:marBottom w:val="0"/>
          <w:divBdr>
            <w:top w:val="none" w:sz="0" w:space="0" w:color="auto"/>
            <w:left w:val="none" w:sz="0" w:space="0" w:color="auto"/>
            <w:bottom w:val="none" w:sz="0" w:space="0" w:color="auto"/>
            <w:right w:val="none" w:sz="0" w:space="0" w:color="auto"/>
          </w:divBdr>
        </w:div>
        <w:div w:id="454712867">
          <w:marLeft w:val="0"/>
          <w:marRight w:val="0"/>
          <w:marTop w:val="0"/>
          <w:marBottom w:val="0"/>
          <w:divBdr>
            <w:top w:val="none" w:sz="0" w:space="0" w:color="auto"/>
            <w:left w:val="none" w:sz="0" w:space="0" w:color="auto"/>
            <w:bottom w:val="none" w:sz="0" w:space="0" w:color="auto"/>
            <w:right w:val="none" w:sz="0" w:space="0" w:color="auto"/>
          </w:divBdr>
          <w:divsChild>
            <w:div w:id="143014017">
              <w:marLeft w:val="0"/>
              <w:marRight w:val="0"/>
              <w:marTop w:val="0"/>
              <w:marBottom w:val="0"/>
              <w:divBdr>
                <w:top w:val="none" w:sz="0" w:space="0" w:color="auto"/>
                <w:left w:val="none" w:sz="0" w:space="0" w:color="auto"/>
                <w:bottom w:val="none" w:sz="0" w:space="0" w:color="auto"/>
                <w:right w:val="none" w:sz="0" w:space="0" w:color="auto"/>
              </w:divBdr>
            </w:div>
            <w:div w:id="148643176">
              <w:marLeft w:val="0"/>
              <w:marRight w:val="0"/>
              <w:marTop w:val="0"/>
              <w:marBottom w:val="0"/>
              <w:divBdr>
                <w:top w:val="none" w:sz="0" w:space="0" w:color="auto"/>
                <w:left w:val="none" w:sz="0" w:space="0" w:color="auto"/>
                <w:bottom w:val="none" w:sz="0" w:space="0" w:color="auto"/>
                <w:right w:val="none" w:sz="0" w:space="0" w:color="auto"/>
              </w:divBdr>
            </w:div>
            <w:div w:id="245458488">
              <w:marLeft w:val="0"/>
              <w:marRight w:val="0"/>
              <w:marTop w:val="0"/>
              <w:marBottom w:val="0"/>
              <w:divBdr>
                <w:top w:val="none" w:sz="0" w:space="0" w:color="auto"/>
                <w:left w:val="none" w:sz="0" w:space="0" w:color="auto"/>
                <w:bottom w:val="none" w:sz="0" w:space="0" w:color="auto"/>
                <w:right w:val="none" w:sz="0" w:space="0" w:color="auto"/>
              </w:divBdr>
            </w:div>
            <w:div w:id="385371668">
              <w:marLeft w:val="0"/>
              <w:marRight w:val="0"/>
              <w:marTop w:val="0"/>
              <w:marBottom w:val="0"/>
              <w:divBdr>
                <w:top w:val="none" w:sz="0" w:space="0" w:color="auto"/>
                <w:left w:val="none" w:sz="0" w:space="0" w:color="auto"/>
                <w:bottom w:val="none" w:sz="0" w:space="0" w:color="auto"/>
                <w:right w:val="none" w:sz="0" w:space="0" w:color="auto"/>
              </w:divBdr>
            </w:div>
            <w:div w:id="800803900">
              <w:marLeft w:val="0"/>
              <w:marRight w:val="0"/>
              <w:marTop w:val="0"/>
              <w:marBottom w:val="0"/>
              <w:divBdr>
                <w:top w:val="none" w:sz="0" w:space="0" w:color="auto"/>
                <w:left w:val="none" w:sz="0" w:space="0" w:color="auto"/>
                <w:bottom w:val="none" w:sz="0" w:space="0" w:color="auto"/>
                <w:right w:val="none" w:sz="0" w:space="0" w:color="auto"/>
              </w:divBdr>
            </w:div>
            <w:div w:id="801652979">
              <w:marLeft w:val="0"/>
              <w:marRight w:val="0"/>
              <w:marTop w:val="0"/>
              <w:marBottom w:val="0"/>
              <w:divBdr>
                <w:top w:val="none" w:sz="0" w:space="0" w:color="auto"/>
                <w:left w:val="none" w:sz="0" w:space="0" w:color="auto"/>
                <w:bottom w:val="none" w:sz="0" w:space="0" w:color="auto"/>
                <w:right w:val="none" w:sz="0" w:space="0" w:color="auto"/>
              </w:divBdr>
            </w:div>
            <w:div w:id="837039254">
              <w:marLeft w:val="0"/>
              <w:marRight w:val="0"/>
              <w:marTop w:val="0"/>
              <w:marBottom w:val="0"/>
              <w:divBdr>
                <w:top w:val="none" w:sz="0" w:space="0" w:color="auto"/>
                <w:left w:val="none" w:sz="0" w:space="0" w:color="auto"/>
                <w:bottom w:val="none" w:sz="0" w:space="0" w:color="auto"/>
                <w:right w:val="none" w:sz="0" w:space="0" w:color="auto"/>
              </w:divBdr>
            </w:div>
            <w:div w:id="1013336519">
              <w:marLeft w:val="0"/>
              <w:marRight w:val="0"/>
              <w:marTop w:val="0"/>
              <w:marBottom w:val="0"/>
              <w:divBdr>
                <w:top w:val="none" w:sz="0" w:space="0" w:color="auto"/>
                <w:left w:val="none" w:sz="0" w:space="0" w:color="auto"/>
                <w:bottom w:val="none" w:sz="0" w:space="0" w:color="auto"/>
                <w:right w:val="none" w:sz="0" w:space="0" w:color="auto"/>
              </w:divBdr>
            </w:div>
            <w:div w:id="1014769176">
              <w:marLeft w:val="0"/>
              <w:marRight w:val="0"/>
              <w:marTop w:val="0"/>
              <w:marBottom w:val="0"/>
              <w:divBdr>
                <w:top w:val="none" w:sz="0" w:space="0" w:color="auto"/>
                <w:left w:val="none" w:sz="0" w:space="0" w:color="auto"/>
                <w:bottom w:val="none" w:sz="0" w:space="0" w:color="auto"/>
                <w:right w:val="none" w:sz="0" w:space="0" w:color="auto"/>
              </w:divBdr>
            </w:div>
            <w:div w:id="1066150017">
              <w:marLeft w:val="0"/>
              <w:marRight w:val="0"/>
              <w:marTop w:val="0"/>
              <w:marBottom w:val="0"/>
              <w:divBdr>
                <w:top w:val="none" w:sz="0" w:space="0" w:color="auto"/>
                <w:left w:val="none" w:sz="0" w:space="0" w:color="auto"/>
                <w:bottom w:val="none" w:sz="0" w:space="0" w:color="auto"/>
                <w:right w:val="none" w:sz="0" w:space="0" w:color="auto"/>
              </w:divBdr>
            </w:div>
            <w:div w:id="1067990680">
              <w:marLeft w:val="0"/>
              <w:marRight w:val="0"/>
              <w:marTop w:val="0"/>
              <w:marBottom w:val="0"/>
              <w:divBdr>
                <w:top w:val="none" w:sz="0" w:space="0" w:color="auto"/>
                <w:left w:val="none" w:sz="0" w:space="0" w:color="auto"/>
                <w:bottom w:val="none" w:sz="0" w:space="0" w:color="auto"/>
                <w:right w:val="none" w:sz="0" w:space="0" w:color="auto"/>
              </w:divBdr>
            </w:div>
            <w:div w:id="1134906228">
              <w:marLeft w:val="0"/>
              <w:marRight w:val="0"/>
              <w:marTop w:val="0"/>
              <w:marBottom w:val="0"/>
              <w:divBdr>
                <w:top w:val="none" w:sz="0" w:space="0" w:color="auto"/>
                <w:left w:val="none" w:sz="0" w:space="0" w:color="auto"/>
                <w:bottom w:val="none" w:sz="0" w:space="0" w:color="auto"/>
                <w:right w:val="none" w:sz="0" w:space="0" w:color="auto"/>
              </w:divBdr>
            </w:div>
            <w:div w:id="1278097433">
              <w:marLeft w:val="0"/>
              <w:marRight w:val="0"/>
              <w:marTop w:val="0"/>
              <w:marBottom w:val="0"/>
              <w:divBdr>
                <w:top w:val="none" w:sz="0" w:space="0" w:color="auto"/>
                <w:left w:val="none" w:sz="0" w:space="0" w:color="auto"/>
                <w:bottom w:val="none" w:sz="0" w:space="0" w:color="auto"/>
                <w:right w:val="none" w:sz="0" w:space="0" w:color="auto"/>
              </w:divBdr>
            </w:div>
            <w:div w:id="1416588343">
              <w:marLeft w:val="0"/>
              <w:marRight w:val="0"/>
              <w:marTop w:val="0"/>
              <w:marBottom w:val="0"/>
              <w:divBdr>
                <w:top w:val="none" w:sz="0" w:space="0" w:color="auto"/>
                <w:left w:val="none" w:sz="0" w:space="0" w:color="auto"/>
                <w:bottom w:val="none" w:sz="0" w:space="0" w:color="auto"/>
                <w:right w:val="none" w:sz="0" w:space="0" w:color="auto"/>
              </w:divBdr>
            </w:div>
            <w:div w:id="1666664601">
              <w:marLeft w:val="0"/>
              <w:marRight w:val="0"/>
              <w:marTop w:val="0"/>
              <w:marBottom w:val="0"/>
              <w:divBdr>
                <w:top w:val="none" w:sz="0" w:space="0" w:color="auto"/>
                <w:left w:val="none" w:sz="0" w:space="0" w:color="auto"/>
                <w:bottom w:val="none" w:sz="0" w:space="0" w:color="auto"/>
                <w:right w:val="none" w:sz="0" w:space="0" w:color="auto"/>
              </w:divBdr>
            </w:div>
            <w:div w:id="1768190134">
              <w:marLeft w:val="0"/>
              <w:marRight w:val="0"/>
              <w:marTop w:val="0"/>
              <w:marBottom w:val="0"/>
              <w:divBdr>
                <w:top w:val="none" w:sz="0" w:space="0" w:color="auto"/>
                <w:left w:val="none" w:sz="0" w:space="0" w:color="auto"/>
                <w:bottom w:val="none" w:sz="0" w:space="0" w:color="auto"/>
                <w:right w:val="none" w:sz="0" w:space="0" w:color="auto"/>
              </w:divBdr>
            </w:div>
            <w:div w:id="1903173599">
              <w:marLeft w:val="0"/>
              <w:marRight w:val="0"/>
              <w:marTop w:val="0"/>
              <w:marBottom w:val="0"/>
              <w:divBdr>
                <w:top w:val="none" w:sz="0" w:space="0" w:color="auto"/>
                <w:left w:val="none" w:sz="0" w:space="0" w:color="auto"/>
                <w:bottom w:val="none" w:sz="0" w:space="0" w:color="auto"/>
                <w:right w:val="none" w:sz="0" w:space="0" w:color="auto"/>
              </w:divBdr>
            </w:div>
            <w:div w:id="1947735523">
              <w:marLeft w:val="0"/>
              <w:marRight w:val="0"/>
              <w:marTop w:val="0"/>
              <w:marBottom w:val="0"/>
              <w:divBdr>
                <w:top w:val="none" w:sz="0" w:space="0" w:color="auto"/>
                <w:left w:val="none" w:sz="0" w:space="0" w:color="auto"/>
                <w:bottom w:val="none" w:sz="0" w:space="0" w:color="auto"/>
                <w:right w:val="none" w:sz="0" w:space="0" w:color="auto"/>
              </w:divBdr>
            </w:div>
            <w:div w:id="1950383719">
              <w:marLeft w:val="0"/>
              <w:marRight w:val="0"/>
              <w:marTop w:val="0"/>
              <w:marBottom w:val="0"/>
              <w:divBdr>
                <w:top w:val="none" w:sz="0" w:space="0" w:color="auto"/>
                <w:left w:val="none" w:sz="0" w:space="0" w:color="auto"/>
                <w:bottom w:val="none" w:sz="0" w:space="0" w:color="auto"/>
                <w:right w:val="none" w:sz="0" w:space="0" w:color="auto"/>
              </w:divBdr>
            </w:div>
            <w:div w:id="2143185705">
              <w:marLeft w:val="0"/>
              <w:marRight w:val="0"/>
              <w:marTop w:val="0"/>
              <w:marBottom w:val="0"/>
              <w:divBdr>
                <w:top w:val="none" w:sz="0" w:space="0" w:color="auto"/>
                <w:left w:val="none" w:sz="0" w:space="0" w:color="auto"/>
                <w:bottom w:val="none" w:sz="0" w:space="0" w:color="auto"/>
                <w:right w:val="none" w:sz="0" w:space="0" w:color="auto"/>
              </w:divBdr>
            </w:div>
          </w:divsChild>
        </w:div>
        <w:div w:id="999698605">
          <w:marLeft w:val="0"/>
          <w:marRight w:val="0"/>
          <w:marTop w:val="0"/>
          <w:marBottom w:val="0"/>
          <w:divBdr>
            <w:top w:val="none" w:sz="0" w:space="0" w:color="auto"/>
            <w:left w:val="none" w:sz="0" w:space="0" w:color="auto"/>
            <w:bottom w:val="none" w:sz="0" w:space="0" w:color="auto"/>
            <w:right w:val="none" w:sz="0" w:space="0" w:color="auto"/>
          </w:divBdr>
        </w:div>
        <w:div w:id="1141188260">
          <w:marLeft w:val="0"/>
          <w:marRight w:val="0"/>
          <w:marTop w:val="0"/>
          <w:marBottom w:val="0"/>
          <w:divBdr>
            <w:top w:val="none" w:sz="0" w:space="0" w:color="auto"/>
            <w:left w:val="none" w:sz="0" w:space="0" w:color="auto"/>
            <w:bottom w:val="none" w:sz="0" w:space="0" w:color="auto"/>
            <w:right w:val="none" w:sz="0" w:space="0" w:color="auto"/>
          </w:divBdr>
        </w:div>
        <w:div w:id="1187905794">
          <w:marLeft w:val="0"/>
          <w:marRight w:val="0"/>
          <w:marTop w:val="0"/>
          <w:marBottom w:val="0"/>
          <w:divBdr>
            <w:top w:val="none" w:sz="0" w:space="0" w:color="auto"/>
            <w:left w:val="none" w:sz="0" w:space="0" w:color="auto"/>
            <w:bottom w:val="none" w:sz="0" w:space="0" w:color="auto"/>
            <w:right w:val="none" w:sz="0" w:space="0" w:color="auto"/>
          </w:divBdr>
        </w:div>
        <w:div w:id="1378966720">
          <w:marLeft w:val="0"/>
          <w:marRight w:val="0"/>
          <w:marTop w:val="0"/>
          <w:marBottom w:val="0"/>
          <w:divBdr>
            <w:top w:val="none" w:sz="0" w:space="0" w:color="auto"/>
            <w:left w:val="none" w:sz="0" w:space="0" w:color="auto"/>
            <w:bottom w:val="none" w:sz="0" w:space="0" w:color="auto"/>
            <w:right w:val="none" w:sz="0" w:space="0" w:color="auto"/>
          </w:divBdr>
        </w:div>
        <w:div w:id="1519394928">
          <w:marLeft w:val="0"/>
          <w:marRight w:val="0"/>
          <w:marTop w:val="0"/>
          <w:marBottom w:val="0"/>
          <w:divBdr>
            <w:top w:val="none" w:sz="0" w:space="0" w:color="auto"/>
            <w:left w:val="none" w:sz="0" w:space="0" w:color="auto"/>
            <w:bottom w:val="none" w:sz="0" w:space="0" w:color="auto"/>
            <w:right w:val="none" w:sz="0" w:space="0" w:color="auto"/>
          </w:divBdr>
        </w:div>
        <w:div w:id="1564178704">
          <w:marLeft w:val="0"/>
          <w:marRight w:val="0"/>
          <w:marTop w:val="0"/>
          <w:marBottom w:val="0"/>
          <w:divBdr>
            <w:top w:val="none" w:sz="0" w:space="0" w:color="auto"/>
            <w:left w:val="none" w:sz="0" w:space="0" w:color="auto"/>
            <w:bottom w:val="none" w:sz="0" w:space="0" w:color="auto"/>
            <w:right w:val="none" w:sz="0" w:space="0" w:color="auto"/>
          </w:divBdr>
        </w:div>
        <w:div w:id="1702197426">
          <w:marLeft w:val="0"/>
          <w:marRight w:val="0"/>
          <w:marTop w:val="0"/>
          <w:marBottom w:val="0"/>
          <w:divBdr>
            <w:top w:val="none" w:sz="0" w:space="0" w:color="auto"/>
            <w:left w:val="none" w:sz="0" w:space="0" w:color="auto"/>
            <w:bottom w:val="none" w:sz="0" w:space="0" w:color="auto"/>
            <w:right w:val="none" w:sz="0" w:space="0" w:color="auto"/>
          </w:divBdr>
        </w:div>
        <w:div w:id="1966807918">
          <w:marLeft w:val="0"/>
          <w:marRight w:val="0"/>
          <w:marTop w:val="0"/>
          <w:marBottom w:val="0"/>
          <w:divBdr>
            <w:top w:val="none" w:sz="0" w:space="0" w:color="auto"/>
            <w:left w:val="none" w:sz="0" w:space="0" w:color="auto"/>
            <w:bottom w:val="none" w:sz="0" w:space="0" w:color="auto"/>
            <w:right w:val="none" w:sz="0" w:space="0" w:color="auto"/>
          </w:divBdr>
        </w:div>
        <w:div w:id="2030985302">
          <w:marLeft w:val="0"/>
          <w:marRight w:val="0"/>
          <w:marTop w:val="0"/>
          <w:marBottom w:val="0"/>
          <w:divBdr>
            <w:top w:val="none" w:sz="0" w:space="0" w:color="auto"/>
            <w:left w:val="none" w:sz="0" w:space="0" w:color="auto"/>
            <w:bottom w:val="none" w:sz="0" w:space="0" w:color="auto"/>
            <w:right w:val="none" w:sz="0" w:space="0" w:color="auto"/>
          </w:divBdr>
        </w:div>
      </w:divsChild>
    </w:div>
    <w:div w:id="121927587">
      <w:bodyDiv w:val="1"/>
      <w:marLeft w:val="0"/>
      <w:marRight w:val="0"/>
      <w:marTop w:val="0"/>
      <w:marBottom w:val="0"/>
      <w:divBdr>
        <w:top w:val="none" w:sz="0" w:space="0" w:color="auto"/>
        <w:left w:val="none" w:sz="0" w:space="0" w:color="auto"/>
        <w:bottom w:val="none" w:sz="0" w:space="0" w:color="auto"/>
        <w:right w:val="none" w:sz="0" w:space="0" w:color="auto"/>
      </w:divBdr>
    </w:div>
    <w:div w:id="171573444">
      <w:bodyDiv w:val="1"/>
      <w:marLeft w:val="0"/>
      <w:marRight w:val="0"/>
      <w:marTop w:val="0"/>
      <w:marBottom w:val="0"/>
      <w:divBdr>
        <w:top w:val="none" w:sz="0" w:space="0" w:color="auto"/>
        <w:left w:val="none" w:sz="0" w:space="0" w:color="auto"/>
        <w:bottom w:val="none" w:sz="0" w:space="0" w:color="auto"/>
        <w:right w:val="none" w:sz="0" w:space="0" w:color="auto"/>
      </w:divBdr>
      <w:divsChild>
        <w:div w:id="761148353">
          <w:marLeft w:val="0"/>
          <w:marRight w:val="0"/>
          <w:marTop w:val="0"/>
          <w:marBottom w:val="0"/>
          <w:divBdr>
            <w:top w:val="none" w:sz="0" w:space="0" w:color="auto"/>
            <w:left w:val="none" w:sz="0" w:space="0" w:color="auto"/>
            <w:bottom w:val="none" w:sz="0" w:space="0" w:color="auto"/>
            <w:right w:val="none" w:sz="0" w:space="0" w:color="auto"/>
          </w:divBdr>
          <w:divsChild>
            <w:div w:id="47848424">
              <w:marLeft w:val="0"/>
              <w:marRight w:val="0"/>
              <w:marTop w:val="0"/>
              <w:marBottom w:val="0"/>
              <w:divBdr>
                <w:top w:val="none" w:sz="0" w:space="0" w:color="auto"/>
                <w:left w:val="none" w:sz="0" w:space="0" w:color="auto"/>
                <w:bottom w:val="none" w:sz="0" w:space="0" w:color="auto"/>
                <w:right w:val="none" w:sz="0" w:space="0" w:color="auto"/>
              </w:divBdr>
            </w:div>
            <w:div w:id="154537161">
              <w:marLeft w:val="0"/>
              <w:marRight w:val="0"/>
              <w:marTop w:val="0"/>
              <w:marBottom w:val="0"/>
              <w:divBdr>
                <w:top w:val="none" w:sz="0" w:space="0" w:color="auto"/>
                <w:left w:val="none" w:sz="0" w:space="0" w:color="auto"/>
                <w:bottom w:val="none" w:sz="0" w:space="0" w:color="auto"/>
                <w:right w:val="none" w:sz="0" w:space="0" w:color="auto"/>
              </w:divBdr>
            </w:div>
            <w:div w:id="329136080">
              <w:marLeft w:val="0"/>
              <w:marRight w:val="0"/>
              <w:marTop w:val="0"/>
              <w:marBottom w:val="0"/>
              <w:divBdr>
                <w:top w:val="none" w:sz="0" w:space="0" w:color="auto"/>
                <w:left w:val="none" w:sz="0" w:space="0" w:color="auto"/>
                <w:bottom w:val="none" w:sz="0" w:space="0" w:color="auto"/>
                <w:right w:val="none" w:sz="0" w:space="0" w:color="auto"/>
              </w:divBdr>
            </w:div>
            <w:div w:id="436482841">
              <w:marLeft w:val="0"/>
              <w:marRight w:val="0"/>
              <w:marTop w:val="0"/>
              <w:marBottom w:val="0"/>
              <w:divBdr>
                <w:top w:val="none" w:sz="0" w:space="0" w:color="auto"/>
                <w:left w:val="none" w:sz="0" w:space="0" w:color="auto"/>
                <w:bottom w:val="none" w:sz="0" w:space="0" w:color="auto"/>
                <w:right w:val="none" w:sz="0" w:space="0" w:color="auto"/>
              </w:divBdr>
            </w:div>
            <w:div w:id="656763556">
              <w:marLeft w:val="0"/>
              <w:marRight w:val="0"/>
              <w:marTop w:val="0"/>
              <w:marBottom w:val="0"/>
              <w:divBdr>
                <w:top w:val="none" w:sz="0" w:space="0" w:color="auto"/>
                <w:left w:val="none" w:sz="0" w:space="0" w:color="auto"/>
                <w:bottom w:val="none" w:sz="0" w:space="0" w:color="auto"/>
                <w:right w:val="none" w:sz="0" w:space="0" w:color="auto"/>
              </w:divBdr>
            </w:div>
            <w:div w:id="783039479">
              <w:marLeft w:val="0"/>
              <w:marRight w:val="0"/>
              <w:marTop w:val="0"/>
              <w:marBottom w:val="0"/>
              <w:divBdr>
                <w:top w:val="none" w:sz="0" w:space="0" w:color="auto"/>
                <w:left w:val="none" w:sz="0" w:space="0" w:color="auto"/>
                <w:bottom w:val="none" w:sz="0" w:space="0" w:color="auto"/>
                <w:right w:val="none" w:sz="0" w:space="0" w:color="auto"/>
              </w:divBdr>
            </w:div>
            <w:div w:id="885992995">
              <w:marLeft w:val="0"/>
              <w:marRight w:val="0"/>
              <w:marTop w:val="0"/>
              <w:marBottom w:val="0"/>
              <w:divBdr>
                <w:top w:val="none" w:sz="0" w:space="0" w:color="auto"/>
                <w:left w:val="none" w:sz="0" w:space="0" w:color="auto"/>
                <w:bottom w:val="none" w:sz="0" w:space="0" w:color="auto"/>
                <w:right w:val="none" w:sz="0" w:space="0" w:color="auto"/>
              </w:divBdr>
            </w:div>
            <w:div w:id="1113281507">
              <w:marLeft w:val="0"/>
              <w:marRight w:val="0"/>
              <w:marTop w:val="0"/>
              <w:marBottom w:val="0"/>
              <w:divBdr>
                <w:top w:val="none" w:sz="0" w:space="0" w:color="auto"/>
                <w:left w:val="none" w:sz="0" w:space="0" w:color="auto"/>
                <w:bottom w:val="none" w:sz="0" w:space="0" w:color="auto"/>
                <w:right w:val="none" w:sz="0" w:space="0" w:color="auto"/>
              </w:divBdr>
            </w:div>
            <w:div w:id="1265840592">
              <w:marLeft w:val="0"/>
              <w:marRight w:val="0"/>
              <w:marTop w:val="0"/>
              <w:marBottom w:val="0"/>
              <w:divBdr>
                <w:top w:val="none" w:sz="0" w:space="0" w:color="auto"/>
                <w:left w:val="none" w:sz="0" w:space="0" w:color="auto"/>
                <w:bottom w:val="none" w:sz="0" w:space="0" w:color="auto"/>
                <w:right w:val="none" w:sz="0" w:space="0" w:color="auto"/>
              </w:divBdr>
            </w:div>
            <w:div w:id="1355762736">
              <w:marLeft w:val="0"/>
              <w:marRight w:val="0"/>
              <w:marTop w:val="0"/>
              <w:marBottom w:val="0"/>
              <w:divBdr>
                <w:top w:val="none" w:sz="0" w:space="0" w:color="auto"/>
                <w:left w:val="none" w:sz="0" w:space="0" w:color="auto"/>
                <w:bottom w:val="none" w:sz="0" w:space="0" w:color="auto"/>
                <w:right w:val="none" w:sz="0" w:space="0" w:color="auto"/>
              </w:divBdr>
            </w:div>
            <w:div w:id="1595090223">
              <w:marLeft w:val="0"/>
              <w:marRight w:val="0"/>
              <w:marTop w:val="0"/>
              <w:marBottom w:val="0"/>
              <w:divBdr>
                <w:top w:val="none" w:sz="0" w:space="0" w:color="auto"/>
                <w:left w:val="none" w:sz="0" w:space="0" w:color="auto"/>
                <w:bottom w:val="none" w:sz="0" w:space="0" w:color="auto"/>
                <w:right w:val="none" w:sz="0" w:space="0" w:color="auto"/>
              </w:divBdr>
            </w:div>
            <w:div w:id="1890721208">
              <w:marLeft w:val="0"/>
              <w:marRight w:val="0"/>
              <w:marTop w:val="0"/>
              <w:marBottom w:val="0"/>
              <w:divBdr>
                <w:top w:val="none" w:sz="0" w:space="0" w:color="auto"/>
                <w:left w:val="none" w:sz="0" w:space="0" w:color="auto"/>
                <w:bottom w:val="none" w:sz="0" w:space="0" w:color="auto"/>
                <w:right w:val="none" w:sz="0" w:space="0" w:color="auto"/>
              </w:divBdr>
            </w:div>
            <w:div w:id="1947080681">
              <w:marLeft w:val="0"/>
              <w:marRight w:val="0"/>
              <w:marTop w:val="0"/>
              <w:marBottom w:val="0"/>
              <w:divBdr>
                <w:top w:val="none" w:sz="0" w:space="0" w:color="auto"/>
                <w:left w:val="none" w:sz="0" w:space="0" w:color="auto"/>
                <w:bottom w:val="none" w:sz="0" w:space="0" w:color="auto"/>
                <w:right w:val="none" w:sz="0" w:space="0" w:color="auto"/>
              </w:divBdr>
            </w:div>
            <w:div w:id="2061129051">
              <w:marLeft w:val="0"/>
              <w:marRight w:val="0"/>
              <w:marTop w:val="0"/>
              <w:marBottom w:val="0"/>
              <w:divBdr>
                <w:top w:val="none" w:sz="0" w:space="0" w:color="auto"/>
                <w:left w:val="none" w:sz="0" w:space="0" w:color="auto"/>
                <w:bottom w:val="none" w:sz="0" w:space="0" w:color="auto"/>
                <w:right w:val="none" w:sz="0" w:space="0" w:color="auto"/>
              </w:divBdr>
            </w:div>
          </w:divsChild>
        </w:div>
        <w:div w:id="2117017923">
          <w:marLeft w:val="0"/>
          <w:marRight w:val="0"/>
          <w:marTop w:val="0"/>
          <w:marBottom w:val="0"/>
          <w:divBdr>
            <w:top w:val="none" w:sz="0" w:space="0" w:color="auto"/>
            <w:left w:val="none" w:sz="0" w:space="0" w:color="auto"/>
            <w:bottom w:val="none" w:sz="0" w:space="0" w:color="auto"/>
            <w:right w:val="none" w:sz="0" w:space="0" w:color="auto"/>
          </w:divBdr>
          <w:divsChild>
            <w:div w:id="38238903">
              <w:marLeft w:val="0"/>
              <w:marRight w:val="0"/>
              <w:marTop w:val="0"/>
              <w:marBottom w:val="0"/>
              <w:divBdr>
                <w:top w:val="none" w:sz="0" w:space="0" w:color="auto"/>
                <w:left w:val="none" w:sz="0" w:space="0" w:color="auto"/>
                <w:bottom w:val="none" w:sz="0" w:space="0" w:color="auto"/>
                <w:right w:val="none" w:sz="0" w:space="0" w:color="auto"/>
              </w:divBdr>
            </w:div>
            <w:div w:id="254173949">
              <w:marLeft w:val="0"/>
              <w:marRight w:val="0"/>
              <w:marTop w:val="0"/>
              <w:marBottom w:val="0"/>
              <w:divBdr>
                <w:top w:val="none" w:sz="0" w:space="0" w:color="auto"/>
                <w:left w:val="none" w:sz="0" w:space="0" w:color="auto"/>
                <w:bottom w:val="none" w:sz="0" w:space="0" w:color="auto"/>
                <w:right w:val="none" w:sz="0" w:space="0" w:color="auto"/>
              </w:divBdr>
            </w:div>
            <w:div w:id="454376818">
              <w:marLeft w:val="0"/>
              <w:marRight w:val="0"/>
              <w:marTop w:val="0"/>
              <w:marBottom w:val="0"/>
              <w:divBdr>
                <w:top w:val="none" w:sz="0" w:space="0" w:color="auto"/>
                <w:left w:val="none" w:sz="0" w:space="0" w:color="auto"/>
                <w:bottom w:val="none" w:sz="0" w:space="0" w:color="auto"/>
                <w:right w:val="none" w:sz="0" w:space="0" w:color="auto"/>
              </w:divBdr>
            </w:div>
            <w:div w:id="492180374">
              <w:marLeft w:val="0"/>
              <w:marRight w:val="0"/>
              <w:marTop w:val="0"/>
              <w:marBottom w:val="0"/>
              <w:divBdr>
                <w:top w:val="none" w:sz="0" w:space="0" w:color="auto"/>
                <w:left w:val="none" w:sz="0" w:space="0" w:color="auto"/>
                <w:bottom w:val="none" w:sz="0" w:space="0" w:color="auto"/>
                <w:right w:val="none" w:sz="0" w:space="0" w:color="auto"/>
              </w:divBdr>
            </w:div>
            <w:div w:id="639071714">
              <w:marLeft w:val="0"/>
              <w:marRight w:val="0"/>
              <w:marTop w:val="0"/>
              <w:marBottom w:val="0"/>
              <w:divBdr>
                <w:top w:val="none" w:sz="0" w:space="0" w:color="auto"/>
                <w:left w:val="none" w:sz="0" w:space="0" w:color="auto"/>
                <w:bottom w:val="none" w:sz="0" w:space="0" w:color="auto"/>
                <w:right w:val="none" w:sz="0" w:space="0" w:color="auto"/>
              </w:divBdr>
            </w:div>
            <w:div w:id="833448524">
              <w:marLeft w:val="0"/>
              <w:marRight w:val="0"/>
              <w:marTop w:val="0"/>
              <w:marBottom w:val="0"/>
              <w:divBdr>
                <w:top w:val="none" w:sz="0" w:space="0" w:color="auto"/>
                <w:left w:val="none" w:sz="0" w:space="0" w:color="auto"/>
                <w:bottom w:val="none" w:sz="0" w:space="0" w:color="auto"/>
                <w:right w:val="none" w:sz="0" w:space="0" w:color="auto"/>
              </w:divBdr>
            </w:div>
            <w:div w:id="898055453">
              <w:marLeft w:val="0"/>
              <w:marRight w:val="0"/>
              <w:marTop w:val="0"/>
              <w:marBottom w:val="0"/>
              <w:divBdr>
                <w:top w:val="none" w:sz="0" w:space="0" w:color="auto"/>
                <w:left w:val="none" w:sz="0" w:space="0" w:color="auto"/>
                <w:bottom w:val="none" w:sz="0" w:space="0" w:color="auto"/>
                <w:right w:val="none" w:sz="0" w:space="0" w:color="auto"/>
              </w:divBdr>
            </w:div>
            <w:div w:id="1162626649">
              <w:marLeft w:val="0"/>
              <w:marRight w:val="0"/>
              <w:marTop w:val="0"/>
              <w:marBottom w:val="0"/>
              <w:divBdr>
                <w:top w:val="none" w:sz="0" w:space="0" w:color="auto"/>
                <w:left w:val="none" w:sz="0" w:space="0" w:color="auto"/>
                <w:bottom w:val="none" w:sz="0" w:space="0" w:color="auto"/>
                <w:right w:val="none" w:sz="0" w:space="0" w:color="auto"/>
              </w:divBdr>
            </w:div>
            <w:div w:id="1379940302">
              <w:marLeft w:val="0"/>
              <w:marRight w:val="0"/>
              <w:marTop w:val="0"/>
              <w:marBottom w:val="0"/>
              <w:divBdr>
                <w:top w:val="none" w:sz="0" w:space="0" w:color="auto"/>
                <w:left w:val="none" w:sz="0" w:space="0" w:color="auto"/>
                <w:bottom w:val="none" w:sz="0" w:space="0" w:color="auto"/>
                <w:right w:val="none" w:sz="0" w:space="0" w:color="auto"/>
              </w:divBdr>
            </w:div>
            <w:div w:id="1544515929">
              <w:marLeft w:val="0"/>
              <w:marRight w:val="0"/>
              <w:marTop w:val="0"/>
              <w:marBottom w:val="0"/>
              <w:divBdr>
                <w:top w:val="none" w:sz="0" w:space="0" w:color="auto"/>
                <w:left w:val="none" w:sz="0" w:space="0" w:color="auto"/>
                <w:bottom w:val="none" w:sz="0" w:space="0" w:color="auto"/>
                <w:right w:val="none" w:sz="0" w:space="0" w:color="auto"/>
              </w:divBdr>
            </w:div>
            <w:div w:id="1544950074">
              <w:marLeft w:val="0"/>
              <w:marRight w:val="0"/>
              <w:marTop w:val="0"/>
              <w:marBottom w:val="0"/>
              <w:divBdr>
                <w:top w:val="none" w:sz="0" w:space="0" w:color="auto"/>
                <w:left w:val="none" w:sz="0" w:space="0" w:color="auto"/>
                <w:bottom w:val="none" w:sz="0" w:space="0" w:color="auto"/>
                <w:right w:val="none" w:sz="0" w:space="0" w:color="auto"/>
              </w:divBdr>
            </w:div>
            <w:div w:id="20990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5715">
      <w:bodyDiv w:val="1"/>
      <w:marLeft w:val="0"/>
      <w:marRight w:val="0"/>
      <w:marTop w:val="0"/>
      <w:marBottom w:val="0"/>
      <w:divBdr>
        <w:top w:val="none" w:sz="0" w:space="0" w:color="auto"/>
        <w:left w:val="none" w:sz="0" w:space="0" w:color="auto"/>
        <w:bottom w:val="none" w:sz="0" w:space="0" w:color="auto"/>
        <w:right w:val="none" w:sz="0" w:space="0" w:color="auto"/>
      </w:divBdr>
    </w:div>
    <w:div w:id="313723707">
      <w:bodyDiv w:val="1"/>
      <w:marLeft w:val="0"/>
      <w:marRight w:val="0"/>
      <w:marTop w:val="0"/>
      <w:marBottom w:val="0"/>
      <w:divBdr>
        <w:top w:val="none" w:sz="0" w:space="0" w:color="auto"/>
        <w:left w:val="none" w:sz="0" w:space="0" w:color="auto"/>
        <w:bottom w:val="none" w:sz="0" w:space="0" w:color="auto"/>
        <w:right w:val="none" w:sz="0" w:space="0" w:color="auto"/>
      </w:divBdr>
    </w:div>
    <w:div w:id="346491164">
      <w:bodyDiv w:val="1"/>
      <w:marLeft w:val="0"/>
      <w:marRight w:val="0"/>
      <w:marTop w:val="0"/>
      <w:marBottom w:val="0"/>
      <w:divBdr>
        <w:top w:val="none" w:sz="0" w:space="0" w:color="auto"/>
        <w:left w:val="none" w:sz="0" w:space="0" w:color="auto"/>
        <w:bottom w:val="none" w:sz="0" w:space="0" w:color="auto"/>
        <w:right w:val="none" w:sz="0" w:space="0" w:color="auto"/>
      </w:divBdr>
    </w:div>
    <w:div w:id="413165591">
      <w:bodyDiv w:val="1"/>
      <w:marLeft w:val="0"/>
      <w:marRight w:val="0"/>
      <w:marTop w:val="0"/>
      <w:marBottom w:val="0"/>
      <w:divBdr>
        <w:top w:val="none" w:sz="0" w:space="0" w:color="auto"/>
        <w:left w:val="none" w:sz="0" w:space="0" w:color="auto"/>
        <w:bottom w:val="none" w:sz="0" w:space="0" w:color="auto"/>
        <w:right w:val="none" w:sz="0" w:space="0" w:color="auto"/>
      </w:divBdr>
    </w:div>
    <w:div w:id="457140247">
      <w:bodyDiv w:val="1"/>
      <w:marLeft w:val="0"/>
      <w:marRight w:val="0"/>
      <w:marTop w:val="0"/>
      <w:marBottom w:val="0"/>
      <w:divBdr>
        <w:top w:val="none" w:sz="0" w:space="0" w:color="auto"/>
        <w:left w:val="none" w:sz="0" w:space="0" w:color="auto"/>
        <w:bottom w:val="none" w:sz="0" w:space="0" w:color="auto"/>
        <w:right w:val="none" w:sz="0" w:space="0" w:color="auto"/>
      </w:divBdr>
    </w:div>
    <w:div w:id="521821037">
      <w:bodyDiv w:val="1"/>
      <w:marLeft w:val="0"/>
      <w:marRight w:val="0"/>
      <w:marTop w:val="0"/>
      <w:marBottom w:val="0"/>
      <w:divBdr>
        <w:top w:val="none" w:sz="0" w:space="0" w:color="auto"/>
        <w:left w:val="none" w:sz="0" w:space="0" w:color="auto"/>
        <w:bottom w:val="none" w:sz="0" w:space="0" w:color="auto"/>
        <w:right w:val="none" w:sz="0" w:space="0" w:color="auto"/>
      </w:divBdr>
    </w:div>
    <w:div w:id="530454075">
      <w:bodyDiv w:val="1"/>
      <w:marLeft w:val="0"/>
      <w:marRight w:val="0"/>
      <w:marTop w:val="0"/>
      <w:marBottom w:val="0"/>
      <w:divBdr>
        <w:top w:val="none" w:sz="0" w:space="0" w:color="auto"/>
        <w:left w:val="none" w:sz="0" w:space="0" w:color="auto"/>
        <w:bottom w:val="none" w:sz="0" w:space="0" w:color="auto"/>
        <w:right w:val="none" w:sz="0" w:space="0" w:color="auto"/>
      </w:divBdr>
      <w:divsChild>
        <w:div w:id="185100967">
          <w:marLeft w:val="0"/>
          <w:marRight w:val="0"/>
          <w:marTop w:val="0"/>
          <w:marBottom w:val="0"/>
          <w:divBdr>
            <w:top w:val="none" w:sz="0" w:space="0" w:color="auto"/>
            <w:left w:val="none" w:sz="0" w:space="0" w:color="auto"/>
            <w:bottom w:val="none" w:sz="0" w:space="0" w:color="auto"/>
            <w:right w:val="none" w:sz="0" w:space="0" w:color="auto"/>
          </w:divBdr>
          <w:divsChild>
            <w:div w:id="90199709">
              <w:marLeft w:val="0"/>
              <w:marRight w:val="0"/>
              <w:marTop w:val="0"/>
              <w:marBottom w:val="0"/>
              <w:divBdr>
                <w:top w:val="none" w:sz="0" w:space="0" w:color="auto"/>
                <w:left w:val="none" w:sz="0" w:space="0" w:color="auto"/>
                <w:bottom w:val="none" w:sz="0" w:space="0" w:color="auto"/>
                <w:right w:val="none" w:sz="0" w:space="0" w:color="auto"/>
              </w:divBdr>
            </w:div>
            <w:div w:id="421948958">
              <w:marLeft w:val="0"/>
              <w:marRight w:val="0"/>
              <w:marTop w:val="0"/>
              <w:marBottom w:val="0"/>
              <w:divBdr>
                <w:top w:val="none" w:sz="0" w:space="0" w:color="auto"/>
                <w:left w:val="none" w:sz="0" w:space="0" w:color="auto"/>
                <w:bottom w:val="none" w:sz="0" w:space="0" w:color="auto"/>
                <w:right w:val="none" w:sz="0" w:space="0" w:color="auto"/>
              </w:divBdr>
            </w:div>
            <w:div w:id="461459043">
              <w:marLeft w:val="0"/>
              <w:marRight w:val="0"/>
              <w:marTop w:val="0"/>
              <w:marBottom w:val="0"/>
              <w:divBdr>
                <w:top w:val="none" w:sz="0" w:space="0" w:color="auto"/>
                <w:left w:val="none" w:sz="0" w:space="0" w:color="auto"/>
                <w:bottom w:val="none" w:sz="0" w:space="0" w:color="auto"/>
                <w:right w:val="none" w:sz="0" w:space="0" w:color="auto"/>
              </w:divBdr>
            </w:div>
            <w:div w:id="620841622">
              <w:marLeft w:val="0"/>
              <w:marRight w:val="0"/>
              <w:marTop w:val="0"/>
              <w:marBottom w:val="0"/>
              <w:divBdr>
                <w:top w:val="none" w:sz="0" w:space="0" w:color="auto"/>
                <w:left w:val="none" w:sz="0" w:space="0" w:color="auto"/>
                <w:bottom w:val="none" w:sz="0" w:space="0" w:color="auto"/>
                <w:right w:val="none" w:sz="0" w:space="0" w:color="auto"/>
              </w:divBdr>
            </w:div>
            <w:div w:id="1164515042">
              <w:marLeft w:val="0"/>
              <w:marRight w:val="0"/>
              <w:marTop w:val="0"/>
              <w:marBottom w:val="0"/>
              <w:divBdr>
                <w:top w:val="none" w:sz="0" w:space="0" w:color="auto"/>
                <w:left w:val="none" w:sz="0" w:space="0" w:color="auto"/>
                <w:bottom w:val="none" w:sz="0" w:space="0" w:color="auto"/>
                <w:right w:val="none" w:sz="0" w:space="0" w:color="auto"/>
              </w:divBdr>
            </w:div>
            <w:div w:id="1277299260">
              <w:marLeft w:val="0"/>
              <w:marRight w:val="0"/>
              <w:marTop w:val="0"/>
              <w:marBottom w:val="0"/>
              <w:divBdr>
                <w:top w:val="none" w:sz="0" w:space="0" w:color="auto"/>
                <w:left w:val="none" w:sz="0" w:space="0" w:color="auto"/>
                <w:bottom w:val="none" w:sz="0" w:space="0" w:color="auto"/>
                <w:right w:val="none" w:sz="0" w:space="0" w:color="auto"/>
              </w:divBdr>
            </w:div>
            <w:div w:id="1340891710">
              <w:marLeft w:val="0"/>
              <w:marRight w:val="0"/>
              <w:marTop w:val="0"/>
              <w:marBottom w:val="0"/>
              <w:divBdr>
                <w:top w:val="none" w:sz="0" w:space="0" w:color="auto"/>
                <w:left w:val="none" w:sz="0" w:space="0" w:color="auto"/>
                <w:bottom w:val="none" w:sz="0" w:space="0" w:color="auto"/>
                <w:right w:val="none" w:sz="0" w:space="0" w:color="auto"/>
              </w:divBdr>
            </w:div>
            <w:div w:id="1429083224">
              <w:marLeft w:val="0"/>
              <w:marRight w:val="0"/>
              <w:marTop w:val="0"/>
              <w:marBottom w:val="0"/>
              <w:divBdr>
                <w:top w:val="none" w:sz="0" w:space="0" w:color="auto"/>
                <w:left w:val="none" w:sz="0" w:space="0" w:color="auto"/>
                <w:bottom w:val="none" w:sz="0" w:space="0" w:color="auto"/>
                <w:right w:val="none" w:sz="0" w:space="0" w:color="auto"/>
              </w:divBdr>
            </w:div>
            <w:div w:id="2027318703">
              <w:marLeft w:val="0"/>
              <w:marRight w:val="0"/>
              <w:marTop w:val="0"/>
              <w:marBottom w:val="0"/>
              <w:divBdr>
                <w:top w:val="none" w:sz="0" w:space="0" w:color="auto"/>
                <w:left w:val="none" w:sz="0" w:space="0" w:color="auto"/>
                <w:bottom w:val="none" w:sz="0" w:space="0" w:color="auto"/>
                <w:right w:val="none" w:sz="0" w:space="0" w:color="auto"/>
              </w:divBdr>
            </w:div>
            <w:div w:id="2071728583">
              <w:marLeft w:val="0"/>
              <w:marRight w:val="0"/>
              <w:marTop w:val="0"/>
              <w:marBottom w:val="0"/>
              <w:divBdr>
                <w:top w:val="none" w:sz="0" w:space="0" w:color="auto"/>
                <w:left w:val="none" w:sz="0" w:space="0" w:color="auto"/>
                <w:bottom w:val="none" w:sz="0" w:space="0" w:color="auto"/>
                <w:right w:val="none" w:sz="0" w:space="0" w:color="auto"/>
              </w:divBdr>
            </w:div>
            <w:div w:id="2074500208">
              <w:marLeft w:val="0"/>
              <w:marRight w:val="0"/>
              <w:marTop w:val="0"/>
              <w:marBottom w:val="0"/>
              <w:divBdr>
                <w:top w:val="none" w:sz="0" w:space="0" w:color="auto"/>
                <w:left w:val="none" w:sz="0" w:space="0" w:color="auto"/>
                <w:bottom w:val="none" w:sz="0" w:space="0" w:color="auto"/>
                <w:right w:val="none" w:sz="0" w:space="0" w:color="auto"/>
              </w:divBdr>
            </w:div>
            <w:div w:id="2112435795">
              <w:marLeft w:val="0"/>
              <w:marRight w:val="0"/>
              <w:marTop w:val="0"/>
              <w:marBottom w:val="0"/>
              <w:divBdr>
                <w:top w:val="none" w:sz="0" w:space="0" w:color="auto"/>
                <w:left w:val="none" w:sz="0" w:space="0" w:color="auto"/>
                <w:bottom w:val="none" w:sz="0" w:space="0" w:color="auto"/>
                <w:right w:val="none" w:sz="0" w:space="0" w:color="auto"/>
              </w:divBdr>
            </w:div>
          </w:divsChild>
        </w:div>
        <w:div w:id="370308615">
          <w:marLeft w:val="0"/>
          <w:marRight w:val="0"/>
          <w:marTop w:val="0"/>
          <w:marBottom w:val="0"/>
          <w:divBdr>
            <w:top w:val="none" w:sz="0" w:space="0" w:color="auto"/>
            <w:left w:val="none" w:sz="0" w:space="0" w:color="auto"/>
            <w:bottom w:val="none" w:sz="0" w:space="0" w:color="auto"/>
            <w:right w:val="none" w:sz="0" w:space="0" w:color="auto"/>
          </w:divBdr>
          <w:divsChild>
            <w:div w:id="62803418">
              <w:marLeft w:val="0"/>
              <w:marRight w:val="0"/>
              <w:marTop w:val="0"/>
              <w:marBottom w:val="0"/>
              <w:divBdr>
                <w:top w:val="none" w:sz="0" w:space="0" w:color="auto"/>
                <w:left w:val="none" w:sz="0" w:space="0" w:color="auto"/>
                <w:bottom w:val="none" w:sz="0" w:space="0" w:color="auto"/>
                <w:right w:val="none" w:sz="0" w:space="0" w:color="auto"/>
              </w:divBdr>
            </w:div>
            <w:div w:id="111949288">
              <w:marLeft w:val="0"/>
              <w:marRight w:val="0"/>
              <w:marTop w:val="0"/>
              <w:marBottom w:val="0"/>
              <w:divBdr>
                <w:top w:val="none" w:sz="0" w:space="0" w:color="auto"/>
                <w:left w:val="none" w:sz="0" w:space="0" w:color="auto"/>
                <w:bottom w:val="none" w:sz="0" w:space="0" w:color="auto"/>
                <w:right w:val="none" w:sz="0" w:space="0" w:color="auto"/>
              </w:divBdr>
            </w:div>
            <w:div w:id="172884378">
              <w:marLeft w:val="0"/>
              <w:marRight w:val="0"/>
              <w:marTop w:val="0"/>
              <w:marBottom w:val="0"/>
              <w:divBdr>
                <w:top w:val="none" w:sz="0" w:space="0" w:color="auto"/>
                <w:left w:val="none" w:sz="0" w:space="0" w:color="auto"/>
                <w:bottom w:val="none" w:sz="0" w:space="0" w:color="auto"/>
                <w:right w:val="none" w:sz="0" w:space="0" w:color="auto"/>
              </w:divBdr>
            </w:div>
            <w:div w:id="271019430">
              <w:marLeft w:val="0"/>
              <w:marRight w:val="0"/>
              <w:marTop w:val="0"/>
              <w:marBottom w:val="0"/>
              <w:divBdr>
                <w:top w:val="none" w:sz="0" w:space="0" w:color="auto"/>
                <w:left w:val="none" w:sz="0" w:space="0" w:color="auto"/>
                <w:bottom w:val="none" w:sz="0" w:space="0" w:color="auto"/>
                <w:right w:val="none" w:sz="0" w:space="0" w:color="auto"/>
              </w:divBdr>
            </w:div>
            <w:div w:id="424114791">
              <w:marLeft w:val="0"/>
              <w:marRight w:val="0"/>
              <w:marTop w:val="0"/>
              <w:marBottom w:val="0"/>
              <w:divBdr>
                <w:top w:val="none" w:sz="0" w:space="0" w:color="auto"/>
                <w:left w:val="none" w:sz="0" w:space="0" w:color="auto"/>
                <w:bottom w:val="none" w:sz="0" w:space="0" w:color="auto"/>
                <w:right w:val="none" w:sz="0" w:space="0" w:color="auto"/>
              </w:divBdr>
            </w:div>
            <w:div w:id="694430049">
              <w:marLeft w:val="0"/>
              <w:marRight w:val="0"/>
              <w:marTop w:val="0"/>
              <w:marBottom w:val="0"/>
              <w:divBdr>
                <w:top w:val="none" w:sz="0" w:space="0" w:color="auto"/>
                <w:left w:val="none" w:sz="0" w:space="0" w:color="auto"/>
                <w:bottom w:val="none" w:sz="0" w:space="0" w:color="auto"/>
                <w:right w:val="none" w:sz="0" w:space="0" w:color="auto"/>
              </w:divBdr>
            </w:div>
            <w:div w:id="924260716">
              <w:marLeft w:val="0"/>
              <w:marRight w:val="0"/>
              <w:marTop w:val="0"/>
              <w:marBottom w:val="0"/>
              <w:divBdr>
                <w:top w:val="none" w:sz="0" w:space="0" w:color="auto"/>
                <w:left w:val="none" w:sz="0" w:space="0" w:color="auto"/>
                <w:bottom w:val="none" w:sz="0" w:space="0" w:color="auto"/>
                <w:right w:val="none" w:sz="0" w:space="0" w:color="auto"/>
              </w:divBdr>
            </w:div>
            <w:div w:id="1177890673">
              <w:marLeft w:val="0"/>
              <w:marRight w:val="0"/>
              <w:marTop w:val="0"/>
              <w:marBottom w:val="0"/>
              <w:divBdr>
                <w:top w:val="none" w:sz="0" w:space="0" w:color="auto"/>
                <w:left w:val="none" w:sz="0" w:space="0" w:color="auto"/>
                <w:bottom w:val="none" w:sz="0" w:space="0" w:color="auto"/>
                <w:right w:val="none" w:sz="0" w:space="0" w:color="auto"/>
              </w:divBdr>
            </w:div>
            <w:div w:id="1180659140">
              <w:marLeft w:val="0"/>
              <w:marRight w:val="0"/>
              <w:marTop w:val="0"/>
              <w:marBottom w:val="0"/>
              <w:divBdr>
                <w:top w:val="none" w:sz="0" w:space="0" w:color="auto"/>
                <w:left w:val="none" w:sz="0" w:space="0" w:color="auto"/>
                <w:bottom w:val="none" w:sz="0" w:space="0" w:color="auto"/>
                <w:right w:val="none" w:sz="0" w:space="0" w:color="auto"/>
              </w:divBdr>
            </w:div>
            <w:div w:id="1633176139">
              <w:marLeft w:val="0"/>
              <w:marRight w:val="0"/>
              <w:marTop w:val="0"/>
              <w:marBottom w:val="0"/>
              <w:divBdr>
                <w:top w:val="none" w:sz="0" w:space="0" w:color="auto"/>
                <w:left w:val="none" w:sz="0" w:space="0" w:color="auto"/>
                <w:bottom w:val="none" w:sz="0" w:space="0" w:color="auto"/>
                <w:right w:val="none" w:sz="0" w:space="0" w:color="auto"/>
              </w:divBdr>
            </w:div>
            <w:div w:id="1685323918">
              <w:marLeft w:val="0"/>
              <w:marRight w:val="0"/>
              <w:marTop w:val="0"/>
              <w:marBottom w:val="0"/>
              <w:divBdr>
                <w:top w:val="none" w:sz="0" w:space="0" w:color="auto"/>
                <w:left w:val="none" w:sz="0" w:space="0" w:color="auto"/>
                <w:bottom w:val="none" w:sz="0" w:space="0" w:color="auto"/>
                <w:right w:val="none" w:sz="0" w:space="0" w:color="auto"/>
              </w:divBdr>
            </w:div>
            <w:div w:id="1763720400">
              <w:marLeft w:val="0"/>
              <w:marRight w:val="0"/>
              <w:marTop w:val="0"/>
              <w:marBottom w:val="0"/>
              <w:divBdr>
                <w:top w:val="none" w:sz="0" w:space="0" w:color="auto"/>
                <w:left w:val="none" w:sz="0" w:space="0" w:color="auto"/>
                <w:bottom w:val="none" w:sz="0" w:space="0" w:color="auto"/>
                <w:right w:val="none" w:sz="0" w:space="0" w:color="auto"/>
              </w:divBdr>
            </w:div>
            <w:div w:id="1980525631">
              <w:marLeft w:val="0"/>
              <w:marRight w:val="0"/>
              <w:marTop w:val="0"/>
              <w:marBottom w:val="0"/>
              <w:divBdr>
                <w:top w:val="none" w:sz="0" w:space="0" w:color="auto"/>
                <w:left w:val="none" w:sz="0" w:space="0" w:color="auto"/>
                <w:bottom w:val="none" w:sz="0" w:space="0" w:color="auto"/>
                <w:right w:val="none" w:sz="0" w:space="0" w:color="auto"/>
              </w:divBdr>
            </w:div>
            <w:div w:id="213937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6409">
      <w:bodyDiv w:val="1"/>
      <w:marLeft w:val="0"/>
      <w:marRight w:val="0"/>
      <w:marTop w:val="0"/>
      <w:marBottom w:val="0"/>
      <w:divBdr>
        <w:top w:val="none" w:sz="0" w:space="0" w:color="auto"/>
        <w:left w:val="none" w:sz="0" w:space="0" w:color="auto"/>
        <w:bottom w:val="none" w:sz="0" w:space="0" w:color="auto"/>
        <w:right w:val="none" w:sz="0" w:space="0" w:color="auto"/>
      </w:divBdr>
    </w:div>
    <w:div w:id="561870978">
      <w:bodyDiv w:val="1"/>
      <w:marLeft w:val="0"/>
      <w:marRight w:val="0"/>
      <w:marTop w:val="0"/>
      <w:marBottom w:val="0"/>
      <w:divBdr>
        <w:top w:val="none" w:sz="0" w:space="0" w:color="auto"/>
        <w:left w:val="none" w:sz="0" w:space="0" w:color="auto"/>
        <w:bottom w:val="none" w:sz="0" w:space="0" w:color="auto"/>
        <w:right w:val="none" w:sz="0" w:space="0" w:color="auto"/>
      </w:divBdr>
    </w:div>
    <w:div w:id="563416788">
      <w:bodyDiv w:val="1"/>
      <w:marLeft w:val="0"/>
      <w:marRight w:val="0"/>
      <w:marTop w:val="0"/>
      <w:marBottom w:val="0"/>
      <w:divBdr>
        <w:top w:val="none" w:sz="0" w:space="0" w:color="auto"/>
        <w:left w:val="none" w:sz="0" w:space="0" w:color="auto"/>
        <w:bottom w:val="none" w:sz="0" w:space="0" w:color="auto"/>
        <w:right w:val="none" w:sz="0" w:space="0" w:color="auto"/>
      </w:divBdr>
      <w:divsChild>
        <w:div w:id="36245512">
          <w:marLeft w:val="0"/>
          <w:marRight w:val="0"/>
          <w:marTop w:val="0"/>
          <w:marBottom w:val="0"/>
          <w:divBdr>
            <w:top w:val="none" w:sz="0" w:space="0" w:color="auto"/>
            <w:left w:val="none" w:sz="0" w:space="0" w:color="auto"/>
            <w:bottom w:val="none" w:sz="0" w:space="0" w:color="auto"/>
            <w:right w:val="none" w:sz="0" w:space="0" w:color="auto"/>
          </w:divBdr>
        </w:div>
        <w:div w:id="288173336">
          <w:marLeft w:val="0"/>
          <w:marRight w:val="0"/>
          <w:marTop w:val="0"/>
          <w:marBottom w:val="0"/>
          <w:divBdr>
            <w:top w:val="none" w:sz="0" w:space="0" w:color="auto"/>
            <w:left w:val="none" w:sz="0" w:space="0" w:color="auto"/>
            <w:bottom w:val="none" w:sz="0" w:space="0" w:color="auto"/>
            <w:right w:val="none" w:sz="0" w:space="0" w:color="auto"/>
          </w:divBdr>
        </w:div>
        <w:div w:id="321735067">
          <w:marLeft w:val="0"/>
          <w:marRight w:val="0"/>
          <w:marTop w:val="0"/>
          <w:marBottom w:val="0"/>
          <w:divBdr>
            <w:top w:val="none" w:sz="0" w:space="0" w:color="auto"/>
            <w:left w:val="none" w:sz="0" w:space="0" w:color="auto"/>
            <w:bottom w:val="none" w:sz="0" w:space="0" w:color="auto"/>
            <w:right w:val="none" w:sz="0" w:space="0" w:color="auto"/>
          </w:divBdr>
        </w:div>
        <w:div w:id="336273878">
          <w:marLeft w:val="0"/>
          <w:marRight w:val="0"/>
          <w:marTop w:val="0"/>
          <w:marBottom w:val="0"/>
          <w:divBdr>
            <w:top w:val="none" w:sz="0" w:space="0" w:color="auto"/>
            <w:left w:val="none" w:sz="0" w:space="0" w:color="auto"/>
            <w:bottom w:val="none" w:sz="0" w:space="0" w:color="auto"/>
            <w:right w:val="none" w:sz="0" w:space="0" w:color="auto"/>
          </w:divBdr>
        </w:div>
        <w:div w:id="461315228">
          <w:marLeft w:val="0"/>
          <w:marRight w:val="0"/>
          <w:marTop w:val="0"/>
          <w:marBottom w:val="0"/>
          <w:divBdr>
            <w:top w:val="none" w:sz="0" w:space="0" w:color="auto"/>
            <w:left w:val="none" w:sz="0" w:space="0" w:color="auto"/>
            <w:bottom w:val="none" w:sz="0" w:space="0" w:color="auto"/>
            <w:right w:val="none" w:sz="0" w:space="0" w:color="auto"/>
          </w:divBdr>
        </w:div>
        <w:div w:id="625425807">
          <w:marLeft w:val="0"/>
          <w:marRight w:val="0"/>
          <w:marTop w:val="0"/>
          <w:marBottom w:val="0"/>
          <w:divBdr>
            <w:top w:val="none" w:sz="0" w:space="0" w:color="auto"/>
            <w:left w:val="none" w:sz="0" w:space="0" w:color="auto"/>
            <w:bottom w:val="none" w:sz="0" w:space="0" w:color="auto"/>
            <w:right w:val="none" w:sz="0" w:space="0" w:color="auto"/>
          </w:divBdr>
        </w:div>
        <w:div w:id="653264611">
          <w:marLeft w:val="0"/>
          <w:marRight w:val="0"/>
          <w:marTop w:val="0"/>
          <w:marBottom w:val="0"/>
          <w:divBdr>
            <w:top w:val="none" w:sz="0" w:space="0" w:color="auto"/>
            <w:left w:val="none" w:sz="0" w:space="0" w:color="auto"/>
            <w:bottom w:val="none" w:sz="0" w:space="0" w:color="auto"/>
            <w:right w:val="none" w:sz="0" w:space="0" w:color="auto"/>
          </w:divBdr>
        </w:div>
        <w:div w:id="781608418">
          <w:marLeft w:val="0"/>
          <w:marRight w:val="0"/>
          <w:marTop w:val="0"/>
          <w:marBottom w:val="0"/>
          <w:divBdr>
            <w:top w:val="none" w:sz="0" w:space="0" w:color="auto"/>
            <w:left w:val="none" w:sz="0" w:space="0" w:color="auto"/>
            <w:bottom w:val="none" w:sz="0" w:space="0" w:color="auto"/>
            <w:right w:val="none" w:sz="0" w:space="0" w:color="auto"/>
          </w:divBdr>
        </w:div>
        <w:div w:id="866061797">
          <w:marLeft w:val="0"/>
          <w:marRight w:val="0"/>
          <w:marTop w:val="0"/>
          <w:marBottom w:val="0"/>
          <w:divBdr>
            <w:top w:val="none" w:sz="0" w:space="0" w:color="auto"/>
            <w:left w:val="none" w:sz="0" w:space="0" w:color="auto"/>
            <w:bottom w:val="none" w:sz="0" w:space="0" w:color="auto"/>
            <w:right w:val="none" w:sz="0" w:space="0" w:color="auto"/>
          </w:divBdr>
        </w:div>
        <w:div w:id="996374770">
          <w:marLeft w:val="0"/>
          <w:marRight w:val="0"/>
          <w:marTop w:val="0"/>
          <w:marBottom w:val="0"/>
          <w:divBdr>
            <w:top w:val="none" w:sz="0" w:space="0" w:color="auto"/>
            <w:left w:val="none" w:sz="0" w:space="0" w:color="auto"/>
            <w:bottom w:val="none" w:sz="0" w:space="0" w:color="auto"/>
            <w:right w:val="none" w:sz="0" w:space="0" w:color="auto"/>
          </w:divBdr>
        </w:div>
        <w:div w:id="1007753037">
          <w:marLeft w:val="0"/>
          <w:marRight w:val="0"/>
          <w:marTop w:val="0"/>
          <w:marBottom w:val="0"/>
          <w:divBdr>
            <w:top w:val="none" w:sz="0" w:space="0" w:color="auto"/>
            <w:left w:val="none" w:sz="0" w:space="0" w:color="auto"/>
            <w:bottom w:val="none" w:sz="0" w:space="0" w:color="auto"/>
            <w:right w:val="none" w:sz="0" w:space="0" w:color="auto"/>
          </w:divBdr>
        </w:div>
        <w:div w:id="1057053601">
          <w:marLeft w:val="0"/>
          <w:marRight w:val="0"/>
          <w:marTop w:val="0"/>
          <w:marBottom w:val="0"/>
          <w:divBdr>
            <w:top w:val="none" w:sz="0" w:space="0" w:color="auto"/>
            <w:left w:val="none" w:sz="0" w:space="0" w:color="auto"/>
            <w:bottom w:val="none" w:sz="0" w:space="0" w:color="auto"/>
            <w:right w:val="none" w:sz="0" w:space="0" w:color="auto"/>
          </w:divBdr>
        </w:div>
        <w:div w:id="1113593124">
          <w:marLeft w:val="0"/>
          <w:marRight w:val="0"/>
          <w:marTop w:val="0"/>
          <w:marBottom w:val="0"/>
          <w:divBdr>
            <w:top w:val="none" w:sz="0" w:space="0" w:color="auto"/>
            <w:left w:val="none" w:sz="0" w:space="0" w:color="auto"/>
            <w:bottom w:val="none" w:sz="0" w:space="0" w:color="auto"/>
            <w:right w:val="none" w:sz="0" w:space="0" w:color="auto"/>
          </w:divBdr>
        </w:div>
        <w:div w:id="1183978104">
          <w:marLeft w:val="0"/>
          <w:marRight w:val="0"/>
          <w:marTop w:val="0"/>
          <w:marBottom w:val="0"/>
          <w:divBdr>
            <w:top w:val="none" w:sz="0" w:space="0" w:color="auto"/>
            <w:left w:val="none" w:sz="0" w:space="0" w:color="auto"/>
            <w:bottom w:val="none" w:sz="0" w:space="0" w:color="auto"/>
            <w:right w:val="none" w:sz="0" w:space="0" w:color="auto"/>
          </w:divBdr>
        </w:div>
        <w:div w:id="1217280762">
          <w:marLeft w:val="0"/>
          <w:marRight w:val="0"/>
          <w:marTop w:val="0"/>
          <w:marBottom w:val="0"/>
          <w:divBdr>
            <w:top w:val="none" w:sz="0" w:space="0" w:color="auto"/>
            <w:left w:val="none" w:sz="0" w:space="0" w:color="auto"/>
            <w:bottom w:val="none" w:sz="0" w:space="0" w:color="auto"/>
            <w:right w:val="none" w:sz="0" w:space="0" w:color="auto"/>
          </w:divBdr>
        </w:div>
        <w:div w:id="1682970530">
          <w:marLeft w:val="0"/>
          <w:marRight w:val="0"/>
          <w:marTop w:val="0"/>
          <w:marBottom w:val="0"/>
          <w:divBdr>
            <w:top w:val="none" w:sz="0" w:space="0" w:color="auto"/>
            <w:left w:val="none" w:sz="0" w:space="0" w:color="auto"/>
            <w:bottom w:val="none" w:sz="0" w:space="0" w:color="auto"/>
            <w:right w:val="none" w:sz="0" w:space="0" w:color="auto"/>
          </w:divBdr>
        </w:div>
        <w:div w:id="1719473465">
          <w:marLeft w:val="0"/>
          <w:marRight w:val="0"/>
          <w:marTop w:val="0"/>
          <w:marBottom w:val="0"/>
          <w:divBdr>
            <w:top w:val="none" w:sz="0" w:space="0" w:color="auto"/>
            <w:left w:val="none" w:sz="0" w:space="0" w:color="auto"/>
            <w:bottom w:val="none" w:sz="0" w:space="0" w:color="auto"/>
            <w:right w:val="none" w:sz="0" w:space="0" w:color="auto"/>
          </w:divBdr>
        </w:div>
        <w:div w:id="1723939132">
          <w:marLeft w:val="0"/>
          <w:marRight w:val="0"/>
          <w:marTop w:val="0"/>
          <w:marBottom w:val="0"/>
          <w:divBdr>
            <w:top w:val="none" w:sz="0" w:space="0" w:color="auto"/>
            <w:left w:val="none" w:sz="0" w:space="0" w:color="auto"/>
            <w:bottom w:val="none" w:sz="0" w:space="0" w:color="auto"/>
            <w:right w:val="none" w:sz="0" w:space="0" w:color="auto"/>
          </w:divBdr>
        </w:div>
        <w:div w:id="1783114473">
          <w:marLeft w:val="0"/>
          <w:marRight w:val="0"/>
          <w:marTop w:val="0"/>
          <w:marBottom w:val="0"/>
          <w:divBdr>
            <w:top w:val="none" w:sz="0" w:space="0" w:color="auto"/>
            <w:left w:val="none" w:sz="0" w:space="0" w:color="auto"/>
            <w:bottom w:val="none" w:sz="0" w:space="0" w:color="auto"/>
            <w:right w:val="none" w:sz="0" w:space="0" w:color="auto"/>
          </w:divBdr>
        </w:div>
        <w:div w:id="1809934720">
          <w:marLeft w:val="0"/>
          <w:marRight w:val="0"/>
          <w:marTop w:val="0"/>
          <w:marBottom w:val="0"/>
          <w:divBdr>
            <w:top w:val="none" w:sz="0" w:space="0" w:color="auto"/>
            <w:left w:val="none" w:sz="0" w:space="0" w:color="auto"/>
            <w:bottom w:val="none" w:sz="0" w:space="0" w:color="auto"/>
            <w:right w:val="none" w:sz="0" w:space="0" w:color="auto"/>
          </w:divBdr>
        </w:div>
        <w:div w:id="1976447044">
          <w:marLeft w:val="0"/>
          <w:marRight w:val="0"/>
          <w:marTop w:val="0"/>
          <w:marBottom w:val="0"/>
          <w:divBdr>
            <w:top w:val="none" w:sz="0" w:space="0" w:color="auto"/>
            <w:left w:val="none" w:sz="0" w:space="0" w:color="auto"/>
            <w:bottom w:val="none" w:sz="0" w:space="0" w:color="auto"/>
            <w:right w:val="none" w:sz="0" w:space="0" w:color="auto"/>
          </w:divBdr>
        </w:div>
        <w:div w:id="2068986318">
          <w:marLeft w:val="0"/>
          <w:marRight w:val="0"/>
          <w:marTop w:val="0"/>
          <w:marBottom w:val="0"/>
          <w:divBdr>
            <w:top w:val="none" w:sz="0" w:space="0" w:color="auto"/>
            <w:left w:val="none" w:sz="0" w:space="0" w:color="auto"/>
            <w:bottom w:val="none" w:sz="0" w:space="0" w:color="auto"/>
            <w:right w:val="none" w:sz="0" w:space="0" w:color="auto"/>
          </w:divBdr>
        </w:div>
      </w:divsChild>
    </w:div>
    <w:div w:id="578177729">
      <w:bodyDiv w:val="1"/>
      <w:marLeft w:val="0"/>
      <w:marRight w:val="0"/>
      <w:marTop w:val="0"/>
      <w:marBottom w:val="0"/>
      <w:divBdr>
        <w:top w:val="none" w:sz="0" w:space="0" w:color="auto"/>
        <w:left w:val="none" w:sz="0" w:space="0" w:color="auto"/>
        <w:bottom w:val="none" w:sz="0" w:space="0" w:color="auto"/>
        <w:right w:val="none" w:sz="0" w:space="0" w:color="auto"/>
      </w:divBdr>
    </w:div>
    <w:div w:id="579339178">
      <w:bodyDiv w:val="1"/>
      <w:marLeft w:val="0"/>
      <w:marRight w:val="0"/>
      <w:marTop w:val="0"/>
      <w:marBottom w:val="0"/>
      <w:divBdr>
        <w:top w:val="none" w:sz="0" w:space="0" w:color="auto"/>
        <w:left w:val="none" w:sz="0" w:space="0" w:color="auto"/>
        <w:bottom w:val="none" w:sz="0" w:space="0" w:color="auto"/>
        <w:right w:val="none" w:sz="0" w:space="0" w:color="auto"/>
      </w:divBdr>
    </w:div>
    <w:div w:id="756023468">
      <w:bodyDiv w:val="1"/>
      <w:marLeft w:val="0"/>
      <w:marRight w:val="0"/>
      <w:marTop w:val="0"/>
      <w:marBottom w:val="0"/>
      <w:divBdr>
        <w:top w:val="none" w:sz="0" w:space="0" w:color="auto"/>
        <w:left w:val="none" w:sz="0" w:space="0" w:color="auto"/>
        <w:bottom w:val="none" w:sz="0" w:space="0" w:color="auto"/>
        <w:right w:val="none" w:sz="0" w:space="0" w:color="auto"/>
      </w:divBdr>
    </w:div>
    <w:div w:id="813791081">
      <w:bodyDiv w:val="1"/>
      <w:marLeft w:val="0"/>
      <w:marRight w:val="0"/>
      <w:marTop w:val="0"/>
      <w:marBottom w:val="0"/>
      <w:divBdr>
        <w:top w:val="none" w:sz="0" w:space="0" w:color="auto"/>
        <w:left w:val="none" w:sz="0" w:space="0" w:color="auto"/>
        <w:bottom w:val="none" w:sz="0" w:space="0" w:color="auto"/>
        <w:right w:val="none" w:sz="0" w:space="0" w:color="auto"/>
      </w:divBdr>
    </w:div>
    <w:div w:id="972439821">
      <w:bodyDiv w:val="1"/>
      <w:marLeft w:val="0"/>
      <w:marRight w:val="0"/>
      <w:marTop w:val="0"/>
      <w:marBottom w:val="0"/>
      <w:divBdr>
        <w:top w:val="none" w:sz="0" w:space="0" w:color="auto"/>
        <w:left w:val="none" w:sz="0" w:space="0" w:color="auto"/>
        <w:bottom w:val="none" w:sz="0" w:space="0" w:color="auto"/>
        <w:right w:val="none" w:sz="0" w:space="0" w:color="auto"/>
      </w:divBdr>
    </w:div>
    <w:div w:id="992178709">
      <w:bodyDiv w:val="1"/>
      <w:marLeft w:val="0"/>
      <w:marRight w:val="0"/>
      <w:marTop w:val="0"/>
      <w:marBottom w:val="0"/>
      <w:divBdr>
        <w:top w:val="none" w:sz="0" w:space="0" w:color="auto"/>
        <w:left w:val="none" w:sz="0" w:space="0" w:color="auto"/>
        <w:bottom w:val="none" w:sz="0" w:space="0" w:color="auto"/>
        <w:right w:val="none" w:sz="0" w:space="0" w:color="auto"/>
      </w:divBdr>
    </w:div>
    <w:div w:id="997072096">
      <w:bodyDiv w:val="1"/>
      <w:marLeft w:val="0"/>
      <w:marRight w:val="0"/>
      <w:marTop w:val="0"/>
      <w:marBottom w:val="0"/>
      <w:divBdr>
        <w:top w:val="none" w:sz="0" w:space="0" w:color="auto"/>
        <w:left w:val="none" w:sz="0" w:space="0" w:color="auto"/>
        <w:bottom w:val="none" w:sz="0" w:space="0" w:color="auto"/>
        <w:right w:val="none" w:sz="0" w:space="0" w:color="auto"/>
      </w:divBdr>
    </w:div>
    <w:div w:id="1027174588">
      <w:bodyDiv w:val="1"/>
      <w:marLeft w:val="0"/>
      <w:marRight w:val="0"/>
      <w:marTop w:val="0"/>
      <w:marBottom w:val="0"/>
      <w:divBdr>
        <w:top w:val="none" w:sz="0" w:space="0" w:color="auto"/>
        <w:left w:val="none" w:sz="0" w:space="0" w:color="auto"/>
        <w:bottom w:val="none" w:sz="0" w:space="0" w:color="auto"/>
        <w:right w:val="none" w:sz="0" w:space="0" w:color="auto"/>
      </w:divBdr>
      <w:divsChild>
        <w:div w:id="94520169">
          <w:marLeft w:val="0"/>
          <w:marRight w:val="0"/>
          <w:marTop w:val="0"/>
          <w:marBottom w:val="0"/>
          <w:divBdr>
            <w:top w:val="none" w:sz="0" w:space="0" w:color="auto"/>
            <w:left w:val="none" w:sz="0" w:space="0" w:color="auto"/>
            <w:bottom w:val="none" w:sz="0" w:space="0" w:color="auto"/>
            <w:right w:val="none" w:sz="0" w:space="0" w:color="auto"/>
          </w:divBdr>
        </w:div>
        <w:div w:id="202597375">
          <w:marLeft w:val="0"/>
          <w:marRight w:val="0"/>
          <w:marTop w:val="0"/>
          <w:marBottom w:val="0"/>
          <w:divBdr>
            <w:top w:val="none" w:sz="0" w:space="0" w:color="auto"/>
            <w:left w:val="none" w:sz="0" w:space="0" w:color="auto"/>
            <w:bottom w:val="none" w:sz="0" w:space="0" w:color="auto"/>
            <w:right w:val="none" w:sz="0" w:space="0" w:color="auto"/>
          </w:divBdr>
        </w:div>
        <w:div w:id="456336291">
          <w:marLeft w:val="0"/>
          <w:marRight w:val="0"/>
          <w:marTop w:val="0"/>
          <w:marBottom w:val="0"/>
          <w:divBdr>
            <w:top w:val="none" w:sz="0" w:space="0" w:color="auto"/>
            <w:left w:val="none" w:sz="0" w:space="0" w:color="auto"/>
            <w:bottom w:val="none" w:sz="0" w:space="0" w:color="auto"/>
            <w:right w:val="none" w:sz="0" w:space="0" w:color="auto"/>
          </w:divBdr>
        </w:div>
        <w:div w:id="804859133">
          <w:marLeft w:val="0"/>
          <w:marRight w:val="0"/>
          <w:marTop w:val="0"/>
          <w:marBottom w:val="0"/>
          <w:divBdr>
            <w:top w:val="none" w:sz="0" w:space="0" w:color="auto"/>
            <w:left w:val="none" w:sz="0" w:space="0" w:color="auto"/>
            <w:bottom w:val="none" w:sz="0" w:space="0" w:color="auto"/>
            <w:right w:val="none" w:sz="0" w:space="0" w:color="auto"/>
          </w:divBdr>
        </w:div>
        <w:div w:id="866867115">
          <w:marLeft w:val="0"/>
          <w:marRight w:val="0"/>
          <w:marTop w:val="0"/>
          <w:marBottom w:val="0"/>
          <w:divBdr>
            <w:top w:val="none" w:sz="0" w:space="0" w:color="auto"/>
            <w:left w:val="none" w:sz="0" w:space="0" w:color="auto"/>
            <w:bottom w:val="none" w:sz="0" w:space="0" w:color="auto"/>
            <w:right w:val="none" w:sz="0" w:space="0" w:color="auto"/>
          </w:divBdr>
        </w:div>
        <w:div w:id="881330326">
          <w:marLeft w:val="0"/>
          <w:marRight w:val="0"/>
          <w:marTop w:val="0"/>
          <w:marBottom w:val="0"/>
          <w:divBdr>
            <w:top w:val="none" w:sz="0" w:space="0" w:color="auto"/>
            <w:left w:val="none" w:sz="0" w:space="0" w:color="auto"/>
            <w:bottom w:val="none" w:sz="0" w:space="0" w:color="auto"/>
            <w:right w:val="none" w:sz="0" w:space="0" w:color="auto"/>
          </w:divBdr>
        </w:div>
        <w:div w:id="1000963197">
          <w:marLeft w:val="0"/>
          <w:marRight w:val="0"/>
          <w:marTop w:val="0"/>
          <w:marBottom w:val="0"/>
          <w:divBdr>
            <w:top w:val="none" w:sz="0" w:space="0" w:color="auto"/>
            <w:left w:val="none" w:sz="0" w:space="0" w:color="auto"/>
            <w:bottom w:val="none" w:sz="0" w:space="0" w:color="auto"/>
            <w:right w:val="none" w:sz="0" w:space="0" w:color="auto"/>
          </w:divBdr>
        </w:div>
        <w:div w:id="1046101023">
          <w:marLeft w:val="0"/>
          <w:marRight w:val="0"/>
          <w:marTop w:val="0"/>
          <w:marBottom w:val="0"/>
          <w:divBdr>
            <w:top w:val="none" w:sz="0" w:space="0" w:color="auto"/>
            <w:left w:val="none" w:sz="0" w:space="0" w:color="auto"/>
            <w:bottom w:val="none" w:sz="0" w:space="0" w:color="auto"/>
            <w:right w:val="none" w:sz="0" w:space="0" w:color="auto"/>
          </w:divBdr>
        </w:div>
        <w:div w:id="1055855709">
          <w:marLeft w:val="0"/>
          <w:marRight w:val="0"/>
          <w:marTop w:val="0"/>
          <w:marBottom w:val="0"/>
          <w:divBdr>
            <w:top w:val="none" w:sz="0" w:space="0" w:color="auto"/>
            <w:left w:val="none" w:sz="0" w:space="0" w:color="auto"/>
            <w:bottom w:val="none" w:sz="0" w:space="0" w:color="auto"/>
            <w:right w:val="none" w:sz="0" w:space="0" w:color="auto"/>
          </w:divBdr>
        </w:div>
        <w:div w:id="1290671338">
          <w:marLeft w:val="0"/>
          <w:marRight w:val="0"/>
          <w:marTop w:val="0"/>
          <w:marBottom w:val="0"/>
          <w:divBdr>
            <w:top w:val="none" w:sz="0" w:space="0" w:color="auto"/>
            <w:left w:val="none" w:sz="0" w:space="0" w:color="auto"/>
            <w:bottom w:val="none" w:sz="0" w:space="0" w:color="auto"/>
            <w:right w:val="none" w:sz="0" w:space="0" w:color="auto"/>
          </w:divBdr>
        </w:div>
        <w:div w:id="1317763785">
          <w:marLeft w:val="0"/>
          <w:marRight w:val="0"/>
          <w:marTop w:val="0"/>
          <w:marBottom w:val="0"/>
          <w:divBdr>
            <w:top w:val="none" w:sz="0" w:space="0" w:color="auto"/>
            <w:left w:val="none" w:sz="0" w:space="0" w:color="auto"/>
            <w:bottom w:val="none" w:sz="0" w:space="0" w:color="auto"/>
            <w:right w:val="none" w:sz="0" w:space="0" w:color="auto"/>
          </w:divBdr>
        </w:div>
        <w:div w:id="1344434796">
          <w:marLeft w:val="0"/>
          <w:marRight w:val="0"/>
          <w:marTop w:val="0"/>
          <w:marBottom w:val="0"/>
          <w:divBdr>
            <w:top w:val="none" w:sz="0" w:space="0" w:color="auto"/>
            <w:left w:val="none" w:sz="0" w:space="0" w:color="auto"/>
            <w:bottom w:val="none" w:sz="0" w:space="0" w:color="auto"/>
            <w:right w:val="none" w:sz="0" w:space="0" w:color="auto"/>
          </w:divBdr>
        </w:div>
        <w:div w:id="1541552975">
          <w:marLeft w:val="0"/>
          <w:marRight w:val="0"/>
          <w:marTop w:val="0"/>
          <w:marBottom w:val="0"/>
          <w:divBdr>
            <w:top w:val="none" w:sz="0" w:space="0" w:color="auto"/>
            <w:left w:val="none" w:sz="0" w:space="0" w:color="auto"/>
            <w:bottom w:val="none" w:sz="0" w:space="0" w:color="auto"/>
            <w:right w:val="none" w:sz="0" w:space="0" w:color="auto"/>
          </w:divBdr>
        </w:div>
        <w:div w:id="1554611086">
          <w:marLeft w:val="0"/>
          <w:marRight w:val="0"/>
          <w:marTop w:val="0"/>
          <w:marBottom w:val="0"/>
          <w:divBdr>
            <w:top w:val="none" w:sz="0" w:space="0" w:color="auto"/>
            <w:left w:val="none" w:sz="0" w:space="0" w:color="auto"/>
            <w:bottom w:val="none" w:sz="0" w:space="0" w:color="auto"/>
            <w:right w:val="none" w:sz="0" w:space="0" w:color="auto"/>
          </w:divBdr>
        </w:div>
        <w:div w:id="1703902676">
          <w:marLeft w:val="0"/>
          <w:marRight w:val="0"/>
          <w:marTop w:val="0"/>
          <w:marBottom w:val="0"/>
          <w:divBdr>
            <w:top w:val="none" w:sz="0" w:space="0" w:color="auto"/>
            <w:left w:val="none" w:sz="0" w:space="0" w:color="auto"/>
            <w:bottom w:val="none" w:sz="0" w:space="0" w:color="auto"/>
            <w:right w:val="none" w:sz="0" w:space="0" w:color="auto"/>
          </w:divBdr>
        </w:div>
        <w:div w:id="1731148819">
          <w:marLeft w:val="0"/>
          <w:marRight w:val="0"/>
          <w:marTop w:val="0"/>
          <w:marBottom w:val="0"/>
          <w:divBdr>
            <w:top w:val="none" w:sz="0" w:space="0" w:color="auto"/>
            <w:left w:val="none" w:sz="0" w:space="0" w:color="auto"/>
            <w:bottom w:val="none" w:sz="0" w:space="0" w:color="auto"/>
            <w:right w:val="none" w:sz="0" w:space="0" w:color="auto"/>
          </w:divBdr>
        </w:div>
        <w:div w:id="1851289537">
          <w:marLeft w:val="0"/>
          <w:marRight w:val="0"/>
          <w:marTop w:val="0"/>
          <w:marBottom w:val="0"/>
          <w:divBdr>
            <w:top w:val="none" w:sz="0" w:space="0" w:color="auto"/>
            <w:left w:val="none" w:sz="0" w:space="0" w:color="auto"/>
            <w:bottom w:val="none" w:sz="0" w:space="0" w:color="auto"/>
            <w:right w:val="none" w:sz="0" w:space="0" w:color="auto"/>
          </w:divBdr>
        </w:div>
        <w:div w:id="1885293143">
          <w:marLeft w:val="0"/>
          <w:marRight w:val="0"/>
          <w:marTop w:val="0"/>
          <w:marBottom w:val="0"/>
          <w:divBdr>
            <w:top w:val="none" w:sz="0" w:space="0" w:color="auto"/>
            <w:left w:val="none" w:sz="0" w:space="0" w:color="auto"/>
            <w:bottom w:val="none" w:sz="0" w:space="0" w:color="auto"/>
            <w:right w:val="none" w:sz="0" w:space="0" w:color="auto"/>
          </w:divBdr>
        </w:div>
        <w:div w:id="1905793559">
          <w:marLeft w:val="0"/>
          <w:marRight w:val="0"/>
          <w:marTop w:val="0"/>
          <w:marBottom w:val="0"/>
          <w:divBdr>
            <w:top w:val="none" w:sz="0" w:space="0" w:color="auto"/>
            <w:left w:val="none" w:sz="0" w:space="0" w:color="auto"/>
            <w:bottom w:val="none" w:sz="0" w:space="0" w:color="auto"/>
            <w:right w:val="none" w:sz="0" w:space="0" w:color="auto"/>
          </w:divBdr>
        </w:div>
        <w:div w:id="1930456723">
          <w:marLeft w:val="0"/>
          <w:marRight w:val="0"/>
          <w:marTop w:val="0"/>
          <w:marBottom w:val="0"/>
          <w:divBdr>
            <w:top w:val="none" w:sz="0" w:space="0" w:color="auto"/>
            <w:left w:val="none" w:sz="0" w:space="0" w:color="auto"/>
            <w:bottom w:val="none" w:sz="0" w:space="0" w:color="auto"/>
            <w:right w:val="none" w:sz="0" w:space="0" w:color="auto"/>
          </w:divBdr>
        </w:div>
        <w:div w:id="2016378754">
          <w:marLeft w:val="0"/>
          <w:marRight w:val="0"/>
          <w:marTop w:val="0"/>
          <w:marBottom w:val="0"/>
          <w:divBdr>
            <w:top w:val="none" w:sz="0" w:space="0" w:color="auto"/>
            <w:left w:val="none" w:sz="0" w:space="0" w:color="auto"/>
            <w:bottom w:val="none" w:sz="0" w:space="0" w:color="auto"/>
            <w:right w:val="none" w:sz="0" w:space="0" w:color="auto"/>
          </w:divBdr>
        </w:div>
        <w:div w:id="2070613685">
          <w:marLeft w:val="0"/>
          <w:marRight w:val="0"/>
          <w:marTop w:val="0"/>
          <w:marBottom w:val="0"/>
          <w:divBdr>
            <w:top w:val="none" w:sz="0" w:space="0" w:color="auto"/>
            <w:left w:val="none" w:sz="0" w:space="0" w:color="auto"/>
            <w:bottom w:val="none" w:sz="0" w:space="0" w:color="auto"/>
            <w:right w:val="none" w:sz="0" w:space="0" w:color="auto"/>
          </w:divBdr>
        </w:div>
      </w:divsChild>
    </w:div>
    <w:div w:id="1116946610">
      <w:bodyDiv w:val="1"/>
      <w:marLeft w:val="0"/>
      <w:marRight w:val="0"/>
      <w:marTop w:val="0"/>
      <w:marBottom w:val="0"/>
      <w:divBdr>
        <w:top w:val="none" w:sz="0" w:space="0" w:color="auto"/>
        <w:left w:val="none" w:sz="0" w:space="0" w:color="auto"/>
        <w:bottom w:val="none" w:sz="0" w:space="0" w:color="auto"/>
        <w:right w:val="none" w:sz="0" w:space="0" w:color="auto"/>
      </w:divBdr>
      <w:divsChild>
        <w:div w:id="768768882">
          <w:marLeft w:val="0"/>
          <w:marRight w:val="0"/>
          <w:marTop w:val="0"/>
          <w:marBottom w:val="0"/>
          <w:divBdr>
            <w:top w:val="none" w:sz="0" w:space="0" w:color="auto"/>
            <w:left w:val="none" w:sz="0" w:space="0" w:color="auto"/>
            <w:bottom w:val="none" w:sz="0" w:space="0" w:color="auto"/>
            <w:right w:val="none" w:sz="0" w:space="0" w:color="auto"/>
          </w:divBdr>
        </w:div>
        <w:div w:id="1271661412">
          <w:marLeft w:val="0"/>
          <w:marRight w:val="0"/>
          <w:marTop w:val="0"/>
          <w:marBottom w:val="0"/>
          <w:divBdr>
            <w:top w:val="none" w:sz="0" w:space="0" w:color="auto"/>
            <w:left w:val="none" w:sz="0" w:space="0" w:color="auto"/>
            <w:bottom w:val="none" w:sz="0" w:space="0" w:color="auto"/>
            <w:right w:val="none" w:sz="0" w:space="0" w:color="auto"/>
          </w:divBdr>
        </w:div>
        <w:div w:id="2004158750">
          <w:marLeft w:val="0"/>
          <w:marRight w:val="0"/>
          <w:marTop w:val="0"/>
          <w:marBottom w:val="0"/>
          <w:divBdr>
            <w:top w:val="none" w:sz="0" w:space="0" w:color="auto"/>
            <w:left w:val="none" w:sz="0" w:space="0" w:color="auto"/>
            <w:bottom w:val="none" w:sz="0" w:space="0" w:color="auto"/>
            <w:right w:val="none" w:sz="0" w:space="0" w:color="auto"/>
          </w:divBdr>
        </w:div>
      </w:divsChild>
    </w:div>
    <w:div w:id="1133064389">
      <w:bodyDiv w:val="1"/>
      <w:marLeft w:val="0"/>
      <w:marRight w:val="0"/>
      <w:marTop w:val="0"/>
      <w:marBottom w:val="0"/>
      <w:divBdr>
        <w:top w:val="none" w:sz="0" w:space="0" w:color="auto"/>
        <w:left w:val="none" w:sz="0" w:space="0" w:color="auto"/>
        <w:bottom w:val="none" w:sz="0" w:space="0" w:color="auto"/>
        <w:right w:val="none" w:sz="0" w:space="0" w:color="auto"/>
      </w:divBdr>
    </w:div>
    <w:div w:id="1193692070">
      <w:bodyDiv w:val="1"/>
      <w:marLeft w:val="0"/>
      <w:marRight w:val="0"/>
      <w:marTop w:val="0"/>
      <w:marBottom w:val="0"/>
      <w:divBdr>
        <w:top w:val="none" w:sz="0" w:space="0" w:color="auto"/>
        <w:left w:val="none" w:sz="0" w:space="0" w:color="auto"/>
        <w:bottom w:val="none" w:sz="0" w:space="0" w:color="auto"/>
        <w:right w:val="none" w:sz="0" w:space="0" w:color="auto"/>
      </w:divBdr>
    </w:div>
    <w:div w:id="1255746282">
      <w:bodyDiv w:val="1"/>
      <w:marLeft w:val="0"/>
      <w:marRight w:val="0"/>
      <w:marTop w:val="0"/>
      <w:marBottom w:val="0"/>
      <w:divBdr>
        <w:top w:val="none" w:sz="0" w:space="0" w:color="auto"/>
        <w:left w:val="none" w:sz="0" w:space="0" w:color="auto"/>
        <w:bottom w:val="none" w:sz="0" w:space="0" w:color="auto"/>
        <w:right w:val="none" w:sz="0" w:space="0" w:color="auto"/>
      </w:divBdr>
    </w:div>
    <w:div w:id="1266235126">
      <w:bodyDiv w:val="1"/>
      <w:marLeft w:val="0"/>
      <w:marRight w:val="0"/>
      <w:marTop w:val="0"/>
      <w:marBottom w:val="0"/>
      <w:divBdr>
        <w:top w:val="none" w:sz="0" w:space="0" w:color="auto"/>
        <w:left w:val="none" w:sz="0" w:space="0" w:color="auto"/>
        <w:bottom w:val="none" w:sz="0" w:space="0" w:color="auto"/>
        <w:right w:val="none" w:sz="0" w:space="0" w:color="auto"/>
      </w:divBdr>
    </w:div>
    <w:div w:id="1281566653">
      <w:bodyDiv w:val="1"/>
      <w:marLeft w:val="0"/>
      <w:marRight w:val="0"/>
      <w:marTop w:val="0"/>
      <w:marBottom w:val="0"/>
      <w:divBdr>
        <w:top w:val="none" w:sz="0" w:space="0" w:color="auto"/>
        <w:left w:val="none" w:sz="0" w:space="0" w:color="auto"/>
        <w:bottom w:val="none" w:sz="0" w:space="0" w:color="auto"/>
        <w:right w:val="none" w:sz="0" w:space="0" w:color="auto"/>
      </w:divBdr>
    </w:div>
    <w:div w:id="1409575284">
      <w:bodyDiv w:val="1"/>
      <w:marLeft w:val="0"/>
      <w:marRight w:val="0"/>
      <w:marTop w:val="0"/>
      <w:marBottom w:val="0"/>
      <w:divBdr>
        <w:top w:val="none" w:sz="0" w:space="0" w:color="auto"/>
        <w:left w:val="none" w:sz="0" w:space="0" w:color="auto"/>
        <w:bottom w:val="none" w:sz="0" w:space="0" w:color="auto"/>
        <w:right w:val="none" w:sz="0" w:space="0" w:color="auto"/>
      </w:divBdr>
      <w:divsChild>
        <w:div w:id="403529967">
          <w:marLeft w:val="0"/>
          <w:marRight w:val="0"/>
          <w:marTop w:val="0"/>
          <w:marBottom w:val="0"/>
          <w:divBdr>
            <w:top w:val="none" w:sz="0" w:space="0" w:color="auto"/>
            <w:left w:val="none" w:sz="0" w:space="0" w:color="auto"/>
            <w:bottom w:val="none" w:sz="0" w:space="0" w:color="auto"/>
            <w:right w:val="none" w:sz="0" w:space="0" w:color="auto"/>
          </w:divBdr>
        </w:div>
        <w:div w:id="925306566">
          <w:marLeft w:val="0"/>
          <w:marRight w:val="0"/>
          <w:marTop w:val="0"/>
          <w:marBottom w:val="0"/>
          <w:divBdr>
            <w:top w:val="none" w:sz="0" w:space="0" w:color="auto"/>
            <w:left w:val="none" w:sz="0" w:space="0" w:color="auto"/>
            <w:bottom w:val="none" w:sz="0" w:space="0" w:color="auto"/>
            <w:right w:val="none" w:sz="0" w:space="0" w:color="auto"/>
          </w:divBdr>
        </w:div>
        <w:div w:id="1482504587">
          <w:marLeft w:val="0"/>
          <w:marRight w:val="0"/>
          <w:marTop w:val="0"/>
          <w:marBottom w:val="0"/>
          <w:divBdr>
            <w:top w:val="none" w:sz="0" w:space="0" w:color="auto"/>
            <w:left w:val="none" w:sz="0" w:space="0" w:color="auto"/>
            <w:bottom w:val="none" w:sz="0" w:space="0" w:color="auto"/>
            <w:right w:val="none" w:sz="0" w:space="0" w:color="auto"/>
          </w:divBdr>
        </w:div>
        <w:div w:id="1571235888">
          <w:marLeft w:val="0"/>
          <w:marRight w:val="0"/>
          <w:marTop w:val="0"/>
          <w:marBottom w:val="0"/>
          <w:divBdr>
            <w:top w:val="none" w:sz="0" w:space="0" w:color="auto"/>
            <w:left w:val="none" w:sz="0" w:space="0" w:color="auto"/>
            <w:bottom w:val="none" w:sz="0" w:space="0" w:color="auto"/>
            <w:right w:val="none" w:sz="0" w:space="0" w:color="auto"/>
          </w:divBdr>
        </w:div>
        <w:div w:id="1712336368">
          <w:marLeft w:val="0"/>
          <w:marRight w:val="0"/>
          <w:marTop w:val="0"/>
          <w:marBottom w:val="0"/>
          <w:divBdr>
            <w:top w:val="none" w:sz="0" w:space="0" w:color="auto"/>
            <w:left w:val="none" w:sz="0" w:space="0" w:color="auto"/>
            <w:bottom w:val="none" w:sz="0" w:space="0" w:color="auto"/>
            <w:right w:val="none" w:sz="0" w:space="0" w:color="auto"/>
          </w:divBdr>
          <w:divsChild>
            <w:div w:id="737359348">
              <w:marLeft w:val="-75"/>
              <w:marRight w:val="0"/>
              <w:marTop w:val="30"/>
              <w:marBottom w:val="30"/>
              <w:divBdr>
                <w:top w:val="none" w:sz="0" w:space="0" w:color="auto"/>
                <w:left w:val="none" w:sz="0" w:space="0" w:color="auto"/>
                <w:bottom w:val="none" w:sz="0" w:space="0" w:color="auto"/>
                <w:right w:val="none" w:sz="0" w:space="0" w:color="auto"/>
              </w:divBdr>
              <w:divsChild>
                <w:div w:id="18286143">
                  <w:marLeft w:val="0"/>
                  <w:marRight w:val="0"/>
                  <w:marTop w:val="0"/>
                  <w:marBottom w:val="0"/>
                  <w:divBdr>
                    <w:top w:val="none" w:sz="0" w:space="0" w:color="auto"/>
                    <w:left w:val="none" w:sz="0" w:space="0" w:color="auto"/>
                    <w:bottom w:val="none" w:sz="0" w:space="0" w:color="auto"/>
                    <w:right w:val="none" w:sz="0" w:space="0" w:color="auto"/>
                  </w:divBdr>
                  <w:divsChild>
                    <w:div w:id="12801116">
                      <w:marLeft w:val="0"/>
                      <w:marRight w:val="0"/>
                      <w:marTop w:val="0"/>
                      <w:marBottom w:val="0"/>
                      <w:divBdr>
                        <w:top w:val="none" w:sz="0" w:space="0" w:color="auto"/>
                        <w:left w:val="none" w:sz="0" w:space="0" w:color="auto"/>
                        <w:bottom w:val="none" w:sz="0" w:space="0" w:color="auto"/>
                        <w:right w:val="none" w:sz="0" w:space="0" w:color="auto"/>
                      </w:divBdr>
                    </w:div>
                  </w:divsChild>
                </w:div>
                <w:div w:id="27803043">
                  <w:marLeft w:val="0"/>
                  <w:marRight w:val="0"/>
                  <w:marTop w:val="0"/>
                  <w:marBottom w:val="0"/>
                  <w:divBdr>
                    <w:top w:val="none" w:sz="0" w:space="0" w:color="auto"/>
                    <w:left w:val="none" w:sz="0" w:space="0" w:color="auto"/>
                    <w:bottom w:val="none" w:sz="0" w:space="0" w:color="auto"/>
                    <w:right w:val="none" w:sz="0" w:space="0" w:color="auto"/>
                  </w:divBdr>
                  <w:divsChild>
                    <w:div w:id="2120174824">
                      <w:marLeft w:val="0"/>
                      <w:marRight w:val="0"/>
                      <w:marTop w:val="0"/>
                      <w:marBottom w:val="0"/>
                      <w:divBdr>
                        <w:top w:val="none" w:sz="0" w:space="0" w:color="auto"/>
                        <w:left w:val="none" w:sz="0" w:space="0" w:color="auto"/>
                        <w:bottom w:val="none" w:sz="0" w:space="0" w:color="auto"/>
                        <w:right w:val="none" w:sz="0" w:space="0" w:color="auto"/>
                      </w:divBdr>
                    </w:div>
                  </w:divsChild>
                </w:div>
                <w:div w:id="53745446">
                  <w:marLeft w:val="0"/>
                  <w:marRight w:val="0"/>
                  <w:marTop w:val="0"/>
                  <w:marBottom w:val="0"/>
                  <w:divBdr>
                    <w:top w:val="none" w:sz="0" w:space="0" w:color="auto"/>
                    <w:left w:val="none" w:sz="0" w:space="0" w:color="auto"/>
                    <w:bottom w:val="none" w:sz="0" w:space="0" w:color="auto"/>
                    <w:right w:val="none" w:sz="0" w:space="0" w:color="auto"/>
                  </w:divBdr>
                  <w:divsChild>
                    <w:div w:id="379063310">
                      <w:marLeft w:val="0"/>
                      <w:marRight w:val="0"/>
                      <w:marTop w:val="0"/>
                      <w:marBottom w:val="0"/>
                      <w:divBdr>
                        <w:top w:val="none" w:sz="0" w:space="0" w:color="auto"/>
                        <w:left w:val="none" w:sz="0" w:space="0" w:color="auto"/>
                        <w:bottom w:val="none" w:sz="0" w:space="0" w:color="auto"/>
                        <w:right w:val="none" w:sz="0" w:space="0" w:color="auto"/>
                      </w:divBdr>
                    </w:div>
                  </w:divsChild>
                </w:div>
                <w:div w:id="71120451">
                  <w:marLeft w:val="0"/>
                  <w:marRight w:val="0"/>
                  <w:marTop w:val="0"/>
                  <w:marBottom w:val="0"/>
                  <w:divBdr>
                    <w:top w:val="none" w:sz="0" w:space="0" w:color="auto"/>
                    <w:left w:val="none" w:sz="0" w:space="0" w:color="auto"/>
                    <w:bottom w:val="none" w:sz="0" w:space="0" w:color="auto"/>
                    <w:right w:val="none" w:sz="0" w:space="0" w:color="auto"/>
                  </w:divBdr>
                  <w:divsChild>
                    <w:div w:id="1330326281">
                      <w:marLeft w:val="0"/>
                      <w:marRight w:val="0"/>
                      <w:marTop w:val="0"/>
                      <w:marBottom w:val="0"/>
                      <w:divBdr>
                        <w:top w:val="none" w:sz="0" w:space="0" w:color="auto"/>
                        <w:left w:val="none" w:sz="0" w:space="0" w:color="auto"/>
                        <w:bottom w:val="none" w:sz="0" w:space="0" w:color="auto"/>
                        <w:right w:val="none" w:sz="0" w:space="0" w:color="auto"/>
                      </w:divBdr>
                    </w:div>
                  </w:divsChild>
                </w:div>
                <w:div w:id="92168457">
                  <w:marLeft w:val="0"/>
                  <w:marRight w:val="0"/>
                  <w:marTop w:val="0"/>
                  <w:marBottom w:val="0"/>
                  <w:divBdr>
                    <w:top w:val="none" w:sz="0" w:space="0" w:color="auto"/>
                    <w:left w:val="none" w:sz="0" w:space="0" w:color="auto"/>
                    <w:bottom w:val="none" w:sz="0" w:space="0" w:color="auto"/>
                    <w:right w:val="none" w:sz="0" w:space="0" w:color="auto"/>
                  </w:divBdr>
                  <w:divsChild>
                    <w:div w:id="2051567754">
                      <w:marLeft w:val="0"/>
                      <w:marRight w:val="0"/>
                      <w:marTop w:val="0"/>
                      <w:marBottom w:val="0"/>
                      <w:divBdr>
                        <w:top w:val="none" w:sz="0" w:space="0" w:color="auto"/>
                        <w:left w:val="none" w:sz="0" w:space="0" w:color="auto"/>
                        <w:bottom w:val="none" w:sz="0" w:space="0" w:color="auto"/>
                        <w:right w:val="none" w:sz="0" w:space="0" w:color="auto"/>
                      </w:divBdr>
                    </w:div>
                  </w:divsChild>
                </w:div>
                <w:div w:id="94595366">
                  <w:marLeft w:val="0"/>
                  <w:marRight w:val="0"/>
                  <w:marTop w:val="0"/>
                  <w:marBottom w:val="0"/>
                  <w:divBdr>
                    <w:top w:val="none" w:sz="0" w:space="0" w:color="auto"/>
                    <w:left w:val="none" w:sz="0" w:space="0" w:color="auto"/>
                    <w:bottom w:val="none" w:sz="0" w:space="0" w:color="auto"/>
                    <w:right w:val="none" w:sz="0" w:space="0" w:color="auto"/>
                  </w:divBdr>
                  <w:divsChild>
                    <w:div w:id="509679307">
                      <w:marLeft w:val="0"/>
                      <w:marRight w:val="0"/>
                      <w:marTop w:val="0"/>
                      <w:marBottom w:val="0"/>
                      <w:divBdr>
                        <w:top w:val="none" w:sz="0" w:space="0" w:color="auto"/>
                        <w:left w:val="none" w:sz="0" w:space="0" w:color="auto"/>
                        <w:bottom w:val="none" w:sz="0" w:space="0" w:color="auto"/>
                        <w:right w:val="none" w:sz="0" w:space="0" w:color="auto"/>
                      </w:divBdr>
                    </w:div>
                  </w:divsChild>
                </w:div>
                <w:div w:id="114637519">
                  <w:marLeft w:val="0"/>
                  <w:marRight w:val="0"/>
                  <w:marTop w:val="0"/>
                  <w:marBottom w:val="0"/>
                  <w:divBdr>
                    <w:top w:val="none" w:sz="0" w:space="0" w:color="auto"/>
                    <w:left w:val="none" w:sz="0" w:space="0" w:color="auto"/>
                    <w:bottom w:val="none" w:sz="0" w:space="0" w:color="auto"/>
                    <w:right w:val="none" w:sz="0" w:space="0" w:color="auto"/>
                  </w:divBdr>
                  <w:divsChild>
                    <w:div w:id="602419027">
                      <w:marLeft w:val="0"/>
                      <w:marRight w:val="0"/>
                      <w:marTop w:val="0"/>
                      <w:marBottom w:val="0"/>
                      <w:divBdr>
                        <w:top w:val="none" w:sz="0" w:space="0" w:color="auto"/>
                        <w:left w:val="none" w:sz="0" w:space="0" w:color="auto"/>
                        <w:bottom w:val="none" w:sz="0" w:space="0" w:color="auto"/>
                        <w:right w:val="none" w:sz="0" w:space="0" w:color="auto"/>
                      </w:divBdr>
                    </w:div>
                  </w:divsChild>
                </w:div>
                <w:div w:id="163323043">
                  <w:marLeft w:val="0"/>
                  <w:marRight w:val="0"/>
                  <w:marTop w:val="0"/>
                  <w:marBottom w:val="0"/>
                  <w:divBdr>
                    <w:top w:val="none" w:sz="0" w:space="0" w:color="auto"/>
                    <w:left w:val="none" w:sz="0" w:space="0" w:color="auto"/>
                    <w:bottom w:val="none" w:sz="0" w:space="0" w:color="auto"/>
                    <w:right w:val="none" w:sz="0" w:space="0" w:color="auto"/>
                  </w:divBdr>
                  <w:divsChild>
                    <w:div w:id="1081372980">
                      <w:marLeft w:val="0"/>
                      <w:marRight w:val="0"/>
                      <w:marTop w:val="0"/>
                      <w:marBottom w:val="0"/>
                      <w:divBdr>
                        <w:top w:val="none" w:sz="0" w:space="0" w:color="auto"/>
                        <w:left w:val="none" w:sz="0" w:space="0" w:color="auto"/>
                        <w:bottom w:val="none" w:sz="0" w:space="0" w:color="auto"/>
                        <w:right w:val="none" w:sz="0" w:space="0" w:color="auto"/>
                      </w:divBdr>
                    </w:div>
                  </w:divsChild>
                </w:div>
                <w:div w:id="166790740">
                  <w:marLeft w:val="0"/>
                  <w:marRight w:val="0"/>
                  <w:marTop w:val="0"/>
                  <w:marBottom w:val="0"/>
                  <w:divBdr>
                    <w:top w:val="none" w:sz="0" w:space="0" w:color="auto"/>
                    <w:left w:val="none" w:sz="0" w:space="0" w:color="auto"/>
                    <w:bottom w:val="none" w:sz="0" w:space="0" w:color="auto"/>
                    <w:right w:val="none" w:sz="0" w:space="0" w:color="auto"/>
                  </w:divBdr>
                  <w:divsChild>
                    <w:div w:id="2144107462">
                      <w:marLeft w:val="0"/>
                      <w:marRight w:val="0"/>
                      <w:marTop w:val="0"/>
                      <w:marBottom w:val="0"/>
                      <w:divBdr>
                        <w:top w:val="none" w:sz="0" w:space="0" w:color="auto"/>
                        <w:left w:val="none" w:sz="0" w:space="0" w:color="auto"/>
                        <w:bottom w:val="none" w:sz="0" w:space="0" w:color="auto"/>
                        <w:right w:val="none" w:sz="0" w:space="0" w:color="auto"/>
                      </w:divBdr>
                    </w:div>
                  </w:divsChild>
                </w:div>
                <w:div w:id="227767920">
                  <w:marLeft w:val="0"/>
                  <w:marRight w:val="0"/>
                  <w:marTop w:val="0"/>
                  <w:marBottom w:val="0"/>
                  <w:divBdr>
                    <w:top w:val="none" w:sz="0" w:space="0" w:color="auto"/>
                    <w:left w:val="none" w:sz="0" w:space="0" w:color="auto"/>
                    <w:bottom w:val="none" w:sz="0" w:space="0" w:color="auto"/>
                    <w:right w:val="none" w:sz="0" w:space="0" w:color="auto"/>
                  </w:divBdr>
                  <w:divsChild>
                    <w:div w:id="360475943">
                      <w:marLeft w:val="0"/>
                      <w:marRight w:val="0"/>
                      <w:marTop w:val="0"/>
                      <w:marBottom w:val="0"/>
                      <w:divBdr>
                        <w:top w:val="none" w:sz="0" w:space="0" w:color="auto"/>
                        <w:left w:val="none" w:sz="0" w:space="0" w:color="auto"/>
                        <w:bottom w:val="none" w:sz="0" w:space="0" w:color="auto"/>
                        <w:right w:val="none" w:sz="0" w:space="0" w:color="auto"/>
                      </w:divBdr>
                    </w:div>
                  </w:divsChild>
                </w:div>
                <w:div w:id="234703251">
                  <w:marLeft w:val="0"/>
                  <w:marRight w:val="0"/>
                  <w:marTop w:val="0"/>
                  <w:marBottom w:val="0"/>
                  <w:divBdr>
                    <w:top w:val="none" w:sz="0" w:space="0" w:color="auto"/>
                    <w:left w:val="none" w:sz="0" w:space="0" w:color="auto"/>
                    <w:bottom w:val="none" w:sz="0" w:space="0" w:color="auto"/>
                    <w:right w:val="none" w:sz="0" w:space="0" w:color="auto"/>
                  </w:divBdr>
                  <w:divsChild>
                    <w:div w:id="1786389660">
                      <w:marLeft w:val="0"/>
                      <w:marRight w:val="0"/>
                      <w:marTop w:val="0"/>
                      <w:marBottom w:val="0"/>
                      <w:divBdr>
                        <w:top w:val="none" w:sz="0" w:space="0" w:color="auto"/>
                        <w:left w:val="none" w:sz="0" w:space="0" w:color="auto"/>
                        <w:bottom w:val="none" w:sz="0" w:space="0" w:color="auto"/>
                        <w:right w:val="none" w:sz="0" w:space="0" w:color="auto"/>
                      </w:divBdr>
                    </w:div>
                  </w:divsChild>
                </w:div>
                <w:div w:id="253756134">
                  <w:marLeft w:val="0"/>
                  <w:marRight w:val="0"/>
                  <w:marTop w:val="0"/>
                  <w:marBottom w:val="0"/>
                  <w:divBdr>
                    <w:top w:val="none" w:sz="0" w:space="0" w:color="auto"/>
                    <w:left w:val="none" w:sz="0" w:space="0" w:color="auto"/>
                    <w:bottom w:val="none" w:sz="0" w:space="0" w:color="auto"/>
                    <w:right w:val="none" w:sz="0" w:space="0" w:color="auto"/>
                  </w:divBdr>
                  <w:divsChild>
                    <w:div w:id="2117674681">
                      <w:marLeft w:val="0"/>
                      <w:marRight w:val="0"/>
                      <w:marTop w:val="0"/>
                      <w:marBottom w:val="0"/>
                      <w:divBdr>
                        <w:top w:val="none" w:sz="0" w:space="0" w:color="auto"/>
                        <w:left w:val="none" w:sz="0" w:space="0" w:color="auto"/>
                        <w:bottom w:val="none" w:sz="0" w:space="0" w:color="auto"/>
                        <w:right w:val="none" w:sz="0" w:space="0" w:color="auto"/>
                      </w:divBdr>
                    </w:div>
                  </w:divsChild>
                </w:div>
                <w:div w:id="277688038">
                  <w:marLeft w:val="0"/>
                  <w:marRight w:val="0"/>
                  <w:marTop w:val="0"/>
                  <w:marBottom w:val="0"/>
                  <w:divBdr>
                    <w:top w:val="none" w:sz="0" w:space="0" w:color="auto"/>
                    <w:left w:val="none" w:sz="0" w:space="0" w:color="auto"/>
                    <w:bottom w:val="none" w:sz="0" w:space="0" w:color="auto"/>
                    <w:right w:val="none" w:sz="0" w:space="0" w:color="auto"/>
                  </w:divBdr>
                  <w:divsChild>
                    <w:div w:id="1914201149">
                      <w:marLeft w:val="0"/>
                      <w:marRight w:val="0"/>
                      <w:marTop w:val="0"/>
                      <w:marBottom w:val="0"/>
                      <w:divBdr>
                        <w:top w:val="none" w:sz="0" w:space="0" w:color="auto"/>
                        <w:left w:val="none" w:sz="0" w:space="0" w:color="auto"/>
                        <w:bottom w:val="none" w:sz="0" w:space="0" w:color="auto"/>
                        <w:right w:val="none" w:sz="0" w:space="0" w:color="auto"/>
                      </w:divBdr>
                    </w:div>
                  </w:divsChild>
                </w:div>
                <w:div w:id="277881945">
                  <w:marLeft w:val="0"/>
                  <w:marRight w:val="0"/>
                  <w:marTop w:val="0"/>
                  <w:marBottom w:val="0"/>
                  <w:divBdr>
                    <w:top w:val="none" w:sz="0" w:space="0" w:color="auto"/>
                    <w:left w:val="none" w:sz="0" w:space="0" w:color="auto"/>
                    <w:bottom w:val="none" w:sz="0" w:space="0" w:color="auto"/>
                    <w:right w:val="none" w:sz="0" w:space="0" w:color="auto"/>
                  </w:divBdr>
                  <w:divsChild>
                    <w:div w:id="1007291230">
                      <w:marLeft w:val="0"/>
                      <w:marRight w:val="0"/>
                      <w:marTop w:val="0"/>
                      <w:marBottom w:val="0"/>
                      <w:divBdr>
                        <w:top w:val="none" w:sz="0" w:space="0" w:color="auto"/>
                        <w:left w:val="none" w:sz="0" w:space="0" w:color="auto"/>
                        <w:bottom w:val="none" w:sz="0" w:space="0" w:color="auto"/>
                        <w:right w:val="none" w:sz="0" w:space="0" w:color="auto"/>
                      </w:divBdr>
                    </w:div>
                  </w:divsChild>
                </w:div>
                <w:div w:id="286401227">
                  <w:marLeft w:val="0"/>
                  <w:marRight w:val="0"/>
                  <w:marTop w:val="0"/>
                  <w:marBottom w:val="0"/>
                  <w:divBdr>
                    <w:top w:val="none" w:sz="0" w:space="0" w:color="auto"/>
                    <w:left w:val="none" w:sz="0" w:space="0" w:color="auto"/>
                    <w:bottom w:val="none" w:sz="0" w:space="0" w:color="auto"/>
                    <w:right w:val="none" w:sz="0" w:space="0" w:color="auto"/>
                  </w:divBdr>
                  <w:divsChild>
                    <w:div w:id="2021538313">
                      <w:marLeft w:val="0"/>
                      <w:marRight w:val="0"/>
                      <w:marTop w:val="0"/>
                      <w:marBottom w:val="0"/>
                      <w:divBdr>
                        <w:top w:val="none" w:sz="0" w:space="0" w:color="auto"/>
                        <w:left w:val="none" w:sz="0" w:space="0" w:color="auto"/>
                        <w:bottom w:val="none" w:sz="0" w:space="0" w:color="auto"/>
                        <w:right w:val="none" w:sz="0" w:space="0" w:color="auto"/>
                      </w:divBdr>
                    </w:div>
                  </w:divsChild>
                </w:div>
                <w:div w:id="289633495">
                  <w:marLeft w:val="0"/>
                  <w:marRight w:val="0"/>
                  <w:marTop w:val="0"/>
                  <w:marBottom w:val="0"/>
                  <w:divBdr>
                    <w:top w:val="none" w:sz="0" w:space="0" w:color="auto"/>
                    <w:left w:val="none" w:sz="0" w:space="0" w:color="auto"/>
                    <w:bottom w:val="none" w:sz="0" w:space="0" w:color="auto"/>
                    <w:right w:val="none" w:sz="0" w:space="0" w:color="auto"/>
                  </w:divBdr>
                  <w:divsChild>
                    <w:div w:id="98453793">
                      <w:marLeft w:val="0"/>
                      <w:marRight w:val="0"/>
                      <w:marTop w:val="0"/>
                      <w:marBottom w:val="0"/>
                      <w:divBdr>
                        <w:top w:val="none" w:sz="0" w:space="0" w:color="auto"/>
                        <w:left w:val="none" w:sz="0" w:space="0" w:color="auto"/>
                        <w:bottom w:val="none" w:sz="0" w:space="0" w:color="auto"/>
                        <w:right w:val="none" w:sz="0" w:space="0" w:color="auto"/>
                      </w:divBdr>
                    </w:div>
                  </w:divsChild>
                </w:div>
                <w:div w:id="289671706">
                  <w:marLeft w:val="0"/>
                  <w:marRight w:val="0"/>
                  <w:marTop w:val="0"/>
                  <w:marBottom w:val="0"/>
                  <w:divBdr>
                    <w:top w:val="none" w:sz="0" w:space="0" w:color="auto"/>
                    <w:left w:val="none" w:sz="0" w:space="0" w:color="auto"/>
                    <w:bottom w:val="none" w:sz="0" w:space="0" w:color="auto"/>
                    <w:right w:val="none" w:sz="0" w:space="0" w:color="auto"/>
                  </w:divBdr>
                  <w:divsChild>
                    <w:div w:id="1569726176">
                      <w:marLeft w:val="0"/>
                      <w:marRight w:val="0"/>
                      <w:marTop w:val="0"/>
                      <w:marBottom w:val="0"/>
                      <w:divBdr>
                        <w:top w:val="none" w:sz="0" w:space="0" w:color="auto"/>
                        <w:left w:val="none" w:sz="0" w:space="0" w:color="auto"/>
                        <w:bottom w:val="none" w:sz="0" w:space="0" w:color="auto"/>
                        <w:right w:val="none" w:sz="0" w:space="0" w:color="auto"/>
                      </w:divBdr>
                    </w:div>
                  </w:divsChild>
                </w:div>
                <w:div w:id="321978602">
                  <w:marLeft w:val="0"/>
                  <w:marRight w:val="0"/>
                  <w:marTop w:val="0"/>
                  <w:marBottom w:val="0"/>
                  <w:divBdr>
                    <w:top w:val="none" w:sz="0" w:space="0" w:color="auto"/>
                    <w:left w:val="none" w:sz="0" w:space="0" w:color="auto"/>
                    <w:bottom w:val="none" w:sz="0" w:space="0" w:color="auto"/>
                    <w:right w:val="none" w:sz="0" w:space="0" w:color="auto"/>
                  </w:divBdr>
                  <w:divsChild>
                    <w:div w:id="1821461573">
                      <w:marLeft w:val="0"/>
                      <w:marRight w:val="0"/>
                      <w:marTop w:val="0"/>
                      <w:marBottom w:val="0"/>
                      <w:divBdr>
                        <w:top w:val="none" w:sz="0" w:space="0" w:color="auto"/>
                        <w:left w:val="none" w:sz="0" w:space="0" w:color="auto"/>
                        <w:bottom w:val="none" w:sz="0" w:space="0" w:color="auto"/>
                        <w:right w:val="none" w:sz="0" w:space="0" w:color="auto"/>
                      </w:divBdr>
                    </w:div>
                  </w:divsChild>
                </w:div>
                <w:div w:id="326522684">
                  <w:marLeft w:val="0"/>
                  <w:marRight w:val="0"/>
                  <w:marTop w:val="0"/>
                  <w:marBottom w:val="0"/>
                  <w:divBdr>
                    <w:top w:val="none" w:sz="0" w:space="0" w:color="auto"/>
                    <w:left w:val="none" w:sz="0" w:space="0" w:color="auto"/>
                    <w:bottom w:val="none" w:sz="0" w:space="0" w:color="auto"/>
                    <w:right w:val="none" w:sz="0" w:space="0" w:color="auto"/>
                  </w:divBdr>
                  <w:divsChild>
                    <w:div w:id="1403866224">
                      <w:marLeft w:val="0"/>
                      <w:marRight w:val="0"/>
                      <w:marTop w:val="0"/>
                      <w:marBottom w:val="0"/>
                      <w:divBdr>
                        <w:top w:val="none" w:sz="0" w:space="0" w:color="auto"/>
                        <w:left w:val="none" w:sz="0" w:space="0" w:color="auto"/>
                        <w:bottom w:val="none" w:sz="0" w:space="0" w:color="auto"/>
                        <w:right w:val="none" w:sz="0" w:space="0" w:color="auto"/>
                      </w:divBdr>
                    </w:div>
                  </w:divsChild>
                </w:div>
                <w:div w:id="348264417">
                  <w:marLeft w:val="0"/>
                  <w:marRight w:val="0"/>
                  <w:marTop w:val="0"/>
                  <w:marBottom w:val="0"/>
                  <w:divBdr>
                    <w:top w:val="none" w:sz="0" w:space="0" w:color="auto"/>
                    <w:left w:val="none" w:sz="0" w:space="0" w:color="auto"/>
                    <w:bottom w:val="none" w:sz="0" w:space="0" w:color="auto"/>
                    <w:right w:val="none" w:sz="0" w:space="0" w:color="auto"/>
                  </w:divBdr>
                  <w:divsChild>
                    <w:div w:id="1093823199">
                      <w:marLeft w:val="0"/>
                      <w:marRight w:val="0"/>
                      <w:marTop w:val="0"/>
                      <w:marBottom w:val="0"/>
                      <w:divBdr>
                        <w:top w:val="none" w:sz="0" w:space="0" w:color="auto"/>
                        <w:left w:val="none" w:sz="0" w:space="0" w:color="auto"/>
                        <w:bottom w:val="none" w:sz="0" w:space="0" w:color="auto"/>
                        <w:right w:val="none" w:sz="0" w:space="0" w:color="auto"/>
                      </w:divBdr>
                    </w:div>
                  </w:divsChild>
                </w:div>
                <w:div w:id="357393916">
                  <w:marLeft w:val="0"/>
                  <w:marRight w:val="0"/>
                  <w:marTop w:val="0"/>
                  <w:marBottom w:val="0"/>
                  <w:divBdr>
                    <w:top w:val="none" w:sz="0" w:space="0" w:color="auto"/>
                    <w:left w:val="none" w:sz="0" w:space="0" w:color="auto"/>
                    <w:bottom w:val="none" w:sz="0" w:space="0" w:color="auto"/>
                    <w:right w:val="none" w:sz="0" w:space="0" w:color="auto"/>
                  </w:divBdr>
                  <w:divsChild>
                    <w:div w:id="917321342">
                      <w:marLeft w:val="0"/>
                      <w:marRight w:val="0"/>
                      <w:marTop w:val="0"/>
                      <w:marBottom w:val="0"/>
                      <w:divBdr>
                        <w:top w:val="none" w:sz="0" w:space="0" w:color="auto"/>
                        <w:left w:val="none" w:sz="0" w:space="0" w:color="auto"/>
                        <w:bottom w:val="none" w:sz="0" w:space="0" w:color="auto"/>
                        <w:right w:val="none" w:sz="0" w:space="0" w:color="auto"/>
                      </w:divBdr>
                    </w:div>
                  </w:divsChild>
                </w:div>
                <w:div w:id="357632791">
                  <w:marLeft w:val="0"/>
                  <w:marRight w:val="0"/>
                  <w:marTop w:val="0"/>
                  <w:marBottom w:val="0"/>
                  <w:divBdr>
                    <w:top w:val="none" w:sz="0" w:space="0" w:color="auto"/>
                    <w:left w:val="none" w:sz="0" w:space="0" w:color="auto"/>
                    <w:bottom w:val="none" w:sz="0" w:space="0" w:color="auto"/>
                    <w:right w:val="none" w:sz="0" w:space="0" w:color="auto"/>
                  </w:divBdr>
                  <w:divsChild>
                    <w:div w:id="870846232">
                      <w:marLeft w:val="0"/>
                      <w:marRight w:val="0"/>
                      <w:marTop w:val="0"/>
                      <w:marBottom w:val="0"/>
                      <w:divBdr>
                        <w:top w:val="none" w:sz="0" w:space="0" w:color="auto"/>
                        <w:left w:val="none" w:sz="0" w:space="0" w:color="auto"/>
                        <w:bottom w:val="none" w:sz="0" w:space="0" w:color="auto"/>
                        <w:right w:val="none" w:sz="0" w:space="0" w:color="auto"/>
                      </w:divBdr>
                    </w:div>
                  </w:divsChild>
                </w:div>
                <w:div w:id="365565848">
                  <w:marLeft w:val="0"/>
                  <w:marRight w:val="0"/>
                  <w:marTop w:val="0"/>
                  <w:marBottom w:val="0"/>
                  <w:divBdr>
                    <w:top w:val="none" w:sz="0" w:space="0" w:color="auto"/>
                    <w:left w:val="none" w:sz="0" w:space="0" w:color="auto"/>
                    <w:bottom w:val="none" w:sz="0" w:space="0" w:color="auto"/>
                    <w:right w:val="none" w:sz="0" w:space="0" w:color="auto"/>
                  </w:divBdr>
                  <w:divsChild>
                    <w:div w:id="844898557">
                      <w:marLeft w:val="0"/>
                      <w:marRight w:val="0"/>
                      <w:marTop w:val="0"/>
                      <w:marBottom w:val="0"/>
                      <w:divBdr>
                        <w:top w:val="none" w:sz="0" w:space="0" w:color="auto"/>
                        <w:left w:val="none" w:sz="0" w:space="0" w:color="auto"/>
                        <w:bottom w:val="none" w:sz="0" w:space="0" w:color="auto"/>
                        <w:right w:val="none" w:sz="0" w:space="0" w:color="auto"/>
                      </w:divBdr>
                    </w:div>
                  </w:divsChild>
                </w:div>
                <w:div w:id="383256292">
                  <w:marLeft w:val="0"/>
                  <w:marRight w:val="0"/>
                  <w:marTop w:val="0"/>
                  <w:marBottom w:val="0"/>
                  <w:divBdr>
                    <w:top w:val="none" w:sz="0" w:space="0" w:color="auto"/>
                    <w:left w:val="none" w:sz="0" w:space="0" w:color="auto"/>
                    <w:bottom w:val="none" w:sz="0" w:space="0" w:color="auto"/>
                    <w:right w:val="none" w:sz="0" w:space="0" w:color="auto"/>
                  </w:divBdr>
                  <w:divsChild>
                    <w:div w:id="1757750071">
                      <w:marLeft w:val="0"/>
                      <w:marRight w:val="0"/>
                      <w:marTop w:val="0"/>
                      <w:marBottom w:val="0"/>
                      <w:divBdr>
                        <w:top w:val="none" w:sz="0" w:space="0" w:color="auto"/>
                        <w:left w:val="none" w:sz="0" w:space="0" w:color="auto"/>
                        <w:bottom w:val="none" w:sz="0" w:space="0" w:color="auto"/>
                        <w:right w:val="none" w:sz="0" w:space="0" w:color="auto"/>
                      </w:divBdr>
                    </w:div>
                  </w:divsChild>
                </w:div>
                <w:div w:id="385102643">
                  <w:marLeft w:val="0"/>
                  <w:marRight w:val="0"/>
                  <w:marTop w:val="0"/>
                  <w:marBottom w:val="0"/>
                  <w:divBdr>
                    <w:top w:val="none" w:sz="0" w:space="0" w:color="auto"/>
                    <w:left w:val="none" w:sz="0" w:space="0" w:color="auto"/>
                    <w:bottom w:val="none" w:sz="0" w:space="0" w:color="auto"/>
                    <w:right w:val="none" w:sz="0" w:space="0" w:color="auto"/>
                  </w:divBdr>
                  <w:divsChild>
                    <w:div w:id="1262495100">
                      <w:marLeft w:val="0"/>
                      <w:marRight w:val="0"/>
                      <w:marTop w:val="0"/>
                      <w:marBottom w:val="0"/>
                      <w:divBdr>
                        <w:top w:val="none" w:sz="0" w:space="0" w:color="auto"/>
                        <w:left w:val="none" w:sz="0" w:space="0" w:color="auto"/>
                        <w:bottom w:val="none" w:sz="0" w:space="0" w:color="auto"/>
                        <w:right w:val="none" w:sz="0" w:space="0" w:color="auto"/>
                      </w:divBdr>
                    </w:div>
                  </w:divsChild>
                </w:div>
                <w:div w:id="385178268">
                  <w:marLeft w:val="0"/>
                  <w:marRight w:val="0"/>
                  <w:marTop w:val="0"/>
                  <w:marBottom w:val="0"/>
                  <w:divBdr>
                    <w:top w:val="none" w:sz="0" w:space="0" w:color="auto"/>
                    <w:left w:val="none" w:sz="0" w:space="0" w:color="auto"/>
                    <w:bottom w:val="none" w:sz="0" w:space="0" w:color="auto"/>
                    <w:right w:val="none" w:sz="0" w:space="0" w:color="auto"/>
                  </w:divBdr>
                  <w:divsChild>
                    <w:div w:id="193268917">
                      <w:marLeft w:val="0"/>
                      <w:marRight w:val="0"/>
                      <w:marTop w:val="0"/>
                      <w:marBottom w:val="0"/>
                      <w:divBdr>
                        <w:top w:val="none" w:sz="0" w:space="0" w:color="auto"/>
                        <w:left w:val="none" w:sz="0" w:space="0" w:color="auto"/>
                        <w:bottom w:val="none" w:sz="0" w:space="0" w:color="auto"/>
                        <w:right w:val="none" w:sz="0" w:space="0" w:color="auto"/>
                      </w:divBdr>
                    </w:div>
                  </w:divsChild>
                </w:div>
                <w:div w:id="385683401">
                  <w:marLeft w:val="0"/>
                  <w:marRight w:val="0"/>
                  <w:marTop w:val="0"/>
                  <w:marBottom w:val="0"/>
                  <w:divBdr>
                    <w:top w:val="none" w:sz="0" w:space="0" w:color="auto"/>
                    <w:left w:val="none" w:sz="0" w:space="0" w:color="auto"/>
                    <w:bottom w:val="none" w:sz="0" w:space="0" w:color="auto"/>
                    <w:right w:val="none" w:sz="0" w:space="0" w:color="auto"/>
                  </w:divBdr>
                  <w:divsChild>
                    <w:div w:id="545988611">
                      <w:marLeft w:val="0"/>
                      <w:marRight w:val="0"/>
                      <w:marTop w:val="0"/>
                      <w:marBottom w:val="0"/>
                      <w:divBdr>
                        <w:top w:val="none" w:sz="0" w:space="0" w:color="auto"/>
                        <w:left w:val="none" w:sz="0" w:space="0" w:color="auto"/>
                        <w:bottom w:val="none" w:sz="0" w:space="0" w:color="auto"/>
                        <w:right w:val="none" w:sz="0" w:space="0" w:color="auto"/>
                      </w:divBdr>
                    </w:div>
                  </w:divsChild>
                </w:div>
                <w:div w:id="407458954">
                  <w:marLeft w:val="0"/>
                  <w:marRight w:val="0"/>
                  <w:marTop w:val="0"/>
                  <w:marBottom w:val="0"/>
                  <w:divBdr>
                    <w:top w:val="none" w:sz="0" w:space="0" w:color="auto"/>
                    <w:left w:val="none" w:sz="0" w:space="0" w:color="auto"/>
                    <w:bottom w:val="none" w:sz="0" w:space="0" w:color="auto"/>
                    <w:right w:val="none" w:sz="0" w:space="0" w:color="auto"/>
                  </w:divBdr>
                  <w:divsChild>
                    <w:div w:id="537862967">
                      <w:marLeft w:val="0"/>
                      <w:marRight w:val="0"/>
                      <w:marTop w:val="0"/>
                      <w:marBottom w:val="0"/>
                      <w:divBdr>
                        <w:top w:val="none" w:sz="0" w:space="0" w:color="auto"/>
                        <w:left w:val="none" w:sz="0" w:space="0" w:color="auto"/>
                        <w:bottom w:val="none" w:sz="0" w:space="0" w:color="auto"/>
                        <w:right w:val="none" w:sz="0" w:space="0" w:color="auto"/>
                      </w:divBdr>
                    </w:div>
                  </w:divsChild>
                </w:div>
                <w:div w:id="417675153">
                  <w:marLeft w:val="0"/>
                  <w:marRight w:val="0"/>
                  <w:marTop w:val="0"/>
                  <w:marBottom w:val="0"/>
                  <w:divBdr>
                    <w:top w:val="none" w:sz="0" w:space="0" w:color="auto"/>
                    <w:left w:val="none" w:sz="0" w:space="0" w:color="auto"/>
                    <w:bottom w:val="none" w:sz="0" w:space="0" w:color="auto"/>
                    <w:right w:val="none" w:sz="0" w:space="0" w:color="auto"/>
                  </w:divBdr>
                  <w:divsChild>
                    <w:div w:id="801536476">
                      <w:marLeft w:val="0"/>
                      <w:marRight w:val="0"/>
                      <w:marTop w:val="0"/>
                      <w:marBottom w:val="0"/>
                      <w:divBdr>
                        <w:top w:val="none" w:sz="0" w:space="0" w:color="auto"/>
                        <w:left w:val="none" w:sz="0" w:space="0" w:color="auto"/>
                        <w:bottom w:val="none" w:sz="0" w:space="0" w:color="auto"/>
                        <w:right w:val="none" w:sz="0" w:space="0" w:color="auto"/>
                      </w:divBdr>
                    </w:div>
                  </w:divsChild>
                </w:div>
                <w:div w:id="425149478">
                  <w:marLeft w:val="0"/>
                  <w:marRight w:val="0"/>
                  <w:marTop w:val="0"/>
                  <w:marBottom w:val="0"/>
                  <w:divBdr>
                    <w:top w:val="none" w:sz="0" w:space="0" w:color="auto"/>
                    <w:left w:val="none" w:sz="0" w:space="0" w:color="auto"/>
                    <w:bottom w:val="none" w:sz="0" w:space="0" w:color="auto"/>
                    <w:right w:val="none" w:sz="0" w:space="0" w:color="auto"/>
                  </w:divBdr>
                  <w:divsChild>
                    <w:div w:id="340207563">
                      <w:marLeft w:val="0"/>
                      <w:marRight w:val="0"/>
                      <w:marTop w:val="0"/>
                      <w:marBottom w:val="0"/>
                      <w:divBdr>
                        <w:top w:val="none" w:sz="0" w:space="0" w:color="auto"/>
                        <w:left w:val="none" w:sz="0" w:space="0" w:color="auto"/>
                        <w:bottom w:val="none" w:sz="0" w:space="0" w:color="auto"/>
                        <w:right w:val="none" w:sz="0" w:space="0" w:color="auto"/>
                      </w:divBdr>
                    </w:div>
                  </w:divsChild>
                </w:div>
                <w:div w:id="432743478">
                  <w:marLeft w:val="0"/>
                  <w:marRight w:val="0"/>
                  <w:marTop w:val="0"/>
                  <w:marBottom w:val="0"/>
                  <w:divBdr>
                    <w:top w:val="none" w:sz="0" w:space="0" w:color="auto"/>
                    <w:left w:val="none" w:sz="0" w:space="0" w:color="auto"/>
                    <w:bottom w:val="none" w:sz="0" w:space="0" w:color="auto"/>
                    <w:right w:val="none" w:sz="0" w:space="0" w:color="auto"/>
                  </w:divBdr>
                  <w:divsChild>
                    <w:div w:id="1556426909">
                      <w:marLeft w:val="0"/>
                      <w:marRight w:val="0"/>
                      <w:marTop w:val="0"/>
                      <w:marBottom w:val="0"/>
                      <w:divBdr>
                        <w:top w:val="none" w:sz="0" w:space="0" w:color="auto"/>
                        <w:left w:val="none" w:sz="0" w:space="0" w:color="auto"/>
                        <w:bottom w:val="none" w:sz="0" w:space="0" w:color="auto"/>
                        <w:right w:val="none" w:sz="0" w:space="0" w:color="auto"/>
                      </w:divBdr>
                    </w:div>
                  </w:divsChild>
                </w:div>
                <w:div w:id="493305102">
                  <w:marLeft w:val="0"/>
                  <w:marRight w:val="0"/>
                  <w:marTop w:val="0"/>
                  <w:marBottom w:val="0"/>
                  <w:divBdr>
                    <w:top w:val="none" w:sz="0" w:space="0" w:color="auto"/>
                    <w:left w:val="none" w:sz="0" w:space="0" w:color="auto"/>
                    <w:bottom w:val="none" w:sz="0" w:space="0" w:color="auto"/>
                    <w:right w:val="none" w:sz="0" w:space="0" w:color="auto"/>
                  </w:divBdr>
                  <w:divsChild>
                    <w:div w:id="1274559046">
                      <w:marLeft w:val="0"/>
                      <w:marRight w:val="0"/>
                      <w:marTop w:val="0"/>
                      <w:marBottom w:val="0"/>
                      <w:divBdr>
                        <w:top w:val="none" w:sz="0" w:space="0" w:color="auto"/>
                        <w:left w:val="none" w:sz="0" w:space="0" w:color="auto"/>
                        <w:bottom w:val="none" w:sz="0" w:space="0" w:color="auto"/>
                        <w:right w:val="none" w:sz="0" w:space="0" w:color="auto"/>
                      </w:divBdr>
                    </w:div>
                  </w:divsChild>
                </w:div>
                <w:div w:id="512648395">
                  <w:marLeft w:val="0"/>
                  <w:marRight w:val="0"/>
                  <w:marTop w:val="0"/>
                  <w:marBottom w:val="0"/>
                  <w:divBdr>
                    <w:top w:val="none" w:sz="0" w:space="0" w:color="auto"/>
                    <w:left w:val="none" w:sz="0" w:space="0" w:color="auto"/>
                    <w:bottom w:val="none" w:sz="0" w:space="0" w:color="auto"/>
                    <w:right w:val="none" w:sz="0" w:space="0" w:color="auto"/>
                  </w:divBdr>
                  <w:divsChild>
                    <w:div w:id="471756625">
                      <w:marLeft w:val="0"/>
                      <w:marRight w:val="0"/>
                      <w:marTop w:val="0"/>
                      <w:marBottom w:val="0"/>
                      <w:divBdr>
                        <w:top w:val="none" w:sz="0" w:space="0" w:color="auto"/>
                        <w:left w:val="none" w:sz="0" w:space="0" w:color="auto"/>
                        <w:bottom w:val="none" w:sz="0" w:space="0" w:color="auto"/>
                        <w:right w:val="none" w:sz="0" w:space="0" w:color="auto"/>
                      </w:divBdr>
                    </w:div>
                  </w:divsChild>
                </w:div>
                <w:div w:id="527911257">
                  <w:marLeft w:val="0"/>
                  <w:marRight w:val="0"/>
                  <w:marTop w:val="0"/>
                  <w:marBottom w:val="0"/>
                  <w:divBdr>
                    <w:top w:val="none" w:sz="0" w:space="0" w:color="auto"/>
                    <w:left w:val="none" w:sz="0" w:space="0" w:color="auto"/>
                    <w:bottom w:val="none" w:sz="0" w:space="0" w:color="auto"/>
                    <w:right w:val="none" w:sz="0" w:space="0" w:color="auto"/>
                  </w:divBdr>
                  <w:divsChild>
                    <w:div w:id="1697925776">
                      <w:marLeft w:val="0"/>
                      <w:marRight w:val="0"/>
                      <w:marTop w:val="0"/>
                      <w:marBottom w:val="0"/>
                      <w:divBdr>
                        <w:top w:val="none" w:sz="0" w:space="0" w:color="auto"/>
                        <w:left w:val="none" w:sz="0" w:space="0" w:color="auto"/>
                        <w:bottom w:val="none" w:sz="0" w:space="0" w:color="auto"/>
                        <w:right w:val="none" w:sz="0" w:space="0" w:color="auto"/>
                      </w:divBdr>
                    </w:div>
                  </w:divsChild>
                </w:div>
                <w:div w:id="547305897">
                  <w:marLeft w:val="0"/>
                  <w:marRight w:val="0"/>
                  <w:marTop w:val="0"/>
                  <w:marBottom w:val="0"/>
                  <w:divBdr>
                    <w:top w:val="none" w:sz="0" w:space="0" w:color="auto"/>
                    <w:left w:val="none" w:sz="0" w:space="0" w:color="auto"/>
                    <w:bottom w:val="none" w:sz="0" w:space="0" w:color="auto"/>
                    <w:right w:val="none" w:sz="0" w:space="0" w:color="auto"/>
                  </w:divBdr>
                  <w:divsChild>
                    <w:div w:id="583106366">
                      <w:marLeft w:val="0"/>
                      <w:marRight w:val="0"/>
                      <w:marTop w:val="0"/>
                      <w:marBottom w:val="0"/>
                      <w:divBdr>
                        <w:top w:val="none" w:sz="0" w:space="0" w:color="auto"/>
                        <w:left w:val="none" w:sz="0" w:space="0" w:color="auto"/>
                        <w:bottom w:val="none" w:sz="0" w:space="0" w:color="auto"/>
                        <w:right w:val="none" w:sz="0" w:space="0" w:color="auto"/>
                      </w:divBdr>
                    </w:div>
                  </w:divsChild>
                </w:div>
                <w:div w:id="578561110">
                  <w:marLeft w:val="0"/>
                  <w:marRight w:val="0"/>
                  <w:marTop w:val="0"/>
                  <w:marBottom w:val="0"/>
                  <w:divBdr>
                    <w:top w:val="none" w:sz="0" w:space="0" w:color="auto"/>
                    <w:left w:val="none" w:sz="0" w:space="0" w:color="auto"/>
                    <w:bottom w:val="none" w:sz="0" w:space="0" w:color="auto"/>
                    <w:right w:val="none" w:sz="0" w:space="0" w:color="auto"/>
                  </w:divBdr>
                  <w:divsChild>
                    <w:div w:id="1941066155">
                      <w:marLeft w:val="0"/>
                      <w:marRight w:val="0"/>
                      <w:marTop w:val="0"/>
                      <w:marBottom w:val="0"/>
                      <w:divBdr>
                        <w:top w:val="none" w:sz="0" w:space="0" w:color="auto"/>
                        <w:left w:val="none" w:sz="0" w:space="0" w:color="auto"/>
                        <w:bottom w:val="none" w:sz="0" w:space="0" w:color="auto"/>
                        <w:right w:val="none" w:sz="0" w:space="0" w:color="auto"/>
                      </w:divBdr>
                    </w:div>
                  </w:divsChild>
                </w:div>
                <w:div w:id="589319163">
                  <w:marLeft w:val="0"/>
                  <w:marRight w:val="0"/>
                  <w:marTop w:val="0"/>
                  <w:marBottom w:val="0"/>
                  <w:divBdr>
                    <w:top w:val="none" w:sz="0" w:space="0" w:color="auto"/>
                    <w:left w:val="none" w:sz="0" w:space="0" w:color="auto"/>
                    <w:bottom w:val="none" w:sz="0" w:space="0" w:color="auto"/>
                    <w:right w:val="none" w:sz="0" w:space="0" w:color="auto"/>
                  </w:divBdr>
                  <w:divsChild>
                    <w:div w:id="1737823247">
                      <w:marLeft w:val="0"/>
                      <w:marRight w:val="0"/>
                      <w:marTop w:val="0"/>
                      <w:marBottom w:val="0"/>
                      <w:divBdr>
                        <w:top w:val="none" w:sz="0" w:space="0" w:color="auto"/>
                        <w:left w:val="none" w:sz="0" w:space="0" w:color="auto"/>
                        <w:bottom w:val="none" w:sz="0" w:space="0" w:color="auto"/>
                        <w:right w:val="none" w:sz="0" w:space="0" w:color="auto"/>
                      </w:divBdr>
                    </w:div>
                  </w:divsChild>
                </w:div>
                <w:div w:id="618996938">
                  <w:marLeft w:val="0"/>
                  <w:marRight w:val="0"/>
                  <w:marTop w:val="0"/>
                  <w:marBottom w:val="0"/>
                  <w:divBdr>
                    <w:top w:val="none" w:sz="0" w:space="0" w:color="auto"/>
                    <w:left w:val="none" w:sz="0" w:space="0" w:color="auto"/>
                    <w:bottom w:val="none" w:sz="0" w:space="0" w:color="auto"/>
                    <w:right w:val="none" w:sz="0" w:space="0" w:color="auto"/>
                  </w:divBdr>
                  <w:divsChild>
                    <w:div w:id="529563371">
                      <w:marLeft w:val="0"/>
                      <w:marRight w:val="0"/>
                      <w:marTop w:val="0"/>
                      <w:marBottom w:val="0"/>
                      <w:divBdr>
                        <w:top w:val="none" w:sz="0" w:space="0" w:color="auto"/>
                        <w:left w:val="none" w:sz="0" w:space="0" w:color="auto"/>
                        <w:bottom w:val="none" w:sz="0" w:space="0" w:color="auto"/>
                        <w:right w:val="none" w:sz="0" w:space="0" w:color="auto"/>
                      </w:divBdr>
                    </w:div>
                  </w:divsChild>
                </w:div>
                <w:div w:id="629434256">
                  <w:marLeft w:val="0"/>
                  <w:marRight w:val="0"/>
                  <w:marTop w:val="0"/>
                  <w:marBottom w:val="0"/>
                  <w:divBdr>
                    <w:top w:val="none" w:sz="0" w:space="0" w:color="auto"/>
                    <w:left w:val="none" w:sz="0" w:space="0" w:color="auto"/>
                    <w:bottom w:val="none" w:sz="0" w:space="0" w:color="auto"/>
                    <w:right w:val="none" w:sz="0" w:space="0" w:color="auto"/>
                  </w:divBdr>
                  <w:divsChild>
                    <w:div w:id="1099452332">
                      <w:marLeft w:val="0"/>
                      <w:marRight w:val="0"/>
                      <w:marTop w:val="0"/>
                      <w:marBottom w:val="0"/>
                      <w:divBdr>
                        <w:top w:val="none" w:sz="0" w:space="0" w:color="auto"/>
                        <w:left w:val="none" w:sz="0" w:space="0" w:color="auto"/>
                        <w:bottom w:val="none" w:sz="0" w:space="0" w:color="auto"/>
                        <w:right w:val="none" w:sz="0" w:space="0" w:color="auto"/>
                      </w:divBdr>
                    </w:div>
                  </w:divsChild>
                </w:div>
                <w:div w:id="637494855">
                  <w:marLeft w:val="0"/>
                  <w:marRight w:val="0"/>
                  <w:marTop w:val="0"/>
                  <w:marBottom w:val="0"/>
                  <w:divBdr>
                    <w:top w:val="none" w:sz="0" w:space="0" w:color="auto"/>
                    <w:left w:val="none" w:sz="0" w:space="0" w:color="auto"/>
                    <w:bottom w:val="none" w:sz="0" w:space="0" w:color="auto"/>
                    <w:right w:val="none" w:sz="0" w:space="0" w:color="auto"/>
                  </w:divBdr>
                  <w:divsChild>
                    <w:div w:id="1319502329">
                      <w:marLeft w:val="0"/>
                      <w:marRight w:val="0"/>
                      <w:marTop w:val="0"/>
                      <w:marBottom w:val="0"/>
                      <w:divBdr>
                        <w:top w:val="none" w:sz="0" w:space="0" w:color="auto"/>
                        <w:left w:val="none" w:sz="0" w:space="0" w:color="auto"/>
                        <w:bottom w:val="none" w:sz="0" w:space="0" w:color="auto"/>
                        <w:right w:val="none" w:sz="0" w:space="0" w:color="auto"/>
                      </w:divBdr>
                    </w:div>
                  </w:divsChild>
                </w:div>
                <w:div w:id="650864652">
                  <w:marLeft w:val="0"/>
                  <w:marRight w:val="0"/>
                  <w:marTop w:val="0"/>
                  <w:marBottom w:val="0"/>
                  <w:divBdr>
                    <w:top w:val="none" w:sz="0" w:space="0" w:color="auto"/>
                    <w:left w:val="none" w:sz="0" w:space="0" w:color="auto"/>
                    <w:bottom w:val="none" w:sz="0" w:space="0" w:color="auto"/>
                    <w:right w:val="none" w:sz="0" w:space="0" w:color="auto"/>
                  </w:divBdr>
                  <w:divsChild>
                    <w:div w:id="311100050">
                      <w:marLeft w:val="0"/>
                      <w:marRight w:val="0"/>
                      <w:marTop w:val="0"/>
                      <w:marBottom w:val="0"/>
                      <w:divBdr>
                        <w:top w:val="none" w:sz="0" w:space="0" w:color="auto"/>
                        <w:left w:val="none" w:sz="0" w:space="0" w:color="auto"/>
                        <w:bottom w:val="none" w:sz="0" w:space="0" w:color="auto"/>
                        <w:right w:val="none" w:sz="0" w:space="0" w:color="auto"/>
                      </w:divBdr>
                    </w:div>
                  </w:divsChild>
                </w:div>
                <w:div w:id="652105125">
                  <w:marLeft w:val="0"/>
                  <w:marRight w:val="0"/>
                  <w:marTop w:val="0"/>
                  <w:marBottom w:val="0"/>
                  <w:divBdr>
                    <w:top w:val="none" w:sz="0" w:space="0" w:color="auto"/>
                    <w:left w:val="none" w:sz="0" w:space="0" w:color="auto"/>
                    <w:bottom w:val="none" w:sz="0" w:space="0" w:color="auto"/>
                    <w:right w:val="none" w:sz="0" w:space="0" w:color="auto"/>
                  </w:divBdr>
                  <w:divsChild>
                    <w:div w:id="703216532">
                      <w:marLeft w:val="0"/>
                      <w:marRight w:val="0"/>
                      <w:marTop w:val="0"/>
                      <w:marBottom w:val="0"/>
                      <w:divBdr>
                        <w:top w:val="none" w:sz="0" w:space="0" w:color="auto"/>
                        <w:left w:val="none" w:sz="0" w:space="0" w:color="auto"/>
                        <w:bottom w:val="none" w:sz="0" w:space="0" w:color="auto"/>
                        <w:right w:val="none" w:sz="0" w:space="0" w:color="auto"/>
                      </w:divBdr>
                    </w:div>
                  </w:divsChild>
                </w:div>
                <w:div w:id="669717373">
                  <w:marLeft w:val="0"/>
                  <w:marRight w:val="0"/>
                  <w:marTop w:val="0"/>
                  <w:marBottom w:val="0"/>
                  <w:divBdr>
                    <w:top w:val="none" w:sz="0" w:space="0" w:color="auto"/>
                    <w:left w:val="none" w:sz="0" w:space="0" w:color="auto"/>
                    <w:bottom w:val="none" w:sz="0" w:space="0" w:color="auto"/>
                    <w:right w:val="none" w:sz="0" w:space="0" w:color="auto"/>
                  </w:divBdr>
                  <w:divsChild>
                    <w:div w:id="906188280">
                      <w:marLeft w:val="0"/>
                      <w:marRight w:val="0"/>
                      <w:marTop w:val="0"/>
                      <w:marBottom w:val="0"/>
                      <w:divBdr>
                        <w:top w:val="none" w:sz="0" w:space="0" w:color="auto"/>
                        <w:left w:val="none" w:sz="0" w:space="0" w:color="auto"/>
                        <w:bottom w:val="none" w:sz="0" w:space="0" w:color="auto"/>
                        <w:right w:val="none" w:sz="0" w:space="0" w:color="auto"/>
                      </w:divBdr>
                    </w:div>
                  </w:divsChild>
                </w:div>
                <w:div w:id="674115970">
                  <w:marLeft w:val="0"/>
                  <w:marRight w:val="0"/>
                  <w:marTop w:val="0"/>
                  <w:marBottom w:val="0"/>
                  <w:divBdr>
                    <w:top w:val="none" w:sz="0" w:space="0" w:color="auto"/>
                    <w:left w:val="none" w:sz="0" w:space="0" w:color="auto"/>
                    <w:bottom w:val="none" w:sz="0" w:space="0" w:color="auto"/>
                    <w:right w:val="none" w:sz="0" w:space="0" w:color="auto"/>
                  </w:divBdr>
                  <w:divsChild>
                    <w:div w:id="491603727">
                      <w:marLeft w:val="0"/>
                      <w:marRight w:val="0"/>
                      <w:marTop w:val="0"/>
                      <w:marBottom w:val="0"/>
                      <w:divBdr>
                        <w:top w:val="none" w:sz="0" w:space="0" w:color="auto"/>
                        <w:left w:val="none" w:sz="0" w:space="0" w:color="auto"/>
                        <w:bottom w:val="none" w:sz="0" w:space="0" w:color="auto"/>
                        <w:right w:val="none" w:sz="0" w:space="0" w:color="auto"/>
                      </w:divBdr>
                    </w:div>
                  </w:divsChild>
                </w:div>
                <w:div w:id="674725601">
                  <w:marLeft w:val="0"/>
                  <w:marRight w:val="0"/>
                  <w:marTop w:val="0"/>
                  <w:marBottom w:val="0"/>
                  <w:divBdr>
                    <w:top w:val="none" w:sz="0" w:space="0" w:color="auto"/>
                    <w:left w:val="none" w:sz="0" w:space="0" w:color="auto"/>
                    <w:bottom w:val="none" w:sz="0" w:space="0" w:color="auto"/>
                    <w:right w:val="none" w:sz="0" w:space="0" w:color="auto"/>
                  </w:divBdr>
                  <w:divsChild>
                    <w:div w:id="916010789">
                      <w:marLeft w:val="0"/>
                      <w:marRight w:val="0"/>
                      <w:marTop w:val="0"/>
                      <w:marBottom w:val="0"/>
                      <w:divBdr>
                        <w:top w:val="none" w:sz="0" w:space="0" w:color="auto"/>
                        <w:left w:val="none" w:sz="0" w:space="0" w:color="auto"/>
                        <w:bottom w:val="none" w:sz="0" w:space="0" w:color="auto"/>
                        <w:right w:val="none" w:sz="0" w:space="0" w:color="auto"/>
                      </w:divBdr>
                    </w:div>
                  </w:divsChild>
                </w:div>
                <w:div w:id="675422814">
                  <w:marLeft w:val="0"/>
                  <w:marRight w:val="0"/>
                  <w:marTop w:val="0"/>
                  <w:marBottom w:val="0"/>
                  <w:divBdr>
                    <w:top w:val="none" w:sz="0" w:space="0" w:color="auto"/>
                    <w:left w:val="none" w:sz="0" w:space="0" w:color="auto"/>
                    <w:bottom w:val="none" w:sz="0" w:space="0" w:color="auto"/>
                    <w:right w:val="none" w:sz="0" w:space="0" w:color="auto"/>
                  </w:divBdr>
                  <w:divsChild>
                    <w:div w:id="484470389">
                      <w:marLeft w:val="0"/>
                      <w:marRight w:val="0"/>
                      <w:marTop w:val="0"/>
                      <w:marBottom w:val="0"/>
                      <w:divBdr>
                        <w:top w:val="none" w:sz="0" w:space="0" w:color="auto"/>
                        <w:left w:val="none" w:sz="0" w:space="0" w:color="auto"/>
                        <w:bottom w:val="none" w:sz="0" w:space="0" w:color="auto"/>
                        <w:right w:val="none" w:sz="0" w:space="0" w:color="auto"/>
                      </w:divBdr>
                    </w:div>
                  </w:divsChild>
                </w:div>
                <w:div w:id="678195731">
                  <w:marLeft w:val="0"/>
                  <w:marRight w:val="0"/>
                  <w:marTop w:val="0"/>
                  <w:marBottom w:val="0"/>
                  <w:divBdr>
                    <w:top w:val="none" w:sz="0" w:space="0" w:color="auto"/>
                    <w:left w:val="none" w:sz="0" w:space="0" w:color="auto"/>
                    <w:bottom w:val="none" w:sz="0" w:space="0" w:color="auto"/>
                    <w:right w:val="none" w:sz="0" w:space="0" w:color="auto"/>
                  </w:divBdr>
                  <w:divsChild>
                    <w:div w:id="237641805">
                      <w:marLeft w:val="0"/>
                      <w:marRight w:val="0"/>
                      <w:marTop w:val="0"/>
                      <w:marBottom w:val="0"/>
                      <w:divBdr>
                        <w:top w:val="none" w:sz="0" w:space="0" w:color="auto"/>
                        <w:left w:val="none" w:sz="0" w:space="0" w:color="auto"/>
                        <w:bottom w:val="none" w:sz="0" w:space="0" w:color="auto"/>
                        <w:right w:val="none" w:sz="0" w:space="0" w:color="auto"/>
                      </w:divBdr>
                    </w:div>
                  </w:divsChild>
                </w:div>
                <w:div w:id="738791618">
                  <w:marLeft w:val="0"/>
                  <w:marRight w:val="0"/>
                  <w:marTop w:val="0"/>
                  <w:marBottom w:val="0"/>
                  <w:divBdr>
                    <w:top w:val="none" w:sz="0" w:space="0" w:color="auto"/>
                    <w:left w:val="none" w:sz="0" w:space="0" w:color="auto"/>
                    <w:bottom w:val="none" w:sz="0" w:space="0" w:color="auto"/>
                    <w:right w:val="none" w:sz="0" w:space="0" w:color="auto"/>
                  </w:divBdr>
                  <w:divsChild>
                    <w:div w:id="1909876808">
                      <w:marLeft w:val="0"/>
                      <w:marRight w:val="0"/>
                      <w:marTop w:val="0"/>
                      <w:marBottom w:val="0"/>
                      <w:divBdr>
                        <w:top w:val="none" w:sz="0" w:space="0" w:color="auto"/>
                        <w:left w:val="none" w:sz="0" w:space="0" w:color="auto"/>
                        <w:bottom w:val="none" w:sz="0" w:space="0" w:color="auto"/>
                        <w:right w:val="none" w:sz="0" w:space="0" w:color="auto"/>
                      </w:divBdr>
                    </w:div>
                  </w:divsChild>
                </w:div>
                <w:div w:id="746997182">
                  <w:marLeft w:val="0"/>
                  <w:marRight w:val="0"/>
                  <w:marTop w:val="0"/>
                  <w:marBottom w:val="0"/>
                  <w:divBdr>
                    <w:top w:val="none" w:sz="0" w:space="0" w:color="auto"/>
                    <w:left w:val="none" w:sz="0" w:space="0" w:color="auto"/>
                    <w:bottom w:val="none" w:sz="0" w:space="0" w:color="auto"/>
                    <w:right w:val="none" w:sz="0" w:space="0" w:color="auto"/>
                  </w:divBdr>
                  <w:divsChild>
                    <w:div w:id="28264711">
                      <w:marLeft w:val="0"/>
                      <w:marRight w:val="0"/>
                      <w:marTop w:val="0"/>
                      <w:marBottom w:val="0"/>
                      <w:divBdr>
                        <w:top w:val="none" w:sz="0" w:space="0" w:color="auto"/>
                        <w:left w:val="none" w:sz="0" w:space="0" w:color="auto"/>
                        <w:bottom w:val="none" w:sz="0" w:space="0" w:color="auto"/>
                        <w:right w:val="none" w:sz="0" w:space="0" w:color="auto"/>
                      </w:divBdr>
                    </w:div>
                  </w:divsChild>
                </w:div>
                <w:div w:id="760838957">
                  <w:marLeft w:val="0"/>
                  <w:marRight w:val="0"/>
                  <w:marTop w:val="0"/>
                  <w:marBottom w:val="0"/>
                  <w:divBdr>
                    <w:top w:val="none" w:sz="0" w:space="0" w:color="auto"/>
                    <w:left w:val="none" w:sz="0" w:space="0" w:color="auto"/>
                    <w:bottom w:val="none" w:sz="0" w:space="0" w:color="auto"/>
                    <w:right w:val="none" w:sz="0" w:space="0" w:color="auto"/>
                  </w:divBdr>
                  <w:divsChild>
                    <w:div w:id="843863240">
                      <w:marLeft w:val="0"/>
                      <w:marRight w:val="0"/>
                      <w:marTop w:val="0"/>
                      <w:marBottom w:val="0"/>
                      <w:divBdr>
                        <w:top w:val="none" w:sz="0" w:space="0" w:color="auto"/>
                        <w:left w:val="none" w:sz="0" w:space="0" w:color="auto"/>
                        <w:bottom w:val="none" w:sz="0" w:space="0" w:color="auto"/>
                        <w:right w:val="none" w:sz="0" w:space="0" w:color="auto"/>
                      </w:divBdr>
                    </w:div>
                  </w:divsChild>
                </w:div>
                <w:div w:id="764499013">
                  <w:marLeft w:val="0"/>
                  <w:marRight w:val="0"/>
                  <w:marTop w:val="0"/>
                  <w:marBottom w:val="0"/>
                  <w:divBdr>
                    <w:top w:val="none" w:sz="0" w:space="0" w:color="auto"/>
                    <w:left w:val="none" w:sz="0" w:space="0" w:color="auto"/>
                    <w:bottom w:val="none" w:sz="0" w:space="0" w:color="auto"/>
                    <w:right w:val="none" w:sz="0" w:space="0" w:color="auto"/>
                  </w:divBdr>
                  <w:divsChild>
                    <w:div w:id="705718177">
                      <w:marLeft w:val="0"/>
                      <w:marRight w:val="0"/>
                      <w:marTop w:val="0"/>
                      <w:marBottom w:val="0"/>
                      <w:divBdr>
                        <w:top w:val="none" w:sz="0" w:space="0" w:color="auto"/>
                        <w:left w:val="none" w:sz="0" w:space="0" w:color="auto"/>
                        <w:bottom w:val="none" w:sz="0" w:space="0" w:color="auto"/>
                        <w:right w:val="none" w:sz="0" w:space="0" w:color="auto"/>
                      </w:divBdr>
                    </w:div>
                  </w:divsChild>
                </w:div>
                <w:div w:id="810559020">
                  <w:marLeft w:val="0"/>
                  <w:marRight w:val="0"/>
                  <w:marTop w:val="0"/>
                  <w:marBottom w:val="0"/>
                  <w:divBdr>
                    <w:top w:val="none" w:sz="0" w:space="0" w:color="auto"/>
                    <w:left w:val="none" w:sz="0" w:space="0" w:color="auto"/>
                    <w:bottom w:val="none" w:sz="0" w:space="0" w:color="auto"/>
                    <w:right w:val="none" w:sz="0" w:space="0" w:color="auto"/>
                  </w:divBdr>
                  <w:divsChild>
                    <w:div w:id="1554122116">
                      <w:marLeft w:val="0"/>
                      <w:marRight w:val="0"/>
                      <w:marTop w:val="0"/>
                      <w:marBottom w:val="0"/>
                      <w:divBdr>
                        <w:top w:val="none" w:sz="0" w:space="0" w:color="auto"/>
                        <w:left w:val="none" w:sz="0" w:space="0" w:color="auto"/>
                        <w:bottom w:val="none" w:sz="0" w:space="0" w:color="auto"/>
                        <w:right w:val="none" w:sz="0" w:space="0" w:color="auto"/>
                      </w:divBdr>
                    </w:div>
                  </w:divsChild>
                </w:div>
                <w:div w:id="816382329">
                  <w:marLeft w:val="0"/>
                  <w:marRight w:val="0"/>
                  <w:marTop w:val="0"/>
                  <w:marBottom w:val="0"/>
                  <w:divBdr>
                    <w:top w:val="none" w:sz="0" w:space="0" w:color="auto"/>
                    <w:left w:val="none" w:sz="0" w:space="0" w:color="auto"/>
                    <w:bottom w:val="none" w:sz="0" w:space="0" w:color="auto"/>
                    <w:right w:val="none" w:sz="0" w:space="0" w:color="auto"/>
                  </w:divBdr>
                  <w:divsChild>
                    <w:div w:id="1366447355">
                      <w:marLeft w:val="0"/>
                      <w:marRight w:val="0"/>
                      <w:marTop w:val="0"/>
                      <w:marBottom w:val="0"/>
                      <w:divBdr>
                        <w:top w:val="none" w:sz="0" w:space="0" w:color="auto"/>
                        <w:left w:val="none" w:sz="0" w:space="0" w:color="auto"/>
                        <w:bottom w:val="none" w:sz="0" w:space="0" w:color="auto"/>
                        <w:right w:val="none" w:sz="0" w:space="0" w:color="auto"/>
                      </w:divBdr>
                    </w:div>
                  </w:divsChild>
                </w:div>
                <w:div w:id="839269837">
                  <w:marLeft w:val="0"/>
                  <w:marRight w:val="0"/>
                  <w:marTop w:val="0"/>
                  <w:marBottom w:val="0"/>
                  <w:divBdr>
                    <w:top w:val="none" w:sz="0" w:space="0" w:color="auto"/>
                    <w:left w:val="none" w:sz="0" w:space="0" w:color="auto"/>
                    <w:bottom w:val="none" w:sz="0" w:space="0" w:color="auto"/>
                    <w:right w:val="none" w:sz="0" w:space="0" w:color="auto"/>
                  </w:divBdr>
                  <w:divsChild>
                    <w:div w:id="762915297">
                      <w:marLeft w:val="0"/>
                      <w:marRight w:val="0"/>
                      <w:marTop w:val="0"/>
                      <w:marBottom w:val="0"/>
                      <w:divBdr>
                        <w:top w:val="none" w:sz="0" w:space="0" w:color="auto"/>
                        <w:left w:val="none" w:sz="0" w:space="0" w:color="auto"/>
                        <w:bottom w:val="none" w:sz="0" w:space="0" w:color="auto"/>
                        <w:right w:val="none" w:sz="0" w:space="0" w:color="auto"/>
                      </w:divBdr>
                    </w:div>
                  </w:divsChild>
                </w:div>
                <w:div w:id="841244068">
                  <w:marLeft w:val="0"/>
                  <w:marRight w:val="0"/>
                  <w:marTop w:val="0"/>
                  <w:marBottom w:val="0"/>
                  <w:divBdr>
                    <w:top w:val="none" w:sz="0" w:space="0" w:color="auto"/>
                    <w:left w:val="none" w:sz="0" w:space="0" w:color="auto"/>
                    <w:bottom w:val="none" w:sz="0" w:space="0" w:color="auto"/>
                    <w:right w:val="none" w:sz="0" w:space="0" w:color="auto"/>
                  </w:divBdr>
                  <w:divsChild>
                    <w:div w:id="1574506528">
                      <w:marLeft w:val="0"/>
                      <w:marRight w:val="0"/>
                      <w:marTop w:val="0"/>
                      <w:marBottom w:val="0"/>
                      <w:divBdr>
                        <w:top w:val="none" w:sz="0" w:space="0" w:color="auto"/>
                        <w:left w:val="none" w:sz="0" w:space="0" w:color="auto"/>
                        <w:bottom w:val="none" w:sz="0" w:space="0" w:color="auto"/>
                        <w:right w:val="none" w:sz="0" w:space="0" w:color="auto"/>
                      </w:divBdr>
                    </w:div>
                  </w:divsChild>
                </w:div>
                <w:div w:id="877820193">
                  <w:marLeft w:val="0"/>
                  <w:marRight w:val="0"/>
                  <w:marTop w:val="0"/>
                  <w:marBottom w:val="0"/>
                  <w:divBdr>
                    <w:top w:val="none" w:sz="0" w:space="0" w:color="auto"/>
                    <w:left w:val="none" w:sz="0" w:space="0" w:color="auto"/>
                    <w:bottom w:val="none" w:sz="0" w:space="0" w:color="auto"/>
                    <w:right w:val="none" w:sz="0" w:space="0" w:color="auto"/>
                  </w:divBdr>
                  <w:divsChild>
                    <w:div w:id="157700220">
                      <w:marLeft w:val="0"/>
                      <w:marRight w:val="0"/>
                      <w:marTop w:val="0"/>
                      <w:marBottom w:val="0"/>
                      <w:divBdr>
                        <w:top w:val="none" w:sz="0" w:space="0" w:color="auto"/>
                        <w:left w:val="none" w:sz="0" w:space="0" w:color="auto"/>
                        <w:bottom w:val="none" w:sz="0" w:space="0" w:color="auto"/>
                        <w:right w:val="none" w:sz="0" w:space="0" w:color="auto"/>
                      </w:divBdr>
                    </w:div>
                  </w:divsChild>
                </w:div>
                <w:div w:id="947083016">
                  <w:marLeft w:val="0"/>
                  <w:marRight w:val="0"/>
                  <w:marTop w:val="0"/>
                  <w:marBottom w:val="0"/>
                  <w:divBdr>
                    <w:top w:val="none" w:sz="0" w:space="0" w:color="auto"/>
                    <w:left w:val="none" w:sz="0" w:space="0" w:color="auto"/>
                    <w:bottom w:val="none" w:sz="0" w:space="0" w:color="auto"/>
                    <w:right w:val="none" w:sz="0" w:space="0" w:color="auto"/>
                  </w:divBdr>
                  <w:divsChild>
                    <w:div w:id="1562017766">
                      <w:marLeft w:val="0"/>
                      <w:marRight w:val="0"/>
                      <w:marTop w:val="0"/>
                      <w:marBottom w:val="0"/>
                      <w:divBdr>
                        <w:top w:val="none" w:sz="0" w:space="0" w:color="auto"/>
                        <w:left w:val="none" w:sz="0" w:space="0" w:color="auto"/>
                        <w:bottom w:val="none" w:sz="0" w:space="0" w:color="auto"/>
                        <w:right w:val="none" w:sz="0" w:space="0" w:color="auto"/>
                      </w:divBdr>
                    </w:div>
                  </w:divsChild>
                </w:div>
                <w:div w:id="952513534">
                  <w:marLeft w:val="0"/>
                  <w:marRight w:val="0"/>
                  <w:marTop w:val="0"/>
                  <w:marBottom w:val="0"/>
                  <w:divBdr>
                    <w:top w:val="none" w:sz="0" w:space="0" w:color="auto"/>
                    <w:left w:val="none" w:sz="0" w:space="0" w:color="auto"/>
                    <w:bottom w:val="none" w:sz="0" w:space="0" w:color="auto"/>
                    <w:right w:val="none" w:sz="0" w:space="0" w:color="auto"/>
                  </w:divBdr>
                  <w:divsChild>
                    <w:div w:id="2071074028">
                      <w:marLeft w:val="0"/>
                      <w:marRight w:val="0"/>
                      <w:marTop w:val="0"/>
                      <w:marBottom w:val="0"/>
                      <w:divBdr>
                        <w:top w:val="none" w:sz="0" w:space="0" w:color="auto"/>
                        <w:left w:val="none" w:sz="0" w:space="0" w:color="auto"/>
                        <w:bottom w:val="none" w:sz="0" w:space="0" w:color="auto"/>
                        <w:right w:val="none" w:sz="0" w:space="0" w:color="auto"/>
                      </w:divBdr>
                    </w:div>
                  </w:divsChild>
                </w:div>
                <w:div w:id="975648637">
                  <w:marLeft w:val="0"/>
                  <w:marRight w:val="0"/>
                  <w:marTop w:val="0"/>
                  <w:marBottom w:val="0"/>
                  <w:divBdr>
                    <w:top w:val="none" w:sz="0" w:space="0" w:color="auto"/>
                    <w:left w:val="none" w:sz="0" w:space="0" w:color="auto"/>
                    <w:bottom w:val="none" w:sz="0" w:space="0" w:color="auto"/>
                    <w:right w:val="none" w:sz="0" w:space="0" w:color="auto"/>
                  </w:divBdr>
                  <w:divsChild>
                    <w:div w:id="575016262">
                      <w:marLeft w:val="0"/>
                      <w:marRight w:val="0"/>
                      <w:marTop w:val="0"/>
                      <w:marBottom w:val="0"/>
                      <w:divBdr>
                        <w:top w:val="none" w:sz="0" w:space="0" w:color="auto"/>
                        <w:left w:val="none" w:sz="0" w:space="0" w:color="auto"/>
                        <w:bottom w:val="none" w:sz="0" w:space="0" w:color="auto"/>
                        <w:right w:val="none" w:sz="0" w:space="0" w:color="auto"/>
                      </w:divBdr>
                    </w:div>
                  </w:divsChild>
                </w:div>
                <w:div w:id="997608343">
                  <w:marLeft w:val="0"/>
                  <w:marRight w:val="0"/>
                  <w:marTop w:val="0"/>
                  <w:marBottom w:val="0"/>
                  <w:divBdr>
                    <w:top w:val="none" w:sz="0" w:space="0" w:color="auto"/>
                    <w:left w:val="none" w:sz="0" w:space="0" w:color="auto"/>
                    <w:bottom w:val="none" w:sz="0" w:space="0" w:color="auto"/>
                    <w:right w:val="none" w:sz="0" w:space="0" w:color="auto"/>
                  </w:divBdr>
                  <w:divsChild>
                    <w:div w:id="594478565">
                      <w:marLeft w:val="0"/>
                      <w:marRight w:val="0"/>
                      <w:marTop w:val="0"/>
                      <w:marBottom w:val="0"/>
                      <w:divBdr>
                        <w:top w:val="none" w:sz="0" w:space="0" w:color="auto"/>
                        <w:left w:val="none" w:sz="0" w:space="0" w:color="auto"/>
                        <w:bottom w:val="none" w:sz="0" w:space="0" w:color="auto"/>
                        <w:right w:val="none" w:sz="0" w:space="0" w:color="auto"/>
                      </w:divBdr>
                    </w:div>
                  </w:divsChild>
                </w:div>
                <w:div w:id="1007636980">
                  <w:marLeft w:val="0"/>
                  <w:marRight w:val="0"/>
                  <w:marTop w:val="0"/>
                  <w:marBottom w:val="0"/>
                  <w:divBdr>
                    <w:top w:val="none" w:sz="0" w:space="0" w:color="auto"/>
                    <w:left w:val="none" w:sz="0" w:space="0" w:color="auto"/>
                    <w:bottom w:val="none" w:sz="0" w:space="0" w:color="auto"/>
                    <w:right w:val="none" w:sz="0" w:space="0" w:color="auto"/>
                  </w:divBdr>
                  <w:divsChild>
                    <w:div w:id="462843690">
                      <w:marLeft w:val="0"/>
                      <w:marRight w:val="0"/>
                      <w:marTop w:val="0"/>
                      <w:marBottom w:val="0"/>
                      <w:divBdr>
                        <w:top w:val="none" w:sz="0" w:space="0" w:color="auto"/>
                        <w:left w:val="none" w:sz="0" w:space="0" w:color="auto"/>
                        <w:bottom w:val="none" w:sz="0" w:space="0" w:color="auto"/>
                        <w:right w:val="none" w:sz="0" w:space="0" w:color="auto"/>
                      </w:divBdr>
                    </w:div>
                  </w:divsChild>
                </w:div>
                <w:div w:id="1046834818">
                  <w:marLeft w:val="0"/>
                  <w:marRight w:val="0"/>
                  <w:marTop w:val="0"/>
                  <w:marBottom w:val="0"/>
                  <w:divBdr>
                    <w:top w:val="none" w:sz="0" w:space="0" w:color="auto"/>
                    <w:left w:val="none" w:sz="0" w:space="0" w:color="auto"/>
                    <w:bottom w:val="none" w:sz="0" w:space="0" w:color="auto"/>
                    <w:right w:val="none" w:sz="0" w:space="0" w:color="auto"/>
                  </w:divBdr>
                  <w:divsChild>
                    <w:div w:id="445272225">
                      <w:marLeft w:val="0"/>
                      <w:marRight w:val="0"/>
                      <w:marTop w:val="0"/>
                      <w:marBottom w:val="0"/>
                      <w:divBdr>
                        <w:top w:val="none" w:sz="0" w:space="0" w:color="auto"/>
                        <w:left w:val="none" w:sz="0" w:space="0" w:color="auto"/>
                        <w:bottom w:val="none" w:sz="0" w:space="0" w:color="auto"/>
                        <w:right w:val="none" w:sz="0" w:space="0" w:color="auto"/>
                      </w:divBdr>
                    </w:div>
                  </w:divsChild>
                </w:div>
                <w:div w:id="1048451765">
                  <w:marLeft w:val="0"/>
                  <w:marRight w:val="0"/>
                  <w:marTop w:val="0"/>
                  <w:marBottom w:val="0"/>
                  <w:divBdr>
                    <w:top w:val="none" w:sz="0" w:space="0" w:color="auto"/>
                    <w:left w:val="none" w:sz="0" w:space="0" w:color="auto"/>
                    <w:bottom w:val="none" w:sz="0" w:space="0" w:color="auto"/>
                    <w:right w:val="none" w:sz="0" w:space="0" w:color="auto"/>
                  </w:divBdr>
                  <w:divsChild>
                    <w:div w:id="248933402">
                      <w:marLeft w:val="0"/>
                      <w:marRight w:val="0"/>
                      <w:marTop w:val="0"/>
                      <w:marBottom w:val="0"/>
                      <w:divBdr>
                        <w:top w:val="none" w:sz="0" w:space="0" w:color="auto"/>
                        <w:left w:val="none" w:sz="0" w:space="0" w:color="auto"/>
                        <w:bottom w:val="none" w:sz="0" w:space="0" w:color="auto"/>
                        <w:right w:val="none" w:sz="0" w:space="0" w:color="auto"/>
                      </w:divBdr>
                    </w:div>
                  </w:divsChild>
                </w:div>
                <w:div w:id="1058288857">
                  <w:marLeft w:val="0"/>
                  <w:marRight w:val="0"/>
                  <w:marTop w:val="0"/>
                  <w:marBottom w:val="0"/>
                  <w:divBdr>
                    <w:top w:val="none" w:sz="0" w:space="0" w:color="auto"/>
                    <w:left w:val="none" w:sz="0" w:space="0" w:color="auto"/>
                    <w:bottom w:val="none" w:sz="0" w:space="0" w:color="auto"/>
                    <w:right w:val="none" w:sz="0" w:space="0" w:color="auto"/>
                  </w:divBdr>
                  <w:divsChild>
                    <w:div w:id="265621113">
                      <w:marLeft w:val="0"/>
                      <w:marRight w:val="0"/>
                      <w:marTop w:val="0"/>
                      <w:marBottom w:val="0"/>
                      <w:divBdr>
                        <w:top w:val="none" w:sz="0" w:space="0" w:color="auto"/>
                        <w:left w:val="none" w:sz="0" w:space="0" w:color="auto"/>
                        <w:bottom w:val="none" w:sz="0" w:space="0" w:color="auto"/>
                        <w:right w:val="none" w:sz="0" w:space="0" w:color="auto"/>
                      </w:divBdr>
                    </w:div>
                  </w:divsChild>
                </w:div>
                <w:div w:id="1129275116">
                  <w:marLeft w:val="0"/>
                  <w:marRight w:val="0"/>
                  <w:marTop w:val="0"/>
                  <w:marBottom w:val="0"/>
                  <w:divBdr>
                    <w:top w:val="none" w:sz="0" w:space="0" w:color="auto"/>
                    <w:left w:val="none" w:sz="0" w:space="0" w:color="auto"/>
                    <w:bottom w:val="none" w:sz="0" w:space="0" w:color="auto"/>
                    <w:right w:val="none" w:sz="0" w:space="0" w:color="auto"/>
                  </w:divBdr>
                  <w:divsChild>
                    <w:div w:id="693962948">
                      <w:marLeft w:val="0"/>
                      <w:marRight w:val="0"/>
                      <w:marTop w:val="0"/>
                      <w:marBottom w:val="0"/>
                      <w:divBdr>
                        <w:top w:val="none" w:sz="0" w:space="0" w:color="auto"/>
                        <w:left w:val="none" w:sz="0" w:space="0" w:color="auto"/>
                        <w:bottom w:val="none" w:sz="0" w:space="0" w:color="auto"/>
                        <w:right w:val="none" w:sz="0" w:space="0" w:color="auto"/>
                      </w:divBdr>
                    </w:div>
                  </w:divsChild>
                </w:div>
                <w:div w:id="1129324222">
                  <w:marLeft w:val="0"/>
                  <w:marRight w:val="0"/>
                  <w:marTop w:val="0"/>
                  <w:marBottom w:val="0"/>
                  <w:divBdr>
                    <w:top w:val="none" w:sz="0" w:space="0" w:color="auto"/>
                    <w:left w:val="none" w:sz="0" w:space="0" w:color="auto"/>
                    <w:bottom w:val="none" w:sz="0" w:space="0" w:color="auto"/>
                    <w:right w:val="none" w:sz="0" w:space="0" w:color="auto"/>
                  </w:divBdr>
                  <w:divsChild>
                    <w:div w:id="659308296">
                      <w:marLeft w:val="0"/>
                      <w:marRight w:val="0"/>
                      <w:marTop w:val="0"/>
                      <w:marBottom w:val="0"/>
                      <w:divBdr>
                        <w:top w:val="none" w:sz="0" w:space="0" w:color="auto"/>
                        <w:left w:val="none" w:sz="0" w:space="0" w:color="auto"/>
                        <w:bottom w:val="none" w:sz="0" w:space="0" w:color="auto"/>
                        <w:right w:val="none" w:sz="0" w:space="0" w:color="auto"/>
                      </w:divBdr>
                    </w:div>
                  </w:divsChild>
                </w:div>
                <w:div w:id="1159736521">
                  <w:marLeft w:val="0"/>
                  <w:marRight w:val="0"/>
                  <w:marTop w:val="0"/>
                  <w:marBottom w:val="0"/>
                  <w:divBdr>
                    <w:top w:val="none" w:sz="0" w:space="0" w:color="auto"/>
                    <w:left w:val="none" w:sz="0" w:space="0" w:color="auto"/>
                    <w:bottom w:val="none" w:sz="0" w:space="0" w:color="auto"/>
                    <w:right w:val="none" w:sz="0" w:space="0" w:color="auto"/>
                  </w:divBdr>
                  <w:divsChild>
                    <w:div w:id="1741637332">
                      <w:marLeft w:val="0"/>
                      <w:marRight w:val="0"/>
                      <w:marTop w:val="0"/>
                      <w:marBottom w:val="0"/>
                      <w:divBdr>
                        <w:top w:val="none" w:sz="0" w:space="0" w:color="auto"/>
                        <w:left w:val="none" w:sz="0" w:space="0" w:color="auto"/>
                        <w:bottom w:val="none" w:sz="0" w:space="0" w:color="auto"/>
                        <w:right w:val="none" w:sz="0" w:space="0" w:color="auto"/>
                      </w:divBdr>
                    </w:div>
                  </w:divsChild>
                </w:div>
                <w:div w:id="1161313304">
                  <w:marLeft w:val="0"/>
                  <w:marRight w:val="0"/>
                  <w:marTop w:val="0"/>
                  <w:marBottom w:val="0"/>
                  <w:divBdr>
                    <w:top w:val="none" w:sz="0" w:space="0" w:color="auto"/>
                    <w:left w:val="none" w:sz="0" w:space="0" w:color="auto"/>
                    <w:bottom w:val="none" w:sz="0" w:space="0" w:color="auto"/>
                    <w:right w:val="none" w:sz="0" w:space="0" w:color="auto"/>
                  </w:divBdr>
                  <w:divsChild>
                    <w:div w:id="295062652">
                      <w:marLeft w:val="0"/>
                      <w:marRight w:val="0"/>
                      <w:marTop w:val="0"/>
                      <w:marBottom w:val="0"/>
                      <w:divBdr>
                        <w:top w:val="none" w:sz="0" w:space="0" w:color="auto"/>
                        <w:left w:val="none" w:sz="0" w:space="0" w:color="auto"/>
                        <w:bottom w:val="none" w:sz="0" w:space="0" w:color="auto"/>
                        <w:right w:val="none" w:sz="0" w:space="0" w:color="auto"/>
                      </w:divBdr>
                    </w:div>
                  </w:divsChild>
                </w:div>
                <w:div w:id="1166700554">
                  <w:marLeft w:val="0"/>
                  <w:marRight w:val="0"/>
                  <w:marTop w:val="0"/>
                  <w:marBottom w:val="0"/>
                  <w:divBdr>
                    <w:top w:val="none" w:sz="0" w:space="0" w:color="auto"/>
                    <w:left w:val="none" w:sz="0" w:space="0" w:color="auto"/>
                    <w:bottom w:val="none" w:sz="0" w:space="0" w:color="auto"/>
                    <w:right w:val="none" w:sz="0" w:space="0" w:color="auto"/>
                  </w:divBdr>
                  <w:divsChild>
                    <w:div w:id="2069064596">
                      <w:marLeft w:val="0"/>
                      <w:marRight w:val="0"/>
                      <w:marTop w:val="0"/>
                      <w:marBottom w:val="0"/>
                      <w:divBdr>
                        <w:top w:val="none" w:sz="0" w:space="0" w:color="auto"/>
                        <w:left w:val="none" w:sz="0" w:space="0" w:color="auto"/>
                        <w:bottom w:val="none" w:sz="0" w:space="0" w:color="auto"/>
                        <w:right w:val="none" w:sz="0" w:space="0" w:color="auto"/>
                      </w:divBdr>
                    </w:div>
                  </w:divsChild>
                </w:div>
                <w:div w:id="1173371744">
                  <w:marLeft w:val="0"/>
                  <w:marRight w:val="0"/>
                  <w:marTop w:val="0"/>
                  <w:marBottom w:val="0"/>
                  <w:divBdr>
                    <w:top w:val="none" w:sz="0" w:space="0" w:color="auto"/>
                    <w:left w:val="none" w:sz="0" w:space="0" w:color="auto"/>
                    <w:bottom w:val="none" w:sz="0" w:space="0" w:color="auto"/>
                    <w:right w:val="none" w:sz="0" w:space="0" w:color="auto"/>
                  </w:divBdr>
                  <w:divsChild>
                    <w:div w:id="1386565656">
                      <w:marLeft w:val="0"/>
                      <w:marRight w:val="0"/>
                      <w:marTop w:val="0"/>
                      <w:marBottom w:val="0"/>
                      <w:divBdr>
                        <w:top w:val="none" w:sz="0" w:space="0" w:color="auto"/>
                        <w:left w:val="none" w:sz="0" w:space="0" w:color="auto"/>
                        <w:bottom w:val="none" w:sz="0" w:space="0" w:color="auto"/>
                        <w:right w:val="none" w:sz="0" w:space="0" w:color="auto"/>
                      </w:divBdr>
                    </w:div>
                  </w:divsChild>
                </w:div>
                <w:div w:id="1203322581">
                  <w:marLeft w:val="0"/>
                  <w:marRight w:val="0"/>
                  <w:marTop w:val="0"/>
                  <w:marBottom w:val="0"/>
                  <w:divBdr>
                    <w:top w:val="none" w:sz="0" w:space="0" w:color="auto"/>
                    <w:left w:val="none" w:sz="0" w:space="0" w:color="auto"/>
                    <w:bottom w:val="none" w:sz="0" w:space="0" w:color="auto"/>
                    <w:right w:val="none" w:sz="0" w:space="0" w:color="auto"/>
                  </w:divBdr>
                  <w:divsChild>
                    <w:div w:id="429861392">
                      <w:marLeft w:val="0"/>
                      <w:marRight w:val="0"/>
                      <w:marTop w:val="0"/>
                      <w:marBottom w:val="0"/>
                      <w:divBdr>
                        <w:top w:val="none" w:sz="0" w:space="0" w:color="auto"/>
                        <w:left w:val="none" w:sz="0" w:space="0" w:color="auto"/>
                        <w:bottom w:val="none" w:sz="0" w:space="0" w:color="auto"/>
                        <w:right w:val="none" w:sz="0" w:space="0" w:color="auto"/>
                      </w:divBdr>
                    </w:div>
                  </w:divsChild>
                </w:div>
                <w:div w:id="1212576616">
                  <w:marLeft w:val="0"/>
                  <w:marRight w:val="0"/>
                  <w:marTop w:val="0"/>
                  <w:marBottom w:val="0"/>
                  <w:divBdr>
                    <w:top w:val="none" w:sz="0" w:space="0" w:color="auto"/>
                    <w:left w:val="none" w:sz="0" w:space="0" w:color="auto"/>
                    <w:bottom w:val="none" w:sz="0" w:space="0" w:color="auto"/>
                    <w:right w:val="none" w:sz="0" w:space="0" w:color="auto"/>
                  </w:divBdr>
                  <w:divsChild>
                    <w:div w:id="2088065379">
                      <w:marLeft w:val="0"/>
                      <w:marRight w:val="0"/>
                      <w:marTop w:val="0"/>
                      <w:marBottom w:val="0"/>
                      <w:divBdr>
                        <w:top w:val="none" w:sz="0" w:space="0" w:color="auto"/>
                        <w:left w:val="none" w:sz="0" w:space="0" w:color="auto"/>
                        <w:bottom w:val="none" w:sz="0" w:space="0" w:color="auto"/>
                        <w:right w:val="none" w:sz="0" w:space="0" w:color="auto"/>
                      </w:divBdr>
                    </w:div>
                  </w:divsChild>
                </w:div>
                <w:div w:id="1235120629">
                  <w:marLeft w:val="0"/>
                  <w:marRight w:val="0"/>
                  <w:marTop w:val="0"/>
                  <w:marBottom w:val="0"/>
                  <w:divBdr>
                    <w:top w:val="none" w:sz="0" w:space="0" w:color="auto"/>
                    <w:left w:val="none" w:sz="0" w:space="0" w:color="auto"/>
                    <w:bottom w:val="none" w:sz="0" w:space="0" w:color="auto"/>
                    <w:right w:val="none" w:sz="0" w:space="0" w:color="auto"/>
                  </w:divBdr>
                  <w:divsChild>
                    <w:div w:id="2131700317">
                      <w:marLeft w:val="0"/>
                      <w:marRight w:val="0"/>
                      <w:marTop w:val="0"/>
                      <w:marBottom w:val="0"/>
                      <w:divBdr>
                        <w:top w:val="none" w:sz="0" w:space="0" w:color="auto"/>
                        <w:left w:val="none" w:sz="0" w:space="0" w:color="auto"/>
                        <w:bottom w:val="none" w:sz="0" w:space="0" w:color="auto"/>
                        <w:right w:val="none" w:sz="0" w:space="0" w:color="auto"/>
                      </w:divBdr>
                    </w:div>
                  </w:divsChild>
                </w:div>
                <w:div w:id="1249969676">
                  <w:marLeft w:val="0"/>
                  <w:marRight w:val="0"/>
                  <w:marTop w:val="0"/>
                  <w:marBottom w:val="0"/>
                  <w:divBdr>
                    <w:top w:val="none" w:sz="0" w:space="0" w:color="auto"/>
                    <w:left w:val="none" w:sz="0" w:space="0" w:color="auto"/>
                    <w:bottom w:val="none" w:sz="0" w:space="0" w:color="auto"/>
                    <w:right w:val="none" w:sz="0" w:space="0" w:color="auto"/>
                  </w:divBdr>
                  <w:divsChild>
                    <w:div w:id="641925445">
                      <w:marLeft w:val="0"/>
                      <w:marRight w:val="0"/>
                      <w:marTop w:val="0"/>
                      <w:marBottom w:val="0"/>
                      <w:divBdr>
                        <w:top w:val="none" w:sz="0" w:space="0" w:color="auto"/>
                        <w:left w:val="none" w:sz="0" w:space="0" w:color="auto"/>
                        <w:bottom w:val="none" w:sz="0" w:space="0" w:color="auto"/>
                        <w:right w:val="none" w:sz="0" w:space="0" w:color="auto"/>
                      </w:divBdr>
                    </w:div>
                  </w:divsChild>
                </w:div>
                <w:div w:id="1284077705">
                  <w:marLeft w:val="0"/>
                  <w:marRight w:val="0"/>
                  <w:marTop w:val="0"/>
                  <w:marBottom w:val="0"/>
                  <w:divBdr>
                    <w:top w:val="none" w:sz="0" w:space="0" w:color="auto"/>
                    <w:left w:val="none" w:sz="0" w:space="0" w:color="auto"/>
                    <w:bottom w:val="none" w:sz="0" w:space="0" w:color="auto"/>
                    <w:right w:val="none" w:sz="0" w:space="0" w:color="auto"/>
                  </w:divBdr>
                  <w:divsChild>
                    <w:div w:id="563875613">
                      <w:marLeft w:val="0"/>
                      <w:marRight w:val="0"/>
                      <w:marTop w:val="0"/>
                      <w:marBottom w:val="0"/>
                      <w:divBdr>
                        <w:top w:val="none" w:sz="0" w:space="0" w:color="auto"/>
                        <w:left w:val="none" w:sz="0" w:space="0" w:color="auto"/>
                        <w:bottom w:val="none" w:sz="0" w:space="0" w:color="auto"/>
                        <w:right w:val="none" w:sz="0" w:space="0" w:color="auto"/>
                      </w:divBdr>
                    </w:div>
                  </w:divsChild>
                </w:div>
                <w:div w:id="1285503559">
                  <w:marLeft w:val="0"/>
                  <w:marRight w:val="0"/>
                  <w:marTop w:val="0"/>
                  <w:marBottom w:val="0"/>
                  <w:divBdr>
                    <w:top w:val="none" w:sz="0" w:space="0" w:color="auto"/>
                    <w:left w:val="none" w:sz="0" w:space="0" w:color="auto"/>
                    <w:bottom w:val="none" w:sz="0" w:space="0" w:color="auto"/>
                    <w:right w:val="none" w:sz="0" w:space="0" w:color="auto"/>
                  </w:divBdr>
                  <w:divsChild>
                    <w:div w:id="692849306">
                      <w:marLeft w:val="0"/>
                      <w:marRight w:val="0"/>
                      <w:marTop w:val="0"/>
                      <w:marBottom w:val="0"/>
                      <w:divBdr>
                        <w:top w:val="none" w:sz="0" w:space="0" w:color="auto"/>
                        <w:left w:val="none" w:sz="0" w:space="0" w:color="auto"/>
                        <w:bottom w:val="none" w:sz="0" w:space="0" w:color="auto"/>
                        <w:right w:val="none" w:sz="0" w:space="0" w:color="auto"/>
                      </w:divBdr>
                    </w:div>
                  </w:divsChild>
                </w:div>
                <w:div w:id="1388919115">
                  <w:marLeft w:val="0"/>
                  <w:marRight w:val="0"/>
                  <w:marTop w:val="0"/>
                  <w:marBottom w:val="0"/>
                  <w:divBdr>
                    <w:top w:val="none" w:sz="0" w:space="0" w:color="auto"/>
                    <w:left w:val="none" w:sz="0" w:space="0" w:color="auto"/>
                    <w:bottom w:val="none" w:sz="0" w:space="0" w:color="auto"/>
                    <w:right w:val="none" w:sz="0" w:space="0" w:color="auto"/>
                  </w:divBdr>
                  <w:divsChild>
                    <w:div w:id="548494131">
                      <w:marLeft w:val="0"/>
                      <w:marRight w:val="0"/>
                      <w:marTop w:val="0"/>
                      <w:marBottom w:val="0"/>
                      <w:divBdr>
                        <w:top w:val="none" w:sz="0" w:space="0" w:color="auto"/>
                        <w:left w:val="none" w:sz="0" w:space="0" w:color="auto"/>
                        <w:bottom w:val="none" w:sz="0" w:space="0" w:color="auto"/>
                        <w:right w:val="none" w:sz="0" w:space="0" w:color="auto"/>
                      </w:divBdr>
                    </w:div>
                  </w:divsChild>
                </w:div>
                <w:div w:id="1435246796">
                  <w:marLeft w:val="0"/>
                  <w:marRight w:val="0"/>
                  <w:marTop w:val="0"/>
                  <w:marBottom w:val="0"/>
                  <w:divBdr>
                    <w:top w:val="none" w:sz="0" w:space="0" w:color="auto"/>
                    <w:left w:val="none" w:sz="0" w:space="0" w:color="auto"/>
                    <w:bottom w:val="none" w:sz="0" w:space="0" w:color="auto"/>
                    <w:right w:val="none" w:sz="0" w:space="0" w:color="auto"/>
                  </w:divBdr>
                  <w:divsChild>
                    <w:div w:id="1346131843">
                      <w:marLeft w:val="0"/>
                      <w:marRight w:val="0"/>
                      <w:marTop w:val="0"/>
                      <w:marBottom w:val="0"/>
                      <w:divBdr>
                        <w:top w:val="none" w:sz="0" w:space="0" w:color="auto"/>
                        <w:left w:val="none" w:sz="0" w:space="0" w:color="auto"/>
                        <w:bottom w:val="none" w:sz="0" w:space="0" w:color="auto"/>
                        <w:right w:val="none" w:sz="0" w:space="0" w:color="auto"/>
                      </w:divBdr>
                    </w:div>
                  </w:divsChild>
                </w:div>
                <w:div w:id="1474370365">
                  <w:marLeft w:val="0"/>
                  <w:marRight w:val="0"/>
                  <w:marTop w:val="0"/>
                  <w:marBottom w:val="0"/>
                  <w:divBdr>
                    <w:top w:val="none" w:sz="0" w:space="0" w:color="auto"/>
                    <w:left w:val="none" w:sz="0" w:space="0" w:color="auto"/>
                    <w:bottom w:val="none" w:sz="0" w:space="0" w:color="auto"/>
                    <w:right w:val="none" w:sz="0" w:space="0" w:color="auto"/>
                  </w:divBdr>
                  <w:divsChild>
                    <w:div w:id="1898663046">
                      <w:marLeft w:val="0"/>
                      <w:marRight w:val="0"/>
                      <w:marTop w:val="0"/>
                      <w:marBottom w:val="0"/>
                      <w:divBdr>
                        <w:top w:val="none" w:sz="0" w:space="0" w:color="auto"/>
                        <w:left w:val="none" w:sz="0" w:space="0" w:color="auto"/>
                        <w:bottom w:val="none" w:sz="0" w:space="0" w:color="auto"/>
                        <w:right w:val="none" w:sz="0" w:space="0" w:color="auto"/>
                      </w:divBdr>
                    </w:div>
                  </w:divsChild>
                </w:div>
                <w:div w:id="1480342187">
                  <w:marLeft w:val="0"/>
                  <w:marRight w:val="0"/>
                  <w:marTop w:val="0"/>
                  <w:marBottom w:val="0"/>
                  <w:divBdr>
                    <w:top w:val="none" w:sz="0" w:space="0" w:color="auto"/>
                    <w:left w:val="none" w:sz="0" w:space="0" w:color="auto"/>
                    <w:bottom w:val="none" w:sz="0" w:space="0" w:color="auto"/>
                    <w:right w:val="none" w:sz="0" w:space="0" w:color="auto"/>
                  </w:divBdr>
                  <w:divsChild>
                    <w:div w:id="1008368114">
                      <w:marLeft w:val="0"/>
                      <w:marRight w:val="0"/>
                      <w:marTop w:val="0"/>
                      <w:marBottom w:val="0"/>
                      <w:divBdr>
                        <w:top w:val="none" w:sz="0" w:space="0" w:color="auto"/>
                        <w:left w:val="none" w:sz="0" w:space="0" w:color="auto"/>
                        <w:bottom w:val="none" w:sz="0" w:space="0" w:color="auto"/>
                        <w:right w:val="none" w:sz="0" w:space="0" w:color="auto"/>
                      </w:divBdr>
                    </w:div>
                  </w:divsChild>
                </w:div>
                <w:div w:id="1559242418">
                  <w:marLeft w:val="0"/>
                  <w:marRight w:val="0"/>
                  <w:marTop w:val="0"/>
                  <w:marBottom w:val="0"/>
                  <w:divBdr>
                    <w:top w:val="none" w:sz="0" w:space="0" w:color="auto"/>
                    <w:left w:val="none" w:sz="0" w:space="0" w:color="auto"/>
                    <w:bottom w:val="none" w:sz="0" w:space="0" w:color="auto"/>
                    <w:right w:val="none" w:sz="0" w:space="0" w:color="auto"/>
                  </w:divBdr>
                  <w:divsChild>
                    <w:div w:id="869223355">
                      <w:marLeft w:val="0"/>
                      <w:marRight w:val="0"/>
                      <w:marTop w:val="0"/>
                      <w:marBottom w:val="0"/>
                      <w:divBdr>
                        <w:top w:val="none" w:sz="0" w:space="0" w:color="auto"/>
                        <w:left w:val="none" w:sz="0" w:space="0" w:color="auto"/>
                        <w:bottom w:val="none" w:sz="0" w:space="0" w:color="auto"/>
                        <w:right w:val="none" w:sz="0" w:space="0" w:color="auto"/>
                      </w:divBdr>
                    </w:div>
                  </w:divsChild>
                </w:div>
                <w:div w:id="1561288129">
                  <w:marLeft w:val="0"/>
                  <w:marRight w:val="0"/>
                  <w:marTop w:val="0"/>
                  <w:marBottom w:val="0"/>
                  <w:divBdr>
                    <w:top w:val="none" w:sz="0" w:space="0" w:color="auto"/>
                    <w:left w:val="none" w:sz="0" w:space="0" w:color="auto"/>
                    <w:bottom w:val="none" w:sz="0" w:space="0" w:color="auto"/>
                    <w:right w:val="none" w:sz="0" w:space="0" w:color="auto"/>
                  </w:divBdr>
                  <w:divsChild>
                    <w:div w:id="35669196">
                      <w:marLeft w:val="0"/>
                      <w:marRight w:val="0"/>
                      <w:marTop w:val="0"/>
                      <w:marBottom w:val="0"/>
                      <w:divBdr>
                        <w:top w:val="none" w:sz="0" w:space="0" w:color="auto"/>
                        <w:left w:val="none" w:sz="0" w:space="0" w:color="auto"/>
                        <w:bottom w:val="none" w:sz="0" w:space="0" w:color="auto"/>
                        <w:right w:val="none" w:sz="0" w:space="0" w:color="auto"/>
                      </w:divBdr>
                    </w:div>
                  </w:divsChild>
                </w:div>
                <w:div w:id="1661737923">
                  <w:marLeft w:val="0"/>
                  <w:marRight w:val="0"/>
                  <w:marTop w:val="0"/>
                  <w:marBottom w:val="0"/>
                  <w:divBdr>
                    <w:top w:val="none" w:sz="0" w:space="0" w:color="auto"/>
                    <w:left w:val="none" w:sz="0" w:space="0" w:color="auto"/>
                    <w:bottom w:val="none" w:sz="0" w:space="0" w:color="auto"/>
                    <w:right w:val="none" w:sz="0" w:space="0" w:color="auto"/>
                  </w:divBdr>
                  <w:divsChild>
                    <w:div w:id="2133286814">
                      <w:marLeft w:val="0"/>
                      <w:marRight w:val="0"/>
                      <w:marTop w:val="0"/>
                      <w:marBottom w:val="0"/>
                      <w:divBdr>
                        <w:top w:val="none" w:sz="0" w:space="0" w:color="auto"/>
                        <w:left w:val="none" w:sz="0" w:space="0" w:color="auto"/>
                        <w:bottom w:val="none" w:sz="0" w:space="0" w:color="auto"/>
                        <w:right w:val="none" w:sz="0" w:space="0" w:color="auto"/>
                      </w:divBdr>
                    </w:div>
                  </w:divsChild>
                </w:div>
                <w:div w:id="1674646229">
                  <w:marLeft w:val="0"/>
                  <w:marRight w:val="0"/>
                  <w:marTop w:val="0"/>
                  <w:marBottom w:val="0"/>
                  <w:divBdr>
                    <w:top w:val="none" w:sz="0" w:space="0" w:color="auto"/>
                    <w:left w:val="none" w:sz="0" w:space="0" w:color="auto"/>
                    <w:bottom w:val="none" w:sz="0" w:space="0" w:color="auto"/>
                    <w:right w:val="none" w:sz="0" w:space="0" w:color="auto"/>
                  </w:divBdr>
                  <w:divsChild>
                    <w:div w:id="76289518">
                      <w:marLeft w:val="0"/>
                      <w:marRight w:val="0"/>
                      <w:marTop w:val="0"/>
                      <w:marBottom w:val="0"/>
                      <w:divBdr>
                        <w:top w:val="none" w:sz="0" w:space="0" w:color="auto"/>
                        <w:left w:val="none" w:sz="0" w:space="0" w:color="auto"/>
                        <w:bottom w:val="none" w:sz="0" w:space="0" w:color="auto"/>
                        <w:right w:val="none" w:sz="0" w:space="0" w:color="auto"/>
                      </w:divBdr>
                    </w:div>
                  </w:divsChild>
                </w:div>
                <w:div w:id="1680811758">
                  <w:marLeft w:val="0"/>
                  <w:marRight w:val="0"/>
                  <w:marTop w:val="0"/>
                  <w:marBottom w:val="0"/>
                  <w:divBdr>
                    <w:top w:val="none" w:sz="0" w:space="0" w:color="auto"/>
                    <w:left w:val="none" w:sz="0" w:space="0" w:color="auto"/>
                    <w:bottom w:val="none" w:sz="0" w:space="0" w:color="auto"/>
                    <w:right w:val="none" w:sz="0" w:space="0" w:color="auto"/>
                  </w:divBdr>
                  <w:divsChild>
                    <w:div w:id="156919307">
                      <w:marLeft w:val="0"/>
                      <w:marRight w:val="0"/>
                      <w:marTop w:val="0"/>
                      <w:marBottom w:val="0"/>
                      <w:divBdr>
                        <w:top w:val="none" w:sz="0" w:space="0" w:color="auto"/>
                        <w:left w:val="none" w:sz="0" w:space="0" w:color="auto"/>
                        <w:bottom w:val="none" w:sz="0" w:space="0" w:color="auto"/>
                        <w:right w:val="none" w:sz="0" w:space="0" w:color="auto"/>
                      </w:divBdr>
                    </w:div>
                  </w:divsChild>
                </w:div>
                <w:div w:id="1725180171">
                  <w:marLeft w:val="0"/>
                  <w:marRight w:val="0"/>
                  <w:marTop w:val="0"/>
                  <w:marBottom w:val="0"/>
                  <w:divBdr>
                    <w:top w:val="none" w:sz="0" w:space="0" w:color="auto"/>
                    <w:left w:val="none" w:sz="0" w:space="0" w:color="auto"/>
                    <w:bottom w:val="none" w:sz="0" w:space="0" w:color="auto"/>
                    <w:right w:val="none" w:sz="0" w:space="0" w:color="auto"/>
                  </w:divBdr>
                  <w:divsChild>
                    <w:div w:id="238057119">
                      <w:marLeft w:val="0"/>
                      <w:marRight w:val="0"/>
                      <w:marTop w:val="0"/>
                      <w:marBottom w:val="0"/>
                      <w:divBdr>
                        <w:top w:val="none" w:sz="0" w:space="0" w:color="auto"/>
                        <w:left w:val="none" w:sz="0" w:space="0" w:color="auto"/>
                        <w:bottom w:val="none" w:sz="0" w:space="0" w:color="auto"/>
                        <w:right w:val="none" w:sz="0" w:space="0" w:color="auto"/>
                      </w:divBdr>
                    </w:div>
                  </w:divsChild>
                </w:div>
                <w:div w:id="1728600676">
                  <w:marLeft w:val="0"/>
                  <w:marRight w:val="0"/>
                  <w:marTop w:val="0"/>
                  <w:marBottom w:val="0"/>
                  <w:divBdr>
                    <w:top w:val="none" w:sz="0" w:space="0" w:color="auto"/>
                    <w:left w:val="none" w:sz="0" w:space="0" w:color="auto"/>
                    <w:bottom w:val="none" w:sz="0" w:space="0" w:color="auto"/>
                    <w:right w:val="none" w:sz="0" w:space="0" w:color="auto"/>
                  </w:divBdr>
                  <w:divsChild>
                    <w:div w:id="2025402661">
                      <w:marLeft w:val="0"/>
                      <w:marRight w:val="0"/>
                      <w:marTop w:val="0"/>
                      <w:marBottom w:val="0"/>
                      <w:divBdr>
                        <w:top w:val="none" w:sz="0" w:space="0" w:color="auto"/>
                        <w:left w:val="none" w:sz="0" w:space="0" w:color="auto"/>
                        <w:bottom w:val="none" w:sz="0" w:space="0" w:color="auto"/>
                        <w:right w:val="none" w:sz="0" w:space="0" w:color="auto"/>
                      </w:divBdr>
                    </w:div>
                  </w:divsChild>
                </w:div>
                <w:div w:id="1745295014">
                  <w:marLeft w:val="0"/>
                  <w:marRight w:val="0"/>
                  <w:marTop w:val="0"/>
                  <w:marBottom w:val="0"/>
                  <w:divBdr>
                    <w:top w:val="none" w:sz="0" w:space="0" w:color="auto"/>
                    <w:left w:val="none" w:sz="0" w:space="0" w:color="auto"/>
                    <w:bottom w:val="none" w:sz="0" w:space="0" w:color="auto"/>
                    <w:right w:val="none" w:sz="0" w:space="0" w:color="auto"/>
                  </w:divBdr>
                  <w:divsChild>
                    <w:div w:id="1805779090">
                      <w:marLeft w:val="0"/>
                      <w:marRight w:val="0"/>
                      <w:marTop w:val="0"/>
                      <w:marBottom w:val="0"/>
                      <w:divBdr>
                        <w:top w:val="none" w:sz="0" w:space="0" w:color="auto"/>
                        <w:left w:val="none" w:sz="0" w:space="0" w:color="auto"/>
                        <w:bottom w:val="none" w:sz="0" w:space="0" w:color="auto"/>
                        <w:right w:val="none" w:sz="0" w:space="0" w:color="auto"/>
                      </w:divBdr>
                    </w:div>
                  </w:divsChild>
                </w:div>
                <w:div w:id="1761946988">
                  <w:marLeft w:val="0"/>
                  <w:marRight w:val="0"/>
                  <w:marTop w:val="0"/>
                  <w:marBottom w:val="0"/>
                  <w:divBdr>
                    <w:top w:val="none" w:sz="0" w:space="0" w:color="auto"/>
                    <w:left w:val="none" w:sz="0" w:space="0" w:color="auto"/>
                    <w:bottom w:val="none" w:sz="0" w:space="0" w:color="auto"/>
                    <w:right w:val="none" w:sz="0" w:space="0" w:color="auto"/>
                  </w:divBdr>
                  <w:divsChild>
                    <w:div w:id="1485657634">
                      <w:marLeft w:val="0"/>
                      <w:marRight w:val="0"/>
                      <w:marTop w:val="0"/>
                      <w:marBottom w:val="0"/>
                      <w:divBdr>
                        <w:top w:val="none" w:sz="0" w:space="0" w:color="auto"/>
                        <w:left w:val="none" w:sz="0" w:space="0" w:color="auto"/>
                        <w:bottom w:val="none" w:sz="0" w:space="0" w:color="auto"/>
                        <w:right w:val="none" w:sz="0" w:space="0" w:color="auto"/>
                      </w:divBdr>
                    </w:div>
                  </w:divsChild>
                </w:div>
                <w:div w:id="1762988659">
                  <w:marLeft w:val="0"/>
                  <w:marRight w:val="0"/>
                  <w:marTop w:val="0"/>
                  <w:marBottom w:val="0"/>
                  <w:divBdr>
                    <w:top w:val="none" w:sz="0" w:space="0" w:color="auto"/>
                    <w:left w:val="none" w:sz="0" w:space="0" w:color="auto"/>
                    <w:bottom w:val="none" w:sz="0" w:space="0" w:color="auto"/>
                    <w:right w:val="none" w:sz="0" w:space="0" w:color="auto"/>
                  </w:divBdr>
                  <w:divsChild>
                    <w:div w:id="612127212">
                      <w:marLeft w:val="0"/>
                      <w:marRight w:val="0"/>
                      <w:marTop w:val="0"/>
                      <w:marBottom w:val="0"/>
                      <w:divBdr>
                        <w:top w:val="none" w:sz="0" w:space="0" w:color="auto"/>
                        <w:left w:val="none" w:sz="0" w:space="0" w:color="auto"/>
                        <w:bottom w:val="none" w:sz="0" w:space="0" w:color="auto"/>
                        <w:right w:val="none" w:sz="0" w:space="0" w:color="auto"/>
                      </w:divBdr>
                    </w:div>
                  </w:divsChild>
                </w:div>
                <w:div w:id="1770730612">
                  <w:marLeft w:val="0"/>
                  <w:marRight w:val="0"/>
                  <w:marTop w:val="0"/>
                  <w:marBottom w:val="0"/>
                  <w:divBdr>
                    <w:top w:val="none" w:sz="0" w:space="0" w:color="auto"/>
                    <w:left w:val="none" w:sz="0" w:space="0" w:color="auto"/>
                    <w:bottom w:val="none" w:sz="0" w:space="0" w:color="auto"/>
                    <w:right w:val="none" w:sz="0" w:space="0" w:color="auto"/>
                  </w:divBdr>
                  <w:divsChild>
                    <w:div w:id="710424796">
                      <w:marLeft w:val="0"/>
                      <w:marRight w:val="0"/>
                      <w:marTop w:val="0"/>
                      <w:marBottom w:val="0"/>
                      <w:divBdr>
                        <w:top w:val="none" w:sz="0" w:space="0" w:color="auto"/>
                        <w:left w:val="none" w:sz="0" w:space="0" w:color="auto"/>
                        <w:bottom w:val="none" w:sz="0" w:space="0" w:color="auto"/>
                        <w:right w:val="none" w:sz="0" w:space="0" w:color="auto"/>
                      </w:divBdr>
                    </w:div>
                  </w:divsChild>
                </w:div>
                <w:div w:id="1773011685">
                  <w:marLeft w:val="0"/>
                  <w:marRight w:val="0"/>
                  <w:marTop w:val="0"/>
                  <w:marBottom w:val="0"/>
                  <w:divBdr>
                    <w:top w:val="none" w:sz="0" w:space="0" w:color="auto"/>
                    <w:left w:val="none" w:sz="0" w:space="0" w:color="auto"/>
                    <w:bottom w:val="none" w:sz="0" w:space="0" w:color="auto"/>
                    <w:right w:val="none" w:sz="0" w:space="0" w:color="auto"/>
                  </w:divBdr>
                  <w:divsChild>
                    <w:div w:id="1217007259">
                      <w:marLeft w:val="0"/>
                      <w:marRight w:val="0"/>
                      <w:marTop w:val="0"/>
                      <w:marBottom w:val="0"/>
                      <w:divBdr>
                        <w:top w:val="none" w:sz="0" w:space="0" w:color="auto"/>
                        <w:left w:val="none" w:sz="0" w:space="0" w:color="auto"/>
                        <w:bottom w:val="none" w:sz="0" w:space="0" w:color="auto"/>
                        <w:right w:val="none" w:sz="0" w:space="0" w:color="auto"/>
                      </w:divBdr>
                    </w:div>
                  </w:divsChild>
                </w:div>
                <w:div w:id="1797676792">
                  <w:marLeft w:val="0"/>
                  <w:marRight w:val="0"/>
                  <w:marTop w:val="0"/>
                  <w:marBottom w:val="0"/>
                  <w:divBdr>
                    <w:top w:val="none" w:sz="0" w:space="0" w:color="auto"/>
                    <w:left w:val="none" w:sz="0" w:space="0" w:color="auto"/>
                    <w:bottom w:val="none" w:sz="0" w:space="0" w:color="auto"/>
                    <w:right w:val="none" w:sz="0" w:space="0" w:color="auto"/>
                  </w:divBdr>
                  <w:divsChild>
                    <w:div w:id="177743867">
                      <w:marLeft w:val="0"/>
                      <w:marRight w:val="0"/>
                      <w:marTop w:val="0"/>
                      <w:marBottom w:val="0"/>
                      <w:divBdr>
                        <w:top w:val="none" w:sz="0" w:space="0" w:color="auto"/>
                        <w:left w:val="none" w:sz="0" w:space="0" w:color="auto"/>
                        <w:bottom w:val="none" w:sz="0" w:space="0" w:color="auto"/>
                        <w:right w:val="none" w:sz="0" w:space="0" w:color="auto"/>
                      </w:divBdr>
                    </w:div>
                  </w:divsChild>
                </w:div>
                <w:div w:id="1800806779">
                  <w:marLeft w:val="0"/>
                  <w:marRight w:val="0"/>
                  <w:marTop w:val="0"/>
                  <w:marBottom w:val="0"/>
                  <w:divBdr>
                    <w:top w:val="none" w:sz="0" w:space="0" w:color="auto"/>
                    <w:left w:val="none" w:sz="0" w:space="0" w:color="auto"/>
                    <w:bottom w:val="none" w:sz="0" w:space="0" w:color="auto"/>
                    <w:right w:val="none" w:sz="0" w:space="0" w:color="auto"/>
                  </w:divBdr>
                  <w:divsChild>
                    <w:div w:id="1584606938">
                      <w:marLeft w:val="0"/>
                      <w:marRight w:val="0"/>
                      <w:marTop w:val="0"/>
                      <w:marBottom w:val="0"/>
                      <w:divBdr>
                        <w:top w:val="none" w:sz="0" w:space="0" w:color="auto"/>
                        <w:left w:val="none" w:sz="0" w:space="0" w:color="auto"/>
                        <w:bottom w:val="none" w:sz="0" w:space="0" w:color="auto"/>
                        <w:right w:val="none" w:sz="0" w:space="0" w:color="auto"/>
                      </w:divBdr>
                    </w:div>
                  </w:divsChild>
                </w:div>
                <w:div w:id="1835992886">
                  <w:marLeft w:val="0"/>
                  <w:marRight w:val="0"/>
                  <w:marTop w:val="0"/>
                  <w:marBottom w:val="0"/>
                  <w:divBdr>
                    <w:top w:val="none" w:sz="0" w:space="0" w:color="auto"/>
                    <w:left w:val="none" w:sz="0" w:space="0" w:color="auto"/>
                    <w:bottom w:val="none" w:sz="0" w:space="0" w:color="auto"/>
                    <w:right w:val="none" w:sz="0" w:space="0" w:color="auto"/>
                  </w:divBdr>
                  <w:divsChild>
                    <w:div w:id="1164707119">
                      <w:marLeft w:val="0"/>
                      <w:marRight w:val="0"/>
                      <w:marTop w:val="0"/>
                      <w:marBottom w:val="0"/>
                      <w:divBdr>
                        <w:top w:val="none" w:sz="0" w:space="0" w:color="auto"/>
                        <w:left w:val="none" w:sz="0" w:space="0" w:color="auto"/>
                        <w:bottom w:val="none" w:sz="0" w:space="0" w:color="auto"/>
                        <w:right w:val="none" w:sz="0" w:space="0" w:color="auto"/>
                      </w:divBdr>
                    </w:div>
                  </w:divsChild>
                </w:div>
                <w:div w:id="1854686429">
                  <w:marLeft w:val="0"/>
                  <w:marRight w:val="0"/>
                  <w:marTop w:val="0"/>
                  <w:marBottom w:val="0"/>
                  <w:divBdr>
                    <w:top w:val="none" w:sz="0" w:space="0" w:color="auto"/>
                    <w:left w:val="none" w:sz="0" w:space="0" w:color="auto"/>
                    <w:bottom w:val="none" w:sz="0" w:space="0" w:color="auto"/>
                    <w:right w:val="none" w:sz="0" w:space="0" w:color="auto"/>
                  </w:divBdr>
                  <w:divsChild>
                    <w:div w:id="59912265">
                      <w:marLeft w:val="0"/>
                      <w:marRight w:val="0"/>
                      <w:marTop w:val="0"/>
                      <w:marBottom w:val="0"/>
                      <w:divBdr>
                        <w:top w:val="none" w:sz="0" w:space="0" w:color="auto"/>
                        <w:left w:val="none" w:sz="0" w:space="0" w:color="auto"/>
                        <w:bottom w:val="none" w:sz="0" w:space="0" w:color="auto"/>
                        <w:right w:val="none" w:sz="0" w:space="0" w:color="auto"/>
                      </w:divBdr>
                    </w:div>
                  </w:divsChild>
                </w:div>
                <w:div w:id="1858078376">
                  <w:marLeft w:val="0"/>
                  <w:marRight w:val="0"/>
                  <w:marTop w:val="0"/>
                  <w:marBottom w:val="0"/>
                  <w:divBdr>
                    <w:top w:val="none" w:sz="0" w:space="0" w:color="auto"/>
                    <w:left w:val="none" w:sz="0" w:space="0" w:color="auto"/>
                    <w:bottom w:val="none" w:sz="0" w:space="0" w:color="auto"/>
                    <w:right w:val="none" w:sz="0" w:space="0" w:color="auto"/>
                  </w:divBdr>
                  <w:divsChild>
                    <w:div w:id="1968927695">
                      <w:marLeft w:val="0"/>
                      <w:marRight w:val="0"/>
                      <w:marTop w:val="0"/>
                      <w:marBottom w:val="0"/>
                      <w:divBdr>
                        <w:top w:val="none" w:sz="0" w:space="0" w:color="auto"/>
                        <w:left w:val="none" w:sz="0" w:space="0" w:color="auto"/>
                        <w:bottom w:val="none" w:sz="0" w:space="0" w:color="auto"/>
                        <w:right w:val="none" w:sz="0" w:space="0" w:color="auto"/>
                      </w:divBdr>
                    </w:div>
                  </w:divsChild>
                </w:div>
                <w:div w:id="1874659019">
                  <w:marLeft w:val="0"/>
                  <w:marRight w:val="0"/>
                  <w:marTop w:val="0"/>
                  <w:marBottom w:val="0"/>
                  <w:divBdr>
                    <w:top w:val="none" w:sz="0" w:space="0" w:color="auto"/>
                    <w:left w:val="none" w:sz="0" w:space="0" w:color="auto"/>
                    <w:bottom w:val="none" w:sz="0" w:space="0" w:color="auto"/>
                    <w:right w:val="none" w:sz="0" w:space="0" w:color="auto"/>
                  </w:divBdr>
                  <w:divsChild>
                    <w:div w:id="2012637077">
                      <w:marLeft w:val="0"/>
                      <w:marRight w:val="0"/>
                      <w:marTop w:val="0"/>
                      <w:marBottom w:val="0"/>
                      <w:divBdr>
                        <w:top w:val="none" w:sz="0" w:space="0" w:color="auto"/>
                        <w:left w:val="none" w:sz="0" w:space="0" w:color="auto"/>
                        <w:bottom w:val="none" w:sz="0" w:space="0" w:color="auto"/>
                        <w:right w:val="none" w:sz="0" w:space="0" w:color="auto"/>
                      </w:divBdr>
                    </w:div>
                  </w:divsChild>
                </w:div>
                <w:div w:id="1880580530">
                  <w:marLeft w:val="0"/>
                  <w:marRight w:val="0"/>
                  <w:marTop w:val="0"/>
                  <w:marBottom w:val="0"/>
                  <w:divBdr>
                    <w:top w:val="none" w:sz="0" w:space="0" w:color="auto"/>
                    <w:left w:val="none" w:sz="0" w:space="0" w:color="auto"/>
                    <w:bottom w:val="none" w:sz="0" w:space="0" w:color="auto"/>
                    <w:right w:val="none" w:sz="0" w:space="0" w:color="auto"/>
                  </w:divBdr>
                  <w:divsChild>
                    <w:div w:id="1846438689">
                      <w:marLeft w:val="0"/>
                      <w:marRight w:val="0"/>
                      <w:marTop w:val="0"/>
                      <w:marBottom w:val="0"/>
                      <w:divBdr>
                        <w:top w:val="none" w:sz="0" w:space="0" w:color="auto"/>
                        <w:left w:val="none" w:sz="0" w:space="0" w:color="auto"/>
                        <w:bottom w:val="none" w:sz="0" w:space="0" w:color="auto"/>
                        <w:right w:val="none" w:sz="0" w:space="0" w:color="auto"/>
                      </w:divBdr>
                    </w:div>
                  </w:divsChild>
                </w:div>
                <w:div w:id="1892381717">
                  <w:marLeft w:val="0"/>
                  <w:marRight w:val="0"/>
                  <w:marTop w:val="0"/>
                  <w:marBottom w:val="0"/>
                  <w:divBdr>
                    <w:top w:val="none" w:sz="0" w:space="0" w:color="auto"/>
                    <w:left w:val="none" w:sz="0" w:space="0" w:color="auto"/>
                    <w:bottom w:val="none" w:sz="0" w:space="0" w:color="auto"/>
                    <w:right w:val="none" w:sz="0" w:space="0" w:color="auto"/>
                  </w:divBdr>
                  <w:divsChild>
                    <w:div w:id="518616395">
                      <w:marLeft w:val="0"/>
                      <w:marRight w:val="0"/>
                      <w:marTop w:val="0"/>
                      <w:marBottom w:val="0"/>
                      <w:divBdr>
                        <w:top w:val="none" w:sz="0" w:space="0" w:color="auto"/>
                        <w:left w:val="none" w:sz="0" w:space="0" w:color="auto"/>
                        <w:bottom w:val="none" w:sz="0" w:space="0" w:color="auto"/>
                        <w:right w:val="none" w:sz="0" w:space="0" w:color="auto"/>
                      </w:divBdr>
                    </w:div>
                  </w:divsChild>
                </w:div>
                <w:div w:id="1896353759">
                  <w:marLeft w:val="0"/>
                  <w:marRight w:val="0"/>
                  <w:marTop w:val="0"/>
                  <w:marBottom w:val="0"/>
                  <w:divBdr>
                    <w:top w:val="none" w:sz="0" w:space="0" w:color="auto"/>
                    <w:left w:val="none" w:sz="0" w:space="0" w:color="auto"/>
                    <w:bottom w:val="none" w:sz="0" w:space="0" w:color="auto"/>
                    <w:right w:val="none" w:sz="0" w:space="0" w:color="auto"/>
                  </w:divBdr>
                  <w:divsChild>
                    <w:div w:id="1194031949">
                      <w:marLeft w:val="0"/>
                      <w:marRight w:val="0"/>
                      <w:marTop w:val="0"/>
                      <w:marBottom w:val="0"/>
                      <w:divBdr>
                        <w:top w:val="none" w:sz="0" w:space="0" w:color="auto"/>
                        <w:left w:val="none" w:sz="0" w:space="0" w:color="auto"/>
                        <w:bottom w:val="none" w:sz="0" w:space="0" w:color="auto"/>
                        <w:right w:val="none" w:sz="0" w:space="0" w:color="auto"/>
                      </w:divBdr>
                    </w:div>
                  </w:divsChild>
                </w:div>
                <w:div w:id="1896772486">
                  <w:marLeft w:val="0"/>
                  <w:marRight w:val="0"/>
                  <w:marTop w:val="0"/>
                  <w:marBottom w:val="0"/>
                  <w:divBdr>
                    <w:top w:val="none" w:sz="0" w:space="0" w:color="auto"/>
                    <w:left w:val="none" w:sz="0" w:space="0" w:color="auto"/>
                    <w:bottom w:val="none" w:sz="0" w:space="0" w:color="auto"/>
                    <w:right w:val="none" w:sz="0" w:space="0" w:color="auto"/>
                  </w:divBdr>
                  <w:divsChild>
                    <w:div w:id="1151605985">
                      <w:marLeft w:val="0"/>
                      <w:marRight w:val="0"/>
                      <w:marTop w:val="0"/>
                      <w:marBottom w:val="0"/>
                      <w:divBdr>
                        <w:top w:val="none" w:sz="0" w:space="0" w:color="auto"/>
                        <w:left w:val="none" w:sz="0" w:space="0" w:color="auto"/>
                        <w:bottom w:val="none" w:sz="0" w:space="0" w:color="auto"/>
                        <w:right w:val="none" w:sz="0" w:space="0" w:color="auto"/>
                      </w:divBdr>
                    </w:div>
                  </w:divsChild>
                </w:div>
                <w:div w:id="1897817659">
                  <w:marLeft w:val="0"/>
                  <w:marRight w:val="0"/>
                  <w:marTop w:val="0"/>
                  <w:marBottom w:val="0"/>
                  <w:divBdr>
                    <w:top w:val="none" w:sz="0" w:space="0" w:color="auto"/>
                    <w:left w:val="none" w:sz="0" w:space="0" w:color="auto"/>
                    <w:bottom w:val="none" w:sz="0" w:space="0" w:color="auto"/>
                    <w:right w:val="none" w:sz="0" w:space="0" w:color="auto"/>
                  </w:divBdr>
                  <w:divsChild>
                    <w:div w:id="1594972736">
                      <w:marLeft w:val="0"/>
                      <w:marRight w:val="0"/>
                      <w:marTop w:val="0"/>
                      <w:marBottom w:val="0"/>
                      <w:divBdr>
                        <w:top w:val="none" w:sz="0" w:space="0" w:color="auto"/>
                        <w:left w:val="none" w:sz="0" w:space="0" w:color="auto"/>
                        <w:bottom w:val="none" w:sz="0" w:space="0" w:color="auto"/>
                        <w:right w:val="none" w:sz="0" w:space="0" w:color="auto"/>
                      </w:divBdr>
                    </w:div>
                  </w:divsChild>
                </w:div>
                <w:div w:id="1899710286">
                  <w:marLeft w:val="0"/>
                  <w:marRight w:val="0"/>
                  <w:marTop w:val="0"/>
                  <w:marBottom w:val="0"/>
                  <w:divBdr>
                    <w:top w:val="none" w:sz="0" w:space="0" w:color="auto"/>
                    <w:left w:val="none" w:sz="0" w:space="0" w:color="auto"/>
                    <w:bottom w:val="none" w:sz="0" w:space="0" w:color="auto"/>
                    <w:right w:val="none" w:sz="0" w:space="0" w:color="auto"/>
                  </w:divBdr>
                  <w:divsChild>
                    <w:div w:id="86967419">
                      <w:marLeft w:val="0"/>
                      <w:marRight w:val="0"/>
                      <w:marTop w:val="0"/>
                      <w:marBottom w:val="0"/>
                      <w:divBdr>
                        <w:top w:val="none" w:sz="0" w:space="0" w:color="auto"/>
                        <w:left w:val="none" w:sz="0" w:space="0" w:color="auto"/>
                        <w:bottom w:val="none" w:sz="0" w:space="0" w:color="auto"/>
                        <w:right w:val="none" w:sz="0" w:space="0" w:color="auto"/>
                      </w:divBdr>
                    </w:div>
                  </w:divsChild>
                </w:div>
                <w:div w:id="1917812269">
                  <w:marLeft w:val="0"/>
                  <w:marRight w:val="0"/>
                  <w:marTop w:val="0"/>
                  <w:marBottom w:val="0"/>
                  <w:divBdr>
                    <w:top w:val="none" w:sz="0" w:space="0" w:color="auto"/>
                    <w:left w:val="none" w:sz="0" w:space="0" w:color="auto"/>
                    <w:bottom w:val="none" w:sz="0" w:space="0" w:color="auto"/>
                    <w:right w:val="none" w:sz="0" w:space="0" w:color="auto"/>
                  </w:divBdr>
                  <w:divsChild>
                    <w:div w:id="944965809">
                      <w:marLeft w:val="0"/>
                      <w:marRight w:val="0"/>
                      <w:marTop w:val="0"/>
                      <w:marBottom w:val="0"/>
                      <w:divBdr>
                        <w:top w:val="none" w:sz="0" w:space="0" w:color="auto"/>
                        <w:left w:val="none" w:sz="0" w:space="0" w:color="auto"/>
                        <w:bottom w:val="none" w:sz="0" w:space="0" w:color="auto"/>
                        <w:right w:val="none" w:sz="0" w:space="0" w:color="auto"/>
                      </w:divBdr>
                    </w:div>
                  </w:divsChild>
                </w:div>
                <w:div w:id="1949697927">
                  <w:marLeft w:val="0"/>
                  <w:marRight w:val="0"/>
                  <w:marTop w:val="0"/>
                  <w:marBottom w:val="0"/>
                  <w:divBdr>
                    <w:top w:val="none" w:sz="0" w:space="0" w:color="auto"/>
                    <w:left w:val="none" w:sz="0" w:space="0" w:color="auto"/>
                    <w:bottom w:val="none" w:sz="0" w:space="0" w:color="auto"/>
                    <w:right w:val="none" w:sz="0" w:space="0" w:color="auto"/>
                  </w:divBdr>
                  <w:divsChild>
                    <w:div w:id="2028679995">
                      <w:marLeft w:val="0"/>
                      <w:marRight w:val="0"/>
                      <w:marTop w:val="0"/>
                      <w:marBottom w:val="0"/>
                      <w:divBdr>
                        <w:top w:val="none" w:sz="0" w:space="0" w:color="auto"/>
                        <w:left w:val="none" w:sz="0" w:space="0" w:color="auto"/>
                        <w:bottom w:val="none" w:sz="0" w:space="0" w:color="auto"/>
                        <w:right w:val="none" w:sz="0" w:space="0" w:color="auto"/>
                      </w:divBdr>
                    </w:div>
                  </w:divsChild>
                </w:div>
                <w:div w:id="1964342599">
                  <w:marLeft w:val="0"/>
                  <w:marRight w:val="0"/>
                  <w:marTop w:val="0"/>
                  <w:marBottom w:val="0"/>
                  <w:divBdr>
                    <w:top w:val="none" w:sz="0" w:space="0" w:color="auto"/>
                    <w:left w:val="none" w:sz="0" w:space="0" w:color="auto"/>
                    <w:bottom w:val="none" w:sz="0" w:space="0" w:color="auto"/>
                    <w:right w:val="none" w:sz="0" w:space="0" w:color="auto"/>
                  </w:divBdr>
                  <w:divsChild>
                    <w:div w:id="2015573429">
                      <w:marLeft w:val="0"/>
                      <w:marRight w:val="0"/>
                      <w:marTop w:val="0"/>
                      <w:marBottom w:val="0"/>
                      <w:divBdr>
                        <w:top w:val="none" w:sz="0" w:space="0" w:color="auto"/>
                        <w:left w:val="none" w:sz="0" w:space="0" w:color="auto"/>
                        <w:bottom w:val="none" w:sz="0" w:space="0" w:color="auto"/>
                        <w:right w:val="none" w:sz="0" w:space="0" w:color="auto"/>
                      </w:divBdr>
                    </w:div>
                  </w:divsChild>
                </w:div>
                <w:div w:id="2001495563">
                  <w:marLeft w:val="0"/>
                  <w:marRight w:val="0"/>
                  <w:marTop w:val="0"/>
                  <w:marBottom w:val="0"/>
                  <w:divBdr>
                    <w:top w:val="none" w:sz="0" w:space="0" w:color="auto"/>
                    <w:left w:val="none" w:sz="0" w:space="0" w:color="auto"/>
                    <w:bottom w:val="none" w:sz="0" w:space="0" w:color="auto"/>
                    <w:right w:val="none" w:sz="0" w:space="0" w:color="auto"/>
                  </w:divBdr>
                  <w:divsChild>
                    <w:div w:id="1292200887">
                      <w:marLeft w:val="0"/>
                      <w:marRight w:val="0"/>
                      <w:marTop w:val="0"/>
                      <w:marBottom w:val="0"/>
                      <w:divBdr>
                        <w:top w:val="none" w:sz="0" w:space="0" w:color="auto"/>
                        <w:left w:val="none" w:sz="0" w:space="0" w:color="auto"/>
                        <w:bottom w:val="none" w:sz="0" w:space="0" w:color="auto"/>
                        <w:right w:val="none" w:sz="0" w:space="0" w:color="auto"/>
                      </w:divBdr>
                    </w:div>
                  </w:divsChild>
                </w:div>
                <w:div w:id="2019189213">
                  <w:marLeft w:val="0"/>
                  <w:marRight w:val="0"/>
                  <w:marTop w:val="0"/>
                  <w:marBottom w:val="0"/>
                  <w:divBdr>
                    <w:top w:val="none" w:sz="0" w:space="0" w:color="auto"/>
                    <w:left w:val="none" w:sz="0" w:space="0" w:color="auto"/>
                    <w:bottom w:val="none" w:sz="0" w:space="0" w:color="auto"/>
                    <w:right w:val="none" w:sz="0" w:space="0" w:color="auto"/>
                  </w:divBdr>
                  <w:divsChild>
                    <w:div w:id="487137816">
                      <w:marLeft w:val="0"/>
                      <w:marRight w:val="0"/>
                      <w:marTop w:val="0"/>
                      <w:marBottom w:val="0"/>
                      <w:divBdr>
                        <w:top w:val="none" w:sz="0" w:space="0" w:color="auto"/>
                        <w:left w:val="none" w:sz="0" w:space="0" w:color="auto"/>
                        <w:bottom w:val="none" w:sz="0" w:space="0" w:color="auto"/>
                        <w:right w:val="none" w:sz="0" w:space="0" w:color="auto"/>
                      </w:divBdr>
                    </w:div>
                  </w:divsChild>
                </w:div>
                <w:div w:id="2060353188">
                  <w:marLeft w:val="0"/>
                  <w:marRight w:val="0"/>
                  <w:marTop w:val="0"/>
                  <w:marBottom w:val="0"/>
                  <w:divBdr>
                    <w:top w:val="none" w:sz="0" w:space="0" w:color="auto"/>
                    <w:left w:val="none" w:sz="0" w:space="0" w:color="auto"/>
                    <w:bottom w:val="none" w:sz="0" w:space="0" w:color="auto"/>
                    <w:right w:val="none" w:sz="0" w:space="0" w:color="auto"/>
                  </w:divBdr>
                  <w:divsChild>
                    <w:div w:id="1283148855">
                      <w:marLeft w:val="0"/>
                      <w:marRight w:val="0"/>
                      <w:marTop w:val="0"/>
                      <w:marBottom w:val="0"/>
                      <w:divBdr>
                        <w:top w:val="none" w:sz="0" w:space="0" w:color="auto"/>
                        <w:left w:val="none" w:sz="0" w:space="0" w:color="auto"/>
                        <w:bottom w:val="none" w:sz="0" w:space="0" w:color="auto"/>
                        <w:right w:val="none" w:sz="0" w:space="0" w:color="auto"/>
                      </w:divBdr>
                    </w:div>
                  </w:divsChild>
                </w:div>
                <w:div w:id="2069301691">
                  <w:marLeft w:val="0"/>
                  <w:marRight w:val="0"/>
                  <w:marTop w:val="0"/>
                  <w:marBottom w:val="0"/>
                  <w:divBdr>
                    <w:top w:val="none" w:sz="0" w:space="0" w:color="auto"/>
                    <w:left w:val="none" w:sz="0" w:space="0" w:color="auto"/>
                    <w:bottom w:val="none" w:sz="0" w:space="0" w:color="auto"/>
                    <w:right w:val="none" w:sz="0" w:space="0" w:color="auto"/>
                  </w:divBdr>
                  <w:divsChild>
                    <w:div w:id="1046301114">
                      <w:marLeft w:val="0"/>
                      <w:marRight w:val="0"/>
                      <w:marTop w:val="0"/>
                      <w:marBottom w:val="0"/>
                      <w:divBdr>
                        <w:top w:val="none" w:sz="0" w:space="0" w:color="auto"/>
                        <w:left w:val="none" w:sz="0" w:space="0" w:color="auto"/>
                        <w:bottom w:val="none" w:sz="0" w:space="0" w:color="auto"/>
                        <w:right w:val="none" w:sz="0" w:space="0" w:color="auto"/>
                      </w:divBdr>
                    </w:div>
                  </w:divsChild>
                </w:div>
                <w:div w:id="2092774168">
                  <w:marLeft w:val="0"/>
                  <w:marRight w:val="0"/>
                  <w:marTop w:val="0"/>
                  <w:marBottom w:val="0"/>
                  <w:divBdr>
                    <w:top w:val="none" w:sz="0" w:space="0" w:color="auto"/>
                    <w:left w:val="none" w:sz="0" w:space="0" w:color="auto"/>
                    <w:bottom w:val="none" w:sz="0" w:space="0" w:color="auto"/>
                    <w:right w:val="none" w:sz="0" w:space="0" w:color="auto"/>
                  </w:divBdr>
                  <w:divsChild>
                    <w:div w:id="2048413831">
                      <w:marLeft w:val="0"/>
                      <w:marRight w:val="0"/>
                      <w:marTop w:val="0"/>
                      <w:marBottom w:val="0"/>
                      <w:divBdr>
                        <w:top w:val="none" w:sz="0" w:space="0" w:color="auto"/>
                        <w:left w:val="none" w:sz="0" w:space="0" w:color="auto"/>
                        <w:bottom w:val="none" w:sz="0" w:space="0" w:color="auto"/>
                        <w:right w:val="none" w:sz="0" w:space="0" w:color="auto"/>
                      </w:divBdr>
                    </w:div>
                  </w:divsChild>
                </w:div>
                <w:div w:id="2099474109">
                  <w:marLeft w:val="0"/>
                  <w:marRight w:val="0"/>
                  <w:marTop w:val="0"/>
                  <w:marBottom w:val="0"/>
                  <w:divBdr>
                    <w:top w:val="none" w:sz="0" w:space="0" w:color="auto"/>
                    <w:left w:val="none" w:sz="0" w:space="0" w:color="auto"/>
                    <w:bottom w:val="none" w:sz="0" w:space="0" w:color="auto"/>
                    <w:right w:val="none" w:sz="0" w:space="0" w:color="auto"/>
                  </w:divBdr>
                  <w:divsChild>
                    <w:div w:id="687368079">
                      <w:marLeft w:val="0"/>
                      <w:marRight w:val="0"/>
                      <w:marTop w:val="0"/>
                      <w:marBottom w:val="0"/>
                      <w:divBdr>
                        <w:top w:val="none" w:sz="0" w:space="0" w:color="auto"/>
                        <w:left w:val="none" w:sz="0" w:space="0" w:color="auto"/>
                        <w:bottom w:val="none" w:sz="0" w:space="0" w:color="auto"/>
                        <w:right w:val="none" w:sz="0" w:space="0" w:color="auto"/>
                      </w:divBdr>
                    </w:div>
                  </w:divsChild>
                </w:div>
                <w:div w:id="2122263668">
                  <w:marLeft w:val="0"/>
                  <w:marRight w:val="0"/>
                  <w:marTop w:val="0"/>
                  <w:marBottom w:val="0"/>
                  <w:divBdr>
                    <w:top w:val="none" w:sz="0" w:space="0" w:color="auto"/>
                    <w:left w:val="none" w:sz="0" w:space="0" w:color="auto"/>
                    <w:bottom w:val="none" w:sz="0" w:space="0" w:color="auto"/>
                    <w:right w:val="none" w:sz="0" w:space="0" w:color="auto"/>
                  </w:divBdr>
                  <w:divsChild>
                    <w:div w:id="8230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66551">
          <w:marLeft w:val="0"/>
          <w:marRight w:val="0"/>
          <w:marTop w:val="0"/>
          <w:marBottom w:val="0"/>
          <w:divBdr>
            <w:top w:val="none" w:sz="0" w:space="0" w:color="auto"/>
            <w:left w:val="none" w:sz="0" w:space="0" w:color="auto"/>
            <w:bottom w:val="none" w:sz="0" w:space="0" w:color="auto"/>
            <w:right w:val="none" w:sz="0" w:space="0" w:color="auto"/>
          </w:divBdr>
        </w:div>
      </w:divsChild>
    </w:div>
    <w:div w:id="1507750790">
      <w:bodyDiv w:val="1"/>
      <w:marLeft w:val="0"/>
      <w:marRight w:val="0"/>
      <w:marTop w:val="0"/>
      <w:marBottom w:val="0"/>
      <w:divBdr>
        <w:top w:val="none" w:sz="0" w:space="0" w:color="auto"/>
        <w:left w:val="none" w:sz="0" w:space="0" w:color="auto"/>
        <w:bottom w:val="none" w:sz="0" w:space="0" w:color="auto"/>
        <w:right w:val="none" w:sz="0" w:space="0" w:color="auto"/>
      </w:divBdr>
    </w:div>
    <w:div w:id="1702825795">
      <w:bodyDiv w:val="1"/>
      <w:marLeft w:val="0"/>
      <w:marRight w:val="0"/>
      <w:marTop w:val="0"/>
      <w:marBottom w:val="0"/>
      <w:divBdr>
        <w:top w:val="none" w:sz="0" w:space="0" w:color="auto"/>
        <w:left w:val="none" w:sz="0" w:space="0" w:color="auto"/>
        <w:bottom w:val="none" w:sz="0" w:space="0" w:color="auto"/>
        <w:right w:val="none" w:sz="0" w:space="0" w:color="auto"/>
      </w:divBdr>
    </w:div>
    <w:div w:id="1703556857">
      <w:bodyDiv w:val="1"/>
      <w:marLeft w:val="0"/>
      <w:marRight w:val="0"/>
      <w:marTop w:val="0"/>
      <w:marBottom w:val="0"/>
      <w:divBdr>
        <w:top w:val="none" w:sz="0" w:space="0" w:color="auto"/>
        <w:left w:val="none" w:sz="0" w:space="0" w:color="auto"/>
        <w:bottom w:val="none" w:sz="0" w:space="0" w:color="auto"/>
        <w:right w:val="none" w:sz="0" w:space="0" w:color="auto"/>
      </w:divBdr>
    </w:div>
    <w:div w:id="1729693310">
      <w:bodyDiv w:val="1"/>
      <w:marLeft w:val="0"/>
      <w:marRight w:val="0"/>
      <w:marTop w:val="0"/>
      <w:marBottom w:val="0"/>
      <w:divBdr>
        <w:top w:val="none" w:sz="0" w:space="0" w:color="auto"/>
        <w:left w:val="none" w:sz="0" w:space="0" w:color="auto"/>
        <w:bottom w:val="none" w:sz="0" w:space="0" w:color="auto"/>
        <w:right w:val="none" w:sz="0" w:space="0" w:color="auto"/>
      </w:divBdr>
    </w:div>
    <w:div w:id="1745755972">
      <w:bodyDiv w:val="1"/>
      <w:marLeft w:val="0"/>
      <w:marRight w:val="0"/>
      <w:marTop w:val="0"/>
      <w:marBottom w:val="0"/>
      <w:divBdr>
        <w:top w:val="none" w:sz="0" w:space="0" w:color="auto"/>
        <w:left w:val="none" w:sz="0" w:space="0" w:color="auto"/>
        <w:bottom w:val="none" w:sz="0" w:space="0" w:color="auto"/>
        <w:right w:val="none" w:sz="0" w:space="0" w:color="auto"/>
      </w:divBdr>
    </w:div>
    <w:div w:id="1749692518">
      <w:bodyDiv w:val="1"/>
      <w:marLeft w:val="0"/>
      <w:marRight w:val="0"/>
      <w:marTop w:val="0"/>
      <w:marBottom w:val="0"/>
      <w:divBdr>
        <w:top w:val="none" w:sz="0" w:space="0" w:color="auto"/>
        <w:left w:val="none" w:sz="0" w:space="0" w:color="auto"/>
        <w:bottom w:val="none" w:sz="0" w:space="0" w:color="auto"/>
        <w:right w:val="none" w:sz="0" w:space="0" w:color="auto"/>
      </w:divBdr>
      <w:divsChild>
        <w:div w:id="39016586">
          <w:marLeft w:val="0"/>
          <w:marRight w:val="0"/>
          <w:marTop w:val="0"/>
          <w:marBottom w:val="0"/>
          <w:divBdr>
            <w:top w:val="none" w:sz="0" w:space="0" w:color="auto"/>
            <w:left w:val="none" w:sz="0" w:space="0" w:color="auto"/>
            <w:bottom w:val="none" w:sz="0" w:space="0" w:color="auto"/>
            <w:right w:val="none" w:sz="0" w:space="0" w:color="auto"/>
          </w:divBdr>
        </w:div>
        <w:div w:id="145440599">
          <w:marLeft w:val="0"/>
          <w:marRight w:val="0"/>
          <w:marTop w:val="0"/>
          <w:marBottom w:val="0"/>
          <w:divBdr>
            <w:top w:val="none" w:sz="0" w:space="0" w:color="auto"/>
            <w:left w:val="none" w:sz="0" w:space="0" w:color="auto"/>
            <w:bottom w:val="none" w:sz="0" w:space="0" w:color="auto"/>
            <w:right w:val="none" w:sz="0" w:space="0" w:color="auto"/>
          </w:divBdr>
        </w:div>
        <w:div w:id="387219341">
          <w:marLeft w:val="0"/>
          <w:marRight w:val="0"/>
          <w:marTop w:val="0"/>
          <w:marBottom w:val="0"/>
          <w:divBdr>
            <w:top w:val="none" w:sz="0" w:space="0" w:color="auto"/>
            <w:left w:val="none" w:sz="0" w:space="0" w:color="auto"/>
            <w:bottom w:val="none" w:sz="0" w:space="0" w:color="auto"/>
            <w:right w:val="none" w:sz="0" w:space="0" w:color="auto"/>
          </w:divBdr>
        </w:div>
        <w:div w:id="449860193">
          <w:marLeft w:val="0"/>
          <w:marRight w:val="0"/>
          <w:marTop w:val="0"/>
          <w:marBottom w:val="0"/>
          <w:divBdr>
            <w:top w:val="none" w:sz="0" w:space="0" w:color="auto"/>
            <w:left w:val="none" w:sz="0" w:space="0" w:color="auto"/>
            <w:bottom w:val="none" w:sz="0" w:space="0" w:color="auto"/>
            <w:right w:val="none" w:sz="0" w:space="0" w:color="auto"/>
          </w:divBdr>
        </w:div>
        <w:div w:id="733815189">
          <w:marLeft w:val="0"/>
          <w:marRight w:val="0"/>
          <w:marTop w:val="0"/>
          <w:marBottom w:val="0"/>
          <w:divBdr>
            <w:top w:val="none" w:sz="0" w:space="0" w:color="auto"/>
            <w:left w:val="none" w:sz="0" w:space="0" w:color="auto"/>
            <w:bottom w:val="none" w:sz="0" w:space="0" w:color="auto"/>
            <w:right w:val="none" w:sz="0" w:space="0" w:color="auto"/>
          </w:divBdr>
        </w:div>
        <w:div w:id="1032389581">
          <w:marLeft w:val="0"/>
          <w:marRight w:val="0"/>
          <w:marTop w:val="0"/>
          <w:marBottom w:val="0"/>
          <w:divBdr>
            <w:top w:val="none" w:sz="0" w:space="0" w:color="auto"/>
            <w:left w:val="none" w:sz="0" w:space="0" w:color="auto"/>
            <w:bottom w:val="none" w:sz="0" w:space="0" w:color="auto"/>
            <w:right w:val="none" w:sz="0" w:space="0" w:color="auto"/>
          </w:divBdr>
          <w:divsChild>
            <w:div w:id="382562508">
              <w:marLeft w:val="0"/>
              <w:marRight w:val="0"/>
              <w:marTop w:val="0"/>
              <w:marBottom w:val="0"/>
              <w:divBdr>
                <w:top w:val="none" w:sz="0" w:space="0" w:color="auto"/>
                <w:left w:val="none" w:sz="0" w:space="0" w:color="auto"/>
                <w:bottom w:val="none" w:sz="0" w:space="0" w:color="auto"/>
                <w:right w:val="none" w:sz="0" w:space="0" w:color="auto"/>
              </w:divBdr>
            </w:div>
            <w:div w:id="485827104">
              <w:marLeft w:val="0"/>
              <w:marRight w:val="0"/>
              <w:marTop w:val="0"/>
              <w:marBottom w:val="0"/>
              <w:divBdr>
                <w:top w:val="none" w:sz="0" w:space="0" w:color="auto"/>
                <w:left w:val="none" w:sz="0" w:space="0" w:color="auto"/>
                <w:bottom w:val="none" w:sz="0" w:space="0" w:color="auto"/>
                <w:right w:val="none" w:sz="0" w:space="0" w:color="auto"/>
              </w:divBdr>
            </w:div>
            <w:div w:id="486291291">
              <w:marLeft w:val="0"/>
              <w:marRight w:val="0"/>
              <w:marTop w:val="0"/>
              <w:marBottom w:val="0"/>
              <w:divBdr>
                <w:top w:val="none" w:sz="0" w:space="0" w:color="auto"/>
                <w:left w:val="none" w:sz="0" w:space="0" w:color="auto"/>
                <w:bottom w:val="none" w:sz="0" w:space="0" w:color="auto"/>
                <w:right w:val="none" w:sz="0" w:space="0" w:color="auto"/>
              </w:divBdr>
            </w:div>
            <w:div w:id="493571015">
              <w:marLeft w:val="0"/>
              <w:marRight w:val="0"/>
              <w:marTop w:val="0"/>
              <w:marBottom w:val="0"/>
              <w:divBdr>
                <w:top w:val="none" w:sz="0" w:space="0" w:color="auto"/>
                <w:left w:val="none" w:sz="0" w:space="0" w:color="auto"/>
                <w:bottom w:val="none" w:sz="0" w:space="0" w:color="auto"/>
                <w:right w:val="none" w:sz="0" w:space="0" w:color="auto"/>
              </w:divBdr>
            </w:div>
            <w:div w:id="585771726">
              <w:marLeft w:val="0"/>
              <w:marRight w:val="0"/>
              <w:marTop w:val="0"/>
              <w:marBottom w:val="0"/>
              <w:divBdr>
                <w:top w:val="none" w:sz="0" w:space="0" w:color="auto"/>
                <w:left w:val="none" w:sz="0" w:space="0" w:color="auto"/>
                <w:bottom w:val="none" w:sz="0" w:space="0" w:color="auto"/>
                <w:right w:val="none" w:sz="0" w:space="0" w:color="auto"/>
              </w:divBdr>
            </w:div>
            <w:div w:id="756949211">
              <w:marLeft w:val="0"/>
              <w:marRight w:val="0"/>
              <w:marTop w:val="0"/>
              <w:marBottom w:val="0"/>
              <w:divBdr>
                <w:top w:val="none" w:sz="0" w:space="0" w:color="auto"/>
                <w:left w:val="none" w:sz="0" w:space="0" w:color="auto"/>
                <w:bottom w:val="none" w:sz="0" w:space="0" w:color="auto"/>
                <w:right w:val="none" w:sz="0" w:space="0" w:color="auto"/>
              </w:divBdr>
            </w:div>
            <w:div w:id="834995658">
              <w:marLeft w:val="0"/>
              <w:marRight w:val="0"/>
              <w:marTop w:val="0"/>
              <w:marBottom w:val="0"/>
              <w:divBdr>
                <w:top w:val="none" w:sz="0" w:space="0" w:color="auto"/>
                <w:left w:val="none" w:sz="0" w:space="0" w:color="auto"/>
                <w:bottom w:val="none" w:sz="0" w:space="0" w:color="auto"/>
                <w:right w:val="none" w:sz="0" w:space="0" w:color="auto"/>
              </w:divBdr>
            </w:div>
            <w:div w:id="859708564">
              <w:marLeft w:val="0"/>
              <w:marRight w:val="0"/>
              <w:marTop w:val="0"/>
              <w:marBottom w:val="0"/>
              <w:divBdr>
                <w:top w:val="none" w:sz="0" w:space="0" w:color="auto"/>
                <w:left w:val="none" w:sz="0" w:space="0" w:color="auto"/>
                <w:bottom w:val="none" w:sz="0" w:space="0" w:color="auto"/>
                <w:right w:val="none" w:sz="0" w:space="0" w:color="auto"/>
              </w:divBdr>
            </w:div>
            <w:div w:id="919221142">
              <w:marLeft w:val="0"/>
              <w:marRight w:val="0"/>
              <w:marTop w:val="0"/>
              <w:marBottom w:val="0"/>
              <w:divBdr>
                <w:top w:val="none" w:sz="0" w:space="0" w:color="auto"/>
                <w:left w:val="none" w:sz="0" w:space="0" w:color="auto"/>
                <w:bottom w:val="none" w:sz="0" w:space="0" w:color="auto"/>
                <w:right w:val="none" w:sz="0" w:space="0" w:color="auto"/>
              </w:divBdr>
            </w:div>
            <w:div w:id="998270188">
              <w:marLeft w:val="0"/>
              <w:marRight w:val="0"/>
              <w:marTop w:val="0"/>
              <w:marBottom w:val="0"/>
              <w:divBdr>
                <w:top w:val="none" w:sz="0" w:space="0" w:color="auto"/>
                <w:left w:val="none" w:sz="0" w:space="0" w:color="auto"/>
                <w:bottom w:val="none" w:sz="0" w:space="0" w:color="auto"/>
                <w:right w:val="none" w:sz="0" w:space="0" w:color="auto"/>
              </w:divBdr>
            </w:div>
            <w:div w:id="1165977690">
              <w:marLeft w:val="0"/>
              <w:marRight w:val="0"/>
              <w:marTop w:val="0"/>
              <w:marBottom w:val="0"/>
              <w:divBdr>
                <w:top w:val="none" w:sz="0" w:space="0" w:color="auto"/>
                <w:left w:val="none" w:sz="0" w:space="0" w:color="auto"/>
                <w:bottom w:val="none" w:sz="0" w:space="0" w:color="auto"/>
                <w:right w:val="none" w:sz="0" w:space="0" w:color="auto"/>
              </w:divBdr>
            </w:div>
            <w:div w:id="1307472912">
              <w:marLeft w:val="0"/>
              <w:marRight w:val="0"/>
              <w:marTop w:val="0"/>
              <w:marBottom w:val="0"/>
              <w:divBdr>
                <w:top w:val="none" w:sz="0" w:space="0" w:color="auto"/>
                <w:left w:val="none" w:sz="0" w:space="0" w:color="auto"/>
                <w:bottom w:val="none" w:sz="0" w:space="0" w:color="auto"/>
                <w:right w:val="none" w:sz="0" w:space="0" w:color="auto"/>
              </w:divBdr>
            </w:div>
            <w:div w:id="1505129182">
              <w:marLeft w:val="0"/>
              <w:marRight w:val="0"/>
              <w:marTop w:val="0"/>
              <w:marBottom w:val="0"/>
              <w:divBdr>
                <w:top w:val="none" w:sz="0" w:space="0" w:color="auto"/>
                <w:left w:val="none" w:sz="0" w:space="0" w:color="auto"/>
                <w:bottom w:val="none" w:sz="0" w:space="0" w:color="auto"/>
                <w:right w:val="none" w:sz="0" w:space="0" w:color="auto"/>
              </w:divBdr>
            </w:div>
            <w:div w:id="1571040124">
              <w:marLeft w:val="0"/>
              <w:marRight w:val="0"/>
              <w:marTop w:val="0"/>
              <w:marBottom w:val="0"/>
              <w:divBdr>
                <w:top w:val="none" w:sz="0" w:space="0" w:color="auto"/>
                <w:left w:val="none" w:sz="0" w:space="0" w:color="auto"/>
                <w:bottom w:val="none" w:sz="0" w:space="0" w:color="auto"/>
                <w:right w:val="none" w:sz="0" w:space="0" w:color="auto"/>
              </w:divBdr>
            </w:div>
            <w:div w:id="1602106313">
              <w:marLeft w:val="0"/>
              <w:marRight w:val="0"/>
              <w:marTop w:val="0"/>
              <w:marBottom w:val="0"/>
              <w:divBdr>
                <w:top w:val="none" w:sz="0" w:space="0" w:color="auto"/>
                <w:left w:val="none" w:sz="0" w:space="0" w:color="auto"/>
                <w:bottom w:val="none" w:sz="0" w:space="0" w:color="auto"/>
                <w:right w:val="none" w:sz="0" w:space="0" w:color="auto"/>
              </w:divBdr>
            </w:div>
            <w:div w:id="1765566257">
              <w:marLeft w:val="0"/>
              <w:marRight w:val="0"/>
              <w:marTop w:val="0"/>
              <w:marBottom w:val="0"/>
              <w:divBdr>
                <w:top w:val="none" w:sz="0" w:space="0" w:color="auto"/>
                <w:left w:val="none" w:sz="0" w:space="0" w:color="auto"/>
                <w:bottom w:val="none" w:sz="0" w:space="0" w:color="auto"/>
                <w:right w:val="none" w:sz="0" w:space="0" w:color="auto"/>
              </w:divBdr>
            </w:div>
            <w:div w:id="1839273196">
              <w:marLeft w:val="0"/>
              <w:marRight w:val="0"/>
              <w:marTop w:val="0"/>
              <w:marBottom w:val="0"/>
              <w:divBdr>
                <w:top w:val="none" w:sz="0" w:space="0" w:color="auto"/>
                <w:left w:val="none" w:sz="0" w:space="0" w:color="auto"/>
                <w:bottom w:val="none" w:sz="0" w:space="0" w:color="auto"/>
                <w:right w:val="none" w:sz="0" w:space="0" w:color="auto"/>
              </w:divBdr>
            </w:div>
            <w:div w:id="1889026383">
              <w:marLeft w:val="0"/>
              <w:marRight w:val="0"/>
              <w:marTop w:val="0"/>
              <w:marBottom w:val="0"/>
              <w:divBdr>
                <w:top w:val="none" w:sz="0" w:space="0" w:color="auto"/>
                <w:left w:val="none" w:sz="0" w:space="0" w:color="auto"/>
                <w:bottom w:val="none" w:sz="0" w:space="0" w:color="auto"/>
                <w:right w:val="none" w:sz="0" w:space="0" w:color="auto"/>
              </w:divBdr>
            </w:div>
            <w:div w:id="1991249479">
              <w:marLeft w:val="0"/>
              <w:marRight w:val="0"/>
              <w:marTop w:val="0"/>
              <w:marBottom w:val="0"/>
              <w:divBdr>
                <w:top w:val="none" w:sz="0" w:space="0" w:color="auto"/>
                <w:left w:val="none" w:sz="0" w:space="0" w:color="auto"/>
                <w:bottom w:val="none" w:sz="0" w:space="0" w:color="auto"/>
                <w:right w:val="none" w:sz="0" w:space="0" w:color="auto"/>
              </w:divBdr>
            </w:div>
            <w:div w:id="2057000497">
              <w:marLeft w:val="0"/>
              <w:marRight w:val="0"/>
              <w:marTop w:val="0"/>
              <w:marBottom w:val="0"/>
              <w:divBdr>
                <w:top w:val="none" w:sz="0" w:space="0" w:color="auto"/>
                <w:left w:val="none" w:sz="0" w:space="0" w:color="auto"/>
                <w:bottom w:val="none" w:sz="0" w:space="0" w:color="auto"/>
                <w:right w:val="none" w:sz="0" w:space="0" w:color="auto"/>
              </w:divBdr>
            </w:div>
          </w:divsChild>
        </w:div>
        <w:div w:id="1149903444">
          <w:marLeft w:val="0"/>
          <w:marRight w:val="0"/>
          <w:marTop w:val="0"/>
          <w:marBottom w:val="0"/>
          <w:divBdr>
            <w:top w:val="none" w:sz="0" w:space="0" w:color="auto"/>
            <w:left w:val="none" w:sz="0" w:space="0" w:color="auto"/>
            <w:bottom w:val="none" w:sz="0" w:space="0" w:color="auto"/>
            <w:right w:val="none" w:sz="0" w:space="0" w:color="auto"/>
          </w:divBdr>
        </w:div>
        <w:div w:id="1328628173">
          <w:marLeft w:val="0"/>
          <w:marRight w:val="0"/>
          <w:marTop w:val="0"/>
          <w:marBottom w:val="0"/>
          <w:divBdr>
            <w:top w:val="none" w:sz="0" w:space="0" w:color="auto"/>
            <w:left w:val="none" w:sz="0" w:space="0" w:color="auto"/>
            <w:bottom w:val="none" w:sz="0" w:space="0" w:color="auto"/>
            <w:right w:val="none" w:sz="0" w:space="0" w:color="auto"/>
          </w:divBdr>
        </w:div>
        <w:div w:id="1629168645">
          <w:marLeft w:val="0"/>
          <w:marRight w:val="0"/>
          <w:marTop w:val="0"/>
          <w:marBottom w:val="0"/>
          <w:divBdr>
            <w:top w:val="none" w:sz="0" w:space="0" w:color="auto"/>
            <w:left w:val="none" w:sz="0" w:space="0" w:color="auto"/>
            <w:bottom w:val="none" w:sz="0" w:space="0" w:color="auto"/>
            <w:right w:val="none" w:sz="0" w:space="0" w:color="auto"/>
          </w:divBdr>
        </w:div>
        <w:div w:id="1683318339">
          <w:marLeft w:val="0"/>
          <w:marRight w:val="0"/>
          <w:marTop w:val="0"/>
          <w:marBottom w:val="0"/>
          <w:divBdr>
            <w:top w:val="none" w:sz="0" w:space="0" w:color="auto"/>
            <w:left w:val="none" w:sz="0" w:space="0" w:color="auto"/>
            <w:bottom w:val="none" w:sz="0" w:space="0" w:color="auto"/>
            <w:right w:val="none" w:sz="0" w:space="0" w:color="auto"/>
          </w:divBdr>
        </w:div>
        <w:div w:id="1930456152">
          <w:marLeft w:val="0"/>
          <w:marRight w:val="0"/>
          <w:marTop w:val="0"/>
          <w:marBottom w:val="0"/>
          <w:divBdr>
            <w:top w:val="none" w:sz="0" w:space="0" w:color="auto"/>
            <w:left w:val="none" w:sz="0" w:space="0" w:color="auto"/>
            <w:bottom w:val="none" w:sz="0" w:space="0" w:color="auto"/>
            <w:right w:val="none" w:sz="0" w:space="0" w:color="auto"/>
          </w:divBdr>
        </w:div>
        <w:div w:id="1980457619">
          <w:marLeft w:val="0"/>
          <w:marRight w:val="0"/>
          <w:marTop w:val="0"/>
          <w:marBottom w:val="0"/>
          <w:divBdr>
            <w:top w:val="none" w:sz="0" w:space="0" w:color="auto"/>
            <w:left w:val="none" w:sz="0" w:space="0" w:color="auto"/>
            <w:bottom w:val="none" w:sz="0" w:space="0" w:color="auto"/>
            <w:right w:val="none" w:sz="0" w:space="0" w:color="auto"/>
          </w:divBdr>
        </w:div>
        <w:div w:id="2104261524">
          <w:marLeft w:val="0"/>
          <w:marRight w:val="0"/>
          <w:marTop w:val="0"/>
          <w:marBottom w:val="0"/>
          <w:divBdr>
            <w:top w:val="none" w:sz="0" w:space="0" w:color="auto"/>
            <w:left w:val="none" w:sz="0" w:space="0" w:color="auto"/>
            <w:bottom w:val="none" w:sz="0" w:space="0" w:color="auto"/>
            <w:right w:val="none" w:sz="0" w:space="0" w:color="auto"/>
          </w:divBdr>
        </w:div>
        <w:div w:id="2141723994">
          <w:marLeft w:val="0"/>
          <w:marRight w:val="0"/>
          <w:marTop w:val="0"/>
          <w:marBottom w:val="0"/>
          <w:divBdr>
            <w:top w:val="none" w:sz="0" w:space="0" w:color="auto"/>
            <w:left w:val="none" w:sz="0" w:space="0" w:color="auto"/>
            <w:bottom w:val="none" w:sz="0" w:space="0" w:color="auto"/>
            <w:right w:val="none" w:sz="0" w:space="0" w:color="auto"/>
          </w:divBdr>
        </w:div>
      </w:divsChild>
    </w:div>
    <w:div w:id="1811022053">
      <w:bodyDiv w:val="1"/>
      <w:marLeft w:val="0"/>
      <w:marRight w:val="0"/>
      <w:marTop w:val="0"/>
      <w:marBottom w:val="0"/>
      <w:divBdr>
        <w:top w:val="none" w:sz="0" w:space="0" w:color="auto"/>
        <w:left w:val="none" w:sz="0" w:space="0" w:color="auto"/>
        <w:bottom w:val="none" w:sz="0" w:space="0" w:color="auto"/>
        <w:right w:val="none" w:sz="0" w:space="0" w:color="auto"/>
      </w:divBdr>
      <w:divsChild>
        <w:div w:id="191387133">
          <w:marLeft w:val="0"/>
          <w:marRight w:val="0"/>
          <w:marTop w:val="0"/>
          <w:marBottom w:val="0"/>
          <w:divBdr>
            <w:top w:val="none" w:sz="0" w:space="0" w:color="auto"/>
            <w:left w:val="none" w:sz="0" w:space="0" w:color="auto"/>
            <w:bottom w:val="none" w:sz="0" w:space="0" w:color="auto"/>
            <w:right w:val="none" w:sz="0" w:space="0" w:color="auto"/>
          </w:divBdr>
        </w:div>
        <w:div w:id="475756068">
          <w:marLeft w:val="0"/>
          <w:marRight w:val="0"/>
          <w:marTop w:val="0"/>
          <w:marBottom w:val="0"/>
          <w:divBdr>
            <w:top w:val="none" w:sz="0" w:space="0" w:color="auto"/>
            <w:left w:val="none" w:sz="0" w:space="0" w:color="auto"/>
            <w:bottom w:val="none" w:sz="0" w:space="0" w:color="auto"/>
            <w:right w:val="none" w:sz="0" w:space="0" w:color="auto"/>
          </w:divBdr>
        </w:div>
        <w:div w:id="502664517">
          <w:marLeft w:val="0"/>
          <w:marRight w:val="0"/>
          <w:marTop w:val="0"/>
          <w:marBottom w:val="0"/>
          <w:divBdr>
            <w:top w:val="none" w:sz="0" w:space="0" w:color="auto"/>
            <w:left w:val="none" w:sz="0" w:space="0" w:color="auto"/>
            <w:bottom w:val="none" w:sz="0" w:space="0" w:color="auto"/>
            <w:right w:val="none" w:sz="0" w:space="0" w:color="auto"/>
          </w:divBdr>
          <w:divsChild>
            <w:div w:id="2012296677">
              <w:marLeft w:val="-75"/>
              <w:marRight w:val="0"/>
              <w:marTop w:val="30"/>
              <w:marBottom w:val="30"/>
              <w:divBdr>
                <w:top w:val="none" w:sz="0" w:space="0" w:color="auto"/>
                <w:left w:val="none" w:sz="0" w:space="0" w:color="auto"/>
                <w:bottom w:val="none" w:sz="0" w:space="0" w:color="auto"/>
                <w:right w:val="none" w:sz="0" w:space="0" w:color="auto"/>
              </w:divBdr>
              <w:divsChild>
                <w:div w:id="10032255">
                  <w:marLeft w:val="0"/>
                  <w:marRight w:val="0"/>
                  <w:marTop w:val="0"/>
                  <w:marBottom w:val="0"/>
                  <w:divBdr>
                    <w:top w:val="none" w:sz="0" w:space="0" w:color="auto"/>
                    <w:left w:val="none" w:sz="0" w:space="0" w:color="auto"/>
                    <w:bottom w:val="none" w:sz="0" w:space="0" w:color="auto"/>
                    <w:right w:val="none" w:sz="0" w:space="0" w:color="auto"/>
                  </w:divBdr>
                  <w:divsChild>
                    <w:div w:id="432942730">
                      <w:marLeft w:val="0"/>
                      <w:marRight w:val="0"/>
                      <w:marTop w:val="0"/>
                      <w:marBottom w:val="0"/>
                      <w:divBdr>
                        <w:top w:val="none" w:sz="0" w:space="0" w:color="auto"/>
                        <w:left w:val="none" w:sz="0" w:space="0" w:color="auto"/>
                        <w:bottom w:val="none" w:sz="0" w:space="0" w:color="auto"/>
                        <w:right w:val="none" w:sz="0" w:space="0" w:color="auto"/>
                      </w:divBdr>
                    </w:div>
                  </w:divsChild>
                </w:div>
                <w:div w:id="47611423">
                  <w:marLeft w:val="0"/>
                  <w:marRight w:val="0"/>
                  <w:marTop w:val="0"/>
                  <w:marBottom w:val="0"/>
                  <w:divBdr>
                    <w:top w:val="none" w:sz="0" w:space="0" w:color="auto"/>
                    <w:left w:val="none" w:sz="0" w:space="0" w:color="auto"/>
                    <w:bottom w:val="none" w:sz="0" w:space="0" w:color="auto"/>
                    <w:right w:val="none" w:sz="0" w:space="0" w:color="auto"/>
                  </w:divBdr>
                  <w:divsChild>
                    <w:div w:id="1320033732">
                      <w:marLeft w:val="0"/>
                      <w:marRight w:val="0"/>
                      <w:marTop w:val="0"/>
                      <w:marBottom w:val="0"/>
                      <w:divBdr>
                        <w:top w:val="none" w:sz="0" w:space="0" w:color="auto"/>
                        <w:left w:val="none" w:sz="0" w:space="0" w:color="auto"/>
                        <w:bottom w:val="none" w:sz="0" w:space="0" w:color="auto"/>
                        <w:right w:val="none" w:sz="0" w:space="0" w:color="auto"/>
                      </w:divBdr>
                    </w:div>
                  </w:divsChild>
                </w:div>
                <w:div w:id="50691671">
                  <w:marLeft w:val="0"/>
                  <w:marRight w:val="0"/>
                  <w:marTop w:val="0"/>
                  <w:marBottom w:val="0"/>
                  <w:divBdr>
                    <w:top w:val="none" w:sz="0" w:space="0" w:color="auto"/>
                    <w:left w:val="none" w:sz="0" w:space="0" w:color="auto"/>
                    <w:bottom w:val="none" w:sz="0" w:space="0" w:color="auto"/>
                    <w:right w:val="none" w:sz="0" w:space="0" w:color="auto"/>
                  </w:divBdr>
                  <w:divsChild>
                    <w:div w:id="353727229">
                      <w:marLeft w:val="0"/>
                      <w:marRight w:val="0"/>
                      <w:marTop w:val="0"/>
                      <w:marBottom w:val="0"/>
                      <w:divBdr>
                        <w:top w:val="none" w:sz="0" w:space="0" w:color="auto"/>
                        <w:left w:val="none" w:sz="0" w:space="0" w:color="auto"/>
                        <w:bottom w:val="none" w:sz="0" w:space="0" w:color="auto"/>
                        <w:right w:val="none" w:sz="0" w:space="0" w:color="auto"/>
                      </w:divBdr>
                    </w:div>
                  </w:divsChild>
                </w:div>
                <w:div w:id="64690349">
                  <w:marLeft w:val="0"/>
                  <w:marRight w:val="0"/>
                  <w:marTop w:val="0"/>
                  <w:marBottom w:val="0"/>
                  <w:divBdr>
                    <w:top w:val="none" w:sz="0" w:space="0" w:color="auto"/>
                    <w:left w:val="none" w:sz="0" w:space="0" w:color="auto"/>
                    <w:bottom w:val="none" w:sz="0" w:space="0" w:color="auto"/>
                    <w:right w:val="none" w:sz="0" w:space="0" w:color="auto"/>
                  </w:divBdr>
                  <w:divsChild>
                    <w:div w:id="1077242294">
                      <w:marLeft w:val="0"/>
                      <w:marRight w:val="0"/>
                      <w:marTop w:val="0"/>
                      <w:marBottom w:val="0"/>
                      <w:divBdr>
                        <w:top w:val="none" w:sz="0" w:space="0" w:color="auto"/>
                        <w:left w:val="none" w:sz="0" w:space="0" w:color="auto"/>
                        <w:bottom w:val="none" w:sz="0" w:space="0" w:color="auto"/>
                        <w:right w:val="none" w:sz="0" w:space="0" w:color="auto"/>
                      </w:divBdr>
                    </w:div>
                  </w:divsChild>
                </w:div>
                <w:div w:id="78213693">
                  <w:marLeft w:val="0"/>
                  <w:marRight w:val="0"/>
                  <w:marTop w:val="0"/>
                  <w:marBottom w:val="0"/>
                  <w:divBdr>
                    <w:top w:val="none" w:sz="0" w:space="0" w:color="auto"/>
                    <w:left w:val="none" w:sz="0" w:space="0" w:color="auto"/>
                    <w:bottom w:val="none" w:sz="0" w:space="0" w:color="auto"/>
                    <w:right w:val="none" w:sz="0" w:space="0" w:color="auto"/>
                  </w:divBdr>
                  <w:divsChild>
                    <w:div w:id="1107626211">
                      <w:marLeft w:val="0"/>
                      <w:marRight w:val="0"/>
                      <w:marTop w:val="0"/>
                      <w:marBottom w:val="0"/>
                      <w:divBdr>
                        <w:top w:val="none" w:sz="0" w:space="0" w:color="auto"/>
                        <w:left w:val="none" w:sz="0" w:space="0" w:color="auto"/>
                        <w:bottom w:val="none" w:sz="0" w:space="0" w:color="auto"/>
                        <w:right w:val="none" w:sz="0" w:space="0" w:color="auto"/>
                      </w:divBdr>
                    </w:div>
                  </w:divsChild>
                </w:div>
                <w:div w:id="95028257">
                  <w:marLeft w:val="0"/>
                  <w:marRight w:val="0"/>
                  <w:marTop w:val="0"/>
                  <w:marBottom w:val="0"/>
                  <w:divBdr>
                    <w:top w:val="none" w:sz="0" w:space="0" w:color="auto"/>
                    <w:left w:val="none" w:sz="0" w:space="0" w:color="auto"/>
                    <w:bottom w:val="none" w:sz="0" w:space="0" w:color="auto"/>
                    <w:right w:val="none" w:sz="0" w:space="0" w:color="auto"/>
                  </w:divBdr>
                  <w:divsChild>
                    <w:div w:id="1303535322">
                      <w:marLeft w:val="0"/>
                      <w:marRight w:val="0"/>
                      <w:marTop w:val="0"/>
                      <w:marBottom w:val="0"/>
                      <w:divBdr>
                        <w:top w:val="none" w:sz="0" w:space="0" w:color="auto"/>
                        <w:left w:val="none" w:sz="0" w:space="0" w:color="auto"/>
                        <w:bottom w:val="none" w:sz="0" w:space="0" w:color="auto"/>
                        <w:right w:val="none" w:sz="0" w:space="0" w:color="auto"/>
                      </w:divBdr>
                    </w:div>
                  </w:divsChild>
                </w:div>
                <w:div w:id="127281393">
                  <w:marLeft w:val="0"/>
                  <w:marRight w:val="0"/>
                  <w:marTop w:val="0"/>
                  <w:marBottom w:val="0"/>
                  <w:divBdr>
                    <w:top w:val="none" w:sz="0" w:space="0" w:color="auto"/>
                    <w:left w:val="none" w:sz="0" w:space="0" w:color="auto"/>
                    <w:bottom w:val="none" w:sz="0" w:space="0" w:color="auto"/>
                    <w:right w:val="none" w:sz="0" w:space="0" w:color="auto"/>
                  </w:divBdr>
                  <w:divsChild>
                    <w:div w:id="706833903">
                      <w:marLeft w:val="0"/>
                      <w:marRight w:val="0"/>
                      <w:marTop w:val="0"/>
                      <w:marBottom w:val="0"/>
                      <w:divBdr>
                        <w:top w:val="none" w:sz="0" w:space="0" w:color="auto"/>
                        <w:left w:val="none" w:sz="0" w:space="0" w:color="auto"/>
                        <w:bottom w:val="none" w:sz="0" w:space="0" w:color="auto"/>
                        <w:right w:val="none" w:sz="0" w:space="0" w:color="auto"/>
                      </w:divBdr>
                    </w:div>
                  </w:divsChild>
                </w:div>
                <w:div w:id="146093679">
                  <w:marLeft w:val="0"/>
                  <w:marRight w:val="0"/>
                  <w:marTop w:val="0"/>
                  <w:marBottom w:val="0"/>
                  <w:divBdr>
                    <w:top w:val="none" w:sz="0" w:space="0" w:color="auto"/>
                    <w:left w:val="none" w:sz="0" w:space="0" w:color="auto"/>
                    <w:bottom w:val="none" w:sz="0" w:space="0" w:color="auto"/>
                    <w:right w:val="none" w:sz="0" w:space="0" w:color="auto"/>
                  </w:divBdr>
                  <w:divsChild>
                    <w:div w:id="159932106">
                      <w:marLeft w:val="0"/>
                      <w:marRight w:val="0"/>
                      <w:marTop w:val="0"/>
                      <w:marBottom w:val="0"/>
                      <w:divBdr>
                        <w:top w:val="none" w:sz="0" w:space="0" w:color="auto"/>
                        <w:left w:val="none" w:sz="0" w:space="0" w:color="auto"/>
                        <w:bottom w:val="none" w:sz="0" w:space="0" w:color="auto"/>
                        <w:right w:val="none" w:sz="0" w:space="0" w:color="auto"/>
                      </w:divBdr>
                    </w:div>
                  </w:divsChild>
                </w:div>
                <w:div w:id="162017547">
                  <w:marLeft w:val="0"/>
                  <w:marRight w:val="0"/>
                  <w:marTop w:val="0"/>
                  <w:marBottom w:val="0"/>
                  <w:divBdr>
                    <w:top w:val="none" w:sz="0" w:space="0" w:color="auto"/>
                    <w:left w:val="none" w:sz="0" w:space="0" w:color="auto"/>
                    <w:bottom w:val="none" w:sz="0" w:space="0" w:color="auto"/>
                    <w:right w:val="none" w:sz="0" w:space="0" w:color="auto"/>
                  </w:divBdr>
                  <w:divsChild>
                    <w:div w:id="1013993918">
                      <w:marLeft w:val="0"/>
                      <w:marRight w:val="0"/>
                      <w:marTop w:val="0"/>
                      <w:marBottom w:val="0"/>
                      <w:divBdr>
                        <w:top w:val="none" w:sz="0" w:space="0" w:color="auto"/>
                        <w:left w:val="none" w:sz="0" w:space="0" w:color="auto"/>
                        <w:bottom w:val="none" w:sz="0" w:space="0" w:color="auto"/>
                        <w:right w:val="none" w:sz="0" w:space="0" w:color="auto"/>
                      </w:divBdr>
                    </w:div>
                  </w:divsChild>
                </w:div>
                <w:div w:id="185606432">
                  <w:marLeft w:val="0"/>
                  <w:marRight w:val="0"/>
                  <w:marTop w:val="0"/>
                  <w:marBottom w:val="0"/>
                  <w:divBdr>
                    <w:top w:val="none" w:sz="0" w:space="0" w:color="auto"/>
                    <w:left w:val="none" w:sz="0" w:space="0" w:color="auto"/>
                    <w:bottom w:val="none" w:sz="0" w:space="0" w:color="auto"/>
                    <w:right w:val="none" w:sz="0" w:space="0" w:color="auto"/>
                  </w:divBdr>
                  <w:divsChild>
                    <w:div w:id="2115786848">
                      <w:marLeft w:val="0"/>
                      <w:marRight w:val="0"/>
                      <w:marTop w:val="0"/>
                      <w:marBottom w:val="0"/>
                      <w:divBdr>
                        <w:top w:val="none" w:sz="0" w:space="0" w:color="auto"/>
                        <w:left w:val="none" w:sz="0" w:space="0" w:color="auto"/>
                        <w:bottom w:val="none" w:sz="0" w:space="0" w:color="auto"/>
                        <w:right w:val="none" w:sz="0" w:space="0" w:color="auto"/>
                      </w:divBdr>
                    </w:div>
                  </w:divsChild>
                </w:div>
                <w:div w:id="225998428">
                  <w:marLeft w:val="0"/>
                  <w:marRight w:val="0"/>
                  <w:marTop w:val="0"/>
                  <w:marBottom w:val="0"/>
                  <w:divBdr>
                    <w:top w:val="none" w:sz="0" w:space="0" w:color="auto"/>
                    <w:left w:val="none" w:sz="0" w:space="0" w:color="auto"/>
                    <w:bottom w:val="none" w:sz="0" w:space="0" w:color="auto"/>
                    <w:right w:val="none" w:sz="0" w:space="0" w:color="auto"/>
                  </w:divBdr>
                  <w:divsChild>
                    <w:div w:id="11734951">
                      <w:marLeft w:val="0"/>
                      <w:marRight w:val="0"/>
                      <w:marTop w:val="0"/>
                      <w:marBottom w:val="0"/>
                      <w:divBdr>
                        <w:top w:val="none" w:sz="0" w:space="0" w:color="auto"/>
                        <w:left w:val="none" w:sz="0" w:space="0" w:color="auto"/>
                        <w:bottom w:val="none" w:sz="0" w:space="0" w:color="auto"/>
                        <w:right w:val="none" w:sz="0" w:space="0" w:color="auto"/>
                      </w:divBdr>
                    </w:div>
                  </w:divsChild>
                </w:div>
                <w:div w:id="234821617">
                  <w:marLeft w:val="0"/>
                  <w:marRight w:val="0"/>
                  <w:marTop w:val="0"/>
                  <w:marBottom w:val="0"/>
                  <w:divBdr>
                    <w:top w:val="none" w:sz="0" w:space="0" w:color="auto"/>
                    <w:left w:val="none" w:sz="0" w:space="0" w:color="auto"/>
                    <w:bottom w:val="none" w:sz="0" w:space="0" w:color="auto"/>
                    <w:right w:val="none" w:sz="0" w:space="0" w:color="auto"/>
                  </w:divBdr>
                  <w:divsChild>
                    <w:div w:id="1642688764">
                      <w:marLeft w:val="0"/>
                      <w:marRight w:val="0"/>
                      <w:marTop w:val="0"/>
                      <w:marBottom w:val="0"/>
                      <w:divBdr>
                        <w:top w:val="none" w:sz="0" w:space="0" w:color="auto"/>
                        <w:left w:val="none" w:sz="0" w:space="0" w:color="auto"/>
                        <w:bottom w:val="none" w:sz="0" w:space="0" w:color="auto"/>
                        <w:right w:val="none" w:sz="0" w:space="0" w:color="auto"/>
                      </w:divBdr>
                    </w:div>
                  </w:divsChild>
                </w:div>
                <w:div w:id="235281342">
                  <w:marLeft w:val="0"/>
                  <w:marRight w:val="0"/>
                  <w:marTop w:val="0"/>
                  <w:marBottom w:val="0"/>
                  <w:divBdr>
                    <w:top w:val="none" w:sz="0" w:space="0" w:color="auto"/>
                    <w:left w:val="none" w:sz="0" w:space="0" w:color="auto"/>
                    <w:bottom w:val="none" w:sz="0" w:space="0" w:color="auto"/>
                    <w:right w:val="none" w:sz="0" w:space="0" w:color="auto"/>
                  </w:divBdr>
                  <w:divsChild>
                    <w:div w:id="662851073">
                      <w:marLeft w:val="0"/>
                      <w:marRight w:val="0"/>
                      <w:marTop w:val="0"/>
                      <w:marBottom w:val="0"/>
                      <w:divBdr>
                        <w:top w:val="none" w:sz="0" w:space="0" w:color="auto"/>
                        <w:left w:val="none" w:sz="0" w:space="0" w:color="auto"/>
                        <w:bottom w:val="none" w:sz="0" w:space="0" w:color="auto"/>
                        <w:right w:val="none" w:sz="0" w:space="0" w:color="auto"/>
                      </w:divBdr>
                    </w:div>
                  </w:divsChild>
                </w:div>
                <w:div w:id="251551902">
                  <w:marLeft w:val="0"/>
                  <w:marRight w:val="0"/>
                  <w:marTop w:val="0"/>
                  <w:marBottom w:val="0"/>
                  <w:divBdr>
                    <w:top w:val="none" w:sz="0" w:space="0" w:color="auto"/>
                    <w:left w:val="none" w:sz="0" w:space="0" w:color="auto"/>
                    <w:bottom w:val="none" w:sz="0" w:space="0" w:color="auto"/>
                    <w:right w:val="none" w:sz="0" w:space="0" w:color="auto"/>
                  </w:divBdr>
                  <w:divsChild>
                    <w:div w:id="1190529499">
                      <w:marLeft w:val="0"/>
                      <w:marRight w:val="0"/>
                      <w:marTop w:val="0"/>
                      <w:marBottom w:val="0"/>
                      <w:divBdr>
                        <w:top w:val="none" w:sz="0" w:space="0" w:color="auto"/>
                        <w:left w:val="none" w:sz="0" w:space="0" w:color="auto"/>
                        <w:bottom w:val="none" w:sz="0" w:space="0" w:color="auto"/>
                        <w:right w:val="none" w:sz="0" w:space="0" w:color="auto"/>
                      </w:divBdr>
                    </w:div>
                  </w:divsChild>
                </w:div>
                <w:div w:id="253982137">
                  <w:marLeft w:val="0"/>
                  <w:marRight w:val="0"/>
                  <w:marTop w:val="0"/>
                  <w:marBottom w:val="0"/>
                  <w:divBdr>
                    <w:top w:val="none" w:sz="0" w:space="0" w:color="auto"/>
                    <w:left w:val="none" w:sz="0" w:space="0" w:color="auto"/>
                    <w:bottom w:val="none" w:sz="0" w:space="0" w:color="auto"/>
                    <w:right w:val="none" w:sz="0" w:space="0" w:color="auto"/>
                  </w:divBdr>
                  <w:divsChild>
                    <w:div w:id="509755163">
                      <w:marLeft w:val="0"/>
                      <w:marRight w:val="0"/>
                      <w:marTop w:val="0"/>
                      <w:marBottom w:val="0"/>
                      <w:divBdr>
                        <w:top w:val="none" w:sz="0" w:space="0" w:color="auto"/>
                        <w:left w:val="none" w:sz="0" w:space="0" w:color="auto"/>
                        <w:bottom w:val="none" w:sz="0" w:space="0" w:color="auto"/>
                        <w:right w:val="none" w:sz="0" w:space="0" w:color="auto"/>
                      </w:divBdr>
                    </w:div>
                  </w:divsChild>
                </w:div>
                <w:div w:id="307829771">
                  <w:marLeft w:val="0"/>
                  <w:marRight w:val="0"/>
                  <w:marTop w:val="0"/>
                  <w:marBottom w:val="0"/>
                  <w:divBdr>
                    <w:top w:val="none" w:sz="0" w:space="0" w:color="auto"/>
                    <w:left w:val="none" w:sz="0" w:space="0" w:color="auto"/>
                    <w:bottom w:val="none" w:sz="0" w:space="0" w:color="auto"/>
                    <w:right w:val="none" w:sz="0" w:space="0" w:color="auto"/>
                  </w:divBdr>
                  <w:divsChild>
                    <w:div w:id="1313947312">
                      <w:marLeft w:val="0"/>
                      <w:marRight w:val="0"/>
                      <w:marTop w:val="0"/>
                      <w:marBottom w:val="0"/>
                      <w:divBdr>
                        <w:top w:val="none" w:sz="0" w:space="0" w:color="auto"/>
                        <w:left w:val="none" w:sz="0" w:space="0" w:color="auto"/>
                        <w:bottom w:val="none" w:sz="0" w:space="0" w:color="auto"/>
                        <w:right w:val="none" w:sz="0" w:space="0" w:color="auto"/>
                      </w:divBdr>
                    </w:div>
                  </w:divsChild>
                </w:div>
                <w:div w:id="320692495">
                  <w:marLeft w:val="0"/>
                  <w:marRight w:val="0"/>
                  <w:marTop w:val="0"/>
                  <w:marBottom w:val="0"/>
                  <w:divBdr>
                    <w:top w:val="none" w:sz="0" w:space="0" w:color="auto"/>
                    <w:left w:val="none" w:sz="0" w:space="0" w:color="auto"/>
                    <w:bottom w:val="none" w:sz="0" w:space="0" w:color="auto"/>
                    <w:right w:val="none" w:sz="0" w:space="0" w:color="auto"/>
                  </w:divBdr>
                  <w:divsChild>
                    <w:div w:id="752703661">
                      <w:marLeft w:val="0"/>
                      <w:marRight w:val="0"/>
                      <w:marTop w:val="0"/>
                      <w:marBottom w:val="0"/>
                      <w:divBdr>
                        <w:top w:val="none" w:sz="0" w:space="0" w:color="auto"/>
                        <w:left w:val="none" w:sz="0" w:space="0" w:color="auto"/>
                        <w:bottom w:val="none" w:sz="0" w:space="0" w:color="auto"/>
                        <w:right w:val="none" w:sz="0" w:space="0" w:color="auto"/>
                      </w:divBdr>
                    </w:div>
                  </w:divsChild>
                </w:div>
                <w:div w:id="336807885">
                  <w:marLeft w:val="0"/>
                  <w:marRight w:val="0"/>
                  <w:marTop w:val="0"/>
                  <w:marBottom w:val="0"/>
                  <w:divBdr>
                    <w:top w:val="none" w:sz="0" w:space="0" w:color="auto"/>
                    <w:left w:val="none" w:sz="0" w:space="0" w:color="auto"/>
                    <w:bottom w:val="none" w:sz="0" w:space="0" w:color="auto"/>
                    <w:right w:val="none" w:sz="0" w:space="0" w:color="auto"/>
                  </w:divBdr>
                  <w:divsChild>
                    <w:div w:id="755445520">
                      <w:marLeft w:val="0"/>
                      <w:marRight w:val="0"/>
                      <w:marTop w:val="0"/>
                      <w:marBottom w:val="0"/>
                      <w:divBdr>
                        <w:top w:val="none" w:sz="0" w:space="0" w:color="auto"/>
                        <w:left w:val="none" w:sz="0" w:space="0" w:color="auto"/>
                        <w:bottom w:val="none" w:sz="0" w:space="0" w:color="auto"/>
                        <w:right w:val="none" w:sz="0" w:space="0" w:color="auto"/>
                      </w:divBdr>
                    </w:div>
                  </w:divsChild>
                </w:div>
                <w:div w:id="345791461">
                  <w:marLeft w:val="0"/>
                  <w:marRight w:val="0"/>
                  <w:marTop w:val="0"/>
                  <w:marBottom w:val="0"/>
                  <w:divBdr>
                    <w:top w:val="none" w:sz="0" w:space="0" w:color="auto"/>
                    <w:left w:val="none" w:sz="0" w:space="0" w:color="auto"/>
                    <w:bottom w:val="none" w:sz="0" w:space="0" w:color="auto"/>
                    <w:right w:val="none" w:sz="0" w:space="0" w:color="auto"/>
                  </w:divBdr>
                  <w:divsChild>
                    <w:div w:id="689187350">
                      <w:marLeft w:val="0"/>
                      <w:marRight w:val="0"/>
                      <w:marTop w:val="0"/>
                      <w:marBottom w:val="0"/>
                      <w:divBdr>
                        <w:top w:val="none" w:sz="0" w:space="0" w:color="auto"/>
                        <w:left w:val="none" w:sz="0" w:space="0" w:color="auto"/>
                        <w:bottom w:val="none" w:sz="0" w:space="0" w:color="auto"/>
                        <w:right w:val="none" w:sz="0" w:space="0" w:color="auto"/>
                      </w:divBdr>
                    </w:div>
                  </w:divsChild>
                </w:div>
                <w:div w:id="349378072">
                  <w:marLeft w:val="0"/>
                  <w:marRight w:val="0"/>
                  <w:marTop w:val="0"/>
                  <w:marBottom w:val="0"/>
                  <w:divBdr>
                    <w:top w:val="none" w:sz="0" w:space="0" w:color="auto"/>
                    <w:left w:val="none" w:sz="0" w:space="0" w:color="auto"/>
                    <w:bottom w:val="none" w:sz="0" w:space="0" w:color="auto"/>
                    <w:right w:val="none" w:sz="0" w:space="0" w:color="auto"/>
                  </w:divBdr>
                  <w:divsChild>
                    <w:div w:id="277179847">
                      <w:marLeft w:val="0"/>
                      <w:marRight w:val="0"/>
                      <w:marTop w:val="0"/>
                      <w:marBottom w:val="0"/>
                      <w:divBdr>
                        <w:top w:val="none" w:sz="0" w:space="0" w:color="auto"/>
                        <w:left w:val="none" w:sz="0" w:space="0" w:color="auto"/>
                        <w:bottom w:val="none" w:sz="0" w:space="0" w:color="auto"/>
                        <w:right w:val="none" w:sz="0" w:space="0" w:color="auto"/>
                      </w:divBdr>
                    </w:div>
                  </w:divsChild>
                </w:div>
                <w:div w:id="392853982">
                  <w:marLeft w:val="0"/>
                  <w:marRight w:val="0"/>
                  <w:marTop w:val="0"/>
                  <w:marBottom w:val="0"/>
                  <w:divBdr>
                    <w:top w:val="none" w:sz="0" w:space="0" w:color="auto"/>
                    <w:left w:val="none" w:sz="0" w:space="0" w:color="auto"/>
                    <w:bottom w:val="none" w:sz="0" w:space="0" w:color="auto"/>
                    <w:right w:val="none" w:sz="0" w:space="0" w:color="auto"/>
                  </w:divBdr>
                  <w:divsChild>
                    <w:div w:id="899436200">
                      <w:marLeft w:val="0"/>
                      <w:marRight w:val="0"/>
                      <w:marTop w:val="0"/>
                      <w:marBottom w:val="0"/>
                      <w:divBdr>
                        <w:top w:val="none" w:sz="0" w:space="0" w:color="auto"/>
                        <w:left w:val="none" w:sz="0" w:space="0" w:color="auto"/>
                        <w:bottom w:val="none" w:sz="0" w:space="0" w:color="auto"/>
                        <w:right w:val="none" w:sz="0" w:space="0" w:color="auto"/>
                      </w:divBdr>
                    </w:div>
                  </w:divsChild>
                </w:div>
                <w:div w:id="398334956">
                  <w:marLeft w:val="0"/>
                  <w:marRight w:val="0"/>
                  <w:marTop w:val="0"/>
                  <w:marBottom w:val="0"/>
                  <w:divBdr>
                    <w:top w:val="none" w:sz="0" w:space="0" w:color="auto"/>
                    <w:left w:val="none" w:sz="0" w:space="0" w:color="auto"/>
                    <w:bottom w:val="none" w:sz="0" w:space="0" w:color="auto"/>
                    <w:right w:val="none" w:sz="0" w:space="0" w:color="auto"/>
                  </w:divBdr>
                  <w:divsChild>
                    <w:div w:id="1315453710">
                      <w:marLeft w:val="0"/>
                      <w:marRight w:val="0"/>
                      <w:marTop w:val="0"/>
                      <w:marBottom w:val="0"/>
                      <w:divBdr>
                        <w:top w:val="none" w:sz="0" w:space="0" w:color="auto"/>
                        <w:left w:val="none" w:sz="0" w:space="0" w:color="auto"/>
                        <w:bottom w:val="none" w:sz="0" w:space="0" w:color="auto"/>
                        <w:right w:val="none" w:sz="0" w:space="0" w:color="auto"/>
                      </w:divBdr>
                    </w:div>
                  </w:divsChild>
                </w:div>
                <w:div w:id="426079656">
                  <w:marLeft w:val="0"/>
                  <w:marRight w:val="0"/>
                  <w:marTop w:val="0"/>
                  <w:marBottom w:val="0"/>
                  <w:divBdr>
                    <w:top w:val="none" w:sz="0" w:space="0" w:color="auto"/>
                    <w:left w:val="none" w:sz="0" w:space="0" w:color="auto"/>
                    <w:bottom w:val="none" w:sz="0" w:space="0" w:color="auto"/>
                    <w:right w:val="none" w:sz="0" w:space="0" w:color="auto"/>
                  </w:divBdr>
                  <w:divsChild>
                    <w:div w:id="802579096">
                      <w:marLeft w:val="0"/>
                      <w:marRight w:val="0"/>
                      <w:marTop w:val="0"/>
                      <w:marBottom w:val="0"/>
                      <w:divBdr>
                        <w:top w:val="none" w:sz="0" w:space="0" w:color="auto"/>
                        <w:left w:val="none" w:sz="0" w:space="0" w:color="auto"/>
                        <w:bottom w:val="none" w:sz="0" w:space="0" w:color="auto"/>
                        <w:right w:val="none" w:sz="0" w:space="0" w:color="auto"/>
                      </w:divBdr>
                    </w:div>
                  </w:divsChild>
                </w:div>
                <w:div w:id="434180629">
                  <w:marLeft w:val="0"/>
                  <w:marRight w:val="0"/>
                  <w:marTop w:val="0"/>
                  <w:marBottom w:val="0"/>
                  <w:divBdr>
                    <w:top w:val="none" w:sz="0" w:space="0" w:color="auto"/>
                    <w:left w:val="none" w:sz="0" w:space="0" w:color="auto"/>
                    <w:bottom w:val="none" w:sz="0" w:space="0" w:color="auto"/>
                    <w:right w:val="none" w:sz="0" w:space="0" w:color="auto"/>
                  </w:divBdr>
                  <w:divsChild>
                    <w:div w:id="98373477">
                      <w:marLeft w:val="0"/>
                      <w:marRight w:val="0"/>
                      <w:marTop w:val="0"/>
                      <w:marBottom w:val="0"/>
                      <w:divBdr>
                        <w:top w:val="none" w:sz="0" w:space="0" w:color="auto"/>
                        <w:left w:val="none" w:sz="0" w:space="0" w:color="auto"/>
                        <w:bottom w:val="none" w:sz="0" w:space="0" w:color="auto"/>
                        <w:right w:val="none" w:sz="0" w:space="0" w:color="auto"/>
                      </w:divBdr>
                    </w:div>
                  </w:divsChild>
                </w:div>
                <w:div w:id="434636706">
                  <w:marLeft w:val="0"/>
                  <w:marRight w:val="0"/>
                  <w:marTop w:val="0"/>
                  <w:marBottom w:val="0"/>
                  <w:divBdr>
                    <w:top w:val="none" w:sz="0" w:space="0" w:color="auto"/>
                    <w:left w:val="none" w:sz="0" w:space="0" w:color="auto"/>
                    <w:bottom w:val="none" w:sz="0" w:space="0" w:color="auto"/>
                    <w:right w:val="none" w:sz="0" w:space="0" w:color="auto"/>
                  </w:divBdr>
                  <w:divsChild>
                    <w:div w:id="1544519353">
                      <w:marLeft w:val="0"/>
                      <w:marRight w:val="0"/>
                      <w:marTop w:val="0"/>
                      <w:marBottom w:val="0"/>
                      <w:divBdr>
                        <w:top w:val="none" w:sz="0" w:space="0" w:color="auto"/>
                        <w:left w:val="none" w:sz="0" w:space="0" w:color="auto"/>
                        <w:bottom w:val="none" w:sz="0" w:space="0" w:color="auto"/>
                        <w:right w:val="none" w:sz="0" w:space="0" w:color="auto"/>
                      </w:divBdr>
                    </w:div>
                  </w:divsChild>
                </w:div>
                <w:div w:id="445657858">
                  <w:marLeft w:val="0"/>
                  <w:marRight w:val="0"/>
                  <w:marTop w:val="0"/>
                  <w:marBottom w:val="0"/>
                  <w:divBdr>
                    <w:top w:val="none" w:sz="0" w:space="0" w:color="auto"/>
                    <w:left w:val="none" w:sz="0" w:space="0" w:color="auto"/>
                    <w:bottom w:val="none" w:sz="0" w:space="0" w:color="auto"/>
                    <w:right w:val="none" w:sz="0" w:space="0" w:color="auto"/>
                  </w:divBdr>
                  <w:divsChild>
                    <w:div w:id="97793145">
                      <w:marLeft w:val="0"/>
                      <w:marRight w:val="0"/>
                      <w:marTop w:val="0"/>
                      <w:marBottom w:val="0"/>
                      <w:divBdr>
                        <w:top w:val="none" w:sz="0" w:space="0" w:color="auto"/>
                        <w:left w:val="none" w:sz="0" w:space="0" w:color="auto"/>
                        <w:bottom w:val="none" w:sz="0" w:space="0" w:color="auto"/>
                        <w:right w:val="none" w:sz="0" w:space="0" w:color="auto"/>
                      </w:divBdr>
                    </w:div>
                  </w:divsChild>
                </w:div>
                <w:div w:id="452864556">
                  <w:marLeft w:val="0"/>
                  <w:marRight w:val="0"/>
                  <w:marTop w:val="0"/>
                  <w:marBottom w:val="0"/>
                  <w:divBdr>
                    <w:top w:val="none" w:sz="0" w:space="0" w:color="auto"/>
                    <w:left w:val="none" w:sz="0" w:space="0" w:color="auto"/>
                    <w:bottom w:val="none" w:sz="0" w:space="0" w:color="auto"/>
                    <w:right w:val="none" w:sz="0" w:space="0" w:color="auto"/>
                  </w:divBdr>
                  <w:divsChild>
                    <w:div w:id="1991595708">
                      <w:marLeft w:val="0"/>
                      <w:marRight w:val="0"/>
                      <w:marTop w:val="0"/>
                      <w:marBottom w:val="0"/>
                      <w:divBdr>
                        <w:top w:val="none" w:sz="0" w:space="0" w:color="auto"/>
                        <w:left w:val="none" w:sz="0" w:space="0" w:color="auto"/>
                        <w:bottom w:val="none" w:sz="0" w:space="0" w:color="auto"/>
                        <w:right w:val="none" w:sz="0" w:space="0" w:color="auto"/>
                      </w:divBdr>
                    </w:div>
                  </w:divsChild>
                </w:div>
                <w:div w:id="474178384">
                  <w:marLeft w:val="0"/>
                  <w:marRight w:val="0"/>
                  <w:marTop w:val="0"/>
                  <w:marBottom w:val="0"/>
                  <w:divBdr>
                    <w:top w:val="none" w:sz="0" w:space="0" w:color="auto"/>
                    <w:left w:val="none" w:sz="0" w:space="0" w:color="auto"/>
                    <w:bottom w:val="none" w:sz="0" w:space="0" w:color="auto"/>
                    <w:right w:val="none" w:sz="0" w:space="0" w:color="auto"/>
                  </w:divBdr>
                  <w:divsChild>
                    <w:div w:id="1820074874">
                      <w:marLeft w:val="0"/>
                      <w:marRight w:val="0"/>
                      <w:marTop w:val="0"/>
                      <w:marBottom w:val="0"/>
                      <w:divBdr>
                        <w:top w:val="none" w:sz="0" w:space="0" w:color="auto"/>
                        <w:left w:val="none" w:sz="0" w:space="0" w:color="auto"/>
                        <w:bottom w:val="none" w:sz="0" w:space="0" w:color="auto"/>
                        <w:right w:val="none" w:sz="0" w:space="0" w:color="auto"/>
                      </w:divBdr>
                    </w:div>
                  </w:divsChild>
                </w:div>
                <w:div w:id="501701791">
                  <w:marLeft w:val="0"/>
                  <w:marRight w:val="0"/>
                  <w:marTop w:val="0"/>
                  <w:marBottom w:val="0"/>
                  <w:divBdr>
                    <w:top w:val="none" w:sz="0" w:space="0" w:color="auto"/>
                    <w:left w:val="none" w:sz="0" w:space="0" w:color="auto"/>
                    <w:bottom w:val="none" w:sz="0" w:space="0" w:color="auto"/>
                    <w:right w:val="none" w:sz="0" w:space="0" w:color="auto"/>
                  </w:divBdr>
                  <w:divsChild>
                    <w:div w:id="616303154">
                      <w:marLeft w:val="0"/>
                      <w:marRight w:val="0"/>
                      <w:marTop w:val="0"/>
                      <w:marBottom w:val="0"/>
                      <w:divBdr>
                        <w:top w:val="none" w:sz="0" w:space="0" w:color="auto"/>
                        <w:left w:val="none" w:sz="0" w:space="0" w:color="auto"/>
                        <w:bottom w:val="none" w:sz="0" w:space="0" w:color="auto"/>
                        <w:right w:val="none" w:sz="0" w:space="0" w:color="auto"/>
                      </w:divBdr>
                    </w:div>
                  </w:divsChild>
                </w:div>
                <w:div w:id="511577485">
                  <w:marLeft w:val="0"/>
                  <w:marRight w:val="0"/>
                  <w:marTop w:val="0"/>
                  <w:marBottom w:val="0"/>
                  <w:divBdr>
                    <w:top w:val="none" w:sz="0" w:space="0" w:color="auto"/>
                    <w:left w:val="none" w:sz="0" w:space="0" w:color="auto"/>
                    <w:bottom w:val="none" w:sz="0" w:space="0" w:color="auto"/>
                    <w:right w:val="none" w:sz="0" w:space="0" w:color="auto"/>
                  </w:divBdr>
                  <w:divsChild>
                    <w:div w:id="205147783">
                      <w:marLeft w:val="0"/>
                      <w:marRight w:val="0"/>
                      <w:marTop w:val="0"/>
                      <w:marBottom w:val="0"/>
                      <w:divBdr>
                        <w:top w:val="none" w:sz="0" w:space="0" w:color="auto"/>
                        <w:left w:val="none" w:sz="0" w:space="0" w:color="auto"/>
                        <w:bottom w:val="none" w:sz="0" w:space="0" w:color="auto"/>
                        <w:right w:val="none" w:sz="0" w:space="0" w:color="auto"/>
                      </w:divBdr>
                    </w:div>
                  </w:divsChild>
                </w:div>
                <w:div w:id="518129491">
                  <w:marLeft w:val="0"/>
                  <w:marRight w:val="0"/>
                  <w:marTop w:val="0"/>
                  <w:marBottom w:val="0"/>
                  <w:divBdr>
                    <w:top w:val="none" w:sz="0" w:space="0" w:color="auto"/>
                    <w:left w:val="none" w:sz="0" w:space="0" w:color="auto"/>
                    <w:bottom w:val="none" w:sz="0" w:space="0" w:color="auto"/>
                    <w:right w:val="none" w:sz="0" w:space="0" w:color="auto"/>
                  </w:divBdr>
                  <w:divsChild>
                    <w:div w:id="1791972559">
                      <w:marLeft w:val="0"/>
                      <w:marRight w:val="0"/>
                      <w:marTop w:val="0"/>
                      <w:marBottom w:val="0"/>
                      <w:divBdr>
                        <w:top w:val="none" w:sz="0" w:space="0" w:color="auto"/>
                        <w:left w:val="none" w:sz="0" w:space="0" w:color="auto"/>
                        <w:bottom w:val="none" w:sz="0" w:space="0" w:color="auto"/>
                        <w:right w:val="none" w:sz="0" w:space="0" w:color="auto"/>
                      </w:divBdr>
                    </w:div>
                  </w:divsChild>
                </w:div>
                <w:div w:id="520439675">
                  <w:marLeft w:val="0"/>
                  <w:marRight w:val="0"/>
                  <w:marTop w:val="0"/>
                  <w:marBottom w:val="0"/>
                  <w:divBdr>
                    <w:top w:val="none" w:sz="0" w:space="0" w:color="auto"/>
                    <w:left w:val="none" w:sz="0" w:space="0" w:color="auto"/>
                    <w:bottom w:val="none" w:sz="0" w:space="0" w:color="auto"/>
                    <w:right w:val="none" w:sz="0" w:space="0" w:color="auto"/>
                  </w:divBdr>
                  <w:divsChild>
                    <w:div w:id="881746354">
                      <w:marLeft w:val="0"/>
                      <w:marRight w:val="0"/>
                      <w:marTop w:val="0"/>
                      <w:marBottom w:val="0"/>
                      <w:divBdr>
                        <w:top w:val="none" w:sz="0" w:space="0" w:color="auto"/>
                        <w:left w:val="none" w:sz="0" w:space="0" w:color="auto"/>
                        <w:bottom w:val="none" w:sz="0" w:space="0" w:color="auto"/>
                        <w:right w:val="none" w:sz="0" w:space="0" w:color="auto"/>
                      </w:divBdr>
                    </w:div>
                  </w:divsChild>
                </w:div>
                <w:div w:id="526215633">
                  <w:marLeft w:val="0"/>
                  <w:marRight w:val="0"/>
                  <w:marTop w:val="0"/>
                  <w:marBottom w:val="0"/>
                  <w:divBdr>
                    <w:top w:val="none" w:sz="0" w:space="0" w:color="auto"/>
                    <w:left w:val="none" w:sz="0" w:space="0" w:color="auto"/>
                    <w:bottom w:val="none" w:sz="0" w:space="0" w:color="auto"/>
                    <w:right w:val="none" w:sz="0" w:space="0" w:color="auto"/>
                  </w:divBdr>
                  <w:divsChild>
                    <w:div w:id="1059019406">
                      <w:marLeft w:val="0"/>
                      <w:marRight w:val="0"/>
                      <w:marTop w:val="0"/>
                      <w:marBottom w:val="0"/>
                      <w:divBdr>
                        <w:top w:val="none" w:sz="0" w:space="0" w:color="auto"/>
                        <w:left w:val="none" w:sz="0" w:space="0" w:color="auto"/>
                        <w:bottom w:val="none" w:sz="0" w:space="0" w:color="auto"/>
                        <w:right w:val="none" w:sz="0" w:space="0" w:color="auto"/>
                      </w:divBdr>
                    </w:div>
                  </w:divsChild>
                </w:div>
                <w:div w:id="536166196">
                  <w:marLeft w:val="0"/>
                  <w:marRight w:val="0"/>
                  <w:marTop w:val="0"/>
                  <w:marBottom w:val="0"/>
                  <w:divBdr>
                    <w:top w:val="none" w:sz="0" w:space="0" w:color="auto"/>
                    <w:left w:val="none" w:sz="0" w:space="0" w:color="auto"/>
                    <w:bottom w:val="none" w:sz="0" w:space="0" w:color="auto"/>
                    <w:right w:val="none" w:sz="0" w:space="0" w:color="auto"/>
                  </w:divBdr>
                  <w:divsChild>
                    <w:div w:id="1511799930">
                      <w:marLeft w:val="0"/>
                      <w:marRight w:val="0"/>
                      <w:marTop w:val="0"/>
                      <w:marBottom w:val="0"/>
                      <w:divBdr>
                        <w:top w:val="none" w:sz="0" w:space="0" w:color="auto"/>
                        <w:left w:val="none" w:sz="0" w:space="0" w:color="auto"/>
                        <w:bottom w:val="none" w:sz="0" w:space="0" w:color="auto"/>
                        <w:right w:val="none" w:sz="0" w:space="0" w:color="auto"/>
                      </w:divBdr>
                    </w:div>
                  </w:divsChild>
                </w:div>
                <w:div w:id="548035048">
                  <w:marLeft w:val="0"/>
                  <w:marRight w:val="0"/>
                  <w:marTop w:val="0"/>
                  <w:marBottom w:val="0"/>
                  <w:divBdr>
                    <w:top w:val="none" w:sz="0" w:space="0" w:color="auto"/>
                    <w:left w:val="none" w:sz="0" w:space="0" w:color="auto"/>
                    <w:bottom w:val="none" w:sz="0" w:space="0" w:color="auto"/>
                    <w:right w:val="none" w:sz="0" w:space="0" w:color="auto"/>
                  </w:divBdr>
                  <w:divsChild>
                    <w:div w:id="1270821515">
                      <w:marLeft w:val="0"/>
                      <w:marRight w:val="0"/>
                      <w:marTop w:val="0"/>
                      <w:marBottom w:val="0"/>
                      <w:divBdr>
                        <w:top w:val="none" w:sz="0" w:space="0" w:color="auto"/>
                        <w:left w:val="none" w:sz="0" w:space="0" w:color="auto"/>
                        <w:bottom w:val="none" w:sz="0" w:space="0" w:color="auto"/>
                        <w:right w:val="none" w:sz="0" w:space="0" w:color="auto"/>
                      </w:divBdr>
                    </w:div>
                  </w:divsChild>
                </w:div>
                <w:div w:id="592707656">
                  <w:marLeft w:val="0"/>
                  <w:marRight w:val="0"/>
                  <w:marTop w:val="0"/>
                  <w:marBottom w:val="0"/>
                  <w:divBdr>
                    <w:top w:val="none" w:sz="0" w:space="0" w:color="auto"/>
                    <w:left w:val="none" w:sz="0" w:space="0" w:color="auto"/>
                    <w:bottom w:val="none" w:sz="0" w:space="0" w:color="auto"/>
                    <w:right w:val="none" w:sz="0" w:space="0" w:color="auto"/>
                  </w:divBdr>
                  <w:divsChild>
                    <w:div w:id="1905335129">
                      <w:marLeft w:val="0"/>
                      <w:marRight w:val="0"/>
                      <w:marTop w:val="0"/>
                      <w:marBottom w:val="0"/>
                      <w:divBdr>
                        <w:top w:val="none" w:sz="0" w:space="0" w:color="auto"/>
                        <w:left w:val="none" w:sz="0" w:space="0" w:color="auto"/>
                        <w:bottom w:val="none" w:sz="0" w:space="0" w:color="auto"/>
                        <w:right w:val="none" w:sz="0" w:space="0" w:color="auto"/>
                      </w:divBdr>
                    </w:div>
                  </w:divsChild>
                </w:div>
                <w:div w:id="604847405">
                  <w:marLeft w:val="0"/>
                  <w:marRight w:val="0"/>
                  <w:marTop w:val="0"/>
                  <w:marBottom w:val="0"/>
                  <w:divBdr>
                    <w:top w:val="none" w:sz="0" w:space="0" w:color="auto"/>
                    <w:left w:val="none" w:sz="0" w:space="0" w:color="auto"/>
                    <w:bottom w:val="none" w:sz="0" w:space="0" w:color="auto"/>
                    <w:right w:val="none" w:sz="0" w:space="0" w:color="auto"/>
                  </w:divBdr>
                  <w:divsChild>
                    <w:div w:id="1391078984">
                      <w:marLeft w:val="0"/>
                      <w:marRight w:val="0"/>
                      <w:marTop w:val="0"/>
                      <w:marBottom w:val="0"/>
                      <w:divBdr>
                        <w:top w:val="none" w:sz="0" w:space="0" w:color="auto"/>
                        <w:left w:val="none" w:sz="0" w:space="0" w:color="auto"/>
                        <w:bottom w:val="none" w:sz="0" w:space="0" w:color="auto"/>
                        <w:right w:val="none" w:sz="0" w:space="0" w:color="auto"/>
                      </w:divBdr>
                    </w:div>
                  </w:divsChild>
                </w:div>
                <w:div w:id="653680254">
                  <w:marLeft w:val="0"/>
                  <w:marRight w:val="0"/>
                  <w:marTop w:val="0"/>
                  <w:marBottom w:val="0"/>
                  <w:divBdr>
                    <w:top w:val="none" w:sz="0" w:space="0" w:color="auto"/>
                    <w:left w:val="none" w:sz="0" w:space="0" w:color="auto"/>
                    <w:bottom w:val="none" w:sz="0" w:space="0" w:color="auto"/>
                    <w:right w:val="none" w:sz="0" w:space="0" w:color="auto"/>
                  </w:divBdr>
                  <w:divsChild>
                    <w:div w:id="523596589">
                      <w:marLeft w:val="0"/>
                      <w:marRight w:val="0"/>
                      <w:marTop w:val="0"/>
                      <w:marBottom w:val="0"/>
                      <w:divBdr>
                        <w:top w:val="none" w:sz="0" w:space="0" w:color="auto"/>
                        <w:left w:val="none" w:sz="0" w:space="0" w:color="auto"/>
                        <w:bottom w:val="none" w:sz="0" w:space="0" w:color="auto"/>
                        <w:right w:val="none" w:sz="0" w:space="0" w:color="auto"/>
                      </w:divBdr>
                    </w:div>
                  </w:divsChild>
                </w:div>
                <w:div w:id="671252094">
                  <w:marLeft w:val="0"/>
                  <w:marRight w:val="0"/>
                  <w:marTop w:val="0"/>
                  <w:marBottom w:val="0"/>
                  <w:divBdr>
                    <w:top w:val="none" w:sz="0" w:space="0" w:color="auto"/>
                    <w:left w:val="none" w:sz="0" w:space="0" w:color="auto"/>
                    <w:bottom w:val="none" w:sz="0" w:space="0" w:color="auto"/>
                    <w:right w:val="none" w:sz="0" w:space="0" w:color="auto"/>
                  </w:divBdr>
                  <w:divsChild>
                    <w:div w:id="670642727">
                      <w:marLeft w:val="0"/>
                      <w:marRight w:val="0"/>
                      <w:marTop w:val="0"/>
                      <w:marBottom w:val="0"/>
                      <w:divBdr>
                        <w:top w:val="none" w:sz="0" w:space="0" w:color="auto"/>
                        <w:left w:val="none" w:sz="0" w:space="0" w:color="auto"/>
                        <w:bottom w:val="none" w:sz="0" w:space="0" w:color="auto"/>
                        <w:right w:val="none" w:sz="0" w:space="0" w:color="auto"/>
                      </w:divBdr>
                    </w:div>
                  </w:divsChild>
                </w:div>
                <w:div w:id="675184326">
                  <w:marLeft w:val="0"/>
                  <w:marRight w:val="0"/>
                  <w:marTop w:val="0"/>
                  <w:marBottom w:val="0"/>
                  <w:divBdr>
                    <w:top w:val="none" w:sz="0" w:space="0" w:color="auto"/>
                    <w:left w:val="none" w:sz="0" w:space="0" w:color="auto"/>
                    <w:bottom w:val="none" w:sz="0" w:space="0" w:color="auto"/>
                    <w:right w:val="none" w:sz="0" w:space="0" w:color="auto"/>
                  </w:divBdr>
                  <w:divsChild>
                    <w:div w:id="408384518">
                      <w:marLeft w:val="0"/>
                      <w:marRight w:val="0"/>
                      <w:marTop w:val="0"/>
                      <w:marBottom w:val="0"/>
                      <w:divBdr>
                        <w:top w:val="none" w:sz="0" w:space="0" w:color="auto"/>
                        <w:left w:val="none" w:sz="0" w:space="0" w:color="auto"/>
                        <w:bottom w:val="none" w:sz="0" w:space="0" w:color="auto"/>
                        <w:right w:val="none" w:sz="0" w:space="0" w:color="auto"/>
                      </w:divBdr>
                    </w:div>
                  </w:divsChild>
                </w:div>
                <w:div w:id="681861142">
                  <w:marLeft w:val="0"/>
                  <w:marRight w:val="0"/>
                  <w:marTop w:val="0"/>
                  <w:marBottom w:val="0"/>
                  <w:divBdr>
                    <w:top w:val="none" w:sz="0" w:space="0" w:color="auto"/>
                    <w:left w:val="none" w:sz="0" w:space="0" w:color="auto"/>
                    <w:bottom w:val="none" w:sz="0" w:space="0" w:color="auto"/>
                    <w:right w:val="none" w:sz="0" w:space="0" w:color="auto"/>
                  </w:divBdr>
                  <w:divsChild>
                    <w:div w:id="2008627812">
                      <w:marLeft w:val="0"/>
                      <w:marRight w:val="0"/>
                      <w:marTop w:val="0"/>
                      <w:marBottom w:val="0"/>
                      <w:divBdr>
                        <w:top w:val="none" w:sz="0" w:space="0" w:color="auto"/>
                        <w:left w:val="none" w:sz="0" w:space="0" w:color="auto"/>
                        <w:bottom w:val="none" w:sz="0" w:space="0" w:color="auto"/>
                        <w:right w:val="none" w:sz="0" w:space="0" w:color="auto"/>
                      </w:divBdr>
                    </w:div>
                  </w:divsChild>
                </w:div>
                <w:div w:id="691495606">
                  <w:marLeft w:val="0"/>
                  <w:marRight w:val="0"/>
                  <w:marTop w:val="0"/>
                  <w:marBottom w:val="0"/>
                  <w:divBdr>
                    <w:top w:val="none" w:sz="0" w:space="0" w:color="auto"/>
                    <w:left w:val="none" w:sz="0" w:space="0" w:color="auto"/>
                    <w:bottom w:val="none" w:sz="0" w:space="0" w:color="auto"/>
                    <w:right w:val="none" w:sz="0" w:space="0" w:color="auto"/>
                  </w:divBdr>
                  <w:divsChild>
                    <w:div w:id="105656254">
                      <w:marLeft w:val="0"/>
                      <w:marRight w:val="0"/>
                      <w:marTop w:val="0"/>
                      <w:marBottom w:val="0"/>
                      <w:divBdr>
                        <w:top w:val="none" w:sz="0" w:space="0" w:color="auto"/>
                        <w:left w:val="none" w:sz="0" w:space="0" w:color="auto"/>
                        <w:bottom w:val="none" w:sz="0" w:space="0" w:color="auto"/>
                        <w:right w:val="none" w:sz="0" w:space="0" w:color="auto"/>
                      </w:divBdr>
                    </w:div>
                  </w:divsChild>
                </w:div>
                <w:div w:id="719667652">
                  <w:marLeft w:val="0"/>
                  <w:marRight w:val="0"/>
                  <w:marTop w:val="0"/>
                  <w:marBottom w:val="0"/>
                  <w:divBdr>
                    <w:top w:val="none" w:sz="0" w:space="0" w:color="auto"/>
                    <w:left w:val="none" w:sz="0" w:space="0" w:color="auto"/>
                    <w:bottom w:val="none" w:sz="0" w:space="0" w:color="auto"/>
                    <w:right w:val="none" w:sz="0" w:space="0" w:color="auto"/>
                  </w:divBdr>
                  <w:divsChild>
                    <w:div w:id="236063122">
                      <w:marLeft w:val="0"/>
                      <w:marRight w:val="0"/>
                      <w:marTop w:val="0"/>
                      <w:marBottom w:val="0"/>
                      <w:divBdr>
                        <w:top w:val="none" w:sz="0" w:space="0" w:color="auto"/>
                        <w:left w:val="none" w:sz="0" w:space="0" w:color="auto"/>
                        <w:bottom w:val="none" w:sz="0" w:space="0" w:color="auto"/>
                        <w:right w:val="none" w:sz="0" w:space="0" w:color="auto"/>
                      </w:divBdr>
                    </w:div>
                  </w:divsChild>
                </w:div>
                <w:div w:id="752244573">
                  <w:marLeft w:val="0"/>
                  <w:marRight w:val="0"/>
                  <w:marTop w:val="0"/>
                  <w:marBottom w:val="0"/>
                  <w:divBdr>
                    <w:top w:val="none" w:sz="0" w:space="0" w:color="auto"/>
                    <w:left w:val="none" w:sz="0" w:space="0" w:color="auto"/>
                    <w:bottom w:val="none" w:sz="0" w:space="0" w:color="auto"/>
                    <w:right w:val="none" w:sz="0" w:space="0" w:color="auto"/>
                  </w:divBdr>
                  <w:divsChild>
                    <w:div w:id="1906139547">
                      <w:marLeft w:val="0"/>
                      <w:marRight w:val="0"/>
                      <w:marTop w:val="0"/>
                      <w:marBottom w:val="0"/>
                      <w:divBdr>
                        <w:top w:val="none" w:sz="0" w:space="0" w:color="auto"/>
                        <w:left w:val="none" w:sz="0" w:space="0" w:color="auto"/>
                        <w:bottom w:val="none" w:sz="0" w:space="0" w:color="auto"/>
                        <w:right w:val="none" w:sz="0" w:space="0" w:color="auto"/>
                      </w:divBdr>
                    </w:div>
                  </w:divsChild>
                </w:div>
                <w:div w:id="800150044">
                  <w:marLeft w:val="0"/>
                  <w:marRight w:val="0"/>
                  <w:marTop w:val="0"/>
                  <w:marBottom w:val="0"/>
                  <w:divBdr>
                    <w:top w:val="none" w:sz="0" w:space="0" w:color="auto"/>
                    <w:left w:val="none" w:sz="0" w:space="0" w:color="auto"/>
                    <w:bottom w:val="none" w:sz="0" w:space="0" w:color="auto"/>
                    <w:right w:val="none" w:sz="0" w:space="0" w:color="auto"/>
                  </w:divBdr>
                  <w:divsChild>
                    <w:div w:id="1429539622">
                      <w:marLeft w:val="0"/>
                      <w:marRight w:val="0"/>
                      <w:marTop w:val="0"/>
                      <w:marBottom w:val="0"/>
                      <w:divBdr>
                        <w:top w:val="none" w:sz="0" w:space="0" w:color="auto"/>
                        <w:left w:val="none" w:sz="0" w:space="0" w:color="auto"/>
                        <w:bottom w:val="none" w:sz="0" w:space="0" w:color="auto"/>
                        <w:right w:val="none" w:sz="0" w:space="0" w:color="auto"/>
                      </w:divBdr>
                    </w:div>
                  </w:divsChild>
                </w:div>
                <w:div w:id="819737109">
                  <w:marLeft w:val="0"/>
                  <w:marRight w:val="0"/>
                  <w:marTop w:val="0"/>
                  <w:marBottom w:val="0"/>
                  <w:divBdr>
                    <w:top w:val="none" w:sz="0" w:space="0" w:color="auto"/>
                    <w:left w:val="none" w:sz="0" w:space="0" w:color="auto"/>
                    <w:bottom w:val="none" w:sz="0" w:space="0" w:color="auto"/>
                    <w:right w:val="none" w:sz="0" w:space="0" w:color="auto"/>
                  </w:divBdr>
                  <w:divsChild>
                    <w:div w:id="678432800">
                      <w:marLeft w:val="0"/>
                      <w:marRight w:val="0"/>
                      <w:marTop w:val="0"/>
                      <w:marBottom w:val="0"/>
                      <w:divBdr>
                        <w:top w:val="none" w:sz="0" w:space="0" w:color="auto"/>
                        <w:left w:val="none" w:sz="0" w:space="0" w:color="auto"/>
                        <w:bottom w:val="none" w:sz="0" w:space="0" w:color="auto"/>
                        <w:right w:val="none" w:sz="0" w:space="0" w:color="auto"/>
                      </w:divBdr>
                    </w:div>
                  </w:divsChild>
                </w:div>
                <w:div w:id="825513609">
                  <w:marLeft w:val="0"/>
                  <w:marRight w:val="0"/>
                  <w:marTop w:val="0"/>
                  <w:marBottom w:val="0"/>
                  <w:divBdr>
                    <w:top w:val="none" w:sz="0" w:space="0" w:color="auto"/>
                    <w:left w:val="none" w:sz="0" w:space="0" w:color="auto"/>
                    <w:bottom w:val="none" w:sz="0" w:space="0" w:color="auto"/>
                    <w:right w:val="none" w:sz="0" w:space="0" w:color="auto"/>
                  </w:divBdr>
                  <w:divsChild>
                    <w:div w:id="502352602">
                      <w:marLeft w:val="0"/>
                      <w:marRight w:val="0"/>
                      <w:marTop w:val="0"/>
                      <w:marBottom w:val="0"/>
                      <w:divBdr>
                        <w:top w:val="none" w:sz="0" w:space="0" w:color="auto"/>
                        <w:left w:val="none" w:sz="0" w:space="0" w:color="auto"/>
                        <w:bottom w:val="none" w:sz="0" w:space="0" w:color="auto"/>
                        <w:right w:val="none" w:sz="0" w:space="0" w:color="auto"/>
                      </w:divBdr>
                    </w:div>
                  </w:divsChild>
                </w:div>
                <w:div w:id="841508910">
                  <w:marLeft w:val="0"/>
                  <w:marRight w:val="0"/>
                  <w:marTop w:val="0"/>
                  <w:marBottom w:val="0"/>
                  <w:divBdr>
                    <w:top w:val="none" w:sz="0" w:space="0" w:color="auto"/>
                    <w:left w:val="none" w:sz="0" w:space="0" w:color="auto"/>
                    <w:bottom w:val="none" w:sz="0" w:space="0" w:color="auto"/>
                    <w:right w:val="none" w:sz="0" w:space="0" w:color="auto"/>
                  </w:divBdr>
                  <w:divsChild>
                    <w:div w:id="1166632538">
                      <w:marLeft w:val="0"/>
                      <w:marRight w:val="0"/>
                      <w:marTop w:val="0"/>
                      <w:marBottom w:val="0"/>
                      <w:divBdr>
                        <w:top w:val="none" w:sz="0" w:space="0" w:color="auto"/>
                        <w:left w:val="none" w:sz="0" w:space="0" w:color="auto"/>
                        <w:bottom w:val="none" w:sz="0" w:space="0" w:color="auto"/>
                        <w:right w:val="none" w:sz="0" w:space="0" w:color="auto"/>
                      </w:divBdr>
                    </w:div>
                  </w:divsChild>
                </w:div>
                <w:div w:id="855315167">
                  <w:marLeft w:val="0"/>
                  <w:marRight w:val="0"/>
                  <w:marTop w:val="0"/>
                  <w:marBottom w:val="0"/>
                  <w:divBdr>
                    <w:top w:val="none" w:sz="0" w:space="0" w:color="auto"/>
                    <w:left w:val="none" w:sz="0" w:space="0" w:color="auto"/>
                    <w:bottom w:val="none" w:sz="0" w:space="0" w:color="auto"/>
                    <w:right w:val="none" w:sz="0" w:space="0" w:color="auto"/>
                  </w:divBdr>
                  <w:divsChild>
                    <w:div w:id="847328564">
                      <w:marLeft w:val="0"/>
                      <w:marRight w:val="0"/>
                      <w:marTop w:val="0"/>
                      <w:marBottom w:val="0"/>
                      <w:divBdr>
                        <w:top w:val="none" w:sz="0" w:space="0" w:color="auto"/>
                        <w:left w:val="none" w:sz="0" w:space="0" w:color="auto"/>
                        <w:bottom w:val="none" w:sz="0" w:space="0" w:color="auto"/>
                        <w:right w:val="none" w:sz="0" w:space="0" w:color="auto"/>
                      </w:divBdr>
                    </w:div>
                  </w:divsChild>
                </w:div>
                <w:div w:id="856774574">
                  <w:marLeft w:val="0"/>
                  <w:marRight w:val="0"/>
                  <w:marTop w:val="0"/>
                  <w:marBottom w:val="0"/>
                  <w:divBdr>
                    <w:top w:val="none" w:sz="0" w:space="0" w:color="auto"/>
                    <w:left w:val="none" w:sz="0" w:space="0" w:color="auto"/>
                    <w:bottom w:val="none" w:sz="0" w:space="0" w:color="auto"/>
                    <w:right w:val="none" w:sz="0" w:space="0" w:color="auto"/>
                  </w:divBdr>
                  <w:divsChild>
                    <w:div w:id="1122261303">
                      <w:marLeft w:val="0"/>
                      <w:marRight w:val="0"/>
                      <w:marTop w:val="0"/>
                      <w:marBottom w:val="0"/>
                      <w:divBdr>
                        <w:top w:val="none" w:sz="0" w:space="0" w:color="auto"/>
                        <w:left w:val="none" w:sz="0" w:space="0" w:color="auto"/>
                        <w:bottom w:val="none" w:sz="0" w:space="0" w:color="auto"/>
                        <w:right w:val="none" w:sz="0" w:space="0" w:color="auto"/>
                      </w:divBdr>
                    </w:div>
                  </w:divsChild>
                </w:div>
                <w:div w:id="865602118">
                  <w:marLeft w:val="0"/>
                  <w:marRight w:val="0"/>
                  <w:marTop w:val="0"/>
                  <w:marBottom w:val="0"/>
                  <w:divBdr>
                    <w:top w:val="none" w:sz="0" w:space="0" w:color="auto"/>
                    <w:left w:val="none" w:sz="0" w:space="0" w:color="auto"/>
                    <w:bottom w:val="none" w:sz="0" w:space="0" w:color="auto"/>
                    <w:right w:val="none" w:sz="0" w:space="0" w:color="auto"/>
                  </w:divBdr>
                  <w:divsChild>
                    <w:div w:id="458763629">
                      <w:marLeft w:val="0"/>
                      <w:marRight w:val="0"/>
                      <w:marTop w:val="0"/>
                      <w:marBottom w:val="0"/>
                      <w:divBdr>
                        <w:top w:val="none" w:sz="0" w:space="0" w:color="auto"/>
                        <w:left w:val="none" w:sz="0" w:space="0" w:color="auto"/>
                        <w:bottom w:val="none" w:sz="0" w:space="0" w:color="auto"/>
                        <w:right w:val="none" w:sz="0" w:space="0" w:color="auto"/>
                      </w:divBdr>
                    </w:div>
                  </w:divsChild>
                </w:div>
                <w:div w:id="896892649">
                  <w:marLeft w:val="0"/>
                  <w:marRight w:val="0"/>
                  <w:marTop w:val="0"/>
                  <w:marBottom w:val="0"/>
                  <w:divBdr>
                    <w:top w:val="none" w:sz="0" w:space="0" w:color="auto"/>
                    <w:left w:val="none" w:sz="0" w:space="0" w:color="auto"/>
                    <w:bottom w:val="none" w:sz="0" w:space="0" w:color="auto"/>
                    <w:right w:val="none" w:sz="0" w:space="0" w:color="auto"/>
                  </w:divBdr>
                  <w:divsChild>
                    <w:div w:id="1792548007">
                      <w:marLeft w:val="0"/>
                      <w:marRight w:val="0"/>
                      <w:marTop w:val="0"/>
                      <w:marBottom w:val="0"/>
                      <w:divBdr>
                        <w:top w:val="none" w:sz="0" w:space="0" w:color="auto"/>
                        <w:left w:val="none" w:sz="0" w:space="0" w:color="auto"/>
                        <w:bottom w:val="none" w:sz="0" w:space="0" w:color="auto"/>
                        <w:right w:val="none" w:sz="0" w:space="0" w:color="auto"/>
                      </w:divBdr>
                    </w:div>
                  </w:divsChild>
                </w:div>
                <w:div w:id="904342116">
                  <w:marLeft w:val="0"/>
                  <w:marRight w:val="0"/>
                  <w:marTop w:val="0"/>
                  <w:marBottom w:val="0"/>
                  <w:divBdr>
                    <w:top w:val="none" w:sz="0" w:space="0" w:color="auto"/>
                    <w:left w:val="none" w:sz="0" w:space="0" w:color="auto"/>
                    <w:bottom w:val="none" w:sz="0" w:space="0" w:color="auto"/>
                    <w:right w:val="none" w:sz="0" w:space="0" w:color="auto"/>
                  </w:divBdr>
                  <w:divsChild>
                    <w:div w:id="1321616483">
                      <w:marLeft w:val="0"/>
                      <w:marRight w:val="0"/>
                      <w:marTop w:val="0"/>
                      <w:marBottom w:val="0"/>
                      <w:divBdr>
                        <w:top w:val="none" w:sz="0" w:space="0" w:color="auto"/>
                        <w:left w:val="none" w:sz="0" w:space="0" w:color="auto"/>
                        <w:bottom w:val="none" w:sz="0" w:space="0" w:color="auto"/>
                        <w:right w:val="none" w:sz="0" w:space="0" w:color="auto"/>
                      </w:divBdr>
                    </w:div>
                  </w:divsChild>
                </w:div>
                <w:div w:id="906568637">
                  <w:marLeft w:val="0"/>
                  <w:marRight w:val="0"/>
                  <w:marTop w:val="0"/>
                  <w:marBottom w:val="0"/>
                  <w:divBdr>
                    <w:top w:val="none" w:sz="0" w:space="0" w:color="auto"/>
                    <w:left w:val="none" w:sz="0" w:space="0" w:color="auto"/>
                    <w:bottom w:val="none" w:sz="0" w:space="0" w:color="auto"/>
                    <w:right w:val="none" w:sz="0" w:space="0" w:color="auto"/>
                  </w:divBdr>
                  <w:divsChild>
                    <w:div w:id="492575874">
                      <w:marLeft w:val="0"/>
                      <w:marRight w:val="0"/>
                      <w:marTop w:val="0"/>
                      <w:marBottom w:val="0"/>
                      <w:divBdr>
                        <w:top w:val="none" w:sz="0" w:space="0" w:color="auto"/>
                        <w:left w:val="none" w:sz="0" w:space="0" w:color="auto"/>
                        <w:bottom w:val="none" w:sz="0" w:space="0" w:color="auto"/>
                        <w:right w:val="none" w:sz="0" w:space="0" w:color="auto"/>
                      </w:divBdr>
                    </w:div>
                  </w:divsChild>
                </w:div>
                <w:div w:id="929243852">
                  <w:marLeft w:val="0"/>
                  <w:marRight w:val="0"/>
                  <w:marTop w:val="0"/>
                  <w:marBottom w:val="0"/>
                  <w:divBdr>
                    <w:top w:val="none" w:sz="0" w:space="0" w:color="auto"/>
                    <w:left w:val="none" w:sz="0" w:space="0" w:color="auto"/>
                    <w:bottom w:val="none" w:sz="0" w:space="0" w:color="auto"/>
                    <w:right w:val="none" w:sz="0" w:space="0" w:color="auto"/>
                  </w:divBdr>
                  <w:divsChild>
                    <w:div w:id="1703433006">
                      <w:marLeft w:val="0"/>
                      <w:marRight w:val="0"/>
                      <w:marTop w:val="0"/>
                      <w:marBottom w:val="0"/>
                      <w:divBdr>
                        <w:top w:val="none" w:sz="0" w:space="0" w:color="auto"/>
                        <w:left w:val="none" w:sz="0" w:space="0" w:color="auto"/>
                        <w:bottom w:val="none" w:sz="0" w:space="0" w:color="auto"/>
                        <w:right w:val="none" w:sz="0" w:space="0" w:color="auto"/>
                      </w:divBdr>
                    </w:div>
                  </w:divsChild>
                </w:div>
                <w:div w:id="933590546">
                  <w:marLeft w:val="0"/>
                  <w:marRight w:val="0"/>
                  <w:marTop w:val="0"/>
                  <w:marBottom w:val="0"/>
                  <w:divBdr>
                    <w:top w:val="none" w:sz="0" w:space="0" w:color="auto"/>
                    <w:left w:val="none" w:sz="0" w:space="0" w:color="auto"/>
                    <w:bottom w:val="none" w:sz="0" w:space="0" w:color="auto"/>
                    <w:right w:val="none" w:sz="0" w:space="0" w:color="auto"/>
                  </w:divBdr>
                  <w:divsChild>
                    <w:div w:id="2061321739">
                      <w:marLeft w:val="0"/>
                      <w:marRight w:val="0"/>
                      <w:marTop w:val="0"/>
                      <w:marBottom w:val="0"/>
                      <w:divBdr>
                        <w:top w:val="none" w:sz="0" w:space="0" w:color="auto"/>
                        <w:left w:val="none" w:sz="0" w:space="0" w:color="auto"/>
                        <w:bottom w:val="none" w:sz="0" w:space="0" w:color="auto"/>
                        <w:right w:val="none" w:sz="0" w:space="0" w:color="auto"/>
                      </w:divBdr>
                    </w:div>
                  </w:divsChild>
                </w:div>
                <w:div w:id="940795277">
                  <w:marLeft w:val="0"/>
                  <w:marRight w:val="0"/>
                  <w:marTop w:val="0"/>
                  <w:marBottom w:val="0"/>
                  <w:divBdr>
                    <w:top w:val="none" w:sz="0" w:space="0" w:color="auto"/>
                    <w:left w:val="none" w:sz="0" w:space="0" w:color="auto"/>
                    <w:bottom w:val="none" w:sz="0" w:space="0" w:color="auto"/>
                    <w:right w:val="none" w:sz="0" w:space="0" w:color="auto"/>
                  </w:divBdr>
                  <w:divsChild>
                    <w:div w:id="2111002455">
                      <w:marLeft w:val="0"/>
                      <w:marRight w:val="0"/>
                      <w:marTop w:val="0"/>
                      <w:marBottom w:val="0"/>
                      <w:divBdr>
                        <w:top w:val="none" w:sz="0" w:space="0" w:color="auto"/>
                        <w:left w:val="none" w:sz="0" w:space="0" w:color="auto"/>
                        <w:bottom w:val="none" w:sz="0" w:space="0" w:color="auto"/>
                        <w:right w:val="none" w:sz="0" w:space="0" w:color="auto"/>
                      </w:divBdr>
                    </w:div>
                  </w:divsChild>
                </w:div>
                <w:div w:id="980890525">
                  <w:marLeft w:val="0"/>
                  <w:marRight w:val="0"/>
                  <w:marTop w:val="0"/>
                  <w:marBottom w:val="0"/>
                  <w:divBdr>
                    <w:top w:val="none" w:sz="0" w:space="0" w:color="auto"/>
                    <w:left w:val="none" w:sz="0" w:space="0" w:color="auto"/>
                    <w:bottom w:val="none" w:sz="0" w:space="0" w:color="auto"/>
                    <w:right w:val="none" w:sz="0" w:space="0" w:color="auto"/>
                  </w:divBdr>
                  <w:divsChild>
                    <w:div w:id="1970042086">
                      <w:marLeft w:val="0"/>
                      <w:marRight w:val="0"/>
                      <w:marTop w:val="0"/>
                      <w:marBottom w:val="0"/>
                      <w:divBdr>
                        <w:top w:val="none" w:sz="0" w:space="0" w:color="auto"/>
                        <w:left w:val="none" w:sz="0" w:space="0" w:color="auto"/>
                        <w:bottom w:val="none" w:sz="0" w:space="0" w:color="auto"/>
                        <w:right w:val="none" w:sz="0" w:space="0" w:color="auto"/>
                      </w:divBdr>
                    </w:div>
                  </w:divsChild>
                </w:div>
                <w:div w:id="1020811979">
                  <w:marLeft w:val="0"/>
                  <w:marRight w:val="0"/>
                  <w:marTop w:val="0"/>
                  <w:marBottom w:val="0"/>
                  <w:divBdr>
                    <w:top w:val="none" w:sz="0" w:space="0" w:color="auto"/>
                    <w:left w:val="none" w:sz="0" w:space="0" w:color="auto"/>
                    <w:bottom w:val="none" w:sz="0" w:space="0" w:color="auto"/>
                    <w:right w:val="none" w:sz="0" w:space="0" w:color="auto"/>
                  </w:divBdr>
                  <w:divsChild>
                    <w:div w:id="571694538">
                      <w:marLeft w:val="0"/>
                      <w:marRight w:val="0"/>
                      <w:marTop w:val="0"/>
                      <w:marBottom w:val="0"/>
                      <w:divBdr>
                        <w:top w:val="none" w:sz="0" w:space="0" w:color="auto"/>
                        <w:left w:val="none" w:sz="0" w:space="0" w:color="auto"/>
                        <w:bottom w:val="none" w:sz="0" w:space="0" w:color="auto"/>
                        <w:right w:val="none" w:sz="0" w:space="0" w:color="auto"/>
                      </w:divBdr>
                    </w:div>
                  </w:divsChild>
                </w:div>
                <w:div w:id="1045906270">
                  <w:marLeft w:val="0"/>
                  <w:marRight w:val="0"/>
                  <w:marTop w:val="0"/>
                  <w:marBottom w:val="0"/>
                  <w:divBdr>
                    <w:top w:val="none" w:sz="0" w:space="0" w:color="auto"/>
                    <w:left w:val="none" w:sz="0" w:space="0" w:color="auto"/>
                    <w:bottom w:val="none" w:sz="0" w:space="0" w:color="auto"/>
                    <w:right w:val="none" w:sz="0" w:space="0" w:color="auto"/>
                  </w:divBdr>
                  <w:divsChild>
                    <w:div w:id="368728986">
                      <w:marLeft w:val="0"/>
                      <w:marRight w:val="0"/>
                      <w:marTop w:val="0"/>
                      <w:marBottom w:val="0"/>
                      <w:divBdr>
                        <w:top w:val="none" w:sz="0" w:space="0" w:color="auto"/>
                        <w:left w:val="none" w:sz="0" w:space="0" w:color="auto"/>
                        <w:bottom w:val="none" w:sz="0" w:space="0" w:color="auto"/>
                        <w:right w:val="none" w:sz="0" w:space="0" w:color="auto"/>
                      </w:divBdr>
                    </w:div>
                  </w:divsChild>
                </w:div>
                <w:div w:id="1122580956">
                  <w:marLeft w:val="0"/>
                  <w:marRight w:val="0"/>
                  <w:marTop w:val="0"/>
                  <w:marBottom w:val="0"/>
                  <w:divBdr>
                    <w:top w:val="none" w:sz="0" w:space="0" w:color="auto"/>
                    <w:left w:val="none" w:sz="0" w:space="0" w:color="auto"/>
                    <w:bottom w:val="none" w:sz="0" w:space="0" w:color="auto"/>
                    <w:right w:val="none" w:sz="0" w:space="0" w:color="auto"/>
                  </w:divBdr>
                  <w:divsChild>
                    <w:div w:id="1066686308">
                      <w:marLeft w:val="0"/>
                      <w:marRight w:val="0"/>
                      <w:marTop w:val="0"/>
                      <w:marBottom w:val="0"/>
                      <w:divBdr>
                        <w:top w:val="none" w:sz="0" w:space="0" w:color="auto"/>
                        <w:left w:val="none" w:sz="0" w:space="0" w:color="auto"/>
                        <w:bottom w:val="none" w:sz="0" w:space="0" w:color="auto"/>
                        <w:right w:val="none" w:sz="0" w:space="0" w:color="auto"/>
                      </w:divBdr>
                    </w:div>
                  </w:divsChild>
                </w:div>
                <w:div w:id="1183203301">
                  <w:marLeft w:val="0"/>
                  <w:marRight w:val="0"/>
                  <w:marTop w:val="0"/>
                  <w:marBottom w:val="0"/>
                  <w:divBdr>
                    <w:top w:val="none" w:sz="0" w:space="0" w:color="auto"/>
                    <w:left w:val="none" w:sz="0" w:space="0" w:color="auto"/>
                    <w:bottom w:val="none" w:sz="0" w:space="0" w:color="auto"/>
                    <w:right w:val="none" w:sz="0" w:space="0" w:color="auto"/>
                  </w:divBdr>
                  <w:divsChild>
                    <w:div w:id="1700937030">
                      <w:marLeft w:val="0"/>
                      <w:marRight w:val="0"/>
                      <w:marTop w:val="0"/>
                      <w:marBottom w:val="0"/>
                      <w:divBdr>
                        <w:top w:val="none" w:sz="0" w:space="0" w:color="auto"/>
                        <w:left w:val="none" w:sz="0" w:space="0" w:color="auto"/>
                        <w:bottom w:val="none" w:sz="0" w:space="0" w:color="auto"/>
                        <w:right w:val="none" w:sz="0" w:space="0" w:color="auto"/>
                      </w:divBdr>
                    </w:div>
                  </w:divsChild>
                </w:div>
                <w:div w:id="1186940215">
                  <w:marLeft w:val="0"/>
                  <w:marRight w:val="0"/>
                  <w:marTop w:val="0"/>
                  <w:marBottom w:val="0"/>
                  <w:divBdr>
                    <w:top w:val="none" w:sz="0" w:space="0" w:color="auto"/>
                    <w:left w:val="none" w:sz="0" w:space="0" w:color="auto"/>
                    <w:bottom w:val="none" w:sz="0" w:space="0" w:color="auto"/>
                    <w:right w:val="none" w:sz="0" w:space="0" w:color="auto"/>
                  </w:divBdr>
                  <w:divsChild>
                    <w:div w:id="665598785">
                      <w:marLeft w:val="0"/>
                      <w:marRight w:val="0"/>
                      <w:marTop w:val="0"/>
                      <w:marBottom w:val="0"/>
                      <w:divBdr>
                        <w:top w:val="none" w:sz="0" w:space="0" w:color="auto"/>
                        <w:left w:val="none" w:sz="0" w:space="0" w:color="auto"/>
                        <w:bottom w:val="none" w:sz="0" w:space="0" w:color="auto"/>
                        <w:right w:val="none" w:sz="0" w:space="0" w:color="auto"/>
                      </w:divBdr>
                    </w:div>
                  </w:divsChild>
                </w:div>
                <w:div w:id="1196163642">
                  <w:marLeft w:val="0"/>
                  <w:marRight w:val="0"/>
                  <w:marTop w:val="0"/>
                  <w:marBottom w:val="0"/>
                  <w:divBdr>
                    <w:top w:val="none" w:sz="0" w:space="0" w:color="auto"/>
                    <w:left w:val="none" w:sz="0" w:space="0" w:color="auto"/>
                    <w:bottom w:val="none" w:sz="0" w:space="0" w:color="auto"/>
                    <w:right w:val="none" w:sz="0" w:space="0" w:color="auto"/>
                  </w:divBdr>
                  <w:divsChild>
                    <w:div w:id="938410239">
                      <w:marLeft w:val="0"/>
                      <w:marRight w:val="0"/>
                      <w:marTop w:val="0"/>
                      <w:marBottom w:val="0"/>
                      <w:divBdr>
                        <w:top w:val="none" w:sz="0" w:space="0" w:color="auto"/>
                        <w:left w:val="none" w:sz="0" w:space="0" w:color="auto"/>
                        <w:bottom w:val="none" w:sz="0" w:space="0" w:color="auto"/>
                        <w:right w:val="none" w:sz="0" w:space="0" w:color="auto"/>
                      </w:divBdr>
                    </w:div>
                  </w:divsChild>
                </w:div>
                <w:div w:id="1200707924">
                  <w:marLeft w:val="0"/>
                  <w:marRight w:val="0"/>
                  <w:marTop w:val="0"/>
                  <w:marBottom w:val="0"/>
                  <w:divBdr>
                    <w:top w:val="none" w:sz="0" w:space="0" w:color="auto"/>
                    <w:left w:val="none" w:sz="0" w:space="0" w:color="auto"/>
                    <w:bottom w:val="none" w:sz="0" w:space="0" w:color="auto"/>
                    <w:right w:val="none" w:sz="0" w:space="0" w:color="auto"/>
                  </w:divBdr>
                  <w:divsChild>
                    <w:div w:id="583219376">
                      <w:marLeft w:val="0"/>
                      <w:marRight w:val="0"/>
                      <w:marTop w:val="0"/>
                      <w:marBottom w:val="0"/>
                      <w:divBdr>
                        <w:top w:val="none" w:sz="0" w:space="0" w:color="auto"/>
                        <w:left w:val="none" w:sz="0" w:space="0" w:color="auto"/>
                        <w:bottom w:val="none" w:sz="0" w:space="0" w:color="auto"/>
                        <w:right w:val="none" w:sz="0" w:space="0" w:color="auto"/>
                      </w:divBdr>
                    </w:div>
                  </w:divsChild>
                </w:div>
                <w:div w:id="1244991823">
                  <w:marLeft w:val="0"/>
                  <w:marRight w:val="0"/>
                  <w:marTop w:val="0"/>
                  <w:marBottom w:val="0"/>
                  <w:divBdr>
                    <w:top w:val="none" w:sz="0" w:space="0" w:color="auto"/>
                    <w:left w:val="none" w:sz="0" w:space="0" w:color="auto"/>
                    <w:bottom w:val="none" w:sz="0" w:space="0" w:color="auto"/>
                    <w:right w:val="none" w:sz="0" w:space="0" w:color="auto"/>
                  </w:divBdr>
                  <w:divsChild>
                    <w:div w:id="245697982">
                      <w:marLeft w:val="0"/>
                      <w:marRight w:val="0"/>
                      <w:marTop w:val="0"/>
                      <w:marBottom w:val="0"/>
                      <w:divBdr>
                        <w:top w:val="none" w:sz="0" w:space="0" w:color="auto"/>
                        <w:left w:val="none" w:sz="0" w:space="0" w:color="auto"/>
                        <w:bottom w:val="none" w:sz="0" w:space="0" w:color="auto"/>
                        <w:right w:val="none" w:sz="0" w:space="0" w:color="auto"/>
                      </w:divBdr>
                    </w:div>
                  </w:divsChild>
                </w:div>
                <w:div w:id="1276598295">
                  <w:marLeft w:val="0"/>
                  <w:marRight w:val="0"/>
                  <w:marTop w:val="0"/>
                  <w:marBottom w:val="0"/>
                  <w:divBdr>
                    <w:top w:val="none" w:sz="0" w:space="0" w:color="auto"/>
                    <w:left w:val="none" w:sz="0" w:space="0" w:color="auto"/>
                    <w:bottom w:val="none" w:sz="0" w:space="0" w:color="auto"/>
                    <w:right w:val="none" w:sz="0" w:space="0" w:color="auto"/>
                  </w:divBdr>
                  <w:divsChild>
                    <w:div w:id="653682610">
                      <w:marLeft w:val="0"/>
                      <w:marRight w:val="0"/>
                      <w:marTop w:val="0"/>
                      <w:marBottom w:val="0"/>
                      <w:divBdr>
                        <w:top w:val="none" w:sz="0" w:space="0" w:color="auto"/>
                        <w:left w:val="none" w:sz="0" w:space="0" w:color="auto"/>
                        <w:bottom w:val="none" w:sz="0" w:space="0" w:color="auto"/>
                        <w:right w:val="none" w:sz="0" w:space="0" w:color="auto"/>
                      </w:divBdr>
                    </w:div>
                  </w:divsChild>
                </w:div>
                <w:div w:id="1313832078">
                  <w:marLeft w:val="0"/>
                  <w:marRight w:val="0"/>
                  <w:marTop w:val="0"/>
                  <w:marBottom w:val="0"/>
                  <w:divBdr>
                    <w:top w:val="none" w:sz="0" w:space="0" w:color="auto"/>
                    <w:left w:val="none" w:sz="0" w:space="0" w:color="auto"/>
                    <w:bottom w:val="none" w:sz="0" w:space="0" w:color="auto"/>
                    <w:right w:val="none" w:sz="0" w:space="0" w:color="auto"/>
                  </w:divBdr>
                  <w:divsChild>
                    <w:div w:id="321593118">
                      <w:marLeft w:val="0"/>
                      <w:marRight w:val="0"/>
                      <w:marTop w:val="0"/>
                      <w:marBottom w:val="0"/>
                      <w:divBdr>
                        <w:top w:val="none" w:sz="0" w:space="0" w:color="auto"/>
                        <w:left w:val="none" w:sz="0" w:space="0" w:color="auto"/>
                        <w:bottom w:val="none" w:sz="0" w:space="0" w:color="auto"/>
                        <w:right w:val="none" w:sz="0" w:space="0" w:color="auto"/>
                      </w:divBdr>
                    </w:div>
                  </w:divsChild>
                </w:div>
                <w:div w:id="1320186899">
                  <w:marLeft w:val="0"/>
                  <w:marRight w:val="0"/>
                  <w:marTop w:val="0"/>
                  <w:marBottom w:val="0"/>
                  <w:divBdr>
                    <w:top w:val="none" w:sz="0" w:space="0" w:color="auto"/>
                    <w:left w:val="none" w:sz="0" w:space="0" w:color="auto"/>
                    <w:bottom w:val="none" w:sz="0" w:space="0" w:color="auto"/>
                    <w:right w:val="none" w:sz="0" w:space="0" w:color="auto"/>
                  </w:divBdr>
                  <w:divsChild>
                    <w:div w:id="437989608">
                      <w:marLeft w:val="0"/>
                      <w:marRight w:val="0"/>
                      <w:marTop w:val="0"/>
                      <w:marBottom w:val="0"/>
                      <w:divBdr>
                        <w:top w:val="none" w:sz="0" w:space="0" w:color="auto"/>
                        <w:left w:val="none" w:sz="0" w:space="0" w:color="auto"/>
                        <w:bottom w:val="none" w:sz="0" w:space="0" w:color="auto"/>
                        <w:right w:val="none" w:sz="0" w:space="0" w:color="auto"/>
                      </w:divBdr>
                    </w:div>
                  </w:divsChild>
                </w:div>
                <w:div w:id="1330911585">
                  <w:marLeft w:val="0"/>
                  <w:marRight w:val="0"/>
                  <w:marTop w:val="0"/>
                  <w:marBottom w:val="0"/>
                  <w:divBdr>
                    <w:top w:val="none" w:sz="0" w:space="0" w:color="auto"/>
                    <w:left w:val="none" w:sz="0" w:space="0" w:color="auto"/>
                    <w:bottom w:val="none" w:sz="0" w:space="0" w:color="auto"/>
                    <w:right w:val="none" w:sz="0" w:space="0" w:color="auto"/>
                  </w:divBdr>
                  <w:divsChild>
                    <w:div w:id="1341081493">
                      <w:marLeft w:val="0"/>
                      <w:marRight w:val="0"/>
                      <w:marTop w:val="0"/>
                      <w:marBottom w:val="0"/>
                      <w:divBdr>
                        <w:top w:val="none" w:sz="0" w:space="0" w:color="auto"/>
                        <w:left w:val="none" w:sz="0" w:space="0" w:color="auto"/>
                        <w:bottom w:val="none" w:sz="0" w:space="0" w:color="auto"/>
                        <w:right w:val="none" w:sz="0" w:space="0" w:color="auto"/>
                      </w:divBdr>
                    </w:div>
                  </w:divsChild>
                </w:div>
                <w:div w:id="1332684363">
                  <w:marLeft w:val="0"/>
                  <w:marRight w:val="0"/>
                  <w:marTop w:val="0"/>
                  <w:marBottom w:val="0"/>
                  <w:divBdr>
                    <w:top w:val="none" w:sz="0" w:space="0" w:color="auto"/>
                    <w:left w:val="none" w:sz="0" w:space="0" w:color="auto"/>
                    <w:bottom w:val="none" w:sz="0" w:space="0" w:color="auto"/>
                    <w:right w:val="none" w:sz="0" w:space="0" w:color="auto"/>
                  </w:divBdr>
                  <w:divsChild>
                    <w:div w:id="1490629587">
                      <w:marLeft w:val="0"/>
                      <w:marRight w:val="0"/>
                      <w:marTop w:val="0"/>
                      <w:marBottom w:val="0"/>
                      <w:divBdr>
                        <w:top w:val="none" w:sz="0" w:space="0" w:color="auto"/>
                        <w:left w:val="none" w:sz="0" w:space="0" w:color="auto"/>
                        <w:bottom w:val="none" w:sz="0" w:space="0" w:color="auto"/>
                        <w:right w:val="none" w:sz="0" w:space="0" w:color="auto"/>
                      </w:divBdr>
                    </w:div>
                  </w:divsChild>
                </w:div>
                <w:div w:id="1335836316">
                  <w:marLeft w:val="0"/>
                  <w:marRight w:val="0"/>
                  <w:marTop w:val="0"/>
                  <w:marBottom w:val="0"/>
                  <w:divBdr>
                    <w:top w:val="none" w:sz="0" w:space="0" w:color="auto"/>
                    <w:left w:val="none" w:sz="0" w:space="0" w:color="auto"/>
                    <w:bottom w:val="none" w:sz="0" w:space="0" w:color="auto"/>
                    <w:right w:val="none" w:sz="0" w:space="0" w:color="auto"/>
                  </w:divBdr>
                  <w:divsChild>
                    <w:div w:id="1130368643">
                      <w:marLeft w:val="0"/>
                      <w:marRight w:val="0"/>
                      <w:marTop w:val="0"/>
                      <w:marBottom w:val="0"/>
                      <w:divBdr>
                        <w:top w:val="none" w:sz="0" w:space="0" w:color="auto"/>
                        <w:left w:val="none" w:sz="0" w:space="0" w:color="auto"/>
                        <w:bottom w:val="none" w:sz="0" w:space="0" w:color="auto"/>
                        <w:right w:val="none" w:sz="0" w:space="0" w:color="auto"/>
                      </w:divBdr>
                    </w:div>
                  </w:divsChild>
                </w:div>
                <w:div w:id="1383098934">
                  <w:marLeft w:val="0"/>
                  <w:marRight w:val="0"/>
                  <w:marTop w:val="0"/>
                  <w:marBottom w:val="0"/>
                  <w:divBdr>
                    <w:top w:val="none" w:sz="0" w:space="0" w:color="auto"/>
                    <w:left w:val="none" w:sz="0" w:space="0" w:color="auto"/>
                    <w:bottom w:val="none" w:sz="0" w:space="0" w:color="auto"/>
                    <w:right w:val="none" w:sz="0" w:space="0" w:color="auto"/>
                  </w:divBdr>
                  <w:divsChild>
                    <w:div w:id="1697344652">
                      <w:marLeft w:val="0"/>
                      <w:marRight w:val="0"/>
                      <w:marTop w:val="0"/>
                      <w:marBottom w:val="0"/>
                      <w:divBdr>
                        <w:top w:val="none" w:sz="0" w:space="0" w:color="auto"/>
                        <w:left w:val="none" w:sz="0" w:space="0" w:color="auto"/>
                        <w:bottom w:val="none" w:sz="0" w:space="0" w:color="auto"/>
                        <w:right w:val="none" w:sz="0" w:space="0" w:color="auto"/>
                      </w:divBdr>
                    </w:div>
                  </w:divsChild>
                </w:div>
                <w:div w:id="1455782128">
                  <w:marLeft w:val="0"/>
                  <w:marRight w:val="0"/>
                  <w:marTop w:val="0"/>
                  <w:marBottom w:val="0"/>
                  <w:divBdr>
                    <w:top w:val="none" w:sz="0" w:space="0" w:color="auto"/>
                    <w:left w:val="none" w:sz="0" w:space="0" w:color="auto"/>
                    <w:bottom w:val="none" w:sz="0" w:space="0" w:color="auto"/>
                    <w:right w:val="none" w:sz="0" w:space="0" w:color="auto"/>
                  </w:divBdr>
                  <w:divsChild>
                    <w:div w:id="1193346608">
                      <w:marLeft w:val="0"/>
                      <w:marRight w:val="0"/>
                      <w:marTop w:val="0"/>
                      <w:marBottom w:val="0"/>
                      <w:divBdr>
                        <w:top w:val="none" w:sz="0" w:space="0" w:color="auto"/>
                        <w:left w:val="none" w:sz="0" w:space="0" w:color="auto"/>
                        <w:bottom w:val="none" w:sz="0" w:space="0" w:color="auto"/>
                        <w:right w:val="none" w:sz="0" w:space="0" w:color="auto"/>
                      </w:divBdr>
                    </w:div>
                  </w:divsChild>
                </w:div>
                <w:div w:id="1463233465">
                  <w:marLeft w:val="0"/>
                  <w:marRight w:val="0"/>
                  <w:marTop w:val="0"/>
                  <w:marBottom w:val="0"/>
                  <w:divBdr>
                    <w:top w:val="none" w:sz="0" w:space="0" w:color="auto"/>
                    <w:left w:val="none" w:sz="0" w:space="0" w:color="auto"/>
                    <w:bottom w:val="none" w:sz="0" w:space="0" w:color="auto"/>
                    <w:right w:val="none" w:sz="0" w:space="0" w:color="auto"/>
                  </w:divBdr>
                  <w:divsChild>
                    <w:div w:id="1188786436">
                      <w:marLeft w:val="0"/>
                      <w:marRight w:val="0"/>
                      <w:marTop w:val="0"/>
                      <w:marBottom w:val="0"/>
                      <w:divBdr>
                        <w:top w:val="none" w:sz="0" w:space="0" w:color="auto"/>
                        <w:left w:val="none" w:sz="0" w:space="0" w:color="auto"/>
                        <w:bottom w:val="none" w:sz="0" w:space="0" w:color="auto"/>
                        <w:right w:val="none" w:sz="0" w:space="0" w:color="auto"/>
                      </w:divBdr>
                    </w:div>
                  </w:divsChild>
                </w:div>
                <w:div w:id="1474643683">
                  <w:marLeft w:val="0"/>
                  <w:marRight w:val="0"/>
                  <w:marTop w:val="0"/>
                  <w:marBottom w:val="0"/>
                  <w:divBdr>
                    <w:top w:val="none" w:sz="0" w:space="0" w:color="auto"/>
                    <w:left w:val="none" w:sz="0" w:space="0" w:color="auto"/>
                    <w:bottom w:val="none" w:sz="0" w:space="0" w:color="auto"/>
                    <w:right w:val="none" w:sz="0" w:space="0" w:color="auto"/>
                  </w:divBdr>
                  <w:divsChild>
                    <w:div w:id="768937857">
                      <w:marLeft w:val="0"/>
                      <w:marRight w:val="0"/>
                      <w:marTop w:val="0"/>
                      <w:marBottom w:val="0"/>
                      <w:divBdr>
                        <w:top w:val="none" w:sz="0" w:space="0" w:color="auto"/>
                        <w:left w:val="none" w:sz="0" w:space="0" w:color="auto"/>
                        <w:bottom w:val="none" w:sz="0" w:space="0" w:color="auto"/>
                        <w:right w:val="none" w:sz="0" w:space="0" w:color="auto"/>
                      </w:divBdr>
                    </w:div>
                  </w:divsChild>
                </w:div>
                <w:div w:id="1498381994">
                  <w:marLeft w:val="0"/>
                  <w:marRight w:val="0"/>
                  <w:marTop w:val="0"/>
                  <w:marBottom w:val="0"/>
                  <w:divBdr>
                    <w:top w:val="none" w:sz="0" w:space="0" w:color="auto"/>
                    <w:left w:val="none" w:sz="0" w:space="0" w:color="auto"/>
                    <w:bottom w:val="none" w:sz="0" w:space="0" w:color="auto"/>
                    <w:right w:val="none" w:sz="0" w:space="0" w:color="auto"/>
                  </w:divBdr>
                  <w:divsChild>
                    <w:div w:id="374622512">
                      <w:marLeft w:val="0"/>
                      <w:marRight w:val="0"/>
                      <w:marTop w:val="0"/>
                      <w:marBottom w:val="0"/>
                      <w:divBdr>
                        <w:top w:val="none" w:sz="0" w:space="0" w:color="auto"/>
                        <w:left w:val="none" w:sz="0" w:space="0" w:color="auto"/>
                        <w:bottom w:val="none" w:sz="0" w:space="0" w:color="auto"/>
                        <w:right w:val="none" w:sz="0" w:space="0" w:color="auto"/>
                      </w:divBdr>
                    </w:div>
                  </w:divsChild>
                </w:div>
                <w:div w:id="1510212907">
                  <w:marLeft w:val="0"/>
                  <w:marRight w:val="0"/>
                  <w:marTop w:val="0"/>
                  <w:marBottom w:val="0"/>
                  <w:divBdr>
                    <w:top w:val="none" w:sz="0" w:space="0" w:color="auto"/>
                    <w:left w:val="none" w:sz="0" w:space="0" w:color="auto"/>
                    <w:bottom w:val="none" w:sz="0" w:space="0" w:color="auto"/>
                    <w:right w:val="none" w:sz="0" w:space="0" w:color="auto"/>
                  </w:divBdr>
                  <w:divsChild>
                    <w:div w:id="1578438609">
                      <w:marLeft w:val="0"/>
                      <w:marRight w:val="0"/>
                      <w:marTop w:val="0"/>
                      <w:marBottom w:val="0"/>
                      <w:divBdr>
                        <w:top w:val="none" w:sz="0" w:space="0" w:color="auto"/>
                        <w:left w:val="none" w:sz="0" w:space="0" w:color="auto"/>
                        <w:bottom w:val="none" w:sz="0" w:space="0" w:color="auto"/>
                        <w:right w:val="none" w:sz="0" w:space="0" w:color="auto"/>
                      </w:divBdr>
                    </w:div>
                  </w:divsChild>
                </w:div>
                <w:div w:id="1517578292">
                  <w:marLeft w:val="0"/>
                  <w:marRight w:val="0"/>
                  <w:marTop w:val="0"/>
                  <w:marBottom w:val="0"/>
                  <w:divBdr>
                    <w:top w:val="none" w:sz="0" w:space="0" w:color="auto"/>
                    <w:left w:val="none" w:sz="0" w:space="0" w:color="auto"/>
                    <w:bottom w:val="none" w:sz="0" w:space="0" w:color="auto"/>
                    <w:right w:val="none" w:sz="0" w:space="0" w:color="auto"/>
                  </w:divBdr>
                  <w:divsChild>
                    <w:div w:id="1831406225">
                      <w:marLeft w:val="0"/>
                      <w:marRight w:val="0"/>
                      <w:marTop w:val="0"/>
                      <w:marBottom w:val="0"/>
                      <w:divBdr>
                        <w:top w:val="none" w:sz="0" w:space="0" w:color="auto"/>
                        <w:left w:val="none" w:sz="0" w:space="0" w:color="auto"/>
                        <w:bottom w:val="none" w:sz="0" w:space="0" w:color="auto"/>
                        <w:right w:val="none" w:sz="0" w:space="0" w:color="auto"/>
                      </w:divBdr>
                    </w:div>
                  </w:divsChild>
                </w:div>
                <w:div w:id="1518230969">
                  <w:marLeft w:val="0"/>
                  <w:marRight w:val="0"/>
                  <w:marTop w:val="0"/>
                  <w:marBottom w:val="0"/>
                  <w:divBdr>
                    <w:top w:val="none" w:sz="0" w:space="0" w:color="auto"/>
                    <w:left w:val="none" w:sz="0" w:space="0" w:color="auto"/>
                    <w:bottom w:val="none" w:sz="0" w:space="0" w:color="auto"/>
                    <w:right w:val="none" w:sz="0" w:space="0" w:color="auto"/>
                  </w:divBdr>
                  <w:divsChild>
                    <w:div w:id="811212998">
                      <w:marLeft w:val="0"/>
                      <w:marRight w:val="0"/>
                      <w:marTop w:val="0"/>
                      <w:marBottom w:val="0"/>
                      <w:divBdr>
                        <w:top w:val="none" w:sz="0" w:space="0" w:color="auto"/>
                        <w:left w:val="none" w:sz="0" w:space="0" w:color="auto"/>
                        <w:bottom w:val="none" w:sz="0" w:space="0" w:color="auto"/>
                        <w:right w:val="none" w:sz="0" w:space="0" w:color="auto"/>
                      </w:divBdr>
                    </w:div>
                  </w:divsChild>
                </w:div>
                <w:div w:id="1528985801">
                  <w:marLeft w:val="0"/>
                  <w:marRight w:val="0"/>
                  <w:marTop w:val="0"/>
                  <w:marBottom w:val="0"/>
                  <w:divBdr>
                    <w:top w:val="none" w:sz="0" w:space="0" w:color="auto"/>
                    <w:left w:val="none" w:sz="0" w:space="0" w:color="auto"/>
                    <w:bottom w:val="none" w:sz="0" w:space="0" w:color="auto"/>
                    <w:right w:val="none" w:sz="0" w:space="0" w:color="auto"/>
                  </w:divBdr>
                  <w:divsChild>
                    <w:div w:id="1515068527">
                      <w:marLeft w:val="0"/>
                      <w:marRight w:val="0"/>
                      <w:marTop w:val="0"/>
                      <w:marBottom w:val="0"/>
                      <w:divBdr>
                        <w:top w:val="none" w:sz="0" w:space="0" w:color="auto"/>
                        <w:left w:val="none" w:sz="0" w:space="0" w:color="auto"/>
                        <w:bottom w:val="none" w:sz="0" w:space="0" w:color="auto"/>
                        <w:right w:val="none" w:sz="0" w:space="0" w:color="auto"/>
                      </w:divBdr>
                    </w:div>
                  </w:divsChild>
                </w:div>
                <w:div w:id="1539320650">
                  <w:marLeft w:val="0"/>
                  <w:marRight w:val="0"/>
                  <w:marTop w:val="0"/>
                  <w:marBottom w:val="0"/>
                  <w:divBdr>
                    <w:top w:val="none" w:sz="0" w:space="0" w:color="auto"/>
                    <w:left w:val="none" w:sz="0" w:space="0" w:color="auto"/>
                    <w:bottom w:val="none" w:sz="0" w:space="0" w:color="auto"/>
                    <w:right w:val="none" w:sz="0" w:space="0" w:color="auto"/>
                  </w:divBdr>
                  <w:divsChild>
                    <w:div w:id="865563161">
                      <w:marLeft w:val="0"/>
                      <w:marRight w:val="0"/>
                      <w:marTop w:val="0"/>
                      <w:marBottom w:val="0"/>
                      <w:divBdr>
                        <w:top w:val="none" w:sz="0" w:space="0" w:color="auto"/>
                        <w:left w:val="none" w:sz="0" w:space="0" w:color="auto"/>
                        <w:bottom w:val="none" w:sz="0" w:space="0" w:color="auto"/>
                        <w:right w:val="none" w:sz="0" w:space="0" w:color="auto"/>
                      </w:divBdr>
                    </w:div>
                  </w:divsChild>
                </w:div>
                <w:div w:id="1555195280">
                  <w:marLeft w:val="0"/>
                  <w:marRight w:val="0"/>
                  <w:marTop w:val="0"/>
                  <w:marBottom w:val="0"/>
                  <w:divBdr>
                    <w:top w:val="none" w:sz="0" w:space="0" w:color="auto"/>
                    <w:left w:val="none" w:sz="0" w:space="0" w:color="auto"/>
                    <w:bottom w:val="none" w:sz="0" w:space="0" w:color="auto"/>
                    <w:right w:val="none" w:sz="0" w:space="0" w:color="auto"/>
                  </w:divBdr>
                  <w:divsChild>
                    <w:div w:id="1601639985">
                      <w:marLeft w:val="0"/>
                      <w:marRight w:val="0"/>
                      <w:marTop w:val="0"/>
                      <w:marBottom w:val="0"/>
                      <w:divBdr>
                        <w:top w:val="none" w:sz="0" w:space="0" w:color="auto"/>
                        <w:left w:val="none" w:sz="0" w:space="0" w:color="auto"/>
                        <w:bottom w:val="none" w:sz="0" w:space="0" w:color="auto"/>
                        <w:right w:val="none" w:sz="0" w:space="0" w:color="auto"/>
                      </w:divBdr>
                    </w:div>
                  </w:divsChild>
                </w:div>
                <w:div w:id="1578902367">
                  <w:marLeft w:val="0"/>
                  <w:marRight w:val="0"/>
                  <w:marTop w:val="0"/>
                  <w:marBottom w:val="0"/>
                  <w:divBdr>
                    <w:top w:val="none" w:sz="0" w:space="0" w:color="auto"/>
                    <w:left w:val="none" w:sz="0" w:space="0" w:color="auto"/>
                    <w:bottom w:val="none" w:sz="0" w:space="0" w:color="auto"/>
                    <w:right w:val="none" w:sz="0" w:space="0" w:color="auto"/>
                  </w:divBdr>
                  <w:divsChild>
                    <w:div w:id="280186104">
                      <w:marLeft w:val="0"/>
                      <w:marRight w:val="0"/>
                      <w:marTop w:val="0"/>
                      <w:marBottom w:val="0"/>
                      <w:divBdr>
                        <w:top w:val="none" w:sz="0" w:space="0" w:color="auto"/>
                        <w:left w:val="none" w:sz="0" w:space="0" w:color="auto"/>
                        <w:bottom w:val="none" w:sz="0" w:space="0" w:color="auto"/>
                        <w:right w:val="none" w:sz="0" w:space="0" w:color="auto"/>
                      </w:divBdr>
                    </w:div>
                  </w:divsChild>
                </w:div>
                <w:div w:id="1606420822">
                  <w:marLeft w:val="0"/>
                  <w:marRight w:val="0"/>
                  <w:marTop w:val="0"/>
                  <w:marBottom w:val="0"/>
                  <w:divBdr>
                    <w:top w:val="none" w:sz="0" w:space="0" w:color="auto"/>
                    <w:left w:val="none" w:sz="0" w:space="0" w:color="auto"/>
                    <w:bottom w:val="none" w:sz="0" w:space="0" w:color="auto"/>
                    <w:right w:val="none" w:sz="0" w:space="0" w:color="auto"/>
                  </w:divBdr>
                  <w:divsChild>
                    <w:div w:id="528379527">
                      <w:marLeft w:val="0"/>
                      <w:marRight w:val="0"/>
                      <w:marTop w:val="0"/>
                      <w:marBottom w:val="0"/>
                      <w:divBdr>
                        <w:top w:val="none" w:sz="0" w:space="0" w:color="auto"/>
                        <w:left w:val="none" w:sz="0" w:space="0" w:color="auto"/>
                        <w:bottom w:val="none" w:sz="0" w:space="0" w:color="auto"/>
                        <w:right w:val="none" w:sz="0" w:space="0" w:color="auto"/>
                      </w:divBdr>
                    </w:div>
                  </w:divsChild>
                </w:div>
                <w:div w:id="1616673470">
                  <w:marLeft w:val="0"/>
                  <w:marRight w:val="0"/>
                  <w:marTop w:val="0"/>
                  <w:marBottom w:val="0"/>
                  <w:divBdr>
                    <w:top w:val="none" w:sz="0" w:space="0" w:color="auto"/>
                    <w:left w:val="none" w:sz="0" w:space="0" w:color="auto"/>
                    <w:bottom w:val="none" w:sz="0" w:space="0" w:color="auto"/>
                    <w:right w:val="none" w:sz="0" w:space="0" w:color="auto"/>
                  </w:divBdr>
                  <w:divsChild>
                    <w:div w:id="1398478218">
                      <w:marLeft w:val="0"/>
                      <w:marRight w:val="0"/>
                      <w:marTop w:val="0"/>
                      <w:marBottom w:val="0"/>
                      <w:divBdr>
                        <w:top w:val="none" w:sz="0" w:space="0" w:color="auto"/>
                        <w:left w:val="none" w:sz="0" w:space="0" w:color="auto"/>
                        <w:bottom w:val="none" w:sz="0" w:space="0" w:color="auto"/>
                        <w:right w:val="none" w:sz="0" w:space="0" w:color="auto"/>
                      </w:divBdr>
                    </w:div>
                  </w:divsChild>
                </w:div>
                <w:div w:id="1626352033">
                  <w:marLeft w:val="0"/>
                  <w:marRight w:val="0"/>
                  <w:marTop w:val="0"/>
                  <w:marBottom w:val="0"/>
                  <w:divBdr>
                    <w:top w:val="none" w:sz="0" w:space="0" w:color="auto"/>
                    <w:left w:val="none" w:sz="0" w:space="0" w:color="auto"/>
                    <w:bottom w:val="none" w:sz="0" w:space="0" w:color="auto"/>
                    <w:right w:val="none" w:sz="0" w:space="0" w:color="auto"/>
                  </w:divBdr>
                  <w:divsChild>
                    <w:div w:id="1867475277">
                      <w:marLeft w:val="0"/>
                      <w:marRight w:val="0"/>
                      <w:marTop w:val="0"/>
                      <w:marBottom w:val="0"/>
                      <w:divBdr>
                        <w:top w:val="none" w:sz="0" w:space="0" w:color="auto"/>
                        <w:left w:val="none" w:sz="0" w:space="0" w:color="auto"/>
                        <w:bottom w:val="none" w:sz="0" w:space="0" w:color="auto"/>
                        <w:right w:val="none" w:sz="0" w:space="0" w:color="auto"/>
                      </w:divBdr>
                    </w:div>
                  </w:divsChild>
                </w:div>
                <w:div w:id="1665010049">
                  <w:marLeft w:val="0"/>
                  <w:marRight w:val="0"/>
                  <w:marTop w:val="0"/>
                  <w:marBottom w:val="0"/>
                  <w:divBdr>
                    <w:top w:val="none" w:sz="0" w:space="0" w:color="auto"/>
                    <w:left w:val="none" w:sz="0" w:space="0" w:color="auto"/>
                    <w:bottom w:val="none" w:sz="0" w:space="0" w:color="auto"/>
                    <w:right w:val="none" w:sz="0" w:space="0" w:color="auto"/>
                  </w:divBdr>
                  <w:divsChild>
                    <w:div w:id="291056148">
                      <w:marLeft w:val="0"/>
                      <w:marRight w:val="0"/>
                      <w:marTop w:val="0"/>
                      <w:marBottom w:val="0"/>
                      <w:divBdr>
                        <w:top w:val="none" w:sz="0" w:space="0" w:color="auto"/>
                        <w:left w:val="none" w:sz="0" w:space="0" w:color="auto"/>
                        <w:bottom w:val="none" w:sz="0" w:space="0" w:color="auto"/>
                        <w:right w:val="none" w:sz="0" w:space="0" w:color="auto"/>
                      </w:divBdr>
                    </w:div>
                  </w:divsChild>
                </w:div>
                <w:div w:id="1675572639">
                  <w:marLeft w:val="0"/>
                  <w:marRight w:val="0"/>
                  <w:marTop w:val="0"/>
                  <w:marBottom w:val="0"/>
                  <w:divBdr>
                    <w:top w:val="none" w:sz="0" w:space="0" w:color="auto"/>
                    <w:left w:val="none" w:sz="0" w:space="0" w:color="auto"/>
                    <w:bottom w:val="none" w:sz="0" w:space="0" w:color="auto"/>
                    <w:right w:val="none" w:sz="0" w:space="0" w:color="auto"/>
                  </w:divBdr>
                  <w:divsChild>
                    <w:div w:id="1291327292">
                      <w:marLeft w:val="0"/>
                      <w:marRight w:val="0"/>
                      <w:marTop w:val="0"/>
                      <w:marBottom w:val="0"/>
                      <w:divBdr>
                        <w:top w:val="none" w:sz="0" w:space="0" w:color="auto"/>
                        <w:left w:val="none" w:sz="0" w:space="0" w:color="auto"/>
                        <w:bottom w:val="none" w:sz="0" w:space="0" w:color="auto"/>
                        <w:right w:val="none" w:sz="0" w:space="0" w:color="auto"/>
                      </w:divBdr>
                    </w:div>
                  </w:divsChild>
                </w:div>
                <w:div w:id="1680161047">
                  <w:marLeft w:val="0"/>
                  <w:marRight w:val="0"/>
                  <w:marTop w:val="0"/>
                  <w:marBottom w:val="0"/>
                  <w:divBdr>
                    <w:top w:val="none" w:sz="0" w:space="0" w:color="auto"/>
                    <w:left w:val="none" w:sz="0" w:space="0" w:color="auto"/>
                    <w:bottom w:val="none" w:sz="0" w:space="0" w:color="auto"/>
                    <w:right w:val="none" w:sz="0" w:space="0" w:color="auto"/>
                  </w:divBdr>
                  <w:divsChild>
                    <w:div w:id="881867996">
                      <w:marLeft w:val="0"/>
                      <w:marRight w:val="0"/>
                      <w:marTop w:val="0"/>
                      <w:marBottom w:val="0"/>
                      <w:divBdr>
                        <w:top w:val="none" w:sz="0" w:space="0" w:color="auto"/>
                        <w:left w:val="none" w:sz="0" w:space="0" w:color="auto"/>
                        <w:bottom w:val="none" w:sz="0" w:space="0" w:color="auto"/>
                        <w:right w:val="none" w:sz="0" w:space="0" w:color="auto"/>
                      </w:divBdr>
                    </w:div>
                  </w:divsChild>
                </w:div>
                <w:div w:id="1736463869">
                  <w:marLeft w:val="0"/>
                  <w:marRight w:val="0"/>
                  <w:marTop w:val="0"/>
                  <w:marBottom w:val="0"/>
                  <w:divBdr>
                    <w:top w:val="none" w:sz="0" w:space="0" w:color="auto"/>
                    <w:left w:val="none" w:sz="0" w:space="0" w:color="auto"/>
                    <w:bottom w:val="none" w:sz="0" w:space="0" w:color="auto"/>
                    <w:right w:val="none" w:sz="0" w:space="0" w:color="auto"/>
                  </w:divBdr>
                  <w:divsChild>
                    <w:div w:id="1870414368">
                      <w:marLeft w:val="0"/>
                      <w:marRight w:val="0"/>
                      <w:marTop w:val="0"/>
                      <w:marBottom w:val="0"/>
                      <w:divBdr>
                        <w:top w:val="none" w:sz="0" w:space="0" w:color="auto"/>
                        <w:left w:val="none" w:sz="0" w:space="0" w:color="auto"/>
                        <w:bottom w:val="none" w:sz="0" w:space="0" w:color="auto"/>
                        <w:right w:val="none" w:sz="0" w:space="0" w:color="auto"/>
                      </w:divBdr>
                    </w:div>
                  </w:divsChild>
                </w:div>
                <w:div w:id="1753351877">
                  <w:marLeft w:val="0"/>
                  <w:marRight w:val="0"/>
                  <w:marTop w:val="0"/>
                  <w:marBottom w:val="0"/>
                  <w:divBdr>
                    <w:top w:val="none" w:sz="0" w:space="0" w:color="auto"/>
                    <w:left w:val="none" w:sz="0" w:space="0" w:color="auto"/>
                    <w:bottom w:val="none" w:sz="0" w:space="0" w:color="auto"/>
                    <w:right w:val="none" w:sz="0" w:space="0" w:color="auto"/>
                  </w:divBdr>
                  <w:divsChild>
                    <w:div w:id="985208272">
                      <w:marLeft w:val="0"/>
                      <w:marRight w:val="0"/>
                      <w:marTop w:val="0"/>
                      <w:marBottom w:val="0"/>
                      <w:divBdr>
                        <w:top w:val="none" w:sz="0" w:space="0" w:color="auto"/>
                        <w:left w:val="none" w:sz="0" w:space="0" w:color="auto"/>
                        <w:bottom w:val="none" w:sz="0" w:space="0" w:color="auto"/>
                        <w:right w:val="none" w:sz="0" w:space="0" w:color="auto"/>
                      </w:divBdr>
                    </w:div>
                  </w:divsChild>
                </w:div>
                <w:div w:id="1781991166">
                  <w:marLeft w:val="0"/>
                  <w:marRight w:val="0"/>
                  <w:marTop w:val="0"/>
                  <w:marBottom w:val="0"/>
                  <w:divBdr>
                    <w:top w:val="none" w:sz="0" w:space="0" w:color="auto"/>
                    <w:left w:val="none" w:sz="0" w:space="0" w:color="auto"/>
                    <w:bottom w:val="none" w:sz="0" w:space="0" w:color="auto"/>
                    <w:right w:val="none" w:sz="0" w:space="0" w:color="auto"/>
                  </w:divBdr>
                  <w:divsChild>
                    <w:div w:id="1100562599">
                      <w:marLeft w:val="0"/>
                      <w:marRight w:val="0"/>
                      <w:marTop w:val="0"/>
                      <w:marBottom w:val="0"/>
                      <w:divBdr>
                        <w:top w:val="none" w:sz="0" w:space="0" w:color="auto"/>
                        <w:left w:val="none" w:sz="0" w:space="0" w:color="auto"/>
                        <w:bottom w:val="none" w:sz="0" w:space="0" w:color="auto"/>
                        <w:right w:val="none" w:sz="0" w:space="0" w:color="auto"/>
                      </w:divBdr>
                    </w:div>
                  </w:divsChild>
                </w:div>
                <w:div w:id="1790736599">
                  <w:marLeft w:val="0"/>
                  <w:marRight w:val="0"/>
                  <w:marTop w:val="0"/>
                  <w:marBottom w:val="0"/>
                  <w:divBdr>
                    <w:top w:val="none" w:sz="0" w:space="0" w:color="auto"/>
                    <w:left w:val="none" w:sz="0" w:space="0" w:color="auto"/>
                    <w:bottom w:val="none" w:sz="0" w:space="0" w:color="auto"/>
                    <w:right w:val="none" w:sz="0" w:space="0" w:color="auto"/>
                  </w:divBdr>
                  <w:divsChild>
                    <w:div w:id="2116443896">
                      <w:marLeft w:val="0"/>
                      <w:marRight w:val="0"/>
                      <w:marTop w:val="0"/>
                      <w:marBottom w:val="0"/>
                      <w:divBdr>
                        <w:top w:val="none" w:sz="0" w:space="0" w:color="auto"/>
                        <w:left w:val="none" w:sz="0" w:space="0" w:color="auto"/>
                        <w:bottom w:val="none" w:sz="0" w:space="0" w:color="auto"/>
                        <w:right w:val="none" w:sz="0" w:space="0" w:color="auto"/>
                      </w:divBdr>
                    </w:div>
                  </w:divsChild>
                </w:div>
                <w:div w:id="1799303210">
                  <w:marLeft w:val="0"/>
                  <w:marRight w:val="0"/>
                  <w:marTop w:val="0"/>
                  <w:marBottom w:val="0"/>
                  <w:divBdr>
                    <w:top w:val="none" w:sz="0" w:space="0" w:color="auto"/>
                    <w:left w:val="none" w:sz="0" w:space="0" w:color="auto"/>
                    <w:bottom w:val="none" w:sz="0" w:space="0" w:color="auto"/>
                    <w:right w:val="none" w:sz="0" w:space="0" w:color="auto"/>
                  </w:divBdr>
                  <w:divsChild>
                    <w:div w:id="83576833">
                      <w:marLeft w:val="0"/>
                      <w:marRight w:val="0"/>
                      <w:marTop w:val="0"/>
                      <w:marBottom w:val="0"/>
                      <w:divBdr>
                        <w:top w:val="none" w:sz="0" w:space="0" w:color="auto"/>
                        <w:left w:val="none" w:sz="0" w:space="0" w:color="auto"/>
                        <w:bottom w:val="none" w:sz="0" w:space="0" w:color="auto"/>
                        <w:right w:val="none" w:sz="0" w:space="0" w:color="auto"/>
                      </w:divBdr>
                    </w:div>
                  </w:divsChild>
                </w:div>
                <w:div w:id="1822774257">
                  <w:marLeft w:val="0"/>
                  <w:marRight w:val="0"/>
                  <w:marTop w:val="0"/>
                  <w:marBottom w:val="0"/>
                  <w:divBdr>
                    <w:top w:val="none" w:sz="0" w:space="0" w:color="auto"/>
                    <w:left w:val="none" w:sz="0" w:space="0" w:color="auto"/>
                    <w:bottom w:val="none" w:sz="0" w:space="0" w:color="auto"/>
                    <w:right w:val="none" w:sz="0" w:space="0" w:color="auto"/>
                  </w:divBdr>
                  <w:divsChild>
                    <w:div w:id="302588276">
                      <w:marLeft w:val="0"/>
                      <w:marRight w:val="0"/>
                      <w:marTop w:val="0"/>
                      <w:marBottom w:val="0"/>
                      <w:divBdr>
                        <w:top w:val="none" w:sz="0" w:space="0" w:color="auto"/>
                        <w:left w:val="none" w:sz="0" w:space="0" w:color="auto"/>
                        <w:bottom w:val="none" w:sz="0" w:space="0" w:color="auto"/>
                        <w:right w:val="none" w:sz="0" w:space="0" w:color="auto"/>
                      </w:divBdr>
                    </w:div>
                  </w:divsChild>
                </w:div>
                <w:div w:id="1832603010">
                  <w:marLeft w:val="0"/>
                  <w:marRight w:val="0"/>
                  <w:marTop w:val="0"/>
                  <w:marBottom w:val="0"/>
                  <w:divBdr>
                    <w:top w:val="none" w:sz="0" w:space="0" w:color="auto"/>
                    <w:left w:val="none" w:sz="0" w:space="0" w:color="auto"/>
                    <w:bottom w:val="none" w:sz="0" w:space="0" w:color="auto"/>
                    <w:right w:val="none" w:sz="0" w:space="0" w:color="auto"/>
                  </w:divBdr>
                  <w:divsChild>
                    <w:div w:id="1263100264">
                      <w:marLeft w:val="0"/>
                      <w:marRight w:val="0"/>
                      <w:marTop w:val="0"/>
                      <w:marBottom w:val="0"/>
                      <w:divBdr>
                        <w:top w:val="none" w:sz="0" w:space="0" w:color="auto"/>
                        <w:left w:val="none" w:sz="0" w:space="0" w:color="auto"/>
                        <w:bottom w:val="none" w:sz="0" w:space="0" w:color="auto"/>
                        <w:right w:val="none" w:sz="0" w:space="0" w:color="auto"/>
                      </w:divBdr>
                    </w:div>
                  </w:divsChild>
                </w:div>
                <w:div w:id="1886062997">
                  <w:marLeft w:val="0"/>
                  <w:marRight w:val="0"/>
                  <w:marTop w:val="0"/>
                  <w:marBottom w:val="0"/>
                  <w:divBdr>
                    <w:top w:val="none" w:sz="0" w:space="0" w:color="auto"/>
                    <w:left w:val="none" w:sz="0" w:space="0" w:color="auto"/>
                    <w:bottom w:val="none" w:sz="0" w:space="0" w:color="auto"/>
                    <w:right w:val="none" w:sz="0" w:space="0" w:color="auto"/>
                  </w:divBdr>
                  <w:divsChild>
                    <w:div w:id="1874686807">
                      <w:marLeft w:val="0"/>
                      <w:marRight w:val="0"/>
                      <w:marTop w:val="0"/>
                      <w:marBottom w:val="0"/>
                      <w:divBdr>
                        <w:top w:val="none" w:sz="0" w:space="0" w:color="auto"/>
                        <w:left w:val="none" w:sz="0" w:space="0" w:color="auto"/>
                        <w:bottom w:val="none" w:sz="0" w:space="0" w:color="auto"/>
                        <w:right w:val="none" w:sz="0" w:space="0" w:color="auto"/>
                      </w:divBdr>
                    </w:div>
                  </w:divsChild>
                </w:div>
                <w:div w:id="1911621837">
                  <w:marLeft w:val="0"/>
                  <w:marRight w:val="0"/>
                  <w:marTop w:val="0"/>
                  <w:marBottom w:val="0"/>
                  <w:divBdr>
                    <w:top w:val="none" w:sz="0" w:space="0" w:color="auto"/>
                    <w:left w:val="none" w:sz="0" w:space="0" w:color="auto"/>
                    <w:bottom w:val="none" w:sz="0" w:space="0" w:color="auto"/>
                    <w:right w:val="none" w:sz="0" w:space="0" w:color="auto"/>
                  </w:divBdr>
                  <w:divsChild>
                    <w:div w:id="305352662">
                      <w:marLeft w:val="0"/>
                      <w:marRight w:val="0"/>
                      <w:marTop w:val="0"/>
                      <w:marBottom w:val="0"/>
                      <w:divBdr>
                        <w:top w:val="none" w:sz="0" w:space="0" w:color="auto"/>
                        <w:left w:val="none" w:sz="0" w:space="0" w:color="auto"/>
                        <w:bottom w:val="none" w:sz="0" w:space="0" w:color="auto"/>
                        <w:right w:val="none" w:sz="0" w:space="0" w:color="auto"/>
                      </w:divBdr>
                    </w:div>
                  </w:divsChild>
                </w:div>
                <w:div w:id="1931884245">
                  <w:marLeft w:val="0"/>
                  <w:marRight w:val="0"/>
                  <w:marTop w:val="0"/>
                  <w:marBottom w:val="0"/>
                  <w:divBdr>
                    <w:top w:val="none" w:sz="0" w:space="0" w:color="auto"/>
                    <w:left w:val="none" w:sz="0" w:space="0" w:color="auto"/>
                    <w:bottom w:val="none" w:sz="0" w:space="0" w:color="auto"/>
                    <w:right w:val="none" w:sz="0" w:space="0" w:color="auto"/>
                  </w:divBdr>
                  <w:divsChild>
                    <w:div w:id="636762826">
                      <w:marLeft w:val="0"/>
                      <w:marRight w:val="0"/>
                      <w:marTop w:val="0"/>
                      <w:marBottom w:val="0"/>
                      <w:divBdr>
                        <w:top w:val="none" w:sz="0" w:space="0" w:color="auto"/>
                        <w:left w:val="none" w:sz="0" w:space="0" w:color="auto"/>
                        <w:bottom w:val="none" w:sz="0" w:space="0" w:color="auto"/>
                        <w:right w:val="none" w:sz="0" w:space="0" w:color="auto"/>
                      </w:divBdr>
                    </w:div>
                  </w:divsChild>
                </w:div>
                <w:div w:id="1939288575">
                  <w:marLeft w:val="0"/>
                  <w:marRight w:val="0"/>
                  <w:marTop w:val="0"/>
                  <w:marBottom w:val="0"/>
                  <w:divBdr>
                    <w:top w:val="none" w:sz="0" w:space="0" w:color="auto"/>
                    <w:left w:val="none" w:sz="0" w:space="0" w:color="auto"/>
                    <w:bottom w:val="none" w:sz="0" w:space="0" w:color="auto"/>
                    <w:right w:val="none" w:sz="0" w:space="0" w:color="auto"/>
                  </w:divBdr>
                  <w:divsChild>
                    <w:div w:id="1930044448">
                      <w:marLeft w:val="0"/>
                      <w:marRight w:val="0"/>
                      <w:marTop w:val="0"/>
                      <w:marBottom w:val="0"/>
                      <w:divBdr>
                        <w:top w:val="none" w:sz="0" w:space="0" w:color="auto"/>
                        <w:left w:val="none" w:sz="0" w:space="0" w:color="auto"/>
                        <w:bottom w:val="none" w:sz="0" w:space="0" w:color="auto"/>
                        <w:right w:val="none" w:sz="0" w:space="0" w:color="auto"/>
                      </w:divBdr>
                    </w:div>
                  </w:divsChild>
                </w:div>
                <w:div w:id="1961838237">
                  <w:marLeft w:val="0"/>
                  <w:marRight w:val="0"/>
                  <w:marTop w:val="0"/>
                  <w:marBottom w:val="0"/>
                  <w:divBdr>
                    <w:top w:val="none" w:sz="0" w:space="0" w:color="auto"/>
                    <w:left w:val="none" w:sz="0" w:space="0" w:color="auto"/>
                    <w:bottom w:val="none" w:sz="0" w:space="0" w:color="auto"/>
                    <w:right w:val="none" w:sz="0" w:space="0" w:color="auto"/>
                  </w:divBdr>
                  <w:divsChild>
                    <w:div w:id="1912497556">
                      <w:marLeft w:val="0"/>
                      <w:marRight w:val="0"/>
                      <w:marTop w:val="0"/>
                      <w:marBottom w:val="0"/>
                      <w:divBdr>
                        <w:top w:val="none" w:sz="0" w:space="0" w:color="auto"/>
                        <w:left w:val="none" w:sz="0" w:space="0" w:color="auto"/>
                        <w:bottom w:val="none" w:sz="0" w:space="0" w:color="auto"/>
                        <w:right w:val="none" w:sz="0" w:space="0" w:color="auto"/>
                      </w:divBdr>
                    </w:div>
                  </w:divsChild>
                </w:div>
                <w:div w:id="1971862013">
                  <w:marLeft w:val="0"/>
                  <w:marRight w:val="0"/>
                  <w:marTop w:val="0"/>
                  <w:marBottom w:val="0"/>
                  <w:divBdr>
                    <w:top w:val="none" w:sz="0" w:space="0" w:color="auto"/>
                    <w:left w:val="none" w:sz="0" w:space="0" w:color="auto"/>
                    <w:bottom w:val="none" w:sz="0" w:space="0" w:color="auto"/>
                    <w:right w:val="none" w:sz="0" w:space="0" w:color="auto"/>
                  </w:divBdr>
                  <w:divsChild>
                    <w:div w:id="1645769168">
                      <w:marLeft w:val="0"/>
                      <w:marRight w:val="0"/>
                      <w:marTop w:val="0"/>
                      <w:marBottom w:val="0"/>
                      <w:divBdr>
                        <w:top w:val="none" w:sz="0" w:space="0" w:color="auto"/>
                        <w:left w:val="none" w:sz="0" w:space="0" w:color="auto"/>
                        <w:bottom w:val="none" w:sz="0" w:space="0" w:color="auto"/>
                        <w:right w:val="none" w:sz="0" w:space="0" w:color="auto"/>
                      </w:divBdr>
                    </w:div>
                  </w:divsChild>
                </w:div>
                <w:div w:id="1972129812">
                  <w:marLeft w:val="0"/>
                  <w:marRight w:val="0"/>
                  <w:marTop w:val="0"/>
                  <w:marBottom w:val="0"/>
                  <w:divBdr>
                    <w:top w:val="none" w:sz="0" w:space="0" w:color="auto"/>
                    <w:left w:val="none" w:sz="0" w:space="0" w:color="auto"/>
                    <w:bottom w:val="none" w:sz="0" w:space="0" w:color="auto"/>
                    <w:right w:val="none" w:sz="0" w:space="0" w:color="auto"/>
                  </w:divBdr>
                  <w:divsChild>
                    <w:div w:id="1714110538">
                      <w:marLeft w:val="0"/>
                      <w:marRight w:val="0"/>
                      <w:marTop w:val="0"/>
                      <w:marBottom w:val="0"/>
                      <w:divBdr>
                        <w:top w:val="none" w:sz="0" w:space="0" w:color="auto"/>
                        <w:left w:val="none" w:sz="0" w:space="0" w:color="auto"/>
                        <w:bottom w:val="none" w:sz="0" w:space="0" w:color="auto"/>
                        <w:right w:val="none" w:sz="0" w:space="0" w:color="auto"/>
                      </w:divBdr>
                    </w:div>
                  </w:divsChild>
                </w:div>
                <w:div w:id="1989438677">
                  <w:marLeft w:val="0"/>
                  <w:marRight w:val="0"/>
                  <w:marTop w:val="0"/>
                  <w:marBottom w:val="0"/>
                  <w:divBdr>
                    <w:top w:val="none" w:sz="0" w:space="0" w:color="auto"/>
                    <w:left w:val="none" w:sz="0" w:space="0" w:color="auto"/>
                    <w:bottom w:val="none" w:sz="0" w:space="0" w:color="auto"/>
                    <w:right w:val="none" w:sz="0" w:space="0" w:color="auto"/>
                  </w:divBdr>
                  <w:divsChild>
                    <w:div w:id="923420550">
                      <w:marLeft w:val="0"/>
                      <w:marRight w:val="0"/>
                      <w:marTop w:val="0"/>
                      <w:marBottom w:val="0"/>
                      <w:divBdr>
                        <w:top w:val="none" w:sz="0" w:space="0" w:color="auto"/>
                        <w:left w:val="none" w:sz="0" w:space="0" w:color="auto"/>
                        <w:bottom w:val="none" w:sz="0" w:space="0" w:color="auto"/>
                        <w:right w:val="none" w:sz="0" w:space="0" w:color="auto"/>
                      </w:divBdr>
                    </w:div>
                  </w:divsChild>
                </w:div>
                <w:div w:id="2005694823">
                  <w:marLeft w:val="0"/>
                  <w:marRight w:val="0"/>
                  <w:marTop w:val="0"/>
                  <w:marBottom w:val="0"/>
                  <w:divBdr>
                    <w:top w:val="none" w:sz="0" w:space="0" w:color="auto"/>
                    <w:left w:val="none" w:sz="0" w:space="0" w:color="auto"/>
                    <w:bottom w:val="none" w:sz="0" w:space="0" w:color="auto"/>
                    <w:right w:val="none" w:sz="0" w:space="0" w:color="auto"/>
                  </w:divBdr>
                  <w:divsChild>
                    <w:div w:id="1965231658">
                      <w:marLeft w:val="0"/>
                      <w:marRight w:val="0"/>
                      <w:marTop w:val="0"/>
                      <w:marBottom w:val="0"/>
                      <w:divBdr>
                        <w:top w:val="none" w:sz="0" w:space="0" w:color="auto"/>
                        <w:left w:val="none" w:sz="0" w:space="0" w:color="auto"/>
                        <w:bottom w:val="none" w:sz="0" w:space="0" w:color="auto"/>
                        <w:right w:val="none" w:sz="0" w:space="0" w:color="auto"/>
                      </w:divBdr>
                    </w:div>
                  </w:divsChild>
                </w:div>
                <w:div w:id="2011253010">
                  <w:marLeft w:val="0"/>
                  <w:marRight w:val="0"/>
                  <w:marTop w:val="0"/>
                  <w:marBottom w:val="0"/>
                  <w:divBdr>
                    <w:top w:val="none" w:sz="0" w:space="0" w:color="auto"/>
                    <w:left w:val="none" w:sz="0" w:space="0" w:color="auto"/>
                    <w:bottom w:val="none" w:sz="0" w:space="0" w:color="auto"/>
                    <w:right w:val="none" w:sz="0" w:space="0" w:color="auto"/>
                  </w:divBdr>
                  <w:divsChild>
                    <w:div w:id="808328467">
                      <w:marLeft w:val="0"/>
                      <w:marRight w:val="0"/>
                      <w:marTop w:val="0"/>
                      <w:marBottom w:val="0"/>
                      <w:divBdr>
                        <w:top w:val="none" w:sz="0" w:space="0" w:color="auto"/>
                        <w:left w:val="none" w:sz="0" w:space="0" w:color="auto"/>
                        <w:bottom w:val="none" w:sz="0" w:space="0" w:color="auto"/>
                        <w:right w:val="none" w:sz="0" w:space="0" w:color="auto"/>
                      </w:divBdr>
                    </w:div>
                  </w:divsChild>
                </w:div>
                <w:div w:id="2017682058">
                  <w:marLeft w:val="0"/>
                  <w:marRight w:val="0"/>
                  <w:marTop w:val="0"/>
                  <w:marBottom w:val="0"/>
                  <w:divBdr>
                    <w:top w:val="none" w:sz="0" w:space="0" w:color="auto"/>
                    <w:left w:val="none" w:sz="0" w:space="0" w:color="auto"/>
                    <w:bottom w:val="none" w:sz="0" w:space="0" w:color="auto"/>
                    <w:right w:val="none" w:sz="0" w:space="0" w:color="auto"/>
                  </w:divBdr>
                  <w:divsChild>
                    <w:div w:id="1742406829">
                      <w:marLeft w:val="0"/>
                      <w:marRight w:val="0"/>
                      <w:marTop w:val="0"/>
                      <w:marBottom w:val="0"/>
                      <w:divBdr>
                        <w:top w:val="none" w:sz="0" w:space="0" w:color="auto"/>
                        <w:left w:val="none" w:sz="0" w:space="0" w:color="auto"/>
                        <w:bottom w:val="none" w:sz="0" w:space="0" w:color="auto"/>
                        <w:right w:val="none" w:sz="0" w:space="0" w:color="auto"/>
                      </w:divBdr>
                    </w:div>
                  </w:divsChild>
                </w:div>
                <w:div w:id="2018538294">
                  <w:marLeft w:val="0"/>
                  <w:marRight w:val="0"/>
                  <w:marTop w:val="0"/>
                  <w:marBottom w:val="0"/>
                  <w:divBdr>
                    <w:top w:val="none" w:sz="0" w:space="0" w:color="auto"/>
                    <w:left w:val="none" w:sz="0" w:space="0" w:color="auto"/>
                    <w:bottom w:val="none" w:sz="0" w:space="0" w:color="auto"/>
                    <w:right w:val="none" w:sz="0" w:space="0" w:color="auto"/>
                  </w:divBdr>
                  <w:divsChild>
                    <w:div w:id="760226828">
                      <w:marLeft w:val="0"/>
                      <w:marRight w:val="0"/>
                      <w:marTop w:val="0"/>
                      <w:marBottom w:val="0"/>
                      <w:divBdr>
                        <w:top w:val="none" w:sz="0" w:space="0" w:color="auto"/>
                        <w:left w:val="none" w:sz="0" w:space="0" w:color="auto"/>
                        <w:bottom w:val="none" w:sz="0" w:space="0" w:color="auto"/>
                        <w:right w:val="none" w:sz="0" w:space="0" w:color="auto"/>
                      </w:divBdr>
                    </w:div>
                  </w:divsChild>
                </w:div>
                <w:div w:id="2062166167">
                  <w:marLeft w:val="0"/>
                  <w:marRight w:val="0"/>
                  <w:marTop w:val="0"/>
                  <w:marBottom w:val="0"/>
                  <w:divBdr>
                    <w:top w:val="none" w:sz="0" w:space="0" w:color="auto"/>
                    <w:left w:val="none" w:sz="0" w:space="0" w:color="auto"/>
                    <w:bottom w:val="none" w:sz="0" w:space="0" w:color="auto"/>
                    <w:right w:val="none" w:sz="0" w:space="0" w:color="auto"/>
                  </w:divBdr>
                  <w:divsChild>
                    <w:div w:id="830604949">
                      <w:marLeft w:val="0"/>
                      <w:marRight w:val="0"/>
                      <w:marTop w:val="0"/>
                      <w:marBottom w:val="0"/>
                      <w:divBdr>
                        <w:top w:val="none" w:sz="0" w:space="0" w:color="auto"/>
                        <w:left w:val="none" w:sz="0" w:space="0" w:color="auto"/>
                        <w:bottom w:val="none" w:sz="0" w:space="0" w:color="auto"/>
                        <w:right w:val="none" w:sz="0" w:space="0" w:color="auto"/>
                      </w:divBdr>
                    </w:div>
                  </w:divsChild>
                </w:div>
                <w:div w:id="2075660604">
                  <w:marLeft w:val="0"/>
                  <w:marRight w:val="0"/>
                  <w:marTop w:val="0"/>
                  <w:marBottom w:val="0"/>
                  <w:divBdr>
                    <w:top w:val="none" w:sz="0" w:space="0" w:color="auto"/>
                    <w:left w:val="none" w:sz="0" w:space="0" w:color="auto"/>
                    <w:bottom w:val="none" w:sz="0" w:space="0" w:color="auto"/>
                    <w:right w:val="none" w:sz="0" w:space="0" w:color="auto"/>
                  </w:divBdr>
                  <w:divsChild>
                    <w:div w:id="1958173075">
                      <w:marLeft w:val="0"/>
                      <w:marRight w:val="0"/>
                      <w:marTop w:val="0"/>
                      <w:marBottom w:val="0"/>
                      <w:divBdr>
                        <w:top w:val="none" w:sz="0" w:space="0" w:color="auto"/>
                        <w:left w:val="none" w:sz="0" w:space="0" w:color="auto"/>
                        <w:bottom w:val="none" w:sz="0" w:space="0" w:color="auto"/>
                        <w:right w:val="none" w:sz="0" w:space="0" w:color="auto"/>
                      </w:divBdr>
                    </w:div>
                  </w:divsChild>
                </w:div>
                <w:div w:id="2112623790">
                  <w:marLeft w:val="0"/>
                  <w:marRight w:val="0"/>
                  <w:marTop w:val="0"/>
                  <w:marBottom w:val="0"/>
                  <w:divBdr>
                    <w:top w:val="none" w:sz="0" w:space="0" w:color="auto"/>
                    <w:left w:val="none" w:sz="0" w:space="0" w:color="auto"/>
                    <w:bottom w:val="none" w:sz="0" w:space="0" w:color="auto"/>
                    <w:right w:val="none" w:sz="0" w:space="0" w:color="auto"/>
                  </w:divBdr>
                  <w:divsChild>
                    <w:div w:id="1176842303">
                      <w:marLeft w:val="0"/>
                      <w:marRight w:val="0"/>
                      <w:marTop w:val="0"/>
                      <w:marBottom w:val="0"/>
                      <w:divBdr>
                        <w:top w:val="none" w:sz="0" w:space="0" w:color="auto"/>
                        <w:left w:val="none" w:sz="0" w:space="0" w:color="auto"/>
                        <w:bottom w:val="none" w:sz="0" w:space="0" w:color="auto"/>
                        <w:right w:val="none" w:sz="0" w:space="0" w:color="auto"/>
                      </w:divBdr>
                    </w:div>
                  </w:divsChild>
                </w:div>
                <w:div w:id="2119331749">
                  <w:marLeft w:val="0"/>
                  <w:marRight w:val="0"/>
                  <w:marTop w:val="0"/>
                  <w:marBottom w:val="0"/>
                  <w:divBdr>
                    <w:top w:val="none" w:sz="0" w:space="0" w:color="auto"/>
                    <w:left w:val="none" w:sz="0" w:space="0" w:color="auto"/>
                    <w:bottom w:val="none" w:sz="0" w:space="0" w:color="auto"/>
                    <w:right w:val="none" w:sz="0" w:space="0" w:color="auto"/>
                  </w:divBdr>
                  <w:divsChild>
                    <w:div w:id="197279658">
                      <w:marLeft w:val="0"/>
                      <w:marRight w:val="0"/>
                      <w:marTop w:val="0"/>
                      <w:marBottom w:val="0"/>
                      <w:divBdr>
                        <w:top w:val="none" w:sz="0" w:space="0" w:color="auto"/>
                        <w:left w:val="none" w:sz="0" w:space="0" w:color="auto"/>
                        <w:bottom w:val="none" w:sz="0" w:space="0" w:color="auto"/>
                        <w:right w:val="none" w:sz="0" w:space="0" w:color="auto"/>
                      </w:divBdr>
                    </w:div>
                  </w:divsChild>
                </w:div>
                <w:div w:id="2129396869">
                  <w:marLeft w:val="0"/>
                  <w:marRight w:val="0"/>
                  <w:marTop w:val="0"/>
                  <w:marBottom w:val="0"/>
                  <w:divBdr>
                    <w:top w:val="none" w:sz="0" w:space="0" w:color="auto"/>
                    <w:left w:val="none" w:sz="0" w:space="0" w:color="auto"/>
                    <w:bottom w:val="none" w:sz="0" w:space="0" w:color="auto"/>
                    <w:right w:val="none" w:sz="0" w:space="0" w:color="auto"/>
                  </w:divBdr>
                  <w:divsChild>
                    <w:div w:id="46269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6057">
          <w:marLeft w:val="0"/>
          <w:marRight w:val="0"/>
          <w:marTop w:val="0"/>
          <w:marBottom w:val="0"/>
          <w:divBdr>
            <w:top w:val="none" w:sz="0" w:space="0" w:color="auto"/>
            <w:left w:val="none" w:sz="0" w:space="0" w:color="auto"/>
            <w:bottom w:val="none" w:sz="0" w:space="0" w:color="auto"/>
            <w:right w:val="none" w:sz="0" w:space="0" w:color="auto"/>
          </w:divBdr>
        </w:div>
        <w:div w:id="1775905367">
          <w:marLeft w:val="0"/>
          <w:marRight w:val="0"/>
          <w:marTop w:val="0"/>
          <w:marBottom w:val="0"/>
          <w:divBdr>
            <w:top w:val="none" w:sz="0" w:space="0" w:color="auto"/>
            <w:left w:val="none" w:sz="0" w:space="0" w:color="auto"/>
            <w:bottom w:val="none" w:sz="0" w:space="0" w:color="auto"/>
            <w:right w:val="none" w:sz="0" w:space="0" w:color="auto"/>
          </w:divBdr>
        </w:div>
        <w:div w:id="1888293432">
          <w:marLeft w:val="0"/>
          <w:marRight w:val="0"/>
          <w:marTop w:val="0"/>
          <w:marBottom w:val="0"/>
          <w:divBdr>
            <w:top w:val="none" w:sz="0" w:space="0" w:color="auto"/>
            <w:left w:val="none" w:sz="0" w:space="0" w:color="auto"/>
            <w:bottom w:val="none" w:sz="0" w:space="0" w:color="auto"/>
            <w:right w:val="none" w:sz="0" w:space="0" w:color="auto"/>
          </w:divBdr>
        </w:div>
      </w:divsChild>
    </w:div>
    <w:div w:id="1884635895">
      <w:bodyDiv w:val="1"/>
      <w:marLeft w:val="0"/>
      <w:marRight w:val="0"/>
      <w:marTop w:val="0"/>
      <w:marBottom w:val="0"/>
      <w:divBdr>
        <w:top w:val="none" w:sz="0" w:space="0" w:color="auto"/>
        <w:left w:val="none" w:sz="0" w:space="0" w:color="auto"/>
        <w:bottom w:val="none" w:sz="0" w:space="0" w:color="auto"/>
        <w:right w:val="none" w:sz="0" w:space="0" w:color="auto"/>
      </w:divBdr>
    </w:div>
    <w:div w:id="1921672463">
      <w:bodyDiv w:val="1"/>
      <w:marLeft w:val="0"/>
      <w:marRight w:val="0"/>
      <w:marTop w:val="0"/>
      <w:marBottom w:val="0"/>
      <w:divBdr>
        <w:top w:val="none" w:sz="0" w:space="0" w:color="auto"/>
        <w:left w:val="none" w:sz="0" w:space="0" w:color="auto"/>
        <w:bottom w:val="none" w:sz="0" w:space="0" w:color="auto"/>
        <w:right w:val="none" w:sz="0" w:space="0" w:color="auto"/>
      </w:divBdr>
    </w:div>
    <w:div w:id="1930235706">
      <w:bodyDiv w:val="1"/>
      <w:marLeft w:val="0"/>
      <w:marRight w:val="0"/>
      <w:marTop w:val="0"/>
      <w:marBottom w:val="0"/>
      <w:divBdr>
        <w:top w:val="none" w:sz="0" w:space="0" w:color="auto"/>
        <w:left w:val="none" w:sz="0" w:space="0" w:color="auto"/>
        <w:bottom w:val="none" w:sz="0" w:space="0" w:color="auto"/>
        <w:right w:val="none" w:sz="0" w:space="0" w:color="auto"/>
      </w:divBdr>
    </w:div>
    <w:div w:id="1989430054">
      <w:bodyDiv w:val="1"/>
      <w:marLeft w:val="0"/>
      <w:marRight w:val="0"/>
      <w:marTop w:val="0"/>
      <w:marBottom w:val="0"/>
      <w:divBdr>
        <w:top w:val="none" w:sz="0" w:space="0" w:color="auto"/>
        <w:left w:val="none" w:sz="0" w:space="0" w:color="auto"/>
        <w:bottom w:val="none" w:sz="0" w:space="0" w:color="auto"/>
        <w:right w:val="none" w:sz="0" w:space="0" w:color="auto"/>
      </w:divBdr>
    </w:div>
    <w:div w:id="2014406772">
      <w:bodyDiv w:val="1"/>
      <w:marLeft w:val="0"/>
      <w:marRight w:val="0"/>
      <w:marTop w:val="0"/>
      <w:marBottom w:val="0"/>
      <w:divBdr>
        <w:top w:val="none" w:sz="0" w:space="0" w:color="auto"/>
        <w:left w:val="none" w:sz="0" w:space="0" w:color="auto"/>
        <w:bottom w:val="none" w:sz="0" w:space="0" w:color="auto"/>
        <w:right w:val="none" w:sz="0" w:space="0" w:color="auto"/>
      </w:divBdr>
      <w:divsChild>
        <w:div w:id="1407991748">
          <w:marLeft w:val="0"/>
          <w:marRight w:val="0"/>
          <w:marTop w:val="0"/>
          <w:marBottom w:val="0"/>
          <w:divBdr>
            <w:top w:val="none" w:sz="0" w:space="0" w:color="auto"/>
            <w:left w:val="none" w:sz="0" w:space="0" w:color="auto"/>
            <w:bottom w:val="none" w:sz="0" w:space="0" w:color="auto"/>
            <w:right w:val="none" w:sz="0" w:space="0" w:color="auto"/>
          </w:divBdr>
        </w:div>
        <w:div w:id="1650161205">
          <w:marLeft w:val="0"/>
          <w:marRight w:val="0"/>
          <w:marTop w:val="0"/>
          <w:marBottom w:val="0"/>
          <w:divBdr>
            <w:top w:val="none" w:sz="0" w:space="0" w:color="auto"/>
            <w:left w:val="none" w:sz="0" w:space="0" w:color="auto"/>
            <w:bottom w:val="none" w:sz="0" w:space="0" w:color="auto"/>
            <w:right w:val="none" w:sz="0" w:space="0" w:color="auto"/>
          </w:divBdr>
        </w:div>
        <w:div w:id="1696804843">
          <w:marLeft w:val="0"/>
          <w:marRight w:val="0"/>
          <w:marTop w:val="0"/>
          <w:marBottom w:val="0"/>
          <w:divBdr>
            <w:top w:val="none" w:sz="0" w:space="0" w:color="auto"/>
            <w:left w:val="none" w:sz="0" w:space="0" w:color="auto"/>
            <w:bottom w:val="none" w:sz="0" w:space="0" w:color="auto"/>
            <w:right w:val="none" w:sz="0" w:space="0" w:color="auto"/>
          </w:divBdr>
        </w:div>
      </w:divsChild>
    </w:div>
    <w:div w:id="203950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s.cpuc.ca.gov/otcsdav/nodes/549860079/EcgouKM2DW5EsMtH3pRw9YsBU54kBPVqxN9seNiGzRdRgQ%3Fe%3Drae4Yk_" TargetMode="External" Id="rId13" /><Relationship Type="http://schemas.openxmlformats.org/officeDocument/2006/relationships/image" Target="media/image4.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cs.cpuc.ca.gov/otcsdav/nodes/549860079/Ec8HQweL2I9OgyCAPBfOUQcB2Fh5og2QPn3iXIGySFWLAQ%3Fe%3DnrcCLM_" TargetMode="External" Id="rId12" /><Relationship Type="http://schemas.openxmlformats.org/officeDocument/2006/relationships/image" Target="media/image3.pn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cs.cpuc.ca.gov/otcsdav/nodes/549860079/EZ2gC3cDny9ElzDGiH-WUVEB_J0Q-CRXcEfQczh_wDktwQ%3Fe%3DULbqAw_" TargetMode="External"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s.cpuc.ca.gov/otcsdav/nodes/549860079/EduQEiHDHOBMvnWDexzlcdIB4aWD3l-R8rSDmZ8R59XyOA%3Fe%3D4Codbn_" TargetMode="External" Id="rId14" /><Relationship Type="http://schemas.openxmlformats.org/officeDocument/2006/relationships/header" Target="header2.xml" Id="rId22" /><Relationship Type="http://schemas.openxmlformats.org/officeDocument/2006/relationships/hyperlink" Target="http://docs.cpuc.ca.gov/PublishedDocs/Published/G000/M549/K864/549864722.pdf" TargetMode="External" Id="R434b5d927c644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ff1d5b4-3da7-43c4-b46d-2a8b2039aab6" xsi:nil="true"/>
    <lcf76f155ced4ddcb4097134ff3c332f xmlns="ee0597ac-5018-4f78-a56f-863ee296de5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C0E65A7827004E8DE86629998BE048" ma:contentTypeVersion="13" ma:contentTypeDescription="Create a new document." ma:contentTypeScope="" ma:versionID="80224b8e0961ed3af9def369d81338c2">
  <xsd:schema xmlns:xsd="http://www.w3.org/2001/XMLSchema" xmlns:xs="http://www.w3.org/2001/XMLSchema" xmlns:p="http://schemas.microsoft.com/office/2006/metadata/properties" xmlns:ns2="ee0597ac-5018-4f78-a56f-863ee296de5b" xmlns:ns3="6ff1d5b4-3da7-43c4-b46d-2a8b2039aab6" targetNamespace="http://schemas.microsoft.com/office/2006/metadata/properties" ma:root="true" ma:fieldsID="9a068d7f7004d48998721a515c3566a9" ns2:_="" ns3:_="">
    <xsd:import namespace="ee0597ac-5018-4f78-a56f-863ee296de5b"/>
    <xsd:import namespace="6ff1d5b4-3da7-43c4-b46d-2a8b2039aa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597ac-5018-4f78-a56f-863ee296d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f1d5b4-3da7-43c4-b46d-2a8b2039aa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4c0ae2-23b1-43b4-973e-e994a1428e73}" ma:internalName="TaxCatchAll" ma:showField="CatchAllData" ma:web="6ff1d5b4-3da7-43c4-b46d-2a8b2039a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95425-280A-47AE-88D0-D9B292CD73F0}">
  <ds:schemaRefs>
    <ds:schemaRef ds:uri="http://schemas.openxmlformats.org/officeDocument/2006/bibliography"/>
  </ds:schemaRefs>
</ds:datastoreItem>
</file>

<file path=customXml/itemProps2.xml><?xml version="1.0" encoding="utf-8"?>
<ds:datastoreItem xmlns:ds="http://schemas.openxmlformats.org/officeDocument/2006/customXml" ds:itemID="{F0F54526-F973-479E-9E6C-9A17D746A63C}">
  <ds:schemaRefs>
    <ds:schemaRef ds:uri="http://schemas.microsoft.com/office/2006/metadata/properties"/>
    <ds:schemaRef ds:uri="http://schemas.microsoft.com/office/infopath/2007/PartnerControls"/>
    <ds:schemaRef ds:uri="6ff1d5b4-3da7-43c4-b46d-2a8b2039aab6"/>
    <ds:schemaRef ds:uri="ee0597ac-5018-4f78-a56f-863ee296de5b"/>
  </ds:schemaRefs>
</ds:datastoreItem>
</file>

<file path=customXml/itemProps3.xml><?xml version="1.0" encoding="utf-8"?>
<ds:datastoreItem xmlns:ds="http://schemas.openxmlformats.org/officeDocument/2006/customXml" ds:itemID="{6126743D-17D4-448F-A3A0-B2FCFCA611FF}">
  <ds:schemaRefs>
    <ds:schemaRef ds:uri="http://schemas.microsoft.com/sharepoint/v3/contenttype/forms"/>
  </ds:schemaRefs>
</ds:datastoreItem>
</file>

<file path=customXml/itemProps4.xml><?xml version="1.0" encoding="utf-8"?>
<ds:datastoreItem xmlns:ds="http://schemas.openxmlformats.org/officeDocument/2006/customXml" ds:itemID="{38A20A9C-7223-409F-B935-C8F83309B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597ac-5018-4f78-a56f-863ee296de5b"/>
    <ds:schemaRef ds:uri="6ff1d5b4-3da7-43c4-b46d-2a8b2039a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73</ap:Pages>
  <ap:Words>22007</ap:Words>
  <ap:Characters>125443</ap:Characters>
  <ap:Application>Microsoft Office Word</ap:Application>
  <ap:DocSecurity>0</ap:DocSecurity>
  <ap:Lines>1045</ap:Lines>
  <ap:Paragraphs>294</ap:Paragraphs>
  <ap:ScaleCrop>false</ap:ScaleCrop>
  <ap:Company/>
  <ap:LinksUpToDate>false</ap:LinksUpToDate>
  <ap:CharactersWithSpaces>147156</ap:CharactersWithSpaces>
  <ap:SharedDoc>false</ap:SharedDoc>
  <ap:HLinks>
    <vt:vector baseType="variant" size="24">
      <vt:variant>
        <vt:i4>2293877</vt:i4>
      </vt:variant>
      <vt:variant>
        <vt:i4>9</vt:i4>
      </vt:variant>
      <vt:variant>
        <vt:i4>0</vt:i4>
      </vt:variant>
      <vt:variant>
        <vt:i4>5</vt:i4>
      </vt:variant>
      <vt:variant>
        <vt:lpwstr>C:\:x:\s\RateDiscounts\EZ2gC3cDny9ElzDGiH-WUVEB_J0Q-CRXcEfQczh_wDktwQ</vt:lpwstr>
      </vt:variant>
      <vt:variant>
        <vt:lpwstr/>
      </vt:variant>
      <vt:variant>
        <vt:i4>4718665</vt:i4>
      </vt:variant>
      <vt:variant>
        <vt:i4>6</vt:i4>
      </vt:variant>
      <vt:variant>
        <vt:i4>0</vt:i4>
      </vt:variant>
      <vt:variant>
        <vt:i4>5</vt:i4>
      </vt:variant>
      <vt:variant>
        <vt:lpwstr>C:\:b:\s\RateDiscounts\EduQEiHDHOBMvnWDexzlcdIB4aWD3l-R8rSDmZ8R59XyOA</vt:lpwstr>
      </vt:variant>
      <vt:variant>
        <vt:lpwstr/>
      </vt:variant>
      <vt:variant>
        <vt:i4>786433</vt:i4>
      </vt:variant>
      <vt:variant>
        <vt:i4>3</vt:i4>
      </vt:variant>
      <vt:variant>
        <vt:i4>0</vt:i4>
      </vt:variant>
      <vt:variant>
        <vt:i4>5</vt:i4>
      </vt:variant>
      <vt:variant>
        <vt:lpwstr>C:\:x:\s\RateDiscounts\EcgouKM2DW5EsMtH3pRw9YsBU54kBPVqxN9seNiGzRdRgQ</vt:lpwstr>
      </vt:variant>
      <vt:variant>
        <vt:lpwstr/>
      </vt:variant>
      <vt:variant>
        <vt:i4>5374022</vt:i4>
      </vt:variant>
      <vt:variant>
        <vt:i4>0</vt:i4>
      </vt:variant>
      <vt:variant>
        <vt:i4>0</vt:i4>
      </vt:variant>
      <vt:variant>
        <vt:i4>5</vt:i4>
      </vt:variant>
      <vt:variant>
        <vt:lpwstr>C:\:b:\s\RateDiscounts\Ec8HQweL2I9OgyCAPBfOUQcB2Fh5og2QPn3iXIGySFWLAQ</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2024-10-29T16:45:00Z</cp:lastPrinted>
  <dcterms:created xsi:type="dcterms:W3CDTF">2024-12-17T15:15:47Z</dcterms:created>
  <dcterms:modified xsi:type="dcterms:W3CDTF">2024-12-17T15:15:47Z</dcterms:modified>
</cp:coreProperties>
</file>