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D64F92" w:rsidP="00D64F92" w:rsidRDefault="00D64F92" w14:paraId="626B777C" w14:textId="5AE2630F">
      <w:pPr>
        <w:pStyle w:val="Title"/>
      </w:pPr>
      <w:r>
        <w:t>Attachment A</w:t>
      </w:r>
    </w:p>
    <w:p w:rsidR="00D64F92" w:rsidP="00D64F92" w:rsidRDefault="00D64F92" w14:paraId="39FF2678" w14:textId="3CD1951A">
      <w:pPr>
        <w:pStyle w:val="Title"/>
      </w:pPr>
      <w:r>
        <w:t>DEER202</w:t>
      </w:r>
      <w:r w:rsidR="00357484">
        <w:t>6</w:t>
      </w:r>
      <w:r>
        <w:t xml:space="preserve"> Update</w:t>
      </w:r>
    </w:p>
    <w:p w:rsidRPr="00D64F92" w:rsidR="00D64F92" w:rsidP="0056335A" w:rsidRDefault="00D64F92" w14:paraId="6186A6D4" w14:textId="5FAC8B78">
      <w:pPr>
        <w:jc w:val="center"/>
      </w:pPr>
    </w:p>
    <w:sdt>
      <w:sdtPr>
        <w:rPr>
          <w:rFonts w:ascii="Garamond" w:hAnsi="Garamond" w:eastAsiaTheme="minorEastAsia" w:cstheme="minorBidi"/>
          <w:b/>
          <w:bCs/>
          <w:sz w:val="24"/>
          <w:szCs w:val="24"/>
        </w:rPr>
        <w:id w:val="-1126310921"/>
        <w:docPartObj>
          <w:docPartGallery w:val="Table of Contents"/>
          <w:docPartUnique/>
        </w:docPartObj>
      </w:sdtPr>
      <w:sdtEndPr>
        <w:rPr>
          <w:rFonts w:ascii="Palatino Linotype" w:hAnsi="Palatino Linotype"/>
        </w:rPr>
      </w:sdtEndPr>
      <w:sdtContent>
        <w:p w:rsidRPr="00EE7490" w:rsidR="00566C46" w:rsidRDefault="00566C46" w14:paraId="3A21168E" w14:textId="47C16C7B">
          <w:pPr>
            <w:pStyle w:val="TOCHeading"/>
            <w:rPr>
              <w:rFonts w:ascii="Garamond" w:hAnsi="Garamond"/>
              <w:b/>
              <w:bCs/>
            </w:rPr>
          </w:pPr>
          <w:r w:rsidRPr="00EE7490">
            <w:rPr>
              <w:rFonts w:ascii="Garamond" w:hAnsi="Garamond"/>
              <w:b/>
              <w:bCs/>
            </w:rPr>
            <w:t>Contents</w:t>
          </w:r>
        </w:p>
        <w:p w:rsidR="008C4832" w:rsidRDefault="00566C46" w14:paraId="00FF2658" w14:textId="5788B9B7">
          <w:pPr>
            <w:pStyle w:val="TOC1"/>
            <w:rPr>
              <w:rFonts w:asciiTheme="minorHAnsi" w:hAnsiTheme="minorHAnsi" w:eastAsiaTheme="minorEastAsia"/>
              <w:noProof/>
              <w:kern w:val="2"/>
              <w:sz w:val="24"/>
              <w:szCs w:val="24"/>
              <w14:ligatures w14:val="standardContextual"/>
            </w:rPr>
          </w:pPr>
          <w:r>
            <w:fldChar w:fldCharType="begin"/>
          </w:r>
          <w:r>
            <w:instrText xml:space="preserve"> TOC \o "1-3" \h \z \u </w:instrText>
          </w:r>
          <w:r>
            <w:fldChar w:fldCharType="separate"/>
          </w:r>
          <w:hyperlink w:history="1" w:anchor="_Toc185271149">
            <w:r w:rsidRPr="00AE446E" w:rsidR="008C4832">
              <w:rPr>
                <w:rStyle w:val="Hyperlink"/>
                <w:noProof/>
              </w:rPr>
              <w:t>1</w:t>
            </w:r>
            <w:r w:rsidR="008C4832">
              <w:rPr>
                <w:rFonts w:asciiTheme="minorHAnsi" w:hAnsiTheme="minorHAnsi" w:eastAsiaTheme="minorEastAsia"/>
                <w:noProof/>
                <w:kern w:val="2"/>
                <w:sz w:val="24"/>
                <w:szCs w:val="24"/>
                <w14:ligatures w14:val="standardContextual"/>
              </w:rPr>
              <w:tab/>
            </w:r>
            <w:r w:rsidRPr="00AE446E" w:rsidR="008C4832">
              <w:rPr>
                <w:rStyle w:val="Hyperlink"/>
                <w:noProof/>
              </w:rPr>
              <w:t>Management of DEER Processes</w:t>
            </w:r>
            <w:r w:rsidR="008C4832">
              <w:rPr>
                <w:noProof/>
                <w:webHidden/>
              </w:rPr>
              <w:tab/>
            </w:r>
            <w:r w:rsidR="009D5620">
              <w:rPr>
                <w:noProof/>
                <w:webHidden/>
              </w:rPr>
              <w:t>A-</w:t>
            </w:r>
            <w:r w:rsidR="008C4832">
              <w:rPr>
                <w:noProof/>
                <w:webHidden/>
              </w:rPr>
              <w:fldChar w:fldCharType="begin"/>
            </w:r>
            <w:r w:rsidR="008C4832">
              <w:rPr>
                <w:noProof/>
                <w:webHidden/>
              </w:rPr>
              <w:instrText xml:space="preserve"> PAGEREF _Toc185271149 \h </w:instrText>
            </w:r>
            <w:r w:rsidR="008C4832">
              <w:rPr>
                <w:noProof/>
                <w:webHidden/>
              </w:rPr>
            </w:r>
            <w:r w:rsidR="008C4832">
              <w:rPr>
                <w:noProof/>
                <w:webHidden/>
              </w:rPr>
              <w:fldChar w:fldCharType="separate"/>
            </w:r>
            <w:r w:rsidR="00E812F0">
              <w:rPr>
                <w:noProof/>
                <w:webHidden/>
              </w:rPr>
              <w:t>1</w:t>
            </w:r>
            <w:r w:rsidR="008C4832">
              <w:rPr>
                <w:noProof/>
                <w:webHidden/>
              </w:rPr>
              <w:fldChar w:fldCharType="end"/>
            </w:r>
          </w:hyperlink>
        </w:p>
        <w:p w:rsidR="008C4832" w:rsidRDefault="008C4832" w14:paraId="576EC154" w14:textId="240C7547">
          <w:pPr>
            <w:pStyle w:val="TOC2"/>
            <w:rPr>
              <w:rFonts w:asciiTheme="minorHAnsi" w:hAnsiTheme="minorHAnsi" w:eastAsiaTheme="minorEastAsia"/>
              <w:noProof/>
              <w:kern w:val="2"/>
              <w:sz w:val="24"/>
              <w:szCs w:val="24"/>
              <w14:ligatures w14:val="standardContextual"/>
            </w:rPr>
          </w:pPr>
          <w:hyperlink w:history="1" w:anchor="_Toc185271150">
            <w:r w:rsidRPr="00AE446E">
              <w:rPr>
                <w:rStyle w:val="Hyperlink"/>
                <w:noProof/>
              </w:rPr>
              <w:t>1.1</w:t>
            </w:r>
            <w:r>
              <w:rPr>
                <w:rFonts w:asciiTheme="minorHAnsi" w:hAnsiTheme="minorHAnsi" w:eastAsiaTheme="minorEastAsia"/>
                <w:noProof/>
                <w:kern w:val="2"/>
                <w:sz w:val="24"/>
                <w:szCs w:val="24"/>
                <w14:ligatures w14:val="standardContextual"/>
              </w:rPr>
              <w:tab/>
            </w:r>
            <w:r w:rsidRPr="00AE446E">
              <w:rPr>
                <w:rStyle w:val="Hyperlink"/>
                <w:noProof/>
              </w:rPr>
              <w:t>(A) Updates to eTRM</w:t>
            </w:r>
            <w:r>
              <w:rPr>
                <w:noProof/>
                <w:webHidden/>
              </w:rPr>
              <w:tab/>
            </w:r>
            <w:r w:rsidRPr="009D5620" w:rsidR="009D5620">
              <w:rPr>
                <w:noProof/>
                <w:webHidden/>
              </w:rPr>
              <w:t>A-</w:t>
            </w:r>
            <w:r>
              <w:rPr>
                <w:noProof/>
                <w:webHidden/>
              </w:rPr>
              <w:fldChar w:fldCharType="begin"/>
            </w:r>
            <w:r>
              <w:rPr>
                <w:noProof/>
                <w:webHidden/>
              </w:rPr>
              <w:instrText xml:space="preserve"> PAGEREF _Toc185271150 \h </w:instrText>
            </w:r>
            <w:r>
              <w:rPr>
                <w:noProof/>
                <w:webHidden/>
              </w:rPr>
            </w:r>
            <w:r>
              <w:rPr>
                <w:noProof/>
                <w:webHidden/>
              </w:rPr>
              <w:fldChar w:fldCharType="separate"/>
            </w:r>
            <w:r w:rsidR="00E812F0">
              <w:rPr>
                <w:noProof/>
                <w:webHidden/>
              </w:rPr>
              <w:t>1</w:t>
            </w:r>
            <w:r>
              <w:rPr>
                <w:noProof/>
                <w:webHidden/>
              </w:rPr>
              <w:fldChar w:fldCharType="end"/>
            </w:r>
          </w:hyperlink>
        </w:p>
        <w:p w:rsidR="008C4832" w:rsidRDefault="008C4832" w14:paraId="4EFB98AB" w14:textId="38E04FFC">
          <w:pPr>
            <w:pStyle w:val="TOC3"/>
            <w:tabs>
              <w:tab w:val="left" w:pos="1680"/>
            </w:tabs>
            <w:rPr>
              <w:rFonts w:asciiTheme="minorHAnsi" w:hAnsiTheme="minorHAnsi" w:eastAsiaTheme="minorEastAsia"/>
              <w:noProof/>
              <w:kern w:val="2"/>
              <w:sz w:val="24"/>
              <w:szCs w:val="24"/>
              <w14:ligatures w14:val="standardContextual"/>
            </w:rPr>
          </w:pPr>
          <w:hyperlink w:history="1" w:anchor="_Toc185271151">
            <w:r w:rsidRPr="00AE446E">
              <w:rPr>
                <w:rStyle w:val="Hyperlink"/>
                <w:noProof/>
              </w:rPr>
              <w:t>1.1.1</w:t>
            </w:r>
            <w:r>
              <w:rPr>
                <w:rFonts w:asciiTheme="minorHAnsi" w:hAnsiTheme="minorHAnsi" w:eastAsiaTheme="minorEastAsia"/>
                <w:noProof/>
                <w:kern w:val="2"/>
                <w:sz w:val="24"/>
                <w:szCs w:val="24"/>
                <w14:ligatures w14:val="standardContextual"/>
              </w:rPr>
              <w:tab/>
            </w:r>
            <w:r w:rsidRPr="00AE446E">
              <w:rPr>
                <w:rStyle w:val="Hyperlink"/>
                <w:noProof/>
              </w:rPr>
              <w:t>(A.1) CalTF and eTRM Funding</w:t>
            </w:r>
            <w:r>
              <w:rPr>
                <w:noProof/>
                <w:webHidden/>
              </w:rPr>
              <w:tab/>
            </w:r>
            <w:r w:rsidRPr="009D5620" w:rsidR="009D5620">
              <w:rPr>
                <w:noProof/>
                <w:webHidden/>
              </w:rPr>
              <w:t>A-</w:t>
            </w:r>
            <w:r>
              <w:rPr>
                <w:noProof/>
                <w:webHidden/>
              </w:rPr>
              <w:fldChar w:fldCharType="begin"/>
            </w:r>
            <w:r>
              <w:rPr>
                <w:noProof/>
                <w:webHidden/>
              </w:rPr>
              <w:instrText xml:space="preserve"> PAGEREF _Toc185271151 \h </w:instrText>
            </w:r>
            <w:r>
              <w:rPr>
                <w:noProof/>
                <w:webHidden/>
              </w:rPr>
            </w:r>
            <w:r>
              <w:rPr>
                <w:noProof/>
                <w:webHidden/>
              </w:rPr>
              <w:fldChar w:fldCharType="separate"/>
            </w:r>
            <w:r w:rsidR="00E812F0">
              <w:rPr>
                <w:noProof/>
                <w:webHidden/>
              </w:rPr>
              <w:t>1</w:t>
            </w:r>
            <w:r>
              <w:rPr>
                <w:noProof/>
                <w:webHidden/>
              </w:rPr>
              <w:fldChar w:fldCharType="end"/>
            </w:r>
          </w:hyperlink>
        </w:p>
        <w:p w:rsidR="008C4832" w:rsidRDefault="008C4832" w14:paraId="251CC5AB" w14:textId="304F7964">
          <w:pPr>
            <w:pStyle w:val="TOC3"/>
            <w:tabs>
              <w:tab w:val="left" w:pos="1680"/>
            </w:tabs>
            <w:rPr>
              <w:rFonts w:asciiTheme="minorHAnsi" w:hAnsiTheme="minorHAnsi" w:eastAsiaTheme="minorEastAsia"/>
              <w:noProof/>
              <w:kern w:val="2"/>
              <w:sz w:val="24"/>
              <w:szCs w:val="24"/>
              <w14:ligatures w14:val="standardContextual"/>
            </w:rPr>
          </w:pPr>
          <w:hyperlink w:history="1" w:anchor="_Toc185271152">
            <w:r w:rsidRPr="00AE446E">
              <w:rPr>
                <w:rStyle w:val="Hyperlink"/>
                <w:noProof/>
              </w:rPr>
              <w:t>1.1.2</w:t>
            </w:r>
            <w:r>
              <w:rPr>
                <w:rFonts w:asciiTheme="minorHAnsi" w:hAnsiTheme="minorHAnsi" w:eastAsiaTheme="minorEastAsia"/>
                <w:noProof/>
                <w:kern w:val="2"/>
                <w:sz w:val="24"/>
                <w:szCs w:val="24"/>
                <w14:ligatures w14:val="standardContextual"/>
              </w:rPr>
              <w:tab/>
            </w:r>
            <w:r w:rsidRPr="00AE446E">
              <w:rPr>
                <w:rStyle w:val="Hyperlink"/>
                <w:noProof/>
              </w:rPr>
              <w:t>(A.2) eTRM Source Code Documentation</w:t>
            </w:r>
            <w:r>
              <w:rPr>
                <w:noProof/>
                <w:webHidden/>
              </w:rPr>
              <w:tab/>
            </w:r>
            <w:r w:rsidRPr="009D5620" w:rsidR="009D5620">
              <w:rPr>
                <w:noProof/>
                <w:webHidden/>
              </w:rPr>
              <w:t>A-</w:t>
            </w:r>
            <w:r>
              <w:rPr>
                <w:noProof/>
                <w:webHidden/>
              </w:rPr>
              <w:fldChar w:fldCharType="begin"/>
            </w:r>
            <w:r>
              <w:rPr>
                <w:noProof/>
                <w:webHidden/>
              </w:rPr>
              <w:instrText xml:space="preserve"> PAGEREF _Toc185271152 \h </w:instrText>
            </w:r>
            <w:r>
              <w:rPr>
                <w:noProof/>
                <w:webHidden/>
              </w:rPr>
            </w:r>
            <w:r>
              <w:rPr>
                <w:noProof/>
                <w:webHidden/>
              </w:rPr>
              <w:fldChar w:fldCharType="separate"/>
            </w:r>
            <w:r w:rsidR="00E812F0">
              <w:rPr>
                <w:noProof/>
                <w:webHidden/>
              </w:rPr>
              <w:t>1</w:t>
            </w:r>
            <w:r>
              <w:rPr>
                <w:noProof/>
                <w:webHidden/>
              </w:rPr>
              <w:fldChar w:fldCharType="end"/>
            </w:r>
          </w:hyperlink>
        </w:p>
        <w:p w:rsidR="008C4832" w:rsidRDefault="008C4832" w14:paraId="5BD7FA06" w14:textId="77D4609C">
          <w:pPr>
            <w:pStyle w:val="TOC3"/>
            <w:tabs>
              <w:tab w:val="left" w:pos="1680"/>
            </w:tabs>
            <w:rPr>
              <w:rFonts w:asciiTheme="minorHAnsi" w:hAnsiTheme="minorHAnsi" w:eastAsiaTheme="minorEastAsia"/>
              <w:noProof/>
              <w:kern w:val="2"/>
              <w:sz w:val="24"/>
              <w:szCs w:val="24"/>
              <w14:ligatures w14:val="standardContextual"/>
            </w:rPr>
          </w:pPr>
          <w:hyperlink w:history="1" w:anchor="_Toc185271153">
            <w:r w:rsidRPr="00AE446E">
              <w:rPr>
                <w:rStyle w:val="Hyperlink"/>
                <w:noProof/>
              </w:rPr>
              <w:t>1.1.3</w:t>
            </w:r>
            <w:r>
              <w:rPr>
                <w:rFonts w:asciiTheme="minorHAnsi" w:hAnsiTheme="minorHAnsi" w:eastAsiaTheme="minorEastAsia"/>
                <w:noProof/>
                <w:kern w:val="2"/>
                <w:sz w:val="24"/>
                <w:szCs w:val="24"/>
                <w14:ligatures w14:val="standardContextual"/>
              </w:rPr>
              <w:tab/>
            </w:r>
            <w:r w:rsidRPr="00AE446E">
              <w:rPr>
                <w:rStyle w:val="Hyperlink"/>
                <w:noProof/>
              </w:rPr>
              <w:t>(A.3) Measure Lifecycle Management (MLM) in DEER</w:t>
            </w:r>
            <w:r>
              <w:rPr>
                <w:noProof/>
                <w:webHidden/>
              </w:rPr>
              <w:tab/>
            </w:r>
            <w:r w:rsidRPr="009D5620" w:rsidR="009D5620">
              <w:rPr>
                <w:noProof/>
                <w:webHidden/>
              </w:rPr>
              <w:t>A-</w:t>
            </w:r>
            <w:r>
              <w:rPr>
                <w:noProof/>
                <w:webHidden/>
              </w:rPr>
              <w:fldChar w:fldCharType="begin"/>
            </w:r>
            <w:r>
              <w:rPr>
                <w:noProof/>
                <w:webHidden/>
              </w:rPr>
              <w:instrText xml:space="preserve"> PAGEREF _Toc185271153 \h </w:instrText>
            </w:r>
            <w:r>
              <w:rPr>
                <w:noProof/>
                <w:webHidden/>
              </w:rPr>
            </w:r>
            <w:r>
              <w:rPr>
                <w:noProof/>
                <w:webHidden/>
              </w:rPr>
              <w:fldChar w:fldCharType="separate"/>
            </w:r>
            <w:r w:rsidR="00E812F0">
              <w:rPr>
                <w:noProof/>
                <w:webHidden/>
              </w:rPr>
              <w:t>1</w:t>
            </w:r>
            <w:r>
              <w:rPr>
                <w:noProof/>
                <w:webHidden/>
              </w:rPr>
              <w:fldChar w:fldCharType="end"/>
            </w:r>
          </w:hyperlink>
        </w:p>
        <w:p w:rsidR="008C4832" w:rsidRDefault="008C4832" w14:paraId="079FAE45" w14:textId="5BEEBE05">
          <w:pPr>
            <w:pStyle w:val="TOC3"/>
            <w:tabs>
              <w:tab w:val="left" w:pos="1680"/>
            </w:tabs>
            <w:rPr>
              <w:rFonts w:asciiTheme="minorHAnsi" w:hAnsiTheme="minorHAnsi" w:eastAsiaTheme="minorEastAsia"/>
              <w:noProof/>
              <w:kern w:val="2"/>
              <w:sz w:val="24"/>
              <w:szCs w:val="24"/>
              <w14:ligatures w14:val="standardContextual"/>
            </w:rPr>
          </w:pPr>
          <w:hyperlink w:history="1" w:anchor="_Toc185271154">
            <w:r w:rsidRPr="00AE446E">
              <w:rPr>
                <w:rStyle w:val="Hyperlink"/>
                <w:noProof/>
              </w:rPr>
              <w:t>1.1.4</w:t>
            </w:r>
            <w:r>
              <w:rPr>
                <w:rFonts w:asciiTheme="minorHAnsi" w:hAnsiTheme="minorHAnsi" w:eastAsiaTheme="minorEastAsia"/>
                <w:noProof/>
                <w:kern w:val="2"/>
                <w:sz w:val="24"/>
                <w:szCs w:val="24"/>
                <w14:ligatures w14:val="standardContextual"/>
              </w:rPr>
              <w:tab/>
            </w:r>
            <w:r w:rsidRPr="00AE446E">
              <w:rPr>
                <w:rStyle w:val="Hyperlink"/>
                <w:noProof/>
              </w:rPr>
              <w:t>(A.4) Assess Enabling Filtering on CPUC Support Tables in eTRM</w:t>
            </w:r>
            <w:r>
              <w:rPr>
                <w:noProof/>
                <w:webHidden/>
              </w:rPr>
              <w:tab/>
            </w:r>
            <w:r w:rsidRPr="009D5620" w:rsidR="009D5620">
              <w:rPr>
                <w:noProof/>
                <w:webHidden/>
              </w:rPr>
              <w:t>A-</w:t>
            </w:r>
            <w:r>
              <w:rPr>
                <w:noProof/>
                <w:webHidden/>
              </w:rPr>
              <w:fldChar w:fldCharType="begin"/>
            </w:r>
            <w:r>
              <w:rPr>
                <w:noProof/>
                <w:webHidden/>
              </w:rPr>
              <w:instrText xml:space="preserve"> PAGEREF _Toc185271154 \h </w:instrText>
            </w:r>
            <w:r>
              <w:rPr>
                <w:noProof/>
                <w:webHidden/>
              </w:rPr>
            </w:r>
            <w:r>
              <w:rPr>
                <w:noProof/>
                <w:webHidden/>
              </w:rPr>
              <w:fldChar w:fldCharType="separate"/>
            </w:r>
            <w:r w:rsidR="00E812F0">
              <w:rPr>
                <w:noProof/>
                <w:webHidden/>
              </w:rPr>
              <w:t>2</w:t>
            </w:r>
            <w:r>
              <w:rPr>
                <w:noProof/>
                <w:webHidden/>
              </w:rPr>
              <w:fldChar w:fldCharType="end"/>
            </w:r>
          </w:hyperlink>
        </w:p>
        <w:p w:rsidR="008C4832" w:rsidRDefault="008C4832" w14:paraId="13ED4ABC" w14:textId="2979BFB1">
          <w:pPr>
            <w:pStyle w:val="TOC3"/>
            <w:tabs>
              <w:tab w:val="left" w:pos="1680"/>
            </w:tabs>
            <w:rPr>
              <w:rFonts w:asciiTheme="minorHAnsi" w:hAnsiTheme="minorHAnsi" w:eastAsiaTheme="minorEastAsia"/>
              <w:noProof/>
              <w:kern w:val="2"/>
              <w:sz w:val="24"/>
              <w:szCs w:val="24"/>
              <w14:ligatures w14:val="standardContextual"/>
            </w:rPr>
          </w:pPr>
          <w:hyperlink w:history="1" w:anchor="_Toc185271155">
            <w:r w:rsidRPr="00AE446E">
              <w:rPr>
                <w:rStyle w:val="Hyperlink"/>
                <w:noProof/>
              </w:rPr>
              <w:t>1.1.5</w:t>
            </w:r>
            <w:r>
              <w:rPr>
                <w:rFonts w:asciiTheme="minorHAnsi" w:hAnsiTheme="minorHAnsi" w:eastAsiaTheme="minorEastAsia"/>
                <w:noProof/>
                <w:kern w:val="2"/>
                <w:sz w:val="24"/>
                <w:szCs w:val="24"/>
                <w14:ligatures w14:val="standardContextual"/>
              </w:rPr>
              <w:tab/>
            </w:r>
            <w:r w:rsidRPr="00AE446E">
              <w:rPr>
                <w:rStyle w:val="Hyperlink"/>
                <w:noProof/>
              </w:rPr>
              <w:t>(A.5) eTRM Table Structure Changes</w:t>
            </w:r>
            <w:r>
              <w:rPr>
                <w:noProof/>
                <w:webHidden/>
              </w:rPr>
              <w:tab/>
            </w:r>
            <w:r w:rsidRPr="009D5620" w:rsidR="009D5620">
              <w:rPr>
                <w:noProof/>
                <w:webHidden/>
              </w:rPr>
              <w:t>A-</w:t>
            </w:r>
            <w:r>
              <w:rPr>
                <w:noProof/>
                <w:webHidden/>
              </w:rPr>
              <w:fldChar w:fldCharType="begin"/>
            </w:r>
            <w:r>
              <w:rPr>
                <w:noProof/>
                <w:webHidden/>
              </w:rPr>
              <w:instrText xml:space="preserve"> PAGEREF _Toc185271155 \h </w:instrText>
            </w:r>
            <w:r>
              <w:rPr>
                <w:noProof/>
                <w:webHidden/>
              </w:rPr>
            </w:r>
            <w:r>
              <w:rPr>
                <w:noProof/>
                <w:webHidden/>
              </w:rPr>
              <w:fldChar w:fldCharType="separate"/>
            </w:r>
            <w:r w:rsidR="00E812F0">
              <w:rPr>
                <w:noProof/>
                <w:webHidden/>
              </w:rPr>
              <w:t>2</w:t>
            </w:r>
            <w:r>
              <w:rPr>
                <w:noProof/>
                <w:webHidden/>
              </w:rPr>
              <w:fldChar w:fldCharType="end"/>
            </w:r>
          </w:hyperlink>
        </w:p>
        <w:p w:rsidR="008C4832" w:rsidRDefault="008C4832" w14:paraId="1158D495" w14:textId="42B8DF14">
          <w:pPr>
            <w:pStyle w:val="TOC2"/>
            <w:rPr>
              <w:rFonts w:asciiTheme="minorHAnsi" w:hAnsiTheme="minorHAnsi" w:eastAsiaTheme="minorEastAsia"/>
              <w:noProof/>
              <w:kern w:val="2"/>
              <w:sz w:val="24"/>
              <w:szCs w:val="24"/>
              <w14:ligatures w14:val="standardContextual"/>
            </w:rPr>
          </w:pPr>
          <w:hyperlink w:history="1" w:anchor="_Toc185271156">
            <w:r w:rsidRPr="00AE446E">
              <w:rPr>
                <w:rStyle w:val="Hyperlink"/>
                <w:noProof/>
              </w:rPr>
              <w:t>1.2</w:t>
            </w:r>
            <w:r>
              <w:rPr>
                <w:rFonts w:asciiTheme="minorHAnsi" w:hAnsiTheme="minorHAnsi" w:eastAsiaTheme="minorEastAsia"/>
                <w:noProof/>
                <w:kern w:val="2"/>
                <w:sz w:val="24"/>
                <w:szCs w:val="24"/>
                <w14:ligatures w14:val="standardContextual"/>
              </w:rPr>
              <w:tab/>
            </w:r>
            <w:r w:rsidRPr="00AE446E">
              <w:rPr>
                <w:rStyle w:val="Hyperlink"/>
                <w:noProof/>
              </w:rPr>
              <w:t>(B) DEER System and Measure Package Updates</w:t>
            </w:r>
            <w:r>
              <w:rPr>
                <w:noProof/>
                <w:webHidden/>
              </w:rPr>
              <w:tab/>
            </w:r>
            <w:r w:rsidRPr="009D5620" w:rsidR="009D5620">
              <w:rPr>
                <w:noProof/>
                <w:webHidden/>
              </w:rPr>
              <w:t>A-</w:t>
            </w:r>
            <w:r>
              <w:rPr>
                <w:noProof/>
                <w:webHidden/>
              </w:rPr>
              <w:fldChar w:fldCharType="begin"/>
            </w:r>
            <w:r>
              <w:rPr>
                <w:noProof/>
                <w:webHidden/>
              </w:rPr>
              <w:instrText xml:space="preserve"> PAGEREF _Toc185271156 \h </w:instrText>
            </w:r>
            <w:r>
              <w:rPr>
                <w:noProof/>
                <w:webHidden/>
              </w:rPr>
            </w:r>
            <w:r>
              <w:rPr>
                <w:noProof/>
                <w:webHidden/>
              </w:rPr>
              <w:fldChar w:fldCharType="separate"/>
            </w:r>
            <w:r w:rsidR="00E812F0">
              <w:rPr>
                <w:noProof/>
                <w:webHidden/>
              </w:rPr>
              <w:t>3</w:t>
            </w:r>
            <w:r>
              <w:rPr>
                <w:noProof/>
                <w:webHidden/>
              </w:rPr>
              <w:fldChar w:fldCharType="end"/>
            </w:r>
          </w:hyperlink>
        </w:p>
        <w:p w:rsidR="008C4832" w:rsidRDefault="008C4832" w14:paraId="17E01A25" w14:textId="0D063023">
          <w:pPr>
            <w:pStyle w:val="TOC3"/>
            <w:tabs>
              <w:tab w:val="left" w:pos="1680"/>
            </w:tabs>
            <w:rPr>
              <w:rFonts w:asciiTheme="minorHAnsi" w:hAnsiTheme="minorHAnsi" w:eastAsiaTheme="minorEastAsia"/>
              <w:noProof/>
              <w:kern w:val="2"/>
              <w:sz w:val="24"/>
              <w:szCs w:val="24"/>
              <w14:ligatures w14:val="standardContextual"/>
            </w:rPr>
          </w:pPr>
          <w:hyperlink w:history="1" w:anchor="_Toc185271157">
            <w:r w:rsidRPr="00AE446E">
              <w:rPr>
                <w:rStyle w:val="Hyperlink"/>
                <w:noProof/>
              </w:rPr>
              <w:t>1.2.1</w:t>
            </w:r>
            <w:r>
              <w:rPr>
                <w:rFonts w:asciiTheme="minorHAnsi" w:hAnsiTheme="minorHAnsi" w:eastAsiaTheme="minorEastAsia"/>
                <w:noProof/>
                <w:kern w:val="2"/>
                <w:sz w:val="24"/>
                <w:szCs w:val="24"/>
                <w14:ligatures w14:val="standardContextual"/>
              </w:rPr>
              <w:tab/>
            </w:r>
            <w:r w:rsidRPr="00AE446E">
              <w:rPr>
                <w:rStyle w:val="Hyperlink"/>
                <w:noProof/>
              </w:rPr>
              <w:t>(B.1) Refrigerant Leakage Impacts</w:t>
            </w:r>
            <w:r>
              <w:rPr>
                <w:noProof/>
                <w:webHidden/>
              </w:rPr>
              <w:tab/>
            </w:r>
            <w:r w:rsidRPr="009D5620" w:rsidR="009D5620">
              <w:rPr>
                <w:noProof/>
                <w:webHidden/>
              </w:rPr>
              <w:t>A-</w:t>
            </w:r>
            <w:r>
              <w:rPr>
                <w:noProof/>
                <w:webHidden/>
              </w:rPr>
              <w:fldChar w:fldCharType="begin"/>
            </w:r>
            <w:r>
              <w:rPr>
                <w:noProof/>
                <w:webHidden/>
              </w:rPr>
              <w:instrText xml:space="preserve"> PAGEREF _Toc185271157 \h </w:instrText>
            </w:r>
            <w:r>
              <w:rPr>
                <w:noProof/>
                <w:webHidden/>
              </w:rPr>
            </w:r>
            <w:r>
              <w:rPr>
                <w:noProof/>
                <w:webHidden/>
              </w:rPr>
              <w:fldChar w:fldCharType="separate"/>
            </w:r>
            <w:r w:rsidR="00E812F0">
              <w:rPr>
                <w:noProof/>
                <w:webHidden/>
              </w:rPr>
              <w:t>3</w:t>
            </w:r>
            <w:r>
              <w:rPr>
                <w:noProof/>
                <w:webHidden/>
              </w:rPr>
              <w:fldChar w:fldCharType="end"/>
            </w:r>
          </w:hyperlink>
        </w:p>
        <w:p w:rsidR="008C4832" w:rsidRDefault="008C4832" w14:paraId="0B57B1E5" w14:textId="356F07DF">
          <w:pPr>
            <w:pStyle w:val="TOC3"/>
            <w:tabs>
              <w:tab w:val="left" w:pos="1680"/>
            </w:tabs>
            <w:rPr>
              <w:rFonts w:asciiTheme="minorHAnsi" w:hAnsiTheme="minorHAnsi" w:eastAsiaTheme="minorEastAsia"/>
              <w:noProof/>
              <w:kern w:val="2"/>
              <w:sz w:val="24"/>
              <w:szCs w:val="24"/>
              <w14:ligatures w14:val="standardContextual"/>
            </w:rPr>
          </w:pPr>
          <w:hyperlink w:history="1" w:anchor="_Toc185271158">
            <w:r w:rsidRPr="00AE446E">
              <w:rPr>
                <w:rStyle w:val="Hyperlink"/>
                <w:noProof/>
              </w:rPr>
              <w:t>1.2.2</w:t>
            </w:r>
            <w:r>
              <w:rPr>
                <w:rFonts w:asciiTheme="minorHAnsi" w:hAnsiTheme="minorHAnsi" w:eastAsiaTheme="minorEastAsia"/>
                <w:noProof/>
                <w:kern w:val="2"/>
                <w:sz w:val="24"/>
                <w:szCs w:val="24"/>
                <w14:ligatures w14:val="standardContextual"/>
              </w:rPr>
              <w:tab/>
            </w:r>
            <w:r w:rsidRPr="00AE446E">
              <w:rPr>
                <w:rStyle w:val="Hyperlink"/>
                <w:noProof/>
              </w:rPr>
              <w:t>(B.2) Refrigerant Benefits/Costs for EULs Exceeding 20 Years</w:t>
            </w:r>
            <w:r>
              <w:rPr>
                <w:noProof/>
                <w:webHidden/>
              </w:rPr>
              <w:tab/>
            </w:r>
            <w:r w:rsidRPr="009D5620" w:rsidR="009D5620">
              <w:rPr>
                <w:noProof/>
                <w:webHidden/>
              </w:rPr>
              <w:t>A-</w:t>
            </w:r>
            <w:r>
              <w:rPr>
                <w:noProof/>
                <w:webHidden/>
              </w:rPr>
              <w:fldChar w:fldCharType="begin"/>
            </w:r>
            <w:r>
              <w:rPr>
                <w:noProof/>
                <w:webHidden/>
              </w:rPr>
              <w:instrText xml:space="preserve"> PAGEREF _Toc185271158 \h </w:instrText>
            </w:r>
            <w:r>
              <w:rPr>
                <w:noProof/>
                <w:webHidden/>
              </w:rPr>
            </w:r>
            <w:r>
              <w:rPr>
                <w:noProof/>
                <w:webHidden/>
              </w:rPr>
              <w:fldChar w:fldCharType="separate"/>
            </w:r>
            <w:r w:rsidR="00E812F0">
              <w:rPr>
                <w:noProof/>
                <w:webHidden/>
              </w:rPr>
              <w:t>6</w:t>
            </w:r>
            <w:r>
              <w:rPr>
                <w:noProof/>
                <w:webHidden/>
              </w:rPr>
              <w:fldChar w:fldCharType="end"/>
            </w:r>
          </w:hyperlink>
        </w:p>
        <w:p w:rsidR="008C4832" w:rsidRDefault="008C4832" w14:paraId="3E50575D" w14:textId="7C5AC7A9">
          <w:pPr>
            <w:pStyle w:val="TOC3"/>
            <w:tabs>
              <w:tab w:val="left" w:pos="1680"/>
            </w:tabs>
            <w:rPr>
              <w:rFonts w:asciiTheme="minorHAnsi" w:hAnsiTheme="minorHAnsi" w:eastAsiaTheme="minorEastAsia"/>
              <w:noProof/>
              <w:kern w:val="2"/>
              <w:sz w:val="24"/>
              <w:szCs w:val="24"/>
              <w14:ligatures w14:val="standardContextual"/>
            </w:rPr>
          </w:pPr>
          <w:hyperlink w:history="1" w:anchor="_Toc185271159">
            <w:r w:rsidRPr="00AE446E">
              <w:rPr>
                <w:rStyle w:val="Hyperlink"/>
                <w:noProof/>
              </w:rPr>
              <w:t>1.2.3</w:t>
            </w:r>
            <w:r>
              <w:rPr>
                <w:rFonts w:asciiTheme="minorHAnsi" w:hAnsiTheme="minorHAnsi" w:eastAsiaTheme="minorEastAsia"/>
                <w:noProof/>
                <w:kern w:val="2"/>
                <w:sz w:val="24"/>
                <w:szCs w:val="24"/>
                <w14:ligatures w14:val="standardContextual"/>
              </w:rPr>
              <w:tab/>
            </w:r>
            <w:r w:rsidRPr="00AE446E">
              <w:rPr>
                <w:rStyle w:val="Hyperlink"/>
                <w:noProof/>
              </w:rPr>
              <w:t>(B.3) Water-Energy Nexus (WEN) Impacts</w:t>
            </w:r>
            <w:r>
              <w:rPr>
                <w:noProof/>
                <w:webHidden/>
              </w:rPr>
              <w:tab/>
            </w:r>
            <w:r w:rsidRPr="009D5620" w:rsidR="009D5620">
              <w:rPr>
                <w:noProof/>
                <w:webHidden/>
              </w:rPr>
              <w:t>A-</w:t>
            </w:r>
            <w:r>
              <w:rPr>
                <w:noProof/>
                <w:webHidden/>
              </w:rPr>
              <w:fldChar w:fldCharType="begin"/>
            </w:r>
            <w:r>
              <w:rPr>
                <w:noProof/>
                <w:webHidden/>
              </w:rPr>
              <w:instrText xml:space="preserve"> PAGEREF _Toc185271159 \h </w:instrText>
            </w:r>
            <w:r>
              <w:rPr>
                <w:noProof/>
                <w:webHidden/>
              </w:rPr>
            </w:r>
            <w:r>
              <w:rPr>
                <w:noProof/>
                <w:webHidden/>
              </w:rPr>
              <w:fldChar w:fldCharType="separate"/>
            </w:r>
            <w:r w:rsidR="00E812F0">
              <w:rPr>
                <w:noProof/>
                <w:webHidden/>
              </w:rPr>
              <w:t>8</w:t>
            </w:r>
            <w:r>
              <w:rPr>
                <w:noProof/>
                <w:webHidden/>
              </w:rPr>
              <w:fldChar w:fldCharType="end"/>
            </w:r>
          </w:hyperlink>
        </w:p>
        <w:p w:rsidR="008C4832" w:rsidRDefault="008C4832" w14:paraId="2B3454F7" w14:textId="482EB55D">
          <w:pPr>
            <w:pStyle w:val="TOC3"/>
            <w:tabs>
              <w:tab w:val="left" w:pos="1680"/>
            </w:tabs>
            <w:rPr>
              <w:rFonts w:asciiTheme="minorHAnsi" w:hAnsiTheme="minorHAnsi" w:eastAsiaTheme="minorEastAsia"/>
              <w:noProof/>
              <w:kern w:val="2"/>
              <w:sz w:val="24"/>
              <w:szCs w:val="24"/>
              <w14:ligatures w14:val="standardContextual"/>
            </w:rPr>
          </w:pPr>
          <w:hyperlink w:history="1" w:anchor="_Toc185271160">
            <w:r w:rsidRPr="00AE446E">
              <w:rPr>
                <w:rStyle w:val="Hyperlink"/>
                <w:noProof/>
              </w:rPr>
              <w:t>1.2.4</w:t>
            </w:r>
            <w:r>
              <w:rPr>
                <w:rFonts w:asciiTheme="minorHAnsi" w:hAnsiTheme="minorHAnsi" w:eastAsiaTheme="minorEastAsia"/>
                <w:noProof/>
                <w:kern w:val="2"/>
                <w:sz w:val="24"/>
                <w:szCs w:val="24"/>
                <w14:ligatures w14:val="standardContextual"/>
              </w:rPr>
              <w:tab/>
            </w:r>
            <w:r w:rsidRPr="00AE446E">
              <w:rPr>
                <w:rStyle w:val="Hyperlink"/>
                <w:noProof/>
              </w:rPr>
              <w:t>(B.4) Lighting Baseline Updates</w:t>
            </w:r>
            <w:r>
              <w:rPr>
                <w:noProof/>
                <w:webHidden/>
              </w:rPr>
              <w:tab/>
            </w:r>
            <w:r w:rsidRPr="009D5620" w:rsidR="009D5620">
              <w:rPr>
                <w:noProof/>
                <w:webHidden/>
              </w:rPr>
              <w:t>A-</w:t>
            </w:r>
            <w:r>
              <w:rPr>
                <w:noProof/>
                <w:webHidden/>
              </w:rPr>
              <w:fldChar w:fldCharType="begin"/>
            </w:r>
            <w:r>
              <w:rPr>
                <w:noProof/>
                <w:webHidden/>
              </w:rPr>
              <w:instrText xml:space="preserve"> PAGEREF _Toc185271160 \h </w:instrText>
            </w:r>
            <w:r>
              <w:rPr>
                <w:noProof/>
                <w:webHidden/>
              </w:rPr>
            </w:r>
            <w:r>
              <w:rPr>
                <w:noProof/>
                <w:webHidden/>
              </w:rPr>
              <w:fldChar w:fldCharType="separate"/>
            </w:r>
            <w:r w:rsidR="00E812F0">
              <w:rPr>
                <w:noProof/>
                <w:webHidden/>
              </w:rPr>
              <w:t>8</w:t>
            </w:r>
            <w:r>
              <w:rPr>
                <w:noProof/>
                <w:webHidden/>
              </w:rPr>
              <w:fldChar w:fldCharType="end"/>
            </w:r>
          </w:hyperlink>
        </w:p>
        <w:p w:rsidR="008C4832" w:rsidRDefault="008C4832" w14:paraId="11AC5AD4" w14:textId="08883A6A">
          <w:pPr>
            <w:pStyle w:val="TOC3"/>
            <w:tabs>
              <w:tab w:val="left" w:pos="1680"/>
            </w:tabs>
            <w:rPr>
              <w:rFonts w:asciiTheme="minorHAnsi" w:hAnsiTheme="minorHAnsi" w:eastAsiaTheme="minorEastAsia"/>
              <w:noProof/>
              <w:kern w:val="2"/>
              <w:sz w:val="24"/>
              <w:szCs w:val="24"/>
              <w14:ligatures w14:val="standardContextual"/>
            </w:rPr>
          </w:pPr>
          <w:hyperlink w:history="1" w:anchor="_Toc185271161">
            <w:r w:rsidRPr="00AE446E">
              <w:rPr>
                <w:rStyle w:val="Hyperlink"/>
                <w:noProof/>
              </w:rPr>
              <w:t>1.2.5</w:t>
            </w:r>
            <w:r>
              <w:rPr>
                <w:rFonts w:asciiTheme="minorHAnsi" w:hAnsiTheme="minorHAnsi" w:eastAsiaTheme="minorEastAsia"/>
                <w:noProof/>
                <w:kern w:val="2"/>
                <w:sz w:val="24"/>
                <w:szCs w:val="24"/>
                <w14:ligatures w14:val="standardContextual"/>
              </w:rPr>
              <w:tab/>
            </w:r>
            <w:r w:rsidRPr="00AE446E">
              <w:rPr>
                <w:rStyle w:val="Hyperlink"/>
                <w:noProof/>
              </w:rPr>
              <w:t>(B.5) Definition of Incentive and Rebate</w:t>
            </w:r>
            <w:r>
              <w:rPr>
                <w:noProof/>
                <w:webHidden/>
              </w:rPr>
              <w:tab/>
            </w:r>
            <w:r w:rsidRPr="009D5620" w:rsidR="009D5620">
              <w:rPr>
                <w:noProof/>
                <w:webHidden/>
              </w:rPr>
              <w:t>A-</w:t>
            </w:r>
            <w:r>
              <w:rPr>
                <w:noProof/>
                <w:webHidden/>
              </w:rPr>
              <w:fldChar w:fldCharType="begin"/>
            </w:r>
            <w:r>
              <w:rPr>
                <w:noProof/>
                <w:webHidden/>
              </w:rPr>
              <w:instrText xml:space="preserve"> PAGEREF _Toc185271161 \h </w:instrText>
            </w:r>
            <w:r>
              <w:rPr>
                <w:noProof/>
                <w:webHidden/>
              </w:rPr>
            </w:r>
            <w:r>
              <w:rPr>
                <w:noProof/>
                <w:webHidden/>
              </w:rPr>
              <w:fldChar w:fldCharType="separate"/>
            </w:r>
            <w:r w:rsidR="00E812F0">
              <w:rPr>
                <w:noProof/>
                <w:webHidden/>
              </w:rPr>
              <w:t>9</w:t>
            </w:r>
            <w:r>
              <w:rPr>
                <w:noProof/>
                <w:webHidden/>
              </w:rPr>
              <w:fldChar w:fldCharType="end"/>
            </w:r>
          </w:hyperlink>
        </w:p>
        <w:p w:rsidR="008C4832" w:rsidRDefault="008C4832" w14:paraId="1C253B5A" w14:textId="0EDF939F">
          <w:pPr>
            <w:pStyle w:val="TOC3"/>
            <w:tabs>
              <w:tab w:val="left" w:pos="1680"/>
            </w:tabs>
            <w:rPr>
              <w:rFonts w:asciiTheme="minorHAnsi" w:hAnsiTheme="minorHAnsi" w:eastAsiaTheme="minorEastAsia"/>
              <w:noProof/>
              <w:kern w:val="2"/>
              <w:sz w:val="24"/>
              <w:szCs w:val="24"/>
              <w14:ligatures w14:val="standardContextual"/>
            </w:rPr>
          </w:pPr>
          <w:hyperlink w:history="1" w:anchor="_Toc185271162">
            <w:r w:rsidRPr="00AE446E">
              <w:rPr>
                <w:rStyle w:val="Hyperlink"/>
                <w:noProof/>
              </w:rPr>
              <w:t>1.2.6</w:t>
            </w:r>
            <w:r>
              <w:rPr>
                <w:rFonts w:asciiTheme="minorHAnsi" w:hAnsiTheme="minorHAnsi" w:eastAsiaTheme="minorEastAsia"/>
                <w:noProof/>
                <w:kern w:val="2"/>
                <w:sz w:val="24"/>
                <w:szCs w:val="24"/>
                <w14:ligatures w14:val="standardContextual"/>
              </w:rPr>
              <w:tab/>
            </w:r>
            <w:r w:rsidRPr="00AE446E">
              <w:rPr>
                <w:rStyle w:val="Hyperlink"/>
                <w:noProof/>
              </w:rPr>
              <w:t>(B.6) Clarification of Deemed Measure Cost and Incentive Reporting to CEDARS</w:t>
            </w:r>
            <w:r>
              <w:rPr>
                <w:noProof/>
                <w:webHidden/>
              </w:rPr>
              <w:tab/>
            </w:r>
            <w:r w:rsidRPr="009D5620" w:rsidR="009D5620">
              <w:rPr>
                <w:noProof/>
                <w:webHidden/>
              </w:rPr>
              <w:t>A-</w:t>
            </w:r>
            <w:r>
              <w:rPr>
                <w:noProof/>
                <w:webHidden/>
              </w:rPr>
              <w:fldChar w:fldCharType="begin"/>
            </w:r>
            <w:r>
              <w:rPr>
                <w:noProof/>
                <w:webHidden/>
              </w:rPr>
              <w:instrText xml:space="preserve"> PAGEREF _Toc185271162 \h </w:instrText>
            </w:r>
            <w:r>
              <w:rPr>
                <w:noProof/>
                <w:webHidden/>
              </w:rPr>
            </w:r>
            <w:r>
              <w:rPr>
                <w:noProof/>
                <w:webHidden/>
              </w:rPr>
              <w:fldChar w:fldCharType="separate"/>
            </w:r>
            <w:r w:rsidR="00E812F0">
              <w:rPr>
                <w:noProof/>
                <w:webHidden/>
              </w:rPr>
              <w:t>12</w:t>
            </w:r>
            <w:r>
              <w:rPr>
                <w:noProof/>
                <w:webHidden/>
              </w:rPr>
              <w:fldChar w:fldCharType="end"/>
            </w:r>
          </w:hyperlink>
        </w:p>
        <w:p w:rsidR="008C4832" w:rsidRDefault="008C4832" w14:paraId="5B62B858" w14:textId="50DD64A5">
          <w:pPr>
            <w:pStyle w:val="TOC3"/>
            <w:tabs>
              <w:tab w:val="left" w:pos="1680"/>
            </w:tabs>
            <w:rPr>
              <w:rFonts w:asciiTheme="minorHAnsi" w:hAnsiTheme="minorHAnsi" w:eastAsiaTheme="minorEastAsia"/>
              <w:noProof/>
              <w:kern w:val="2"/>
              <w:sz w:val="24"/>
              <w:szCs w:val="24"/>
              <w14:ligatures w14:val="standardContextual"/>
            </w:rPr>
          </w:pPr>
          <w:hyperlink w:history="1" w:anchor="_Toc185271163">
            <w:r w:rsidRPr="00AE446E">
              <w:rPr>
                <w:rStyle w:val="Hyperlink"/>
                <w:noProof/>
              </w:rPr>
              <w:t>1.2.7</w:t>
            </w:r>
            <w:r>
              <w:rPr>
                <w:rFonts w:asciiTheme="minorHAnsi" w:hAnsiTheme="minorHAnsi" w:eastAsiaTheme="minorEastAsia"/>
                <w:noProof/>
                <w:kern w:val="2"/>
                <w:sz w:val="24"/>
                <w:szCs w:val="24"/>
                <w14:ligatures w14:val="standardContextual"/>
              </w:rPr>
              <w:tab/>
            </w:r>
            <w:r w:rsidRPr="00AE446E">
              <w:rPr>
                <w:rStyle w:val="Hyperlink"/>
                <w:noProof/>
              </w:rPr>
              <w:t>(B.7) Peak Load Definition</w:t>
            </w:r>
            <w:r>
              <w:rPr>
                <w:noProof/>
                <w:webHidden/>
              </w:rPr>
              <w:tab/>
            </w:r>
            <w:r w:rsidRPr="009D5620" w:rsidR="009D5620">
              <w:rPr>
                <w:noProof/>
                <w:webHidden/>
              </w:rPr>
              <w:t>A-</w:t>
            </w:r>
            <w:r>
              <w:rPr>
                <w:noProof/>
                <w:webHidden/>
              </w:rPr>
              <w:fldChar w:fldCharType="begin"/>
            </w:r>
            <w:r>
              <w:rPr>
                <w:noProof/>
                <w:webHidden/>
              </w:rPr>
              <w:instrText xml:space="preserve"> PAGEREF _Toc185271163 \h </w:instrText>
            </w:r>
            <w:r>
              <w:rPr>
                <w:noProof/>
                <w:webHidden/>
              </w:rPr>
            </w:r>
            <w:r>
              <w:rPr>
                <w:noProof/>
                <w:webHidden/>
              </w:rPr>
              <w:fldChar w:fldCharType="separate"/>
            </w:r>
            <w:r w:rsidR="00E812F0">
              <w:rPr>
                <w:noProof/>
                <w:webHidden/>
              </w:rPr>
              <w:t>14</w:t>
            </w:r>
            <w:r>
              <w:rPr>
                <w:noProof/>
                <w:webHidden/>
              </w:rPr>
              <w:fldChar w:fldCharType="end"/>
            </w:r>
          </w:hyperlink>
        </w:p>
        <w:p w:rsidR="008C4832" w:rsidRDefault="008C4832" w14:paraId="75470133" w14:textId="1AD1783B">
          <w:pPr>
            <w:pStyle w:val="TOC3"/>
            <w:tabs>
              <w:tab w:val="left" w:pos="1680"/>
            </w:tabs>
            <w:rPr>
              <w:rFonts w:asciiTheme="minorHAnsi" w:hAnsiTheme="minorHAnsi" w:eastAsiaTheme="minorEastAsia"/>
              <w:noProof/>
              <w:kern w:val="2"/>
              <w:sz w:val="24"/>
              <w:szCs w:val="24"/>
              <w14:ligatures w14:val="standardContextual"/>
            </w:rPr>
          </w:pPr>
          <w:hyperlink w:history="1" w:anchor="_Toc185271164">
            <w:r w:rsidRPr="00AE446E">
              <w:rPr>
                <w:rStyle w:val="Hyperlink"/>
                <w:noProof/>
              </w:rPr>
              <w:t>1.2.8</w:t>
            </w:r>
            <w:r>
              <w:rPr>
                <w:rFonts w:asciiTheme="minorHAnsi" w:hAnsiTheme="minorHAnsi" w:eastAsiaTheme="minorEastAsia"/>
                <w:noProof/>
                <w:kern w:val="2"/>
                <w:sz w:val="24"/>
                <w:szCs w:val="24"/>
                <w14:ligatures w14:val="standardContextual"/>
              </w:rPr>
              <w:tab/>
            </w:r>
            <w:r w:rsidRPr="00AE446E">
              <w:rPr>
                <w:rStyle w:val="Hyperlink"/>
                <w:noProof/>
              </w:rPr>
              <w:t>(B.8) Vintage and Era Definitions</w:t>
            </w:r>
            <w:r>
              <w:rPr>
                <w:noProof/>
                <w:webHidden/>
              </w:rPr>
              <w:tab/>
            </w:r>
            <w:r w:rsidRPr="009D5620" w:rsidR="009D5620">
              <w:rPr>
                <w:noProof/>
                <w:webHidden/>
              </w:rPr>
              <w:t>A-</w:t>
            </w:r>
            <w:r>
              <w:rPr>
                <w:noProof/>
                <w:webHidden/>
              </w:rPr>
              <w:fldChar w:fldCharType="begin"/>
            </w:r>
            <w:r>
              <w:rPr>
                <w:noProof/>
                <w:webHidden/>
              </w:rPr>
              <w:instrText xml:space="preserve"> PAGEREF _Toc185271164 \h </w:instrText>
            </w:r>
            <w:r>
              <w:rPr>
                <w:noProof/>
                <w:webHidden/>
              </w:rPr>
            </w:r>
            <w:r>
              <w:rPr>
                <w:noProof/>
                <w:webHidden/>
              </w:rPr>
              <w:fldChar w:fldCharType="separate"/>
            </w:r>
            <w:r w:rsidR="00E812F0">
              <w:rPr>
                <w:noProof/>
                <w:webHidden/>
              </w:rPr>
              <w:t>15</w:t>
            </w:r>
            <w:r>
              <w:rPr>
                <w:noProof/>
                <w:webHidden/>
              </w:rPr>
              <w:fldChar w:fldCharType="end"/>
            </w:r>
          </w:hyperlink>
        </w:p>
        <w:p w:rsidR="008C4832" w:rsidRDefault="008C4832" w14:paraId="4005FDAF" w14:textId="003154A0">
          <w:pPr>
            <w:pStyle w:val="TOC3"/>
            <w:tabs>
              <w:tab w:val="left" w:pos="1680"/>
            </w:tabs>
            <w:rPr>
              <w:rFonts w:asciiTheme="minorHAnsi" w:hAnsiTheme="minorHAnsi" w:eastAsiaTheme="minorEastAsia"/>
              <w:noProof/>
              <w:kern w:val="2"/>
              <w:sz w:val="24"/>
              <w:szCs w:val="24"/>
              <w14:ligatures w14:val="standardContextual"/>
            </w:rPr>
          </w:pPr>
          <w:hyperlink w:history="1" w:anchor="_Toc185271165">
            <w:r w:rsidRPr="00AE446E">
              <w:rPr>
                <w:rStyle w:val="Hyperlink"/>
                <w:noProof/>
              </w:rPr>
              <w:t>1.2.9</w:t>
            </w:r>
            <w:r>
              <w:rPr>
                <w:rFonts w:asciiTheme="minorHAnsi" w:hAnsiTheme="minorHAnsi" w:eastAsiaTheme="minorEastAsia"/>
                <w:noProof/>
                <w:kern w:val="2"/>
                <w:sz w:val="24"/>
                <w:szCs w:val="24"/>
                <w14:ligatures w14:val="standardContextual"/>
              </w:rPr>
              <w:tab/>
            </w:r>
            <w:r w:rsidRPr="00AE446E">
              <w:rPr>
                <w:rStyle w:val="Hyperlink"/>
                <w:noProof/>
              </w:rPr>
              <w:t>(B.9) EnergyPlus Prototypes</w:t>
            </w:r>
            <w:r>
              <w:rPr>
                <w:noProof/>
                <w:webHidden/>
              </w:rPr>
              <w:tab/>
            </w:r>
            <w:r w:rsidRPr="009D5620" w:rsidR="009D5620">
              <w:rPr>
                <w:noProof/>
                <w:webHidden/>
              </w:rPr>
              <w:t>A-</w:t>
            </w:r>
            <w:r>
              <w:rPr>
                <w:noProof/>
                <w:webHidden/>
              </w:rPr>
              <w:fldChar w:fldCharType="begin"/>
            </w:r>
            <w:r>
              <w:rPr>
                <w:noProof/>
                <w:webHidden/>
              </w:rPr>
              <w:instrText xml:space="preserve"> PAGEREF _Toc185271165 \h </w:instrText>
            </w:r>
            <w:r>
              <w:rPr>
                <w:noProof/>
                <w:webHidden/>
              </w:rPr>
            </w:r>
            <w:r>
              <w:rPr>
                <w:noProof/>
                <w:webHidden/>
              </w:rPr>
              <w:fldChar w:fldCharType="separate"/>
            </w:r>
            <w:r w:rsidR="00E812F0">
              <w:rPr>
                <w:noProof/>
                <w:webHidden/>
              </w:rPr>
              <w:t>16</w:t>
            </w:r>
            <w:r>
              <w:rPr>
                <w:noProof/>
                <w:webHidden/>
              </w:rPr>
              <w:fldChar w:fldCharType="end"/>
            </w:r>
          </w:hyperlink>
        </w:p>
        <w:p w:rsidR="008C4832" w:rsidRDefault="008C4832" w14:paraId="40E1FBAA" w14:textId="496A4B5D">
          <w:pPr>
            <w:pStyle w:val="TOC3"/>
            <w:tabs>
              <w:tab w:val="left" w:pos="1680"/>
            </w:tabs>
            <w:rPr>
              <w:rFonts w:asciiTheme="minorHAnsi" w:hAnsiTheme="minorHAnsi" w:eastAsiaTheme="minorEastAsia"/>
              <w:noProof/>
              <w:kern w:val="2"/>
              <w:sz w:val="24"/>
              <w:szCs w:val="24"/>
              <w14:ligatures w14:val="standardContextual"/>
            </w:rPr>
          </w:pPr>
          <w:hyperlink w:history="1" w:anchor="_Toc185271167">
            <w:r w:rsidRPr="00AE446E">
              <w:rPr>
                <w:rStyle w:val="Hyperlink"/>
                <w:noProof/>
              </w:rPr>
              <w:t>1.2.10</w:t>
            </w:r>
            <w:r>
              <w:rPr>
                <w:rFonts w:asciiTheme="minorHAnsi" w:hAnsiTheme="minorHAnsi" w:eastAsiaTheme="minorEastAsia"/>
                <w:noProof/>
                <w:kern w:val="2"/>
                <w:sz w:val="24"/>
                <w:szCs w:val="24"/>
                <w14:ligatures w14:val="standardContextual"/>
              </w:rPr>
              <w:tab/>
            </w:r>
            <w:r w:rsidRPr="00AE446E">
              <w:rPr>
                <w:rStyle w:val="Hyperlink"/>
                <w:noProof/>
              </w:rPr>
              <w:t>(B.10) Data Requirements for Distributor/Contractor-delivered Measures</w:t>
            </w:r>
            <w:r>
              <w:rPr>
                <w:noProof/>
                <w:webHidden/>
              </w:rPr>
              <w:tab/>
            </w:r>
            <w:r w:rsidRPr="009D5620" w:rsidR="009D5620">
              <w:rPr>
                <w:noProof/>
                <w:webHidden/>
              </w:rPr>
              <w:t>A-</w:t>
            </w:r>
            <w:r>
              <w:rPr>
                <w:noProof/>
                <w:webHidden/>
              </w:rPr>
              <w:fldChar w:fldCharType="begin"/>
            </w:r>
            <w:r>
              <w:rPr>
                <w:noProof/>
                <w:webHidden/>
              </w:rPr>
              <w:instrText xml:space="preserve"> PAGEREF _Toc185271167 \h </w:instrText>
            </w:r>
            <w:r>
              <w:rPr>
                <w:noProof/>
                <w:webHidden/>
              </w:rPr>
            </w:r>
            <w:r>
              <w:rPr>
                <w:noProof/>
                <w:webHidden/>
              </w:rPr>
              <w:fldChar w:fldCharType="separate"/>
            </w:r>
            <w:r w:rsidR="00E812F0">
              <w:rPr>
                <w:noProof/>
                <w:webHidden/>
              </w:rPr>
              <w:t>17</w:t>
            </w:r>
            <w:r>
              <w:rPr>
                <w:noProof/>
                <w:webHidden/>
              </w:rPr>
              <w:fldChar w:fldCharType="end"/>
            </w:r>
          </w:hyperlink>
        </w:p>
        <w:p w:rsidR="008C4832" w:rsidRDefault="008C4832" w14:paraId="38808179" w14:textId="62ED320B">
          <w:pPr>
            <w:pStyle w:val="TOC2"/>
            <w:rPr>
              <w:rFonts w:asciiTheme="minorHAnsi" w:hAnsiTheme="minorHAnsi" w:eastAsiaTheme="minorEastAsia"/>
              <w:noProof/>
              <w:kern w:val="2"/>
              <w:sz w:val="24"/>
              <w:szCs w:val="24"/>
              <w14:ligatures w14:val="standardContextual"/>
            </w:rPr>
          </w:pPr>
          <w:hyperlink w:history="1" w:anchor="_Toc185271168">
            <w:r w:rsidRPr="00AE446E">
              <w:rPr>
                <w:rStyle w:val="Hyperlink"/>
                <w:noProof/>
              </w:rPr>
              <w:t>1.3</w:t>
            </w:r>
            <w:r>
              <w:rPr>
                <w:rFonts w:asciiTheme="minorHAnsi" w:hAnsiTheme="minorHAnsi" w:eastAsiaTheme="minorEastAsia"/>
                <w:noProof/>
                <w:kern w:val="2"/>
                <w:sz w:val="24"/>
                <w:szCs w:val="24"/>
                <w14:ligatures w14:val="standardContextual"/>
              </w:rPr>
              <w:tab/>
            </w:r>
            <w:r w:rsidRPr="00AE446E">
              <w:rPr>
                <w:rStyle w:val="Hyperlink"/>
                <w:noProof/>
              </w:rPr>
              <w:t>(C) DEER 2028 Update and Measure Package Submission/Review Timeline</w:t>
            </w:r>
            <w:r>
              <w:rPr>
                <w:noProof/>
                <w:webHidden/>
              </w:rPr>
              <w:tab/>
            </w:r>
            <w:r w:rsidRPr="009D5620" w:rsidR="009D5620">
              <w:rPr>
                <w:noProof/>
                <w:webHidden/>
              </w:rPr>
              <w:t>A-</w:t>
            </w:r>
            <w:r>
              <w:rPr>
                <w:noProof/>
                <w:webHidden/>
              </w:rPr>
              <w:fldChar w:fldCharType="begin"/>
            </w:r>
            <w:r>
              <w:rPr>
                <w:noProof/>
                <w:webHidden/>
              </w:rPr>
              <w:instrText xml:space="preserve"> PAGEREF _Toc185271168 \h </w:instrText>
            </w:r>
            <w:r>
              <w:rPr>
                <w:noProof/>
                <w:webHidden/>
              </w:rPr>
            </w:r>
            <w:r>
              <w:rPr>
                <w:noProof/>
                <w:webHidden/>
              </w:rPr>
              <w:fldChar w:fldCharType="separate"/>
            </w:r>
            <w:r w:rsidR="00E812F0">
              <w:rPr>
                <w:noProof/>
                <w:webHidden/>
              </w:rPr>
              <w:t>18</w:t>
            </w:r>
            <w:r>
              <w:rPr>
                <w:noProof/>
                <w:webHidden/>
              </w:rPr>
              <w:fldChar w:fldCharType="end"/>
            </w:r>
          </w:hyperlink>
        </w:p>
        <w:p w:rsidR="008C4832" w:rsidRDefault="008C4832" w14:paraId="34F3DB32" w14:textId="261D9068">
          <w:pPr>
            <w:pStyle w:val="TOC2"/>
            <w:rPr>
              <w:rFonts w:asciiTheme="minorHAnsi" w:hAnsiTheme="minorHAnsi" w:eastAsiaTheme="minorEastAsia"/>
              <w:noProof/>
              <w:kern w:val="2"/>
              <w:sz w:val="24"/>
              <w:szCs w:val="24"/>
              <w14:ligatures w14:val="standardContextual"/>
            </w:rPr>
          </w:pPr>
          <w:hyperlink w:history="1" w:anchor="_Toc185271169">
            <w:r w:rsidRPr="00AE446E">
              <w:rPr>
                <w:rStyle w:val="Hyperlink"/>
                <w:noProof/>
              </w:rPr>
              <w:t>1.4</w:t>
            </w:r>
            <w:r>
              <w:rPr>
                <w:rFonts w:asciiTheme="minorHAnsi" w:hAnsiTheme="minorHAnsi" w:eastAsiaTheme="minorEastAsia"/>
                <w:noProof/>
                <w:kern w:val="2"/>
                <w:sz w:val="24"/>
                <w:szCs w:val="24"/>
                <w14:ligatures w14:val="standardContextual"/>
              </w:rPr>
              <w:tab/>
            </w:r>
            <w:r w:rsidRPr="00AE446E">
              <w:rPr>
                <w:rStyle w:val="Hyperlink"/>
                <w:noProof/>
              </w:rPr>
              <w:t>(D) Mid-Cycle Adjustments to the Locked Ex-Ante Values</w:t>
            </w:r>
            <w:r>
              <w:rPr>
                <w:noProof/>
                <w:webHidden/>
              </w:rPr>
              <w:tab/>
            </w:r>
            <w:r w:rsidRPr="009D5620" w:rsidR="009D5620">
              <w:rPr>
                <w:noProof/>
                <w:webHidden/>
              </w:rPr>
              <w:t>A-</w:t>
            </w:r>
            <w:r>
              <w:rPr>
                <w:noProof/>
                <w:webHidden/>
              </w:rPr>
              <w:fldChar w:fldCharType="begin"/>
            </w:r>
            <w:r>
              <w:rPr>
                <w:noProof/>
                <w:webHidden/>
              </w:rPr>
              <w:instrText xml:space="preserve"> PAGEREF _Toc185271169 \h </w:instrText>
            </w:r>
            <w:r>
              <w:rPr>
                <w:noProof/>
                <w:webHidden/>
              </w:rPr>
            </w:r>
            <w:r>
              <w:rPr>
                <w:noProof/>
                <w:webHidden/>
              </w:rPr>
              <w:fldChar w:fldCharType="separate"/>
            </w:r>
            <w:r w:rsidR="00E812F0">
              <w:rPr>
                <w:noProof/>
                <w:webHidden/>
              </w:rPr>
              <w:t>19</w:t>
            </w:r>
            <w:r>
              <w:rPr>
                <w:noProof/>
                <w:webHidden/>
              </w:rPr>
              <w:fldChar w:fldCharType="end"/>
            </w:r>
          </w:hyperlink>
        </w:p>
        <w:p w:rsidR="008C4832" w:rsidRDefault="008C4832" w14:paraId="0A2CD7A5" w14:textId="28B94A15">
          <w:pPr>
            <w:pStyle w:val="TOC3"/>
            <w:tabs>
              <w:tab w:val="left" w:pos="1680"/>
            </w:tabs>
            <w:rPr>
              <w:rFonts w:asciiTheme="minorHAnsi" w:hAnsiTheme="minorHAnsi" w:eastAsiaTheme="minorEastAsia"/>
              <w:noProof/>
              <w:kern w:val="2"/>
              <w:sz w:val="24"/>
              <w:szCs w:val="24"/>
              <w14:ligatures w14:val="standardContextual"/>
            </w:rPr>
          </w:pPr>
          <w:hyperlink w:history="1" w:anchor="_Toc185271170">
            <w:r w:rsidRPr="00AE446E">
              <w:rPr>
                <w:rStyle w:val="Hyperlink"/>
                <w:noProof/>
              </w:rPr>
              <w:t>1.4.1</w:t>
            </w:r>
            <w:r>
              <w:rPr>
                <w:rFonts w:asciiTheme="minorHAnsi" w:hAnsiTheme="minorHAnsi" w:eastAsiaTheme="minorEastAsia"/>
                <w:noProof/>
                <w:kern w:val="2"/>
                <w:sz w:val="24"/>
                <w:szCs w:val="24"/>
                <w14:ligatures w14:val="standardContextual"/>
              </w:rPr>
              <w:tab/>
            </w:r>
            <w:r w:rsidRPr="00AE446E">
              <w:rPr>
                <w:rStyle w:val="Hyperlink"/>
                <w:noProof/>
              </w:rPr>
              <w:t>(D.1) Codes and Standards</w:t>
            </w:r>
            <w:r>
              <w:rPr>
                <w:noProof/>
                <w:webHidden/>
              </w:rPr>
              <w:tab/>
            </w:r>
            <w:r w:rsidRPr="009D5620" w:rsidR="009D5620">
              <w:rPr>
                <w:noProof/>
                <w:webHidden/>
              </w:rPr>
              <w:t>A-</w:t>
            </w:r>
            <w:r>
              <w:rPr>
                <w:noProof/>
                <w:webHidden/>
              </w:rPr>
              <w:fldChar w:fldCharType="begin"/>
            </w:r>
            <w:r>
              <w:rPr>
                <w:noProof/>
                <w:webHidden/>
              </w:rPr>
              <w:instrText xml:space="preserve"> PAGEREF _Toc185271170 \h </w:instrText>
            </w:r>
            <w:r>
              <w:rPr>
                <w:noProof/>
                <w:webHidden/>
              </w:rPr>
            </w:r>
            <w:r>
              <w:rPr>
                <w:noProof/>
                <w:webHidden/>
              </w:rPr>
              <w:fldChar w:fldCharType="separate"/>
            </w:r>
            <w:r w:rsidR="00E812F0">
              <w:rPr>
                <w:noProof/>
                <w:webHidden/>
              </w:rPr>
              <w:t>19</w:t>
            </w:r>
            <w:r>
              <w:rPr>
                <w:noProof/>
                <w:webHidden/>
              </w:rPr>
              <w:fldChar w:fldCharType="end"/>
            </w:r>
          </w:hyperlink>
        </w:p>
        <w:p w:rsidR="008C4832" w:rsidRDefault="008C4832" w14:paraId="75599D8B" w14:textId="0F3FC5E2">
          <w:pPr>
            <w:pStyle w:val="TOC3"/>
            <w:tabs>
              <w:tab w:val="left" w:pos="1680"/>
            </w:tabs>
            <w:rPr>
              <w:rFonts w:asciiTheme="minorHAnsi" w:hAnsiTheme="minorHAnsi" w:eastAsiaTheme="minorEastAsia"/>
              <w:noProof/>
              <w:kern w:val="2"/>
              <w:sz w:val="24"/>
              <w:szCs w:val="24"/>
              <w14:ligatures w14:val="standardContextual"/>
            </w:rPr>
          </w:pPr>
          <w:hyperlink w:history="1" w:anchor="_Toc185271171">
            <w:r w:rsidRPr="00AE446E">
              <w:rPr>
                <w:rStyle w:val="Hyperlink"/>
                <w:noProof/>
              </w:rPr>
              <w:t>1.4.2</w:t>
            </w:r>
            <w:r>
              <w:rPr>
                <w:rFonts w:asciiTheme="minorHAnsi" w:hAnsiTheme="minorHAnsi" w:eastAsiaTheme="minorEastAsia"/>
                <w:noProof/>
                <w:kern w:val="2"/>
                <w:sz w:val="24"/>
                <w:szCs w:val="24"/>
                <w14:ligatures w14:val="standardContextual"/>
              </w:rPr>
              <w:tab/>
            </w:r>
            <w:r w:rsidRPr="00AE446E">
              <w:rPr>
                <w:rStyle w:val="Hyperlink"/>
                <w:noProof/>
              </w:rPr>
              <w:t>(D.2) Policy Updates</w:t>
            </w:r>
            <w:r>
              <w:rPr>
                <w:noProof/>
                <w:webHidden/>
              </w:rPr>
              <w:tab/>
            </w:r>
            <w:r w:rsidRPr="009D5620" w:rsidR="009D5620">
              <w:rPr>
                <w:noProof/>
                <w:webHidden/>
              </w:rPr>
              <w:t>A-</w:t>
            </w:r>
            <w:r>
              <w:rPr>
                <w:noProof/>
                <w:webHidden/>
              </w:rPr>
              <w:fldChar w:fldCharType="begin"/>
            </w:r>
            <w:r>
              <w:rPr>
                <w:noProof/>
                <w:webHidden/>
              </w:rPr>
              <w:instrText xml:space="preserve"> PAGEREF _Toc185271171 \h </w:instrText>
            </w:r>
            <w:r>
              <w:rPr>
                <w:noProof/>
                <w:webHidden/>
              </w:rPr>
            </w:r>
            <w:r>
              <w:rPr>
                <w:noProof/>
                <w:webHidden/>
              </w:rPr>
              <w:fldChar w:fldCharType="separate"/>
            </w:r>
            <w:r w:rsidR="00E812F0">
              <w:rPr>
                <w:noProof/>
                <w:webHidden/>
              </w:rPr>
              <w:t>21</w:t>
            </w:r>
            <w:r>
              <w:rPr>
                <w:noProof/>
                <w:webHidden/>
              </w:rPr>
              <w:fldChar w:fldCharType="end"/>
            </w:r>
          </w:hyperlink>
        </w:p>
        <w:p w:rsidR="008C4832" w:rsidRDefault="008C4832" w14:paraId="09FDDE14" w14:textId="7736FA90">
          <w:pPr>
            <w:pStyle w:val="TOC2"/>
            <w:rPr>
              <w:rFonts w:asciiTheme="minorHAnsi" w:hAnsiTheme="minorHAnsi" w:eastAsiaTheme="minorEastAsia"/>
              <w:noProof/>
              <w:kern w:val="2"/>
              <w:sz w:val="24"/>
              <w:szCs w:val="24"/>
              <w14:ligatures w14:val="standardContextual"/>
            </w:rPr>
          </w:pPr>
          <w:hyperlink w:history="1" w:anchor="_Toc185271172">
            <w:r w:rsidRPr="00AE446E">
              <w:rPr>
                <w:rStyle w:val="Hyperlink"/>
                <w:noProof/>
              </w:rPr>
              <w:t>1.5</w:t>
            </w:r>
            <w:r>
              <w:rPr>
                <w:rFonts w:asciiTheme="minorHAnsi" w:hAnsiTheme="minorHAnsi" w:eastAsiaTheme="minorEastAsia"/>
                <w:noProof/>
                <w:kern w:val="2"/>
                <w:sz w:val="24"/>
                <w:szCs w:val="24"/>
                <w14:ligatures w14:val="standardContextual"/>
              </w:rPr>
              <w:tab/>
            </w:r>
            <w:r w:rsidRPr="00AE446E">
              <w:rPr>
                <w:rStyle w:val="Hyperlink"/>
                <w:noProof/>
              </w:rPr>
              <w:t>(E) Structural Changes to DEER Tables</w:t>
            </w:r>
            <w:r>
              <w:rPr>
                <w:noProof/>
                <w:webHidden/>
              </w:rPr>
              <w:tab/>
            </w:r>
            <w:r w:rsidRPr="009D5620" w:rsidR="009D5620">
              <w:rPr>
                <w:noProof/>
                <w:webHidden/>
              </w:rPr>
              <w:t>A-</w:t>
            </w:r>
            <w:r>
              <w:rPr>
                <w:noProof/>
                <w:webHidden/>
              </w:rPr>
              <w:fldChar w:fldCharType="begin"/>
            </w:r>
            <w:r>
              <w:rPr>
                <w:noProof/>
                <w:webHidden/>
              </w:rPr>
              <w:instrText xml:space="preserve"> PAGEREF _Toc185271172 \h </w:instrText>
            </w:r>
            <w:r>
              <w:rPr>
                <w:noProof/>
                <w:webHidden/>
              </w:rPr>
            </w:r>
            <w:r>
              <w:rPr>
                <w:noProof/>
                <w:webHidden/>
              </w:rPr>
              <w:fldChar w:fldCharType="separate"/>
            </w:r>
            <w:r w:rsidR="00E812F0">
              <w:rPr>
                <w:noProof/>
                <w:webHidden/>
              </w:rPr>
              <w:t>21</w:t>
            </w:r>
            <w:r>
              <w:rPr>
                <w:noProof/>
                <w:webHidden/>
              </w:rPr>
              <w:fldChar w:fldCharType="end"/>
            </w:r>
          </w:hyperlink>
        </w:p>
        <w:p w:rsidR="008C4832" w:rsidRDefault="008C4832" w14:paraId="6B3D4D0D" w14:textId="190F5CF6">
          <w:pPr>
            <w:pStyle w:val="TOC3"/>
            <w:tabs>
              <w:tab w:val="left" w:pos="1680"/>
            </w:tabs>
            <w:rPr>
              <w:rFonts w:asciiTheme="minorHAnsi" w:hAnsiTheme="minorHAnsi" w:eastAsiaTheme="minorEastAsia"/>
              <w:noProof/>
              <w:kern w:val="2"/>
              <w:sz w:val="24"/>
              <w:szCs w:val="24"/>
              <w14:ligatures w14:val="standardContextual"/>
            </w:rPr>
          </w:pPr>
          <w:hyperlink w:history="1" w:anchor="_Toc185271173">
            <w:r w:rsidRPr="00AE446E">
              <w:rPr>
                <w:rStyle w:val="Hyperlink"/>
                <w:noProof/>
              </w:rPr>
              <w:t>1.5.1</w:t>
            </w:r>
            <w:r>
              <w:rPr>
                <w:rFonts w:asciiTheme="minorHAnsi" w:hAnsiTheme="minorHAnsi" w:eastAsiaTheme="minorEastAsia"/>
                <w:noProof/>
                <w:kern w:val="2"/>
                <w:sz w:val="24"/>
                <w:szCs w:val="24"/>
                <w14:ligatures w14:val="standardContextual"/>
              </w:rPr>
              <w:tab/>
            </w:r>
            <w:r w:rsidRPr="00AE446E">
              <w:rPr>
                <w:rStyle w:val="Hyperlink"/>
                <w:noProof/>
              </w:rPr>
              <w:t>(E.1) Retiring Table for Fuel Substitution Measures</w:t>
            </w:r>
            <w:r>
              <w:rPr>
                <w:noProof/>
                <w:webHidden/>
              </w:rPr>
              <w:tab/>
            </w:r>
            <w:r w:rsidRPr="009D5620" w:rsidR="009D5620">
              <w:rPr>
                <w:noProof/>
                <w:webHidden/>
              </w:rPr>
              <w:t>A-</w:t>
            </w:r>
            <w:r>
              <w:rPr>
                <w:noProof/>
                <w:webHidden/>
              </w:rPr>
              <w:fldChar w:fldCharType="begin"/>
            </w:r>
            <w:r>
              <w:rPr>
                <w:noProof/>
                <w:webHidden/>
              </w:rPr>
              <w:instrText xml:space="preserve"> PAGEREF _Toc185271173 \h </w:instrText>
            </w:r>
            <w:r>
              <w:rPr>
                <w:noProof/>
                <w:webHidden/>
              </w:rPr>
            </w:r>
            <w:r>
              <w:rPr>
                <w:noProof/>
                <w:webHidden/>
              </w:rPr>
              <w:fldChar w:fldCharType="separate"/>
            </w:r>
            <w:r w:rsidR="00E812F0">
              <w:rPr>
                <w:noProof/>
                <w:webHidden/>
              </w:rPr>
              <w:t>21</w:t>
            </w:r>
            <w:r>
              <w:rPr>
                <w:noProof/>
                <w:webHidden/>
              </w:rPr>
              <w:fldChar w:fldCharType="end"/>
            </w:r>
          </w:hyperlink>
        </w:p>
        <w:p w:rsidR="008C4832" w:rsidRDefault="008C4832" w14:paraId="29C1D6DF" w14:textId="0051F17A">
          <w:pPr>
            <w:pStyle w:val="TOC3"/>
            <w:tabs>
              <w:tab w:val="left" w:pos="1680"/>
            </w:tabs>
            <w:rPr>
              <w:rFonts w:asciiTheme="minorHAnsi" w:hAnsiTheme="minorHAnsi" w:eastAsiaTheme="minorEastAsia"/>
              <w:noProof/>
              <w:kern w:val="2"/>
              <w:sz w:val="24"/>
              <w:szCs w:val="24"/>
              <w14:ligatures w14:val="standardContextual"/>
            </w:rPr>
          </w:pPr>
          <w:hyperlink w:history="1" w:anchor="_Toc185271174">
            <w:r w:rsidRPr="00AE446E">
              <w:rPr>
                <w:rStyle w:val="Hyperlink"/>
                <w:noProof/>
              </w:rPr>
              <w:t>1.5.2</w:t>
            </w:r>
            <w:r>
              <w:rPr>
                <w:rFonts w:asciiTheme="minorHAnsi" w:hAnsiTheme="minorHAnsi" w:eastAsiaTheme="minorEastAsia"/>
                <w:noProof/>
                <w:kern w:val="2"/>
                <w:sz w:val="24"/>
                <w:szCs w:val="24"/>
                <w14:ligatures w14:val="standardContextual"/>
              </w:rPr>
              <w:tab/>
            </w:r>
            <w:r w:rsidRPr="00AE446E">
              <w:rPr>
                <w:rStyle w:val="Hyperlink"/>
                <w:noProof/>
              </w:rPr>
              <w:t>(E.2) Adding FuelID Table</w:t>
            </w:r>
            <w:r>
              <w:rPr>
                <w:noProof/>
                <w:webHidden/>
              </w:rPr>
              <w:tab/>
            </w:r>
            <w:r w:rsidRPr="009D5620" w:rsidR="009D5620">
              <w:rPr>
                <w:noProof/>
                <w:webHidden/>
              </w:rPr>
              <w:t>A-</w:t>
            </w:r>
            <w:r>
              <w:rPr>
                <w:noProof/>
                <w:webHidden/>
              </w:rPr>
              <w:fldChar w:fldCharType="begin"/>
            </w:r>
            <w:r>
              <w:rPr>
                <w:noProof/>
                <w:webHidden/>
              </w:rPr>
              <w:instrText xml:space="preserve"> PAGEREF _Toc185271174 \h </w:instrText>
            </w:r>
            <w:r>
              <w:rPr>
                <w:noProof/>
                <w:webHidden/>
              </w:rPr>
            </w:r>
            <w:r>
              <w:rPr>
                <w:noProof/>
                <w:webHidden/>
              </w:rPr>
              <w:fldChar w:fldCharType="separate"/>
            </w:r>
            <w:r w:rsidR="00E812F0">
              <w:rPr>
                <w:noProof/>
                <w:webHidden/>
              </w:rPr>
              <w:t>22</w:t>
            </w:r>
            <w:r>
              <w:rPr>
                <w:noProof/>
                <w:webHidden/>
              </w:rPr>
              <w:fldChar w:fldCharType="end"/>
            </w:r>
          </w:hyperlink>
        </w:p>
        <w:p w:rsidR="008C4832" w:rsidRDefault="008C4832" w14:paraId="0C5CF943" w14:textId="7EC563C7">
          <w:pPr>
            <w:pStyle w:val="TOC3"/>
            <w:tabs>
              <w:tab w:val="left" w:pos="1680"/>
            </w:tabs>
            <w:rPr>
              <w:rFonts w:asciiTheme="minorHAnsi" w:hAnsiTheme="minorHAnsi" w:eastAsiaTheme="minorEastAsia"/>
              <w:noProof/>
              <w:kern w:val="2"/>
              <w:sz w:val="24"/>
              <w:szCs w:val="24"/>
              <w14:ligatures w14:val="standardContextual"/>
            </w:rPr>
          </w:pPr>
          <w:hyperlink w:history="1" w:anchor="_Toc185271175">
            <w:r w:rsidRPr="00AE446E">
              <w:rPr>
                <w:rStyle w:val="Hyperlink"/>
                <w:noProof/>
              </w:rPr>
              <w:t>1.5.3</w:t>
            </w:r>
            <w:r>
              <w:rPr>
                <w:rFonts w:asciiTheme="minorHAnsi" w:hAnsiTheme="minorHAnsi" w:eastAsiaTheme="minorEastAsia"/>
                <w:noProof/>
                <w:kern w:val="2"/>
                <w:sz w:val="24"/>
                <w:szCs w:val="24"/>
                <w14:ligatures w14:val="standardContextual"/>
              </w:rPr>
              <w:tab/>
            </w:r>
            <w:r w:rsidRPr="00AE446E">
              <w:rPr>
                <w:rStyle w:val="Hyperlink"/>
                <w:noProof/>
              </w:rPr>
              <w:t>(E.3) Locking Measure and Energy Impact Tables</w:t>
            </w:r>
            <w:r>
              <w:rPr>
                <w:noProof/>
                <w:webHidden/>
              </w:rPr>
              <w:tab/>
            </w:r>
            <w:r w:rsidRPr="0000158A" w:rsidR="0000158A">
              <w:rPr>
                <w:noProof/>
                <w:webHidden/>
              </w:rPr>
              <w:t>A-</w:t>
            </w:r>
            <w:r>
              <w:rPr>
                <w:noProof/>
                <w:webHidden/>
              </w:rPr>
              <w:fldChar w:fldCharType="begin"/>
            </w:r>
            <w:r>
              <w:rPr>
                <w:noProof/>
                <w:webHidden/>
              </w:rPr>
              <w:instrText xml:space="preserve"> PAGEREF _Toc185271175 \h </w:instrText>
            </w:r>
            <w:r>
              <w:rPr>
                <w:noProof/>
                <w:webHidden/>
              </w:rPr>
            </w:r>
            <w:r>
              <w:rPr>
                <w:noProof/>
                <w:webHidden/>
              </w:rPr>
              <w:fldChar w:fldCharType="separate"/>
            </w:r>
            <w:r w:rsidR="00E812F0">
              <w:rPr>
                <w:noProof/>
                <w:webHidden/>
              </w:rPr>
              <w:t>23</w:t>
            </w:r>
            <w:r>
              <w:rPr>
                <w:noProof/>
                <w:webHidden/>
              </w:rPr>
              <w:fldChar w:fldCharType="end"/>
            </w:r>
          </w:hyperlink>
        </w:p>
        <w:p w:rsidR="008C4832" w:rsidRDefault="008C4832" w14:paraId="65D3476B" w14:textId="713BBCB8">
          <w:pPr>
            <w:pStyle w:val="TOC3"/>
            <w:tabs>
              <w:tab w:val="left" w:pos="1680"/>
            </w:tabs>
            <w:rPr>
              <w:rFonts w:asciiTheme="minorHAnsi" w:hAnsiTheme="minorHAnsi" w:eastAsiaTheme="minorEastAsia"/>
              <w:noProof/>
              <w:kern w:val="2"/>
              <w:sz w:val="24"/>
              <w:szCs w:val="24"/>
              <w14:ligatures w14:val="standardContextual"/>
            </w:rPr>
          </w:pPr>
          <w:hyperlink w:history="1" w:anchor="_Toc185271176">
            <w:r w:rsidRPr="00AE446E">
              <w:rPr>
                <w:rStyle w:val="Hyperlink"/>
                <w:noProof/>
              </w:rPr>
              <w:t>1.5.4</w:t>
            </w:r>
            <w:r>
              <w:rPr>
                <w:rFonts w:asciiTheme="minorHAnsi" w:hAnsiTheme="minorHAnsi" w:eastAsiaTheme="minorEastAsia"/>
                <w:noProof/>
                <w:kern w:val="2"/>
                <w:sz w:val="24"/>
                <w:szCs w:val="24"/>
                <w14:ligatures w14:val="standardContextual"/>
              </w:rPr>
              <w:tab/>
            </w:r>
            <w:r w:rsidRPr="00AE446E">
              <w:rPr>
                <w:rStyle w:val="Hyperlink"/>
                <w:noProof/>
              </w:rPr>
              <w:t>(E.4) Field Changes to the TechType Table</w:t>
            </w:r>
            <w:r>
              <w:rPr>
                <w:noProof/>
                <w:webHidden/>
              </w:rPr>
              <w:tab/>
            </w:r>
            <w:r w:rsidRPr="0000158A" w:rsidR="0000158A">
              <w:rPr>
                <w:noProof/>
                <w:webHidden/>
              </w:rPr>
              <w:t>A-</w:t>
            </w:r>
            <w:r>
              <w:rPr>
                <w:noProof/>
                <w:webHidden/>
              </w:rPr>
              <w:fldChar w:fldCharType="begin"/>
            </w:r>
            <w:r>
              <w:rPr>
                <w:noProof/>
                <w:webHidden/>
              </w:rPr>
              <w:instrText xml:space="preserve"> PAGEREF _Toc185271176 \h </w:instrText>
            </w:r>
            <w:r>
              <w:rPr>
                <w:noProof/>
                <w:webHidden/>
              </w:rPr>
            </w:r>
            <w:r>
              <w:rPr>
                <w:noProof/>
                <w:webHidden/>
              </w:rPr>
              <w:fldChar w:fldCharType="separate"/>
            </w:r>
            <w:r w:rsidR="00E812F0">
              <w:rPr>
                <w:noProof/>
                <w:webHidden/>
              </w:rPr>
              <w:t>23</w:t>
            </w:r>
            <w:r>
              <w:rPr>
                <w:noProof/>
                <w:webHidden/>
              </w:rPr>
              <w:fldChar w:fldCharType="end"/>
            </w:r>
          </w:hyperlink>
        </w:p>
        <w:p w:rsidR="008C4832" w:rsidRDefault="008C4832" w14:paraId="7567CA08" w14:textId="476F3F0A">
          <w:pPr>
            <w:pStyle w:val="TOC3"/>
            <w:tabs>
              <w:tab w:val="left" w:pos="1680"/>
            </w:tabs>
            <w:rPr>
              <w:rFonts w:asciiTheme="minorHAnsi" w:hAnsiTheme="minorHAnsi" w:eastAsiaTheme="minorEastAsia"/>
              <w:noProof/>
              <w:kern w:val="2"/>
              <w:sz w:val="24"/>
              <w:szCs w:val="24"/>
              <w14:ligatures w14:val="standardContextual"/>
            </w:rPr>
          </w:pPr>
          <w:hyperlink w:history="1" w:anchor="_Toc185271177">
            <w:r w:rsidRPr="00AE446E">
              <w:rPr>
                <w:rStyle w:val="Hyperlink"/>
                <w:noProof/>
              </w:rPr>
              <w:t>1.5.5</w:t>
            </w:r>
            <w:r>
              <w:rPr>
                <w:rFonts w:asciiTheme="minorHAnsi" w:hAnsiTheme="minorHAnsi" w:eastAsiaTheme="minorEastAsia"/>
                <w:noProof/>
                <w:kern w:val="2"/>
                <w:sz w:val="24"/>
                <w:szCs w:val="24"/>
                <w14:ligatures w14:val="standardContextual"/>
              </w:rPr>
              <w:tab/>
            </w:r>
            <w:r w:rsidRPr="00AE446E">
              <w:rPr>
                <w:rStyle w:val="Hyperlink"/>
                <w:noProof/>
              </w:rPr>
              <w:t>(E.5) Building Weights Table Created</w:t>
            </w:r>
            <w:r>
              <w:rPr>
                <w:noProof/>
                <w:webHidden/>
              </w:rPr>
              <w:tab/>
            </w:r>
            <w:r w:rsidRPr="0000158A" w:rsidR="0000158A">
              <w:rPr>
                <w:noProof/>
                <w:webHidden/>
              </w:rPr>
              <w:t>A-</w:t>
            </w:r>
            <w:r>
              <w:rPr>
                <w:noProof/>
                <w:webHidden/>
              </w:rPr>
              <w:fldChar w:fldCharType="begin"/>
            </w:r>
            <w:r>
              <w:rPr>
                <w:noProof/>
                <w:webHidden/>
              </w:rPr>
              <w:instrText xml:space="preserve"> PAGEREF _Toc185271177 \h </w:instrText>
            </w:r>
            <w:r>
              <w:rPr>
                <w:noProof/>
                <w:webHidden/>
              </w:rPr>
            </w:r>
            <w:r>
              <w:rPr>
                <w:noProof/>
                <w:webHidden/>
              </w:rPr>
              <w:fldChar w:fldCharType="separate"/>
            </w:r>
            <w:r w:rsidR="00E812F0">
              <w:rPr>
                <w:noProof/>
                <w:webHidden/>
              </w:rPr>
              <w:t>24</w:t>
            </w:r>
            <w:r>
              <w:rPr>
                <w:noProof/>
                <w:webHidden/>
              </w:rPr>
              <w:fldChar w:fldCharType="end"/>
            </w:r>
          </w:hyperlink>
        </w:p>
        <w:p w:rsidR="008C4832" w:rsidRDefault="008C4832" w14:paraId="29BE7FE8" w14:textId="1BB45690">
          <w:pPr>
            <w:pStyle w:val="TOC2"/>
            <w:rPr>
              <w:rFonts w:asciiTheme="minorHAnsi" w:hAnsiTheme="minorHAnsi" w:eastAsiaTheme="minorEastAsia"/>
              <w:noProof/>
              <w:kern w:val="2"/>
              <w:sz w:val="24"/>
              <w:szCs w:val="24"/>
              <w14:ligatures w14:val="standardContextual"/>
            </w:rPr>
          </w:pPr>
          <w:hyperlink w:history="1" w:anchor="_Toc185271178">
            <w:r w:rsidRPr="00AE446E">
              <w:rPr>
                <w:rStyle w:val="Hyperlink"/>
                <w:noProof/>
              </w:rPr>
              <w:t>1.6</w:t>
            </w:r>
            <w:r>
              <w:rPr>
                <w:rFonts w:asciiTheme="minorHAnsi" w:hAnsiTheme="minorHAnsi" w:eastAsiaTheme="minorEastAsia"/>
                <w:noProof/>
                <w:kern w:val="2"/>
                <w:sz w:val="24"/>
                <w:szCs w:val="24"/>
                <w14:ligatures w14:val="standardContextual"/>
              </w:rPr>
              <w:tab/>
            </w:r>
            <w:r w:rsidRPr="00AE446E">
              <w:rPr>
                <w:rStyle w:val="Hyperlink"/>
                <w:noProof/>
              </w:rPr>
              <w:t>(F) Updates to DEER Support Table Values</w:t>
            </w:r>
            <w:r>
              <w:rPr>
                <w:noProof/>
                <w:webHidden/>
              </w:rPr>
              <w:tab/>
            </w:r>
            <w:r w:rsidRPr="0000158A" w:rsidR="0000158A">
              <w:rPr>
                <w:noProof/>
                <w:webHidden/>
              </w:rPr>
              <w:t>A-</w:t>
            </w:r>
            <w:r>
              <w:rPr>
                <w:noProof/>
                <w:webHidden/>
              </w:rPr>
              <w:fldChar w:fldCharType="begin"/>
            </w:r>
            <w:r>
              <w:rPr>
                <w:noProof/>
                <w:webHidden/>
              </w:rPr>
              <w:instrText xml:space="preserve"> PAGEREF _Toc185271178 \h </w:instrText>
            </w:r>
            <w:r>
              <w:rPr>
                <w:noProof/>
                <w:webHidden/>
              </w:rPr>
            </w:r>
            <w:r>
              <w:rPr>
                <w:noProof/>
                <w:webHidden/>
              </w:rPr>
              <w:fldChar w:fldCharType="separate"/>
            </w:r>
            <w:r w:rsidR="00E812F0">
              <w:rPr>
                <w:noProof/>
                <w:webHidden/>
              </w:rPr>
              <w:t>24</w:t>
            </w:r>
            <w:r>
              <w:rPr>
                <w:noProof/>
                <w:webHidden/>
              </w:rPr>
              <w:fldChar w:fldCharType="end"/>
            </w:r>
          </w:hyperlink>
        </w:p>
        <w:p w:rsidR="008C4832" w:rsidRDefault="008C4832" w14:paraId="0C3DA972" w14:textId="55C02CFC">
          <w:pPr>
            <w:pStyle w:val="TOC3"/>
            <w:tabs>
              <w:tab w:val="left" w:pos="1680"/>
            </w:tabs>
            <w:rPr>
              <w:rFonts w:asciiTheme="minorHAnsi" w:hAnsiTheme="minorHAnsi" w:eastAsiaTheme="minorEastAsia"/>
              <w:noProof/>
              <w:kern w:val="2"/>
              <w:sz w:val="24"/>
              <w:szCs w:val="24"/>
              <w14:ligatures w14:val="standardContextual"/>
            </w:rPr>
          </w:pPr>
          <w:hyperlink w:history="1" w:anchor="_Toc185271179">
            <w:r w:rsidRPr="00AE446E">
              <w:rPr>
                <w:rStyle w:val="Hyperlink"/>
                <w:noProof/>
              </w:rPr>
              <w:t>1.6.1</w:t>
            </w:r>
            <w:r>
              <w:rPr>
                <w:rFonts w:asciiTheme="minorHAnsi" w:hAnsiTheme="minorHAnsi" w:eastAsiaTheme="minorEastAsia"/>
                <w:noProof/>
                <w:kern w:val="2"/>
                <w:sz w:val="24"/>
                <w:szCs w:val="24"/>
                <w14:ligatures w14:val="standardContextual"/>
              </w:rPr>
              <w:tab/>
            </w:r>
            <w:r w:rsidRPr="00AE446E">
              <w:rPr>
                <w:rStyle w:val="Hyperlink"/>
                <w:noProof/>
              </w:rPr>
              <w:t>(F.1) Updates to Net-to-Gross Table</w:t>
            </w:r>
            <w:r>
              <w:rPr>
                <w:noProof/>
                <w:webHidden/>
              </w:rPr>
              <w:tab/>
            </w:r>
            <w:r w:rsidRPr="0000158A" w:rsidR="0000158A">
              <w:rPr>
                <w:noProof/>
                <w:webHidden/>
              </w:rPr>
              <w:t>A-</w:t>
            </w:r>
            <w:r>
              <w:rPr>
                <w:noProof/>
                <w:webHidden/>
              </w:rPr>
              <w:fldChar w:fldCharType="begin"/>
            </w:r>
            <w:r>
              <w:rPr>
                <w:noProof/>
                <w:webHidden/>
              </w:rPr>
              <w:instrText xml:space="preserve"> PAGEREF _Toc185271179 \h </w:instrText>
            </w:r>
            <w:r>
              <w:rPr>
                <w:noProof/>
                <w:webHidden/>
              </w:rPr>
            </w:r>
            <w:r>
              <w:rPr>
                <w:noProof/>
                <w:webHidden/>
              </w:rPr>
              <w:fldChar w:fldCharType="separate"/>
            </w:r>
            <w:r w:rsidR="00E812F0">
              <w:rPr>
                <w:noProof/>
                <w:webHidden/>
              </w:rPr>
              <w:t>24</w:t>
            </w:r>
            <w:r>
              <w:rPr>
                <w:noProof/>
                <w:webHidden/>
              </w:rPr>
              <w:fldChar w:fldCharType="end"/>
            </w:r>
          </w:hyperlink>
        </w:p>
        <w:p w:rsidR="008C4832" w:rsidRDefault="008C4832" w14:paraId="349A3CCD" w14:textId="74FC99B5">
          <w:pPr>
            <w:pStyle w:val="TOC3"/>
            <w:tabs>
              <w:tab w:val="left" w:pos="1680"/>
            </w:tabs>
            <w:rPr>
              <w:rFonts w:asciiTheme="minorHAnsi" w:hAnsiTheme="minorHAnsi" w:eastAsiaTheme="minorEastAsia"/>
              <w:noProof/>
              <w:kern w:val="2"/>
              <w:sz w:val="24"/>
              <w:szCs w:val="24"/>
              <w14:ligatures w14:val="standardContextual"/>
            </w:rPr>
          </w:pPr>
          <w:hyperlink w:history="1" w:anchor="_Toc185271180">
            <w:r w:rsidRPr="00AE446E">
              <w:rPr>
                <w:rStyle w:val="Hyperlink"/>
                <w:noProof/>
              </w:rPr>
              <w:t>1.6.2</w:t>
            </w:r>
            <w:r>
              <w:rPr>
                <w:rFonts w:asciiTheme="minorHAnsi" w:hAnsiTheme="minorHAnsi" w:eastAsiaTheme="minorEastAsia"/>
                <w:noProof/>
                <w:kern w:val="2"/>
                <w:sz w:val="24"/>
                <w:szCs w:val="24"/>
                <w14:ligatures w14:val="standardContextual"/>
              </w:rPr>
              <w:tab/>
            </w:r>
            <w:r w:rsidRPr="00AE446E">
              <w:rPr>
                <w:rStyle w:val="Hyperlink"/>
                <w:noProof/>
              </w:rPr>
              <w:t>(F.2) Updates to Delivery Types</w:t>
            </w:r>
            <w:r>
              <w:rPr>
                <w:noProof/>
                <w:webHidden/>
              </w:rPr>
              <w:tab/>
            </w:r>
            <w:r w:rsidRPr="0000158A" w:rsidR="0000158A">
              <w:rPr>
                <w:noProof/>
                <w:webHidden/>
              </w:rPr>
              <w:t>A-</w:t>
            </w:r>
            <w:r>
              <w:rPr>
                <w:noProof/>
                <w:webHidden/>
              </w:rPr>
              <w:fldChar w:fldCharType="begin"/>
            </w:r>
            <w:r>
              <w:rPr>
                <w:noProof/>
                <w:webHidden/>
              </w:rPr>
              <w:instrText xml:space="preserve"> PAGEREF _Toc185271180 \h </w:instrText>
            </w:r>
            <w:r>
              <w:rPr>
                <w:noProof/>
                <w:webHidden/>
              </w:rPr>
            </w:r>
            <w:r>
              <w:rPr>
                <w:noProof/>
                <w:webHidden/>
              </w:rPr>
              <w:fldChar w:fldCharType="separate"/>
            </w:r>
            <w:r w:rsidR="00E812F0">
              <w:rPr>
                <w:noProof/>
                <w:webHidden/>
              </w:rPr>
              <w:t>25</w:t>
            </w:r>
            <w:r>
              <w:rPr>
                <w:noProof/>
                <w:webHidden/>
              </w:rPr>
              <w:fldChar w:fldCharType="end"/>
            </w:r>
          </w:hyperlink>
        </w:p>
        <w:p w:rsidR="008C4832" w:rsidRDefault="008C4832" w14:paraId="1C1B5BC4" w14:textId="5C03CC2A">
          <w:pPr>
            <w:pStyle w:val="TOC3"/>
            <w:tabs>
              <w:tab w:val="left" w:pos="1680"/>
            </w:tabs>
            <w:rPr>
              <w:rFonts w:asciiTheme="minorHAnsi" w:hAnsiTheme="minorHAnsi" w:eastAsiaTheme="minorEastAsia"/>
              <w:noProof/>
              <w:kern w:val="2"/>
              <w:sz w:val="24"/>
              <w:szCs w:val="24"/>
              <w14:ligatures w14:val="standardContextual"/>
            </w:rPr>
          </w:pPr>
          <w:hyperlink w:history="1" w:anchor="_Toc185271181">
            <w:r w:rsidRPr="00AE446E">
              <w:rPr>
                <w:rStyle w:val="Hyperlink"/>
                <w:noProof/>
              </w:rPr>
              <w:t>1.6.3</w:t>
            </w:r>
            <w:r>
              <w:rPr>
                <w:rFonts w:asciiTheme="minorHAnsi" w:hAnsiTheme="minorHAnsi" w:eastAsiaTheme="minorEastAsia"/>
                <w:noProof/>
                <w:kern w:val="2"/>
                <w:sz w:val="24"/>
                <w:szCs w:val="24"/>
                <w14:ligatures w14:val="standardContextual"/>
              </w:rPr>
              <w:tab/>
            </w:r>
            <w:r w:rsidRPr="00AE446E">
              <w:rPr>
                <w:rStyle w:val="Hyperlink"/>
                <w:noProof/>
              </w:rPr>
              <w:t>(F.3) Updates to Measure Impact Types</w:t>
            </w:r>
            <w:r>
              <w:rPr>
                <w:noProof/>
                <w:webHidden/>
              </w:rPr>
              <w:tab/>
            </w:r>
            <w:r w:rsidRPr="0000158A" w:rsidR="0000158A">
              <w:rPr>
                <w:noProof/>
                <w:webHidden/>
              </w:rPr>
              <w:t>A-</w:t>
            </w:r>
            <w:r>
              <w:rPr>
                <w:noProof/>
                <w:webHidden/>
              </w:rPr>
              <w:fldChar w:fldCharType="begin"/>
            </w:r>
            <w:r>
              <w:rPr>
                <w:noProof/>
                <w:webHidden/>
              </w:rPr>
              <w:instrText xml:space="preserve"> PAGEREF _Toc185271181 \h </w:instrText>
            </w:r>
            <w:r>
              <w:rPr>
                <w:noProof/>
                <w:webHidden/>
              </w:rPr>
            </w:r>
            <w:r>
              <w:rPr>
                <w:noProof/>
                <w:webHidden/>
              </w:rPr>
              <w:fldChar w:fldCharType="separate"/>
            </w:r>
            <w:r w:rsidR="00E812F0">
              <w:rPr>
                <w:noProof/>
                <w:webHidden/>
              </w:rPr>
              <w:t>25</w:t>
            </w:r>
            <w:r>
              <w:rPr>
                <w:noProof/>
                <w:webHidden/>
              </w:rPr>
              <w:fldChar w:fldCharType="end"/>
            </w:r>
          </w:hyperlink>
        </w:p>
        <w:p w:rsidR="008C4832" w:rsidRDefault="008C4832" w14:paraId="609C3921" w14:textId="4D5F09F1">
          <w:pPr>
            <w:pStyle w:val="TOC3"/>
            <w:tabs>
              <w:tab w:val="left" w:pos="1680"/>
            </w:tabs>
            <w:rPr>
              <w:rFonts w:asciiTheme="minorHAnsi" w:hAnsiTheme="minorHAnsi" w:eastAsiaTheme="minorEastAsia"/>
              <w:noProof/>
              <w:kern w:val="2"/>
              <w:sz w:val="24"/>
              <w:szCs w:val="24"/>
              <w14:ligatures w14:val="standardContextual"/>
            </w:rPr>
          </w:pPr>
          <w:hyperlink w:history="1" w:anchor="_Toc185271182">
            <w:r w:rsidRPr="00AE446E">
              <w:rPr>
                <w:rStyle w:val="Hyperlink"/>
                <w:noProof/>
              </w:rPr>
              <w:t>1.6.4</w:t>
            </w:r>
            <w:r>
              <w:rPr>
                <w:rFonts w:asciiTheme="minorHAnsi" w:hAnsiTheme="minorHAnsi" w:eastAsiaTheme="minorEastAsia"/>
                <w:noProof/>
                <w:kern w:val="2"/>
                <w:sz w:val="24"/>
                <w:szCs w:val="24"/>
                <w14:ligatures w14:val="standardContextual"/>
              </w:rPr>
              <w:tab/>
            </w:r>
            <w:r w:rsidRPr="00AE446E">
              <w:rPr>
                <w:rStyle w:val="Hyperlink"/>
                <w:noProof/>
              </w:rPr>
              <w:t>(F.4) Updates to EULs</w:t>
            </w:r>
            <w:r>
              <w:rPr>
                <w:noProof/>
                <w:webHidden/>
              </w:rPr>
              <w:tab/>
            </w:r>
            <w:r w:rsidRPr="0000158A" w:rsidR="0000158A">
              <w:rPr>
                <w:noProof/>
                <w:webHidden/>
              </w:rPr>
              <w:t>A-</w:t>
            </w:r>
            <w:r>
              <w:rPr>
                <w:noProof/>
                <w:webHidden/>
              </w:rPr>
              <w:fldChar w:fldCharType="begin"/>
            </w:r>
            <w:r>
              <w:rPr>
                <w:noProof/>
                <w:webHidden/>
              </w:rPr>
              <w:instrText xml:space="preserve"> PAGEREF _Toc185271182 \h </w:instrText>
            </w:r>
            <w:r>
              <w:rPr>
                <w:noProof/>
                <w:webHidden/>
              </w:rPr>
            </w:r>
            <w:r>
              <w:rPr>
                <w:noProof/>
                <w:webHidden/>
              </w:rPr>
              <w:fldChar w:fldCharType="separate"/>
            </w:r>
            <w:r w:rsidR="00E812F0">
              <w:rPr>
                <w:noProof/>
                <w:webHidden/>
              </w:rPr>
              <w:t>26</w:t>
            </w:r>
            <w:r>
              <w:rPr>
                <w:noProof/>
                <w:webHidden/>
              </w:rPr>
              <w:fldChar w:fldCharType="end"/>
            </w:r>
          </w:hyperlink>
        </w:p>
        <w:p w:rsidR="008C4832" w:rsidRDefault="008C4832" w14:paraId="64489967" w14:textId="2975CC1D">
          <w:pPr>
            <w:pStyle w:val="TOC3"/>
            <w:tabs>
              <w:tab w:val="left" w:pos="1680"/>
            </w:tabs>
            <w:rPr>
              <w:rFonts w:asciiTheme="minorHAnsi" w:hAnsiTheme="minorHAnsi" w:eastAsiaTheme="minorEastAsia"/>
              <w:noProof/>
              <w:kern w:val="2"/>
              <w:sz w:val="24"/>
              <w:szCs w:val="24"/>
              <w14:ligatures w14:val="standardContextual"/>
            </w:rPr>
          </w:pPr>
          <w:hyperlink w:history="1" w:anchor="_Toc185271183">
            <w:r w:rsidRPr="00AE446E">
              <w:rPr>
                <w:rStyle w:val="Hyperlink"/>
                <w:noProof/>
              </w:rPr>
              <w:t>1.6.5</w:t>
            </w:r>
            <w:r>
              <w:rPr>
                <w:rFonts w:asciiTheme="minorHAnsi" w:hAnsiTheme="minorHAnsi" w:eastAsiaTheme="minorEastAsia"/>
                <w:noProof/>
                <w:kern w:val="2"/>
                <w:sz w:val="24"/>
                <w:szCs w:val="24"/>
                <w14:ligatures w14:val="standardContextual"/>
              </w:rPr>
              <w:tab/>
            </w:r>
            <w:r w:rsidRPr="00AE446E">
              <w:rPr>
                <w:rStyle w:val="Hyperlink"/>
                <w:noProof/>
              </w:rPr>
              <w:t>(F.5) Updates to Building Weights Using 2022 Commercial End Use Study (CEUS)</w:t>
            </w:r>
            <w:r>
              <w:rPr>
                <w:noProof/>
                <w:webHidden/>
              </w:rPr>
              <w:tab/>
            </w:r>
            <w:r w:rsidRPr="0000158A" w:rsidR="0000158A">
              <w:rPr>
                <w:noProof/>
                <w:webHidden/>
              </w:rPr>
              <w:t>A-</w:t>
            </w:r>
            <w:r>
              <w:rPr>
                <w:noProof/>
                <w:webHidden/>
              </w:rPr>
              <w:fldChar w:fldCharType="begin"/>
            </w:r>
            <w:r>
              <w:rPr>
                <w:noProof/>
                <w:webHidden/>
              </w:rPr>
              <w:instrText xml:space="preserve"> PAGEREF _Toc185271183 \h </w:instrText>
            </w:r>
            <w:r>
              <w:rPr>
                <w:noProof/>
                <w:webHidden/>
              </w:rPr>
            </w:r>
            <w:r>
              <w:rPr>
                <w:noProof/>
                <w:webHidden/>
              </w:rPr>
              <w:fldChar w:fldCharType="separate"/>
            </w:r>
            <w:r w:rsidR="00E812F0">
              <w:rPr>
                <w:noProof/>
                <w:webHidden/>
              </w:rPr>
              <w:t>28</w:t>
            </w:r>
            <w:r>
              <w:rPr>
                <w:noProof/>
                <w:webHidden/>
              </w:rPr>
              <w:fldChar w:fldCharType="end"/>
            </w:r>
          </w:hyperlink>
        </w:p>
        <w:p w:rsidR="008C4832" w:rsidRDefault="008C4832" w14:paraId="5031EC45" w14:textId="577F430F">
          <w:pPr>
            <w:pStyle w:val="TOC3"/>
            <w:tabs>
              <w:tab w:val="left" w:pos="1680"/>
            </w:tabs>
            <w:rPr>
              <w:rFonts w:asciiTheme="minorHAnsi" w:hAnsiTheme="minorHAnsi" w:eastAsiaTheme="minorEastAsia"/>
              <w:noProof/>
              <w:kern w:val="2"/>
              <w:sz w:val="24"/>
              <w:szCs w:val="24"/>
              <w14:ligatures w14:val="standardContextual"/>
            </w:rPr>
          </w:pPr>
          <w:hyperlink w:history="1" w:anchor="_Toc185271184">
            <w:r w:rsidRPr="00AE446E">
              <w:rPr>
                <w:rStyle w:val="Hyperlink"/>
                <w:noProof/>
              </w:rPr>
              <w:t>1.6.6</w:t>
            </w:r>
            <w:r>
              <w:rPr>
                <w:rFonts w:asciiTheme="minorHAnsi" w:hAnsiTheme="minorHAnsi" w:eastAsiaTheme="minorEastAsia"/>
                <w:noProof/>
                <w:kern w:val="2"/>
                <w:sz w:val="24"/>
                <w:szCs w:val="24"/>
                <w14:ligatures w14:val="standardContextual"/>
              </w:rPr>
              <w:tab/>
            </w:r>
            <w:r w:rsidRPr="00AE446E">
              <w:rPr>
                <w:rStyle w:val="Hyperlink"/>
                <w:noProof/>
              </w:rPr>
              <w:t>(F.6) New Gas Impact Profile IDs</w:t>
            </w:r>
            <w:r>
              <w:rPr>
                <w:noProof/>
                <w:webHidden/>
              </w:rPr>
              <w:tab/>
            </w:r>
            <w:r w:rsidRPr="0000158A" w:rsidR="0000158A">
              <w:rPr>
                <w:noProof/>
                <w:webHidden/>
              </w:rPr>
              <w:t>A-</w:t>
            </w:r>
            <w:r>
              <w:rPr>
                <w:noProof/>
                <w:webHidden/>
              </w:rPr>
              <w:fldChar w:fldCharType="begin"/>
            </w:r>
            <w:r>
              <w:rPr>
                <w:noProof/>
                <w:webHidden/>
              </w:rPr>
              <w:instrText xml:space="preserve"> PAGEREF _Toc185271184 \h </w:instrText>
            </w:r>
            <w:r>
              <w:rPr>
                <w:noProof/>
                <w:webHidden/>
              </w:rPr>
            </w:r>
            <w:r>
              <w:rPr>
                <w:noProof/>
                <w:webHidden/>
              </w:rPr>
              <w:fldChar w:fldCharType="separate"/>
            </w:r>
            <w:r w:rsidR="00E812F0">
              <w:rPr>
                <w:noProof/>
                <w:webHidden/>
              </w:rPr>
              <w:t>28</w:t>
            </w:r>
            <w:r>
              <w:rPr>
                <w:noProof/>
                <w:webHidden/>
              </w:rPr>
              <w:fldChar w:fldCharType="end"/>
            </w:r>
          </w:hyperlink>
        </w:p>
        <w:p w:rsidR="008C4832" w:rsidRDefault="008C4832" w14:paraId="2641E377" w14:textId="250A31BB">
          <w:pPr>
            <w:pStyle w:val="TOC3"/>
            <w:tabs>
              <w:tab w:val="left" w:pos="1680"/>
            </w:tabs>
            <w:rPr>
              <w:rFonts w:asciiTheme="minorHAnsi" w:hAnsiTheme="minorHAnsi" w:eastAsiaTheme="minorEastAsia"/>
              <w:noProof/>
              <w:kern w:val="2"/>
              <w:sz w:val="24"/>
              <w:szCs w:val="24"/>
              <w14:ligatures w14:val="standardContextual"/>
            </w:rPr>
          </w:pPr>
          <w:hyperlink w:history="1" w:anchor="_Toc185271185">
            <w:r w:rsidRPr="00AE446E">
              <w:rPr>
                <w:rStyle w:val="Hyperlink"/>
                <w:noProof/>
              </w:rPr>
              <w:t>1.6.7</w:t>
            </w:r>
            <w:r>
              <w:rPr>
                <w:rFonts w:asciiTheme="minorHAnsi" w:hAnsiTheme="minorHAnsi" w:eastAsiaTheme="minorEastAsia"/>
                <w:noProof/>
                <w:kern w:val="2"/>
                <w:sz w:val="24"/>
                <w:szCs w:val="24"/>
                <w14:ligatures w14:val="standardContextual"/>
              </w:rPr>
              <w:tab/>
            </w:r>
            <w:r w:rsidRPr="00AE446E">
              <w:rPr>
                <w:rStyle w:val="Hyperlink"/>
                <w:noProof/>
              </w:rPr>
              <w:t>(F.7) New TechTypes</w:t>
            </w:r>
            <w:r>
              <w:rPr>
                <w:noProof/>
                <w:webHidden/>
              </w:rPr>
              <w:tab/>
            </w:r>
            <w:r w:rsidRPr="0000158A" w:rsidR="0000158A">
              <w:rPr>
                <w:noProof/>
                <w:webHidden/>
              </w:rPr>
              <w:t>A-</w:t>
            </w:r>
            <w:r>
              <w:rPr>
                <w:noProof/>
                <w:webHidden/>
              </w:rPr>
              <w:fldChar w:fldCharType="begin"/>
            </w:r>
            <w:r>
              <w:rPr>
                <w:noProof/>
                <w:webHidden/>
              </w:rPr>
              <w:instrText xml:space="preserve"> PAGEREF _Toc185271185 \h </w:instrText>
            </w:r>
            <w:r>
              <w:rPr>
                <w:noProof/>
                <w:webHidden/>
              </w:rPr>
            </w:r>
            <w:r>
              <w:rPr>
                <w:noProof/>
                <w:webHidden/>
              </w:rPr>
              <w:fldChar w:fldCharType="separate"/>
            </w:r>
            <w:r w:rsidR="00E812F0">
              <w:rPr>
                <w:noProof/>
                <w:webHidden/>
              </w:rPr>
              <w:t>28</w:t>
            </w:r>
            <w:r>
              <w:rPr>
                <w:noProof/>
                <w:webHidden/>
              </w:rPr>
              <w:fldChar w:fldCharType="end"/>
            </w:r>
          </w:hyperlink>
        </w:p>
        <w:p w:rsidR="008C4832" w:rsidRDefault="008C4832" w14:paraId="48C0223F" w14:textId="3F338A8F">
          <w:pPr>
            <w:pStyle w:val="TOC1"/>
            <w:rPr>
              <w:rFonts w:asciiTheme="minorHAnsi" w:hAnsiTheme="minorHAnsi" w:eastAsiaTheme="minorEastAsia"/>
              <w:noProof/>
              <w:kern w:val="2"/>
              <w:sz w:val="24"/>
              <w:szCs w:val="24"/>
              <w14:ligatures w14:val="standardContextual"/>
            </w:rPr>
          </w:pPr>
          <w:hyperlink w:history="1" w:anchor="_Toc185271186">
            <w:r w:rsidRPr="00AE446E">
              <w:rPr>
                <w:rStyle w:val="Hyperlink"/>
                <w:noProof/>
              </w:rPr>
              <w:t>2</w:t>
            </w:r>
            <w:r>
              <w:rPr>
                <w:rFonts w:asciiTheme="minorHAnsi" w:hAnsiTheme="minorHAnsi" w:eastAsiaTheme="minorEastAsia"/>
                <w:noProof/>
                <w:kern w:val="2"/>
                <w:sz w:val="24"/>
                <w:szCs w:val="24"/>
                <w14:ligatures w14:val="standardContextual"/>
              </w:rPr>
              <w:tab/>
            </w:r>
            <w:r w:rsidRPr="00AE446E">
              <w:rPr>
                <w:rStyle w:val="Hyperlink"/>
                <w:noProof/>
              </w:rPr>
              <w:t>Research Needs for PY2028-29</w:t>
            </w:r>
            <w:r>
              <w:rPr>
                <w:noProof/>
                <w:webHidden/>
              </w:rPr>
              <w:tab/>
            </w:r>
            <w:r w:rsidRPr="0000158A" w:rsidR="0000158A">
              <w:rPr>
                <w:noProof/>
                <w:webHidden/>
              </w:rPr>
              <w:t>A-</w:t>
            </w:r>
            <w:r>
              <w:rPr>
                <w:noProof/>
                <w:webHidden/>
              </w:rPr>
              <w:fldChar w:fldCharType="begin"/>
            </w:r>
            <w:r>
              <w:rPr>
                <w:noProof/>
                <w:webHidden/>
              </w:rPr>
              <w:instrText xml:space="preserve"> PAGEREF _Toc185271186 \h </w:instrText>
            </w:r>
            <w:r>
              <w:rPr>
                <w:noProof/>
                <w:webHidden/>
              </w:rPr>
            </w:r>
            <w:r>
              <w:rPr>
                <w:noProof/>
                <w:webHidden/>
              </w:rPr>
              <w:fldChar w:fldCharType="separate"/>
            </w:r>
            <w:r w:rsidR="00E812F0">
              <w:rPr>
                <w:noProof/>
                <w:webHidden/>
              </w:rPr>
              <w:t>30</w:t>
            </w:r>
            <w:r>
              <w:rPr>
                <w:noProof/>
                <w:webHidden/>
              </w:rPr>
              <w:fldChar w:fldCharType="end"/>
            </w:r>
          </w:hyperlink>
        </w:p>
        <w:p w:rsidR="008C4832" w:rsidRDefault="008C4832" w14:paraId="0DEEB8CF" w14:textId="6BFFFCC8">
          <w:pPr>
            <w:pStyle w:val="TOC2"/>
            <w:rPr>
              <w:rFonts w:asciiTheme="minorHAnsi" w:hAnsiTheme="minorHAnsi" w:eastAsiaTheme="minorEastAsia"/>
              <w:noProof/>
              <w:kern w:val="2"/>
              <w:sz w:val="24"/>
              <w:szCs w:val="24"/>
              <w14:ligatures w14:val="standardContextual"/>
            </w:rPr>
          </w:pPr>
          <w:hyperlink w:history="1" w:anchor="_Toc185271187">
            <w:r w:rsidRPr="00AE446E">
              <w:rPr>
                <w:rStyle w:val="Hyperlink"/>
                <w:noProof/>
              </w:rPr>
              <w:t>2.1</w:t>
            </w:r>
            <w:r>
              <w:rPr>
                <w:rFonts w:asciiTheme="minorHAnsi" w:hAnsiTheme="minorHAnsi" w:eastAsiaTheme="minorEastAsia"/>
                <w:noProof/>
                <w:kern w:val="2"/>
                <w:sz w:val="24"/>
                <w:szCs w:val="24"/>
                <w14:ligatures w14:val="standardContextual"/>
              </w:rPr>
              <w:tab/>
            </w:r>
            <w:r w:rsidRPr="00AE446E">
              <w:rPr>
                <w:rStyle w:val="Hyperlink"/>
                <w:noProof/>
              </w:rPr>
              <w:t>(G) Research to Improve HVAC Refrigerant Charge Values</w:t>
            </w:r>
            <w:r>
              <w:rPr>
                <w:noProof/>
                <w:webHidden/>
              </w:rPr>
              <w:tab/>
            </w:r>
            <w:r w:rsidRPr="0000158A" w:rsidR="0000158A">
              <w:rPr>
                <w:noProof/>
                <w:webHidden/>
              </w:rPr>
              <w:t>A-</w:t>
            </w:r>
            <w:r>
              <w:rPr>
                <w:noProof/>
                <w:webHidden/>
              </w:rPr>
              <w:fldChar w:fldCharType="begin"/>
            </w:r>
            <w:r>
              <w:rPr>
                <w:noProof/>
                <w:webHidden/>
              </w:rPr>
              <w:instrText xml:space="preserve"> PAGEREF _Toc185271187 \h </w:instrText>
            </w:r>
            <w:r>
              <w:rPr>
                <w:noProof/>
                <w:webHidden/>
              </w:rPr>
            </w:r>
            <w:r>
              <w:rPr>
                <w:noProof/>
                <w:webHidden/>
              </w:rPr>
              <w:fldChar w:fldCharType="separate"/>
            </w:r>
            <w:r w:rsidR="00E812F0">
              <w:rPr>
                <w:noProof/>
                <w:webHidden/>
              </w:rPr>
              <w:t>30</w:t>
            </w:r>
            <w:r>
              <w:rPr>
                <w:noProof/>
                <w:webHidden/>
              </w:rPr>
              <w:fldChar w:fldCharType="end"/>
            </w:r>
          </w:hyperlink>
        </w:p>
        <w:p w:rsidR="008C4832" w:rsidRDefault="008C4832" w14:paraId="1A34A296" w14:textId="58070F59">
          <w:pPr>
            <w:pStyle w:val="TOC2"/>
            <w:rPr>
              <w:rFonts w:asciiTheme="minorHAnsi" w:hAnsiTheme="minorHAnsi" w:eastAsiaTheme="minorEastAsia"/>
              <w:noProof/>
              <w:kern w:val="2"/>
              <w:sz w:val="24"/>
              <w:szCs w:val="24"/>
              <w14:ligatures w14:val="standardContextual"/>
            </w:rPr>
          </w:pPr>
          <w:hyperlink w:history="1" w:anchor="_Toc185271188">
            <w:r w:rsidRPr="00AE446E">
              <w:rPr>
                <w:rStyle w:val="Hyperlink"/>
                <w:noProof/>
              </w:rPr>
              <w:t>2.2</w:t>
            </w:r>
            <w:r>
              <w:rPr>
                <w:rFonts w:asciiTheme="minorHAnsi" w:hAnsiTheme="minorHAnsi" w:eastAsiaTheme="minorEastAsia"/>
                <w:noProof/>
                <w:kern w:val="2"/>
                <w:sz w:val="24"/>
                <w:szCs w:val="24"/>
                <w14:ligatures w14:val="standardContextual"/>
              </w:rPr>
              <w:tab/>
            </w:r>
            <w:r w:rsidRPr="00AE446E">
              <w:rPr>
                <w:rStyle w:val="Hyperlink"/>
                <w:noProof/>
              </w:rPr>
              <w:t>(H) VRF Heat Pump and AC Performance Curves</w:t>
            </w:r>
            <w:r>
              <w:rPr>
                <w:noProof/>
                <w:webHidden/>
              </w:rPr>
              <w:tab/>
            </w:r>
            <w:r w:rsidRPr="0000158A" w:rsidR="0000158A">
              <w:rPr>
                <w:noProof/>
                <w:webHidden/>
              </w:rPr>
              <w:t>A-</w:t>
            </w:r>
            <w:r>
              <w:rPr>
                <w:noProof/>
                <w:webHidden/>
              </w:rPr>
              <w:fldChar w:fldCharType="begin"/>
            </w:r>
            <w:r>
              <w:rPr>
                <w:noProof/>
                <w:webHidden/>
              </w:rPr>
              <w:instrText xml:space="preserve"> PAGEREF _Toc185271188 \h </w:instrText>
            </w:r>
            <w:r>
              <w:rPr>
                <w:noProof/>
                <w:webHidden/>
              </w:rPr>
            </w:r>
            <w:r>
              <w:rPr>
                <w:noProof/>
                <w:webHidden/>
              </w:rPr>
              <w:fldChar w:fldCharType="separate"/>
            </w:r>
            <w:r w:rsidR="00E812F0">
              <w:rPr>
                <w:noProof/>
                <w:webHidden/>
              </w:rPr>
              <w:t>31</w:t>
            </w:r>
            <w:r>
              <w:rPr>
                <w:noProof/>
                <w:webHidden/>
              </w:rPr>
              <w:fldChar w:fldCharType="end"/>
            </w:r>
          </w:hyperlink>
        </w:p>
        <w:p w:rsidR="008C4832" w:rsidRDefault="008C4832" w14:paraId="704E0F9C" w14:textId="6BF42C63">
          <w:pPr>
            <w:pStyle w:val="TOC2"/>
            <w:rPr>
              <w:rFonts w:asciiTheme="minorHAnsi" w:hAnsiTheme="minorHAnsi" w:eastAsiaTheme="minorEastAsia"/>
              <w:noProof/>
              <w:kern w:val="2"/>
              <w:sz w:val="24"/>
              <w:szCs w:val="24"/>
              <w14:ligatures w14:val="standardContextual"/>
            </w:rPr>
          </w:pPr>
          <w:hyperlink w:history="1" w:anchor="_Toc185271189">
            <w:r w:rsidRPr="00AE446E">
              <w:rPr>
                <w:rStyle w:val="Hyperlink"/>
                <w:noProof/>
              </w:rPr>
              <w:t>2.3</w:t>
            </w:r>
            <w:r>
              <w:rPr>
                <w:rFonts w:asciiTheme="minorHAnsi" w:hAnsiTheme="minorHAnsi" w:eastAsiaTheme="minorEastAsia"/>
                <w:noProof/>
                <w:kern w:val="2"/>
                <w:sz w:val="24"/>
                <w:szCs w:val="24"/>
                <w14:ligatures w14:val="standardContextual"/>
              </w:rPr>
              <w:tab/>
            </w:r>
            <w:r w:rsidRPr="00AE446E">
              <w:rPr>
                <w:rStyle w:val="Hyperlink"/>
                <w:noProof/>
              </w:rPr>
              <w:t>(I) Improvements for Commercial Water Heater and Hot Water Measures</w:t>
            </w:r>
            <w:r>
              <w:rPr>
                <w:noProof/>
                <w:webHidden/>
              </w:rPr>
              <w:tab/>
            </w:r>
            <w:r w:rsidRPr="0000158A" w:rsidR="0000158A">
              <w:rPr>
                <w:noProof/>
                <w:webHidden/>
              </w:rPr>
              <w:t>A-</w:t>
            </w:r>
            <w:r>
              <w:rPr>
                <w:noProof/>
                <w:webHidden/>
              </w:rPr>
              <w:fldChar w:fldCharType="begin"/>
            </w:r>
            <w:r>
              <w:rPr>
                <w:noProof/>
                <w:webHidden/>
              </w:rPr>
              <w:instrText xml:space="preserve"> PAGEREF _Toc185271189 \h </w:instrText>
            </w:r>
            <w:r>
              <w:rPr>
                <w:noProof/>
                <w:webHidden/>
              </w:rPr>
            </w:r>
            <w:r>
              <w:rPr>
                <w:noProof/>
                <w:webHidden/>
              </w:rPr>
              <w:fldChar w:fldCharType="separate"/>
            </w:r>
            <w:r w:rsidR="00E812F0">
              <w:rPr>
                <w:noProof/>
                <w:webHidden/>
              </w:rPr>
              <w:t>31</w:t>
            </w:r>
            <w:r>
              <w:rPr>
                <w:noProof/>
                <w:webHidden/>
              </w:rPr>
              <w:fldChar w:fldCharType="end"/>
            </w:r>
          </w:hyperlink>
        </w:p>
        <w:p w:rsidR="008C4832" w:rsidRDefault="008C4832" w14:paraId="7DB9B992" w14:textId="1A5D4BD7">
          <w:pPr>
            <w:pStyle w:val="TOC1"/>
            <w:rPr>
              <w:rFonts w:asciiTheme="minorHAnsi" w:hAnsiTheme="minorHAnsi" w:eastAsiaTheme="minorEastAsia"/>
              <w:noProof/>
              <w:kern w:val="2"/>
              <w:sz w:val="24"/>
              <w:szCs w:val="24"/>
              <w14:ligatures w14:val="standardContextual"/>
            </w:rPr>
          </w:pPr>
          <w:hyperlink w:history="1" w:anchor="_Toc185271190">
            <w:r w:rsidRPr="00AE446E">
              <w:rPr>
                <w:rStyle w:val="Hyperlink"/>
                <w:noProof/>
              </w:rPr>
              <w:t>3</w:t>
            </w:r>
            <w:r>
              <w:rPr>
                <w:rFonts w:asciiTheme="minorHAnsi" w:hAnsiTheme="minorHAnsi" w:eastAsiaTheme="minorEastAsia"/>
                <w:noProof/>
                <w:kern w:val="2"/>
                <w:sz w:val="24"/>
                <w:szCs w:val="24"/>
                <w14:ligatures w14:val="standardContextual"/>
              </w:rPr>
              <w:tab/>
            </w:r>
            <w:r w:rsidRPr="00AE446E">
              <w:rPr>
                <w:rStyle w:val="Hyperlink"/>
                <w:noProof/>
              </w:rPr>
              <w:t>Measure Adoption</w:t>
            </w:r>
            <w:r>
              <w:rPr>
                <w:noProof/>
                <w:webHidden/>
              </w:rPr>
              <w:tab/>
            </w:r>
            <w:r w:rsidRPr="0000158A" w:rsidR="0000158A">
              <w:rPr>
                <w:noProof/>
                <w:webHidden/>
              </w:rPr>
              <w:t>A-</w:t>
            </w:r>
            <w:r>
              <w:rPr>
                <w:noProof/>
                <w:webHidden/>
              </w:rPr>
              <w:fldChar w:fldCharType="begin"/>
            </w:r>
            <w:r>
              <w:rPr>
                <w:noProof/>
                <w:webHidden/>
              </w:rPr>
              <w:instrText xml:space="preserve"> PAGEREF _Toc185271190 \h </w:instrText>
            </w:r>
            <w:r>
              <w:rPr>
                <w:noProof/>
                <w:webHidden/>
              </w:rPr>
            </w:r>
            <w:r>
              <w:rPr>
                <w:noProof/>
                <w:webHidden/>
              </w:rPr>
              <w:fldChar w:fldCharType="separate"/>
            </w:r>
            <w:r w:rsidR="00E812F0">
              <w:rPr>
                <w:noProof/>
                <w:webHidden/>
              </w:rPr>
              <w:t>32</w:t>
            </w:r>
            <w:r>
              <w:rPr>
                <w:noProof/>
                <w:webHidden/>
              </w:rPr>
              <w:fldChar w:fldCharType="end"/>
            </w:r>
          </w:hyperlink>
        </w:p>
        <w:p w:rsidR="008C4832" w:rsidRDefault="008C4832" w14:paraId="59111770" w14:textId="634A8460">
          <w:pPr>
            <w:pStyle w:val="TOC2"/>
            <w:rPr>
              <w:rFonts w:asciiTheme="minorHAnsi" w:hAnsiTheme="minorHAnsi" w:eastAsiaTheme="minorEastAsia"/>
              <w:noProof/>
              <w:kern w:val="2"/>
              <w:sz w:val="24"/>
              <w:szCs w:val="24"/>
              <w14:ligatures w14:val="standardContextual"/>
            </w:rPr>
          </w:pPr>
          <w:hyperlink w:history="1" w:anchor="_Toc185271191">
            <w:r w:rsidRPr="00AE446E">
              <w:rPr>
                <w:rStyle w:val="Hyperlink"/>
                <w:noProof/>
              </w:rPr>
              <w:t>3.1</w:t>
            </w:r>
            <w:r>
              <w:rPr>
                <w:rFonts w:asciiTheme="minorHAnsi" w:hAnsiTheme="minorHAnsi" w:eastAsiaTheme="minorEastAsia"/>
                <w:noProof/>
                <w:kern w:val="2"/>
                <w:sz w:val="24"/>
                <w:szCs w:val="24"/>
                <w14:ligatures w14:val="standardContextual"/>
              </w:rPr>
              <w:tab/>
            </w:r>
            <w:r w:rsidRPr="00AE446E">
              <w:rPr>
                <w:rStyle w:val="Hyperlink"/>
                <w:noProof/>
              </w:rPr>
              <w:t>(J) Guidance from 2021 Custom Industrial, Agricultural, and Commercial (CIAC) Impact Evaluation</w:t>
            </w:r>
            <w:r>
              <w:rPr>
                <w:noProof/>
                <w:webHidden/>
              </w:rPr>
              <w:tab/>
            </w:r>
            <w:r w:rsidRPr="0000158A" w:rsidR="0000158A">
              <w:rPr>
                <w:noProof/>
                <w:webHidden/>
              </w:rPr>
              <w:t>A-</w:t>
            </w:r>
            <w:r>
              <w:rPr>
                <w:noProof/>
                <w:webHidden/>
              </w:rPr>
              <w:fldChar w:fldCharType="begin"/>
            </w:r>
            <w:r>
              <w:rPr>
                <w:noProof/>
                <w:webHidden/>
              </w:rPr>
              <w:instrText xml:space="preserve"> PAGEREF _Toc185271191 \h </w:instrText>
            </w:r>
            <w:r>
              <w:rPr>
                <w:noProof/>
                <w:webHidden/>
              </w:rPr>
            </w:r>
            <w:r>
              <w:rPr>
                <w:noProof/>
                <w:webHidden/>
              </w:rPr>
              <w:fldChar w:fldCharType="separate"/>
            </w:r>
            <w:r w:rsidR="00E812F0">
              <w:rPr>
                <w:noProof/>
                <w:webHidden/>
              </w:rPr>
              <w:t>32</w:t>
            </w:r>
            <w:r>
              <w:rPr>
                <w:noProof/>
                <w:webHidden/>
              </w:rPr>
              <w:fldChar w:fldCharType="end"/>
            </w:r>
          </w:hyperlink>
        </w:p>
        <w:p w:rsidR="008C4832" w:rsidRDefault="008C4832" w14:paraId="7FBD1833" w14:textId="740A7747">
          <w:pPr>
            <w:pStyle w:val="TOC2"/>
            <w:rPr>
              <w:rFonts w:asciiTheme="minorHAnsi" w:hAnsiTheme="minorHAnsi" w:eastAsiaTheme="minorEastAsia"/>
              <w:noProof/>
              <w:kern w:val="2"/>
              <w:sz w:val="24"/>
              <w:szCs w:val="24"/>
              <w14:ligatures w14:val="standardContextual"/>
            </w:rPr>
          </w:pPr>
          <w:hyperlink w:history="1" w:anchor="_Toc185271192">
            <w:r w:rsidRPr="00AE446E">
              <w:rPr>
                <w:rStyle w:val="Hyperlink"/>
                <w:noProof/>
              </w:rPr>
              <w:t>3.2</w:t>
            </w:r>
            <w:r>
              <w:rPr>
                <w:rFonts w:asciiTheme="minorHAnsi" w:hAnsiTheme="minorHAnsi" w:eastAsiaTheme="minorEastAsia"/>
                <w:noProof/>
                <w:kern w:val="2"/>
                <w:sz w:val="24"/>
                <w:szCs w:val="24"/>
                <w14:ligatures w14:val="standardContextual"/>
              </w:rPr>
              <w:tab/>
            </w:r>
            <w:r w:rsidRPr="00AE446E">
              <w:rPr>
                <w:rStyle w:val="Hyperlink"/>
                <w:noProof/>
              </w:rPr>
              <w:t>(K) Guidance from Effective Useful Life (EUL) studies</w:t>
            </w:r>
            <w:r>
              <w:rPr>
                <w:noProof/>
                <w:webHidden/>
              </w:rPr>
              <w:tab/>
            </w:r>
            <w:r w:rsidRPr="0000158A" w:rsidR="0000158A">
              <w:rPr>
                <w:noProof/>
                <w:webHidden/>
              </w:rPr>
              <w:t>A-</w:t>
            </w:r>
            <w:r>
              <w:rPr>
                <w:noProof/>
                <w:webHidden/>
              </w:rPr>
              <w:fldChar w:fldCharType="begin"/>
            </w:r>
            <w:r>
              <w:rPr>
                <w:noProof/>
                <w:webHidden/>
              </w:rPr>
              <w:instrText xml:space="preserve"> PAGEREF _Toc185271192 \h </w:instrText>
            </w:r>
            <w:r>
              <w:rPr>
                <w:noProof/>
                <w:webHidden/>
              </w:rPr>
            </w:r>
            <w:r>
              <w:rPr>
                <w:noProof/>
                <w:webHidden/>
              </w:rPr>
              <w:fldChar w:fldCharType="separate"/>
            </w:r>
            <w:r w:rsidR="00E812F0">
              <w:rPr>
                <w:noProof/>
                <w:webHidden/>
              </w:rPr>
              <w:t>33</w:t>
            </w:r>
            <w:r>
              <w:rPr>
                <w:noProof/>
                <w:webHidden/>
              </w:rPr>
              <w:fldChar w:fldCharType="end"/>
            </w:r>
          </w:hyperlink>
        </w:p>
        <w:p w:rsidR="008C4832" w:rsidRDefault="008C4832" w14:paraId="145647AE" w14:textId="50A9E44A">
          <w:pPr>
            <w:pStyle w:val="TOC3"/>
            <w:tabs>
              <w:tab w:val="left" w:pos="1680"/>
            </w:tabs>
            <w:rPr>
              <w:rFonts w:asciiTheme="minorHAnsi" w:hAnsiTheme="minorHAnsi" w:eastAsiaTheme="minorEastAsia"/>
              <w:noProof/>
              <w:kern w:val="2"/>
              <w:sz w:val="24"/>
              <w:szCs w:val="24"/>
              <w14:ligatures w14:val="standardContextual"/>
            </w:rPr>
          </w:pPr>
          <w:hyperlink w:history="1" w:anchor="_Toc185271193">
            <w:r w:rsidRPr="00AE446E">
              <w:rPr>
                <w:rStyle w:val="Hyperlink"/>
                <w:noProof/>
              </w:rPr>
              <w:t>3.2.1</w:t>
            </w:r>
            <w:r>
              <w:rPr>
                <w:rFonts w:asciiTheme="minorHAnsi" w:hAnsiTheme="minorHAnsi" w:eastAsiaTheme="minorEastAsia"/>
                <w:noProof/>
                <w:kern w:val="2"/>
                <w:sz w:val="24"/>
                <w:szCs w:val="24"/>
                <w14:ligatures w14:val="standardContextual"/>
              </w:rPr>
              <w:tab/>
            </w:r>
            <w:r w:rsidRPr="00AE446E">
              <w:rPr>
                <w:rStyle w:val="Hyperlink"/>
                <w:noProof/>
              </w:rPr>
              <w:t>(K.1) 2023 Residential Insulation EUL Study updates</w:t>
            </w:r>
            <w:r>
              <w:rPr>
                <w:noProof/>
                <w:webHidden/>
              </w:rPr>
              <w:tab/>
            </w:r>
            <w:r w:rsidRPr="0000158A" w:rsidR="0000158A">
              <w:rPr>
                <w:noProof/>
                <w:webHidden/>
              </w:rPr>
              <w:t>A-</w:t>
            </w:r>
            <w:r>
              <w:rPr>
                <w:noProof/>
                <w:webHidden/>
              </w:rPr>
              <w:fldChar w:fldCharType="begin"/>
            </w:r>
            <w:r>
              <w:rPr>
                <w:noProof/>
                <w:webHidden/>
              </w:rPr>
              <w:instrText xml:space="preserve"> PAGEREF _Toc185271193 \h </w:instrText>
            </w:r>
            <w:r>
              <w:rPr>
                <w:noProof/>
                <w:webHidden/>
              </w:rPr>
            </w:r>
            <w:r>
              <w:rPr>
                <w:noProof/>
                <w:webHidden/>
              </w:rPr>
              <w:fldChar w:fldCharType="separate"/>
            </w:r>
            <w:r w:rsidR="00E812F0">
              <w:rPr>
                <w:noProof/>
                <w:webHidden/>
              </w:rPr>
              <w:t>33</w:t>
            </w:r>
            <w:r>
              <w:rPr>
                <w:noProof/>
                <w:webHidden/>
              </w:rPr>
              <w:fldChar w:fldCharType="end"/>
            </w:r>
          </w:hyperlink>
        </w:p>
        <w:p w:rsidR="008C4832" w:rsidRDefault="008C4832" w14:paraId="4D088818" w14:textId="06328B5E">
          <w:pPr>
            <w:pStyle w:val="TOC3"/>
            <w:tabs>
              <w:tab w:val="left" w:pos="1680"/>
            </w:tabs>
            <w:rPr>
              <w:rFonts w:asciiTheme="minorHAnsi" w:hAnsiTheme="minorHAnsi" w:eastAsiaTheme="minorEastAsia"/>
              <w:noProof/>
              <w:kern w:val="2"/>
              <w:sz w:val="24"/>
              <w:szCs w:val="24"/>
              <w14:ligatures w14:val="standardContextual"/>
            </w:rPr>
          </w:pPr>
          <w:hyperlink w:history="1" w:anchor="_Toc185271194">
            <w:r w:rsidRPr="00AE446E">
              <w:rPr>
                <w:rStyle w:val="Hyperlink"/>
                <w:noProof/>
              </w:rPr>
              <w:t>3.2.2</w:t>
            </w:r>
            <w:r>
              <w:rPr>
                <w:rFonts w:asciiTheme="minorHAnsi" w:hAnsiTheme="minorHAnsi" w:eastAsiaTheme="minorEastAsia"/>
                <w:noProof/>
                <w:kern w:val="2"/>
                <w:sz w:val="24"/>
                <w:szCs w:val="24"/>
                <w14:ligatures w14:val="standardContextual"/>
              </w:rPr>
              <w:tab/>
            </w:r>
            <w:r w:rsidRPr="00AE446E">
              <w:rPr>
                <w:rStyle w:val="Hyperlink"/>
                <w:noProof/>
              </w:rPr>
              <w:t>(K.2) 2023 Residential HVAC and Water Heating EUL Study updates</w:t>
            </w:r>
            <w:r>
              <w:rPr>
                <w:noProof/>
                <w:webHidden/>
              </w:rPr>
              <w:tab/>
            </w:r>
            <w:r w:rsidRPr="0000158A" w:rsidR="0000158A">
              <w:rPr>
                <w:noProof/>
                <w:webHidden/>
              </w:rPr>
              <w:t>A-</w:t>
            </w:r>
            <w:r>
              <w:rPr>
                <w:noProof/>
                <w:webHidden/>
              </w:rPr>
              <w:fldChar w:fldCharType="begin"/>
            </w:r>
            <w:r>
              <w:rPr>
                <w:noProof/>
                <w:webHidden/>
              </w:rPr>
              <w:instrText xml:space="preserve"> PAGEREF _Toc185271194 \h </w:instrText>
            </w:r>
            <w:r>
              <w:rPr>
                <w:noProof/>
                <w:webHidden/>
              </w:rPr>
            </w:r>
            <w:r>
              <w:rPr>
                <w:noProof/>
                <w:webHidden/>
              </w:rPr>
              <w:fldChar w:fldCharType="separate"/>
            </w:r>
            <w:r w:rsidR="00E812F0">
              <w:rPr>
                <w:noProof/>
                <w:webHidden/>
              </w:rPr>
              <w:t>33</w:t>
            </w:r>
            <w:r>
              <w:rPr>
                <w:noProof/>
                <w:webHidden/>
              </w:rPr>
              <w:fldChar w:fldCharType="end"/>
            </w:r>
          </w:hyperlink>
        </w:p>
        <w:p w:rsidR="008C4832" w:rsidRDefault="008C4832" w14:paraId="5B59EF29" w14:textId="21B67B21">
          <w:pPr>
            <w:pStyle w:val="TOC3"/>
            <w:tabs>
              <w:tab w:val="left" w:pos="1680"/>
            </w:tabs>
            <w:rPr>
              <w:rFonts w:asciiTheme="minorHAnsi" w:hAnsiTheme="minorHAnsi" w:eastAsiaTheme="minorEastAsia"/>
              <w:noProof/>
              <w:kern w:val="2"/>
              <w:sz w:val="24"/>
              <w:szCs w:val="24"/>
              <w14:ligatures w14:val="standardContextual"/>
            </w:rPr>
          </w:pPr>
          <w:hyperlink w:history="1" w:anchor="_Toc185271195">
            <w:r w:rsidRPr="00AE446E">
              <w:rPr>
                <w:rStyle w:val="Hyperlink"/>
                <w:noProof/>
              </w:rPr>
              <w:t>3.2.3</w:t>
            </w:r>
            <w:r>
              <w:rPr>
                <w:rFonts w:asciiTheme="minorHAnsi" w:hAnsiTheme="minorHAnsi" w:eastAsiaTheme="minorEastAsia"/>
                <w:noProof/>
                <w:kern w:val="2"/>
                <w:sz w:val="24"/>
                <w:szCs w:val="24"/>
                <w14:ligatures w14:val="standardContextual"/>
              </w:rPr>
              <w:tab/>
            </w:r>
            <w:r w:rsidRPr="00AE446E">
              <w:rPr>
                <w:rStyle w:val="Hyperlink"/>
                <w:noProof/>
              </w:rPr>
              <w:t>(K.3) 2023 Commercial Measure EUL Study updates</w:t>
            </w:r>
            <w:r>
              <w:rPr>
                <w:noProof/>
                <w:webHidden/>
              </w:rPr>
              <w:tab/>
            </w:r>
            <w:r w:rsidRPr="0000158A" w:rsidR="0000158A">
              <w:rPr>
                <w:noProof/>
                <w:webHidden/>
              </w:rPr>
              <w:t>A-</w:t>
            </w:r>
            <w:r>
              <w:rPr>
                <w:noProof/>
                <w:webHidden/>
              </w:rPr>
              <w:fldChar w:fldCharType="begin"/>
            </w:r>
            <w:r>
              <w:rPr>
                <w:noProof/>
                <w:webHidden/>
              </w:rPr>
              <w:instrText xml:space="preserve"> PAGEREF _Toc185271195 \h </w:instrText>
            </w:r>
            <w:r>
              <w:rPr>
                <w:noProof/>
                <w:webHidden/>
              </w:rPr>
            </w:r>
            <w:r>
              <w:rPr>
                <w:noProof/>
                <w:webHidden/>
              </w:rPr>
              <w:fldChar w:fldCharType="separate"/>
            </w:r>
            <w:r w:rsidR="00E812F0">
              <w:rPr>
                <w:noProof/>
                <w:webHidden/>
              </w:rPr>
              <w:t>34</w:t>
            </w:r>
            <w:r>
              <w:rPr>
                <w:noProof/>
                <w:webHidden/>
              </w:rPr>
              <w:fldChar w:fldCharType="end"/>
            </w:r>
          </w:hyperlink>
        </w:p>
        <w:p w:rsidR="008C4832" w:rsidRDefault="008C4832" w14:paraId="2438EE0F" w14:textId="1E5312BC">
          <w:pPr>
            <w:pStyle w:val="TOC2"/>
            <w:rPr>
              <w:rFonts w:asciiTheme="minorHAnsi" w:hAnsiTheme="minorHAnsi" w:eastAsiaTheme="minorEastAsia"/>
              <w:noProof/>
              <w:kern w:val="2"/>
              <w:sz w:val="24"/>
              <w:szCs w:val="24"/>
              <w14:ligatures w14:val="standardContextual"/>
            </w:rPr>
          </w:pPr>
          <w:hyperlink w:history="1" w:anchor="_Toc185271196">
            <w:r w:rsidRPr="00AE446E">
              <w:rPr>
                <w:rStyle w:val="Hyperlink"/>
                <w:noProof/>
              </w:rPr>
              <w:t>3.3</w:t>
            </w:r>
            <w:r>
              <w:rPr>
                <w:rFonts w:asciiTheme="minorHAnsi" w:hAnsiTheme="minorHAnsi" w:eastAsiaTheme="minorEastAsia"/>
                <w:noProof/>
                <w:kern w:val="2"/>
                <w:sz w:val="24"/>
                <w:szCs w:val="24"/>
                <w14:ligatures w14:val="standardContextual"/>
              </w:rPr>
              <w:tab/>
            </w:r>
            <w:r w:rsidRPr="00AE446E">
              <w:rPr>
                <w:rStyle w:val="Hyperlink"/>
                <w:noProof/>
              </w:rPr>
              <w:t>(L) Guidance Based on Other Studies</w:t>
            </w:r>
            <w:r>
              <w:rPr>
                <w:noProof/>
                <w:webHidden/>
              </w:rPr>
              <w:tab/>
            </w:r>
            <w:r w:rsidRPr="0000158A" w:rsidR="0000158A">
              <w:rPr>
                <w:noProof/>
                <w:webHidden/>
              </w:rPr>
              <w:t>A-</w:t>
            </w:r>
            <w:r>
              <w:rPr>
                <w:noProof/>
                <w:webHidden/>
              </w:rPr>
              <w:fldChar w:fldCharType="begin"/>
            </w:r>
            <w:r>
              <w:rPr>
                <w:noProof/>
                <w:webHidden/>
              </w:rPr>
              <w:instrText xml:space="preserve"> PAGEREF _Toc185271196 \h </w:instrText>
            </w:r>
            <w:r>
              <w:rPr>
                <w:noProof/>
                <w:webHidden/>
              </w:rPr>
            </w:r>
            <w:r>
              <w:rPr>
                <w:noProof/>
                <w:webHidden/>
              </w:rPr>
              <w:fldChar w:fldCharType="separate"/>
            </w:r>
            <w:r w:rsidR="00E812F0">
              <w:rPr>
                <w:noProof/>
                <w:webHidden/>
              </w:rPr>
              <w:t>35</w:t>
            </w:r>
            <w:r>
              <w:rPr>
                <w:noProof/>
                <w:webHidden/>
              </w:rPr>
              <w:fldChar w:fldCharType="end"/>
            </w:r>
          </w:hyperlink>
        </w:p>
        <w:p w:rsidR="008C4832" w:rsidRDefault="008C4832" w14:paraId="37117A16" w14:textId="77F3D554">
          <w:pPr>
            <w:pStyle w:val="TOC3"/>
            <w:tabs>
              <w:tab w:val="left" w:pos="1680"/>
            </w:tabs>
            <w:rPr>
              <w:rFonts w:asciiTheme="minorHAnsi" w:hAnsiTheme="minorHAnsi" w:eastAsiaTheme="minorEastAsia"/>
              <w:noProof/>
              <w:kern w:val="2"/>
              <w:sz w:val="24"/>
              <w:szCs w:val="24"/>
              <w14:ligatures w14:val="standardContextual"/>
            </w:rPr>
          </w:pPr>
          <w:hyperlink w:history="1" w:anchor="_Toc185271197">
            <w:r w:rsidRPr="00AE446E">
              <w:rPr>
                <w:rStyle w:val="Hyperlink"/>
                <w:noProof/>
              </w:rPr>
              <w:t>3.3.1</w:t>
            </w:r>
            <w:r>
              <w:rPr>
                <w:rFonts w:asciiTheme="minorHAnsi" w:hAnsiTheme="minorHAnsi" w:eastAsiaTheme="minorEastAsia"/>
                <w:noProof/>
                <w:kern w:val="2"/>
                <w:sz w:val="24"/>
                <w:szCs w:val="24"/>
                <w14:ligatures w14:val="standardContextual"/>
              </w:rPr>
              <w:tab/>
            </w:r>
            <w:r w:rsidRPr="00AE446E">
              <w:rPr>
                <w:rStyle w:val="Hyperlink"/>
                <w:noProof/>
              </w:rPr>
              <w:t>(L.1) Hard-to-Reach (HTR) Net-to-Gross Ratios</w:t>
            </w:r>
            <w:r>
              <w:rPr>
                <w:noProof/>
                <w:webHidden/>
              </w:rPr>
              <w:tab/>
            </w:r>
            <w:r w:rsidRPr="0000158A" w:rsidR="0000158A">
              <w:rPr>
                <w:noProof/>
                <w:webHidden/>
              </w:rPr>
              <w:t>A-</w:t>
            </w:r>
            <w:r>
              <w:rPr>
                <w:noProof/>
                <w:webHidden/>
              </w:rPr>
              <w:fldChar w:fldCharType="begin"/>
            </w:r>
            <w:r>
              <w:rPr>
                <w:noProof/>
                <w:webHidden/>
              </w:rPr>
              <w:instrText xml:space="preserve"> PAGEREF _Toc185271197 \h </w:instrText>
            </w:r>
            <w:r>
              <w:rPr>
                <w:noProof/>
                <w:webHidden/>
              </w:rPr>
            </w:r>
            <w:r>
              <w:rPr>
                <w:noProof/>
                <w:webHidden/>
              </w:rPr>
              <w:fldChar w:fldCharType="separate"/>
            </w:r>
            <w:r w:rsidR="00E812F0">
              <w:rPr>
                <w:noProof/>
                <w:webHidden/>
              </w:rPr>
              <w:t>35</w:t>
            </w:r>
            <w:r>
              <w:rPr>
                <w:noProof/>
                <w:webHidden/>
              </w:rPr>
              <w:fldChar w:fldCharType="end"/>
            </w:r>
          </w:hyperlink>
        </w:p>
        <w:p w:rsidR="008C4832" w:rsidRDefault="008C4832" w14:paraId="34856028" w14:textId="5A80CF69">
          <w:pPr>
            <w:pStyle w:val="TOC3"/>
            <w:tabs>
              <w:tab w:val="left" w:pos="1680"/>
            </w:tabs>
            <w:rPr>
              <w:rFonts w:asciiTheme="minorHAnsi" w:hAnsiTheme="minorHAnsi" w:eastAsiaTheme="minorEastAsia"/>
              <w:noProof/>
              <w:kern w:val="2"/>
              <w:sz w:val="24"/>
              <w:szCs w:val="24"/>
              <w14:ligatures w14:val="standardContextual"/>
            </w:rPr>
          </w:pPr>
          <w:hyperlink w:history="1" w:anchor="_Toc185271198">
            <w:r w:rsidRPr="00AE446E">
              <w:rPr>
                <w:rStyle w:val="Hyperlink"/>
                <w:noProof/>
              </w:rPr>
              <w:t>3.3.2</w:t>
            </w:r>
            <w:r>
              <w:rPr>
                <w:rFonts w:asciiTheme="minorHAnsi" w:hAnsiTheme="minorHAnsi" w:eastAsiaTheme="minorEastAsia"/>
                <w:noProof/>
                <w:kern w:val="2"/>
                <w:sz w:val="24"/>
                <w:szCs w:val="24"/>
                <w14:ligatures w14:val="standardContextual"/>
              </w:rPr>
              <w:tab/>
            </w:r>
            <w:r w:rsidRPr="00AE446E">
              <w:rPr>
                <w:rStyle w:val="Hyperlink"/>
                <w:noProof/>
              </w:rPr>
              <w:t>(L.2) High-SEER Heat Pump and AC Performance Curves</w:t>
            </w:r>
            <w:r>
              <w:rPr>
                <w:noProof/>
                <w:webHidden/>
              </w:rPr>
              <w:tab/>
            </w:r>
            <w:r w:rsidRPr="0000158A" w:rsidR="0000158A">
              <w:rPr>
                <w:noProof/>
                <w:webHidden/>
              </w:rPr>
              <w:t>A-</w:t>
            </w:r>
            <w:r>
              <w:rPr>
                <w:noProof/>
                <w:webHidden/>
              </w:rPr>
              <w:fldChar w:fldCharType="begin"/>
            </w:r>
            <w:r>
              <w:rPr>
                <w:noProof/>
                <w:webHidden/>
              </w:rPr>
              <w:instrText xml:space="preserve"> PAGEREF _Toc185271198 \h </w:instrText>
            </w:r>
            <w:r>
              <w:rPr>
                <w:noProof/>
                <w:webHidden/>
              </w:rPr>
            </w:r>
            <w:r>
              <w:rPr>
                <w:noProof/>
                <w:webHidden/>
              </w:rPr>
              <w:fldChar w:fldCharType="separate"/>
            </w:r>
            <w:r w:rsidR="00E812F0">
              <w:rPr>
                <w:noProof/>
                <w:webHidden/>
              </w:rPr>
              <w:t>36</w:t>
            </w:r>
            <w:r>
              <w:rPr>
                <w:noProof/>
                <w:webHidden/>
              </w:rPr>
              <w:fldChar w:fldCharType="end"/>
            </w:r>
          </w:hyperlink>
        </w:p>
        <w:p w:rsidR="008C4832" w:rsidRDefault="008C4832" w14:paraId="7BC6A0EA" w14:textId="114063EA">
          <w:pPr>
            <w:pStyle w:val="TOC3"/>
            <w:tabs>
              <w:tab w:val="left" w:pos="1680"/>
            </w:tabs>
            <w:rPr>
              <w:rFonts w:asciiTheme="minorHAnsi" w:hAnsiTheme="minorHAnsi" w:eastAsiaTheme="minorEastAsia"/>
              <w:noProof/>
              <w:kern w:val="2"/>
              <w:sz w:val="24"/>
              <w:szCs w:val="24"/>
              <w14:ligatures w14:val="standardContextual"/>
            </w:rPr>
          </w:pPr>
          <w:hyperlink w:history="1" w:anchor="_Toc185271199">
            <w:r w:rsidRPr="00AE446E">
              <w:rPr>
                <w:rStyle w:val="Hyperlink"/>
                <w:noProof/>
              </w:rPr>
              <w:t>3.3.3</w:t>
            </w:r>
            <w:r>
              <w:rPr>
                <w:rFonts w:asciiTheme="minorHAnsi" w:hAnsiTheme="minorHAnsi" w:eastAsiaTheme="minorEastAsia"/>
                <w:noProof/>
                <w:kern w:val="2"/>
                <w:sz w:val="24"/>
                <w:szCs w:val="24"/>
                <w14:ligatures w14:val="standardContextual"/>
              </w:rPr>
              <w:tab/>
            </w:r>
            <w:r w:rsidRPr="00AE446E">
              <w:rPr>
                <w:rStyle w:val="Hyperlink"/>
                <w:noProof/>
              </w:rPr>
              <w:t>(L.3) Boiler Compliance with Condensation of Exhaust Gases and Energy Efficiency</w:t>
            </w:r>
            <w:r>
              <w:rPr>
                <w:noProof/>
                <w:webHidden/>
              </w:rPr>
              <w:tab/>
            </w:r>
            <w:r w:rsidRPr="0000158A" w:rsidR="0000158A">
              <w:rPr>
                <w:noProof/>
                <w:webHidden/>
              </w:rPr>
              <w:t>A-</w:t>
            </w:r>
            <w:r>
              <w:rPr>
                <w:noProof/>
                <w:webHidden/>
              </w:rPr>
              <w:fldChar w:fldCharType="begin"/>
            </w:r>
            <w:r>
              <w:rPr>
                <w:noProof/>
                <w:webHidden/>
              </w:rPr>
              <w:instrText xml:space="preserve"> PAGEREF _Toc185271199 \h </w:instrText>
            </w:r>
            <w:r>
              <w:rPr>
                <w:noProof/>
                <w:webHidden/>
              </w:rPr>
            </w:r>
            <w:r>
              <w:rPr>
                <w:noProof/>
                <w:webHidden/>
              </w:rPr>
              <w:fldChar w:fldCharType="separate"/>
            </w:r>
            <w:r w:rsidR="00E812F0">
              <w:rPr>
                <w:noProof/>
                <w:webHidden/>
              </w:rPr>
              <w:t>38</w:t>
            </w:r>
            <w:r>
              <w:rPr>
                <w:noProof/>
                <w:webHidden/>
              </w:rPr>
              <w:fldChar w:fldCharType="end"/>
            </w:r>
          </w:hyperlink>
        </w:p>
        <w:p w:rsidR="008C4832" w:rsidRDefault="008C4832" w14:paraId="0E182EAA" w14:textId="70CDB9FF">
          <w:pPr>
            <w:pStyle w:val="TOC2"/>
            <w:rPr>
              <w:rFonts w:asciiTheme="minorHAnsi" w:hAnsiTheme="minorHAnsi" w:eastAsiaTheme="minorEastAsia"/>
              <w:noProof/>
              <w:kern w:val="2"/>
              <w:sz w:val="24"/>
              <w:szCs w:val="24"/>
              <w14:ligatures w14:val="standardContextual"/>
            </w:rPr>
          </w:pPr>
          <w:hyperlink w:history="1" w:anchor="_Toc185271200">
            <w:r w:rsidRPr="00AE446E">
              <w:rPr>
                <w:rStyle w:val="Hyperlink"/>
                <w:noProof/>
              </w:rPr>
              <w:t>3.4</w:t>
            </w:r>
            <w:r>
              <w:rPr>
                <w:rFonts w:asciiTheme="minorHAnsi" w:hAnsiTheme="minorHAnsi" w:eastAsiaTheme="minorEastAsia"/>
                <w:noProof/>
                <w:kern w:val="2"/>
                <w:sz w:val="24"/>
                <w:szCs w:val="24"/>
                <w14:ligatures w14:val="standardContextual"/>
              </w:rPr>
              <w:tab/>
            </w:r>
            <w:r w:rsidRPr="00AE446E">
              <w:rPr>
                <w:rStyle w:val="Hyperlink"/>
                <w:noProof/>
              </w:rPr>
              <w:t>(M) Guidance from Review of PY2021 and PY2022 EM&amp;V Reports for Deemed Measure Claims</w:t>
            </w:r>
            <w:r>
              <w:rPr>
                <w:noProof/>
                <w:webHidden/>
              </w:rPr>
              <w:tab/>
            </w:r>
            <w:r w:rsidRPr="0000158A" w:rsidR="0000158A">
              <w:rPr>
                <w:noProof/>
                <w:webHidden/>
              </w:rPr>
              <w:t>A-</w:t>
            </w:r>
            <w:r>
              <w:rPr>
                <w:noProof/>
                <w:webHidden/>
              </w:rPr>
              <w:fldChar w:fldCharType="begin"/>
            </w:r>
            <w:r>
              <w:rPr>
                <w:noProof/>
                <w:webHidden/>
              </w:rPr>
              <w:instrText xml:space="preserve"> PAGEREF _Toc185271200 \h </w:instrText>
            </w:r>
            <w:r>
              <w:rPr>
                <w:noProof/>
                <w:webHidden/>
              </w:rPr>
            </w:r>
            <w:r>
              <w:rPr>
                <w:noProof/>
                <w:webHidden/>
              </w:rPr>
              <w:fldChar w:fldCharType="separate"/>
            </w:r>
            <w:r w:rsidR="00E812F0">
              <w:rPr>
                <w:noProof/>
                <w:webHidden/>
              </w:rPr>
              <w:t>39</w:t>
            </w:r>
            <w:r>
              <w:rPr>
                <w:noProof/>
                <w:webHidden/>
              </w:rPr>
              <w:fldChar w:fldCharType="end"/>
            </w:r>
          </w:hyperlink>
        </w:p>
        <w:p w:rsidR="008C4832" w:rsidRDefault="008C4832" w14:paraId="50C2FAC3" w14:textId="55EB51AA">
          <w:pPr>
            <w:pStyle w:val="TOC3"/>
            <w:tabs>
              <w:tab w:val="left" w:pos="1680"/>
            </w:tabs>
            <w:rPr>
              <w:rFonts w:asciiTheme="minorHAnsi" w:hAnsiTheme="minorHAnsi" w:eastAsiaTheme="minorEastAsia"/>
              <w:noProof/>
              <w:kern w:val="2"/>
              <w:sz w:val="24"/>
              <w:szCs w:val="24"/>
              <w14:ligatures w14:val="standardContextual"/>
            </w:rPr>
          </w:pPr>
          <w:hyperlink w:history="1" w:anchor="_Toc185271201">
            <w:r w:rsidRPr="00AE446E">
              <w:rPr>
                <w:rStyle w:val="Hyperlink"/>
                <w:noProof/>
              </w:rPr>
              <w:t>3.4.1</w:t>
            </w:r>
            <w:r>
              <w:rPr>
                <w:rFonts w:asciiTheme="minorHAnsi" w:hAnsiTheme="minorHAnsi" w:eastAsiaTheme="minorEastAsia"/>
                <w:noProof/>
                <w:kern w:val="2"/>
                <w:sz w:val="24"/>
                <w:szCs w:val="24"/>
                <w14:ligatures w14:val="standardContextual"/>
              </w:rPr>
              <w:tab/>
            </w:r>
            <w:r w:rsidRPr="00AE446E">
              <w:rPr>
                <w:rStyle w:val="Hyperlink"/>
                <w:noProof/>
              </w:rPr>
              <w:t>Comfortably California HVAC Statewide Third-Party Program Evaluation, Program Year 2021</w:t>
            </w:r>
            <w:r>
              <w:rPr>
                <w:noProof/>
                <w:webHidden/>
              </w:rPr>
              <w:tab/>
            </w:r>
            <w:r w:rsidRPr="0000158A" w:rsidR="0000158A">
              <w:rPr>
                <w:noProof/>
                <w:webHidden/>
              </w:rPr>
              <w:t>A-</w:t>
            </w:r>
            <w:r>
              <w:rPr>
                <w:noProof/>
                <w:webHidden/>
              </w:rPr>
              <w:fldChar w:fldCharType="begin"/>
            </w:r>
            <w:r>
              <w:rPr>
                <w:noProof/>
                <w:webHidden/>
              </w:rPr>
              <w:instrText xml:space="preserve"> PAGEREF _Toc185271201 \h </w:instrText>
            </w:r>
            <w:r>
              <w:rPr>
                <w:noProof/>
                <w:webHidden/>
              </w:rPr>
            </w:r>
            <w:r>
              <w:rPr>
                <w:noProof/>
                <w:webHidden/>
              </w:rPr>
              <w:fldChar w:fldCharType="separate"/>
            </w:r>
            <w:r w:rsidR="00E812F0">
              <w:rPr>
                <w:noProof/>
                <w:webHidden/>
              </w:rPr>
              <w:t>49</w:t>
            </w:r>
            <w:r>
              <w:rPr>
                <w:noProof/>
                <w:webHidden/>
              </w:rPr>
              <w:fldChar w:fldCharType="end"/>
            </w:r>
          </w:hyperlink>
        </w:p>
        <w:p w:rsidR="008C4832" w:rsidRDefault="008C4832" w14:paraId="631ADDDC" w14:textId="16030377">
          <w:pPr>
            <w:pStyle w:val="TOC3"/>
            <w:tabs>
              <w:tab w:val="left" w:pos="1680"/>
            </w:tabs>
            <w:rPr>
              <w:rFonts w:asciiTheme="minorHAnsi" w:hAnsiTheme="minorHAnsi" w:eastAsiaTheme="minorEastAsia"/>
              <w:noProof/>
              <w:kern w:val="2"/>
              <w:sz w:val="24"/>
              <w:szCs w:val="24"/>
              <w14:ligatures w14:val="standardContextual"/>
            </w:rPr>
          </w:pPr>
          <w:hyperlink w:history="1" w:anchor="_Toc185271202">
            <w:r w:rsidRPr="00AE446E">
              <w:rPr>
                <w:rStyle w:val="Hyperlink"/>
                <w:noProof/>
              </w:rPr>
              <w:t>3.4.2</w:t>
            </w:r>
            <w:r>
              <w:rPr>
                <w:rFonts w:asciiTheme="minorHAnsi" w:hAnsiTheme="minorHAnsi" w:eastAsiaTheme="minorEastAsia"/>
                <w:noProof/>
                <w:kern w:val="2"/>
                <w:sz w:val="24"/>
                <w:szCs w:val="24"/>
                <w14:ligatures w14:val="standardContextual"/>
              </w:rPr>
              <w:tab/>
            </w:r>
            <w:r w:rsidRPr="00AE446E">
              <w:rPr>
                <w:rStyle w:val="Hyperlink"/>
                <w:noProof/>
              </w:rPr>
              <w:t>Foodservice Instant Rebates Statewide Third-Party Program Evaluation, Program Year 2021</w:t>
            </w:r>
            <w:r>
              <w:rPr>
                <w:noProof/>
                <w:webHidden/>
              </w:rPr>
              <w:tab/>
            </w:r>
            <w:r w:rsidRPr="0000158A" w:rsidR="0000158A">
              <w:rPr>
                <w:noProof/>
                <w:webHidden/>
              </w:rPr>
              <w:t>A-</w:t>
            </w:r>
            <w:r>
              <w:rPr>
                <w:noProof/>
                <w:webHidden/>
              </w:rPr>
              <w:fldChar w:fldCharType="begin"/>
            </w:r>
            <w:r>
              <w:rPr>
                <w:noProof/>
                <w:webHidden/>
              </w:rPr>
              <w:instrText xml:space="preserve"> PAGEREF _Toc185271202 \h </w:instrText>
            </w:r>
            <w:r>
              <w:rPr>
                <w:noProof/>
                <w:webHidden/>
              </w:rPr>
            </w:r>
            <w:r>
              <w:rPr>
                <w:noProof/>
                <w:webHidden/>
              </w:rPr>
              <w:fldChar w:fldCharType="separate"/>
            </w:r>
            <w:r w:rsidR="00E812F0">
              <w:rPr>
                <w:noProof/>
                <w:webHidden/>
              </w:rPr>
              <w:t>49</w:t>
            </w:r>
            <w:r>
              <w:rPr>
                <w:noProof/>
                <w:webHidden/>
              </w:rPr>
              <w:fldChar w:fldCharType="end"/>
            </w:r>
          </w:hyperlink>
        </w:p>
        <w:p w:rsidR="008C4832" w:rsidRDefault="008C4832" w14:paraId="18BE24A7" w14:textId="6E052D17">
          <w:pPr>
            <w:pStyle w:val="TOC3"/>
            <w:tabs>
              <w:tab w:val="left" w:pos="1680"/>
            </w:tabs>
            <w:rPr>
              <w:rFonts w:asciiTheme="minorHAnsi" w:hAnsiTheme="minorHAnsi" w:eastAsiaTheme="minorEastAsia"/>
              <w:noProof/>
              <w:kern w:val="2"/>
              <w:sz w:val="24"/>
              <w:szCs w:val="24"/>
              <w14:ligatures w14:val="standardContextual"/>
            </w:rPr>
          </w:pPr>
          <w:hyperlink w:history="1" w:anchor="_Toc185271203">
            <w:r w:rsidRPr="00AE446E">
              <w:rPr>
                <w:rStyle w:val="Hyperlink"/>
                <w:noProof/>
              </w:rPr>
              <w:t>3.4.3</w:t>
            </w:r>
            <w:r>
              <w:rPr>
                <w:rFonts w:asciiTheme="minorHAnsi" w:hAnsiTheme="minorHAnsi" w:eastAsiaTheme="minorEastAsia"/>
                <w:noProof/>
                <w:kern w:val="2"/>
                <w:sz w:val="24"/>
                <w:szCs w:val="24"/>
                <w14:ligatures w14:val="standardContextual"/>
              </w:rPr>
              <w:tab/>
            </w:r>
            <w:r w:rsidRPr="00AE446E">
              <w:rPr>
                <w:rStyle w:val="Hyperlink"/>
                <w:noProof/>
              </w:rPr>
              <w:t>MCE Impact Evaluation Final Report, Program Year 2021</w:t>
            </w:r>
            <w:r>
              <w:rPr>
                <w:noProof/>
                <w:webHidden/>
              </w:rPr>
              <w:tab/>
            </w:r>
            <w:r w:rsidRPr="0000158A" w:rsidR="0000158A">
              <w:rPr>
                <w:noProof/>
                <w:webHidden/>
              </w:rPr>
              <w:t>A-</w:t>
            </w:r>
            <w:r>
              <w:rPr>
                <w:noProof/>
                <w:webHidden/>
              </w:rPr>
              <w:fldChar w:fldCharType="begin"/>
            </w:r>
            <w:r>
              <w:rPr>
                <w:noProof/>
                <w:webHidden/>
              </w:rPr>
              <w:instrText xml:space="preserve"> PAGEREF _Toc185271203 \h </w:instrText>
            </w:r>
            <w:r>
              <w:rPr>
                <w:noProof/>
                <w:webHidden/>
              </w:rPr>
            </w:r>
            <w:r>
              <w:rPr>
                <w:noProof/>
                <w:webHidden/>
              </w:rPr>
              <w:fldChar w:fldCharType="separate"/>
            </w:r>
            <w:r w:rsidR="00E812F0">
              <w:rPr>
                <w:noProof/>
                <w:webHidden/>
              </w:rPr>
              <w:t>50</w:t>
            </w:r>
            <w:r>
              <w:rPr>
                <w:noProof/>
                <w:webHidden/>
              </w:rPr>
              <w:fldChar w:fldCharType="end"/>
            </w:r>
          </w:hyperlink>
        </w:p>
        <w:p w:rsidR="008C4832" w:rsidRDefault="008C4832" w14:paraId="5190EB71" w14:textId="28257753">
          <w:pPr>
            <w:pStyle w:val="TOC3"/>
            <w:tabs>
              <w:tab w:val="left" w:pos="1680"/>
            </w:tabs>
            <w:rPr>
              <w:rFonts w:asciiTheme="minorHAnsi" w:hAnsiTheme="minorHAnsi" w:eastAsiaTheme="minorEastAsia"/>
              <w:noProof/>
              <w:kern w:val="2"/>
              <w:sz w:val="24"/>
              <w:szCs w:val="24"/>
              <w14:ligatures w14:val="standardContextual"/>
            </w:rPr>
          </w:pPr>
          <w:hyperlink w:history="1" w:anchor="_Toc185271204">
            <w:r w:rsidRPr="00AE446E">
              <w:rPr>
                <w:rStyle w:val="Hyperlink"/>
                <w:noProof/>
              </w:rPr>
              <w:t>3.4.4</w:t>
            </w:r>
            <w:r>
              <w:rPr>
                <w:rFonts w:asciiTheme="minorHAnsi" w:hAnsiTheme="minorHAnsi" w:eastAsiaTheme="minorEastAsia"/>
                <w:noProof/>
                <w:kern w:val="2"/>
                <w:sz w:val="24"/>
                <w:szCs w:val="24"/>
                <w14:ligatures w14:val="standardContextual"/>
              </w:rPr>
              <w:tab/>
            </w:r>
            <w:r w:rsidRPr="00AE446E">
              <w:rPr>
                <w:rStyle w:val="Hyperlink"/>
                <w:noProof/>
              </w:rPr>
              <w:t>Program Year 2021 Residential Energy Efficiency Impact Evaluation</w:t>
            </w:r>
            <w:r>
              <w:rPr>
                <w:noProof/>
                <w:webHidden/>
              </w:rPr>
              <w:tab/>
            </w:r>
            <w:r w:rsidRPr="0000158A" w:rsidR="0000158A">
              <w:rPr>
                <w:noProof/>
                <w:webHidden/>
              </w:rPr>
              <w:t>A-</w:t>
            </w:r>
            <w:r>
              <w:rPr>
                <w:noProof/>
                <w:webHidden/>
              </w:rPr>
              <w:fldChar w:fldCharType="begin"/>
            </w:r>
            <w:r>
              <w:rPr>
                <w:noProof/>
                <w:webHidden/>
              </w:rPr>
              <w:instrText xml:space="preserve"> PAGEREF _Toc185271204 \h </w:instrText>
            </w:r>
            <w:r>
              <w:rPr>
                <w:noProof/>
                <w:webHidden/>
              </w:rPr>
            </w:r>
            <w:r>
              <w:rPr>
                <w:noProof/>
                <w:webHidden/>
              </w:rPr>
              <w:fldChar w:fldCharType="separate"/>
            </w:r>
            <w:r w:rsidR="00E812F0">
              <w:rPr>
                <w:noProof/>
                <w:webHidden/>
              </w:rPr>
              <w:t>50</w:t>
            </w:r>
            <w:r>
              <w:rPr>
                <w:noProof/>
                <w:webHidden/>
              </w:rPr>
              <w:fldChar w:fldCharType="end"/>
            </w:r>
          </w:hyperlink>
        </w:p>
        <w:p w:rsidR="008C4832" w:rsidRDefault="008C4832" w14:paraId="3FA5208C" w14:textId="6FD9F6E0">
          <w:pPr>
            <w:pStyle w:val="TOC3"/>
            <w:tabs>
              <w:tab w:val="left" w:pos="1680"/>
            </w:tabs>
            <w:rPr>
              <w:rFonts w:asciiTheme="minorHAnsi" w:hAnsiTheme="minorHAnsi" w:eastAsiaTheme="minorEastAsia"/>
              <w:noProof/>
              <w:kern w:val="2"/>
              <w:sz w:val="24"/>
              <w:szCs w:val="24"/>
              <w14:ligatures w14:val="standardContextual"/>
            </w:rPr>
          </w:pPr>
          <w:hyperlink w:history="1" w:anchor="_Toc185271205">
            <w:r w:rsidRPr="00AE446E">
              <w:rPr>
                <w:rStyle w:val="Hyperlink"/>
                <w:noProof/>
              </w:rPr>
              <w:t>3.4.5</w:t>
            </w:r>
            <w:r>
              <w:rPr>
                <w:rFonts w:asciiTheme="minorHAnsi" w:hAnsiTheme="minorHAnsi" w:eastAsiaTheme="minorEastAsia"/>
                <w:noProof/>
                <w:kern w:val="2"/>
                <w:sz w:val="24"/>
                <w:szCs w:val="24"/>
                <w14:ligatures w14:val="standardContextual"/>
              </w:rPr>
              <w:tab/>
            </w:r>
            <w:r w:rsidRPr="00AE446E">
              <w:rPr>
                <w:rStyle w:val="Hyperlink"/>
                <w:noProof/>
              </w:rPr>
              <w:t>Residential Direct Install Program Impact Evaluation, Program Year 2021</w:t>
            </w:r>
            <w:r>
              <w:rPr>
                <w:noProof/>
                <w:webHidden/>
              </w:rPr>
              <w:tab/>
            </w:r>
            <w:r w:rsidRPr="00575715" w:rsidR="00575715">
              <w:rPr>
                <w:noProof/>
                <w:webHidden/>
              </w:rPr>
              <w:t>A-</w:t>
            </w:r>
            <w:r>
              <w:rPr>
                <w:noProof/>
                <w:webHidden/>
              </w:rPr>
              <w:fldChar w:fldCharType="begin"/>
            </w:r>
            <w:r>
              <w:rPr>
                <w:noProof/>
                <w:webHidden/>
              </w:rPr>
              <w:instrText xml:space="preserve"> PAGEREF _Toc185271205 \h </w:instrText>
            </w:r>
            <w:r>
              <w:rPr>
                <w:noProof/>
                <w:webHidden/>
              </w:rPr>
            </w:r>
            <w:r>
              <w:rPr>
                <w:noProof/>
                <w:webHidden/>
              </w:rPr>
              <w:fldChar w:fldCharType="separate"/>
            </w:r>
            <w:r w:rsidR="00E812F0">
              <w:rPr>
                <w:noProof/>
                <w:webHidden/>
              </w:rPr>
              <w:t>51</w:t>
            </w:r>
            <w:r>
              <w:rPr>
                <w:noProof/>
                <w:webHidden/>
              </w:rPr>
              <w:fldChar w:fldCharType="end"/>
            </w:r>
          </w:hyperlink>
        </w:p>
        <w:p w:rsidR="008C4832" w:rsidRDefault="008C4832" w14:paraId="3CDE742D" w14:textId="787C8061">
          <w:pPr>
            <w:pStyle w:val="TOC3"/>
            <w:tabs>
              <w:tab w:val="left" w:pos="1680"/>
            </w:tabs>
            <w:rPr>
              <w:rFonts w:asciiTheme="minorHAnsi" w:hAnsiTheme="minorHAnsi" w:eastAsiaTheme="minorEastAsia"/>
              <w:noProof/>
              <w:kern w:val="2"/>
              <w:sz w:val="24"/>
              <w:szCs w:val="24"/>
              <w14:ligatures w14:val="standardContextual"/>
            </w:rPr>
          </w:pPr>
          <w:hyperlink w:history="1" w:anchor="_Toc185271206">
            <w:r w:rsidRPr="00AE446E">
              <w:rPr>
                <w:rStyle w:val="Hyperlink"/>
                <w:noProof/>
              </w:rPr>
              <w:t>3.4.6</w:t>
            </w:r>
            <w:r>
              <w:rPr>
                <w:rFonts w:asciiTheme="minorHAnsi" w:hAnsiTheme="minorHAnsi" w:eastAsiaTheme="minorEastAsia"/>
                <w:noProof/>
                <w:kern w:val="2"/>
                <w:sz w:val="24"/>
                <w:szCs w:val="24"/>
                <w14:ligatures w14:val="standardContextual"/>
              </w:rPr>
              <w:tab/>
            </w:r>
            <w:r w:rsidRPr="00AE446E">
              <w:rPr>
                <w:rStyle w:val="Hyperlink"/>
                <w:noProof/>
              </w:rPr>
              <w:t>Local Third-Party Programs Impact Evaluation, Program Year 2021</w:t>
            </w:r>
            <w:r>
              <w:rPr>
                <w:noProof/>
                <w:webHidden/>
              </w:rPr>
              <w:tab/>
            </w:r>
            <w:r w:rsidRPr="00575715" w:rsidR="00575715">
              <w:rPr>
                <w:noProof/>
                <w:webHidden/>
              </w:rPr>
              <w:t>A-</w:t>
            </w:r>
            <w:r>
              <w:rPr>
                <w:noProof/>
                <w:webHidden/>
              </w:rPr>
              <w:fldChar w:fldCharType="begin"/>
            </w:r>
            <w:r>
              <w:rPr>
                <w:noProof/>
                <w:webHidden/>
              </w:rPr>
              <w:instrText xml:space="preserve"> PAGEREF _Toc185271206 \h </w:instrText>
            </w:r>
            <w:r>
              <w:rPr>
                <w:noProof/>
                <w:webHidden/>
              </w:rPr>
            </w:r>
            <w:r>
              <w:rPr>
                <w:noProof/>
                <w:webHidden/>
              </w:rPr>
              <w:fldChar w:fldCharType="separate"/>
            </w:r>
            <w:r w:rsidR="00E812F0">
              <w:rPr>
                <w:noProof/>
                <w:webHidden/>
              </w:rPr>
              <w:t>52</w:t>
            </w:r>
            <w:r>
              <w:rPr>
                <w:noProof/>
                <w:webHidden/>
              </w:rPr>
              <w:fldChar w:fldCharType="end"/>
            </w:r>
          </w:hyperlink>
        </w:p>
        <w:p w:rsidR="008C4832" w:rsidRDefault="008C4832" w14:paraId="3D1BA99B" w14:textId="67717A6F">
          <w:pPr>
            <w:pStyle w:val="TOC3"/>
            <w:tabs>
              <w:tab w:val="left" w:pos="1680"/>
            </w:tabs>
            <w:rPr>
              <w:rFonts w:asciiTheme="minorHAnsi" w:hAnsiTheme="minorHAnsi" w:eastAsiaTheme="minorEastAsia"/>
              <w:noProof/>
              <w:kern w:val="2"/>
              <w:sz w:val="24"/>
              <w:szCs w:val="24"/>
              <w14:ligatures w14:val="standardContextual"/>
            </w:rPr>
          </w:pPr>
          <w:hyperlink w:history="1" w:anchor="_Toc185271207">
            <w:r w:rsidRPr="00AE446E">
              <w:rPr>
                <w:rStyle w:val="Hyperlink"/>
                <w:noProof/>
              </w:rPr>
              <w:t>3.4.7</w:t>
            </w:r>
            <w:r>
              <w:rPr>
                <w:rFonts w:asciiTheme="minorHAnsi" w:hAnsiTheme="minorHAnsi" w:eastAsiaTheme="minorEastAsia"/>
                <w:noProof/>
                <w:kern w:val="2"/>
                <w:sz w:val="24"/>
                <w:szCs w:val="24"/>
                <w14:ligatures w14:val="standardContextual"/>
              </w:rPr>
              <w:tab/>
            </w:r>
            <w:r w:rsidRPr="00AE446E">
              <w:rPr>
                <w:rStyle w:val="Hyperlink"/>
                <w:noProof/>
              </w:rPr>
              <w:t>Southern California Edison’s Plug Load and Appliance Program Impact Evaluation, Program Year 2021</w:t>
            </w:r>
            <w:r>
              <w:rPr>
                <w:noProof/>
                <w:webHidden/>
              </w:rPr>
              <w:tab/>
            </w:r>
            <w:r w:rsidRPr="00575715" w:rsidR="00575715">
              <w:rPr>
                <w:noProof/>
                <w:webHidden/>
              </w:rPr>
              <w:t>A-</w:t>
            </w:r>
            <w:r>
              <w:rPr>
                <w:noProof/>
                <w:webHidden/>
              </w:rPr>
              <w:fldChar w:fldCharType="begin"/>
            </w:r>
            <w:r>
              <w:rPr>
                <w:noProof/>
                <w:webHidden/>
              </w:rPr>
              <w:instrText xml:space="preserve"> PAGEREF _Toc185271207 \h </w:instrText>
            </w:r>
            <w:r>
              <w:rPr>
                <w:noProof/>
                <w:webHidden/>
              </w:rPr>
            </w:r>
            <w:r>
              <w:rPr>
                <w:noProof/>
                <w:webHidden/>
              </w:rPr>
              <w:fldChar w:fldCharType="separate"/>
            </w:r>
            <w:r w:rsidR="00E812F0">
              <w:rPr>
                <w:noProof/>
                <w:webHidden/>
              </w:rPr>
              <w:t>53</w:t>
            </w:r>
            <w:r>
              <w:rPr>
                <w:noProof/>
                <w:webHidden/>
              </w:rPr>
              <w:fldChar w:fldCharType="end"/>
            </w:r>
          </w:hyperlink>
        </w:p>
        <w:p w:rsidR="008C4832" w:rsidRDefault="008C4832" w14:paraId="69466F2E" w14:textId="4D89F4A2">
          <w:pPr>
            <w:pStyle w:val="TOC3"/>
            <w:tabs>
              <w:tab w:val="left" w:pos="1680"/>
            </w:tabs>
            <w:rPr>
              <w:rFonts w:asciiTheme="minorHAnsi" w:hAnsiTheme="minorHAnsi" w:eastAsiaTheme="minorEastAsia"/>
              <w:noProof/>
              <w:kern w:val="2"/>
              <w:sz w:val="24"/>
              <w:szCs w:val="24"/>
              <w14:ligatures w14:val="standardContextual"/>
            </w:rPr>
          </w:pPr>
          <w:hyperlink w:history="1" w:anchor="_Toc185271208">
            <w:r w:rsidRPr="00AE446E">
              <w:rPr>
                <w:rStyle w:val="Hyperlink"/>
                <w:noProof/>
              </w:rPr>
              <w:t>3.4.8</w:t>
            </w:r>
            <w:r>
              <w:rPr>
                <w:rFonts w:asciiTheme="minorHAnsi" w:hAnsiTheme="minorHAnsi" w:eastAsiaTheme="minorEastAsia"/>
                <w:noProof/>
                <w:kern w:val="2"/>
                <w:sz w:val="24"/>
                <w:szCs w:val="24"/>
                <w14:ligatures w14:val="standardContextual"/>
              </w:rPr>
              <w:tab/>
            </w:r>
            <w:r w:rsidRPr="00AE446E">
              <w:rPr>
                <w:rStyle w:val="Hyperlink"/>
                <w:noProof/>
              </w:rPr>
              <w:t>Local Third-Party Programs Impact Evaluation, Program Year 2022</w:t>
            </w:r>
            <w:r>
              <w:rPr>
                <w:noProof/>
                <w:webHidden/>
              </w:rPr>
              <w:tab/>
            </w:r>
            <w:r w:rsidRPr="00575715" w:rsidR="00575715">
              <w:rPr>
                <w:noProof/>
                <w:webHidden/>
              </w:rPr>
              <w:t>A-</w:t>
            </w:r>
            <w:r>
              <w:rPr>
                <w:noProof/>
                <w:webHidden/>
              </w:rPr>
              <w:fldChar w:fldCharType="begin"/>
            </w:r>
            <w:r>
              <w:rPr>
                <w:noProof/>
                <w:webHidden/>
              </w:rPr>
              <w:instrText xml:space="preserve"> PAGEREF _Toc185271208 \h </w:instrText>
            </w:r>
            <w:r>
              <w:rPr>
                <w:noProof/>
                <w:webHidden/>
              </w:rPr>
            </w:r>
            <w:r>
              <w:rPr>
                <w:noProof/>
                <w:webHidden/>
              </w:rPr>
              <w:fldChar w:fldCharType="separate"/>
            </w:r>
            <w:r w:rsidR="00E812F0">
              <w:rPr>
                <w:noProof/>
                <w:webHidden/>
              </w:rPr>
              <w:t>54</w:t>
            </w:r>
            <w:r>
              <w:rPr>
                <w:noProof/>
                <w:webHidden/>
              </w:rPr>
              <w:fldChar w:fldCharType="end"/>
            </w:r>
          </w:hyperlink>
        </w:p>
        <w:p w:rsidR="008C4832" w:rsidRDefault="008C4832" w14:paraId="4E2429AD" w14:textId="31FA76A6">
          <w:pPr>
            <w:pStyle w:val="TOC3"/>
            <w:tabs>
              <w:tab w:val="left" w:pos="1680"/>
            </w:tabs>
            <w:rPr>
              <w:rFonts w:asciiTheme="minorHAnsi" w:hAnsiTheme="minorHAnsi" w:eastAsiaTheme="minorEastAsia"/>
              <w:noProof/>
              <w:kern w:val="2"/>
              <w:sz w:val="24"/>
              <w:szCs w:val="24"/>
              <w14:ligatures w14:val="standardContextual"/>
            </w:rPr>
          </w:pPr>
          <w:hyperlink w:history="1" w:anchor="_Toc185271209">
            <w:r w:rsidRPr="00AE446E">
              <w:rPr>
                <w:rStyle w:val="Hyperlink"/>
                <w:noProof/>
              </w:rPr>
              <w:t>3.4.9</w:t>
            </w:r>
            <w:r>
              <w:rPr>
                <w:rFonts w:asciiTheme="minorHAnsi" w:hAnsiTheme="minorHAnsi" w:eastAsiaTheme="minorEastAsia"/>
                <w:noProof/>
                <w:kern w:val="2"/>
                <w:sz w:val="24"/>
                <w:szCs w:val="24"/>
                <w14:ligatures w14:val="standardContextual"/>
              </w:rPr>
              <w:tab/>
            </w:r>
            <w:r w:rsidRPr="00AE446E">
              <w:rPr>
                <w:rStyle w:val="Hyperlink"/>
                <w:noProof/>
              </w:rPr>
              <w:t>REN Impact Evaluation, Program Year 2022</w:t>
            </w:r>
            <w:r>
              <w:rPr>
                <w:noProof/>
                <w:webHidden/>
              </w:rPr>
              <w:tab/>
            </w:r>
            <w:r w:rsidRPr="00575715" w:rsidR="00575715">
              <w:rPr>
                <w:noProof/>
                <w:webHidden/>
              </w:rPr>
              <w:t>A-</w:t>
            </w:r>
            <w:r>
              <w:rPr>
                <w:noProof/>
                <w:webHidden/>
              </w:rPr>
              <w:fldChar w:fldCharType="begin"/>
            </w:r>
            <w:r>
              <w:rPr>
                <w:noProof/>
                <w:webHidden/>
              </w:rPr>
              <w:instrText xml:space="preserve"> PAGEREF _Toc185271209 \h </w:instrText>
            </w:r>
            <w:r>
              <w:rPr>
                <w:noProof/>
                <w:webHidden/>
              </w:rPr>
            </w:r>
            <w:r>
              <w:rPr>
                <w:noProof/>
                <w:webHidden/>
              </w:rPr>
              <w:fldChar w:fldCharType="separate"/>
            </w:r>
            <w:r w:rsidR="00E812F0">
              <w:rPr>
                <w:noProof/>
                <w:webHidden/>
              </w:rPr>
              <w:t>54</w:t>
            </w:r>
            <w:r>
              <w:rPr>
                <w:noProof/>
                <w:webHidden/>
              </w:rPr>
              <w:fldChar w:fldCharType="end"/>
            </w:r>
          </w:hyperlink>
        </w:p>
        <w:p w:rsidR="008C4832" w:rsidRDefault="008C4832" w14:paraId="5C5FB640" w14:textId="6230F612">
          <w:pPr>
            <w:pStyle w:val="TOC3"/>
            <w:tabs>
              <w:tab w:val="left" w:pos="1680"/>
            </w:tabs>
            <w:rPr>
              <w:rFonts w:asciiTheme="minorHAnsi" w:hAnsiTheme="minorHAnsi" w:eastAsiaTheme="minorEastAsia"/>
              <w:noProof/>
              <w:kern w:val="2"/>
              <w:sz w:val="24"/>
              <w:szCs w:val="24"/>
              <w14:ligatures w14:val="standardContextual"/>
            </w:rPr>
          </w:pPr>
          <w:hyperlink w:history="1" w:anchor="_Toc185271210">
            <w:r w:rsidRPr="00AE446E">
              <w:rPr>
                <w:rStyle w:val="Hyperlink"/>
                <w:noProof/>
              </w:rPr>
              <w:t>3.4.10</w:t>
            </w:r>
            <w:r>
              <w:rPr>
                <w:rFonts w:asciiTheme="minorHAnsi" w:hAnsiTheme="minorHAnsi" w:eastAsiaTheme="minorEastAsia"/>
                <w:noProof/>
                <w:kern w:val="2"/>
                <w:sz w:val="24"/>
                <w:szCs w:val="24"/>
                <w14:ligatures w14:val="standardContextual"/>
              </w:rPr>
              <w:tab/>
            </w:r>
            <w:r w:rsidRPr="00AE446E">
              <w:rPr>
                <w:rStyle w:val="Hyperlink"/>
                <w:noProof/>
              </w:rPr>
              <w:t>Third-Party Commercial Programs Impact Evaluation Program Year 2022</w:t>
            </w:r>
            <w:r>
              <w:rPr>
                <w:noProof/>
                <w:webHidden/>
              </w:rPr>
              <w:tab/>
            </w:r>
            <w:r w:rsidRPr="00575715" w:rsidR="00575715">
              <w:rPr>
                <w:noProof/>
                <w:webHidden/>
              </w:rPr>
              <w:t>A-</w:t>
            </w:r>
            <w:r>
              <w:rPr>
                <w:noProof/>
                <w:webHidden/>
              </w:rPr>
              <w:fldChar w:fldCharType="begin"/>
            </w:r>
            <w:r>
              <w:rPr>
                <w:noProof/>
                <w:webHidden/>
              </w:rPr>
              <w:instrText xml:space="preserve"> PAGEREF _Toc185271210 \h </w:instrText>
            </w:r>
            <w:r>
              <w:rPr>
                <w:noProof/>
                <w:webHidden/>
              </w:rPr>
            </w:r>
            <w:r>
              <w:rPr>
                <w:noProof/>
                <w:webHidden/>
              </w:rPr>
              <w:fldChar w:fldCharType="separate"/>
            </w:r>
            <w:r w:rsidR="00E812F0">
              <w:rPr>
                <w:noProof/>
                <w:webHidden/>
              </w:rPr>
              <w:t>55</w:t>
            </w:r>
            <w:r>
              <w:rPr>
                <w:noProof/>
                <w:webHidden/>
              </w:rPr>
              <w:fldChar w:fldCharType="end"/>
            </w:r>
          </w:hyperlink>
        </w:p>
        <w:p w:rsidR="00566C46" w:rsidRDefault="00566C46" w14:paraId="12838FCE" w14:textId="00979295">
          <w:pPr>
            <w:rPr>
              <w:b/>
              <w:bCs/>
              <w:noProof/>
            </w:rPr>
          </w:pPr>
          <w:r>
            <w:rPr>
              <w:b/>
              <w:bCs/>
              <w:noProof/>
            </w:rPr>
            <w:fldChar w:fldCharType="end"/>
          </w:r>
        </w:p>
        <w:p w:rsidRPr="00334170" w:rsidR="000500D6" w:rsidP="009444C8" w:rsidRDefault="00566C46" w14:paraId="59D89136" w14:textId="77777777">
          <w:pPr>
            <w:pStyle w:val="TableofFigures"/>
            <w:keepNext/>
            <w:rPr>
              <w:rFonts w:ascii="Garamond" w:hAnsi="Garamond" w:eastAsiaTheme="majorEastAsia" w:cstheme="majorBidi"/>
              <w:b/>
              <w:bCs/>
              <w:noProof w:val="0"/>
              <w:sz w:val="28"/>
              <w:szCs w:val="32"/>
            </w:rPr>
          </w:pPr>
          <w:r w:rsidRPr="00334170">
            <w:rPr>
              <w:rFonts w:ascii="Garamond" w:hAnsi="Garamond" w:eastAsiaTheme="majorEastAsia" w:cstheme="majorBidi"/>
              <w:b/>
              <w:bCs/>
              <w:noProof w:val="0"/>
              <w:sz w:val="28"/>
              <w:szCs w:val="32"/>
            </w:rPr>
            <w:t>Tables</w:t>
          </w:r>
        </w:p>
        <w:p w:rsidR="00123080" w:rsidRDefault="00566C46" w14:paraId="108A073C" w14:textId="1CC2B7C3">
          <w:pPr>
            <w:pStyle w:val="TableofFigures"/>
            <w:rPr>
              <w:rFonts w:asciiTheme="minorHAnsi" w:hAnsiTheme="minorHAnsi" w:eastAsiaTheme="minorEastAsia"/>
              <w:kern w:val="2"/>
              <w:sz w:val="24"/>
              <w:szCs w:val="24"/>
              <w14:ligatures w14:val="standardContextual"/>
            </w:rPr>
          </w:pPr>
          <w:r w:rsidRPr="00EE7490">
            <w:rPr>
              <w:rFonts w:ascii="Garamond" w:hAnsi="Garamond" w:eastAsiaTheme="majorEastAsia" w:cstheme="majorBidi"/>
              <w:b/>
              <w:bCs/>
              <w:sz w:val="28"/>
              <w:szCs w:val="32"/>
            </w:rPr>
            <w:fldChar w:fldCharType="begin"/>
          </w:r>
          <w:r w:rsidRPr="00EE7490">
            <w:rPr>
              <w:rFonts w:ascii="Garamond" w:hAnsi="Garamond"/>
              <w:b/>
              <w:bCs/>
            </w:rPr>
            <w:instrText xml:space="preserve"> TOC \h \z \c "Table" </w:instrText>
          </w:r>
          <w:r w:rsidRPr="00EE7490">
            <w:rPr>
              <w:rFonts w:ascii="Garamond" w:hAnsi="Garamond" w:eastAsiaTheme="majorEastAsia" w:cstheme="majorBidi"/>
              <w:b/>
              <w:bCs/>
              <w:sz w:val="28"/>
              <w:szCs w:val="32"/>
            </w:rPr>
            <w:fldChar w:fldCharType="separate"/>
          </w:r>
          <w:hyperlink w:history="1" w:anchor="_Toc185273152">
            <w:r w:rsidRPr="00D3069C" w:rsidR="00123080">
              <w:rPr>
                <w:rStyle w:val="Hyperlink"/>
              </w:rPr>
              <w:t>Table A-1</w:t>
            </w:r>
            <w:r w:rsidRPr="00D3069C" w:rsidR="00123080">
              <w:rPr>
                <w:rStyle w:val="Hyperlink"/>
              </w:rPr>
              <w:noBreakHyphen/>
              <w:t>1. Avoided Cost Calculator Version to use with RACC-FSC_v3.0/v3.1</w:t>
            </w:r>
            <w:r w:rsidR="00123080">
              <w:rPr>
                <w:webHidden/>
              </w:rPr>
              <w:tab/>
              <w:t>A-</w:t>
            </w:r>
            <w:r w:rsidR="00123080">
              <w:rPr>
                <w:webHidden/>
              </w:rPr>
              <w:fldChar w:fldCharType="begin"/>
            </w:r>
            <w:r w:rsidR="00123080">
              <w:rPr>
                <w:webHidden/>
              </w:rPr>
              <w:instrText xml:space="preserve"> PAGEREF _Toc185273152 \h </w:instrText>
            </w:r>
            <w:r w:rsidR="00123080">
              <w:rPr>
                <w:webHidden/>
              </w:rPr>
            </w:r>
            <w:r w:rsidR="00123080">
              <w:rPr>
                <w:webHidden/>
              </w:rPr>
              <w:fldChar w:fldCharType="separate"/>
            </w:r>
            <w:r w:rsidR="00140446">
              <w:rPr>
                <w:webHidden/>
              </w:rPr>
              <w:t>3</w:t>
            </w:r>
            <w:r w:rsidR="00123080">
              <w:rPr>
                <w:webHidden/>
              </w:rPr>
              <w:fldChar w:fldCharType="end"/>
            </w:r>
          </w:hyperlink>
        </w:p>
        <w:p w:rsidR="00123080" w:rsidRDefault="00123080" w14:paraId="1A44535A" w14:textId="14D657E1">
          <w:pPr>
            <w:pStyle w:val="TableofFigures"/>
            <w:rPr>
              <w:rFonts w:asciiTheme="minorHAnsi" w:hAnsiTheme="minorHAnsi" w:eastAsiaTheme="minorEastAsia"/>
              <w:kern w:val="2"/>
              <w:sz w:val="24"/>
              <w:szCs w:val="24"/>
              <w14:ligatures w14:val="standardContextual"/>
            </w:rPr>
          </w:pPr>
          <w:hyperlink w:history="1" w:anchor="_Toc185273153">
            <w:r w:rsidRPr="00D3069C">
              <w:rPr>
                <w:rStyle w:val="Hyperlink"/>
              </w:rPr>
              <w:t>Table A-1</w:t>
            </w:r>
            <w:r w:rsidRPr="00D3069C">
              <w:rPr>
                <w:rStyle w:val="Hyperlink"/>
              </w:rPr>
              <w:noBreakHyphen/>
              <w:t>2. Worksheets to be Completed within RACC-FSC_v3.0/v3.1</w:t>
            </w:r>
            <w:r>
              <w:rPr>
                <w:webHidden/>
              </w:rPr>
              <w:tab/>
            </w:r>
            <w:r w:rsidRPr="008B0AB0" w:rsidR="008B0AB0">
              <w:rPr>
                <w:webHidden/>
              </w:rPr>
              <w:t>A-</w:t>
            </w:r>
            <w:r>
              <w:rPr>
                <w:webHidden/>
              </w:rPr>
              <w:fldChar w:fldCharType="begin"/>
            </w:r>
            <w:r>
              <w:rPr>
                <w:webHidden/>
              </w:rPr>
              <w:instrText xml:space="preserve"> PAGEREF _Toc185273153 \h </w:instrText>
            </w:r>
            <w:r>
              <w:rPr>
                <w:webHidden/>
              </w:rPr>
            </w:r>
            <w:r>
              <w:rPr>
                <w:webHidden/>
              </w:rPr>
              <w:fldChar w:fldCharType="separate"/>
            </w:r>
            <w:r w:rsidR="00140446">
              <w:rPr>
                <w:webHidden/>
              </w:rPr>
              <w:t>4</w:t>
            </w:r>
            <w:r>
              <w:rPr>
                <w:webHidden/>
              </w:rPr>
              <w:fldChar w:fldCharType="end"/>
            </w:r>
          </w:hyperlink>
        </w:p>
        <w:p w:rsidR="00123080" w:rsidRDefault="00123080" w14:paraId="4A3E7345" w14:textId="65B1D71C">
          <w:pPr>
            <w:pStyle w:val="TableofFigures"/>
            <w:rPr>
              <w:rFonts w:asciiTheme="minorHAnsi" w:hAnsiTheme="minorHAnsi" w:eastAsiaTheme="minorEastAsia"/>
              <w:kern w:val="2"/>
              <w:sz w:val="24"/>
              <w:szCs w:val="24"/>
              <w14:ligatures w14:val="standardContextual"/>
            </w:rPr>
          </w:pPr>
          <w:hyperlink w:history="1" w:anchor="_Toc185273154">
            <w:r w:rsidRPr="00D3069C">
              <w:rPr>
                <w:rStyle w:val="Hyperlink"/>
              </w:rPr>
              <w:t>Table A-1</w:t>
            </w:r>
            <w:r w:rsidRPr="00D3069C">
              <w:rPr>
                <w:rStyle w:val="Hyperlink"/>
              </w:rPr>
              <w:noBreakHyphen/>
              <w:t>3. DEER Database Tables Used by RACC-FSC_v3.0/v3.1</w:t>
            </w:r>
            <w:r>
              <w:rPr>
                <w:webHidden/>
              </w:rPr>
              <w:tab/>
            </w:r>
            <w:r w:rsidRPr="008B0AB0" w:rsidR="008B0AB0">
              <w:rPr>
                <w:webHidden/>
              </w:rPr>
              <w:t>A-</w:t>
            </w:r>
            <w:r>
              <w:rPr>
                <w:webHidden/>
              </w:rPr>
              <w:fldChar w:fldCharType="begin"/>
            </w:r>
            <w:r>
              <w:rPr>
                <w:webHidden/>
              </w:rPr>
              <w:instrText xml:space="preserve"> PAGEREF _Toc185273154 \h </w:instrText>
            </w:r>
            <w:r>
              <w:rPr>
                <w:webHidden/>
              </w:rPr>
            </w:r>
            <w:r>
              <w:rPr>
                <w:webHidden/>
              </w:rPr>
              <w:fldChar w:fldCharType="separate"/>
            </w:r>
            <w:r w:rsidR="00140446">
              <w:rPr>
                <w:webHidden/>
              </w:rPr>
              <w:t>5</w:t>
            </w:r>
            <w:r>
              <w:rPr>
                <w:webHidden/>
              </w:rPr>
              <w:fldChar w:fldCharType="end"/>
            </w:r>
          </w:hyperlink>
        </w:p>
        <w:p w:rsidR="00123080" w:rsidRDefault="00123080" w14:paraId="58D8F428" w14:textId="0B00AF1A">
          <w:pPr>
            <w:pStyle w:val="TableofFigures"/>
            <w:rPr>
              <w:rFonts w:asciiTheme="minorHAnsi" w:hAnsiTheme="minorHAnsi" w:eastAsiaTheme="minorEastAsia"/>
              <w:kern w:val="2"/>
              <w:sz w:val="24"/>
              <w:szCs w:val="24"/>
              <w14:ligatures w14:val="standardContextual"/>
            </w:rPr>
          </w:pPr>
          <w:hyperlink w:history="1" w:anchor="_Toc185273155">
            <w:r w:rsidRPr="00D3069C">
              <w:rPr>
                <w:rStyle w:val="Hyperlink"/>
              </w:rPr>
              <w:t>Table A-1</w:t>
            </w:r>
            <w:r w:rsidRPr="00D3069C">
              <w:rPr>
                <w:rStyle w:val="Hyperlink"/>
              </w:rPr>
              <w:noBreakHyphen/>
              <w:t>4. Non-Administrative PAC and TRC Costs for Example Direct Installation and Rebate Programs</w:t>
            </w:r>
            <w:r>
              <w:rPr>
                <w:webHidden/>
              </w:rPr>
              <w:tab/>
            </w:r>
            <w:r w:rsidRPr="008B0AB0" w:rsidR="008B0AB0">
              <w:rPr>
                <w:webHidden/>
              </w:rPr>
              <w:t>A-</w:t>
            </w:r>
            <w:r>
              <w:rPr>
                <w:webHidden/>
              </w:rPr>
              <w:fldChar w:fldCharType="begin"/>
            </w:r>
            <w:r>
              <w:rPr>
                <w:webHidden/>
              </w:rPr>
              <w:instrText xml:space="preserve"> PAGEREF _Toc185273155 \h </w:instrText>
            </w:r>
            <w:r>
              <w:rPr>
                <w:webHidden/>
              </w:rPr>
            </w:r>
            <w:r>
              <w:rPr>
                <w:webHidden/>
              </w:rPr>
              <w:fldChar w:fldCharType="separate"/>
            </w:r>
            <w:r w:rsidR="00140446">
              <w:rPr>
                <w:webHidden/>
              </w:rPr>
              <w:t>12</w:t>
            </w:r>
            <w:r>
              <w:rPr>
                <w:webHidden/>
              </w:rPr>
              <w:fldChar w:fldCharType="end"/>
            </w:r>
          </w:hyperlink>
        </w:p>
        <w:p w:rsidR="00123080" w:rsidRDefault="00123080" w14:paraId="161B976C" w14:textId="35EFDD2A">
          <w:pPr>
            <w:pStyle w:val="TableofFigures"/>
            <w:rPr>
              <w:rFonts w:asciiTheme="minorHAnsi" w:hAnsiTheme="minorHAnsi" w:eastAsiaTheme="minorEastAsia"/>
              <w:kern w:val="2"/>
              <w:sz w:val="24"/>
              <w:szCs w:val="24"/>
              <w14:ligatures w14:val="standardContextual"/>
            </w:rPr>
          </w:pPr>
          <w:hyperlink w:history="1" w:anchor="_Toc185273156">
            <w:r w:rsidRPr="00D3069C">
              <w:rPr>
                <w:rStyle w:val="Hyperlink"/>
              </w:rPr>
              <w:t>Table A-1</w:t>
            </w:r>
            <w:r w:rsidRPr="00D3069C">
              <w:rPr>
                <w:rStyle w:val="Hyperlink"/>
              </w:rPr>
              <w:noBreakHyphen/>
            </w:r>
            <w:r w:rsidR="00367674">
              <w:rPr>
                <w:rStyle w:val="Hyperlink"/>
              </w:rPr>
              <w:t>5</w:t>
            </w:r>
            <w:r w:rsidRPr="00D3069C">
              <w:rPr>
                <w:rStyle w:val="Hyperlink"/>
              </w:rPr>
              <w:t>. Updated E-5152 Table A-3-2. Comparison of CZ2010 and CZ2022 Peak Demand Period Starting Dates</w:t>
            </w:r>
            <w:r>
              <w:rPr>
                <w:webHidden/>
              </w:rPr>
              <w:tab/>
            </w:r>
            <w:r w:rsidRPr="008B0AB0" w:rsidR="008B0AB0">
              <w:rPr>
                <w:webHidden/>
              </w:rPr>
              <w:t>A-</w:t>
            </w:r>
            <w:r>
              <w:rPr>
                <w:webHidden/>
              </w:rPr>
              <w:fldChar w:fldCharType="begin"/>
            </w:r>
            <w:r>
              <w:rPr>
                <w:webHidden/>
              </w:rPr>
              <w:instrText xml:space="preserve"> PAGEREF _Toc185273156 \h </w:instrText>
            </w:r>
            <w:r>
              <w:rPr>
                <w:webHidden/>
              </w:rPr>
            </w:r>
            <w:r>
              <w:rPr>
                <w:webHidden/>
              </w:rPr>
              <w:fldChar w:fldCharType="separate"/>
            </w:r>
            <w:r w:rsidR="00140446">
              <w:rPr>
                <w:webHidden/>
              </w:rPr>
              <w:t>15</w:t>
            </w:r>
            <w:r>
              <w:rPr>
                <w:webHidden/>
              </w:rPr>
              <w:fldChar w:fldCharType="end"/>
            </w:r>
          </w:hyperlink>
        </w:p>
        <w:p w:rsidR="00123080" w:rsidRDefault="00123080" w14:paraId="3B8CCB7F" w14:textId="4B31A62E">
          <w:pPr>
            <w:pStyle w:val="TableofFigures"/>
            <w:rPr>
              <w:rFonts w:asciiTheme="minorHAnsi" w:hAnsiTheme="minorHAnsi" w:eastAsiaTheme="minorEastAsia"/>
              <w:kern w:val="2"/>
              <w:sz w:val="24"/>
              <w:szCs w:val="24"/>
              <w14:ligatures w14:val="standardContextual"/>
            </w:rPr>
          </w:pPr>
          <w:hyperlink w:history="1" w:anchor="_Toc185273157">
            <w:r w:rsidRPr="00D3069C">
              <w:rPr>
                <w:rStyle w:val="Hyperlink"/>
              </w:rPr>
              <w:t>Table A-1</w:t>
            </w:r>
            <w:r w:rsidRPr="00D3069C">
              <w:rPr>
                <w:rStyle w:val="Hyperlink"/>
              </w:rPr>
              <w:noBreakHyphen/>
            </w:r>
            <w:r w:rsidR="00367674">
              <w:rPr>
                <w:rStyle w:val="Hyperlink"/>
              </w:rPr>
              <w:t>6</w:t>
            </w:r>
            <w:r w:rsidRPr="00D3069C">
              <w:rPr>
                <w:rStyle w:val="Hyperlink"/>
              </w:rPr>
              <w:t>. Residential and Commercial Building Vintage Definitions</w:t>
            </w:r>
            <w:r>
              <w:rPr>
                <w:webHidden/>
              </w:rPr>
              <w:tab/>
            </w:r>
            <w:r w:rsidRPr="008B0AB0" w:rsidR="008B0AB0">
              <w:rPr>
                <w:webHidden/>
              </w:rPr>
              <w:t>A-</w:t>
            </w:r>
            <w:r>
              <w:rPr>
                <w:webHidden/>
              </w:rPr>
              <w:fldChar w:fldCharType="begin"/>
            </w:r>
            <w:r>
              <w:rPr>
                <w:webHidden/>
              </w:rPr>
              <w:instrText xml:space="preserve"> PAGEREF _Toc185273157 \h </w:instrText>
            </w:r>
            <w:r>
              <w:rPr>
                <w:webHidden/>
              </w:rPr>
            </w:r>
            <w:r>
              <w:rPr>
                <w:webHidden/>
              </w:rPr>
              <w:fldChar w:fldCharType="separate"/>
            </w:r>
            <w:r w:rsidR="00140446">
              <w:rPr>
                <w:webHidden/>
              </w:rPr>
              <w:t>16</w:t>
            </w:r>
            <w:r>
              <w:rPr>
                <w:webHidden/>
              </w:rPr>
              <w:fldChar w:fldCharType="end"/>
            </w:r>
          </w:hyperlink>
        </w:p>
        <w:p w:rsidR="00123080" w:rsidRDefault="00123080" w14:paraId="2367A8FF" w14:textId="109221C9">
          <w:pPr>
            <w:pStyle w:val="TableofFigures"/>
            <w:rPr>
              <w:rFonts w:asciiTheme="minorHAnsi" w:hAnsiTheme="minorHAnsi" w:eastAsiaTheme="minorEastAsia"/>
              <w:kern w:val="2"/>
              <w:sz w:val="24"/>
              <w:szCs w:val="24"/>
              <w14:ligatures w14:val="standardContextual"/>
            </w:rPr>
          </w:pPr>
          <w:hyperlink w:history="1" w:anchor="_Toc185273158">
            <w:r w:rsidRPr="00D3069C">
              <w:rPr>
                <w:rStyle w:val="Hyperlink"/>
              </w:rPr>
              <w:t>Table A-1</w:t>
            </w:r>
            <w:r w:rsidRPr="00D3069C">
              <w:rPr>
                <w:rStyle w:val="Hyperlink"/>
              </w:rPr>
              <w:noBreakHyphen/>
            </w:r>
            <w:r w:rsidR="00367674">
              <w:rPr>
                <w:rStyle w:val="Hyperlink"/>
              </w:rPr>
              <w:t>7</w:t>
            </w:r>
            <w:r w:rsidRPr="00D3069C">
              <w:rPr>
                <w:rStyle w:val="Hyperlink"/>
              </w:rPr>
              <w:t>. Tentative Timeline for DEER2026-2027 Measure Package Updates Due to 2025 Title-24 California Energy Codes</w:t>
            </w:r>
            <w:r>
              <w:rPr>
                <w:webHidden/>
              </w:rPr>
              <w:tab/>
            </w:r>
            <w:r w:rsidRPr="008B0AB0" w:rsidR="008B0AB0">
              <w:rPr>
                <w:webHidden/>
              </w:rPr>
              <w:t>A-</w:t>
            </w:r>
            <w:r>
              <w:rPr>
                <w:webHidden/>
              </w:rPr>
              <w:fldChar w:fldCharType="begin"/>
            </w:r>
            <w:r>
              <w:rPr>
                <w:webHidden/>
              </w:rPr>
              <w:instrText xml:space="preserve"> PAGEREF _Toc185273158 \h </w:instrText>
            </w:r>
            <w:r>
              <w:rPr>
                <w:webHidden/>
              </w:rPr>
            </w:r>
            <w:r>
              <w:rPr>
                <w:webHidden/>
              </w:rPr>
              <w:fldChar w:fldCharType="separate"/>
            </w:r>
            <w:r w:rsidR="00140446">
              <w:rPr>
                <w:webHidden/>
              </w:rPr>
              <w:t>17</w:t>
            </w:r>
            <w:r>
              <w:rPr>
                <w:webHidden/>
              </w:rPr>
              <w:fldChar w:fldCharType="end"/>
            </w:r>
          </w:hyperlink>
        </w:p>
        <w:p w:rsidR="00123080" w:rsidRDefault="00123080" w14:paraId="5ACAFAA7" w14:textId="757C2CF9">
          <w:pPr>
            <w:pStyle w:val="TableofFigures"/>
            <w:rPr>
              <w:rFonts w:asciiTheme="minorHAnsi" w:hAnsiTheme="minorHAnsi" w:eastAsiaTheme="minorEastAsia"/>
              <w:kern w:val="2"/>
              <w:sz w:val="24"/>
              <w:szCs w:val="24"/>
              <w14:ligatures w14:val="standardContextual"/>
            </w:rPr>
          </w:pPr>
          <w:hyperlink w:history="1" w:anchor="_Toc185273159">
            <w:r w:rsidRPr="00D3069C">
              <w:rPr>
                <w:rStyle w:val="Hyperlink"/>
              </w:rPr>
              <w:t>Table A-1</w:t>
            </w:r>
            <w:r w:rsidRPr="00D3069C">
              <w:rPr>
                <w:rStyle w:val="Hyperlink"/>
              </w:rPr>
              <w:noBreakHyphen/>
            </w:r>
            <w:r w:rsidR="00367674">
              <w:rPr>
                <w:rStyle w:val="Hyperlink"/>
              </w:rPr>
              <w:t>8</w:t>
            </w:r>
            <w:r w:rsidRPr="00D3069C">
              <w:rPr>
                <w:rStyle w:val="Hyperlink"/>
              </w:rPr>
              <w:t>. Tentative PY2028-2029 DEER Update Cycle Timeline</w:t>
            </w:r>
            <w:r>
              <w:rPr>
                <w:webHidden/>
              </w:rPr>
              <w:tab/>
            </w:r>
            <w:r w:rsidRPr="008B0AB0" w:rsidR="008B0AB0">
              <w:rPr>
                <w:webHidden/>
              </w:rPr>
              <w:t>A-</w:t>
            </w:r>
            <w:r>
              <w:rPr>
                <w:webHidden/>
              </w:rPr>
              <w:fldChar w:fldCharType="begin"/>
            </w:r>
            <w:r>
              <w:rPr>
                <w:webHidden/>
              </w:rPr>
              <w:instrText xml:space="preserve"> PAGEREF _Toc185273159 \h </w:instrText>
            </w:r>
            <w:r>
              <w:rPr>
                <w:webHidden/>
              </w:rPr>
            </w:r>
            <w:r>
              <w:rPr>
                <w:webHidden/>
              </w:rPr>
              <w:fldChar w:fldCharType="separate"/>
            </w:r>
            <w:r w:rsidR="00140446">
              <w:rPr>
                <w:webHidden/>
              </w:rPr>
              <w:t>18</w:t>
            </w:r>
            <w:r>
              <w:rPr>
                <w:webHidden/>
              </w:rPr>
              <w:fldChar w:fldCharType="end"/>
            </w:r>
          </w:hyperlink>
        </w:p>
        <w:p w:rsidR="00123080" w:rsidRDefault="00123080" w14:paraId="37FEC577" w14:textId="4A076D56">
          <w:pPr>
            <w:pStyle w:val="TableofFigures"/>
            <w:rPr>
              <w:rFonts w:asciiTheme="minorHAnsi" w:hAnsiTheme="minorHAnsi" w:eastAsiaTheme="minorEastAsia"/>
              <w:kern w:val="2"/>
              <w:sz w:val="24"/>
              <w:szCs w:val="24"/>
              <w14:ligatures w14:val="standardContextual"/>
            </w:rPr>
          </w:pPr>
          <w:hyperlink w:history="1" w:anchor="_Toc185273160">
            <w:r w:rsidRPr="00D3069C">
              <w:rPr>
                <w:rStyle w:val="Hyperlink"/>
              </w:rPr>
              <w:t>Table A-1</w:t>
            </w:r>
            <w:r w:rsidRPr="00D3069C">
              <w:rPr>
                <w:rStyle w:val="Hyperlink"/>
              </w:rPr>
              <w:noBreakHyphen/>
            </w:r>
            <w:r w:rsidR="00367674">
              <w:rPr>
                <w:rStyle w:val="Hyperlink"/>
              </w:rPr>
              <w:t>9</w:t>
            </w:r>
            <w:r w:rsidRPr="00D3069C">
              <w:rPr>
                <w:rStyle w:val="Hyperlink"/>
              </w:rPr>
              <w:t>. Anticipated Timeline for DEER2028-2029 Measure Package Updates from PA-Led Research</w:t>
            </w:r>
            <w:r>
              <w:rPr>
                <w:webHidden/>
              </w:rPr>
              <w:tab/>
            </w:r>
            <w:r w:rsidRPr="008B0AB0" w:rsidR="008B0AB0">
              <w:rPr>
                <w:webHidden/>
              </w:rPr>
              <w:t>A-</w:t>
            </w:r>
            <w:r>
              <w:rPr>
                <w:webHidden/>
              </w:rPr>
              <w:fldChar w:fldCharType="begin"/>
            </w:r>
            <w:r>
              <w:rPr>
                <w:webHidden/>
              </w:rPr>
              <w:instrText xml:space="preserve"> PAGEREF _Toc185273160 \h </w:instrText>
            </w:r>
            <w:r>
              <w:rPr>
                <w:webHidden/>
              </w:rPr>
            </w:r>
            <w:r>
              <w:rPr>
                <w:webHidden/>
              </w:rPr>
              <w:fldChar w:fldCharType="separate"/>
            </w:r>
            <w:r w:rsidR="00140446">
              <w:rPr>
                <w:webHidden/>
              </w:rPr>
              <w:t>19</w:t>
            </w:r>
            <w:r>
              <w:rPr>
                <w:webHidden/>
              </w:rPr>
              <w:fldChar w:fldCharType="end"/>
            </w:r>
          </w:hyperlink>
        </w:p>
        <w:p w:rsidR="00123080" w:rsidRDefault="00123080" w14:paraId="43EA362E" w14:textId="6145FCC9">
          <w:pPr>
            <w:pStyle w:val="TableofFigures"/>
            <w:rPr>
              <w:rFonts w:asciiTheme="minorHAnsi" w:hAnsiTheme="minorHAnsi" w:eastAsiaTheme="minorEastAsia"/>
              <w:kern w:val="2"/>
              <w:sz w:val="24"/>
              <w:szCs w:val="24"/>
              <w14:ligatures w14:val="standardContextual"/>
            </w:rPr>
          </w:pPr>
          <w:hyperlink w:history="1" w:anchor="_Toc185273161">
            <w:r w:rsidRPr="00D3069C">
              <w:rPr>
                <w:rStyle w:val="Hyperlink"/>
              </w:rPr>
              <w:t>Table A-1</w:t>
            </w:r>
            <w:r w:rsidRPr="00D3069C">
              <w:rPr>
                <w:rStyle w:val="Hyperlink"/>
              </w:rPr>
              <w:noBreakHyphen/>
            </w:r>
            <w:r w:rsidR="00367674">
              <w:rPr>
                <w:rStyle w:val="Hyperlink"/>
              </w:rPr>
              <w:t>10</w:t>
            </w:r>
            <w:r w:rsidRPr="00D3069C">
              <w:rPr>
                <w:rStyle w:val="Hyperlink"/>
              </w:rPr>
              <w:t>. Measure packages affected by EPA refrigerant standards updates in 2025</w:t>
            </w:r>
            <w:r>
              <w:rPr>
                <w:webHidden/>
              </w:rPr>
              <w:tab/>
            </w:r>
            <w:r w:rsidRPr="008B0AB0" w:rsidR="008B0AB0">
              <w:rPr>
                <w:webHidden/>
              </w:rPr>
              <w:t>A-</w:t>
            </w:r>
            <w:r>
              <w:rPr>
                <w:webHidden/>
              </w:rPr>
              <w:fldChar w:fldCharType="begin"/>
            </w:r>
            <w:r>
              <w:rPr>
                <w:webHidden/>
              </w:rPr>
              <w:instrText xml:space="preserve"> PAGEREF _Toc185273161 \h </w:instrText>
            </w:r>
            <w:r>
              <w:rPr>
                <w:webHidden/>
              </w:rPr>
            </w:r>
            <w:r>
              <w:rPr>
                <w:webHidden/>
              </w:rPr>
              <w:fldChar w:fldCharType="separate"/>
            </w:r>
            <w:r w:rsidR="00140446">
              <w:rPr>
                <w:webHidden/>
              </w:rPr>
              <w:t>20</w:t>
            </w:r>
            <w:r>
              <w:rPr>
                <w:webHidden/>
              </w:rPr>
              <w:fldChar w:fldCharType="end"/>
            </w:r>
          </w:hyperlink>
        </w:p>
        <w:p w:rsidR="00123080" w:rsidRDefault="00123080" w14:paraId="0B2D5549" w14:textId="46F0B057">
          <w:pPr>
            <w:pStyle w:val="TableofFigures"/>
            <w:rPr>
              <w:rFonts w:asciiTheme="minorHAnsi" w:hAnsiTheme="minorHAnsi" w:eastAsiaTheme="minorEastAsia"/>
              <w:kern w:val="2"/>
              <w:sz w:val="24"/>
              <w:szCs w:val="24"/>
              <w14:ligatures w14:val="standardContextual"/>
            </w:rPr>
          </w:pPr>
          <w:hyperlink w:history="1" w:anchor="_Toc185273162">
            <w:r w:rsidRPr="00D3069C">
              <w:rPr>
                <w:rStyle w:val="Hyperlink"/>
              </w:rPr>
              <w:t>Table A-1</w:t>
            </w:r>
            <w:r w:rsidRPr="00D3069C">
              <w:rPr>
                <w:rStyle w:val="Hyperlink"/>
              </w:rPr>
              <w:noBreakHyphen/>
              <w:t xml:space="preserve">11. Fields in </w:t>
            </w:r>
            <w:r w:rsidRPr="00D3069C">
              <w:rPr>
                <w:rStyle w:val="Hyperlink"/>
                <w:i/>
                <w:iCs/>
              </w:rPr>
              <w:t>FuelID</w:t>
            </w:r>
            <w:r w:rsidRPr="00D3069C">
              <w:rPr>
                <w:rStyle w:val="Hyperlink"/>
              </w:rPr>
              <w:t xml:space="preserve"> Table for DEER2026</w:t>
            </w:r>
            <w:r>
              <w:rPr>
                <w:webHidden/>
              </w:rPr>
              <w:tab/>
            </w:r>
            <w:r w:rsidRPr="008B0AB0" w:rsidR="008B0AB0">
              <w:rPr>
                <w:webHidden/>
              </w:rPr>
              <w:t>A-</w:t>
            </w:r>
            <w:r>
              <w:rPr>
                <w:webHidden/>
              </w:rPr>
              <w:fldChar w:fldCharType="begin"/>
            </w:r>
            <w:r>
              <w:rPr>
                <w:webHidden/>
              </w:rPr>
              <w:instrText xml:space="preserve"> PAGEREF _Toc185273162 \h </w:instrText>
            </w:r>
            <w:r>
              <w:rPr>
                <w:webHidden/>
              </w:rPr>
            </w:r>
            <w:r>
              <w:rPr>
                <w:webHidden/>
              </w:rPr>
              <w:fldChar w:fldCharType="separate"/>
            </w:r>
            <w:r w:rsidR="00140446">
              <w:rPr>
                <w:webHidden/>
              </w:rPr>
              <w:t>22</w:t>
            </w:r>
            <w:r>
              <w:rPr>
                <w:webHidden/>
              </w:rPr>
              <w:fldChar w:fldCharType="end"/>
            </w:r>
          </w:hyperlink>
        </w:p>
        <w:p w:rsidR="00123080" w:rsidRDefault="00123080" w14:paraId="652D8B70" w14:textId="7F5B3701">
          <w:pPr>
            <w:pStyle w:val="TableofFigures"/>
            <w:rPr>
              <w:rFonts w:asciiTheme="minorHAnsi" w:hAnsiTheme="minorHAnsi" w:eastAsiaTheme="minorEastAsia"/>
              <w:kern w:val="2"/>
              <w:sz w:val="24"/>
              <w:szCs w:val="24"/>
              <w14:ligatures w14:val="standardContextual"/>
            </w:rPr>
          </w:pPr>
          <w:hyperlink w:history="1" w:anchor="_Toc185273163">
            <w:r w:rsidRPr="00D3069C">
              <w:rPr>
                <w:rStyle w:val="Hyperlink"/>
              </w:rPr>
              <w:t>Table A-1</w:t>
            </w:r>
            <w:r w:rsidRPr="00D3069C">
              <w:rPr>
                <w:rStyle w:val="Hyperlink"/>
              </w:rPr>
              <w:noBreakHyphen/>
              <w:t>12. Modifications to TechType Table</w:t>
            </w:r>
            <w:r>
              <w:rPr>
                <w:webHidden/>
              </w:rPr>
              <w:tab/>
            </w:r>
            <w:r w:rsidRPr="008B0AB0" w:rsidR="008B0AB0">
              <w:rPr>
                <w:webHidden/>
              </w:rPr>
              <w:t>A-</w:t>
            </w:r>
            <w:r>
              <w:rPr>
                <w:webHidden/>
              </w:rPr>
              <w:fldChar w:fldCharType="begin"/>
            </w:r>
            <w:r>
              <w:rPr>
                <w:webHidden/>
              </w:rPr>
              <w:instrText xml:space="preserve"> PAGEREF _Toc185273163 \h </w:instrText>
            </w:r>
            <w:r>
              <w:rPr>
                <w:webHidden/>
              </w:rPr>
            </w:r>
            <w:r>
              <w:rPr>
                <w:webHidden/>
              </w:rPr>
              <w:fldChar w:fldCharType="separate"/>
            </w:r>
            <w:r w:rsidR="00140446">
              <w:rPr>
                <w:webHidden/>
              </w:rPr>
              <w:t>23</w:t>
            </w:r>
            <w:r>
              <w:rPr>
                <w:webHidden/>
              </w:rPr>
              <w:fldChar w:fldCharType="end"/>
            </w:r>
          </w:hyperlink>
        </w:p>
        <w:p w:rsidR="00123080" w:rsidRDefault="00123080" w14:paraId="1F4B3130" w14:textId="4413CED6">
          <w:pPr>
            <w:pStyle w:val="TableofFigures"/>
            <w:rPr>
              <w:rFonts w:asciiTheme="minorHAnsi" w:hAnsiTheme="minorHAnsi" w:eastAsiaTheme="minorEastAsia"/>
              <w:kern w:val="2"/>
              <w:sz w:val="24"/>
              <w:szCs w:val="24"/>
              <w14:ligatures w14:val="standardContextual"/>
            </w:rPr>
          </w:pPr>
          <w:hyperlink w:history="1" w:anchor="_Toc185273164">
            <w:r w:rsidRPr="00D3069C">
              <w:rPr>
                <w:rStyle w:val="Hyperlink"/>
              </w:rPr>
              <w:t>Table A-1</w:t>
            </w:r>
            <w:r w:rsidRPr="00D3069C">
              <w:rPr>
                <w:rStyle w:val="Hyperlink"/>
              </w:rPr>
              <w:noBreakHyphen/>
              <w:t>13. DEER2026 Delivery Types</w:t>
            </w:r>
            <w:r>
              <w:rPr>
                <w:webHidden/>
              </w:rPr>
              <w:tab/>
            </w:r>
            <w:r w:rsidRPr="008B0AB0" w:rsidR="008B0AB0">
              <w:rPr>
                <w:webHidden/>
              </w:rPr>
              <w:t>A-</w:t>
            </w:r>
            <w:r>
              <w:rPr>
                <w:webHidden/>
              </w:rPr>
              <w:fldChar w:fldCharType="begin"/>
            </w:r>
            <w:r>
              <w:rPr>
                <w:webHidden/>
              </w:rPr>
              <w:instrText xml:space="preserve"> PAGEREF _Toc185273164 \h </w:instrText>
            </w:r>
            <w:r>
              <w:rPr>
                <w:webHidden/>
              </w:rPr>
            </w:r>
            <w:r>
              <w:rPr>
                <w:webHidden/>
              </w:rPr>
              <w:fldChar w:fldCharType="separate"/>
            </w:r>
            <w:r w:rsidR="00140446">
              <w:rPr>
                <w:webHidden/>
              </w:rPr>
              <w:t>25</w:t>
            </w:r>
            <w:r>
              <w:rPr>
                <w:webHidden/>
              </w:rPr>
              <w:fldChar w:fldCharType="end"/>
            </w:r>
          </w:hyperlink>
        </w:p>
        <w:p w:rsidR="00123080" w:rsidRDefault="00123080" w14:paraId="22AACEB0" w14:textId="69C864FF">
          <w:pPr>
            <w:pStyle w:val="TableofFigures"/>
            <w:rPr>
              <w:rFonts w:asciiTheme="minorHAnsi" w:hAnsiTheme="minorHAnsi" w:eastAsiaTheme="minorEastAsia"/>
              <w:kern w:val="2"/>
              <w:sz w:val="24"/>
              <w:szCs w:val="24"/>
              <w14:ligatures w14:val="standardContextual"/>
            </w:rPr>
          </w:pPr>
          <w:hyperlink w:history="1" w:anchor="_Toc185273165">
            <w:r w:rsidRPr="00D3069C">
              <w:rPr>
                <w:rStyle w:val="Hyperlink"/>
              </w:rPr>
              <w:t>Table A-1</w:t>
            </w:r>
            <w:r w:rsidRPr="00D3069C">
              <w:rPr>
                <w:rStyle w:val="Hyperlink"/>
              </w:rPr>
              <w:noBreakHyphen/>
              <w:t>14. DEER2026 Measure Impact Types</w:t>
            </w:r>
            <w:r>
              <w:rPr>
                <w:webHidden/>
              </w:rPr>
              <w:tab/>
            </w:r>
            <w:r w:rsidRPr="008B0AB0" w:rsidR="008B0AB0">
              <w:rPr>
                <w:webHidden/>
              </w:rPr>
              <w:t>A-</w:t>
            </w:r>
            <w:r>
              <w:rPr>
                <w:webHidden/>
              </w:rPr>
              <w:fldChar w:fldCharType="begin"/>
            </w:r>
            <w:r>
              <w:rPr>
                <w:webHidden/>
              </w:rPr>
              <w:instrText xml:space="preserve"> PAGEREF _Toc185273165 \h </w:instrText>
            </w:r>
            <w:r>
              <w:rPr>
                <w:webHidden/>
              </w:rPr>
            </w:r>
            <w:r>
              <w:rPr>
                <w:webHidden/>
              </w:rPr>
              <w:fldChar w:fldCharType="separate"/>
            </w:r>
            <w:r w:rsidR="00140446">
              <w:rPr>
                <w:webHidden/>
              </w:rPr>
              <w:t>26</w:t>
            </w:r>
            <w:r>
              <w:rPr>
                <w:webHidden/>
              </w:rPr>
              <w:fldChar w:fldCharType="end"/>
            </w:r>
          </w:hyperlink>
        </w:p>
        <w:p w:rsidR="00123080" w:rsidRDefault="00123080" w14:paraId="0DC7FE06" w14:textId="31E51810">
          <w:pPr>
            <w:pStyle w:val="TableofFigures"/>
            <w:rPr>
              <w:rFonts w:asciiTheme="minorHAnsi" w:hAnsiTheme="minorHAnsi" w:eastAsiaTheme="minorEastAsia"/>
              <w:kern w:val="2"/>
              <w:sz w:val="24"/>
              <w:szCs w:val="24"/>
              <w14:ligatures w14:val="standardContextual"/>
            </w:rPr>
          </w:pPr>
          <w:hyperlink w:history="1" w:anchor="_Toc185273166">
            <w:r w:rsidRPr="00D3069C">
              <w:rPr>
                <w:rStyle w:val="Hyperlink"/>
              </w:rPr>
              <w:t>Table A-1</w:t>
            </w:r>
            <w:r w:rsidRPr="00D3069C">
              <w:rPr>
                <w:rStyle w:val="Hyperlink"/>
              </w:rPr>
              <w:noBreakHyphen/>
              <w:t>15. Residential Weatherization EULs</w:t>
            </w:r>
            <w:r>
              <w:rPr>
                <w:webHidden/>
              </w:rPr>
              <w:tab/>
            </w:r>
            <w:r w:rsidRPr="008B0AB0" w:rsidR="008B0AB0">
              <w:rPr>
                <w:webHidden/>
              </w:rPr>
              <w:t>A-</w:t>
            </w:r>
            <w:r>
              <w:rPr>
                <w:webHidden/>
              </w:rPr>
              <w:fldChar w:fldCharType="begin"/>
            </w:r>
            <w:r>
              <w:rPr>
                <w:webHidden/>
              </w:rPr>
              <w:instrText xml:space="preserve"> PAGEREF _Toc185273166 \h </w:instrText>
            </w:r>
            <w:r>
              <w:rPr>
                <w:webHidden/>
              </w:rPr>
            </w:r>
            <w:r>
              <w:rPr>
                <w:webHidden/>
              </w:rPr>
              <w:fldChar w:fldCharType="separate"/>
            </w:r>
            <w:r w:rsidR="00140446">
              <w:rPr>
                <w:webHidden/>
              </w:rPr>
              <w:t>27</w:t>
            </w:r>
            <w:r>
              <w:rPr>
                <w:webHidden/>
              </w:rPr>
              <w:fldChar w:fldCharType="end"/>
            </w:r>
          </w:hyperlink>
        </w:p>
        <w:p w:rsidR="00123080" w:rsidRDefault="00123080" w14:paraId="4C68D59D" w14:textId="6BBE2689">
          <w:pPr>
            <w:pStyle w:val="TableofFigures"/>
            <w:rPr>
              <w:rFonts w:asciiTheme="minorHAnsi" w:hAnsiTheme="minorHAnsi" w:eastAsiaTheme="minorEastAsia"/>
              <w:kern w:val="2"/>
              <w:sz w:val="24"/>
              <w:szCs w:val="24"/>
              <w14:ligatures w14:val="standardContextual"/>
            </w:rPr>
          </w:pPr>
          <w:hyperlink w:history="1" w:anchor="_Toc185273167">
            <w:r w:rsidRPr="00D3069C">
              <w:rPr>
                <w:rStyle w:val="Hyperlink"/>
              </w:rPr>
              <w:t>Table A-1</w:t>
            </w:r>
            <w:r w:rsidRPr="00D3069C">
              <w:rPr>
                <w:rStyle w:val="Hyperlink"/>
              </w:rPr>
              <w:noBreakHyphen/>
              <w:t>16. Mid-cycle EULs added to DEER</w:t>
            </w:r>
            <w:r>
              <w:rPr>
                <w:webHidden/>
              </w:rPr>
              <w:tab/>
            </w:r>
            <w:r w:rsidRPr="008B0AB0" w:rsidR="008B0AB0">
              <w:rPr>
                <w:webHidden/>
              </w:rPr>
              <w:t>A-</w:t>
            </w:r>
            <w:r>
              <w:rPr>
                <w:webHidden/>
              </w:rPr>
              <w:fldChar w:fldCharType="begin"/>
            </w:r>
            <w:r>
              <w:rPr>
                <w:webHidden/>
              </w:rPr>
              <w:instrText xml:space="preserve"> PAGEREF _Toc185273167 \h </w:instrText>
            </w:r>
            <w:r>
              <w:rPr>
                <w:webHidden/>
              </w:rPr>
            </w:r>
            <w:r>
              <w:rPr>
                <w:webHidden/>
              </w:rPr>
              <w:fldChar w:fldCharType="separate"/>
            </w:r>
            <w:r w:rsidR="00140446">
              <w:rPr>
                <w:webHidden/>
              </w:rPr>
              <w:t>27</w:t>
            </w:r>
            <w:r>
              <w:rPr>
                <w:webHidden/>
              </w:rPr>
              <w:fldChar w:fldCharType="end"/>
            </w:r>
          </w:hyperlink>
        </w:p>
        <w:p w:rsidR="00123080" w:rsidRDefault="00123080" w14:paraId="6CD7D308" w14:textId="410C8DF0">
          <w:pPr>
            <w:pStyle w:val="TableofFigures"/>
            <w:rPr>
              <w:rFonts w:asciiTheme="minorHAnsi" w:hAnsiTheme="minorHAnsi" w:eastAsiaTheme="minorEastAsia"/>
              <w:kern w:val="2"/>
              <w:sz w:val="24"/>
              <w:szCs w:val="24"/>
              <w14:ligatures w14:val="standardContextual"/>
            </w:rPr>
          </w:pPr>
          <w:hyperlink w:history="1" w:anchor="_Toc185273168">
            <w:r w:rsidRPr="00D3069C">
              <w:rPr>
                <w:rStyle w:val="Hyperlink"/>
              </w:rPr>
              <w:t>Table A-1</w:t>
            </w:r>
            <w:r w:rsidRPr="00D3069C">
              <w:rPr>
                <w:rStyle w:val="Hyperlink"/>
              </w:rPr>
              <w:noBreakHyphen/>
              <w:t>17. TechTypes added to DEER</w:t>
            </w:r>
            <w:r>
              <w:rPr>
                <w:webHidden/>
              </w:rPr>
              <w:tab/>
            </w:r>
            <w:r w:rsidRPr="008B0AB0" w:rsidR="008B0AB0">
              <w:rPr>
                <w:webHidden/>
              </w:rPr>
              <w:t>A-</w:t>
            </w:r>
            <w:r>
              <w:rPr>
                <w:webHidden/>
              </w:rPr>
              <w:fldChar w:fldCharType="begin"/>
            </w:r>
            <w:r>
              <w:rPr>
                <w:webHidden/>
              </w:rPr>
              <w:instrText xml:space="preserve"> PAGEREF _Toc185273168 \h </w:instrText>
            </w:r>
            <w:r>
              <w:rPr>
                <w:webHidden/>
              </w:rPr>
            </w:r>
            <w:r>
              <w:rPr>
                <w:webHidden/>
              </w:rPr>
              <w:fldChar w:fldCharType="separate"/>
            </w:r>
            <w:r w:rsidR="00140446">
              <w:rPr>
                <w:webHidden/>
              </w:rPr>
              <w:t>29</w:t>
            </w:r>
            <w:r>
              <w:rPr>
                <w:webHidden/>
              </w:rPr>
              <w:fldChar w:fldCharType="end"/>
            </w:r>
          </w:hyperlink>
        </w:p>
        <w:p w:rsidR="00123080" w:rsidRDefault="00123080" w14:paraId="2EC7C26F" w14:textId="42289E38">
          <w:pPr>
            <w:pStyle w:val="TableofFigures"/>
            <w:rPr>
              <w:rFonts w:asciiTheme="minorHAnsi" w:hAnsiTheme="minorHAnsi" w:eastAsiaTheme="minorEastAsia"/>
              <w:kern w:val="2"/>
              <w:sz w:val="24"/>
              <w:szCs w:val="24"/>
              <w14:ligatures w14:val="standardContextual"/>
            </w:rPr>
          </w:pPr>
          <w:hyperlink w:history="1" w:anchor="_Toc185273169">
            <w:r w:rsidRPr="00D3069C">
              <w:rPr>
                <w:rStyle w:val="Hyperlink"/>
              </w:rPr>
              <w:t>Table A-3</w:t>
            </w:r>
            <w:r w:rsidRPr="00D3069C">
              <w:rPr>
                <w:rStyle w:val="Hyperlink"/>
              </w:rPr>
              <w:noBreakHyphen/>
              <w:t>1. EUL Results from 2023 Residential Insulation EUL Study</w:t>
            </w:r>
            <w:r>
              <w:rPr>
                <w:webHidden/>
              </w:rPr>
              <w:tab/>
            </w:r>
            <w:r w:rsidRPr="008B0AB0" w:rsidR="008B0AB0">
              <w:rPr>
                <w:webHidden/>
              </w:rPr>
              <w:t>A-</w:t>
            </w:r>
            <w:r>
              <w:rPr>
                <w:webHidden/>
              </w:rPr>
              <w:fldChar w:fldCharType="begin"/>
            </w:r>
            <w:r>
              <w:rPr>
                <w:webHidden/>
              </w:rPr>
              <w:instrText xml:space="preserve"> PAGEREF _Toc185273169 \h </w:instrText>
            </w:r>
            <w:r>
              <w:rPr>
                <w:webHidden/>
              </w:rPr>
            </w:r>
            <w:r>
              <w:rPr>
                <w:webHidden/>
              </w:rPr>
              <w:fldChar w:fldCharType="separate"/>
            </w:r>
            <w:r w:rsidR="00140446">
              <w:rPr>
                <w:webHidden/>
              </w:rPr>
              <w:t>33</w:t>
            </w:r>
            <w:r>
              <w:rPr>
                <w:webHidden/>
              </w:rPr>
              <w:fldChar w:fldCharType="end"/>
            </w:r>
          </w:hyperlink>
        </w:p>
        <w:p w:rsidR="00123080" w:rsidRDefault="00123080" w14:paraId="407ADEC9" w14:textId="690536B1">
          <w:pPr>
            <w:pStyle w:val="TableofFigures"/>
            <w:rPr>
              <w:rFonts w:asciiTheme="minorHAnsi" w:hAnsiTheme="minorHAnsi" w:eastAsiaTheme="minorEastAsia"/>
              <w:kern w:val="2"/>
              <w:sz w:val="24"/>
              <w:szCs w:val="24"/>
              <w14:ligatures w14:val="standardContextual"/>
            </w:rPr>
          </w:pPr>
          <w:hyperlink w:history="1" w:anchor="_Toc185273170">
            <w:r w:rsidRPr="00D3069C">
              <w:rPr>
                <w:rStyle w:val="Hyperlink"/>
              </w:rPr>
              <w:t>Table A-3</w:t>
            </w:r>
            <w:r w:rsidRPr="00D3069C">
              <w:rPr>
                <w:rStyle w:val="Hyperlink"/>
              </w:rPr>
              <w:noBreakHyphen/>
              <w:t>2. Results from 2023 Residential HVAC and Water Heating EUL Study</w:t>
            </w:r>
            <w:r>
              <w:rPr>
                <w:webHidden/>
              </w:rPr>
              <w:tab/>
            </w:r>
            <w:r w:rsidRPr="008B0AB0" w:rsidR="008B0AB0">
              <w:rPr>
                <w:webHidden/>
              </w:rPr>
              <w:t>A-</w:t>
            </w:r>
            <w:r>
              <w:rPr>
                <w:webHidden/>
              </w:rPr>
              <w:fldChar w:fldCharType="begin"/>
            </w:r>
            <w:r>
              <w:rPr>
                <w:webHidden/>
              </w:rPr>
              <w:instrText xml:space="preserve"> PAGEREF _Toc185273170 \h </w:instrText>
            </w:r>
            <w:r>
              <w:rPr>
                <w:webHidden/>
              </w:rPr>
            </w:r>
            <w:r>
              <w:rPr>
                <w:webHidden/>
              </w:rPr>
              <w:fldChar w:fldCharType="separate"/>
            </w:r>
            <w:r w:rsidR="00140446">
              <w:rPr>
                <w:webHidden/>
              </w:rPr>
              <w:t>34</w:t>
            </w:r>
            <w:r>
              <w:rPr>
                <w:webHidden/>
              </w:rPr>
              <w:fldChar w:fldCharType="end"/>
            </w:r>
          </w:hyperlink>
        </w:p>
        <w:p w:rsidR="00123080" w:rsidRDefault="00123080" w14:paraId="44C1A348" w14:textId="6DEDBF30">
          <w:pPr>
            <w:pStyle w:val="TableofFigures"/>
            <w:rPr>
              <w:rFonts w:asciiTheme="minorHAnsi" w:hAnsiTheme="minorHAnsi" w:eastAsiaTheme="minorEastAsia"/>
              <w:kern w:val="2"/>
              <w:sz w:val="24"/>
              <w:szCs w:val="24"/>
              <w14:ligatures w14:val="standardContextual"/>
            </w:rPr>
          </w:pPr>
          <w:hyperlink w:history="1" w:anchor="_Toc185273171">
            <w:r w:rsidRPr="00D3069C">
              <w:rPr>
                <w:rStyle w:val="Hyperlink"/>
              </w:rPr>
              <w:t>Table A-3</w:t>
            </w:r>
            <w:r w:rsidRPr="00D3069C">
              <w:rPr>
                <w:rStyle w:val="Hyperlink"/>
              </w:rPr>
              <w:noBreakHyphen/>
              <w:t>3. EUL Results from 2023 Commercial HVAC and Water Heating EUL Study</w:t>
            </w:r>
            <w:r>
              <w:rPr>
                <w:webHidden/>
              </w:rPr>
              <w:tab/>
            </w:r>
            <w:r w:rsidRPr="008B0AB0" w:rsidR="008B0AB0">
              <w:rPr>
                <w:webHidden/>
              </w:rPr>
              <w:t>A-</w:t>
            </w:r>
            <w:r>
              <w:rPr>
                <w:webHidden/>
              </w:rPr>
              <w:fldChar w:fldCharType="begin"/>
            </w:r>
            <w:r>
              <w:rPr>
                <w:webHidden/>
              </w:rPr>
              <w:instrText xml:space="preserve"> PAGEREF _Toc185273171 \h </w:instrText>
            </w:r>
            <w:r>
              <w:rPr>
                <w:webHidden/>
              </w:rPr>
            </w:r>
            <w:r>
              <w:rPr>
                <w:webHidden/>
              </w:rPr>
              <w:fldChar w:fldCharType="separate"/>
            </w:r>
            <w:r w:rsidR="00140446">
              <w:rPr>
                <w:webHidden/>
              </w:rPr>
              <w:t>35</w:t>
            </w:r>
            <w:r>
              <w:rPr>
                <w:webHidden/>
              </w:rPr>
              <w:fldChar w:fldCharType="end"/>
            </w:r>
          </w:hyperlink>
        </w:p>
        <w:p w:rsidR="00123080" w:rsidRDefault="00123080" w14:paraId="53A1C7F6" w14:textId="469A72E5">
          <w:pPr>
            <w:pStyle w:val="TableofFigures"/>
            <w:rPr>
              <w:rFonts w:asciiTheme="minorHAnsi" w:hAnsiTheme="minorHAnsi" w:eastAsiaTheme="minorEastAsia"/>
              <w:kern w:val="2"/>
              <w:sz w:val="24"/>
              <w:szCs w:val="24"/>
              <w14:ligatures w14:val="standardContextual"/>
            </w:rPr>
          </w:pPr>
          <w:hyperlink w:history="1" w:anchor="_Toc185273172">
            <w:r w:rsidRPr="00D3069C">
              <w:rPr>
                <w:rStyle w:val="Hyperlink"/>
              </w:rPr>
              <w:t>Table A-3</w:t>
            </w:r>
            <w:r w:rsidRPr="00D3069C">
              <w:rPr>
                <w:rStyle w:val="Hyperlink"/>
              </w:rPr>
              <w:noBreakHyphen/>
              <w:t>4. Recommended updates to NTG_IDs and NTGRs</w:t>
            </w:r>
            <w:r>
              <w:rPr>
                <w:webHidden/>
              </w:rPr>
              <w:tab/>
            </w:r>
            <w:r w:rsidRPr="008B0AB0" w:rsidR="008B0AB0">
              <w:rPr>
                <w:webHidden/>
              </w:rPr>
              <w:t>A-</w:t>
            </w:r>
            <w:r>
              <w:rPr>
                <w:webHidden/>
              </w:rPr>
              <w:fldChar w:fldCharType="begin"/>
            </w:r>
            <w:r>
              <w:rPr>
                <w:webHidden/>
              </w:rPr>
              <w:instrText xml:space="preserve"> PAGEREF _Toc185273172 \h </w:instrText>
            </w:r>
            <w:r>
              <w:rPr>
                <w:webHidden/>
              </w:rPr>
            </w:r>
            <w:r>
              <w:rPr>
                <w:webHidden/>
              </w:rPr>
              <w:fldChar w:fldCharType="separate"/>
            </w:r>
            <w:r w:rsidR="00140446">
              <w:rPr>
                <w:webHidden/>
              </w:rPr>
              <w:t>36</w:t>
            </w:r>
            <w:r>
              <w:rPr>
                <w:webHidden/>
              </w:rPr>
              <w:fldChar w:fldCharType="end"/>
            </w:r>
          </w:hyperlink>
        </w:p>
        <w:p w:rsidR="00123080" w:rsidRDefault="00123080" w14:paraId="00811B29" w14:textId="7FAF7DB0">
          <w:pPr>
            <w:pStyle w:val="TableofFigures"/>
            <w:rPr>
              <w:rFonts w:asciiTheme="minorHAnsi" w:hAnsiTheme="minorHAnsi" w:eastAsiaTheme="minorEastAsia"/>
              <w:kern w:val="2"/>
              <w:sz w:val="24"/>
              <w:szCs w:val="24"/>
              <w14:ligatures w14:val="standardContextual"/>
            </w:rPr>
          </w:pPr>
          <w:hyperlink w:history="1" w:anchor="_Toc185273173">
            <w:r w:rsidRPr="00D3069C">
              <w:rPr>
                <w:rStyle w:val="Hyperlink"/>
              </w:rPr>
              <w:t>Table A-3</w:t>
            </w:r>
            <w:r w:rsidRPr="00D3069C">
              <w:rPr>
                <w:rStyle w:val="Hyperlink"/>
              </w:rPr>
              <w:noBreakHyphen/>
              <w:t>5. Final EM&amp;V Studies Reviewed</w:t>
            </w:r>
            <w:r>
              <w:rPr>
                <w:webHidden/>
              </w:rPr>
              <w:tab/>
            </w:r>
            <w:r w:rsidRPr="008B0AB0" w:rsidR="008B0AB0">
              <w:rPr>
                <w:webHidden/>
              </w:rPr>
              <w:t>A-</w:t>
            </w:r>
            <w:r>
              <w:rPr>
                <w:webHidden/>
              </w:rPr>
              <w:fldChar w:fldCharType="begin"/>
            </w:r>
            <w:r>
              <w:rPr>
                <w:webHidden/>
              </w:rPr>
              <w:instrText xml:space="preserve"> PAGEREF _Toc185273173 \h </w:instrText>
            </w:r>
            <w:r>
              <w:rPr>
                <w:webHidden/>
              </w:rPr>
            </w:r>
            <w:r>
              <w:rPr>
                <w:webHidden/>
              </w:rPr>
              <w:fldChar w:fldCharType="separate"/>
            </w:r>
            <w:r w:rsidR="00140446">
              <w:rPr>
                <w:webHidden/>
              </w:rPr>
              <w:t>40</w:t>
            </w:r>
            <w:r>
              <w:rPr>
                <w:webHidden/>
              </w:rPr>
              <w:fldChar w:fldCharType="end"/>
            </w:r>
          </w:hyperlink>
        </w:p>
        <w:p w:rsidR="00123080" w:rsidRDefault="00123080" w14:paraId="73FBB1DB" w14:textId="60738146">
          <w:pPr>
            <w:pStyle w:val="TableofFigures"/>
            <w:rPr>
              <w:rFonts w:asciiTheme="minorHAnsi" w:hAnsiTheme="minorHAnsi" w:eastAsiaTheme="minorEastAsia"/>
              <w:kern w:val="2"/>
              <w:sz w:val="24"/>
              <w:szCs w:val="24"/>
              <w14:ligatures w14:val="standardContextual"/>
            </w:rPr>
          </w:pPr>
          <w:hyperlink w:history="1" w:anchor="_Toc185273174">
            <w:r w:rsidRPr="00D3069C">
              <w:rPr>
                <w:rStyle w:val="Hyperlink"/>
              </w:rPr>
              <w:t>Table A-3</w:t>
            </w:r>
            <w:r w:rsidRPr="00D3069C">
              <w:rPr>
                <w:rStyle w:val="Hyperlink"/>
              </w:rPr>
              <w:noBreakHyphen/>
              <w:t>6. Proposed UES Parameter Updates Based on EM&amp;V Studies</w:t>
            </w:r>
            <w:r>
              <w:rPr>
                <w:webHidden/>
              </w:rPr>
              <w:tab/>
            </w:r>
            <w:r w:rsidRPr="008B0AB0" w:rsidR="008B0AB0">
              <w:rPr>
                <w:webHidden/>
              </w:rPr>
              <w:t>A-</w:t>
            </w:r>
            <w:r>
              <w:rPr>
                <w:webHidden/>
              </w:rPr>
              <w:fldChar w:fldCharType="begin"/>
            </w:r>
            <w:r>
              <w:rPr>
                <w:webHidden/>
              </w:rPr>
              <w:instrText xml:space="preserve"> PAGEREF _Toc185273174 \h </w:instrText>
            </w:r>
            <w:r>
              <w:rPr>
                <w:webHidden/>
              </w:rPr>
            </w:r>
            <w:r>
              <w:rPr>
                <w:webHidden/>
              </w:rPr>
              <w:fldChar w:fldCharType="separate"/>
            </w:r>
            <w:r w:rsidR="00140446">
              <w:rPr>
                <w:webHidden/>
              </w:rPr>
              <w:t>47</w:t>
            </w:r>
            <w:r>
              <w:rPr>
                <w:webHidden/>
              </w:rPr>
              <w:fldChar w:fldCharType="end"/>
            </w:r>
          </w:hyperlink>
        </w:p>
        <w:p w:rsidR="00123080" w:rsidRDefault="00123080" w14:paraId="19E32715" w14:textId="2BB0927D">
          <w:pPr>
            <w:pStyle w:val="TableofFigures"/>
            <w:rPr>
              <w:rFonts w:asciiTheme="minorHAnsi" w:hAnsiTheme="minorHAnsi" w:eastAsiaTheme="minorEastAsia"/>
              <w:kern w:val="2"/>
              <w:sz w:val="24"/>
              <w:szCs w:val="24"/>
              <w14:ligatures w14:val="standardContextual"/>
            </w:rPr>
          </w:pPr>
          <w:hyperlink w:history="1" w:anchor="_Toc185273175">
            <w:r w:rsidRPr="00D3069C">
              <w:rPr>
                <w:rStyle w:val="Hyperlink"/>
              </w:rPr>
              <w:t>Table A-3</w:t>
            </w:r>
            <w:r w:rsidRPr="00D3069C">
              <w:rPr>
                <w:rStyle w:val="Hyperlink"/>
              </w:rPr>
              <w:noBreakHyphen/>
              <w:t>7. NTGR Parameter Updates Based on Final EM&amp;V Studies</w:t>
            </w:r>
            <w:r>
              <w:rPr>
                <w:webHidden/>
              </w:rPr>
              <w:tab/>
            </w:r>
            <w:r w:rsidRPr="008B0AB0" w:rsidR="008B0AB0">
              <w:rPr>
                <w:webHidden/>
              </w:rPr>
              <w:t>A-</w:t>
            </w:r>
            <w:r>
              <w:rPr>
                <w:webHidden/>
              </w:rPr>
              <w:fldChar w:fldCharType="begin"/>
            </w:r>
            <w:r>
              <w:rPr>
                <w:webHidden/>
              </w:rPr>
              <w:instrText xml:space="preserve"> PAGEREF _Toc185273175 \h </w:instrText>
            </w:r>
            <w:r>
              <w:rPr>
                <w:webHidden/>
              </w:rPr>
            </w:r>
            <w:r>
              <w:rPr>
                <w:webHidden/>
              </w:rPr>
              <w:fldChar w:fldCharType="separate"/>
            </w:r>
            <w:r w:rsidR="00140446">
              <w:rPr>
                <w:webHidden/>
              </w:rPr>
              <w:t>48</w:t>
            </w:r>
            <w:r>
              <w:rPr>
                <w:webHidden/>
              </w:rPr>
              <w:fldChar w:fldCharType="end"/>
            </w:r>
          </w:hyperlink>
        </w:p>
        <w:p w:rsidR="00123080" w:rsidRDefault="00123080" w14:paraId="3A5F0DB2" w14:textId="3865C21C">
          <w:pPr>
            <w:pStyle w:val="TableofFigures"/>
            <w:rPr>
              <w:rFonts w:asciiTheme="minorHAnsi" w:hAnsiTheme="minorHAnsi" w:eastAsiaTheme="minorEastAsia"/>
              <w:kern w:val="2"/>
              <w:sz w:val="24"/>
              <w:szCs w:val="24"/>
              <w14:ligatures w14:val="standardContextual"/>
            </w:rPr>
          </w:pPr>
          <w:hyperlink w:history="1" w:anchor="_Toc185273176">
            <w:r w:rsidRPr="00D3069C">
              <w:rPr>
                <w:rStyle w:val="Hyperlink"/>
              </w:rPr>
              <w:t>Table A-3</w:t>
            </w:r>
            <w:r w:rsidRPr="00D3069C">
              <w:rPr>
                <w:rStyle w:val="Hyperlink"/>
              </w:rPr>
              <w:noBreakHyphen/>
              <w:t>8. Evaluated NTGR Findings in Residential Direct Install Programs, PY2021</w:t>
            </w:r>
            <w:r>
              <w:rPr>
                <w:webHidden/>
              </w:rPr>
              <w:tab/>
            </w:r>
            <w:r w:rsidRPr="008B0AB0" w:rsidR="008B0AB0">
              <w:rPr>
                <w:webHidden/>
              </w:rPr>
              <w:t>A-</w:t>
            </w:r>
            <w:r>
              <w:rPr>
                <w:webHidden/>
              </w:rPr>
              <w:fldChar w:fldCharType="begin"/>
            </w:r>
            <w:r>
              <w:rPr>
                <w:webHidden/>
              </w:rPr>
              <w:instrText xml:space="preserve"> PAGEREF _Toc185273176 \h </w:instrText>
            </w:r>
            <w:r>
              <w:rPr>
                <w:webHidden/>
              </w:rPr>
            </w:r>
            <w:r>
              <w:rPr>
                <w:webHidden/>
              </w:rPr>
              <w:fldChar w:fldCharType="separate"/>
            </w:r>
            <w:r w:rsidR="00140446">
              <w:rPr>
                <w:webHidden/>
              </w:rPr>
              <w:t>51</w:t>
            </w:r>
            <w:r>
              <w:rPr>
                <w:webHidden/>
              </w:rPr>
              <w:fldChar w:fldCharType="end"/>
            </w:r>
          </w:hyperlink>
        </w:p>
        <w:p w:rsidR="00123080" w:rsidRDefault="00123080" w14:paraId="6B9D40ED" w14:textId="1E2312E5">
          <w:pPr>
            <w:pStyle w:val="TableofFigures"/>
            <w:rPr>
              <w:rFonts w:asciiTheme="minorHAnsi" w:hAnsiTheme="minorHAnsi" w:eastAsiaTheme="minorEastAsia"/>
              <w:kern w:val="2"/>
              <w:sz w:val="24"/>
              <w:szCs w:val="24"/>
              <w14:ligatures w14:val="standardContextual"/>
            </w:rPr>
          </w:pPr>
          <w:hyperlink w:history="1" w:anchor="_Toc185273177">
            <w:r w:rsidRPr="00D3069C">
              <w:rPr>
                <w:rStyle w:val="Hyperlink"/>
              </w:rPr>
              <w:t>Table A-3</w:t>
            </w:r>
            <w:r w:rsidRPr="00D3069C">
              <w:rPr>
                <w:rStyle w:val="Hyperlink"/>
              </w:rPr>
              <w:noBreakHyphen/>
              <w:t>9. Evaluated NTG Findings in Local Third-Party Programs, PY2021</w:t>
            </w:r>
            <w:r>
              <w:rPr>
                <w:webHidden/>
              </w:rPr>
              <w:tab/>
            </w:r>
            <w:r w:rsidRPr="008839F3" w:rsidR="008839F3">
              <w:rPr>
                <w:webHidden/>
              </w:rPr>
              <w:t>A-</w:t>
            </w:r>
            <w:r>
              <w:rPr>
                <w:webHidden/>
              </w:rPr>
              <w:fldChar w:fldCharType="begin"/>
            </w:r>
            <w:r>
              <w:rPr>
                <w:webHidden/>
              </w:rPr>
              <w:instrText xml:space="preserve"> PAGEREF _Toc185273177 \h </w:instrText>
            </w:r>
            <w:r>
              <w:rPr>
                <w:webHidden/>
              </w:rPr>
            </w:r>
            <w:r>
              <w:rPr>
                <w:webHidden/>
              </w:rPr>
              <w:fldChar w:fldCharType="separate"/>
            </w:r>
            <w:r w:rsidR="00140446">
              <w:rPr>
                <w:webHidden/>
              </w:rPr>
              <w:t>52</w:t>
            </w:r>
            <w:r>
              <w:rPr>
                <w:webHidden/>
              </w:rPr>
              <w:fldChar w:fldCharType="end"/>
            </w:r>
          </w:hyperlink>
        </w:p>
        <w:p w:rsidR="00F56F2C" w:rsidP="00F56F2C" w:rsidRDefault="00566C46" w14:paraId="24C3E1F6" w14:textId="3D25CD68">
          <w:r w:rsidRPr="00EE7490">
            <w:rPr>
              <w:b/>
              <w:bCs/>
              <w:noProof/>
            </w:rPr>
            <w:fldChar w:fldCharType="end"/>
          </w:r>
          <w:r w:rsidRPr="00F56F2C" w:rsidR="00F56F2C">
            <w:t xml:space="preserve"> </w:t>
          </w:r>
        </w:p>
        <w:p w:rsidRPr="00334170" w:rsidR="0004564A" w:rsidP="009444C8" w:rsidRDefault="00F56F2C" w14:paraId="1D912514" w14:textId="77777777">
          <w:pPr>
            <w:pStyle w:val="TableofFigures"/>
            <w:keepNext/>
            <w:rPr>
              <w:rFonts w:ascii="Garamond" w:hAnsi="Garamond" w:eastAsiaTheme="majorEastAsia" w:cstheme="majorBidi"/>
              <w:b/>
              <w:bCs/>
              <w:noProof w:val="0"/>
              <w:sz w:val="28"/>
              <w:szCs w:val="32"/>
            </w:rPr>
          </w:pPr>
          <w:r w:rsidRPr="00334170">
            <w:rPr>
              <w:rFonts w:ascii="Garamond" w:hAnsi="Garamond" w:eastAsiaTheme="majorEastAsia" w:cstheme="majorBidi"/>
              <w:b/>
              <w:bCs/>
              <w:noProof w:val="0"/>
              <w:sz w:val="28"/>
              <w:szCs w:val="32"/>
            </w:rPr>
            <w:t>Figures</w:t>
          </w:r>
        </w:p>
        <w:p w:rsidR="008C4832" w:rsidP="00BB3231" w:rsidRDefault="00F56F2C" w14:paraId="1187A8E9" w14:textId="40496191">
          <w:pPr>
            <w:pStyle w:val="TableofFigures"/>
            <w:spacing w:after="0"/>
            <w:rPr>
              <w:rFonts w:asciiTheme="minorHAnsi" w:hAnsiTheme="minorHAnsi" w:eastAsiaTheme="minorEastAsia"/>
              <w:kern w:val="2"/>
              <w:sz w:val="24"/>
              <w:szCs w:val="24"/>
              <w14:ligatures w14:val="standardContextual"/>
            </w:rPr>
          </w:pPr>
          <w:r w:rsidRPr="00EE7490">
            <w:rPr>
              <w:rFonts w:ascii="Garamond" w:hAnsi="Garamond" w:eastAsiaTheme="majorEastAsia" w:cstheme="majorBidi"/>
              <w:b/>
              <w:bCs/>
              <w:sz w:val="28"/>
              <w:szCs w:val="32"/>
            </w:rPr>
            <w:fldChar w:fldCharType="begin"/>
          </w:r>
          <w:r w:rsidRPr="00EE7490">
            <w:rPr>
              <w:rFonts w:ascii="Garamond" w:hAnsi="Garamond"/>
              <w:b/>
              <w:bCs/>
            </w:rPr>
            <w:instrText xml:space="preserve"> TOC \h \z \c "Figure" </w:instrText>
          </w:r>
          <w:r w:rsidRPr="00EE7490">
            <w:rPr>
              <w:rFonts w:ascii="Garamond" w:hAnsi="Garamond" w:eastAsiaTheme="majorEastAsia" w:cstheme="majorBidi"/>
              <w:b/>
              <w:bCs/>
              <w:sz w:val="28"/>
              <w:szCs w:val="32"/>
            </w:rPr>
            <w:fldChar w:fldCharType="separate"/>
          </w:r>
          <w:hyperlink w:history="1" w:anchor="_Toc185271237">
            <w:r w:rsidRPr="00353116" w:rsidR="008C4832">
              <w:rPr>
                <w:rStyle w:val="Hyperlink"/>
              </w:rPr>
              <w:t>Figure A-1</w:t>
            </w:r>
            <w:r w:rsidRPr="00353116" w:rsidR="008C4832">
              <w:rPr>
                <w:rStyle w:val="Hyperlink"/>
              </w:rPr>
              <w:noBreakHyphen/>
              <w:t>1. Greenhouse Gas Value of Refrigerant Leakage in 2022 ACCs</w:t>
            </w:r>
            <w:r w:rsidR="008C4832">
              <w:rPr>
                <w:webHidden/>
              </w:rPr>
              <w:tab/>
            </w:r>
            <w:r w:rsidRPr="00986131" w:rsidR="00986131">
              <w:rPr>
                <w:webHidden/>
              </w:rPr>
              <w:t>A-</w:t>
            </w:r>
            <w:r w:rsidR="008C4832">
              <w:rPr>
                <w:webHidden/>
              </w:rPr>
              <w:fldChar w:fldCharType="begin"/>
            </w:r>
            <w:r w:rsidR="008C4832">
              <w:rPr>
                <w:webHidden/>
              </w:rPr>
              <w:instrText xml:space="preserve"> PAGEREF _Toc185271237 \h </w:instrText>
            </w:r>
            <w:r w:rsidR="008C4832">
              <w:rPr>
                <w:webHidden/>
              </w:rPr>
            </w:r>
            <w:r w:rsidR="008C4832">
              <w:rPr>
                <w:webHidden/>
              </w:rPr>
              <w:fldChar w:fldCharType="separate"/>
            </w:r>
            <w:r w:rsidR="00E812F0">
              <w:rPr>
                <w:webHidden/>
              </w:rPr>
              <w:t>8</w:t>
            </w:r>
            <w:r w:rsidR="008C4832">
              <w:rPr>
                <w:webHidden/>
              </w:rPr>
              <w:fldChar w:fldCharType="end"/>
            </w:r>
          </w:hyperlink>
        </w:p>
        <w:p w:rsidR="008C4832" w:rsidP="00BB3231" w:rsidRDefault="008C4832" w14:paraId="1C67BA47" w14:textId="5E8117D1">
          <w:pPr>
            <w:pStyle w:val="TableofFigures"/>
            <w:spacing w:after="0"/>
            <w:rPr>
              <w:rFonts w:asciiTheme="minorHAnsi" w:hAnsiTheme="minorHAnsi" w:eastAsiaTheme="minorEastAsia"/>
              <w:kern w:val="2"/>
              <w:sz w:val="24"/>
              <w:szCs w:val="24"/>
              <w14:ligatures w14:val="standardContextual"/>
            </w:rPr>
          </w:pPr>
          <w:hyperlink w:history="1" w:anchor="_Toc185271238">
            <w:r w:rsidRPr="00353116">
              <w:rPr>
                <w:rStyle w:val="Hyperlink"/>
              </w:rPr>
              <w:t>Figure A-3</w:t>
            </w:r>
            <w:r w:rsidRPr="00353116">
              <w:rPr>
                <w:rStyle w:val="Hyperlink"/>
              </w:rPr>
              <w:noBreakHyphen/>
              <w:t>1. Cooling performance curves at 75 °F indoor wet bulb</w:t>
            </w:r>
            <w:r>
              <w:rPr>
                <w:webHidden/>
              </w:rPr>
              <w:tab/>
            </w:r>
            <w:r w:rsidRPr="00986131" w:rsidR="00986131">
              <w:rPr>
                <w:webHidden/>
              </w:rPr>
              <w:t>A-</w:t>
            </w:r>
            <w:r>
              <w:rPr>
                <w:webHidden/>
              </w:rPr>
              <w:fldChar w:fldCharType="begin"/>
            </w:r>
            <w:r>
              <w:rPr>
                <w:webHidden/>
              </w:rPr>
              <w:instrText xml:space="preserve"> PAGEREF _Toc185271238 \h </w:instrText>
            </w:r>
            <w:r>
              <w:rPr>
                <w:webHidden/>
              </w:rPr>
            </w:r>
            <w:r>
              <w:rPr>
                <w:webHidden/>
              </w:rPr>
              <w:fldChar w:fldCharType="separate"/>
            </w:r>
            <w:r w:rsidR="00E812F0">
              <w:rPr>
                <w:webHidden/>
              </w:rPr>
              <w:t>37</w:t>
            </w:r>
            <w:r>
              <w:rPr>
                <w:webHidden/>
              </w:rPr>
              <w:fldChar w:fldCharType="end"/>
            </w:r>
          </w:hyperlink>
        </w:p>
        <w:p w:rsidR="008C4832" w:rsidP="00BB3231" w:rsidRDefault="008C4832" w14:paraId="52620225" w14:textId="66FA00CC">
          <w:pPr>
            <w:pStyle w:val="TableofFigures"/>
            <w:spacing w:after="0"/>
            <w:rPr>
              <w:rFonts w:asciiTheme="minorHAnsi" w:hAnsiTheme="minorHAnsi" w:eastAsiaTheme="minorEastAsia"/>
              <w:kern w:val="2"/>
              <w:sz w:val="24"/>
              <w:szCs w:val="24"/>
              <w14:ligatures w14:val="standardContextual"/>
            </w:rPr>
          </w:pPr>
          <w:hyperlink w:history="1" w:anchor="_Toc185271239">
            <w:r w:rsidRPr="00353116">
              <w:rPr>
                <w:rStyle w:val="Hyperlink"/>
              </w:rPr>
              <w:t>Figure A-3</w:t>
            </w:r>
            <w:r w:rsidRPr="00353116">
              <w:rPr>
                <w:rStyle w:val="Hyperlink"/>
              </w:rPr>
              <w:noBreakHyphen/>
              <w:t>2. Heating performance curves at 65 °F indoor wet bulb</w:t>
            </w:r>
            <w:r>
              <w:rPr>
                <w:webHidden/>
              </w:rPr>
              <w:tab/>
            </w:r>
            <w:r w:rsidRPr="00986131" w:rsidR="00986131">
              <w:rPr>
                <w:webHidden/>
              </w:rPr>
              <w:t>A-</w:t>
            </w:r>
            <w:r>
              <w:rPr>
                <w:webHidden/>
              </w:rPr>
              <w:fldChar w:fldCharType="begin"/>
            </w:r>
            <w:r>
              <w:rPr>
                <w:webHidden/>
              </w:rPr>
              <w:instrText xml:space="preserve"> PAGEREF _Toc185271239 \h </w:instrText>
            </w:r>
            <w:r>
              <w:rPr>
                <w:webHidden/>
              </w:rPr>
            </w:r>
            <w:r>
              <w:rPr>
                <w:webHidden/>
              </w:rPr>
              <w:fldChar w:fldCharType="separate"/>
            </w:r>
            <w:r w:rsidR="00E812F0">
              <w:rPr>
                <w:webHidden/>
              </w:rPr>
              <w:t>37</w:t>
            </w:r>
            <w:r>
              <w:rPr>
                <w:webHidden/>
              </w:rPr>
              <w:fldChar w:fldCharType="end"/>
            </w:r>
          </w:hyperlink>
        </w:p>
        <w:p w:rsidR="00566C46" w:rsidP="00BB3231" w:rsidRDefault="00F56F2C" w14:paraId="226B104B" w14:textId="3B08295D">
          <w:pPr>
            <w:spacing w:after="0"/>
            <w:rPr>
              <w:rFonts w:eastAsiaTheme="majorEastAsia" w:cstheme="majorBidi"/>
              <w:bCs/>
              <w:sz w:val="32"/>
              <w:szCs w:val="28"/>
            </w:rPr>
          </w:pPr>
          <w:r w:rsidRPr="00EE7490">
            <w:rPr>
              <w:b/>
              <w:bCs/>
              <w:noProof/>
            </w:rPr>
            <w:fldChar w:fldCharType="end"/>
          </w:r>
        </w:p>
      </w:sdtContent>
    </w:sdt>
    <w:p w:rsidRPr="000500D6" w:rsidR="000500D6" w:rsidP="000500D6" w:rsidRDefault="000500D6" w14:paraId="6B98F0EF" w14:textId="77777777"/>
    <w:p w:rsidRPr="000500D6" w:rsidR="000500D6" w:rsidP="000500D6" w:rsidRDefault="000500D6" w14:paraId="79069777" w14:textId="04AC933B">
      <w:pPr>
        <w:sectPr w:rsidRPr="000500D6" w:rsidR="000500D6" w:rsidSect="00E67625">
          <w:headerReference w:type="default" r:id="rId11"/>
          <w:footerReference w:type="default" r:id="rId12"/>
          <w:headerReference w:type="first" r:id="rId13"/>
          <w:footerReference w:type="first" r:id="rId14"/>
          <w:pgSz w:w="12240" w:h="15840" w:code="1"/>
          <w:pgMar w:top="1440" w:right="1440" w:bottom="1440" w:left="1440" w:header="720" w:footer="720" w:gutter="0"/>
          <w:pgNumType w:fmt="lowerRoman" w:start="1"/>
          <w:cols w:space="720"/>
          <w:titlePg/>
          <w:docGrid w:linePitch="326"/>
        </w:sectPr>
      </w:pPr>
    </w:p>
    <w:p w:rsidR="00A16C37" w:rsidP="00A16C37" w:rsidRDefault="008435D4" w14:paraId="63C7C870" w14:textId="06C2C4DA">
      <w:pPr>
        <w:pStyle w:val="Heading1"/>
      </w:pPr>
      <w:bookmarkStart w:name="_Toc185271149" w:id="0"/>
      <w:r>
        <w:lastRenderedPageBreak/>
        <w:t>Management of DEER Processes</w:t>
      </w:r>
      <w:bookmarkEnd w:id="0"/>
    </w:p>
    <w:p w:rsidR="006C55F9" w:rsidP="000A5509" w:rsidRDefault="006C55F9" w14:paraId="5B271333" w14:textId="5EA9C4D1">
      <w:r>
        <w:t xml:space="preserve">The following sections </w:t>
      </w:r>
      <w:r w:rsidR="00730856">
        <w:t xml:space="preserve">provide detail on </w:t>
      </w:r>
      <w:r w:rsidR="00C96924">
        <w:t>changes and updates</w:t>
      </w:r>
      <w:r w:rsidR="00730856">
        <w:t xml:space="preserve"> affecting</w:t>
      </w:r>
      <w:r w:rsidR="00C96924">
        <w:t xml:space="preserve"> the</w:t>
      </w:r>
      <w:r w:rsidR="00730856">
        <w:t xml:space="preserve"> DEER database</w:t>
      </w:r>
      <w:r w:rsidR="00BF1272">
        <w:t xml:space="preserve"> and measure packages</w:t>
      </w:r>
      <w:r w:rsidR="00BF1272">
        <w:rPr>
          <w:rStyle w:val="FootnoteReference"/>
        </w:rPr>
        <w:footnoteReference w:id="2"/>
      </w:r>
      <w:r w:rsidR="00C96924">
        <w:t xml:space="preserve">—both structural and </w:t>
      </w:r>
      <w:r w:rsidR="001B30D9">
        <w:t xml:space="preserve">to </w:t>
      </w:r>
      <w:r w:rsidR="00C96924">
        <w:t xml:space="preserve">ex </w:t>
      </w:r>
      <w:r w:rsidR="00730856">
        <w:t>ante values.</w:t>
      </w:r>
    </w:p>
    <w:p w:rsidR="000A5509" w:rsidP="008151F1" w:rsidRDefault="00055C6A" w14:paraId="767F1E98" w14:textId="0F5858CA">
      <w:pPr>
        <w:pStyle w:val="Heading2"/>
      </w:pPr>
      <w:bookmarkStart w:name="_Toc185271150" w:id="1"/>
      <w:r>
        <w:t xml:space="preserve">(A) </w:t>
      </w:r>
      <w:r w:rsidR="001A4462">
        <w:t xml:space="preserve">Updates to </w:t>
      </w:r>
      <w:r w:rsidR="000A5509">
        <w:t>eTRM</w:t>
      </w:r>
      <w:bookmarkEnd w:id="1"/>
    </w:p>
    <w:p w:rsidR="000A5509" w:rsidP="001A4462" w:rsidRDefault="00B2718D" w14:paraId="096D3313" w14:textId="22C62E27">
      <w:r w:rsidRPr="001238A2">
        <w:rPr>
          <w:u w:val="single"/>
        </w:rPr>
        <w:t xml:space="preserve">Effective Program Year: </w:t>
      </w:r>
      <w:r w:rsidR="00191A7B">
        <w:rPr>
          <w:u w:val="single"/>
        </w:rPr>
        <w:t>202</w:t>
      </w:r>
      <w:r w:rsidR="00753E8D">
        <w:rPr>
          <w:u w:val="single"/>
        </w:rPr>
        <w:t>4-</w:t>
      </w:r>
      <w:r w:rsidR="00191A7B">
        <w:rPr>
          <w:u w:val="single"/>
        </w:rPr>
        <w:t>2026</w:t>
      </w:r>
      <w:r w:rsidR="008B2BB0">
        <w:t xml:space="preserve">. </w:t>
      </w:r>
      <w:r w:rsidRPr="00BC2496" w:rsidR="00BC2496">
        <w:t>As noted in DEER Resolution E-5221,</w:t>
      </w:r>
      <w:r w:rsidR="008B2BB0">
        <w:t xml:space="preserve"> </w:t>
      </w:r>
      <w:r w:rsidR="00262330">
        <w:t xml:space="preserve">California’s statewide electronic Technical Reference Manual (eTRM) </w:t>
      </w:r>
      <w:r w:rsidR="00D0788A">
        <w:t xml:space="preserve">version 2.3 </w:t>
      </w:r>
      <w:r w:rsidR="00262330">
        <w:t>i</w:t>
      </w:r>
      <w:r w:rsidR="007A5CAF">
        <w:t>s</w:t>
      </w:r>
      <w:r w:rsidR="00262330">
        <w:t xml:space="preserve"> </w:t>
      </w:r>
      <w:r w:rsidR="00032952">
        <w:t xml:space="preserve">the </w:t>
      </w:r>
      <w:r w:rsidRPr="00BA018F" w:rsidR="00AF01D3">
        <w:rPr>
          <w:i/>
          <w:iCs/>
        </w:rPr>
        <w:t>O</w:t>
      </w:r>
      <w:r w:rsidRPr="00BA018F" w:rsidR="00032952">
        <w:rPr>
          <w:i/>
          <w:iCs/>
        </w:rPr>
        <w:t xml:space="preserve">fficial </w:t>
      </w:r>
      <w:r w:rsidRPr="00BA018F" w:rsidR="00AF01D3">
        <w:rPr>
          <w:i/>
          <w:iCs/>
        </w:rPr>
        <w:t>S</w:t>
      </w:r>
      <w:r w:rsidRPr="00BA018F" w:rsidR="00032952">
        <w:rPr>
          <w:i/>
          <w:iCs/>
        </w:rPr>
        <w:t xml:space="preserve">ource of California Energy Efficiency </w:t>
      </w:r>
      <w:r w:rsidR="00BA018F">
        <w:rPr>
          <w:i/>
          <w:iCs/>
        </w:rPr>
        <w:t>M</w:t>
      </w:r>
      <w:r w:rsidRPr="00BA018F" w:rsidR="00032952">
        <w:rPr>
          <w:i/>
          <w:iCs/>
        </w:rPr>
        <w:t xml:space="preserve">easure </w:t>
      </w:r>
      <w:r w:rsidR="00BA018F">
        <w:rPr>
          <w:i/>
          <w:iCs/>
        </w:rPr>
        <w:t>D</w:t>
      </w:r>
      <w:r w:rsidRPr="00BA018F" w:rsidR="00032952">
        <w:rPr>
          <w:i/>
          <w:iCs/>
        </w:rPr>
        <w:t>ata</w:t>
      </w:r>
      <w:r w:rsidRPr="000A52F0" w:rsidR="00BA018F">
        <w:rPr>
          <w:rStyle w:val="FootnoteReference"/>
        </w:rPr>
        <w:footnoteReference w:id="3"/>
      </w:r>
      <w:r w:rsidR="00032952">
        <w:t xml:space="preserve"> </w:t>
      </w:r>
      <w:r w:rsidR="00D0788A">
        <w:t>and</w:t>
      </w:r>
      <w:r w:rsidR="00BA018F">
        <w:t xml:space="preserve"> </w:t>
      </w:r>
      <w:r w:rsidR="00032952">
        <w:t xml:space="preserve">the </w:t>
      </w:r>
      <w:r w:rsidR="00262330">
        <w:t xml:space="preserve">sole source for energy efficiency </w:t>
      </w:r>
      <w:r w:rsidR="00A320E4">
        <w:t>m</w:t>
      </w:r>
      <w:r w:rsidR="00262330">
        <w:t xml:space="preserve">easure </w:t>
      </w:r>
      <w:r w:rsidR="00A320E4">
        <w:t>p</w:t>
      </w:r>
      <w:r w:rsidR="00262330">
        <w:t>ackage development, submittal, review, and publishing</w:t>
      </w:r>
      <w:r w:rsidR="008B2BB0">
        <w:t xml:space="preserve">. </w:t>
      </w:r>
      <w:r w:rsidR="00D0788A">
        <w:t>M</w:t>
      </w:r>
      <w:r w:rsidR="00262330">
        <w:t xml:space="preserve">easure developers shall follow the rules and procedures as laid out in the documents provided </w:t>
      </w:r>
      <w:r w:rsidR="00032952">
        <w:t xml:space="preserve">by </w:t>
      </w:r>
      <w:r w:rsidR="002B2FFC">
        <w:t>California Technical Forum (</w:t>
      </w:r>
      <w:r w:rsidR="00032952">
        <w:t>CalTF</w:t>
      </w:r>
      <w:r w:rsidR="002B2FFC">
        <w:t>)</w:t>
      </w:r>
      <w:r w:rsidR="00A320E4">
        <w:t xml:space="preserve"> as they move measures through the development phase prior to submittal</w:t>
      </w:r>
      <w:r w:rsidR="008B2BB0">
        <w:t xml:space="preserve">. </w:t>
      </w:r>
    </w:p>
    <w:p w:rsidRPr="00AB6256" w:rsidR="00AB6256" w:rsidP="004F6FE7" w:rsidRDefault="00582AF6" w14:paraId="53D0124B" w14:textId="17117A0D">
      <w:pPr>
        <w:pStyle w:val="Heading3"/>
      </w:pPr>
      <w:bookmarkStart w:name="_Toc185271151" w:id="2"/>
      <w:r>
        <w:t xml:space="preserve">(A.1) </w:t>
      </w:r>
      <w:r w:rsidR="00B229F3">
        <w:t xml:space="preserve">CalTF and </w:t>
      </w:r>
      <w:r w:rsidRPr="00AB6256" w:rsidR="00AB6256">
        <w:t>eTRM Funding</w:t>
      </w:r>
      <w:bookmarkEnd w:id="2"/>
    </w:p>
    <w:p w:rsidRPr="00AB6256" w:rsidR="00AB6256" w:rsidP="00AB6256" w:rsidRDefault="00AB6256" w14:paraId="705AA3A1" w14:textId="1D3E199A">
      <w:r w:rsidRPr="00AB6256">
        <w:rPr>
          <w:u w:val="single"/>
        </w:rPr>
        <w:t>Effective Program Year: 202</w:t>
      </w:r>
      <w:r w:rsidR="00753E8D">
        <w:rPr>
          <w:u w:val="single"/>
        </w:rPr>
        <w:t>4</w:t>
      </w:r>
      <w:r w:rsidRPr="00AB6256">
        <w:t xml:space="preserve">. The IOUs will continue to fund the CalTF and eTRM and may do so from either their program or evaluation budgets. </w:t>
      </w:r>
    </w:p>
    <w:p w:rsidRPr="00AB6256" w:rsidR="00AB6256" w:rsidP="004F6FE7" w:rsidRDefault="00582AF6" w14:paraId="60445644" w14:textId="7268F1C6">
      <w:pPr>
        <w:pStyle w:val="Heading3"/>
      </w:pPr>
      <w:bookmarkStart w:name="_Toc185271152" w:id="3"/>
      <w:r>
        <w:t xml:space="preserve">(A.2) </w:t>
      </w:r>
      <w:r w:rsidRPr="00AB6256" w:rsidR="00AB6256">
        <w:t xml:space="preserve">eTRM Source Code </w:t>
      </w:r>
      <w:r w:rsidR="006226CF">
        <w:t>Documentation</w:t>
      </w:r>
      <w:bookmarkEnd w:id="3"/>
    </w:p>
    <w:p w:rsidRPr="00AB6256" w:rsidR="00AB6256" w:rsidP="00AB6256" w:rsidRDefault="00AB6256" w14:paraId="38AE556E" w14:textId="1947FF38">
      <w:r w:rsidRPr="00AB6256">
        <w:rPr>
          <w:u w:val="single"/>
        </w:rPr>
        <w:t>Effective Program Year: 2026.</w:t>
      </w:r>
      <w:r w:rsidRPr="00AB6256">
        <w:t xml:space="preserve"> The eTRM has been providing monthly files to the CPUC</w:t>
      </w:r>
      <w:r w:rsidRPr="00AB6256" w:rsidR="1A103FD9">
        <w:t xml:space="preserve"> repository</w:t>
      </w:r>
      <w:r w:rsidRPr="00AB6256">
        <w:t xml:space="preserve"> of the source code, but the industry standard is for code to be documented and version-controlled using a Git</w:t>
      </w:r>
      <w:r w:rsidRPr="00AB6256">
        <w:rPr>
          <w:vertAlign w:val="superscript"/>
        </w:rPr>
        <w:footnoteReference w:id="4"/>
      </w:r>
      <w:r w:rsidRPr="00AB6256">
        <w:t xml:space="preserve"> platform (e.g., GitHub). This is expected to improve transparency and allow stakeholders to have a better understanding of the changes that occur.</w:t>
      </w:r>
    </w:p>
    <w:p w:rsidRPr="00AB6256" w:rsidR="00AB6256" w:rsidP="004F6FE7" w:rsidRDefault="00582AF6" w14:paraId="131037ED" w14:textId="7A889775">
      <w:pPr>
        <w:pStyle w:val="Heading3"/>
      </w:pPr>
      <w:bookmarkStart w:name="_Toc185271153" w:id="4"/>
      <w:r>
        <w:t xml:space="preserve">(A.3) </w:t>
      </w:r>
      <w:r w:rsidRPr="00AB6256" w:rsidR="00AB6256">
        <w:t>Measure Lifecycle Management (MLM) in DEER</w:t>
      </w:r>
      <w:bookmarkEnd w:id="4"/>
    </w:p>
    <w:p w:rsidRPr="00AB6256" w:rsidR="00AB6256" w:rsidP="00AB6256" w:rsidRDefault="00AB6256" w14:paraId="703E4634" w14:textId="07EED474">
      <w:r w:rsidRPr="00AB6256">
        <w:rPr>
          <w:u w:val="single"/>
        </w:rPr>
        <w:t>Effective Program Year</w:t>
      </w:r>
      <w:r w:rsidR="001B052A">
        <w:rPr>
          <w:u w:val="single"/>
        </w:rPr>
        <w:t>:</w:t>
      </w:r>
      <w:r w:rsidRPr="00AB6256">
        <w:rPr>
          <w:u w:val="single"/>
        </w:rPr>
        <w:t xml:space="preserve"> 202</w:t>
      </w:r>
      <w:r w:rsidR="00C3757A">
        <w:rPr>
          <w:u w:val="single"/>
        </w:rPr>
        <w:t>5</w:t>
      </w:r>
      <w:r w:rsidRPr="00AB6256">
        <w:rPr>
          <w:u w:val="single"/>
        </w:rPr>
        <w:t>.</w:t>
      </w:r>
      <w:r w:rsidRPr="00AB6256">
        <w:t xml:space="preserve"> In Resolution E-5221, staff proposed to establish a DEER database table to track existing and planned updates to current and future measure packages. This Measure Lifecycle Management (MLM) table will help manage measure package updates in a more strategic manner, including the identification of new research to inform planned updates and manage measure package review timelines to </w:t>
      </w:r>
      <w:r w:rsidRPr="00AB6256">
        <w:lastRenderedPageBreak/>
        <w:t xml:space="preserve">avoid highly compressed review and comment periods. The MLM is currently in draft form and will be shared for CPUC review and approval before the next round of measure package updates </w:t>
      </w:r>
      <w:r w:rsidR="006F697C">
        <w:t>for</w:t>
      </w:r>
      <w:r w:rsidRPr="00AB6256" w:rsidR="006F697C">
        <w:t xml:space="preserve"> </w:t>
      </w:r>
      <w:r w:rsidRPr="00AB6256">
        <w:t>PY2028</w:t>
      </w:r>
      <w:r w:rsidR="00D23803">
        <w:t xml:space="preserve"> that will be planned for in 2025</w:t>
      </w:r>
      <w:r w:rsidRPr="00AB6256">
        <w:t>.</w:t>
      </w:r>
      <w:r w:rsidR="006D460C">
        <w:t xml:space="preserve"> CPUC Staff and stakeholders will target MLM completion to review alongside </w:t>
      </w:r>
      <w:r w:rsidR="007D5A63">
        <w:t xml:space="preserve">the DEER2028 Measure Package Update Schedule to aid </w:t>
      </w:r>
      <w:r w:rsidR="002A6724">
        <w:t xml:space="preserve">in the scoping of DEER2028 measure package updates. </w:t>
      </w:r>
    </w:p>
    <w:p w:rsidRPr="00AB6256" w:rsidR="00AB6256" w:rsidP="004F6FE7" w:rsidRDefault="00582AF6" w14:paraId="20182131" w14:textId="099B3829">
      <w:pPr>
        <w:pStyle w:val="Heading3"/>
      </w:pPr>
      <w:bookmarkStart w:name="_Toc185271154" w:id="5"/>
      <w:r>
        <w:t xml:space="preserve">(A.4) </w:t>
      </w:r>
      <w:r w:rsidR="009543B6">
        <w:t xml:space="preserve">Assess </w:t>
      </w:r>
      <w:r w:rsidRPr="00AB6256" w:rsidR="00AB6256">
        <w:t>Enabl</w:t>
      </w:r>
      <w:r w:rsidR="009543B6">
        <w:t>ing</w:t>
      </w:r>
      <w:r w:rsidRPr="00AB6256" w:rsidR="00AB6256">
        <w:t xml:space="preserve"> Filtering on CPUC Support Tables in eTRM</w:t>
      </w:r>
      <w:bookmarkEnd w:id="5"/>
    </w:p>
    <w:p w:rsidRPr="00AB6256" w:rsidR="00AB6256" w:rsidP="00AB6256" w:rsidRDefault="00AB6256" w14:paraId="58BE28A5" w14:textId="77777777">
      <w:r w:rsidRPr="00AB6256">
        <w:rPr>
          <w:u w:val="single"/>
        </w:rPr>
        <w:t>Effective Program Year: 2026.</w:t>
      </w:r>
      <w:r w:rsidRPr="00AB6256">
        <w:t xml:space="preserve"> The eTRM houses the CPUC Support Tables that are synchronized with the DEER database, but the support tables have very limited functionality. The same functionality that is provided for the Shared Values Tables should be replicated for the CPUC Support Tables.</w:t>
      </w:r>
    </w:p>
    <w:p w:rsidR="00AB6256" w:rsidP="004F6FE7" w:rsidRDefault="00E766BA" w14:paraId="3FA73495" w14:textId="3391B22A">
      <w:pPr>
        <w:pStyle w:val="Heading3"/>
      </w:pPr>
      <w:bookmarkStart w:name="_Toc175733756" w:id="6"/>
      <w:bookmarkStart w:name="_Toc175742620" w:id="7"/>
      <w:bookmarkStart w:name="_Toc175762700" w:id="8"/>
      <w:bookmarkStart w:name="_Toc175765980" w:id="9"/>
      <w:bookmarkStart w:name="_Toc175733757" w:id="10"/>
      <w:bookmarkStart w:name="_Toc175742621" w:id="11"/>
      <w:bookmarkStart w:name="_Toc175762701" w:id="12"/>
      <w:bookmarkStart w:name="_Toc175765981" w:id="13"/>
      <w:bookmarkStart w:name="_Toc185271155" w:id="14"/>
      <w:bookmarkEnd w:id="6"/>
      <w:bookmarkEnd w:id="7"/>
      <w:bookmarkEnd w:id="8"/>
      <w:bookmarkEnd w:id="9"/>
      <w:bookmarkEnd w:id="10"/>
      <w:bookmarkEnd w:id="11"/>
      <w:bookmarkEnd w:id="12"/>
      <w:bookmarkEnd w:id="13"/>
      <w:r>
        <w:t>(A.</w:t>
      </w:r>
      <w:r w:rsidR="004B136A">
        <w:t>5</w:t>
      </w:r>
      <w:r>
        <w:t xml:space="preserve">) </w:t>
      </w:r>
      <w:r w:rsidRPr="00AB6256" w:rsidR="00AB6256">
        <w:t>eTRM Table Structure Changes</w:t>
      </w:r>
      <w:bookmarkEnd w:id="14"/>
    </w:p>
    <w:p w:rsidRPr="00497F9E" w:rsidR="00497F9E" w:rsidP="00497F9E" w:rsidRDefault="00497F9E" w14:paraId="2676108B" w14:textId="212F0F15">
      <w:r w:rsidRPr="007E5797">
        <w:t>The fields contained in the permutations table</w:t>
      </w:r>
      <w:r w:rsidR="009D116E">
        <w:t xml:space="preserve"> and the CPUC Support Tables within the eTRM</w:t>
      </w:r>
      <w:r w:rsidRPr="007E5797">
        <w:t xml:space="preserve"> shall be updated as needed to support evolving policies and measure development. </w:t>
      </w:r>
      <w:r w:rsidR="00E03B87">
        <w:t>Updates to</w:t>
      </w:r>
      <w:r w:rsidRPr="007E5797" w:rsidR="00E03B87">
        <w:t xml:space="preserve"> </w:t>
      </w:r>
      <w:r w:rsidRPr="007E5797">
        <w:t xml:space="preserve">fields may result from fields added to the DEER support tables </w:t>
      </w:r>
      <w:r w:rsidR="00145DB1">
        <w:t xml:space="preserve">in the DEER </w:t>
      </w:r>
      <w:r w:rsidR="004811A4">
        <w:t>d</w:t>
      </w:r>
      <w:r w:rsidR="00145DB1">
        <w:t xml:space="preserve">atabase </w:t>
      </w:r>
      <w:r w:rsidRPr="007E5797">
        <w:t xml:space="preserve">or they </w:t>
      </w:r>
      <w:r w:rsidR="008820FA">
        <w:t>be required in the permutations</w:t>
      </w:r>
      <w:r w:rsidR="00B31AF6">
        <w:t xml:space="preserve"> (</w:t>
      </w:r>
      <w:r w:rsidR="0027286A">
        <w:t>e.g.</w:t>
      </w:r>
      <w:r w:rsidR="0019247A">
        <w:t>,</w:t>
      </w:r>
      <w:r w:rsidR="0027286A">
        <w:t xml:space="preserve"> Restricted Permutation Flag)</w:t>
      </w:r>
      <w:r w:rsidRPr="007E5797">
        <w:t>.</w:t>
      </w:r>
      <w:r w:rsidRPr="00AB6256" w:rsidDel="005626B7">
        <w:t xml:space="preserve"> </w:t>
      </w:r>
      <w:r w:rsidRPr="00AB6256">
        <w:t>Measure developers</w:t>
      </w:r>
      <w:r w:rsidRPr="00AB6256" w:rsidDel="00BC646B">
        <w:t xml:space="preserve"> </w:t>
      </w:r>
      <w:r w:rsidRPr="00AB6256">
        <w:t>may work with CalTF to identify those fields and communicate a process whereby the permutation tables will be changed to accommodate the new data. Where the new fields and associated data impact DEER, California Energy Data and Reporting System (CEDARS), or the Cost Effectiveness Tool (CET), CPUC staff will review and approve necessary changes to meet these needs.</w:t>
      </w:r>
    </w:p>
    <w:p w:rsidRPr="00AB6256" w:rsidR="00AB6256" w:rsidP="00AB6256" w:rsidRDefault="00AB6256" w14:paraId="0C991112" w14:textId="77777777">
      <w:r w:rsidRPr="00AB6256">
        <w:rPr>
          <w:u w:val="single"/>
        </w:rPr>
        <w:t>Effective Program Year: 2024.</w:t>
      </w:r>
      <w:r w:rsidRPr="00AB6256">
        <w:t xml:space="preserve"> The source status table in DEER is no longer maintained as the eTRM is the data source of record for active measure packages, using the Measure Detail ID. The eTRM may discontinue synchronizing with this table nightly and remove it from the CPUC Support Table page.</w:t>
      </w:r>
    </w:p>
    <w:p w:rsidR="009074D8" w:rsidP="00AB6256" w:rsidRDefault="00AB6256" w14:paraId="48FDA8C5" w14:textId="5C7A9F84">
      <w:r w:rsidRPr="00AB6256">
        <w:rPr>
          <w:u w:val="single"/>
        </w:rPr>
        <w:t>Effective Program Year: 2026</w:t>
      </w:r>
      <w:r w:rsidRPr="00AB6256">
        <w:t xml:space="preserve">. </w:t>
      </w:r>
      <w:r w:rsidR="0026057A">
        <w:t>R</w:t>
      </w:r>
      <w:r w:rsidRPr="00AB6256" w:rsidR="0026057A">
        <w:t>e</w:t>
      </w:r>
      <w:r w:rsidR="0026057A">
        <w:t>tire</w:t>
      </w:r>
      <w:r w:rsidRPr="00AB6256" w:rsidR="0026057A">
        <w:t xml:space="preserve"> </w:t>
      </w:r>
      <w:r w:rsidR="00057539">
        <w:t xml:space="preserve">the </w:t>
      </w:r>
      <w:r w:rsidRPr="00AB6256" w:rsidR="00057539">
        <w:t xml:space="preserve">FuelSubID </w:t>
      </w:r>
      <w:r w:rsidR="00A9764F">
        <w:t xml:space="preserve">field </w:t>
      </w:r>
      <w:r w:rsidR="00B63D8E">
        <w:t>and add</w:t>
      </w:r>
      <w:r w:rsidRPr="00AB6256" w:rsidR="00B63D8E">
        <w:t xml:space="preserve"> </w:t>
      </w:r>
      <w:r w:rsidR="00A9764F">
        <w:t xml:space="preserve">the </w:t>
      </w:r>
      <w:r w:rsidRPr="00AB6256" w:rsidR="00057539">
        <w:t xml:space="preserve">FuelID </w:t>
      </w:r>
      <w:r w:rsidR="00A9764F">
        <w:t xml:space="preserve">field </w:t>
      </w:r>
      <w:r w:rsidR="00B63D8E">
        <w:t xml:space="preserve">in the permutations </w:t>
      </w:r>
      <w:r w:rsidRPr="00AB6256" w:rsidR="00057539">
        <w:t xml:space="preserve">to </w:t>
      </w:r>
      <w:r w:rsidR="008E6274">
        <w:t>align with</w:t>
      </w:r>
      <w:r w:rsidRPr="00AB6256" w:rsidR="008E6274">
        <w:t xml:space="preserve"> </w:t>
      </w:r>
      <w:r w:rsidRPr="00AB6256" w:rsidR="00057539">
        <w:t>the replacement of the FuelSub table with the Fuel</w:t>
      </w:r>
      <w:r w:rsidR="00B548A5">
        <w:t>ID</w:t>
      </w:r>
      <w:r w:rsidRPr="00AB6256" w:rsidR="00057539">
        <w:t xml:space="preserve"> table in DEER.</w:t>
      </w:r>
    </w:p>
    <w:p w:rsidRPr="00AB6256" w:rsidR="00AB6256" w:rsidP="00AB6256" w:rsidRDefault="00B51250" w14:paraId="6730AA51" w14:textId="61E81FBA">
      <w:r w:rsidRPr="00B96651">
        <w:rPr>
          <w:u w:val="single"/>
        </w:rPr>
        <w:t xml:space="preserve">Effective Program Year: </w:t>
      </w:r>
      <w:r w:rsidRPr="00B96651" w:rsidR="00B96651">
        <w:rPr>
          <w:u w:val="single"/>
        </w:rPr>
        <w:t>2028.</w:t>
      </w:r>
      <w:r w:rsidR="00B96651">
        <w:t xml:space="preserve"> </w:t>
      </w:r>
      <w:r w:rsidR="0023359F">
        <w:t>The following revisions</w:t>
      </w:r>
      <w:r w:rsidR="007D31A7">
        <w:t xml:space="preserve"> </w:t>
      </w:r>
      <w:r w:rsidR="00057539">
        <w:t>are needed</w:t>
      </w:r>
      <w:r w:rsidRPr="00AB6256" w:rsidR="00AB6256">
        <w:t xml:space="preserve">: </w:t>
      </w:r>
    </w:p>
    <w:p w:rsidRPr="00AB6256" w:rsidR="00AB6256" w:rsidP="00AB6256" w:rsidRDefault="00AB6256" w14:paraId="5102C9E7" w14:textId="364C5842">
      <w:pPr>
        <w:numPr>
          <w:ilvl w:val="0"/>
          <w:numId w:val="1"/>
        </w:numPr>
      </w:pPr>
      <w:r w:rsidRPr="00AB6256">
        <w:t xml:space="preserve">Adding new field(s): Net lifecycle refrigerant leakage emissions, in metric tonne CO2e; Refrigerant Type for measure, standard practice, and existing equipment </w:t>
      </w:r>
      <w:r w:rsidRPr="00AB6256">
        <w:lastRenderedPageBreak/>
        <w:t>cases (</w:t>
      </w:r>
      <w:r w:rsidR="00C82D09">
        <w:t>alternatively</w:t>
      </w:r>
      <w:r w:rsidRPr="00AB6256">
        <w:t xml:space="preserve"> include in</w:t>
      </w:r>
      <w:r w:rsidR="008637B7">
        <w:t xml:space="preserve"> an existing field like</w:t>
      </w:r>
      <w:r w:rsidR="001B7107">
        <w:t xml:space="preserve"> base and measure</w:t>
      </w:r>
      <w:r w:rsidRPr="00AB6256">
        <w:t xml:space="preserve"> case descriptions where equipment uses refrigerant); end-use specific energy consumption fields for measure, standard practice, and existing equipment. (Presently, the consumption fields often contain whole-building consumption levels.) </w:t>
      </w:r>
    </w:p>
    <w:p w:rsidRPr="00AB6256" w:rsidR="00AB6256" w:rsidP="00AB6256" w:rsidRDefault="00AB6256" w14:paraId="73089302" w14:textId="40A34884">
      <w:pPr>
        <w:numPr>
          <w:ilvl w:val="0"/>
          <w:numId w:val="1"/>
        </w:numPr>
      </w:pPr>
      <w:r w:rsidRPr="00AB6256">
        <w:t xml:space="preserve">Retire existing field(s) that are no longer needed: DEERMeasureID. When a field is “retired,” it must be retained for years prior to PY2026, but need not be populated by measure package developers </w:t>
      </w:r>
      <w:r w:rsidR="00200DBF">
        <w:t>thereafter</w:t>
      </w:r>
      <w:r w:rsidRPr="00AB6256">
        <w:t>.</w:t>
      </w:r>
    </w:p>
    <w:p w:rsidRPr="00AB6256" w:rsidR="00AB6256" w:rsidP="00AB6256" w:rsidRDefault="00AB6256" w14:paraId="3A0894CC" w14:textId="77777777"/>
    <w:p w:rsidR="00777536" w:rsidP="008151F1" w:rsidRDefault="00585DD4" w14:paraId="04570655" w14:textId="40CE4376">
      <w:pPr>
        <w:pStyle w:val="Heading2"/>
      </w:pPr>
      <w:bookmarkStart w:name="_Toc185271156" w:id="15"/>
      <w:r>
        <w:t xml:space="preserve">(B) </w:t>
      </w:r>
      <w:r w:rsidR="000D0788">
        <w:t>DEER System and Measure Package Updates</w:t>
      </w:r>
      <w:bookmarkEnd w:id="15"/>
    </w:p>
    <w:p w:rsidRPr="000C037F" w:rsidR="000C037F" w:rsidP="000C037F" w:rsidRDefault="003E28DA" w14:paraId="41425896" w14:textId="0976E1A0">
      <w:r w:rsidRPr="00850922">
        <w:rPr>
          <w:u w:val="single"/>
        </w:rPr>
        <w:t>Effective Program Year</w:t>
      </w:r>
      <w:r>
        <w:rPr>
          <w:u w:val="single"/>
        </w:rPr>
        <w:t>: 2024-</w:t>
      </w:r>
      <w:r w:rsidRPr="00850922">
        <w:rPr>
          <w:u w:val="single"/>
        </w:rPr>
        <w:t>2028</w:t>
      </w:r>
      <w:r>
        <w:rPr>
          <w:u w:val="single"/>
        </w:rPr>
        <w:t>.</w:t>
      </w:r>
      <w:r>
        <w:t xml:space="preserve"> </w:t>
      </w:r>
      <w:r w:rsidRPr="000C037F" w:rsidR="000C037F">
        <w:t>This section describes updates to the DEER system encompassing any changes to policies that affect the eTRM and measure packages.</w:t>
      </w:r>
    </w:p>
    <w:p w:rsidRPr="000C037F" w:rsidR="000C037F" w:rsidP="009A335E" w:rsidRDefault="00502601" w14:paraId="294D4EA8" w14:textId="451257A9">
      <w:pPr>
        <w:pStyle w:val="Heading3"/>
      </w:pPr>
      <w:bookmarkStart w:name="_Toc185271157" w:id="16"/>
      <w:r>
        <w:t xml:space="preserve">(B.1) </w:t>
      </w:r>
      <w:r w:rsidRPr="000C037F" w:rsidR="000C037F">
        <w:t>Refrigerant Leakage Impacts</w:t>
      </w:r>
      <w:bookmarkEnd w:id="16"/>
    </w:p>
    <w:p w:rsidRPr="000C037F" w:rsidR="000C037F" w:rsidP="000C037F" w:rsidRDefault="000C037F" w14:paraId="15CF468B" w14:textId="758848BD">
      <w:bookmarkStart w:name="_Hlk98163599" w:id="17"/>
      <w:r w:rsidRPr="000C037F">
        <w:rPr>
          <w:u w:val="single"/>
        </w:rPr>
        <w:t>Effective Program Year: 2024-2026</w:t>
      </w:r>
      <w:r w:rsidRPr="000C037F">
        <w:t>. For mid-cycle new offerings added to existing measure packages or mid-cycle updates to existing measure packages</w:t>
      </w:r>
      <w:r w:rsidR="00450F5E">
        <w:t xml:space="preserve"> (e.g. code or standard change)</w:t>
      </w:r>
      <w:r w:rsidRPr="000C037F">
        <w:t>, measure package developers shall use the CPUC’s Refrigerant Avoided Cost Calculator and Fuel Substitution Calculator (RACC-FSC_v3.0</w:t>
      </w:r>
      <w:r w:rsidR="00E436EA">
        <w:t xml:space="preserve"> and RACC-FSC_v3.1</w:t>
      </w:r>
      <w:r w:rsidRPr="000C037F">
        <w:t>) that was released on April 22, 2024</w:t>
      </w:r>
      <w:r w:rsidR="00E436EA">
        <w:t xml:space="preserve"> and November 1, 2024, respectively</w:t>
      </w:r>
      <w:r w:rsidRPr="000C037F">
        <w:t>.</w:t>
      </w:r>
      <w:r w:rsidRPr="000C037F">
        <w:rPr>
          <w:vertAlign w:val="superscript"/>
        </w:rPr>
        <w:footnoteReference w:id="5"/>
      </w:r>
      <w:r w:rsidRPr="000C037F">
        <w:t xml:space="preserve"> </w:t>
      </w:r>
      <w:r w:rsidR="00CE323D">
        <w:t>Either version of the</w:t>
      </w:r>
      <w:r w:rsidR="00871822">
        <w:t xml:space="preserve"> RACC-FSC</w:t>
      </w:r>
      <w:r w:rsidRPr="000C037F">
        <w:t xml:space="preserve"> workbook shall also be used for 2026 measure package updates. The Avoided Costs Calculator (ACC) versions to use are described in </w:t>
      </w:r>
      <w:r w:rsidRPr="000C037F">
        <w:fldChar w:fldCharType="begin"/>
      </w:r>
      <w:r w:rsidRPr="000C037F">
        <w:instrText xml:space="preserve"> REF _Ref163590168 \h </w:instrText>
      </w:r>
      <w:r w:rsidRPr="000C037F">
        <w:fldChar w:fldCharType="separate"/>
      </w:r>
      <w:r w:rsidRPr="000C037F" w:rsidR="00E812F0">
        <w:t xml:space="preserve">Table </w:t>
      </w:r>
      <w:r w:rsidR="00E812F0">
        <w:t>A-</w:t>
      </w:r>
      <w:r w:rsidR="00E812F0">
        <w:rPr>
          <w:noProof/>
        </w:rPr>
        <w:t>1</w:t>
      </w:r>
      <w:r w:rsidRPr="000C037F" w:rsidR="00E812F0">
        <w:noBreakHyphen/>
      </w:r>
      <w:r w:rsidR="00E812F0">
        <w:rPr>
          <w:noProof/>
        </w:rPr>
        <w:t>1</w:t>
      </w:r>
      <w:r w:rsidRPr="000C037F">
        <w:fldChar w:fldCharType="end"/>
      </w:r>
      <w:r w:rsidRPr="000C037F">
        <w:t>.</w:t>
      </w:r>
      <w:r w:rsidR="005702EC">
        <w:t xml:space="preserve">  </w:t>
      </w:r>
    </w:p>
    <w:p w:rsidRPr="000C037F" w:rsidR="000C037F" w:rsidP="009A335E" w:rsidRDefault="000C037F" w14:paraId="4BD20F39" w14:textId="31C5D07C">
      <w:pPr>
        <w:pStyle w:val="Caption"/>
      </w:pPr>
      <w:bookmarkStart w:name="_Ref163590168" w:id="18"/>
      <w:bookmarkStart w:name="_Toc185273152" w:id="19"/>
      <w:r w:rsidRPr="000C037F">
        <w:t xml:space="preserve">Table </w:t>
      </w:r>
      <w:r w:rsidR="00B30642">
        <w:t>A-</w:t>
      </w:r>
      <w:r>
        <w:fldChar w:fldCharType="begin"/>
      </w:r>
      <w:r>
        <w:instrText>STYLEREF 1 \s</w:instrText>
      </w:r>
      <w:r>
        <w:fldChar w:fldCharType="separate"/>
      </w:r>
      <w:r w:rsidR="00E812F0">
        <w:rPr>
          <w:noProof/>
        </w:rPr>
        <w:t>1</w:t>
      </w:r>
      <w:r>
        <w:fldChar w:fldCharType="end"/>
      </w:r>
      <w:r w:rsidRPr="000C037F">
        <w:noBreakHyphen/>
      </w:r>
      <w:r>
        <w:fldChar w:fldCharType="begin"/>
      </w:r>
      <w:r>
        <w:instrText>SEQ Table \* ARABIC \s 1</w:instrText>
      </w:r>
      <w:r>
        <w:fldChar w:fldCharType="separate"/>
      </w:r>
      <w:r w:rsidR="00E812F0">
        <w:rPr>
          <w:noProof/>
        </w:rPr>
        <w:t>1</w:t>
      </w:r>
      <w:r>
        <w:fldChar w:fldCharType="end"/>
      </w:r>
      <w:bookmarkEnd w:id="18"/>
      <w:r w:rsidRPr="000C037F">
        <w:t xml:space="preserve">. Avoided Cost Calculator Version </w:t>
      </w:r>
      <w:r w:rsidR="00BE170C">
        <w:t>to</w:t>
      </w:r>
      <w:r w:rsidRPr="000C037F" w:rsidR="00BE170C">
        <w:t xml:space="preserve"> </w:t>
      </w:r>
      <w:r w:rsidRPr="000C037F">
        <w:t>use with RACC-FSC_v3.0</w:t>
      </w:r>
      <w:r w:rsidR="00BE170C">
        <w:t>/v</w:t>
      </w:r>
      <w:r w:rsidR="004F2313">
        <w:t>3.1</w:t>
      </w:r>
      <w:bookmarkEnd w:id="19"/>
    </w:p>
    <w:tbl>
      <w:tblPr>
        <w:tblW w:w="926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bottom w:w="14" w:type="dxa"/>
          <w:right w:w="158" w:type="dxa"/>
        </w:tblCellMar>
        <w:tblLook w:val="04A0" w:firstRow="1" w:lastRow="0" w:firstColumn="1" w:lastColumn="0" w:noHBand="0" w:noVBand="1"/>
      </w:tblPr>
      <w:tblGrid>
        <w:gridCol w:w="4752"/>
        <w:gridCol w:w="4513"/>
      </w:tblGrid>
      <w:tr w:rsidRPr="000C037F" w:rsidR="000C037F" w:rsidTr="009F155D" w14:paraId="192225CC" w14:textId="77777777">
        <w:trPr>
          <w:tblHeader/>
        </w:trPr>
        <w:tc>
          <w:tcPr>
            <w:tcW w:w="4752" w:type="dxa"/>
            <w:tcBorders>
              <w:top w:val="single" w:color="auto" w:sz="4" w:space="0"/>
              <w:left w:val="single" w:color="auto" w:sz="4" w:space="0"/>
              <w:bottom w:val="single" w:color="auto" w:sz="4" w:space="0"/>
              <w:right w:val="single" w:color="auto" w:sz="4" w:space="0"/>
            </w:tcBorders>
            <w:vAlign w:val="center"/>
          </w:tcPr>
          <w:p w:rsidRPr="00442A7A" w:rsidR="000C037F" w:rsidP="003D0691" w:rsidRDefault="000C037F" w14:paraId="549ED78C" w14:textId="77777777">
            <w:pPr>
              <w:pStyle w:val="NormalinTable"/>
              <w:rPr>
                <w:b/>
                <w:bCs/>
              </w:rPr>
            </w:pPr>
            <w:r w:rsidRPr="00442A7A">
              <w:rPr>
                <w:b/>
                <w:bCs/>
              </w:rPr>
              <w:t>Measure Package Update Type</w:t>
            </w:r>
          </w:p>
        </w:tc>
        <w:tc>
          <w:tcPr>
            <w:tcW w:w="4513" w:type="dxa"/>
            <w:tcBorders>
              <w:top w:val="single" w:color="auto" w:sz="4" w:space="0"/>
              <w:left w:val="single" w:color="auto" w:sz="4" w:space="0"/>
              <w:bottom w:val="single" w:color="auto" w:sz="4" w:space="0"/>
              <w:right w:val="single" w:color="auto" w:sz="4" w:space="0"/>
            </w:tcBorders>
            <w:vAlign w:val="center"/>
          </w:tcPr>
          <w:p w:rsidRPr="00442A7A" w:rsidR="000C037F" w:rsidP="003D0691" w:rsidRDefault="000C037F" w14:paraId="6CBFE787" w14:textId="73F9D8E6">
            <w:pPr>
              <w:pStyle w:val="NormalinTable"/>
              <w:rPr>
                <w:b/>
                <w:bCs/>
              </w:rPr>
            </w:pPr>
            <w:r w:rsidRPr="00442A7A">
              <w:rPr>
                <w:b/>
                <w:bCs/>
              </w:rPr>
              <w:t>ACC Version</w:t>
            </w:r>
            <w:r w:rsidR="00A653DC">
              <w:rPr>
                <w:b/>
                <w:bCs/>
              </w:rPr>
              <w:t>*</w:t>
            </w:r>
          </w:p>
        </w:tc>
      </w:tr>
      <w:tr w:rsidRPr="000C037F" w:rsidR="000C037F" w:rsidTr="009F155D" w14:paraId="5622BB81" w14:textId="77777777">
        <w:trPr>
          <w:trHeight w:val="20"/>
        </w:trPr>
        <w:tc>
          <w:tcPr>
            <w:tcW w:w="4752" w:type="dxa"/>
            <w:tcBorders>
              <w:top w:val="single" w:color="auto" w:sz="4" w:space="0"/>
              <w:left w:val="single" w:color="auto" w:sz="4" w:space="0"/>
              <w:bottom w:val="single" w:color="auto" w:sz="4" w:space="0"/>
              <w:right w:val="single" w:color="auto" w:sz="4" w:space="0"/>
            </w:tcBorders>
            <w:vAlign w:val="center"/>
          </w:tcPr>
          <w:p w:rsidRPr="000C037F" w:rsidR="000C037F" w:rsidP="003D0691" w:rsidRDefault="000C037F" w14:paraId="4E10D169" w14:textId="77777777">
            <w:pPr>
              <w:pStyle w:val="NormalinTable"/>
            </w:pPr>
            <w:r w:rsidRPr="000C037F">
              <w:t>New offering(s) added to existing approved measure package for PY2024-2025</w:t>
            </w:r>
          </w:p>
        </w:tc>
        <w:tc>
          <w:tcPr>
            <w:tcW w:w="4513" w:type="dxa"/>
            <w:tcBorders>
              <w:top w:val="single" w:color="auto" w:sz="4" w:space="0"/>
              <w:left w:val="single" w:color="auto" w:sz="4" w:space="0"/>
              <w:bottom w:val="single" w:color="auto" w:sz="4" w:space="0"/>
              <w:right w:val="single" w:color="auto" w:sz="4" w:space="0"/>
            </w:tcBorders>
            <w:vAlign w:val="center"/>
          </w:tcPr>
          <w:p w:rsidRPr="000C037F" w:rsidR="000C037F" w:rsidP="003D0691" w:rsidRDefault="000C037F" w14:paraId="763E7BDD" w14:textId="77777777">
            <w:pPr>
              <w:pStyle w:val="NormalinTable"/>
            </w:pPr>
            <w:r w:rsidRPr="000C037F">
              <w:t xml:space="preserve">ACC2022 values shall be used in RACC-FSC for new offering permutations, </w:t>
            </w:r>
            <w:r w:rsidRPr="000C037F">
              <w:rPr>
                <w:u w:val="single"/>
              </w:rPr>
              <w:t>only</w:t>
            </w:r>
          </w:p>
        </w:tc>
      </w:tr>
      <w:tr w:rsidRPr="000C037F" w:rsidR="000C037F" w:rsidTr="009F155D" w14:paraId="46272045" w14:textId="77777777">
        <w:trPr>
          <w:trHeight w:val="20"/>
        </w:trPr>
        <w:tc>
          <w:tcPr>
            <w:tcW w:w="4752" w:type="dxa"/>
            <w:tcBorders>
              <w:top w:val="single" w:color="auto" w:sz="4" w:space="0"/>
              <w:left w:val="single" w:color="auto" w:sz="4" w:space="0"/>
              <w:bottom w:val="single" w:color="auto" w:sz="4" w:space="0"/>
              <w:right w:val="single" w:color="auto" w:sz="4" w:space="0"/>
            </w:tcBorders>
            <w:vAlign w:val="center"/>
          </w:tcPr>
          <w:p w:rsidRPr="000C037F" w:rsidR="000C037F" w:rsidP="003D0691" w:rsidRDefault="000C037F" w14:paraId="0D802533" w14:textId="77777777">
            <w:pPr>
              <w:pStyle w:val="NormalinTable"/>
            </w:pPr>
            <w:r w:rsidRPr="000C037F">
              <w:t>Mid-cycle updates to existing approved measure packages for PY2025</w:t>
            </w:r>
          </w:p>
        </w:tc>
        <w:tc>
          <w:tcPr>
            <w:tcW w:w="4513" w:type="dxa"/>
            <w:tcBorders>
              <w:top w:val="single" w:color="auto" w:sz="4" w:space="0"/>
              <w:left w:val="single" w:color="auto" w:sz="4" w:space="0"/>
              <w:bottom w:val="single" w:color="auto" w:sz="4" w:space="0"/>
              <w:right w:val="single" w:color="auto" w:sz="4" w:space="0"/>
            </w:tcBorders>
            <w:vAlign w:val="center"/>
          </w:tcPr>
          <w:p w:rsidRPr="000C037F" w:rsidR="000C037F" w:rsidP="003D0691" w:rsidRDefault="000C037F" w14:paraId="081FC722" w14:textId="77777777">
            <w:pPr>
              <w:pStyle w:val="NormalinTable"/>
            </w:pPr>
            <w:r w:rsidRPr="000C037F">
              <w:t>ACC2022 values shall be used for all permutations</w:t>
            </w:r>
          </w:p>
        </w:tc>
      </w:tr>
      <w:tr w:rsidRPr="000C037F" w:rsidR="000C037F" w:rsidTr="009F155D" w14:paraId="1F11C74B" w14:textId="77777777">
        <w:trPr>
          <w:trHeight w:val="20"/>
        </w:trPr>
        <w:tc>
          <w:tcPr>
            <w:tcW w:w="4752" w:type="dxa"/>
            <w:tcBorders>
              <w:top w:val="single" w:color="auto" w:sz="4" w:space="0"/>
              <w:left w:val="single" w:color="auto" w:sz="4" w:space="0"/>
              <w:bottom w:val="single" w:color="auto" w:sz="4" w:space="0"/>
              <w:right w:val="single" w:color="auto" w:sz="4" w:space="0"/>
            </w:tcBorders>
            <w:vAlign w:val="center"/>
          </w:tcPr>
          <w:p w:rsidRPr="000C037F" w:rsidR="000C037F" w:rsidP="000F426A" w:rsidRDefault="000C037F" w14:paraId="660DC464" w14:textId="77777777">
            <w:pPr>
              <w:pStyle w:val="NormalinTable"/>
              <w:keepNext/>
            </w:pPr>
            <w:r w:rsidRPr="000C037F">
              <w:lastRenderedPageBreak/>
              <w:t>Measure package updates for PY2026</w:t>
            </w:r>
          </w:p>
        </w:tc>
        <w:tc>
          <w:tcPr>
            <w:tcW w:w="4513" w:type="dxa"/>
            <w:vMerge w:val="restart"/>
            <w:tcBorders>
              <w:top w:val="single" w:color="auto" w:sz="4" w:space="0"/>
              <w:left w:val="single" w:color="auto" w:sz="4" w:space="0"/>
              <w:right w:val="single" w:color="auto" w:sz="4" w:space="0"/>
            </w:tcBorders>
            <w:vAlign w:val="center"/>
          </w:tcPr>
          <w:p w:rsidRPr="000C037F" w:rsidR="000C037F" w:rsidP="000F426A" w:rsidRDefault="000C037F" w14:paraId="39341B8D" w14:textId="1FB3C7CD">
            <w:pPr>
              <w:pStyle w:val="NormalinTable"/>
              <w:keepNext/>
            </w:pPr>
            <w:r w:rsidRPr="000C037F">
              <w:t>ACC2024 values shall be used for all permutations</w:t>
            </w:r>
          </w:p>
        </w:tc>
      </w:tr>
      <w:tr w:rsidRPr="000C037F" w:rsidR="000C037F" w:rsidTr="009F155D" w14:paraId="288B1669" w14:textId="77777777">
        <w:trPr>
          <w:trHeight w:val="20"/>
        </w:trPr>
        <w:tc>
          <w:tcPr>
            <w:tcW w:w="4752" w:type="dxa"/>
            <w:tcBorders>
              <w:top w:val="single" w:color="auto" w:sz="4" w:space="0"/>
              <w:left w:val="single" w:color="auto" w:sz="4" w:space="0"/>
              <w:bottom w:val="single" w:color="auto" w:sz="4" w:space="0"/>
              <w:right w:val="single" w:color="auto" w:sz="4" w:space="0"/>
            </w:tcBorders>
            <w:vAlign w:val="center"/>
          </w:tcPr>
          <w:p w:rsidRPr="000C037F" w:rsidR="000C037F" w:rsidP="003D23B6" w:rsidRDefault="000C037F" w14:paraId="08173E46" w14:textId="77777777">
            <w:pPr>
              <w:pStyle w:val="NormalinTable"/>
              <w:keepNext/>
            </w:pPr>
            <w:r w:rsidRPr="000C037F">
              <w:t>New measure packages for PY2026</w:t>
            </w:r>
          </w:p>
        </w:tc>
        <w:tc>
          <w:tcPr>
            <w:tcW w:w="4513" w:type="dxa"/>
            <w:vMerge/>
            <w:tcBorders>
              <w:left w:val="single" w:color="auto" w:sz="4" w:space="0"/>
              <w:bottom w:val="single" w:color="auto" w:sz="4" w:space="0"/>
              <w:right w:val="single" w:color="auto" w:sz="4" w:space="0"/>
            </w:tcBorders>
          </w:tcPr>
          <w:p w:rsidRPr="000C037F" w:rsidR="000C037F" w:rsidP="003D23B6" w:rsidRDefault="000C037F" w14:paraId="7EBCB57A" w14:textId="77777777">
            <w:pPr>
              <w:pStyle w:val="NormalinTable"/>
              <w:keepNext/>
            </w:pPr>
          </w:p>
        </w:tc>
      </w:tr>
    </w:tbl>
    <w:p w:rsidRPr="00A653DC" w:rsidR="00A653DC" w:rsidP="00771DA4" w:rsidRDefault="000C037F" w14:paraId="256D8C09" w14:textId="6F0C417C">
      <w:pPr>
        <w:pStyle w:val="Tablenote"/>
      </w:pPr>
      <w:r w:rsidRPr="00A653DC">
        <w:t>*</w:t>
      </w:r>
      <w:r w:rsidR="00596B59">
        <w:t xml:space="preserve">  </w:t>
      </w:r>
      <w:r w:rsidR="0072637E">
        <w:t>The RACC-FSC_v3.0</w:t>
      </w:r>
      <w:r w:rsidR="000A1BD8">
        <w:t>/v3.1</w:t>
      </w:r>
      <w:r w:rsidR="0072637E">
        <w:t xml:space="preserve"> allows the user to select which ACC version</w:t>
      </w:r>
      <w:r w:rsidR="0056317E">
        <w:t xml:space="preserve"> </w:t>
      </w:r>
      <w:r w:rsidR="000A1BD8">
        <w:t>is</w:t>
      </w:r>
      <w:r w:rsidR="0056317E">
        <w:t xml:space="preserve"> used</w:t>
      </w:r>
      <w:r w:rsidR="006E2644">
        <w:t>.</w:t>
      </w:r>
    </w:p>
    <w:p w:rsidRPr="000C037F" w:rsidR="000C037F" w:rsidP="000C037F" w:rsidRDefault="000C037F" w14:paraId="2152FA27" w14:textId="77777777"/>
    <w:p w:rsidRPr="000C037F" w:rsidR="000C037F" w:rsidP="000C037F" w:rsidRDefault="000C037F" w14:paraId="07536823" w14:textId="62ACED3C">
      <w:r w:rsidRPr="000C037F">
        <w:t>The RACC-FSC_v3.0</w:t>
      </w:r>
      <w:r w:rsidR="0020634D">
        <w:t>/v3.1</w:t>
      </w:r>
      <w:r w:rsidRPr="000C037F">
        <w:t xml:space="preserve"> shall be used to calculate refrigerant leakage emissions and avoided costs of net refrigerant leakage emissions for all measures that involve adding or replacing equipment that uses refrigerant and involves a change to the refrigerant type or to the refrigerant charge</w:t>
      </w:r>
      <w:r w:rsidRPr="000C037F">
        <w:rPr>
          <w:vertAlign w:val="superscript"/>
        </w:rPr>
        <w:footnoteReference w:id="6"/>
      </w:r>
      <w:r w:rsidRPr="000C037F">
        <w:t>—these include most fuel substitution and electric resistance to heat pump measures. The completed RACC-FSC_v3.0</w:t>
      </w:r>
      <w:r w:rsidR="006D006F">
        <w:t>/v3.1</w:t>
      </w:r>
      <w:r w:rsidRPr="000C037F">
        <w:t>—containing the relevant parameters associated with a given measure package—shall be provided as an addendum to each affected measure package in the eTRM. Guidance for how to do so is described in the “RACC-FSC Technical Guidance Document”</w:t>
      </w:r>
      <w:r w:rsidR="009042E9">
        <w:rPr>
          <w:rStyle w:val="FootnoteReference"/>
        </w:rPr>
        <w:footnoteReference w:id="7"/>
      </w:r>
      <w:r w:rsidRPr="000C037F">
        <w:t xml:space="preserve"> that was issued along with the RACC-FSC_v3.0 workbook. </w:t>
      </w:r>
    </w:p>
    <w:p w:rsidRPr="000C037F" w:rsidR="000C037F" w:rsidP="000C037F" w:rsidRDefault="000C037F" w14:paraId="25CEC282" w14:textId="285DB406">
      <w:r w:rsidRPr="000C037F">
        <w:t>Since the RACC-FSC_v3.0</w:t>
      </w:r>
      <w:r w:rsidR="00A03236">
        <w:t>/v3.1</w:t>
      </w:r>
      <w:r w:rsidRPr="000C037F">
        <w:t xml:space="preserve"> contains both the RACC and the FSC, </w:t>
      </w:r>
      <w:r w:rsidRPr="000C037F">
        <w:fldChar w:fldCharType="begin"/>
      </w:r>
      <w:r w:rsidRPr="000C037F">
        <w:instrText xml:space="preserve"> REF _Ref162872723 \h </w:instrText>
      </w:r>
      <w:r w:rsidRPr="000C037F">
        <w:fldChar w:fldCharType="separate"/>
      </w:r>
      <w:r w:rsidRPr="000C037F" w:rsidR="00E812F0">
        <w:t xml:space="preserve">Table </w:t>
      </w:r>
      <w:r w:rsidRPr="00103968" w:rsidR="00E812F0">
        <w:rPr>
          <w:webHidden/>
        </w:rPr>
        <w:t>A-</w:t>
      </w:r>
      <w:r w:rsidR="00E812F0">
        <w:rPr>
          <w:noProof/>
        </w:rPr>
        <w:t>1</w:t>
      </w:r>
      <w:r w:rsidRPr="000C037F" w:rsidR="00E812F0">
        <w:noBreakHyphen/>
      </w:r>
      <w:r w:rsidR="00E812F0">
        <w:rPr>
          <w:noProof/>
        </w:rPr>
        <w:t>2</w:t>
      </w:r>
      <w:r w:rsidRPr="000C037F">
        <w:fldChar w:fldCharType="end"/>
      </w:r>
      <w:r w:rsidRPr="000C037F">
        <w:t xml:space="preserve"> lays out which components are to be completed for various types of deemed measure packages and custom applications.</w:t>
      </w:r>
    </w:p>
    <w:p w:rsidRPr="000C037F" w:rsidR="000C037F" w:rsidP="00771DA4" w:rsidRDefault="000C037F" w14:paraId="0808CD1F" w14:textId="627D8863">
      <w:pPr>
        <w:pStyle w:val="Caption"/>
      </w:pPr>
      <w:bookmarkStart w:name="_Ref162872723" w:id="20"/>
      <w:bookmarkStart w:name="_Toc185273153" w:id="21"/>
      <w:r w:rsidRPr="000C037F">
        <w:t xml:space="preserve">Table </w:t>
      </w:r>
      <w:r w:rsidRPr="00103968" w:rsidR="00103968">
        <w:rPr>
          <w:webHidden/>
        </w:rPr>
        <w:t>A-</w:t>
      </w:r>
      <w:r w:rsidRPr="000C037F">
        <w:fldChar w:fldCharType="begin"/>
      </w:r>
      <w:r w:rsidRPr="000C037F">
        <w:instrText>STYLEREF 1 \s</w:instrText>
      </w:r>
      <w:r w:rsidRPr="000C037F">
        <w:fldChar w:fldCharType="separate"/>
      </w:r>
      <w:r w:rsidR="00E812F0">
        <w:rPr>
          <w:noProof/>
        </w:rPr>
        <w:t>1</w:t>
      </w:r>
      <w:r w:rsidRPr="000C037F">
        <w:fldChar w:fldCharType="end"/>
      </w:r>
      <w:r w:rsidRPr="000C037F">
        <w:noBreakHyphen/>
      </w:r>
      <w:r w:rsidRPr="000C037F">
        <w:fldChar w:fldCharType="begin"/>
      </w:r>
      <w:r w:rsidRPr="000C037F">
        <w:instrText>SEQ Table \* ARABIC \s 1</w:instrText>
      </w:r>
      <w:r w:rsidRPr="000C037F">
        <w:fldChar w:fldCharType="separate"/>
      </w:r>
      <w:r w:rsidR="00E812F0">
        <w:rPr>
          <w:noProof/>
        </w:rPr>
        <w:t>2</w:t>
      </w:r>
      <w:r w:rsidRPr="000C037F">
        <w:fldChar w:fldCharType="end"/>
      </w:r>
      <w:bookmarkEnd w:id="20"/>
      <w:r w:rsidRPr="000C037F">
        <w:t xml:space="preserve">. Worksheets to be Completed </w:t>
      </w:r>
      <w:r w:rsidR="00E25E82">
        <w:t>w</w:t>
      </w:r>
      <w:r w:rsidRPr="000C037F">
        <w:t>ithin RACC-FSC_v3.0</w:t>
      </w:r>
      <w:r w:rsidR="007A3DA6">
        <w:t>/v3.1</w:t>
      </w:r>
      <w:bookmarkEnd w:id="21"/>
    </w:p>
    <w:tbl>
      <w:tblPr>
        <w:tblW w:w="892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bottom w:w="14" w:type="dxa"/>
          <w:right w:w="158" w:type="dxa"/>
        </w:tblCellMar>
        <w:tblLook w:val="04A0" w:firstRow="1" w:lastRow="0" w:firstColumn="1" w:lastColumn="0" w:noHBand="0" w:noVBand="1"/>
      </w:tblPr>
      <w:tblGrid>
        <w:gridCol w:w="6025"/>
        <w:gridCol w:w="1451"/>
        <w:gridCol w:w="1452"/>
      </w:tblGrid>
      <w:tr w:rsidRPr="003D23B6" w:rsidR="000C037F" w:rsidTr="009F155D" w14:paraId="111F52FC" w14:textId="77777777">
        <w:trPr>
          <w:tblHeader/>
        </w:trPr>
        <w:tc>
          <w:tcPr>
            <w:tcW w:w="6025" w:type="dxa"/>
            <w:tcBorders>
              <w:top w:val="single" w:color="auto" w:sz="4" w:space="0"/>
              <w:left w:val="single" w:color="auto" w:sz="4" w:space="0"/>
              <w:bottom w:val="single" w:color="auto" w:sz="4" w:space="0"/>
              <w:right w:val="single" w:color="auto" w:sz="4" w:space="0"/>
            </w:tcBorders>
            <w:vAlign w:val="bottom"/>
          </w:tcPr>
          <w:p w:rsidRPr="003D23B6" w:rsidR="000C037F" w:rsidP="003D0691" w:rsidRDefault="000C037F" w14:paraId="54B1D436" w14:textId="77777777">
            <w:pPr>
              <w:pStyle w:val="NormalinTable"/>
              <w:rPr>
                <w:b/>
                <w:bCs/>
              </w:rPr>
            </w:pPr>
            <w:r w:rsidRPr="003D23B6">
              <w:rPr>
                <w:b/>
                <w:bCs/>
              </w:rPr>
              <w:t>Measure type</w:t>
            </w:r>
          </w:p>
        </w:tc>
        <w:tc>
          <w:tcPr>
            <w:tcW w:w="1451" w:type="dxa"/>
            <w:tcBorders>
              <w:top w:val="single" w:color="auto" w:sz="4" w:space="0"/>
              <w:left w:val="single" w:color="auto" w:sz="4" w:space="0"/>
              <w:bottom w:val="single" w:color="auto" w:sz="4" w:space="0"/>
              <w:right w:val="single" w:color="auto" w:sz="4" w:space="0"/>
            </w:tcBorders>
            <w:vAlign w:val="bottom"/>
          </w:tcPr>
          <w:p w:rsidRPr="003D23B6" w:rsidR="000C037F" w:rsidP="003D0691" w:rsidRDefault="000C037F" w14:paraId="4526ED10" w14:textId="77777777">
            <w:pPr>
              <w:pStyle w:val="NormalinTable"/>
              <w:rPr>
                <w:b/>
                <w:bCs/>
              </w:rPr>
            </w:pPr>
            <w:r w:rsidRPr="003D23B6">
              <w:rPr>
                <w:b/>
                <w:bCs/>
              </w:rPr>
              <w:t>2 RACC</w:t>
            </w:r>
          </w:p>
        </w:tc>
        <w:tc>
          <w:tcPr>
            <w:tcW w:w="1452" w:type="dxa"/>
            <w:tcBorders>
              <w:top w:val="single" w:color="auto" w:sz="4" w:space="0"/>
              <w:left w:val="single" w:color="auto" w:sz="4" w:space="0"/>
              <w:bottom w:val="single" w:color="auto" w:sz="4" w:space="0"/>
              <w:right w:val="single" w:color="auto" w:sz="4" w:space="0"/>
            </w:tcBorders>
            <w:vAlign w:val="bottom"/>
          </w:tcPr>
          <w:p w:rsidRPr="003D23B6" w:rsidR="000C037F" w:rsidP="003D0691" w:rsidRDefault="000C037F" w14:paraId="016169AA" w14:textId="77777777">
            <w:pPr>
              <w:pStyle w:val="NormalinTable"/>
              <w:rPr>
                <w:b/>
                <w:bCs/>
              </w:rPr>
            </w:pPr>
            <w:r w:rsidRPr="003D23B6">
              <w:rPr>
                <w:b/>
                <w:bCs/>
              </w:rPr>
              <w:t>3 FSC</w:t>
            </w:r>
          </w:p>
        </w:tc>
      </w:tr>
      <w:tr w:rsidRPr="000C037F" w:rsidR="000C037F" w:rsidTr="009F155D" w14:paraId="1C01CD66" w14:textId="77777777">
        <w:trPr>
          <w:trHeight w:val="20"/>
        </w:trPr>
        <w:tc>
          <w:tcPr>
            <w:tcW w:w="6025" w:type="dxa"/>
            <w:tcBorders>
              <w:top w:val="single" w:color="auto" w:sz="4" w:space="0"/>
              <w:left w:val="single" w:color="auto" w:sz="4" w:space="0"/>
              <w:bottom w:val="single" w:color="auto" w:sz="4" w:space="0"/>
              <w:right w:val="single" w:color="auto" w:sz="4" w:space="0"/>
            </w:tcBorders>
          </w:tcPr>
          <w:p w:rsidRPr="000C037F" w:rsidR="000C037F" w:rsidP="003D0691" w:rsidRDefault="000C037F" w14:paraId="79BF582C" w14:textId="77777777">
            <w:pPr>
              <w:pStyle w:val="NormalinTable"/>
            </w:pPr>
            <w:r w:rsidRPr="000C037F">
              <w:t>Efficiency rating differs between the measure, standard practice, and/or existing equipment cases (i.e., refrigerant type and amount is the same between the cases)</w:t>
            </w:r>
          </w:p>
        </w:tc>
        <w:tc>
          <w:tcPr>
            <w:tcW w:w="1451" w:type="dxa"/>
            <w:tcBorders>
              <w:top w:val="single" w:color="auto" w:sz="4" w:space="0"/>
              <w:left w:val="single" w:color="auto" w:sz="4" w:space="0"/>
              <w:bottom w:val="single" w:color="auto" w:sz="4" w:space="0"/>
              <w:right w:val="single" w:color="auto" w:sz="4" w:space="0"/>
            </w:tcBorders>
            <w:vAlign w:val="center"/>
          </w:tcPr>
          <w:p w:rsidRPr="000C037F" w:rsidR="000C037F" w:rsidP="003D0691" w:rsidRDefault="000C037F" w14:paraId="3CA69864" w14:textId="77777777">
            <w:pPr>
              <w:pStyle w:val="NormalinTable"/>
            </w:pPr>
            <w:r w:rsidRPr="000C037F">
              <w:t>-</w:t>
            </w:r>
          </w:p>
        </w:tc>
        <w:tc>
          <w:tcPr>
            <w:tcW w:w="1452" w:type="dxa"/>
            <w:tcBorders>
              <w:top w:val="single" w:color="auto" w:sz="4" w:space="0"/>
              <w:left w:val="single" w:color="auto" w:sz="4" w:space="0"/>
              <w:bottom w:val="single" w:color="auto" w:sz="4" w:space="0"/>
              <w:right w:val="single" w:color="auto" w:sz="4" w:space="0"/>
            </w:tcBorders>
            <w:vAlign w:val="center"/>
          </w:tcPr>
          <w:p w:rsidRPr="000C037F" w:rsidR="000C037F" w:rsidP="003D0691" w:rsidRDefault="000C037F" w14:paraId="5E31150F" w14:textId="77777777">
            <w:pPr>
              <w:pStyle w:val="NormalinTable"/>
            </w:pPr>
            <w:r w:rsidRPr="000C037F">
              <w:t>-</w:t>
            </w:r>
          </w:p>
        </w:tc>
      </w:tr>
      <w:tr w:rsidRPr="000C037F" w:rsidR="000C037F" w:rsidTr="009F155D" w14:paraId="2827B235" w14:textId="77777777">
        <w:trPr>
          <w:trHeight w:val="20"/>
        </w:trPr>
        <w:tc>
          <w:tcPr>
            <w:tcW w:w="6025" w:type="dxa"/>
            <w:tcBorders>
              <w:top w:val="single" w:color="auto" w:sz="4" w:space="0"/>
              <w:left w:val="single" w:color="auto" w:sz="4" w:space="0"/>
              <w:bottom w:val="single" w:color="auto" w:sz="4" w:space="0"/>
              <w:right w:val="single" w:color="auto" w:sz="4" w:space="0"/>
            </w:tcBorders>
          </w:tcPr>
          <w:p w:rsidRPr="000C037F" w:rsidR="000C037F" w:rsidP="003D0691" w:rsidRDefault="000C037F" w14:paraId="0C317994" w14:textId="77777777">
            <w:pPr>
              <w:pStyle w:val="NormalinTable"/>
            </w:pPr>
            <w:r w:rsidRPr="000C037F">
              <w:t>Type of refrigerant differs between or changes for the measure, standard practice, and/or existing equipment cases</w:t>
            </w:r>
          </w:p>
        </w:tc>
        <w:tc>
          <w:tcPr>
            <w:tcW w:w="1451" w:type="dxa"/>
            <w:tcBorders>
              <w:top w:val="single" w:color="auto" w:sz="4" w:space="0"/>
              <w:left w:val="single" w:color="auto" w:sz="4" w:space="0"/>
              <w:bottom w:val="single" w:color="auto" w:sz="4" w:space="0"/>
              <w:right w:val="single" w:color="auto" w:sz="4" w:space="0"/>
            </w:tcBorders>
            <w:vAlign w:val="center"/>
          </w:tcPr>
          <w:p w:rsidRPr="000C037F" w:rsidR="000C037F" w:rsidP="003D0691" w:rsidRDefault="000C037F" w14:paraId="6111ED18" w14:textId="77777777">
            <w:pPr>
              <w:pStyle w:val="NormalinTable"/>
            </w:pPr>
            <w:r w:rsidRPr="000C037F">
              <w:t>X</w:t>
            </w:r>
          </w:p>
        </w:tc>
        <w:tc>
          <w:tcPr>
            <w:tcW w:w="1452" w:type="dxa"/>
            <w:vMerge w:val="restart"/>
            <w:tcBorders>
              <w:top w:val="single" w:color="auto" w:sz="4" w:space="0"/>
              <w:left w:val="single" w:color="auto" w:sz="4" w:space="0"/>
              <w:right w:val="single" w:color="auto" w:sz="4" w:space="0"/>
            </w:tcBorders>
            <w:vAlign w:val="center"/>
          </w:tcPr>
          <w:p w:rsidRPr="000C037F" w:rsidR="000C037F" w:rsidP="003D0691" w:rsidRDefault="000C037F" w14:paraId="07C192C1" w14:textId="1E57E479">
            <w:pPr>
              <w:pStyle w:val="NormalinTable"/>
            </w:pPr>
            <w:r w:rsidRPr="000C037F">
              <w:t xml:space="preserve">Only </w:t>
            </w:r>
            <w:r w:rsidR="005731D2">
              <w:t xml:space="preserve">requires completion </w:t>
            </w:r>
            <w:r w:rsidR="005632B9">
              <w:t xml:space="preserve"> </w:t>
            </w:r>
            <w:r w:rsidRPr="000C037F">
              <w:t>for fuel-substitution measures</w:t>
            </w:r>
          </w:p>
        </w:tc>
      </w:tr>
      <w:tr w:rsidRPr="000C037F" w:rsidR="000C037F" w:rsidTr="009F155D" w14:paraId="7E924368" w14:textId="77777777">
        <w:trPr>
          <w:trHeight w:val="20"/>
        </w:trPr>
        <w:tc>
          <w:tcPr>
            <w:tcW w:w="6025" w:type="dxa"/>
            <w:tcBorders>
              <w:top w:val="single" w:color="auto" w:sz="4" w:space="0"/>
              <w:left w:val="single" w:color="auto" w:sz="4" w:space="0"/>
              <w:right w:val="single" w:color="auto" w:sz="4" w:space="0"/>
            </w:tcBorders>
          </w:tcPr>
          <w:p w:rsidRPr="000C037F" w:rsidR="000C037F" w:rsidP="003D0691" w:rsidRDefault="000C037F" w14:paraId="15EC68A8" w14:textId="77777777">
            <w:pPr>
              <w:pStyle w:val="NormalinTable"/>
            </w:pPr>
            <w:r w:rsidRPr="000C037F">
              <w:t>Amount (charge) of refrigerant differs between or changes for measure, standard practice, and/or existing equipment cases</w:t>
            </w:r>
          </w:p>
        </w:tc>
        <w:tc>
          <w:tcPr>
            <w:tcW w:w="1451" w:type="dxa"/>
            <w:tcBorders>
              <w:top w:val="single" w:color="auto" w:sz="4" w:space="0"/>
              <w:left w:val="single" w:color="auto" w:sz="4" w:space="0"/>
              <w:bottom w:val="single" w:color="auto" w:sz="4" w:space="0"/>
              <w:right w:val="single" w:color="auto" w:sz="4" w:space="0"/>
            </w:tcBorders>
            <w:vAlign w:val="center"/>
          </w:tcPr>
          <w:p w:rsidRPr="000C037F" w:rsidR="000C037F" w:rsidP="003D0691" w:rsidRDefault="000C037F" w14:paraId="2977C0DC" w14:textId="77777777">
            <w:pPr>
              <w:pStyle w:val="NormalinTable"/>
            </w:pPr>
            <w:r w:rsidRPr="000C037F">
              <w:t>X</w:t>
            </w:r>
          </w:p>
        </w:tc>
        <w:tc>
          <w:tcPr>
            <w:tcW w:w="1452" w:type="dxa"/>
            <w:vMerge/>
            <w:vAlign w:val="center"/>
          </w:tcPr>
          <w:p w:rsidRPr="000C037F" w:rsidR="000C037F" w:rsidP="003D0691" w:rsidRDefault="000C037F" w14:paraId="722E8ADD" w14:textId="77777777">
            <w:pPr>
              <w:pStyle w:val="NormalinTable"/>
            </w:pPr>
          </w:p>
        </w:tc>
      </w:tr>
      <w:tr w:rsidRPr="000C037F" w:rsidR="000C037F" w:rsidTr="009F155D" w14:paraId="4B2D196F" w14:textId="77777777">
        <w:trPr>
          <w:trHeight w:val="20"/>
        </w:trPr>
        <w:tc>
          <w:tcPr>
            <w:tcW w:w="6025" w:type="dxa"/>
            <w:tcBorders>
              <w:top w:val="single" w:color="auto" w:sz="4" w:space="0"/>
              <w:left w:val="single" w:color="auto" w:sz="4" w:space="0"/>
              <w:right w:val="single" w:color="auto" w:sz="4" w:space="0"/>
            </w:tcBorders>
          </w:tcPr>
          <w:p w:rsidRPr="000C037F" w:rsidR="000C037F" w:rsidP="003D0691" w:rsidRDefault="000C037F" w14:paraId="4C30E830" w14:textId="77777777">
            <w:pPr>
              <w:pStyle w:val="NormalinTable"/>
            </w:pPr>
            <w:r w:rsidRPr="000C037F">
              <w:lastRenderedPageBreak/>
              <w:t>Claiming avoided emissions when refrigerant in existing equipment is recovered and documentation provided*</w:t>
            </w:r>
          </w:p>
        </w:tc>
        <w:tc>
          <w:tcPr>
            <w:tcW w:w="1451" w:type="dxa"/>
            <w:tcBorders>
              <w:top w:val="single" w:color="auto" w:sz="4" w:space="0"/>
              <w:left w:val="single" w:color="auto" w:sz="4" w:space="0"/>
              <w:bottom w:val="single" w:color="auto" w:sz="4" w:space="0"/>
              <w:right w:val="single" w:color="auto" w:sz="4" w:space="0"/>
            </w:tcBorders>
            <w:vAlign w:val="center"/>
          </w:tcPr>
          <w:p w:rsidRPr="000C037F" w:rsidR="000C037F" w:rsidP="003D0691" w:rsidRDefault="000C037F" w14:paraId="0B485993" w14:textId="77777777">
            <w:pPr>
              <w:pStyle w:val="NormalinTable"/>
            </w:pPr>
            <w:r w:rsidRPr="000C037F">
              <w:t>X</w:t>
            </w:r>
          </w:p>
        </w:tc>
        <w:tc>
          <w:tcPr>
            <w:tcW w:w="1452" w:type="dxa"/>
            <w:vMerge/>
            <w:vAlign w:val="center"/>
          </w:tcPr>
          <w:p w:rsidRPr="000C037F" w:rsidR="000C037F" w:rsidP="003D0691" w:rsidRDefault="000C037F" w14:paraId="71A11199" w14:textId="77777777">
            <w:pPr>
              <w:pStyle w:val="NormalinTable"/>
            </w:pPr>
          </w:p>
        </w:tc>
      </w:tr>
      <w:tr w:rsidRPr="000C037F" w:rsidR="000C037F" w:rsidTr="009F155D" w14:paraId="478B375B" w14:textId="77777777">
        <w:trPr>
          <w:trHeight w:val="20"/>
        </w:trPr>
        <w:tc>
          <w:tcPr>
            <w:tcW w:w="6025" w:type="dxa"/>
            <w:tcBorders>
              <w:top w:val="single" w:color="auto" w:sz="4" w:space="0"/>
              <w:left w:val="single" w:color="auto" w:sz="4" w:space="0"/>
              <w:right w:val="single" w:color="auto" w:sz="4" w:space="0"/>
            </w:tcBorders>
          </w:tcPr>
          <w:p w:rsidRPr="000C037F" w:rsidR="000C037F" w:rsidP="003D0691" w:rsidRDefault="000C037F" w14:paraId="1C35A519" w14:textId="77777777">
            <w:pPr>
              <w:pStyle w:val="NormalinTable"/>
            </w:pPr>
            <w:r w:rsidRPr="000C037F">
              <w:t>Fuel substitution measure without refrigerant (e.g., induction range)</w:t>
            </w:r>
          </w:p>
        </w:tc>
        <w:tc>
          <w:tcPr>
            <w:tcW w:w="1451" w:type="dxa"/>
            <w:tcBorders>
              <w:top w:val="single" w:color="auto" w:sz="4" w:space="0"/>
              <w:left w:val="single" w:color="auto" w:sz="4" w:space="0"/>
              <w:bottom w:val="single" w:color="auto" w:sz="4" w:space="0"/>
              <w:right w:val="single" w:color="auto" w:sz="4" w:space="0"/>
            </w:tcBorders>
            <w:vAlign w:val="center"/>
          </w:tcPr>
          <w:p w:rsidRPr="000C037F" w:rsidR="000C037F" w:rsidP="003D0691" w:rsidRDefault="000C037F" w14:paraId="510B6787" w14:textId="3A0EC9AE">
            <w:pPr>
              <w:pStyle w:val="NormalinTable"/>
            </w:pPr>
            <w:r w:rsidRPr="000C037F">
              <w:t>X</w:t>
            </w:r>
            <w:r w:rsidR="00F57B9A">
              <w:t>**</w:t>
            </w:r>
          </w:p>
        </w:tc>
        <w:tc>
          <w:tcPr>
            <w:tcW w:w="1452" w:type="dxa"/>
            <w:tcBorders>
              <w:top w:val="single" w:color="auto" w:sz="4" w:space="0"/>
              <w:left w:val="single" w:color="auto" w:sz="4" w:space="0"/>
              <w:bottom w:val="single" w:color="auto" w:sz="4" w:space="0"/>
              <w:right w:val="single" w:color="auto" w:sz="4" w:space="0"/>
            </w:tcBorders>
            <w:vAlign w:val="center"/>
          </w:tcPr>
          <w:p w:rsidRPr="000C037F" w:rsidR="000C037F" w:rsidP="003D0691" w:rsidRDefault="000C037F" w14:paraId="3D8F8FC4" w14:textId="77777777">
            <w:pPr>
              <w:pStyle w:val="NormalinTable"/>
            </w:pPr>
            <w:r w:rsidRPr="000C037F">
              <w:t>X</w:t>
            </w:r>
          </w:p>
        </w:tc>
      </w:tr>
    </w:tbl>
    <w:p w:rsidR="000C037F" w:rsidP="00771DA4" w:rsidRDefault="000C037F" w14:paraId="42D78024" w14:textId="552765D5">
      <w:pPr>
        <w:pStyle w:val="Tablenote"/>
      </w:pPr>
      <w:r>
        <w:t>*</w:t>
      </w:r>
      <w:r w:rsidR="00D3789C">
        <w:t xml:space="preserve"> </w:t>
      </w:r>
      <w:r w:rsidRPr="074D3B7D" w:rsidR="00304D9C">
        <w:rPr>
          <w:rStyle w:val="cf01"/>
          <w:rFonts w:ascii="Garamond" w:hAnsi="Garamond"/>
          <w:sz w:val="20"/>
          <w:szCs w:val="20"/>
        </w:rPr>
        <w:t xml:space="preserve">Although the </w:t>
      </w:r>
      <w:r w:rsidRPr="074D3B7D" w:rsidR="004443FE">
        <w:rPr>
          <w:rStyle w:val="cf01"/>
          <w:rFonts w:ascii="Garamond" w:hAnsi="Garamond"/>
          <w:sz w:val="20"/>
          <w:szCs w:val="20"/>
        </w:rPr>
        <w:t xml:space="preserve">“2 </w:t>
      </w:r>
      <w:r w:rsidRPr="074D3B7D" w:rsidR="00304D9C">
        <w:rPr>
          <w:rStyle w:val="cf01"/>
          <w:rFonts w:ascii="Garamond" w:hAnsi="Garamond"/>
          <w:sz w:val="20"/>
          <w:szCs w:val="20"/>
        </w:rPr>
        <w:t>RACC</w:t>
      </w:r>
      <w:r w:rsidRPr="074D3B7D" w:rsidR="004443FE">
        <w:rPr>
          <w:rStyle w:val="cf01"/>
          <w:rFonts w:ascii="Garamond" w:hAnsi="Garamond"/>
          <w:sz w:val="20"/>
          <w:szCs w:val="20"/>
        </w:rPr>
        <w:t>”</w:t>
      </w:r>
      <w:r w:rsidRPr="074D3B7D" w:rsidR="00304D9C">
        <w:rPr>
          <w:rStyle w:val="cf01"/>
          <w:rFonts w:ascii="Garamond" w:hAnsi="Garamond"/>
          <w:sz w:val="20"/>
          <w:szCs w:val="20"/>
        </w:rPr>
        <w:t xml:space="preserve"> </w:t>
      </w:r>
      <w:r w:rsidRPr="074D3B7D" w:rsidR="00C60C4B">
        <w:rPr>
          <w:rStyle w:val="cf01"/>
          <w:rFonts w:ascii="Garamond" w:hAnsi="Garamond"/>
          <w:sz w:val="20"/>
          <w:szCs w:val="20"/>
        </w:rPr>
        <w:t xml:space="preserve">and “3 FSC” </w:t>
      </w:r>
      <w:r w:rsidRPr="074D3B7D" w:rsidR="004443FE">
        <w:rPr>
          <w:rStyle w:val="cf01"/>
          <w:rFonts w:ascii="Garamond" w:hAnsi="Garamond"/>
          <w:sz w:val="20"/>
          <w:szCs w:val="20"/>
        </w:rPr>
        <w:t>worksheet</w:t>
      </w:r>
      <w:r w:rsidRPr="074D3B7D" w:rsidR="00C60C4B">
        <w:rPr>
          <w:rStyle w:val="cf01"/>
          <w:rFonts w:ascii="Garamond" w:hAnsi="Garamond"/>
          <w:sz w:val="20"/>
          <w:szCs w:val="20"/>
        </w:rPr>
        <w:t>s</w:t>
      </w:r>
      <w:r w:rsidRPr="074D3B7D" w:rsidR="004443FE">
        <w:rPr>
          <w:rStyle w:val="cf01"/>
          <w:rFonts w:ascii="Garamond" w:hAnsi="Garamond"/>
          <w:sz w:val="20"/>
          <w:szCs w:val="20"/>
        </w:rPr>
        <w:t xml:space="preserve"> </w:t>
      </w:r>
      <w:r w:rsidRPr="074D3B7D" w:rsidR="008569CC">
        <w:rPr>
          <w:rStyle w:val="cf01"/>
          <w:rFonts w:ascii="Garamond" w:hAnsi="Garamond"/>
          <w:sz w:val="20"/>
          <w:szCs w:val="20"/>
        </w:rPr>
        <w:t>include</w:t>
      </w:r>
      <w:r w:rsidRPr="074D3B7D" w:rsidR="00304D9C">
        <w:rPr>
          <w:rStyle w:val="cf01"/>
          <w:rFonts w:ascii="Garamond" w:hAnsi="Garamond"/>
          <w:sz w:val="20"/>
          <w:szCs w:val="20"/>
        </w:rPr>
        <w:t xml:space="preserve"> the functionality to </w:t>
      </w:r>
      <w:r w:rsidRPr="074D3B7D" w:rsidR="008569CC">
        <w:rPr>
          <w:rStyle w:val="cf01"/>
          <w:rFonts w:ascii="Garamond" w:hAnsi="Garamond"/>
          <w:sz w:val="20"/>
          <w:szCs w:val="20"/>
        </w:rPr>
        <w:t xml:space="preserve">claim </w:t>
      </w:r>
      <w:r w:rsidRPr="074D3B7D" w:rsidR="00304D9C">
        <w:rPr>
          <w:rStyle w:val="cf01"/>
          <w:rFonts w:ascii="Garamond" w:hAnsi="Garamond"/>
          <w:sz w:val="20"/>
          <w:szCs w:val="20"/>
        </w:rPr>
        <w:t>credit for refrigerant recovery</w:t>
      </w:r>
      <w:r w:rsidRPr="074D3B7D" w:rsidR="00BA33B7">
        <w:rPr>
          <w:rStyle w:val="cf01"/>
          <w:rFonts w:ascii="Garamond" w:hAnsi="Garamond"/>
          <w:sz w:val="20"/>
          <w:szCs w:val="20"/>
        </w:rPr>
        <w:t xml:space="preserve"> from existing equipment</w:t>
      </w:r>
      <w:r w:rsidRPr="074D3B7D" w:rsidR="00304D9C">
        <w:rPr>
          <w:rStyle w:val="cf01"/>
          <w:rFonts w:ascii="Garamond" w:hAnsi="Garamond"/>
          <w:sz w:val="20"/>
          <w:szCs w:val="20"/>
        </w:rPr>
        <w:t>, it</w:t>
      </w:r>
      <w:r w:rsidRPr="074D3B7D" w:rsidR="00743F05">
        <w:rPr>
          <w:rStyle w:val="cf01"/>
          <w:rFonts w:ascii="Garamond" w:hAnsi="Garamond"/>
          <w:sz w:val="20"/>
          <w:szCs w:val="20"/>
        </w:rPr>
        <w:t>s use</w:t>
      </w:r>
      <w:r w:rsidRPr="074D3B7D" w:rsidR="00304D9C">
        <w:rPr>
          <w:rStyle w:val="cf01"/>
          <w:rFonts w:ascii="Garamond" w:hAnsi="Garamond"/>
          <w:sz w:val="20"/>
          <w:szCs w:val="20"/>
        </w:rPr>
        <w:t xml:space="preserve"> is not currently sanctioned by the CPUC</w:t>
      </w:r>
      <w:r>
        <w:t>.</w:t>
      </w:r>
    </w:p>
    <w:p w:rsidRPr="000C037F" w:rsidR="00F57B9A" w:rsidP="00771DA4" w:rsidRDefault="00F57B9A" w14:paraId="68786E8B" w14:textId="754B015B">
      <w:pPr>
        <w:pStyle w:val="Tablenote"/>
      </w:pPr>
      <w:r>
        <w:t xml:space="preserve">** </w:t>
      </w:r>
      <w:r w:rsidR="00754BCC">
        <w:t xml:space="preserve">The </w:t>
      </w:r>
      <w:r w:rsidR="009E6E1A">
        <w:t>“</w:t>
      </w:r>
      <w:r w:rsidR="005D2723">
        <w:t>2</w:t>
      </w:r>
      <w:r w:rsidR="009E6E1A">
        <w:t xml:space="preserve"> </w:t>
      </w:r>
      <w:r w:rsidR="00754BCC">
        <w:t>RACC</w:t>
      </w:r>
      <w:r w:rsidR="009E6E1A">
        <w:t>”</w:t>
      </w:r>
      <w:r w:rsidR="00754BCC">
        <w:t xml:space="preserve"> worksheet</w:t>
      </w:r>
      <w:r w:rsidR="0083197E">
        <w:t xml:space="preserve"> contains a dropdown menu that includes “No refrigerant” to indicate when </w:t>
      </w:r>
      <w:r w:rsidR="00E3288B">
        <w:t>equipment contains no refrigerant.</w:t>
      </w:r>
      <w:r w:rsidR="000F68A0">
        <w:t xml:space="preserve"> The “2 RACC” worksheet must be filled </w:t>
      </w:r>
      <w:r w:rsidR="004E60FD">
        <w:t>in</w:t>
      </w:r>
      <w:r w:rsidR="00F10E30">
        <w:t xml:space="preserve"> prior to </w:t>
      </w:r>
      <w:r w:rsidR="00365DC4">
        <w:t>any use of the “3 FSC” worksheet.</w:t>
      </w:r>
    </w:p>
    <w:bookmarkEnd w:id="17"/>
    <w:p w:rsidRPr="000C037F" w:rsidR="000C037F" w:rsidP="000C037F" w:rsidRDefault="000C037F" w14:paraId="605BB600" w14:textId="77777777"/>
    <w:p w:rsidRPr="000C037F" w:rsidR="000C037F" w:rsidP="000C037F" w:rsidRDefault="000C037F" w14:paraId="3961FE6F" w14:textId="77777777">
      <w:r w:rsidRPr="000C037F">
        <w:t xml:space="preserve">New measure offerings added to approved measure packages shall use the version of the RACC-FSC that is current at the time that the new offerings are being added—even when the measure package otherwise uses a former version of the </w:t>
      </w:r>
      <w:r w:rsidRPr="000C037F">
        <w:rPr>
          <w:i/>
        </w:rPr>
        <w:t xml:space="preserve">Deemed </w:t>
      </w:r>
      <w:r w:rsidRPr="000C037F">
        <w:rPr>
          <w:i/>
          <w:iCs/>
        </w:rPr>
        <w:t xml:space="preserve">Measure </w:t>
      </w:r>
      <w:r w:rsidRPr="000C037F">
        <w:rPr>
          <w:i/>
        </w:rPr>
        <w:t xml:space="preserve">RACC </w:t>
      </w:r>
      <w:r w:rsidRPr="000C037F">
        <w:rPr>
          <w:i/>
          <w:iCs/>
        </w:rPr>
        <w:t>v2.2</w:t>
      </w:r>
      <w:r w:rsidRPr="000C037F">
        <w:t xml:space="preserve"> and or the </w:t>
      </w:r>
      <w:r w:rsidRPr="000C037F">
        <w:rPr>
          <w:i/>
          <w:iCs/>
        </w:rPr>
        <w:t>Fuel Substitution Calculator v1.1</w:t>
      </w:r>
      <w:r w:rsidRPr="000C037F">
        <w:t xml:space="preserve">. Mid-cycle updates to existing measure packages shall use the version of the RACC-FSC that is current at the time that the measure package is submitted for Ex Ante Review. </w:t>
      </w:r>
    </w:p>
    <w:p w:rsidRPr="000C037F" w:rsidR="000C037F" w:rsidP="000C037F" w:rsidRDefault="000C037F" w14:paraId="7F6AB965" w14:textId="72CACE6F">
      <w:r w:rsidRPr="000C037F">
        <w:t>The version of the RACC-FSC used for the new offerings shall be noted in the measure characterization narrative</w:t>
      </w:r>
      <w:r w:rsidR="00C313E1">
        <w:t>. The measure package should specify the date</w:t>
      </w:r>
      <w:r w:rsidR="00F30BBC">
        <w:t xml:space="preserve"> of synchronization with DEER</w:t>
      </w:r>
      <w:r w:rsidR="00722E39">
        <w:t xml:space="preserve"> that </w:t>
      </w:r>
      <w:r w:rsidR="00A8324A">
        <w:t>are tracked and</w:t>
      </w:r>
      <w:r w:rsidR="00722E39">
        <w:t xml:space="preserve"> embedded within the RACC-</w:t>
      </w:r>
      <w:r w:rsidR="00F613DE">
        <w:t>FSC.</w:t>
      </w:r>
      <w:r w:rsidRPr="000C037F">
        <w:t xml:space="preserve"> The DEER tables that are used by the RACC-FSC include those listed in</w:t>
      </w:r>
      <w:r w:rsidR="00BA4635">
        <w:t xml:space="preserve"> </w:t>
      </w:r>
      <w:r w:rsidR="00103968">
        <w:fldChar w:fldCharType="begin"/>
      </w:r>
      <w:r w:rsidR="00103968">
        <w:instrText xml:space="preserve"> REF _Ref175764947 \h </w:instrText>
      </w:r>
      <w:r w:rsidR="00103968">
        <w:fldChar w:fldCharType="separate"/>
      </w:r>
      <w:r w:rsidRPr="000C037F" w:rsidR="00E812F0">
        <w:t xml:space="preserve">Table </w:t>
      </w:r>
      <w:r w:rsidRPr="00103968" w:rsidR="00E812F0">
        <w:rPr>
          <w:webHidden/>
        </w:rPr>
        <w:t>A-</w:t>
      </w:r>
      <w:r w:rsidR="00E812F0">
        <w:rPr>
          <w:noProof/>
        </w:rPr>
        <w:t>1</w:t>
      </w:r>
      <w:r w:rsidRPr="000C037F" w:rsidR="00E812F0">
        <w:noBreakHyphen/>
      </w:r>
      <w:r w:rsidR="00E812F0">
        <w:rPr>
          <w:noProof/>
        </w:rPr>
        <w:t>3</w:t>
      </w:r>
      <w:r w:rsidR="00103968">
        <w:fldChar w:fldCharType="end"/>
      </w:r>
      <w:r w:rsidRPr="000C037F">
        <w:t xml:space="preserve">. </w:t>
      </w:r>
      <w:r w:rsidR="00AC7E6F">
        <w:t xml:space="preserve">The </w:t>
      </w:r>
      <w:r w:rsidR="00CC23D8">
        <w:t xml:space="preserve">DEER tables embedded within the RACC-FSC are updated when the user </w:t>
      </w:r>
      <w:r w:rsidR="00FA67AC">
        <w:t xml:space="preserve">refreshes </w:t>
      </w:r>
      <w:r w:rsidR="0004497C">
        <w:t xml:space="preserve">using the </w:t>
      </w:r>
      <w:r w:rsidR="0005447B">
        <w:t>Excel Refresh button</w:t>
      </w:r>
      <w:r w:rsidR="00906471">
        <w:t>.</w:t>
      </w:r>
    </w:p>
    <w:p w:rsidRPr="000C037F" w:rsidR="000C037F" w:rsidP="00771DA4" w:rsidRDefault="000C037F" w14:paraId="3C574610" w14:textId="65307F56">
      <w:pPr>
        <w:pStyle w:val="Caption"/>
      </w:pPr>
      <w:bookmarkStart w:name="_Ref175764947" w:id="22"/>
      <w:bookmarkStart w:name="_Toc185273154" w:id="23"/>
      <w:r w:rsidRPr="000C037F">
        <w:t xml:space="preserve">Table </w:t>
      </w:r>
      <w:r w:rsidRPr="00103968" w:rsidR="00103968">
        <w:rPr>
          <w:webHidden/>
        </w:rPr>
        <w:t>A-</w:t>
      </w:r>
      <w:r w:rsidRPr="000C037F">
        <w:fldChar w:fldCharType="begin"/>
      </w:r>
      <w:r w:rsidRPr="000C037F">
        <w:instrText>STYLEREF 1 \s</w:instrText>
      </w:r>
      <w:r w:rsidRPr="000C037F">
        <w:fldChar w:fldCharType="separate"/>
      </w:r>
      <w:r w:rsidR="00E812F0">
        <w:rPr>
          <w:noProof/>
        </w:rPr>
        <w:t>1</w:t>
      </w:r>
      <w:r w:rsidRPr="000C037F">
        <w:fldChar w:fldCharType="end"/>
      </w:r>
      <w:r w:rsidRPr="000C037F">
        <w:noBreakHyphen/>
      </w:r>
      <w:r w:rsidRPr="000C037F">
        <w:fldChar w:fldCharType="begin"/>
      </w:r>
      <w:r w:rsidRPr="000C037F">
        <w:instrText>SEQ Table \* ARABIC \s 1</w:instrText>
      </w:r>
      <w:r w:rsidRPr="000C037F">
        <w:fldChar w:fldCharType="separate"/>
      </w:r>
      <w:r w:rsidR="00E812F0">
        <w:rPr>
          <w:noProof/>
        </w:rPr>
        <w:t>3</w:t>
      </w:r>
      <w:r w:rsidRPr="000C037F">
        <w:fldChar w:fldCharType="end"/>
      </w:r>
      <w:bookmarkEnd w:id="22"/>
      <w:r w:rsidRPr="000C037F">
        <w:t>. DEER Database Tables Used by RACC-FSC_v3.0</w:t>
      </w:r>
      <w:r w:rsidR="00384DA2">
        <w:t>/v3.1</w:t>
      </w:r>
      <w:bookmarkEnd w:id="23"/>
    </w:p>
    <w:tbl>
      <w:tblPr>
        <w:tblW w:w="93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bottom w:w="14" w:type="dxa"/>
          <w:right w:w="158" w:type="dxa"/>
        </w:tblCellMar>
        <w:tblLook w:val="04A0" w:firstRow="1" w:lastRow="0" w:firstColumn="1" w:lastColumn="0" w:noHBand="0" w:noVBand="1"/>
      </w:tblPr>
      <w:tblGrid>
        <w:gridCol w:w="1075"/>
        <w:gridCol w:w="2957"/>
        <w:gridCol w:w="5310"/>
      </w:tblGrid>
      <w:tr w:rsidRPr="000C037F" w:rsidR="000C037F" w:rsidTr="008D4F13" w14:paraId="48E44A09" w14:textId="77777777">
        <w:trPr>
          <w:cantSplit/>
          <w:tblHeader/>
        </w:trPr>
        <w:tc>
          <w:tcPr>
            <w:tcW w:w="1075" w:type="dxa"/>
            <w:tcBorders>
              <w:top w:val="single" w:color="auto" w:sz="4" w:space="0"/>
              <w:left w:val="single" w:color="auto" w:sz="4" w:space="0"/>
              <w:bottom w:val="single" w:color="auto" w:sz="4" w:space="0"/>
              <w:right w:val="single" w:color="auto" w:sz="4" w:space="0"/>
            </w:tcBorders>
            <w:vAlign w:val="bottom"/>
          </w:tcPr>
          <w:p w:rsidRPr="00C83F00" w:rsidR="000C037F" w:rsidP="009D2735" w:rsidRDefault="000C037F" w14:paraId="7B279CB7" w14:textId="77777777">
            <w:pPr>
              <w:pStyle w:val="NormalinTable"/>
              <w:rPr>
                <w:b/>
                <w:bCs/>
              </w:rPr>
            </w:pPr>
            <w:r w:rsidRPr="00C83F00">
              <w:rPr>
                <w:b/>
                <w:bCs/>
              </w:rPr>
              <w:t>Schema</w:t>
            </w:r>
          </w:p>
        </w:tc>
        <w:tc>
          <w:tcPr>
            <w:tcW w:w="2957" w:type="dxa"/>
            <w:tcBorders>
              <w:top w:val="single" w:color="auto" w:sz="4" w:space="0"/>
              <w:left w:val="single" w:color="auto" w:sz="4" w:space="0"/>
              <w:bottom w:val="single" w:color="auto" w:sz="4" w:space="0"/>
              <w:right w:val="single" w:color="auto" w:sz="4" w:space="0"/>
            </w:tcBorders>
            <w:vAlign w:val="center"/>
          </w:tcPr>
          <w:p w:rsidRPr="00C83F00" w:rsidR="000C037F" w:rsidP="009D2735" w:rsidRDefault="000C037F" w14:paraId="39B40E91" w14:textId="77777777">
            <w:pPr>
              <w:pStyle w:val="NormalinTable"/>
              <w:rPr>
                <w:b/>
                <w:bCs/>
              </w:rPr>
            </w:pPr>
            <w:r w:rsidRPr="00C83F00">
              <w:rPr>
                <w:b/>
                <w:bCs/>
              </w:rPr>
              <w:t>Table</w:t>
            </w:r>
          </w:p>
        </w:tc>
        <w:tc>
          <w:tcPr>
            <w:tcW w:w="5310" w:type="dxa"/>
            <w:tcBorders>
              <w:top w:val="single" w:color="auto" w:sz="4" w:space="0"/>
              <w:left w:val="single" w:color="auto" w:sz="4" w:space="0"/>
              <w:bottom w:val="single" w:color="auto" w:sz="4" w:space="0"/>
              <w:right w:val="single" w:color="auto" w:sz="4" w:space="0"/>
            </w:tcBorders>
            <w:vAlign w:val="bottom"/>
          </w:tcPr>
          <w:p w:rsidRPr="00C83F00" w:rsidR="000C037F" w:rsidP="009D2735" w:rsidRDefault="000C037F" w14:paraId="4B9FB4B4" w14:textId="77777777">
            <w:pPr>
              <w:pStyle w:val="NormalinTable"/>
              <w:rPr>
                <w:b/>
                <w:bCs/>
              </w:rPr>
            </w:pPr>
            <w:r w:rsidRPr="00C83F00">
              <w:rPr>
                <w:b/>
                <w:bCs/>
              </w:rPr>
              <w:t>Description</w:t>
            </w:r>
          </w:p>
        </w:tc>
      </w:tr>
      <w:tr w:rsidRPr="000C037F" w:rsidR="000C037F" w:rsidTr="008D4F13" w14:paraId="01714C7D" w14:textId="77777777">
        <w:trPr>
          <w:cantSplit/>
          <w:trHeight w:val="20"/>
        </w:trPr>
        <w:tc>
          <w:tcPr>
            <w:tcW w:w="1075" w:type="dxa"/>
            <w:tcBorders>
              <w:top w:val="single" w:color="auto" w:sz="4" w:space="0"/>
              <w:left w:val="single" w:color="auto" w:sz="4" w:space="0"/>
              <w:bottom w:val="single" w:color="auto" w:sz="4" w:space="0"/>
              <w:right w:val="single" w:color="auto" w:sz="4" w:space="0"/>
            </w:tcBorders>
          </w:tcPr>
          <w:p w:rsidRPr="000C037F" w:rsidR="000C037F" w:rsidP="009D2735" w:rsidRDefault="000C037F" w14:paraId="78F923A4" w14:textId="77777777">
            <w:pPr>
              <w:pStyle w:val="NormalinTable"/>
            </w:pPr>
            <w:r w:rsidRPr="000C037F">
              <w:t>applic</w:t>
            </w:r>
          </w:p>
        </w:tc>
        <w:tc>
          <w:tcPr>
            <w:tcW w:w="2957" w:type="dxa"/>
            <w:tcBorders>
              <w:top w:val="single" w:color="auto" w:sz="4" w:space="0"/>
              <w:left w:val="single" w:color="auto" w:sz="4" w:space="0"/>
              <w:bottom w:val="single" w:color="auto" w:sz="4" w:space="0"/>
              <w:right w:val="single" w:color="auto" w:sz="4" w:space="0"/>
            </w:tcBorders>
          </w:tcPr>
          <w:p w:rsidRPr="000C037F" w:rsidR="000C037F" w:rsidP="009D2735" w:rsidRDefault="000C037F" w14:paraId="08D94BC2" w14:textId="77777777">
            <w:pPr>
              <w:pStyle w:val="NormalinTable"/>
            </w:pPr>
            <w:r w:rsidRPr="000C037F">
              <w:t>BldgWts</w:t>
            </w:r>
          </w:p>
        </w:tc>
        <w:tc>
          <w:tcPr>
            <w:tcW w:w="5310" w:type="dxa"/>
            <w:tcBorders>
              <w:top w:val="single" w:color="auto" w:sz="4" w:space="0"/>
              <w:left w:val="single" w:color="auto" w:sz="4" w:space="0"/>
              <w:bottom w:val="single" w:color="auto" w:sz="4" w:space="0"/>
              <w:right w:val="single" w:color="auto" w:sz="4" w:space="0"/>
            </w:tcBorders>
          </w:tcPr>
          <w:p w:rsidRPr="000C037F" w:rsidR="000C037F" w:rsidP="009D2735" w:rsidRDefault="000C037F" w14:paraId="133C0AA6" w14:textId="77777777">
            <w:pPr>
              <w:pStyle w:val="NormalinTable"/>
            </w:pPr>
            <w:r w:rsidRPr="000C037F">
              <w:t>This table contains the weights used to produce the counterfactual standard practice baseline for residential heat pumps that replace a gas furnace without room/window or ducted AC.</w:t>
            </w:r>
          </w:p>
        </w:tc>
      </w:tr>
      <w:tr w:rsidRPr="000C037F" w:rsidR="000C037F" w:rsidTr="008D4F13" w14:paraId="117E43DF" w14:textId="77777777">
        <w:trPr>
          <w:cantSplit/>
          <w:trHeight w:val="20"/>
        </w:trPr>
        <w:tc>
          <w:tcPr>
            <w:tcW w:w="1075" w:type="dxa"/>
            <w:vMerge w:val="restart"/>
            <w:tcBorders>
              <w:top w:val="single" w:color="auto" w:sz="4" w:space="0"/>
              <w:left w:val="single" w:color="auto" w:sz="4" w:space="0"/>
              <w:right w:val="single" w:color="auto" w:sz="4" w:space="0"/>
            </w:tcBorders>
          </w:tcPr>
          <w:p w:rsidRPr="000C037F" w:rsidR="000C037F" w:rsidP="009D2735" w:rsidRDefault="000C037F" w14:paraId="72900424" w14:textId="77777777">
            <w:pPr>
              <w:pStyle w:val="NormalinTable"/>
            </w:pPr>
            <w:r w:rsidRPr="000C037F">
              <w:t>costeff</w:t>
            </w:r>
          </w:p>
        </w:tc>
        <w:tc>
          <w:tcPr>
            <w:tcW w:w="2957" w:type="dxa"/>
            <w:tcBorders>
              <w:top w:val="single" w:color="auto" w:sz="4" w:space="0"/>
              <w:left w:val="single" w:color="auto" w:sz="4" w:space="0"/>
              <w:bottom w:val="single" w:color="auto" w:sz="4" w:space="0"/>
              <w:right w:val="single" w:color="auto" w:sz="4" w:space="0"/>
            </w:tcBorders>
          </w:tcPr>
          <w:p w:rsidRPr="000C037F" w:rsidR="000C037F" w:rsidP="009D2735" w:rsidRDefault="000C037F" w14:paraId="19FBC3C8" w14:textId="77777777">
            <w:pPr>
              <w:pStyle w:val="NormalinTable"/>
            </w:pPr>
            <w:r w:rsidRPr="000C037F">
              <w:t>CARB_EPA_GWP_Limits*</w:t>
            </w:r>
          </w:p>
        </w:tc>
        <w:tc>
          <w:tcPr>
            <w:tcW w:w="5310" w:type="dxa"/>
            <w:tcBorders>
              <w:top w:val="single" w:color="auto" w:sz="4" w:space="0"/>
              <w:left w:val="single" w:color="auto" w:sz="4" w:space="0"/>
              <w:bottom w:val="single" w:color="auto" w:sz="4" w:space="0"/>
              <w:right w:val="single" w:color="auto" w:sz="4" w:space="0"/>
            </w:tcBorders>
          </w:tcPr>
          <w:p w:rsidRPr="000C037F" w:rsidR="000C037F" w:rsidP="009D2735" w:rsidRDefault="000C037F" w14:paraId="6A92817B" w14:textId="77777777">
            <w:pPr>
              <w:pStyle w:val="NormalinTable"/>
            </w:pPr>
            <w:r w:rsidRPr="000C037F">
              <w:t>This table contains the GWP limits established by either the California Air Resources Board (CARB) or the Environmental Protection Agency (EPA), depending upon which prevails in a given year.</w:t>
            </w:r>
          </w:p>
        </w:tc>
      </w:tr>
      <w:tr w:rsidRPr="000C037F" w:rsidR="000C037F" w:rsidTr="008D4F13" w14:paraId="299E938B" w14:textId="77777777">
        <w:trPr>
          <w:cantSplit/>
          <w:trHeight w:val="20"/>
        </w:trPr>
        <w:tc>
          <w:tcPr>
            <w:tcW w:w="1075" w:type="dxa"/>
            <w:vMerge/>
          </w:tcPr>
          <w:p w:rsidRPr="000C037F" w:rsidR="000C037F" w:rsidP="009D2735" w:rsidRDefault="000C037F" w14:paraId="33FE82FA" w14:textId="77777777">
            <w:pPr>
              <w:pStyle w:val="NormalinTable"/>
            </w:pPr>
          </w:p>
        </w:tc>
        <w:tc>
          <w:tcPr>
            <w:tcW w:w="2957" w:type="dxa"/>
            <w:tcBorders>
              <w:top w:val="single" w:color="auto" w:sz="4" w:space="0"/>
              <w:left w:val="single" w:color="auto" w:sz="4" w:space="0"/>
              <w:bottom w:val="single" w:color="auto" w:sz="4" w:space="0"/>
              <w:right w:val="single" w:color="auto" w:sz="4" w:space="0"/>
            </w:tcBorders>
          </w:tcPr>
          <w:p w:rsidRPr="000C037F" w:rsidR="000C037F" w:rsidP="009D2735" w:rsidRDefault="000C037F" w14:paraId="45F376CE" w14:textId="77777777">
            <w:pPr>
              <w:pStyle w:val="NormalinTable"/>
            </w:pPr>
            <w:r w:rsidRPr="000C037F">
              <w:t>CARB_RefrigLeaks*</w:t>
            </w:r>
          </w:p>
        </w:tc>
        <w:tc>
          <w:tcPr>
            <w:tcW w:w="5310" w:type="dxa"/>
            <w:tcBorders>
              <w:top w:val="single" w:color="auto" w:sz="4" w:space="0"/>
              <w:left w:val="single" w:color="auto" w:sz="4" w:space="0"/>
              <w:bottom w:val="single" w:color="auto" w:sz="4" w:space="0"/>
              <w:right w:val="single" w:color="auto" w:sz="4" w:space="0"/>
            </w:tcBorders>
          </w:tcPr>
          <w:p w:rsidRPr="000C037F" w:rsidR="000C037F" w:rsidP="009D2735" w:rsidRDefault="000C037F" w14:paraId="28218957" w14:textId="77777777">
            <w:pPr>
              <w:pStyle w:val="NormalinTable"/>
            </w:pPr>
            <w:r w:rsidRPr="000C037F">
              <w:t>This table contains the refrigerant leakage rates established by the California Air Resources Board for a variety of sectors, building types, and applications.</w:t>
            </w:r>
          </w:p>
        </w:tc>
      </w:tr>
      <w:tr w:rsidRPr="000C037F" w:rsidR="000C037F" w:rsidTr="008D4F13" w14:paraId="2E96F9D2" w14:textId="77777777">
        <w:trPr>
          <w:cantSplit/>
          <w:trHeight w:val="20"/>
        </w:trPr>
        <w:tc>
          <w:tcPr>
            <w:tcW w:w="1075" w:type="dxa"/>
            <w:vMerge/>
          </w:tcPr>
          <w:p w:rsidRPr="000C037F" w:rsidR="000C037F" w:rsidP="009D2735" w:rsidRDefault="000C037F" w14:paraId="438EF32B" w14:textId="77777777">
            <w:pPr>
              <w:pStyle w:val="NormalinTable"/>
            </w:pPr>
          </w:p>
        </w:tc>
        <w:tc>
          <w:tcPr>
            <w:tcW w:w="2957" w:type="dxa"/>
            <w:tcBorders>
              <w:top w:val="single" w:color="auto" w:sz="4" w:space="0"/>
              <w:left w:val="single" w:color="auto" w:sz="4" w:space="0"/>
              <w:bottom w:val="single" w:color="auto" w:sz="4" w:space="0"/>
              <w:right w:val="single" w:color="auto" w:sz="4" w:space="0"/>
            </w:tcBorders>
          </w:tcPr>
          <w:p w:rsidRPr="000C037F" w:rsidR="000C037F" w:rsidP="009D2735" w:rsidRDefault="000C037F" w14:paraId="5E1390E3" w14:textId="77777777">
            <w:pPr>
              <w:pStyle w:val="NormalinTable"/>
            </w:pPr>
            <w:r w:rsidRPr="000C037F">
              <w:t>EUL_basis</w:t>
            </w:r>
          </w:p>
        </w:tc>
        <w:tc>
          <w:tcPr>
            <w:tcW w:w="5310" w:type="dxa"/>
            <w:tcBorders>
              <w:top w:val="single" w:color="auto" w:sz="4" w:space="0"/>
              <w:left w:val="single" w:color="auto" w:sz="4" w:space="0"/>
              <w:bottom w:val="single" w:color="auto" w:sz="4" w:space="0"/>
              <w:right w:val="single" w:color="auto" w:sz="4" w:space="0"/>
            </w:tcBorders>
          </w:tcPr>
          <w:p w:rsidRPr="000C037F" w:rsidR="000C037F" w:rsidP="009D2735" w:rsidRDefault="000C037F" w14:paraId="2FAA2D42" w14:textId="77777777">
            <w:pPr>
              <w:pStyle w:val="NormalinTable"/>
            </w:pPr>
            <w:r w:rsidRPr="000C037F">
              <w:t>This table contains the DEER-approved EULs and RULs for deemed measures.</w:t>
            </w:r>
          </w:p>
        </w:tc>
      </w:tr>
      <w:tr w:rsidRPr="000C037F" w:rsidR="000C037F" w:rsidTr="008D4F13" w14:paraId="495C3244" w14:textId="77777777">
        <w:trPr>
          <w:cantSplit/>
          <w:trHeight w:val="20"/>
        </w:trPr>
        <w:tc>
          <w:tcPr>
            <w:tcW w:w="1075" w:type="dxa"/>
            <w:vMerge/>
          </w:tcPr>
          <w:p w:rsidRPr="000C037F" w:rsidR="000C037F" w:rsidP="009D2735" w:rsidRDefault="000C037F" w14:paraId="70FAB3A5" w14:textId="77777777">
            <w:pPr>
              <w:pStyle w:val="NormalinTable"/>
            </w:pPr>
          </w:p>
        </w:tc>
        <w:tc>
          <w:tcPr>
            <w:tcW w:w="2957" w:type="dxa"/>
            <w:tcBorders>
              <w:top w:val="single" w:color="auto" w:sz="4" w:space="0"/>
              <w:left w:val="single" w:color="auto" w:sz="4" w:space="0"/>
              <w:bottom w:val="single" w:color="auto" w:sz="4" w:space="0"/>
              <w:right w:val="single" w:color="auto" w:sz="4" w:space="0"/>
            </w:tcBorders>
          </w:tcPr>
          <w:p w:rsidRPr="000C037F" w:rsidR="000C037F" w:rsidP="009D2735" w:rsidRDefault="000C037F" w14:paraId="5CCAB049" w14:textId="77777777">
            <w:pPr>
              <w:pStyle w:val="NormalinTable"/>
            </w:pPr>
            <w:r w:rsidRPr="000C037F">
              <w:t>OtherRatesACC*</w:t>
            </w:r>
          </w:p>
        </w:tc>
        <w:tc>
          <w:tcPr>
            <w:tcW w:w="5310" w:type="dxa"/>
            <w:tcBorders>
              <w:top w:val="single" w:color="auto" w:sz="4" w:space="0"/>
              <w:left w:val="single" w:color="auto" w:sz="4" w:space="0"/>
              <w:bottom w:val="single" w:color="auto" w:sz="4" w:space="0"/>
              <w:right w:val="single" w:color="auto" w:sz="4" w:space="0"/>
            </w:tcBorders>
          </w:tcPr>
          <w:p w:rsidRPr="000C037F" w:rsidR="000C037F" w:rsidP="009D2735" w:rsidRDefault="000C037F" w14:paraId="66D9B75C" w14:textId="5E0FF5F0">
            <w:pPr>
              <w:pStyle w:val="NormalinTable"/>
            </w:pPr>
            <w:r w:rsidRPr="000C037F">
              <w:t>This table contains natural gas heat rates, source energy rates, methane leakage rates and adders, and PA-specific capital rates</w:t>
            </w:r>
            <w:r w:rsidR="00173DDE">
              <w:t xml:space="preserve"> and associated weights</w:t>
            </w:r>
            <w:r w:rsidRPr="000C037F">
              <w:t xml:space="preserve"> established </w:t>
            </w:r>
            <w:r w:rsidR="00EE0200">
              <w:t xml:space="preserve">(to inform the </w:t>
            </w:r>
            <w:r w:rsidR="00DC4688">
              <w:t xml:space="preserve">statewide </w:t>
            </w:r>
            <w:r w:rsidR="00EE0200">
              <w:t>weight</w:t>
            </w:r>
            <w:r w:rsidR="00DC4688">
              <w:t xml:space="preserve">ed capital rate) </w:t>
            </w:r>
            <w:r w:rsidRPr="000C037F">
              <w:t>for each ACC update.</w:t>
            </w:r>
          </w:p>
        </w:tc>
      </w:tr>
      <w:tr w:rsidRPr="000C037F" w:rsidR="000C037F" w:rsidTr="008D4F13" w14:paraId="305697EC" w14:textId="77777777">
        <w:trPr>
          <w:cantSplit/>
          <w:trHeight w:val="20"/>
        </w:trPr>
        <w:tc>
          <w:tcPr>
            <w:tcW w:w="1075" w:type="dxa"/>
            <w:vMerge/>
          </w:tcPr>
          <w:p w:rsidRPr="000C037F" w:rsidR="000C037F" w:rsidP="009D2735" w:rsidRDefault="000C037F" w14:paraId="71013F7B" w14:textId="77777777">
            <w:pPr>
              <w:pStyle w:val="NormalinTable"/>
            </w:pPr>
          </w:p>
        </w:tc>
        <w:tc>
          <w:tcPr>
            <w:tcW w:w="2957" w:type="dxa"/>
            <w:tcBorders>
              <w:top w:val="single" w:color="auto" w:sz="4" w:space="0"/>
              <w:left w:val="single" w:color="auto" w:sz="4" w:space="0"/>
              <w:bottom w:val="single" w:color="auto" w:sz="4" w:space="0"/>
              <w:right w:val="single" w:color="auto" w:sz="4" w:space="0"/>
            </w:tcBorders>
          </w:tcPr>
          <w:p w:rsidRPr="000C037F" w:rsidR="000C037F" w:rsidP="009D2735" w:rsidRDefault="000C037F" w14:paraId="57ED3749" w14:textId="77777777">
            <w:pPr>
              <w:pStyle w:val="NormalinTable"/>
            </w:pPr>
            <w:r w:rsidRPr="000C037F">
              <w:t>Refrigerant*</w:t>
            </w:r>
          </w:p>
        </w:tc>
        <w:tc>
          <w:tcPr>
            <w:tcW w:w="5310" w:type="dxa"/>
            <w:tcBorders>
              <w:top w:val="single" w:color="auto" w:sz="4" w:space="0"/>
              <w:left w:val="single" w:color="auto" w:sz="4" w:space="0"/>
              <w:bottom w:val="single" w:color="auto" w:sz="4" w:space="0"/>
              <w:right w:val="single" w:color="auto" w:sz="4" w:space="0"/>
            </w:tcBorders>
          </w:tcPr>
          <w:p w:rsidRPr="000C037F" w:rsidR="000C037F" w:rsidP="009D2735" w:rsidRDefault="000C037F" w14:paraId="426ED10C" w14:textId="77777777">
            <w:pPr>
              <w:pStyle w:val="NormalinTable"/>
            </w:pPr>
            <w:r w:rsidRPr="000C037F">
              <w:t>This table contains a list of refrigerants and their associated GWPs for 20- and 100-year horizons.</w:t>
            </w:r>
            <w:r w:rsidRPr="000C037F">
              <w:rPr>
                <w:vertAlign w:val="superscript"/>
              </w:rPr>
              <w:footnoteReference w:id="8"/>
            </w:r>
          </w:p>
        </w:tc>
      </w:tr>
      <w:tr w:rsidRPr="000C037F" w:rsidR="000C037F" w:rsidTr="008D4F13" w14:paraId="55B10095" w14:textId="77777777">
        <w:trPr>
          <w:cantSplit/>
          <w:trHeight w:val="20"/>
        </w:trPr>
        <w:tc>
          <w:tcPr>
            <w:tcW w:w="1075" w:type="dxa"/>
            <w:tcBorders>
              <w:top w:val="nil"/>
              <w:left w:val="single" w:color="auto" w:sz="4" w:space="0"/>
              <w:bottom w:val="single" w:color="auto" w:sz="4" w:space="0"/>
              <w:right w:val="single" w:color="auto" w:sz="4" w:space="0"/>
            </w:tcBorders>
          </w:tcPr>
          <w:p w:rsidRPr="000C037F" w:rsidR="000C037F" w:rsidP="009D2735" w:rsidRDefault="000C037F" w14:paraId="050EF50E" w14:textId="77777777">
            <w:pPr>
              <w:pStyle w:val="NormalinTable"/>
            </w:pPr>
          </w:p>
        </w:tc>
        <w:tc>
          <w:tcPr>
            <w:tcW w:w="2957" w:type="dxa"/>
            <w:tcBorders>
              <w:top w:val="single" w:color="auto" w:sz="4" w:space="0"/>
              <w:left w:val="single" w:color="auto" w:sz="4" w:space="0"/>
              <w:bottom w:val="single" w:color="auto" w:sz="4" w:space="0"/>
              <w:right w:val="single" w:color="auto" w:sz="4" w:space="0"/>
            </w:tcBorders>
          </w:tcPr>
          <w:p w:rsidRPr="000C037F" w:rsidR="000C037F" w:rsidP="009D2735" w:rsidRDefault="000C037F" w14:paraId="29DBD608" w14:textId="77777777">
            <w:pPr>
              <w:pStyle w:val="NormalinTable"/>
            </w:pPr>
            <w:r w:rsidRPr="000C037F">
              <w:t>RefrigerantACC*</w:t>
            </w:r>
          </w:p>
        </w:tc>
        <w:tc>
          <w:tcPr>
            <w:tcW w:w="5310" w:type="dxa"/>
            <w:tcBorders>
              <w:top w:val="single" w:color="auto" w:sz="4" w:space="0"/>
              <w:left w:val="single" w:color="auto" w:sz="4" w:space="0"/>
              <w:bottom w:val="single" w:color="auto" w:sz="4" w:space="0"/>
              <w:right w:val="single" w:color="auto" w:sz="4" w:space="0"/>
            </w:tcBorders>
          </w:tcPr>
          <w:p w:rsidRPr="000C037F" w:rsidR="000C037F" w:rsidP="009D2735" w:rsidRDefault="000C037F" w14:paraId="71AEB05E" w14:textId="77777777">
            <w:pPr>
              <w:pStyle w:val="NormalinTable"/>
            </w:pPr>
            <w:r w:rsidRPr="000C037F">
              <w:t>This table contains the avoided costs of refrigerant leakage, electric generation emissions rates, and source energy factors for each ACC update.</w:t>
            </w:r>
          </w:p>
        </w:tc>
      </w:tr>
      <w:tr w:rsidRPr="000C037F" w:rsidR="000C037F" w:rsidTr="008D4F13" w14:paraId="3FE0A42C" w14:textId="77777777">
        <w:trPr>
          <w:cantSplit/>
          <w:trHeight w:val="20"/>
        </w:trPr>
        <w:tc>
          <w:tcPr>
            <w:tcW w:w="1075" w:type="dxa"/>
            <w:tcBorders>
              <w:top w:val="single" w:color="auto" w:sz="4" w:space="0"/>
              <w:left w:val="single" w:color="auto" w:sz="4" w:space="0"/>
              <w:bottom w:val="single" w:color="auto" w:sz="4" w:space="0"/>
              <w:right w:val="single" w:color="auto" w:sz="4" w:space="0"/>
            </w:tcBorders>
          </w:tcPr>
          <w:p w:rsidRPr="000C037F" w:rsidR="000C037F" w:rsidP="009D2735" w:rsidRDefault="000C037F" w14:paraId="0270267B" w14:textId="77777777">
            <w:pPr>
              <w:pStyle w:val="NormalinTable"/>
            </w:pPr>
            <w:r w:rsidRPr="000C037F">
              <w:t>spt</w:t>
            </w:r>
          </w:p>
        </w:tc>
        <w:tc>
          <w:tcPr>
            <w:tcW w:w="2957" w:type="dxa"/>
            <w:tcBorders>
              <w:top w:val="single" w:color="auto" w:sz="4" w:space="0"/>
              <w:left w:val="single" w:color="auto" w:sz="4" w:space="0"/>
              <w:bottom w:val="single" w:color="auto" w:sz="4" w:space="0"/>
              <w:right w:val="single" w:color="auto" w:sz="4" w:space="0"/>
            </w:tcBorders>
          </w:tcPr>
          <w:p w:rsidRPr="000C037F" w:rsidR="000C037F" w:rsidP="009D2735" w:rsidRDefault="000C037F" w14:paraId="2380E1B3" w14:textId="77777777">
            <w:pPr>
              <w:pStyle w:val="NormalinTable"/>
            </w:pPr>
            <w:r w:rsidRPr="000C037F">
              <w:t>RACC_FSC_InputTracker</w:t>
            </w:r>
          </w:p>
        </w:tc>
        <w:tc>
          <w:tcPr>
            <w:tcW w:w="5310" w:type="dxa"/>
            <w:tcBorders>
              <w:top w:val="single" w:color="auto" w:sz="4" w:space="0"/>
              <w:left w:val="single" w:color="auto" w:sz="4" w:space="0"/>
              <w:bottom w:val="single" w:color="auto" w:sz="4" w:space="0"/>
              <w:right w:val="single" w:color="auto" w:sz="4" w:space="0"/>
            </w:tcBorders>
          </w:tcPr>
          <w:p w:rsidRPr="000C037F" w:rsidR="000C037F" w:rsidP="009D2735" w:rsidRDefault="000C037F" w14:paraId="225F5F88" w14:textId="77777777">
            <w:pPr>
              <w:pStyle w:val="NormalinTable"/>
            </w:pPr>
            <w:r w:rsidRPr="000C037F">
              <w:t>This table contains a list of the changes made to the rest of the tables that are used by the RACC-FSC. This is used to ensure that the connected copies of the DEER tables stored within the submitted measure package addendum or custom application are current. This table is automatically refreshed each time the workbook is opened.</w:t>
            </w:r>
          </w:p>
        </w:tc>
      </w:tr>
      <w:tr w:rsidRPr="000C037F" w:rsidR="000C037F" w:rsidTr="008D4F13" w14:paraId="001634BA" w14:textId="77777777">
        <w:trPr>
          <w:cantSplit/>
          <w:trHeight w:val="20"/>
        </w:trPr>
        <w:tc>
          <w:tcPr>
            <w:tcW w:w="1075" w:type="dxa"/>
            <w:tcBorders>
              <w:top w:val="single" w:color="auto" w:sz="4" w:space="0"/>
              <w:left w:val="single" w:color="auto" w:sz="4" w:space="0"/>
              <w:bottom w:val="single" w:color="auto" w:sz="4" w:space="0"/>
              <w:right w:val="single" w:color="auto" w:sz="4" w:space="0"/>
            </w:tcBorders>
          </w:tcPr>
          <w:p w:rsidRPr="000C037F" w:rsidR="000C037F" w:rsidP="009D2735" w:rsidRDefault="000C037F" w14:paraId="2806F591" w14:textId="77777777">
            <w:pPr>
              <w:pStyle w:val="NormalinTable"/>
            </w:pPr>
            <w:r w:rsidRPr="000C037F">
              <w:t>tech</w:t>
            </w:r>
          </w:p>
        </w:tc>
        <w:tc>
          <w:tcPr>
            <w:tcW w:w="2957" w:type="dxa"/>
            <w:tcBorders>
              <w:top w:val="single" w:color="auto" w:sz="4" w:space="0"/>
              <w:left w:val="single" w:color="auto" w:sz="4" w:space="0"/>
              <w:bottom w:val="single" w:color="auto" w:sz="4" w:space="0"/>
              <w:right w:val="single" w:color="auto" w:sz="4" w:space="0"/>
            </w:tcBorders>
          </w:tcPr>
          <w:p w:rsidRPr="000C037F" w:rsidR="000C037F" w:rsidP="009D2735" w:rsidRDefault="000C037F" w14:paraId="2E077D64" w14:textId="77777777">
            <w:pPr>
              <w:pStyle w:val="NormalinTable"/>
            </w:pPr>
            <w:r w:rsidRPr="000C037F">
              <w:t>TechType</w:t>
            </w:r>
          </w:p>
        </w:tc>
        <w:tc>
          <w:tcPr>
            <w:tcW w:w="5310" w:type="dxa"/>
            <w:tcBorders>
              <w:top w:val="single" w:color="auto" w:sz="4" w:space="0"/>
              <w:left w:val="single" w:color="auto" w:sz="4" w:space="0"/>
              <w:bottom w:val="single" w:color="auto" w:sz="4" w:space="0"/>
              <w:right w:val="single" w:color="auto" w:sz="4" w:space="0"/>
            </w:tcBorders>
          </w:tcPr>
          <w:p w:rsidRPr="000C037F" w:rsidR="000C037F" w:rsidP="009D2735" w:rsidRDefault="000C037F" w14:paraId="70622444" w14:textId="77777777">
            <w:pPr>
              <w:pStyle w:val="NormalinTable"/>
            </w:pPr>
            <w:r w:rsidRPr="000C037F">
              <w:t>This table contains the DEER-approved TechTypes for all deemed measures.</w:t>
            </w:r>
          </w:p>
        </w:tc>
      </w:tr>
    </w:tbl>
    <w:p w:rsidRPr="000C037F" w:rsidR="000C037F" w:rsidP="00771DA4" w:rsidRDefault="000C037F" w14:paraId="6EF165F6" w14:textId="77777777">
      <w:pPr>
        <w:pStyle w:val="Tablenote"/>
      </w:pPr>
      <w:r w:rsidRPr="000C037F">
        <w:t>* Table was added to the DEER database in the first and second quarters of 2024.</w:t>
      </w:r>
    </w:p>
    <w:p w:rsidRPr="000C037F" w:rsidR="000C037F" w:rsidP="000C037F" w:rsidRDefault="000C037F" w14:paraId="3DE17685" w14:textId="77777777"/>
    <w:p w:rsidRPr="000C037F" w:rsidR="000C037F" w:rsidP="00771DA4" w:rsidRDefault="008E625A" w14:paraId="0D8CA004" w14:textId="15109212">
      <w:pPr>
        <w:pStyle w:val="Heading3"/>
      </w:pPr>
      <w:bookmarkStart w:name="_Toc185271158" w:id="24"/>
      <w:r>
        <w:t xml:space="preserve">(B.2) </w:t>
      </w:r>
      <w:r w:rsidRPr="000C037F" w:rsidR="000C037F">
        <w:t>Refrigerant Benefits/Costs for EULs Exceeding 20 Years</w:t>
      </w:r>
      <w:bookmarkEnd w:id="24"/>
    </w:p>
    <w:p w:rsidRPr="000C037F" w:rsidR="000C037F" w:rsidP="000C037F" w:rsidRDefault="000C037F" w14:paraId="66E368CE" w14:textId="678BE7DA">
      <w:r w:rsidRPr="000C037F">
        <w:rPr>
          <w:u w:val="single"/>
        </w:rPr>
        <w:t>Effective Program Year: 2024-2026</w:t>
      </w:r>
      <w:r w:rsidRPr="000C037F">
        <w:t xml:space="preserve">. The avoided refrigerant leakage emissions for accelerated replacement (AR) measure application types sometimes consider an end-of-life (EOL) refrigerant leakage event for the counterfactual standard practice equipment </w:t>
      </w:r>
      <w:r w:rsidRPr="000C037F">
        <w:lastRenderedPageBreak/>
        <w:t xml:space="preserve">that occurs beyond the life of the measure. In these cases, it </w:t>
      </w:r>
      <w:r w:rsidR="000A6E7D">
        <w:t>is sometimes</w:t>
      </w:r>
      <w:r w:rsidRPr="000C037F">
        <w:t xml:space="preserve"> necessary to know the costs of those refrigerant emissions in years beyond the scope of the ACC updates. Since recent studies have found that some equipment categories have effective useful lives (EULs) that exceed 20 years, this can mean that an EOL refrigerant leakage event might occur more than 30 years beyond the date that the measure is installed. ACC updates, however, only forecast values for 30 years in the future. This presented a challenge for the RACC-FSC workbook to determine the monetary value of an EOL event more than 30 years in the future.</w:t>
      </w:r>
      <w:r w:rsidR="00931F63">
        <w:t xml:space="preserve"> For example, </w:t>
      </w:r>
      <w:r w:rsidR="00A35F22">
        <w:t xml:space="preserve">the 2023 Residential </w:t>
      </w:r>
      <w:r w:rsidR="00011778">
        <w:t>HVAC and Water Heating EUL Study</w:t>
      </w:r>
      <w:r w:rsidR="00A04259">
        <w:t xml:space="preserve"> resulted </w:t>
      </w:r>
      <w:r w:rsidR="00292D0E">
        <w:t xml:space="preserve">in </w:t>
      </w:r>
      <w:r w:rsidR="00EE245C">
        <w:t xml:space="preserve">furnace and heat pump EUL </w:t>
      </w:r>
      <w:r w:rsidR="00077774">
        <w:t>values</w:t>
      </w:r>
      <w:r w:rsidR="003E62C2">
        <w:t xml:space="preserve"> of 30 and 23 years respectively. An </w:t>
      </w:r>
      <w:r w:rsidR="005A375C">
        <w:t>accelerated replacement (</w:t>
      </w:r>
      <w:r w:rsidR="003E62C2">
        <w:t>AR</w:t>
      </w:r>
      <w:r w:rsidR="005A375C">
        <w:t>)</w:t>
      </w:r>
      <w:r w:rsidR="003E62C2">
        <w:t xml:space="preserve"> application of this fuel substitution EE </w:t>
      </w:r>
      <w:r w:rsidR="005E505D">
        <w:t xml:space="preserve">scenario would result in a first baseline lifecycle of 10 years (RUL of the existing furnace) and a second baseline lifecycle of 23 years </w:t>
      </w:r>
      <w:r w:rsidR="004F6CEA">
        <w:t xml:space="preserve">(EUL of the measure case heat pump) </w:t>
      </w:r>
      <w:r w:rsidR="00F16B62">
        <w:t>resulting in 33 years</w:t>
      </w:r>
      <w:r w:rsidR="007711A3">
        <w:t>.</w:t>
      </w:r>
    </w:p>
    <w:p w:rsidRPr="000C037F" w:rsidR="000C037F" w:rsidP="000C037F" w:rsidRDefault="000C037F" w14:paraId="3D389F3F" w14:textId="43877A19">
      <w:r w:rsidRPr="000C037F">
        <w:t xml:space="preserve">A plot of the annual costs of refrigerant emissions over the past two ACC updates shows that these costs increase at a fixed exponential rate over time as shown in </w:t>
      </w:r>
      <w:r w:rsidRPr="000C037F">
        <w:fldChar w:fldCharType="begin"/>
      </w:r>
      <w:r w:rsidRPr="000C037F">
        <w:instrText xml:space="preserve"> REF _Ref162953348 \h </w:instrText>
      </w:r>
      <w:r w:rsidRPr="000C037F">
        <w:fldChar w:fldCharType="separate"/>
      </w:r>
      <w:r w:rsidRPr="000C037F" w:rsidR="00E812F0">
        <w:t xml:space="preserve">Figure </w:t>
      </w:r>
      <w:r w:rsidRPr="00BA4635" w:rsidR="00E812F0">
        <w:rPr>
          <w:webHidden/>
        </w:rPr>
        <w:t>A-</w:t>
      </w:r>
      <w:r w:rsidR="00E812F0">
        <w:rPr>
          <w:noProof/>
        </w:rPr>
        <w:t>1</w:t>
      </w:r>
      <w:r w:rsidRPr="000C037F" w:rsidR="00E812F0">
        <w:noBreakHyphen/>
      </w:r>
      <w:r w:rsidR="00E812F0">
        <w:rPr>
          <w:noProof/>
        </w:rPr>
        <w:t>1</w:t>
      </w:r>
      <w:r w:rsidRPr="000C037F">
        <w:fldChar w:fldCharType="end"/>
      </w:r>
      <w:r w:rsidRPr="000C037F">
        <w:t xml:space="preserve">. Thus, it was decided that these values can reasonably be extrapolated beyond the bounds of the ACC update as needed. Since these greenhouse gas values of refrigerant leakage values will be added to the RefrigerantACC table in the DEER database following each ACC update, the extrapolated values for those years beyond the ACC will also be added to the table at the same time. (These extrapolated values for the 2022 </w:t>
      </w:r>
      <w:r w:rsidR="00B70646">
        <w:t xml:space="preserve">and 2024 </w:t>
      </w:r>
      <w:r w:rsidRPr="000C037F">
        <w:t>ACCs have already been added to the RefrigerantACC table.)</w:t>
      </w:r>
    </w:p>
    <w:p w:rsidRPr="000C037F" w:rsidR="000C037F" w:rsidP="00771DA4" w:rsidRDefault="000C037F" w14:paraId="404209C1" w14:textId="715A7432">
      <w:pPr>
        <w:pStyle w:val="Caption"/>
      </w:pPr>
      <w:bookmarkStart w:name="_Ref162953348" w:id="25"/>
      <w:bookmarkStart w:name="_Toc185271237" w:id="26"/>
      <w:r w:rsidRPr="000C037F">
        <w:lastRenderedPageBreak/>
        <w:t xml:space="preserve">Figure </w:t>
      </w:r>
      <w:r w:rsidRPr="00BA4635" w:rsidR="00BA4635">
        <w:rPr>
          <w:webHidden/>
        </w:rPr>
        <w:t>A-</w:t>
      </w:r>
      <w:r>
        <w:fldChar w:fldCharType="begin"/>
      </w:r>
      <w:r>
        <w:instrText>STYLEREF 1 \s</w:instrText>
      </w:r>
      <w:r>
        <w:fldChar w:fldCharType="separate"/>
      </w:r>
      <w:r w:rsidR="00E812F0">
        <w:rPr>
          <w:noProof/>
        </w:rPr>
        <w:t>1</w:t>
      </w:r>
      <w:r>
        <w:fldChar w:fldCharType="end"/>
      </w:r>
      <w:r w:rsidRPr="000C037F">
        <w:noBreakHyphen/>
      </w:r>
      <w:r>
        <w:fldChar w:fldCharType="begin"/>
      </w:r>
      <w:r>
        <w:instrText>SEQ Figure \* ARABIC \s 1</w:instrText>
      </w:r>
      <w:r>
        <w:fldChar w:fldCharType="separate"/>
      </w:r>
      <w:r w:rsidR="00E812F0">
        <w:rPr>
          <w:noProof/>
        </w:rPr>
        <w:t>1</w:t>
      </w:r>
      <w:r>
        <w:fldChar w:fldCharType="end"/>
      </w:r>
      <w:bookmarkEnd w:id="25"/>
      <w:r w:rsidRPr="000C037F">
        <w:t>. Greenhouse Gas Value of Refrigerant Leakage</w:t>
      </w:r>
      <w:r w:rsidR="009B3280">
        <w:t xml:space="preserve"> in 2022 ACCs</w:t>
      </w:r>
      <w:bookmarkEnd w:id="26"/>
    </w:p>
    <w:p w:rsidRPr="000C037F" w:rsidR="000C037F" w:rsidP="000C037F" w:rsidRDefault="000C037F" w14:paraId="407D1119" w14:textId="77777777">
      <w:r w:rsidRPr="000C037F">
        <w:rPr>
          <w:noProof/>
        </w:rPr>
        <w:drawing>
          <wp:inline distT="0" distB="0" distL="0" distR="0" wp14:anchorId="005B1DD6" wp14:editId="4294520A">
            <wp:extent cx="6106918" cy="2659380"/>
            <wp:effectExtent l="0" t="0" r="8255" b="7620"/>
            <wp:docPr id="1537873854" name="Picture 1" descr="A graph with blue lines and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7873854" name="Picture 1" descr="A graph with blue lines and white text&#10;&#10;Description automatically generated"/>
                    <pic:cNvPicPr/>
                  </pic:nvPicPr>
                  <pic:blipFill>
                    <a:blip r:embed="rId15"/>
                    <a:stretch>
                      <a:fillRect/>
                    </a:stretch>
                  </pic:blipFill>
                  <pic:spPr>
                    <a:xfrm>
                      <a:off x="0" y="0"/>
                      <a:ext cx="6107092" cy="2659456"/>
                    </a:xfrm>
                    <a:prstGeom prst="rect">
                      <a:avLst/>
                    </a:prstGeom>
                  </pic:spPr>
                </pic:pic>
              </a:graphicData>
            </a:graphic>
          </wp:inline>
        </w:drawing>
      </w:r>
    </w:p>
    <w:p w:rsidRPr="000C037F" w:rsidR="000C037F" w:rsidP="000C037F" w:rsidRDefault="000C037F" w14:paraId="1905B9B6" w14:textId="77777777"/>
    <w:p w:rsidRPr="000C037F" w:rsidR="000C037F" w:rsidP="00771DA4" w:rsidRDefault="008E625A" w14:paraId="0BB2357D" w14:textId="4A5892A1">
      <w:pPr>
        <w:pStyle w:val="Heading3"/>
      </w:pPr>
      <w:bookmarkStart w:name="_Toc185271159" w:id="27"/>
      <w:r>
        <w:t xml:space="preserve">(B.3) </w:t>
      </w:r>
      <w:r w:rsidRPr="000C037F" w:rsidR="000C037F">
        <w:t>Water-Energy Nexus (WEN) Impacts</w:t>
      </w:r>
      <w:bookmarkEnd w:id="27"/>
    </w:p>
    <w:p w:rsidRPr="000C037F" w:rsidR="000C037F" w:rsidP="000C037F" w:rsidRDefault="000C037F" w14:paraId="4EBAC2FE" w14:textId="2E9A1709">
      <w:bookmarkStart w:name="_Hlk98166071" w:id="28"/>
      <w:r w:rsidRPr="000C037F">
        <w:rPr>
          <w:u w:val="single"/>
        </w:rPr>
        <w:t>Effective Program Year: 2024</w:t>
      </w:r>
      <w:r w:rsidRPr="000C037F">
        <w:t xml:space="preserve">. In December 2021, the CPUC </w:t>
      </w:r>
      <w:r w:rsidRPr="000C037F" w:rsidR="0E1ADC0F">
        <w:t>Energy Division</w:t>
      </w:r>
      <w:r w:rsidRPr="000C037F" w:rsidR="1C63EDCF">
        <w:t xml:space="preserve"> </w:t>
      </w:r>
      <w:r w:rsidRPr="000C037F">
        <w:t>released the new Water-Energy (W-E) Calculator 2.0.</w:t>
      </w:r>
      <w:r w:rsidRPr="000C037F">
        <w:rPr>
          <w:vertAlign w:val="superscript"/>
        </w:rPr>
        <w:footnoteReference w:id="9"/>
      </w:r>
      <w:r w:rsidRPr="000C037F">
        <w:t xml:space="preserve"> On December 22, 2021, CPUC </w:t>
      </w:r>
      <w:r w:rsidRPr="000C037F" w:rsidR="3BD269C4">
        <w:t xml:space="preserve">staff </w:t>
      </w:r>
      <w:r w:rsidRPr="000C037F">
        <w:t xml:space="preserve">issued a guidance memo describing a short and long-term solution for how the embedded energy savings outputs of the W-E Calculator 2.0 are to be used. In 2023, the CET was updated to include a separate field for embedded water savings, the long-term solution, and allow for WEN measure packages to use the new CET functionality to accept the direct energy savings and embedded energy savings separately into the CET. The embedded-water-energy savings are calculated following the same methodology described in the short-term solution, but the embedded energy savings are stored independently of the direct energy savings within the eTRM to facilitate reporting and cost-effectiveness calculations. </w:t>
      </w:r>
    </w:p>
    <w:p w:rsidRPr="000C037F" w:rsidR="000C037F" w:rsidP="00771DA4" w:rsidRDefault="6FE2EA38" w14:paraId="6DD76828" w14:textId="68CAAAE0">
      <w:pPr>
        <w:pStyle w:val="Heading3"/>
      </w:pPr>
      <w:bookmarkStart w:name="_Toc185271160" w:id="29"/>
      <w:r>
        <w:t xml:space="preserve">(B.4) </w:t>
      </w:r>
      <w:r w:rsidR="000C037F">
        <w:t>Lighting Baseline Updates</w:t>
      </w:r>
      <w:bookmarkEnd w:id="29"/>
    </w:p>
    <w:p w:rsidR="00F207B9" w:rsidP="00F207B9" w:rsidRDefault="000C037F" w14:paraId="62DB6751" w14:textId="038D7C64">
      <w:r w:rsidRPr="75837BB7">
        <w:rPr>
          <w:u w:val="single"/>
        </w:rPr>
        <w:t xml:space="preserve">Effective Program Year: </w:t>
      </w:r>
      <w:r w:rsidRPr="75837BB7" w:rsidR="15780E9F">
        <w:rPr>
          <w:u w:val="single"/>
        </w:rPr>
        <w:t>2024-</w:t>
      </w:r>
      <w:r w:rsidRPr="75837BB7">
        <w:rPr>
          <w:u w:val="single"/>
        </w:rPr>
        <w:t>2026</w:t>
      </w:r>
      <w:r>
        <w:t>.</w:t>
      </w:r>
      <w:r w:rsidR="4AF3F801">
        <w:t xml:space="preserve">  The standard practice baseline in measure packages will conform to the updated values in the Modified Lighting Calculator (MLC).  The new MLC update and corresponding standard practice efficacy will be effective upon </w:t>
      </w:r>
      <w:r w:rsidR="4AF3F801">
        <w:lastRenderedPageBreak/>
        <w:t xml:space="preserve">approval. Any new mid-cycle measure package submissions should use the most up-to-date baseline values. Existing measure packages using the MLC methodology will be updated to reflect the latest MLC methodology in the DEER2026 version of the measure package. </w:t>
      </w:r>
    </w:p>
    <w:p w:rsidRPr="000C037F" w:rsidR="000C037F" w:rsidP="00771DA4" w:rsidRDefault="008E625A" w14:paraId="1E58E6BE" w14:textId="3B23C0A0">
      <w:pPr>
        <w:pStyle w:val="Heading3"/>
      </w:pPr>
      <w:bookmarkStart w:name="_Toc185271161" w:id="30"/>
      <w:bookmarkStart w:name="_Ref99464906" w:id="31"/>
      <w:bookmarkEnd w:id="28"/>
      <w:r>
        <w:t xml:space="preserve">(B.5) </w:t>
      </w:r>
      <w:r w:rsidRPr="000C037F" w:rsidR="000C037F">
        <w:t>Definition of Incentive and Rebate</w:t>
      </w:r>
      <w:bookmarkEnd w:id="30"/>
    </w:p>
    <w:p w:rsidRPr="000C037F" w:rsidR="004921CA" w:rsidP="004921CA" w:rsidRDefault="004921CA" w14:paraId="687B945B" w14:textId="332FA3A8">
      <w:r w:rsidRPr="000C037F">
        <w:rPr>
          <w:u w:val="single"/>
        </w:rPr>
        <w:t xml:space="preserve">Effective Program Year: </w:t>
      </w:r>
      <w:r w:rsidRPr="000C037F" w:rsidR="00396D63">
        <w:rPr>
          <w:u w:val="single"/>
        </w:rPr>
        <w:t>202</w:t>
      </w:r>
      <w:r w:rsidR="00396D63">
        <w:rPr>
          <w:u w:val="single"/>
        </w:rPr>
        <w:t>6</w:t>
      </w:r>
      <w:r w:rsidRPr="000C037F">
        <w:t>. Because the Standard Practice Manual (SPM) has made a distinction between rebates and incentives, and the policy results in a different mathematical treatment in the Cost Effectiveness Tool</w:t>
      </w:r>
      <w:r>
        <w:t xml:space="preserve"> (CET)</w:t>
      </w:r>
      <w:r w:rsidRPr="000C037F">
        <w:t xml:space="preserve">, it is important that we clearly define the terms and use them precisely. </w:t>
      </w:r>
      <w:r>
        <w:t xml:space="preserve">This is not a change in policy, and may not require any changes in the CET. It is a clarification to align CET inputs with policy stated in the Standard Practice Manual, D.06-06-063, D.07-09-043 and D.08-01-006. </w:t>
      </w:r>
      <w:r w:rsidRPr="000C037F">
        <w:t xml:space="preserve"> </w:t>
      </w:r>
      <w:r>
        <w:t xml:space="preserve">A </w:t>
      </w:r>
      <w:r w:rsidRPr="000C037F">
        <w:t xml:space="preserve">rebate </w:t>
      </w:r>
      <w:r>
        <w:t>is</w:t>
      </w:r>
      <w:r w:rsidRPr="000C037F">
        <w:t xml:space="preserve"> a return of part of a payment, or an amount owed</w:t>
      </w:r>
      <w:r>
        <w:t xml:space="preserve">, whereas </w:t>
      </w:r>
      <w:r w:rsidRPr="000C037F">
        <w:t>an incentive is something that incites or has a tendency to incite to determination or action. It follows from these two definitions that a rebate is a specific kind of incentive.</w:t>
      </w:r>
    </w:p>
    <w:p w:rsidR="004921CA" w:rsidP="004921CA" w:rsidRDefault="004921CA" w14:paraId="67F747B7" w14:textId="77777777">
      <w:r w:rsidRPr="000C037F">
        <w:t>D.08-0</w:t>
      </w:r>
      <w:r>
        <w:t>1</w:t>
      </w:r>
      <w:r w:rsidRPr="000C037F">
        <w:t xml:space="preserve">-006 discusses the rebates and incentives defined by the SPM and implemented in the cost effectiveness test calculations. </w:t>
      </w:r>
    </w:p>
    <w:p w:rsidR="004921CA" w:rsidP="004921CA" w:rsidRDefault="004921CA" w14:paraId="14871D76" w14:textId="77777777">
      <w:pPr>
        <w:pStyle w:val="Quote"/>
      </w:pPr>
      <w:r w:rsidRPr="000C037F">
        <w:t>the SPM defines the incentive (INC) term</w:t>
      </w:r>
      <w:r>
        <w:t xml:space="preserve"> </w:t>
      </w:r>
      <w:r w:rsidRPr="000C037F">
        <w:t>very narrowly as the type of incentive that can be treated as a transfer payment in the SPM TRC formulation. The definition of the INC term, as set forth in the SPM, is restricted to "dollar benefits" such as rebates or rate incentives (monthly bill credits) paid by the sponsoring utility to the customers participating in the program. Moreover, the SPM is very clear that the term "participant" refers to the customer participating in the program, and that this transfer incentive (INC) is one that is paid directly to the participating customer.</w:t>
      </w:r>
      <w:r>
        <w:rPr>
          <w:rStyle w:val="FootnoteReference"/>
        </w:rPr>
        <w:footnoteReference w:id="10"/>
      </w:r>
      <w:r w:rsidRPr="00F64BA5">
        <w:rPr>
          <w:vertAlign w:val="superscript"/>
        </w:rPr>
        <w:t>,</w:t>
      </w:r>
      <w:r>
        <w:rPr>
          <w:rStyle w:val="FootnoteReference"/>
        </w:rPr>
        <w:footnoteReference w:id="11"/>
      </w:r>
      <w:r w:rsidRPr="000C037F">
        <w:t xml:space="preserve"> </w:t>
      </w:r>
    </w:p>
    <w:p w:rsidRPr="000C037F" w:rsidR="004921CA" w:rsidP="004921CA" w:rsidRDefault="004921CA" w14:paraId="1E81F383" w14:textId="6E164D1A">
      <w:r w:rsidRPr="000C037F">
        <w:t xml:space="preserve">In the CET Input Guide, the values that are input to the INC term are referred to as rebates </w:t>
      </w:r>
      <w:r w:rsidR="00727F57">
        <w:t>(</w:t>
      </w:r>
      <w:r w:rsidRPr="000C037F">
        <w:t>i.e.</w:t>
      </w:r>
      <w:r>
        <w:t>,</w:t>
      </w:r>
      <w:r w:rsidRPr="000C037F">
        <w:t xml:space="preserve"> “UnitEndUserRebate</w:t>
      </w:r>
      <w:r w:rsidR="00727F57">
        <w:t>”)</w:t>
      </w:r>
      <w:r w:rsidRPr="000C037F">
        <w:t>.</w:t>
      </w:r>
      <w:r>
        <w:rPr>
          <w:rStyle w:val="FootnoteReference"/>
        </w:rPr>
        <w:footnoteReference w:id="12"/>
      </w:r>
    </w:p>
    <w:p w:rsidR="004921CA" w:rsidP="004921CA" w:rsidRDefault="004921CA" w14:paraId="7A67B28A" w14:textId="77777777">
      <w:r w:rsidRPr="000C037F">
        <w:t>Decision D.08-0</w:t>
      </w:r>
      <w:r>
        <w:t>1</w:t>
      </w:r>
      <w:r w:rsidRPr="000C037F">
        <w:t>-006 goes on to state</w:t>
      </w:r>
      <w:r>
        <w:t>,</w:t>
      </w:r>
      <w:r w:rsidRPr="000C037F">
        <w:t xml:space="preserve"> </w:t>
      </w:r>
    </w:p>
    <w:p w:rsidR="004921CA" w:rsidP="004921CA" w:rsidRDefault="004921CA" w14:paraId="7739630C" w14:textId="77777777">
      <w:pPr>
        <w:pStyle w:val="Quote"/>
      </w:pPr>
      <w:r w:rsidRPr="000C037F">
        <w:lastRenderedPageBreak/>
        <w:t>In D.06-06-063, we reiterated the SPM definition of Program Administrator Cost (PRC) as any program expense except those program expenses that fit the narrow definition of a transfer payment incentive (INC) defined above. This means that the "non-transfer" incentive payments to midstream/upstream market actors and payments to contractors to deliver or install energy efficiency measures at customer premises are included in the PRC term. More specifically, under the utility "midstream/upstream programs," the utility pays incentives with program funds to manufacturers and distributors in order to buy down the retail price of energy efficiency measures or to stock efficient appliances. Under "direct-install programs," the utility arranges for measures to be either delivered to a participating customer for their installation or to be installed at the customers' premises. As discussed in D.06-06-063, the definition of PRC includes all utility payments to these entities, i.e., to manufacturers, distributors, contractors, builders</w:t>
      </w:r>
      <w:r>
        <w:t>,</w:t>
      </w:r>
      <w:r w:rsidRPr="000C037F">
        <w:t xml:space="preserve"> or energy service companies.</w:t>
      </w:r>
      <w:r>
        <w:rPr>
          <w:rStyle w:val="FootnoteReference"/>
        </w:rPr>
        <w:footnoteReference w:id="13"/>
      </w:r>
      <w:r w:rsidRPr="000C037F">
        <w:t xml:space="preserve"> </w:t>
      </w:r>
    </w:p>
    <w:p w:rsidRPr="000C037F" w:rsidR="004921CA" w:rsidP="004921CA" w:rsidRDefault="004921CA" w14:paraId="6F99BA91" w14:textId="68888D81">
      <w:r w:rsidRPr="000C037F">
        <w:t xml:space="preserve">These types of payments should be referred to as costs or </w:t>
      </w:r>
      <w:r w:rsidR="005C0E4E">
        <w:t>non</w:t>
      </w:r>
      <w:r w:rsidR="00C31F14">
        <w:t xml:space="preserve">-rebate </w:t>
      </w:r>
      <w:r w:rsidRPr="000C037F">
        <w:t>incentives and not be confused with the narrow definition of a rebate described above. CET Input Guide documentation refers to payments made to non-customers as incentives, i.e.</w:t>
      </w:r>
      <w:r>
        <w:t>,</w:t>
      </w:r>
      <w:r w:rsidRPr="000C037F">
        <w:t xml:space="preserve"> “UnitIncentiveToOthers”</w:t>
      </w:r>
      <w:r>
        <w:t>, “UnitDirectInstallLab”, or UnitDirectInstallMat.”</w:t>
      </w:r>
      <w:r w:rsidRPr="000C037F">
        <w:t xml:space="preserve"> </w:t>
      </w:r>
      <w:r>
        <w:t>If an upstream/midstream/direct install program can verify that an incentive was provided in the form of a cash rebate or bill credit to the end use customer, then those payments should be reported as rebates in the CET.</w:t>
      </w:r>
    </w:p>
    <w:p w:rsidR="00705A9F" w:rsidP="004921CA" w:rsidRDefault="008B149C" w14:paraId="42CB4604" w14:textId="2719D3E9">
      <w:r>
        <w:t xml:space="preserve">It is important to point out the </w:t>
      </w:r>
      <w:r w:rsidR="0084647F">
        <w:t xml:space="preserve">cases where </w:t>
      </w:r>
      <w:r w:rsidR="00F32490">
        <w:t xml:space="preserve">the </w:t>
      </w:r>
      <w:r w:rsidR="00035D69">
        <w:t>Total Resource Cost</w:t>
      </w:r>
      <w:r w:rsidR="00AF2856">
        <w:t xml:space="preserve"> </w:t>
      </w:r>
      <w:r w:rsidR="002734BC">
        <w:t>(</w:t>
      </w:r>
      <w:r w:rsidR="00F32490">
        <w:t>TRC</w:t>
      </w:r>
      <w:r w:rsidR="002734BC">
        <w:t>)</w:t>
      </w:r>
      <w:r w:rsidR="00F32490">
        <w:t xml:space="preserve"> </w:t>
      </w:r>
      <w:r w:rsidR="00D116D4">
        <w:t xml:space="preserve">test </w:t>
      </w:r>
      <w:r w:rsidR="006A45A5">
        <w:t>is</w:t>
      </w:r>
      <w:r w:rsidR="00F32490">
        <w:t xml:space="preserve"> the same for </w:t>
      </w:r>
      <w:r w:rsidR="00962BA7">
        <w:t>both direct install</w:t>
      </w:r>
      <w:r w:rsidR="00064C4E">
        <w:t>ation and downstream delivery types</w:t>
      </w:r>
      <w:r w:rsidR="00813C9C">
        <w:t xml:space="preserve"> </w:t>
      </w:r>
      <w:r w:rsidR="00BC49B6">
        <w:t>and the cases where they are different</w:t>
      </w:r>
      <w:r w:rsidR="007935E5">
        <w:t>.</w:t>
      </w:r>
      <w:r w:rsidR="00BC49B6">
        <w:t xml:space="preserve"> </w:t>
      </w:r>
      <w:r w:rsidR="004C2F41">
        <w:t xml:space="preserve">Both </w:t>
      </w:r>
      <w:r w:rsidR="00570239">
        <w:t xml:space="preserve">cases </w:t>
      </w:r>
      <w:r w:rsidR="004C2F41">
        <w:t>are discussed in D.06-06-063</w:t>
      </w:r>
      <w:r w:rsidR="00111130">
        <w:t xml:space="preserve"> starting on pg. </w:t>
      </w:r>
      <w:r w:rsidR="00717F98">
        <w:t>68</w:t>
      </w:r>
      <w:r w:rsidR="00DA3497">
        <w:t xml:space="preserve"> with</w:t>
      </w:r>
      <w:r w:rsidR="00501D40">
        <w:t xml:space="preserve"> </w:t>
      </w:r>
      <w:r w:rsidR="00D60629">
        <w:t xml:space="preserve">numerical </w:t>
      </w:r>
      <w:r w:rsidR="00501D40">
        <w:t>examples that show</w:t>
      </w:r>
      <w:r w:rsidR="00D10D3D">
        <w:t xml:space="preserve"> </w:t>
      </w:r>
      <w:r w:rsidR="00D24EC6">
        <w:t xml:space="preserve">no difference </w:t>
      </w:r>
      <w:r w:rsidR="00F01390">
        <w:t>between</w:t>
      </w:r>
      <w:r w:rsidR="00D24EC6">
        <w:t xml:space="preserve"> </w:t>
      </w:r>
      <w:r w:rsidR="00113286">
        <w:t>TRC and P</w:t>
      </w:r>
      <w:r w:rsidR="005F4D51">
        <w:t>rogram Administrator Cost (PAC) test results</w:t>
      </w:r>
      <w:r w:rsidR="00462E3C">
        <w:t xml:space="preserve"> </w:t>
      </w:r>
      <w:r w:rsidR="00EC6975">
        <w:t>for different delivery types.</w:t>
      </w:r>
      <w:r w:rsidR="000E0F5E">
        <w:t xml:space="preserve"> Then on p</w:t>
      </w:r>
      <w:r w:rsidR="00F01390">
        <w:t>age</w:t>
      </w:r>
      <w:r w:rsidR="000E0F5E">
        <w:t xml:space="preserve"> 70</w:t>
      </w:r>
      <w:r w:rsidR="00501D40">
        <w:t xml:space="preserve"> </w:t>
      </w:r>
      <w:r w:rsidR="007C3FA2">
        <w:t xml:space="preserve">the </w:t>
      </w:r>
      <w:r w:rsidR="00011165">
        <w:t>D</w:t>
      </w:r>
      <w:r w:rsidR="007C3FA2">
        <w:t>ecision states,</w:t>
      </w:r>
      <w:r w:rsidR="00AD62B7">
        <w:t xml:space="preserve"> </w:t>
      </w:r>
      <w:r w:rsidR="00A0136A">
        <w:t xml:space="preserve">“However, the manner in which the program is delivered or the rebate is provided to the customer should not result in different cost-effectiveness results, except in the very </w:t>
      </w:r>
      <w:r w:rsidR="0007426B">
        <w:t>l</w:t>
      </w:r>
      <w:r w:rsidR="00A0136A">
        <w:t>imited instances discussed below</w:t>
      </w:r>
      <w:r w:rsidR="00A36467">
        <w:t>.</w:t>
      </w:r>
      <w:r w:rsidR="0007426B">
        <w:t>”</w:t>
      </w:r>
      <w:r w:rsidR="00A36467">
        <w:t xml:space="preserve"> </w:t>
      </w:r>
      <w:r w:rsidR="009D6C31">
        <w:t>It goes on to show</w:t>
      </w:r>
      <w:r w:rsidR="000F645A">
        <w:t xml:space="preserve"> numerical examples </w:t>
      </w:r>
      <w:r w:rsidR="00EA58C8">
        <w:t xml:space="preserve">where </w:t>
      </w:r>
      <w:r w:rsidR="00DD464D">
        <w:t xml:space="preserve">the </w:t>
      </w:r>
      <w:r w:rsidR="00DD464D">
        <w:lastRenderedPageBreak/>
        <w:t>two delivery types have the same TRC but different PAC test results.</w:t>
      </w:r>
      <w:r w:rsidR="00EB5A39">
        <w:t xml:space="preserve"> Then </w:t>
      </w:r>
      <w:r w:rsidR="00F34FD4">
        <w:t>on p</w:t>
      </w:r>
      <w:r w:rsidR="00F01390">
        <w:t>age</w:t>
      </w:r>
      <w:r w:rsidR="00F34FD4">
        <w:t xml:space="preserve"> 72 the </w:t>
      </w:r>
      <w:r w:rsidR="00A010B7">
        <w:t>D</w:t>
      </w:r>
      <w:r w:rsidR="00F34FD4">
        <w:t>ecision states,</w:t>
      </w:r>
      <w:r w:rsidR="00205DBF">
        <w:t xml:space="preserve"> </w:t>
      </w:r>
    </w:p>
    <w:p w:rsidR="00E55F2F" w:rsidP="00BB0743" w:rsidRDefault="00A139EB" w14:paraId="2745E84E" w14:textId="23128669">
      <w:pPr>
        <w:pStyle w:val="Quote"/>
      </w:pPr>
      <w:r w:rsidRPr="00A139EB">
        <w:t>We recognize that there may be limited instances for program design purposes where the cash rebate to the customer exceeds the measure installation cost. Under these circumstances, the TRC results will be the same for both direct install and the rebate program (all other things being equal), given the transfer payment treatment of cash rebates in the SPM. However, the PAC test will favor the direct install program. It was precisely to address these types of circumstances that we adopted the “Dual Test” of cost-effectiveness in our policy rules. Those rules recognize that both the TRC and PAC tests of cost</w:t>
      </w:r>
      <w:r w:rsidR="00E41583">
        <w:t xml:space="preserve"> </w:t>
      </w:r>
      <w:r w:rsidRPr="00A139EB">
        <w:t>effectiveness need to be considered when evaluating program proposals, in order to ensure that program administrators and implementers do not spend</w:t>
      </w:r>
      <w:r w:rsidR="009B277E">
        <w:t xml:space="preserve"> </w:t>
      </w:r>
      <w:r w:rsidRPr="009B277E" w:rsidR="009B277E">
        <w:t>more on rebates/cash incentives than absolutely necessary to achieve TRC net benefits</w:t>
      </w:r>
      <w:r w:rsidR="0014365C">
        <w:t>.</w:t>
      </w:r>
    </w:p>
    <w:p w:rsidR="003F20BD" w:rsidP="004921CA" w:rsidRDefault="008120D9" w14:paraId="479FAAF5" w14:textId="6C2E19FD">
      <w:r>
        <w:t xml:space="preserve">To further illustrate this example, </w:t>
      </w:r>
      <w:r w:rsidRPr="00112205" w:rsidR="00112205">
        <w:fldChar w:fldCharType="begin"/>
      </w:r>
      <w:r w:rsidRPr="00112205" w:rsidR="00112205">
        <w:instrText xml:space="preserve"> REF _Ref185209014 \h  \* MERGEFORMAT </w:instrText>
      </w:r>
      <w:r w:rsidRPr="00112205" w:rsidR="00112205">
        <w:fldChar w:fldCharType="separate"/>
      </w:r>
      <w:r w:rsidRPr="00641662" w:rsidR="00E812F0">
        <w:t xml:space="preserve">Table </w:t>
      </w:r>
      <w:r w:rsidRPr="00641662" w:rsidR="00E812F0">
        <w:rPr>
          <w:webHidden/>
        </w:rPr>
        <w:t>A-</w:t>
      </w:r>
      <w:r w:rsidR="00E812F0">
        <w:t>1</w:t>
      </w:r>
      <w:r w:rsidRPr="00641662" w:rsidR="00E812F0">
        <w:noBreakHyphen/>
      </w:r>
      <w:r w:rsidR="00E812F0">
        <w:t>4</w:t>
      </w:r>
      <w:r w:rsidRPr="00112205" w:rsidR="00112205">
        <w:fldChar w:fldCharType="end"/>
      </w:r>
      <w:r w:rsidR="00112205">
        <w:t xml:space="preserve"> </w:t>
      </w:r>
      <w:r w:rsidR="00EF1177">
        <w:t xml:space="preserve">shows the </w:t>
      </w:r>
      <w:r w:rsidR="00B9729F">
        <w:t xml:space="preserve">non-administrative portion of the </w:t>
      </w:r>
      <w:r w:rsidR="00564407">
        <w:t>PAC and TRC costs</w:t>
      </w:r>
      <w:r w:rsidR="009056A9">
        <w:t xml:space="preserve"> for </w:t>
      </w:r>
      <w:r w:rsidR="00D46E10">
        <w:t>direct install and rebate programs</w:t>
      </w:r>
      <w:r w:rsidR="008722A7">
        <w:t xml:space="preserve"> and it is obvious</w:t>
      </w:r>
      <w:r w:rsidR="008A0720">
        <w:t xml:space="preserve"> in </w:t>
      </w:r>
      <w:r w:rsidR="00057951">
        <w:t>Example</w:t>
      </w:r>
      <w:r w:rsidR="001E641D">
        <w:t xml:space="preserve"> 1</w:t>
      </w:r>
      <w:r w:rsidR="00AE67A9">
        <w:t>, the circumstance described above,</w:t>
      </w:r>
      <w:r w:rsidR="008722A7">
        <w:t xml:space="preserve"> that </w:t>
      </w:r>
      <w:r w:rsidR="00FD4142">
        <w:t xml:space="preserve">the TRC costs will be the same </w:t>
      </w:r>
      <w:r w:rsidR="004D42C9">
        <w:t>f</w:t>
      </w:r>
      <w:r w:rsidR="00450376">
        <w:t>o</w:t>
      </w:r>
      <w:r w:rsidR="004D42C9">
        <w:t xml:space="preserve">r the two programs </w:t>
      </w:r>
      <w:r w:rsidR="00FD4142">
        <w:t xml:space="preserve">whereas the </w:t>
      </w:r>
      <w:r w:rsidR="00D560AA">
        <w:t>PAC cost will be larger for the rebate program</w:t>
      </w:r>
      <w:r w:rsidR="00036577">
        <w:t xml:space="preserve"> because the rebate is larger than the measure cost</w:t>
      </w:r>
      <w:r w:rsidR="00ED5C05">
        <w:t>.</w:t>
      </w:r>
      <w:r w:rsidR="00A15F97">
        <w:t xml:space="preserve"> </w:t>
      </w:r>
      <w:r w:rsidR="00BA2316">
        <w:t xml:space="preserve">In </w:t>
      </w:r>
      <w:r w:rsidR="00035845">
        <w:t>Example 1</w:t>
      </w:r>
      <w:r w:rsidR="003800E9">
        <w:t>,</w:t>
      </w:r>
      <w:r w:rsidR="00035845">
        <w:t xml:space="preserve"> the </w:t>
      </w:r>
      <w:r w:rsidR="003637D5">
        <w:t xml:space="preserve">customer </w:t>
      </w:r>
      <w:r w:rsidR="00255DEE">
        <w:t>received an appliance through the direct install program, but they received a</w:t>
      </w:r>
      <w:r w:rsidR="00C60999">
        <w:t xml:space="preserve"> rebate larger than the cost of the appliance </w:t>
      </w:r>
      <w:r w:rsidR="000A4200">
        <w:t>through the rebate program</w:t>
      </w:r>
      <w:r w:rsidR="002840E8">
        <w:t xml:space="preserve"> so </w:t>
      </w:r>
      <w:r w:rsidR="006E593D">
        <w:t xml:space="preserve">the benefit to the customer was not the same </w:t>
      </w:r>
      <w:r w:rsidR="00621558">
        <w:t>for</w:t>
      </w:r>
      <w:r w:rsidR="00F80019">
        <w:t xml:space="preserve"> </w:t>
      </w:r>
      <w:r w:rsidR="000F1F3C">
        <w:t>the two delivery types</w:t>
      </w:r>
      <w:r w:rsidR="00444CFD">
        <w:t xml:space="preserve">. Consider </w:t>
      </w:r>
      <w:r w:rsidR="00811F6E">
        <w:t xml:space="preserve">another example where the rebate is larger than the measure cost. </w:t>
      </w:r>
      <w:r w:rsidR="005C4BDF">
        <w:t xml:space="preserve">In </w:t>
      </w:r>
      <w:r w:rsidR="004F36AC">
        <w:t>Example 2</w:t>
      </w:r>
      <w:r w:rsidR="008927AC">
        <w:t>,</w:t>
      </w:r>
      <w:r w:rsidR="004F36AC">
        <w:t xml:space="preserve"> </w:t>
      </w:r>
      <w:r w:rsidR="00D95DEC">
        <w:t xml:space="preserve">a direct install program installs a </w:t>
      </w:r>
      <w:r w:rsidR="008927AC">
        <w:t>normal replacement (</w:t>
      </w:r>
      <w:r w:rsidR="00D95DEC">
        <w:t>NR</w:t>
      </w:r>
      <w:r w:rsidR="008927AC">
        <w:t>)</w:t>
      </w:r>
      <w:r w:rsidR="00D95DEC">
        <w:t xml:space="preserve"> measure such as a</w:t>
      </w:r>
      <w:r w:rsidR="003D1165">
        <w:t>n air source heat pump</w:t>
      </w:r>
      <w:r w:rsidR="001E73B9">
        <w:t xml:space="preserve"> in a customer</w:t>
      </w:r>
      <w:r w:rsidR="00041A3E">
        <w:t>’</w:t>
      </w:r>
      <w:r w:rsidR="001E73B9">
        <w:t>s home for free</w:t>
      </w:r>
      <w:r w:rsidR="00BB1969">
        <w:t xml:space="preserve"> </w:t>
      </w:r>
      <w:r w:rsidR="004F5CF6">
        <w:t xml:space="preserve">compared to a rebate program that provides a rebate for the full </w:t>
      </w:r>
      <w:r w:rsidR="00C00B83">
        <w:t xml:space="preserve">measure </w:t>
      </w:r>
      <w:r w:rsidR="004F5CF6">
        <w:t>cost</w:t>
      </w:r>
      <w:r w:rsidR="00C00B83">
        <w:t xml:space="preserve"> (FMC)</w:t>
      </w:r>
      <w:r w:rsidR="004F5CF6">
        <w:t xml:space="preserve"> of the </w:t>
      </w:r>
      <w:r w:rsidR="006358AC">
        <w:t>air source heat p</w:t>
      </w:r>
      <w:r w:rsidR="00045240">
        <w:t>ump.</w:t>
      </w:r>
      <w:r w:rsidR="00B87919">
        <w:rPr>
          <w:rStyle w:val="FootnoteReference"/>
        </w:rPr>
        <w:footnoteReference w:id="14"/>
      </w:r>
      <w:r w:rsidR="00045240">
        <w:t xml:space="preserve"> </w:t>
      </w:r>
      <w:r w:rsidR="00A463E2">
        <w:t>The benefit to the customer is the same through these two programs</w:t>
      </w:r>
      <w:r w:rsidR="009C2E23">
        <w:t xml:space="preserve"> and t</w:t>
      </w:r>
      <w:r w:rsidR="00D2261D">
        <w:t xml:space="preserve">hese two delivery methods will result in </w:t>
      </w:r>
      <w:r w:rsidR="008927AC">
        <w:t>equal</w:t>
      </w:r>
      <w:r w:rsidR="00D2261D">
        <w:t xml:space="preserve"> PAC</w:t>
      </w:r>
      <w:r w:rsidR="008927AC">
        <w:t>s</w:t>
      </w:r>
      <w:r w:rsidR="00D2261D">
        <w:t>, but different TRC</w:t>
      </w:r>
      <w:r w:rsidR="008C45DE">
        <w:t xml:space="preserve">s </w:t>
      </w:r>
      <w:r w:rsidR="00CD5BE3">
        <w:t xml:space="preserve">since </w:t>
      </w:r>
      <w:r w:rsidR="007424C2">
        <w:t xml:space="preserve">customer cost </w:t>
      </w:r>
      <w:r w:rsidR="008A6B57">
        <w:t xml:space="preserve">is defined as the </w:t>
      </w:r>
      <w:r w:rsidR="00C00B83">
        <w:t>incremental measure cost (</w:t>
      </w:r>
      <w:r w:rsidR="008A6B57">
        <w:t>IMC</w:t>
      </w:r>
      <w:r w:rsidR="00C00B83">
        <w:t>)</w:t>
      </w:r>
      <w:r w:rsidR="008A6B57">
        <w:t xml:space="preserve"> for NR measures.</w:t>
      </w:r>
    </w:p>
    <w:p w:rsidRPr="00641662" w:rsidR="00BF2298" w:rsidP="00641662" w:rsidRDefault="00E13DE6" w14:paraId="1DB1EED4" w14:textId="2B5CD228">
      <w:pPr>
        <w:pStyle w:val="Caption"/>
      </w:pPr>
      <w:bookmarkStart w:name="_Ref185209014" w:id="32"/>
      <w:bookmarkStart w:name="_Toc185273155" w:id="33"/>
      <w:r w:rsidRPr="00641662">
        <w:lastRenderedPageBreak/>
        <w:t xml:space="preserve">Table </w:t>
      </w:r>
      <w:r w:rsidRPr="00641662">
        <w:rPr>
          <w:webHidden/>
        </w:rPr>
        <w:t>A-</w:t>
      </w:r>
      <w:r w:rsidRPr="00641662">
        <w:fldChar w:fldCharType="begin"/>
      </w:r>
      <w:r w:rsidRPr="00641662">
        <w:instrText>STYLEREF 1 \s</w:instrText>
      </w:r>
      <w:r w:rsidRPr="00641662">
        <w:fldChar w:fldCharType="separate"/>
      </w:r>
      <w:r w:rsidR="00E812F0">
        <w:rPr>
          <w:noProof/>
        </w:rPr>
        <w:t>1</w:t>
      </w:r>
      <w:r w:rsidRPr="00641662">
        <w:fldChar w:fldCharType="end"/>
      </w:r>
      <w:r w:rsidRPr="00641662">
        <w:noBreakHyphen/>
      </w:r>
      <w:r w:rsidRPr="00641662">
        <w:fldChar w:fldCharType="begin"/>
      </w:r>
      <w:r w:rsidRPr="00641662">
        <w:instrText>SEQ Table \* ARABIC \s 1</w:instrText>
      </w:r>
      <w:r w:rsidRPr="00641662">
        <w:fldChar w:fldCharType="separate"/>
      </w:r>
      <w:r w:rsidR="00E812F0">
        <w:rPr>
          <w:noProof/>
        </w:rPr>
        <w:t>4</w:t>
      </w:r>
      <w:r w:rsidRPr="00641662">
        <w:fldChar w:fldCharType="end"/>
      </w:r>
      <w:bookmarkEnd w:id="32"/>
      <w:r w:rsidRPr="00641662">
        <w:t>.</w:t>
      </w:r>
      <w:r w:rsidRPr="00641662" w:rsidR="004161F5">
        <w:t xml:space="preserve"> </w:t>
      </w:r>
      <w:r w:rsidRPr="00641662" w:rsidR="002A26B4">
        <w:t>Non-Administra</w:t>
      </w:r>
      <w:r w:rsidRPr="00641662" w:rsidR="00315C44">
        <w:t xml:space="preserve">tive </w:t>
      </w:r>
      <w:r w:rsidRPr="00641662" w:rsidR="00E92464">
        <w:t xml:space="preserve">PAC and TRC </w:t>
      </w:r>
      <w:r w:rsidRPr="00641662" w:rsidR="006D6C4C">
        <w:t>C</w:t>
      </w:r>
      <w:r w:rsidRPr="00641662" w:rsidR="00E92464">
        <w:t>osts</w:t>
      </w:r>
      <w:r w:rsidRPr="00641662" w:rsidR="00E30F5F">
        <w:t xml:space="preserve"> </w:t>
      </w:r>
      <w:r w:rsidRPr="00641662" w:rsidR="000B19F1">
        <w:t>for</w:t>
      </w:r>
      <w:r w:rsidRPr="00641662" w:rsidR="0086343F">
        <w:t xml:space="preserve"> Example</w:t>
      </w:r>
      <w:r w:rsidRPr="00641662" w:rsidR="00E30F5F">
        <w:t xml:space="preserve"> </w:t>
      </w:r>
      <w:r w:rsidRPr="00641662" w:rsidR="006D6C4C">
        <w:t>D</w:t>
      </w:r>
      <w:r w:rsidRPr="00641662" w:rsidR="003872E6">
        <w:t xml:space="preserve">irect </w:t>
      </w:r>
      <w:r w:rsidRPr="00641662" w:rsidR="00BF52F9">
        <w:t>I</w:t>
      </w:r>
      <w:r w:rsidRPr="00641662" w:rsidR="003872E6">
        <w:t>nstallation</w:t>
      </w:r>
      <w:r w:rsidRPr="00641662" w:rsidR="00E30F5F">
        <w:t xml:space="preserve"> and </w:t>
      </w:r>
      <w:r w:rsidRPr="00641662" w:rsidR="006D6C4C">
        <w:t>R</w:t>
      </w:r>
      <w:r w:rsidRPr="00641662" w:rsidR="00E30F5F">
        <w:t xml:space="preserve">ebate </w:t>
      </w:r>
      <w:r w:rsidRPr="00641662" w:rsidR="006D6C4C">
        <w:t>P</w:t>
      </w:r>
      <w:r w:rsidRPr="00641662" w:rsidR="00E30F5F">
        <w:t>rograms</w:t>
      </w:r>
      <w:bookmarkEnd w:id="33"/>
    </w:p>
    <w:tbl>
      <w:tblPr>
        <w:tblStyle w:val="TableGrid"/>
        <w:tblW w:w="0" w:type="auto"/>
        <w:tblLayout w:type="fixed"/>
        <w:tblCellMar>
          <w:top w:w="14" w:type="dxa"/>
          <w:bottom w:w="14" w:type="dxa"/>
        </w:tblCellMar>
        <w:tblLook w:val="04A0" w:firstRow="1" w:lastRow="0" w:firstColumn="1" w:lastColumn="0" w:noHBand="0" w:noVBand="1"/>
      </w:tblPr>
      <w:tblGrid>
        <w:gridCol w:w="1435"/>
        <w:gridCol w:w="900"/>
        <w:gridCol w:w="2970"/>
        <w:gridCol w:w="4045"/>
      </w:tblGrid>
      <w:tr w:rsidR="0052318A" w:rsidTr="005B18F1" w14:paraId="19B27B51" w14:textId="77777777">
        <w:trPr>
          <w:tblHeader/>
        </w:trPr>
        <w:tc>
          <w:tcPr>
            <w:tcW w:w="1435" w:type="dxa"/>
            <w:vAlign w:val="center"/>
          </w:tcPr>
          <w:p w:rsidRPr="00026C33" w:rsidR="0052318A" w:rsidP="005B18F1" w:rsidRDefault="00026C33" w14:paraId="465F502E" w14:textId="77EA30B3">
            <w:pPr>
              <w:rPr>
                <w:rFonts w:asciiTheme="minorHAnsi" w:hAnsiTheme="minorHAnsi" w:cstheme="minorHAnsi"/>
                <w:b/>
                <w:bCs/>
              </w:rPr>
            </w:pPr>
            <w:r w:rsidRPr="00026C33">
              <w:rPr>
                <w:rFonts w:asciiTheme="minorHAnsi" w:hAnsiTheme="minorHAnsi" w:cstheme="minorHAnsi"/>
                <w:b/>
                <w:bCs/>
              </w:rPr>
              <w:t>Example Number</w:t>
            </w:r>
          </w:p>
        </w:tc>
        <w:tc>
          <w:tcPr>
            <w:tcW w:w="900" w:type="dxa"/>
            <w:vAlign w:val="center"/>
          </w:tcPr>
          <w:p w:rsidRPr="007F1BB0" w:rsidR="0052318A" w:rsidP="005B18F1" w:rsidRDefault="00026C33" w14:paraId="2BBA1D31" w14:textId="277B4775">
            <w:pPr>
              <w:rPr>
                <w:rFonts w:asciiTheme="minorHAnsi" w:hAnsiTheme="minorHAnsi" w:cstheme="minorHAnsi"/>
                <w:b/>
                <w:bCs/>
              </w:rPr>
            </w:pPr>
            <w:r>
              <w:rPr>
                <w:rFonts w:asciiTheme="minorHAnsi" w:hAnsiTheme="minorHAnsi" w:cstheme="minorHAnsi"/>
                <w:b/>
                <w:bCs/>
              </w:rPr>
              <w:t>Test</w:t>
            </w:r>
            <w:r w:rsidR="003A3112">
              <w:rPr>
                <w:rFonts w:asciiTheme="minorHAnsi" w:hAnsiTheme="minorHAnsi" w:cstheme="minorHAnsi"/>
                <w:b/>
                <w:bCs/>
              </w:rPr>
              <w:t xml:space="preserve"> Type</w:t>
            </w:r>
          </w:p>
        </w:tc>
        <w:tc>
          <w:tcPr>
            <w:tcW w:w="2970" w:type="dxa"/>
            <w:vAlign w:val="center"/>
          </w:tcPr>
          <w:p w:rsidRPr="007F1BB0" w:rsidR="0052318A" w:rsidP="005B18F1" w:rsidRDefault="0052318A" w14:paraId="5193CCAD" w14:textId="4062DCB7">
            <w:pPr>
              <w:rPr>
                <w:rFonts w:asciiTheme="minorHAnsi" w:hAnsiTheme="minorHAnsi" w:cstheme="minorHAnsi"/>
                <w:b/>
                <w:bCs/>
              </w:rPr>
            </w:pPr>
            <w:r w:rsidRPr="007F1BB0">
              <w:rPr>
                <w:rFonts w:asciiTheme="minorHAnsi" w:hAnsiTheme="minorHAnsi" w:cstheme="minorHAnsi"/>
                <w:b/>
                <w:bCs/>
              </w:rPr>
              <w:t>Direct Installation</w:t>
            </w:r>
            <w:r>
              <w:rPr>
                <w:rFonts w:asciiTheme="minorHAnsi" w:hAnsiTheme="minorHAnsi" w:cstheme="minorHAnsi"/>
                <w:b/>
                <w:bCs/>
              </w:rPr>
              <w:t xml:space="preserve"> Cost</w:t>
            </w:r>
          </w:p>
        </w:tc>
        <w:tc>
          <w:tcPr>
            <w:tcW w:w="4045" w:type="dxa"/>
            <w:vAlign w:val="center"/>
          </w:tcPr>
          <w:p w:rsidRPr="007F1BB0" w:rsidR="0052318A" w:rsidP="005B18F1" w:rsidRDefault="0052318A" w14:paraId="2E1FEC21" w14:textId="056C5021">
            <w:pPr>
              <w:rPr>
                <w:rFonts w:asciiTheme="minorHAnsi" w:hAnsiTheme="minorHAnsi" w:cstheme="minorHAnsi"/>
                <w:b/>
                <w:bCs/>
              </w:rPr>
            </w:pPr>
            <w:r w:rsidRPr="007F1BB0">
              <w:rPr>
                <w:rFonts w:asciiTheme="minorHAnsi" w:hAnsiTheme="minorHAnsi" w:cstheme="minorHAnsi"/>
                <w:b/>
                <w:bCs/>
              </w:rPr>
              <w:t>Rebate</w:t>
            </w:r>
            <w:r>
              <w:rPr>
                <w:rFonts w:asciiTheme="minorHAnsi" w:hAnsiTheme="minorHAnsi" w:cstheme="minorHAnsi"/>
                <w:b/>
                <w:bCs/>
              </w:rPr>
              <w:t xml:space="preserve"> Cost</w:t>
            </w:r>
          </w:p>
        </w:tc>
      </w:tr>
      <w:tr w:rsidR="0052318A" w:rsidTr="005B18F1" w14:paraId="6154BFE5" w14:textId="77777777">
        <w:tc>
          <w:tcPr>
            <w:tcW w:w="1435" w:type="dxa"/>
          </w:tcPr>
          <w:p w:rsidRPr="007F1BB0" w:rsidR="0052318A" w:rsidP="004921CA" w:rsidRDefault="0052318A" w14:paraId="6F319748" w14:textId="50D3852E">
            <w:pPr>
              <w:rPr>
                <w:rFonts w:asciiTheme="minorHAnsi" w:hAnsiTheme="minorHAnsi" w:cstheme="minorHAnsi"/>
              </w:rPr>
            </w:pPr>
            <w:r w:rsidRPr="007F1BB0">
              <w:rPr>
                <w:rFonts w:asciiTheme="minorHAnsi" w:hAnsiTheme="minorHAnsi" w:cstheme="minorHAnsi"/>
              </w:rPr>
              <w:t>Example 1</w:t>
            </w:r>
          </w:p>
        </w:tc>
        <w:tc>
          <w:tcPr>
            <w:tcW w:w="900" w:type="dxa"/>
          </w:tcPr>
          <w:p w:rsidRPr="007F1BB0" w:rsidR="0052318A" w:rsidP="004921CA" w:rsidRDefault="00026C33" w14:paraId="13A92397" w14:textId="37029CB5">
            <w:pPr>
              <w:rPr>
                <w:rFonts w:asciiTheme="minorHAnsi" w:hAnsiTheme="minorHAnsi" w:cstheme="minorHAnsi"/>
              </w:rPr>
            </w:pPr>
            <w:r>
              <w:rPr>
                <w:rFonts w:asciiTheme="minorHAnsi" w:hAnsiTheme="minorHAnsi" w:cstheme="minorHAnsi"/>
              </w:rPr>
              <w:t>PAC</w:t>
            </w:r>
          </w:p>
        </w:tc>
        <w:tc>
          <w:tcPr>
            <w:tcW w:w="2970" w:type="dxa"/>
          </w:tcPr>
          <w:p w:rsidRPr="007F1BB0" w:rsidR="0052318A" w:rsidP="004921CA" w:rsidRDefault="0052318A" w14:paraId="5C85A296" w14:textId="57A5EE05">
            <w:pPr>
              <w:rPr>
                <w:rFonts w:asciiTheme="minorHAnsi" w:hAnsiTheme="minorHAnsi" w:cstheme="minorHAnsi"/>
              </w:rPr>
            </w:pPr>
            <w:r w:rsidRPr="007F1BB0">
              <w:rPr>
                <w:rFonts w:asciiTheme="minorHAnsi" w:hAnsiTheme="minorHAnsi" w:cstheme="minorHAnsi"/>
              </w:rPr>
              <w:t>Program paid measure cost</w:t>
            </w:r>
          </w:p>
        </w:tc>
        <w:tc>
          <w:tcPr>
            <w:tcW w:w="4045" w:type="dxa"/>
          </w:tcPr>
          <w:p w:rsidRPr="007F1BB0" w:rsidR="0052318A" w:rsidP="004921CA" w:rsidRDefault="0052318A" w14:paraId="0DBB3108" w14:textId="66F4240D">
            <w:pPr>
              <w:rPr>
                <w:rFonts w:asciiTheme="minorHAnsi" w:hAnsiTheme="minorHAnsi" w:cstheme="minorHAnsi"/>
              </w:rPr>
            </w:pPr>
            <w:r w:rsidRPr="007F1BB0">
              <w:rPr>
                <w:rFonts w:asciiTheme="minorHAnsi" w:hAnsiTheme="minorHAnsi" w:cstheme="minorHAnsi"/>
              </w:rPr>
              <w:t>Program paid rebate (greater than measure cost)</w:t>
            </w:r>
          </w:p>
        </w:tc>
      </w:tr>
      <w:tr w:rsidR="0052318A" w:rsidTr="005B18F1" w14:paraId="4AD3AE67" w14:textId="77777777">
        <w:tc>
          <w:tcPr>
            <w:tcW w:w="1435" w:type="dxa"/>
          </w:tcPr>
          <w:p w:rsidRPr="007F1BB0" w:rsidR="0052318A" w:rsidP="004921CA" w:rsidRDefault="0052318A" w14:paraId="0B5292AE" w14:textId="645E60BF">
            <w:pPr>
              <w:rPr>
                <w:rFonts w:asciiTheme="minorHAnsi" w:hAnsiTheme="minorHAnsi" w:cstheme="minorHAnsi"/>
              </w:rPr>
            </w:pPr>
            <w:r w:rsidRPr="007F1BB0">
              <w:rPr>
                <w:rFonts w:asciiTheme="minorHAnsi" w:hAnsiTheme="minorHAnsi" w:cstheme="minorHAnsi"/>
              </w:rPr>
              <w:t>Example 1</w:t>
            </w:r>
          </w:p>
        </w:tc>
        <w:tc>
          <w:tcPr>
            <w:tcW w:w="900" w:type="dxa"/>
          </w:tcPr>
          <w:p w:rsidRPr="007F1BB0" w:rsidR="0052318A" w:rsidP="004921CA" w:rsidRDefault="00026C33" w14:paraId="1EC67702" w14:textId="6BF360C6">
            <w:pPr>
              <w:rPr>
                <w:rFonts w:asciiTheme="minorHAnsi" w:hAnsiTheme="minorHAnsi" w:cstheme="minorHAnsi"/>
              </w:rPr>
            </w:pPr>
            <w:r>
              <w:rPr>
                <w:rFonts w:asciiTheme="minorHAnsi" w:hAnsiTheme="minorHAnsi" w:cstheme="minorHAnsi"/>
              </w:rPr>
              <w:t>TRC</w:t>
            </w:r>
          </w:p>
        </w:tc>
        <w:tc>
          <w:tcPr>
            <w:tcW w:w="2970" w:type="dxa"/>
          </w:tcPr>
          <w:p w:rsidRPr="007F1BB0" w:rsidR="0052318A" w:rsidP="004921CA" w:rsidRDefault="0052318A" w14:paraId="79D1D28F" w14:textId="01791FD2">
            <w:pPr>
              <w:rPr>
                <w:rFonts w:asciiTheme="minorHAnsi" w:hAnsiTheme="minorHAnsi" w:cstheme="minorHAnsi"/>
              </w:rPr>
            </w:pPr>
            <w:r w:rsidRPr="007F1BB0">
              <w:rPr>
                <w:rFonts w:asciiTheme="minorHAnsi" w:hAnsiTheme="minorHAnsi" w:cstheme="minorHAnsi"/>
              </w:rPr>
              <w:t>Program paid measure cost</w:t>
            </w:r>
          </w:p>
        </w:tc>
        <w:tc>
          <w:tcPr>
            <w:tcW w:w="4045" w:type="dxa"/>
          </w:tcPr>
          <w:p w:rsidRPr="007F1BB0" w:rsidR="0052318A" w:rsidP="004921CA" w:rsidRDefault="0052318A" w14:paraId="01879E61" w14:textId="4D21FDA9">
            <w:pPr>
              <w:rPr>
                <w:rFonts w:asciiTheme="minorHAnsi" w:hAnsiTheme="minorHAnsi" w:cstheme="minorHAnsi"/>
              </w:rPr>
            </w:pPr>
            <w:r w:rsidRPr="007F1BB0">
              <w:rPr>
                <w:rFonts w:asciiTheme="minorHAnsi" w:hAnsiTheme="minorHAnsi" w:cstheme="minorHAnsi"/>
              </w:rPr>
              <w:t>Customer paid measure cost</w:t>
            </w:r>
          </w:p>
        </w:tc>
      </w:tr>
      <w:tr w:rsidR="0052318A" w:rsidTr="005B18F1" w14:paraId="13765659" w14:textId="77777777">
        <w:tc>
          <w:tcPr>
            <w:tcW w:w="1435" w:type="dxa"/>
          </w:tcPr>
          <w:p w:rsidRPr="007F1BB0" w:rsidR="0052318A" w:rsidP="00AB0283" w:rsidRDefault="0052318A" w14:paraId="72286269" w14:textId="3E75E2FE">
            <w:pPr>
              <w:rPr>
                <w:rFonts w:asciiTheme="minorHAnsi" w:hAnsiTheme="minorHAnsi" w:cstheme="minorHAnsi"/>
              </w:rPr>
            </w:pPr>
            <w:r w:rsidRPr="007F1BB0">
              <w:rPr>
                <w:rFonts w:asciiTheme="minorHAnsi" w:hAnsiTheme="minorHAnsi" w:cstheme="minorHAnsi"/>
              </w:rPr>
              <w:t>Example 2</w:t>
            </w:r>
          </w:p>
        </w:tc>
        <w:tc>
          <w:tcPr>
            <w:tcW w:w="900" w:type="dxa"/>
          </w:tcPr>
          <w:p w:rsidRPr="007F1BB0" w:rsidR="0052318A" w:rsidP="00AB0283" w:rsidRDefault="00026C33" w14:paraId="29BC1175" w14:textId="46B7637C">
            <w:pPr>
              <w:rPr>
                <w:rFonts w:asciiTheme="minorHAnsi" w:hAnsiTheme="minorHAnsi" w:cstheme="minorHAnsi"/>
              </w:rPr>
            </w:pPr>
            <w:r>
              <w:rPr>
                <w:rFonts w:asciiTheme="minorHAnsi" w:hAnsiTheme="minorHAnsi" w:cstheme="minorHAnsi"/>
              </w:rPr>
              <w:t>PAC</w:t>
            </w:r>
          </w:p>
        </w:tc>
        <w:tc>
          <w:tcPr>
            <w:tcW w:w="2970" w:type="dxa"/>
          </w:tcPr>
          <w:p w:rsidRPr="007F1BB0" w:rsidR="0052318A" w:rsidP="00AB0283" w:rsidRDefault="0052318A" w14:paraId="12545899" w14:textId="5EA637EB">
            <w:pPr>
              <w:rPr>
                <w:rFonts w:asciiTheme="minorHAnsi" w:hAnsiTheme="minorHAnsi" w:cstheme="minorHAnsi"/>
              </w:rPr>
            </w:pPr>
            <w:r w:rsidRPr="007F1BB0">
              <w:rPr>
                <w:rFonts w:asciiTheme="minorHAnsi" w:hAnsiTheme="minorHAnsi" w:cstheme="minorHAnsi"/>
              </w:rPr>
              <w:t>Program paid FMC</w:t>
            </w:r>
          </w:p>
        </w:tc>
        <w:tc>
          <w:tcPr>
            <w:tcW w:w="4045" w:type="dxa"/>
          </w:tcPr>
          <w:p w:rsidRPr="007F1BB0" w:rsidR="0052318A" w:rsidP="00AB0283" w:rsidRDefault="0052318A" w14:paraId="48D7A233" w14:textId="448FB3F2">
            <w:pPr>
              <w:rPr>
                <w:rFonts w:asciiTheme="minorHAnsi" w:hAnsiTheme="minorHAnsi" w:cstheme="minorHAnsi"/>
              </w:rPr>
            </w:pPr>
            <w:r w:rsidRPr="007F1BB0">
              <w:rPr>
                <w:rFonts w:asciiTheme="minorHAnsi" w:hAnsiTheme="minorHAnsi" w:cstheme="minorHAnsi"/>
              </w:rPr>
              <w:t>Program paid rebate = FMC</w:t>
            </w:r>
          </w:p>
        </w:tc>
      </w:tr>
      <w:tr w:rsidR="0052318A" w:rsidTr="005B18F1" w14:paraId="25A99FAC" w14:textId="77777777">
        <w:tc>
          <w:tcPr>
            <w:tcW w:w="1435" w:type="dxa"/>
          </w:tcPr>
          <w:p w:rsidRPr="007F1BB0" w:rsidR="0052318A" w:rsidP="00AB0283" w:rsidRDefault="0052318A" w14:paraId="15D50C9A" w14:textId="41361BF7">
            <w:pPr>
              <w:rPr>
                <w:rFonts w:asciiTheme="minorHAnsi" w:hAnsiTheme="minorHAnsi" w:cstheme="minorHAnsi"/>
              </w:rPr>
            </w:pPr>
            <w:r w:rsidRPr="007F1BB0">
              <w:rPr>
                <w:rFonts w:asciiTheme="minorHAnsi" w:hAnsiTheme="minorHAnsi" w:cstheme="minorHAnsi"/>
              </w:rPr>
              <w:t>Example 2</w:t>
            </w:r>
          </w:p>
        </w:tc>
        <w:tc>
          <w:tcPr>
            <w:tcW w:w="900" w:type="dxa"/>
          </w:tcPr>
          <w:p w:rsidRPr="007F1BB0" w:rsidR="0052318A" w:rsidP="00AB0283" w:rsidRDefault="00026C33" w14:paraId="5D7EE49D" w14:textId="0075528E">
            <w:pPr>
              <w:rPr>
                <w:rFonts w:asciiTheme="minorHAnsi" w:hAnsiTheme="minorHAnsi" w:cstheme="minorHAnsi"/>
              </w:rPr>
            </w:pPr>
            <w:r>
              <w:rPr>
                <w:rFonts w:asciiTheme="minorHAnsi" w:hAnsiTheme="minorHAnsi" w:cstheme="minorHAnsi"/>
              </w:rPr>
              <w:t>TRC</w:t>
            </w:r>
          </w:p>
        </w:tc>
        <w:tc>
          <w:tcPr>
            <w:tcW w:w="2970" w:type="dxa"/>
          </w:tcPr>
          <w:p w:rsidRPr="007F1BB0" w:rsidR="0052318A" w:rsidP="00AB0283" w:rsidRDefault="0052318A" w14:paraId="29511EA1" w14:textId="0FC396DA">
            <w:pPr>
              <w:rPr>
                <w:rFonts w:asciiTheme="minorHAnsi" w:hAnsiTheme="minorHAnsi" w:cstheme="minorHAnsi"/>
              </w:rPr>
            </w:pPr>
            <w:r w:rsidRPr="007F1BB0">
              <w:rPr>
                <w:rFonts w:asciiTheme="minorHAnsi" w:hAnsiTheme="minorHAnsi" w:cstheme="minorHAnsi"/>
              </w:rPr>
              <w:t>Program paid FMC</w:t>
            </w:r>
          </w:p>
        </w:tc>
        <w:tc>
          <w:tcPr>
            <w:tcW w:w="4045" w:type="dxa"/>
          </w:tcPr>
          <w:p w:rsidRPr="007F1BB0" w:rsidR="0052318A" w:rsidP="00AB0283" w:rsidRDefault="0052318A" w14:paraId="2810C02F" w14:textId="334D323D">
            <w:pPr>
              <w:rPr>
                <w:rFonts w:asciiTheme="minorHAnsi" w:hAnsiTheme="minorHAnsi" w:cstheme="minorHAnsi"/>
              </w:rPr>
            </w:pPr>
            <w:r w:rsidRPr="007F1BB0">
              <w:rPr>
                <w:rFonts w:asciiTheme="minorHAnsi" w:hAnsiTheme="minorHAnsi" w:cstheme="minorHAnsi"/>
              </w:rPr>
              <w:t>Customer paid IMC</w:t>
            </w:r>
          </w:p>
        </w:tc>
      </w:tr>
    </w:tbl>
    <w:p w:rsidR="0043649C" w:rsidP="004921CA" w:rsidRDefault="0043649C" w14:paraId="6054DDD4" w14:textId="77777777"/>
    <w:p w:rsidRPr="000C037F" w:rsidR="00A0336D" w:rsidP="004921CA" w:rsidRDefault="00DC4333" w14:paraId="46A76295" w14:textId="1236E7BA">
      <w:r>
        <w:t>D</w:t>
      </w:r>
      <w:r w:rsidR="004A1903">
        <w:t xml:space="preserve">ecision </w:t>
      </w:r>
      <w:r w:rsidR="00761533">
        <w:t xml:space="preserve">07-09-043 reiterated </w:t>
      </w:r>
      <w:r w:rsidR="001446FD">
        <w:t>on p</w:t>
      </w:r>
      <w:r w:rsidR="00853D79">
        <w:t>age</w:t>
      </w:r>
      <w:r w:rsidR="00C51443">
        <w:t xml:space="preserve"> </w:t>
      </w:r>
      <w:r w:rsidR="00C734EC">
        <w:t xml:space="preserve">160 </w:t>
      </w:r>
      <w:r w:rsidR="00723A90">
        <w:t xml:space="preserve">that </w:t>
      </w:r>
      <w:r w:rsidR="00001D27">
        <w:t xml:space="preserve">direct install </w:t>
      </w:r>
      <w:r w:rsidR="00120C47">
        <w:t xml:space="preserve">programs and customer rebate programs </w:t>
      </w:r>
      <w:r w:rsidR="003F1D35">
        <w:t>are treated consistently</w:t>
      </w:r>
      <w:r w:rsidR="006E5100">
        <w:t xml:space="preserve"> with respect to the cost effectiveness tests</w:t>
      </w:r>
      <w:r w:rsidR="00856707">
        <w:t xml:space="preserve"> except in </w:t>
      </w:r>
      <w:r w:rsidR="00356777">
        <w:t>limited instances</w:t>
      </w:r>
      <w:r w:rsidR="004852D5">
        <w:t xml:space="preserve"> where the cash rebate to the customer exceeds the measure installation cost.</w:t>
      </w:r>
    </w:p>
    <w:p w:rsidRPr="000C037F" w:rsidR="004921CA" w:rsidP="004921CA" w:rsidRDefault="004921CA" w14:paraId="0261A602" w14:textId="2F8FF6C2">
      <w:r>
        <w:t>Rebates and incentives are treated differently in the CET in two ways. 1) Rebates are transfer payments that are not included as costs in the Total Resource Cost (TRC) test so only rebate payments to free riders are included in the TRC denominator (cost term)</w:t>
      </w:r>
      <w:r>
        <w:rPr>
          <w:rStyle w:val="FootnoteReference"/>
        </w:rPr>
        <w:footnoteReference w:id="15"/>
      </w:r>
      <w:r>
        <w:t xml:space="preserve">; and 2) rebates and incentives are treated differently in the “excess incentives” term </w:t>
      </w:r>
      <w:r w:rsidR="006F048F">
        <w:t xml:space="preserve">which does not apply to rebates </w:t>
      </w:r>
      <w:r>
        <w:t xml:space="preserve">because </w:t>
      </w:r>
      <w:r w:rsidR="002B78D5">
        <w:t>a rebate larger than the measure cost is allowed</w:t>
      </w:r>
      <w:r w:rsidR="002610CC">
        <w:t xml:space="preserve">. </w:t>
      </w:r>
      <w:r w:rsidR="00811A10">
        <w:t xml:space="preserve">Now that the CET is </w:t>
      </w:r>
      <w:r w:rsidR="00E41D3D">
        <w:t>programmed in a database</w:t>
      </w:r>
      <w:r w:rsidR="00CC4423">
        <w:t xml:space="preserve"> where </w:t>
      </w:r>
      <w:r w:rsidR="00513E4A">
        <w:t>validation</w:t>
      </w:r>
      <w:r w:rsidR="00997490">
        <w:t xml:space="preserve"> </w:t>
      </w:r>
      <w:r w:rsidR="001E3001">
        <w:t>can be applied to field entries</w:t>
      </w:r>
      <w:r w:rsidR="00903A24">
        <w:t>,</w:t>
      </w:r>
      <w:r w:rsidR="001D5B76">
        <w:t xml:space="preserve"> the “excess incentive” term may be removed and replaced </w:t>
      </w:r>
      <w:r w:rsidR="009E245E">
        <w:t xml:space="preserve">by </w:t>
      </w:r>
      <w:r w:rsidR="00903A24">
        <w:t xml:space="preserve">a </w:t>
      </w:r>
      <w:r w:rsidR="00FA71A3">
        <w:t xml:space="preserve">validation ensuring that </w:t>
      </w:r>
      <w:r w:rsidR="002546FD">
        <w:t>in</w:t>
      </w:r>
      <w:r w:rsidR="004962E7">
        <w:t>centive fields are not larger than the measure cost.</w:t>
      </w:r>
      <w:r>
        <w:t>Rebates and incentives are also treated differently in the guidance document “CPUC Guidance Requiring and Addendum to Measure Package Documenting Rebate Greater than Incremental Measure Cost” which applies to rebates and not to incentives.</w:t>
      </w:r>
      <w:r>
        <w:rPr>
          <w:rStyle w:val="FootnoteReference"/>
        </w:rPr>
        <w:footnoteReference w:id="16"/>
      </w:r>
    </w:p>
    <w:p w:rsidRPr="000C037F" w:rsidR="000C037F" w:rsidP="00771DA4" w:rsidRDefault="008E625A" w14:paraId="63EFA800" w14:textId="24E2A414">
      <w:pPr>
        <w:pStyle w:val="Heading3"/>
      </w:pPr>
      <w:bookmarkStart w:name="_Toc185271162" w:id="34"/>
      <w:bookmarkStart w:name="_Hlk163490419" w:id="35"/>
      <w:r>
        <w:t xml:space="preserve">(B.6) </w:t>
      </w:r>
      <w:r w:rsidRPr="000C037F" w:rsidR="000C037F">
        <w:t xml:space="preserve">Clarification of Deemed Measure Cost </w:t>
      </w:r>
      <w:r w:rsidR="00133BFB">
        <w:t xml:space="preserve">and Incentive </w:t>
      </w:r>
      <w:r w:rsidRPr="000C037F" w:rsidR="000C037F">
        <w:t>Reporting to CEDARS</w:t>
      </w:r>
      <w:bookmarkEnd w:id="34"/>
    </w:p>
    <w:p w:rsidRPr="000C037F" w:rsidR="002C6267" w:rsidP="003E77E2" w:rsidRDefault="002C6267" w14:paraId="7AEAABFD" w14:textId="72491682">
      <w:r w:rsidRPr="000C037F">
        <w:rPr>
          <w:u w:val="single"/>
        </w:rPr>
        <w:t>Effective Program Year: 202</w:t>
      </w:r>
      <w:r w:rsidR="00D41EE1">
        <w:rPr>
          <w:u w:val="single"/>
        </w:rPr>
        <w:t>6</w:t>
      </w:r>
      <w:r w:rsidRPr="000C037F">
        <w:t xml:space="preserve">. </w:t>
      </w:r>
      <w:r w:rsidR="006678FD">
        <w:t xml:space="preserve">This section offers clarification for reporting of costs and incentives in CEDARS and the Cost Effectiveness Tool (CET).  </w:t>
      </w:r>
      <w:r>
        <w:t xml:space="preserve">This is not a change in </w:t>
      </w:r>
      <w:r>
        <w:lastRenderedPageBreak/>
        <w:t xml:space="preserve">policy, but it is a clarification to align CET inputs with policy stated in D.06-06-063, D.07-09-043 and D.08-01-006. </w:t>
      </w:r>
    </w:p>
    <w:p w:rsidR="00333ACF" w:rsidP="002C6267" w:rsidRDefault="002C6267" w14:paraId="06F32C79" w14:textId="42BDCAD6">
      <w:r>
        <w:t xml:space="preserve">The CET inputs </w:t>
      </w:r>
      <w:r w:rsidR="009C15AB">
        <w:t>“</w:t>
      </w:r>
      <w:r w:rsidRPr="0021568D">
        <w:t>UnitDirectInstallLab</w:t>
      </w:r>
      <w:r w:rsidR="009C15AB">
        <w:t>”</w:t>
      </w:r>
      <w:r>
        <w:t xml:space="preserve"> and </w:t>
      </w:r>
      <w:r w:rsidR="009C15AB">
        <w:t>“</w:t>
      </w:r>
      <w:r w:rsidRPr="0021568D">
        <w:t>UnitDirectInstall</w:t>
      </w:r>
      <w:r>
        <w:t>Mat</w:t>
      </w:r>
      <w:r w:rsidR="009C15AB">
        <w:t>”</w:t>
      </w:r>
      <w:r>
        <w:t xml:space="preserve"> are not labor and materials costs, but are the incentives paid by the utility </w:t>
      </w:r>
      <w:r w:rsidR="008E74C4">
        <w:t>or its agent</w:t>
      </w:r>
      <w:r>
        <w:t xml:space="preserve"> toward the labor and materials costs for directly installed measures. </w:t>
      </w:r>
      <w:r w:rsidR="00EF1B58">
        <w:t xml:space="preserve">A </w:t>
      </w:r>
      <w:r w:rsidR="00D950F6">
        <w:t>direct</w:t>
      </w:r>
      <w:r w:rsidR="0020095F">
        <w:t xml:space="preserve"> install program </w:t>
      </w:r>
      <w:r w:rsidR="00EF1B58">
        <w:t xml:space="preserve">customer co-pay field will be added to the CET for clarity </w:t>
      </w:r>
      <w:r w:rsidR="00526DDF">
        <w:t>so</w:t>
      </w:r>
      <w:r w:rsidR="00FA7B9B">
        <w:t xml:space="preserve"> the following calculations can be performed within the CET. </w:t>
      </w:r>
      <w:r w:rsidR="00D12CBA">
        <w:t xml:space="preserve">For application types that use the full measure cost (FMC) namely </w:t>
      </w:r>
      <w:r w:rsidR="007209A6">
        <w:t>add-on equipment (</w:t>
      </w:r>
      <w:r w:rsidR="00D12CBA">
        <w:t>AOE</w:t>
      </w:r>
      <w:r w:rsidR="007209A6">
        <w:t>)</w:t>
      </w:r>
      <w:r w:rsidR="00D12CBA">
        <w:t xml:space="preserve">, </w:t>
      </w:r>
      <w:r w:rsidR="001721DC">
        <w:t>building weatherization (</w:t>
      </w:r>
      <w:r w:rsidR="00D12CBA">
        <w:t>BW</w:t>
      </w:r>
      <w:r w:rsidR="001721DC">
        <w:t>),</w:t>
      </w:r>
      <w:r w:rsidR="00D12CBA">
        <w:t xml:space="preserve"> and </w:t>
      </w:r>
      <w:r w:rsidR="001721DC">
        <w:t>behavioral, retrocommissioning, and operational (</w:t>
      </w:r>
      <w:r w:rsidR="00D12CBA">
        <w:t>BRO</w:t>
      </w:r>
      <w:r w:rsidR="001721DC">
        <w:t>)</w:t>
      </w:r>
      <w:r w:rsidR="00D12CBA">
        <w:t xml:space="preserve"> measure application types, t</w:t>
      </w:r>
      <w:r>
        <w:t xml:space="preserve">he customer co-pay </w:t>
      </w:r>
      <w:r w:rsidR="00C57FA6">
        <w:t xml:space="preserve">will </w:t>
      </w:r>
      <w:r>
        <w:t xml:space="preserve">be subtracted from the </w:t>
      </w:r>
      <w:r w:rsidR="00F873B4">
        <w:t>measure</w:t>
      </w:r>
      <w:r>
        <w:t xml:space="preserve"> costs to arrive at the direct install labor and materials incentives. </w:t>
      </w:r>
      <w:bookmarkStart w:name="_Hlk179148016" w:id="36"/>
      <w:r w:rsidR="00E50655">
        <w:t xml:space="preserve">For incremental measure cost (IMC) or accelerated replacement measure cost (ARC) application types, namely </w:t>
      </w:r>
      <w:r w:rsidR="00B4107E">
        <w:t>new construction (</w:t>
      </w:r>
      <w:r w:rsidR="00E50655">
        <w:t>NC</w:t>
      </w:r>
      <w:r w:rsidR="00B4107E">
        <w:t>)</w:t>
      </w:r>
      <w:r w:rsidR="00E50655">
        <w:t xml:space="preserve">, NR, and AR measure application types, any customer co-pay higher than the baseline </w:t>
      </w:r>
      <w:r w:rsidR="00430FDB">
        <w:t xml:space="preserve">measure </w:t>
      </w:r>
      <w:r w:rsidR="00E50655">
        <w:t>cost (FMC-IMC or FMC-ARC</w:t>
      </w:r>
      <w:r w:rsidR="00E50655">
        <w:rPr>
          <w:rStyle w:val="FootnoteReference"/>
        </w:rPr>
        <w:footnoteReference w:id="17"/>
      </w:r>
      <w:r w:rsidR="00E50655">
        <w:t xml:space="preserve">) </w:t>
      </w:r>
      <w:r w:rsidR="00927404">
        <w:t xml:space="preserve">will </w:t>
      </w:r>
      <w:r w:rsidR="00E50655">
        <w:t xml:space="preserve">be subtracted from the </w:t>
      </w:r>
      <w:r w:rsidR="0056478A">
        <w:t>IMC or ARC</w:t>
      </w:r>
      <w:r w:rsidR="00E50655">
        <w:t xml:space="preserve"> to arrive at the direct install labor and materials incentives</w:t>
      </w:r>
      <w:r w:rsidR="009B09FF">
        <w:t>.</w:t>
      </w:r>
      <w:bookmarkEnd w:id="36"/>
      <w:r>
        <w:t xml:space="preserve"> </w:t>
      </w:r>
      <w:r w:rsidR="00CB6442">
        <w:t>Once the co-pay field has been added</w:t>
      </w:r>
      <w:r w:rsidR="00F64BE3">
        <w:t xml:space="preserve"> to the CET</w:t>
      </w:r>
      <w:r w:rsidR="00F35A19">
        <w:t>,</w:t>
      </w:r>
      <w:r w:rsidR="00F64BE3">
        <w:t xml:space="preserve"> </w:t>
      </w:r>
      <w:r w:rsidR="00B46B44">
        <w:t>direct install programs will report all costs at the program level</w:t>
      </w:r>
      <w:r w:rsidR="009F29E6">
        <w:t xml:space="preserve">. The CET will </w:t>
      </w:r>
      <w:r w:rsidR="006D1775">
        <w:t xml:space="preserve">be modified to allocate </w:t>
      </w:r>
      <w:r w:rsidR="000F0E6A">
        <w:t>measure level incentives</w:t>
      </w:r>
      <w:r w:rsidR="005D73D1">
        <w:t xml:space="preserve"> from those program costs</w:t>
      </w:r>
      <w:r w:rsidR="00097C52">
        <w:t xml:space="preserve"> according to the </w:t>
      </w:r>
      <w:r w:rsidR="008F7D54">
        <w:t>logic above</w:t>
      </w:r>
      <w:r w:rsidR="00732C80">
        <w:t xml:space="preserve"> and then allocate the </w:t>
      </w:r>
      <w:r w:rsidR="00781492">
        <w:t>remaining program costs</w:t>
      </w:r>
      <w:r w:rsidR="002D7258">
        <w:t xml:space="preserve"> </w:t>
      </w:r>
      <w:r w:rsidR="00492F7E">
        <w:t xml:space="preserve">using the current </w:t>
      </w:r>
      <w:r w:rsidR="00F65892">
        <w:t>savings</w:t>
      </w:r>
      <w:r w:rsidR="006372B3">
        <w:t>-</w:t>
      </w:r>
      <w:r w:rsidR="00F65892">
        <w:t xml:space="preserve">weighted </w:t>
      </w:r>
      <w:r w:rsidR="003F6D68">
        <w:t>method</w:t>
      </w:r>
      <w:r w:rsidR="00B54A6A">
        <w:t>.</w:t>
      </w:r>
      <w:r w:rsidR="007D69F3">
        <w:t xml:space="preserve"> </w:t>
      </w:r>
    </w:p>
    <w:p w:rsidR="002C6267" w:rsidP="002C6267" w:rsidRDefault="00BB3BB1" w14:paraId="17D51148" w14:textId="7778080E">
      <w:r>
        <w:t xml:space="preserve">Measure package </w:t>
      </w:r>
      <w:r w:rsidR="00410BCE">
        <w:t>measure costs</w:t>
      </w:r>
      <w:r w:rsidR="006F3B5A">
        <w:t>,</w:t>
      </w:r>
      <w:r w:rsidR="00410BCE">
        <w:t xml:space="preserve"> </w:t>
      </w:r>
      <w:r w:rsidR="00BA7E09">
        <w:t xml:space="preserve">FMC </w:t>
      </w:r>
      <w:r w:rsidR="00796608">
        <w:t>and IMC</w:t>
      </w:r>
      <w:r w:rsidR="006F3B5A">
        <w:t>,</w:t>
      </w:r>
      <w:r w:rsidR="00796608">
        <w:t xml:space="preserve"> </w:t>
      </w:r>
      <w:r w:rsidR="003D62E6">
        <w:t>should be entered</w:t>
      </w:r>
      <w:r w:rsidR="007512C2">
        <w:t xml:space="preserve"> into </w:t>
      </w:r>
      <w:r w:rsidR="006F3B5A">
        <w:t xml:space="preserve">the CET fields </w:t>
      </w:r>
      <w:r w:rsidR="006B1F38">
        <w:t>“</w:t>
      </w:r>
      <w:r w:rsidRPr="000F3471" w:rsidR="000F3471">
        <w:t>UnitMeaCost1stBaseline</w:t>
      </w:r>
      <w:r w:rsidR="006B1F38">
        <w:t>”</w:t>
      </w:r>
      <w:r w:rsidRPr="000F3471" w:rsidR="000F3471">
        <w:t xml:space="preserve"> and</w:t>
      </w:r>
      <w:r w:rsidR="006F77C8">
        <w:t>, where applicable,</w:t>
      </w:r>
      <w:r w:rsidRPr="000F3471" w:rsidR="000F3471">
        <w:t xml:space="preserve"> </w:t>
      </w:r>
      <w:r w:rsidR="006B1F38">
        <w:t>“</w:t>
      </w:r>
      <w:r w:rsidRPr="000F3471" w:rsidR="000F3471">
        <w:t>UnitMeaCost2ndBaseline</w:t>
      </w:r>
      <w:r w:rsidR="006B1F38">
        <w:t>”</w:t>
      </w:r>
      <w:r w:rsidRPr="000F3471" w:rsidR="000F3471">
        <w:t xml:space="preserve"> fields </w:t>
      </w:r>
      <w:r w:rsidR="006D75E5">
        <w:t xml:space="preserve">for all </w:t>
      </w:r>
      <w:r w:rsidR="005E0E23">
        <w:t>measures regardless of delivery type</w:t>
      </w:r>
      <w:r w:rsidR="00BF2856">
        <w:t xml:space="preserve"> according to </w:t>
      </w:r>
      <w:r w:rsidR="009B729A">
        <w:t xml:space="preserve">the existing rules. </w:t>
      </w:r>
      <w:r w:rsidR="00175C6D">
        <w:t xml:space="preserve">The </w:t>
      </w:r>
      <w:r w:rsidR="00DF4BFB">
        <w:t>“</w:t>
      </w:r>
      <w:r w:rsidR="009023F9">
        <w:t>UnitMeaCost1stBaseline</w:t>
      </w:r>
      <w:r w:rsidR="00DF4BFB">
        <w:t>”</w:t>
      </w:r>
      <w:r w:rsidR="009023F9">
        <w:t xml:space="preserve"> </w:t>
      </w:r>
      <w:r w:rsidR="00175C6D">
        <w:t>field contains</w:t>
      </w:r>
      <w:r w:rsidR="007103FA">
        <w:t xml:space="preserve"> the </w:t>
      </w:r>
      <w:r w:rsidR="002E54CB">
        <w:t xml:space="preserve">FMC for </w:t>
      </w:r>
      <w:r w:rsidR="005166B2">
        <w:t xml:space="preserve">AR, </w:t>
      </w:r>
      <w:r w:rsidR="00AA7937">
        <w:t>AOE, BW</w:t>
      </w:r>
      <w:r w:rsidR="00DF4BFB">
        <w:t>,</w:t>
      </w:r>
      <w:r w:rsidR="00AA7937">
        <w:t xml:space="preserve"> and BRO measure application types</w:t>
      </w:r>
      <w:r w:rsidR="003961D2">
        <w:t xml:space="preserve"> </w:t>
      </w:r>
      <w:r w:rsidR="00430D31">
        <w:t>whereas</w:t>
      </w:r>
      <w:r w:rsidR="003961D2">
        <w:t xml:space="preserve"> it </w:t>
      </w:r>
      <w:r w:rsidR="007A13C2">
        <w:t>contains</w:t>
      </w:r>
      <w:r w:rsidR="003961D2">
        <w:t xml:space="preserve"> the IMC for </w:t>
      </w:r>
      <w:r w:rsidR="00383C4B">
        <w:t>NC and NR measure application types.</w:t>
      </w:r>
      <w:r w:rsidR="00EF20BA">
        <w:t xml:space="preserve"> </w:t>
      </w:r>
      <w:r w:rsidR="00430D31">
        <w:t>“</w:t>
      </w:r>
      <w:r w:rsidR="00A02B0C">
        <w:t>UnitMeaCost2ndBaseline</w:t>
      </w:r>
      <w:r w:rsidR="00430D31">
        <w:t>”</w:t>
      </w:r>
      <w:r w:rsidRPr="00644F44" w:rsidR="00644F44">
        <w:t xml:space="preserve"> </w:t>
      </w:r>
      <w:r w:rsidR="00644F44">
        <w:t>is only used for AR measure application type</w:t>
      </w:r>
      <w:r w:rsidR="00B80EB4">
        <w:t>s and should be populated with the IMC only for those measures.</w:t>
      </w:r>
    </w:p>
    <w:p w:rsidRPr="000C037F" w:rsidR="002C6267" w:rsidP="002C6267" w:rsidRDefault="002C6267" w14:paraId="6404C11C" w14:textId="07F49B3F">
      <w:r>
        <w:t xml:space="preserve">The CET input </w:t>
      </w:r>
      <w:r w:rsidR="00430D31">
        <w:t>“</w:t>
      </w:r>
      <w:r>
        <w:t>UnitIncentiveToOthers</w:t>
      </w:r>
      <w:r w:rsidR="00430D31">
        <w:t>”</w:t>
      </w:r>
      <w:r>
        <w:t xml:space="preserve"> is a per-measure incentive </w:t>
      </w:r>
      <w:r w:rsidRPr="00420A36">
        <w:t xml:space="preserve">to </w:t>
      </w:r>
      <w:r>
        <w:t xml:space="preserve">a </w:t>
      </w:r>
      <w:r w:rsidRPr="00420A36">
        <w:t>retailer</w:t>
      </w:r>
      <w:r>
        <w:t xml:space="preserve">, </w:t>
      </w:r>
      <w:r w:rsidRPr="00420A36">
        <w:t>distributor</w:t>
      </w:r>
      <w:r>
        <w:t xml:space="preserve">, </w:t>
      </w:r>
      <w:r w:rsidRPr="00420A36">
        <w:t>dealer</w:t>
      </w:r>
      <w:r>
        <w:t xml:space="preserve">, or </w:t>
      </w:r>
      <w:r w:rsidRPr="00420A36">
        <w:t xml:space="preserve">manufacturer that </w:t>
      </w:r>
      <w:r>
        <w:t xml:space="preserve">directly </w:t>
      </w:r>
      <w:r w:rsidRPr="00420A36">
        <w:t xml:space="preserve">reduces the customer cost </w:t>
      </w:r>
      <w:r>
        <w:t>to purchase the</w:t>
      </w:r>
      <w:r w:rsidRPr="00420A36">
        <w:t xml:space="preserve"> measure</w:t>
      </w:r>
      <w:r>
        <w:t xml:space="preserve">. Any incentives that do not reduce customer costs </w:t>
      </w:r>
      <w:r w:rsidR="00091FD6">
        <w:t>(</w:t>
      </w:r>
      <w:r w:rsidR="00482DFC">
        <w:t>s</w:t>
      </w:r>
      <w:r w:rsidR="002642AD">
        <w:t xml:space="preserve">uch as </w:t>
      </w:r>
      <w:r w:rsidR="001538D5">
        <w:t xml:space="preserve">payments to </w:t>
      </w:r>
      <w:r w:rsidR="001538D5">
        <w:lastRenderedPageBreak/>
        <w:t xml:space="preserve">distributers to </w:t>
      </w:r>
      <w:r w:rsidR="003902A4">
        <w:t>stock shelves with energy effici</w:t>
      </w:r>
      <w:r w:rsidR="00153E7D">
        <w:t>ent appliances</w:t>
      </w:r>
      <w:r w:rsidR="00DD2C8C">
        <w:t xml:space="preserve">, </w:t>
      </w:r>
      <w:r w:rsidR="007001EC">
        <w:t xml:space="preserve">or payments to sales </w:t>
      </w:r>
      <w:r w:rsidR="0072734B">
        <w:t>associates</w:t>
      </w:r>
      <w:r w:rsidR="002341EE">
        <w:t xml:space="preserve"> to promote energy </w:t>
      </w:r>
      <w:r w:rsidR="00153E7D">
        <w:t>efficient appliances</w:t>
      </w:r>
      <w:r w:rsidR="00482DFC">
        <w:t xml:space="preserve">) </w:t>
      </w:r>
      <w:r>
        <w:t xml:space="preserve">must be reported as program costs in the </w:t>
      </w:r>
      <w:r w:rsidR="00094949">
        <w:t>“</w:t>
      </w:r>
      <w:r>
        <w:t>UserInputIncentive</w:t>
      </w:r>
      <w:r w:rsidR="00094949">
        <w:t>”</w:t>
      </w:r>
      <w:r>
        <w:t xml:space="preserve"> field.</w:t>
      </w:r>
      <w:r w:rsidR="00E55EBA">
        <w:t xml:space="preserve"> </w:t>
      </w:r>
      <w:r w:rsidR="003042CC">
        <w:t xml:space="preserve"> </w:t>
      </w:r>
      <w:r w:rsidR="00E55EBA">
        <w:t>Incentives to upstream and midstream program implementers must be split between those that reduce the customer measure cost and those that do not.</w:t>
      </w:r>
      <w:r w:rsidR="00832F7B">
        <w:t xml:space="preserve">  </w:t>
      </w:r>
      <w:bookmarkStart w:name="_Hlk179148075" w:id="37"/>
      <w:r w:rsidR="00832F7B">
        <w:t xml:space="preserve">If the program administrator cannot show that the incentive paid to a </w:t>
      </w:r>
      <w:r w:rsidR="0028033C">
        <w:t xml:space="preserve">third party </w:t>
      </w:r>
      <w:r w:rsidR="00832F7B">
        <w:t>reduces the customer’s cost to purchase the measure</w:t>
      </w:r>
      <w:r w:rsidR="006D71F1">
        <w:t>,</w:t>
      </w:r>
      <w:r w:rsidR="00832F7B">
        <w:t xml:space="preserve"> then it cannot be reported in the </w:t>
      </w:r>
      <w:r w:rsidR="00094949">
        <w:t>“</w:t>
      </w:r>
      <w:r w:rsidR="00832F7B">
        <w:t>UnitIncentiveToOthers</w:t>
      </w:r>
      <w:r w:rsidR="00094949">
        <w:t>”</w:t>
      </w:r>
      <w:r w:rsidR="00832F7B">
        <w:t xml:space="preserve"> field in CEDARS.</w:t>
      </w:r>
      <w:bookmarkEnd w:id="37"/>
    </w:p>
    <w:p w:rsidRPr="000C037F" w:rsidR="000C037F" w:rsidP="00F9552D" w:rsidRDefault="002D6FA2" w14:paraId="6D92815C" w14:textId="3CCDD861">
      <w:pPr>
        <w:pStyle w:val="Heading3"/>
      </w:pPr>
      <w:bookmarkStart w:name="_Toc185271163" w:id="38"/>
      <w:bookmarkEnd w:id="35"/>
      <w:r>
        <w:t xml:space="preserve">(B.7) </w:t>
      </w:r>
      <w:r w:rsidRPr="000C037F" w:rsidR="000C037F">
        <w:t>Peak Load Definition</w:t>
      </w:r>
      <w:bookmarkEnd w:id="38"/>
    </w:p>
    <w:p w:rsidRPr="000C037F" w:rsidR="000C037F" w:rsidP="000C037F" w:rsidRDefault="000C037F" w14:paraId="28798F8C" w14:textId="180C5B07">
      <w:r w:rsidRPr="000C037F">
        <w:rPr>
          <w:u w:val="single"/>
        </w:rPr>
        <w:t>Effective Program Year: 202</w:t>
      </w:r>
      <w:r w:rsidR="00F5395D">
        <w:rPr>
          <w:u w:val="single"/>
        </w:rPr>
        <w:t>8</w:t>
      </w:r>
      <w:r w:rsidRPr="000C037F">
        <w:t>. Resolution E-5152 DEER2023 Update made an inadvertent error in the definition of a heat wave, originally defined in D.06-06-063.</w:t>
      </w:r>
      <w:r w:rsidRPr="000C037F">
        <w:rPr>
          <w:vertAlign w:val="superscript"/>
        </w:rPr>
        <w:footnoteReference w:id="18"/>
      </w:r>
      <w:r w:rsidRPr="000C037F">
        <w:t xml:space="preserve"> The error was made in the Attachment on page A-12 </w:t>
      </w:r>
      <w:r w:rsidR="008C2FD5">
        <w:t xml:space="preserve">and A-13 in </w:t>
      </w:r>
      <w:r w:rsidRPr="000C037F">
        <w:t xml:space="preserve">Section A3-3 “Peak demand period definition update”. </w:t>
      </w:r>
      <w:r w:rsidR="008C2FD5">
        <w:t>The text</w:t>
      </w:r>
      <w:r w:rsidRPr="000C037F">
        <w:t xml:space="preserve"> is corrected as follows with red text added:</w:t>
      </w:r>
    </w:p>
    <w:p w:rsidRPr="000C037F" w:rsidR="000C037F" w:rsidP="000C037F" w:rsidRDefault="000C037F" w14:paraId="5A84C1B4" w14:textId="77777777">
      <w:r w:rsidRPr="000C037F">
        <w:t>The heat wave has the highest index value computed by adding and giving equal weight to each of these values:</w:t>
      </w:r>
    </w:p>
    <w:p w:rsidRPr="000C037F" w:rsidR="000C037F" w:rsidP="00F9552D" w:rsidRDefault="000C037F" w14:paraId="3207FA0C" w14:textId="13122EB8">
      <w:pPr>
        <w:pStyle w:val="ListParagraph"/>
      </w:pPr>
      <w:r w:rsidRPr="000C037F">
        <w:t xml:space="preserve">The peak temperature over the </w:t>
      </w:r>
      <w:r w:rsidRPr="000C037F" w:rsidR="00867267">
        <w:t>three</w:t>
      </w:r>
      <w:r w:rsidR="00867267">
        <w:t>-</w:t>
      </w:r>
      <w:r w:rsidRPr="000C037F">
        <w:t>day period</w:t>
      </w:r>
    </w:p>
    <w:p w:rsidRPr="000C037F" w:rsidR="000C037F" w:rsidP="00F9552D" w:rsidRDefault="000C037F" w14:paraId="77106829" w14:textId="2F27D6A7">
      <w:pPr>
        <w:pStyle w:val="ListParagraph"/>
      </w:pPr>
      <w:r w:rsidRPr="000C037F">
        <w:t>Average temperature over the three</w:t>
      </w:r>
      <w:r w:rsidR="00F23B08">
        <w:t>-</w:t>
      </w:r>
      <w:r w:rsidRPr="000C037F">
        <w:t>day period</w:t>
      </w:r>
    </w:p>
    <w:p w:rsidR="000C037F" w:rsidP="00F9552D" w:rsidRDefault="000C037F" w14:paraId="4B78E9E0" w14:textId="07A1B6C2">
      <w:pPr>
        <w:pStyle w:val="ListParagraph"/>
      </w:pPr>
      <w:r w:rsidRPr="000C037F">
        <w:t xml:space="preserve">The average temperature from </w:t>
      </w:r>
      <w:r w:rsidRPr="00801FB4" w:rsidR="00801FB4">
        <w:rPr>
          <w:strike/>
        </w:rPr>
        <w:t>4 p.m.</w:t>
      </w:r>
      <w:r w:rsidR="00801FB4">
        <w:t xml:space="preserve"> </w:t>
      </w:r>
      <w:r w:rsidRPr="00801FB4">
        <w:rPr>
          <w:color w:val="FF0000"/>
        </w:rPr>
        <w:t xml:space="preserve">noon </w:t>
      </w:r>
      <w:r w:rsidRPr="000C037F">
        <w:t>to</w:t>
      </w:r>
      <w:r w:rsidR="00801FB4">
        <w:t xml:space="preserve"> </w:t>
      </w:r>
      <w:r w:rsidRPr="00801FB4" w:rsidR="00801FB4">
        <w:rPr>
          <w:strike/>
        </w:rPr>
        <w:t>9 p.m.</w:t>
      </w:r>
      <w:r w:rsidRPr="000C037F">
        <w:t xml:space="preserve"> </w:t>
      </w:r>
      <w:r w:rsidRPr="00801FB4">
        <w:rPr>
          <w:color w:val="FF0000"/>
        </w:rPr>
        <w:t xml:space="preserve">6 p.m. </w:t>
      </w:r>
      <w:r w:rsidRPr="000C037F">
        <w:t>over the three-day period</w:t>
      </w:r>
    </w:p>
    <w:p w:rsidR="00733F1C" w:rsidP="00733F1C" w:rsidRDefault="00733F1C" w14:paraId="42C93255" w14:textId="2EFCCA2D">
      <w:r>
        <w:t xml:space="preserve">The criteria above are used to determine which days to use for determining the peak demand. Using the corrected definition the </w:t>
      </w:r>
      <w:r w:rsidR="0088495C">
        <w:t>heat wave start</w:t>
      </w:r>
      <w:r>
        <w:t xml:space="preserve"> day changes for CZ06 from 9/2 to 6/29, CZ09 from 9/1 to 9/2 and CZ11 from 6/29 to 8/12. </w:t>
      </w:r>
      <w:r w:rsidR="00C14886">
        <w:t>The corrected table from E-5152</w:t>
      </w:r>
      <w:r w:rsidR="00246376">
        <w:t xml:space="preserve"> is shown as </w:t>
      </w:r>
      <w:r w:rsidR="00A85398">
        <w:fldChar w:fldCharType="begin"/>
      </w:r>
      <w:r w:rsidR="00A85398">
        <w:instrText xml:space="preserve"> REF _Ref185208968 \h </w:instrText>
      </w:r>
      <w:r w:rsidR="00A85398">
        <w:fldChar w:fldCharType="separate"/>
      </w:r>
      <w:r w:rsidRPr="000C037F" w:rsidR="00E812F0">
        <w:t xml:space="preserve">Table </w:t>
      </w:r>
      <w:r w:rsidRPr="00B50D07" w:rsidR="00E812F0">
        <w:rPr>
          <w:webHidden/>
        </w:rPr>
        <w:t>A-</w:t>
      </w:r>
      <w:r w:rsidR="00E812F0">
        <w:rPr>
          <w:noProof/>
        </w:rPr>
        <w:t>1</w:t>
      </w:r>
      <w:r w:rsidRPr="000C037F" w:rsidR="00E812F0">
        <w:noBreakHyphen/>
      </w:r>
      <w:r w:rsidR="00E812F0">
        <w:rPr>
          <w:noProof/>
        </w:rPr>
        <w:t>5</w:t>
      </w:r>
      <w:r w:rsidR="00A85398">
        <w:fldChar w:fldCharType="end"/>
      </w:r>
      <w:r w:rsidR="00246376">
        <w:t>.</w:t>
      </w:r>
    </w:p>
    <w:p w:rsidRPr="000C037F" w:rsidR="00EE4B70" w:rsidP="00EE4B70" w:rsidRDefault="00EE4B70" w14:paraId="095D3D1B" w14:textId="11372AE5">
      <w:pPr>
        <w:pStyle w:val="Caption"/>
      </w:pPr>
      <w:bookmarkStart w:name="_Ref185208968" w:id="39"/>
      <w:bookmarkStart w:name="_Toc185273156" w:id="40"/>
      <w:r w:rsidRPr="000C037F">
        <w:lastRenderedPageBreak/>
        <w:t xml:space="preserve">Table </w:t>
      </w:r>
      <w:r w:rsidRPr="00B50D07">
        <w:rPr>
          <w:webHidden/>
        </w:rPr>
        <w:t>A-</w:t>
      </w:r>
      <w:r>
        <w:fldChar w:fldCharType="begin"/>
      </w:r>
      <w:r>
        <w:instrText>STYLEREF 1 \s</w:instrText>
      </w:r>
      <w:r>
        <w:fldChar w:fldCharType="separate"/>
      </w:r>
      <w:r w:rsidR="00E812F0">
        <w:rPr>
          <w:noProof/>
        </w:rPr>
        <w:t>1</w:t>
      </w:r>
      <w:r>
        <w:fldChar w:fldCharType="end"/>
      </w:r>
      <w:r w:rsidRPr="000C037F">
        <w:noBreakHyphen/>
      </w:r>
      <w:r>
        <w:fldChar w:fldCharType="begin"/>
      </w:r>
      <w:r>
        <w:instrText>SEQ Table \* ARABIC \s 1</w:instrText>
      </w:r>
      <w:r>
        <w:fldChar w:fldCharType="separate"/>
      </w:r>
      <w:r w:rsidR="00E812F0">
        <w:rPr>
          <w:noProof/>
        </w:rPr>
        <w:t>5</w:t>
      </w:r>
      <w:r>
        <w:fldChar w:fldCharType="end"/>
      </w:r>
      <w:bookmarkEnd w:id="39"/>
      <w:r w:rsidRPr="000C037F">
        <w:t xml:space="preserve">. </w:t>
      </w:r>
      <w:r>
        <w:t xml:space="preserve">Updated </w:t>
      </w:r>
      <w:r w:rsidR="00862D0C">
        <w:t>E-5152 Table A-3-2</w:t>
      </w:r>
      <w:r w:rsidR="00155CFB">
        <w:t xml:space="preserve">. Comparison of CZ2010 and CZ2022 </w:t>
      </w:r>
      <w:r w:rsidR="000E4011">
        <w:t>P</w:t>
      </w:r>
      <w:r w:rsidR="00155CFB">
        <w:t xml:space="preserve">eak </w:t>
      </w:r>
      <w:r w:rsidR="000E4011">
        <w:t>D</w:t>
      </w:r>
      <w:r w:rsidR="00155CFB">
        <w:t xml:space="preserve">emand </w:t>
      </w:r>
      <w:r w:rsidR="000E4011">
        <w:t>P</w:t>
      </w:r>
      <w:r w:rsidR="00155CFB">
        <w:t xml:space="preserve">eriod </w:t>
      </w:r>
      <w:r w:rsidR="000E4011">
        <w:t>S</w:t>
      </w:r>
      <w:r w:rsidR="00155CFB">
        <w:t>tart</w:t>
      </w:r>
      <w:r w:rsidR="0030203B">
        <w:t>ing</w:t>
      </w:r>
      <w:r w:rsidR="00123080">
        <w:t xml:space="preserve"> </w:t>
      </w:r>
      <w:r w:rsidR="000E4011">
        <w:t>D</w:t>
      </w:r>
      <w:r w:rsidR="00155CFB">
        <w:t>ates</w:t>
      </w:r>
      <w:bookmarkEnd w:id="40"/>
    </w:p>
    <w:tbl>
      <w:tblPr>
        <w:tblW w:w="9333" w:type="dxa"/>
        <w:tblInd w:w="-118" w:type="dxa"/>
        <w:tblBorders>
          <w:top w:val="single" w:color="808080" w:themeColor="background1" w:themeShade="80" w:sz="8" w:space="0"/>
          <w:left w:val="single" w:color="808080" w:themeColor="background1" w:themeShade="80" w:sz="8" w:space="0"/>
          <w:bottom w:val="single" w:color="808080" w:themeColor="background1" w:themeShade="80" w:sz="8" w:space="0"/>
          <w:right w:val="single" w:color="808080" w:themeColor="background1" w:themeShade="80" w:sz="8" w:space="0"/>
          <w:insideH w:val="single" w:color="808080" w:themeColor="background1" w:themeShade="80" w:sz="8" w:space="0"/>
          <w:insideV w:val="single" w:color="808080" w:themeColor="background1" w:themeShade="80" w:sz="8" w:space="0"/>
        </w:tblBorders>
        <w:tblLayout w:type="fixed"/>
        <w:tblCellMar>
          <w:top w:w="14" w:type="dxa"/>
          <w:left w:w="72" w:type="dxa"/>
          <w:bottom w:w="14" w:type="dxa"/>
          <w:right w:w="72" w:type="dxa"/>
        </w:tblCellMar>
        <w:tblLook w:val="04A0" w:firstRow="1" w:lastRow="0" w:firstColumn="1" w:lastColumn="0" w:noHBand="0" w:noVBand="1"/>
      </w:tblPr>
      <w:tblGrid>
        <w:gridCol w:w="980"/>
        <w:gridCol w:w="575"/>
        <w:gridCol w:w="434"/>
        <w:gridCol w:w="864"/>
        <w:gridCol w:w="1152"/>
        <w:gridCol w:w="1152"/>
        <w:gridCol w:w="576"/>
        <w:gridCol w:w="432"/>
        <w:gridCol w:w="864"/>
        <w:gridCol w:w="1152"/>
        <w:gridCol w:w="1152"/>
      </w:tblGrid>
      <w:tr w:rsidRPr="00E20D4D" w:rsidR="003034B3" w14:paraId="5C512A3B" w14:textId="77777777">
        <w:trPr>
          <w:trHeight w:val="385"/>
          <w:tblHeader/>
        </w:trPr>
        <w:tc>
          <w:tcPr>
            <w:tcW w:w="980" w:type="dxa"/>
            <w:vMerge w:val="restart"/>
            <w:shd w:val="clear" w:color="auto" w:fill="auto"/>
            <w:vAlign w:val="center"/>
            <w:hideMark/>
          </w:tcPr>
          <w:p w:rsidRPr="007F1BB0" w:rsidR="003034B3" w:rsidRDefault="003034B3" w14:paraId="7025BF34" w14:textId="77777777">
            <w:pPr>
              <w:keepNext/>
              <w:spacing w:after="0" w:line="240" w:lineRule="auto"/>
              <w:jc w:val="center"/>
              <w:rPr>
                <w:rFonts w:eastAsia="Times New Roman" w:asciiTheme="minorHAnsi" w:hAnsiTheme="minorHAnsi" w:cstheme="minorHAnsi"/>
                <w:b/>
                <w:color w:val="000000"/>
                <w:szCs w:val="24"/>
              </w:rPr>
            </w:pPr>
            <w:r w:rsidRPr="007F1BB0">
              <w:rPr>
                <w:rFonts w:eastAsia="Times New Roman" w:asciiTheme="minorHAnsi" w:hAnsiTheme="minorHAnsi" w:cstheme="minorHAnsi"/>
                <w:b/>
                <w:color w:val="000000"/>
                <w:szCs w:val="24"/>
              </w:rPr>
              <w:t>Climate Zone</w:t>
            </w:r>
          </w:p>
        </w:tc>
        <w:tc>
          <w:tcPr>
            <w:tcW w:w="4177" w:type="dxa"/>
            <w:gridSpan w:val="5"/>
            <w:shd w:val="clear" w:color="auto" w:fill="009FDA" w:themeFill="accent5"/>
            <w:noWrap/>
            <w:vAlign w:val="center"/>
            <w:hideMark/>
          </w:tcPr>
          <w:p w:rsidRPr="007F1BB0" w:rsidR="003034B3" w:rsidRDefault="003034B3" w14:paraId="7325167D" w14:textId="77777777">
            <w:pPr>
              <w:keepNext/>
              <w:spacing w:after="0" w:line="240" w:lineRule="auto"/>
              <w:jc w:val="center"/>
              <w:rPr>
                <w:rFonts w:eastAsia="Times New Roman" w:asciiTheme="minorHAnsi" w:hAnsiTheme="minorHAnsi" w:cstheme="minorHAnsi"/>
                <w:b/>
                <w:color w:val="FFFFFF" w:themeColor="background1"/>
                <w:szCs w:val="24"/>
              </w:rPr>
            </w:pPr>
            <w:r w:rsidRPr="007F1BB0">
              <w:rPr>
                <w:rFonts w:eastAsia="Times New Roman" w:asciiTheme="minorHAnsi" w:hAnsiTheme="minorHAnsi" w:cstheme="minorHAnsi"/>
                <w:b/>
                <w:color w:val="FFFFFF" w:themeColor="background1"/>
                <w:szCs w:val="24"/>
              </w:rPr>
              <w:t>CZ2010 (Title 24 2013) Weather Files</w:t>
            </w:r>
          </w:p>
        </w:tc>
        <w:tc>
          <w:tcPr>
            <w:tcW w:w="4176" w:type="dxa"/>
            <w:gridSpan w:val="5"/>
            <w:shd w:val="clear" w:color="auto" w:fill="3F9C35" w:themeFill="accent2"/>
            <w:noWrap/>
            <w:vAlign w:val="center"/>
            <w:hideMark/>
          </w:tcPr>
          <w:p w:rsidRPr="007F1BB0" w:rsidR="003034B3" w:rsidRDefault="003034B3" w14:paraId="70DCA920" w14:textId="77777777">
            <w:pPr>
              <w:keepNext/>
              <w:spacing w:after="0" w:line="240" w:lineRule="auto"/>
              <w:jc w:val="center"/>
              <w:rPr>
                <w:rFonts w:eastAsia="Times New Roman" w:asciiTheme="minorHAnsi" w:hAnsiTheme="minorHAnsi" w:cstheme="minorHAnsi"/>
                <w:b/>
                <w:color w:val="FFFFFF" w:themeColor="background1"/>
                <w:szCs w:val="24"/>
              </w:rPr>
            </w:pPr>
            <w:r w:rsidRPr="007F1BB0">
              <w:rPr>
                <w:rFonts w:eastAsia="Times New Roman" w:asciiTheme="minorHAnsi" w:hAnsiTheme="minorHAnsi" w:cstheme="minorHAnsi"/>
                <w:b/>
                <w:color w:val="FFFFFF" w:themeColor="background1"/>
                <w:szCs w:val="24"/>
              </w:rPr>
              <w:t>CZ2022 (Title 24 2022) Weather Files</w:t>
            </w:r>
          </w:p>
        </w:tc>
      </w:tr>
      <w:tr w:rsidRPr="00E20D4D" w:rsidR="003034B3" w14:paraId="15C2DFD7" w14:textId="77777777">
        <w:trPr>
          <w:trHeight w:val="288"/>
          <w:tblHeader/>
        </w:trPr>
        <w:tc>
          <w:tcPr>
            <w:tcW w:w="980" w:type="dxa"/>
            <w:vMerge/>
            <w:vAlign w:val="center"/>
            <w:hideMark/>
          </w:tcPr>
          <w:p w:rsidRPr="007F1BB0" w:rsidR="003034B3" w:rsidRDefault="003034B3" w14:paraId="30CE1225" w14:textId="77777777">
            <w:pPr>
              <w:keepNext/>
              <w:spacing w:after="0" w:line="240" w:lineRule="auto"/>
              <w:rPr>
                <w:rFonts w:eastAsia="Times New Roman" w:asciiTheme="minorHAnsi" w:hAnsiTheme="minorHAnsi" w:cstheme="minorHAnsi"/>
                <w:b/>
                <w:color w:val="000000"/>
                <w:szCs w:val="24"/>
              </w:rPr>
            </w:pPr>
          </w:p>
        </w:tc>
        <w:tc>
          <w:tcPr>
            <w:tcW w:w="1009" w:type="dxa"/>
            <w:gridSpan w:val="2"/>
            <w:vMerge w:val="restart"/>
            <w:shd w:val="clear" w:color="auto" w:fill="009FDA" w:themeFill="accent5"/>
            <w:noWrap/>
            <w:vAlign w:val="center"/>
            <w:hideMark/>
          </w:tcPr>
          <w:p w:rsidRPr="007F1BB0" w:rsidR="003034B3" w:rsidRDefault="003034B3" w14:paraId="6C9AE0D1" w14:textId="77777777">
            <w:pPr>
              <w:keepNext/>
              <w:spacing w:after="0" w:line="240" w:lineRule="auto"/>
              <w:jc w:val="center"/>
              <w:rPr>
                <w:rFonts w:eastAsia="Times New Roman" w:asciiTheme="minorHAnsi" w:hAnsiTheme="minorHAnsi" w:cstheme="minorHAnsi"/>
                <w:b/>
                <w:color w:val="FFFFFF" w:themeColor="background1"/>
                <w:szCs w:val="24"/>
              </w:rPr>
            </w:pPr>
            <w:r w:rsidRPr="007F1BB0">
              <w:rPr>
                <w:rFonts w:eastAsia="Times New Roman" w:asciiTheme="minorHAnsi" w:hAnsiTheme="minorHAnsi" w:cstheme="minorHAnsi"/>
                <w:b/>
                <w:color w:val="FFFFFF" w:themeColor="background1"/>
                <w:szCs w:val="24"/>
              </w:rPr>
              <w:t>Start Date</w:t>
            </w:r>
          </w:p>
        </w:tc>
        <w:tc>
          <w:tcPr>
            <w:tcW w:w="864" w:type="dxa"/>
            <w:vMerge w:val="restart"/>
            <w:shd w:val="clear" w:color="auto" w:fill="009FDA" w:themeFill="accent5"/>
            <w:vAlign w:val="center"/>
            <w:hideMark/>
          </w:tcPr>
          <w:p w:rsidRPr="007F1BB0" w:rsidR="003034B3" w:rsidRDefault="003034B3" w14:paraId="0CAFA7CB" w14:textId="77777777">
            <w:pPr>
              <w:keepNext/>
              <w:spacing w:after="0" w:line="240" w:lineRule="auto"/>
              <w:jc w:val="center"/>
              <w:rPr>
                <w:rFonts w:eastAsia="Times New Roman" w:asciiTheme="minorHAnsi" w:hAnsiTheme="minorHAnsi" w:cstheme="minorHAnsi"/>
                <w:b/>
                <w:color w:val="FFFFFF" w:themeColor="background1"/>
                <w:szCs w:val="24"/>
              </w:rPr>
            </w:pPr>
            <w:r w:rsidRPr="007F1BB0">
              <w:rPr>
                <w:rFonts w:eastAsia="Times New Roman" w:asciiTheme="minorHAnsi" w:hAnsiTheme="minorHAnsi" w:cstheme="minorHAnsi"/>
                <w:b/>
                <w:color w:val="FFFFFF" w:themeColor="background1"/>
                <w:szCs w:val="24"/>
              </w:rPr>
              <w:t>Week-day</w:t>
            </w:r>
          </w:p>
        </w:tc>
        <w:tc>
          <w:tcPr>
            <w:tcW w:w="2304" w:type="dxa"/>
            <w:gridSpan w:val="2"/>
            <w:shd w:val="clear" w:color="auto" w:fill="009FDA" w:themeFill="accent5"/>
            <w:vAlign w:val="center"/>
            <w:hideMark/>
          </w:tcPr>
          <w:p w:rsidRPr="007F1BB0" w:rsidR="003034B3" w:rsidRDefault="003034B3" w14:paraId="49C4BF95" w14:textId="77777777">
            <w:pPr>
              <w:keepNext/>
              <w:spacing w:after="0" w:line="240" w:lineRule="auto"/>
              <w:jc w:val="center"/>
              <w:rPr>
                <w:rFonts w:eastAsia="Times New Roman" w:asciiTheme="minorHAnsi" w:hAnsiTheme="minorHAnsi" w:cstheme="minorHAnsi"/>
                <w:b/>
                <w:color w:val="FFFFFF" w:themeColor="background1"/>
                <w:szCs w:val="24"/>
              </w:rPr>
            </w:pPr>
            <w:r w:rsidRPr="007F1BB0">
              <w:rPr>
                <w:rFonts w:eastAsia="Times New Roman" w:asciiTheme="minorHAnsi" w:hAnsiTheme="minorHAnsi" w:cstheme="minorHAnsi"/>
                <w:b/>
                <w:color w:val="FFFFFF" w:themeColor="background1"/>
                <w:szCs w:val="24"/>
              </w:rPr>
              <w:t>Temperature (°F)</w:t>
            </w:r>
          </w:p>
        </w:tc>
        <w:tc>
          <w:tcPr>
            <w:tcW w:w="1008" w:type="dxa"/>
            <w:gridSpan w:val="2"/>
            <w:vMerge w:val="restart"/>
            <w:shd w:val="clear" w:color="auto" w:fill="3F9C35" w:themeFill="accent2"/>
            <w:vAlign w:val="center"/>
            <w:hideMark/>
          </w:tcPr>
          <w:p w:rsidRPr="007F1BB0" w:rsidR="003034B3" w:rsidRDefault="003034B3" w14:paraId="1BF690BF" w14:textId="77777777">
            <w:pPr>
              <w:keepNext/>
              <w:spacing w:after="0" w:line="240" w:lineRule="auto"/>
              <w:jc w:val="center"/>
              <w:rPr>
                <w:rFonts w:eastAsia="Times New Roman" w:asciiTheme="minorHAnsi" w:hAnsiTheme="minorHAnsi" w:cstheme="minorHAnsi"/>
                <w:b/>
                <w:color w:val="FFFFFF" w:themeColor="background1"/>
                <w:szCs w:val="24"/>
              </w:rPr>
            </w:pPr>
            <w:r w:rsidRPr="007F1BB0">
              <w:rPr>
                <w:rFonts w:eastAsia="Times New Roman" w:asciiTheme="minorHAnsi" w:hAnsiTheme="minorHAnsi" w:cstheme="minorHAnsi"/>
                <w:b/>
                <w:color w:val="FFFFFF" w:themeColor="background1"/>
                <w:szCs w:val="24"/>
              </w:rPr>
              <w:t>Start Date</w:t>
            </w:r>
          </w:p>
        </w:tc>
        <w:tc>
          <w:tcPr>
            <w:tcW w:w="864" w:type="dxa"/>
            <w:vMerge w:val="restart"/>
            <w:shd w:val="clear" w:color="auto" w:fill="3F9C35" w:themeFill="accent2"/>
            <w:vAlign w:val="center"/>
            <w:hideMark/>
          </w:tcPr>
          <w:p w:rsidRPr="007F1BB0" w:rsidR="003034B3" w:rsidRDefault="003034B3" w14:paraId="5D1BAC27" w14:textId="77777777">
            <w:pPr>
              <w:keepNext/>
              <w:spacing w:after="0" w:line="240" w:lineRule="auto"/>
              <w:jc w:val="center"/>
              <w:rPr>
                <w:rFonts w:eastAsia="Times New Roman" w:asciiTheme="minorHAnsi" w:hAnsiTheme="minorHAnsi" w:cstheme="minorHAnsi"/>
                <w:b/>
                <w:color w:val="FFFFFF" w:themeColor="background1"/>
                <w:szCs w:val="24"/>
              </w:rPr>
            </w:pPr>
            <w:r w:rsidRPr="007F1BB0">
              <w:rPr>
                <w:rFonts w:eastAsia="Times New Roman" w:asciiTheme="minorHAnsi" w:hAnsiTheme="minorHAnsi" w:cstheme="minorHAnsi"/>
                <w:b/>
                <w:color w:val="FFFFFF" w:themeColor="background1"/>
                <w:szCs w:val="24"/>
              </w:rPr>
              <w:t>Week-day</w:t>
            </w:r>
          </w:p>
        </w:tc>
        <w:tc>
          <w:tcPr>
            <w:tcW w:w="2304" w:type="dxa"/>
            <w:gridSpan w:val="2"/>
            <w:shd w:val="clear" w:color="auto" w:fill="3F9C35" w:themeFill="accent2"/>
            <w:vAlign w:val="center"/>
          </w:tcPr>
          <w:p w:rsidRPr="007F1BB0" w:rsidR="003034B3" w:rsidRDefault="003034B3" w14:paraId="09A839ED" w14:textId="77777777">
            <w:pPr>
              <w:keepNext/>
              <w:spacing w:after="0" w:line="240" w:lineRule="auto"/>
              <w:jc w:val="center"/>
              <w:rPr>
                <w:rFonts w:eastAsia="Times New Roman" w:asciiTheme="minorHAnsi" w:hAnsiTheme="minorHAnsi" w:cstheme="minorHAnsi"/>
                <w:b/>
                <w:color w:val="FFFFFF" w:themeColor="background1"/>
                <w:szCs w:val="24"/>
              </w:rPr>
            </w:pPr>
            <w:r w:rsidRPr="007F1BB0">
              <w:rPr>
                <w:rFonts w:eastAsia="Times New Roman" w:asciiTheme="minorHAnsi" w:hAnsiTheme="minorHAnsi" w:cstheme="minorHAnsi"/>
                <w:b/>
                <w:color w:val="FFFFFF" w:themeColor="background1"/>
                <w:szCs w:val="24"/>
              </w:rPr>
              <w:t>Temperature (°F)</w:t>
            </w:r>
          </w:p>
        </w:tc>
      </w:tr>
      <w:tr w:rsidRPr="00E20D4D" w:rsidR="00932998" w14:paraId="1A792E2A" w14:textId="77777777">
        <w:trPr>
          <w:trHeight w:val="368"/>
          <w:tblHeader/>
        </w:trPr>
        <w:tc>
          <w:tcPr>
            <w:tcW w:w="980" w:type="dxa"/>
            <w:vMerge/>
            <w:vAlign w:val="center"/>
          </w:tcPr>
          <w:p w:rsidRPr="007F1BB0" w:rsidR="003034B3" w:rsidRDefault="003034B3" w14:paraId="7011EB0F" w14:textId="77777777">
            <w:pPr>
              <w:spacing w:after="0" w:line="240" w:lineRule="auto"/>
              <w:rPr>
                <w:rFonts w:eastAsia="Times New Roman" w:asciiTheme="minorHAnsi" w:hAnsiTheme="minorHAnsi" w:cstheme="minorHAnsi"/>
                <w:b/>
                <w:color w:val="000000"/>
                <w:szCs w:val="24"/>
              </w:rPr>
            </w:pPr>
          </w:p>
        </w:tc>
        <w:tc>
          <w:tcPr>
            <w:tcW w:w="1009" w:type="dxa"/>
            <w:gridSpan w:val="2"/>
            <w:vMerge/>
            <w:tcBorders>
              <w:bottom w:val="single" w:color="808080" w:themeColor="background1" w:themeShade="80" w:sz="8" w:space="0"/>
            </w:tcBorders>
            <w:shd w:val="clear" w:color="auto" w:fill="009FDA" w:themeFill="accent5"/>
            <w:noWrap/>
            <w:vAlign w:val="center"/>
          </w:tcPr>
          <w:p w:rsidRPr="007F1BB0" w:rsidR="003034B3" w:rsidRDefault="003034B3" w14:paraId="7A7381E0" w14:textId="77777777">
            <w:pPr>
              <w:spacing w:after="0" w:line="240" w:lineRule="auto"/>
              <w:jc w:val="center"/>
              <w:rPr>
                <w:rFonts w:eastAsia="Times New Roman" w:asciiTheme="minorHAnsi" w:hAnsiTheme="minorHAnsi" w:cstheme="minorHAnsi"/>
                <w:b/>
                <w:color w:val="FFFFFF" w:themeColor="background1"/>
                <w:szCs w:val="24"/>
              </w:rPr>
            </w:pPr>
          </w:p>
        </w:tc>
        <w:tc>
          <w:tcPr>
            <w:tcW w:w="864" w:type="dxa"/>
            <w:vMerge/>
            <w:shd w:val="clear" w:color="auto" w:fill="009FDA" w:themeFill="accent5"/>
            <w:vAlign w:val="center"/>
          </w:tcPr>
          <w:p w:rsidRPr="007F1BB0" w:rsidR="003034B3" w:rsidRDefault="003034B3" w14:paraId="3C4A7014" w14:textId="77777777">
            <w:pPr>
              <w:spacing w:after="0" w:line="240" w:lineRule="auto"/>
              <w:jc w:val="center"/>
              <w:rPr>
                <w:rFonts w:eastAsia="Times New Roman" w:asciiTheme="minorHAnsi" w:hAnsiTheme="minorHAnsi" w:cstheme="minorHAnsi"/>
                <w:b/>
                <w:color w:val="FFFFFF" w:themeColor="background1"/>
                <w:szCs w:val="24"/>
              </w:rPr>
            </w:pPr>
          </w:p>
        </w:tc>
        <w:tc>
          <w:tcPr>
            <w:tcW w:w="1152" w:type="dxa"/>
            <w:shd w:val="clear" w:color="auto" w:fill="009FDA" w:themeFill="accent5"/>
            <w:vAlign w:val="center"/>
          </w:tcPr>
          <w:p w:rsidRPr="007F1BB0" w:rsidR="003034B3" w:rsidRDefault="003034B3" w14:paraId="0EBA72EE" w14:textId="5C702489">
            <w:pPr>
              <w:keepNext/>
              <w:spacing w:after="0" w:line="240" w:lineRule="auto"/>
              <w:jc w:val="center"/>
              <w:rPr>
                <w:rFonts w:eastAsia="Times New Roman" w:asciiTheme="minorHAnsi" w:hAnsiTheme="minorHAnsi" w:cstheme="minorHAnsi"/>
                <w:b/>
                <w:color w:val="FFFFFF" w:themeColor="background1"/>
                <w:szCs w:val="24"/>
              </w:rPr>
            </w:pPr>
            <w:r w:rsidRPr="007F1BB0">
              <w:rPr>
                <w:rFonts w:eastAsia="Times New Roman" w:asciiTheme="minorHAnsi" w:hAnsiTheme="minorHAnsi" w:cstheme="minorHAnsi"/>
                <w:b/>
                <w:color w:val="FFFFFF" w:themeColor="background1"/>
                <w:szCs w:val="24"/>
              </w:rPr>
              <w:t>Max</w:t>
            </w:r>
            <w:r w:rsidR="008C072F">
              <w:rPr>
                <w:rFonts w:eastAsia="Times New Roman" w:asciiTheme="minorHAnsi" w:hAnsiTheme="minorHAnsi" w:cstheme="minorHAnsi"/>
                <w:b/>
                <w:color w:val="FFFFFF" w:themeColor="background1"/>
                <w:szCs w:val="24"/>
              </w:rPr>
              <w:t>.</w:t>
            </w:r>
            <w:r w:rsidRPr="007F1BB0">
              <w:rPr>
                <w:rFonts w:eastAsia="Times New Roman" w:asciiTheme="minorHAnsi" w:hAnsiTheme="minorHAnsi" w:cstheme="minorHAnsi"/>
                <w:b/>
                <w:color w:val="FFFFFF" w:themeColor="background1"/>
                <w:szCs w:val="24"/>
              </w:rPr>
              <w:t xml:space="preserve"> Peak</w:t>
            </w:r>
          </w:p>
        </w:tc>
        <w:tc>
          <w:tcPr>
            <w:tcW w:w="1152" w:type="dxa"/>
            <w:shd w:val="clear" w:color="auto" w:fill="009FDA" w:themeFill="accent5"/>
            <w:vAlign w:val="center"/>
          </w:tcPr>
          <w:p w:rsidRPr="007F1BB0" w:rsidR="003034B3" w:rsidRDefault="003034B3" w14:paraId="21D7C8C3" w14:textId="77777777">
            <w:pPr>
              <w:keepNext/>
              <w:spacing w:after="0" w:line="240" w:lineRule="auto"/>
              <w:jc w:val="center"/>
              <w:rPr>
                <w:rFonts w:eastAsia="Times New Roman" w:asciiTheme="minorHAnsi" w:hAnsiTheme="minorHAnsi" w:cstheme="minorHAnsi"/>
                <w:b/>
                <w:color w:val="FFFFFF" w:themeColor="background1"/>
                <w:szCs w:val="24"/>
              </w:rPr>
            </w:pPr>
            <w:r w:rsidRPr="007F1BB0">
              <w:rPr>
                <w:rFonts w:eastAsia="Times New Roman" w:asciiTheme="minorHAnsi" w:hAnsiTheme="minorHAnsi" w:cstheme="minorHAnsi"/>
                <w:b/>
                <w:color w:val="FFFFFF" w:themeColor="background1"/>
                <w:szCs w:val="24"/>
              </w:rPr>
              <w:t>3-day Average</w:t>
            </w:r>
          </w:p>
        </w:tc>
        <w:tc>
          <w:tcPr>
            <w:tcW w:w="1008" w:type="dxa"/>
            <w:gridSpan w:val="2"/>
            <w:vMerge/>
            <w:tcBorders>
              <w:bottom w:val="single" w:color="808080" w:themeColor="background1" w:themeShade="80" w:sz="8" w:space="0"/>
            </w:tcBorders>
            <w:shd w:val="clear" w:color="auto" w:fill="3F9C35" w:themeFill="accent2"/>
            <w:vAlign w:val="center"/>
          </w:tcPr>
          <w:p w:rsidRPr="007F1BB0" w:rsidR="003034B3" w:rsidRDefault="003034B3" w14:paraId="6E3DB26F" w14:textId="77777777">
            <w:pPr>
              <w:keepNext/>
              <w:spacing w:after="0" w:line="240" w:lineRule="auto"/>
              <w:jc w:val="center"/>
              <w:rPr>
                <w:rFonts w:eastAsia="Times New Roman" w:asciiTheme="minorHAnsi" w:hAnsiTheme="minorHAnsi" w:cstheme="minorHAnsi"/>
                <w:b/>
                <w:color w:val="FFFFFF" w:themeColor="background1"/>
                <w:szCs w:val="24"/>
              </w:rPr>
            </w:pPr>
          </w:p>
        </w:tc>
        <w:tc>
          <w:tcPr>
            <w:tcW w:w="864" w:type="dxa"/>
            <w:vMerge/>
            <w:shd w:val="clear" w:color="auto" w:fill="3F9C35" w:themeFill="accent2"/>
            <w:vAlign w:val="center"/>
          </w:tcPr>
          <w:p w:rsidRPr="007F1BB0" w:rsidR="003034B3" w:rsidRDefault="003034B3" w14:paraId="4FF3451C" w14:textId="77777777">
            <w:pPr>
              <w:keepNext/>
              <w:spacing w:after="0" w:line="240" w:lineRule="auto"/>
              <w:jc w:val="center"/>
              <w:rPr>
                <w:rFonts w:eastAsia="Times New Roman" w:asciiTheme="minorHAnsi" w:hAnsiTheme="minorHAnsi" w:cstheme="minorHAnsi"/>
                <w:b/>
                <w:color w:val="FFFFFF" w:themeColor="background1"/>
                <w:szCs w:val="24"/>
              </w:rPr>
            </w:pPr>
          </w:p>
        </w:tc>
        <w:tc>
          <w:tcPr>
            <w:tcW w:w="1152" w:type="dxa"/>
            <w:shd w:val="clear" w:color="auto" w:fill="3F9C35" w:themeFill="accent2"/>
            <w:vAlign w:val="center"/>
          </w:tcPr>
          <w:p w:rsidRPr="007F1BB0" w:rsidR="003034B3" w:rsidRDefault="003034B3" w14:paraId="42AF1585" w14:textId="3ACD1EC7">
            <w:pPr>
              <w:keepNext/>
              <w:spacing w:after="0" w:line="240" w:lineRule="auto"/>
              <w:jc w:val="center"/>
              <w:rPr>
                <w:rFonts w:eastAsia="Times New Roman" w:asciiTheme="minorHAnsi" w:hAnsiTheme="minorHAnsi" w:cstheme="minorHAnsi"/>
                <w:b/>
                <w:color w:val="FFFFFF" w:themeColor="background1"/>
                <w:szCs w:val="24"/>
              </w:rPr>
            </w:pPr>
            <w:r w:rsidRPr="007F1BB0">
              <w:rPr>
                <w:rFonts w:eastAsia="Times New Roman" w:asciiTheme="minorHAnsi" w:hAnsiTheme="minorHAnsi" w:cstheme="minorHAnsi"/>
                <w:b/>
                <w:color w:val="FFFFFF" w:themeColor="background1"/>
                <w:szCs w:val="24"/>
              </w:rPr>
              <w:t>Max</w:t>
            </w:r>
            <w:r w:rsidR="008C072F">
              <w:rPr>
                <w:rFonts w:eastAsia="Times New Roman" w:asciiTheme="minorHAnsi" w:hAnsiTheme="minorHAnsi" w:cstheme="minorHAnsi"/>
                <w:b/>
                <w:color w:val="FFFFFF" w:themeColor="background1"/>
                <w:szCs w:val="24"/>
              </w:rPr>
              <w:t>.</w:t>
            </w:r>
            <w:r w:rsidRPr="007F1BB0">
              <w:rPr>
                <w:rFonts w:eastAsia="Times New Roman" w:asciiTheme="minorHAnsi" w:hAnsiTheme="minorHAnsi" w:cstheme="minorHAnsi"/>
                <w:b/>
                <w:color w:val="FFFFFF" w:themeColor="background1"/>
                <w:szCs w:val="24"/>
              </w:rPr>
              <w:t xml:space="preserve"> Peak</w:t>
            </w:r>
          </w:p>
        </w:tc>
        <w:tc>
          <w:tcPr>
            <w:tcW w:w="1152" w:type="dxa"/>
            <w:shd w:val="clear" w:color="auto" w:fill="3F9C35" w:themeFill="accent2"/>
            <w:vAlign w:val="center"/>
          </w:tcPr>
          <w:p w:rsidRPr="007F1BB0" w:rsidR="003034B3" w:rsidRDefault="003034B3" w14:paraId="51D95AB2" w14:textId="77777777">
            <w:pPr>
              <w:keepNext/>
              <w:spacing w:after="0" w:line="240" w:lineRule="auto"/>
              <w:jc w:val="center"/>
              <w:rPr>
                <w:rFonts w:eastAsia="Times New Roman" w:asciiTheme="minorHAnsi" w:hAnsiTheme="minorHAnsi" w:cstheme="minorHAnsi"/>
                <w:b/>
                <w:color w:val="FFFFFF" w:themeColor="background1"/>
                <w:szCs w:val="24"/>
              </w:rPr>
            </w:pPr>
            <w:r w:rsidRPr="007F1BB0">
              <w:rPr>
                <w:rFonts w:eastAsia="Times New Roman" w:asciiTheme="minorHAnsi" w:hAnsiTheme="minorHAnsi" w:cstheme="minorHAnsi"/>
                <w:b/>
                <w:color w:val="FFFFFF" w:themeColor="background1"/>
                <w:szCs w:val="24"/>
              </w:rPr>
              <w:t>3-day Average</w:t>
            </w:r>
          </w:p>
        </w:tc>
      </w:tr>
      <w:tr w:rsidRPr="00E20D4D" w:rsidR="003A2673" w14:paraId="7EE59CBE" w14:textId="77777777">
        <w:trPr>
          <w:trHeight w:val="288"/>
        </w:trPr>
        <w:tc>
          <w:tcPr>
            <w:tcW w:w="980" w:type="dxa"/>
            <w:shd w:val="clear" w:color="auto" w:fill="auto"/>
            <w:noWrap/>
            <w:vAlign w:val="center"/>
            <w:hideMark/>
          </w:tcPr>
          <w:p w:rsidRPr="007F1BB0" w:rsidR="003034B3" w:rsidRDefault="003034B3" w14:paraId="35ECD062"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CZ01</w:t>
            </w:r>
          </w:p>
        </w:tc>
        <w:tc>
          <w:tcPr>
            <w:tcW w:w="575" w:type="dxa"/>
            <w:tcBorders>
              <w:right w:val="nil"/>
            </w:tcBorders>
            <w:shd w:val="clear" w:color="auto" w:fill="E5F5FB" w:themeFill="accent6"/>
            <w:noWrap/>
            <w:vAlign w:val="center"/>
            <w:hideMark/>
          </w:tcPr>
          <w:p w:rsidRPr="007F1BB0" w:rsidR="003034B3" w:rsidRDefault="003034B3" w14:paraId="5903123F"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Sep</w:t>
            </w:r>
          </w:p>
        </w:tc>
        <w:tc>
          <w:tcPr>
            <w:tcW w:w="434" w:type="dxa"/>
            <w:tcBorders>
              <w:left w:val="nil"/>
            </w:tcBorders>
            <w:shd w:val="clear" w:color="auto" w:fill="E5F5FB" w:themeFill="accent6"/>
            <w:noWrap/>
            <w:vAlign w:val="center"/>
            <w:hideMark/>
          </w:tcPr>
          <w:p w:rsidRPr="007F1BB0" w:rsidR="003034B3" w:rsidRDefault="003034B3" w14:paraId="65DFE223"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16</w:t>
            </w:r>
          </w:p>
        </w:tc>
        <w:tc>
          <w:tcPr>
            <w:tcW w:w="864" w:type="dxa"/>
            <w:shd w:val="clear" w:color="auto" w:fill="E5F5FB" w:themeFill="accent6"/>
            <w:noWrap/>
            <w:vAlign w:val="center"/>
            <w:hideMark/>
          </w:tcPr>
          <w:p w:rsidRPr="007F1BB0" w:rsidR="003034B3" w:rsidRDefault="003034B3" w14:paraId="58F33E17"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Wed</w:t>
            </w:r>
          </w:p>
        </w:tc>
        <w:tc>
          <w:tcPr>
            <w:tcW w:w="1152" w:type="dxa"/>
            <w:shd w:val="clear" w:color="auto" w:fill="E5F5FB" w:themeFill="accent6"/>
            <w:noWrap/>
            <w:vAlign w:val="center"/>
            <w:hideMark/>
          </w:tcPr>
          <w:p w:rsidRPr="007F1BB0" w:rsidR="003034B3" w:rsidRDefault="003034B3" w14:paraId="06A1EF58"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81</w:t>
            </w:r>
          </w:p>
        </w:tc>
        <w:tc>
          <w:tcPr>
            <w:tcW w:w="1152" w:type="dxa"/>
            <w:shd w:val="clear" w:color="auto" w:fill="E5F5FB" w:themeFill="accent6"/>
            <w:noWrap/>
            <w:vAlign w:val="center"/>
            <w:hideMark/>
          </w:tcPr>
          <w:p w:rsidRPr="007F1BB0" w:rsidR="003034B3" w:rsidRDefault="003034B3" w14:paraId="0D67C788"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59.8</w:t>
            </w:r>
          </w:p>
        </w:tc>
        <w:tc>
          <w:tcPr>
            <w:tcW w:w="576" w:type="dxa"/>
            <w:tcBorders>
              <w:right w:val="nil"/>
            </w:tcBorders>
            <w:shd w:val="clear" w:color="auto" w:fill="E5F5E3"/>
            <w:noWrap/>
            <w:vAlign w:val="center"/>
            <w:hideMark/>
          </w:tcPr>
          <w:p w:rsidRPr="007F1BB0" w:rsidR="003034B3" w:rsidRDefault="003034B3" w14:paraId="615E6799"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Aug</w:t>
            </w:r>
          </w:p>
        </w:tc>
        <w:tc>
          <w:tcPr>
            <w:tcW w:w="432" w:type="dxa"/>
            <w:tcBorders>
              <w:left w:val="nil"/>
            </w:tcBorders>
            <w:shd w:val="clear" w:color="auto" w:fill="E5F5E3"/>
            <w:noWrap/>
            <w:vAlign w:val="center"/>
            <w:hideMark/>
          </w:tcPr>
          <w:p w:rsidRPr="007F1BB0" w:rsidR="003034B3" w:rsidRDefault="003034B3" w14:paraId="7DB94573"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26</w:t>
            </w:r>
          </w:p>
        </w:tc>
        <w:tc>
          <w:tcPr>
            <w:tcW w:w="864" w:type="dxa"/>
            <w:shd w:val="clear" w:color="auto" w:fill="E5F5E3"/>
            <w:noWrap/>
            <w:vAlign w:val="center"/>
            <w:hideMark/>
          </w:tcPr>
          <w:p w:rsidRPr="007F1BB0" w:rsidR="003034B3" w:rsidRDefault="003034B3" w14:paraId="47AA4A0F"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Wed</w:t>
            </w:r>
          </w:p>
        </w:tc>
        <w:tc>
          <w:tcPr>
            <w:tcW w:w="1152" w:type="dxa"/>
            <w:shd w:val="clear" w:color="auto" w:fill="E5F5E3"/>
            <w:noWrap/>
            <w:vAlign w:val="center"/>
            <w:hideMark/>
          </w:tcPr>
          <w:p w:rsidRPr="007F1BB0" w:rsidR="003034B3" w:rsidRDefault="003034B3" w14:paraId="6AE7EFE6"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86</w:t>
            </w:r>
          </w:p>
        </w:tc>
        <w:tc>
          <w:tcPr>
            <w:tcW w:w="1152" w:type="dxa"/>
            <w:shd w:val="clear" w:color="auto" w:fill="E5F5E3"/>
            <w:noWrap/>
            <w:vAlign w:val="center"/>
            <w:hideMark/>
          </w:tcPr>
          <w:p w:rsidRPr="007F1BB0" w:rsidR="003034B3" w:rsidRDefault="003034B3" w14:paraId="5EEB2B36"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themeColor="text1"/>
                <w:szCs w:val="24"/>
              </w:rPr>
              <w:t>60.2</w:t>
            </w:r>
          </w:p>
        </w:tc>
      </w:tr>
      <w:tr w:rsidRPr="00E20D4D" w:rsidR="003A2673" w14:paraId="6DE166E5" w14:textId="77777777">
        <w:trPr>
          <w:trHeight w:val="288"/>
        </w:trPr>
        <w:tc>
          <w:tcPr>
            <w:tcW w:w="980" w:type="dxa"/>
            <w:shd w:val="clear" w:color="auto" w:fill="auto"/>
            <w:noWrap/>
            <w:vAlign w:val="center"/>
            <w:hideMark/>
          </w:tcPr>
          <w:p w:rsidRPr="007F1BB0" w:rsidR="003034B3" w:rsidRDefault="003034B3" w14:paraId="49BB14F7"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CZ02</w:t>
            </w:r>
          </w:p>
        </w:tc>
        <w:tc>
          <w:tcPr>
            <w:tcW w:w="575" w:type="dxa"/>
            <w:tcBorders>
              <w:right w:val="nil"/>
            </w:tcBorders>
            <w:shd w:val="clear" w:color="auto" w:fill="E5F5FB" w:themeFill="accent6"/>
            <w:noWrap/>
            <w:vAlign w:val="center"/>
            <w:hideMark/>
          </w:tcPr>
          <w:p w:rsidRPr="007F1BB0" w:rsidR="003034B3" w:rsidRDefault="003034B3" w14:paraId="29202FF5"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Jul</w:t>
            </w:r>
          </w:p>
        </w:tc>
        <w:tc>
          <w:tcPr>
            <w:tcW w:w="434" w:type="dxa"/>
            <w:tcBorders>
              <w:left w:val="nil"/>
            </w:tcBorders>
            <w:shd w:val="clear" w:color="auto" w:fill="E5F5FB" w:themeFill="accent6"/>
            <w:noWrap/>
            <w:vAlign w:val="center"/>
            <w:hideMark/>
          </w:tcPr>
          <w:p w:rsidRPr="007F1BB0" w:rsidR="003034B3" w:rsidRDefault="003034B3" w14:paraId="52DC96E1"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8</w:t>
            </w:r>
          </w:p>
        </w:tc>
        <w:tc>
          <w:tcPr>
            <w:tcW w:w="864" w:type="dxa"/>
            <w:shd w:val="clear" w:color="auto" w:fill="E5F5FB" w:themeFill="accent6"/>
            <w:noWrap/>
            <w:vAlign w:val="center"/>
            <w:hideMark/>
          </w:tcPr>
          <w:p w:rsidRPr="007F1BB0" w:rsidR="003034B3" w:rsidRDefault="003034B3" w14:paraId="73951D83"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Wed</w:t>
            </w:r>
          </w:p>
        </w:tc>
        <w:tc>
          <w:tcPr>
            <w:tcW w:w="1152" w:type="dxa"/>
            <w:shd w:val="clear" w:color="auto" w:fill="E5F5FB" w:themeFill="accent6"/>
            <w:noWrap/>
            <w:vAlign w:val="center"/>
            <w:hideMark/>
          </w:tcPr>
          <w:p w:rsidRPr="007F1BB0" w:rsidR="003034B3" w:rsidRDefault="003034B3" w14:paraId="3A9A1A62"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103</w:t>
            </w:r>
          </w:p>
        </w:tc>
        <w:tc>
          <w:tcPr>
            <w:tcW w:w="1152" w:type="dxa"/>
            <w:shd w:val="clear" w:color="auto" w:fill="E5F5FB" w:themeFill="accent6"/>
            <w:noWrap/>
            <w:vAlign w:val="center"/>
            <w:hideMark/>
          </w:tcPr>
          <w:p w:rsidRPr="007F1BB0" w:rsidR="003034B3" w:rsidRDefault="003034B3" w14:paraId="44F2FBBE"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75.9</w:t>
            </w:r>
          </w:p>
        </w:tc>
        <w:tc>
          <w:tcPr>
            <w:tcW w:w="576" w:type="dxa"/>
            <w:tcBorders>
              <w:right w:val="nil"/>
            </w:tcBorders>
            <w:shd w:val="clear" w:color="auto" w:fill="E5F5E3"/>
            <w:noWrap/>
            <w:vAlign w:val="center"/>
            <w:hideMark/>
          </w:tcPr>
          <w:p w:rsidRPr="007F1BB0" w:rsidR="003034B3" w:rsidRDefault="003034B3" w14:paraId="38B06F35"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Aug</w:t>
            </w:r>
          </w:p>
        </w:tc>
        <w:tc>
          <w:tcPr>
            <w:tcW w:w="432" w:type="dxa"/>
            <w:tcBorders>
              <w:left w:val="nil"/>
            </w:tcBorders>
            <w:shd w:val="clear" w:color="auto" w:fill="E5F5E3"/>
            <w:noWrap/>
            <w:vAlign w:val="center"/>
            <w:hideMark/>
          </w:tcPr>
          <w:p w:rsidRPr="007F1BB0" w:rsidR="003034B3" w:rsidRDefault="003034B3" w14:paraId="63A70D28"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26</w:t>
            </w:r>
          </w:p>
        </w:tc>
        <w:tc>
          <w:tcPr>
            <w:tcW w:w="864" w:type="dxa"/>
            <w:shd w:val="clear" w:color="auto" w:fill="E5F5E3"/>
            <w:noWrap/>
            <w:vAlign w:val="center"/>
            <w:hideMark/>
          </w:tcPr>
          <w:p w:rsidRPr="007F1BB0" w:rsidR="003034B3" w:rsidRDefault="003034B3" w14:paraId="1AB0AD9F"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Wed</w:t>
            </w:r>
          </w:p>
        </w:tc>
        <w:tc>
          <w:tcPr>
            <w:tcW w:w="1152" w:type="dxa"/>
            <w:shd w:val="clear" w:color="auto" w:fill="E5F5E3"/>
            <w:noWrap/>
            <w:vAlign w:val="center"/>
            <w:hideMark/>
          </w:tcPr>
          <w:p w:rsidRPr="007F1BB0" w:rsidR="003034B3" w:rsidRDefault="003034B3" w14:paraId="07016A6E"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102</w:t>
            </w:r>
          </w:p>
        </w:tc>
        <w:tc>
          <w:tcPr>
            <w:tcW w:w="1152" w:type="dxa"/>
            <w:shd w:val="clear" w:color="auto" w:fill="E5F5E3"/>
            <w:noWrap/>
            <w:vAlign w:val="center"/>
            <w:hideMark/>
          </w:tcPr>
          <w:p w:rsidRPr="007F1BB0" w:rsidR="003034B3" w:rsidRDefault="003034B3" w14:paraId="5C5CC43E"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74.7</w:t>
            </w:r>
          </w:p>
        </w:tc>
      </w:tr>
      <w:tr w:rsidRPr="00E20D4D" w:rsidR="003A2673" w14:paraId="56BAB9B4" w14:textId="77777777">
        <w:trPr>
          <w:trHeight w:val="288"/>
        </w:trPr>
        <w:tc>
          <w:tcPr>
            <w:tcW w:w="980" w:type="dxa"/>
            <w:shd w:val="clear" w:color="auto" w:fill="auto"/>
            <w:noWrap/>
            <w:vAlign w:val="center"/>
            <w:hideMark/>
          </w:tcPr>
          <w:p w:rsidRPr="007F1BB0" w:rsidR="003034B3" w:rsidRDefault="003034B3" w14:paraId="7B35605D"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CZ03</w:t>
            </w:r>
          </w:p>
        </w:tc>
        <w:tc>
          <w:tcPr>
            <w:tcW w:w="575" w:type="dxa"/>
            <w:tcBorders>
              <w:right w:val="nil"/>
            </w:tcBorders>
            <w:shd w:val="clear" w:color="auto" w:fill="E5F5FB" w:themeFill="accent6"/>
            <w:noWrap/>
            <w:vAlign w:val="center"/>
            <w:hideMark/>
          </w:tcPr>
          <w:p w:rsidRPr="007F1BB0" w:rsidR="003034B3" w:rsidRDefault="003034B3" w14:paraId="49BED5AF"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Jul</w:t>
            </w:r>
          </w:p>
        </w:tc>
        <w:tc>
          <w:tcPr>
            <w:tcW w:w="434" w:type="dxa"/>
            <w:tcBorders>
              <w:left w:val="nil"/>
            </w:tcBorders>
            <w:shd w:val="clear" w:color="auto" w:fill="E5F5FB" w:themeFill="accent6"/>
            <w:noWrap/>
            <w:vAlign w:val="center"/>
            <w:hideMark/>
          </w:tcPr>
          <w:p w:rsidRPr="007F1BB0" w:rsidR="003034B3" w:rsidRDefault="003034B3" w14:paraId="391864D4"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8</w:t>
            </w:r>
          </w:p>
        </w:tc>
        <w:tc>
          <w:tcPr>
            <w:tcW w:w="864" w:type="dxa"/>
            <w:shd w:val="clear" w:color="auto" w:fill="E5F5FB" w:themeFill="accent6"/>
            <w:noWrap/>
            <w:vAlign w:val="center"/>
            <w:hideMark/>
          </w:tcPr>
          <w:p w:rsidRPr="007F1BB0" w:rsidR="003034B3" w:rsidRDefault="003034B3" w14:paraId="77E0F314"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Wed</w:t>
            </w:r>
          </w:p>
        </w:tc>
        <w:tc>
          <w:tcPr>
            <w:tcW w:w="1152" w:type="dxa"/>
            <w:shd w:val="clear" w:color="auto" w:fill="E5F5FB" w:themeFill="accent6"/>
            <w:noWrap/>
            <w:vAlign w:val="center"/>
            <w:hideMark/>
          </w:tcPr>
          <w:p w:rsidRPr="007F1BB0" w:rsidR="003034B3" w:rsidRDefault="003034B3" w14:paraId="0BDA2CD9"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91</w:t>
            </w:r>
          </w:p>
        </w:tc>
        <w:tc>
          <w:tcPr>
            <w:tcW w:w="1152" w:type="dxa"/>
            <w:shd w:val="clear" w:color="auto" w:fill="E5F5FB" w:themeFill="accent6"/>
            <w:noWrap/>
            <w:vAlign w:val="center"/>
            <w:hideMark/>
          </w:tcPr>
          <w:p w:rsidRPr="007F1BB0" w:rsidR="003034B3" w:rsidRDefault="003034B3" w14:paraId="4BF72792"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69.2</w:t>
            </w:r>
          </w:p>
        </w:tc>
        <w:tc>
          <w:tcPr>
            <w:tcW w:w="576" w:type="dxa"/>
            <w:tcBorders>
              <w:right w:val="nil"/>
            </w:tcBorders>
            <w:shd w:val="clear" w:color="auto" w:fill="E5F5E3"/>
            <w:noWrap/>
            <w:vAlign w:val="center"/>
            <w:hideMark/>
          </w:tcPr>
          <w:p w:rsidRPr="007F1BB0" w:rsidR="003034B3" w:rsidRDefault="003034B3" w14:paraId="63B5E25B"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Aug</w:t>
            </w:r>
          </w:p>
        </w:tc>
        <w:tc>
          <w:tcPr>
            <w:tcW w:w="432" w:type="dxa"/>
            <w:tcBorders>
              <w:left w:val="nil"/>
            </w:tcBorders>
            <w:shd w:val="clear" w:color="auto" w:fill="E5F5E3"/>
            <w:noWrap/>
            <w:vAlign w:val="center"/>
            <w:hideMark/>
          </w:tcPr>
          <w:p w:rsidRPr="007F1BB0" w:rsidR="003034B3" w:rsidRDefault="003034B3" w14:paraId="53B9A07D"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26</w:t>
            </w:r>
          </w:p>
        </w:tc>
        <w:tc>
          <w:tcPr>
            <w:tcW w:w="864" w:type="dxa"/>
            <w:shd w:val="clear" w:color="auto" w:fill="E5F5E3"/>
            <w:noWrap/>
            <w:vAlign w:val="center"/>
            <w:hideMark/>
          </w:tcPr>
          <w:p w:rsidRPr="007F1BB0" w:rsidR="003034B3" w:rsidRDefault="003034B3" w14:paraId="134EB6AD"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Wed</w:t>
            </w:r>
          </w:p>
        </w:tc>
        <w:tc>
          <w:tcPr>
            <w:tcW w:w="1152" w:type="dxa"/>
            <w:shd w:val="clear" w:color="auto" w:fill="E5F5E3"/>
            <w:noWrap/>
            <w:vAlign w:val="center"/>
            <w:hideMark/>
          </w:tcPr>
          <w:p w:rsidRPr="007F1BB0" w:rsidR="003034B3" w:rsidRDefault="003034B3" w14:paraId="4DC2C777"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87</w:t>
            </w:r>
          </w:p>
        </w:tc>
        <w:tc>
          <w:tcPr>
            <w:tcW w:w="1152" w:type="dxa"/>
            <w:shd w:val="clear" w:color="auto" w:fill="E5F5E3"/>
            <w:noWrap/>
            <w:vAlign w:val="center"/>
            <w:hideMark/>
          </w:tcPr>
          <w:p w:rsidRPr="007F1BB0" w:rsidR="003034B3" w:rsidRDefault="003034B3" w14:paraId="446AF80C"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71.3</w:t>
            </w:r>
          </w:p>
        </w:tc>
      </w:tr>
      <w:tr w:rsidRPr="00E20D4D" w:rsidR="003A2673" w14:paraId="1AE459CC" w14:textId="77777777">
        <w:trPr>
          <w:trHeight w:val="288"/>
        </w:trPr>
        <w:tc>
          <w:tcPr>
            <w:tcW w:w="980" w:type="dxa"/>
            <w:shd w:val="clear" w:color="auto" w:fill="auto"/>
            <w:noWrap/>
            <w:vAlign w:val="center"/>
            <w:hideMark/>
          </w:tcPr>
          <w:p w:rsidRPr="007F1BB0" w:rsidR="003034B3" w:rsidRDefault="003034B3" w14:paraId="547303F5"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CZ04</w:t>
            </w:r>
          </w:p>
        </w:tc>
        <w:tc>
          <w:tcPr>
            <w:tcW w:w="575" w:type="dxa"/>
            <w:tcBorders>
              <w:right w:val="nil"/>
            </w:tcBorders>
            <w:shd w:val="clear" w:color="auto" w:fill="E5F5FB" w:themeFill="accent6"/>
            <w:noWrap/>
            <w:vAlign w:val="center"/>
            <w:hideMark/>
          </w:tcPr>
          <w:p w:rsidRPr="007F1BB0" w:rsidR="003034B3" w:rsidRDefault="003034B3" w14:paraId="5B6BB87A"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Sep</w:t>
            </w:r>
          </w:p>
        </w:tc>
        <w:tc>
          <w:tcPr>
            <w:tcW w:w="434" w:type="dxa"/>
            <w:tcBorders>
              <w:left w:val="nil"/>
            </w:tcBorders>
            <w:shd w:val="clear" w:color="auto" w:fill="E5F5FB" w:themeFill="accent6"/>
            <w:noWrap/>
            <w:vAlign w:val="center"/>
            <w:hideMark/>
          </w:tcPr>
          <w:p w:rsidRPr="007F1BB0" w:rsidR="003034B3" w:rsidRDefault="003034B3" w14:paraId="4E90FE6E"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w:t>
            </w:r>
          </w:p>
        </w:tc>
        <w:tc>
          <w:tcPr>
            <w:tcW w:w="864" w:type="dxa"/>
            <w:shd w:val="clear" w:color="auto" w:fill="E5F5FB" w:themeFill="accent6"/>
            <w:noWrap/>
            <w:vAlign w:val="center"/>
            <w:hideMark/>
          </w:tcPr>
          <w:p w:rsidRPr="007F1BB0" w:rsidR="003034B3" w:rsidRDefault="003034B3" w14:paraId="2B7DA132"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Tue</w:t>
            </w:r>
          </w:p>
        </w:tc>
        <w:tc>
          <w:tcPr>
            <w:tcW w:w="1152" w:type="dxa"/>
            <w:shd w:val="clear" w:color="auto" w:fill="E5F5FB" w:themeFill="accent6"/>
            <w:noWrap/>
            <w:vAlign w:val="center"/>
            <w:hideMark/>
          </w:tcPr>
          <w:p w:rsidRPr="007F1BB0" w:rsidR="003034B3" w:rsidRDefault="003034B3" w14:paraId="0D9DCFD6"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99</w:t>
            </w:r>
          </w:p>
        </w:tc>
        <w:tc>
          <w:tcPr>
            <w:tcW w:w="1152" w:type="dxa"/>
            <w:shd w:val="clear" w:color="auto" w:fill="E5F5FB" w:themeFill="accent6"/>
            <w:noWrap/>
            <w:vAlign w:val="center"/>
            <w:hideMark/>
          </w:tcPr>
          <w:p w:rsidRPr="007F1BB0" w:rsidR="003034B3" w:rsidRDefault="003034B3" w14:paraId="7A3B01F5"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77.5</w:t>
            </w:r>
          </w:p>
        </w:tc>
        <w:tc>
          <w:tcPr>
            <w:tcW w:w="576" w:type="dxa"/>
            <w:tcBorders>
              <w:right w:val="nil"/>
            </w:tcBorders>
            <w:shd w:val="clear" w:color="auto" w:fill="E5F5E3"/>
            <w:noWrap/>
            <w:vAlign w:val="center"/>
            <w:hideMark/>
          </w:tcPr>
          <w:p w:rsidRPr="007F1BB0" w:rsidR="003034B3" w:rsidRDefault="003034B3" w14:paraId="44C6FD34"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Aug</w:t>
            </w:r>
          </w:p>
        </w:tc>
        <w:tc>
          <w:tcPr>
            <w:tcW w:w="432" w:type="dxa"/>
            <w:tcBorders>
              <w:left w:val="nil"/>
            </w:tcBorders>
            <w:shd w:val="clear" w:color="auto" w:fill="E5F5E3"/>
            <w:noWrap/>
            <w:vAlign w:val="center"/>
            <w:hideMark/>
          </w:tcPr>
          <w:p w:rsidRPr="007F1BB0" w:rsidR="003034B3" w:rsidRDefault="003034B3" w14:paraId="20EC8EA2"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26</w:t>
            </w:r>
          </w:p>
        </w:tc>
        <w:tc>
          <w:tcPr>
            <w:tcW w:w="864" w:type="dxa"/>
            <w:shd w:val="clear" w:color="auto" w:fill="E5F5E3"/>
            <w:noWrap/>
            <w:vAlign w:val="center"/>
            <w:hideMark/>
          </w:tcPr>
          <w:p w:rsidRPr="007F1BB0" w:rsidR="003034B3" w:rsidRDefault="003034B3" w14:paraId="2E288F0E"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Wed</w:t>
            </w:r>
          </w:p>
        </w:tc>
        <w:tc>
          <w:tcPr>
            <w:tcW w:w="1152" w:type="dxa"/>
            <w:shd w:val="clear" w:color="auto" w:fill="E5F5E3"/>
            <w:noWrap/>
            <w:vAlign w:val="center"/>
            <w:hideMark/>
          </w:tcPr>
          <w:p w:rsidRPr="007F1BB0" w:rsidR="003034B3" w:rsidRDefault="003034B3" w14:paraId="6504DA62"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101</w:t>
            </w:r>
          </w:p>
        </w:tc>
        <w:tc>
          <w:tcPr>
            <w:tcW w:w="1152" w:type="dxa"/>
            <w:shd w:val="clear" w:color="auto" w:fill="E5F5E3"/>
            <w:noWrap/>
            <w:vAlign w:val="center"/>
            <w:hideMark/>
          </w:tcPr>
          <w:p w:rsidRPr="007F1BB0" w:rsidR="003034B3" w:rsidRDefault="003034B3" w14:paraId="063ADAB1"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80.0</w:t>
            </w:r>
          </w:p>
        </w:tc>
      </w:tr>
      <w:tr w:rsidRPr="00E20D4D" w:rsidR="003A2673" w14:paraId="0C0378C1" w14:textId="77777777">
        <w:trPr>
          <w:trHeight w:val="288"/>
        </w:trPr>
        <w:tc>
          <w:tcPr>
            <w:tcW w:w="980" w:type="dxa"/>
            <w:shd w:val="clear" w:color="auto" w:fill="auto"/>
            <w:noWrap/>
            <w:vAlign w:val="center"/>
            <w:hideMark/>
          </w:tcPr>
          <w:p w:rsidRPr="007F1BB0" w:rsidR="003034B3" w:rsidRDefault="003034B3" w14:paraId="4555A201"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CZ05</w:t>
            </w:r>
          </w:p>
        </w:tc>
        <w:tc>
          <w:tcPr>
            <w:tcW w:w="575" w:type="dxa"/>
            <w:tcBorders>
              <w:right w:val="nil"/>
            </w:tcBorders>
            <w:shd w:val="clear" w:color="auto" w:fill="E5F5FB" w:themeFill="accent6"/>
            <w:noWrap/>
            <w:vAlign w:val="center"/>
            <w:hideMark/>
          </w:tcPr>
          <w:p w:rsidRPr="007F1BB0" w:rsidR="003034B3" w:rsidRDefault="003034B3" w14:paraId="0134D15D"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Sep</w:t>
            </w:r>
          </w:p>
        </w:tc>
        <w:tc>
          <w:tcPr>
            <w:tcW w:w="434" w:type="dxa"/>
            <w:tcBorders>
              <w:left w:val="nil"/>
            </w:tcBorders>
            <w:shd w:val="clear" w:color="auto" w:fill="E5F5FB" w:themeFill="accent6"/>
            <w:noWrap/>
            <w:vAlign w:val="center"/>
            <w:hideMark/>
          </w:tcPr>
          <w:p w:rsidRPr="007F1BB0" w:rsidR="003034B3" w:rsidRDefault="003034B3" w14:paraId="62509DD2"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8</w:t>
            </w:r>
          </w:p>
        </w:tc>
        <w:tc>
          <w:tcPr>
            <w:tcW w:w="864" w:type="dxa"/>
            <w:shd w:val="clear" w:color="auto" w:fill="E5F5FB" w:themeFill="accent6"/>
            <w:noWrap/>
            <w:vAlign w:val="center"/>
            <w:hideMark/>
          </w:tcPr>
          <w:p w:rsidRPr="007F1BB0" w:rsidR="003034B3" w:rsidRDefault="003034B3" w14:paraId="49C3749B"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Tue</w:t>
            </w:r>
          </w:p>
        </w:tc>
        <w:tc>
          <w:tcPr>
            <w:tcW w:w="1152" w:type="dxa"/>
            <w:shd w:val="clear" w:color="auto" w:fill="E5F5FB" w:themeFill="accent6"/>
            <w:noWrap/>
            <w:vAlign w:val="center"/>
            <w:hideMark/>
          </w:tcPr>
          <w:p w:rsidRPr="007F1BB0" w:rsidR="003034B3" w:rsidRDefault="003034B3" w14:paraId="6A5D3227"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87</w:t>
            </w:r>
          </w:p>
        </w:tc>
        <w:tc>
          <w:tcPr>
            <w:tcW w:w="1152" w:type="dxa"/>
            <w:shd w:val="clear" w:color="auto" w:fill="E5F5FB" w:themeFill="accent6"/>
            <w:noWrap/>
            <w:vAlign w:val="center"/>
            <w:hideMark/>
          </w:tcPr>
          <w:p w:rsidRPr="007F1BB0" w:rsidR="003034B3" w:rsidRDefault="003034B3" w14:paraId="1459E5D3"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64.8</w:t>
            </w:r>
          </w:p>
        </w:tc>
        <w:tc>
          <w:tcPr>
            <w:tcW w:w="576" w:type="dxa"/>
            <w:tcBorders>
              <w:right w:val="nil"/>
            </w:tcBorders>
            <w:shd w:val="clear" w:color="auto" w:fill="E5F5E3"/>
            <w:noWrap/>
            <w:vAlign w:val="center"/>
            <w:hideMark/>
          </w:tcPr>
          <w:p w:rsidRPr="007F1BB0" w:rsidR="003034B3" w:rsidRDefault="003034B3" w14:paraId="57D29975"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Sep</w:t>
            </w:r>
          </w:p>
        </w:tc>
        <w:tc>
          <w:tcPr>
            <w:tcW w:w="432" w:type="dxa"/>
            <w:tcBorders>
              <w:left w:val="nil"/>
            </w:tcBorders>
            <w:shd w:val="clear" w:color="auto" w:fill="E5F5E3"/>
            <w:noWrap/>
            <w:vAlign w:val="center"/>
            <w:hideMark/>
          </w:tcPr>
          <w:p w:rsidRPr="007F1BB0" w:rsidR="003034B3" w:rsidRDefault="003034B3" w14:paraId="4555F41F"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16</w:t>
            </w:r>
          </w:p>
        </w:tc>
        <w:tc>
          <w:tcPr>
            <w:tcW w:w="864" w:type="dxa"/>
            <w:shd w:val="clear" w:color="auto" w:fill="E5F5E3"/>
            <w:noWrap/>
            <w:vAlign w:val="center"/>
            <w:hideMark/>
          </w:tcPr>
          <w:p w:rsidRPr="007F1BB0" w:rsidR="003034B3" w:rsidRDefault="003034B3" w14:paraId="0D832234"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Wed</w:t>
            </w:r>
          </w:p>
        </w:tc>
        <w:tc>
          <w:tcPr>
            <w:tcW w:w="1152" w:type="dxa"/>
            <w:shd w:val="clear" w:color="auto" w:fill="E5F5E3"/>
            <w:noWrap/>
            <w:vAlign w:val="center"/>
            <w:hideMark/>
          </w:tcPr>
          <w:p w:rsidRPr="007F1BB0" w:rsidR="003034B3" w:rsidRDefault="003034B3" w14:paraId="7AC3EFAA"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93</w:t>
            </w:r>
          </w:p>
        </w:tc>
        <w:tc>
          <w:tcPr>
            <w:tcW w:w="1152" w:type="dxa"/>
            <w:shd w:val="clear" w:color="auto" w:fill="E5F5E3"/>
            <w:noWrap/>
            <w:vAlign w:val="center"/>
            <w:hideMark/>
          </w:tcPr>
          <w:p w:rsidRPr="007F1BB0" w:rsidR="003034B3" w:rsidRDefault="003034B3" w14:paraId="49CE579A"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68.3</w:t>
            </w:r>
          </w:p>
        </w:tc>
      </w:tr>
      <w:tr w:rsidRPr="00E20D4D" w:rsidR="003A2673" w14:paraId="04780503" w14:textId="77777777">
        <w:trPr>
          <w:trHeight w:val="288"/>
        </w:trPr>
        <w:tc>
          <w:tcPr>
            <w:tcW w:w="980" w:type="dxa"/>
            <w:shd w:val="clear" w:color="auto" w:fill="auto"/>
            <w:noWrap/>
            <w:vAlign w:val="center"/>
            <w:hideMark/>
          </w:tcPr>
          <w:p w:rsidRPr="007F1BB0" w:rsidR="003034B3" w:rsidRDefault="003034B3" w14:paraId="7C3C345D"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CZ06</w:t>
            </w:r>
          </w:p>
        </w:tc>
        <w:tc>
          <w:tcPr>
            <w:tcW w:w="575" w:type="dxa"/>
            <w:tcBorders>
              <w:right w:val="nil"/>
            </w:tcBorders>
            <w:shd w:val="clear" w:color="auto" w:fill="E5F5FB" w:themeFill="accent6"/>
            <w:noWrap/>
            <w:vAlign w:val="center"/>
            <w:hideMark/>
          </w:tcPr>
          <w:p w:rsidRPr="007F1BB0" w:rsidR="003034B3" w:rsidRDefault="003034B3" w14:paraId="2CB1D317"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Sep</w:t>
            </w:r>
          </w:p>
        </w:tc>
        <w:tc>
          <w:tcPr>
            <w:tcW w:w="434" w:type="dxa"/>
            <w:tcBorders>
              <w:left w:val="nil"/>
            </w:tcBorders>
            <w:shd w:val="clear" w:color="auto" w:fill="E5F5FB" w:themeFill="accent6"/>
            <w:noWrap/>
            <w:vAlign w:val="center"/>
            <w:hideMark/>
          </w:tcPr>
          <w:p w:rsidRPr="007F1BB0" w:rsidR="003034B3" w:rsidRDefault="003034B3" w14:paraId="3CFBE436"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w:t>
            </w:r>
          </w:p>
        </w:tc>
        <w:tc>
          <w:tcPr>
            <w:tcW w:w="864" w:type="dxa"/>
            <w:shd w:val="clear" w:color="auto" w:fill="E5F5FB" w:themeFill="accent6"/>
            <w:noWrap/>
            <w:vAlign w:val="center"/>
            <w:hideMark/>
          </w:tcPr>
          <w:p w:rsidRPr="007F1BB0" w:rsidR="003034B3" w:rsidRDefault="003034B3" w14:paraId="266EB0B4"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Tue</w:t>
            </w:r>
          </w:p>
        </w:tc>
        <w:tc>
          <w:tcPr>
            <w:tcW w:w="1152" w:type="dxa"/>
            <w:shd w:val="clear" w:color="auto" w:fill="E5F5FB" w:themeFill="accent6"/>
            <w:noWrap/>
            <w:vAlign w:val="center"/>
            <w:hideMark/>
          </w:tcPr>
          <w:p w:rsidRPr="007F1BB0" w:rsidR="003034B3" w:rsidRDefault="003034B3" w14:paraId="7F7DAEFF"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102</w:t>
            </w:r>
          </w:p>
        </w:tc>
        <w:tc>
          <w:tcPr>
            <w:tcW w:w="1152" w:type="dxa"/>
            <w:shd w:val="clear" w:color="auto" w:fill="E5F5FB" w:themeFill="accent6"/>
            <w:noWrap/>
            <w:vAlign w:val="center"/>
            <w:hideMark/>
          </w:tcPr>
          <w:p w:rsidRPr="007F1BB0" w:rsidR="003034B3" w:rsidRDefault="003034B3" w14:paraId="13AF6307"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77.1</w:t>
            </w:r>
          </w:p>
        </w:tc>
        <w:tc>
          <w:tcPr>
            <w:tcW w:w="576" w:type="dxa"/>
            <w:tcBorders>
              <w:right w:val="nil"/>
            </w:tcBorders>
            <w:shd w:val="clear" w:color="auto" w:fill="E5F5E3"/>
            <w:noWrap/>
            <w:vAlign w:val="center"/>
            <w:hideMark/>
          </w:tcPr>
          <w:p w:rsidRPr="00672BA6" w:rsidR="003034B3" w:rsidRDefault="00C960AD" w14:paraId="4A76B6B8" w14:textId="176D1869">
            <w:pPr>
              <w:spacing w:after="0" w:line="240" w:lineRule="auto"/>
              <w:jc w:val="right"/>
              <w:rPr>
                <w:rFonts w:eastAsia="Times New Roman" w:asciiTheme="minorHAnsi" w:hAnsiTheme="minorHAnsi" w:cstheme="minorHAnsi"/>
                <w:color w:val="FF0000"/>
                <w:szCs w:val="24"/>
              </w:rPr>
            </w:pPr>
            <w:r w:rsidRPr="00672BA6">
              <w:rPr>
                <w:rFonts w:eastAsia="Times New Roman" w:asciiTheme="minorHAnsi" w:hAnsiTheme="minorHAnsi" w:cstheme="minorHAnsi"/>
                <w:color w:val="FF0000"/>
                <w:szCs w:val="24"/>
              </w:rPr>
              <w:t>Jun</w:t>
            </w:r>
          </w:p>
        </w:tc>
        <w:tc>
          <w:tcPr>
            <w:tcW w:w="432" w:type="dxa"/>
            <w:tcBorders>
              <w:left w:val="nil"/>
            </w:tcBorders>
            <w:shd w:val="clear" w:color="auto" w:fill="E5F5E3"/>
            <w:noWrap/>
            <w:vAlign w:val="center"/>
            <w:hideMark/>
          </w:tcPr>
          <w:p w:rsidRPr="00672BA6" w:rsidR="003034B3" w:rsidRDefault="003034B3" w14:paraId="474C8D01" w14:textId="52B64093">
            <w:pPr>
              <w:spacing w:after="0" w:line="240" w:lineRule="auto"/>
              <w:rPr>
                <w:rFonts w:eastAsia="Times New Roman" w:asciiTheme="minorHAnsi" w:hAnsiTheme="minorHAnsi" w:cstheme="minorHAnsi"/>
                <w:color w:val="FF0000"/>
                <w:szCs w:val="24"/>
              </w:rPr>
            </w:pPr>
            <w:r w:rsidRPr="00672BA6">
              <w:rPr>
                <w:rFonts w:eastAsia="Times New Roman" w:asciiTheme="minorHAnsi" w:hAnsiTheme="minorHAnsi" w:cstheme="minorHAnsi"/>
                <w:color w:val="FF0000"/>
                <w:szCs w:val="24"/>
              </w:rPr>
              <w:t>2</w:t>
            </w:r>
            <w:r w:rsidRPr="00672BA6" w:rsidR="00C960AD">
              <w:rPr>
                <w:rFonts w:eastAsia="Times New Roman" w:asciiTheme="minorHAnsi" w:hAnsiTheme="minorHAnsi" w:cstheme="minorHAnsi"/>
                <w:color w:val="FF0000"/>
                <w:szCs w:val="24"/>
              </w:rPr>
              <w:t>9</w:t>
            </w:r>
          </w:p>
        </w:tc>
        <w:tc>
          <w:tcPr>
            <w:tcW w:w="864" w:type="dxa"/>
            <w:shd w:val="clear" w:color="auto" w:fill="E5F5E3"/>
            <w:noWrap/>
            <w:vAlign w:val="center"/>
            <w:hideMark/>
          </w:tcPr>
          <w:p w:rsidRPr="00672BA6" w:rsidR="003034B3" w:rsidRDefault="00C960AD" w14:paraId="5ECA493C" w14:textId="24505DEA">
            <w:pPr>
              <w:spacing w:after="0" w:line="240" w:lineRule="auto"/>
              <w:jc w:val="center"/>
              <w:rPr>
                <w:rFonts w:eastAsia="Times New Roman" w:asciiTheme="minorHAnsi" w:hAnsiTheme="minorHAnsi" w:cstheme="minorHAnsi"/>
                <w:color w:val="FF0000"/>
                <w:szCs w:val="24"/>
              </w:rPr>
            </w:pPr>
            <w:r w:rsidRPr="00672BA6">
              <w:rPr>
                <w:rFonts w:eastAsia="Times New Roman" w:asciiTheme="minorHAnsi" w:hAnsiTheme="minorHAnsi" w:cstheme="minorHAnsi"/>
                <w:color w:val="FF0000"/>
                <w:szCs w:val="24"/>
              </w:rPr>
              <w:t>Mon</w:t>
            </w:r>
          </w:p>
        </w:tc>
        <w:tc>
          <w:tcPr>
            <w:tcW w:w="1152" w:type="dxa"/>
            <w:shd w:val="clear" w:color="auto" w:fill="E5F5E3"/>
            <w:noWrap/>
            <w:vAlign w:val="center"/>
            <w:hideMark/>
          </w:tcPr>
          <w:p w:rsidRPr="00672BA6" w:rsidR="003034B3" w:rsidRDefault="003034B3" w14:paraId="116875E4" w14:textId="77777777">
            <w:pPr>
              <w:spacing w:after="0" w:line="240" w:lineRule="auto"/>
              <w:jc w:val="right"/>
              <w:rPr>
                <w:rFonts w:eastAsia="Times New Roman" w:asciiTheme="minorHAnsi" w:hAnsiTheme="minorHAnsi" w:cstheme="minorHAnsi"/>
                <w:color w:val="FF0000"/>
                <w:szCs w:val="24"/>
              </w:rPr>
            </w:pPr>
            <w:r w:rsidRPr="00672BA6">
              <w:rPr>
                <w:rFonts w:eastAsia="Times New Roman" w:asciiTheme="minorHAnsi" w:hAnsiTheme="minorHAnsi" w:cstheme="minorHAnsi"/>
                <w:color w:val="FF0000"/>
                <w:szCs w:val="24"/>
              </w:rPr>
              <w:t>85</w:t>
            </w:r>
          </w:p>
        </w:tc>
        <w:tc>
          <w:tcPr>
            <w:tcW w:w="1152" w:type="dxa"/>
            <w:shd w:val="clear" w:color="auto" w:fill="E5F5E3"/>
            <w:noWrap/>
            <w:vAlign w:val="center"/>
            <w:hideMark/>
          </w:tcPr>
          <w:p w:rsidRPr="00672BA6" w:rsidR="003034B3" w:rsidRDefault="003034B3" w14:paraId="6F7F5F4D" w14:textId="77777777">
            <w:pPr>
              <w:spacing w:after="0" w:line="240" w:lineRule="auto"/>
              <w:ind w:firstLine="240" w:firstLineChars="100"/>
              <w:jc w:val="right"/>
              <w:rPr>
                <w:rFonts w:eastAsia="Times New Roman" w:asciiTheme="minorHAnsi" w:hAnsiTheme="minorHAnsi" w:cstheme="minorHAnsi"/>
                <w:color w:val="FF0000"/>
                <w:szCs w:val="24"/>
              </w:rPr>
            </w:pPr>
            <w:r w:rsidRPr="00672BA6">
              <w:rPr>
                <w:rFonts w:eastAsia="Times New Roman" w:asciiTheme="minorHAnsi" w:hAnsiTheme="minorHAnsi" w:cstheme="minorHAnsi"/>
                <w:color w:val="FF0000"/>
                <w:szCs w:val="24"/>
              </w:rPr>
              <w:t>76.1</w:t>
            </w:r>
          </w:p>
        </w:tc>
      </w:tr>
      <w:tr w:rsidRPr="00E20D4D" w:rsidR="003A2673" w14:paraId="4955090A" w14:textId="77777777">
        <w:trPr>
          <w:trHeight w:val="288"/>
        </w:trPr>
        <w:tc>
          <w:tcPr>
            <w:tcW w:w="980" w:type="dxa"/>
            <w:shd w:val="clear" w:color="auto" w:fill="auto"/>
            <w:noWrap/>
            <w:vAlign w:val="center"/>
            <w:hideMark/>
          </w:tcPr>
          <w:p w:rsidRPr="007F1BB0" w:rsidR="003034B3" w:rsidRDefault="003034B3" w14:paraId="0B64F745"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CZ07</w:t>
            </w:r>
          </w:p>
        </w:tc>
        <w:tc>
          <w:tcPr>
            <w:tcW w:w="575" w:type="dxa"/>
            <w:tcBorders>
              <w:right w:val="nil"/>
            </w:tcBorders>
            <w:shd w:val="clear" w:color="auto" w:fill="E5F5FB" w:themeFill="accent6"/>
            <w:noWrap/>
            <w:vAlign w:val="center"/>
            <w:hideMark/>
          </w:tcPr>
          <w:p w:rsidRPr="007F1BB0" w:rsidR="003034B3" w:rsidRDefault="003034B3" w14:paraId="3B6EC7DE"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Sep</w:t>
            </w:r>
          </w:p>
        </w:tc>
        <w:tc>
          <w:tcPr>
            <w:tcW w:w="434" w:type="dxa"/>
            <w:tcBorders>
              <w:left w:val="nil"/>
            </w:tcBorders>
            <w:shd w:val="clear" w:color="auto" w:fill="E5F5FB" w:themeFill="accent6"/>
            <w:noWrap/>
            <w:vAlign w:val="center"/>
            <w:hideMark/>
          </w:tcPr>
          <w:p w:rsidRPr="007F1BB0" w:rsidR="003034B3" w:rsidRDefault="003034B3" w14:paraId="23F65329"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w:t>
            </w:r>
          </w:p>
        </w:tc>
        <w:tc>
          <w:tcPr>
            <w:tcW w:w="864" w:type="dxa"/>
            <w:shd w:val="clear" w:color="auto" w:fill="E5F5FB" w:themeFill="accent6"/>
            <w:noWrap/>
            <w:vAlign w:val="center"/>
            <w:hideMark/>
          </w:tcPr>
          <w:p w:rsidRPr="007F1BB0" w:rsidR="003034B3" w:rsidRDefault="003034B3" w14:paraId="3BE1189F"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Tue</w:t>
            </w:r>
          </w:p>
        </w:tc>
        <w:tc>
          <w:tcPr>
            <w:tcW w:w="1152" w:type="dxa"/>
            <w:shd w:val="clear" w:color="auto" w:fill="E5F5FB" w:themeFill="accent6"/>
            <w:noWrap/>
            <w:vAlign w:val="center"/>
            <w:hideMark/>
          </w:tcPr>
          <w:p w:rsidRPr="007F1BB0" w:rsidR="003034B3" w:rsidRDefault="003034B3" w14:paraId="457A659A"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90</w:t>
            </w:r>
          </w:p>
        </w:tc>
        <w:tc>
          <w:tcPr>
            <w:tcW w:w="1152" w:type="dxa"/>
            <w:shd w:val="clear" w:color="auto" w:fill="E5F5FB" w:themeFill="accent6"/>
            <w:noWrap/>
            <w:vAlign w:val="center"/>
            <w:hideMark/>
          </w:tcPr>
          <w:p w:rsidRPr="007F1BB0" w:rsidR="003034B3" w:rsidRDefault="003034B3" w14:paraId="0398969F"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73.9</w:t>
            </w:r>
          </w:p>
        </w:tc>
        <w:tc>
          <w:tcPr>
            <w:tcW w:w="576" w:type="dxa"/>
            <w:tcBorders>
              <w:right w:val="nil"/>
            </w:tcBorders>
            <w:shd w:val="clear" w:color="auto" w:fill="E5F5E3"/>
            <w:noWrap/>
            <w:vAlign w:val="center"/>
            <w:hideMark/>
          </w:tcPr>
          <w:p w:rsidRPr="007F1BB0" w:rsidR="003034B3" w:rsidRDefault="003034B3" w14:paraId="0FD704CB"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Sep</w:t>
            </w:r>
          </w:p>
        </w:tc>
        <w:tc>
          <w:tcPr>
            <w:tcW w:w="432" w:type="dxa"/>
            <w:tcBorders>
              <w:left w:val="nil"/>
            </w:tcBorders>
            <w:shd w:val="clear" w:color="auto" w:fill="E5F5E3"/>
            <w:noWrap/>
            <w:vAlign w:val="center"/>
            <w:hideMark/>
          </w:tcPr>
          <w:p w:rsidRPr="007F1BB0" w:rsidR="003034B3" w:rsidRDefault="003034B3" w14:paraId="46DF879C"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2</w:t>
            </w:r>
          </w:p>
        </w:tc>
        <w:tc>
          <w:tcPr>
            <w:tcW w:w="864" w:type="dxa"/>
            <w:shd w:val="clear" w:color="auto" w:fill="E5F5E3"/>
            <w:noWrap/>
            <w:vAlign w:val="center"/>
            <w:hideMark/>
          </w:tcPr>
          <w:p w:rsidRPr="007F1BB0" w:rsidR="003034B3" w:rsidRDefault="003034B3" w14:paraId="0862376E"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Wed</w:t>
            </w:r>
          </w:p>
        </w:tc>
        <w:tc>
          <w:tcPr>
            <w:tcW w:w="1152" w:type="dxa"/>
            <w:shd w:val="clear" w:color="auto" w:fill="E5F5E3"/>
            <w:noWrap/>
            <w:vAlign w:val="center"/>
            <w:hideMark/>
          </w:tcPr>
          <w:p w:rsidRPr="007F1BB0" w:rsidR="003034B3" w:rsidRDefault="003034B3" w14:paraId="3AF51C93"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83</w:t>
            </w:r>
          </w:p>
        </w:tc>
        <w:tc>
          <w:tcPr>
            <w:tcW w:w="1152" w:type="dxa"/>
            <w:shd w:val="clear" w:color="auto" w:fill="E5F5E3"/>
            <w:noWrap/>
            <w:vAlign w:val="center"/>
            <w:hideMark/>
          </w:tcPr>
          <w:p w:rsidRPr="007F1BB0" w:rsidR="003034B3" w:rsidRDefault="003034B3" w14:paraId="68561448"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74.4</w:t>
            </w:r>
          </w:p>
        </w:tc>
      </w:tr>
      <w:tr w:rsidRPr="00E20D4D" w:rsidR="003A2673" w14:paraId="0A96FC1A" w14:textId="77777777">
        <w:trPr>
          <w:trHeight w:val="288"/>
        </w:trPr>
        <w:tc>
          <w:tcPr>
            <w:tcW w:w="980" w:type="dxa"/>
            <w:shd w:val="clear" w:color="auto" w:fill="auto"/>
            <w:noWrap/>
            <w:vAlign w:val="center"/>
            <w:hideMark/>
          </w:tcPr>
          <w:p w:rsidRPr="007F1BB0" w:rsidR="003034B3" w:rsidRDefault="003034B3" w14:paraId="5E489A46"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CZ08</w:t>
            </w:r>
          </w:p>
        </w:tc>
        <w:tc>
          <w:tcPr>
            <w:tcW w:w="575" w:type="dxa"/>
            <w:tcBorders>
              <w:right w:val="nil"/>
            </w:tcBorders>
            <w:shd w:val="clear" w:color="auto" w:fill="E5F5FB" w:themeFill="accent6"/>
            <w:noWrap/>
            <w:vAlign w:val="center"/>
            <w:hideMark/>
          </w:tcPr>
          <w:p w:rsidRPr="007F1BB0" w:rsidR="003034B3" w:rsidRDefault="003034B3" w14:paraId="225360E0"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Sep</w:t>
            </w:r>
          </w:p>
        </w:tc>
        <w:tc>
          <w:tcPr>
            <w:tcW w:w="434" w:type="dxa"/>
            <w:tcBorders>
              <w:left w:val="nil"/>
            </w:tcBorders>
            <w:shd w:val="clear" w:color="auto" w:fill="E5F5FB" w:themeFill="accent6"/>
            <w:noWrap/>
            <w:vAlign w:val="center"/>
            <w:hideMark/>
          </w:tcPr>
          <w:p w:rsidRPr="007F1BB0" w:rsidR="003034B3" w:rsidRDefault="003034B3" w14:paraId="73B824FF"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w:t>
            </w:r>
          </w:p>
        </w:tc>
        <w:tc>
          <w:tcPr>
            <w:tcW w:w="864" w:type="dxa"/>
            <w:shd w:val="clear" w:color="auto" w:fill="E5F5FB" w:themeFill="accent6"/>
            <w:noWrap/>
            <w:vAlign w:val="center"/>
            <w:hideMark/>
          </w:tcPr>
          <w:p w:rsidRPr="007F1BB0" w:rsidR="003034B3" w:rsidRDefault="003034B3" w14:paraId="7A70509B"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Tue</w:t>
            </w:r>
          </w:p>
        </w:tc>
        <w:tc>
          <w:tcPr>
            <w:tcW w:w="1152" w:type="dxa"/>
            <w:shd w:val="clear" w:color="auto" w:fill="E5F5FB" w:themeFill="accent6"/>
            <w:noWrap/>
            <w:vAlign w:val="center"/>
            <w:hideMark/>
          </w:tcPr>
          <w:p w:rsidRPr="007F1BB0" w:rsidR="003034B3" w:rsidRDefault="003034B3" w14:paraId="41D141D2"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105</w:t>
            </w:r>
          </w:p>
        </w:tc>
        <w:tc>
          <w:tcPr>
            <w:tcW w:w="1152" w:type="dxa"/>
            <w:shd w:val="clear" w:color="auto" w:fill="E5F5FB" w:themeFill="accent6"/>
            <w:noWrap/>
            <w:vAlign w:val="center"/>
            <w:hideMark/>
          </w:tcPr>
          <w:p w:rsidRPr="007F1BB0" w:rsidR="003034B3" w:rsidRDefault="003034B3" w14:paraId="13D6E457"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79.8</w:t>
            </w:r>
          </w:p>
        </w:tc>
        <w:tc>
          <w:tcPr>
            <w:tcW w:w="576" w:type="dxa"/>
            <w:tcBorders>
              <w:right w:val="nil"/>
            </w:tcBorders>
            <w:shd w:val="clear" w:color="auto" w:fill="E5F5E3"/>
            <w:noWrap/>
            <w:vAlign w:val="center"/>
            <w:hideMark/>
          </w:tcPr>
          <w:p w:rsidRPr="007F1BB0" w:rsidR="003034B3" w:rsidRDefault="003034B3" w14:paraId="3602A949"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Sep</w:t>
            </w:r>
          </w:p>
        </w:tc>
        <w:tc>
          <w:tcPr>
            <w:tcW w:w="432" w:type="dxa"/>
            <w:tcBorders>
              <w:left w:val="nil"/>
            </w:tcBorders>
            <w:shd w:val="clear" w:color="auto" w:fill="E5F5E3"/>
            <w:noWrap/>
            <w:vAlign w:val="center"/>
            <w:hideMark/>
          </w:tcPr>
          <w:p w:rsidRPr="007F1BB0" w:rsidR="003034B3" w:rsidRDefault="003034B3" w14:paraId="1F251A88"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2</w:t>
            </w:r>
          </w:p>
        </w:tc>
        <w:tc>
          <w:tcPr>
            <w:tcW w:w="864" w:type="dxa"/>
            <w:shd w:val="clear" w:color="auto" w:fill="E5F5E3"/>
            <w:noWrap/>
            <w:vAlign w:val="center"/>
            <w:hideMark/>
          </w:tcPr>
          <w:p w:rsidRPr="007F1BB0" w:rsidR="003034B3" w:rsidRDefault="003034B3" w14:paraId="6D77920B"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Wed</w:t>
            </w:r>
          </w:p>
        </w:tc>
        <w:tc>
          <w:tcPr>
            <w:tcW w:w="1152" w:type="dxa"/>
            <w:shd w:val="clear" w:color="auto" w:fill="E5F5E3"/>
            <w:noWrap/>
            <w:vAlign w:val="center"/>
            <w:hideMark/>
          </w:tcPr>
          <w:p w:rsidRPr="007F1BB0" w:rsidR="003034B3" w:rsidRDefault="003034B3" w14:paraId="1F2AAA82"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98</w:t>
            </w:r>
          </w:p>
        </w:tc>
        <w:tc>
          <w:tcPr>
            <w:tcW w:w="1152" w:type="dxa"/>
            <w:shd w:val="clear" w:color="auto" w:fill="E5F5E3"/>
            <w:noWrap/>
            <w:vAlign w:val="center"/>
            <w:hideMark/>
          </w:tcPr>
          <w:p w:rsidRPr="007F1BB0" w:rsidR="003034B3" w:rsidRDefault="003034B3" w14:paraId="42DBF01A"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79.7</w:t>
            </w:r>
          </w:p>
        </w:tc>
      </w:tr>
      <w:tr w:rsidRPr="00E20D4D" w:rsidR="003A2673" w14:paraId="5B5EA6C9" w14:textId="77777777">
        <w:trPr>
          <w:trHeight w:val="288"/>
        </w:trPr>
        <w:tc>
          <w:tcPr>
            <w:tcW w:w="980" w:type="dxa"/>
            <w:shd w:val="clear" w:color="auto" w:fill="auto"/>
            <w:noWrap/>
            <w:vAlign w:val="center"/>
            <w:hideMark/>
          </w:tcPr>
          <w:p w:rsidRPr="007F1BB0" w:rsidR="003034B3" w:rsidRDefault="003034B3" w14:paraId="5D521F13"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CZ09</w:t>
            </w:r>
          </w:p>
        </w:tc>
        <w:tc>
          <w:tcPr>
            <w:tcW w:w="575" w:type="dxa"/>
            <w:tcBorders>
              <w:right w:val="nil"/>
            </w:tcBorders>
            <w:shd w:val="clear" w:color="auto" w:fill="E5F5FB" w:themeFill="accent6"/>
            <w:noWrap/>
            <w:vAlign w:val="center"/>
            <w:hideMark/>
          </w:tcPr>
          <w:p w:rsidRPr="007F1BB0" w:rsidR="003034B3" w:rsidRDefault="003034B3" w14:paraId="327F0D7F"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Sep</w:t>
            </w:r>
          </w:p>
        </w:tc>
        <w:tc>
          <w:tcPr>
            <w:tcW w:w="434" w:type="dxa"/>
            <w:tcBorders>
              <w:left w:val="nil"/>
            </w:tcBorders>
            <w:shd w:val="clear" w:color="auto" w:fill="E5F5FB" w:themeFill="accent6"/>
            <w:noWrap/>
            <w:vAlign w:val="center"/>
            <w:hideMark/>
          </w:tcPr>
          <w:p w:rsidRPr="007F1BB0" w:rsidR="003034B3" w:rsidRDefault="003034B3" w14:paraId="4F3582B3"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w:t>
            </w:r>
          </w:p>
        </w:tc>
        <w:tc>
          <w:tcPr>
            <w:tcW w:w="864" w:type="dxa"/>
            <w:shd w:val="clear" w:color="auto" w:fill="E5F5FB" w:themeFill="accent6"/>
            <w:noWrap/>
            <w:vAlign w:val="center"/>
            <w:hideMark/>
          </w:tcPr>
          <w:p w:rsidRPr="007F1BB0" w:rsidR="003034B3" w:rsidRDefault="003034B3" w14:paraId="52E3E465"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Tue</w:t>
            </w:r>
          </w:p>
        </w:tc>
        <w:tc>
          <w:tcPr>
            <w:tcW w:w="1152" w:type="dxa"/>
            <w:shd w:val="clear" w:color="auto" w:fill="E5F5FB" w:themeFill="accent6"/>
            <w:noWrap/>
            <w:vAlign w:val="center"/>
            <w:hideMark/>
          </w:tcPr>
          <w:p w:rsidRPr="007F1BB0" w:rsidR="003034B3" w:rsidRDefault="003034B3" w14:paraId="0BBDC897"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107</w:t>
            </w:r>
          </w:p>
        </w:tc>
        <w:tc>
          <w:tcPr>
            <w:tcW w:w="1152" w:type="dxa"/>
            <w:shd w:val="clear" w:color="auto" w:fill="E5F5FB" w:themeFill="accent6"/>
            <w:noWrap/>
            <w:vAlign w:val="center"/>
            <w:hideMark/>
          </w:tcPr>
          <w:p w:rsidRPr="007F1BB0" w:rsidR="003034B3" w:rsidRDefault="003034B3" w14:paraId="0AC510CA"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86.6</w:t>
            </w:r>
          </w:p>
        </w:tc>
        <w:tc>
          <w:tcPr>
            <w:tcW w:w="576" w:type="dxa"/>
            <w:tcBorders>
              <w:right w:val="nil"/>
            </w:tcBorders>
            <w:shd w:val="clear" w:color="auto" w:fill="E5F5E3"/>
            <w:noWrap/>
            <w:vAlign w:val="center"/>
            <w:hideMark/>
          </w:tcPr>
          <w:p w:rsidRPr="00672BA6" w:rsidR="003034B3" w:rsidRDefault="003034B3" w14:paraId="4521D73F" w14:textId="77777777">
            <w:pPr>
              <w:spacing w:after="0" w:line="240" w:lineRule="auto"/>
              <w:jc w:val="right"/>
              <w:rPr>
                <w:rFonts w:eastAsia="Times New Roman" w:asciiTheme="minorHAnsi" w:hAnsiTheme="minorHAnsi" w:cstheme="minorHAnsi"/>
                <w:color w:val="FF0000"/>
                <w:szCs w:val="24"/>
              </w:rPr>
            </w:pPr>
            <w:r w:rsidRPr="00672BA6">
              <w:rPr>
                <w:rFonts w:eastAsia="Times New Roman" w:asciiTheme="minorHAnsi" w:hAnsiTheme="minorHAnsi" w:cstheme="minorHAnsi"/>
                <w:color w:val="FF0000"/>
                <w:szCs w:val="24"/>
              </w:rPr>
              <w:t>Sep</w:t>
            </w:r>
          </w:p>
        </w:tc>
        <w:tc>
          <w:tcPr>
            <w:tcW w:w="432" w:type="dxa"/>
            <w:tcBorders>
              <w:left w:val="nil"/>
            </w:tcBorders>
            <w:shd w:val="clear" w:color="auto" w:fill="E5F5E3"/>
            <w:noWrap/>
            <w:vAlign w:val="center"/>
            <w:hideMark/>
          </w:tcPr>
          <w:p w:rsidRPr="00672BA6" w:rsidR="003034B3" w:rsidRDefault="006B056B" w14:paraId="3E4B58C3" w14:textId="07CA9545">
            <w:pPr>
              <w:spacing w:after="0" w:line="240" w:lineRule="auto"/>
              <w:rPr>
                <w:rFonts w:eastAsia="Times New Roman" w:asciiTheme="minorHAnsi" w:hAnsiTheme="minorHAnsi" w:cstheme="minorHAnsi"/>
                <w:color w:val="FF0000"/>
                <w:szCs w:val="24"/>
              </w:rPr>
            </w:pPr>
            <w:r w:rsidRPr="00672BA6">
              <w:rPr>
                <w:rFonts w:eastAsia="Times New Roman" w:asciiTheme="minorHAnsi" w:hAnsiTheme="minorHAnsi" w:cstheme="minorHAnsi"/>
                <w:color w:val="FF0000"/>
                <w:szCs w:val="24"/>
              </w:rPr>
              <w:t>2</w:t>
            </w:r>
          </w:p>
        </w:tc>
        <w:tc>
          <w:tcPr>
            <w:tcW w:w="864" w:type="dxa"/>
            <w:shd w:val="clear" w:color="auto" w:fill="E5F5E3"/>
            <w:noWrap/>
            <w:vAlign w:val="center"/>
            <w:hideMark/>
          </w:tcPr>
          <w:p w:rsidRPr="00672BA6" w:rsidR="003034B3" w:rsidRDefault="00631D11" w14:paraId="6B99189D" w14:textId="48F07B92">
            <w:pPr>
              <w:spacing w:after="0" w:line="240" w:lineRule="auto"/>
              <w:jc w:val="center"/>
              <w:rPr>
                <w:rFonts w:eastAsia="Times New Roman" w:asciiTheme="minorHAnsi" w:hAnsiTheme="minorHAnsi" w:cstheme="minorHAnsi"/>
                <w:color w:val="FF0000"/>
                <w:szCs w:val="24"/>
              </w:rPr>
            </w:pPr>
            <w:r w:rsidRPr="00672BA6">
              <w:rPr>
                <w:rFonts w:eastAsia="Times New Roman" w:asciiTheme="minorHAnsi" w:hAnsiTheme="minorHAnsi" w:cstheme="minorHAnsi"/>
                <w:color w:val="FF0000"/>
                <w:szCs w:val="24"/>
              </w:rPr>
              <w:t>Wed</w:t>
            </w:r>
          </w:p>
        </w:tc>
        <w:tc>
          <w:tcPr>
            <w:tcW w:w="1152" w:type="dxa"/>
            <w:shd w:val="clear" w:color="auto" w:fill="E5F5E3"/>
            <w:noWrap/>
            <w:vAlign w:val="center"/>
            <w:hideMark/>
          </w:tcPr>
          <w:p w:rsidRPr="00672BA6" w:rsidR="003034B3" w:rsidRDefault="003034B3" w14:paraId="6B522ED3" w14:textId="77777777">
            <w:pPr>
              <w:spacing w:after="0" w:line="240" w:lineRule="auto"/>
              <w:jc w:val="right"/>
              <w:rPr>
                <w:rFonts w:eastAsia="Times New Roman" w:asciiTheme="minorHAnsi" w:hAnsiTheme="minorHAnsi" w:cstheme="minorHAnsi"/>
                <w:color w:val="FF0000"/>
                <w:szCs w:val="24"/>
              </w:rPr>
            </w:pPr>
            <w:r w:rsidRPr="00672BA6">
              <w:rPr>
                <w:rFonts w:eastAsia="Times New Roman" w:asciiTheme="minorHAnsi" w:hAnsiTheme="minorHAnsi" w:cstheme="minorHAnsi"/>
                <w:color w:val="FF0000"/>
                <w:szCs w:val="24"/>
              </w:rPr>
              <w:t>100</w:t>
            </w:r>
          </w:p>
        </w:tc>
        <w:tc>
          <w:tcPr>
            <w:tcW w:w="1152" w:type="dxa"/>
            <w:shd w:val="clear" w:color="auto" w:fill="E5F5E3"/>
            <w:noWrap/>
            <w:vAlign w:val="center"/>
            <w:hideMark/>
          </w:tcPr>
          <w:p w:rsidRPr="00672BA6" w:rsidR="003034B3" w:rsidRDefault="003034B3" w14:paraId="4ADB5527" w14:textId="77777777">
            <w:pPr>
              <w:spacing w:after="0" w:line="240" w:lineRule="auto"/>
              <w:ind w:firstLine="240" w:firstLineChars="100"/>
              <w:jc w:val="right"/>
              <w:rPr>
                <w:rFonts w:eastAsia="Times New Roman" w:asciiTheme="minorHAnsi" w:hAnsiTheme="minorHAnsi" w:cstheme="minorHAnsi"/>
                <w:color w:val="FF0000"/>
                <w:szCs w:val="24"/>
              </w:rPr>
            </w:pPr>
            <w:r w:rsidRPr="00672BA6">
              <w:rPr>
                <w:rFonts w:eastAsia="Times New Roman" w:asciiTheme="minorHAnsi" w:hAnsiTheme="minorHAnsi" w:cstheme="minorHAnsi"/>
                <w:color w:val="FF0000"/>
                <w:szCs w:val="24"/>
              </w:rPr>
              <w:t>82.9</w:t>
            </w:r>
          </w:p>
        </w:tc>
      </w:tr>
      <w:tr w:rsidRPr="00E20D4D" w:rsidR="003A2673" w14:paraId="28D30B4D" w14:textId="77777777">
        <w:trPr>
          <w:trHeight w:val="288"/>
        </w:trPr>
        <w:tc>
          <w:tcPr>
            <w:tcW w:w="980" w:type="dxa"/>
            <w:shd w:val="clear" w:color="auto" w:fill="auto"/>
            <w:noWrap/>
            <w:vAlign w:val="center"/>
            <w:hideMark/>
          </w:tcPr>
          <w:p w:rsidRPr="007F1BB0" w:rsidR="003034B3" w:rsidRDefault="003034B3" w14:paraId="59316341"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CZ10</w:t>
            </w:r>
          </w:p>
        </w:tc>
        <w:tc>
          <w:tcPr>
            <w:tcW w:w="575" w:type="dxa"/>
            <w:tcBorders>
              <w:right w:val="nil"/>
            </w:tcBorders>
            <w:shd w:val="clear" w:color="auto" w:fill="E5F5FB" w:themeFill="accent6"/>
            <w:noWrap/>
            <w:vAlign w:val="center"/>
            <w:hideMark/>
          </w:tcPr>
          <w:p w:rsidRPr="007F1BB0" w:rsidR="003034B3" w:rsidRDefault="003034B3" w14:paraId="56B9A694"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Sep</w:t>
            </w:r>
          </w:p>
        </w:tc>
        <w:tc>
          <w:tcPr>
            <w:tcW w:w="434" w:type="dxa"/>
            <w:tcBorders>
              <w:left w:val="nil"/>
            </w:tcBorders>
            <w:shd w:val="clear" w:color="auto" w:fill="E5F5FB" w:themeFill="accent6"/>
            <w:noWrap/>
            <w:vAlign w:val="center"/>
            <w:hideMark/>
          </w:tcPr>
          <w:p w:rsidRPr="007F1BB0" w:rsidR="003034B3" w:rsidRDefault="003034B3" w14:paraId="2B38602C"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w:t>
            </w:r>
          </w:p>
        </w:tc>
        <w:tc>
          <w:tcPr>
            <w:tcW w:w="864" w:type="dxa"/>
            <w:shd w:val="clear" w:color="auto" w:fill="E5F5FB" w:themeFill="accent6"/>
            <w:noWrap/>
            <w:vAlign w:val="center"/>
            <w:hideMark/>
          </w:tcPr>
          <w:p w:rsidRPr="007F1BB0" w:rsidR="003034B3" w:rsidRDefault="003034B3" w14:paraId="2CCE3ABF"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Tue</w:t>
            </w:r>
          </w:p>
        </w:tc>
        <w:tc>
          <w:tcPr>
            <w:tcW w:w="1152" w:type="dxa"/>
            <w:shd w:val="clear" w:color="auto" w:fill="E5F5FB" w:themeFill="accent6"/>
            <w:noWrap/>
            <w:vAlign w:val="center"/>
            <w:hideMark/>
          </w:tcPr>
          <w:p w:rsidRPr="007F1BB0" w:rsidR="003034B3" w:rsidRDefault="003034B3" w14:paraId="7EB08527"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109</w:t>
            </w:r>
          </w:p>
        </w:tc>
        <w:tc>
          <w:tcPr>
            <w:tcW w:w="1152" w:type="dxa"/>
            <w:shd w:val="clear" w:color="auto" w:fill="E5F5FB" w:themeFill="accent6"/>
            <w:noWrap/>
            <w:vAlign w:val="center"/>
            <w:hideMark/>
          </w:tcPr>
          <w:p w:rsidRPr="007F1BB0" w:rsidR="003034B3" w:rsidRDefault="003034B3" w14:paraId="54F12C37"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86.3</w:t>
            </w:r>
          </w:p>
        </w:tc>
        <w:tc>
          <w:tcPr>
            <w:tcW w:w="576" w:type="dxa"/>
            <w:tcBorders>
              <w:right w:val="nil"/>
            </w:tcBorders>
            <w:shd w:val="clear" w:color="auto" w:fill="E5F5E3"/>
            <w:noWrap/>
            <w:vAlign w:val="center"/>
            <w:hideMark/>
          </w:tcPr>
          <w:p w:rsidRPr="007F1BB0" w:rsidR="003034B3" w:rsidRDefault="003034B3" w14:paraId="433A2E58"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Jun</w:t>
            </w:r>
          </w:p>
        </w:tc>
        <w:tc>
          <w:tcPr>
            <w:tcW w:w="432" w:type="dxa"/>
            <w:tcBorders>
              <w:left w:val="nil"/>
            </w:tcBorders>
            <w:shd w:val="clear" w:color="auto" w:fill="E5F5E3"/>
            <w:noWrap/>
            <w:vAlign w:val="center"/>
            <w:hideMark/>
          </w:tcPr>
          <w:p w:rsidRPr="007F1BB0" w:rsidR="003034B3" w:rsidRDefault="003034B3" w14:paraId="2A10C32E"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29</w:t>
            </w:r>
          </w:p>
        </w:tc>
        <w:tc>
          <w:tcPr>
            <w:tcW w:w="864" w:type="dxa"/>
            <w:shd w:val="clear" w:color="auto" w:fill="E5F5E3"/>
            <w:noWrap/>
            <w:vAlign w:val="center"/>
            <w:hideMark/>
          </w:tcPr>
          <w:p w:rsidRPr="007F1BB0" w:rsidR="003034B3" w:rsidRDefault="003034B3" w14:paraId="601C940D"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Mon</w:t>
            </w:r>
          </w:p>
        </w:tc>
        <w:tc>
          <w:tcPr>
            <w:tcW w:w="1152" w:type="dxa"/>
            <w:shd w:val="clear" w:color="auto" w:fill="E5F5E3"/>
            <w:noWrap/>
            <w:vAlign w:val="center"/>
            <w:hideMark/>
          </w:tcPr>
          <w:p w:rsidRPr="007F1BB0" w:rsidR="003034B3" w:rsidRDefault="003034B3" w14:paraId="4368967B"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105</w:t>
            </w:r>
          </w:p>
        </w:tc>
        <w:tc>
          <w:tcPr>
            <w:tcW w:w="1152" w:type="dxa"/>
            <w:shd w:val="clear" w:color="auto" w:fill="E5F5E3"/>
            <w:noWrap/>
            <w:vAlign w:val="center"/>
            <w:hideMark/>
          </w:tcPr>
          <w:p w:rsidRPr="007F1BB0" w:rsidR="003034B3" w:rsidRDefault="003034B3" w14:paraId="1E61CBC5"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85.5</w:t>
            </w:r>
          </w:p>
        </w:tc>
      </w:tr>
      <w:tr w:rsidRPr="00E20D4D" w:rsidR="003A2673" w14:paraId="5680251D" w14:textId="77777777">
        <w:trPr>
          <w:trHeight w:val="288"/>
        </w:trPr>
        <w:tc>
          <w:tcPr>
            <w:tcW w:w="980" w:type="dxa"/>
            <w:shd w:val="clear" w:color="auto" w:fill="auto"/>
            <w:noWrap/>
            <w:vAlign w:val="center"/>
            <w:hideMark/>
          </w:tcPr>
          <w:p w:rsidRPr="007F1BB0" w:rsidR="003034B3" w:rsidRDefault="003034B3" w14:paraId="43654E6E"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CZ11</w:t>
            </w:r>
          </w:p>
        </w:tc>
        <w:tc>
          <w:tcPr>
            <w:tcW w:w="575" w:type="dxa"/>
            <w:tcBorders>
              <w:right w:val="nil"/>
            </w:tcBorders>
            <w:shd w:val="clear" w:color="auto" w:fill="E5F5FB" w:themeFill="accent6"/>
            <w:noWrap/>
            <w:vAlign w:val="center"/>
            <w:hideMark/>
          </w:tcPr>
          <w:p w:rsidRPr="007F1BB0" w:rsidR="003034B3" w:rsidRDefault="003034B3" w14:paraId="207EBA6A"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Jul</w:t>
            </w:r>
          </w:p>
        </w:tc>
        <w:tc>
          <w:tcPr>
            <w:tcW w:w="434" w:type="dxa"/>
            <w:tcBorders>
              <w:left w:val="nil"/>
            </w:tcBorders>
            <w:shd w:val="clear" w:color="auto" w:fill="E5F5FB" w:themeFill="accent6"/>
            <w:noWrap/>
            <w:vAlign w:val="center"/>
            <w:hideMark/>
          </w:tcPr>
          <w:p w:rsidRPr="007F1BB0" w:rsidR="003034B3" w:rsidRDefault="003034B3" w14:paraId="38C22FED"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8</w:t>
            </w:r>
          </w:p>
        </w:tc>
        <w:tc>
          <w:tcPr>
            <w:tcW w:w="864" w:type="dxa"/>
            <w:shd w:val="clear" w:color="auto" w:fill="E5F5FB" w:themeFill="accent6"/>
            <w:noWrap/>
            <w:vAlign w:val="center"/>
            <w:hideMark/>
          </w:tcPr>
          <w:p w:rsidRPr="007F1BB0" w:rsidR="003034B3" w:rsidRDefault="003034B3" w14:paraId="0CB57283"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Wed</w:t>
            </w:r>
          </w:p>
        </w:tc>
        <w:tc>
          <w:tcPr>
            <w:tcW w:w="1152" w:type="dxa"/>
            <w:shd w:val="clear" w:color="auto" w:fill="E5F5FB" w:themeFill="accent6"/>
            <w:noWrap/>
            <w:vAlign w:val="center"/>
            <w:hideMark/>
          </w:tcPr>
          <w:p w:rsidRPr="007F1BB0" w:rsidR="003034B3" w:rsidRDefault="003034B3" w14:paraId="27F6D625"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113</w:t>
            </w:r>
          </w:p>
        </w:tc>
        <w:tc>
          <w:tcPr>
            <w:tcW w:w="1152" w:type="dxa"/>
            <w:shd w:val="clear" w:color="auto" w:fill="E5F5FB" w:themeFill="accent6"/>
            <w:noWrap/>
            <w:vAlign w:val="center"/>
            <w:hideMark/>
          </w:tcPr>
          <w:p w:rsidRPr="007F1BB0" w:rsidR="003034B3" w:rsidRDefault="003034B3" w14:paraId="43821904"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88.3</w:t>
            </w:r>
          </w:p>
        </w:tc>
        <w:tc>
          <w:tcPr>
            <w:tcW w:w="576" w:type="dxa"/>
            <w:tcBorders>
              <w:right w:val="nil"/>
            </w:tcBorders>
            <w:shd w:val="clear" w:color="auto" w:fill="E5F5E3"/>
            <w:noWrap/>
            <w:vAlign w:val="center"/>
            <w:hideMark/>
          </w:tcPr>
          <w:p w:rsidRPr="003D2BD6" w:rsidR="003034B3" w:rsidRDefault="00951D33" w14:paraId="7106848B" w14:textId="1BB4A7EA">
            <w:pPr>
              <w:spacing w:after="0" w:line="240" w:lineRule="auto"/>
              <w:jc w:val="right"/>
              <w:rPr>
                <w:rFonts w:eastAsia="Times New Roman" w:asciiTheme="minorHAnsi" w:hAnsiTheme="minorHAnsi" w:cstheme="minorHAnsi"/>
                <w:color w:val="FF0000"/>
                <w:szCs w:val="24"/>
              </w:rPr>
            </w:pPr>
            <w:r w:rsidRPr="003D2BD6">
              <w:rPr>
                <w:rFonts w:eastAsia="Times New Roman" w:asciiTheme="minorHAnsi" w:hAnsiTheme="minorHAnsi" w:cstheme="minorHAnsi"/>
                <w:color w:val="FF0000"/>
                <w:szCs w:val="24"/>
              </w:rPr>
              <w:t>Aug</w:t>
            </w:r>
          </w:p>
        </w:tc>
        <w:tc>
          <w:tcPr>
            <w:tcW w:w="432" w:type="dxa"/>
            <w:tcBorders>
              <w:left w:val="nil"/>
            </w:tcBorders>
            <w:shd w:val="clear" w:color="auto" w:fill="E5F5E3"/>
            <w:noWrap/>
            <w:vAlign w:val="center"/>
            <w:hideMark/>
          </w:tcPr>
          <w:p w:rsidRPr="003D2BD6" w:rsidR="003034B3" w:rsidRDefault="00951D33" w14:paraId="2217BD63" w14:textId="3937700A">
            <w:pPr>
              <w:spacing w:after="0" w:line="240" w:lineRule="auto"/>
              <w:rPr>
                <w:rFonts w:eastAsia="Times New Roman" w:asciiTheme="minorHAnsi" w:hAnsiTheme="minorHAnsi" w:cstheme="minorHAnsi"/>
                <w:color w:val="FF0000"/>
                <w:szCs w:val="24"/>
              </w:rPr>
            </w:pPr>
            <w:r w:rsidRPr="003D2BD6">
              <w:rPr>
                <w:rFonts w:eastAsia="Times New Roman" w:asciiTheme="minorHAnsi" w:hAnsiTheme="minorHAnsi" w:cstheme="minorHAnsi"/>
                <w:color w:val="FF0000"/>
                <w:szCs w:val="24"/>
              </w:rPr>
              <w:t>12</w:t>
            </w:r>
          </w:p>
        </w:tc>
        <w:tc>
          <w:tcPr>
            <w:tcW w:w="864" w:type="dxa"/>
            <w:shd w:val="clear" w:color="auto" w:fill="E5F5E3"/>
            <w:noWrap/>
            <w:vAlign w:val="center"/>
            <w:hideMark/>
          </w:tcPr>
          <w:p w:rsidRPr="003D2BD6" w:rsidR="003034B3" w:rsidRDefault="00951D33" w14:paraId="03C9403B" w14:textId="62297937">
            <w:pPr>
              <w:spacing w:after="0" w:line="240" w:lineRule="auto"/>
              <w:jc w:val="center"/>
              <w:rPr>
                <w:rFonts w:eastAsia="Times New Roman" w:asciiTheme="minorHAnsi" w:hAnsiTheme="minorHAnsi" w:cstheme="minorHAnsi"/>
                <w:color w:val="FF0000"/>
                <w:szCs w:val="24"/>
              </w:rPr>
            </w:pPr>
            <w:r w:rsidRPr="003D2BD6">
              <w:rPr>
                <w:rFonts w:eastAsia="Times New Roman" w:asciiTheme="minorHAnsi" w:hAnsiTheme="minorHAnsi" w:cstheme="minorHAnsi"/>
                <w:color w:val="FF0000"/>
                <w:szCs w:val="24"/>
              </w:rPr>
              <w:t>Wed</w:t>
            </w:r>
          </w:p>
        </w:tc>
        <w:tc>
          <w:tcPr>
            <w:tcW w:w="1152" w:type="dxa"/>
            <w:shd w:val="clear" w:color="auto" w:fill="E5F5E3"/>
            <w:noWrap/>
            <w:vAlign w:val="center"/>
            <w:hideMark/>
          </w:tcPr>
          <w:p w:rsidRPr="003D2BD6" w:rsidR="003034B3" w:rsidRDefault="003034B3" w14:paraId="5AB1D2ED" w14:textId="77777777">
            <w:pPr>
              <w:spacing w:after="0" w:line="240" w:lineRule="auto"/>
              <w:jc w:val="right"/>
              <w:rPr>
                <w:rFonts w:eastAsia="Times New Roman" w:asciiTheme="minorHAnsi" w:hAnsiTheme="minorHAnsi" w:cstheme="minorHAnsi"/>
                <w:color w:val="FF0000"/>
                <w:szCs w:val="24"/>
              </w:rPr>
            </w:pPr>
            <w:r w:rsidRPr="003D2BD6">
              <w:rPr>
                <w:rFonts w:eastAsia="Times New Roman" w:asciiTheme="minorHAnsi" w:hAnsiTheme="minorHAnsi" w:cstheme="minorHAnsi"/>
                <w:color w:val="FF0000"/>
                <w:szCs w:val="24"/>
              </w:rPr>
              <w:t>110</w:t>
            </w:r>
          </w:p>
        </w:tc>
        <w:tc>
          <w:tcPr>
            <w:tcW w:w="1152" w:type="dxa"/>
            <w:shd w:val="clear" w:color="auto" w:fill="E5F5E3"/>
            <w:noWrap/>
            <w:vAlign w:val="center"/>
            <w:hideMark/>
          </w:tcPr>
          <w:p w:rsidRPr="003D2BD6" w:rsidR="003034B3" w:rsidRDefault="003034B3" w14:paraId="72F5B07A" w14:textId="77777777">
            <w:pPr>
              <w:spacing w:after="0" w:line="240" w:lineRule="auto"/>
              <w:ind w:firstLine="240" w:firstLineChars="100"/>
              <w:jc w:val="right"/>
              <w:rPr>
                <w:rFonts w:eastAsia="Times New Roman" w:asciiTheme="minorHAnsi" w:hAnsiTheme="minorHAnsi" w:cstheme="minorHAnsi"/>
                <w:color w:val="FF0000"/>
                <w:szCs w:val="24"/>
              </w:rPr>
            </w:pPr>
            <w:r w:rsidRPr="003D2BD6">
              <w:rPr>
                <w:rFonts w:eastAsia="Times New Roman" w:asciiTheme="minorHAnsi" w:hAnsiTheme="minorHAnsi" w:cstheme="minorHAnsi"/>
                <w:color w:val="FF0000"/>
                <w:szCs w:val="24"/>
              </w:rPr>
              <w:t>90.2</w:t>
            </w:r>
          </w:p>
        </w:tc>
      </w:tr>
      <w:tr w:rsidRPr="00E20D4D" w:rsidR="003A2673" w14:paraId="72CFFC06" w14:textId="77777777">
        <w:trPr>
          <w:trHeight w:val="288"/>
        </w:trPr>
        <w:tc>
          <w:tcPr>
            <w:tcW w:w="980" w:type="dxa"/>
            <w:shd w:val="clear" w:color="auto" w:fill="auto"/>
            <w:noWrap/>
            <w:vAlign w:val="center"/>
            <w:hideMark/>
          </w:tcPr>
          <w:p w:rsidRPr="007F1BB0" w:rsidR="003034B3" w:rsidRDefault="003034B3" w14:paraId="0D1CBFDA"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CZ12</w:t>
            </w:r>
          </w:p>
        </w:tc>
        <w:tc>
          <w:tcPr>
            <w:tcW w:w="575" w:type="dxa"/>
            <w:tcBorders>
              <w:right w:val="nil"/>
            </w:tcBorders>
            <w:shd w:val="clear" w:color="auto" w:fill="E5F5FB" w:themeFill="accent6"/>
            <w:noWrap/>
            <w:vAlign w:val="center"/>
            <w:hideMark/>
          </w:tcPr>
          <w:p w:rsidRPr="007F1BB0" w:rsidR="003034B3" w:rsidRDefault="003034B3" w14:paraId="22F8BA68"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Jul</w:t>
            </w:r>
          </w:p>
        </w:tc>
        <w:tc>
          <w:tcPr>
            <w:tcW w:w="434" w:type="dxa"/>
            <w:tcBorders>
              <w:left w:val="nil"/>
            </w:tcBorders>
            <w:shd w:val="clear" w:color="auto" w:fill="E5F5FB" w:themeFill="accent6"/>
            <w:noWrap/>
            <w:vAlign w:val="center"/>
            <w:hideMark/>
          </w:tcPr>
          <w:p w:rsidRPr="007F1BB0" w:rsidR="003034B3" w:rsidRDefault="003034B3" w14:paraId="3B13E1B4"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8</w:t>
            </w:r>
          </w:p>
        </w:tc>
        <w:tc>
          <w:tcPr>
            <w:tcW w:w="864" w:type="dxa"/>
            <w:shd w:val="clear" w:color="auto" w:fill="E5F5FB" w:themeFill="accent6"/>
            <w:noWrap/>
            <w:vAlign w:val="center"/>
            <w:hideMark/>
          </w:tcPr>
          <w:p w:rsidRPr="007F1BB0" w:rsidR="003034B3" w:rsidRDefault="003034B3" w14:paraId="04C67988"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Wed</w:t>
            </w:r>
          </w:p>
        </w:tc>
        <w:tc>
          <w:tcPr>
            <w:tcW w:w="1152" w:type="dxa"/>
            <w:shd w:val="clear" w:color="auto" w:fill="E5F5FB" w:themeFill="accent6"/>
            <w:noWrap/>
            <w:vAlign w:val="center"/>
            <w:hideMark/>
          </w:tcPr>
          <w:p w:rsidRPr="007F1BB0" w:rsidR="003034B3" w:rsidRDefault="003034B3" w14:paraId="4D31004A"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109</w:t>
            </w:r>
          </w:p>
        </w:tc>
        <w:tc>
          <w:tcPr>
            <w:tcW w:w="1152" w:type="dxa"/>
            <w:shd w:val="clear" w:color="auto" w:fill="E5F5FB" w:themeFill="accent6"/>
            <w:noWrap/>
            <w:vAlign w:val="center"/>
            <w:hideMark/>
          </w:tcPr>
          <w:p w:rsidRPr="007F1BB0" w:rsidR="003034B3" w:rsidRDefault="003034B3" w14:paraId="6BE50553"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82.4</w:t>
            </w:r>
          </w:p>
        </w:tc>
        <w:tc>
          <w:tcPr>
            <w:tcW w:w="576" w:type="dxa"/>
            <w:tcBorders>
              <w:right w:val="nil"/>
            </w:tcBorders>
            <w:shd w:val="clear" w:color="auto" w:fill="E5F5E3"/>
            <w:noWrap/>
            <w:vAlign w:val="center"/>
            <w:hideMark/>
          </w:tcPr>
          <w:p w:rsidRPr="007F1BB0" w:rsidR="003034B3" w:rsidRDefault="003034B3" w14:paraId="4C0A3750"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Jun</w:t>
            </w:r>
          </w:p>
        </w:tc>
        <w:tc>
          <w:tcPr>
            <w:tcW w:w="432" w:type="dxa"/>
            <w:tcBorders>
              <w:left w:val="nil"/>
            </w:tcBorders>
            <w:shd w:val="clear" w:color="auto" w:fill="E5F5E3"/>
            <w:noWrap/>
            <w:vAlign w:val="center"/>
            <w:hideMark/>
          </w:tcPr>
          <w:p w:rsidRPr="007F1BB0" w:rsidR="003034B3" w:rsidRDefault="003034B3" w14:paraId="3EF8E323"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29</w:t>
            </w:r>
          </w:p>
        </w:tc>
        <w:tc>
          <w:tcPr>
            <w:tcW w:w="864" w:type="dxa"/>
            <w:shd w:val="clear" w:color="auto" w:fill="E5F5E3"/>
            <w:noWrap/>
            <w:vAlign w:val="center"/>
            <w:hideMark/>
          </w:tcPr>
          <w:p w:rsidRPr="007F1BB0" w:rsidR="003034B3" w:rsidRDefault="003034B3" w14:paraId="6D2E7ED8"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Mon</w:t>
            </w:r>
          </w:p>
        </w:tc>
        <w:tc>
          <w:tcPr>
            <w:tcW w:w="1152" w:type="dxa"/>
            <w:shd w:val="clear" w:color="auto" w:fill="E5F5E3"/>
            <w:noWrap/>
            <w:vAlign w:val="center"/>
            <w:hideMark/>
          </w:tcPr>
          <w:p w:rsidRPr="007F1BB0" w:rsidR="003034B3" w:rsidRDefault="003034B3" w14:paraId="2BC50919"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107</w:t>
            </w:r>
          </w:p>
        </w:tc>
        <w:tc>
          <w:tcPr>
            <w:tcW w:w="1152" w:type="dxa"/>
            <w:shd w:val="clear" w:color="auto" w:fill="E5F5E3"/>
            <w:noWrap/>
            <w:vAlign w:val="center"/>
            <w:hideMark/>
          </w:tcPr>
          <w:p w:rsidRPr="007F1BB0" w:rsidR="003034B3" w:rsidRDefault="003034B3" w14:paraId="40FADBD3"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84.5</w:t>
            </w:r>
          </w:p>
        </w:tc>
      </w:tr>
      <w:tr w:rsidRPr="00E20D4D" w:rsidR="003A2673" w14:paraId="5B9F8BAB" w14:textId="77777777">
        <w:trPr>
          <w:trHeight w:val="288"/>
        </w:trPr>
        <w:tc>
          <w:tcPr>
            <w:tcW w:w="980" w:type="dxa"/>
            <w:shd w:val="clear" w:color="auto" w:fill="auto"/>
            <w:noWrap/>
            <w:vAlign w:val="center"/>
            <w:hideMark/>
          </w:tcPr>
          <w:p w:rsidRPr="007F1BB0" w:rsidR="003034B3" w:rsidRDefault="003034B3" w14:paraId="3004723C"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CZ13</w:t>
            </w:r>
          </w:p>
        </w:tc>
        <w:tc>
          <w:tcPr>
            <w:tcW w:w="575" w:type="dxa"/>
            <w:tcBorders>
              <w:right w:val="nil"/>
            </w:tcBorders>
            <w:shd w:val="clear" w:color="auto" w:fill="E5F5FB" w:themeFill="accent6"/>
            <w:noWrap/>
            <w:vAlign w:val="center"/>
            <w:hideMark/>
          </w:tcPr>
          <w:p w:rsidRPr="007F1BB0" w:rsidR="003034B3" w:rsidRDefault="003034B3" w14:paraId="359F2B9C"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Jul</w:t>
            </w:r>
          </w:p>
        </w:tc>
        <w:tc>
          <w:tcPr>
            <w:tcW w:w="434" w:type="dxa"/>
            <w:tcBorders>
              <w:left w:val="nil"/>
            </w:tcBorders>
            <w:shd w:val="clear" w:color="auto" w:fill="E5F5FB" w:themeFill="accent6"/>
            <w:noWrap/>
            <w:vAlign w:val="center"/>
            <w:hideMark/>
          </w:tcPr>
          <w:p w:rsidRPr="007F1BB0" w:rsidR="003034B3" w:rsidRDefault="003034B3" w14:paraId="3658C1E9"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8</w:t>
            </w:r>
          </w:p>
        </w:tc>
        <w:tc>
          <w:tcPr>
            <w:tcW w:w="864" w:type="dxa"/>
            <w:shd w:val="clear" w:color="auto" w:fill="E5F5FB" w:themeFill="accent6"/>
            <w:noWrap/>
            <w:vAlign w:val="center"/>
            <w:hideMark/>
          </w:tcPr>
          <w:p w:rsidRPr="007F1BB0" w:rsidR="003034B3" w:rsidRDefault="003034B3" w14:paraId="0613D101"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Wed</w:t>
            </w:r>
          </w:p>
        </w:tc>
        <w:tc>
          <w:tcPr>
            <w:tcW w:w="1152" w:type="dxa"/>
            <w:shd w:val="clear" w:color="auto" w:fill="E5F5FB" w:themeFill="accent6"/>
            <w:noWrap/>
            <w:vAlign w:val="center"/>
            <w:hideMark/>
          </w:tcPr>
          <w:p w:rsidRPr="007F1BB0" w:rsidR="003034B3" w:rsidRDefault="003034B3" w14:paraId="4145C02C"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108</w:t>
            </w:r>
          </w:p>
        </w:tc>
        <w:tc>
          <w:tcPr>
            <w:tcW w:w="1152" w:type="dxa"/>
            <w:shd w:val="clear" w:color="auto" w:fill="E5F5FB" w:themeFill="accent6"/>
            <w:noWrap/>
            <w:vAlign w:val="center"/>
            <w:hideMark/>
          </w:tcPr>
          <w:p w:rsidRPr="007F1BB0" w:rsidR="003034B3" w:rsidRDefault="003034B3" w14:paraId="2BEA234A"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86.7</w:t>
            </w:r>
          </w:p>
        </w:tc>
        <w:tc>
          <w:tcPr>
            <w:tcW w:w="576" w:type="dxa"/>
            <w:tcBorders>
              <w:right w:val="nil"/>
            </w:tcBorders>
            <w:shd w:val="clear" w:color="auto" w:fill="E5F5E3"/>
            <w:noWrap/>
            <w:vAlign w:val="center"/>
            <w:hideMark/>
          </w:tcPr>
          <w:p w:rsidRPr="007F1BB0" w:rsidR="003034B3" w:rsidRDefault="003034B3" w14:paraId="5058966A"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Jun</w:t>
            </w:r>
          </w:p>
        </w:tc>
        <w:tc>
          <w:tcPr>
            <w:tcW w:w="432" w:type="dxa"/>
            <w:tcBorders>
              <w:left w:val="nil"/>
            </w:tcBorders>
            <w:shd w:val="clear" w:color="auto" w:fill="E5F5E3"/>
            <w:noWrap/>
            <w:vAlign w:val="center"/>
            <w:hideMark/>
          </w:tcPr>
          <w:p w:rsidRPr="007F1BB0" w:rsidR="003034B3" w:rsidRDefault="003034B3" w14:paraId="718F33C0"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29</w:t>
            </w:r>
          </w:p>
        </w:tc>
        <w:tc>
          <w:tcPr>
            <w:tcW w:w="864" w:type="dxa"/>
            <w:shd w:val="clear" w:color="auto" w:fill="E5F5E3"/>
            <w:noWrap/>
            <w:vAlign w:val="center"/>
            <w:hideMark/>
          </w:tcPr>
          <w:p w:rsidRPr="007F1BB0" w:rsidR="003034B3" w:rsidRDefault="003034B3" w14:paraId="1DC14563"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Mon</w:t>
            </w:r>
          </w:p>
        </w:tc>
        <w:tc>
          <w:tcPr>
            <w:tcW w:w="1152" w:type="dxa"/>
            <w:shd w:val="clear" w:color="auto" w:fill="E5F5E3"/>
            <w:noWrap/>
            <w:vAlign w:val="center"/>
            <w:hideMark/>
          </w:tcPr>
          <w:p w:rsidRPr="007F1BB0" w:rsidR="003034B3" w:rsidRDefault="003034B3" w14:paraId="1A8FAB87"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109</w:t>
            </w:r>
          </w:p>
        </w:tc>
        <w:tc>
          <w:tcPr>
            <w:tcW w:w="1152" w:type="dxa"/>
            <w:shd w:val="clear" w:color="auto" w:fill="E5F5E3"/>
            <w:noWrap/>
            <w:vAlign w:val="center"/>
            <w:hideMark/>
          </w:tcPr>
          <w:p w:rsidRPr="007F1BB0" w:rsidR="003034B3" w:rsidRDefault="003034B3" w14:paraId="14B4153D"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90.6</w:t>
            </w:r>
          </w:p>
        </w:tc>
      </w:tr>
      <w:tr w:rsidRPr="00E20D4D" w:rsidR="003A2673" w14:paraId="59B847A0" w14:textId="77777777">
        <w:trPr>
          <w:trHeight w:val="288"/>
        </w:trPr>
        <w:tc>
          <w:tcPr>
            <w:tcW w:w="980" w:type="dxa"/>
            <w:shd w:val="clear" w:color="auto" w:fill="auto"/>
            <w:noWrap/>
            <w:vAlign w:val="center"/>
            <w:hideMark/>
          </w:tcPr>
          <w:p w:rsidRPr="007F1BB0" w:rsidR="003034B3" w:rsidRDefault="003034B3" w14:paraId="12BDF60A"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CZ14</w:t>
            </w:r>
          </w:p>
        </w:tc>
        <w:tc>
          <w:tcPr>
            <w:tcW w:w="575" w:type="dxa"/>
            <w:tcBorders>
              <w:right w:val="nil"/>
            </w:tcBorders>
            <w:shd w:val="clear" w:color="auto" w:fill="E5F5FB" w:themeFill="accent6"/>
            <w:noWrap/>
            <w:vAlign w:val="center"/>
            <w:hideMark/>
          </w:tcPr>
          <w:p w:rsidRPr="007F1BB0" w:rsidR="003034B3" w:rsidRDefault="003034B3" w14:paraId="1C94AC16"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Aug</w:t>
            </w:r>
          </w:p>
        </w:tc>
        <w:tc>
          <w:tcPr>
            <w:tcW w:w="434" w:type="dxa"/>
            <w:tcBorders>
              <w:left w:val="nil"/>
            </w:tcBorders>
            <w:shd w:val="clear" w:color="auto" w:fill="E5F5FB" w:themeFill="accent6"/>
            <w:noWrap/>
            <w:vAlign w:val="center"/>
            <w:hideMark/>
          </w:tcPr>
          <w:p w:rsidRPr="007F1BB0" w:rsidR="003034B3" w:rsidRDefault="003034B3" w14:paraId="0E9A824A"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26</w:t>
            </w:r>
          </w:p>
        </w:tc>
        <w:tc>
          <w:tcPr>
            <w:tcW w:w="864" w:type="dxa"/>
            <w:shd w:val="clear" w:color="auto" w:fill="E5F5FB" w:themeFill="accent6"/>
            <w:noWrap/>
            <w:vAlign w:val="center"/>
            <w:hideMark/>
          </w:tcPr>
          <w:p w:rsidRPr="007F1BB0" w:rsidR="003034B3" w:rsidRDefault="003034B3" w14:paraId="5885107F"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Wed</w:t>
            </w:r>
          </w:p>
        </w:tc>
        <w:tc>
          <w:tcPr>
            <w:tcW w:w="1152" w:type="dxa"/>
            <w:shd w:val="clear" w:color="auto" w:fill="E5F5FB" w:themeFill="accent6"/>
            <w:noWrap/>
            <w:vAlign w:val="center"/>
            <w:hideMark/>
          </w:tcPr>
          <w:p w:rsidRPr="007F1BB0" w:rsidR="003034B3" w:rsidRDefault="003034B3" w14:paraId="03D6BA26"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105</w:t>
            </w:r>
          </w:p>
        </w:tc>
        <w:tc>
          <w:tcPr>
            <w:tcW w:w="1152" w:type="dxa"/>
            <w:shd w:val="clear" w:color="auto" w:fill="E5F5FB" w:themeFill="accent6"/>
            <w:noWrap/>
            <w:vAlign w:val="center"/>
            <w:hideMark/>
          </w:tcPr>
          <w:p w:rsidRPr="007F1BB0" w:rsidR="003034B3" w:rsidRDefault="003034B3" w14:paraId="5FAFE765"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86.8</w:t>
            </w:r>
          </w:p>
        </w:tc>
        <w:tc>
          <w:tcPr>
            <w:tcW w:w="576" w:type="dxa"/>
            <w:tcBorders>
              <w:right w:val="nil"/>
            </w:tcBorders>
            <w:shd w:val="clear" w:color="auto" w:fill="E5F5E3"/>
            <w:noWrap/>
            <w:vAlign w:val="center"/>
            <w:hideMark/>
          </w:tcPr>
          <w:p w:rsidRPr="007F1BB0" w:rsidR="003034B3" w:rsidRDefault="003034B3" w14:paraId="7A4CF23E"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Jun</w:t>
            </w:r>
          </w:p>
        </w:tc>
        <w:tc>
          <w:tcPr>
            <w:tcW w:w="432" w:type="dxa"/>
            <w:tcBorders>
              <w:left w:val="nil"/>
            </w:tcBorders>
            <w:shd w:val="clear" w:color="auto" w:fill="E5F5E3"/>
            <w:noWrap/>
            <w:vAlign w:val="center"/>
            <w:hideMark/>
          </w:tcPr>
          <w:p w:rsidRPr="007F1BB0" w:rsidR="003034B3" w:rsidRDefault="003034B3" w14:paraId="74F62B95"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29</w:t>
            </w:r>
          </w:p>
        </w:tc>
        <w:tc>
          <w:tcPr>
            <w:tcW w:w="864" w:type="dxa"/>
            <w:shd w:val="clear" w:color="auto" w:fill="E5F5E3"/>
            <w:noWrap/>
            <w:vAlign w:val="center"/>
            <w:hideMark/>
          </w:tcPr>
          <w:p w:rsidRPr="007F1BB0" w:rsidR="003034B3" w:rsidRDefault="003034B3" w14:paraId="22F2E519"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Mon</w:t>
            </w:r>
          </w:p>
        </w:tc>
        <w:tc>
          <w:tcPr>
            <w:tcW w:w="1152" w:type="dxa"/>
            <w:shd w:val="clear" w:color="auto" w:fill="E5F5E3"/>
            <w:noWrap/>
            <w:vAlign w:val="center"/>
            <w:hideMark/>
          </w:tcPr>
          <w:p w:rsidRPr="007F1BB0" w:rsidR="003034B3" w:rsidRDefault="003034B3" w14:paraId="5B4BAE32"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109</w:t>
            </w:r>
          </w:p>
        </w:tc>
        <w:tc>
          <w:tcPr>
            <w:tcW w:w="1152" w:type="dxa"/>
            <w:shd w:val="clear" w:color="auto" w:fill="E5F5E3"/>
            <w:noWrap/>
            <w:vAlign w:val="center"/>
            <w:hideMark/>
          </w:tcPr>
          <w:p w:rsidRPr="007F1BB0" w:rsidR="003034B3" w:rsidRDefault="003034B3" w14:paraId="0166A443"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88.9</w:t>
            </w:r>
          </w:p>
        </w:tc>
      </w:tr>
      <w:tr w:rsidRPr="00E20D4D" w:rsidR="003A2673" w14:paraId="6300D271" w14:textId="77777777">
        <w:trPr>
          <w:trHeight w:val="288"/>
        </w:trPr>
        <w:tc>
          <w:tcPr>
            <w:tcW w:w="980" w:type="dxa"/>
            <w:shd w:val="clear" w:color="auto" w:fill="auto"/>
            <w:noWrap/>
            <w:vAlign w:val="center"/>
            <w:hideMark/>
          </w:tcPr>
          <w:p w:rsidRPr="007F1BB0" w:rsidR="003034B3" w:rsidRDefault="003034B3" w14:paraId="0DA0A231"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CZ15</w:t>
            </w:r>
          </w:p>
        </w:tc>
        <w:tc>
          <w:tcPr>
            <w:tcW w:w="575" w:type="dxa"/>
            <w:tcBorders>
              <w:right w:val="nil"/>
            </w:tcBorders>
            <w:shd w:val="clear" w:color="auto" w:fill="E5F5FB" w:themeFill="accent6"/>
            <w:noWrap/>
            <w:vAlign w:val="center"/>
            <w:hideMark/>
          </w:tcPr>
          <w:p w:rsidRPr="007F1BB0" w:rsidR="003034B3" w:rsidRDefault="003034B3" w14:paraId="667AE14E"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Aug</w:t>
            </w:r>
          </w:p>
        </w:tc>
        <w:tc>
          <w:tcPr>
            <w:tcW w:w="434" w:type="dxa"/>
            <w:tcBorders>
              <w:left w:val="nil"/>
            </w:tcBorders>
            <w:shd w:val="clear" w:color="auto" w:fill="E5F5FB" w:themeFill="accent6"/>
            <w:noWrap/>
            <w:vAlign w:val="center"/>
            <w:hideMark/>
          </w:tcPr>
          <w:p w:rsidRPr="007F1BB0" w:rsidR="003034B3" w:rsidRDefault="003034B3" w14:paraId="13224D52"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25</w:t>
            </w:r>
          </w:p>
        </w:tc>
        <w:tc>
          <w:tcPr>
            <w:tcW w:w="864" w:type="dxa"/>
            <w:shd w:val="clear" w:color="auto" w:fill="E5F5FB" w:themeFill="accent6"/>
            <w:noWrap/>
            <w:vAlign w:val="center"/>
            <w:hideMark/>
          </w:tcPr>
          <w:p w:rsidRPr="007F1BB0" w:rsidR="003034B3" w:rsidRDefault="003034B3" w14:paraId="25FD106B"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Tue</w:t>
            </w:r>
          </w:p>
        </w:tc>
        <w:tc>
          <w:tcPr>
            <w:tcW w:w="1152" w:type="dxa"/>
            <w:shd w:val="clear" w:color="auto" w:fill="E5F5FB" w:themeFill="accent6"/>
            <w:noWrap/>
            <w:vAlign w:val="center"/>
            <w:hideMark/>
          </w:tcPr>
          <w:p w:rsidRPr="007F1BB0" w:rsidR="003034B3" w:rsidRDefault="003034B3" w14:paraId="786B933D"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112</w:t>
            </w:r>
          </w:p>
        </w:tc>
        <w:tc>
          <w:tcPr>
            <w:tcW w:w="1152" w:type="dxa"/>
            <w:shd w:val="clear" w:color="auto" w:fill="E5F5FB" w:themeFill="accent6"/>
            <w:noWrap/>
            <w:vAlign w:val="center"/>
            <w:hideMark/>
          </w:tcPr>
          <w:p w:rsidRPr="007F1BB0" w:rsidR="003034B3" w:rsidRDefault="003034B3" w14:paraId="51FC781B"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97.5</w:t>
            </w:r>
          </w:p>
        </w:tc>
        <w:tc>
          <w:tcPr>
            <w:tcW w:w="576" w:type="dxa"/>
            <w:tcBorders>
              <w:right w:val="nil"/>
            </w:tcBorders>
            <w:shd w:val="clear" w:color="auto" w:fill="E5F5E3"/>
            <w:noWrap/>
            <w:vAlign w:val="center"/>
            <w:hideMark/>
          </w:tcPr>
          <w:p w:rsidRPr="007F1BB0" w:rsidR="003034B3" w:rsidRDefault="003034B3" w14:paraId="5D9881D8"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Jun</w:t>
            </w:r>
          </w:p>
        </w:tc>
        <w:tc>
          <w:tcPr>
            <w:tcW w:w="432" w:type="dxa"/>
            <w:tcBorders>
              <w:left w:val="nil"/>
            </w:tcBorders>
            <w:shd w:val="clear" w:color="auto" w:fill="E5F5E3"/>
            <w:noWrap/>
            <w:vAlign w:val="center"/>
            <w:hideMark/>
          </w:tcPr>
          <w:p w:rsidRPr="007F1BB0" w:rsidR="003034B3" w:rsidRDefault="003034B3" w14:paraId="3EBA13BC"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29</w:t>
            </w:r>
          </w:p>
        </w:tc>
        <w:tc>
          <w:tcPr>
            <w:tcW w:w="864" w:type="dxa"/>
            <w:shd w:val="clear" w:color="auto" w:fill="E5F5E3"/>
            <w:noWrap/>
            <w:vAlign w:val="center"/>
            <w:hideMark/>
          </w:tcPr>
          <w:p w:rsidRPr="007F1BB0" w:rsidR="003034B3" w:rsidRDefault="003034B3" w14:paraId="0393EC17"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Mon</w:t>
            </w:r>
          </w:p>
        </w:tc>
        <w:tc>
          <w:tcPr>
            <w:tcW w:w="1152" w:type="dxa"/>
            <w:shd w:val="clear" w:color="auto" w:fill="E5F5E3"/>
            <w:noWrap/>
            <w:vAlign w:val="center"/>
            <w:hideMark/>
          </w:tcPr>
          <w:p w:rsidRPr="007F1BB0" w:rsidR="003034B3" w:rsidRDefault="003034B3" w14:paraId="5CD4EB32"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120</w:t>
            </w:r>
          </w:p>
        </w:tc>
        <w:tc>
          <w:tcPr>
            <w:tcW w:w="1152" w:type="dxa"/>
            <w:shd w:val="clear" w:color="auto" w:fill="E5F5E3"/>
            <w:noWrap/>
            <w:vAlign w:val="center"/>
            <w:hideMark/>
          </w:tcPr>
          <w:p w:rsidRPr="007F1BB0" w:rsidR="003034B3" w:rsidRDefault="003034B3" w14:paraId="6F4FC9E2"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100.8</w:t>
            </w:r>
          </w:p>
        </w:tc>
      </w:tr>
      <w:tr w:rsidRPr="00E20D4D" w:rsidR="003A2673" w14:paraId="1F70280F" w14:textId="77777777">
        <w:trPr>
          <w:trHeight w:val="288"/>
        </w:trPr>
        <w:tc>
          <w:tcPr>
            <w:tcW w:w="980" w:type="dxa"/>
            <w:shd w:val="clear" w:color="auto" w:fill="auto"/>
            <w:noWrap/>
            <w:vAlign w:val="center"/>
            <w:hideMark/>
          </w:tcPr>
          <w:p w:rsidRPr="007F1BB0" w:rsidR="003034B3" w:rsidRDefault="003034B3" w14:paraId="31963642"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CZ16</w:t>
            </w:r>
          </w:p>
        </w:tc>
        <w:tc>
          <w:tcPr>
            <w:tcW w:w="575" w:type="dxa"/>
            <w:tcBorders>
              <w:right w:val="nil"/>
            </w:tcBorders>
            <w:shd w:val="clear" w:color="auto" w:fill="E5F5FB" w:themeFill="accent6"/>
            <w:noWrap/>
            <w:vAlign w:val="center"/>
            <w:hideMark/>
          </w:tcPr>
          <w:p w:rsidRPr="007F1BB0" w:rsidR="003034B3" w:rsidRDefault="003034B3" w14:paraId="6AAC4975"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Jul</w:t>
            </w:r>
          </w:p>
        </w:tc>
        <w:tc>
          <w:tcPr>
            <w:tcW w:w="434" w:type="dxa"/>
            <w:tcBorders>
              <w:left w:val="nil"/>
            </w:tcBorders>
            <w:shd w:val="clear" w:color="auto" w:fill="E5F5FB" w:themeFill="accent6"/>
            <w:noWrap/>
            <w:vAlign w:val="center"/>
            <w:hideMark/>
          </w:tcPr>
          <w:p w:rsidRPr="007F1BB0" w:rsidR="003034B3" w:rsidRDefault="003034B3" w14:paraId="6E8AF248"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8</w:t>
            </w:r>
          </w:p>
        </w:tc>
        <w:tc>
          <w:tcPr>
            <w:tcW w:w="864" w:type="dxa"/>
            <w:shd w:val="clear" w:color="auto" w:fill="E5F5FB" w:themeFill="accent6"/>
            <w:noWrap/>
            <w:vAlign w:val="center"/>
            <w:hideMark/>
          </w:tcPr>
          <w:p w:rsidRPr="007F1BB0" w:rsidR="003034B3" w:rsidRDefault="003034B3" w14:paraId="637D99C2"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Wed</w:t>
            </w:r>
          </w:p>
        </w:tc>
        <w:tc>
          <w:tcPr>
            <w:tcW w:w="1152" w:type="dxa"/>
            <w:shd w:val="clear" w:color="auto" w:fill="E5F5FB" w:themeFill="accent6"/>
            <w:noWrap/>
            <w:vAlign w:val="center"/>
            <w:hideMark/>
          </w:tcPr>
          <w:p w:rsidRPr="007F1BB0" w:rsidR="003034B3" w:rsidRDefault="003034B3" w14:paraId="64808D01"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90</w:t>
            </w:r>
          </w:p>
        </w:tc>
        <w:tc>
          <w:tcPr>
            <w:tcW w:w="1152" w:type="dxa"/>
            <w:shd w:val="clear" w:color="auto" w:fill="E5F5FB" w:themeFill="accent6"/>
            <w:noWrap/>
            <w:vAlign w:val="center"/>
            <w:hideMark/>
          </w:tcPr>
          <w:p w:rsidRPr="007F1BB0" w:rsidR="003034B3" w:rsidRDefault="003034B3" w14:paraId="32AE3DED"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78.8</w:t>
            </w:r>
          </w:p>
        </w:tc>
        <w:tc>
          <w:tcPr>
            <w:tcW w:w="576" w:type="dxa"/>
            <w:tcBorders>
              <w:right w:val="nil"/>
            </w:tcBorders>
            <w:shd w:val="clear" w:color="auto" w:fill="E5F5E3"/>
            <w:noWrap/>
            <w:vAlign w:val="center"/>
            <w:hideMark/>
          </w:tcPr>
          <w:p w:rsidRPr="007F1BB0" w:rsidR="003034B3" w:rsidRDefault="003034B3" w14:paraId="618A696A"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Aug</w:t>
            </w:r>
          </w:p>
        </w:tc>
        <w:tc>
          <w:tcPr>
            <w:tcW w:w="432" w:type="dxa"/>
            <w:tcBorders>
              <w:left w:val="nil"/>
            </w:tcBorders>
            <w:shd w:val="clear" w:color="auto" w:fill="E5F5E3"/>
            <w:noWrap/>
            <w:vAlign w:val="center"/>
            <w:hideMark/>
          </w:tcPr>
          <w:p w:rsidRPr="007F1BB0" w:rsidR="003034B3" w:rsidRDefault="003034B3" w14:paraId="15FAE9D1" w14:textId="77777777">
            <w:pPr>
              <w:spacing w:after="0" w:line="240" w:lineRule="auto"/>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12</w:t>
            </w:r>
          </w:p>
        </w:tc>
        <w:tc>
          <w:tcPr>
            <w:tcW w:w="864" w:type="dxa"/>
            <w:shd w:val="clear" w:color="auto" w:fill="E5F5E3"/>
            <w:noWrap/>
            <w:vAlign w:val="center"/>
            <w:hideMark/>
          </w:tcPr>
          <w:p w:rsidRPr="007F1BB0" w:rsidR="003034B3" w:rsidRDefault="003034B3" w14:paraId="55E8B664" w14:textId="77777777">
            <w:pPr>
              <w:spacing w:after="0" w:line="240" w:lineRule="auto"/>
              <w:jc w:val="center"/>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Wed</w:t>
            </w:r>
          </w:p>
        </w:tc>
        <w:tc>
          <w:tcPr>
            <w:tcW w:w="1152" w:type="dxa"/>
            <w:shd w:val="clear" w:color="auto" w:fill="E5F5E3"/>
            <w:noWrap/>
            <w:vAlign w:val="center"/>
            <w:hideMark/>
          </w:tcPr>
          <w:p w:rsidRPr="007F1BB0" w:rsidR="003034B3" w:rsidRDefault="003034B3" w14:paraId="5BA9EE65" w14:textId="77777777">
            <w:pPr>
              <w:spacing w:after="0" w:line="240" w:lineRule="auto"/>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88</w:t>
            </w:r>
          </w:p>
        </w:tc>
        <w:tc>
          <w:tcPr>
            <w:tcW w:w="1152" w:type="dxa"/>
            <w:shd w:val="clear" w:color="auto" w:fill="E5F5E3"/>
            <w:noWrap/>
            <w:vAlign w:val="center"/>
            <w:hideMark/>
          </w:tcPr>
          <w:p w:rsidRPr="007F1BB0" w:rsidR="003034B3" w:rsidRDefault="003034B3" w14:paraId="212B9141" w14:textId="77777777">
            <w:pPr>
              <w:spacing w:after="0" w:line="240" w:lineRule="auto"/>
              <w:ind w:firstLine="240" w:firstLineChars="100"/>
              <w:jc w:val="right"/>
              <w:rPr>
                <w:rFonts w:eastAsia="Times New Roman" w:asciiTheme="minorHAnsi" w:hAnsiTheme="minorHAnsi" w:cstheme="minorHAnsi"/>
                <w:color w:val="000000"/>
                <w:szCs w:val="24"/>
              </w:rPr>
            </w:pPr>
            <w:r w:rsidRPr="007F1BB0">
              <w:rPr>
                <w:rFonts w:eastAsia="Times New Roman" w:asciiTheme="minorHAnsi" w:hAnsiTheme="minorHAnsi" w:cstheme="minorHAnsi"/>
                <w:color w:val="000000"/>
                <w:szCs w:val="24"/>
              </w:rPr>
              <w:t>77.7</w:t>
            </w:r>
          </w:p>
        </w:tc>
      </w:tr>
    </w:tbl>
    <w:p w:rsidR="000A392D" w:rsidP="003D2BD6" w:rsidRDefault="003D2BD6" w14:paraId="0E3188A4" w14:textId="4796E1B9">
      <w:pPr>
        <w:pStyle w:val="Tablenote"/>
      </w:pPr>
      <w:r>
        <w:t xml:space="preserve">Note: Corrected </w:t>
      </w:r>
      <w:r w:rsidR="00C22126">
        <w:t>values are shown in red.</w:t>
      </w:r>
    </w:p>
    <w:p w:rsidR="003D2BD6" w:rsidP="00733F1C" w:rsidRDefault="003D2BD6" w14:paraId="473593EA" w14:textId="77777777"/>
    <w:p w:rsidRPr="000C037F" w:rsidR="002D0ABE" w:rsidP="00733F1C" w:rsidRDefault="00D95F4A" w14:paraId="0DB54B1C" w14:textId="39CBE255">
      <w:r>
        <w:t xml:space="preserve">The corrections above only apply to the </w:t>
      </w:r>
      <w:r w:rsidR="004833A7">
        <w:t>determination of the start date of the heat wave</w:t>
      </w:r>
      <w:r w:rsidR="0079059F">
        <w:t xml:space="preserve"> that</w:t>
      </w:r>
      <w:r w:rsidR="004833A7">
        <w:t xml:space="preserve"> define</w:t>
      </w:r>
      <w:r w:rsidR="0079059F">
        <w:t>s</w:t>
      </w:r>
      <w:r w:rsidR="004833A7">
        <w:t xml:space="preserve"> the peak period in each climate zone. </w:t>
      </w:r>
      <w:r w:rsidR="00733F1C">
        <w:t>The peak demand window is still from 4 p.m. to 9 p.m.</w:t>
      </w:r>
      <w:r w:rsidR="009B3402">
        <w:t xml:space="preserve"> </w:t>
      </w:r>
      <w:r w:rsidR="00FB5D03">
        <w:t>Annual</w:t>
      </w:r>
      <w:r w:rsidR="009B3402">
        <w:t xml:space="preserve"> peak </w:t>
      </w:r>
      <w:r w:rsidR="00FB5D03">
        <w:t>demand</w:t>
      </w:r>
      <w:r w:rsidR="00AF2E52">
        <w:t xml:space="preserve"> is </w:t>
      </w:r>
      <w:r w:rsidR="00F90FDA">
        <w:t xml:space="preserve">defined as the average of the kW consumption </w:t>
      </w:r>
      <w:r w:rsidR="00BE346B">
        <w:t xml:space="preserve">during the peak demand window on three consecutive days starting </w:t>
      </w:r>
      <w:r w:rsidR="008C136B">
        <w:t xml:space="preserve">on the date defined in </w:t>
      </w:r>
      <w:r w:rsidR="000827AE">
        <w:fldChar w:fldCharType="begin"/>
      </w:r>
      <w:r w:rsidR="000827AE">
        <w:instrText xml:space="preserve"> REF _Ref185208968 \h </w:instrText>
      </w:r>
      <w:r w:rsidR="000827AE">
        <w:fldChar w:fldCharType="separate"/>
      </w:r>
      <w:r w:rsidRPr="000C037F" w:rsidR="00E812F0">
        <w:t xml:space="preserve">Table </w:t>
      </w:r>
      <w:r w:rsidRPr="00B50D07" w:rsidR="00E812F0">
        <w:rPr>
          <w:webHidden/>
        </w:rPr>
        <w:t>A-</w:t>
      </w:r>
      <w:r w:rsidR="00E812F0">
        <w:rPr>
          <w:noProof/>
        </w:rPr>
        <w:t>1</w:t>
      </w:r>
      <w:r w:rsidRPr="000C037F" w:rsidR="00E812F0">
        <w:noBreakHyphen/>
      </w:r>
      <w:r w:rsidR="00E812F0">
        <w:rPr>
          <w:noProof/>
        </w:rPr>
        <w:t>5</w:t>
      </w:r>
      <w:r w:rsidR="000827AE">
        <w:fldChar w:fldCharType="end"/>
      </w:r>
      <w:r w:rsidR="008C136B">
        <w:t xml:space="preserve">. </w:t>
      </w:r>
      <w:r w:rsidR="00EF41AF">
        <w:t>Five hours within the window on each of three days provide 15 hours</w:t>
      </w:r>
      <w:r w:rsidR="00CA4A96">
        <w:t xml:space="preserve"> </w:t>
      </w:r>
      <w:r w:rsidR="00076E9B">
        <w:t>where kW consumption</w:t>
      </w:r>
      <w:r w:rsidR="00CA4A96">
        <w:t xml:space="preserve"> </w:t>
      </w:r>
      <w:r w:rsidR="00076E9B">
        <w:t>is</w:t>
      </w:r>
      <w:r w:rsidR="00CA4A96">
        <w:t xml:space="preserve"> averaged to determine the </w:t>
      </w:r>
      <w:r w:rsidR="00F065B7">
        <w:t xml:space="preserve">annual </w:t>
      </w:r>
      <w:r w:rsidR="00CA4A96">
        <w:t>peak kW</w:t>
      </w:r>
      <w:r w:rsidR="00F065B7">
        <w:t xml:space="preserve"> consumption.</w:t>
      </w:r>
    </w:p>
    <w:p w:rsidRPr="000C037F" w:rsidR="000C037F" w:rsidP="00F9552D" w:rsidRDefault="00C903FF" w14:paraId="78B10F50" w14:textId="2E5439AE">
      <w:pPr>
        <w:pStyle w:val="Heading3"/>
      </w:pPr>
      <w:bookmarkStart w:name="_Toc185271164" w:id="41"/>
      <w:r>
        <w:t xml:space="preserve">(B.8) </w:t>
      </w:r>
      <w:r w:rsidRPr="000C037F" w:rsidR="000C037F">
        <w:t xml:space="preserve">Vintage and Era </w:t>
      </w:r>
      <w:r w:rsidR="00664137">
        <w:t>D</w:t>
      </w:r>
      <w:r w:rsidRPr="000C037F" w:rsidR="000C037F">
        <w:t>efinitions</w:t>
      </w:r>
      <w:bookmarkEnd w:id="41"/>
    </w:p>
    <w:p w:rsidRPr="000C037F" w:rsidR="000C037F" w:rsidP="000C037F" w:rsidRDefault="000C037F" w14:paraId="3BA56134" w14:textId="12A954B7">
      <w:r w:rsidRPr="000C037F">
        <w:rPr>
          <w:u w:val="single"/>
        </w:rPr>
        <w:t>Effective Program Year: 2026</w:t>
      </w:r>
      <w:r w:rsidRPr="000C037F">
        <w:t xml:space="preserve">. Historically, many building vintages were modeled, each coinciding with a CA-Title 24 energy code release. As directed in the DEER2020 Update </w:t>
      </w:r>
      <w:r w:rsidRPr="000C037F">
        <w:lastRenderedPageBreak/>
        <w:t xml:space="preserve">Resolution the outputs of these models were rolled up into eras using weights (from 2006 </w:t>
      </w:r>
      <w:r w:rsidRPr="000C037F" w:rsidR="00A34BEA">
        <w:t>C</w:t>
      </w:r>
      <w:r w:rsidR="00A34BEA">
        <w:t>ommercial End</w:t>
      </w:r>
      <w:r w:rsidR="00340464">
        <w:t>-</w:t>
      </w:r>
      <w:r w:rsidR="00A34BEA">
        <w:t>Use Survey</w:t>
      </w:r>
      <w:r w:rsidRPr="000C037F">
        <w:t>) representing the proportion of building stock for each vintage within the four eras: new, recent, existing, and old. An era is a collection of building vintages and is used to group buildings with similar energy use indexes</w:t>
      </w:r>
      <w:r w:rsidRPr="000C037F">
        <w:rPr>
          <w:vertAlign w:val="superscript"/>
        </w:rPr>
        <w:footnoteReference w:id="19"/>
      </w:r>
      <w:r w:rsidRPr="000C037F">
        <w:t xml:space="preserve"> (EUIs). Producing a building model for each building vintage is costly in terms of energy model simulation time, quality control simulation review, and database storage space and two eras (recent and old) are rarely used. </w:t>
      </w:r>
    </w:p>
    <w:p w:rsidRPr="000C037F" w:rsidR="000C037F" w:rsidP="000C037F" w:rsidRDefault="000C037F" w14:paraId="528EEC85" w14:textId="65F48EB2">
      <w:r w:rsidRPr="000C037F">
        <w:t xml:space="preserve">With the switch to EnergyPlus building models </w:t>
      </w:r>
      <w:r w:rsidR="00F3658E">
        <w:t>CPUC staff and staff consultants</w:t>
      </w:r>
      <w:r w:rsidRPr="000C037F">
        <w:t xml:space="preserve"> reduced the number of residential vintage models required by creating one model to represent all existing residential building stock. Details on our methods are noted in the Residential EnergyPlus Calibration Memo.</w:t>
      </w:r>
      <w:r w:rsidR="00A75BF7">
        <w:rPr>
          <w:rStyle w:val="FootnoteReference"/>
        </w:rPr>
        <w:footnoteReference w:id="20"/>
      </w:r>
      <w:r w:rsidRPr="000C037F">
        <w:t xml:space="preserve"> That methodology is not available for commercial building models since the 2022</w:t>
      </w:r>
      <w:r w:rsidR="00340464">
        <w:t xml:space="preserve"> Commercial End-Use Survey</w:t>
      </w:r>
      <w:r>
        <w:rPr>
          <w:rStyle w:val="FootnoteReference"/>
        </w:rPr>
        <w:footnoteReference w:id="21"/>
      </w:r>
      <w:r w:rsidR="005D6D5F">
        <w:t xml:space="preserve"> </w:t>
      </w:r>
      <w:r w:rsidR="00340464">
        <w:t>(</w:t>
      </w:r>
      <w:r w:rsidRPr="000C037F">
        <w:t>CEUS</w:t>
      </w:r>
      <w:r w:rsidR="00340464">
        <w:t>)</w:t>
      </w:r>
      <w:r w:rsidRPr="000C037F">
        <w:t xml:space="preserve"> did not provide normalized energy consumption values (for calibration) as in the 2019 RASS study. Instead, we created representative existing commercial building prototypes using weighted building shell parameters (such as ceiling R-value) based on historical CA Title-24 values, and the afore mentioned building weights. Starting in PY2026</w:t>
      </w:r>
      <w:r w:rsidR="001F1252">
        <w:t>,</w:t>
      </w:r>
      <w:r w:rsidRPr="000C037F">
        <w:t xml:space="preserve"> the recent and old building eras are removed, and the existing era represents all existing buildings. </w:t>
      </w:r>
      <w:r w:rsidRPr="000C037F">
        <w:fldChar w:fldCharType="begin"/>
      </w:r>
      <w:r w:rsidRPr="000C037F">
        <w:instrText xml:space="preserve"> REF _Ref162879707 \h </w:instrText>
      </w:r>
      <w:r w:rsidRPr="000C037F">
        <w:fldChar w:fldCharType="separate"/>
      </w:r>
      <w:r w:rsidRPr="000C037F" w:rsidR="00E812F0">
        <w:t xml:space="preserve">Table </w:t>
      </w:r>
      <w:r w:rsidRPr="00B50D07" w:rsidR="00E812F0">
        <w:rPr>
          <w:webHidden/>
        </w:rPr>
        <w:t>A-</w:t>
      </w:r>
      <w:r w:rsidR="00E812F0">
        <w:rPr>
          <w:noProof/>
        </w:rPr>
        <w:t>1</w:t>
      </w:r>
      <w:r w:rsidRPr="000C037F" w:rsidR="00E812F0">
        <w:noBreakHyphen/>
      </w:r>
      <w:r w:rsidR="00E812F0">
        <w:rPr>
          <w:noProof/>
        </w:rPr>
        <w:t>6</w:t>
      </w:r>
      <w:r w:rsidRPr="000C037F">
        <w:fldChar w:fldCharType="end"/>
      </w:r>
      <w:r w:rsidRPr="000C037F">
        <w:t xml:space="preserve"> shows the building eras that will be used going forward in PY2026.</w:t>
      </w:r>
    </w:p>
    <w:p w:rsidRPr="000C037F" w:rsidR="000C037F" w:rsidP="00F9552D" w:rsidRDefault="000C037F" w14:paraId="501481FB" w14:textId="01AC97C7">
      <w:pPr>
        <w:pStyle w:val="Caption"/>
      </w:pPr>
      <w:bookmarkStart w:name="_Ref162879707" w:id="42"/>
      <w:bookmarkStart w:name="_Toc185273157" w:id="43"/>
      <w:r w:rsidRPr="000C037F">
        <w:t xml:space="preserve">Table </w:t>
      </w:r>
      <w:r w:rsidRPr="00B50D07" w:rsidR="00B50D07">
        <w:rPr>
          <w:webHidden/>
        </w:rPr>
        <w:t>A-</w:t>
      </w:r>
      <w:r>
        <w:fldChar w:fldCharType="begin"/>
      </w:r>
      <w:r>
        <w:instrText>STYLEREF 1 \s</w:instrText>
      </w:r>
      <w:r>
        <w:fldChar w:fldCharType="separate"/>
      </w:r>
      <w:r w:rsidR="00E812F0">
        <w:rPr>
          <w:noProof/>
        </w:rPr>
        <w:t>1</w:t>
      </w:r>
      <w:r>
        <w:fldChar w:fldCharType="end"/>
      </w:r>
      <w:r w:rsidRPr="000C037F">
        <w:noBreakHyphen/>
      </w:r>
      <w:r>
        <w:fldChar w:fldCharType="begin"/>
      </w:r>
      <w:r>
        <w:instrText>SEQ Table \* ARABIC \s 1</w:instrText>
      </w:r>
      <w:r>
        <w:fldChar w:fldCharType="separate"/>
      </w:r>
      <w:r w:rsidR="00E812F0">
        <w:rPr>
          <w:noProof/>
        </w:rPr>
        <w:t>6</w:t>
      </w:r>
      <w:r>
        <w:fldChar w:fldCharType="end"/>
      </w:r>
      <w:bookmarkEnd w:id="42"/>
      <w:r w:rsidRPr="000C037F">
        <w:t xml:space="preserve">. </w:t>
      </w:r>
      <w:r w:rsidR="00AD6865">
        <w:t>R</w:t>
      </w:r>
      <w:r w:rsidRPr="000C037F">
        <w:t xml:space="preserve">esidential and </w:t>
      </w:r>
      <w:r w:rsidR="00123080">
        <w:t>C</w:t>
      </w:r>
      <w:r w:rsidRPr="000C037F">
        <w:t xml:space="preserve">ommercial </w:t>
      </w:r>
      <w:r w:rsidR="00123080">
        <w:t>B</w:t>
      </w:r>
      <w:r w:rsidRPr="000C037F">
        <w:t xml:space="preserve">uilding </w:t>
      </w:r>
      <w:r w:rsidR="00123080">
        <w:t>V</w:t>
      </w:r>
      <w:r w:rsidRPr="000C037F">
        <w:t xml:space="preserve">intage </w:t>
      </w:r>
      <w:r w:rsidR="00123080">
        <w:t>D</w:t>
      </w:r>
      <w:r w:rsidRPr="000C037F">
        <w:t>efinitions</w:t>
      </w:r>
      <w:bookmarkEnd w:id="43"/>
    </w:p>
    <w:tbl>
      <w:tblPr>
        <w:tblStyle w:val="TableGrid1"/>
        <w:tblW w:w="8995" w:type="dxa"/>
        <w:tblLayout w:type="fixed"/>
        <w:tblLook w:val="04A0" w:firstRow="1" w:lastRow="0" w:firstColumn="1" w:lastColumn="0" w:noHBand="0" w:noVBand="1"/>
        <w:tblCaption w:val=""/>
        <w:tblDescription w:val=""/>
      </w:tblPr>
      <w:tblGrid>
        <w:gridCol w:w="1345"/>
        <w:gridCol w:w="7650"/>
      </w:tblGrid>
      <w:tr w:rsidRPr="00FE4B05" w:rsidR="000C037F" w:rsidTr="00211C6C" w14:paraId="5B25FA80" w14:textId="77777777">
        <w:trPr>
          <w:trHeight w:val="432"/>
        </w:trPr>
        <w:tc>
          <w:tcPr>
            <w:tcW w:w="1345" w:type="dxa"/>
            <w:vAlign w:val="center"/>
            <w:hideMark/>
          </w:tcPr>
          <w:p w:rsidRPr="00FE4B05" w:rsidR="000C037F" w:rsidP="00FE4B05" w:rsidRDefault="00184178" w14:paraId="3DCB67F4" w14:textId="5606B78C">
            <w:pPr>
              <w:pStyle w:val="NormalinTable"/>
              <w:rPr>
                <w:b/>
                <w:bCs/>
              </w:rPr>
            </w:pPr>
            <w:r>
              <w:rPr>
                <w:b/>
                <w:bCs/>
              </w:rPr>
              <w:t>Building Vintage</w:t>
            </w:r>
          </w:p>
        </w:tc>
        <w:tc>
          <w:tcPr>
            <w:tcW w:w="7650" w:type="dxa"/>
            <w:vAlign w:val="center"/>
            <w:hideMark/>
          </w:tcPr>
          <w:p w:rsidRPr="00FE4B05" w:rsidR="000C037F" w:rsidP="00FE4B05" w:rsidRDefault="000C037F" w14:paraId="3F5FD974" w14:textId="77777777">
            <w:pPr>
              <w:pStyle w:val="NormalinTable"/>
              <w:rPr>
                <w:b/>
                <w:bCs/>
              </w:rPr>
            </w:pPr>
            <w:r w:rsidRPr="00FE4B05">
              <w:rPr>
                <w:b/>
                <w:bCs/>
              </w:rPr>
              <w:t>Year Built</w:t>
            </w:r>
          </w:p>
        </w:tc>
      </w:tr>
      <w:tr w:rsidRPr="00FE4B05" w:rsidR="000C037F" w:rsidTr="00211C6C" w14:paraId="40A2ABAC" w14:textId="77777777">
        <w:trPr>
          <w:trHeight w:val="432"/>
        </w:trPr>
        <w:tc>
          <w:tcPr>
            <w:tcW w:w="1345" w:type="dxa"/>
            <w:vAlign w:val="center"/>
            <w:hideMark/>
          </w:tcPr>
          <w:p w:rsidRPr="00FE4B05" w:rsidR="000C037F" w:rsidP="00FE4B05" w:rsidRDefault="000C037F" w14:paraId="5B07E5A7" w14:textId="77777777">
            <w:pPr>
              <w:pStyle w:val="NormalinTable"/>
            </w:pPr>
            <w:r w:rsidRPr="00FE4B05">
              <w:t>Existing</w:t>
            </w:r>
          </w:p>
        </w:tc>
        <w:tc>
          <w:tcPr>
            <w:tcW w:w="7650" w:type="dxa"/>
            <w:vAlign w:val="center"/>
            <w:hideMark/>
          </w:tcPr>
          <w:p w:rsidRPr="00FE4B05" w:rsidR="000C037F" w:rsidP="00FE4B05" w:rsidRDefault="00211C6C" w14:paraId="590219BF" w14:textId="75FA607F">
            <w:pPr>
              <w:pStyle w:val="NormalinTable"/>
            </w:pPr>
            <w:r>
              <w:t>Permitted or b</w:t>
            </w:r>
            <w:r w:rsidR="0072077C">
              <w:t xml:space="preserve">uilt </w:t>
            </w:r>
            <w:r w:rsidR="00C36ED2">
              <w:t>before</w:t>
            </w:r>
            <w:r w:rsidR="0072077C">
              <w:t xml:space="preserve"> the </w:t>
            </w:r>
            <w:r w:rsidR="006E6EFA">
              <w:t xml:space="preserve">beginning of </w:t>
            </w:r>
            <w:r w:rsidR="00C36ED2">
              <w:t>the current</w:t>
            </w:r>
            <w:r w:rsidR="006E6EFA">
              <w:t xml:space="preserve"> </w:t>
            </w:r>
            <w:r w:rsidR="005D72B5">
              <w:t>building code</w:t>
            </w:r>
            <w:r w:rsidR="00322977">
              <w:t xml:space="preserve"> cycle</w:t>
            </w:r>
          </w:p>
        </w:tc>
      </w:tr>
      <w:tr w:rsidRPr="00FE4B05" w:rsidR="000C037F" w:rsidTr="00211C6C" w14:paraId="1A6C726C" w14:textId="77777777">
        <w:trPr>
          <w:trHeight w:val="432"/>
        </w:trPr>
        <w:tc>
          <w:tcPr>
            <w:tcW w:w="1345" w:type="dxa"/>
            <w:vAlign w:val="center"/>
            <w:hideMark/>
          </w:tcPr>
          <w:p w:rsidRPr="00FE4B05" w:rsidR="000C037F" w:rsidP="00FE4B05" w:rsidRDefault="000C037F" w14:paraId="3BA0C5EB" w14:textId="77777777">
            <w:pPr>
              <w:pStyle w:val="NormalinTable"/>
            </w:pPr>
            <w:r w:rsidRPr="00FE4B05">
              <w:t>New</w:t>
            </w:r>
          </w:p>
        </w:tc>
        <w:tc>
          <w:tcPr>
            <w:tcW w:w="7650" w:type="dxa"/>
            <w:vAlign w:val="center"/>
            <w:hideMark/>
          </w:tcPr>
          <w:p w:rsidRPr="00FE4B05" w:rsidR="000C037F" w:rsidP="00FE4B05" w:rsidRDefault="00211C6C" w14:paraId="21D59972" w14:textId="21015CB8">
            <w:pPr>
              <w:pStyle w:val="NormalinTable"/>
            </w:pPr>
            <w:r>
              <w:t>Permitted and b</w:t>
            </w:r>
            <w:r w:rsidR="00A07352">
              <w:t xml:space="preserve">uilt after the beginning of </w:t>
            </w:r>
            <w:r w:rsidR="00C36ED2">
              <w:t>the</w:t>
            </w:r>
            <w:r w:rsidR="00CA443F">
              <w:t xml:space="preserve"> current</w:t>
            </w:r>
            <w:r w:rsidR="00A07352">
              <w:t xml:space="preserve"> </w:t>
            </w:r>
            <w:r w:rsidR="001B434E">
              <w:t>building code</w:t>
            </w:r>
            <w:r w:rsidR="00657744">
              <w:t xml:space="preserve"> cycle</w:t>
            </w:r>
          </w:p>
        </w:tc>
      </w:tr>
    </w:tbl>
    <w:p w:rsidRPr="000C037F" w:rsidR="000C037F" w:rsidP="000C037F" w:rsidRDefault="000C037F" w14:paraId="4D6E6210" w14:textId="77777777"/>
    <w:p w:rsidRPr="000C037F" w:rsidR="000C037F" w:rsidP="00F9552D" w:rsidRDefault="00C903FF" w14:paraId="1EB4EEEF" w14:textId="32F10C4C">
      <w:pPr>
        <w:pStyle w:val="Heading3"/>
      </w:pPr>
      <w:bookmarkStart w:name="_Toc185271165" w:id="44"/>
      <w:r>
        <w:t xml:space="preserve">(B.9) </w:t>
      </w:r>
      <w:r w:rsidRPr="000C037F" w:rsidR="000C037F">
        <w:t>EnergyPlus Prototypes</w:t>
      </w:r>
      <w:bookmarkEnd w:id="44"/>
    </w:p>
    <w:p w:rsidRPr="000C037F" w:rsidR="000C037F" w:rsidP="000C037F" w:rsidRDefault="000C037F" w14:paraId="1E3F089D" w14:textId="2C427E44">
      <w:r w:rsidRPr="000C037F">
        <w:rPr>
          <w:u w:val="single"/>
        </w:rPr>
        <w:t>Effective Program Year: 2026</w:t>
      </w:r>
      <w:r w:rsidRPr="000C037F">
        <w:t>. The DEER prototypes (residential and commercial) have transitioned from a DOE2 based system to EnergyPlus building simulation models.</w:t>
      </w:r>
      <w:r w:rsidRPr="000C037F">
        <w:rPr>
          <w:vertAlign w:val="superscript"/>
        </w:rPr>
        <w:footnoteReference w:id="22"/>
      </w:r>
      <w:r w:rsidRPr="000C037F">
        <w:t xml:space="preserve"> </w:t>
      </w:r>
      <w:r w:rsidRPr="000C037F">
        <w:lastRenderedPageBreak/>
        <w:t>The new prototypes use Modelkit to facilitate the building of input files and running batch simulation models. The entire system including post processing scripts are available on GitHub</w:t>
      </w:r>
      <w:r w:rsidRPr="000C037F">
        <w:rPr>
          <w:vertAlign w:val="superscript"/>
        </w:rPr>
        <w:footnoteReference w:id="23"/>
      </w:r>
      <w:r w:rsidRPr="000C037F">
        <w:t xml:space="preserve"> for use in PY2026-27 measure updates. A User Guide posted on CEDARS</w:t>
      </w:r>
      <w:r w:rsidRPr="000C037F">
        <w:rPr>
          <w:vertAlign w:val="superscript"/>
        </w:rPr>
        <w:footnoteReference w:id="24"/>
      </w:r>
      <w:r w:rsidRPr="000C037F">
        <w:t xml:space="preserve"> describes how to use the new prototype system. A new version of California Energy Efficiency code, 2025 Title-24, will be updated effective </w:t>
      </w:r>
      <w:r w:rsidR="00201BF6">
        <w:t xml:space="preserve">January 1, </w:t>
      </w:r>
      <w:r w:rsidRPr="000C037F">
        <w:t xml:space="preserve">2026. This new code should be used as the baseline for all modeled measures effective PY2026. Measure packages will use draft 2025 Title-24 values to update modeled measure baselines. </w:t>
      </w:r>
      <w:r w:rsidR="001C5D4B">
        <w:t xml:space="preserve">The final </w:t>
      </w:r>
      <w:r w:rsidR="007F53F6">
        <w:t xml:space="preserve">2025 Title-24 </w:t>
      </w:r>
      <w:r w:rsidR="004E7C15">
        <w:t>values are expected September 2024.</w:t>
      </w:r>
      <w:r w:rsidR="001C5D4B">
        <w:t xml:space="preserve"> </w:t>
      </w:r>
      <w:r w:rsidRPr="000C037F">
        <w:t xml:space="preserve">If the draft 2025 Title-24 values do not get adopted or there are changes between the draft and final values, </w:t>
      </w:r>
      <w:r w:rsidR="006124A2">
        <w:t xml:space="preserve">CPUC will update </w:t>
      </w:r>
      <w:r w:rsidRPr="000C037F">
        <w:t xml:space="preserve">the impacted </w:t>
      </w:r>
      <w:r w:rsidR="00591040">
        <w:t>building prototype</w:t>
      </w:r>
      <w:r w:rsidR="006124A2">
        <w:t xml:space="preserve"> code file</w:t>
      </w:r>
      <w:r w:rsidR="008A6F40">
        <w:t xml:space="preserve"> </w:t>
      </w:r>
      <w:r w:rsidR="000D26CB">
        <w:t>(in Modelkit)</w:t>
      </w:r>
      <w:r w:rsidR="007309B4">
        <w:t xml:space="preserve"> and </w:t>
      </w:r>
      <w:r w:rsidRPr="000C037F">
        <w:t xml:space="preserve">measure </w:t>
      </w:r>
      <w:r w:rsidR="007C6DE4">
        <w:t xml:space="preserve">package developers will update </w:t>
      </w:r>
      <w:r w:rsidRPr="000C037F">
        <w:t xml:space="preserve">measure packages and their baselines </w:t>
      </w:r>
      <w:r w:rsidR="0016515D">
        <w:t xml:space="preserve">as a mid-cycle change </w:t>
      </w:r>
      <w:r w:rsidR="00736EA3">
        <w:t>in Q1</w:t>
      </w:r>
      <w:r w:rsidR="00E61499">
        <w:t xml:space="preserve"> </w:t>
      </w:r>
      <w:r w:rsidR="00736EA3">
        <w:t>2025</w:t>
      </w:r>
      <w:r w:rsidR="00433A3A">
        <w:t xml:space="preserve"> as shown in </w:t>
      </w:r>
      <w:r w:rsidR="00320BF1">
        <w:fldChar w:fldCharType="begin"/>
      </w:r>
      <w:r w:rsidR="00320BF1">
        <w:instrText xml:space="preserve"> REF _Ref175765106 \h </w:instrText>
      </w:r>
      <w:r w:rsidR="00320BF1">
        <w:fldChar w:fldCharType="separate"/>
      </w:r>
      <w:r w:rsidRPr="00C72665" w:rsidR="00E812F0">
        <w:t xml:space="preserve">Table </w:t>
      </w:r>
      <w:r w:rsidRPr="00B50D07" w:rsidR="00E812F0">
        <w:rPr>
          <w:webHidden/>
        </w:rPr>
        <w:t>A-</w:t>
      </w:r>
      <w:r w:rsidR="00E812F0">
        <w:rPr>
          <w:noProof/>
        </w:rPr>
        <w:t>1</w:t>
      </w:r>
      <w:r w:rsidRPr="00C72665" w:rsidR="00E812F0">
        <w:noBreakHyphen/>
      </w:r>
      <w:r w:rsidR="00E812F0">
        <w:rPr>
          <w:noProof/>
        </w:rPr>
        <w:t>7</w:t>
      </w:r>
      <w:r w:rsidR="00320BF1">
        <w:fldChar w:fldCharType="end"/>
      </w:r>
      <w:r w:rsidR="00E61499">
        <w:t>.</w:t>
      </w:r>
      <w:r w:rsidR="00C51B31">
        <w:t xml:space="preserve"> </w:t>
      </w:r>
      <w:r w:rsidR="002D3D4E">
        <w:t xml:space="preserve">Previously submitted PY2026 measure packages will be adjusted according to any differences between draft 2025 Title-24 values and final </w:t>
      </w:r>
      <w:r w:rsidR="006D1F7F">
        <w:t>2025 Title-24 values.</w:t>
      </w:r>
    </w:p>
    <w:p w:rsidRPr="00C72665" w:rsidR="00C15252" w:rsidP="00C15252" w:rsidRDefault="00C15252" w14:paraId="66692C9A" w14:textId="1E327FF7">
      <w:pPr>
        <w:pStyle w:val="Caption"/>
      </w:pPr>
      <w:bookmarkStart w:name="_Ref175765106" w:id="45"/>
      <w:bookmarkStart w:name="_Toc185273158" w:id="46"/>
      <w:r w:rsidRPr="00C72665">
        <w:t xml:space="preserve">Table </w:t>
      </w:r>
      <w:r w:rsidRPr="00B50D07" w:rsidR="00B50D07">
        <w:rPr>
          <w:webHidden/>
        </w:rPr>
        <w:t>A-</w:t>
      </w:r>
      <w:r w:rsidRPr="00C72665">
        <w:fldChar w:fldCharType="begin"/>
      </w:r>
      <w:r w:rsidRPr="00C72665">
        <w:instrText>STYLEREF 1 \s</w:instrText>
      </w:r>
      <w:r w:rsidRPr="00C72665">
        <w:fldChar w:fldCharType="separate"/>
      </w:r>
      <w:r w:rsidR="00E812F0">
        <w:rPr>
          <w:noProof/>
        </w:rPr>
        <w:t>1</w:t>
      </w:r>
      <w:r w:rsidRPr="00C72665">
        <w:fldChar w:fldCharType="end"/>
      </w:r>
      <w:r w:rsidRPr="00C72665">
        <w:noBreakHyphen/>
      </w:r>
      <w:r w:rsidRPr="00C72665">
        <w:fldChar w:fldCharType="begin"/>
      </w:r>
      <w:r w:rsidRPr="00C72665">
        <w:instrText>SEQ Table \* ARABIC \s 1</w:instrText>
      </w:r>
      <w:r w:rsidRPr="00C72665">
        <w:fldChar w:fldCharType="separate"/>
      </w:r>
      <w:r w:rsidR="00E812F0">
        <w:rPr>
          <w:noProof/>
        </w:rPr>
        <w:t>7</w:t>
      </w:r>
      <w:r w:rsidRPr="00C72665">
        <w:fldChar w:fldCharType="end"/>
      </w:r>
      <w:bookmarkEnd w:id="45"/>
      <w:r w:rsidRPr="00C72665">
        <w:t xml:space="preserve">. </w:t>
      </w:r>
      <w:r w:rsidR="00BC6B10">
        <w:t xml:space="preserve">Tentative </w:t>
      </w:r>
      <w:r w:rsidRPr="00C72665">
        <w:t>Timeline for DEER202</w:t>
      </w:r>
      <w:r w:rsidR="00E34163">
        <w:t>6</w:t>
      </w:r>
      <w:r w:rsidRPr="00C72665">
        <w:t>-202</w:t>
      </w:r>
      <w:r w:rsidR="00E34163">
        <w:t>7</w:t>
      </w:r>
      <w:r w:rsidRPr="00C72665">
        <w:t xml:space="preserve"> Measure Package Updates </w:t>
      </w:r>
      <w:r w:rsidR="007F1CD1">
        <w:t>Due to</w:t>
      </w:r>
      <w:r w:rsidRPr="00C72665">
        <w:t xml:space="preserve"> </w:t>
      </w:r>
      <w:r w:rsidR="006C2C4D">
        <w:t>2025 Title-24 California Energy Codes</w:t>
      </w:r>
      <w:bookmarkEnd w:id="46"/>
    </w:p>
    <w:tbl>
      <w:tblPr>
        <w:tblW w:w="919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bottom w:w="14" w:type="dxa"/>
        </w:tblCellMar>
        <w:tblLook w:val="04A0" w:firstRow="1" w:lastRow="0" w:firstColumn="1" w:lastColumn="0" w:noHBand="0" w:noVBand="1"/>
      </w:tblPr>
      <w:tblGrid>
        <w:gridCol w:w="2448"/>
        <w:gridCol w:w="3330"/>
        <w:gridCol w:w="3420"/>
      </w:tblGrid>
      <w:tr w:rsidRPr="00EC1E1E" w:rsidR="00AC56E5" w:rsidTr="00581C11" w14:paraId="2C474D26" w14:textId="77777777">
        <w:trPr>
          <w:trHeight w:val="329"/>
          <w:tblHeader/>
        </w:trPr>
        <w:tc>
          <w:tcPr>
            <w:tcW w:w="2448" w:type="dxa"/>
            <w:tcBorders>
              <w:top w:val="single" w:color="auto" w:sz="4" w:space="0"/>
              <w:left w:val="single" w:color="auto" w:sz="4" w:space="0"/>
              <w:bottom w:val="single" w:color="auto" w:sz="4" w:space="0"/>
              <w:right w:val="single" w:color="auto" w:sz="4" w:space="0"/>
            </w:tcBorders>
            <w:vAlign w:val="bottom"/>
          </w:tcPr>
          <w:p w:rsidRPr="00EC1E1E" w:rsidR="00AC56E5" w:rsidRDefault="00AC56E5" w14:paraId="6BE0F745" w14:textId="77777777">
            <w:pPr>
              <w:pStyle w:val="NormalinTable"/>
              <w:rPr>
                <w:b/>
                <w:bCs/>
              </w:rPr>
            </w:pPr>
            <w:r w:rsidRPr="00EC1E1E">
              <w:rPr>
                <w:b/>
                <w:bCs/>
              </w:rPr>
              <w:t>End Use Category</w:t>
            </w:r>
          </w:p>
        </w:tc>
        <w:tc>
          <w:tcPr>
            <w:tcW w:w="3330" w:type="dxa"/>
            <w:tcBorders>
              <w:top w:val="single" w:color="auto" w:sz="4" w:space="0"/>
              <w:left w:val="single" w:color="auto" w:sz="4" w:space="0"/>
              <w:bottom w:val="single" w:color="auto" w:sz="4" w:space="0"/>
              <w:right w:val="single" w:color="auto" w:sz="4" w:space="0"/>
            </w:tcBorders>
            <w:vAlign w:val="bottom"/>
          </w:tcPr>
          <w:p w:rsidRPr="00EC1E1E" w:rsidR="00AC56E5" w:rsidRDefault="00AC56E5" w14:paraId="307AFE6A" w14:textId="77777777">
            <w:pPr>
              <w:pStyle w:val="NormalinTable"/>
              <w:rPr>
                <w:b/>
                <w:bCs/>
              </w:rPr>
            </w:pPr>
            <w:r w:rsidRPr="00EC1E1E">
              <w:rPr>
                <w:b/>
                <w:bCs/>
              </w:rPr>
              <w:t>Update Detail</w:t>
            </w:r>
          </w:p>
        </w:tc>
        <w:tc>
          <w:tcPr>
            <w:tcW w:w="3420" w:type="dxa"/>
            <w:tcBorders>
              <w:top w:val="single" w:color="auto" w:sz="4" w:space="0"/>
              <w:left w:val="single" w:color="auto" w:sz="4" w:space="0"/>
              <w:bottom w:val="single" w:color="auto" w:sz="4" w:space="0"/>
              <w:right w:val="single" w:color="auto" w:sz="4" w:space="0"/>
            </w:tcBorders>
            <w:vAlign w:val="bottom"/>
          </w:tcPr>
          <w:p w:rsidRPr="00EC1E1E" w:rsidR="00AC56E5" w:rsidRDefault="00AC56E5" w14:paraId="168FF8C5" w14:textId="77777777">
            <w:pPr>
              <w:pStyle w:val="NormalinTable"/>
              <w:rPr>
                <w:b/>
                <w:bCs/>
              </w:rPr>
            </w:pPr>
            <w:r w:rsidRPr="00EC1E1E">
              <w:rPr>
                <w:b/>
                <w:bCs/>
              </w:rPr>
              <w:t>Measure Package Submittal By</w:t>
            </w:r>
          </w:p>
        </w:tc>
      </w:tr>
      <w:tr w:rsidRPr="00C72665" w:rsidR="00AC56E5" w:rsidTr="00581C11" w14:paraId="669A790D" w14:textId="77777777">
        <w:trPr>
          <w:trHeight w:val="19"/>
        </w:trPr>
        <w:tc>
          <w:tcPr>
            <w:tcW w:w="2448" w:type="dxa"/>
            <w:tcBorders>
              <w:left w:val="single" w:color="auto" w:sz="4" w:space="0"/>
              <w:right w:val="single" w:color="auto" w:sz="4" w:space="0"/>
            </w:tcBorders>
            <w:shd w:val="clear" w:color="auto" w:fill="auto"/>
          </w:tcPr>
          <w:p w:rsidRPr="00C72665" w:rsidR="00AC56E5" w:rsidRDefault="00AC56E5" w14:paraId="46676B65" w14:textId="3709C561">
            <w:pPr>
              <w:pStyle w:val="NormalinTable"/>
            </w:pPr>
            <w:r>
              <w:t>All affected end uses</w:t>
            </w:r>
          </w:p>
        </w:tc>
        <w:tc>
          <w:tcPr>
            <w:tcW w:w="3330" w:type="dxa"/>
            <w:tcBorders>
              <w:top w:val="single" w:color="auto" w:sz="4" w:space="0"/>
              <w:left w:val="single" w:color="auto" w:sz="4" w:space="0"/>
              <w:bottom w:val="single" w:color="auto" w:sz="4" w:space="0"/>
              <w:right w:val="single" w:color="auto" w:sz="4" w:space="0"/>
            </w:tcBorders>
            <w:shd w:val="clear" w:color="auto" w:fill="auto"/>
          </w:tcPr>
          <w:p w:rsidRPr="00C72665" w:rsidR="00AC56E5" w:rsidDel="00912FB8" w:rsidRDefault="00AC56E5" w14:paraId="088FCB33" w14:textId="6434BF1C">
            <w:pPr>
              <w:pStyle w:val="NormalinTable"/>
            </w:pPr>
            <w:r>
              <w:t>Final 2025 Title-24</w:t>
            </w:r>
            <w:r w:rsidRPr="00C72665">
              <w:t xml:space="preserve"> </w:t>
            </w:r>
            <w:r>
              <w:t xml:space="preserve">documents </w:t>
            </w:r>
            <w:r w:rsidRPr="00C72665">
              <w:t xml:space="preserve"> </w:t>
            </w:r>
          </w:p>
        </w:tc>
        <w:tc>
          <w:tcPr>
            <w:tcW w:w="3420" w:type="dxa"/>
            <w:tcBorders>
              <w:top w:val="single" w:color="auto" w:sz="4" w:space="0"/>
              <w:left w:val="single" w:color="auto" w:sz="4" w:space="0"/>
              <w:bottom w:val="single" w:color="auto" w:sz="4" w:space="0"/>
              <w:right w:val="single" w:color="auto" w:sz="4" w:space="0"/>
            </w:tcBorders>
            <w:shd w:val="clear" w:color="auto" w:fill="auto"/>
          </w:tcPr>
          <w:p w:rsidRPr="00C72665" w:rsidR="00AC56E5" w:rsidRDefault="00AC56E5" w14:paraId="4E5D267D" w14:textId="06762F4B">
            <w:pPr>
              <w:pStyle w:val="NormalinTable"/>
            </w:pPr>
            <w:r w:rsidRPr="00C72665">
              <w:t>202</w:t>
            </w:r>
            <w:r>
              <w:t>5</w:t>
            </w:r>
            <w:r w:rsidRPr="00C72665">
              <w:t>-03-31</w:t>
            </w:r>
          </w:p>
        </w:tc>
      </w:tr>
    </w:tbl>
    <w:p w:rsidRPr="000C037F" w:rsidR="00C15252" w:rsidP="000C037F" w:rsidRDefault="00C15252" w14:paraId="4EF44C94" w14:textId="77777777"/>
    <w:p w:rsidRPr="000C037F" w:rsidR="000C037F" w:rsidP="00F9552D" w:rsidRDefault="0099212C" w14:paraId="733A34F1" w14:textId="5D667B95">
      <w:pPr>
        <w:pStyle w:val="Heading3"/>
      </w:pPr>
      <w:bookmarkStart w:name="_Toc175733770" w:id="47"/>
      <w:bookmarkStart w:name="_Toc175742634" w:id="48"/>
      <w:bookmarkStart w:name="_Toc175762714" w:id="49"/>
      <w:bookmarkStart w:name="_Toc175765994" w:id="50"/>
      <w:bookmarkStart w:name="_Toc175733771" w:id="51"/>
      <w:bookmarkStart w:name="_Toc175742635" w:id="52"/>
      <w:bookmarkStart w:name="_Toc175762715" w:id="53"/>
      <w:bookmarkStart w:name="_Toc175765995" w:id="54"/>
      <w:bookmarkStart w:name="_Toc185271167" w:id="55"/>
      <w:bookmarkEnd w:id="47"/>
      <w:bookmarkEnd w:id="48"/>
      <w:bookmarkEnd w:id="49"/>
      <w:bookmarkEnd w:id="50"/>
      <w:bookmarkEnd w:id="51"/>
      <w:bookmarkEnd w:id="52"/>
      <w:bookmarkEnd w:id="53"/>
      <w:bookmarkEnd w:id="54"/>
      <w:r>
        <w:t>(B.1</w:t>
      </w:r>
      <w:r w:rsidR="00A46DD1">
        <w:t>0</w:t>
      </w:r>
      <w:r>
        <w:t xml:space="preserve">) </w:t>
      </w:r>
      <w:r w:rsidRPr="000C037F" w:rsidR="000C037F">
        <w:t>Data Requirements for Distributor/Contractor-delivered Measures</w:t>
      </w:r>
      <w:bookmarkEnd w:id="31"/>
      <w:bookmarkEnd w:id="55"/>
    </w:p>
    <w:p w:rsidRPr="000C037F" w:rsidR="000C037F" w:rsidP="000C037F" w:rsidRDefault="000C037F" w14:paraId="1B0DED73" w14:textId="15DA2A4F">
      <w:r w:rsidRPr="000C037F">
        <w:rPr>
          <w:u w:val="single"/>
        </w:rPr>
        <w:t>Effective Program Year</w:t>
      </w:r>
      <w:r w:rsidR="00924246">
        <w:rPr>
          <w:u w:val="single"/>
        </w:rPr>
        <w:t>:</w:t>
      </w:r>
      <w:r w:rsidRPr="000C037F">
        <w:rPr>
          <w:u w:val="single"/>
        </w:rPr>
        <w:t xml:space="preserve"> 2024.</w:t>
      </w:r>
      <w:r w:rsidRPr="000C037F">
        <w:t xml:space="preserve"> The data collection requirements outlined in Resolution E-5221 should continue to be listed in measure packages moving forward. Please note that </w:t>
      </w:r>
      <w:r w:rsidRPr="000C037F">
        <w:rPr>
          <w:i/>
          <w:iCs/>
        </w:rPr>
        <w:t>SiteID</w:t>
      </w:r>
      <w:r w:rsidRPr="000C037F">
        <w:t xml:space="preserve"> is not a replacement for end use or customer tracking data for evaluation purposes. As noted in Resolution E-5152, the site data in claims information will contain location and contact information for stores, contractors, or other service providers where the ultimate customer purchase occurs.</w:t>
      </w:r>
      <w:r w:rsidRPr="000C037F">
        <w:rPr>
          <w:vertAlign w:val="superscript"/>
        </w:rPr>
        <w:footnoteReference w:id="25"/>
      </w:r>
      <w:r w:rsidRPr="000C037F">
        <w:t xml:space="preserve"> </w:t>
      </w:r>
    </w:p>
    <w:p w:rsidR="00623F4B" w:rsidP="00923F28" w:rsidRDefault="009A3DFD" w14:paraId="604EFE79" w14:textId="077A8C66">
      <w:pPr>
        <w:pStyle w:val="Heading2"/>
      </w:pPr>
      <w:bookmarkStart w:name="_Toc175733773" w:id="56"/>
      <w:bookmarkStart w:name="_Toc175742637" w:id="57"/>
      <w:bookmarkStart w:name="_Toc175762717" w:id="58"/>
      <w:bookmarkStart w:name="_Toc175765997" w:id="59"/>
      <w:bookmarkStart w:name="_Toc185271168" w:id="60"/>
      <w:bookmarkEnd w:id="56"/>
      <w:bookmarkEnd w:id="57"/>
      <w:bookmarkEnd w:id="58"/>
      <w:bookmarkEnd w:id="59"/>
      <w:r>
        <w:lastRenderedPageBreak/>
        <w:t xml:space="preserve">(C) </w:t>
      </w:r>
      <w:r w:rsidRPr="00923F28" w:rsidR="00923F28">
        <w:t>DEER 2028 Update and Measure Package Submission/Review Timeline</w:t>
      </w:r>
      <w:bookmarkEnd w:id="60"/>
    </w:p>
    <w:p w:rsidRPr="00C72665" w:rsidR="00C72665" w:rsidP="00C72665" w:rsidRDefault="00DE6BD8" w14:paraId="1850AFA1" w14:textId="4A7A6890">
      <w:r>
        <w:rPr>
          <w:u w:val="single"/>
        </w:rPr>
        <w:t>Effective Program Year</w:t>
      </w:r>
      <w:r w:rsidR="00924246">
        <w:rPr>
          <w:u w:val="single"/>
        </w:rPr>
        <w:t>:</w:t>
      </w:r>
      <w:r>
        <w:rPr>
          <w:u w:val="single"/>
        </w:rPr>
        <w:t xml:space="preserve"> 2024.</w:t>
      </w:r>
      <w:r>
        <w:t xml:space="preserve"> </w:t>
      </w:r>
      <w:r w:rsidRPr="00C72665" w:rsidR="00C72665">
        <w:t xml:space="preserve">This proposal sets forth the recommended schedule for DEER Update and for submission of measure packages for CPUC staff approval for PY2028-29. The timeline and schedule are provided in </w:t>
      </w:r>
      <w:r w:rsidRPr="00C72665" w:rsidR="00C72665">
        <w:fldChar w:fldCharType="begin"/>
      </w:r>
      <w:r w:rsidRPr="00C72665" w:rsidR="00C72665">
        <w:instrText xml:space="preserve"> REF _Ref98096329 \h </w:instrText>
      </w:r>
      <w:r w:rsidRPr="00C72665" w:rsidR="00C72665">
        <w:fldChar w:fldCharType="separate"/>
      </w:r>
      <w:r w:rsidRPr="00C72665" w:rsidR="00E812F0">
        <w:t xml:space="preserve">Table </w:t>
      </w:r>
      <w:r w:rsidRPr="00320BF1" w:rsidR="00E812F0">
        <w:rPr>
          <w:webHidden/>
        </w:rPr>
        <w:t>A-</w:t>
      </w:r>
      <w:r w:rsidR="00E812F0">
        <w:rPr>
          <w:noProof/>
        </w:rPr>
        <w:t>1</w:t>
      </w:r>
      <w:r w:rsidRPr="00C72665" w:rsidR="00E812F0">
        <w:noBreakHyphen/>
      </w:r>
      <w:r w:rsidR="00E812F0">
        <w:rPr>
          <w:noProof/>
        </w:rPr>
        <w:t>8</w:t>
      </w:r>
      <w:r w:rsidRPr="00C72665" w:rsidR="00C72665">
        <w:fldChar w:fldCharType="end"/>
      </w:r>
      <w:r w:rsidRPr="00C72665" w:rsidR="00C72665">
        <w:t xml:space="preserve"> and </w:t>
      </w:r>
      <w:r w:rsidR="003912F7">
        <w:fldChar w:fldCharType="begin"/>
      </w:r>
      <w:r w:rsidR="003912F7">
        <w:instrText xml:space="preserve"> REF _Ref99468653 \h </w:instrText>
      </w:r>
      <w:r w:rsidR="003912F7">
        <w:fldChar w:fldCharType="separate"/>
      </w:r>
      <w:r w:rsidRPr="00C72665" w:rsidR="00E812F0">
        <w:t xml:space="preserve">Table </w:t>
      </w:r>
      <w:r w:rsidRPr="00FF581C" w:rsidR="00E812F0">
        <w:rPr>
          <w:webHidden/>
        </w:rPr>
        <w:t>A-</w:t>
      </w:r>
      <w:r w:rsidR="00E812F0">
        <w:rPr>
          <w:noProof/>
        </w:rPr>
        <w:t>1</w:t>
      </w:r>
      <w:r w:rsidRPr="00C72665" w:rsidR="00E812F0">
        <w:noBreakHyphen/>
      </w:r>
      <w:r w:rsidR="00E812F0">
        <w:rPr>
          <w:noProof/>
        </w:rPr>
        <w:t>9</w:t>
      </w:r>
      <w:r w:rsidR="003912F7">
        <w:fldChar w:fldCharType="end"/>
      </w:r>
      <w:r w:rsidRPr="00C72665" w:rsidR="00C72665">
        <w:t>.</w:t>
      </w:r>
    </w:p>
    <w:p w:rsidRPr="00C72665" w:rsidR="00C72665" w:rsidP="00C72665" w:rsidRDefault="00C72665" w14:paraId="6A6E6683" w14:textId="07846742">
      <w:pPr>
        <w:pStyle w:val="Caption"/>
      </w:pPr>
      <w:bookmarkStart w:name="_Ref98096329" w:id="61"/>
      <w:bookmarkStart w:name="_Toc185273159" w:id="62"/>
      <w:bookmarkStart w:name="_Hlk99353205" w:id="63"/>
      <w:r w:rsidRPr="00C72665">
        <w:t xml:space="preserve">Table </w:t>
      </w:r>
      <w:r w:rsidRPr="00320BF1" w:rsidR="00320BF1">
        <w:rPr>
          <w:webHidden/>
        </w:rPr>
        <w:t>A-</w:t>
      </w:r>
      <w:r>
        <w:fldChar w:fldCharType="begin"/>
      </w:r>
      <w:r>
        <w:instrText>STYLEREF 1 \s</w:instrText>
      </w:r>
      <w:r>
        <w:fldChar w:fldCharType="separate"/>
      </w:r>
      <w:r w:rsidR="00E812F0">
        <w:rPr>
          <w:noProof/>
        </w:rPr>
        <w:t>1</w:t>
      </w:r>
      <w:r>
        <w:fldChar w:fldCharType="end"/>
      </w:r>
      <w:r w:rsidRPr="00C72665">
        <w:noBreakHyphen/>
      </w:r>
      <w:r>
        <w:fldChar w:fldCharType="begin"/>
      </w:r>
      <w:r>
        <w:instrText>SEQ Table \* ARABIC \s 1</w:instrText>
      </w:r>
      <w:r>
        <w:fldChar w:fldCharType="separate"/>
      </w:r>
      <w:r w:rsidR="00E812F0">
        <w:rPr>
          <w:noProof/>
        </w:rPr>
        <w:t>8</w:t>
      </w:r>
      <w:r>
        <w:fldChar w:fldCharType="end"/>
      </w:r>
      <w:bookmarkEnd w:id="61"/>
      <w:r w:rsidRPr="00C72665">
        <w:t xml:space="preserve">. </w:t>
      </w:r>
      <w:r w:rsidR="005A3936">
        <w:t xml:space="preserve">Tentative </w:t>
      </w:r>
      <w:r w:rsidRPr="00C72665">
        <w:t>PY202</w:t>
      </w:r>
      <w:r w:rsidR="00CE1C90">
        <w:t>8</w:t>
      </w:r>
      <w:r w:rsidRPr="00C72665">
        <w:t>-202</w:t>
      </w:r>
      <w:r w:rsidR="00CE1C90">
        <w:t>9</w:t>
      </w:r>
      <w:r w:rsidRPr="00C72665">
        <w:t xml:space="preserve"> DEER Update Cycle Timeline</w:t>
      </w:r>
      <w:bookmarkEnd w:id="62"/>
    </w:p>
    <w:tbl>
      <w:tblPr>
        <w:tblW w:w="97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bottom w:w="14" w:type="dxa"/>
        </w:tblCellMar>
        <w:tblLook w:val="04A0" w:firstRow="1" w:lastRow="0" w:firstColumn="1" w:lastColumn="0" w:noHBand="0" w:noVBand="1"/>
      </w:tblPr>
      <w:tblGrid>
        <w:gridCol w:w="2515"/>
        <w:gridCol w:w="2160"/>
        <w:gridCol w:w="1767"/>
        <w:gridCol w:w="1650"/>
        <w:gridCol w:w="1650"/>
      </w:tblGrid>
      <w:tr w:rsidRPr="00C72665" w:rsidR="00C72665" w:rsidTr="009A1C65" w14:paraId="10A71939" w14:textId="77777777">
        <w:trPr>
          <w:trHeight w:val="335"/>
          <w:tblHeader/>
        </w:trPr>
        <w:tc>
          <w:tcPr>
            <w:tcW w:w="2515" w:type="dxa"/>
            <w:tcBorders>
              <w:top w:val="single" w:color="auto" w:sz="4" w:space="0"/>
              <w:left w:val="single" w:color="auto" w:sz="4" w:space="0"/>
              <w:bottom w:val="single" w:color="auto" w:sz="4" w:space="0"/>
              <w:right w:val="single" w:color="auto" w:sz="4" w:space="0"/>
            </w:tcBorders>
            <w:vAlign w:val="bottom"/>
          </w:tcPr>
          <w:p w:rsidRPr="00C72665" w:rsidR="00C72665" w:rsidP="009D2735" w:rsidRDefault="00C72665" w14:paraId="285FA42E" w14:textId="77777777">
            <w:pPr>
              <w:pStyle w:val="NormalinTable"/>
              <w:rPr>
                <w:b/>
              </w:rPr>
            </w:pPr>
            <w:r w:rsidRPr="00C72665">
              <w:t>Description</w:t>
            </w:r>
          </w:p>
        </w:tc>
        <w:tc>
          <w:tcPr>
            <w:tcW w:w="2160" w:type="dxa"/>
            <w:tcBorders>
              <w:top w:val="single" w:color="auto" w:sz="4" w:space="0"/>
              <w:left w:val="single" w:color="auto" w:sz="4" w:space="0"/>
              <w:bottom w:val="single" w:color="auto" w:sz="4" w:space="0"/>
              <w:right w:val="single" w:color="auto" w:sz="4" w:space="0"/>
            </w:tcBorders>
            <w:vAlign w:val="bottom"/>
          </w:tcPr>
          <w:p w:rsidRPr="00C72665" w:rsidR="00C72665" w:rsidP="009D2735" w:rsidRDefault="00C72665" w14:paraId="782A4476" w14:textId="77777777">
            <w:pPr>
              <w:pStyle w:val="NormalinTable"/>
              <w:rPr>
                <w:b/>
              </w:rPr>
            </w:pPr>
            <w:r w:rsidRPr="00C72665">
              <w:t>Responsible Party</w:t>
            </w:r>
          </w:p>
        </w:tc>
        <w:tc>
          <w:tcPr>
            <w:tcW w:w="1767" w:type="dxa"/>
            <w:tcBorders>
              <w:top w:val="single" w:color="auto" w:sz="4" w:space="0"/>
              <w:left w:val="single" w:color="auto" w:sz="4" w:space="0"/>
              <w:bottom w:val="single" w:color="auto" w:sz="4" w:space="0"/>
              <w:right w:val="single" w:color="auto" w:sz="4" w:space="0"/>
            </w:tcBorders>
            <w:vAlign w:val="bottom"/>
          </w:tcPr>
          <w:p w:rsidRPr="00C72665" w:rsidR="00C72665" w:rsidP="009D2735" w:rsidRDefault="00C72665" w14:paraId="08915536" w14:textId="77777777">
            <w:pPr>
              <w:pStyle w:val="NormalinTable"/>
              <w:rPr>
                <w:b/>
              </w:rPr>
            </w:pPr>
            <w:r w:rsidRPr="00C72665">
              <w:t>Due Date</w:t>
            </w:r>
          </w:p>
        </w:tc>
        <w:tc>
          <w:tcPr>
            <w:tcW w:w="1650" w:type="dxa"/>
            <w:tcBorders>
              <w:top w:val="single" w:color="auto" w:sz="4" w:space="0"/>
              <w:left w:val="single" w:color="auto" w:sz="4" w:space="0"/>
              <w:bottom w:val="single" w:color="auto" w:sz="4" w:space="0"/>
              <w:right w:val="single" w:color="auto" w:sz="4" w:space="0"/>
            </w:tcBorders>
            <w:vAlign w:val="bottom"/>
          </w:tcPr>
          <w:p w:rsidRPr="00C72665" w:rsidR="00C72665" w:rsidP="009D2735" w:rsidRDefault="00C72665" w14:paraId="4A7EB349" w14:textId="77777777">
            <w:pPr>
              <w:pStyle w:val="NormalinTable"/>
              <w:rPr>
                <w:b/>
              </w:rPr>
            </w:pPr>
            <w:r w:rsidRPr="00C72665">
              <w:t>Approval Date</w:t>
            </w:r>
          </w:p>
        </w:tc>
        <w:tc>
          <w:tcPr>
            <w:tcW w:w="1650" w:type="dxa"/>
            <w:tcBorders>
              <w:top w:val="single" w:color="auto" w:sz="4" w:space="0"/>
              <w:left w:val="single" w:color="auto" w:sz="4" w:space="0"/>
              <w:bottom w:val="single" w:color="auto" w:sz="4" w:space="0"/>
              <w:right w:val="single" w:color="auto" w:sz="4" w:space="0"/>
            </w:tcBorders>
            <w:vAlign w:val="bottom"/>
          </w:tcPr>
          <w:p w:rsidRPr="00C72665" w:rsidR="00C72665" w:rsidP="009D2735" w:rsidRDefault="00C72665" w14:paraId="79B0D9F9" w14:textId="77777777">
            <w:pPr>
              <w:pStyle w:val="NormalinTable"/>
            </w:pPr>
            <w:r w:rsidRPr="00C72665">
              <w:t>Effective Date</w:t>
            </w:r>
          </w:p>
        </w:tc>
      </w:tr>
      <w:tr w:rsidRPr="00C72665" w:rsidR="00C72665" w:rsidTr="009A1C65" w14:paraId="50836EC2" w14:textId="77777777">
        <w:trPr>
          <w:trHeight w:val="534"/>
        </w:trPr>
        <w:tc>
          <w:tcPr>
            <w:tcW w:w="2515" w:type="dxa"/>
            <w:tcBorders>
              <w:top w:val="single" w:color="auto" w:sz="4" w:space="0"/>
              <w:left w:val="single" w:color="auto" w:sz="4" w:space="0"/>
              <w:bottom w:val="single" w:color="auto" w:sz="4" w:space="0"/>
              <w:right w:val="single" w:color="auto" w:sz="4" w:space="0"/>
            </w:tcBorders>
          </w:tcPr>
          <w:p w:rsidRPr="00C72665" w:rsidR="00C72665" w:rsidP="009D2735" w:rsidRDefault="00C72665" w14:paraId="757F6B9B" w14:textId="77777777">
            <w:pPr>
              <w:pStyle w:val="NormalinTable"/>
            </w:pPr>
            <w:r w:rsidRPr="00C72665">
              <w:t>Draft DEER2028 Update Resolution</w:t>
            </w:r>
          </w:p>
        </w:tc>
        <w:tc>
          <w:tcPr>
            <w:tcW w:w="2160" w:type="dxa"/>
            <w:tcBorders>
              <w:top w:val="single" w:color="auto" w:sz="4" w:space="0"/>
              <w:left w:val="single" w:color="auto" w:sz="4" w:space="0"/>
              <w:bottom w:val="single" w:color="auto" w:sz="4" w:space="0"/>
              <w:right w:val="single" w:color="auto" w:sz="4" w:space="0"/>
            </w:tcBorders>
          </w:tcPr>
          <w:p w:rsidRPr="00C72665" w:rsidR="00C72665" w:rsidP="009D2735" w:rsidRDefault="00C72665" w14:paraId="34501996" w14:textId="77777777">
            <w:pPr>
              <w:pStyle w:val="NormalinTable"/>
            </w:pPr>
            <w:r w:rsidRPr="00C72665">
              <w:t>CPUC</w:t>
            </w:r>
          </w:p>
        </w:tc>
        <w:tc>
          <w:tcPr>
            <w:tcW w:w="1767" w:type="dxa"/>
            <w:tcBorders>
              <w:top w:val="single" w:color="auto" w:sz="4" w:space="0"/>
              <w:left w:val="single" w:color="auto" w:sz="4" w:space="0"/>
              <w:bottom w:val="single" w:color="auto" w:sz="4" w:space="0"/>
              <w:right w:val="single" w:color="auto" w:sz="4" w:space="0"/>
            </w:tcBorders>
          </w:tcPr>
          <w:p w:rsidRPr="00C72665" w:rsidR="00C72665" w:rsidP="009D2735" w:rsidRDefault="00C72665" w14:paraId="7FF26821" w14:textId="77777777">
            <w:pPr>
              <w:pStyle w:val="NormalinTable"/>
            </w:pPr>
            <w:r w:rsidRPr="00C72665">
              <w:t>2026-07-31</w:t>
            </w:r>
          </w:p>
        </w:tc>
        <w:tc>
          <w:tcPr>
            <w:tcW w:w="1650" w:type="dxa"/>
            <w:tcBorders>
              <w:top w:val="single" w:color="auto" w:sz="4" w:space="0"/>
              <w:left w:val="single" w:color="auto" w:sz="4" w:space="0"/>
              <w:bottom w:val="single" w:color="auto" w:sz="4" w:space="0"/>
              <w:right w:val="single" w:color="auto" w:sz="4" w:space="0"/>
            </w:tcBorders>
          </w:tcPr>
          <w:p w:rsidRPr="00C72665" w:rsidR="00C72665" w:rsidP="009D2735" w:rsidRDefault="00C72665" w14:paraId="1191B5A0" w14:textId="77777777">
            <w:pPr>
              <w:pStyle w:val="NormalinTable"/>
            </w:pPr>
            <w:r w:rsidRPr="00C72665">
              <w:t>-</w:t>
            </w:r>
          </w:p>
        </w:tc>
        <w:tc>
          <w:tcPr>
            <w:tcW w:w="1650" w:type="dxa"/>
            <w:tcBorders>
              <w:top w:val="single" w:color="auto" w:sz="4" w:space="0"/>
              <w:left w:val="single" w:color="auto" w:sz="4" w:space="0"/>
              <w:bottom w:val="single" w:color="auto" w:sz="4" w:space="0"/>
              <w:right w:val="single" w:color="auto" w:sz="4" w:space="0"/>
            </w:tcBorders>
          </w:tcPr>
          <w:p w:rsidRPr="00C72665" w:rsidR="00C72665" w:rsidP="009D2735" w:rsidRDefault="00C72665" w14:paraId="1DF16384" w14:textId="77777777">
            <w:pPr>
              <w:pStyle w:val="NormalinTable"/>
            </w:pPr>
            <w:r w:rsidRPr="00C72665">
              <w:t>-</w:t>
            </w:r>
          </w:p>
        </w:tc>
      </w:tr>
      <w:tr w:rsidRPr="00C72665" w:rsidR="00C72665" w:rsidTr="009A1C65" w14:paraId="65452596" w14:textId="77777777">
        <w:trPr>
          <w:trHeight w:val="20"/>
        </w:trPr>
        <w:tc>
          <w:tcPr>
            <w:tcW w:w="2515" w:type="dxa"/>
            <w:tcBorders>
              <w:top w:val="single" w:color="auto" w:sz="4" w:space="0"/>
              <w:left w:val="single" w:color="auto" w:sz="4" w:space="0"/>
              <w:bottom w:val="single" w:color="auto" w:sz="4" w:space="0"/>
              <w:right w:val="single" w:color="auto" w:sz="4" w:space="0"/>
            </w:tcBorders>
          </w:tcPr>
          <w:p w:rsidRPr="00C72665" w:rsidR="00C72665" w:rsidP="009D2735" w:rsidRDefault="00C72665" w14:paraId="5D3CDDF8" w14:textId="77777777">
            <w:pPr>
              <w:pStyle w:val="NormalinTable"/>
            </w:pPr>
            <w:r w:rsidRPr="00C72665">
              <w:t>DEER2028 Update Resolution</w:t>
            </w:r>
          </w:p>
        </w:tc>
        <w:tc>
          <w:tcPr>
            <w:tcW w:w="2160" w:type="dxa"/>
            <w:tcBorders>
              <w:top w:val="single" w:color="auto" w:sz="4" w:space="0"/>
              <w:left w:val="single" w:color="auto" w:sz="4" w:space="0"/>
              <w:bottom w:val="single" w:color="auto" w:sz="4" w:space="0"/>
              <w:right w:val="single" w:color="auto" w:sz="4" w:space="0"/>
            </w:tcBorders>
          </w:tcPr>
          <w:p w:rsidRPr="00C72665" w:rsidR="00C72665" w:rsidP="009D2735" w:rsidRDefault="00C72665" w14:paraId="031C569A" w14:textId="77777777">
            <w:pPr>
              <w:pStyle w:val="NormalinTable"/>
            </w:pPr>
            <w:r w:rsidRPr="00C72665">
              <w:t>CPUC</w:t>
            </w:r>
          </w:p>
        </w:tc>
        <w:tc>
          <w:tcPr>
            <w:tcW w:w="1767" w:type="dxa"/>
            <w:tcBorders>
              <w:top w:val="single" w:color="auto" w:sz="4" w:space="0"/>
              <w:left w:val="single" w:color="auto" w:sz="4" w:space="0"/>
              <w:bottom w:val="single" w:color="auto" w:sz="4" w:space="0"/>
              <w:right w:val="single" w:color="auto" w:sz="4" w:space="0"/>
            </w:tcBorders>
          </w:tcPr>
          <w:p w:rsidRPr="00C72665" w:rsidR="00C72665" w:rsidP="009D2735" w:rsidRDefault="00C72665" w14:paraId="71330DCF" w14:textId="77777777">
            <w:pPr>
              <w:pStyle w:val="NormalinTable"/>
            </w:pPr>
            <w:r w:rsidRPr="00C72665">
              <w:t>-</w:t>
            </w:r>
          </w:p>
        </w:tc>
        <w:tc>
          <w:tcPr>
            <w:tcW w:w="1650" w:type="dxa"/>
            <w:tcBorders>
              <w:top w:val="single" w:color="auto" w:sz="4" w:space="0"/>
              <w:left w:val="single" w:color="auto" w:sz="4" w:space="0"/>
              <w:bottom w:val="single" w:color="auto" w:sz="4" w:space="0"/>
              <w:right w:val="single" w:color="auto" w:sz="4" w:space="0"/>
            </w:tcBorders>
          </w:tcPr>
          <w:p w:rsidRPr="00C72665" w:rsidR="00C72665" w:rsidP="009D2735" w:rsidRDefault="00C72665" w14:paraId="4EA5C36C" w14:textId="77777777">
            <w:pPr>
              <w:pStyle w:val="NormalinTable"/>
            </w:pPr>
            <w:r w:rsidRPr="00C72665">
              <w:t xml:space="preserve">2026-10-30 </w:t>
            </w:r>
          </w:p>
        </w:tc>
        <w:tc>
          <w:tcPr>
            <w:tcW w:w="1650" w:type="dxa"/>
            <w:tcBorders>
              <w:top w:val="single" w:color="auto" w:sz="4" w:space="0"/>
              <w:left w:val="single" w:color="auto" w:sz="4" w:space="0"/>
              <w:bottom w:val="single" w:color="auto" w:sz="4" w:space="0"/>
              <w:right w:val="single" w:color="auto" w:sz="4" w:space="0"/>
            </w:tcBorders>
          </w:tcPr>
          <w:p w:rsidRPr="00C72665" w:rsidR="00C72665" w:rsidP="009D2735" w:rsidRDefault="00C72665" w14:paraId="4846F581" w14:textId="77777777">
            <w:pPr>
              <w:pStyle w:val="NormalinTable"/>
            </w:pPr>
            <w:r w:rsidRPr="00C72665">
              <w:t>2028-01-01*</w:t>
            </w:r>
          </w:p>
        </w:tc>
      </w:tr>
      <w:tr w:rsidRPr="00C72665" w:rsidR="00C72665" w:rsidTr="009A1C65" w14:paraId="16E99BFA" w14:textId="77777777">
        <w:trPr>
          <w:trHeight w:val="20"/>
        </w:trPr>
        <w:tc>
          <w:tcPr>
            <w:tcW w:w="2515" w:type="dxa"/>
            <w:tcBorders>
              <w:top w:val="single" w:color="auto" w:sz="4" w:space="0"/>
              <w:left w:val="single" w:color="auto" w:sz="4" w:space="0"/>
              <w:bottom w:val="single" w:color="auto" w:sz="4" w:space="0"/>
              <w:right w:val="single" w:color="auto" w:sz="4" w:space="0"/>
            </w:tcBorders>
          </w:tcPr>
          <w:p w:rsidRPr="00C72665" w:rsidR="00C72665" w:rsidP="009D2735" w:rsidRDefault="00C72665" w14:paraId="28BFCF86" w14:textId="77777777">
            <w:pPr>
              <w:pStyle w:val="NormalinTable"/>
            </w:pPr>
            <w:r w:rsidRPr="00C72665">
              <w:t>Measure Package Update Schedule</w:t>
            </w:r>
          </w:p>
        </w:tc>
        <w:tc>
          <w:tcPr>
            <w:tcW w:w="2160" w:type="dxa"/>
            <w:tcBorders>
              <w:top w:val="single" w:color="auto" w:sz="4" w:space="0"/>
              <w:left w:val="single" w:color="auto" w:sz="4" w:space="0"/>
              <w:bottom w:val="single" w:color="auto" w:sz="4" w:space="0"/>
              <w:right w:val="single" w:color="auto" w:sz="4" w:space="0"/>
            </w:tcBorders>
          </w:tcPr>
          <w:p w:rsidRPr="00C72665" w:rsidR="00C72665" w:rsidP="009D2735" w:rsidRDefault="00C72665" w14:paraId="61890DF6" w14:textId="1EED0E46">
            <w:pPr>
              <w:pStyle w:val="NormalinTable"/>
            </w:pPr>
            <w:r w:rsidRPr="00C72665">
              <w:t>PAs/Stakeholders</w:t>
            </w:r>
          </w:p>
        </w:tc>
        <w:tc>
          <w:tcPr>
            <w:tcW w:w="1767" w:type="dxa"/>
            <w:tcBorders>
              <w:top w:val="single" w:color="auto" w:sz="4" w:space="0"/>
              <w:left w:val="single" w:color="auto" w:sz="4" w:space="0"/>
              <w:bottom w:val="single" w:color="auto" w:sz="4" w:space="0"/>
              <w:right w:val="single" w:color="auto" w:sz="4" w:space="0"/>
            </w:tcBorders>
          </w:tcPr>
          <w:p w:rsidRPr="00C72665" w:rsidR="00C72665" w:rsidP="009D2735" w:rsidRDefault="00C72665" w14:paraId="61E97EBE" w14:textId="77777777">
            <w:pPr>
              <w:pStyle w:val="NormalinTable"/>
            </w:pPr>
            <w:r w:rsidRPr="00C72665">
              <w:t>2025-08-01**</w:t>
            </w:r>
          </w:p>
        </w:tc>
        <w:tc>
          <w:tcPr>
            <w:tcW w:w="1650" w:type="dxa"/>
            <w:tcBorders>
              <w:top w:val="single" w:color="auto" w:sz="4" w:space="0"/>
              <w:left w:val="single" w:color="auto" w:sz="4" w:space="0"/>
              <w:bottom w:val="single" w:color="auto" w:sz="4" w:space="0"/>
              <w:right w:val="single" w:color="auto" w:sz="4" w:space="0"/>
            </w:tcBorders>
          </w:tcPr>
          <w:p w:rsidRPr="00C72665" w:rsidR="00C72665" w:rsidP="009D2735" w:rsidRDefault="00C72665" w14:paraId="55B019D6" w14:textId="77777777">
            <w:pPr>
              <w:pStyle w:val="NormalinTable"/>
            </w:pPr>
            <w:r w:rsidRPr="00C72665">
              <w:t>-</w:t>
            </w:r>
          </w:p>
        </w:tc>
        <w:tc>
          <w:tcPr>
            <w:tcW w:w="1650" w:type="dxa"/>
            <w:tcBorders>
              <w:top w:val="single" w:color="auto" w:sz="4" w:space="0"/>
              <w:left w:val="single" w:color="auto" w:sz="4" w:space="0"/>
              <w:bottom w:val="single" w:color="auto" w:sz="4" w:space="0"/>
              <w:right w:val="single" w:color="auto" w:sz="4" w:space="0"/>
            </w:tcBorders>
          </w:tcPr>
          <w:p w:rsidRPr="00C72665" w:rsidR="00C72665" w:rsidP="009D2735" w:rsidRDefault="00C72665" w14:paraId="5FDC0646" w14:textId="77777777">
            <w:pPr>
              <w:pStyle w:val="NormalinTable"/>
            </w:pPr>
            <w:r w:rsidRPr="00C72665">
              <w:t>-</w:t>
            </w:r>
          </w:p>
        </w:tc>
      </w:tr>
      <w:tr w:rsidRPr="00C72665" w:rsidR="00C72665" w:rsidTr="009A1C65" w14:paraId="0B518ACA" w14:textId="77777777">
        <w:trPr>
          <w:trHeight w:val="20"/>
        </w:trPr>
        <w:tc>
          <w:tcPr>
            <w:tcW w:w="2515" w:type="dxa"/>
            <w:tcBorders>
              <w:top w:val="single" w:color="auto" w:sz="4" w:space="0"/>
              <w:left w:val="single" w:color="auto" w:sz="4" w:space="0"/>
              <w:bottom w:val="single" w:color="auto" w:sz="4" w:space="0"/>
              <w:right w:val="single" w:color="auto" w:sz="4" w:space="0"/>
            </w:tcBorders>
          </w:tcPr>
          <w:p w:rsidRPr="00C72665" w:rsidR="00C72665" w:rsidP="00690371" w:rsidRDefault="00C72665" w14:paraId="1B11728E" w14:textId="77777777">
            <w:pPr>
              <w:pStyle w:val="NormalinTable"/>
              <w:keepNext/>
            </w:pPr>
            <w:r w:rsidRPr="00C72665">
              <w:t>Measure Package Submittals</w:t>
            </w:r>
          </w:p>
        </w:tc>
        <w:tc>
          <w:tcPr>
            <w:tcW w:w="2160" w:type="dxa"/>
            <w:tcBorders>
              <w:top w:val="single" w:color="auto" w:sz="4" w:space="0"/>
              <w:left w:val="single" w:color="auto" w:sz="4" w:space="0"/>
              <w:bottom w:val="single" w:color="auto" w:sz="4" w:space="0"/>
              <w:right w:val="single" w:color="auto" w:sz="4" w:space="0"/>
            </w:tcBorders>
          </w:tcPr>
          <w:p w:rsidRPr="00C72665" w:rsidR="00C72665" w:rsidP="00690371" w:rsidRDefault="00C72665" w14:paraId="076475ED" w14:textId="77777777">
            <w:pPr>
              <w:pStyle w:val="NormalinTable"/>
              <w:keepNext/>
            </w:pPr>
            <w:r w:rsidRPr="00C72665">
              <w:t>PAs</w:t>
            </w:r>
          </w:p>
        </w:tc>
        <w:tc>
          <w:tcPr>
            <w:tcW w:w="1767" w:type="dxa"/>
            <w:tcBorders>
              <w:top w:val="single" w:color="auto" w:sz="4" w:space="0"/>
              <w:left w:val="single" w:color="auto" w:sz="4" w:space="0"/>
              <w:bottom w:val="single" w:color="auto" w:sz="4" w:space="0"/>
              <w:right w:val="single" w:color="auto" w:sz="4" w:space="0"/>
            </w:tcBorders>
          </w:tcPr>
          <w:p w:rsidRPr="00C72665" w:rsidR="00C72665" w:rsidP="00690371" w:rsidRDefault="001465B3" w14:paraId="340CAB63" w14:textId="595C67E8">
            <w:pPr>
              <w:pStyle w:val="NormalinTable"/>
              <w:keepNext/>
            </w:pPr>
            <w:r>
              <w:t>2026-03-31**</w:t>
            </w:r>
          </w:p>
        </w:tc>
        <w:tc>
          <w:tcPr>
            <w:tcW w:w="1650" w:type="dxa"/>
            <w:tcBorders>
              <w:top w:val="single" w:color="auto" w:sz="4" w:space="0"/>
              <w:left w:val="single" w:color="auto" w:sz="4" w:space="0"/>
              <w:bottom w:val="single" w:color="auto" w:sz="4" w:space="0"/>
              <w:right w:val="single" w:color="auto" w:sz="4" w:space="0"/>
            </w:tcBorders>
          </w:tcPr>
          <w:p w:rsidRPr="00C72665" w:rsidR="00C72665" w:rsidP="00690371" w:rsidRDefault="00C72665" w14:paraId="6517C7D5" w14:textId="77777777">
            <w:pPr>
              <w:pStyle w:val="NormalinTable"/>
              <w:keepNext/>
            </w:pPr>
            <w:r w:rsidRPr="00C72665">
              <w:t>2026-07-31</w:t>
            </w:r>
            <w:r w:rsidRPr="00C72665">
              <w:rPr>
                <w:vertAlign w:val="superscript"/>
              </w:rPr>
              <w:t>+</w:t>
            </w:r>
          </w:p>
        </w:tc>
        <w:tc>
          <w:tcPr>
            <w:tcW w:w="1650" w:type="dxa"/>
            <w:tcBorders>
              <w:top w:val="single" w:color="auto" w:sz="4" w:space="0"/>
              <w:left w:val="single" w:color="auto" w:sz="4" w:space="0"/>
              <w:bottom w:val="single" w:color="auto" w:sz="4" w:space="0"/>
              <w:right w:val="single" w:color="auto" w:sz="4" w:space="0"/>
            </w:tcBorders>
          </w:tcPr>
          <w:p w:rsidRPr="00C72665" w:rsidR="00C72665" w:rsidP="00690371" w:rsidRDefault="00C72665" w14:paraId="5C5A3289" w14:textId="77777777">
            <w:pPr>
              <w:pStyle w:val="NormalinTable"/>
              <w:keepNext/>
            </w:pPr>
            <w:r w:rsidRPr="00C72665">
              <w:t>2028-01-01*</w:t>
            </w:r>
          </w:p>
        </w:tc>
      </w:tr>
    </w:tbl>
    <w:p w:rsidRPr="00C72665" w:rsidR="00C72665" w:rsidP="00063D50" w:rsidRDefault="00C72665" w14:paraId="524612C4" w14:textId="77777777">
      <w:pPr>
        <w:pStyle w:val="Tablenote"/>
      </w:pPr>
      <w:r w:rsidRPr="00C72665">
        <w:t>* There may be exceptions when updates become effective mid-cycle.</w:t>
      </w:r>
    </w:p>
    <w:p w:rsidRPr="00C72665" w:rsidR="00C72665" w:rsidP="00063D50" w:rsidRDefault="00C72665" w14:paraId="654AC98F" w14:textId="1898C846">
      <w:pPr>
        <w:pStyle w:val="Tablenote"/>
      </w:pPr>
      <w:r w:rsidRPr="00C72665">
        <w:t>** Draft for workflow scheduling; updates to the schedule may be made if needed.</w:t>
      </w:r>
      <w:r w:rsidR="0030240B">
        <w:t xml:space="preserve"> Future updates like EnergyPlus prototypes, EM&amp;V evaluations, and CPUC policy will be incorporated into the review of the Measure Package Update Schedule to properly stagger measure package submissions and reviews.</w:t>
      </w:r>
    </w:p>
    <w:p w:rsidRPr="00C72665" w:rsidR="00C72665" w:rsidP="00063D50" w:rsidRDefault="00C72665" w14:paraId="0123636C" w14:textId="77777777">
      <w:pPr>
        <w:pStyle w:val="Tablenote"/>
      </w:pPr>
      <w:r w:rsidRPr="00C72665">
        <w:t>+ Per Draft Resolution release, adoption in Final Resolution.</w:t>
      </w:r>
    </w:p>
    <w:bookmarkEnd w:id="63"/>
    <w:p w:rsidRPr="00C72665" w:rsidR="00C72665" w:rsidP="00C72665" w:rsidRDefault="00C72665" w14:paraId="45A9CC00" w14:textId="77777777"/>
    <w:p w:rsidRPr="00C72665" w:rsidR="00C72665" w:rsidP="00C72665" w:rsidRDefault="00C279C5" w14:paraId="1E03E476" w14:textId="0E6074E0">
      <w:r>
        <w:t>CPUC s</w:t>
      </w:r>
      <w:r w:rsidRPr="00C72665" w:rsidR="00C72665">
        <w:t>taff will work with PAs to set a prioritized schedule of updates for all PY2028</w:t>
      </w:r>
      <w:r w:rsidRPr="00C72665" w:rsidR="00C72665">
        <w:noBreakHyphen/>
        <w:t>29 measure packages resulting from updates directed in Sections 1.5 and 2.0. PAs may submit additional updates to measure packages beyond what is directed and may include additional measure packages for update during that time. Examples of such updates may include, but are not limited to costs, new study data, and EM&amp;V results. Only measure packages adopted in the DEER2028 will be included in the set of deemed measures for the PY2028</w:t>
      </w:r>
      <w:r w:rsidRPr="00C72665" w:rsidR="00C72665">
        <w:noBreakHyphen/>
        <w:t xml:space="preserve">29 program cycle. </w:t>
      </w:r>
    </w:p>
    <w:p w:rsidRPr="00C72665" w:rsidR="00C72665" w:rsidP="00C72665" w:rsidRDefault="00C72665" w14:paraId="1660343F" w14:textId="6CCEF216">
      <w:r w:rsidRPr="00C72665">
        <w:t>Staff will work with the PAs to develop a schedule of submissions so measure packages</w:t>
      </w:r>
      <w:r w:rsidR="00752092">
        <w:t xml:space="preserve"> requiring more time to </w:t>
      </w:r>
      <w:r w:rsidR="00D62CCF">
        <w:t>develop,</w:t>
      </w:r>
      <w:r w:rsidR="00882737">
        <w:t xml:space="preserve"> and review</w:t>
      </w:r>
      <w:r w:rsidRPr="00C72665">
        <w:t xml:space="preserve"> can be submitted well before the standard three-month timeframe for review and approval to avoid delays. It is the responsibility of the PAs to follow the agreed schedule for submissions or risk measure packages not being included in the DEER resolution and therefore not receiving approval.</w:t>
      </w:r>
    </w:p>
    <w:bookmarkStart w:name="_Ref99466274" w:id="64"/>
    <w:bookmarkStart w:name="_Ref98074180" w:id="65"/>
    <w:p w:rsidRPr="00C72665" w:rsidR="00C72665" w:rsidP="00C72665" w:rsidRDefault="00C72665" w14:paraId="03C12344" w14:textId="3A1C1D06">
      <w:r w:rsidRPr="00C72665">
        <w:lastRenderedPageBreak/>
        <w:fldChar w:fldCharType="begin"/>
      </w:r>
      <w:r w:rsidRPr="00C72665">
        <w:instrText xml:space="preserve"> REF _Ref99468653 \h </w:instrText>
      </w:r>
      <w:r w:rsidRPr="00BE135F" w:rsidR="00BE135F">
        <w:instrText xml:space="preserve"> \* MERGEFORMAT </w:instrText>
      </w:r>
      <w:r w:rsidRPr="00C72665">
        <w:fldChar w:fldCharType="separate"/>
      </w:r>
      <w:r w:rsidRPr="00C72665" w:rsidR="00E812F0">
        <w:t xml:space="preserve">Table </w:t>
      </w:r>
      <w:r w:rsidRPr="00FF581C" w:rsidR="00E812F0">
        <w:rPr>
          <w:webHidden/>
        </w:rPr>
        <w:t>A-</w:t>
      </w:r>
      <w:r w:rsidR="00E812F0">
        <w:t>1</w:t>
      </w:r>
      <w:r w:rsidRPr="00C72665" w:rsidR="00E812F0">
        <w:noBreakHyphen/>
      </w:r>
      <w:r w:rsidR="00E812F0">
        <w:t>9</w:t>
      </w:r>
      <w:r w:rsidRPr="00C72665">
        <w:fldChar w:fldCharType="end"/>
      </w:r>
      <w:r w:rsidRPr="00C72665">
        <w:t xml:space="preserve"> summarizes the measures presently planned for updates, when the PA-led research needs to be completed, and the deadline for measure package submittals.</w:t>
      </w:r>
    </w:p>
    <w:p w:rsidRPr="00C72665" w:rsidR="00C72665" w:rsidP="00063D50" w:rsidRDefault="00C72665" w14:paraId="23729B08" w14:textId="39A1E31D">
      <w:pPr>
        <w:pStyle w:val="Caption"/>
      </w:pPr>
      <w:bookmarkStart w:name="_Ref99468653" w:id="66"/>
      <w:bookmarkStart w:name="_Toc185273160" w:id="67"/>
      <w:r w:rsidRPr="00C72665">
        <w:t xml:space="preserve">Table </w:t>
      </w:r>
      <w:r w:rsidRPr="00FF581C" w:rsidR="00FF581C">
        <w:rPr>
          <w:webHidden/>
        </w:rPr>
        <w:t>A-</w:t>
      </w:r>
      <w:r w:rsidRPr="00C72665">
        <w:fldChar w:fldCharType="begin"/>
      </w:r>
      <w:r w:rsidRPr="00C72665">
        <w:instrText>STYLEREF 1 \s</w:instrText>
      </w:r>
      <w:r w:rsidRPr="00C72665">
        <w:fldChar w:fldCharType="separate"/>
      </w:r>
      <w:r w:rsidR="00E812F0">
        <w:rPr>
          <w:noProof/>
        </w:rPr>
        <w:t>1</w:t>
      </w:r>
      <w:r w:rsidRPr="00C72665">
        <w:fldChar w:fldCharType="end"/>
      </w:r>
      <w:r w:rsidRPr="00C72665">
        <w:noBreakHyphen/>
      </w:r>
      <w:r w:rsidRPr="00C72665">
        <w:fldChar w:fldCharType="begin"/>
      </w:r>
      <w:r w:rsidRPr="00C72665">
        <w:instrText>SEQ Table \* ARABIC \s 1</w:instrText>
      </w:r>
      <w:r w:rsidRPr="00C72665">
        <w:fldChar w:fldCharType="separate"/>
      </w:r>
      <w:r w:rsidR="00E812F0">
        <w:rPr>
          <w:noProof/>
        </w:rPr>
        <w:t>9</w:t>
      </w:r>
      <w:r w:rsidRPr="00C72665">
        <w:fldChar w:fldCharType="end"/>
      </w:r>
      <w:bookmarkEnd w:id="66"/>
      <w:r w:rsidRPr="00C72665">
        <w:t xml:space="preserve">. </w:t>
      </w:r>
      <w:r w:rsidRPr="00C72665" w:rsidR="5DFE686E">
        <w:t xml:space="preserve">Anticipated </w:t>
      </w:r>
      <w:r w:rsidRPr="00C72665">
        <w:t>Timeline for DEER2028-2029 Measure Package Updates from PA-Led Research</w:t>
      </w:r>
      <w:bookmarkEnd w:id="67"/>
    </w:p>
    <w:tbl>
      <w:tblPr>
        <w:tblW w:w="944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bottom w:w="14" w:type="dxa"/>
        </w:tblCellMar>
        <w:tblLook w:val="04A0" w:firstRow="1" w:lastRow="0" w:firstColumn="1" w:lastColumn="0" w:noHBand="0" w:noVBand="1"/>
      </w:tblPr>
      <w:tblGrid>
        <w:gridCol w:w="1345"/>
        <w:gridCol w:w="3780"/>
        <w:gridCol w:w="2159"/>
        <w:gridCol w:w="2160"/>
      </w:tblGrid>
      <w:tr w:rsidRPr="00C72665" w:rsidR="00C72665" w:rsidTr="004B2196" w14:paraId="5D294AAB" w14:textId="77777777">
        <w:trPr>
          <w:trHeight w:val="329"/>
          <w:tblHeader/>
        </w:trPr>
        <w:tc>
          <w:tcPr>
            <w:tcW w:w="1345" w:type="dxa"/>
            <w:tcBorders>
              <w:top w:val="single" w:color="auto" w:sz="4" w:space="0"/>
              <w:left w:val="single" w:color="auto" w:sz="4" w:space="0"/>
              <w:bottom w:val="single" w:color="auto" w:sz="4" w:space="0"/>
              <w:right w:val="single" w:color="auto" w:sz="4" w:space="0"/>
            </w:tcBorders>
            <w:vAlign w:val="bottom"/>
          </w:tcPr>
          <w:p w:rsidRPr="00C72665" w:rsidR="00C72665" w:rsidP="009D2735" w:rsidRDefault="00C72665" w14:paraId="7EB245A3" w14:textId="77777777">
            <w:pPr>
              <w:pStyle w:val="NormalinTable"/>
              <w:rPr>
                <w:b/>
              </w:rPr>
            </w:pPr>
            <w:r w:rsidRPr="00C72665">
              <w:t>End Use Category</w:t>
            </w:r>
          </w:p>
        </w:tc>
        <w:tc>
          <w:tcPr>
            <w:tcW w:w="3780" w:type="dxa"/>
            <w:tcBorders>
              <w:top w:val="single" w:color="auto" w:sz="4" w:space="0"/>
              <w:left w:val="single" w:color="auto" w:sz="4" w:space="0"/>
              <w:bottom w:val="single" w:color="auto" w:sz="4" w:space="0"/>
              <w:right w:val="single" w:color="auto" w:sz="4" w:space="0"/>
            </w:tcBorders>
            <w:vAlign w:val="bottom"/>
          </w:tcPr>
          <w:p w:rsidRPr="00C72665" w:rsidR="00C72665" w:rsidP="009D2735" w:rsidRDefault="00C72665" w14:paraId="18268636" w14:textId="77777777">
            <w:pPr>
              <w:pStyle w:val="NormalinTable"/>
              <w:rPr>
                <w:b/>
              </w:rPr>
            </w:pPr>
            <w:r w:rsidRPr="00C72665">
              <w:t>Update Detail</w:t>
            </w:r>
          </w:p>
        </w:tc>
        <w:tc>
          <w:tcPr>
            <w:tcW w:w="2159" w:type="dxa"/>
            <w:tcBorders>
              <w:top w:val="single" w:color="auto" w:sz="4" w:space="0"/>
              <w:left w:val="single" w:color="auto" w:sz="4" w:space="0"/>
              <w:bottom w:val="single" w:color="auto" w:sz="4" w:space="0"/>
              <w:right w:val="single" w:color="auto" w:sz="4" w:space="0"/>
            </w:tcBorders>
            <w:vAlign w:val="bottom"/>
          </w:tcPr>
          <w:p w:rsidRPr="00C72665" w:rsidR="00C72665" w:rsidP="009D2735" w:rsidRDefault="00C72665" w14:paraId="18F7932C" w14:textId="77777777">
            <w:pPr>
              <w:pStyle w:val="NormalinTable"/>
              <w:rPr>
                <w:b/>
              </w:rPr>
            </w:pPr>
            <w:r w:rsidRPr="00C72665">
              <w:t>Data Needed By</w:t>
            </w:r>
          </w:p>
        </w:tc>
        <w:tc>
          <w:tcPr>
            <w:tcW w:w="2160" w:type="dxa"/>
            <w:tcBorders>
              <w:top w:val="single" w:color="auto" w:sz="4" w:space="0"/>
              <w:left w:val="single" w:color="auto" w:sz="4" w:space="0"/>
              <w:bottom w:val="single" w:color="auto" w:sz="4" w:space="0"/>
              <w:right w:val="single" w:color="auto" w:sz="4" w:space="0"/>
            </w:tcBorders>
            <w:vAlign w:val="bottom"/>
          </w:tcPr>
          <w:p w:rsidRPr="00C72665" w:rsidR="00C72665" w:rsidP="009D2735" w:rsidRDefault="00C72665" w14:paraId="6CD5B262" w14:textId="77777777">
            <w:pPr>
              <w:pStyle w:val="NormalinTable"/>
              <w:rPr>
                <w:b/>
              </w:rPr>
            </w:pPr>
            <w:r w:rsidRPr="00C72665">
              <w:t>Measure Package Submittal By</w:t>
            </w:r>
          </w:p>
        </w:tc>
      </w:tr>
      <w:tr w:rsidRPr="00C72665" w:rsidR="00C72665" w:rsidTr="004B2196" w14:paraId="388B6D22" w14:textId="77777777">
        <w:trPr>
          <w:trHeight w:val="19"/>
        </w:trPr>
        <w:tc>
          <w:tcPr>
            <w:tcW w:w="1345" w:type="dxa"/>
            <w:vMerge w:val="restart"/>
            <w:tcBorders>
              <w:left w:val="single" w:color="auto" w:sz="4" w:space="0"/>
              <w:right w:val="single" w:color="auto" w:sz="4" w:space="0"/>
            </w:tcBorders>
            <w:shd w:val="clear" w:color="auto" w:fill="auto"/>
          </w:tcPr>
          <w:p w:rsidRPr="00C72665" w:rsidR="00C72665" w:rsidP="009D2735" w:rsidRDefault="00C72665" w14:paraId="14225FB6" w14:textId="77777777">
            <w:pPr>
              <w:pStyle w:val="NormalinTable"/>
            </w:pPr>
            <w:r w:rsidRPr="00C72665">
              <w:t>HVAC (HC)</w:t>
            </w:r>
          </w:p>
        </w:tc>
        <w:tc>
          <w:tcPr>
            <w:tcW w:w="3780" w:type="dxa"/>
            <w:tcBorders>
              <w:top w:val="single" w:color="auto" w:sz="4" w:space="0"/>
              <w:left w:val="single" w:color="auto" w:sz="4" w:space="0"/>
              <w:bottom w:val="single" w:color="auto" w:sz="4" w:space="0"/>
              <w:right w:val="single" w:color="auto" w:sz="4" w:space="0"/>
            </w:tcBorders>
            <w:shd w:val="clear" w:color="auto" w:fill="auto"/>
          </w:tcPr>
          <w:p w:rsidRPr="00C72665" w:rsidR="00C72665" w:rsidDel="00912FB8" w:rsidP="009D2735" w:rsidRDefault="00C72665" w14:paraId="05BE7794" w14:textId="77777777">
            <w:pPr>
              <w:pStyle w:val="NormalinTable"/>
            </w:pPr>
            <w:r w:rsidRPr="00C72665">
              <w:t xml:space="preserve">Performance curve research </w:t>
            </w:r>
          </w:p>
        </w:tc>
        <w:tc>
          <w:tcPr>
            <w:tcW w:w="2159" w:type="dxa"/>
            <w:tcBorders>
              <w:top w:val="single" w:color="auto" w:sz="4" w:space="0"/>
              <w:left w:val="single" w:color="auto" w:sz="4" w:space="0"/>
              <w:bottom w:val="single" w:color="auto" w:sz="4" w:space="0"/>
              <w:right w:val="single" w:color="auto" w:sz="4" w:space="0"/>
            </w:tcBorders>
            <w:shd w:val="clear" w:color="auto" w:fill="auto"/>
          </w:tcPr>
          <w:p w:rsidRPr="00C72665" w:rsidR="00C72665" w:rsidP="009D2735" w:rsidRDefault="00C72665" w14:paraId="76FE0D8D" w14:textId="68CABFA5">
            <w:pPr>
              <w:pStyle w:val="NormalinTable"/>
            </w:pPr>
            <w:r w:rsidRPr="00C72665">
              <w:t>2025-12-01</w:t>
            </w:r>
            <w:r w:rsidR="000A037E">
              <w:t>*</w:t>
            </w: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C72665" w:rsidR="00C72665" w:rsidP="009D2735" w:rsidRDefault="00C72665" w14:paraId="0B5AE18C" w14:textId="72750D5F">
            <w:pPr>
              <w:pStyle w:val="NormalinTable"/>
            </w:pPr>
            <w:r w:rsidRPr="00C72665">
              <w:t>2026-03-31</w:t>
            </w:r>
            <w:r w:rsidR="00FA4E70">
              <w:t>*</w:t>
            </w:r>
          </w:p>
        </w:tc>
      </w:tr>
      <w:tr w:rsidRPr="00C72665" w:rsidR="00C72665" w:rsidTr="004B2196" w14:paraId="2D4BC161" w14:textId="77777777">
        <w:trPr>
          <w:trHeight w:val="19"/>
        </w:trPr>
        <w:tc>
          <w:tcPr>
            <w:tcW w:w="1345" w:type="dxa"/>
            <w:vMerge/>
            <w:tcBorders>
              <w:left w:val="single" w:color="auto" w:sz="4" w:space="0"/>
              <w:right w:val="single" w:color="auto" w:sz="4" w:space="0"/>
            </w:tcBorders>
            <w:shd w:val="clear" w:color="auto" w:fill="auto"/>
          </w:tcPr>
          <w:p w:rsidRPr="00C72665" w:rsidR="00C72665" w:rsidP="009D2735" w:rsidRDefault="00C72665" w14:paraId="57E690CF" w14:textId="77777777">
            <w:pPr>
              <w:pStyle w:val="NormalinTable"/>
            </w:pPr>
          </w:p>
        </w:tc>
        <w:tc>
          <w:tcPr>
            <w:tcW w:w="3780" w:type="dxa"/>
            <w:tcBorders>
              <w:top w:val="single" w:color="auto" w:sz="4" w:space="0"/>
              <w:left w:val="single" w:color="auto" w:sz="4" w:space="0"/>
              <w:bottom w:val="single" w:color="auto" w:sz="4" w:space="0"/>
              <w:right w:val="single" w:color="auto" w:sz="4" w:space="0"/>
            </w:tcBorders>
            <w:shd w:val="clear" w:color="auto" w:fill="auto"/>
          </w:tcPr>
          <w:p w:rsidRPr="00C72665" w:rsidR="00C72665" w:rsidP="009D2735" w:rsidRDefault="00C72665" w14:paraId="434E3EC6" w14:textId="77777777">
            <w:pPr>
              <w:pStyle w:val="NormalinTable"/>
            </w:pPr>
            <w:r w:rsidRPr="00C72665">
              <w:t>Refrigerant charge level research</w:t>
            </w:r>
          </w:p>
        </w:tc>
        <w:tc>
          <w:tcPr>
            <w:tcW w:w="2159" w:type="dxa"/>
            <w:tcBorders>
              <w:top w:val="single" w:color="auto" w:sz="4" w:space="0"/>
              <w:left w:val="single" w:color="auto" w:sz="4" w:space="0"/>
              <w:bottom w:val="single" w:color="auto" w:sz="4" w:space="0"/>
              <w:right w:val="single" w:color="auto" w:sz="4" w:space="0"/>
            </w:tcBorders>
            <w:shd w:val="clear" w:color="auto" w:fill="auto"/>
          </w:tcPr>
          <w:p w:rsidRPr="00C72665" w:rsidR="00C72665" w:rsidP="009D2735" w:rsidRDefault="00C72665" w14:paraId="2BCB0926" w14:textId="4B3640BA">
            <w:pPr>
              <w:pStyle w:val="NormalinTable"/>
            </w:pPr>
            <w:r w:rsidRPr="00C72665">
              <w:t>2025-12-01</w:t>
            </w:r>
            <w:r w:rsidR="00D65756">
              <w:t>*</w:t>
            </w:r>
          </w:p>
        </w:tc>
        <w:tc>
          <w:tcPr>
            <w:tcW w:w="2160" w:type="dxa"/>
            <w:tcBorders>
              <w:top w:val="single" w:color="auto" w:sz="4" w:space="0"/>
              <w:left w:val="single" w:color="auto" w:sz="4" w:space="0"/>
              <w:bottom w:val="single" w:color="auto" w:sz="4" w:space="0"/>
              <w:right w:val="single" w:color="auto" w:sz="4" w:space="0"/>
            </w:tcBorders>
            <w:shd w:val="clear" w:color="auto" w:fill="auto"/>
          </w:tcPr>
          <w:p w:rsidRPr="00C72665" w:rsidR="00C72665" w:rsidP="009D2735" w:rsidRDefault="00C72665" w14:paraId="272ABAC4" w14:textId="6890E6F1">
            <w:pPr>
              <w:pStyle w:val="NormalinTable"/>
            </w:pPr>
            <w:r w:rsidRPr="00C72665">
              <w:t>2026-03-31</w:t>
            </w:r>
            <w:r w:rsidR="00FA4E70">
              <w:t>*</w:t>
            </w:r>
          </w:p>
        </w:tc>
      </w:tr>
    </w:tbl>
    <w:bookmarkEnd w:id="64"/>
    <w:bookmarkEnd w:id="65"/>
    <w:p w:rsidRPr="00FA4E70" w:rsidR="00623F4B" w:rsidP="00623F4B" w:rsidRDefault="00FA4E70" w14:paraId="0F5A16E9" w14:textId="00E90288">
      <w:pPr>
        <w:rPr>
          <w:rFonts w:ascii="Garamond" w:hAnsi="Garamond"/>
          <w:sz w:val="20"/>
          <w:szCs w:val="20"/>
        </w:rPr>
      </w:pPr>
      <w:r w:rsidRPr="00FA4E70">
        <w:rPr>
          <w:rFonts w:ascii="Garamond" w:hAnsi="Garamond"/>
          <w:sz w:val="20"/>
          <w:szCs w:val="20"/>
        </w:rPr>
        <w:t>* Draft for workflow scheduling; updates to the schedule may be made if needed.</w:t>
      </w:r>
    </w:p>
    <w:p w:rsidR="004B2196" w:rsidP="0081272B" w:rsidRDefault="004B2196" w14:paraId="4F65E6CC" w14:textId="77777777">
      <w:bookmarkStart w:name="_Toc185271169" w:id="68"/>
    </w:p>
    <w:p w:rsidR="00BE135F" w:rsidP="008151F1" w:rsidRDefault="004D291F" w14:paraId="4DDC98E3" w14:textId="09925F7D">
      <w:pPr>
        <w:pStyle w:val="Heading2"/>
      </w:pPr>
      <w:r>
        <w:t xml:space="preserve">(D) </w:t>
      </w:r>
      <w:r w:rsidRPr="00175BBC" w:rsidR="00175BBC">
        <w:t>Mid-Cycle Adjustments to the Locked Ex-Ante Values</w:t>
      </w:r>
      <w:bookmarkEnd w:id="68"/>
    </w:p>
    <w:p w:rsidRPr="0089041A" w:rsidR="0089041A" w:rsidP="004C1602" w:rsidRDefault="00607D13" w14:paraId="6067F52A" w14:textId="5E01CDEA">
      <w:r w:rsidRPr="074D3B7D">
        <w:rPr>
          <w:u w:val="single"/>
        </w:rPr>
        <w:t>Effective Program Year: 2024.</w:t>
      </w:r>
      <w:r>
        <w:t xml:space="preserve"> </w:t>
      </w:r>
      <w:r w:rsidR="0089041A">
        <w:t xml:space="preserve">D. 21-05-031 (p. 39) locks ex-ante values used in Potential &amp; Goals as well as claims for the two-year DEER cycle. </w:t>
      </w:r>
      <w:r w:rsidR="008418AB">
        <w:t xml:space="preserve">The DEER Resolution also adopts </w:t>
      </w:r>
      <w:r w:rsidR="007F21C6">
        <w:t xml:space="preserve">the vintage of deemed values to be used in forecasting and portfolio planning. </w:t>
      </w:r>
      <w:r w:rsidR="0089041A">
        <w:t xml:space="preserve">It further notes that there may be mid-cycle adjustments that will account for reasonable corrections to the existing locked values and allow new measures to be added to the portfolio. </w:t>
      </w:r>
      <w:r w:rsidR="004C6F5E">
        <w:t xml:space="preserve">Mid-cycle reasonable correction measure package updates will be reviewed on a case-by-case basis to determine measure package effectiveness as stipulated by D. 21-05-031. </w:t>
      </w:r>
      <w:r w:rsidR="006C3922">
        <w:t xml:space="preserve">Mid-cycle corrections to existing locked values will be communicated to the lead IOU for stakeholder awareness. </w:t>
      </w:r>
      <w:r w:rsidR="0089041A">
        <w:t xml:space="preserve">Per Resolution E-5152 these mid-cycle adjustments are further clarified as new measure package submittals, </w:t>
      </w:r>
      <w:r w:rsidR="00381389">
        <w:t xml:space="preserve">new measure package offerings, </w:t>
      </w:r>
      <w:r w:rsidR="0089041A">
        <w:t>error corrections, or codes and standards changes that occur and become effective during the mid-cycle period. New measures or offerings are effective upon approval. Changes to existing measures are effective 90 days after approval</w:t>
      </w:r>
      <w:r w:rsidR="003665EF">
        <w:t xml:space="preserve"> or </w:t>
      </w:r>
      <w:r w:rsidR="00766E91">
        <w:t>reviewed on a case-by-case basis at the discretion of CPUC</w:t>
      </w:r>
      <w:r w:rsidR="65C5AB02">
        <w:t xml:space="preserve"> staff</w:t>
      </w:r>
      <w:r w:rsidR="00766E91">
        <w:t xml:space="preserve"> to account for application, true-up, and mid-cycle filings</w:t>
      </w:r>
      <w:r w:rsidR="0089041A">
        <w:t xml:space="preserve">. </w:t>
      </w:r>
      <w:r w:rsidR="00F23DC9">
        <w:t xml:space="preserve">Typographical </w:t>
      </w:r>
      <w:r w:rsidR="00195D71">
        <w:t>and clerical correction</w:t>
      </w:r>
      <w:r w:rsidR="00E40E96">
        <w:t xml:space="preserve"> measure package updates will be reviewed on a case-by-case basis to </w:t>
      </w:r>
      <w:r w:rsidR="00E20860">
        <w:t xml:space="preserve">determine </w:t>
      </w:r>
      <w:r w:rsidR="006069A9">
        <w:t>when they become effective.</w:t>
      </w:r>
    </w:p>
    <w:p w:rsidRPr="0089041A" w:rsidR="0089041A" w:rsidP="00583A45" w:rsidRDefault="004D291F" w14:paraId="0F3525FD" w14:textId="607AEC8D">
      <w:pPr>
        <w:pStyle w:val="Heading3"/>
      </w:pPr>
      <w:bookmarkStart w:name="_Toc185271170" w:id="69"/>
      <w:r>
        <w:t xml:space="preserve">(D.1) </w:t>
      </w:r>
      <w:r w:rsidRPr="0089041A" w:rsidR="0089041A">
        <w:t>Codes and Standards</w:t>
      </w:r>
      <w:bookmarkEnd w:id="69"/>
    </w:p>
    <w:p w:rsidRPr="0089041A" w:rsidR="0089041A" w:rsidP="004C1602" w:rsidRDefault="007C1616" w14:paraId="04FF0EEA" w14:textId="58896029">
      <w:r>
        <w:rPr>
          <w:u w:val="single"/>
        </w:rPr>
        <w:t>Effective Program Year</w:t>
      </w:r>
      <w:r w:rsidR="00A526AF">
        <w:rPr>
          <w:u w:val="single"/>
        </w:rPr>
        <w:t>:</w:t>
      </w:r>
      <w:r>
        <w:rPr>
          <w:u w:val="single"/>
        </w:rPr>
        <w:t xml:space="preserve"> 2024.</w:t>
      </w:r>
      <w:r>
        <w:t xml:space="preserve"> </w:t>
      </w:r>
      <w:r w:rsidRPr="0089041A" w:rsidR="0089041A">
        <w:t xml:space="preserve">As discussed in Resolution E-5221, anticipated changes to codes and standards that occur mid-cycle shall be planned for by </w:t>
      </w:r>
      <w:r w:rsidR="00FE0D55">
        <w:t>Program</w:t>
      </w:r>
      <w:r w:rsidRPr="0089041A" w:rsidR="00FE0D55">
        <w:t xml:space="preserve"> </w:t>
      </w:r>
      <w:r w:rsidRPr="0089041A" w:rsidR="0089041A">
        <w:lastRenderedPageBreak/>
        <w:t xml:space="preserve">Administrators (PAs). PAs will work with CPUC Staff and the ex-ante review team to document mid-cycle measure package revision timelines. </w:t>
      </w:r>
    </w:p>
    <w:p w:rsidRPr="0089041A" w:rsidR="0089041A" w:rsidP="004C1602" w:rsidRDefault="0089041A" w14:paraId="7DB6BA57" w14:textId="45EDCEF3">
      <w:r w:rsidRPr="0089041A">
        <w:t>In addition, EPA finalized the American Innovation and Manufacturing Act, AIM in October 2023 and as of January 2, 2025, all manufactured HVAC systems and products shall use refrigerants having a global warming potential (GWP) of no more than 700. This update to the code will result in reduced CO</w:t>
      </w:r>
      <w:r w:rsidRPr="0089041A">
        <w:rPr>
          <w:vertAlign w:val="subscript"/>
        </w:rPr>
        <w:t>2e</w:t>
      </w:r>
      <w:r w:rsidRPr="0089041A">
        <w:t xml:space="preserve"> emissions stemming from refrigerant leakage and the benefits of those avoided emissions. Th</w:t>
      </w:r>
      <w:r w:rsidR="000E1131">
        <w:t>e expected impact of this change</w:t>
      </w:r>
      <w:r w:rsidR="00FD047F">
        <w:t xml:space="preserve"> is</w:t>
      </w:r>
      <w:r w:rsidRPr="0089041A">
        <w:t xml:space="preserve"> that more fuel substitution measure package permutations are expected to pass the fuel substitution </w:t>
      </w:r>
      <w:r w:rsidR="00A85BFC">
        <w:t xml:space="preserve">test </w:t>
      </w:r>
      <w:r w:rsidRPr="0089041A">
        <w:t>requirement of not increasing CO</w:t>
      </w:r>
      <w:r w:rsidRPr="0089041A">
        <w:rPr>
          <w:vertAlign w:val="subscript"/>
        </w:rPr>
        <w:t>2e</w:t>
      </w:r>
      <w:r w:rsidRPr="0089041A">
        <w:t xml:space="preserve"> emissions</w:t>
      </w:r>
      <w:r w:rsidR="008E3274">
        <w:t>.</w:t>
      </w:r>
      <w:r w:rsidR="009C627C">
        <w:t xml:space="preserve"> </w:t>
      </w:r>
      <w:r w:rsidRPr="0089041A">
        <w:t xml:space="preserve"> The measure packages that will be affected are listed in </w:t>
      </w:r>
      <w:r w:rsidRPr="0089041A">
        <w:fldChar w:fldCharType="begin"/>
      </w:r>
      <w:r w:rsidRPr="0089041A">
        <w:instrText xml:space="preserve"> REF _Ref160798324 \h </w:instrText>
      </w:r>
      <w:r w:rsidR="004C1602">
        <w:instrText xml:space="preserve"> \* MERGEFORMAT </w:instrText>
      </w:r>
      <w:r w:rsidRPr="0089041A">
        <w:fldChar w:fldCharType="separate"/>
      </w:r>
      <w:r w:rsidRPr="00E812F0" w:rsidR="00E812F0">
        <w:t xml:space="preserve">Table </w:t>
      </w:r>
      <w:r w:rsidRPr="00E812F0" w:rsidR="00E812F0">
        <w:rPr>
          <w:webHidden/>
        </w:rPr>
        <w:t>A-</w:t>
      </w:r>
      <w:r w:rsidRPr="00E812F0" w:rsidR="00E812F0">
        <w:t>1</w:t>
      </w:r>
      <w:r w:rsidRPr="00E812F0" w:rsidR="00E812F0">
        <w:noBreakHyphen/>
      </w:r>
      <w:r w:rsidR="00E812F0">
        <w:t>10</w:t>
      </w:r>
      <w:r w:rsidRPr="0089041A">
        <w:fldChar w:fldCharType="end"/>
      </w:r>
      <w:r w:rsidRPr="0089041A">
        <w:t>. The measure packages that are listed as only requiring updates to the Accelerated Replacement (AR) permutations are affected by standard updates that go into effect in 2028 or later. The measure packages that require updates to all of the permutations are affected by standard updates that go into effect as of 2026 or earlier.</w:t>
      </w:r>
    </w:p>
    <w:p w:rsidRPr="0089041A" w:rsidR="0089041A" w:rsidP="004C1602" w:rsidRDefault="0089041A" w14:paraId="6617998F" w14:textId="34A0DBE6">
      <w:pPr>
        <w:pStyle w:val="Caption"/>
      </w:pPr>
      <w:bookmarkStart w:name="_Ref160798324" w:id="70"/>
      <w:bookmarkStart w:name="_Toc185273161" w:id="71"/>
      <w:r w:rsidRPr="0089041A">
        <w:rPr>
          <w:szCs w:val="24"/>
        </w:rPr>
        <w:t xml:space="preserve">Table </w:t>
      </w:r>
      <w:r w:rsidRPr="003912F7" w:rsidR="003912F7">
        <w:rPr>
          <w:webHidden/>
          <w:szCs w:val="24"/>
        </w:rPr>
        <w:t>A-</w:t>
      </w:r>
      <w:r w:rsidRPr="0089041A">
        <w:rPr>
          <w:szCs w:val="24"/>
        </w:rPr>
        <w:fldChar w:fldCharType="begin"/>
      </w:r>
      <w:r w:rsidRPr="0089041A">
        <w:rPr>
          <w:szCs w:val="24"/>
        </w:rPr>
        <w:instrText xml:space="preserve"> STYLEREF 1 \s </w:instrText>
      </w:r>
      <w:r w:rsidRPr="0089041A">
        <w:rPr>
          <w:szCs w:val="24"/>
        </w:rPr>
        <w:fldChar w:fldCharType="separate"/>
      </w:r>
      <w:r w:rsidR="00E812F0">
        <w:rPr>
          <w:noProof/>
          <w:szCs w:val="24"/>
        </w:rPr>
        <w:t>1</w:t>
      </w:r>
      <w:r w:rsidRPr="0089041A">
        <w:rPr>
          <w:szCs w:val="24"/>
        </w:rPr>
        <w:fldChar w:fldCharType="end"/>
      </w:r>
      <w:r w:rsidRPr="0089041A">
        <w:rPr>
          <w:szCs w:val="24"/>
        </w:rPr>
        <w:noBreakHyphen/>
      </w:r>
      <w:r w:rsidRPr="0089041A">
        <w:rPr>
          <w:szCs w:val="24"/>
        </w:rPr>
        <w:fldChar w:fldCharType="begin"/>
      </w:r>
      <w:r w:rsidRPr="0089041A">
        <w:instrText>SEQ Table \* ARABIC \s 1</w:instrText>
      </w:r>
      <w:r w:rsidRPr="0089041A">
        <w:rPr>
          <w:szCs w:val="24"/>
        </w:rPr>
        <w:fldChar w:fldCharType="separate"/>
      </w:r>
      <w:r w:rsidR="00E812F0">
        <w:rPr>
          <w:noProof/>
        </w:rPr>
        <w:t>10</w:t>
      </w:r>
      <w:r w:rsidRPr="0089041A">
        <w:rPr>
          <w:szCs w:val="24"/>
        </w:rPr>
        <w:fldChar w:fldCharType="end"/>
      </w:r>
      <w:bookmarkEnd w:id="70"/>
      <w:r w:rsidRPr="0089041A">
        <w:t>. Measure packages affected by EPA refrigerant standards updates in 2025</w:t>
      </w:r>
      <w:bookmarkEnd w:id="71"/>
    </w:p>
    <w:tbl>
      <w:tblPr>
        <w:tblW w:w="944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bottom w:w="14" w:type="dxa"/>
          <w:right w:w="158" w:type="dxa"/>
        </w:tblCellMar>
        <w:tblLook w:val="04A0" w:firstRow="1" w:lastRow="0" w:firstColumn="1" w:lastColumn="0" w:noHBand="0" w:noVBand="1"/>
      </w:tblPr>
      <w:tblGrid>
        <w:gridCol w:w="1885"/>
        <w:gridCol w:w="5940"/>
        <w:gridCol w:w="1620"/>
      </w:tblGrid>
      <w:tr w:rsidRPr="0089041A" w:rsidR="0089041A" w:rsidTr="00130444" w14:paraId="7F1DDED3" w14:textId="77777777">
        <w:trPr>
          <w:cantSplit/>
          <w:tblHeader/>
        </w:trPr>
        <w:tc>
          <w:tcPr>
            <w:tcW w:w="1885" w:type="dxa"/>
            <w:tcBorders>
              <w:top w:val="single" w:color="auto" w:sz="4" w:space="0"/>
              <w:left w:val="single" w:color="auto" w:sz="4" w:space="0"/>
              <w:bottom w:val="single" w:color="auto" w:sz="4" w:space="0"/>
              <w:right w:val="single" w:color="auto" w:sz="4" w:space="0"/>
            </w:tcBorders>
            <w:vAlign w:val="center"/>
          </w:tcPr>
          <w:p w:rsidRPr="0089041A" w:rsidR="0089041A" w:rsidP="009D2735" w:rsidRDefault="0089041A" w14:paraId="326AE9D4" w14:textId="77777777">
            <w:pPr>
              <w:pStyle w:val="NormalinTable"/>
            </w:pPr>
            <w:r w:rsidRPr="0089041A">
              <w:t>Measure Package</w:t>
            </w:r>
          </w:p>
        </w:tc>
        <w:tc>
          <w:tcPr>
            <w:tcW w:w="5940" w:type="dxa"/>
            <w:tcBorders>
              <w:top w:val="single" w:color="auto" w:sz="4" w:space="0"/>
              <w:left w:val="single" w:color="auto" w:sz="4" w:space="0"/>
              <w:bottom w:val="single" w:color="auto" w:sz="4" w:space="0"/>
              <w:right w:val="single" w:color="auto" w:sz="4" w:space="0"/>
            </w:tcBorders>
            <w:vAlign w:val="center"/>
          </w:tcPr>
          <w:p w:rsidRPr="0089041A" w:rsidR="0089041A" w:rsidP="009D2735" w:rsidRDefault="0089041A" w14:paraId="4A992C8D" w14:textId="77777777">
            <w:pPr>
              <w:pStyle w:val="NormalinTable"/>
            </w:pPr>
            <w:r w:rsidRPr="0089041A">
              <w:t>Measure Package Title</w:t>
            </w:r>
          </w:p>
        </w:tc>
        <w:tc>
          <w:tcPr>
            <w:tcW w:w="1620" w:type="dxa"/>
            <w:tcBorders>
              <w:top w:val="single" w:color="auto" w:sz="4" w:space="0"/>
              <w:left w:val="single" w:color="auto" w:sz="4" w:space="0"/>
              <w:bottom w:val="single" w:color="auto" w:sz="4" w:space="0"/>
              <w:right w:val="single" w:color="auto" w:sz="4" w:space="0"/>
            </w:tcBorders>
            <w:vAlign w:val="center"/>
          </w:tcPr>
          <w:p w:rsidRPr="0089041A" w:rsidR="0089041A" w:rsidP="009D2735" w:rsidRDefault="0089041A" w14:paraId="714F0273" w14:textId="77777777">
            <w:pPr>
              <w:pStyle w:val="NormalinTable"/>
            </w:pPr>
            <w:r w:rsidRPr="0089041A">
              <w:t>Permutations</w:t>
            </w:r>
          </w:p>
        </w:tc>
      </w:tr>
      <w:tr w:rsidRPr="0089041A" w:rsidR="0089041A" w:rsidTr="00194BE8" w14:paraId="2F5D32E5" w14:textId="77777777">
        <w:trPr>
          <w:cantSplit/>
        </w:trPr>
        <w:tc>
          <w:tcPr>
            <w:tcW w:w="1885"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37FA37F8" w14:textId="772C3EF2">
            <w:pPr>
              <w:pStyle w:val="NormalinTable"/>
            </w:pPr>
            <w:r w:rsidRPr="0089041A">
              <w:t>SWAP007</w:t>
            </w:r>
          </w:p>
        </w:tc>
        <w:tc>
          <w:tcPr>
            <w:tcW w:w="5940" w:type="dxa"/>
            <w:tcBorders>
              <w:top w:val="single" w:color="auto" w:sz="4" w:space="0"/>
              <w:left w:val="single" w:color="auto" w:sz="4" w:space="0"/>
              <w:bottom w:val="single" w:color="auto" w:sz="4" w:space="0"/>
              <w:right w:val="single" w:color="auto" w:sz="4" w:space="0"/>
            </w:tcBorders>
            <w:vAlign w:val="bottom"/>
          </w:tcPr>
          <w:p w:rsidRPr="0089041A" w:rsidR="0089041A" w:rsidP="009D2735" w:rsidRDefault="0089041A" w14:paraId="1541ED8D" w14:textId="77777777">
            <w:pPr>
              <w:pStyle w:val="NormalinTable"/>
            </w:pPr>
            <w:r w:rsidRPr="0089041A">
              <w:t>Room Air Conditioner, Residential</w:t>
            </w:r>
          </w:p>
        </w:tc>
        <w:tc>
          <w:tcPr>
            <w:tcW w:w="1620"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1D430681" w14:textId="77777777">
            <w:pPr>
              <w:pStyle w:val="NormalinTable"/>
            </w:pPr>
            <w:r w:rsidRPr="0089041A">
              <w:t>AR, if any</w:t>
            </w:r>
          </w:p>
        </w:tc>
      </w:tr>
      <w:tr w:rsidRPr="0089041A" w:rsidR="0089041A" w:rsidTr="00194BE8" w14:paraId="1989B4EC" w14:textId="77777777">
        <w:trPr>
          <w:cantSplit/>
        </w:trPr>
        <w:tc>
          <w:tcPr>
            <w:tcW w:w="1885"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2B698708" w14:textId="68965E2E">
            <w:pPr>
              <w:pStyle w:val="NormalinTable"/>
            </w:pPr>
            <w:r w:rsidRPr="0089041A">
              <w:t>SWCR017</w:t>
            </w:r>
          </w:p>
        </w:tc>
        <w:tc>
          <w:tcPr>
            <w:tcW w:w="5940" w:type="dxa"/>
            <w:tcBorders>
              <w:top w:val="single" w:color="auto" w:sz="4" w:space="0"/>
              <w:left w:val="single" w:color="auto" w:sz="4" w:space="0"/>
              <w:bottom w:val="single" w:color="auto" w:sz="4" w:space="0"/>
              <w:right w:val="single" w:color="auto" w:sz="4" w:space="0"/>
            </w:tcBorders>
            <w:vAlign w:val="bottom"/>
          </w:tcPr>
          <w:p w:rsidRPr="0089041A" w:rsidR="0089041A" w:rsidP="009D2735" w:rsidRDefault="0089041A" w14:paraId="0A6DFF06" w14:textId="77777777">
            <w:pPr>
              <w:pStyle w:val="NormalinTable"/>
            </w:pPr>
            <w:r w:rsidRPr="0089041A">
              <w:t>Ultra-Low Temperature Freezer</w:t>
            </w:r>
          </w:p>
        </w:tc>
        <w:tc>
          <w:tcPr>
            <w:tcW w:w="1620"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38DD36BD" w14:textId="77777777">
            <w:pPr>
              <w:pStyle w:val="NormalinTable"/>
            </w:pPr>
            <w:r w:rsidRPr="0089041A">
              <w:t>AR, if any</w:t>
            </w:r>
          </w:p>
        </w:tc>
      </w:tr>
      <w:tr w:rsidRPr="0089041A" w:rsidR="0089041A" w:rsidTr="00194BE8" w14:paraId="0559D6EE" w14:textId="77777777">
        <w:trPr>
          <w:cantSplit/>
        </w:trPr>
        <w:tc>
          <w:tcPr>
            <w:tcW w:w="1885"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52EE876B" w14:textId="25702A72">
            <w:pPr>
              <w:pStyle w:val="NormalinTable"/>
            </w:pPr>
            <w:r w:rsidRPr="0089041A">
              <w:t>SWCR018</w:t>
            </w:r>
          </w:p>
        </w:tc>
        <w:tc>
          <w:tcPr>
            <w:tcW w:w="5940" w:type="dxa"/>
            <w:tcBorders>
              <w:top w:val="single" w:color="auto" w:sz="4" w:space="0"/>
              <w:left w:val="single" w:color="auto" w:sz="4" w:space="0"/>
              <w:bottom w:val="single" w:color="auto" w:sz="4" w:space="0"/>
              <w:right w:val="single" w:color="auto" w:sz="4" w:space="0"/>
            </w:tcBorders>
            <w:vAlign w:val="bottom"/>
          </w:tcPr>
          <w:p w:rsidRPr="0089041A" w:rsidR="0089041A" w:rsidP="009D2735" w:rsidRDefault="0089041A" w14:paraId="23CDEADD" w14:textId="77777777">
            <w:pPr>
              <w:pStyle w:val="NormalinTable"/>
            </w:pPr>
            <w:r w:rsidRPr="0089041A">
              <w:t>Reach-In Refrigerator or Freezer, Commercial</w:t>
            </w:r>
          </w:p>
        </w:tc>
        <w:tc>
          <w:tcPr>
            <w:tcW w:w="1620"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2DB7F5B4" w14:textId="77777777">
            <w:pPr>
              <w:pStyle w:val="NormalinTable"/>
            </w:pPr>
            <w:r w:rsidRPr="0089041A">
              <w:t>AR, if any</w:t>
            </w:r>
          </w:p>
        </w:tc>
      </w:tr>
      <w:tr w:rsidRPr="0089041A" w:rsidR="0089041A" w:rsidTr="00194BE8" w14:paraId="3E8C9926" w14:textId="77777777">
        <w:trPr>
          <w:cantSplit/>
        </w:trPr>
        <w:tc>
          <w:tcPr>
            <w:tcW w:w="1885"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62972873" w14:textId="5B1918AD">
            <w:pPr>
              <w:pStyle w:val="NormalinTable"/>
            </w:pPr>
            <w:r w:rsidRPr="0089041A">
              <w:t>SWCR021</w:t>
            </w:r>
          </w:p>
        </w:tc>
        <w:tc>
          <w:tcPr>
            <w:tcW w:w="5940" w:type="dxa"/>
            <w:tcBorders>
              <w:top w:val="single" w:color="auto" w:sz="4" w:space="0"/>
              <w:left w:val="single" w:color="auto" w:sz="4" w:space="0"/>
              <w:bottom w:val="single" w:color="auto" w:sz="4" w:space="0"/>
              <w:right w:val="single" w:color="auto" w:sz="4" w:space="0"/>
            </w:tcBorders>
            <w:vAlign w:val="bottom"/>
          </w:tcPr>
          <w:p w:rsidRPr="0089041A" w:rsidR="0089041A" w:rsidP="009D2735" w:rsidRDefault="0089041A" w14:paraId="5BF7A243" w14:textId="77777777">
            <w:pPr>
              <w:pStyle w:val="NormalinTable"/>
            </w:pPr>
            <w:r w:rsidRPr="0089041A">
              <w:t>Medium or Low-Temperature Display Case with Doors</w:t>
            </w:r>
          </w:p>
        </w:tc>
        <w:tc>
          <w:tcPr>
            <w:tcW w:w="1620"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4618C00D" w14:textId="77777777">
            <w:pPr>
              <w:pStyle w:val="NormalinTable"/>
            </w:pPr>
            <w:r w:rsidRPr="0089041A">
              <w:t>AR, if any</w:t>
            </w:r>
          </w:p>
        </w:tc>
      </w:tr>
      <w:tr w:rsidRPr="0089041A" w:rsidR="0089041A" w:rsidTr="00194BE8" w14:paraId="712E5640" w14:textId="77777777">
        <w:trPr>
          <w:cantSplit/>
        </w:trPr>
        <w:tc>
          <w:tcPr>
            <w:tcW w:w="1885"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32DC2C42" w14:textId="6CD486B4">
            <w:pPr>
              <w:pStyle w:val="NormalinTable"/>
            </w:pPr>
            <w:r w:rsidRPr="0089041A">
              <w:t>SWCR020</w:t>
            </w:r>
          </w:p>
        </w:tc>
        <w:tc>
          <w:tcPr>
            <w:tcW w:w="5940" w:type="dxa"/>
            <w:tcBorders>
              <w:top w:val="single" w:color="auto" w:sz="4" w:space="0"/>
              <w:left w:val="single" w:color="auto" w:sz="4" w:space="0"/>
              <w:bottom w:val="single" w:color="auto" w:sz="4" w:space="0"/>
              <w:right w:val="single" w:color="auto" w:sz="4" w:space="0"/>
            </w:tcBorders>
            <w:vAlign w:val="bottom"/>
          </w:tcPr>
          <w:p w:rsidRPr="0089041A" w:rsidR="0089041A" w:rsidP="009D2735" w:rsidRDefault="0089041A" w14:paraId="439AB791" w14:textId="77777777">
            <w:pPr>
              <w:pStyle w:val="NormalinTable"/>
            </w:pPr>
            <w:r w:rsidRPr="0089041A">
              <w:t>Medium-Temperature Open Display Case Retrofit</w:t>
            </w:r>
          </w:p>
        </w:tc>
        <w:tc>
          <w:tcPr>
            <w:tcW w:w="1620"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21811C7B" w14:textId="77777777">
            <w:pPr>
              <w:pStyle w:val="NormalinTable"/>
            </w:pPr>
            <w:r w:rsidRPr="0089041A">
              <w:t>AR, if any</w:t>
            </w:r>
          </w:p>
        </w:tc>
      </w:tr>
      <w:tr w:rsidRPr="0089041A" w:rsidR="0089041A" w:rsidTr="00194BE8" w14:paraId="029C4CCF" w14:textId="77777777">
        <w:trPr>
          <w:cantSplit/>
        </w:trPr>
        <w:tc>
          <w:tcPr>
            <w:tcW w:w="1885"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19AFBE9A" w14:textId="304089C6">
            <w:pPr>
              <w:pStyle w:val="NormalinTable"/>
            </w:pPr>
            <w:r w:rsidRPr="0089041A">
              <w:t>SWFS006</w:t>
            </w:r>
          </w:p>
        </w:tc>
        <w:tc>
          <w:tcPr>
            <w:tcW w:w="5940" w:type="dxa"/>
            <w:tcBorders>
              <w:top w:val="single" w:color="auto" w:sz="4" w:space="0"/>
              <w:left w:val="single" w:color="auto" w:sz="4" w:space="0"/>
              <w:bottom w:val="single" w:color="auto" w:sz="4" w:space="0"/>
              <w:right w:val="single" w:color="auto" w:sz="4" w:space="0"/>
            </w:tcBorders>
            <w:vAlign w:val="bottom"/>
          </w:tcPr>
          <w:p w:rsidRPr="0089041A" w:rsidR="0089041A" w:rsidP="009D2735" w:rsidRDefault="0089041A" w14:paraId="062FDC69" w14:textId="77777777">
            <w:pPr>
              <w:pStyle w:val="NormalinTable"/>
            </w:pPr>
            <w:r w:rsidRPr="0089041A">
              <w:t>Ice Machine, Commercial</w:t>
            </w:r>
          </w:p>
        </w:tc>
        <w:tc>
          <w:tcPr>
            <w:tcW w:w="1620"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7527600A" w14:textId="77777777">
            <w:pPr>
              <w:pStyle w:val="NormalinTable"/>
            </w:pPr>
            <w:r w:rsidRPr="0089041A">
              <w:t>AR, if any</w:t>
            </w:r>
          </w:p>
        </w:tc>
      </w:tr>
      <w:tr w:rsidRPr="0089041A" w:rsidR="0089041A" w:rsidTr="00194BE8" w14:paraId="302B82B7" w14:textId="77777777">
        <w:trPr>
          <w:cantSplit/>
        </w:trPr>
        <w:tc>
          <w:tcPr>
            <w:tcW w:w="1885"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079147B1" w14:textId="5A7A51D4">
            <w:pPr>
              <w:pStyle w:val="NormalinTable"/>
            </w:pPr>
            <w:r w:rsidRPr="0089041A">
              <w:t>SWHC005</w:t>
            </w:r>
          </w:p>
        </w:tc>
        <w:tc>
          <w:tcPr>
            <w:tcW w:w="5940" w:type="dxa"/>
            <w:tcBorders>
              <w:top w:val="single" w:color="auto" w:sz="4" w:space="0"/>
              <w:left w:val="single" w:color="auto" w:sz="4" w:space="0"/>
              <w:bottom w:val="single" w:color="auto" w:sz="4" w:space="0"/>
              <w:right w:val="single" w:color="auto" w:sz="4" w:space="0"/>
            </w:tcBorders>
            <w:vAlign w:val="bottom"/>
          </w:tcPr>
          <w:p w:rsidRPr="0089041A" w:rsidR="0089041A" w:rsidP="009D2735" w:rsidRDefault="0089041A" w14:paraId="6B780E11" w14:textId="77777777">
            <w:pPr>
              <w:pStyle w:val="NormalinTable"/>
            </w:pPr>
            <w:r w:rsidRPr="0089041A">
              <w:t>Water-Cooled Chiller</w:t>
            </w:r>
          </w:p>
        </w:tc>
        <w:tc>
          <w:tcPr>
            <w:tcW w:w="1620"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77C087ED" w14:textId="77777777">
            <w:pPr>
              <w:pStyle w:val="NormalinTable"/>
            </w:pPr>
            <w:r w:rsidRPr="0089041A">
              <w:t>AR, if any</w:t>
            </w:r>
          </w:p>
        </w:tc>
      </w:tr>
      <w:tr w:rsidRPr="0089041A" w:rsidR="0089041A" w:rsidTr="00194BE8" w14:paraId="6C6B41C5" w14:textId="77777777">
        <w:trPr>
          <w:cantSplit/>
        </w:trPr>
        <w:tc>
          <w:tcPr>
            <w:tcW w:w="1885"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10426473" w14:textId="63B5BF50">
            <w:pPr>
              <w:pStyle w:val="NormalinTable"/>
            </w:pPr>
            <w:r w:rsidRPr="0089041A">
              <w:t>SWHC013</w:t>
            </w:r>
          </w:p>
        </w:tc>
        <w:tc>
          <w:tcPr>
            <w:tcW w:w="5940" w:type="dxa"/>
            <w:tcBorders>
              <w:top w:val="single" w:color="auto" w:sz="4" w:space="0"/>
              <w:left w:val="single" w:color="auto" w:sz="4" w:space="0"/>
              <w:bottom w:val="single" w:color="auto" w:sz="4" w:space="0"/>
              <w:right w:val="single" w:color="auto" w:sz="4" w:space="0"/>
            </w:tcBorders>
            <w:vAlign w:val="bottom"/>
          </w:tcPr>
          <w:p w:rsidRPr="0089041A" w:rsidR="0089041A" w:rsidP="009D2735" w:rsidRDefault="0089041A" w14:paraId="5E144B92" w14:textId="77777777">
            <w:pPr>
              <w:pStyle w:val="NormalinTable"/>
            </w:pPr>
            <w:r w:rsidRPr="0089041A">
              <w:t>Unitary Air-Cooled Air Conditioner or Heat Pump, Under 65 kBtu/hr, Commercial</w:t>
            </w:r>
          </w:p>
        </w:tc>
        <w:tc>
          <w:tcPr>
            <w:tcW w:w="1620"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4BA3F7EE" w14:textId="77777777">
            <w:pPr>
              <w:pStyle w:val="NormalinTable"/>
            </w:pPr>
            <w:r w:rsidRPr="0089041A">
              <w:t>AR, if any</w:t>
            </w:r>
          </w:p>
        </w:tc>
      </w:tr>
      <w:tr w:rsidRPr="0089041A" w:rsidR="0089041A" w:rsidTr="00194BE8" w14:paraId="5B7D24A1" w14:textId="77777777">
        <w:trPr>
          <w:cantSplit/>
        </w:trPr>
        <w:tc>
          <w:tcPr>
            <w:tcW w:w="1885"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69C71A60" w14:textId="1B9825A1">
            <w:pPr>
              <w:pStyle w:val="NormalinTable"/>
            </w:pPr>
            <w:r w:rsidRPr="0089041A">
              <w:t>SWHC014</w:t>
            </w:r>
          </w:p>
        </w:tc>
        <w:tc>
          <w:tcPr>
            <w:tcW w:w="5940" w:type="dxa"/>
            <w:tcBorders>
              <w:top w:val="single" w:color="auto" w:sz="4" w:space="0"/>
              <w:left w:val="single" w:color="auto" w:sz="4" w:space="0"/>
              <w:bottom w:val="single" w:color="auto" w:sz="4" w:space="0"/>
              <w:right w:val="single" w:color="auto" w:sz="4" w:space="0"/>
            </w:tcBorders>
            <w:vAlign w:val="bottom"/>
          </w:tcPr>
          <w:p w:rsidRPr="0089041A" w:rsidR="0089041A" w:rsidP="009D2735" w:rsidRDefault="0089041A" w14:paraId="164BBFCD" w14:textId="77777777">
            <w:pPr>
              <w:pStyle w:val="NormalinTable"/>
            </w:pPr>
            <w:r w:rsidRPr="0089041A">
              <w:t>Unitary Air-Cooled Air Conditioner or Heat Pump, Under 65 kBtu/hr, Commercial</w:t>
            </w:r>
          </w:p>
        </w:tc>
        <w:tc>
          <w:tcPr>
            <w:tcW w:w="1620"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7309D6AA" w14:textId="77777777">
            <w:pPr>
              <w:pStyle w:val="NormalinTable"/>
            </w:pPr>
            <w:r w:rsidRPr="0089041A">
              <w:t>AR, if any</w:t>
            </w:r>
          </w:p>
        </w:tc>
      </w:tr>
      <w:tr w:rsidRPr="0089041A" w:rsidR="0089041A" w:rsidTr="00194BE8" w14:paraId="12063B8A" w14:textId="77777777">
        <w:trPr>
          <w:cantSplit/>
        </w:trPr>
        <w:tc>
          <w:tcPr>
            <w:tcW w:w="1885"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6AF30B7A" w14:textId="06CA537E">
            <w:pPr>
              <w:pStyle w:val="NormalinTable"/>
            </w:pPr>
            <w:r w:rsidRPr="0089041A">
              <w:t>SWHC020</w:t>
            </w:r>
          </w:p>
        </w:tc>
        <w:tc>
          <w:tcPr>
            <w:tcW w:w="5940" w:type="dxa"/>
            <w:tcBorders>
              <w:top w:val="single" w:color="auto" w:sz="4" w:space="0"/>
              <w:left w:val="single" w:color="auto" w:sz="4" w:space="0"/>
              <w:bottom w:val="single" w:color="auto" w:sz="4" w:space="0"/>
              <w:right w:val="single" w:color="auto" w:sz="4" w:space="0"/>
            </w:tcBorders>
            <w:vAlign w:val="bottom"/>
          </w:tcPr>
          <w:p w:rsidRPr="0089041A" w:rsidR="0089041A" w:rsidP="009D2735" w:rsidRDefault="0089041A" w14:paraId="090C431B" w14:textId="68AE7FBB">
            <w:pPr>
              <w:pStyle w:val="NormalinTable"/>
            </w:pPr>
            <w:r w:rsidRPr="0089041A">
              <w:t xml:space="preserve">Air-Cooled </w:t>
            </w:r>
            <w:r w:rsidR="00DC029B">
              <w:t xml:space="preserve">Screw </w:t>
            </w:r>
            <w:r w:rsidRPr="0089041A">
              <w:t>Chiller</w:t>
            </w:r>
            <w:r w:rsidR="00DC029B">
              <w:t>, Path A</w:t>
            </w:r>
          </w:p>
        </w:tc>
        <w:tc>
          <w:tcPr>
            <w:tcW w:w="1620"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367718FC" w14:textId="77777777">
            <w:pPr>
              <w:pStyle w:val="NormalinTable"/>
            </w:pPr>
            <w:r w:rsidRPr="0089041A">
              <w:t>AR, if any</w:t>
            </w:r>
          </w:p>
        </w:tc>
      </w:tr>
      <w:tr w:rsidRPr="0089041A" w:rsidR="0089041A" w:rsidTr="00194BE8" w14:paraId="1AF89B39" w14:textId="77777777">
        <w:trPr>
          <w:cantSplit/>
        </w:trPr>
        <w:tc>
          <w:tcPr>
            <w:tcW w:w="1885"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1426D542" w14:textId="48EC1C9C">
            <w:pPr>
              <w:pStyle w:val="NormalinTable"/>
            </w:pPr>
            <w:r w:rsidRPr="0089041A">
              <w:t>SWHC027</w:t>
            </w:r>
          </w:p>
        </w:tc>
        <w:tc>
          <w:tcPr>
            <w:tcW w:w="5940" w:type="dxa"/>
            <w:tcBorders>
              <w:top w:val="single" w:color="auto" w:sz="4" w:space="0"/>
              <w:left w:val="single" w:color="auto" w:sz="4" w:space="0"/>
              <w:bottom w:val="single" w:color="auto" w:sz="4" w:space="0"/>
              <w:right w:val="single" w:color="auto" w:sz="4" w:space="0"/>
            </w:tcBorders>
            <w:vAlign w:val="bottom"/>
          </w:tcPr>
          <w:p w:rsidRPr="0089041A" w:rsidR="0089041A" w:rsidP="009D2735" w:rsidRDefault="0089041A" w14:paraId="30CFFA54" w14:textId="77777777">
            <w:pPr>
              <w:pStyle w:val="NormalinTable"/>
            </w:pPr>
            <w:r w:rsidRPr="0089041A">
              <w:t>Package Terminal Air Conditioner or Heat Pump, Under 24 kBtu/hr</w:t>
            </w:r>
          </w:p>
        </w:tc>
        <w:tc>
          <w:tcPr>
            <w:tcW w:w="1620"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35C32895" w14:textId="77777777">
            <w:pPr>
              <w:pStyle w:val="NormalinTable"/>
            </w:pPr>
            <w:r w:rsidRPr="0089041A">
              <w:t>AR, if any</w:t>
            </w:r>
          </w:p>
        </w:tc>
      </w:tr>
      <w:tr w:rsidRPr="0089041A" w:rsidR="0089041A" w:rsidTr="00194BE8" w14:paraId="734B4F82" w14:textId="77777777">
        <w:trPr>
          <w:cantSplit/>
        </w:trPr>
        <w:tc>
          <w:tcPr>
            <w:tcW w:w="1885"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4E678AEF" w14:textId="4CC2CEF8">
            <w:pPr>
              <w:pStyle w:val="NormalinTable"/>
            </w:pPr>
            <w:r w:rsidRPr="0089041A">
              <w:lastRenderedPageBreak/>
              <w:t>SWHC043</w:t>
            </w:r>
          </w:p>
        </w:tc>
        <w:tc>
          <w:tcPr>
            <w:tcW w:w="5940" w:type="dxa"/>
            <w:tcBorders>
              <w:top w:val="single" w:color="auto" w:sz="4" w:space="0"/>
              <w:left w:val="single" w:color="auto" w:sz="4" w:space="0"/>
              <w:bottom w:val="single" w:color="auto" w:sz="4" w:space="0"/>
              <w:right w:val="single" w:color="auto" w:sz="4" w:space="0"/>
            </w:tcBorders>
            <w:vAlign w:val="bottom"/>
          </w:tcPr>
          <w:p w:rsidRPr="0089041A" w:rsidR="0089041A" w:rsidP="009D2735" w:rsidRDefault="0089041A" w14:paraId="7549D99F" w14:textId="77777777">
            <w:pPr>
              <w:pStyle w:val="NormalinTable"/>
            </w:pPr>
            <w:r w:rsidRPr="0089041A">
              <w:t>Multiple Capacity Unitary Air-Cooled Commercial Air Conditioners Between 65 and 240 kBtu/hr</w:t>
            </w:r>
          </w:p>
        </w:tc>
        <w:tc>
          <w:tcPr>
            <w:tcW w:w="1620"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2D2EB10F" w14:textId="77777777">
            <w:pPr>
              <w:pStyle w:val="NormalinTable"/>
            </w:pPr>
            <w:r w:rsidRPr="0089041A">
              <w:t>AR, if any</w:t>
            </w:r>
          </w:p>
        </w:tc>
      </w:tr>
      <w:tr w:rsidRPr="0089041A" w:rsidR="0089041A" w:rsidTr="00194BE8" w14:paraId="72D7AAB7" w14:textId="77777777">
        <w:trPr>
          <w:cantSplit/>
        </w:trPr>
        <w:tc>
          <w:tcPr>
            <w:tcW w:w="1885"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2B361DDF" w14:textId="33FF5EAB">
            <w:pPr>
              <w:pStyle w:val="NormalinTable"/>
            </w:pPr>
            <w:r w:rsidRPr="0089041A">
              <w:t>SWHC044</w:t>
            </w:r>
          </w:p>
        </w:tc>
        <w:tc>
          <w:tcPr>
            <w:tcW w:w="5940" w:type="dxa"/>
            <w:tcBorders>
              <w:top w:val="single" w:color="auto" w:sz="4" w:space="0"/>
              <w:left w:val="single" w:color="auto" w:sz="4" w:space="0"/>
              <w:bottom w:val="single" w:color="auto" w:sz="4" w:space="0"/>
              <w:right w:val="single" w:color="auto" w:sz="4" w:space="0"/>
            </w:tcBorders>
            <w:vAlign w:val="bottom"/>
          </w:tcPr>
          <w:p w:rsidRPr="0089041A" w:rsidR="0089041A" w:rsidP="009D2735" w:rsidRDefault="0089041A" w14:paraId="5624C05D" w14:textId="77777777">
            <w:pPr>
              <w:pStyle w:val="NormalinTable"/>
            </w:pPr>
            <w:r w:rsidRPr="0089041A">
              <w:t>Ductless HVAC, Residential, Fuel Substitution</w:t>
            </w:r>
          </w:p>
        </w:tc>
        <w:tc>
          <w:tcPr>
            <w:tcW w:w="1620"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5AF48D25" w14:textId="77777777">
            <w:pPr>
              <w:pStyle w:val="NormalinTable"/>
            </w:pPr>
            <w:r w:rsidRPr="0089041A">
              <w:t>All</w:t>
            </w:r>
          </w:p>
        </w:tc>
      </w:tr>
      <w:tr w:rsidRPr="0089041A" w:rsidR="0089041A" w:rsidTr="00194BE8" w14:paraId="1C5726BC" w14:textId="77777777">
        <w:trPr>
          <w:cantSplit/>
        </w:trPr>
        <w:tc>
          <w:tcPr>
            <w:tcW w:w="1885"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56BD2C5C" w14:textId="285F5C33">
            <w:pPr>
              <w:pStyle w:val="NormalinTable"/>
            </w:pPr>
            <w:r w:rsidRPr="0089041A">
              <w:t>SWHC045</w:t>
            </w:r>
          </w:p>
        </w:tc>
        <w:tc>
          <w:tcPr>
            <w:tcW w:w="5940" w:type="dxa"/>
            <w:tcBorders>
              <w:top w:val="single" w:color="auto" w:sz="4" w:space="0"/>
              <w:left w:val="single" w:color="auto" w:sz="4" w:space="0"/>
              <w:bottom w:val="single" w:color="auto" w:sz="4" w:space="0"/>
              <w:right w:val="single" w:color="auto" w:sz="4" w:space="0"/>
            </w:tcBorders>
            <w:vAlign w:val="bottom"/>
          </w:tcPr>
          <w:p w:rsidRPr="0089041A" w:rsidR="0089041A" w:rsidP="009D2735" w:rsidRDefault="0089041A" w14:paraId="325BA542" w14:textId="77777777">
            <w:pPr>
              <w:pStyle w:val="NormalinTable"/>
            </w:pPr>
            <w:r w:rsidRPr="0089041A">
              <w:t>Heat Pump HVAC, Residential, Fuel Substitution</w:t>
            </w:r>
          </w:p>
        </w:tc>
        <w:tc>
          <w:tcPr>
            <w:tcW w:w="1620"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00DF94AB" w14:textId="77777777">
            <w:pPr>
              <w:pStyle w:val="NormalinTable"/>
            </w:pPr>
            <w:r w:rsidRPr="0089041A">
              <w:t>All</w:t>
            </w:r>
          </w:p>
        </w:tc>
      </w:tr>
      <w:tr w:rsidRPr="0089041A" w:rsidR="0089041A" w:rsidTr="00194BE8" w14:paraId="3FB10073" w14:textId="77777777">
        <w:trPr>
          <w:cantSplit/>
        </w:trPr>
        <w:tc>
          <w:tcPr>
            <w:tcW w:w="1885"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5675C021" w14:textId="3A17694E">
            <w:pPr>
              <w:pStyle w:val="NormalinTable"/>
            </w:pPr>
            <w:r w:rsidRPr="0089041A">
              <w:t>SWHC046</w:t>
            </w:r>
          </w:p>
        </w:tc>
        <w:tc>
          <w:tcPr>
            <w:tcW w:w="5940" w:type="dxa"/>
            <w:tcBorders>
              <w:top w:val="single" w:color="auto" w:sz="4" w:space="0"/>
              <w:left w:val="single" w:color="auto" w:sz="4" w:space="0"/>
              <w:bottom w:val="single" w:color="auto" w:sz="4" w:space="0"/>
              <w:right w:val="single" w:color="auto" w:sz="4" w:space="0"/>
            </w:tcBorders>
            <w:vAlign w:val="bottom"/>
          </w:tcPr>
          <w:p w:rsidRPr="0089041A" w:rsidR="0089041A" w:rsidP="009D2735" w:rsidRDefault="0089041A" w14:paraId="7E58A26A" w14:textId="77777777">
            <w:pPr>
              <w:pStyle w:val="NormalinTable"/>
            </w:pPr>
            <w:r w:rsidRPr="0089041A">
              <w:t>Packaged Heat Pump Air Conditioner Commercial, Fuel Substitution</w:t>
            </w:r>
          </w:p>
        </w:tc>
        <w:tc>
          <w:tcPr>
            <w:tcW w:w="1620"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295BBEBC" w14:textId="77777777">
            <w:pPr>
              <w:pStyle w:val="NormalinTable"/>
            </w:pPr>
            <w:r w:rsidRPr="0089041A">
              <w:t>All</w:t>
            </w:r>
          </w:p>
        </w:tc>
      </w:tr>
      <w:tr w:rsidRPr="0089041A" w:rsidR="0089041A" w:rsidTr="00194BE8" w14:paraId="2F9E0EB6" w14:textId="77777777">
        <w:trPr>
          <w:cantSplit/>
        </w:trPr>
        <w:tc>
          <w:tcPr>
            <w:tcW w:w="1885"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046B0091" w14:textId="50DC3FFD">
            <w:pPr>
              <w:pStyle w:val="NormalinTable"/>
            </w:pPr>
            <w:r w:rsidRPr="0089041A">
              <w:t>SWHC052</w:t>
            </w:r>
            <w:r w:rsidR="00B545C9">
              <w:t>*</w:t>
            </w:r>
          </w:p>
        </w:tc>
        <w:tc>
          <w:tcPr>
            <w:tcW w:w="5940" w:type="dxa"/>
            <w:tcBorders>
              <w:top w:val="single" w:color="auto" w:sz="4" w:space="0"/>
              <w:left w:val="single" w:color="auto" w:sz="4" w:space="0"/>
              <w:bottom w:val="single" w:color="auto" w:sz="4" w:space="0"/>
              <w:right w:val="single" w:color="auto" w:sz="4" w:space="0"/>
            </w:tcBorders>
            <w:vAlign w:val="bottom"/>
          </w:tcPr>
          <w:p w:rsidRPr="0089041A" w:rsidR="0089041A" w:rsidP="009D2735" w:rsidRDefault="0089041A" w14:paraId="1801646A" w14:textId="77777777">
            <w:pPr>
              <w:pStyle w:val="NormalinTable"/>
            </w:pPr>
            <w:r w:rsidRPr="0089041A">
              <w:t>Air-Cooled Chiller, Path B</w:t>
            </w:r>
          </w:p>
        </w:tc>
        <w:tc>
          <w:tcPr>
            <w:tcW w:w="1620"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0875F0A8" w14:textId="77777777">
            <w:pPr>
              <w:pStyle w:val="NormalinTable"/>
            </w:pPr>
            <w:r w:rsidRPr="0089041A">
              <w:t>AR, if any</w:t>
            </w:r>
          </w:p>
        </w:tc>
      </w:tr>
      <w:tr w:rsidRPr="0089041A" w:rsidR="0089041A" w:rsidTr="00194BE8" w14:paraId="7B2FE5F9" w14:textId="77777777">
        <w:trPr>
          <w:cantSplit/>
        </w:trPr>
        <w:tc>
          <w:tcPr>
            <w:tcW w:w="1885"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5DA72000" w14:textId="1E47A210">
            <w:pPr>
              <w:pStyle w:val="NormalinTable"/>
            </w:pPr>
            <w:r w:rsidRPr="0089041A">
              <w:t>SWHC049</w:t>
            </w:r>
          </w:p>
        </w:tc>
        <w:tc>
          <w:tcPr>
            <w:tcW w:w="5940" w:type="dxa"/>
            <w:tcBorders>
              <w:top w:val="single" w:color="auto" w:sz="4" w:space="0"/>
              <w:left w:val="single" w:color="auto" w:sz="4" w:space="0"/>
              <w:bottom w:val="single" w:color="auto" w:sz="4" w:space="0"/>
              <w:right w:val="single" w:color="auto" w:sz="4" w:space="0"/>
            </w:tcBorders>
            <w:vAlign w:val="bottom"/>
          </w:tcPr>
          <w:p w:rsidRPr="0089041A" w:rsidR="0089041A" w:rsidP="009D2735" w:rsidRDefault="00A26AF6" w14:paraId="6F838F91" w14:textId="5B43F9EB">
            <w:pPr>
              <w:pStyle w:val="NormalinTable"/>
            </w:pPr>
            <w:r>
              <w:t>Ducted</w:t>
            </w:r>
            <w:r w:rsidRPr="0089041A" w:rsidR="0089041A">
              <w:t xml:space="preserve"> AC and HP HVAC Equipment, Residential</w:t>
            </w:r>
          </w:p>
        </w:tc>
        <w:tc>
          <w:tcPr>
            <w:tcW w:w="1620"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25279946" w14:textId="77777777">
            <w:pPr>
              <w:pStyle w:val="NormalinTable"/>
            </w:pPr>
            <w:r w:rsidRPr="0089041A">
              <w:t>AR, if any</w:t>
            </w:r>
          </w:p>
        </w:tc>
      </w:tr>
      <w:tr w:rsidRPr="0089041A" w:rsidR="004D5CDD" w:rsidTr="00194BE8" w14:paraId="1F37EE5B" w14:textId="77777777">
        <w:trPr>
          <w:cantSplit/>
        </w:trPr>
        <w:tc>
          <w:tcPr>
            <w:tcW w:w="1885" w:type="dxa"/>
            <w:tcBorders>
              <w:top w:val="single" w:color="auto" w:sz="4" w:space="0"/>
              <w:left w:val="single" w:color="auto" w:sz="4" w:space="0"/>
              <w:bottom w:val="single" w:color="auto" w:sz="4" w:space="0"/>
              <w:right w:val="single" w:color="auto" w:sz="4" w:space="0"/>
            </w:tcBorders>
          </w:tcPr>
          <w:p w:rsidRPr="0089041A" w:rsidR="004D5CDD" w:rsidP="009D2735" w:rsidRDefault="004D5CDD" w14:paraId="146D6E95" w14:textId="3C40A7A6">
            <w:pPr>
              <w:pStyle w:val="NormalinTable"/>
            </w:pPr>
            <w:r>
              <w:t>SWHC050</w:t>
            </w:r>
          </w:p>
        </w:tc>
        <w:tc>
          <w:tcPr>
            <w:tcW w:w="5940" w:type="dxa"/>
            <w:tcBorders>
              <w:top w:val="single" w:color="auto" w:sz="4" w:space="0"/>
              <w:left w:val="single" w:color="auto" w:sz="4" w:space="0"/>
              <w:bottom w:val="single" w:color="auto" w:sz="4" w:space="0"/>
              <w:right w:val="single" w:color="auto" w:sz="4" w:space="0"/>
            </w:tcBorders>
            <w:vAlign w:val="bottom"/>
          </w:tcPr>
          <w:p w:rsidRPr="0089041A" w:rsidR="004D5CDD" w:rsidP="009D2735" w:rsidRDefault="00C52406" w14:paraId="4537FDC1" w14:textId="02915544">
            <w:pPr>
              <w:pStyle w:val="NormalinTable"/>
            </w:pPr>
            <w:r>
              <w:t xml:space="preserve">Ductless Heat Pump, </w:t>
            </w:r>
            <w:r w:rsidR="007C7138">
              <w:t>Residential</w:t>
            </w:r>
          </w:p>
        </w:tc>
        <w:tc>
          <w:tcPr>
            <w:tcW w:w="1620" w:type="dxa"/>
            <w:tcBorders>
              <w:top w:val="single" w:color="auto" w:sz="4" w:space="0"/>
              <w:left w:val="single" w:color="auto" w:sz="4" w:space="0"/>
              <w:bottom w:val="single" w:color="auto" w:sz="4" w:space="0"/>
              <w:right w:val="single" w:color="auto" w:sz="4" w:space="0"/>
            </w:tcBorders>
          </w:tcPr>
          <w:p w:rsidRPr="0089041A" w:rsidR="004D5CDD" w:rsidP="009D2735" w:rsidRDefault="00C52406" w14:paraId="100EB4BA" w14:textId="7D1EF50D">
            <w:pPr>
              <w:pStyle w:val="NormalinTable"/>
            </w:pPr>
            <w:r>
              <w:t>AR, if any</w:t>
            </w:r>
          </w:p>
        </w:tc>
      </w:tr>
      <w:tr w:rsidRPr="0089041A" w:rsidR="0089041A" w:rsidTr="00194BE8" w14:paraId="1599F005" w14:textId="77777777">
        <w:trPr>
          <w:cantSplit/>
        </w:trPr>
        <w:tc>
          <w:tcPr>
            <w:tcW w:w="1885"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69737309" w14:textId="25FB3533">
            <w:pPr>
              <w:pStyle w:val="NormalinTable"/>
            </w:pPr>
            <w:r w:rsidRPr="0089041A">
              <w:t>SWSV014</w:t>
            </w:r>
          </w:p>
        </w:tc>
        <w:tc>
          <w:tcPr>
            <w:tcW w:w="5940" w:type="dxa"/>
            <w:tcBorders>
              <w:top w:val="single" w:color="auto" w:sz="4" w:space="0"/>
              <w:left w:val="single" w:color="auto" w:sz="4" w:space="0"/>
              <w:bottom w:val="single" w:color="auto" w:sz="4" w:space="0"/>
              <w:right w:val="single" w:color="auto" w:sz="4" w:space="0"/>
            </w:tcBorders>
            <w:vAlign w:val="bottom"/>
          </w:tcPr>
          <w:p w:rsidRPr="0089041A" w:rsidR="0089041A" w:rsidP="009D2735" w:rsidRDefault="0089041A" w14:paraId="0D111CF4" w14:textId="77777777">
            <w:pPr>
              <w:pStyle w:val="NormalinTable"/>
            </w:pPr>
            <w:r w:rsidRPr="0089041A">
              <w:t>Lifecycle Refrigerant Management, Residential</w:t>
            </w:r>
          </w:p>
        </w:tc>
        <w:tc>
          <w:tcPr>
            <w:tcW w:w="1620" w:type="dxa"/>
            <w:tcBorders>
              <w:top w:val="single" w:color="auto" w:sz="4" w:space="0"/>
              <w:left w:val="single" w:color="auto" w:sz="4" w:space="0"/>
              <w:bottom w:val="single" w:color="auto" w:sz="4" w:space="0"/>
              <w:right w:val="single" w:color="auto" w:sz="4" w:space="0"/>
            </w:tcBorders>
          </w:tcPr>
          <w:p w:rsidRPr="0089041A" w:rsidR="0089041A" w:rsidP="009D2735" w:rsidRDefault="0089041A" w14:paraId="649079B5" w14:textId="77777777">
            <w:pPr>
              <w:pStyle w:val="NormalinTable"/>
            </w:pPr>
            <w:r w:rsidRPr="0089041A">
              <w:t>All</w:t>
            </w:r>
          </w:p>
        </w:tc>
      </w:tr>
      <w:tr w:rsidRPr="0089041A" w:rsidR="00C5017A" w:rsidTr="0069490A" w14:paraId="3D834076" w14:textId="77777777">
        <w:trPr>
          <w:cantSplit/>
        </w:trPr>
        <w:tc>
          <w:tcPr>
            <w:tcW w:w="1885" w:type="dxa"/>
            <w:tcBorders>
              <w:top w:val="single" w:color="auto" w:sz="4" w:space="0"/>
              <w:left w:val="single" w:color="auto" w:sz="4" w:space="0"/>
              <w:bottom w:val="single" w:color="auto" w:sz="4" w:space="0"/>
              <w:right w:val="single" w:color="auto" w:sz="4" w:space="0"/>
            </w:tcBorders>
          </w:tcPr>
          <w:p w:rsidRPr="0089041A" w:rsidR="00C5017A" w:rsidP="009D2735" w:rsidRDefault="00C5017A" w14:paraId="5317A62F" w14:textId="65BD3A33">
            <w:pPr>
              <w:pStyle w:val="NormalinTable"/>
            </w:pPr>
            <w:r>
              <w:t>SWWB008</w:t>
            </w:r>
          </w:p>
        </w:tc>
        <w:tc>
          <w:tcPr>
            <w:tcW w:w="5940" w:type="dxa"/>
            <w:tcBorders>
              <w:top w:val="single" w:color="auto" w:sz="4" w:space="0"/>
              <w:left w:val="single" w:color="auto" w:sz="4" w:space="0"/>
              <w:bottom w:val="single" w:color="auto" w:sz="4" w:space="0"/>
              <w:right w:val="single" w:color="auto" w:sz="4" w:space="0"/>
            </w:tcBorders>
          </w:tcPr>
          <w:p w:rsidRPr="0089041A" w:rsidR="00C5017A" w:rsidP="009D2735" w:rsidRDefault="0031754A" w14:paraId="4D4F31A4" w14:textId="17E5EEDF">
            <w:pPr>
              <w:pStyle w:val="NormalinTable"/>
            </w:pPr>
            <w:r>
              <w:t>All-Electric Homes, Residential, New Construction</w:t>
            </w:r>
          </w:p>
        </w:tc>
        <w:tc>
          <w:tcPr>
            <w:tcW w:w="1620" w:type="dxa"/>
            <w:tcBorders>
              <w:top w:val="single" w:color="auto" w:sz="4" w:space="0"/>
              <w:left w:val="single" w:color="auto" w:sz="4" w:space="0"/>
              <w:bottom w:val="single" w:color="auto" w:sz="4" w:space="0"/>
              <w:right w:val="single" w:color="auto" w:sz="4" w:space="0"/>
            </w:tcBorders>
          </w:tcPr>
          <w:p w:rsidRPr="0089041A" w:rsidR="00C5017A" w:rsidP="009D2735" w:rsidRDefault="00CD3650" w14:paraId="72302EE0" w14:textId="306E4C6C">
            <w:pPr>
              <w:pStyle w:val="NormalinTable"/>
            </w:pPr>
            <w:r>
              <w:t>Space heating equipment</w:t>
            </w:r>
          </w:p>
        </w:tc>
      </w:tr>
    </w:tbl>
    <w:p w:rsidRPr="00582B17" w:rsidR="00175BBC" w:rsidP="00BE135F" w:rsidRDefault="00B545C9" w14:paraId="4034B93F" w14:textId="0A53B1C0">
      <w:pPr>
        <w:rPr>
          <w:rFonts w:ascii="Garamond" w:hAnsi="Garamond"/>
          <w:sz w:val="20"/>
          <w:szCs w:val="20"/>
        </w:rPr>
      </w:pPr>
      <w:r w:rsidRPr="00582B17">
        <w:rPr>
          <w:rFonts w:ascii="Garamond" w:hAnsi="Garamond"/>
          <w:sz w:val="20"/>
          <w:szCs w:val="20"/>
        </w:rPr>
        <w:t>*</w:t>
      </w:r>
      <w:r w:rsidRPr="00582B17" w:rsidR="00911EB6">
        <w:rPr>
          <w:rFonts w:ascii="Garamond" w:hAnsi="Garamond"/>
          <w:sz w:val="20"/>
          <w:szCs w:val="20"/>
        </w:rPr>
        <w:t xml:space="preserve">SWHC052 is sunset as of </w:t>
      </w:r>
      <w:r w:rsidRPr="00582B17" w:rsidR="005B48DA">
        <w:rPr>
          <w:rFonts w:ascii="Garamond" w:hAnsi="Garamond"/>
          <w:sz w:val="20"/>
          <w:szCs w:val="20"/>
        </w:rPr>
        <w:t>February 28, 2024</w:t>
      </w:r>
      <w:r w:rsidRPr="00582B17" w:rsidR="00582B17">
        <w:rPr>
          <w:rFonts w:ascii="Garamond" w:hAnsi="Garamond"/>
          <w:sz w:val="20"/>
          <w:szCs w:val="20"/>
        </w:rPr>
        <w:t>,</w:t>
      </w:r>
      <w:r w:rsidRPr="00582B17" w:rsidR="005B48DA">
        <w:rPr>
          <w:rFonts w:ascii="Garamond" w:hAnsi="Garamond"/>
          <w:sz w:val="20"/>
          <w:szCs w:val="20"/>
        </w:rPr>
        <w:t xml:space="preserve"> but </w:t>
      </w:r>
      <w:r w:rsidRPr="00582B17" w:rsidR="00A54DF2">
        <w:rPr>
          <w:rFonts w:ascii="Garamond" w:hAnsi="Garamond"/>
          <w:sz w:val="20"/>
          <w:szCs w:val="20"/>
        </w:rPr>
        <w:t>is planned to</w:t>
      </w:r>
      <w:r w:rsidRPr="00582B17" w:rsidR="005B48DA">
        <w:rPr>
          <w:rFonts w:ascii="Garamond" w:hAnsi="Garamond"/>
          <w:sz w:val="20"/>
          <w:szCs w:val="20"/>
        </w:rPr>
        <w:t xml:space="preserve"> be </w:t>
      </w:r>
      <w:r w:rsidRPr="00582B17" w:rsidR="00A54DF2">
        <w:rPr>
          <w:rFonts w:ascii="Garamond" w:hAnsi="Garamond"/>
          <w:sz w:val="20"/>
          <w:szCs w:val="20"/>
        </w:rPr>
        <w:t xml:space="preserve">brought back </w:t>
      </w:r>
      <w:r w:rsidRPr="00582B17" w:rsidR="00582B17">
        <w:rPr>
          <w:rFonts w:ascii="Garamond" w:hAnsi="Garamond"/>
          <w:sz w:val="20"/>
          <w:szCs w:val="20"/>
        </w:rPr>
        <w:t>with updated calculations.</w:t>
      </w:r>
    </w:p>
    <w:p w:rsidR="00DB3C83" w:rsidP="00DB3C83" w:rsidRDefault="00DB3C83" w14:paraId="00EBF856" w14:textId="405239F5">
      <w:pPr>
        <w:pStyle w:val="Heading3"/>
      </w:pPr>
      <w:bookmarkStart w:name="_Toc185271171" w:id="72"/>
      <w:r>
        <w:t>(D.2) Policy Updates</w:t>
      </w:r>
      <w:bookmarkEnd w:id="72"/>
    </w:p>
    <w:p w:rsidRPr="00DB3C83" w:rsidR="00DB3C83" w:rsidP="00DB3C83" w:rsidRDefault="007C1616" w14:paraId="13FAC90F" w14:textId="709C5C39">
      <w:r>
        <w:rPr>
          <w:u w:val="single"/>
        </w:rPr>
        <w:t>Effective Program Year</w:t>
      </w:r>
      <w:r w:rsidR="00A526AF">
        <w:rPr>
          <w:u w:val="single"/>
        </w:rPr>
        <w:t>:</w:t>
      </w:r>
      <w:r>
        <w:rPr>
          <w:u w:val="single"/>
        </w:rPr>
        <w:t xml:space="preserve"> 2024.</w:t>
      </w:r>
      <w:r>
        <w:t xml:space="preserve"> </w:t>
      </w:r>
      <w:r w:rsidRPr="00F41F07" w:rsidR="00F41F07">
        <w:t>In addition to codes and standards updates that trigger mid-cycle measure package updates, PAs shall plan for mid-cycle updates that are triggered by a Decision or Rulemaking that either sunsets or modifies a parameter used by a measure package.</w:t>
      </w:r>
    </w:p>
    <w:p w:rsidR="00992B26" w:rsidP="00D0097C" w:rsidRDefault="00AC22EF" w14:paraId="36B24C65" w14:textId="5648C31A">
      <w:pPr>
        <w:pStyle w:val="Heading2"/>
      </w:pPr>
      <w:bookmarkStart w:name="_Toc185271172" w:id="73"/>
      <w:r>
        <w:t>(E)</w:t>
      </w:r>
      <w:r w:rsidR="008715DB">
        <w:t xml:space="preserve"> </w:t>
      </w:r>
      <w:r w:rsidRPr="00D0097C" w:rsidR="00D0097C">
        <w:t>Structural Changes to DEER Tables</w:t>
      </w:r>
      <w:bookmarkEnd w:id="73"/>
    </w:p>
    <w:p w:rsidRPr="009A603F" w:rsidR="009A603F" w:rsidP="009A603F" w:rsidRDefault="00695BBF" w14:paraId="38CF5060" w14:textId="1FE781B3">
      <w:r w:rsidRPr="007F570B">
        <w:rPr>
          <w:u w:val="single"/>
        </w:rPr>
        <w:t>Effective Program Year</w:t>
      </w:r>
      <w:r w:rsidRPr="00CC6C71">
        <w:rPr>
          <w:u w:val="single"/>
        </w:rPr>
        <w:t>: 2</w:t>
      </w:r>
      <w:r>
        <w:rPr>
          <w:u w:val="single"/>
        </w:rPr>
        <w:t>024-2026.</w:t>
      </w:r>
      <w:r>
        <w:t xml:space="preserve"> </w:t>
      </w:r>
      <w:r w:rsidRPr="009A603F" w:rsidR="009A603F">
        <w:t>The changes listed in the subsections to follow will be made to the structures of some new and existing DEER database tables.</w:t>
      </w:r>
    </w:p>
    <w:p w:rsidRPr="009A603F" w:rsidR="009A603F" w:rsidP="00A106FF" w:rsidRDefault="008715DB" w14:paraId="044B3C4F" w14:textId="2BBDD7A8">
      <w:pPr>
        <w:pStyle w:val="Heading3"/>
      </w:pPr>
      <w:bookmarkStart w:name="_Toc185271173" w:id="74"/>
      <w:r>
        <w:t xml:space="preserve">(E.1) </w:t>
      </w:r>
      <w:r w:rsidRPr="009A603F" w:rsidR="009A603F">
        <w:t>Retiring Table for Fuel Substitution Measures</w:t>
      </w:r>
      <w:bookmarkEnd w:id="74"/>
    </w:p>
    <w:p w:rsidRPr="009A603F" w:rsidR="009A603F" w:rsidP="009A603F" w:rsidRDefault="009A603F" w14:paraId="55555679" w14:textId="5F7DE783">
      <w:r w:rsidRPr="009A603F">
        <w:rPr>
          <w:u w:val="single"/>
        </w:rPr>
        <w:t>Effective Program Year</w:t>
      </w:r>
      <w:r w:rsidRPr="00695BBF">
        <w:rPr>
          <w:u w:val="single"/>
        </w:rPr>
        <w:t>: 2024.</w:t>
      </w:r>
      <w:r w:rsidRPr="009A603F">
        <w:t xml:space="preserve"> CPUC staff is retiring the recently added “FuelSub” table that was added to DEER’s “costeff” schema. In its place, the “FuelID” table described in Section </w:t>
      </w:r>
      <w:r w:rsidRPr="009A603F">
        <w:fldChar w:fldCharType="begin"/>
      </w:r>
      <w:r w:rsidRPr="009A603F">
        <w:instrText xml:space="preserve"> REF _Ref160800366 \r \h </w:instrText>
      </w:r>
      <w:r w:rsidRPr="009A603F">
        <w:fldChar w:fldCharType="separate"/>
      </w:r>
      <w:r w:rsidR="00E812F0">
        <w:t>1.5.2</w:t>
      </w:r>
      <w:r w:rsidRPr="009A603F">
        <w:fldChar w:fldCharType="end"/>
      </w:r>
      <w:r w:rsidRPr="009A603F">
        <w:t xml:space="preserve"> was added.</w:t>
      </w:r>
    </w:p>
    <w:p w:rsidRPr="009A603F" w:rsidR="009A603F" w:rsidP="00A106FF" w:rsidRDefault="008715DB" w14:paraId="45E34D81" w14:textId="19E2279D">
      <w:pPr>
        <w:pStyle w:val="Heading3"/>
      </w:pPr>
      <w:bookmarkStart w:name="_Ref160800366" w:id="75"/>
      <w:bookmarkStart w:name="_Toc185271174" w:id="76"/>
      <w:r>
        <w:lastRenderedPageBreak/>
        <w:t xml:space="preserve">(E.2) </w:t>
      </w:r>
      <w:r w:rsidRPr="009A603F" w:rsidR="009A603F">
        <w:t>Adding FuelID Table</w:t>
      </w:r>
      <w:bookmarkEnd w:id="75"/>
      <w:bookmarkEnd w:id="76"/>
    </w:p>
    <w:p w:rsidRPr="009A603F" w:rsidR="009A603F" w:rsidP="009A603F" w:rsidRDefault="009A603F" w14:paraId="3C2116C5" w14:textId="1E0B07C1">
      <w:r w:rsidRPr="009A603F">
        <w:rPr>
          <w:u w:val="single"/>
        </w:rPr>
        <w:t>Effective Program Year: 2026.</w:t>
      </w:r>
      <w:r w:rsidRPr="009A603F">
        <w:t xml:space="preserve"> In response to D.23-04-035, the need for a more detailed set of descriptors became necessary as a means to build a global exclusion table for the various types of </w:t>
      </w:r>
      <w:r w:rsidRPr="009A603F">
        <w:rPr>
          <w:i/>
          <w:iCs/>
        </w:rPr>
        <w:t>FuelID</w:t>
      </w:r>
      <w:r w:rsidRPr="009A603F">
        <w:t>s that have been established.</w:t>
      </w:r>
      <w:r w:rsidR="00FC0E7F">
        <w:t xml:space="preserve"> This field shall be added to the eTRM’s permutations table for 2026 measure offerings and populated by CalTF on the back end.</w:t>
      </w:r>
      <w:r w:rsidRPr="009A603F">
        <w:t xml:space="preserve"> </w:t>
      </w:r>
      <w:r w:rsidRPr="009A603F">
        <w:fldChar w:fldCharType="begin"/>
      </w:r>
      <w:r w:rsidRPr="009A603F">
        <w:instrText xml:space="preserve"> REF _Ref160800753 \h </w:instrText>
      </w:r>
      <w:r w:rsidRPr="009A603F">
        <w:fldChar w:fldCharType="separate"/>
      </w:r>
      <w:r w:rsidRPr="009A603F" w:rsidR="00E812F0">
        <w:t xml:space="preserve">Table </w:t>
      </w:r>
      <w:r w:rsidR="00E812F0">
        <w:t>A-</w:t>
      </w:r>
      <w:r w:rsidR="00E812F0">
        <w:rPr>
          <w:noProof/>
        </w:rPr>
        <w:t>1</w:t>
      </w:r>
      <w:r w:rsidRPr="009A603F" w:rsidR="00E812F0">
        <w:noBreakHyphen/>
      </w:r>
      <w:r w:rsidR="00E812F0">
        <w:rPr>
          <w:noProof/>
        </w:rPr>
        <w:t>11</w:t>
      </w:r>
      <w:r w:rsidRPr="009A603F">
        <w:fldChar w:fldCharType="end"/>
      </w:r>
      <w:r w:rsidRPr="009A603F">
        <w:t xml:space="preserve"> presents the </w:t>
      </w:r>
      <w:r w:rsidRPr="009A603F">
        <w:rPr>
          <w:i/>
          <w:iCs/>
        </w:rPr>
        <w:t>FuelID</w:t>
      </w:r>
      <w:r w:rsidRPr="009A603F">
        <w:t xml:space="preserve">s established to date. </w:t>
      </w:r>
    </w:p>
    <w:p w:rsidRPr="009A603F" w:rsidR="009A603F" w:rsidP="00A106FF" w:rsidRDefault="009A603F" w14:paraId="5C73534A" w14:textId="61034528">
      <w:pPr>
        <w:pStyle w:val="Caption"/>
      </w:pPr>
      <w:bookmarkStart w:name="_Ref160800753" w:id="77"/>
      <w:bookmarkStart w:name="_Toc185273162" w:id="78"/>
      <w:r w:rsidRPr="009A603F">
        <w:t xml:space="preserve">Table </w:t>
      </w:r>
      <w:r w:rsidR="00B30642">
        <w:t>A-</w:t>
      </w:r>
      <w:r>
        <w:fldChar w:fldCharType="begin"/>
      </w:r>
      <w:r>
        <w:instrText>STYLEREF 1 \s</w:instrText>
      </w:r>
      <w:r>
        <w:fldChar w:fldCharType="separate"/>
      </w:r>
      <w:r w:rsidR="00E812F0">
        <w:rPr>
          <w:noProof/>
        </w:rPr>
        <w:t>1</w:t>
      </w:r>
      <w:r>
        <w:fldChar w:fldCharType="end"/>
      </w:r>
      <w:r w:rsidRPr="009A603F">
        <w:noBreakHyphen/>
      </w:r>
      <w:r w:rsidRPr="009A603F">
        <w:fldChar w:fldCharType="begin"/>
      </w:r>
      <w:r w:rsidRPr="009A603F">
        <w:instrText>SEQ Table \* ARABIC \s 1</w:instrText>
      </w:r>
      <w:r w:rsidRPr="009A603F">
        <w:fldChar w:fldCharType="separate"/>
      </w:r>
      <w:r w:rsidR="00E812F0">
        <w:rPr>
          <w:noProof/>
        </w:rPr>
        <w:t>11</w:t>
      </w:r>
      <w:r w:rsidRPr="009A603F">
        <w:fldChar w:fldCharType="end"/>
      </w:r>
      <w:bookmarkEnd w:id="77"/>
      <w:r w:rsidRPr="009A603F">
        <w:t xml:space="preserve">. Fields in </w:t>
      </w:r>
      <w:r w:rsidRPr="009A603F">
        <w:rPr>
          <w:i/>
          <w:iCs/>
        </w:rPr>
        <w:t>FuelID</w:t>
      </w:r>
      <w:r w:rsidRPr="009A603F">
        <w:t xml:space="preserve"> Table for DEER2026</w:t>
      </w:r>
      <w:bookmarkEnd w:id="78"/>
    </w:p>
    <w:tbl>
      <w:tblPr>
        <w:tblW w:w="953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bottom w:w="14" w:type="dxa"/>
          <w:right w:w="158" w:type="dxa"/>
        </w:tblCellMar>
        <w:tblLook w:val="04A0" w:firstRow="1" w:lastRow="0" w:firstColumn="1" w:lastColumn="0" w:noHBand="0" w:noVBand="1"/>
      </w:tblPr>
      <w:tblGrid>
        <w:gridCol w:w="3505"/>
        <w:gridCol w:w="6030"/>
      </w:tblGrid>
      <w:tr w:rsidRPr="009A603F" w:rsidR="009A603F" w:rsidTr="00AB1A38" w14:paraId="64E10342" w14:textId="77777777">
        <w:trPr>
          <w:cantSplit/>
          <w:tblHeader/>
        </w:trPr>
        <w:tc>
          <w:tcPr>
            <w:tcW w:w="3505" w:type="dxa"/>
            <w:tcBorders>
              <w:top w:val="single" w:color="auto" w:sz="4" w:space="0"/>
              <w:left w:val="single" w:color="auto" w:sz="4" w:space="0"/>
              <w:bottom w:val="single" w:color="auto" w:sz="4" w:space="0"/>
              <w:right w:val="single" w:color="auto" w:sz="4" w:space="0"/>
            </w:tcBorders>
            <w:vAlign w:val="center"/>
          </w:tcPr>
          <w:p w:rsidRPr="009A603F" w:rsidR="009A603F" w:rsidP="009D2735" w:rsidRDefault="009A603F" w14:paraId="4F4F21E9" w14:textId="77777777">
            <w:pPr>
              <w:pStyle w:val="NormalinTable"/>
            </w:pPr>
            <w:r w:rsidRPr="009A603F">
              <w:t>FuelID</w:t>
            </w:r>
          </w:p>
        </w:tc>
        <w:tc>
          <w:tcPr>
            <w:tcW w:w="6030" w:type="dxa"/>
            <w:tcBorders>
              <w:top w:val="single" w:color="auto" w:sz="4" w:space="0"/>
              <w:left w:val="single" w:color="auto" w:sz="4" w:space="0"/>
              <w:bottom w:val="single" w:color="auto" w:sz="4" w:space="0"/>
              <w:right w:val="single" w:color="auto" w:sz="4" w:space="0"/>
            </w:tcBorders>
            <w:vAlign w:val="center"/>
          </w:tcPr>
          <w:p w:rsidRPr="009A603F" w:rsidR="009A603F" w:rsidP="009D2735" w:rsidRDefault="009A603F" w14:paraId="29D4D44B" w14:textId="77777777">
            <w:pPr>
              <w:pStyle w:val="NormalinTable"/>
            </w:pPr>
            <w:r w:rsidRPr="009A603F">
              <w:t>Description</w:t>
            </w:r>
          </w:p>
        </w:tc>
      </w:tr>
      <w:tr w:rsidRPr="009A603F" w:rsidR="009A603F" w:rsidTr="00AB1A38" w14:paraId="6E12528C" w14:textId="77777777">
        <w:trPr>
          <w:cantSplit/>
        </w:trPr>
        <w:tc>
          <w:tcPr>
            <w:tcW w:w="3505" w:type="dxa"/>
            <w:tcBorders>
              <w:top w:val="single" w:color="auto" w:sz="4" w:space="0"/>
              <w:left w:val="single" w:color="auto" w:sz="4" w:space="0"/>
              <w:bottom w:val="single" w:color="auto" w:sz="4" w:space="0"/>
              <w:right w:val="single" w:color="auto" w:sz="4" w:space="0"/>
            </w:tcBorders>
          </w:tcPr>
          <w:p w:rsidRPr="009A603F" w:rsidR="009A603F" w:rsidP="007B5C0A" w:rsidRDefault="009A603F" w14:paraId="2746D5CB" w14:textId="77777777">
            <w:pPr>
              <w:pStyle w:val="NormalinTable"/>
            </w:pPr>
            <w:r w:rsidRPr="009A603F">
              <w:t>EE-Elec-Only</w:t>
            </w:r>
          </w:p>
        </w:tc>
        <w:tc>
          <w:tcPr>
            <w:tcW w:w="6030" w:type="dxa"/>
            <w:tcBorders>
              <w:top w:val="single" w:color="auto" w:sz="4" w:space="0"/>
              <w:left w:val="single" w:color="auto" w:sz="4" w:space="0"/>
              <w:bottom w:val="single" w:color="auto" w:sz="4" w:space="0"/>
              <w:right w:val="single" w:color="auto" w:sz="4" w:space="0"/>
            </w:tcBorders>
          </w:tcPr>
          <w:p w:rsidRPr="009A603F" w:rsidR="009A603F" w:rsidP="007B5C0A" w:rsidRDefault="009A603F" w14:paraId="638485EA" w14:textId="7B6F6A17">
            <w:pPr>
              <w:pStyle w:val="NormalinTable"/>
            </w:pPr>
            <w:r w:rsidRPr="009A603F">
              <w:t xml:space="preserve">Energy efficiency measure that </w:t>
            </w:r>
            <w:r w:rsidR="00BA77BF">
              <w:t xml:space="preserve">does not </w:t>
            </w:r>
            <w:r w:rsidR="00F938A5">
              <w:t>burn</w:t>
            </w:r>
            <w:r w:rsidR="00BA77BF">
              <w:t xml:space="preserve"> </w:t>
            </w:r>
            <w:r w:rsidR="00E11236">
              <w:t>natural gas</w:t>
            </w:r>
          </w:p>
        </w:tc>
      </w:tr>
      <w:tr w:rsidRPr="009A603F" w:rsidR="009A603F" w:rsidTr="00AB1A38" w14:paraId="7428769B" w14:textId="77777777">
        <w:trPr>
          <w:cantSplit/>
        </w:trPr>
        <w:tc>
          <w:tcPr>
            <w:tcW w:w="3505" w:type="dxa"/>
            <w:tcBorders>
              <w:top w:val="single" w:color="auto" w:sz="4" w:space="0"/>
              <w:left w:val="single" w:color="auto" w:sz="4" w:space="0"/>
              <w:bottom w:val="single" w:color="auto" w:sz="4" w:space="0"/>
              <w:right w:val="single" w:color="auto" w:sz="4" w:space="0"/>
            </w:tcBorders>
          </w:tcPr>
          <w:p w:rsidRPr="009A603F" w:rsidR="009A603F" w:rsidP="007B5C0A" w:rsidRDefault="009A603F" w14:paraId="5990CC8E" w14:textId="7EEC569E">
            <w:pPr>
              <w:pStyle w:val="NormalinTable"/>
            </w:pPr>
            <w:r w:rsidRPr="009A603F">
              <w:t>Exempt</w:t>
            </w:r>
          </w:p>
        </w:tc>
        <w:tc>
          <w:tcPr>
            <w:tcW w:w="6030" w:type="dxa"/>
            <w:tcBorders>
              <w:top w:val="single" w:color="auto" w:sz="4" w:space="0"/>
              <w:left w:val="single" w:color="auto" w:sz="4" w:space="0"/>
              <w:bottom w:val="single" w:color="auto" w:sz="4" w:space="0"/>
              <w:right w:val="single" w:color="auto" w:sz="4" w:space="0"/>
            </w:tcBorders>
          </w:tcPr>
          <w:p w:rsidRPr="009A603F" w:rsidR="009A603F" w:rsidP="007B5C0A" w:rsidRDefault="003401C8" w14:paraId="230439C1" w14:textId="54D9B10D">
            <w:pPr>
              <w:pStyle w:val="NormalinTable"/>
            </w:pPr>
            <w:r>
              <w:t>Add-</w:t>
            </w:r>
            <w:r w:rsidR="009141E4">
              <w:t>o</w:t>
            </w:r>
            <w:r>
              <w:t xml:space="preserve">n </w:t>
            </w:r>
            <w:r w:rsidR="009141E4">
              <w:t>e</w:t>
            </w:r>
            <w:r>
              <w:t xml:space="preserve">quipment (AOE), </w:t>
            </w:r>
            <w:r w:rsidR="009141E4">
              <w:t>BRO</w:t>
            </w:r>
            <w:r w:rsidRPr="009A603F" w:rsidR="009A603F">
              <w:t xml:space="preserve"> (BRO-Bhv</w:t>
            </w:r>
            <w:r w:rsidR="00A046E4">
              <w:t>, BRO-Op,</w:t>
            </w:r>
            <w:r w:rsidR="00912855">
              <w:t xml:space="preserve"> or BRO-RCx</w:t>
            </w:r>
            <w:r w:rsidRPr="009A603F" w:rsidR="009A603F">
              <w:t>)</w:t>
            </w:r>
            <w:r w:rsidR="004D0C1B">
              <w:t xml:space="preserve">, </w:t>
            </w:r>
            <w:r>
              <w:t xml:space="preserve">or </w:t>
            </w:r>
            <w:r w:rsidR="00912855">
              <w:t>b</w:t>
            </w:r>
            <w:r w:rsidRPr="009A603F" w:rsidR="004D0C1B">
              <w:t xml:space="preserve">uilding weatherization (BW) </w:t>
            </w:r>
            <w:r w:rsidRPr="009A603F" w:rsidR="009A603F">
              <w:t xml:space="preserve">measure that saves </w:t>
            </w:r>
            <w:r w:rsidR="009C36E7">
              <w:t>ele</w:t>
            </w:r>
            <w:r w:rsidR="00F168B1">
              <w:t xml:space="preserve">ctricity and/or </w:t>
            </w:r>
            <w:r w:rsidRPr="009A603F" w:rsidR="009A603F">
              <w:t xml:space="preserve">natural gas but does not </w:t>
            </w:r>
            <w:r w:rsidR="00F938A5">
              <w:t>burn</w:t>
            </w:r>
            <w:r w:rsidRPr="009A603F" w:rsidR="00F938A5">
              <w:t xml:space="preserve"> </w:t>
            </w:r>
            <w:r w:rsidRPr="009A603F" w:rsidR="009A603F">
              <w:t>natural gas</w:t>
            </w:r>
          </w:p>
        </w:tc>
      </w:tr>
      <w:tr w:rsidRPr="009A603F" w:rsidR="00C62E73" w:rsidTr="00AB1A38" w14:paraId="4C950AA1" w14:textId="77777777">
        <w:trPr>
          <w:cantSplit/>
        </w:trPr>
        <w:tc>
          <w:tcPr>
            <w:tcW w:w="3505" w:type="dxa"/>
            <w:tcBorders>
              <w:top w:val="single" w:color="auto" w:sz="4" w:space="0"/>
              <w:left w:val="single" w:color="auto" w:sz="4" w:space="0"/>
              <w:bottom w:val="single" w:color="auto" w:sz="4" w:space="0"/>
              <w:right w:val="single" w:color="auto" w:sz="4" w:space="0"/>
            </w:tcBorders>
          </w:tcPr>
          <w:p w:rsidR="00C62E73" w:rsidP="00C62E73" w:rsidRDefault="00C62E73" w14:paraId="27F3DDE6" w14:textId="6B2A1DB3">
            <w:pPr>
              <w:pStyle w:val="NormalinTable"/>
            </w:pPr>
            <w:r>
              <w:t>Exempt-AllElec-New</w:t>
            </w:r>
          </w:p>
        </w:tc>
        <w:tc>
          <w:tcPr>
            <w:tcW w:w="6030" w:type="dxa"/>
            <w:tcBorders>
              <w:top w:val="single" w:color="auto" w:sz="4" w:space="0"/>
              <w:left w:val="single" w:color="auto" w:sz="4" w:space="0"/>
              <w:bottom w:val="single" w:color="auto" w:sz="4" w:space="0"/>
              <w:right w:val="single" w:color="auto" w:sz="4" w:space="0"/>
            </w:tcBorders>
          </w:tcPr>
          <w:p w:rsidRPr="009A603F" w:rsidR="00C62E73" w:rsidP="00C62E73" w:rsidRDefault="00C62E73" w14:paraId="519497EC" w14:textId="49C24EAB">
            <w:pPr>
              <w:pStyle w:val="NormalinTable"/>
            </w:pPr>
            <w:r>
              <w:t xml:space="preserve">All-electric new construction without gas service where the standard practice baseline is natural gas-burning equipment </w:t>
            </w:r>
          </w:p>
        </w:tc>
      </w:tr>
      <w:tr w:rsidRPr="009A603F" w:rsidR="009A603F" w:rsidTr="00AB1A38" w14:paraId="324A950C" w14:textId="77777777">
        <w:trPr>
          <w:cantSplit/>
        </w:trPr>
        <w:tc>
          <w:tcPr>
            <w:tcW w:w="3505" w:type="dxa"/>
            <w:tcBorders>
              <w:top w:val="single" w:color="auto" w:sz="4" w:space="0"/>
              <w:left w:val="single" w:color="auto" w:sz="4" w:space="0"/>
              <w:bottom w:val="single" w:color="auto" w:sz="4" w:space="0"/>
              <w:right w:val="single" w:color="auto" w:sz="4" w:space="0"/>
            </w:tcBorders>
          </w:tcPr>
          <w:p w:rsidRPr="009A603F" w:rsidR="009A603F" w:rsidP="007B5C0A" w:rsidRDefault="00D47263" w14:paraId="76E810A5" w14:textId="39177D69">
            <w:pPr>
              <w:pStyle w:val="NormalinTable"/>
            </w:pPr>
            <w:r>
              <w:t>Exempt-</w:t>
            </w:r>
            <w:r w:rsidRPr="009A603F" w:rsidR="009A603F">
              <w:t>FuelSub-ToElec</w:t>
            </w:r>
            <w:r w:rsidR="00D619F7">
              <w:t>-Ex</w:t>
            </w:r>
          </w:p>
        </w:tc>
        <w:tc>
          <w:tcPr>
            <w:tcW w:w="6030" w:type="dxa"/>
            <w:tcBorders>
              <w:top w:val="single" w:color="auto" w:sz="4" w:space="0"/>
              <w:left w:val="single" w:color="auto" w:sz="4" w:space="0"/>
              <w:bottom w:val="single" w:color="auto" w:sz="4" w:space="0"/>
              <w:right w:val="single" w:color="auto" w:sz="4" w:space="0"/>
            </w:tcBorders>
          </w:tcPr>
          <w:p w:rsidRPr="009A603F" w:rsidR="009A603F" w:rsidP="007B5C0A" w:rsidRDefault="009A603F" w14:paraId="3FD39010" w14:textId="2C4C293F">
            <w:pPr>
              <w:pStyle w:val="NormalinTable"/>
            </w:pPr>
            <w:r w:rsidRPr="009A603F">
              <w:t>Fuel substitution measure that replaces natural gas-burning equipment with electric-only equipment</w:t>
            </w:r>
          </w:p>
        </w:tc>
      </w:tr>
      <w:tr w:rsidRPr="009A603F" w:rsidR="00E126C5" w:rsidTr="00AB1A38" w14:paraId="09617220" w14:textId="77777777">
        <w:trPr>
          <w:cantSplit/>
        </w:trPr>
        <w:tc>
          <w:tcPr>
            <w:tcW w:w="3505" w:type="dxa"/>
            <w:tcBorders>
              <w:top w:val="single" w:color="auto" w:sz="4" w:space="0"/>
              <w:left w:val="single" w:color="auto" w:sz="4" w:space="0"/>
              <w:bottom w:val="single" w:color="auto" w:sz="4" w:space="0"/>
              <w:right w:val="single" w:color="auto" w:sz="4" w:space="0"/>
            </w:tcBorders>
          </w:tcPr>
          <w:p w:rsidRPr="009A603F" w:rsidR="00E126C5" w:rsidRDefault="00E126C5" w14:paraId="7F722E00" w14:textId="77777777">
            <w:pPr>
              <w:pStyle w:val="NormalinTable"/>
            </w:pPr>
            <w:r>
              <w:t>None</w:t>
            </w:r>
          </w:p>
        </w:tc>
        <w:tc>
          <w:tcPr>
            <w:tcW w:w="6030" w:type="dxa"/>
            <w:tcBorders>
              <w:top w:val="single" w:color="auto" w:sz="4" w:space="0"/>
              <w:left w:val="single" w:color="auto" w:sz="4" w:space="0"/>
              <w:bottom w:val="single" w:color="auto" w:sz="4" w:space="0"/>
              <w:right w:val="single" w:color="auto" w:sz="4" w:space="0"/>
            </w:tcBorders>
          </w:tcPr>
          <w:p w:rsidRPr="009A603F" w:rsidR="00E126C5" w:rsidRDefault="00E126C5" w14:paraId="5A5BA8A4" w14:textId="77777777">
            <w:pPr>
              <w:pStyle w:val="NormalinTable"/>
            </w:pPr>
            <w:r>
              <w:t>A non-saving measure that uses neither electricity nor natural gas</w:t>
            </w:r>
          </w:p>
        </w:tc>
      </w:tr>
      <w:tr w:rsidRPr="009A603F" w:rsidR="00266A9B" w:rsidTr="00AB1A38" w14:paraId="5DD4E967" w14:textId="77777777">
        <w:trPr>
          <w:cantSplit/>
        </w:trPr>
        <w:tc>
          <w:tcPr>
            <w:tcW w:w="3505" w:type="dxa"/>
            <w:tcBorders>
              <w:top w:val="single" w:color="auto" w:sz="4" w:space="0"/>
              <w:left w:val="single" w:color="auto" w:sz="4" w:space="0"/>
              <w:bottom w:val="single" w:color="auto" w:sz="4" w:space="0"/>
              <w:right w:val="single" w:color="auto" w:sz="4" w:space="0"/>
            </w:tcBorders>
          </w:tcPr>
          <w:p w:rsidR="00266A9B" w:rsidP="00266A9B" w:rsidRDefault="00266A9B" w14:paraId="391F4131" w14:textId="3921F28F">
            <w:pPr>
              <w:pStyle w:val="NormalinTable"/>
            </w:pPr>
            <w:r w:rsidRPr="009A603F">
              <w:t>NonExempt-</w:t>
            </w:r>
            <w:r>
              <w:t>EE-Gas-Ex</w:t>
            </w:r>
          </w:p>
        </w:tc>
        <w:tc>
          <w:tcPr>
            <w:tcW w:w="6030" w:type="dxa"/>
            <w:tcBorders>
              <w:top w:val="single" w:color="auto" w:sz="4" w:space="0"/>
              <w:left w:val="single" w:color="auto" w:sz="4" w:space="0"/>
              <w:bottom w:val="single" w:color="auto" w:sz="4" w:space="0"/>
              <w:right w:val="single" w:color="auto" w:sz="4" w:space="0"/>
            </w:tcBorders>
          </w:tcPr>
          <w:p w:rsidRPr="009A603F" w:rsidR="00266A9B" w:rsidP="00266A9B" w:rsidRDefault="00266A9B" w14:paraId="7F14D8FA" w14:textId="6663281F">
            <w:pPr>
              <w:pStyle w:val="NormalinTable"/>
            </w:pPr>
            <w:r>
              <w:t>Energy efficiency measure</w:t>
            </w:r>
            <w:r w:rsidRPr="009A603F">
              <w:t xml:space="preserve"> that </w:t>
            </w:r>
            <w:r>
              <w:t>burns</w:t>
            </w:r>
            <w:r w:rsidRPr="009A603F">
              <w:t xml:space="preserve"> natural gas</w:t>
            </w:r>
            <w:r>
              <w:t xml:space="preserve"> in an existing building</w:t>
            </w:r>
          </w:p>
        </w:tc>
      </w:tr>
      <w:tr w:rsidRPr="009A603F" w:rsidR="008D0800" w:rsidTr="00AB1A38" w14:paraId="52AA2C78" w14:textId="77777777">
        <w:trPr>
          <w:cantSplit/>
        </w:trPr>
        <w:tc>
          <w:tcPr>
            <w:tcW w:w="3505" w:type="dxa"/>
            <w:tcBorders>
              <w:top w:val="single" w:color="auto" w:sz="4" w:space="0"/>
              <w:left w:val="single" w:color="auto" w:sz="4" w:space="0"/>
              <w:bottom w:val="single" w:color="auto" w:sz="4" w:space="0"/>
              <w:right w:val="single" w:color="auto" w:sz="4" w:space="0"/>
            </w:tcBorders>
          </w:tcPr>
          <w:p w:rsidRPr="009A603F" w:rsidR="008D0800" w:rsidP="00266A9B" w:rsidRDefault="005E66CC" w14:paraId="5CF91E34" w14:textId="1AF0E2B4">
            <w:pPr>
              <w:pStyle w:val="NormalinTable"/>
            </w:pPr>
            <w:r>
              <w:t>NonExempt-EE-Gas-</w:t>
            </w:r>
            <w:r w:rsidR="00EC77D3">
              <w:t>New</w:t>
            </w:r>
          </w:p>
        </w:tc>
        <w:tc>
          <w:tcPr>
            <w:tcW w:w="6030" w:type="dxa"/>
            <w:tcBorders>
              <w:top w:val="single" w:color="auto" w:sz="4" w:space="0"/>
              <w:left w:val="single" w:color="auto" w:sz="4" w:space="0"/>
              <w:bottom w:val="single" w:color="auto" w:sz="4" w:space="0"/>
              <w:right w:val="single" w:color="auto" w:sz="4" w:space="0"/>
            </w:tcBorders>
          </w:tcPr>
          <w:p w:rsidR="008D0800" w:rsidP="00266A9B" w:rsidRDefault="006C24F6" w14:paraId="5C08A4E1" w14:textId="2AD50A51">
            <w:pPr>
              <w:pStyle w:val="NormalinTable"/>
            </w:pPr>
            <w:r>
              <w:t xml:space="preserve">Energy efficiency measure that burns natural gas </w:t>
            </w:r>
            <w:r w:rsidR="000510D9">
              <w:t xml:space="preserve">at a </w:t>
            </w:r>
            <w:r w:rsidR="00E71074">
              <w:t xml:space="preserve">new agricultural or industrial </w:t>
            </w:r>
            <w:r w:rsidR="00A2136F">
              <w:t>building</w:t>
            </w:r>
          </w:p>
        </w:tc>
      </w:tr>
      <w:tr w:rsidRPr="009A603F" w:rsidR="00266A9B" w:rsidTr="00AB1A38" w14:paraId="4F258960" w14:textId="77777777">
        <w:trPr>
          <w:cantSplit/>
        </w:trPr>
        <w:tc>
          <w:tcPr>
            <w:tcW w:w="3505" w:type="dxa"/>
            <w:tcBorders>
              <w:top w:val="single" w:color="auto" w:sz="4" w:space="0"/>
              <w:left w:val="single" w:color="auto" w:sz="4" w:space="0"/>
              <w:bottom w:val="single" w:color="auto" w:sz="4" w:space="0"/>
              <w:right w:val="single" w:color="auto" w:sz="4" w:space="0"/>
            </w:tcBorders>
          </w:tcPr>
          <w:p w:rsidR="00266A9B" w:rsidP="00266A9B" w:rsidRDefault="00266A9B" w14:paraId="42C17799" w14:textId="2D0C9A64">
            <w:pPr>
              <w:pStyle w:val="NormalinTable"/>
            </w:pPr>
            <w:r w:rsidRPr="009A603F">
              <w:t>NonExempt-</w:t>
            </w:r>
            <w:r>
              <w:t>EE-</w:t>
            </w:r>
            <w:r w:rsidRPr="009A603F">
              <w:t>Gas-</w:t>
            </w:r>
            <w:r>
              <w:t>NoVEA-New</w:t>
            </w:r>
          </w:p>
        </w:tc>
        <w:tc>
          <w:tcPr>
            <w:tcW w:w="6030" w:type="dxa"/>
            <w:tcBorders>
              <w:top w:val="single" w:color="auto" w:sz="4" w:space="0"/>
              <w:left w:val="single" w:color="auto" w:sz="4" w:space="0"/>
              <w:bottom w:val="single" w:color="auto" w:sz="4" w:space="0"/>
              <w:right w:val="single" w:color="auto" w:sz="4" w:space="0"/>
            </w:tcBorders>
          </w:tcPr>
          <w:p w:rsidRPr="009A603F" w:rsidR="00266A9B" w:rsidP="00266A9B" w:rsidRDefault="00266A9B" w14:paraId="1316075F" w14:textId="0E7CBA3F">
            <w:pPr>
              <w:pStyle w:val="NormalinTable"/>
            </w:pPr>
            <w:r>
              <w:t>Energy efficiency measure</w:t>
            </w:r>
            <w:r w:rsidRPr="009A603F">
              <w:t xml:space="preserve"> that </w:t>
            </w:r>
            <w:r>
              <w:t>burns</w:t>
            </w:r>
            <w:r w:rsidRPr="009A603F">
              <w:t xml:space="preserve"> natural gas </w:t>
            </w:r>
            <w:r>
              <w:t xml:space="preserve">and has no viable electric alternative </w:t>
            </w:r>
            <w:r w:rsidR="005F776E">
              <w:t>at</w:t>
            </w:r>
            <w:r>
              <w:t xml:space="preserve"> a new building</w:t>
            </w:r>
          </w:p>
        </w:tc>
      </w:tr>
      <w:tr w:rsidRPr="009A603F" w:rsidR="009A603F" w:rsidTr="00AB1A38" w14:paraId="39F81089" w14:textId="77777777">
        <w:trPr>
          <w:cantSplit/>
        </w:trPr>
        <w:tc>
          <w:tcPr>
            <w:tcW w:w="3505" w:type="dxa"/>
            <w:tcBorders>
              <w:top w:val="single" w:color="auto" w:sz="4" w:space="0"/>
              <w:left w:val="single" w:color="auto" w:sz="4" w:space="0"/>
              <w:bottom w:val="single" w:color="auto" w:sz="4" w:space="0"/>
              <w:right w:val="single" w:color="auto" w:sz="4" w:space="0"/>
            </w:tcBorders>
          </w:tcPr>
          <w:p w:rsidRPr="009A603F" w:rsidR="009A603F" w:rsidP="007B5C0A" w:rsidRDefault="00E126C5" w14:paraId="7244C207" w14:textId="3E243684">
            <w:pPr>
              <w:pStyle w:val="NormalinTable"/>
            </w:pPr>
            <w:r>
              <w:t>NonExempt-</w:t>
            </w:r>
            <w:r w:rsidRPr="009A603F" w:rsidR="009A603F">
              <w:t>FuelSub-ToGas</w:t>
            </w:r>
            <w:r w:rsidR="00D619F7">
              <w:t>-Ex</w:t>
            </w:r>
          </w:p>
        </w:tc>
        <w:tc>
          <w:tcPr>
            <w:tcW w:w="6030" w:type="dxa"/>
            <w:tcBorders>
              <w:top w:val="single" w:color="auto" w:sz="4" w:space="0"/>
              <w:left w:val="single" w:color="auto" w:sz="4" w:space="0"/>
              <w:bottom w:val="single" w:color="auto" w:sz="4" w:space="0"/>
              <w:right w:val="single" w:color="auto" w:sz="4" w:space="0"/>
            </w:tcBorders>
          </w:tcPr>
          <w:p w:rsidRPr="009A603F" w:rsidR="009A603F" w:rsidP="007B5C0A" w:rsidRDefault="009A603F" w14:paraId="52D46A1F" w14:textId="6778435C">
            <w:pPr>
              <w:pStyle w:val="NormalinTable"/>
            </w:pPr>
            <w:r w:rsidRPr="009A603F">
              <w:t>Fuel substitution measure that replaces electric-only equipment with natural gas-burning equipment</w:t>
            </w:r>
          </w:p>
        </w:tc>
      </w:tr>
    </w:tbl>
    <w:p w:rsidRPr="009A603F" w:rsidR="00BB2AEA" w:rsidP="009A603F" w:rsidRDefault="00BB2AEA" w14:paraId="7B98F0EF" w14:textId="77777777"/>
    <w:p w:rsidRPr="0007406B" w:rsidR="009A603F" w:rsidP="009A603F" w:rsidRDefault="009A603F" w14:paraId="4192029B" w14:textId="54EC85A9">
      <w:r w:rsidRPr="009A603F">
        <w:t xml:space="preserve">A given measure package will usually contain only one </w:t>
      </w:r>
      <w:r w:rsidRPr="009A603F">
        <w:rPr>
          <w:i/>
          <w:iCs/>
        </w:rPr>
        <w:t>FuelID</w:t>
      </w:r>
      <w:r w:rsidRPr="009A603F">
        <w:t xml:space="preserve">, but some may contain multiple </w:t>
      </w:r>
      <w:r w:rsidRPr="009A603F">
        <w:rPr>
          <w:i/>
          <w:iCs/>
        </w:rPr>
        <w:t>FuelID</w:t>
      </w:r>
      <w:r w:rsidRPr="009A603F">
        <w:t>s</w:t>
      </w:r>
      <w:r w:rsidR="00204A69">
        <w:t xml:space="preserve"> (e.g. a measure package with electric and </w:t>
      </w:r>
      <w:r w:rsidR="007D773E">
        <w:t xml:space="preserve">natural </w:t>
      </w:r>
      <w:r w:rsidR="00204A69">
        <w:t>gas</w:t>
      </w:r>
      <w:r w:rsidR="00287780">
        <w:t>-burning</w:t>
      </w:r>
      <w:r w:rsidR="00204A69">
        <w:t xml:space="preserve"> offerings)</w:t>
      </w:r>
      <w:r w:rsidRPr="009A603F">
        <w:t xml:space="preserve">. </w:t>
      </w:r>
      <w:r w:rsidR="007C4F2F">
        <w:t xml:space="preserve">A given </w:t>
      </w:r>
      <w:r w:rsidR="00706644">
        <w:t xml:space="preserve">permutation, however, will only contain one </w:t>
      </w:r>
      <w:r w:rsidR="00706644">
        <w:rPr>
          <w:i/>
          <w:iCs/>
        </w:rPr>
        <w:t>FuelID</w:t>
      </w:r>
      <w:r w:rsidR="0007406B">
        <w:t>.</w:t>
      </w:r>
    </w:p>
    <w:p w:rsidRPr="009A603F" w:rsidR="009A603F" w:rsidP="00A106FF" w:rsidRDefault="00F03B95" w14:paraId="197ADB90" w14:textId="14D755CB">
      <w:pPr>
        <w:pStyle w:val="Heading3"/>
      </w:pPr>
      <w:bookmarkStart w:name="_Toc185271175" w:id="79"/>
      <w:r>
        <w:lastRenderedPageBreak/>
        <w:t xml:space="preserve">(E.3) </w:t>
      </w:r>
      <w:r w:rsidR="00B05023">
        <w:t>Locking</w:t>
      </w:r>
      <w:r w:rsidRPr="009A603F" w:rsidR="00B05023">
        <w:t xml:space="preserve"> </w:t>
      </w:r>
      <w:r w:rsidRPr="009A603F" w:rsidR="009A603F">
        <w:t>Measure and Energy Impact Table</w:t>
      </w:r>
      <w:r w:rsidR="001C52B7">
        <w:t>s</w:t>
      </w:r>
      <w:bookmarkEnd w:id="79"/>
    </w:p>
    <w:p w:rsidRPr="009A603F" w:rsidR="009A603F" w:rsidP="009A603F" w:rsidRDefault="009A603F" w14:paraId="1945E254" w14:textId="6BAB58BF">
      <w:r w:rsidRPr="009A603F">
        <w:rPr>
          <w:u w:val="single"/>
        </w:rPr>
        <w:t>Effective Program Year: 2026.</w:t>
      </w:r>
      <w:r w:rsidRPr="009A603F">
        <w:t xml:space="preserve"> CPUC staff plans to </w:t>
      </w:r>
      <w:r w:rsidR="00B05023">
        <w:t>lock down</w:t>
      </w:r>
      <w:r w:rsidRPr="009A603F" w:rsidR="00B05023">
        <w:t xml:space="preserve"> </w:t>
      </w:r>
      <w:r w:rsidRPr="009A603F">
        <w:t>these tables in the DEER database. New records will no longer be added to either the “Measure” table or the “EnergyImpact” table. The eTRM will be the only repository for deemed measure package offering permutations and their respective unit energy savings values and their unit energy consumption values (both end-use, only, and whole building). CEDARS Reporting will no longer test the MeasureIDs in the DEER database</w:t>
      </w:r>
      <w:r w:rsidR="00DD7DEA">
        <w:t xml:space="preserve"> and</w:t>
      </w:r>
      <w:r w:rsidRPr="009A603F">
        <w:t xml:space="preserve"> will rely solely on the eTRM’s Measure Detail ID to validate claims.</w:t>
      </w:r>
    </w:p>
    <w:p w:rsidRPr="009A603F" w:rsidR="009A603F" w:rsidP="00A106FF" w:rsidRDefault="00F03B95" w14:paraId="29088124" w14:textId="27789A37">
      <w:pPr>
        <w:pStyle w:val="Heading3"/>
      </w:pPr>
      <w:bookmarkStart w:name="_Toc185271176" w:id="80"/>
      <w:r>
        <w:t xml:space="preserve">(E.4) </w:t>
      </w:r>
      <w:r w:rsidRPr="009A603F" w:rsidR="009A603F">
        <w:t>Field</w:t>
      </w:r>
      <w:r w:rsidR="007846CB">
        <w:t xml:space="preserve"> Changes to the </w:t>
      </w:r>
      <w:r w:rsidRPr="009A603F" w:rsidR="009A603F">
        <w:t>TechType Table</w:t>
      </w:r>
      <w:bookmarkEnd w:id="80"/>
    </w:p>
    <w:p w:rsidRPr="009A603F" w:rsidR="009A603F" w:rsidP="009A603F" w:rsidRDefault="009A603F" w14:paraId="464F06A3" w14:textId="31A0AB0C">
      <w:r w:rsidRPr="009A603F">
        <w:rPr>
          <w:u w:val="single"/>
        </w:rPr>
        <w:t>Effective Program Year: 2024.</w:t>
      </w:r>
      <w:r w:rsidRPr="009A603F">
        <w:t xml:space="preserve"> Several fields were added to the TechType table to support D.23-04-035 as shown in </w:t>
      </w:r>
      <w:r w:rsidRPr="009A603F">
        <w:fldChar w:fldCharType="begin"/>
      </w:r>
      <w:r w:rsidRPr="009A603F">
        <w:instrText xml:space="preserve"> REF _Ref161085347 \h </w:instrText>
      </w:r>
      <w:r w:rsidRPr="009A603F">
        <w:fldChar w:fldCharType="separate"/>
      </w:r>
      <w:r w:rsidRPr="009A603F" w:rsidR="00E812F0">
        <w:t xml:space="preserve">Table </w:t>
      </w:r>
      <w:r w:rsidRPr="00FE0D55" w:rsidR="00E812F0">
        <w:rPr>
          <w:webHidden/>
        </w:rPr>
        <w:t>A-</w:t>
      </w:r>
      <w:r w:rsidR="00E812F0">
        <w:rPr>
          <w:noProof/>
        </w:rPr>
        <w:t>1</w:t>
      </w:r>
      <w:r w:rsidRPr="009A603F" w:rsidR="00E812F0">
        <w:noBreakHyphen/>
      </w:r>
      <w:r w:rsidR="00E812F0">
        <w:rPr>
          <w:noProof/>
        </w:rPr>
        <w:t>12</w:t>
      </w:r>
      <w:r w:rsidRPr="009A603F">
        <w:fldChar w:fldCharType="end"/>
      </w:r>
      <w:r w:rsidRPr="009A603F">
        <w:t>.</w:t>
      </w:r>
      <w:r w:rsidR="00BB2813">
        <w:t xml:space="preserve"> </w:t>
      </w:r>
      <w:r w:rsidR="00617520">
        <w:t>These new fields should be added</w:t>
      </w:r>
      <w:r w:rsidR="00977FEC">
        <w:t xml:space="preserve"> to the corresponding CPUC Support Table</w:t>
      </w:r>
      <w:r w:rsidR="00DF6B69">
        <w:t xml:space="preserve"> in the eTRM</w:t>
      </w:r>
      <w:r w:rsidR="00A36BE7">
        <w:t xml:space="preserve"> </w:t>
      </w:r>
      <w:r w:rsidR="006E1EE1">
        <w:t>for transparency</w:t>
      </w:r>
      <w:r w:rsidR="00AB39F7">
        <w:t xml:space="preserve">, </w:t>
      </w:r>
      <w:r w:rsidR="00507CB1">
        <w:t xml:space="preserve">but </w:t>
      </w:r>
      <w:r w:rsidR="00AB39F7">
        <w:t xml:space="preserve">do not need to be </w:t>
      </w:r>
      <w:r w:rsidR="007A5C7F">
        <w:t>added to</w:t>
      </w:r>
      <w:r w:rsidR="00FA5809">
        <w:t xml:space="preserve"> </w:t>
      </w:r>
      <w:r w:rsidR="00B105F2">
        <w:t>permutations at this time.</w:t>
      </w:r>
      <w:r w:rsidR="3C4BBB93">
        <w:t xml:space="preserve">  New fields may be needed to indicate if a measure has a viable electric </w:t>
      </w:r>
      <w:r w:rsidR="731FA94F">
        <w:t>alternative (VEA) or is exempt from the rules.  Policy on VEA is currently being developed.</w:t>
      </w:r>
    </w:p>
    <w:p w:rsidRPr="009A603F" w:rsidR="009A603F" w:rsidP="00A106FF" w:rsidRDefault="009A603F" w14:paraId="60BE7CC5" w14:textId="08DD915C">
      <w:pPr>
        <w:pStyle w:val="Caption"/>
      </w:pPr>
      <w:bookmarkStart w:name="_Ref161085347" w:id="81"/>
      <w:bookmarkStart w:name="_Toc185273163" w:id="82"/>
      <w:r w:rsidRPr="009A603F">
        <w:t xml:space="preserve">Table </w:t>
      </w:r>
      <w:r w:rsidRPr="00FE0D55" w:rsidR="00FE0D55">
        <w:rPr>
          <w:webHidden/>
        </w:rPr>
        <w:t>A-</w:t>
      </w:r>
      <w:r>
        <w:fldChar w:fldCharType="begin"/>
      </w:r>
      <w:r>
        <w:instrText>STYLEREF 1 \s</w:instrText>
      </w:r>
      <w:r>
        <w:fldChar w:fldCharType="separate"/>
      </w:r>
      <w:r w:rsidR="00E812F0">
        <w:rPr>
          <w:noProof/>
        </w:rPr>
        <w:t>1</w:t>
      </w:r>
      <w:r>
        <w:fldChar w:fldCharType="end"/>
      </w:r>
      <w:r w:rsidRPr="009A603F">
        <w:noBreakHyphen/>
      </w:r>
      <w:r>
        <w:fldChar w:fldCharType="begin"/>
      </w:r>
      <w:r>
        <w:instrText>SEQ Table \* ARABIC \s 1</w:instrText>
      </w:r>
      <w:r>
        <w:fldChar w:fldCharType="separate"/>
      </w:r>
      <w:r w:rsidR="00E812F0">
        <w:rPr>
          <w:noProof/>
        </w:rPr>
        <w:t>12</w:t>
      </w:r>
      <w:r>
        <w:fldChar w:fldCharType="end"/>
      </w:r>
      <w:bookmarkEnd w:id="81"/>
      <w:r w:rsidRPr="009A603F">
        <w:t xml:space="preserve">. </w:t>
      </w:r>
      <w:r w:rsidR="00313858">
        <w:t>Modifications</w:t>
      </w:r>
      <w:r w:rsidRPr="009A603F">
        <w:t xml:space="preserve"> to TechType Table</w:t>
      </w:r>
      <w:bookmarkEnd w:id="82"/>
    </w:p>
    <w:tbl>
      <w:tblPr>
        <w:tblW w:w="940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bottom w:w="14" w:type="dxa"/>
          <w:right w:w="158" w:type="dxa"/>
        </w:tblCellMar>
        <w:tblLook w:val="04A0" w:firstRow="1" w:lastRow="0" w:firstColumn="1" w:lastColumn="0" w:noHBand="0" w:noVBand="1"/>
      </w:tblPr>
      <w:tblGrid>
        <w:gridCol w:w="2065"/>
        <w:gridCol w:w="1296"/>
        <w:gridCol w:w="6048"/>
      </w:tblGrid>
      <w:tr w:rsidRPr="009A603F" w:rsidR="00163D26" w:rsidTr="008C6788" w14:paraId="7B96B9C1" w14:textId="77777777">
        <w:trPr>
          <w:trHeight w:val="144"/>
          <w:tblHeader/>
        </w:trPr>
        <w:tc>
          <w:tcPr>
            <w:tcW w:w="2065" w:type="dxa"/>
            <w:tcBorders>
              <w:top w:val="single" w:color="auto" w:sz="4" w:space="0"/>
              <w:left w:val="single" w:color="auto" w:sz="4" w:space="0"/>
              <w:bottom w:val="single" w:color="auto" w:sz="4" w:space="0"/>
              <w:right w:val="single" w:color="auto" w:sz="4" w:space="0"/>
            </w:tcBorders>
            <w:vAlign w:val="bottom"/>
          </w:tcPr>
          <w:p w:rsidRPr="009A603F" w:rsidR="00163D26" w:rsidP="00780814" w:rsidRDefault="00163D26" w14:paraId="06C57E71" w14:textId="77777777">
            <w:pPr>
              <w:pStyle w:val="NormalinTable"/>
              <w:keepNext/>
            </w:pPr>
            <w:r w:rsidRPr="009A603F">
              <w:t>Fieldname</w:t>
            </w:r>
          </w:p>
        </w:tc>
        <w:tc>
          <w:tcPr>
            <w:tcW w:w="1296" w:type="dxa"/>
            <w:tcBorders>
              <w:top w:val="single" w:color="auto" w:sz="4" w:space="0"/>
              <w:left w:val="single" w:color="auto" w:sz="4" w:space="0"/>
              <w:bottom w:val="single" w:color="auto" w:sz="4" w:space="0"/>
              <w:right w:val="single" w:color="auto" w:sz="4" w:space="0"/>
            </w:tcBorders>
            <w:vAlign w:val="center"/>
          </w:tcPr>
          <w:p w:rsidRPr="009A603F" w:rsidR="00163D26" w:rsidP="00163D26" w:rsidRDefault="00163D26" w14:paraId="2025EC9E" w14:textId="7226F6BD">
            <w:pPr>
              <w:pStyle w:val="NormalinTable"/>
              <w:keepNext/>
            </w:pPr>
            <w:r>
              <w:t>Status</w:t>
            </w:r>
          </w:p>
        </w:tc>
        <w:tc>
          <w:tcPr>
            <w:tcW w:w="6048" w:type="dxa"/>
            <w:tcBorders>
              <w:top w:val="single" w:color="auto" w:sz="4" w:space="0"/>
              <w:left w:val="single" w:color="auto" w:sz="4" w:space="0"/>
              <w:bottom w:val="single" w:color="auto" w:sz="4" w:space="0"/>
              <w:right w:val="single" w:color="auto" w:sz="4" w:space="0"/>
            </w:tcBorders>
            <w:vAlign w:val="bottom"/>
          </w:tcPr>
          <w:p w:rsidRPr="009A603F" w:rsidR="00163D26" w:rsidP="00780814" w:rsidRDefault="00163D26" w14:paraId="6190659A" w14:textId="03CB0FB3">
            <w:pPr>
              <w:pStyle w:val="NormalinTable"/>
              <w:keepNext/>
            </w:pPr>
            <w:r w:rsidRPr="009A603F">
              <w:t>Description</w:t>
            </w:r>
          </w:p>
        </w:tc>
      </w:tr>
      <w:tr w:rsidRPr="009A603F" w:rsidR="00163D26" w:rsidTr="008C6788" w14:paraId="5B2CE643" w14:textId="77777777">
        <w:trPr>
          <w:trHeight w:val="144"/>
        </w:trPr>
        <w:tc>
          <w:tcPr>
            <w:tcW w:w="2065" w:type="dxa"/>
            <w:tcBorders>
              <w:top w:val="single" w:color="auto" w:sz="4" w:space="0"/>
              <w:left w:val="single" w:color="auto" w:sz="4" w:space="0"/>
              <w:bottom w:val="single" w:color="auto" w:sz="4" w:space="0"/>
              <w:right w:val="single" w:color="auto" w:sz="4" w:space="0"/>
            </w:tcBorders>
          </w:tcPr>
          <w:p w:rsidRPr="009A603F" w:rsidR="00163D26" w:rsidP="009D2735" w:rsidRDefault="00163D26" w14:paraId="60612822" w14:textId="77777777">
            <w:pPr>
              <w:pStyle w:val="NormalinTable"/>
            </w:pPr>
            <w:r w:rsidRPr="009A603F">
              <w:t>IsExempt</w:t>
            </w:r>
          </w:p>
        </w:tc>
        <w:tc>
          <w:tcPr>
            <w:tcW w:w="1296" w:type="dxa"/>
            <w:tcBorders>
              <w:top w:val="single" w:color="auto" w:sz="4" w:space="0"/>
              <w:left w:val="single" w:color="auto" w:sz="4" w:space="0"/>
              <w:bottom w:val="single" w:color="auto" w:sz="4" w:space="0"/>
              <w:right w:val="single" w:color="auto" w:sz="4" w:space="0"/>
            </w:tcBorders>
          </w:tcPr>
          <w:p w:rsidRPr="009A603F" w:rsidR="00163D26" w:rsidP="00F17E6B" w:rsidRDefault="00C244BB" w14:paraId="3B47348C" w14:textId="718D85C5">
            <w:pPr>
              <w:pStyle w:val="NormalinTable"/>
            </w:pPr>
            <w:r>
              <w:t>Added</w:t>
            </w:r>
          </w:p>
        </w:tc>
        <w:tc>
          <w:tcPr>
            <w:tcW w:w="6048" w:type="dxa"/>
            <w:tcBorders>
              <w:top w:val="single" w:color="auto" w:sz="4" w:space="0"/>
              <w:left w:val="single" w:color="auto" w:sz="4" w:space="0"/>
              <w:bottom w:val="single" w:color="auto" w:sz="4" w:space="0"/>
              <w:right w:val="single" w:color="auto" w:sz="4" w:space="0"/>
            </w:tcBorders>
          </w:tcPr>
          <w:p w:rsidRPr="009A603F" w:rsidR="00163D26" w:rsidP="009D2735" w:rsidRDefault="00163D26" w14:paraId="0A4D867C" w14:textId="1BE5003F">
            <w:pPr>
              <w:pStyle w:val="NormalinTable"/>
            </w:pPr>
            <w:r w:rsidRPr="009A603F">
              <w:t>Boolean field to indicate if a given TechType is an exempt measure</w:t>
            </w:r>
          </w:p>
        </w:tc>
      </w:tr>
      <w:tr w:rsidRPr="009A603F" w:rsidR="00C244BB" w:rsidTr="008C6788" w14:paraId="6B68C037" w14:textId="77777777">
        <w:trPr>
          <w:trHeight w:val="144"/>
        </w:trPr>
        <w:tc>
          <w:tcPr>
            <w:tcW w:w="2065" w:type="dxa"/>
            <w:tcBorders>
              <w:top w:val="single" w:color="auto" w:sz="4" w:space="0"/>
              <w:left w:val="single" w:color="auto" w:sz="4" w:space="0"/>
              <w:bottom w:val="single" w:color="auto" w:sz="4" w:space="0"/>
              <w:right w:val="single" w:color="auto" w:sz="4" w:space="0"/>
            </w:tcBorders>
          </w:tcPr>
          <w:p w:rsidRPr="009A603F" w:rsidR="00C244BB" w:rsidP="00C244BB" w:rsidRDefault="00C244BB" w14:paraId="648A806A" w14:textId="4DD1F49B">
            <w:pPr>
              <w:pStyle w:val="NormalinTable"/>
            </w:pPr>
            <w:r w:rsidRPr="009A603F">
              <w:t>HasElecAlt</w:t>
            </w:r>
          </w:p>
        </w:tc>
        <w:tc>
          <w:tcPr>
            <w:tcW w:w="1296" w:type="dxa"/>
            <w:tcBorders>
              <w:top w:val="single" w:color="auto" w:sz="4" w:space="0"/>
              <w:left w:val="single" w:color="auto" w:sz="4" w:space="0"/>
              <w:bottom w:val="single" w:color="auto" w:sz="4" w:space="0"/>
              <w:right w:val="single" w:color="auto" w:sz="4" w:space="0"/>
            </w:tcBorders>
          </w:tcPr>
          <w:p w:rsidRPr="009A603F" w:rsidR="00C244BB" w:rsidP="00C244BB" w:rsidRDefault="00C244BB" w14:paraId="2EE02154" w14:textId="5B89E9CB">
            <w:pPr>
              <w:pStyle w:val="NormalinTable"/>
            </w:pPr>
            <w:r>
              <w:t>Added</w:t>
            </w:r>
          </w:p>
        </w:tc>
        <w:tc>
          <w:tcPr>
            <w:tcW w:w="6048" w:type="dxa"/>
            <w:tcBorders>
              <w:top w:val="single" w:color="auto" w:sz="4" w:space="0"/>
              <w:left w:val="single" w:color="auto" w:sz="4" w:space="0"/>
              <w:bottom w:val="single" w:color="auto" w:sz="4" w:space="0"/>
              <w:right w:val="single" w:color="auto" w:sz="4" w:space="0"/>
            </w:tcBorders>
          </w:tcPr>
          <w:p w:rsidRPr="009A603F" w:rsidR="00C244BB" w:rsidP="00C244BB" w:rsidRDefault="00C244BB" w14:paraId="306D47D0" w14:textId="0AA1B1DB">
            <w:pPr>
              <w:pStyle w:val="NormalinTable"/>
            </w:pPr>
            <w:r w:rsidRPr="009A603F">
              <w:t xml:space="preserve">Boolean field to indicate if a given </w:t>
            </w:r>
            <w:r>
              <w:t xml:space="preserve">gas-fueled </w:t>
            </w:r>
            <w:r w:rsidRPr="009A603F">
              <w:t>TechType has a</w:t>
            </w:r>
            <w:r>
              <w:t>n</w:t>
            </w:r>
            <w:r w:rsidRPr="009A603F">
              <w:t xml:space="preserve"> electric alternative</w:t>
            </w:r>
          </w:p>
        </w:tc>
      </w:tr>
      <w:tr w:rsidRPr="009A603F" w:rsidR="00C244BB" w:rsidTr="008C6788" w14:paraId="2290D98F" w14:textId="77777777">
        <w:trPr>
          <w:trHeight w:val="144"/>
        </w:trPr>
        <w:tc>
          <w:tcPr>
            <w:tcW w:w="2065" w:type="dxa"/>
            <w:tcBorders>
              <w:top w:val="single" w:color="auto" w:sz="4" w:space="0"/>
              <w:left w:val="single" w:color="auto" w:sz="4" w:space="0"/>
              <w:bottom w:val="single" w:color="auto" w:sz="4" w:space="0"/>
              <w:right w:val="single" w:color="auto" w:sz="4" w:space="0"/>
            </w:tcBorders>
          </w:tcPr>
          <w:p w:rsidRPr="009A603F" w:rsidR="00C244BB" w:rsidP="00C244BB" w:rsidRDefault="00C244BB" w14:paraId="2CA2ED07" w14:textId="77777777">
            <w:pPr>
              <w:pStyle w:val="NormalinTable"/>
            </w:pPr>
            <w:r w:rsidRPr="009A603F">
              <w:t>HasRefrigerant</w:t>
            </w:r>
          </w:p>
        </w:tc>
        <w:tc>
          <w:tcPr>
            <w:tcW w:w="1296" w:type="dxa"/>
            <w:tcBorders>
              <w:top w:val="single" w:color="auto" w:sz="4" w:space="0"/>
              <w:left w:val="single" w:color="auto" w:sz="4" w:space="0"/>
              <w:bottom w:val="single" w:color="auto" w:sz="4" w:space="0"/>
              <w:right w:val="single" w:color="auto" w:sz="4" w:space="0"/>
            </w:tcBorders>
          </w:tcPr>
          <w:p w:rsidRPr="009A603F" w:rsidR="00C244BB" w:rsidP="00C244BB" w:rsidRDefault="00C244BB" w14:paraId="322DFF3F" w14:textId="2E0C6DD3">
            <w:pPr>
              <w:pStyle w:val="NormalinTable"/>
            </w:pPr>
            <w:r>
              <w:t>Added</w:t>
            </w:r>
          </w:p>
        </w:tc>
        <w:tc>
          <w:tcPr>
            <w:tcW w:w="6048" w:type="dxa"/>
            <w:tcBorders>
              <w:top w:val="single" w:color="auto" w:sz="4" w:space="0"/>
              <w:left w:val="single" w:color="auto" w:sz="4" w:space="0"/>
              <w:bottom w:val="single" w:color="auto" w:sz="4" w:space="0"/>
              <w:right w:val="single" w:color="auto" w:sz="4" w:space="0"/>
            </w:tcBorders>
          </w:tcPr>
          <w:p w:rsidRPr="009A603F" w:rsidR="00C244BB" w:rsidP="00C244BB" w:rsidRDefault="00C244BB" w14:paraId="016BE084" w14:textId="13B8C36E">
            <w:pPr>
              <w:pStyle w:val="NormalinTable"/>
            </w:pPr>
            <w:r w:rsidRPr="009A603F">
              <w:t>Boolean field to indicate if a given TechType contains refrigerant</w:t>
            </w:r>
          </w:p>
        </w:tc>
      </w:tr>
      <w:tr w:rsidRPr="009A603F" w:rsidR="00C244BB" w:rsidTr="008C6788" w14:paraId="615EDBD4" w14:textId="77777777">
        <w:trPr>
          <w:trHeight w:val="144"/>
        </w:trPr>
        <w:tc>
          <w:tcPr>
            <w:tcW w:w="2065" w:type="dxa"/>
            <w:tcBorders>
              <w:top w:val="single" w:color="auto" w:sz="4" w:space="0"/>
              <w:left w:val="single" w:color="auto" w:sz="4" w:space="0"/>
              <w:bottom w:val="single" w:color="auto" w:sz="4" w:space="0"/>
              <w:right w:val="single" w:color="auto" w:sz="4" w:space="0"/>
            </w:tcBorders>
          </w:tcPr>
          <w:p w:rsidRPr="009A603F" w:rsidR="00C244BB" w:rsidP="00C244BB" w:rsidRDefault="00C244BB" w14:paraId="29F6FFDE" w14:textId="7830E656">
            <w:pPr>
              <w:pStyle w:val="NormalinTable"/>
            </w:pPr>
            <w:r w:rsidRPr="009A603F">
              <w:t>HasRefrigerantAlt</w:t>
            </w:r>
          </w:p>
        </w:tc>
        <w:tc>
          <w:tcPr>
            <w:tcW w:w="1296" w:type="dxa"/>
            <w:tcBorders>
              <w:top w:val="single" w:color="auto" w:sz="4" w:space="0"/>
              <w:left w:val="single" w:color="auto" w:sz="4" w:space="0"/>
              <w:bottom w:val="single" w:color="auto" w:sz="4" w:space="0"/>
              <w:right w:val="single" w:color="auto" w:sz="4" w:space="0"/>
            </w:tcBorders>
          </w:tcPr>
          <w:p w:rsidRPr="009A603F" w:rsidR="00C244BB" w:rsidP="00C244BB" w:rsidRDefault="00C244BB" w14:paraId="262DDCB7" w14:textId="396376B1">
            <w:pPr>
              <w:pStyle w:val="NormalinTable"/>
            </w:pPr>
            <w:r>
              <w:t>Added</w:t>
            </w:r>
          </w:p>
        </w:tc>
        <w:tc>
          <w:tcPr>
            <w:tcW w:w="6048" w:type="dxa"/>
            <w:tcBorders>
              <w:top w:val="single" w:color="auto" w:sz="4" w:space="0"/>
              <w:left w:val="single" w:color="auto" w:sz="4" w:space="0"/>
              <w:bottom w:val="single" w:color="auto" w:sz="4" w:space="0"/>
              <w:right w:val="single" w:color="auto" w:sz="4" w:space="0"/>
            </w:tcBorders>
          </w:tcPr>
          <w:p w:rsidRPr="009A603F" w:rsidR="00C244BB" w:rsidP="00C244BB" w:rsidRDefault="00C244BB" w14:paraId="03C2C07B" w14:textId="17CCC853">
            <w:pPr>
              <w:pStyle w:val="NormalinTable"/>
            </w:pPr>
            <w:r w:rsidRPr="009A603F">
              <w:t xml:space="preserve">Boolean field to indicate if a given </w:t>
            </w:r>
            <w:r>
              <w:t xml:space="preserve">electric </w:t>
            </w:r>
            <w:r w:rsidRPr="009A603F">
              <w:t>TechType has a viable electric alternative that contains refrigerant (e.g., electric-resistance clothes dryer)</w:t>
            </w:r>
          </w:p>
        </w:tc>
      </w:tr>
      <w:tr w:rsidRPr="009A603F" w:rsidR="002F6D4A" w:rsidTr="008C6788" w14:paraId="69B7FD60" w14:textId="77777777">
        <w:trPr>
          <w:trHeight w:val="144"/>
        </w:trPr>
        <w:tc>
          <w:tcPr>
            <w:tcW w:w="2065" w:type="dxa"/>
            <w:tcBorders>
              <w:top w:val="single" w:color="auto" w:sz="4" w:space="0"/>
              <w:left w:val="single" w:color="auto" w:sz="4" w:space="0"/>
              <w:bottom w:val="single" w:color="auto" w:sz="4" w:space="0"/>
              <w:right w:val="single" w:color="auto" w:sz="4" w:space="0"/>
            </w:tcBorders>
          </w:tcPr>
          <w:p w:rsidRPr="009A603F" w:rsidR="00C244BB" w:rsidP="00C244BB" w:rsidRDefault="00C244BB" w14:paraId="1534C8A7" w14:textId="44AFED0F">
            <w:pPr>
              <w:pStyle w:val="NormalinTable"/>
            </w:pPr>
            <w:r>
              <w:t>UsesElec</w:t>
            </w:r>
          </w:p>
        </w:tc>
        <w:tc>
          <w:tcPr>
            <w:tcW w:w="1296" w:type="dxa"/>
            <w:tcBorders>
              <w:top w:val="single" w:color="auto" w:sz="4" w:space="0"/>
              <w:left w:val="single" w:color="auto" w:sz="4" w:space="0"/>
              <w:bottom w:val="single" w:color="auto" w:sz="4" w:space="0"/>
              <w:right w:val="single" w:color="auto" w:sz="4" w:space="0"/>
            </w:tcBorders>
          </w:tcPr>
          <w:p w:rsidR="00C244BB" w:rsidP="00C244BB" w:rsidRDefault="00C244BB" w14:paraId="7C852444" w14:textId="54C2202F">
            <w:pPr>
              <w:pStyle w:val="NormalinTable"/>
            </w:pPr>
            <w:r>
              <w:t>Added</w:t>
            </w:r>
          </w:p>
        </w:tc>
        <w:tc>
          <w:tcPr>
            <w:tcW w:w="6048" w:type="dxa"/>
            <w:tcBorders>
              <w:top w:val="single" w:color="auto" w:sz="4" w:space="0"/>
              <w:left w:val="single" w:color="auto" w:sz="4" w:space="0"/>
              <w:bottom w:val="single" w:color="auto" w:sz="4" w:space="0"/>
              <w:right w:val="single" w:color="auto" w:sz="4" w:space="0"/>
            </w:tcBorders>
          </w:tcPr>
          <w:p w:rsidRPr="009A603F" w:rsidR="00C244BB" w:rsidP="00C244BB" w:rsidRDefault="00C244BB" w14:paraId="2502710E" w14:textId="2DD26BFA">
            <w:pPr>
              <w:pStyle w:val="NormalinTable"/>
            </w:pPr>
            <w:r>
              <w:t>Boolean field to indicate whether a given TechType uses electricity</w:t>
            </w:r>
          </w:p>
        </w:tc>
      </w:tr>
      <w:tr w:rsidRPr="009A603F" w:rsidR="002F6D4A" w:rsidTr="008C6788" w14:paraId="436D7A68" w14:textId="77777777">
        <w:trPr>
          <w:trHeight w:val="144"/>
        </w:trPr>
        <w:tc>
          <w:tcPr>
            <w:tcW w:w="2065" w:type="dxa"/>
            <w:tcBorders>
              <w:top w:val="single" w:color="auto" w:sz="4" w:space="0"/>
              <w:left w:val="single" w:color="auto" w:sz="4" w:space="0"/>
              <w:bottom w:val="single" w:color="auto" w:sz="4" w:space="0"/>
              <w:right w:val="single" w:color="auto" w:sz="4" w:space="0"/>
            </w:tcBorders>
          </w:tcPr>
          <w:p w:rsidR="00C244BB" w:rsidP="00C244BB" w:rsidRDefault="00C244BB" w14:paraId="14F4CC19" w14:textId="30D7058C">
            <w:pPr>
              <w:pStyle w:val="NormalinTable"/>
            </w:pPr>
            <w:r>
              <w:t>UsesGas</w:t>
            </w:r>
          </w:p>
        </w:tc>
        <w:tc>
          <w:tcPr>
            <w:tcW w:w="1296" w:type="dxa"/>
            <w:tcBorders>
              <w:top w:val="single" w:color="auto" w:sz="4" w:space="0"/>
              <w:left w:val="single" w:color="auto" w:sz="4" w:space="0"/>
              <w:bottom w:val="single" w:color="auto" w:sz="4" w:space="0"/>
              <w:right w:val="single" w:color="auto" w:sz="4" w:space="0"/>
            </w:tcBorders>
          </w:tcPr>
          <w:p w:rsidR="00C244BB" w:rsidP="00C244BB" w:rsidRDefault="00C244BB" w14:paraId="6DEA2A5D" w14:textId="25B9BABF">
            <w:pPr>
              <w:pStyle w:val="NormalinTable"/>
            </w:pPr>
            <w:r>
              <w:t>Added</w:t>
            </w:r>
          </w:p>
        </w:tc>
        <w:tc>
          <w:tcPr>
            <w:tcW w:w="6048" w:type="dxa"/>
            <w:tcBorders>
              <w:top w:val="single" w:color="auto" w:sz="4" w:space="0"/>
              <w:left w:val="single" w:color="auto" w:sz="4" w:space="0"/>
              <w:bottom w:val="single" w:color="auto" w:sz="4" w:space="0"/>
              <w:right w:val="single" w:color="auto" w:sz="4" w:space="0"/>
            </w:tcBorders>
          </w:tcPr>
          <w:p w:rsidR="00C244BB" w:rsidP="00C244BB" w:rsidRDefault="00C244BB" w14:paraId="0E468BCA" w14:textId="110452D3">
            <w:pPr>
              <w:pStyle w:val="NormalinTable"/>
            </w:pPr>
            <w:r>
              <w:t>Boolean field to indicate whether a given TechType uses gas</w:t>
            </w:r>
          </w:p>
        </w:tc>
      </w:tr>
      <w:tr w:rsidRPr="009A603F" w:rsidR="006430FD" w:rsidTr="008C6788" w14:paraId="23EFB575" w14:textId="77777777">
        <w:trPr>
          <w:trHeight w:val="144"/>
        </w:trPr>
        <w:tc>
          <w:tcPr>
            <w:tcW w:w="2065" w:type="dxa"/>
            <w:tcBorders>
              <w:top w:val="single" w:color="auto" w:sz="4" w:space="0"/>
              <w:left w:val="single" w:color="auto" w:sz="4" w:space="0"/>
              <w:bottom w:val="single" w:color="auto" w:sz="4" w:space="0"/>
              <w:right w:val="single" w:color="auto" w:sz="4" w:space="0"/>
            </w:tcBorders>
          </w:tcPr>
          <w:p w:rsidR="006430FD" w:rsidP="00C244BB" w:rsidRDefault="00B0486C" w14:paraId="5B61843B" w14:textId="7A84FE1B">
            <w:pPr>
              <w:pStyle w:val="NormalinTable"/>
            </w:pPr>
            <w:r>
              <w:lastRenderedPageBreak/>
              <w:t>NormUnit</w:t>
            </w:r>
          </w:p>
        </w:tc>
        <w:tc>
          <w:tcPr>
            <w:tcW w:w="1296" w:type="dxa"/>
            <w:tcBorders>
              <w:top w:val="single" w:color="auto" w:sz="4" w:space="0"/>
              <w:left w:val="single" w:color="auto" w:sz="4" w:space="0"/>
              <w:bottom w:val="single" w:color="auto" w:sz="4" w:space="0"/>
              <w:right w:val="single" w:color="auto" w:sz="4" w:space="0"/>
            </w:tcBorders>
          </w:tcPr>
          <w:p w:rsidR="006430FD" w:rsidP="00C244BB" w:rsidRDefault="009C474C" w14:paraId="471ABAC7" w14:textId="7E41684B">
            <w:pPr>
              <w:pStyle w:val="NormalinTable"/>
            </w:pPr>
            <w:r>
              <w:t>P</w:t>
            </w:r>
            <w:r w:rsidR="00AA5074">
              <w:t xml:space="preserve">roposed for </w:t>
            </w:r>
            <w:r w:rsidR="008C6788">
              <w:t>deletion</w:t>
            </w:r>
          </w:p>
        </w:tc>
        <w:tc>
          <w:tcPr>
            <w:tcW w:w="6048" w:type="dxa"/>
            <w:tcBorders>
              <w:top w:val="single" w:color="auto" w:sz="4" w:space="0"/>
              <w:left w:val="single" w:color="auto" w:sz="4" w:space="0"/>
              <w:bottom w:val="single" w:color="auto" w:sz="4" w:space="0"/>
              <w:right w:val="single" w:color="auto" w:sz="4" w:space="0"/>
            </w:tcBorders>
          </w:tcPr>
          <w:p w:rsidR="006430FD" w:rsidP="00C244BB" w:rsidRDefault="00432879" w14:paraId="677C3AFC" w14:textId="13F00C8F">
            <w:pPr>
              <w:pStyle w:val="NormalinTable"/>
            </w:pPr>
            <w:r>
              <w:t xml:space="preserve">Measure packages may </w:t>
            </w:r>
            <w:r w:rsidR="00B6565B">
              <w:t xml:space="preserve">opt to </w:t>
            </w:r>
            <w:r w:rsidR="009A249C">
              <w:t>use a different normalizing unit</w:t>
            </w:r>
            <w:r w:rsidR="00325B83">
              <w:t xml:space="preserve"> for </w:t>
            </w:r>
            <w:r w:rsidR="00535923">
              <w:t xml:space="preserve">EnergyPlus modeling or </w:t>
            </w:r>
            <w:r w:rsidR="00325B83">
              <w:t>program design reasons</w:t>
            </w:r>
          </w:p>
        </w:tc>
      </w:tr>
      <w:tr w:rsidRPr="009A603F" w:rsidR="00B0486C" w:rsidTr="008C6788" w14:paraId="289E7224" w14:textId="77777777">
        <w:trPr>
          <w:trHeight w:val="144"/>
        </w:trPr>
        <w:tc>
          <w:tcPr>
            <w:tcW w:w="2065" w:type="dxa"/>
            <w:tcBorders>
              <w:top w:val="single" w:color="auto" w:sz="4" w:space="0"/>
              <w:left w:val="single" w:color="auto" w:sz="4" w:space="0"/>
              <w:bottom w:val="single" w:color="auto" w:sz="4" w:space="0"/>
              <w:right w:val="single" w:color="auto" w:sz="4" w:space="0"/>
            </w:tcBorders>
          </w:tcPr>
          <w:p w:rsidR="00B0486C" w:rsidP="00C244BB" w:rsidRDefault="00131591" w14:paraId="34AB5FC5" w14:textId="61830345">
            <w:pPr>
              <w:pStyle w:val="NormalinTable"/>
            </w:pPr>
            <w:r>
              <w:t>defEULCode</w:t>
            </w:r>
          </w:p>
        </w:tc>
        <w:tc>
          <w:tcPr>
            <w:tcW w:w="1296" w:type="dxa"/>
            <w:tcBorders>
              <w:top w:val="single" w:color="auto" w:sz="4" w:space="0"/>
              <w:left w:val="single" w:color="auto" w:sz="4" w:space="0"/>
              <w:bottom w:val="single" w:color="auto" w:sz="4" w:space="0"/>
              <w:right w:val="single" w:color="auto" w:sz="4" w:space="0"/>
            </w:tcBorders>
          </w:tcPr>
          <w:p w:rsidR="00B0486C" w:rsidP="00C244BB" w:rsidRDefault="00131591" w14:paraId="2D85DFEF" w14:textId="5D25FBA6">
            <w:pPr>
              <w:pStyle w:val="NormalinTable"/>
            </w:pPr>
            <w:r>
              <w:t>Proposed for deletion</w:t>
            </w:r>
          </w:p>
        </w:tc>
        <w:tc>
          <w:tcPr>
            <w:tcW w:w="6048" w:type="dxa"/>
            <w:tcBorders>
              <w:top w:val="single" w:color="auto" w:sz="4" w:space="0"/>
              <w:left w:val="single" w:color="auto" w:sz="4" w:space="0"/>
              <w:bottom w:val="single" w:color="auto" w:sz="4" w:space="0"/>
              <w:right w:val="single" w:color="auto" w:sz="4" w:space="0"/>
            </w:tcBorders>
          </w:tcPr>
          <w:p w:rsidR="00B0486C" w:rsidP="00C244BB" w:rsidRDefault="00DB283C" w14:paraId="03ECA5BA" w14:textId="17402D25">
            <w:pPr>
              <w:pStyle w:val="NormalinTable"/>
            </w:pPr>
            <w:r>
              <w:t xml:space="preserve">All records contain “Any” </w:t>
            </w:r>
            <w:r w:rsidR="00B85941">
              <w:t>and</w:t>
            </w:r>
            <w:r w:rsidR="00D96AA2">
              <w:t xml:space="preserve"> thus</w:t>
            </w:r>
            <w:r w:rsidR="00BB206F">
              <w:t xml:space="preserve"> </w:t>
            </w:r>
            <w:r w:rsidR="00146169">
              <w:t>is</w:t>
            </w:r>
            <w:r w:rsidR="00BB206F">
              <w:t xml:space="preserve"> </w:t>
            </w:r>
            <w:r w:rsidR="008979F9">
              <w:t>unused</w:t>
            </w:r>
          </w:p>
        </w:tc>
      </w:tr>
    </w:tbl>
    <w:p w:rsidRPr="009A603F" w:rsidR="009A603F" w:rsidP="009A603F" w:rsidRDefault="009A603F" w14:paraId="0F242B7F" w14:textId="77777777"/>
    <w:p w:rsidRPr="009A603F" w:rsidR="009A603F" w:rsidP="00A106FF" w:rsidRDefault="00063936" w14:paraId="79A57043" w14:textId="22F0C873">
      <w:pPr>
        <w:pStyle w:val="Heading3"/>
      </w:pPr>
      <w:bookmarkStart w:name="_Toc185271177" w:id="83"/>
      <w:r>
        <w:t xml:space="preserve">(E.5) </w:t>
      </w:r>
      <w:r w:rsidRPr="009A603F" w:rsidR="009A603F">
        <w:t>Building Weights Table Created</w:t>
      </w:r>
      <w:bookmarkEnd w:id="83"/>
    </w:p>
    <w:p w:rsidRPr="009A603F" w:rsidR="009A603F" w:rsidP="009A603F" w:rsidRDefault="009A603F" w14:paraId="5AD0C555" w14:textId="48860F0A">
      <w:r w:rsidRPr="009A603F">
        <w:rPr>
          <w:u w:val="single"/>
        </w:rPr>
        <w:t>Effective Program Year: 2024</w:t>
      </w:r>
      <w:r w:rsidRPr="009A603F">
        <w:t xml:space="preserve">. For transparency and ease of access, the “BldgWts” table was added to the “applic” schema of the DEER database that contains building weights and HVAC weights to be used for post-processing of energy impacts. These are also available for use by </w:t>
      </w:r>
      <w:r w:rsidR="00DC033E">
        <w:t xml:space="preserve">1) </w:t>
      </w:r>
      <w:r w:rsidRPr="009A603F">
        <w:t>the eTRM to calculate the percent change in savings between a new measure package version and its prior version</w:t>
      </w:r>
      <w:r w:rsidR="00DC033E">
        <w:t xml:space="preserve"> and 2) the RACC-FSC_v3.xlsx</w:t>
      </w:r>
      <w:r w:rsidR="002D4BA6">
        <w:t>.</w:t>
      </w:r>
    </w:p>
    <w:p w:rsidR="00620D8B" w:rsidP="008151F1" w:rsidRDefault="00817152" w14:paraId="088ABAF5" w14:textId="77275180">
      <w:pPr>
        <w:pStyle w:val="Heading2"/>
      </w:pPr>
      <w:bookmarkStart w:name="_Toc175733784" w:id="84"/>
      <w:bookmarkStart w:name="_Toc175742648" w:id="85"/>
      <w:bookmarkStart w:name="_Toc175762728" w:id="86"/>
      <w:bookmarkStart w:name="_Toc175766008" w:id="87"/>
      <w:bookmarkStart w:name="_Toc185271178" w:id="88"/>
      <w:bookmarkStart w:name="_Hlk104839024" w:id="89"/>
      <w:bookmarkEnd w:id="84"/>
      <w:bookmarkEnd w:id="85"/>
      <w:bookmarkEnd w:id="86"/>
      <w:bookmarkEnd w:id="87"/>
      <w:r>
        <w:t xml:space="preserve">(F) </w:t>
      </w:r>
      <w:r w:rsidR="00620D8B">
        <w:t>Updates to DEER Support Table</w:t>
      </w:r>
      <w:r w:rsidR="00CE6045">
        <w:t xml:space="preserve"> Value</w:t>
      </w:r>
      <w:r w:rsidR="00620D8B">
        <w:t>s</w:t>
      </w:r>
      <w:bookmarkEnd w:id="88"/>
    </w:p>
    <w:p w:rsidRPr="00D514DA" w:rsidR="00D514DA" w:rsidP="00D514DA" w:rsidRDefault="005F731F" w14:paraId="6A4BA56F" w14:textId="3761AD10">
      <w:r w:rsidRPr="007F570B">
        <w:rPr>
          <w:u w:val="single"/>
        </w:rPr>
        <w:t>Effective Program Year</w:t>
      </w:r>
      <w:r w:rsidRPr="00CC6C71">
        <w:rPr>
          <w:u w:val="single"/>
        </w:rPr>
        <w:t>: 2</w:t>
      </w:r>
      <w:r>
        <w:rPr>
          <w:u w:val="single"/>
        </w:rPr>
        <w:t>023-2028.</w:t>
      </w:r>
      <w:r>
        <w:t xml:space="preserve"> </w:t>
      </w:r>
      <w:r w:rsidRPr="00D514DA" w:rsidR="00D514DA">
        <w:t>The following changes to the DEER support table values are planned.</w:t>
      </w:r>
    </w:p>
    <w:p w:rsidRPr="00D514DA" w:rsidR="00D514DA" w:rsidP="00A93156" w:rsidRDefault="00834668" w14:paraId="73167CAC" w14:textId="0300CA74">
      <w:pPr>
        <w:pStyle w:val="Heading3"/>
      </w:pPr>
      <w:bookmarkStart w:name="_Toc185271179" w:id="90"/>
      <w:r>
        <w:t xml:space="preserve">(F.1) </w:t>
      </w:r>
      <w:r w:rsidRPr="00D514DA" w:rsidR="00D514DA">
        <w:t>Updates to Net-to-Gross Table</w:t>
      </w:r>
      <w:bookmarkEnd w:id="90"/>
    </w:p>
    <w:p w:rsidRPr="00D514DA" w:rsidR="00D514DA" w:rsidP="00D514DA" w:rsidRDefault="00D514DA" w14:paraId="40B9BB29" w14:textId="5F3A37F5">
      <w:r w:rsidRPr="00D514DA">
        <w:rPr>
          <w:u w:val="single"/>
        </w:rPr>
        <w:t>Effective Program Year: 2024.</w:t>
      </w:r>
      <w:r w:rsidRPr="00D514DA">
        <w:t xml:space="preserve"> The following NTG IDs are expired and no longer available for use.</w:t>
      </w:r>
      <w:r w:rsidR="003E4026">
        <w:t xml:space="preserve"> They were established</w:t>
      </w:r>
      <w:r w:rsidR="00F71889">
        <w:t xml:space="preserve"> and intended for use </w:t>
      </w:r>
      <w:r w:rsidR="00782E9A">
        <w:t>when, according to Resolution E-4952, there were to be above-code NTGRs and below-code NTGRs</w:t>
      </w:r>
      <w:r w:rsidR="00854AF9">
        <w:t xml:space="preserve">. </w:t>
      </w:r>
      <w:r w:rsidR="00782E9A">
        <w:t xml:space="preserve">While that </w:t>
      </w:r>
      <w:r w:rsidR="00751361">
        <w:t>plan was deferred, the NTG IDs were never expired.</w:t>
      </w:r>
    </w:p>
    <w:p w:rsidRPr="00D514DA" w:rsidR="00D514DA" w:rsidP="00A93156" w:rsidRDefault="00D514DA" w14:paraId="304DE44B" w14:textId="77777777">
      <w:pPr>
        <w:pStyle w:val="ListParagraph"/>
      </w:pPr>
      <w:r w:rsidRPr="00D514DA">
        <w:t>All-Ltg-LED-WRR</w:t>
      </w:r>
    </w:p>
    <w:p w:rsidRPr="00D514DA" w:rsidR="00D514DA" w:rsidP="00A93156" w:rsidRDefault="00D514DA" w14:paraId="373BE744" w14:textId="77777777">
      <w:pPr>
        <w:pStyle w:val="ListParagraph"/>
      </w:pPr>
      <w:r w:rsidRPr="00D514DA">
        <w:t>NonRes-Out-Ltg-LEDFixt</w:t>
      </w:r>
    </w:p>
    <w:p w:rsidRPr="00D514DA" w:rsidR="00D514DA" w:rsidP="00A93156" w:rsidRDefault="00D514DA" w14:paraId="1023E343" w14:textId="77777777">
      <w:pPr>
        <w:pStyle w:val="ListParagraph"/>
      </w:pPr>
      <w:r w:rsidRPr="00D514DA">
        <w:t>Res-InCmn-Ltg-LEDFixt</w:t>
      </w:r>
    </w:p>
    <w:p w:rsidRPr="00D514DA" w:rsidR="00D514DA" w:rsidP="00A93156" w:rsidRDefault="00D514DA" w14:paraId="4BD246B9" w14:textId="77777777">
      <w:pPr>
        <w:pStyle w:val="ListParagraph"/>
      </w:pPr>
      <w:r w:rsidRPr="00D514DA">
        <w:t>Res-OutCmn-Ltg-LEDFixt</w:t>
      </w:r>
    </w:p>
    <w:p w:rsidR="00387119" w:rsidP="00387119" w:rsidRDefault="00387119" w14:paraId="20C7AEB2" w14:textId="77777777">
      <w:pPr>
        <w:pStyle w:val="ListParagraph"/>
        <w:numPr>
          <w:ilvl w:val="0"/>
          <w:numId w:val="0"/>
        </w:numPr>
        <w:ind w:left="720"/>
      </w:pPr>
    </w:p>
    <w:p w:rsidR="00387119" w:rsidP="00174928" w:rsidRDefault="00387119" w14:paraId="487E0CB3" w14:textId="542B6B7E">
      <w:r>
        <w:t>In addition, CPUC staff has the authority to change the Custom project NTG values based on current studies or evaluation results.</w:t>
      </w:r>
    </w:p>
    <w:p w:rsidRPr="00D514DA" w:rsidR="00D514DA" w:rsidP="00A93156" w:rsidRDefault="00834668" w14:paraId="7F8A2DD6" w14:textId="4F0DB086">
      <w:pPr>
        <w:pStyle w:val="Heading3"/>
      </w:pPr>
      <w:bookmarkStart w:name="_Toc185271180" w:id="91"/>
      <w:r>
        <w:lastRenderedPageBreak/>
        <w:t xml:space="preserve">(F.2) </w:t>
      </w:r>
      <w:r w:rsidRPr="00D514DA" w:rsidR="00D514DA">
        <w:t>Updates to Delivery Types</w:t>
      </w:r>
      <w:bookmarkEnd w:id="91"/>
    </w:p>
    <w:p w:rsidRPr="00D514DA" w:rsidR="00D514DA" w:rsidP="00D514DA" w:rsidRDefault="00D514DA" w14:paraId="730D6C24" w14:textId="6ADCACF5">
      <w:r w:rsidRPr="00D514DA">
        <w:rPr>
          <w:u w:val="single"/>
        </w:rPr>
        <w:t>Effective Program Year: 2026.</w:t>
      </w:r>
      <w:r w:rsidRPr="00D514DA">
        <w:t xml:space="preserve"> As indicated in Resolution E-5221, the Delivery Types shown in </w:t>
      </w:r>
      <w:r w:rsidRPr="00A93156" w:rsidR="00A93156">
        <w:fldChar w:fldCharType="begin"/>
      </w:r>
      <w:r w:rsidRPr="00A93156" w:rsidR="00A93156">
        <w:instrText xml:space="preserve"> REF _Ref167434232 \h  \* MERGEFORMAT </w:instrText>
      </w:r>
      <w:r w:rsidRPr="00A93156" w:rsidR="00A93156">
        <w:fldChar w:fldCharType="separate"/>
      </w:r>
      <w:r w:rsidRPr="00D514DA" w:rsidR="00E812F0">
        <w:t xml:space="preserve">Table </w:t>
      </w:r>
      <w:r w:rsidRPr="00CC2B9C" w:rsidR="00E812F0">
        <w:rPr>
          <w:noProof/>
          <w:webHidden/>
        </w:rPr>
        <w:t>A-</w:t>
      </w:r>
      <w:r w:rsidR="00E812F0">
        <w:rPr>
          <w:noProof/>
        </w:rPr>
        <w:t>1</w:t>
      </w:r>
      <w:r w:rsidRPr="00D514DA" w:rsidR="00E812F0">
        <w:rPr>
          <w:noProof/>
        </w:rPr>
        <w:noBreakHyphen/>
      </w:r>
      <w:r w:rsidR="00E812F0">
        <w:rPr>
          <w:noProof/>
        </w:rPr>
        <w:t>13</w:t>
      </w:r>
      <w:r w:rsidRPr="00A93156" w:rsidR="00A93156">
        <w:fldChar w:fldCharType="end"/>
      </w:r>
      <w:r w:rsidRPr="00D514DA">
        <w:t xml:space="preserve"> shall be used.</w:t>
      </w:r>
    </w:p>
    <w:p w:rsidRPr="00D514DA" w:rsidR="00D514DA" w:rsidP="00A93156" w:rsidRDefault="00D514DA" w14:paraId="64FA9597" w14:textId="37A83DBC">
      <w:pPr>
        <w:pStyle w:val="Caption"/>
      </w:pPr>
      <w:bookmarkStart w:name="_Ref167434232" w:id="92"/>
      <w:bookmarkStart w:name="_Toc185273164" w:id="93"/>
      <w:r w:rsidRPr="00D514DA">
        <w:t xml:space="preserve">Table </w:t>
      </w:r>
      <w:r w:rsidRPr="00CC2B9C" w:rsidR="00CC2B9C">
        <w:rPr>
          <w:webHidden/>
        </w:rPr>
        <w:t>A-</w:t>
      </w:r>
      <w:r>
        <w:fldChar w:fldCharType="begin"/>
      </w:r>
      <w:r>
        <w:instrText>STYLEREF 1 \s</w:instrText>
      </w:r>
      <w:r>
        <w:fldChar w:fldCharType="separate"/>
      </w:r>
      <w:r w:rsidR="00E812F0">
        <w:rPr>
          <w:noProof/>
        </w:rPr>
        <w:t>1</w:t>
      </w:r>
      <w:r>
        <w:fldChar w:fldCharType="end"/>
      </w:r>
      <w:r w:rsidRPr="00D514DA">
        <w:noBreakHyphen/>
      </w:r>
      <w:r>
        <w:fldChar w:fldCharType="begin"/>
      </w:r>
      <w:r>
        <w:instrText>SEQ Table \* ARABIC \s 1</w:instrText>
      </w:r>
      <w:r>
        <w:fldChar w:fldCharType="separate"/>
      </w:r>
      <w:r w:rsidR="00E812F0">
        <w:rPr>
          <w:noProof/>
        </w:rPr>
        <w:t>13</w:t>
      </w:r>
      <w:r>
        <w:fldChar w:fldCharType="end"/>
      </w:r>
      <w:bookmarkEnd w:id="92"/>
      <w:r w:rsidRPr="00D514DA">
        <w:t>. DEER2026 Delivery Types</w:t>
      </w:r>
      <w:bookmarkEnd w:id="93"/>
    </w:p>
    <w:tbl>
      <w:tblPr>
        <w:tblW w:w="949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bottom w:w="14" w:type="dxa"/>
          <w:right w:w="158" w:type="dxa"/>
        </w:tblCellMar>
        <w:tblLook w:val="04A0" w:firstRow="1" w:lastRow="0" w:firstColumn="1" w:lastColumn="0" w:noHBand="0" w:noVBand="1"/>
      </w:tblPr>
      <w:tblGrid>
        <w:gridCol w:w="1255"/>
        <w:gridCol w:w="1890"/>
        <w:gridCol w:w="6354"/>
      </w:tblGrid>
      <w:tr w:rsidRPr="00D514DA" w:rsidR="00D514DA" w:rsidTr="009F155D" w14:paraId="6E24C4DB" w14:textId="77777777">
        <w:trPr>
          <w:trHeight w:val="144"/>
          <w:tblHeader/>
        </w:trPr>
        <w:tc>
          <w:tcPr>
            <w:tcW w:w="1255" w:type="dxa"/>
            <w:tcBorders>
              <w:top w:val="single" w:color="auto" w:sz="4" w:space="0"/>
              <w:left w:val="single" w:color="auto" w:sz="4" w:space="0"/>
              <w:bottom w:val="single" w:color="auto" w:sz="4" w:space="0"/>
              <w:right w:val="single" w:color="auto" w:sz="4" w:space="0"/>
            </w:tcBorders>
            <w:vAlign w:val="bottom"/>
          </w:tcPr>
          <w:p w:rsidRPr="00D514DA" w:rsidR="00D514DA" w:rsidP="009D2735" w:rsidRDefault="00D514DA" w14:paraId="7C49AD13" w14:textId="77777777">
            <w:pPr>
              <w:pStyle w:val="NormalinTable"/>
            </w:pPr>
            <w:r w:rsidRPr="00D514DA">
              <w:t>Delivery Type</w:t>
            </w:r>
          </w:p>
        </w:tc>
        <w:tc>
          <w:tcPr>
            <w:tcW w:w="1890" w:type="dxa"/>
            <w:tcBorders>
              <w:top w:val="single" w:color="auto" w:sz="4" w:space="0"/>
              <w:left w:val="single" w:color="auto" w:sz="4" w:space="0"/>
              <w:bottom w:val="single" w:color="auto" w:sz="4" w:space="0"/>
              <w:right w:val="single" w:color="auto" w:sz="4" w:space="0"/>
            </w:tcBorders>
            <w:vAlign w:val="bottom"/>
          </w:tcPr>
          <w:p w:rsidRPr="00D514DA" w:rsidR="00D514DA" w:rsidP="009D2735" w:rsidRDefault="00D514DA" w14:paraId="3181AF55" w14:textId="77777777">
            <w:pPr>
              <w:pStyle w:val="NormalinTable"/>
            </w:pPr>
            <w:r w:rsidRPr="00D514DA">
              <w:t>Change</w:t>
            </w:r>
          </w:p>
        </w:tc>
        <w:tc>
          <w:tcPr>
            <w:tcW w:w="6354" w:type="dxa"/>
            <w:tcBorders>
              <w:top w:val="single" w:color="auto" w:sz="4" w:space="0"/>
              <w:left w:val="single" w:color="auto" w:sz="4" w:space="0"/>
              <w:bottom w:val="single" w:color="auto" w:sz="4" w:space="0"/>
              <w:right w:val="single" w:color="auto" w:sz="4" w:space="0"/>
            </w:tcBorders>
            <w:vAlign w:val="bottom"/>
          </w:tcPr>
          <w:p w:rsidRPr="00D514DA" w:rsidR="00D514DA" w:rsidP="009D2735" w:rsidRDefault="00D514DA" w14:paraId="57302C6A" w14:textId="77777777">
            <w:pPr>
              <w:pStyle w:val="NormalinTable"/>
            </w:pPr>
            <w:r w:rsidRPr="00D514DA">
              <w:t>Description of Delivery Type</w:t>
            </w:r>
          </w:p>
        </w:tc>
      </w:tr>
      <w:tr w:rsidRPr="00D514DA" w:rsidR="00D514DA" w:rsidTr="009F155D" w14:paraId="234D86DF" w14:textId="77777777">
        <w:trPr>
          <w:trHeight w:val="144"/>
        </w:trPr>
        <w:tc>
          <w:tcPr>
            <w:tcW w:w="1255" w:type="dxa"/>
            <w:tcBorders>
              <w:top w:val="single" w:color="auto" w:sz="4" w:space="0"/>
              <w:left w:val="single" w:color="auto" w:sz="4" w:space="0"/>
              <w:bottom w:val="single" w:color="auto" w:sz="4" w:space="0"/>
              <w:right w:val="single" w:color="auto" w:sz="4" w:space="0"/>
            </w:tcBorders>
          </w:tcPr>
          <w:p w:rsidRPr="00D514DA" w:rsidR="00D514DA" w:rsidP="009D2735" w:rsidRDefault="00D514DA" w14:paraId="13A10A69" w14:textId="77777777">
            <w:pPr>
              <w:pStyle w:val="NormalinTable"/>
            </w:pPr>
            <w:r w:rsidRPr="00D514DA">
              <w:t>Up-Manuf</w:t>
            </w:r>
          </w:p>
        </w:tc>
        <w:tc>
          <w:tcPr>
            <w:tcW w:w="1890" w:type="dxa"/>
            <w:vMerge w:val="restart"/>
            <w:tcBorders>
              <w:top w:val="single" w:color="auto" w:sz="4" w:space="0"/>
              <w:left w:val="single" w:color="auto" w:sz="4" w:space="0"/>
              <w:right w:val="single" w:color="auto" w:sz="4" w:space="0"/>
            </w:tcBorders>
          </w:tcPr>
          <w:p w:rsidRPr="00D514DA" w:rsidR="00D514DA" w:rsidP="009D2735" w:rsidRDefault="00D514DA" w14:paraId="24191392" w14:textId="77777777">
            <w:pPr>
              <w:pStyle w:val="NormalinTable"/>
            </w:pPr>
            <w:r w:rsidRPr="00D514DA">
              <w:t>Was UpDeemed</w:t>
            </w:r>
            <w:r w:rsidRPr="00D514DA">
              <w:rPr>
                <w:vertAlign w:val="superscript"/>
              </w:rPr>
              <w:footnoteReference w:id="26"/>
            </w:r>
          </w:p>
        </w:tc>
        <w:tc>
          <w:tcPr>
            <w:tcW w:w="6354" w:type="dxa"/>
            <w:tcBorders>
              <w:top w:val="single" w:color="auto" w:sz="4" w:space="0"/>
              <w:left w:val="single" w:color="auto" w:sz="4" w:space="0"/>
              <w:bottom w:val="single" w:color="auto" w:sz="4" w:space="0"/>
              <w:right w:val="single" w:color="auto" w:sz="4" w:space="0"/>
            </w:tcBorders>
            <w:vAlign w:val="center"/>
          </w:tcPr>
          <w:p w:rsidRPr="00D514DA" w:rsidR="00D514DA" w:rsidP="009D2735" w:rsidRDefault="00D514DA" w14:paraId="71108F12" w14:textId="77777777">
            <w:pPr>
              <w:pStyle w:val="NormalinTable"/>
            </w:pPr>
            <w:r w:rsidRPr="00D514DA">
              <w:t>Incentivizes an energy-efficient technology through a program administrator partnership with the manufacturer</w:t>
            </w:r>
          </w:p>
        </w:tc>
      </w:tr>
      <w:tr w:rsidRPr="00D514DA" w:rsidR="00D514DA" w:rsidTr="009F155D" w14:paraId="6F9F84BB" w14:textId="77777777">
        <w:trPr>
          <w:trHeight w:val="144"/>
        </w:trPr>
        <w:tc>
          <w:tcPr>
            <w:tcW w:w="1255" w:type="dxa"/>
            <w:tcBorders>
              <w:top w:val="single" w:color="auto" w:sz="4" w:space="0"/>
              <w:left w:val="single" w:color="auto" w:sz="4" w:space="0"/>
              <w:bottom w:val="single" w:color="auto" w:sz="4" w:space="0"/>
              <w:right w:val="single" w:color="auto" w:sz="4" w:space="0"/>
            </w:tcBorders>
          </w:tcPr>
          <w:p w:rsidRPr="00D514DA" w:rsidR="00D514DA" w:rsidP="009D2735" w:rsidRDefault="00D514DA" w14:paraId="703BF10D" w14:textId="77777777">
            <w:pPr>
              <w:pStyle w:val="NormalinTable"/>
            </w:pPr>
            <w:r w:rsidRPr="00D514DA">
              <w:t>Mid-Distr</w:t>
            </w:r>
          </w:p>
        </w:tc>
        <w:tc>
          <w:tcPr>
            <w:tcW w:w="1890" w:type="dxa"/>
            <w:vMerge/>
          </w:tcPr>
          <w:p w:rsidRPr="00D514DA" w:rsidR="00D514DA" w:rsidP="009D2735" w:rsidRDefault="00D514DA" w14:paraId="469B69F9" w14:textId="77777777">
            <w:pPr>
              <w:pStyle w:val="NormalinTable"/>
            </w:pPr>
          </w:p>
        </w:tc>
        <w:tc>
          <w:tcPr>
            <w:tcW w:w="6354" w:type="dxa"/>
            <w:tcBorders>
              <w:top w:val="single" w:color="auto" w:sz="4" w:space="0"/>
              <w:left w:val="single" w:color="auto" w:sz="4" w:space="0"/>
              <w:bottom w:val="single" w:color="auto" w:sz="4" w:space="0"/>
              <w:right w:val="single" w:color="auto" w:sz="4" w:space="0"/>
            </w:tcBorders>
            <w:vAlign w:val="center"/>
          </w:tcPr>
          <w:p w:rsidRPr="00D514DA" w:rsidR="00D514DA" w:rsidP="009D2735" w:rsidRDefault="00D514DA" w14:paraId="533D3ED0" w14:textId="77777777">
            <w:pPr>
              <w:pStyle w:val="NormalinTable"/>
            </w:pPr>
            <w:r w:rsidRPr="00D514DA">
              <w:t>Incentivizes an energy-efficient technology through a program administrator partnership with the distributor</w:t>
            </w:r>
          </w:p>
        </w:tc>
      </w:tr>
      <w:tr w:rsidRPr="00D514DA" w:rsidR="00D514DA" w:rsidTr="009F155D" w14:paraId="5B6718D6" w14:textId="77777777">
        <w:trPr>
          <w:trHeight w:val="144"/>
        </w:trPr>
        <w:tc>
          <w:tcPr>
            <w:tcW w:w="1255" w:type="dxa"/>
            <w:tcBorders>
              <w:top w:val="single" w:color="auto" w:sz="4" w:space="0"/>
              <w:left w:val="single" w:color="auto" w:sz="4" w:space="0"/>
              <w:bottom w:val="single" w:color="auto" w:sz="4" w:space="0"/>
              <w:right w:val="single" w:color="auto" w:sz="4" w:space="0"/>
            </w:tcBorders>
          </w:tcPr>
          <w:p w:rsidRPr="00D514DA" w:rsidR="00D514DA" w:rsidP="009D2735" w:rsidRDefault="00D514DA" w14:paraId="55B3EB99" w14:textId="77777777">
            <w:pPr>
              <w:pStyle w:val="NormalinTable"/>
            </w:pPr>
            <w:r w:rsidRPr="00D514DA">
              <w:t>Mid-Retail</w:t>
            </w:r>
          </w:p>
        </w:tc>
        <w:tc>
          <w:tcPr>
            <w:tcW w:w="1890" w:type="dxa"/>
            <w:vMerge/>
          </w:tcPr>
          <w:p w:rsidRPr="00D514DA" w:rsidR="00D514DA" w:rsidP="009D2735" w:rsidRDefault="00D514DA" w14:paraId="72623B8C" w14:textId="77777777">
            <w:pPr>
              <w:pStyle w:val="NormalinTable"/>
            </w:pPr>
          </w:p>
        </w:tc>
        <w:tc>
          <w:tcPr>
            <w:tcW w:w="6354" w:type="dxa"/>
            <w:tcBorders>
              <w:top w:val="single" w:color="auto" w:sz="4" w:space="0"/>
              <w:left w:val="single" w:color="auto" w:sz="4" w:space="0"/>
              <w:bottom w:val="single" w:color="auto" w:sz="4" w:space="0"/>
              <w:right w:val="single" w:color="auto" w:sz="4" w:space="0"/>
            </w:tcBorders>
            <w:vAlign w:val="center"/>
          </w:tcPr>
          <w:p w:rsidRPr="00D514DA" w:rsidR="00D514DA" w:rsidP="009D2735" w:rsidRDefault="00D514DA" w14:paraId="3D936A70" w14:textId="77777777">
            <w:pPr>
              <w:pStyle w:val="NormalinTable"/>
            </w:pPr>
            <w:r w:rsidRPr="00D514DA">
              <w:t>Incentivizes an energy-efficient technology through a program administrator partnership with the retailer</w:t>
            </w:r>
          </w:p>
        </w:tc>
      </w:tr>
      <w:tr w:rsidRPr="00D514DA" w:rsidR="00D514DA" w:rsidTr="009F155D" w14:paraId="3198345A" w14:textId="77777777">
        <w:trPr>
          <w:trHeight w:val="144"/>
        </w:trPr>
        <w:tc>
          <w:tcPr>
            <w:tcW w:w="1255" w:type="dxa"/>
            <w:tcBorders>
              <w:top w:val="single" w:color="auto" w:sz="4" w:space="0"/>
              <w:left w:val="single" w:color="auto" w:sz="4" w:space="0"/>
              <w:bottom w:val="single" w:color="auto" w:sz="4" w:space="0"/>
              <w:right w:val="single" w:color="auto" w:sz="4" w:space="0"/>
            </w:tcBorders>
          </w:tcPr>
          <w:p w:rsidRPr="00D514DA" w:rsidR="00D514DA" w:rsidP="009D2735" w:rsidRDefault="00D514DA" w14:paraId="1D30B4E4" w14:textId="77777777">
            <w:pPr>
              <w:pStyle w:val="NormalinTable"/>
            </w:pPr>
            <w:r w:rsidRPr="00D514DA">
              <w:t>Down</w:t>
            </w:r>
          </w:p>
        </w:tc>
        <w:tc>
          <w:tcPr>
            <w:tcW w:w="1890" w:type="dxa"/>
            <w:tcBorders>
              <w:top w:val="single" w:color="auto" w:sz="4" w:space="0"/>
              <w:left w:val="single" w:color="auto" w:sz="4" w:space="0"/>
              <w:bottom w:val="single" w:color="auto" w:sz="4" w:space="0"/>
              <w:right w:val="single" w:color="auto" w:sz="4" w:space="0"/>
            </w:tcBorders>
          </w:tcPr>
          <w:p w:rsidRPr="00D514DA" w:rsidR="00D514DA" w:rsidP="009D2735" w:rsidRDefault="00D514DA" w14:paraId="70985EED" w14:textId="77777777">
            <w:pPr>
              <w:pStyle w:val="NormalinTable"/>
            </w:pPr>
            <w:r w:rsidRPr="00D514DA">
              <w:t>Was DnDeemed and DnCust</w:t>
            </w:r>
          </w:p>
        </w:tc>
        <w:tc>
          <w:tcPr>
            <w:tcW w:w="6354" w:type="dxa"/>
            <w:tcBorders>
              <w:top w:val="single" w:color="auto" w:sz="4" w:space="0"/>
              <w:left w:val="single" w:color="auto" w:sz="4" w:space="0"/>
              <w:bottom w:val="single" w:color="auto" w:sz="4" w:space="0"/>
              <w:right w:val="single" w:color="auto" w:sz="4" w:space="0"/>
            </w:tcBorders>
            <w:vAlign w:val="center"/>
          </w:tcPr>
          <w:p w:rsidRPr="00D514DA" w:rsidR="00D514DA" w:rsidP="009D2735" w:rsidRDefault="00D514DA" w14:paraId="207E8A9C" w14:textId="77777777">
            <w:pPr>
              <w:pStyle w:val="NormalinTable"/>
            </w:pPr>
            <w:r w:rsidRPr="00D514DA">
              <w:t>Incentivizes</w:t>
            </w:r>
            <w:r w:rsidRPr="00D514DA" w:rsidDel="00BD2132">
              <w:t xml:space="preserve"> </w:t>
            </w:r>
            <w:r w:rsidRPr="00D514DA">
              <w:t>an energy-efficient technology or service to a participating customer for them to install or have installed</w:t>
            </w:r>
          </w:p>
        </w:tc>
      </w:tr>
      <w:tr w:rsidRPr="00D514DA" w:rsidR="00D514DA" w:rsidTr="009F155D" w14:paraId="240D9CDE" w14:textId="77777777">
        <w:trPr>
          <w:trHeight w:val="144"/>
        </w:trPr>
        <w:tc>
          <w:tcPr>
            <w:tcW w:w="1255" w:type="dxa"/>
            <w:tcBorders>
              <w:top w:val="single" w:color="auto" w:sz="4" w:space="0"/>
              <w:left w:val="single" w:color="auto" w:sz="4" w:space="0"/>
              <w:bottom w:val="single" w:color="auto" w:sz="4" w:space="0"/>
              <w:right w:val="single" w:color="auto" w:sz="4" w:space="0"/>
            </w:tcBorders>
          </w:tcPr>
          <w:p w:rsidRPr="00D514DA" w:rsidR="00D514DA" w:rsidP="009D2735" w:rsidRDefault="00D514DA" w14:paraId="371D2495" w14:textId="77777777">
            <w:pPr>
              <w:pStyle w:val="NormalinTable"/>
            </w:pPr>
            <w:r w:rsidRPr="00D514DA">
              <w:t>DI</w:t>
            </w:r>
          </w:p>
        </w:tc>
        <w:tc>
          <w:tcPr>
            <w:tcW w:w="1890" w:type="dxa"/>
            <w:tcBorders>
              <w:top w:val="single" w:color="auto" w:sz="4" w:space="0"/>
              <w:left w:val="single" w:color="auto" w:sz="4" w:space="0"/>
              <w:bottom w:val="single" w:color="auto" w:sz="4" w:space="0"/>
              <w:right w:val="single" w:color="auto" w:sz="4" w:space="0"/>
            </w:tcBorders>
          </w:tcPr>
          <w:p w:rsidRPr="00D514DA" w:rsidR="00D514DA" w:rsidP="009D2735" w:rsidRDefault="00D514DA" w14:paraId="74113155" w14:textId="77777777">
            <w:pPr>
              <w:pStyle w:val="NormalinTable"/>
            </w:pPr>
            <w:r w:rsidRPr="00D514DA">
              <w:t>Was DnDeemDI and DnCustDI</w:t>
            </w:r>
          </w:p>
        </w:tc>
        <w:tc>
          <w:tcPr>
            <w:tcW w:w="6354" w:type="dxa"/>
            <w:tcBorders>
              <w:top w:val="single" w:color="auto" w:sz="4" w:space="0"/>
              <w:left w:val="single" w:color="auto" w:sz="4" w:space="0"/>
              <w:bottom w:val="single" w:color="auto" w:sz="4" w:space="0"/>
              <w:right w:val="single" w:color="auto" w:sz="4" w:space="0"/>
            </w:tcBorders>
            <w:vAlign w:val="center"/>
          </w:tcPr>
          <w:p w:rsidRPr="00D514DA" w:rsidR="00D514DA" w:rsidP="00012DE6" w:rsidRDefault="00FD747E" w14:paraId="529E757A" w14:textId="35B3ABF4">
            <w:pPr>
              <w:pStyle w:val="NormalinTable"/>
            </w:pPr>
            <w:r>
              <w:t>Incentivizes the downstream delivery and/or installation of an energy efficient technology and/or service at a customer property by a program implementer-managed third-party contractor or trade professional.</w:t>
            </w:r>
            <w:r w:rsidR="00012DE6">
              <w:t xml:space="preserve"> </w:t>
            </w:r>
            <w:r w:rsidR="00AF4222">
              <w:t>P</w:t>
            </w:r>
            <w:r>
              <w:t xml:space="preserve">rogram incentives </w:t>
            </w:r>
            <w:r w:rsidR="00ED7445">
              <w:t xml:space="preserve">are paid </w:t>
            </w:r>
            <w:r>
              <w:t>directly to the</w:t>
            </w:r>
            <w:r w:rsidR="00012DE6">
              <w:t xml:space="preserve"> </w:t>
            </w:r>
            <w:r>
              <w:t>installation contractor</w:t>
            </w:r>
            <w:r w:rsidR="00ED7445">
              <w:t xml:space="preserve"> or </w:t>
            </w:r>
            <w:r w:rsidR="00876EFC">
              <w:t>technology</w:t>
            </w:r>
            <w:r w:rsidR="00F24C92">
              <w:t>/</w:t>
            </w:r>
            <w:r w:rsidR="00ED7445">
              <w:t>service provider</w:t>
            </w:r>
            <w:r>
              <w:t>.</w:t>
            </w:r>
            <w:r w:rsidR="2CBA7366">
              <w:t xml:space="preserve"> (see guidance memo on CEDARS site for details)</w:t>
            </w:r>
          </w:p>
        </w:tc>
      </w:tr>
      <w:tr w:rsidRPr="00D514DA" w:rsidR="00D514DA" w:rsidTr="009F155D" w14:paraId="30F5572D" w14:textId="77777777">
        <w:trPr>
          <w:trHeight w:val="144"/>
        </w:trPr>
        <w:tc>
          <w:tcPr>
            <w:tcW w:w="1255" w:type="dxa"/>
            <w:tcBorders>
              <w:top w:val="single" w:color="auto" w:sz="4" w:space="0"/>
              <w:left w:val="single" w:color="auto" w:sz="4" w:space="0"/>
              <w:bottom w:val="single" w:color="auto" w:sz="4" w:space="0"/>
              <w:right w:val="single" w:color="auto" w:sz="4" w:space="0"/>
            </w:tcBorders>
          </w:tcPr>
          <w:p w:rsidRPr="00D514DA" w:rsidR="00D514DA" w:rsidP="009D2735" w:rsidRDefault="00D514DA" w14:paraId="3947B86E" w14:textId="77777777">
            <w:pPr>
              <w:pStyle w:val="NormalinTable"/>
            </w:pPr>
            <w:r w:rsidRPr="00D514DA">
              <w:t>C&amp;S</w:t>
            </w:r>
          </w:p>
        </w:tc>
        <w:tc>
          <w:tcPr>
            <w:tcW w:w="1890" w:type="dxa"/>
            <w:tcBorders>
              <w:top w:val="single" w:color="auto" w:sz="4" w:space="0"/>
              <w:left w:val="single" w:color="auto" w:sz="4" w:space="0"/>
              <w:bottom w:val="single" w:color="auto" w:sz="4" w:space="0"/>
              <w:right w:val="single" w:color="auto" w:sz="4" w:space="0"/>
            </w:tcBorders>
          </w:tcPr>
          <w:p w:rsidRPr="00D514DA" w:rsidR="00D514DA" w:rsidP="009D2735" w:rsidRDefault="00D514DA" w14:paraId="0F7B2E41" w14:textId="77777777">
            <w:pPr>
              <w:pStyle w:val="NormalinTable"/>
            </w:pPr>
            <w:r w:rsidRPr="00D514DA">
              <w:t>None</w:t>
            </w:r>
          </w:p>
        </w:tc>
        <w:tc>
          <w:tcPr>
            <w:tcW w:w="6354" w:type="dxa"/>
            <w:tcBorders>
              <w:top w:val="single" w:color="auto" w:sz="4" w:space="0"/>
              <w:left w:val="single" w:color="auto" w:sz="4" w:space="0"/>
              <w:bottom w:val="single" w:color="auto" w:sz="4" w:space="0"/>
              <w:right w:val="single" w:color="auto" w:sz="4" w:space="0"/>
            </w:tcBorders>
            <w:vAlign w:val="center"/>
          </w:tcPr>
          <w:p w:rsidRPr="00D514DA" w:rsidR="00D514DA" w:rsidP="009D2735" w:rsidRDefault="00D514DA" w14:paraId="03AA225F" w14:textId="77777777">
            <w:pPr>
              <w:pStyle w:val="NormalinTable"/>
            </w:pPr>
            <w:r w:rsidRPr="00D514DA">
              <w:t>Codes and Standards (C&amp;S advocacy and related programs)</w:t>
            </w:r>
          </w:p>
        </w:tc>
      </w:tr>
    </w:tbl>
    <w:p w:rsidRPr="00D514DA" w:rsidR="00D514DA" w:rsidP="00D514DA" w:rsidRDefault="00D514DA" w14:paraId="4F1E29D2" w14:textId="77777777"/>
    <w:p w:rsidRPr="00D514DA" w:rsidR="00D514DA" w:rsidP="00D514DA" w:rsidRDefault="00D514DA" w14:paraId="53373A46" w14:textId="77777777">
      <w:r w:rsidRPr="00D514DA">
        <w:t>In 2026, the Upstream Flag used by CEDARS will no longer be needed. Until that time, the Upstream Flag will be set to “true” for the upstream delivery type and “null” for either of the midstream delivery types.</w:t>
      </w:r>
    </w:p>
    <w:p w:rsidRPr="00D514DA" w:rsidR="00D514DA" w:rsidP="00A93156" w:rsidRDefault="00834668" w14:paraId="08C3793B" w14:textId="537772C4">
      <w:pPr>
        <w:pStyle w:val="Heading3"/>
      </w:pPr>
      <w:bookmarkStart w:name="_Toc185271181" w:id="94"/>
      <w:r>
        <w:t xml:space="preserve">(F.3) </w:t>
      </w:r>
      <w:r w:rsidRPr="00D514DA" w:rsidR="00D514DA">
        <w:t>Updates to Measure Impact Types</w:t>
      </w:r>
      <w:bookmarkEnd w:id="94"/>
    </w:p>
    <w:p w:rsidRPr="00D514DA" w:rsidR="00D514DA" w:rsidP="00D514DA" w:rsidRDefault="00D514DA" w14:paraId="4E0E9231" w14:textId="77F9B727">
      <w:r w:rsidRPr="00D514DA">
        <w:rPr>
          <w:u w:val="single"/>
        </w:rPr>
        <w:t>Effective Program Year: 2026</w:t>
      </w:r>
      <w:r w:rsidRPr="00D514DA">
        <w:t xml:space="preserve">. Since there is no longer a distinction between DEER and non-DEER measures and the </w:t>
      </w:r>
      <w:r w:rsidRPr="00D514DA">
        <w:rPr>
          <w:i/>
          <w:iCs/>
        </w:rPr>
        <w:t>FuelID</w:t>
      </w:r>
      <w:r w:rsidRPr="00D514DA">
        <w:t xml:space="preserve"> will be added to eTRM permutations for program year 2025, the Measure Impact Types will be consolidated as shown in </w:t>
      </w:r>
      <w:r w:rsidRPr="00A93156" w:rsidR="00A93156">
        <w:fldChar w:fldCharType="begin"/>
      </w:r>
      <w:r w:rsidRPr="00A93156" w:rsidR="00A93156">
        <w:instrText xml:space="preserve"> REF _Ref167434260 \h  \* MERGEFORMAT </w:instrText>
      </w:r>
      <w:r w:rsidRPr="00A93156" w:rsidR="00A93156">
        <w:fldChar w:fldCharType="separate"/>
      </w:r>
      <w:r w:rsidRPr="00D514DA" w:rsidR="00E812F0">
        <w:t xml:space="preserve">Table </w:t>
      </w:r>
      <w:r w:rsidRPr="00CC2B9C" w:rsidR="00E812F0">
        <w:rPr>
          <w:noProof/>
          <w:webHidden/>
        </w:rPr>
        <w:t>A-</w:t>
      </w:r>
      <w:r w:rsidR="00E812F0">
        <w:rPr>
          <w:noProof/>
        </w:rPr>
        <w:t>1</w:t>
      </w:r>
      <w:r w:rsidRPr="00D514DA" w:rsidR="00E812F0">
        <w:rPr>
          <w:noProof/>
        </w:rPr>
        <w:noBreakHyphen/>
      </w:r>
      <w:r w:rsidR="00E812F0">
        <w:rPr>
          <w:noProof/>
        </w:rPr>
        <w:t>14</w:t>
      </w:r>
      <w:r w:rsidRPr="00A93156" w:rsidR="00A93156">
        <w:fldChar w:fldCharType="end"/>
      </w:r>
      <w:r w:rsidRPr="00D514DA">
        <w:t>.</w:t>
      </w:r>
    </w:p>
    <w:p w:rsidRPr="00D514DA" w:rsidR="00D514DA" w:rsidP="00A93156" w:rsidRDefault="00D514DA" w14:paraId="200B3FC3" w14:textId="7104380F">
      <w:pPr>
        <w:pStyle w:val="Caption"/>
      </w:pPr>
      <w:bookmarkStart w:name="_Ref167434260" w:id="95"/>
      <w:bookmarkStart w:name="_Toc185273165" w:id="96"/>
      <w:r w:rsidRPr="00D514DA">
        <w:lastRenderedPageBreak/>
        <w:t xml:space="preserve">Table </w:t>
      </w:r>
      <w:r w:rsidRPr="00CC2B9C" w:rsidR="00CC2B9C">
        <w:rPr>
          <w:webHidden/>
        </w:rPr>
        <w:t>A-</w:t>
      </w:r>
      <w:r>
        <w:fldChar w:fldCharType="begin"/>
      </w:r>
      <w:r>
        <w:instrText>STYLEREF 1 \s</w:instrText>
      </w:r>
      <w:r>
        <w:fldChar w:fldCharType="separate"/>
      </w:r>
      <w:r w:rsidR="00E812F0">
        <w:rPr>
          <w:noProof/>
        </w:rPr>
        <w:t>1</w:t>
      </w:r>
      <w:r>
        <w:fldChar w:fldCharType="end"/>
      </w:r>
      <w:r w:rsidRPr="00D514DA">
        <w:noBreakHyphen/>
      </w:r>
      <w:r>
        <w:fldChar w:fldCharType="begin"/>
      </w:r>
      <w:r>
        <w:instrText>SEQ Table \* ARABIC \s 1</w:instrText>
      </w:r>
      <w:r>
        <w:fldChar w:fldCharType="separate"/>
      </w:r>
      <w:r w:rsidR="00E812F0">
        <w:rPr>
          <w:noProof/>
        </w:rPr>
        <w:t>14</w:t>
      </w:r>
      <w:r>
        <w:fldChar w:fldCharType="end"/>
      </w:r>
      <w:bookmarkEnd w:id="95"/>
      <w:r w:rsidRPr="00D514DA">
        <w:t>. DEER2026 Measure Impact Types</w:t>
      </w:r>
      <w:bookmarkEnd w:id="96"/>
    </w:p>
    <w:tbl>
      <w:tblPr>
        <w:tblW w:w="935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bottom w:w="14" w:type="dxa"/>
          <w:right w:w="158" w:type="dxa"/>
        </w:tblCellMar>
        <w:tblLook w:val="04A0" w:firstRow="1" w:lastRow="0" w:firstColumn="1" w:lastColumn="0" w:noHBand="0" w:noVBand="1"/>
      </w:tblPr>
      <w:tblGrid>
        <w:gridCol w:w="1975"/>
        <w:gridCol w:w="7380"/>
      </w:tblGrid>
      <w:tr w:rsidRPr="00D514DA" w:rsidR="00D514DA" w:rsidTr="009F155D" w14:paraId="4A8EC0F5" w14:textId="77777777">
        <w:trPr>
          <w:trHeight w:val="144"/>
          <w:tblHeader/>
        </w:trPr>
        <w:tc>
          <w:tcPr>
            <w:tcW w:w="1975" w:type="dxa"/>
            <w:tcBorders>
              <w:top w:val="single" w:color="auto" w:sz="4" w:space="0"/>
              <w:left w:val="single" w:color="auto" w:sz="4" w:space="0"/>
              <w:bottom w:val="single" w:color="auto" w:sz="4" w:space="0"/>
              <w:right w:val="single" w:color="auto" w:sz="4" w:space="0"/>
            </w:tcBorders>
            <w:vAlign w:val="bottom"/>
          </w:tcPr>
          <w:p w:rsidRPr="00D514DA" w:rsidR="00D514DA" w:rsidP="009D2735" w:rsidRDefault="00D514DA" w14:paraId="6A99ED23" w14:textId="77777777">
            <w:pPr>
              <w:pStyle w:val="NormalinTable"/>
            </w:pPr>
            <w:r w:rsidRPr="00D514DA">
              <w:t>Measure Impact Type</w:t>
            </w:r>
          </w:p>
        </w:tc>
        <w:tc>
          <w:tcPr>
            <w:tcW w:w="7380" w:type="dxa"/>
            <w:tcBorders>
              <w:top w:val="single" w:color="auto" w:sz="4" w:space="0"/>
              <w:left w:val="single" w:color="auto" w:sz="4" w:space="0"/>
              <w:bottom w:val="single" w:color="auto" w:sz="4" w:space="0"/>
              <w:right w:val="single" w:color="auto" w:sz="4" w:space="0"/>
            </w:tcBorders>
            <w:vAlign w:val="bottom"/>
          </w:tcPr>
          <w:p w:rsidRPr="00D514DA" w:rsidR="00D514DA" w:rsidP="009D2735" w:rsidRDefault="00D514DA" w14:paraId="2E2B34A1" w14:textId="77777777">
            <w:pPr>
              <w:pStyle w:val="NormalinTable"/>
            </w:pPr>
            <w:r w:rsidRPr="00D514DA">
              <w:t>Description of Measure Impact Type</w:t>
            </w:r>
          </w:p>
        </w:tc>
      </w:tr>
      <w:tr w:rsidRPr="00D514DA" w:rsidR="00D514DA" w:rsidTr="009F155D" w14:paraId="0B0A63C3" w14:textId="77777777">
        <w:trPr>
          <w:trHeight w:val="144"/>
        </w:trPr>
        <w:tc>
          <w:tcPr>
            <w:tcW w:w="1975" w:type="dxa"/>
            <w:tcBorders>
              <w:top w:val="single" w:color="auto" w:sz="4" w:space="0"/>
              <w:left w:val="single" w:color="auto" w:sz="4" w:space="0"/>
              <w:bottom w:val="single" w:color="auto" w:sz="4" w:space="0"/>
              <w:right w:val="single" w:color="auto" w:sz="4" w:space="0"/>
            </w:tcBorders>
          </w:tcPr>
          <w:p w:rsidRPr="00D514DA" w:rsidR="00D514DA" w:rsidP="009D2735" w:rsidRDefault="00D514DA" w14:paraId="618D40E2" w14:textId="77777777">
            <w:pPr>
              <w:pStyle w:val="NormalinTable"/>
            </w:pPr>
            <w:r w:rsidRPr="00D514DA">
              <w:t>Cust-Gen</w:t>
            </w:r>
          </w:p>
        </w:tc>
        <w:tc>
          <w:tcPr>
            <w:tcW w:w="7380" w:type="dxa"/>
            <w:tcBorders>
              <w:top w:val="single" w:color="auto" w:sz="4" w:space="0"/>
              <w:left w:val="single" w:color="auto" w:sz="4" w:space="0"/>
              <w:bottom w:val="single" w:color="auto" w:sz="4" w:space="0"/>
              <w:right w:val="single" w:color="auto" w:sz="4" w:space="0"/>
            </w:tcBorders>
          </w:tcPr>
          <w:p w:rsidRPr="00D514DA" w:rsidR="00D514DA" w:rsidP="009D2735" w:rsidRDefault="00D514DA" w14:paraId="02FEFBB1" w14:textId="77777777">
            <w:pPr>
              <w:pStyle w:val="NormalinTable"/>
            </w:pPr>
            <w:r w:rsidRPr="00D514DA">
              <w:t>Custom Generic: generic, site-specific calculation or using approved tool or method and/or metered data (excluding NMEC, SEM, or RCT offerings)</w:t>
            </w:r>
          </w:p>
        </w:tc>
      </w:tr>
      <w:tr w:rsidRPr="00D514DA" w:rsidR="00D514DA" w:rsidTr="009F155D" w14:paraId="05BADE3A" w14:textId="77777777">
        <w:trPr>
          <w:trHeight w:val="144"/>
        </w:trPr>
        <w:tc>
          <w:tcPr>
            <w:tcW w:w="1975" w:type="dxa"/>
            <w:tcBorders>
              <w:top w:val="single" w:color="auto" w:sz="4" w:space="0"/>
              <w:left w:val="single" w:color="auto" w:sz="4" w:space="0"/>
              <w:bottom w:val="single" w:color="auto" w:sz="4" w:space="0"/>
              <w:right w:val="single" w:color="auto" w:sz="4" w:space="0"/>
            </w:tcBorders>
          </w:tcPr>
          <w:p w:rsidRPr="00D514DA" w:rsidR="00D514DA" w:rsidP="009D2735" w:rsidRDefault="00D514DA" w14:paraId="28A1D4A2" w14:textId="77777777">
            <w:pPr>
              <w:pStyle w:val="NormalinTable"/>
            </w:pPr>
            <w:r w:rsidRPr="00D514DA">
              <w:t>Cust-NMEC-Pop</w:t>
            </w:r>
          </w:p>
        </w:tc>
        <w:tc>
          <w:tcPr>
            <w:tcW w:w="7380" w:type="dxa"/>
            <w:tcBorders>
              <w:top w:val="single" w:color="auto" w:sz="4" w:space="0"/>
              <w:left w:val="single" w:color="auto" w:sz="4" w:space="0"/>
              <w:bottom w:val="single" w:color="auto" w:sz="4" w:space="0"/>
              <w:right w:val="single" w:color="auto" w:sz="4" w:space="0"/>
            </w:tcBorders>
          </w:tcPr>
          <w:p w:rsidRPr="00D514DA" w:rsidR="00D514DA" w:rsidP="009D2735" w:rsidRDefault="00D514DA" w14:paraId="63671C70" w14:textId="77777777">
            <w:pPr>
              <w:pStyle w:val="NormalinTable"/>
            </w:pPr>
            <w:r w:rsidRPr="00D514DA">
              <w:t>Population-level Normalized Metered Energy Consumption (NMEC) energy impacts are specified on a custom basis.</w:t>
            </w:r>
          </w:p>
        </w:tc>
      </w:tr>
      <w:tr w:rsidRPr="00D514DA" w:rsidR="00D514DA" w:rsidTr="009F155D" w14:paraId="1B8893BD" w14:textId="77777777">
        <w:trPr>
          <w:trHeight w:val="144"/>
        </w:trPr>
        <w:tc>
          <w:tcPr>
            <w:tcW w:w="1975" w:type="dxa"/>
            <w:tcBorders>
              <w:top w:val="single" w:color="auto" w:sz="4" w:space="0"/>
              <w:left w:val="single" w:color="auto" w:sz="4" w:space="0"/>
              <w:bottom w:val="single" w:color="auto" w:sz="4" w:space="0"/>
              <w:right w:val="single" w:color="auto" w:sz="4" w:space="0"/>
            </w:tcBorders>
          </w:tcPr>
          <w:p w:rsidRPr="00D514DA" w:rsidR="00D514DA" w:rsidP="009D2735" w:rsidRDefault="00D514DA" w14:paraId="6CEC17A8" w14:textId="77777777">
            <w:pPr>
              <w:pStyle w:val="NormalinTable"/>
            </w:pPr>
            <w:r w:rsidRPr="00D514DA">
              <w:t>Cust-NMEC-Site</w:t>
            </w:r>
          </w:p>
        </w:tc>
        <w:tc>
          <w:tcPr>
            <w:tcW w:w="7380" w:type="dxa"/>
            <w:tcBorders>
              <w:top w:val="single" w:color="auto" w:sz="4" w:space="0"/>
              <w:left w:val="single" w:color="auto" w:sz="4" w:space="0"/>
              <w:bottom w:val="single" w:color="auto" w:sz="4" w:space="0"/>
              <w:right w:val="single" w:color="auto" w:sz="4" w:space="0"/>
            </w:tcBorders>
          </w:tcPr>
          <w:p w:rsidRPr="00D514DA" w:rsidR="00D514DA" w:rsidP="009D2735" w:rsidRDefault="00D514DA" w14:paraId="385477E6" w14:textId="77777777">
            <w:pPr>
              <w:pStyle w:val="NormalinTable"/>
            </w:pPr>
            <w:r w:rsidRPr="00D514DA">
              <w:t>Site-level Normalized Metered Energy Consumption (NMEC) energy impacts are specified on a custom basis.</w:t>
            </w:r>
          </w:p>
        </w:tc>
      </w:tr>
      <w:tr w:rsidRPr="00D514DA" w:rsidR="00D514DA" w:rsidTr="009F155D" w14:paraId="43FC9572" w14:textId="77777777">
        <w:trPr>
          <w:trHeight w:val="144"/>
        </w:trPr>
        <w:tc>
          <w:tcPr>
            <w:tcW w:w="1975" w:type="dxa"/>
            <w:tcBorders>
              <w:top w:val="single" w:color="auto" w:sz="4" w:space="0"/>
              <w:left w:val="single" w:color="auto" w:sz="4" w:space="0"/>
              <w:bottom w:val="single" w:color="auto" w:sz="4" w:space="0"/>
              <w:right w:val="single" w:color="auto" w:sz="4" w:space="0"/>
            </w:tcBorders>
          </w:tcPr>
          <w:p w:rsidRPr="00D514DA" w:rsidR="00D514DA" w:rsidP="009D2735" w:rsidRDefault="00D514DA" w14:paraId="619883B0" w14:textId="77777777">
            <w:pPr>
              <w:pStyle w:val="NormalinTable"/>
            </w:pPr>
            <w:r w:rsidRPr="00D514DA">
              <w:t>Cust-RCT</w:t>
            </w:r>
          </w:p>
        </w:tc>
        <w:tc>
          <w:tcPr>
            <w:tcW w:w="7380" w:type="dxa"/>
            <w:tcBorders>
              <w:top w:val="single" w:color="auto" w:sz="4" w:space="0"/>
              <w:left w:val="single" w:color="auto" w:sz="4" w:space="0"/>
              <w:bottom w:val="single" w:color="auto" w:sz="4" w:space="0"/>
              <w:right w:val="single" w:color="auto" w:sz="4" w:space="0"/>
            </w:tcBorders>
          </w:tcPr>
          <w:p w:rsidRPr="00D514DA" w:rsidR="00D514DA" w:rsidP="009D2735" w:rsidRDefault="00D514DA" w14:paraId="3300E276" w14:textId="77777777">
            <w:pPr>
              <w:pStyle w:val="NormalinTable"/>
            </w:pPr>
            <w:r w:rsidRPr="00D514DA">
              <w:t>Custom RCT: uses a randomized-control trial (RCT) or experimental design method</w:t>
            </w:r>
          </w:p>
        </w:tc>
      </w:tr>
      <w:tr w:rsidRPr="00D514DA" w:rsidR="00D514DA" w:rsidTr="009F155D" w14:paraId="58A55D3F" w14:textId="77777777">
        <w:trPr>
          <w:trHeight w:val="144"/>
        </w:trPr>
        <w:tc>
          <w:tcPr>
            <w:tcW w:w="1975" w:type="dxa"/>
            <w:tcBorders>
              <w:top w:val="single" w:color="auto" w:sz="4" w:space="0"/>
              <w:left w:val="single" w:color="auto" w:sz="4" w:space="0"/>
              <w:bottom w:val="single" w:color="auto" w:sz="4" w:space="0"/>
              <w:right w:val="single" w:color="auto" w:sz="4" w:space="0"/>
            </w:tcBorders>
          </w:tcPr>
          <w:p w:rsidRPr="00D514DA" w:rsidR="00D514DA" w:rsidP="009D2735" w:rsidRDefault="00D514DA" w14:paraId="4BFE0251" w14:textId="77777777">
            <w:pPr>
              <w:pStyle w:val="NormalinTable"/>
            </w:pPr>
            <w:r w:rsidRPr="00D514DA">
              <w:t>Cust-SEM</w:t>
            </w:r>
          </w:p>
        </w:tc>
        <w:tc>
          <w:tcPr>
            <w:tcW w:w="7380" w:type="dxa"/>
            <w:tcBorders>
              <w:top w:val="single" w:color="auto" w:sz="4" w:space="0"/>
              <w:left w:val="single" w:color="auto" w:sz="4" w:space="0"/>
              <w:bottom w:val="single" w:color="auto" w:sz="4" w:space="0"/>
              <w:right w:val="single" w:color="auto" w:sz="4" w:space="0"/>
            </w:tcBorders>
          </w:tcPr>
          <w:p w:rsidRPr="00D514DA" w:rsidR="00D514DA" w:rsidP="009D2735" w:rsidRDefault="00D514DA" w14:paraId="6AABB756" w14:textId="77777777">
            <w:pPr>
              <w:pStyle w:val="NormalinTable"/>
            </w:pPr>
            <w:r w:rsidRPr="00D514DA">
              <w:t>Custom SEM: uses a strategic energy-management method</w:t>
            </w:r>
          </w:p>
        </w:tc>
      </w:tr>
      <w:tr w:rsidRPr="00D514DA" w:rsidR="00D514DA" w:rsidTr="009F155D" w14:paraId="3E622095" w14:textId="77777777">
        <w:trPr>
          <w:trHeight w:val="144"/>
        </w:trPr>
        <w:tc>
          <w:tcPr>
            <w:tcW w:w="1975" w:type="dxa"/>
            <w:tcBorders>
              <w:top w:val="single" w:color="auto" w:sz="4" w:space="0"/>
              <w:left w:val="single" w:color="auto" w:sz="4" w:space="0"/>
              <w:bottom w:val="single" w:color="auto" w:sz="4" w:space="0"/>
              <w:right w:val="single" w:color="auto" w:sz="4" w:space="0"/>
            </w:tcBorders>
          </w:tcPr>
          <w:p w:rsidRPr="00D514DA" w:rsidR="00D514DA" w:rsidP="009D2735" w:rsidRDefault="00D514DA" w14:paraId="5AF70F27" w14:textId="77777777">
            <w:pPr>
              <w:pStyle w:val="NormalinTable"/>
            </w:pPr>
            <w:r w:rsidRPr="00D514DA">
              <w:t>Deem</w:t>
            </w:r>
          </w:p>
        </w:tc>
        <w:tc>
          <w:tcPr>
            <w:tcW w:w="7380" w:type="dxa"/>
            <w:tcBorders>
              <w:top w:val="single" w:color="auto" w:sz="4" w:space="0"/>
              <w:left w:val="single" w:color="auto" w:sz="4" w:space="0"/>
              <w:bottom w:val="single" w:color="auto" w:sz="4" w:space="0"/>
              <w:right w:val="single" w:color="auto" w:sz="4" w:space="0"/>
            </w:tcBorders>
          </w:tcPr>
          <w:p w:rsidRPr="00D514DA" w:rsidR="00D514DA" w:rsidP="009D2735" w:rsidRDefault="00D514DA" w14:paraId="530D4021" w14:textId="77777777">
            <w:pPr>
              <w:pStyle w:val="NormalinTable"/>
            </w:pPr>
            <w:r w:rsidRPr="00D514DA">
              <w:t>Deemed measure</w:t>
            </w:r>
          </w:p>
        </w:tc>
      </w:tr>
    </w:tbl>
    <w:p w:rsidRPr="00D514DA" w:rsidR="00D514DA" w:rsidP="00D514DA" w:rsidRDefault="00D514DA" w14:paraId="5588D1DD" w14:textId="77777777"/>
    <w:p w:rsidRPr="00D514DA" w:rsidR="00D514DA" w:rsidP="005B0067" w:rsidRDefault="008F453F" w14:paraId="3CD75B10" w14:textId="172E026A">
      <w:pPr>
        <w:pStyle w:val="Heading3"/>
      </w:pPr>
      <w:bookmarkStart w:name="_Toc175733789" w:id="97"/>
      <w:bookmarkStart w:name="_Toc175742653" w:id="98"/>
      <w:bookmarkStart w:name="_Toc175762733" w:id="99"/>
      <w:bookmarkStart w:name="_Toc175766013" w:id="100"/>
      <w:bookmarkStart w:name="_Toc175733790" w:id="101"/>
      <w:bookmarkStart w:name="_Toc175742654" w:id="102"/>
      <w:bookmarkStart w:name="_Toc175762734" w:id="103"/>
      <w:bookmarkStart w:name="_Toc175766014" w:id="104"/>
      <w:bookmarkStart w:name="_Toc175733791" w:id="105"/>
      <w:bookmarkStart w:name="_Toc175742655" w:id="106"/>
      <w:bookmarkStart w:name="_Toc175762735" w:id="107"/>
      <w:bookmarkStart w:name="_Toc175766015" w:id="108"/>
      <w:bookmarkStart w:name="_Toc175733813" w:id="109"/>
      <w:bookmarkStart w:name="_Toc175742677" w:id="110"/>
      <w:bookmarkStart w:name="_Toc175762757" w:id="111"/>
      <w:bookmarkStart w:name="_Toc175766037" w:id="112"/>
      <w:bookmarkStart w:name="_Toc185271182" w:id="113"/>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r>
        <w:t>(F.4) U</w:t>
      </w:r>
      <w:r w:rsidRPr="00D514DA" w:rsidR="00D514DA">
        <w:t>pdates to EULs</w:t>
      </w:r>
      <w:bookmarkEnd w:id="113"/>
    </w:p>
    <w:p w:rsidRPr="00070033" w:rsidR="00070033" w:rsidP="00070033" w:rsidRDefault="003C0E9E" w14:paraId="7F61E2B6" w14:textId="77777777">
      <w:pPr>
        <w:pStyle w:val="Heading4"/>
      </w:pPr>
      <w:bookmarkStart w:name="_Hlk162978794" w:id="114"/>
      <w:bookmarkStart w:name="_Hlk162968486" w:id="115"/>
      <w:r>
        <w:t xml:space="preserve">(F.4.1) </w:t>
      </w:r>
      <w:r w:rsidRPr="00070033" w:rsidR="00070033">
        <w:t>EUL for Residential Behavioral NMEC Programs</w:t>
      </w:r>
    </w:p>
    <w:p w:rsidR="006906F6" w:rsidP="006906F6" w:rsidRDefault="00D514DA" w14:paraId="600E8FDD" w14:textId="574F8117">
      <w:r w:rsidRPr="00D514DA">
        <w:rPr>
          <w:u w:val="single"/>
        </w:rPr>
        <w:t>Effective Program Year: 202</w:t>
      </w:r>
      <w:r w:rsidR="003935E2">
        <w:rPr>
          <w:u w:val="single"/>
        </w:rPr>
        <w:t>5</w:t>
      </w:r>
      <w:r w:rsidRPr="00D514DA">
        <w:rPr>
          <w:u w:val="single"/>
        </w:rPr>
        <w:t>.</w:t>
      </w:r>
      <w:r w:rsidRPr="00D514DA">
        <w:t xml:space="preserve"> Although not the direct result of an EM&amp;V study, data was provided to Ex Ante Review that showed evidence of a population-level NMEC </w:t>
      </w:r>
      <w:r w:rsidR="00043476">
        <w:t xml:space="preserve">(Normalized Meter Energy Consumption) </w:t>
      </w:r>
      <w:r w:rsidRPr="00D514DA">
        <w:t>Residential Behavioral Program delivering measurable savings for two years. The first year of savings were evaluated for the 2019, 2020, and 2021 cohorts of participants and reported to have delivered 7.5%, 7.7%</w:t>
      </w:r>
      <w:r w:rsidR="00B32FE5">
        <w:t>,</w:t>
      </w:r>
      <w:r w:rsidRPr="00D514DA">
        <w:t xml:space="preserve"> and 6.7%, respectively, of electric savings and 6.1%, 3.4%, and 3.5% of gas savings.</w:t>
      </w:r>
      <w:r w:rsidRPr="00D514DA">
        <w:rPr>
          <w:vertAlign w:val="superscript"/>
        </w:rPr>
        <w:footnoteReference w:id="27"/>
      </w:r>
      <w:r w:rsidR="001213B5">
        <w:t xml:space="preserve"> </w:t>
      </w:r>
      <w:r w:rsidRPr="00A64C51" w:rsidR="00A64C51">
        <w:t>A new EUL ID has been created (Res-Behavioral-NMEC) where each year's energy savings will be empirically derived in accordance with NMEC rules.</w:t>
      </w:r>
    </w:p>
    <w:bookmarkEnd w:id="114"/>
    <w:bookmarkEnd w:id="115"/>
    <w:p w:rsidRPr="00D514DA" w:rsidR="00D514DA" w:rsidP="005B0067" w:rsidRDefault="003C0E9E" w14:paraId="1726BA6A" w14:textId="7F620922">
      <w:pPr>
        <w:pStyle w:val="Heading4"/>
      </w:pPr>
      <w:r>
        <w:t>(F.</w:t>
      </w:r>
      <w:r w:rsidR="00C93E2E">
        <w:t xml:space="preserve">4.2) </w:t>
      </w:r>
      <w:r w:rsidRPr="00D514DA" w:rsidR="00D514DA">
        <w:t>Residential Weatherization Measures</w:t>
      </w:r>
    </w:p>
    <w:p w:rsidRPr="00D514DA" w:rsidR="00D514DA" w:rsidP="00D514DA" w:rsidRDefault="00D514DA" w14:paraId="43CA2776" w14:textId="2AB3EBB0">
      <w:r w:rsidRPr="00D514DA">
        <w:rPr>
          <w:u w:val="single"/>
        </w:rPr>
        <w:t>Effective Program Year: 2024.</w:t>
      </w:r>
      <w:r w:rsidRPr="00D514DA">
        <w:t xml:space="preserve"> Documentation was submitted to Ex Ante Review to support the addition of the EUL_IDs and EULs as shown in </w:t>
      </w:r>
      <w:r w:rsidRPr="00D514DA">
        <w:fldChar w:fldCharType="begin"/>
      </w:r>
      <w:r w:rsidRPr="00D514DA">
        <w:instrText xml:space="preserve"> REF _Ref162897485 \h </w:instrText>
      </w:r>
      <w:r w:rsidR="005B0067">
        <w:instrText xml:space="preserve"> \* MERGEFORMAT </w:instrText>
      </w:r>
      <w:r w:rsidRPr="00D514DA">
        <w:fldChar w:fldCharType="separate"/>
      </w:r>
      <w:r w:rsidRPr="00D514DA" w:rsidR="00E812F0">
        <w:t xml:space="preserve">Table </w:t>
      </w:r>
      <w:r w:rsidRPr="00CC2B9C" w:rsidR="00E812F0">
        <w:rPr>
          <w:noProof/>
          <w:webHidden/>
        </w:rPr>
        <w:t>A-</w:t>
      </w:r>
      <w:r w:rsidR="00E812F0">
        <w:rPr>
          <w:noProof/>
        </w:rPr>
        <w:t>1</w:t>
      </w:r>
      <w:r w:rsidRPr="00D514DA" w:rsidR="00E812F0">
        <w:rPr>
          <w:noProof/>
        </w:rPr>
        <w:noBreakHyphen/>
      </w:r>
      <w:r w:rsidR="00E812F0">
        <w:rPr>
          <w:noProof/>
        </w:rPr>
        <w:t>15</w:t>
      </w:r>
      <w:r w:rsidRPr="00D514DA">
        <w:fldChar w:fldCharType="end"/>
      </w:r>
      <w:r w:rsidRPr="00D514DA">
        <w:t>.</w:t>
      </w:r>
    </w:p>
    <w:p w:rsidRPr="00D514DA" w:rsidR="00D514DA" w:rsidP="005B0067" w:rsidRDefault="00D514DA" w14:paraId="3D58A120" w14:textId="0535729C">
      <w:pPr>
        <w:pStyle w:val="Caption"/>
      </w:pPr>
      <w:bookmarkStart w:name="_Ref162897485" w:id="116"/>
      <w:bookmarkStart w:name="_Toc185273166" w:id="117"/>
      <w:r w:rsidRPr="00D514DA">
        <w:lastRenderedPageBreak/>
        <w:t xml:space="preserve">Table </w:t>
      </w:r>
      <w:r w:rsidRPr="00CC2B9C" w:rsidR="00CC2B9C">
        <w:rPr>
          <w:webHidden/>
        </w:rPr>
        <w:t>A-</w:t>
      </w:r>
      <w:r>
        <w:fldChar w:fldCharType="begin"/>
      </w:r>
      <w:r>
        <w:instrText>STYLEREF 1 \s</w:instrText>
      </w:r>
      <w:r>
        <w:fldChar w:fldCharType="separate"/>
      </w:r>
      <w:r w:rsidR="00E812F0">
        <w:rPr>
          <w:noProof/>
        </w:rPr>
        <w:t>1</w:t>
      </w:r>
      <w:r>
        <w:fldChar w:fldCharType="end"/>
      </w:r>
      <w:r w:rsidRPr="00D514DA">
        <w:noBreakHyphen/>
      </w:r>
      <w:r>
        <w:fldChar w:fldCharType="begin"/>
      </w:r>
      <w:r>
        <w:instrText>SEQ Table \* ARABIC \s 1</w:instrText>
      </w:r>
      <w:r>
        <w:fldChar w:fldCharType="separate"/>
      </w:r>
      <w:r w:rsidR="00E812F0">
        <w:rPr>
          <w:noProof/>
        </w:rPr>
        <w:t>15</w:t>
      </w:r>
      <w:r>
        <w:fldChar w:fldCharType="end"/>
      </w:r>
      <w:bookmarkEnd w:id="116"/>
      <w:r w:rsidRPr="00D514DA">
        <w:t>. Residential Weatherization EULs</w:t>
      </w:r>
      <w:bookmarkEnd w:id="117"/>
      <w:r w:rsidRPr="00D514DA">
        <w:t xml:space="preserve"> </w:t>
      </w:r>
    </w:p>
    <w:tbl>
      <w:tblPr>
        <w:tblW w:w="84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bottom w:w="14" w:type="dxa"/>
        </w:tblCellMar>
        <w:tblLook w:val="04A0" w:firstRow="1" w:lastRow="0" w:firstColumn="1" w:lastColumn="0" w:noHBand="0" w:noVBand="1"/>
      </w:tblPr>
      <w:tblGrid>
        <w:gridCol w:w="4320"/>
        <w:gridCol w:w="4140"/>
      </w:tblGrid>
      <w:tr w:rsidRPr="00D514DA" w:rsidR="00D514DA" w:rsidTr="00A743DC" w14:paraId="3D8F73DA" w14:textId="77777777">
        <w:trPr>
          <w:cantSplit/>
          <w:tblHeader/>
        </w:trPr>
        <w:tc>
          <w:tcPr>
            <w:tcW w:w="4320" w:type="dxa"/>
            <w:tcBorders>
              <w:left w:val="single" w:color="auto" w:sz="4" w:space="0"/>
              <w:bottom w:val="single" w:color="auto" w:sz="4" w:space="0"/>
              <w:right w:val="single" w:color="auto" w:sz="4" w:space="0"/>
            </w:tcBorders>
            <w:vAlign w:val="bottom"/>
          </w:tcPr>
          <w:p w:rsidRPr="00D514DA" w:rsidR="00D514DA" w:rsidP="00BA1F59" w:rsidRDefault="00D514DA" w14:paraId="0C2A1881" w14:textId="77777777">
            <w:pPr>
              <w:pStyle w:val="NormalinTable"/>
              <w:keepNext/>
            </w:pPr>
            <w:r w:rsidRPr="00D514DA">
              <w:t>Measure</w:t>
            </w:r>
          </w:p>
        </w:tc>
        <w:tc>
          <w:tcPr>
            <w:tcW w:w="4140" w:type="dxa"/>
            <w:tcBorders>
              <w:top w:val="single" w:color="auto" w:sz="4" w:space="0"/>
              <w:left w:val="single" w:color="auto" w:sz="4" w:space="0"/>
              <w:right w:val="single" w:color="auto" w:sz="4" w:space="0"/>
            </w:tcBorders>
            <w:vAlign w:val="bottom"/>
          </w:tcPr>
          <w:p w:rsidRPr="00D514DA" w:rsidR="00D514DA" w:rsidP="00BA1F59" w:rsidRDefault="00D514DA" w14:paraId="45FAB21A" w14:textId="77777777">
            <w:pPr>
              <w:pStyle w:val="NormalinTable"/>
              <w:keepNext/>
            </w:pPr>
            <w:r w:rsidRPr="00D514DA">
              <w:t>DEER2024 EUL_ID, year(s)</w:t>
            </w:r>
          </w:p>
        </w:tc>
      </w:tr>
      <w:tr w:rsidRPr="00D514DA" w:rsidR="00D514DA" w:rsidTr="001546B2" w14:paraId="186E7E9E" w14:textId="77777777">
        <w:trPr>
          <w:cantSplit/>
          <w:tblHeader/>
        </w:trPr>
        <w:tc>
          <w:tcPr>
            <w:tcW w:w="4320" w:type="dxa"/>
            <w:tcBorders>
              <w:left w:val="single" w:color="auto" w:sz="4" w:space="0"/>
              <w:right w:val="single" w:color="auto" w:sz="4" w:space="0"/>
            </w:tcBorders>
          </w:tcPr>
          <w:p w:rsidRPr="00D514DA" w:rsidR="00D514DA" w:rsidP="001546B2" w:rsidRDefault="00D514DA" w14:paraId="435C34F5" w14:textId="662D3AE5">
            <w:pPr>
              <w:pStyle w:val="NormalinTable"/>
            </w:pPr>
            <w:r w:rsidRPr="00D514DA">
              <w:t>Residential solid-core wood door</w:t>
            </w:r>
            <w:r w:rsidR="00A85D8B">
              <w:rPr>
                <w:rStyle w:val="FootnoteReference"/>
              </w:rPr>
              <w:footnoteReference w:id="28"/>
            </w:r>
          </w:p>
        </w:tc>
        <w:tc>
          <w:tcPr>
            <w:tcW w:w="4140" w:type="dxa"/>
            <w:tcBorders>
              <w:top w:val="single" w:color="auto" w:sz="4" w:space="0"/>
              <w:left w:val="single" w:color="auto" w:sz="4" w:space="0"/>
              <w:bottom w:val="single" w:color="auto" w:sz="4" w:space="0"/>
              <w:right w:val="single" w:color="auto" w:sz="4" w:space="0"/>
            </w:tcBorders>
          </w:tcPr>
          <w:p w:rsidRPr="00D514DA" w:rsidR="00D514DA" w:rsidP="001546B2" w:rsidRDefault="00E72033" w14:paraId="43686EC6" w14:textId="37F7882A">
            <w:pPr>
              <w:pStyle w:val="NormalinTable"/>
              <w:tabs>
                <w:tab w:val="right" w:pos="3046"/>
                <w:tab w:val="decimal" w:pos="3586"/>
              </w:tabs>
            </w:pPr>
            <w:r>
              <w:tab/>
            </w:r>
            <w:r w:rsidRPr="00D514DA" w:rsidR="00D514DA">
              <w:t xml:space="preserve">BS-Door: </w:t>
            </w:r>
            <w:r w:rsidR="002B0E7D">
              <w:tab/>
            </w:r>
            <w:r w:rsidRPr="00D514DA" w:rsidR="00D514DA">
              <w:t>20.0</w:t>
            </w:r>
          </w:p>
        </w:tc>
      </w:tr>
      <w:tr w:rsidRPr="00D514DA" w:rsidR="00D514DA" w:rsidTr="001546B2" w14:paraId="5DBA7627" w14:textId="77777777">
        <w:trPr>
          <w:cantSplit/>
          <w:tblHeader/>
        </w:trPr>
        <w:tc>
          <w:tcPr>
            <w:tcW w:w="4320" w:type="dxa"/>
            <w:tcBorders>
              <w:left w:val="single" w:color="auto" w:sz="4" w:space="0"/>
              <w:right w:val="single" w:color="auto" w:sz="4" w:space="0"/>
            </w:tcBorders>
          </w:tcPr>
          <w:p w:rsidRPr="00D514DA" w:rsidR="00D514DA" w:rsidP="001546B2" w:rsidRDefault="00D514DA" w14:paraId="61FC4152" w14:textId="1D5CC639">
            <w:pPr>
              <w:pStyle w:val="NormalinTable"/>
            </w:pPr>
            <w:r w:rsidRPr="00D514DA">
              <w:t>Residential door seals</w:t>
            </w:r>
            <w:r w:rsidR="00A97252">
              <w:rPr>
                <w:rStyle w:val="FootnoteReference"/>
              </w:rPr>
              <w:footnoteReference w:id="29"/>
            </w:r>
          </w:p>
        </w:tc>
        <w:tc>
          <w:tcPr>
            <w:tcW w:w="4140" w:type="dxa"/>
            <w:tcBorders>
              <w:top w:val="single" w:color="auto" w:sz="4" w:space="0"/>
              <w:left w:val="single" w:color="auto" w:sz="4" w:space="0"/>
              <w:bottom w:val="single" w:color="auto" w:sz="4" w:space="0"/>
              <w:right w:val="single" w:color="auto" w:sz="4" w:space="0"/>
            </w:tcBorders>
          </w:tcPr>
          <w:p w:rsidRPr="00D514DA" w:rsidR="00D514DA" w:rsidP="001546B2" w:rsidRDefault="00E72033" w14:paraId="2562E366" w14:textId="5219B39C">
            <w:pPr>
              <w:pStyle w:val="NormalinTable"/>
              <w:tabs>
                <w:tab w:val="right" w:pos="3046"/>
                <w:tab w:val="decimal" w:pos="3586"/>
              </w:tabs>
            </w:pPr>
            <w:r>
              <w:tab/>
            </w:r>
            <w:r w:rsidRPr="00D514DA" w:rsidR="00D514DA">
              <w:t>BS-DoorSeals:</w:t>
            </w:r>
            <w:r w:rsidR="00343846">
              <w:tab/>
            </w:r>
            <w:r w:rsidRPr="00D514DA" w:rsidR="00D514DA">
              <w:t>15.0</w:t>
            </w:r>
          </w:p>
        </w:tc>
      </w:tr>
      <w:tr w:rsidRPr="00D514DA" w:rsidR="00D514DA" w:rsidTr="001546B2" w14:paraId="619AB45A" w14:textId="77777777">
        <w:trPr>
          <w:cantSplit/>
          <w:tblHeader/>
        </w:trPr>
        <w:tc>
          <w:tcPr>
            <w:tcW w:w="4320" w:type="dxa"/>
            <w:tcBorders>
              <w:left w:val="single" w:color="auto" w:sz="4" w:space="0"/>
              <w:bottom w:val="single" w:color="auto" w:sz="4" w:space="0"/>
              <w:right w:val="single" w:color="auto" w:sz="4" w:space="0"/>
            </w:tcBorders>
          </w:tcPr>
          <w:p w:rsidRPr="00D514DA" w:rsidR="00D514DA" w:rsidP="001546B2" w:rsidRDefault="00D514DA" w14:paraId="5553958D" w14:textId="371F5C32">
            <w:pPr>
              <w:pStyle w:val="NormalinTable"/>
            </w:pPr>
            <w:r w:rsidRPr="00D514DA">
              <w:t>Residential door sweep</w:t>
            </w:r>
            <w:r w:rsidR="006B2AAF">
              <w:rPr>
                <w:rStyle w:val="FootnoteReference"/>
              </w:rPr>
              <w:footnoteReference w:id="30"/>
            </w:r>
          </w:p>
        </w:tc>
        <w:tc>
          <w:tcPr>
            <w:tcW w:w="4140" w:type="dxa"/>
            <w:tcBorders>
              <w:top w:val="single" w:color="auto" w:sz="4" w:space="0"/>
              <w:left w:val="single" w:color="auto" w:sz="4" w:space="0"/>
              <w:right w:val="single" w:color="auto" w:sz="4" w:space="0"/>
            </w:tcBorders>
          </w:tcPr>
          <w:p w:rsidRPr="00D514DA" w:rsidR="00D514DA" w:rsidP="001546B2" w:rsidRDefault="00E72033" w14:paraId="029D24D5" w14:textId="144E1EDB">
            <w:pPr>
              <w:pStyle w:val="NormalinTable"/>
              <w:tabs>
                <w:tab w:val="right" w:pos="3046"/>
                <w:tab w:val="decimal" w:pos="3586"/>
              </w:tabs>
            </w:pPr>
            <w:r>
              <w:tab/>
            </w:r>
            <w:r w:rsidRPr="00D514DA" w:rsidR="00D514DA">
              <w:t xml:space="preserve">BS-DoorSweep: </w:t>
            </w:r>
            <w:r w:rsidR="004D3F51">
              <w:tab/>
            </w:r>
            <w:r w:rsidRPr="00D514DA" w:rsidR="00D514DA">
              <w:t>5.0</w:t>
            </w:r>
          </w:p>
        </w:tc>
      </w:tr>
    </w:tbl>
    <w:p w:rsidRPr="00D514DA" w:rsidR="00D514DA" w:rsidP="00D514DA" w:rsidRDefault="00D514DA" w14:paraId="0705CAA6" w14:textId="77777777"/>
    <w:p w:rsidRPr="00D514DA" w:rsidR="00D514DA" w:rsidP="003D0691" w:rsidRDefault="00661BF8" w14:paraId="043C06A5" w14:textId="4B6C9D21">
      <w:pPr>
        <w:pStyle w:val="Heading4"/>
      </w:pPr>
      <w:r>
        <w:t>(F.</w:t>
      </w:r>
      <w:r w:rsidR="00CA3036">
        <w:t xml:space="preserve">4.3) </w:t>
      </w:r>
      <w:r w:rsidRPr="00D514DA" w:rsidR="00D514DA">
        <w:t>Other Mid-cycle EUL Additions</w:t>
      </w:r>
    </w:p>
    <w:p w:rsidRPr="00D514DA" w:rsidR="00D514DA" w:rsidP="00D514DA" w:rsidRDefault="00D514DA" w14:paraId="0DD78E3C" w14:textId="5314C936">
      <w:r w:rsidRPr="00D514DA">
        <w:rPr>
          <w:u w:val="single"/>
        </w:rPr>
        <w:t>Effective Program Year: 2023-2024.</w:t>
      </w:r>
      <w:r w:rsidRPr="00D514DA">
        <w:t xml:space="preserve"> Documentation was submitted to Ex Ante Review to support the addition of the EUL_IDs and EULs as shown in </w:t>
      </w:r>
      <w:r w:rsidRPr="00D514DA">
        <w:fldChar w:fldCharType="begin"/>
      </w:r>
      <w:r w:rsidRPr="00D514DA">
        <w:instrText xml:space="preserve"> REF _Ref163589260 \h </w:instrText>
      </w:r>
      <w:r w:rsidR="003D0691">
        <w:instrText xml:space="preserve"> \* MERGEFORMAT </w:instrText>
      </w:r>
      <w:r w:rsidRPr="00D514DA">
        <w:fldChar w:fldCharType="separate"/>
      </w:r>
      <w:r w:rsidRPr="00D514DA" w:rsidR="00E812F0">
        <w:t xml:space="preserve">Table </w:t>
      </w:r>
      <w:r w:rsidRPr="00CC2B9C" w:rsidR="00E812F0">
        <w:rPr>
          <w:noProof/>
          <w:webHidden/>
        </w:rPr>
        <w:t>A-</w:t>
      </w:r>
      <w:r w:rsidR="00E812F0">
        <w:rPr>
          <w:noProof/>
        </w:rPr>
        <w:t>1</w:t>
      </w:r>
      <w:r w:rsidRPr="00D514DA" w:rsidR="00E812F0">
        <w:rPr>
          <w:noProof/>
        </w:rPr>
        <w:noBreakHyphen/>
      </w:r>
      <w:r w:rsidR="00E812F0">
        <w:rPr>
          <w:noProof/>
        </w:rPr>
        <w:t>16</w:t>
      </w:r>
      <w:r w:rsidRPr="00D514DA">
        <w:fldChar w:fldCharType="end"/>
      </w:r>
      <w:r w:rsidRPr="00D514DA">
        <w:t xml:space="preserve">. Some of these measures have not </w:t>
      </w:r>
      <w:r w:rsidR="008A32BB">
        <w:t xml:space="preserve">yet </w:t>
      </w:r>
      <w:r w:rsidRPr="00D514DA">
        <w:t>been approved.</w:t>
      </w:r>
    </w:p>
    <w:p w:rsidRPr="00D514DA" w:rsidR="00D514DA" w:rsidP="003D0691" w:rsidRDefault="00D514DA" w14:paraId="2178404E" w14:textId="639E243D">
      <w:pPr>
        <w:pStyle w:val="Caption"/>
      </w:pPr>
      <w:bookmarkStart w:name="_Ref163589260" w:id="118"/>
      <w:bookmarkStart w:name="_Toc185273167" w:id="119"/>
      <w:r w:rsidRPr="00D514DA">
        <w:t xml:space="preserve">Table </w:t>
      </w:r>
      <w:r w:rsidRPr="00CC2B9C" w:rsidR="00CC2B9C">
        <w:rPr>
          <w:webHidden/>
        </w:rPr>
        <w:t>A-</w:t>
      </w:r>
      <w:r>
        <w:fldChar w:fldCharType="begin"/>
      </w:r>
      <w:r>
        <w:instrText>STYLEREF 1 \s</w:instrText>
      </w:r>
      <w:r>
        <w:fldChar w:fldCharType="separate"/>
      </w:r>
      <w:r w:rsidR="00E812F0">
        <w:rPr>
          <w:noProof/>
        </w:rPr>
        <w:t>1</w:t>
      </w:r>
      <w:r>
        <w:fldChar w:fldCharType="end"/>
      </w:r>
      <w:r w:rsidRPr="00D514DA">
        <w:noBreakHyphen/>
      </w:r>
      <w:r>
        <w:fldChar w:fldCharType="begin"/>
      </w:r>
      <w:r>
        <w:instrText>SEQ Table \* ARABIC \s 1</w:instrText>
      </w:r>
      <w:r>
        <w:fldChar w:fldCharType="separate"/>
      </w:r>
      <w:r w:rsidR="00E812F0">
        <w:rPr>
          <w:noProof/>
        </w:rPr>
        <w:t>16</w:t>
      </w:r>
      <w:r>
        <w:fldChar w:fldCharType="end"/>
      </w:r>
      <w:bookmarkEnd w:id="118"/>
      <w:r w:rsidRPr="00D514DA">
        <w:t>. Mid-cycle EULs added to DEER</w:t>
      </w:r>
      <w:bookmarkEnd w:id="119"/>
    </w:p>
    <w:tbl>
      <w:tblPr>
        <w:tblW w:w="932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bottom w:w="14" w:type="dxa"/>
        </w:tblCellMar>
        <w:tblLook w:val="04A0" w:firstRow="1" w:lastRow="0" w:firstColumn="1" w:lastColumn="0" w:noHBand="0" w:noVBand="1"/>
      </w:tblPr>
      <w:tblGrid>
        <w:gridCol w:w="5184"/>
        <w:gridCol w:w="4140"/>
      </w:tblGrid>
      <w:tr w:rsidRPr="00D514DA" w:rsidR="00D514DA" w:rsidTr="00A23F4A" w14:paraId="492E2D1C" w14:textId="77777777">
        <w:trPr>
          <w:cantSplit/>
          <w:tblHeader/>
        </w:trPr>
        <w:tc>
          <w:tcPr>
            <w:tcW w:w="5184" w:type="dxa"/>
            <w:tcBorders>
              <w:left w:val="single" w:color="auto" w:sz="4" w:space="0"/>
              <w:right w:val="single" w:color="auto" w:sz="4" w:space="0"/>
            </w:tcBorders>
            <w:vAlign w:val="bottom"/>
          </w:tcPr>
          <w:p w:rsidRPr="00D514DA" w:rsidR="00D514DA" w:rsidP="00880469" w:rsidRDefault="00D514DA" w14:paraId="1D47C622" w14:textId="77777777">
            <w:pPr>
              <w:pStyle w:val="NormalinTable"/>
              <w:keepNext/>
            </w:pPr>
            <w:r w:rsidRPr="00D514DA">
              <w:t>Measure</w:t>
            </w:r>
          </w:p>
        </w:tc>
        <w:tc>
          <w:tcPr>
            <w:tcW w:w="4140" w:type="dxa"/>
            <w:tcBorders>
              <w:top w:val="single" w:color="auto" w:sz="4" w:space="0"/>
              <w:left w:val="single" w:color="auto" w:sz="4" w:space="0"/>
              <w:bottom w:val="single" w:color="auto" w:sz="4" w:space="0"/>
              <w:right w:val="single" w:color="auto" w:sz="4" w:space="0"/>
            </w:tcBorders>
            <w:vAlign w:val="bottom"/>
          </w:tcPr>
          <w:p w:rsidRPr="00D514DA" w:rsidR="00D514DA" w:rsidP="00880469" w:rsidRDefault="00D514DA" w14:paraId="6588B900" w14:textId="77777777">
            <w:pPr>
              <w:pStyle w:val="NormalinTable"/>
              <w:keepNext/>
            </w:pPr>
            <w:r w:rsidRPr="00D514DA">
              <w:t>DEER2023 EUL_ID, year(s)</w:t>
            </w:r>
          </w:p>
        </w:tc>
      </w:tr>
      <w:tr w:rsidRPr="00E72033" w:rsidR="00D514DA" w:rsidTr="00A23F4A" w14:paraId="434F0FB8" w14:textId="77777777">
        <w:trPr>
          <w:cantSplit/>
          <w:tblHeader/>
        </w:trPr>
        <w:tc>
          <w:tcPr>
            <w:tcW w:w="5184" w:type="dxa"/>
            <w:tcBorders>
              <w:left w:val="single" w:color="auto" w:sz="4" w:space="0"/>
              <w:right w:val="single" w:color="auto" w:sz="4" w:space="0"/>
            </w:tcBorders>
          </w:tcPr>
          <w:p w:rsidRPr="00D514DA" w:rsidR="00D514DA" w:rsidP="001546B2" w:rsidRDefault="00D514DA" w14:paraId="0B856B88" w14:textId="77777777">
            <w:pPr>
              <w:pStyle w:val="NormalinTable"/>
            </w:pPr>
            <w:r w:rsidRPr="00D514DA">
              <w:t>Residential fan controller for HVAC</w:t>
            </w:r>
          </w:p>
        </w:tc>
        <w:tc>
          <w:tcPr>
            <w:tcW w:w="4140" w:type="dxa"/>
            <w:tcBorders>
              <w:top w:val="single" w:color="auto" w:sz="4" w:space="0"/>
              <w:left w:val="single" w:color="auto" w:sz="4" w:space="0"/>
              <w:bottom w:val="single" w:color="auto" w:sz="4" w:space="0"/>
              <w:right w:val="single" w:color="auto" w:sz="4" w:space="0"/>
            </w:tcBorders>
          </w:tcPr>
          <w:p w:rsidRPr="00D514DA" w:rsidR="00D514DA" w:rsidP="001546B2" w:rsidRDefault="00E72033" w14:paraId="187B0A83" w14:textId="5A143F4D">
            <w:pPr>
              <w:pStyle w:val="NormalinTable"/>
              <w:tabs>
                <w:tab w:val="right" w:pos="3046"/>
                <w:tab w:val="decimal" w:pos="3586"/>
              </w:tabs>
            </w:pPr>
            <w:r>
              <w:tab/>
            </w:r>
            <w:r w:rsidRPr="00D514DA" w:rsidR="00D514DA">
              <w:t xml:space="preserve">HV-FanControl: </w:t>
            </w:r>
            <w:r>
              <w:tab/>
            </w:r>
            <w:r w:rsidRPr="00D514DA" w:rsidR="00D514DA">
              <w:t>9.7</w:t>
            </w:r>
          </w:p>
        </w:tc>
      </w:tr>
      <w:tr w:rsidRPr="00E72033" w:rsidR="00D514DA" w:rsidTr="00A23F4A" w14:paraId="03D369A5" w14:textId="77777777">
        <w:trPr>
          <w:cantSplit/>
          <w:tblHeader/>
        </w:trPr>
        <w:tc>
          <w:tcPr>
            <w:tcW w:w="5184" w:type="dxa"/>
            <w:tcBorders>
              <w:left w:val="single" w:color="auto" w:sz="4" w:space="0"/>
              <w:right w:val="single" w:color="auto" w:sz="4" w:space="0"/>
            </w:tcBorders>
          </w:tcPr>
          <w:p w:rsidRPr="00D514DA" w:rsidR="00D514DA" w:rsidP="001546B2" w:rsidRDefault="00D514DA" w14:paraId="4B1ACE4D" w14:textId="77777777">
            <w:pPr>
              <w:pStyle w:val="NormalinTable"/>
            </w:pPr>
            <w:r w:rsidRPr="00D514DA">
              <w:t>Commercial Patio Heater</w:t>
            </w:r>
          </w:p>
        </w:tc>
        <w:tc>
          <w:tcPr>
            <w:tcW w:w="4140" w:type="dxa"/>
            <w:tcBorders>
              <w:top w:val="single" w:color="auto" w:sz="4" w:space="0"/>
              <w:left w:val="single" w:color="auto" w:sz="4" w:space="0"/>
              <w:bottom w:val="single" w:color="auto" w:sz="4" w:space="0"/>
              <w:right w:val="single" w:color="auto" w:sz="4" w:space="0"/>
            </w:tcBorders>
          </w:tcPr>
          <w:p w:rsidRPr="00D514DA" w:rsidR="00D514DA" w:rsidP="001546B2" w:rsidRDefault="00E72033" w14:paraId="5E692C40" w14:textId="43777AF1">
            <w:pPr>
              <w:pStyle w:val="NormalinTable"/>
              <w:tabs>
                <w:tab w:val="right" w:pos="3046"/>
                <w:tab w:val="decimal" w:pos="3586"/>
              </w:tabs>
            </w:pPr>
            <w:r>
              <w:tab/>
            </w:r>
            <w:r w:rsidRPr="00D514DA" w:rsidR="00D514DA">
              <w:t xml:space="preserve">Com-GasPatioHeater: </w:t>
            </w:r>
            <w:r>
              <w:tab/>
            </w:r>
            <w:r w:rsidRPr="00D514DA" w:rsidR="00D514DA">
              <w:t>7.5</w:t>
            </w:r>
          </w:p>
        </w:tc>
      </w:tr>
      <w:tr w:rsidRPr="00E72033" w:rsidR="00D514DA" w:rsidTr="00A23F4A" w14:paraId="7CC6EBB8" w14:textId="77777777">
        <w:trPr>
          <w:cantSplit/>
          <w:tblHeader/>
        </w:trPr>
        <w:tc>
          <w:tcPr>
            <w:tcW w:w="5184" w:type="dxa"/>
            <w:tcBorders>
              <w:left w:val="single" w:color="auto" w:sz="4" w:space="0"/>
              <w:right w:val="single" w:color="auto" w:sz="4" w:space="0"/>
            </w:tcBorders>
          </w:tcPr>
          <w:p w:rsidRPr="00D514DA" w:rsidR="00D514DA" w:rsidP="001546B2" w:rsidRDefault="00D514DA" w14:paraId="6088A2FA" w14:textId="77777777">
            <w:pPr>
              <w:pStyle w:val="NormalinTable"/>
            </w:pPr>
            <w:r w:rsidRPr="00D514DA">
              <w:t>Commercial weather-based Irrigation Controller</w:t>
            </w:r>
          </w:p>
        </w:tc>
        <w:tc>
          <w:tcPr>
            <w:tcW w:w="4140" w:type="dxa"/>
            <w:tcBorders>
              <w:top w:val="single" w:color="auto" w:sz="4" w:space="0"/>
              <w:left w:val="single" w:color="auto" w:sz="4" w:space="0"/>
              <w:bottom w:val="single" w:color="auto" w:sz="4" w:space="0"/>
              <w:right w:val="single" w:color="auto" w:sz="4" w:space="0"/>
            </w:tcBorders>
          </w:tcPr>
          <w:p w:rsidRPr="00D514DA" w:rsidR="00D514DA" w:rsidP="001546B2" w:rsidRDefault="00E72033" w14:paraId="74E127F6" w14:textId="414DC46D">
            <w:pPr>
              <w:pStyle w:val="NormalinTable"/>
              <w:tabs>
                <w:tab w:val="right" w:pos="3046"/>
                <w:tab w:val="decimal" w:pos="3586"/>
              </w:tabs>
            </w:pPr>
            <w:r>
              <w:tab/>
            </w:r>
            <w:r w:rsidRPr="00D514DA" w:rsidR="00D514DA">
              <w:t xml:space="preserve">Wtr-Irrig-Ctrl-Weather-Com: </w:t>
            </w:r>
            <w:r>
              <w:tab/>
            </w:r>
            <w:r w:rsidRPr="00D514DA" w:rsidR="00D514DA">
              <w:t>3.0</w:t>
            </w:r>
            <w:r w:rsidR="00356C70">
              <w:t>*</w:t>
            </w:r>
          </w:p>
        </w:tc>
      </w:tr>
      <w:tr w:rsidRPr="00E72033" w:rsidR="00D514DA" w:rsidTr="00A23F4A" w14:paraId="13E38C1E" w14:textId="77777777">
        <w:trPr>
          <w:cantSplit/>
          <w:tblHeader/>
        </w:trPr>
        <w:tc>
          <w:tcPr>
            <w:tcW w:w="5184" w:type="dxa"/>
            <w:tcBorders>
              <w:left w:val="single" w:color="auto" w:sz="4" w:space="0"/>
              <w:right w:val="single" w:color="auto" w:sz="4" w:space="0"/>
            </w:tcBorders>
          </w:tcPr>
          <w:p w:rsidRPr="00D514DA" w:rsidR="00D514DA" w:rsidP="001546B2" w:rsidRDefault="00D514DA" w14:paraId="764DECA6" w14:textId="77777777">
            <w:pPr>
              <w:pStyle w:val="NormalinTable"/>
            </w:pPr>
            <w:r w:rsidRPr="00D514DA">
              <w:t>Residential Toilet</w:t>
            </w:r>
          </w:p>
        </w:tc>
        <w:tc>
          <w:tcPr>
            <w:tcW w:w="4140" w:type="dxa"/>
            <w:tcBorders>
              <w:top w:val="single" w:color="auto" w:sz="4" w:space="0"/>
              <w:left w:val="single" w:color="auto" w:sz="4" w:space="0"/>
              <w:bottom w:val="single" w:color="auto" w:sz="4" w:space="0"/>
              <w:right w:val="single" w:color="auto" w:sz="4" w:space="0"/>
            </w:tcBorders>
          </w:tcPr>
          <w:p w:rsidRPr="00D514DA" w:rsidR="00D514DA" w:rsidP="001546B2" w:rsidRDefault="00E72033" w14:paraId="267C916B" w14:textId="2C88383D">
            <w:pPr>
              <w:pStyle w:val="NormalinTable"/>
              <w:tabs>
                <w:tab w:val="right" w:pos="3046"/>
                <w:tab w:val="decimal" w:pos="3586"/>
              </w:tabs>
            </w:pPr>
            <w:r>
              <w:tab/>
            </w:r>
            <w:r w:rsidRPr="00D514DA" w:rsidR="00D514DA">
              <w:t xml:space="preserve">Wtr-WaterFixt-Toilet-Res: </w:t>
            </w:r>
            <w:r>
              <w:tab/>
            </w:r>
            <w:r w:rsidRPr="00D514DA" w:rsidR="00D514DA">
              <w:t>10.0</w:t>
            </w:r>
          </w:p>
        </w:tc>
      </w:tr>
      <w:tr w:rsidRPr="00E72033" w:rsidR="00D514DA" w:rsidTr="00A23F4A" w14:paraId="5E98306C" w14:textId="77777777">
        <w:trPr>
          <w:cantSplit/>
          <w:tblHeader/>
        </w:trPr>
        <w:tc>
          <w:tcPr>
            <w:tcW w:w="5184" w:type="dxa"/>
            <w:tcBorders>
              <w:left w:val="single" w:color="auto" w:sz="4" w:space="0"/>
              <w:right w:val="single" w:color="auto" w:sz="4" w:space="0"/>
            </w:tcBorders>
          </w:tcPr>
          <w:p w:rsidRPr="00D514DA" w:rsidR="00D514DA" w:rsidP="001546B2" w:rsidRDefault="00D514DA" w14:paraId="1B831100" w14:textId="77777777">
            <w:pPr>
              <w:pStyle w:val="NormalinTable"/>
            </w:pPr>
            <w:r w:rsidRPr="00D514DA">
              <w:t>Commercial Toilet</w:t>
            </w:r>
          </w:p>
        </w:tc>
        <w:tc>
          <w:tcPr>
            <w:tcW w:w="4140" w:type="dxa"/>
            <w:tcBorders>
              <w:top w:val="single" w:color="auto" w:sz="4" w:space="0"/>
              <w:left w:val="single" w:color="auto" w:sz="4" w:space="0"/>
              <w:bottom w:val="single" w:color="auto" w:sz="4" w:space="0"/>
              <w:right w:val="single" w:color="auto" w:sz="4" w:space="0"/>
            </w:tcBorders>
          </w:tcPr>
          <w:p w:rsidRPr="00D514DA" w:rsidR="00D514DA" w:rsidP="001546B2" w:rsidRDefault="00C73DE5" w14:paraId="0E2FE606" w14:textId="364645FA">
            <w:pPr>
              <w:pStyle w:val="NormalinTable"/>
              <w:tabs>
                <w:tab w:val="right" w:pos="3046"/>
                <w:tab w:val="decimal" w:pos="3586"/>
              </w:tabs>
            </w:pPr>
            <w:r>
              <w:tab/>
            </w:r>
            <w:r w:rsidRPr="00D514DA" w:rsidR="00D514DA">
              <w:t xml:space="preserve">Wtr-WaterFixt-Toilet-Com: </w:t>
            </w:r>
            <w:r>
              <w:tab/>
            </w:r>
            <w:r w:rsidRPr="00D514DA" w:rsidR="00D514DA">
              <w:t xml:space="preserve">20.0 </w:t>
            </w:r>
          </w:p>
        </w:tc>
      </w:tr>
      <w:tr w:rsidRPr="00E72033" w:rsidR="00D514DA" w:rsidTr="00A23F4A" w14:paraId="1F79E99B" w14:textId="77777777">
        <w:trPr>
          <w:cantSplit/>
          <w:tblHeader/>
        </w:trPr>
        <w:tc>
          <w:tcPr>
            <w:tcW w:w="5184" w:type="dxa"/>
            <w:tcBorders>
              <w:left w:val="single" w:color="auto" w:sz="4" w:space="0"/>
              <w:right w:val="single" w:color="auto" w:sz="4" w:space="0"/>
            </w:tcBorders>
          </w:tcPr>
          <w:p w:rsidRPr="00D514DA" w:rsidR="00D514DA" w:rsidP="001546B2" w:rsidRDefault="00D514DA" w14:paraId="0F867A93" w14:textId="77777777">
            <w:pPr>
              <w:pStyle w:val="NormalinTable"/>
            </w:pPr>
            <w:r w:rsidRPr="00D514DA">
              <w:t>Commercial Urinal</w:t>
            </w:r>
          </w:p>
        </w:tc>
        <w:tc>
          <w:tcPr>
            <w:tcW w:w="4140" w:type="dxa"/>
            <w:tcBorders>
              <w:top w:val="single" w:color="auto" w:sz="4" w:space="0"/>
              <w:left w:val="single" w:color="auto" w:sz="4" w:space="0"/>
              <w:bottom w:val="single" w:color="auto" w:sz="4" w:space="0"/>
              <w:right w:val="single" w:color="auto" w:sz="4" w:space="0"/>
            </w:tcBorders>
          </w:tcPr>
          <w:p w:rsidRPr="00D514DA" w:rsidR="00D514DA" w:rsidP="001546B2" w:rsidRDefault="00C73DE5" w14:paraId="35191CFD" w14:textId="022C0EF7">
            <w:pPr>
              <w:pStyle w:val="NormalinTable"/>
              <w:tabs>
                <w:tab w:val="right" w:pos="3046"/>
                <w:tab w:val="decimal" w:pos="3586"/>
              </w:tabs>
            </w:pPr>
            <w:r>
              <w:tab/>
            </w:r>
            <w:r w:rsidRPr="00D514DA" w:rsidR="00D514DA">
              <w:t xml:space="preserve">Wtr-WaterFixt-Urinal: </w:t>
            </w:r>
            <w:r>
              <w:tab/>
            </w:r>
            <w:r w:rsidRPr="00D514DA" w:rsidR="00D514DA">
              <w:t xml:space="preserve">20.0 </w:t>
            </w:r>
          </w:p>
        </w:tc>
      </w:tr>
      <w:tr w:rsidRPr="00E72033" w:rsidR="00D514DA" w:rsidTr="00A23F4A" w14:paraId="43AB39B9" w14:textId="77777777">
        <w:trPr>
          <w:cantSplit/>
          <w:tblHeader/>
        </w:trPr>
        <w:tc>
          <w:tcPr>
            <w:tcW w:w="5184" w:type="dxa"/>
            <w:tcBorders>
              <w:left w:val="single" w:color="auto" w:sz="4" w:space="0"/>
              <w:right w:val="single" w:color="auto" w:sz="4" w:space="0"/>
            </w:tcBorders>
          </w:tcPr>
          <w:p w:rsidRPr="00D514DA" w:rsidR="00D514DA" w:rsidP="001546B2" w:rsidRDefault="00D514DA" w14:paraId="2303B507" w14:textId="77777777">
            <w:pPr>
              <w:pStyle w:val="NormalinTable"/>
            </w:pPr>
            <w:r w:rsidRPr="00D514DA">
              <w:t>Large Rotary Nozzle</w:t>
            </w:r>
          </w:p>
        </w:tc>
        <w:tc>
          <w:tcPr>
            <w:tcW w:w="4140" w:type="dxa"/>
            <w:tcBorders>
              <w:top w:val="single" w:color="auto" w:sz="4" w:space="0"/>
              <w:left w:val="single" w:color="auto" w:sz="4" w:space="0"/>
              <w:bottom w:val="single" w:color="auto" w:sz="4" w:space="0"/>
              <w:right w:val="single" w:color="auto" w:sz="4" w:space="0"/>
            </w:tcBorders>
          </w:tcPr>
          <w:p w:rsidRPr="00D514DA" w:rsidR="00D514DA" w:rsidP="001546B2" w:rsidRDefault="00C73DE5" w14:paraId="60449F96" w14:textId="07561983">
            <w:pPr>
              <w:pStyle w:val="NormalinTable"/>
              <w:tabs>
                <w:tab w:val="right" w:pos="3046"/>
                <w:tab w:val="decimal" w:pos="3586"/>
              </w:tabs>
            </w:pPr>
            <w:r>
              <w:tab/>
            </w:r>
            <w:r w:rsidRPr="00D514DA" w:rsidR="00D514DA">
              <w:t xml:space="preserve">Wtr-Irrig-Nozzle-LrgRot: </w:t>
            </w:r>
            <w:r>
              <w:tab/>
            </w:r>
            <w:r w:rsidRPr="00D514DA" w:rsidR="00D514DA">
              <w:t>10.0</w:t>
            </w:r>
            <w:r w:rsidR="000C7118">
              <w:t>*</w:t>
            </w:r>
          </w:p>
        </w:tc>
      </w:tr>
      <w:tr w:rsidRPr="00E72033" w:rsidR="00D514DA" w:rsidTr="00A23F4A" w14:paraId="73A1E554" w14:textId="77777777">
        <w:trPr>
          <w:cantSplit/>
          <w:tblHeader/>
        </w:trPr>
        <w:tc>
          <w:tcPr>
            <w:tcW w:w="5184" w:type="dxa"/>
            <w:tcBorders>
              <w:left w:val="single" w:color="auto" w:sz="4" w:space="0"/>
              <w:right w:val="single" w:color="auto" w:sz="4" w:space="0"/>
            </w:tcBorders>
          </w:tcPr>
          <w:p w:rsidRPr="00D514DA" w:rsidR="00D514DA" w:rsidP="001546B2" w:rsidRDefault="00D514DA" w14:paraId="1AD24E31" w14:textId="77777777">
            <w:pPr>
              <w:pStyle w:val="NormalinTable"/>
            </w:pPr>
            <w:r w:rsidRPr="00D514DA">
              <w:t>Soil Moisture Station</w:t>
            </w:r>
          </w:p>
        </w:tc>
        <w:tc>
          <w:tcPr>
            <w:tcW w:w="4140" w:type="dxa"/>
            <w:tcBorders>
              <w:top w:val="single" w:color="auto" w:sz="4" w:space="0"/>
              <w:left w:val="single" w:color="auto" w:sz="4" w:space="0"/>
              <w:bottom w:val="single" w:color="auto" w:sz="4" w:space="0"/>
              <w:right w:val="single" w:color="auto" w:sz="4" w:space="0"/>
            </w:tcBorders>
          </w:tcPr>
          <w:p w:rsidRPr="00D514DA" w:rsidR="00D514DA" w:rsidP="001546B2" w:rsidRDefault="00C73DE5" w14:paraId="110E7B6E" w14:textId="3EC0CA8B">
            <w:pPr>
              <w:pStyle w:val="NormalinTable"/>
              <w:tabs>
                <w:tab w:val="right" w:pos="3046"/>
                <w:tab w:val="decimal" w:pos="3586"/>
              </w:tabs>
            </w:pPr>
            <w:r>
              <w:tab/>
            </w:r>
            <w:r w:rsidRPr="00D514DA" w:rsidR="00D514DA">
              <w:t xml:space="preserve">Wtr-Irrig-Ctrl-SoilMoist: </w:t>
            </w:r>
            <w:r>
              <w:tab/>
            </w:r>
            <w:r w:rsidRPr="00D514DA" w:rsidR="00D514DA">
              <w:t>3.0</w:t>
            </w:r>
            <w:r w:rsidR="00356C70">
              <w:t>*</w:t>
            </w:r>
          </w:p>
        </w:tc>
      </w:tr>
      <w:tr w:rsidRPr="00E72033" w:rsidR="00D514DA" w:rsidTr="00A23F4A" w14:paraId="53E0A62F" w14:textId="77777777">
        <w:trPr>
          <w:cantSplit/>
          <w:tblHeader/>
        </w:trPr>
        <w:tc>
          <w:tcPr>
            <w:tcW w:w="5184" w:type="dxa"/>
            <w:tcBorders>
              <w:left w:val="single" w:color="auto" w:sz="4" w:space="0"/>
              <w:right w:val="single" w:color="auto" w:sz="4" w:space="0"/>
            </w:tcBorders>
          </w:tcPr>
          <w:p w:rsidRPr="00D514DA" w:rsidR="00D514DA" w:rsidP="001546B2" w:rsidRDefault="00D514DA" w14:paraId="24E7B477" w14:textId="77777777">
            <w:pPr>
              <w:pStyle w:val="NormalinTable"/>
            </w:pPr>
            <w:r w:rsidRPr="00D514DA">
              <w:t>Residential Weather-based Irrigation Controller</w:t>
            </w:r>
          </w:p>
        </w:tc>
        <w:tc>
          <w:tcPr>
            <w:tcW w:w="4140" w:type="dxa"/>
            <w:tcBorders>
              <w:top w:val="single" w:color="auto" w:sz="4" w:space="0"/>
              <w:left w:val="single" w:color="auto" w:sz="4" w:space="0"/>
              <w:bottom w:val="single" w:color="auto" w:sz="4" w:space="0"/>
              <w:right w:val="single" w:color="auto" w:sz="4" w:space="0"/>
            </w:tcBorders>
          </w:tcPr>
          <w:p w:rsidRPr="00D514DA" w:rsidR="00D514DA" w:rsidP="001546B2" w:rsidRDefault="00C73DE5" w14:paraId="6802F0E6" w14:textId="307B9972">
            <w:pPr>
              <w:pStyle w:val="NormalinTable"/>
              <w:tabs>
                <w:tab w:val="right" w:pos="3046"/>
                <w:tab w:val="decimal" w:pos="3586"/>
              </w:tabs>
            </w:pPr>
            <w:r>
              <w:tab/>
            </w:r>
            <w:r w:rsidRPr="00D514DA" w:rsidR="00D514DA">
              <w:t xml:space="preserve">Wtr-Irrig-Ctrl-Weather-Res: </w:t>
            </w:r>
            <w:r>
              <w:tab/>
            </w:r>
            <w:r w:rsidRPr="00D514DA" w:rsidR="00D514DA">
              <w:t>3.0</w:t>
            </w:r>
            <w:r w:rsidR="00D028FA">
              <w:t>*</w:t>
            </w:r>
          </w:p>
        </w:tc>
      </w:tr>
      <w:tr w:rsidRPr="00E72033" w:rsidR="00D514DA" w:rsidTr="00A23F4A" w14:paraId="14437E22" w14:textId="77777777">
        <w:trPr>
          <w:cantSplit/>
          <w:tblHeader/>
        </w:trPr>
        <w:tc>
          <w:tcPr>
            <w:tcW w:w="5184" w:type="dxa"/>
            <w:tcBorders>
              <w:left w:val="single" w:color="auto" w:sz="4" w:space="0"/>
              <w:right w:val="single" w:color="auto" w:sz="4" w:space="0"/>
            </w:tcBorders>
          </w:tcPr>
          <w:p w:rsidRPr="00D514DA" w:rsidR="00D514DA" w:rsidP="001546B2" w:rsidRDefault="00D514DA" w14:paraId="6C5431DD" w14:textId="77777777">
            <w:pPr>
              <w:pStyle w:val="NormalinTable"/>
            </w:pPr>
            <w:r w:rsidRPr="00D514DA">
              <w:t>Rotary Multi-Stream Nozzle</w:t>
            </w:r>
          </w:p>
        </w:tc>
        <w:tc>
          <w:tcPr>
            <w:tcW w:w="4140" w:type="dxa"/>
            <w:tcBorders>
              <w:top w:val="single" w:color="auto" w:sz="4" w:space="0"/>
              <w:left w:val="single" w:color="auto" w:sz="4" w:space="0"/>
              <w:bottom w:val="single" w:color="auto" w:sz="4" w:space="0"/>
              <w:right w:val="single" w:color="auto" w:sz="4" w:space="0"/>
            </w:tcBorders>
          </w:tcPr>
          <w:p w:rsidRPr="00D514DA" w:rsidR="00D514DA" w:rsidP="001546B2" w:rsidRDefault="00C73DE5" w14:paraId="7509CE7D" w14:textId="6DAD4C9E">
            <w:pPr>
              <w:pStyle w:val="NormalinTable"/>
              <w:tabs>
                <w:tab w:val="right" w:pos="3046"/>
                <w:tab w:val="decimal" w:pos="3586"/>
              </w:tabs>
            </w:pPr>
            <w:r>
              <w:tab/>
            </w:r>
            <w:r w:rsidRPr="00D514DA" w:rsidR="00D514DA">
              <w:t xml:space="preserve">Wtr-Irrig-Nozzle-MultiStrm: </w:t>
            </w:r>
            <w:r>
              <w:tab/>
            </w:r>
            <w:r w:rsidRPr="00D514DA" w:rsidR="00D514DA">
              <w:t>5.0</w:t>
            </w:r>
            <w:r w:rsidR="000C7118">
              <w:t>*</w:t>
            </w:r>
          </w:p>
        </w:tc>
      </w:tr>
      <w:tr w:rsidRPr="00E72033" w:rsidR="00D514DA" w:rsidTr="00A23F4A" w14:paraId="7A6DB0FC" w14:textId="77777777">
        <w:trPr>
          <w:cantSplit/>
          <w:tblHeader/>
        </w:trPr>
        <w:tc>
          <w:tcPr>
            <w:tcW w:w="5184" w:type="dxa"/>
            <w:tcBorders>
              <w:left w:val="single" w:color="auto" w:sz="4" w:space="0"/>
              <w:bottom w:val="single" w:color="auto" w:sz="4" w:space="0"/>
              <w:right w:val="single" w:color="auto" w:sz="4" w:space="0"/>
            </w:tcBorders>
          </w:tcPr>
          <w:p w:rsidRPr="00D514DA" w:rsidR="00D514DA" w:rsidP="001546B2" w:rsidRDefault="00D514DA" w14:paraId="7C4AA767" w14:textId="77777777">
            <w:pPr>
              <w:pStyle w:val="NormalinTable"/>
            </w:pPr>
            <w:r w:rsidRPr="00D514DA">
              <w:t>Turf Removal</w:t>
            </w:r>
          </w:p>
        </w:tc>
        <w:tc>
          <w:tcPr>
            <w:tcW w:w="4140" w:type="dxa"/>
            <w:tcBorders>
              <w:top w:val="single" w:color="auto" w:sz="4" w:space="0"/>
              <w:left w:val="single" w:color="auto" w:sz="4" w:space="0"/>
              <w:right w:val="single" w:color="auto" w:sz="4" w:space="0"/>
            </w:tcBorders>
          </w:tcPr>
          <w:p w:rsidRPr="00D514DA" w:rsidR="00D514DA" w:rsidP="001546B2" w:rsidRDefault="00C73DE5" w14:paraId="57051E71" w14:textId="662E1DF4">
            <w:pPr>
              <w:pStyle w:val="NormalinTable"/>
              <w:tabs>
                <w:tab w:val="right" w:pos="3046"/>
                <w:tab w:val="decimal" w:pos="3586"/>
              </w:tabs>
            </w:pPr>
            <w:r>
              <w:tab/>
            </w:r>
            <w:r w:rsidRPr="00D514DA" w:rsidR="00D514DA">
              <w:t xml:space="preserve">Wtr-Irrig-TurfRemoval: </w:t>
            </w:r>
            <w:r>
              <w:tab/>
            </w:r>
            <w:r w:rsidRPr="00D514DA" w:rsidR="00D514DA">
              <w:t>10.0</w:t>
            </w:r>
            <w:r w:rsidR="008232E6">
              <w:t>*</w:t>
            </w:r>
          </w:p>
        </w:tc>
      </w:tr>
    </w:tbl>
    <w:p w:rsidRPr="008232E6" w:rsidR="00D514DA" w:rsidP="00D514DA" w:rsidRDefault="008232E6" w14:paraId="5D2BAEE1" w14:textId="42226220">
      <w:pPr>
        <w:rPr>
          <w:rFonts w:ascii="Garamond" w:hAnsi="Garamond"/>
          <w:sz w:val="20"/>
          <w:szCs w:val="20"/>
        </w:rPr>
      </w:pPr>
      <w:r w:rsidRPr="008232E6">
        <w:rPr>
          <w:rFonts w:ascii="Garamond" w:hAnsi="Garamond"/>
          <w:sz w:val="20"/>
          <w:szCs w:val="20"/>
        </w:rPr>
        <w:t>*Mid-cycle measure package approval status is under review by CPUC.</w:t>
      </w:r>
    </w:p>
    <w:p w:rsidR="00124BA2" w:rsidP="00124BA2" w:rsidRDefault="00124BA2" w14:paraId="7E08F334" w14:textId="368A2AC4">
      <w:pPr>
        <w:pStyle w:val="Heading3"/>
      </w:pPr>
      <w:bookmarkStart w:name="_Toc175733815" w:id="120"/>
      <w:bookmarkStart w:name="_Toc175742679" w:id="121"/>
      <w:bookmarkStart w:name="_Toc175762759" w:id="122"/>
      <w:bookmarkStart w:name="_Toc175766039" w:id="123"/>
      <w:bookmarkStart w:name="_Toc175733816" w:id="124"/>
      <w:bookmarkStart w:name="_Toc175742680" w:id="125"/>
      <w:bookmarkStart w:name="_Toc175762760" w:id="126"/>
      <w:bookmarkStart w:name="_Toc175766040" w:id="127"/>
      <w:bookmarkStart w:name="_Toc105055347" w:id="128"/>
      <w:bookmarkStart w:name="_Toc105055969" w:id="129"/>
      <w:bookmarkStart w:name="_Toc105061249" w:id="130"/>
      <w:bookmarkStart w:name="_Toc185271183" w:id="131"/>
      <w:bookmarkEnd w:id="89"/>
      <w:bookmarkEnd w:id="120"/>
      <w:bookmarkEnd w:id="121"/>
      <w:bookmarkEnd w:id="122"/>
      <w:bookmarkEnd w:id="123"/>
      <w:bookmarkEnd w:id="124"/>
      <w:bookmarkEnd w:id="125"/>
      <w:bookmarkEnd w:id="126"/>
      <w:bookmarkEnd w:id="127"/>
      <w:bookmarkEnd w:id="128"/>
      <w:bookmarkEnd w:id="129"/>
      <w:bookmarkEnd w:id="130"/>
      <w:r>
        <w:lastRenderedPageBreak/>
        <w:t>(</w:t>
      </w:r>
      <w:r w:rsidR="004D291F">
        <w:t>F.5</w:t>
      </w:r>
      <w:r>
        <w:t>) Update</w:t>
      </w:r>
      <w:r w:rsidR="00210D97">
        <w:t>s to</w:t>
      </w:r>
      <w:r>
        <w:t xml:space="preserve"> </w:t>
      </w:r>
      <w:r w:rsidR="00A85DC0">
        <w:t>Building Weights U</w:t>
      </w:r>
      <w:r w:rsidR="00A22B11">
        <w:t>sing</w:t>
      </w:r>
      <w:r>
        <w:t xml:space="preserve"> 2022 Commercial End Use Study (CEUS)</w:t>
      </w:r>
      <w:bookmarkEnd w:id="131"/>
    </w:p>
    <w:p w:rsidRPr="00431650" w:rsidR="00124BA2" w:rsidP="00124BA2" w:rsidRDefault="00C3522A" w14:paraId="3866FAB7" w14:textId="50E820CA">
      <w:r w:rsidRPr="00457523">
        <w:rPr>
          <w:u w:val="single"/>
        </w:rPr>
        <w:t>Effective Program Year: 202</w:t>
      </w:r>
      <w:r w:rsidR="001352F3">
        <w:rPr>
          <w:u w:val="single"/>
        </w:rPr>
        <w:t>8</w:t>
      </w:r>
      <w:r w:rsidRPr="00457523">
        <w:rPr>
          <w:u w:val="single"/>
        </w:rPr>
        <w:t>.</w:t>
      </w:r>
      <w:r>
        <w:rPr>
          <w:u w:val="single"/>
        </w:rPr>
        <w:t xml:space="preserve"> </w:t>
      </w:r>
      <w:r w:rsidR="00124BA2">
        <w:t xml:space="preserve">The CEUS </w:t>
      </w:r>
      <w:r w:rsidR="00EF7CEC">
        <w:t>results were</w:t>
      </w:r>
      <w:r w:rsidR="00124BA2">
        <w:t xml:space="preserve"> used to update the commercial building weights</w:t>
      </w:r>
      <w:r w:rsidR="001F17A8">
        <w:t xml:space="preserve"> that are used to generate the </w:t>
      </w:r>
      <w:r w:rsidR="00BA23D1">
        <w:t xml:space="preserve">unit-energy consumption and unit-energy savings values for the </w:t>
      </w:r>
      <w:r w:rsidR="00F812AC">
        <w:t xml:space="preserve">“Com” </w:t>
      </w:r>
      <w:r w:rsidR="001F17A8">
        <w:t>sector-level commercial building</w:t>
      </w:r>
      <w:r w:rsidR="00F812AC">
        <w:t xml:space="preserve"> type.</w:t>
      </w:r>
    </w:p>
    <w:p w:rsidR="001F1A0B" w:rsidP="001F1A0B" w:rsidRDefault="00F03B95" w14:paraId="43E7B736" w14:textId="52CDCA9C">
      <w:pPr>
        <w:pStyle w:val="Heading3"/>
      </w:pPr>
      <w:bookmarkStart w:name="_Toc185271184" w:id="132"/>
      <w:r>
        <w:t xml:space="preserve">(F.6) </w:t>
      </w:r>
      <w:r w:rsidR="001F1A0B">
        <w:t>New Gas</w:t>
      </w:r>
      <w:r w:rsidR="00113449">
        <w:t xml:space="preserve"> </w:t>
      </w:r>
      <w:r w:rsidR="001F1A0B">
        <w:t>Impact</w:t>
      </w:r>
      <w:r w:rsidR="00113449">
        <w:t xml:space="preserve"> </w:t>
      </w:r>
      <w:r w:rsidR="00741E95">
        <w:t>Profile</w:t>
      </w:r>
      <w:r w:rsidR="00113449">
        <w:t xml:space="preserve"> </w:t>
      </w:r>
      <w:r w:rsidR="001F1A0B">
        <w:t>IDs</w:t>
      </w:r>
      <w:bookmarkEnd w:id="132"/>
    </w:p>
    <w:p w:rsidR="00457AC3" w:rsidP="001F1A0B" w:rsidRDefault="00457523" w14:paraId="73D34B6A" w14:textId="2D0E971D">
      <w:r w:rsidRPr="00457523">
        <w:rPr>
          <w:u w:val="single"/>
        </w:rPr>
        <w:t xml:space="preserve">Effective Program Year: </w:t>
      </w:r>
      <w:r w:rsidRPr="00457523" w:rsidR="00BB3882">
        <w:rPr>
          <w:u w:val="single"/>
        </w:rPr>
        <w:t>202</w:t>
      </w:r>
      <w:r w:rsidR="00BB3882">
        <w:rPr>
          <w:u w:val="single"/>
        </w:rPr>
        <w:t>6</w:t>
      </w:r>
      <w:r w:rsidRPr="00457523">
        <w:rPr>
          <w:u w:val="single"/>
        </w:rPr>
        <w:t>.</w:t>
      </w:r>
      <w:r>
        <w:t xml:space="preserve"> </w:t>
      </w:r>
      <w:r w:rsidR="001F1A0B">
        <w:t>The 2022 Avoided Cost Calculator includes adders for methane leakage for upstream leakage and for behind the meter leakage.</w:t>
      </w:r>
      <w:r w:rsidR="00773DE4">
        <w:rPr>
          <w:rStyle w:val="FootnoteReference"/>
        </w:rPr>
        <w:footnoteReference w:id="31"/>
      </w:r>
      <w:r w:rsidR="001F1A0B">
        <w:t xml:space="preserve"> They state that upstream leakage is to be applied to both residential and commercial measures, but downstream leakage is only to be applied to residential fuel substitution measures where </w:t>
      </w:r>
      <w:r w:rsidR="00C008C2">
        <w:t>a</w:t>
      </w:r>
      <w:r w:rsidR="001F1A0B">
        <w:t xml:space="preserve"> gas appliance is removed. To implement this</w:t>
      </w:r>
      <w:r w:rsidR="00835253">
        <w:t>,</w:t>
      </w:r>
      <w:r w:rsidR="001F1A0B">
        <w:t xml:space="preserve"> three GasImpact</w:t>
      </w:r>
      <w:r w:rsidR="00835253">
        <w:t>Profile</w:t>
      </w:r>
      <w:r w:rsidR="001F1A0B">
        <w:t>IDs</w:t>
      </w:r>
      <w:r w:rsidR="00F43C21">
        <w:t xml:space="preserve"> were added</w:t>
      </w:r>
      <w:r w:rsidR="001F1A0B">
        <w:t xml:space="preserve">: </w:t>
      </w:r>
    </w:p>
    <w:p w:rsidR="00024B06" w:rsidP="00024B06" w:rsidRDefault="001F1A0B" w14:paraId="2D2E48C4" w14:textId="361F2E28">
      <w:pPr>
        <w:pStyle w:val="ListParagraph"/>
        <w:rPr>
          <w:rStyle w:val="ListParagraphChar"/>
        </w:rPr>
      </w:pPr>
      <w:r w:rsidRPr="00457AC3">
        <w:rPr>
          <w:rStyle w:val="ListParagraphChar"/>
        </w:rPr>
        <w:t>Annual</w:t>
      </w:r>
      <w:r w:rsidRPr="00457AC3" w:rsidR="002F1BF4">
        <w:rPr>
          <w:rStyle w:val="ListParagraphChar"/>
        </w:rPr>
        <w:t>-</w:t>
      </w:r>
      <w:r w:rsidRPr="00457AC3">
        <w:rPr>
          <w:rStyle w:val="ListParagraphChar"/>
        </w:rPr>
        <w:t>F</w:t>
      </w:r>
      <w:r w:rsidRPr="00457AC3" w:rsidR="00C33A9E">
        <w:rPr>
          <w:rStyle w:val="ListParagraphChar"/>
        </w:rPr>
        <w:t>uel</w:t>
      </w:r>
      <w:r w:rsidRPr="00457AC3">
        <w:rPr>
          <w:rStyle w:val="ListParagraphChar"/>
        </w:rPr>
        <w:t>S</w:t>
      </w:r>
      <w:r w:rsidRPr="00457AC3" w:rsidR="00C33A9E">
        <w:rPr>
          <w:rStyle w:val="ListParagraphChar"/>
        </w:rPr>
        <w:t>ub</w:t>
      </w:r>
      <w:r w:rsidRPr="00457AC3" w:rsidR="00191979">
        <w:rPr>
          <w:rStyle w:val="ListParagraphChar"/>
        </w:rPr>
        <w:t>-ToElec</w:t>
      </w:r>
    </w:p>
    <w:p w:rsidR="00024B06" w:rsidP="00024B06" w:rsidRDefault="001F1A0B" w14:paraId="3102B3CA" w14:textId="1399D6FF">
      <w:pPr>
        <w:pStyle w:val="ListParagraph"/>
        <w:rPr>
          <w:rStyle w:val="ListParagraphChar"/>
        </w:rPr>
      </w:pPr>
      <w:r w:rsidRPr="00457AC3">
        <w:rPr>
          <w:rStyle w:val="ListParagraphChar"/>
        </w:rPr>
        <w:t>Winter</w:t>
      </w:r>
      <w:r w:rsidRPr="00457AC3" w:rsidR="002F1BF4">
        <w:rPr>
          <w:rStyle w:val="ListParagraphChar"/>
        </w:rPr>
        <w:t>-FuelSub-ToElec</w:t>
      </w:r>
    </w:p>
    <w:p w:rsidR="00457AC3" w:rsidP="00024B06" w:rsidRDefault="001F1A0B" w14:paraId="156D05B1" w14:textId="2C413024">
      <w:pPr>
        <w:pStyle w:val="ListParagraph"/>
        <w:rPr>
          <w:rStyle w:val="ListParagraphChar"/>
        </w:rPr>
      </w:pPr>
      <w:r w:rsidRPr="00457AC3">
        <w:rPr>
          <w:rStyle w:val="ListParagraphChar"/>
        </w:rPr>
        <w:t>Summer</w:t>
      </w:r>
      <w:r w:rsidRPr="00457AC3" w:rsidR="002F1BF4">
        <w:rPr>
          <w:rStyle w:val="ListParagraphChar"/>
        </w:rPr>
        <w:t>-FuelSub-ToElec</w:t>
      </w:r>
    </w:p>
    <w:p w:rsidR="0033160A" w:rsidP="0033160A" w:rsidRDefault="0033160A" w14:paraId="52BD7879" w14:textId="77777777">
      <w:pPr>
        <w:pStyle w:val="ListParagraph"/>
        <w:numPr>
          <w:ilvl w:val="0"/>
          <w:numId w:val="0"/>
        </w:numPr>
        <w:ind w:left="720"/>
      </w:pPr>
    </w:p>
    <w:p w:rsidR="001F1A0B" w:rsidP="001F1A0B" w:rsidRDefault="006801B7" w14:paraId="2B6C5B26" w14:textId="51702F69">
      <w:r>
        <w:t xml:space="preserve">These </w:t>
      </w:r>
      <w:r w:rsidR="001F1A0B">
        <w:t xml:space="preserve">should only be used for gas-to-electric fuel substitution measures where a gas appliance is removed. The avoided cost combinations associated with these IDs will have the same load shapes as their non-fuel-sub counterparts, but the avoided cost combination will include behind the meter methane leakage adder for residential measures. </w:t>
      </w:r>
    </w:p>
    <w:p w:rsidR="00793C4B" w:rsidP="00793C4B" w:rsidRDefault="00793C4B" w14:paraId="72C7C039" w14:textId="77777777">
      <w:pPr>
        <w:pStyle w:val="Heading3"/>
      </w:pPr>
      <w:bookmarkStart w:name="_Toc185271185" w:id="133"/>
      <w:r>
        <w:t>(F.7) New TechTypes</w:t>
      </w:r>
      <w:bookmarkEnd w:id="133"/>
    </w:p>
    <w:p w:rsidR="00793C4B" w:rsidP="00793C4B" w:rsidRDefault="00793C4B" w14:paraId="74262D3C" w14:textId="2407C91C">
      <w:r>
        <w:rPr>
          <w:u w:val="single"/>
        </w:rPr>
        <w:t>Effective Program Year: 2026.</w:t>
      </w:r>
      <w:r>
        <w:t xml:space="preserve"> Structural changes made to the TechType table included adding flags to indicate whether a given TechType uses natural gas (UsesGas) and/or uses electricity (UsesElec), As a result it was necessary to replace some of the existing TechTypes with two TechTypes (e.g., the “Fryer” TechType is replaced with “Fryer-Elec” and “Fryer-Gas” TechTypes), the TechTypes added to DEER are shown in </w:t>
      </w:r>
      <w:r>
        <w:fldChar w:fldCharType="begin"/>
      </w:r>
      <w:r>
        <w:instrText xml:space="preserve"> REF _Ref178955056 \h </w:instrText>
      </w:r>
      <w:r>
        <w:fldChar w:fldCharType="separate"/>
      </w:r>
      <w:r w:rsidRPr="00D514DA" w:rsidR="00E812F0">
        <w:t xml:space="preserve">Table </w:t>
      </w:r>
      <w:r w:rsidRPr="00CC2B9C" w:rsidR="00E812F0">
        <w:rPr>
          <w:webHidden/>
        </w:rPr>
        <w:t>A-</w:t>
      </w:r>
      <w:r w:rsidR="00E812F0">
        <w:rPr>
          <w:noProof/>
        </w:rPr>
        <w:t>1</w:t>
      </w:r>
      <w:r w:rsidRPr="00D514DA" w:rsidR="00E812F0">
        <w:noBreakHyphen/>
      </w:r>
      <w:r w:rsidR="00E812F0">
        <w:rPr>
          <w:noProof/>
        </w:rPr>
        <w:t>17</w:t>
      </w:r>
      <w:r>
        <w:fldChar w:fldCharType="end"/>
      </w:r>
      <w:r>
        <w:t>. Other TechTypes were added to support new mid-cycle measure packages or measure package offerings.</w:t>
      </w:r>
    </w:p>
    <w:p w:rsidRPr="00D514DA" w:rsidR="00793C4B" w:rsidP="00793C4B" w:rsidRDefault="00793C4B" w14:paraId="77A2519A" w14:textId="17A7C8AF">
      <w:pPr>
        <w:pStyle w:val="Caption"/>
      </w:pPr>
      <w:bookmarkStart w:name="_Ref178955056" w:id="134"/>
      <w:bookmarkStart w:name="_Ref178955051" w:id="135"/>
      <w:bookmarkStart w:name="_Toc185273168" w:id="136"/>
      <w:r w:rsidRPr="00D514DA">
        <w:lastRenderedPageBreak/>
        <w:t xml:space="preserve">Table </w:t>
      </w:r>
      <w:r w:rsidRPr="00CC2B9C">
        <w:rPr>
          <w:webHidden/>
        </w:rPr>
        <w:t>A-</w:t>
      </w:r>
      <w:fldSimple w:instr=" STYLEREF 1 \s ">
        <w:r w:rsidR="00E812F0">
          <w:rPr>
            <w:noProof/>
          </w:rPr>
          <w:t>1</w:t>
        </w:r>
      </w:fldSimple>
      <w:r w:rsidRPr="00D514DA">
        <w:noBreakHyphen/>
      </w:r>
      <w:fldSimple w:instr=" SEQ Table \* ARABIC \s 1 ">
        <w:r w:rsidR="00E812F0">
          <w:rPr>
            <w:noProof/>
          </w:rPr>
          <w:t>17</w:t>
        </w:r>
      </w:fldSimple>
      <w:bookmarkEnd w:id="134"/>
      <w:r w:rsidRPr="00D514DA">
        <w:t xml:space="preserve">. </w:t>
      </w:r>
      <w:r>
        <w:t>TechTypes added to DEER</w:t>
      </w:r>
      <w:bookmarkEnd w:id="135"/>
      <w:bookmarkEnd w:id="136"/>
    </w:p>
    <w:tbl>
      <w:tblPr>
        <w:tblW w:w="890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bottom w:w="14" w:type="dxa"/>
        </w:tblCellMar>
        <w:tblLook w:val="04A0" w:firstRow="1" w:lastRow="0" w:firstColumn="1" w:lastColumn="0" w:noHBand="0" w:noVBand="1"/>
      </w:tblPr>
      <w:tblGrid>
        <w:gridCol w:w="1584"/>
        <w:gridCol w:w="3168"/>
        <w:gridCol w:w="2016"/>
        <w:gridCol w:w="2137"/>
      </w:tblGrid>
      <w:tr w:rsidRPr="00D514DA" w:rsidR="00E96E73" w:rsidTr="00FC5B7C" w14:paraId="3623A9C3" w14:textId="52F31553">
        <w:trPr>
          <w:cantSplit/>
          <w:tblHeader/>
        </w:trPr>
        <w:tc>
          <w:tcPr>
            <w:tcW w:w="1584" w:type="dxa"/>
            <w:tcBorders>
              <w:left w:val="single" w:color="auto" w:sz="4" w:space="0"/>
              <w:right w:val="single" w:color="auto" w:sz="4" w:space="0"/>
            </w:tcBorders>
          </w:tcPr>
          <w:p w:rsidR="00E96E73" w:rsidP="00377110" w:rsidRDefault="009C3A6D" w14:paraId="177859FB" w14:textId="71DC7618">
            <w:pPr>
              <w:pStyle w:val="NormalinTable"/>
              <w:keepNext/>
            </w:pPr>
            <w:r>
              <w:t>TechGroup</w:t>
            </w:r>
          </w:p>
        </w:tc>
        <w:tc>
          <w:tcPr>
            <w:tcW w:w="3168" w:type="dxa"/>
            <w:tcBorders>
              <w:left w:val="single" w:color="auto" w:sz="4" w:space="0"/>
              <w:right w:val="single" w:color="auto" w:sz="4" w:space="0"/>
            </w:tcBorders>
          </w:tcPr>
          <w:p w:rsidRPr="00D514DA" w:rsidR="00E96E73" w:rsidP="00377110" w:rsidRDefault="00E96E73" w14:paraId="2921760F" w14:textId="268A01EB">
            <w:pPr>
              <w:pStyle w:val="NormalinTable"/>
              <w:keepNext/>
            </w:pPr>
            <w:r>
              <w:t>Description</w:t>
            </w:r>
          </w:p>
        </w:tc>
        <w:tc>
          <w:tcPr>
            <w:tcW w:w="2016" w:type="dxa"/>
            <w:tcBorders>
              <w:top w:val="single" w:color="auto" w:sz="4" w:space="0"/>
              <w:left w:val="single" w:color="auto" w:sz="4" w:space="0"/>
              <w:bottom w:val="single" w:color="auto" w:sz="4" w:space="0"/>
              <w:right w:val="single" w:color="auto" w:sz="4" w:space="0"/>
            </w:tcBorders>
          </w:tcPr>
          <w:p w:rsidRPr="00D514DA" w:rsidR="00E96E73" w:rsidP="00377110" w:rsidRDefault="00E96E73" w14:paraId="03BAF3B2" w14:textId="3341CD04">
            <w:pPr>
              <w:pStyle w:val="NormalinTable"/>
              <w:keepNext/>
            </w:pPr>
            <w:r>
              <w:t>Elec</w:t>
            </w:r>
            <w:r w:rsidR="003D19B6">
              <w:t>.</w:t>
            </w:r>
            <w:r>
              <w:t xml:space="preserve"> TechType</w:t>
            </w:r>
            <w:r w:rsidR="003D19B6">
              <w:t>(s)</w:t>
            </w:r>
          </w:p>
        </w:tc>
        <w:tc>
          <w:tcPr>
            <w:tcW w:w="2137" w:type="dxa"/>
            <w:tcBorders>
              <w:top w:val="single" w:color="auto" w:sz="4" w:space="0"/>
              <w:left w:val="single" w:color="auto" w:sz="4" w:space="0"/>
              <w:bottom w:val="single" w:color="auto" w:sz="4" w:space="0"/>
              <w:right w:val="single" w:color="auto" w:sz="4" w:space="0"/>
            </w:tcBorders>
          </w:tcPr>
          <w:p w:rsidR="00E96E73" w:rsidP="00377110" w:rsidRDefault="00E96E73" w14:paraId="5285E871" w14:textId="31B3288C">
            <w:pPr>
              <w:pStyle w:val="NormalinTable"/>
              <w:keepNext/>
            </w:pPr>
            <w:r>
              <w:t>Gas TechType</w:t>
            </w:r>
          </w:p>
        </w:tc>
      </w:tr>
      <w:tr w:rsidRPr="00E72033" w:rsidR="00345CD9" w:rsidTr="00FC5B7C" w14:paraId="442F6E2F" w14:textId="77777777">
        <w:trPr>
          <w:cantSplit/>
        </w:trPr>
        <w:tc>
          <w:tcPr>
            <w:tcW w:w="1584" w:type="dxa"/>
            <w:vMerge w:val="restart"/>
            <w:tcBorders>
              <w:left w:val="single" w:color="auto" w:sz="4" w:space="0"/>
              <w:right w:val="single" w:color="auto" w:sz="4" w:space="0"/>
            </w:tcBorders>
          </w:tcPr>
          <w:p w:rsidR="00345CD9" w:rsidP="00345CD9" w:rsidRDefault="00345CD9" w14:paraId="593D02D6" w14:textId="2965958A">
            <w:pPr>
              <w:pStyle w:val="NormalinTable"/>
            </w:pPr>
            <w:r>
              <w:t>Clean_equip</w:t>
            </w:r>
          </w:p>
        </w:tc>
        <w:tc>
          <w:tcPr>
            <w:tcW w:w="3168" w:type="dxa"/>
            <w:tcBorders>
              <w:left w:val="single" w:color="auto" w:sz="4" w:space="0"/>
              <w:right w:val="single" w:color="auto" w:sz="4" w:space="0"/>
            </w:tcBorders>
          </w:tcPr>
          <w:p w:rsidR="00345CD9" w:rsidP="00377110" w:rsidRDefault="00345CD9" w14:paraId="14A2C2A8" w14:textId="65723697">
            <w:pPr>
              <w:pStyle w:val="NormalinTable"/>
            </w:pPr>
            <w:r>
              <w:t>Dishwasher, Door Type</w:t>
            </w:r>
          </w:p>
        </w:tc>
        <w:tc>
          <w:tcPr>
            <w:tcW w:w="2016" w:type="dxa"/>
            <w:tcBorders>
              <w:top w:val="single" w:color="auto" w:sz="4" w:space="0"/>
              <w:left w:val="single" w:color="auto" w:sz="4" w:space="0"/>
              <w:bottom w:val="single" w:color="auto" w:sz="4" w:space="0"/>
              <w:right w:val="single" w:color="auto" w:sz="4" w:space="0"/>
            </w:tcBorders>
          </w:tcPr>
          <w:p w:rsidR="00345CD9" w:rsidP="00377110" w:rsidRDefault="00345CD9" w14:paraId="4312649F" w14:textId="6C9C4B30">
            <w:pPr>
              <w:pStyle w:val="NormalinTable"/>
              <w:tabs>
                <w:tab w:val="right" w:pos="3046"/>
                <w:tab w:val="decimal" w:pos="3586"/>
              </w:tabs>
            </w:pPr>
            <w:r>
              <w:t>DishWash-Door</w:t>
            </w:r>
          </w:p>
        </w:tc>
        <w:tc>
          <w:tcPr>
            <w:tcW w:w="2137" w:type="dxa"/>
            <w:tcBorders>
              <w:top w:val="single" w:color="auto" w:sz="4" w:space="0"/>
              <w:left w:val="single" w:color="auto" w:sz="4" w:space="0"/>
              <w:bottom w:val="single" w:color="auto" w:sz="4" w:space="0"/>
              <w:right w:val="single" w:color="auto" w:sz="4" w:space="0"/>
            </w:tcBorders>
          </w:tcPr>
          <w:p w:rsidR="00345CD9" w:rsidP="00377110" w:rsidRDefault="00345CD9" w14:paraId="33AB0D71" w14:textId="698D0833">
            <w:pPr>
              <w:pStyle w:val="NormalinTable"/>
              <w:tabs>
                <w:tab w:val="right" w:pos="3046"/>
                <w:tab w:val="decimal" w:pos="3586"/>
              </w:tabs>
            </w:pPr>
            <w:r>
              <w:t>N/A</w:t>
            </w:r>
          </w:p>
        </w:tc>
      </w:tr>
      <w:tr w:rsidRPr="00E72033" w:rsidR="00345CD9" w:rsidTr="00FC5B7C" w14:paraId="07D148B5" w14:textId="77777777">
        <w:trPr>
          <w:cantSplit/>
        </w:trPr>
        <w:tc>
          <w:tcPr>
            <w:tcW w:w="1584" w:type="dxa"/>
            <w:vMerge/>
            <w:tcBorders>
              <w:left w:val="single" w:color="auto" w:sz="4" w:space="0"/>
              <w:right w:val="single" w:color="auto" w:sz="4" w:space="0"/>
            </w:tcBorders>
          </w:tcPr>
          <w:p w:rsidR="00345CD9" w:rsidP="00377110" w:rsidRDefault="00345CD9" w14:paraId="2B6F569B" w14:textId="526D577F">
            <w:pPr>
              <w:pStyle w:val="NormalinTable"/>
            </w:pPr>
          </w:p>
        </w:tc>
        <w:tc>
          <w:tcPr>
            <w:tcW w:w="3168" w:type="dxa"/>
            <w:tcBorders>
              <w:left w:val="single" w:color="auto" w:sz="4" w:space="0"/>
              <w:right w:val="single" w:color="auto" w:sz="4" w:space="0"/>
            </w:tcBorders>
          </w:tcPr>
          <w:p w:rsidR="00345CD9" w:rsidP="00377110" w:rsidRDefault="00345CD9" w14:paraId="695A3B5E" w14:textId="4BF17FAB">
            <w:pPr>
              <w:pStyle w:val="NormalinTable"/>
            </w:pPr>
            <w:r>
              <w:t>Dishwasher, Res.</w:t>
            </w:r>
          </w:p>
        </w:tc>
        <w:tc>
          <w:tcPr>
            <w:tcW w:w="2016" w:type="dxa"/>
            <w:tcBorders>
              <w:top w:val="single" w:color="auto" w:sz="4" w:space="0"/>
              <w:left w:val="single" w:color="auto" w:sz="4" w:space="0"/>
              <w:bottom w:val="single" w:color="auto" w:sz="4" w:space="0"/>
              <w:right w:val="single" w:color="auto" w:sz="4" w:space="0"/>
            </w:tcBorders>
          </w:tcPr>
          <w:p w:rsidR="00345CD9" w:rsidP="00377110" w:rsidRDefault="00345CD9" w14:paraId="45A474CB" w14:textId="207E981E">
            <w:pPr>
              <w:pStyle w:val="NormalinTable"/>
              <w:tabs>
                <w:tab w:val="right" w:pos="3046"/>
                <w:tab w:val="decimal" w:pos="3586"/>
              </w:tabs>
            </w:pPr>
            <w:r>
              <w:t>DishWash-Res</w:t>
            </w:r>
          </w:p>
        </w:tc>
        <w:tc>
          <w:tcPr>
            <w:tcW w:w="2137" w:type="dxa"/>
            <w:tcBorders>
              <w:top w:val="single" w:color="auto" w:sz="4" w:space="0"/>
              <w:left w:val="single" w:color="auto" w:sz="4" w:space="0"/>
              <w:bottom w:val="single" w:color="auto" w:sz="4" w:space="0"/>
              <w:right w:val="single" w:color="auto" w:sz="4" w:space="0"/>
            </w:tcBorders>
          </w:tcPr>
          <w:p w:rsidR="00345CD9" w:rsidP="00377110" w:rsidRDefault="00345CD9" w14:paraId="51215BF3" w14:textId="3C0B59F7">
            <w:pPr>
              <w:pStyle w:val="NormalinTable"/>
              <w:tabs>
                <w:tab w:val="right" w:pos="3046"/>
                <w:tab w:val="decimal" w:pos="3586"/>
              </w:tabs>
            </w:pPr>
            <w:r>
              <w:t>N/A</w:t>
            </w:r>
          </w:p>
        </w:tc>
      </w:tr>
      <w:tr w:rsidRPr="00E72033" w:rsidR="00345CD9" w:rsidTr="00FC5B7C" w14:paraId="1608F2B0" w14:textId="77777777">
        <w:trPr>
          <w:cantSplit/>
        </w:trPr>
        <w:tc>
          <w:tcPr>
            <w:tcW w:w="1584" w:type="dxa"/>
            <w:vMerge/>
            <w:tcBorders>
              <w:left w:val="single" w:color="auto" w:sz="4" w:space="0"/>
              <w:right w:val="single" w:color="auto" w:sz="4" w:space="0"/>
            </w:tcBorders>
          </w:tcPr>
          <w:p w:rsidR="00345CD9" w:rsidP="00377110" w:rsidRDefault="00345CD9" w14:paraId="76C57B3B" w14:textId="1E0374D6">
            <w:pPr>
              <w:pStyle w:val="NormalinTable"/>
            </w:pPr>
          </w:p>
        </w:tc>
        <w:tc>
          <w:tcPr>
            <w:tcW w:w="3168" w:type="dxa"/>
            <w:tcBorders>
              <w:left w:val="single" w:color="auto" w:sz="4" w:space="0"/>
              <w:right w:val="single" w:color="auto" w:sz="4" w:space="0"/>
            </w:tcBorders>
          </w:tcPr>
          <w:p w:rsidR="00345CD9" w:rsidP="00377110" w:rsidRDefault="00345CD9" w14:paraId="11158477" w14:textId="501F15E8">
            <w:pPr>
              <w:pStyle w:val="NormalinTable"/>
            </w:pPr>
            <w:r>
              <w:t>Dishwasher, Undercounter</w:t>
            </w:r>
          </w:p>
        </w:tc>
        <w:tc>
          <w:tcPr>
            <w:tcW w:w="2016" w:type="dxa"/>
            <w:tcBorders>
              <w:top w:val="single" w:color="auto" w:sz="4" w:space="0"/>
              <w:left w:val="single" w:color="auto" w:sz="4" w:space="0"/>
              <w:bottom w:val="single" w:color="auto" w:sz="4" w:space="0"/>
              <w:right w:val="single" w:color="auto" w:sz="4" w:space="0"/>
            </w:tcBorders>
          </w:tcPr>
          <w:p w:rsidR="00345CD9" w:rsidP="00377110" w:rsidRDefault="00345CD9" w14:paraId="018790CB" w14:textId="1C923700">
            <w:pPr>
              <w:pStyle w:val="NormalinTable"/>
              <w:tabs>
                <w:tab w:val="right" w:pos="3046"/>
                <w:tab w:val="decimal" w:pos="3586"/>
              </w:tabs>
            </w:pPr>
            <w:r>
              <w:t>DishWash-Under</w:t>
            </w:r>
          </w:p>
        </w:tc>
        <w:tc>
          <w:tcPr>
            <w:tcW w:w="2137" w:type="dxa"/>
            <w:tcBorders>
              <w:top w:val="single" w:color="auto" w:sz="4" w:space="0"/>
              <w:left w:val="single" w:color="auto" w:sz="4" w:space="0"/>
              <w:bottom w:val="single" w:color="auto" w:sz="4" w:space="0"/>
              <w:right w:val="single" w:color="auto" w:sz="4" w:space="0"/>
            </w:tcBorders>
          </w:tcPr>
          <w:p w:rsidR="00345CD9" w:rsidP="00377110" w:rsidRDefault="00345CD9" w14:paraId="48CA5AC4" w14:textId="52FB1199">
            <w:pPr>
              <w:pStyle w:val="NormalinTable"/>
              <w:tabs>
                <w:tab w:val="right" w:pos="3046"/>
                <w:tab w:val="decimal" w:pos="3586"/>
              </w:tabs>
            </w:pPr>
            <w:r>
              <w:t>N/A</w:t>
            </w:r>
          </w:p>
        </w:tc>
      </w:tr>
      <w:tr w:rsidRPr="00E72033" w:rsidR="009B1489" w:rsidTr="00FC5B7C" w14:paraId="0154156F" w14:textId="77777777">
        <w:trPr>
          <w:cantSplit/>
        </w:trPr>
        <w:tc>
          <w:tcPr>
            <w:tcW w:w="1584" w:type="dxa"/>
            <w:vMerge w:val="restart"/>
            <w:tcBorders>
              <w:left w:val="single" w:color="auto" w:sz="4" w:space="0"/>
              <w:right w:val="single" w:color="auto" w:sz="4" w:space="0"/>
            </w:tcBorders>
          </w:tcPr>
          <w:p w:rsidR="009B1489" w:rsidP="00345CD9" w:rsidRDefault="009B1489" w14:paraId="754705C5" w14:textId="14A47F5D">
            <w:pPr>
              <w:pStyle w:val="NormalinTable"/>
            </w:pPr>
            <w:r>
              <w:t>Cook_equip</w:t>
            </w:r>
          </w:p>
        </w:tc>
        <w:tc>
          <w:tcPr>
            <w:tcW w:w="3168" w:type="dxa"/>
            <w:tcBorders>
              <w:left w:val="single" w:color="auto" w:sz="4" w:space="0"/>
              <w:right w:val="single" w:color="auto" w:sz="4" w:space="0"/>
            </w:tcBorders>
          </w:tcPr>
          <w:p w:rsidR="009B1489" w:rsidP="00377110" w:rsidRDefault="005B4C44" w14:paraId="40B550DA" w14:textId="4B5E5639">
            <w:pPr>
              <w:pStyle w:val="NormalinTable"/>
            </w:pPr>
            <w:r>
              <w:t>Broiler</w:t>
            </w:r>
          </w:p>
        </w:tc>
        <w:tc>
          <w:tcPr>
            <w:tcW w:w="2016" w:type="dxa"/>
            <w:tcBorders>
              <w:top w:val="single" w:color="auto" w:sz="4" w:space="0"/>
              <w:left w:val="single" w:color="auto" w:sz="4" w:space="0"/>
              <w:bottom w:val="single" w:color="auto" w:sz="4" w:space="0"/>
              <w:right w:val="single" w:color="auto" w:sz="4" w:space="0"/>
            </w:tcBorders>
          </w:tcPr>
          <w:p w:rsidR="009B1489" w:rsidP="00377110" w:rsidRDefault="005B4C44" w14:paraId="06EB7F75" w14:textId="0D3EDDF9">
            <w:pPr>
              <w:pStyle w:val="NormalinTable"/>
              <w:tabs>
                <w:tab w:val="right" w:pos="3046"/>
                <w:tab w:val="decimal" w:pos="3586"/>
              </w:tabs>
            </w:pPr>
            <w:r>
              <w:t>Broiler-Elec</w:t>
            </w:r>
          </w:p>
        </w:tc>
        <w:tc>
          <w:tcPr>
            <w:tcW w:w="2137" w:type="dxa"/>
            <w:tcBorders>
              <w:top w:val="single" w:color="auto" w:sz="4" w:space="0"/>
              <w:left w:val="single" w:color="auto" w:sz="4" w:space="0"/>
              <w:bottom w:val="single" w:color="auto" w:sz="4" w:space="0"/>
              <w:right w:val="single" w:color="auto" w:sz="4" w:space="0"/>
            </w:tcBorders>
          </w:tcPr>
          <w:p w:rsidR="009B1489" w:rsidP="00377110" w:rsidRDefault="005B4C44" w14:paraId="13857131" w14:textId="0D68F8B9">
            <w:pPr>
              <w:pStyle w:val="NormalinTable"/>
              <w:tabs>
                <w:tab w:val="right" w:pos="3046"/>
                <w:tab w:val="decimal" w:pos="3586"/>
              </w:tabs>
            </w:pPr>
            <w:r>
              <w:t>Broiler-Gas</w:t>
            </w:r>
          </w:p>
        </w:tc>
      </w:tr>
      <w:tr w:rsidRPr="00E72033" w:rsidR="00212B86" w:rsidTr="00FC5B7C" w14:paraId="0559E5EE" w14:textId="77777777">
        <w:trPr>
          <w:cantSplit/>
        </w:trPr>
        <w:tc>
          <w:tcPr>
            <w:tcW w:w="1584" w:type="dxa"/>
            <w:vMerge/>
            <w:tcBorders>
              <w:left w:val="single" w:color="auto" w:sz="4" w:space="0"/>
              <w:right w:val="single" w:color="auto" w:sz="4" w:space="0"/>
            </w:tcBorders>
          </w:tcPr>
          <w:p w:rsidR="00212B86" w:rsidP="00345CD9" w:rsidRDefault="00212B86" w14:paraId="261DFEA6" w14:textId="77777777">
            <w:pPr>
              <w:pStyle w:val="NormalinTable"/>
            </w:pPr>
          </w:p>
        </w:tc>
        <w:tc>
          <w:tcPr>
            <w:tcW w:w="3168" w:type="dxa"/>
            <w:tcBorders>
              <w:left w:val="single" w:color="auto" w:sz="4" w:space="0"/>
              <w:right w:val="single" w:color="auto" w:sz="4" w:space="0"/>
            </w:tcBorders>
          </w:tcPr>
          <w:p w:rsidR="00212B86" w:rsidP="00377110" w:rsidRDefault="00212B86" w14:paraId="67BEFAD2" w14:textId="79A2BC9E">
            <w:pPr>
              <w:pStyle w:val="NormalinTable"/>
            </w:pPr>
            <w:r>
              <w:t>Broiler, Conveyor</w:t>
            </w:r>
          </w:p>
        </w:tc>
        <w:tc>
          <w:tcPr>
            <w:tcW w:w="2016" w:type="dxa"/>
            <w:tcBorders>
              <w:top w:val="single" w:color="auto" w:sz="4" w:space="0"/>
              <w:left w:val="single" w:color="auto" w:sz="4" w:space="0"/>
              <w:bottom w:val="single" w:color="auto" w:sz="4" w:space="0"/>
              <w:right w:val="single" w:color="auto" w:sz="4" w:space="0"/>
            </w:tcBorders>
          </w:tcPr>
          <w:p w:rsidR="00212B86" w:rsidP="00377110" w:rsidRDefault="00E638D7" w14:paraId="24A9464C" w14:textId="7B778B90">
            <w:pPr>
              <w:pStyle w:val="NormalinTable"/>
              <w:tabs>
                <w:tab w:val="right" w:pos="3046"/>
                <w:tab w:val="decimal" w:pos="3586"/>
              </w:tabs>
            </w:pPr>
            <w:r>
              <w:t>N/A</w:t>
            </w:r>
          </w:p>
        </w:tc>
        <w:tc>
          <w:tcPr>
            <w:tcW w:w="2137" w:type="dxa"/>
            <w:tcBorders>
              <w:top w:val="single" w:color="auto" w:sz="4" w:space="0"/>
              <w:left w:val="single" w:color="auto" w:sz="4" w:space="0"/>
              <w:bottom w:val="single" w:color="auto" w:sz="4" w:space="0"/>
              <w:right w:val="single" w:color="auto" w:sz="4" w:space="0"/>
            </w:tcBorders>
          </w:tcPr>
          <w:p w:rsidR="00212B86" w:rsidP="00377110" w:rsidRDefault="00E638D7" w14:paraId="0CFA9CB1" w14:textId="4C88FC0E">
            <w:pPr>
              <w:pStyle w:val="NormalinTable"/>
              <w:tabs>
                <w:tab w:val="right" w:pos="3046"/>
                <w:tab w:val="decimal" w:pos="3586"/>
              </w:tabs>
            </w:pPr>
            <w:r>
              <w:t>ConveyBroiler-Gas</w:t>
            </w:r>
          </w:p>
        </w:tc>
      </w:tr>
      <w:tr w:rsidRPr="00E72033" w:rsidR="009B1489" w:rsidTr="00FC5B7C" w14:paraId="258E9667" w14:textId="39989BBE">
        <w:trPr>
          <w:cantSplit/>
        </w:trPr>
        <w:tc>
          <w:tcPr>
            <w:tcW w:w="1584" w:type="dxa"/>
            <w:vMerge/>
            <w:tcBorders>
              <w:left w:val="single" w:color="auto" w:sz="4" w:space="0"/>
              <w:right w:val="single" w:color="auto" w:sz="4" w:space="0"/>
            </w:tcBorders>
          </w:tcPr>
          <w:p w:rsidR="009B1489" w:rsidP="00345CD9" w:rsidRDefault="009B1489" w14:paraId="7F7FF7FE" w14:textId="0F687558">
            <w:pPr>
              <w:pStyle w:val="NormalinTable"/>
            </w:pPr>
          </w:p>
        </w:tc>
        <w:tc>
          <w:tcPr>
            <w:tcW w:w="3168" w:type="dxa"/>
            <w:tcBorders>
              <w:left w:val="single" w:color="auto" w:sz="4" w:space="0"/>
              <w:right w:val="single" w:color="auto" w:sz="4" w:space="0"/>
            </w:tcBorders>
          </w:tcPr>
          <w:p w:rsidRPr="00D514DA" w:rsidR="009B1489" w:rsidP="00377110" w:rsidRDefault="009B1489" w14:paraId="11347D3A" w14:textId="0BA2CC30">
            <w:pPr>
              <w:pStyle w:val="NormalinTable"/>
            </w:pPr>
            <w:r>
              <w:t>Fryer</w:t>
            </w:r>
          </w:p>
        </w:tc>
        <w:tc>
          <w:tcPr>
            <w:tcW w:w="2016" w:type="dxa"/>
            <w:tcBorders>
              <w:top w:val="single" w:color="auto" w:sz="4" w:space="0"/>
              <w:left w:val="single" w:color="auto" w:sz="4" w:space="0"/>
              <w:bottom w:val="single" w:color="auto" w:sz="4" w:space="0"/>
              <w:right w:val="single" w:color="auto" w:sz="4" w:space="0"/>
            </w:tcBorders>
          </w:tcPr>
          <w:p w:rsidRPr="00D514DA" w:rsidR="009B1489" w:rsidP="00377110" w:rsidRDefault="009B1489" w14:paraId="25B4D651" w14:textId="259866AC">
            <w:pPr>
              <w:pStyle w:val="NormalinTable"/>
              <w:tabs>
                <w:tab w:val="right" w:pos="3046"/>
                <w:tab w:val="decimal" w:pos="3586"/>
              </w:tabs>
            </w:pPr>
            <w:r>
              <w:t>Fryer-Elec</w:t>
            </w:r>
          </w:p>
        </w:tc>
        <w:tc>
          <w:tcPr>
            <w:tcW w:w="2137" w:type="dxa"/>
            <w:tcBorders>
              <w:top w:val="single" w:color="auto" w:sz="4" w:space="0"/>
              <w:left w:val="single" w:color="auto" w:sz="4" w:space="0"/>
              <w:bottom w:val="single" w:color="auto" w:sz="4" w:space="0"/>
              <w:right w:val="single" w:color="auto" w:sz="4" w:space="0"/>
            </w:tcBorders>
          </w:tcPr>
          <w:p w:rsidRPr="00D514DA" w:rsidR="009B1489" w:rsidP="00377110" w:rsidRDefault="009B1489" w14:paraId="2E9B9F64" w14:textId="55659C27">
            <w:pPr>
              <w:pStyle w:val="NormalinTable"/>
              <w:tabs>
                <w:tab w:val="right" w:pos="3046"/>
                <w:tab w:val="decimal" w:pos="3586"/>
              </w:tabs>
            </w:pPr>
            <w:r>
              <w:t>Fryer-Gas</w:t>
            </w:r>
          </w:p>
        </w:tc>
      </w:tr>
      <w:tr w:rsidRPr="00E72033" w:rsidR="009B1489" w:rsidTr="00FC5B7C" w14:paraId="6E4B29AB" w14:textId="77777777">
        <w:trPr>
          <w:cantSplit/>
        </w:trPr>
        <w:tc>
          <w:tcPr>
            <w:tcW w:w="1584" w:type="dxa"/>
            <w:vMerge/>
            <w:tcBorders>
              <w:left w:val="single" w:color="auto" w:sz="4" w:space="0"/>
              <w:right w:val="single" w:color="auto" w:sz="4" w:space="0"/>
            </w:tcBorders>
          </w:tcPr>
          <w:p w:rsidR="009B1489" w:rsidP="00377110" w:rsidRDefault="009B1489" w14:paraId="1E149E78" w14:textId="693334C3">
            <w:pPr>
              <w:pStyle w:val="NormalinTable"/>
            </w:pPr>
          </w:p>
        </w:tc>
        <w:tc>
          <w:tcPr>
            <w:tcW w:w="3168" w:type="dxa"/>
            <w:tcBorders>
              <w:left w:val="single" w:color="auto" w:sz="4" w:space="0"/>
              <w:right w:val="single" w:color="auto" w:sz="4" w:space="0"/>
            </w:tcBorders>
          </w:tcPr>
          <w:p w:rsidR="009B1489" w:rsidP="00377110" w:rsidRDefault="009B1489" w14:paraId="1810288E" w14:textId="1BC89F8A">
            <w:pPr>
              <w:pStyle w:val="NormalinTable"/>
            </w:pPr>
            <w:r>
              <w:t>Fryer, Pressure</w:t>
            </w:r>
          </w:p>
        </w:tc>
        <w:tc>
          <w:tcPr>
            <w:tcW w:w="2016" w:type="dxa"/>
            <w:tcBorders>
              <w:top w:val="single" w:color="auto" w:sz="4" w:space="0"/>
              <w:left w:val="single" w:color="auto" w:sz="4" w:space="0"/>
              <w:bottom w:val="single" w:color="auto" w:sz="4" w:space="0"/>
              <w:right w:val="single" w:color="auto" w:sz="4" w:space="0"/>
            </w:tcBorders>
          </w:tcPr>
          <w:p w:rsidR="009B1489" w:rsidP="00377110" w:rsidRDefault="009B1489" w14:paraId="3EF08396" w14:textId="4BD23323">
            <w:pPr>
              <w:pStyle w:val="NormalinTable"/>
              <w:tabs>
                <w:tab w:val="right" w:pos="3046"/>
                <w:tab w:val="decimal" w:pos="3586"/>
              </w:tabs>
            </w:pPr>
            <w:r>
              <w:t>PressFryer-Elec</w:t>
            </w:r>
          </w:p>
        </w:tc>
        <w:tc>
          <w:tcPr>
            <w:tcW w:w="2137" w:type="dxa"/>
            <w:tcBorders>
              <w:top w:val="single" w:color="auto" w:sz="4" w:space="0"/>
              <w:left w:val="single" w:color="auto" w:sz="4" w:space="0"/>
              <w:bottom w:val="single" w:color="auto" w:sz="4" w:space="0"/>
              <w:right w:val="single" w:color="auto" w:sz="4" w:space="0"/>
            </w:tcBorders>
          </w:tcPr>
          <w:p w:rsidR="009B1489" w:rsidP="00377110" w:rsidRDefault="009B1489" w14:paraId="2BF4ED95" w14:textId="44405F4D">
            <w:pPr>
              <w:pStyle w:val="NormalinTable"/>
              <w:tabs>
                <w:tab w:val="right" w:pos="3046"/>
                <w:tab w:val="decimal" w:pos="3586"/>
              </w:tabs>
            </w:pPr>
            <w:r>
              <w:t>PressFryer-Gas</w:t>
            </w:r>
          </w:p>
        </w:tc>
      </w:tr>
      <w:tr w:rsidRPr="00E72033" w:rsidR="009B1489" w:rsidTr="00FC5B7C" w14:paraId="16052231" w14:textId="77777777">
        <w:trPr>
          <w:cantSplit/>
        </w:trPr>
        <w:tc>
          <w:tcPr>
            <w:tcW w:w="1584" w:type="dxa"/>
            <w:vMerge/>
            <w:tcBorders>
              <w:left w:val="single" w:color="auto" w:sz="4" w:space="0"/>
              <w:right w:val="single" w:color="auto" w:sz="4" w:space="0"/>
            </w:tcBorders>
          </w:tcPr>
          <w:p w:rsidR="009B1489" w:rsidP="00377110" w:rsidRDefault="009B1489" w14:paraId="13F860AA" w14:textId="30B4B670">
            <w:pPr>
              <w:pStyle w:val="NormalinTable"/>
            </w:pPr>
          </w:p>
        </w:tc>
        <w:tc>
          <w:tcPr>
            <w:tcW w:w="3168" w:type="dxa"/>
            <w:tcBorders>
              <w:left w:val="single" w:color="auto" w:sz="4" w:space="0"/>
              <w:right w:val="single" w:color="auto" w:sz="4" w:space="0"/>
            </w:tcBorders>
          </w:tcPr>
          <w:p w:rsidR="009B1489" w:rsidP="00377110" w:rsidRDefault="009B1489" w14:paraId="2ACD7D37" w14:textId="5EE28E6D">
            <w:pPr>
              <w:pStyle w:val="NormalinTable"/>
            </w:pPr>
            <w:r>
              <w:t>Griddle</w:t>
            </w:r>
          </w:p>
        </w:tc>
        <w:tc>
          <w:tcPr>
            <w:tcW w:w="2016" w:type="dxa"/>
            <w:tcBorders>
              <w:top w:val="single" w:color="auto" w:sz="4" w:space="0"/>
              <w:left w:val="single" w:color="auto" w:sz="4" w:space="0"/>
              <w:bottom w:val="single" w:color="auto" w:sz="4" w:space="0"/>
              <w:right w:val="single" w:color="auto" w:sz="4" w:space="0"/>
            </w:tcBorders>
          </w:tcPr>
          <w:p w:rsidR="009B1489" w:rsidP="00377110" w:rsidRDefault="009B1489" w14:paraId="284976EE" w14:textId="4AA0CE41">
            <w:pPr>
              <w:pStyle w:val="NormalinTable"/>
              <w:tabs>
                <w:tab w:val="right" w:pos="3046"/>
                <w:tab w:val="decimal" w:pos="3586"/>
              </w:tabs>
            </w:pPr>
            <w:r>
              <w:t>Griddle-Elec</w:t>
            </w:r>
          </w:p>
        </w:tc>
        <w:tc>
          <w:tcPr>
            <w:tcW w:w="2137" w:type="dxa"/>
            <w:tcBorders>
              <w:top w:val="single" w:color="auto" w:sz="4" w:space="0"/>
              <w:left w:val="single" w:color="auto" w:sz="4" w:space="0"/>
              <w:bottom w:val="single" w:color="auto" w:sz="4" w:space="0"/>
              <w:right w:val="single" w:color="auto" w:sz="4" w:space="0"/>
            </w:tcBorders>
          </w:tcPr>
          <w:p w:rsidR="009B1489" w:rsidP="00377110" w:rsidRDefault="009B1489" w14:paraId="25645B09" w14:textId="521480EB">
            <w:pPr>
              <w:pStyle w:val="NormalinTable"/>
              <w:tabs>
                <w:tab w:val="right" w:pos="3046"/>
                <w:tab w:val="decimal" w:pos="3586"/>
              </w:tabs>
            </w:pPr>
            <w:r>
              <w:t>Griddle-Gas</w:t>
            </w:r>
          </w:p>
        </w:tc>
      </w:tr>
      <w:tr w:rsidRPr="00E72033" w:rsidR="009B1489" w:rsidTr="00FC5B7C" w14:paraId="3459DB96" w14:textId="77777777">
        <w:trPr>
          <w:cantSplit/>
        </w:trPr>
        <w:tc>
          <w:tcPr>
            <w:tcW w:w="1584" w:type="dxa"/>
            <w:vMerge/>
            <w:tcBorders>
              <w:left w:val="single" w:color="auto" w:sz="4" w:space="0"/>
              <w:right w:val="single" w:color="auto" w:sz="4" w:space="0"/>
            </w:tcBorders>
          </w:tcPr>
          <w:p w:rsidR="009B1489" w:rsidP="00377110" w:rsidRDefault="009B1489" w14:paraId="1AFE6E70" w14:textId="4E981935">
            <w:pPr>
              <w:pStyle w:val="NormalinTable"/>
            </w:pPr>
          </w:p>
        </w:tc>
        <w:tc>
          <w:tcPr>
            <w:tcW w:w="3168" w:type="dxa"/>
            <w:tcBorders>
              <w:left w:val="single" w:color="auto" w:sz="4" w:space="0"/>
              <w:right w:val="single" w:color="auto" w:sz="4" w:space="0"/>
            </w:tcBorders>
          </w:tcPr>
          <w:p w:rsidR="009B1489" w:rsidRDefault="009B1489" w14:paraId="2DDF79F5" w14:textId="77777777">
            <w:pPr>
              <w:pStyle w:val="NormalinTable"/>
            </w:pPr>
            <w:r>
              <w:t>Oven</w:t>
            </w:r>
          </w:p>
        </w:tc>
        <w:tc>
          <w:tcPr>
            <w:tcW w:w="2016" w:type="dxa"/>
            <w:tcBorders>
              <w:top w:val="single" w:color="auto" w:sz="4" w:space="0"/>
              <w:left w:val="single" w:color="auto" w:sz="4" w:space="0"/>
              <w:bottom w:val="single" w:color="auto" w:sz="4" w:space="0"/>
              <w:right w:val="single" w:color="auto" w:sz="4" w:space="0"/>
            </w:tcBorders>
          </w:tcPr>
          <w:p w:rsidR="009B1489" w:rsidRDefault="009B1489" w14:paraId="7156797A" w14:textId="77777777">
            <w:pPr>
              <w:pStyle w:val="NormalinTable"/>
              <w:tabs>
                <w:tab w:val="right" w:pos="3046"/>
                <w:tab w:val="decimal" w:pos="3586"/>
              </w:tabs>
            </w:pPr>
            <w:r>
              <w:t>Oven-Elec</w:t>
            </w:r>
          </w:p>
        </w:tc>
        <w:tc>
          <w:tcPr>
            <w:tcW w:w="2137" w:type="dxa"/>
            <w:tcBorders>
              <w:top w:val="single" w:color="auto" w:sz="4" w:space="0"/>
              <w:left w:val="single" w:color="auto" w:sz="4" w:space="0"/>
              <w:bottom w:val="single" w:color="auto" w:sz="4" w:space="0"/>
              <w:right w:val="single" w:color="auto" w:sz="4" w:space="0"/>
            </w:tcBorders>
          </w:tcPr>
          <w:p w:rsidR="009B1489" w:rsidRDefault="009B1489" w14:paraId="1D7F367B" w14:textId="77777777">
            <w:pPr>
              <w:pStyle w:val="NormalinTable"/>
              <w:tabs>
                <w:tab w:val="right" w:pos="3046"/>
                <w:tab w:val="decimal" w:pos="3586"/>
              </w:tabs>
            </w:pPr>
            <w:r>
              <w:t>Oven-Gas</w:t>
            </w:r>
          </w:p>
        </w:tc>
      </w:tr>
      <w:tr w:rsidRPr="00E72033" w:rsidR="009B1489" w:rsidTr="00FC5B7C" w14:paraId="6D252D9C" w14:textId="77777777">
        <w:trPr>
          <w:cantSplit/>
        </w:trPr>
        <w:tc>
          <w:tcPr>
            <w:tcW w:w="1584" w:type="dxa"/>
            <w:vMerge/>
            <w:tcBorders>
              <w:left w:val="single" w:color="auto" w:sz="4" w:space="0"/>
              <w:right w:val="single" w:color="auto" w:sz="4" w:space="0"/>
            </w:tcBorders>
          </w:tcPr>
          <w:p w:rsidR="009B1489" w:rsidP="00377110" w:rsidRDefault="009B1489" w14:paraId="06E4D110" w14:textId="4B257E5B">
            <w:pPr>
              <w:pStyle w:val="NormalinTable"/>
            </w:pPr>
          </w:p>
        </w:tc>
        <w:tc>
          <w:tcPr>
            <w:tcW w:w="3168" w:type="dxa"/>
            <w:tcBorders>
              <w:left w:val="single" w:color="auto" w:sz="4" w:space="0"/>
              <w:right w:val="single" w:color="auto" w:sz="4" w:space="0"/>
            </w:tcBorders>
          </w:tcPr>
          <w:p w:rsidR="009B1489" w:rsidP="00377110" w:rsidRDefault="009B1489" w14:paraId="13350145" w14:textId="61F59E3F">
            <w:pPr>
              <w:pStyle w:val="NormalinTable"/>
            </w:pPr>
            <w:r>
              <w:t>Oven, Combination</w:t>
            </w:r>
          </w:p>
        </w:tc>
        <w:tc>
          <w:tcPr>
            <w:tcW w:w="2016" w:type="dxa"/>
            <w:tcBorders>
              <w:top w:val="single" w:color="auto" w:sz="4" w:space="0"/>
              <w:left w:val="single" w:color="auto" w:sz="4" w:space="0"/>
              <w:bottom w:val="single" w:color="auto" w:sz="4" w:space="0"/>
              <w:right w:val="single" w:color="auto" w:sz="4" w:space="0"/>
            </w:tcBorders>
          </w:tcPr>
          <w:p w:rsidR="009B1489" w:rsidP="00377110" w:rsidRDefault="009B1489" w14:paraId="737E7F37" w14:textId="280FE741">
            <w:pPr>
              <w:pStyle w:val="NormalinTable"/>
              <w:tabs>
                <w:tab w:val="right" w:pos="3046"/>
                <w:tab w:val="decimal" w:pos="3586"/>
              </w:tabs>
            </w:pPr>
            <w:r>
              <w:t>OvenComb-Elec</w:t>
            </w:r>
          </w:p>
        </w:tc>
        <w:tc>
          <w:tcPr>
            <w:tcW w:w="2137" w:type="dxa"/>
            <w:tcBorders>
              <w:top w:val="single" w:color="auto" w:sz="4" w:space="0"/>
              <w:left w:val="single" w:color="auto" w:sz="4" w:space="0"/>
              <w:bottom w:val="single" w:color="auto" w:sz="4" w:space="0"/>
              <w:right w:val="single" w:color="auto" w:sz="4" w:space="0"/>
            </w:tcBorders>
          </w:tcPr>
          <w:p w:rsidR="009B1489" w:rsidP="00377110" w:rsidRDefault="009B1489" w14:paraId="56E3684D" w14:textId="00786A25">
            <w:pPr>
              <w:pStyle w:val="NormalinTable"/>
              <w:tabs>
                <w:tab w:val="right" w:pos="3046"/>
                <w:tab w:val="decimal" w:pos="3586"/>
              </w:tabs>
            </w:pPr>
            <w:r>
              <w:t>OvenComb-Gas</w:t>
            </w:r>
          </w:p>
        </w:tc>
      </w:tr>
      <w:tr w:rsidRPr="00E72033" w:rsidR="009B1489" w:rsidTr="00FC5B7C" w14:paraId="452E3DF4" w14:textId="77777777">
        <w:trPr>
          <w:cantSplit/>
        </w:trPr>
        <w:tc>
          <w:tcPr>
            <w:tcW w:w="1584" w:type="dxa"/>
            <w:vMerge/>
            <w:tcBorders>
              <w:left w:val="single" w:color="auto" w:sz="4" w:space="0"/>
              <w:right w:val="single" w:color="auto" w:sz="4" w:space="0"/>
            </w:tcBorders>
          </w:tcPr>
          <w:p w:rsidR="009B1489" w:rsidP="00377110" w:rsidRDefault="009B1489" w14:paraId="3A1C72FC" w14:textId="1CFE2699">
            <w:pPr>
              <w:pStyle w:val="NormalinTable"/>
            </w:pPr>
          </w:p>
        </w:tc>
        <w:tc>
          <w:tcPr>
            <w:tcW w:w="3168" w:type="dxa"/>
            <w:tcBorders>
              <w:left w:val="single" w:color="auto" w:sz="4" w:space="0"/>
              <w:right w:val="single" w:color="auto" w:sz="4" w:space="0"/>
            </w:tcBorders>
          </w:tcPr>
          <w:p w:rsidR="009B1489" w:rsidP="00377110" w:rsidRDefault="009B1489" w14:paraId="7074097B" w14:textId="108D34AE">
            <w:pPr>
              <w:pStyle w:val="NormalinTable"/>
            </w:pPr>
            <w:r>
              <w:t>Oven, Convection</w:t>
            </w:r>
          </w:p>
        </w:tc>
        <w:tc>
          <w:tcPr>
            <w:tcW w:w="2016" w:type="dxa"/>
            <w:tcBorders>
              <w:top w:val="single" w:color="auto" w:sz="4" w:space="0"/>
              <w:left w:val="single" w:color="auto" w:sz="4" w:space="0"/>
              <w:bottom w:val="single" w:color="auto" w:sz="4" w:space="0"/>
              <w:right w:val="single" w:color="auto" w:sz="4" w:space="0"/>
            </w:tcBorders>
          </w:tcPr>
          <w:p w:rsidR="009B1489" w:rsidP="00377110" w:rsidRDefault="009B1489" w14:paraId="2E9CAF04" w14:textId="7CDDD52B">
            <w:pPr>
              <w:pStyle w:val="NormalinTable"/>
              <w:tabs>
                <w:tab w:val="right" w:pos="3046"/>
                <w:tab w:val="decimal" w:pos="3586"/>
              </w:tabs>
            </w:pPr>
            <w:r>
              <w:t>OvenConv-Elec</w:t>
            </w:r>
          </w:p>
        </w:tc>
        <w:tc>
          <w:tcPr>
            <w:tcW w:w="2137" w:type="dxa"/>
            <w:tcBorders>
              <w:top w:val="single" w:color="auto" w:sz="4" w:space="0"/>
              <w:left w:val="single" w:color="auto" w:sz="4" w:space="0"/>
              <w:bottom w:val="single" w:color="auto" w:sz="4" w:space="0"/>
              <w:right w:val="single" w:color="auto" w:sz="4" w:space="0"/>
            </w:tcBorders>
          </w:tcPr>
          <w:p w:rsidR="009B1489" w:rsidP="00377110" w:rsidRDefault="009B1489" w14:paraId="4BF305B1" w14:textId="7D6A7BED">
            <w:pPr>
              <w:pStyle w:val="NormalinTable"/>
              <w:tabs>
                <w:tab w:val="right" w:pos="3046"/>
                <w:tab w:val="decimal" w:pos="3586"/>
              </w:tabs>
            </w:pPr>
            <w:r>
              <w:t>OvenConv-Gas</w:t>
            </w:r>
          </w:p>
        </w:tc>
      </w:tr>
      <w:tr w:rsidRPr="00E72033" w:rsidR="009B1489" w:rsidTr="00FC5B7C" w14:paraId="7DFC12F1" w14:textId="77777777">
        <w:trPr>
          <w:cantSplit/>
        </w:trPr>
        <w:tc>
          <w:tcPr>
            <w:tcW w:w="1584" w:type="dxa"/>
            <w:vMerge/>
            <w:tcBorders>
              <w:left w:val="single" w:color="auto" w:sz="4" w:space="0"/>
              <w:right w:val="single" w:color="auto" w:sz="4" w:space="0"/>
            </w:tcBorders>
          </w:tcPr>
          <w:p w:rsidR="009B1489" w:rsidP="00377110" w:rsidRDefault="009B1489" w14:paraId="74AFA771" w14:textId="725FE8B1">
            <w:pPr>
              <w:pStyle w:val="NormalinTable"/>
            </w:pPr>
          </w:p>
        </w:tc>
        <w:tc>
          <w:tcPr>
            <w:tcW w:w="3168" w:type="dxa"/>
            <w:tcBorders>
              <w:left w:val="single" w:color="auto" w:sz="4" w:space="0"/>
              <w:right w:val="single" w:color="auto" w:sz="4" w:space="0"/>
            </w:tcBorders>
          </w:tcPr>
          <w:p w:rsidR="009B1489" w:rsidP="00377110" w:rsidRDefault="009B1489" w14:paraId="11B78128" w14:textId="6BC59AA4">
            <w:pPr>
              <w:pStyle w:val="NormalinTable"/>
            </w:pPr>
            <w:r>
              <w:t>Oven, Conveyor</w:t>
            </w:r>
          </w:p>
        </w:tc>
        <w:tc>
          <w:tcPr>
            <w:tcW w:w="2016" w:type="dxa"/>
            <w:tcBorders>
              <w:top w:val="single" w:color="auto" w:sz="4" w:space="0"/>
              <w:left w:val="single" w:color="auto" w:sz="4" w:space="0"/>
              <w:bottom w:val="single" w:color="auto" w:sz="4" w:space="0"/>
              <w:right w:val="single" w:color="auto" w:sz="4" w:space="0"/>
            </w:tcBorders>
          </w:tcPr>
          <w:p w:rsidR="009B1489" w:rsidP="00377110" w:rsidRDefault="009B1489" w14:paraId="47E28C9C" w14:textId="24C6D6E5">
            <w:pPr>
              <w:pStyle w:val="NormalinTable"/>
              <w:tabs>
                <w:tab w:val="right" w:pos="3046"/>
                <w:tab w:val="decimal" w:pos="3586"/>
              </w:tabs>
            </w:pPr>
            <w:r>
              <w:t>OvenConvey-Elec</w:t>
            </w:r>
          </w:p>
        </w:tc>
        <w:tc>
          <w:tcPr>
            <w:tcW w:w="2137" w:type="dxa"/>
            <w:tcBorders>
              <w:top w:val="single" w:color="auto" w:sz="4" w:space="0"/>
              <w:left w:val="single" w:color="auto" w:sz="4" w:space="0"/>
              <w:bottom w:val="single" w:color="auto" w:sz="4" w:space="0"/>
              <w:right w:val="single" w:color="auto" w:sz="4" w:space="0"/>
            </w:tcBorders>
          </w:tcPr>
          <w:p w:rsidR="009B1489" w:rsidP="00377110" w:rsidRDefault="009B1489" w14:paraId="59391589" w14:textId="29C9BF2D">
            <w:pPr>
              <w:pStyle w:val="NormalinTable"/>
              <w:tabs>
                <w:tab w:val="right" w:pos="3046"/>
                <w:tab w:val="decimal" w:pos="3586"/>
              </w:tabs>
            </w:pPr>
            <w:r>
              <w:t>OvenConvey-Gas</w:t>
            </w:r>
          </w:p>
        </w:tc>
      </w:tr>
      <w:tr w:rsidRPr="00E72033" w:rsidR="009B1489" w:rsidTr="00FC5B7C" w14:paraId="392FEF64" w14:textId="77777777">
        <w:trPr>
          <w:cantSplit/>
        </w:trPr>
        <w:tc>
          <w:tcPr>
            <w:tcW w:w="1584" w:type="dxa"/>
            <w:vMerge/>
            <w:tcBorders>
              <w:left w:val="single" w:color="auto" w:sz="4" w:space="0"/>
              <w:right w:val="single" w:color="auto" w:sz="4" w:space="0"/>
            </w:tcBorders>
          </w:tcPr>
          <w:p w:rsidR="009B1489" w:rsidP="00377110" w:rsidRDefault="009B1489" w14:paraId="44826FA9" w14:textId="33FCBC1E">
            <w:pPr>
              <w:pStyle w:val="NormalinTable"/>
            </w:pPr>
          </w:p>
        </w:tc>
        <w:tc>
          <w:tcPr>
            <w:tcW w:w="3168" w:type="dxa"/>
            <w:tcBorders>
              <w:left w:val="single" w:color="auto" w:sz="4" w:space="0"/>
              <w:right w:val="single" w:color="auto" w:sz="4" w:space="0"/>
            </w:tcBorders>
          </w:tcPr>
          <w:p w:rsidR="009B1489" w:rsidP="00377110" w:rsidRDefault="009B1489" w14:paraId="5B027B49" w14:textId="186BD87C">
            <w:pPr>
              <w:pStyle w:val="NormalinTable"/>
            </w:pPr>
            <w:r>
              <w:t>Oven, Deck</w:t>
            </w:r>
          </w:p>
        </w:tc>
        <w:tc>
          <w:tcPr>
            <w:tcW w:w="2016" w:type="dxa"/>
            <w:tcBorders>
              <w:top w:val="single" w:color="auto" w:sz="4" w:space="0"/>
              <w:left w:val="single" w:color="auto" w:sz="4" w:space="0"/>
              <w:bottom w:val="single" w:color="auto" w:sz="4" w:space="0"/>
              <w:right w:val="single" w:color="auto" w:sz="4" w:space="0"/>
            </w:tcBorders>
          </w:tcPr>
          <w:p w:rsidR="009B1489" w:rsidP="00377110" w:rsidRDefault="009B1489" w14:paraId="09409802" w14:textId="56B0C119">
            <w:pPr>
              <w:pStyle w:val="NormalinTable"/>
              <w:tabs>
                <w:tab w:val="right" w:pos="3046"/>
                <w:tab w:val="decimal" w:pos="3586"/>
              </w:tabs>
            </w:pPr>
            <w:r>
              <w:t>OvenDeck-Elec</w:t>
            </w:r>
          </w:p>
        </w:tc>
        <w:tc>
          <w:tcPr>
            <w:tcW w:w="2137" w:type="dxa"/>
            <w:tcBorders>
              <w:top w:val="single" w:color="auto" w:sz="4" w:space="0"/>
              <w:left w:val="single" w:color="auto" w:sz="4" w:space="0"/>
              <w:bottom w:val="single" w:color="auto" w:sz="4" w:space="0"/>
              <w:right w:val="single" w:color="auto" w:sz="4" w:space="0"/>
            </w:tcBorders>
          </w:tcPr>
          <w:p w:rsidR="009B1489" w:rsidP="00377110" w:rsidRDefault="009B1489" w14:paraId="0E143B34" w14:textId="51DA7231">
            <w:pPr>
              <w:pStyle w:val="NormalinTable"/>
              <w:tabs>
                <w:tab w:val="right" w:pos="3046"/>
                <w:tab w:val="decimal" w:pos="3586"/>
              </w:tabs>
            </w:pPr>
            <w:r>
              <w:t>OvenDeck-Gas</w:t>
            </w:r>
          </w:p>
        </w:tc>
      </w:tr>
      <w:tr w:rsidRPr="00E72033" w:rsidR="009B1489" w:rsidTr="00FC5B7C" w14:paraId="609E7D1C" w14:textId="77777777">
        <w:trPr>
          <w:cantSplit/>
        </w:trPr>
        <w:tc>
          <w:tcPr>
            <w:tcW w:w="1584" w:type="dxa"/>
            <w:vMerge/>
            <w:tcBorders>
              <w:left w:val="single" w:color="auto" w:sz="4" w:space="0"/>
              <w:right w:val="single" w:color="auto" w:sz="4" w:space="0"/>
            </w:tcBorders>
          </w:tcPr>
          <w:p w:rsidR="009B1489" w:rsidP="00377110" w:rsidRDefault="009B1489" w14:paraId="25652A3D" w14:textId="3EA4EEFC">
            <w:pPr>
              <w:pStyle w:val="NormalinTable"/>
            </w:pPr>
            <w:bookmarkStart w:name="_Hlk179202784" w:id="137"/>
          </w:p>
        </w:tc>
        <w:tc>
          <w:tcPr>
            <w:tcW w:w="3168" w:type="dxa"/>
            <w:tcBorders>
              <w:left w:val="single" w:color="auto" w:sz="4" w:space="0"/>
              <w:right w:val="single" w:color="auto" w:sz="4" w:space="0"/>
            </w:tcBorders>
          </w:tcPr>
          <w:p w:rsidR="009B1489" w:rsidP="00377110" w:rsidRDefault="009B1489" w14:paraId="35121D15" w14:textId="2F7A19C7">
            <w:pPr>
              <w:pStyle w:val="NormalinTable"/>
            </w:pPr>
            <w:r>
              <w:t>Oven, Rack</w:t>
            </w:r>
          </w:p>
        </w:tc>
        <w:tc>
          <w:tcPr>
            <w:tcW w:w="2016" w:type="dxa"/>
            <w:tcBorders>
              <w:top w:val="single" w:color="auto" w:sz="4" w:space="0"/>
              <w:left w:val="single" w:color="auto" w:sz="4" w:space="0"/>
              <w:bottom w:val="single" w:color="auto" w:sz="4" w:space="0"/>
              <w:right w:val="single" w:color="auto" w:sz="4" w:space="0"/>
            </w:tcBorders>
          </w:tcPr>
          <w:p w:rsidR="009B1489" w:rsidP="00377110" w:rsidRDefault="009B1489" w14:paraId="12F28DF1" w14:textId="30BD2ABD">
            <w:pPr>
              <w:pStyle w:val="NormalinTable"/>
              <w:tabs>
                <w:tab w:val="right" w:pos="3046"/>
                <w:tab w:val="decimal" w:pos="3586"/>
              </w:tabs>
            </w:pPr>
            <w:r>
              <w:t>OvenRack-Elec</w:t>
            </w:r>
          </w:p>
        </w:tc>
        <w:tc>
          <w:tcPr>
            <w:tcW w:w="2137" w:type="dxa"/>
            <w:tcBorders>
              <w:top w:val="single" w:color="auto" w:sz="4" w:space="0"/>
              <w:left w:val="single" w:color="auto" w:sz="4" w:space="0"/>
              <w:bottom w:val="single" w:color="auto" w:sz="4" w:space="0"/>
              <w:right w:val="single" w:color="auto" w:sz="4" w:space="0"/>
            </w:tcBorders>
          </w:tcPr>
          <w:p w:rsidR="009B1489" w:rsidP="00377110" w:rsidRDefault="009B1489" w14:paraId="7E3C0BD2" w14:textId="4B684CC0">
            <w:pPr>
              <w:pStyle w:val="NormalinTable"/>
              <w:tabs>
                <w:tab w:val="right" w:pos="3046"/>
                <w:tab w:val="decimal" w:pos="3586"/>
              </w:tabs>
            </w:pPr>
            <w:r>
              <w:t>OvenRack-Gas</w:t>
            </w:r>
          </w:p>
        </w:tc>
      </w:tr>
      <w:bookmarkEnd w:id="137"/>
      <w:tr w:rsidRPr="00E72033" w:rsidR="009B1489" w:rsidTr="00FC5B7C" w14:paraId="07AC8CBF" w14:textId="77777777">
        <w:trPr>
          <w:cantSplit/>
        </w:trPr>
        <w:tc>
          <w:tcPr>
            <w:tcW w:w="1584" w:type="dxa"/>
            <w:vMerge/>
            <w:tcBorders>
              <w:left w:val="single" w:color="auto" w:sz="4" w:space="0"/>
              <w:right w:val="single" w:color="auto" w:sz="4" w:space="0"/>
            </w:tcBorders>
          </w:tcPr>
          <w:p w:rsidR="009B1489" w:rsidP="00377110" w:rsidRDefault="009B1489" w14:paraId="00BBB711" w14:textId="5CD14373">
            <w:pPr>
              <w:pStyle w:val="NormalinTable"/>
            </w:pPr>
          </w:p>
        </w:tc>
        <w:tc>
          <w:tcPr>
            <w:tcW w:w="3168" w:type="dxa"/>
            <w:tcBorders>
              <w:left w:val="single" w:color="auto" w:sz="4" w:space="0"/>
              <w:right w:val="single" w:color="auto" w:sz="4" w:space="0"/>
            </w:tcBorders>
          </w:tcPr>
          <w:p w:rsidR="009B1489" w:rsidP="00377110" w:rsidRDefault="009B1489" w14:paraId="3C6AB1A9" w14:textId="6DFF9586">
            <w:pPr>
              <w:pStyle w:val="NormalinTable"/>
            </w:pPr>
            <w:r>
              <w:t>Oven, Rotisserie</w:t>
            </w:r>
          </w:p>
        </w:tc>
        <w:tc>
          <w:tcPr>
            <w:tcW w:w="2016" w:type="dxa"/>
            <w:tcBorders>
              <w:top w:val="single" w:color="auto" w:sz="4" w:space="0"/>
              <w:left w:val="single" w:color="auto" w:sz="4" w:space="0"/>
              <w:bottom w:val="single" w:color="auto" w:sz="4" w:space="0"/>
              <w:right w:val="single" w:color="auto" w:sz="4" w:space="0"/>
            </w:tcBorders>
          </w:tcPr>
          <w:p w:rsidR="009B1489" w:rsidP="00377110" w:rsidRDefault="009B1489" w14:paraId="642E79DC" w14:textId="35A371D3">
            <w:pPr>
              <w:pStyle w:val="NormalinTable"/>
              <w:tabs>
                <w:tab w:val="right" w:pos="3046"/>
                <w:tab w:val="decimal" w:pos="3586"/>
              </w:tabs>
            </w:pPr>
            <w:r>
              <w:t>Rotisserie-Elec</w:t>
            </w:r>
          </w:p>
        </w:tc>
        <w:tc>
          <w:tcPr>
            <w:tcW w:w="2137" w:type="dxa"/>
            <w:tcBorders>
              <w:top w:val="single" w:color="auto" w:sz="4" w:space="0"/>
              <w:left w:val="single" w:color="auto" w:sz="4" w:space="0"/>
              <w:bottom w:val="single" w:color="auto" w:sz="4" w:space="0"/>
              <w:right w:val="single" w:color="auto" w:sz="4" w:space="0"/>
            </w:tcBorders>
          </w:tcPr>
          <w:p w:rsidR="009B1489" w:rsidP="00377110" w:rsidRDefault="009B1489" w14:paraId="6605CD94" w14:textId="242D5662">
            <w:pPr>
              <w:pStyle w:val="NormalinTable"/>
              <w:tabs>
                <w:tab w:val="right" w:pos="3046"/>
                <w:tab w:val="decimal" w:pos="3586"/>
              </w:tabs>
            </w:pPr>
            <w:r>
              <w:t>Rotisserie-Gas</w:t>
            </w:r>
          </w:p>
        </w:tc>
      </w:tr>
      <w:tr w:rsidRPr="00E72033" w:rsidR="009B1489" w:rsidTr="00FC5B7C" w14:paraId="1913DACA" w14:textId="77777777">
        <w:trPr>
          <w:cantSplit/>
        </w:trPr>
        <w:tc>
          <w:tcPr>
            <w:tcW w:w="1584" w:type="dxa"/>
            <w:vMerge/>
            <w:tcBorders>
              <w:left w:val="single" w:color="auto" w:sz="4" w:space="0"/>
              <w:right w:val="single" w:color="auto" w:sz="4" w:space="0"/>
            </w:tcBorders>
          </w:tcPr>
          <w:p w:rsidR="009B1489" w:rsidP="00377110" w:rsidRDefault="009B1489" w14:paraId="2DC0926D" w14:textId="368A7BB1">
            <w:pPr>
              <w:pStyle w:val="NormalinTable"/>
            </w:pPr>
          </w:p>
        </w:tc>
        <w:tc>
          <w:tcPr>
            <w:tcW w:w="3168" w:type="dxa"/>
            <w:tcBorders>
              <w:left w:val="single" w:color="auto" w:sz="4" w:space="0"/>
              <w:right w:val="single" w:color="auto" w:sz="4" w:space="0"/>
            </w:tcBorders>
          </w:tcPr>
          <w:p w:rsidR="009B1489" w:rsidP="00377110" w:rsidRDefault="009B1489" w14:paraId="4FBE3970" w14:textId="7F91B12E">
            <w:pPr>
              <w:pStyle w:val="NormalinTable"/>
            </w:pPr>
            <w:r>
              <w:t>Range</w:t>
            </w:r>
          </w:p>
        </w:tc>
        <w:tc>
          <w:tcPr>
            <w:tcW w:w="2016" w:type="dxa"/>
            <w:tcBorders>
              <w:top w:val="single" w:color="auto" w:sz="4" w:space="0"/>
              <w:left w:val="single" w:color="auto" w:sz="4" w:space="0"/>
              <w:bottom w:val="single" w:color="auto" w:sz="4" w:space="0"/>
              <w:right w:val="single" w:color="auto" w:sz="4" w:space="0"/>
            </w:tcBorders>
          </w:tcPr>
          <w:p w:rsidR="009B1489" w:rsidP="00377110" w:rsidRDefault="009B1489" w14:paraId="4FAE4F5C" w14:textId="48F4C3DA">
            <w:pPr>
              <w:pStyle w:val="NormalinTable"/>
              <w:tabs>
                <w:tab w:val="right" w:pos="3046"/>
                <w:tab w:val="decimal" w:pos="3586"/>
              </w:tabs>
            </w:pPr>
            <w:r>
              <w:t>Range-Elec, Range-Induct</w:t>
            </w:r>
          </w:p>
        </w:tc>
        <w:tc>
          <w:tcPr>
            <w:tcW w:w="2137" w:type="dxa"/>
            <w:tcBorders>
              <w:top w:val="single" w:color="auto" w:sz="4" w:space="0"/>
              <w:left w:val="single" w:color="auto" w:sz="4" w:space="0"/>
              <w:bottom w:val="single" w:color="auto" w:sz="4" w:space="0"/>
              <w:right w:val="single" w:color="auto" w:sz="4" w:space="0"/>
            </w:tcBorders>
          </w:tcPr>
          <w:p w:rsidR="009B1489" w:rsidP="00377110" w:rsidRDefault="009B1489" w14:paraId="6D2755CF" w14:textId="7634E450">
            <w:pPr>
              <w:pStyle w:val="NormalinTable"/>
              <w:tabs>
                <w:tab w:val="right" w:pos="3046"/>
                <w:tab w:val="decimal" w:pos="3586"/>
              </w:tabs>
            </w:pPr>
            <w:r>
              <w:t>Range-Gas</w:t>
            </w:r>
          </w:p>
        </w:tc>
      </w:tr>
      <w:tr w:rsidRPr="00E72033" w:rsidR="009B1489" w:rsidTr="00FC5B7C" w14:paraId="01C6531C" w14:textId="77777777">
        <w:trPr>
          <w:cantSplit/>
        </w:trPr>
        <w:tc>
          <w:tcPr>
            <w:tcW w:w="1584" w:type="dxa"/>
            <w:vMerge/>
            <w:tcBorders>
              <w:left w:val="single" w:color="auto" w:sz="4" w:space="0"/>
              <w:right w:val="single" w:color="auto" w:sz="4" w:space="0"/>
            </w:tcBorders>
          </w:tcPr>
          <w:p w:rsidR="009B1489" w:rsidP="00377110" w:rsidRDefault="009B1489" w14:paraId="7D06AE28" w14:textId="6F3F38C3">
            <w:pPr>
              <w:pStyle w:val="NormalinTable"/>
            </w:pPr>
          </w:p>
        </w:tc>
        <w:tc>
          <w:tcPr>
            <w:tcW w:w="3168" w:type="dxa"/>
            <w:tcBorders>
              <w:left w:val="single" w:color="auto" w:sz="4" w:space="0"/>
              <w:right w:val="single" w:color="auto" w:sz="4" w:space="0"/>
            </w:tcBorders>
          </w:tcPr>
          <w:p w:rsidR="009B1489" w:rsidP="00377110" w:rsidRDefault="009B1489" w14:paraId="04544080" w14:textId="24DACB5F">
            <w:pPr>
              <w:pStyle w:val="NormalinTable"/>
            </w:pPr>
            <w:r>
              <w:t>Soup Well</w:t>
            </w:r>
          </w:p>
        </w:tc>
        <w:tc>
          <w:tcPr>
            <w:tcW w:w="2016" w:type="dxa"/>
            <w:tcBorders>
              <w:top w:val="single" w:color="auto" w:sz="4" w:space="0"/>
              <w:left w:val="single" w:color="auto" w:sz="4" w:space="0"/>
              <w:bottom w:val="single" w:color="auto" w:sz="4" w:space="0"/>
              <w:right w:val="single" w:color="auto" w:sz="4" w:space="0"/>
            </w:tcBorders>
          </w:tcPr>
          <w:p w:rsidR="009B1489" w:rsidP="00377110" w:rsidRDefault="009B1489" w14:paraId="2F3B2DAA" w14:textId="652757CA">
            <w:pPr>
              <w:pStyle w:val="NormalinTable"/>
              <w:tabs>
                <w:tab w:val="right" w:pos="3046"/>
                <w:tab w:val="decimal" w:pos="3586"/>
              </w:tabs>
            </w:pPr>
            <w:r>
              <w:t>SoupWell-Induct</w:t>
            </w:r>
          </w:p>
        </w:tc>
        <w:tc>
          <w:tcPr>
            <w:tcW w:w="2137" w:type="dxa"/>
            <w:tcBorders>
              <w:top w:val="single" w:color="auto" w:sz="4" w:space="0"/>
              <w:left w:val="single" w:color="auto" w:sz="4" w:space="0"/>
              <w:bottom w:val="single" w:color="auto" w:sz="4" w:space="0"/>
              <w:right w:val="single" w:color="auto" w:sz="4" w:space="0"/>
            </w:tcBorders>
          </w:tcPr>
          <w:p w:rsidR="009B1489" w:rsidP="00377110" w:rsidRDefault="009B1489" w14:paraId="0C53B152" w14:textId="19723AD5">
            <w:pPr>
              <w:pStyle w:val="NormalinTable"/>
              <w:tabs>
                <w:tab w:val="right" w:pos="3046"/>
                <w:tab w:val="decimal" w:pos="3586"/>
              </w:tabs>
            </w:pPr>
            <w:r>
              <w:t>N/A</w:t>
            </w:r>
          </w:p>
        </w:tc>
      </w:tr>
      <w:tr w:rsidRPr="00E72033" w:rsidR="009B1489" w:rsidTr="00FC5B7C" w14:paraId="5B7FCB0D" w14:textId="77777777">
        <w:trPr>
          <w:cantSplit/>
        </w:trPr>
        <w:tc>
          <w:tcPr>
            <w:tcW w:w="1584" w:type="dxa"/>
            <w:vMerge/>
            <w:tcBorders>
              <w:left w:val="single" w:color="auto" w:sz="4" w:space="0"/>
              <w:right w:val="single" w:color="auto" w:sz="4" w:space="0"/>
            </w:tcBorders>
          </w:tcPr>
          <w:p w:rsidR="009B1489" w:rsidP="00377110" w:rsidRDefault="009B1489" w14:paraId="1C4A2195" w14:textId="07D698D1">
            <w:pPr>
              <w:pStyle w:val="NormalinTable"/>
            </w:pPr>
          </w:p>
        </w:tc>
        <w:tc>
          <w:tcPr>
            <w:tcW w:w="3168" w:type="dxa"/>
            <w:tcBorders>
              <w:left w:val="single" w:color="auto" w:sz="4" w:space="0"/>
              <w:right w:val="single" w:color="auto" w:sz="4" w:space="0"/>
            </w:tcBorders>
          </w:tcPr>
          <w:p w:rsidR="009B1489" w:rsidP="00377110" w:rsidRDefault="009B1489" w14:paraId="62F70AAC" w14:textId="07FB1D08">
            <w:pPr>
              <w:pStyle w:val="NormalinTable"/>
            </w:pPr>
            <w:r>
              <w:t>Steamer</w:t>
            </w:r>
          </w:p>
        </w:tc>
        <w:tc>
          <w:tcPr>
            <w:tcW w:w="2016" w:type="dxa"/>
            <w:tcBorders>
              <w:top w:val="single" w:color="auto" w:sz="4" w:space="0"/>
              <w:left w:val="single" w:color="auto" w:sz="4" w:space="0"/>
              <w:bottom w:val="single" w:color="auto" w:sz="4" w:space="0"/>
              <w:right w:val="single" w:color="auto" w:sz="4" w:space="0"/>
            </w:tcBorders>
          </w:tcPr>
          <w:p w:rsidR="009B1489" w:rsidP="00377110" w:rsidRDefault="009B1489" w14:paraId="3A615581" w14:textId="022504F4">
            <w:pPr>
              <w:pStyle w:val="NormalinTable"/>
              <w:tabs>
                <w:tab w:val="right" w:pos="3046"/>
                <w:tab w:val="decimal" w:pos="3586"/>
              </w:tabs>
            </w:pPr>
            <w:r>
              <w:t>Steamer-Elec</w:t>
            </w:r>
          </w:p>
        </w:tc>
        <w:tc>
          <w:tcPr>
            <w:tcW w:w="2137" w:type="dxa"/>
            <w:tcBorders>
              <w:top w:val="single" w:color="auto" w:sz="4" w:space="0"/>
              <w:left w:val="single" w:color="auto" w:sz="4" w:space="0"/>
              <w:bottom w:val="single" w:color="auto" w:sz="4" w:space="0"/>
              <w:right w:val="single" w:color="auto" w:sz="4" w:space="0"/>
            </w:tcBorders>
          </w:tcPr>
          <w:p w:rsidR="009B1489" w:rsidP="00377110" w:rsidRDefault="009B1489" w14:paraId="431A1AB8" w14:textId="5544D3D0">
            <w:pPr>
              <w:pStyle w:val="NormalinTable"/>
              <w:tabs>
                <w:tab w:val="right" w:pos="3046"/>
                <w:tab w:val="decimal" w:pos="3586"/>
              </w:tabs>
            </w:pPr>
            <w:r>
              <w:t>Steamer-Gas</w:t>
            </w:r>
          </w:p>
        </w:tc>
      </w:tr>
      <w:tr w:rsidRPr="00E72033" w:rsidR="009B1489" w:rsidTr="00FC5B7C" w14:paraId="4DCD27D8" w14:textId="77777777">
        <w:trPr>
          <w:cantSplit/>
        </w:trPr>
        <w:tc>
          <w:tcPr>
            <w:tcW w:w="1584" w:type="dxa"/>
            <w:vMerge/>
            <w:tcBorders>
              <w:left w:val="single" w:color="auto" w:sz="4" w:space="0"/>
              <w:right w:val="single" w:color="auto" w:sz="4" w:space="0"/>
            </w:tcBorders>
          </w:tcPr>
          <w:p w:rsidR="009B1489" w:rsidP="00377110" w:rsidRDefault="009B1489" w14:paraId="177911E1" w14:textId="699AD4CF">
            <w:pPr>
              <w:pStyle w:val="NormalinTable"/>
            </w:pPr>
          </w:p>
        </w:tc>
        <w:tc>
          <w:tcPr>
            <w:tcW w:w="3168" w:type="dxa"/>
            <w:tcBorders>
              <w:left w:val="single" w:color="auto" w:sz="4" w:space="0"/>
              <w:right w:val="single" w:color="auto" w:sz="4" w:space="0"/>
            </w:tcBorders>
          </w:tcPr>
          <w:p w:rsidR="009B1489" w:rsidP="00377110" w:rsidRDefault="009B1489" w14:paraId="1AAFA242" w14:textId="7D7C6D4F">
            <w:pPr>
              <w:pStyle w:val="NormalinTable"/>
            </w:pPr>
            <w:r>
              <w:t>Stovetop</w:t>
            </w:r>
          </w:p>
        </w:tc>
        <w:tc>
          <w:tcPr>
            <w:tcW w:w="2016" w:type="dxa"/>
            <w:tcBorders>
              <w:top w:val="single" w:color="auto" w:sz="4" w:space="0"/>
              <w:left w:val="single" w:color="auto" w:sz="4" w:space="0"/>
              <w:bottom w:val="single" w:color="auto" w:sz="4" w:space="0"/>
              <w:right w:val="single" w:color="auto" w:sz="4" w:space="0"/>
            </w:tcBorders>
          </w:tcPr>
          <w:p w:rsidR="009B1489" w:rsidP="00377110" w:rsidRDefault="009B1489" w14:paraId="5EF07652" w14:textId="13D6DD1B">
            <w:pPr>
              <w:pStyle w:val="NormalinTable"/>
              <w:tabs>
                <w:tab w:val="right" w:pos="3046"/>
                <w:tab w:val="decimal" w:pos="3586"/>
              </w:tabs>
            </w:pPr>
            <w:r>
              <w:t>Stovetop-Elec, Stovetop-Induct</w:t>
            </w:r>
          </w:p>
        </w:tc>
        <w:tc>
          <w:tcPr>
            <w:tcW w:w="2137" w:type="dxa"/>
            <w:tcBorders>
              <w:top w:val="single" w:color="auto" w:sz="4" w:space="0"/>
              <w:left w:val="single" w:color="auto" w:sz="4" w:space="0"/>
              <w:bottom w:val="single" w:color="auto" w:sz="4" w:space="0"/>
              <w:right w:val="single" w:color="auto" w:sz="4" w:space="0"/>
            </w:tcBorders>
          </w:tcPr>
          <w:p w:rsidR="009B1489" w:rsidP="00377110" w:rsidRDefault="009B1489" w14:paraId="49F81868" w14:textId="64FE6EDE">
            <w:pPr>
              <w:pStyle w:val="NormalinTable"/>
              <w:tabs>
                <w:tab w:val="right" w:pos="3046"/>
                <w:tab w:val="decimal" w:pos="3586"/>
              </w:tabs>
            </w:pPr>
            <w:r>
              <w:t>Stovetop-Gas</w:t>
            </w:r>
          </w:p>
        </w:tc>
      </w:tr>
      <w:tr w:rsidRPr="00E72033" w:rsidR="009B1489" w:rsidTr="00FC5B7C" w14:paraId="08DABAB9" w14:textId="77777777">
        <w:trPr>
          <w:cantSplit/>
        </w:trPr>
        <w:tc>
          <w:tcPr>
            <w:tcW w:w="1584" w:type="dxa"/>
            <w:vMerge/>
            <w:tcBorders>
              <w:left w:val="single" w:color="auto" w:sz="4" w:space="0"/>
              <w:right w:val="single" w:color="auto" w:sz="4" w:space="0"/>
            </w:tcBorders>
          </w:tcPr>
          <w:p w:rsidR="009B1489" w:rsidP="00377110" w:rsidRDefault="009B1489" w14:paraId="5B694CCB" w14:textId="256F1F3E">
            <w:pPr>
              <w:pStyle w:val="NormalinTable"/>
            </w:pPr>
          </w:p>
        </w:tc>
        <w:tc>
          <w:tcPr>
            <w:tcW w:w="3168" w:type="dxa"/>
            <w:tcBorders>
              <w:left w:val="single" w:color="auto" w:sz="4" w:space="0"/>
              <w:right w:val="single" w:color="auto" w:sz="4" w:space="0"/>
            </w:tcBorders>
          </w:tcPr>
          <w:p w:rsidR="009B1489" w:rsidP="00377110" w:rsidRDefault="009B1489" w14:paraId="71B3EA33" w14:textId="21871739">
            <w:pPr>
              <w:pStyle w:val="NormalinTable"/>
            </w:pPr>
            <w:r>
              <w:t>Toaster</w:t>
            </w:r>
          </w:p>
        </w:tc>
        <w:tc>
          <w:tcPr>
            <w:tcW w:w="2016" w:type="dxa"/>
            <w:tcBorders>
              <w:top w:val="single" w:color="auto" w:sz="4" w:space="0"/>
              <w:left w:val="single" w:color="auto" w:sz="4" w:space="0"/>
              <w:bottom w:val="single" w:color="auto" w:sz="4" w:space="0"/>
              <w:right w:val="single" w:color="auto" w:sz="4" w:space="0"/>
            </w:tcBorders>
          </w:tcPr>
          <w:p w:rsidR="009B1489" w:rsidP="00377110" w:rsidRDefault="009B1489" w14:paraId="1E2C9A4B" w14:textId="0AD8CBA9">
            <w:pPr>
              <w:pStyle w:val="NormalinTable"/>
              <w:tabs>
                <w:tab w:val="right" w:pos="3046"/>
                <w:tab w:val="decimal" w:pos="3586"/>
              </w:tabs>
            </w:pPr>
            <w:r>
              <w:t>Toaster</w:t>
            </w:r>
          </w:p>
        </w:tc>
        <w:tc>
          <w:tcPr>
            <w:tcW w:w="2137" w:type="dxa"/>
            <w:tcBorders>
              <w:top w:val="single" w:color="auto" w:sz="4" w:space="0"/>
              <w:left w:val="single" w:color="auto" w:sz="4" w:space="0"/>
              <w:bottom w:val="single" w:color="auto" w:sz="4" w:space="0"/>
              <w:right w:val="single" w:color="auto" w:sz="4" w:space="0"/>
            </w:tcBorders>
          </w:tcPr>
          <w:p w:rsidR="009B1489" w:rsidP="00377110" w:rsidRDefault="009B1489" w14:paraId="3027FB26" w14:textId="5FAC9E1E">
            <w:pPr>
              <w:pStyle w:val="NormalinTable"/>
              <w:tabs>
                <w:tab w:val="right" w:pos="3046"/>
                <w:tab w:val="decimal" w:pos="3586"/>
              </w:tabs>
            </w:pPr>
            <w:r>
              <w:t>N/A</w:t>
            </w:r>
          </w:p>
        </w:tc>
      </w:tr>
      <w:tr w:rsidRPr="00E72033" w:rsidR="00757441" w:rsidTr="00FC5B7C" w14:paraId="5E57F1A3" w14:textId="77777777">
        <w:trPr>
          <w:cantSplit/>
        </w:trPr>
        <w:tc>
          <w:tcPr>
            <w:tcW w:w="1584" w:type="dxa"/>
            <w:tcBorders>
              <w:left w:val="single" w:color="auto" w:sz="4" w:space="0"/>
              <w:right w:val="single" w:color="auto" w:sz="4" w:space="0"/>
            </w:tcBorders>
          </w:tcPr>
          <w:p w:rsidR="00757441" w:rsidP="00377110" w:rsidRDefault="00573A17" w14:paraId="03F2E35D" w14:textId="7AC118F3">
            <w:pPr>
              <w:pStyle w:val="NormalinTable"/>
            </w:pPr>
            <w:r>
              <w:t>PoolSpa_eq</w:t>
            </w:r>
          </w:p>
        </w:tc>
        <w:tc>
          <w:tcPr>
            <w:tcW w:w="3168" w:type="dxa"/>
            <w:tcBorders>
              <w:left w:val="single" w:color="auto" w:sz="4" w:space="0"/>
              <w:right w:val="single" w:color="auto" w:sz="4" w:space="0"/>
            </w:tcBorders>
          </w:tcPr>
          <w:p w:rsidR="00757441" w:rsidP="00377110" w:rsidRDefault="00573A17" w14:paraId="18091851" w14:textId="2F3B4853">
            <w:pPr>
              <w:pStyle w:val="NormalinTable"/>
            </w:pPr>
            <w:r>
              <w:t>Swimming Pool/Spa Heater</w:t>
            </w:r>
          </w:p>
        </w:tc>
        <w:tc>
          <w:tcPr>
            <w:tcW w:w="2016" w:type="dxa"/>
            <w:tcBorders>
              <w:top w:val="single" w:color="auto" w:sz="4" w:space="0"/>
              <w:left w:val="single" w:color="auto" w:sz="4" w:space="0"/>
              <w:bottom w:val="single" w:color="auto" w:sz="4" w:space="0"/>
              <w:right w:val="single" w:color="auto" w:sz="4" w:space="0"/>
            </w:tcBorders>
          </w:tcPr>
          <w:p w:rsidR="00757441" w:rsidP="00377110" w:rsidRDefault="00573A17" w14:paraId="2FF69160" w14:textId="1447C5B0">
            <w:pPr>
              <w:pStyle w:val="NormalinTable"/>
              <w:tabs>
                <w:tab w:val="right" w:pos="3046"/>
                <w:tab w:val="decimal" w:pos="3586"/>
              </w:tabs>
            </w:pPr>
            <w:r>
              <w:t>PoolHeater-Elec</w:t>
            </w:r>
            <w:r w:rsidR="00EB72F7">
              <w:t>, PoolHeater-HP</w:t>
            </w:r>
          </w:p>
        </w:tc>
        <w:tc>
          <w:tcPr>
            <w:tcW w:w="2137" w:type="dxa"/>
            <w:tcBorders>
              <w:top w:val="single" w:color="auto" w:sz="4" w:space="0"/>
              <w:left w:val="single" w:color="auto" w:sz="4" w:space="0"/>
              <w:bottom w:val="single" w:color="auto" w:sz="4" w:space="0"/>
              <w:right w:val="single" w:color="auto" w:sz="4" w:space="0"/>
            </w:tcBorders>
          </w:tcPr>
          <w:p w:rsidR="00757441" w:rsidP="00377110" w:rsidRDefault="00573A17" w14:paraId="2133E153" w14:textId="5882A8E5">
            <w:pPr>
              <w:pStyle w:val="NormalinTable"/>
              <w:tabs>
                <w:tab w:val="right" w:pos="3046"/>
                <w:tab w:val="decimal" w:pos="3586"/>
              </w:tabs>
            </w:pPr>
            <w:r>
              <w:t>PoolHeater-Gas</w:t>
            </w:r>
          </w:p>
        </w:tc>
      </w:tr>
    </w:tbl>
    <w:p w:rsidRPr="00745767" w:rsidR="00793C4B" w:rsidP="00793C4B" w:rsidRDefault="00793C4B" w14:paraId="6A2CB100" w14:textId="77777777"/>
    <w:p w:rsidRPr="007C2869" w:rsidR="00AC5CC0" w:rsidP="001F1A0B" w:rsidRDefault="00AC5CC0" w14:paraId="70E04AE7" w14:textId="77777777"/>
    <w:p w:rsidRPr="009905E3" w:rsidR="00F61AC1" w:rsidP="00F61AC1" w:rsidRDefault="00F61AC1" w14:paraId="6A2737A2" w14:textId="5DDA4F9C">
      <w:pPr>
        <w:pStyle w:val="Heading1"/>
      </w:pPr>
      <w:bookmarkStart w:name="_Toc185271186" w:id="138"/>
      <w:r w:rsidRPr="009905E3">
        <w:lastRenderedPageBreak/>
        <w:t>Research Needs for PY2028-29</w:t>
      </w:r>
      <w:bookmarkEnd w:id="138"/>
    </w:p>
    <w:p w:rsidRPr="009905E3" w:rsidR="00F61AC1" w:rsidP="00F61AC1" w:rsidRDefault="00834C19" w14:paraId="28917688" w14:textId="106F5B44">
      <w:r>
        <w:rPr>
          <w:u w:val="single"/>
        </w:rPr>
        <w:t>Effective Program Year: 20</w:t>
      </w:r>
      <w:r w:rsidRPr="00EB3DE7" w:rsidR="009443ED">
        <w:rPr>
          <w:u w:val="single"/>
        </w:rPr>
        <w:t>28</w:t>
      </w:r>
      <w:r>
        <w:rPr>
          <w:u w:val="single"/>
        </w:rPr>
        <w:t>.</w:t>
      </w:r>
      <w:r>
        <w:t xml:space="preserve"> </w:t>
      </w:r>
      <w:r w:rsidRPr="009905E3" w:rsidR="00F61AC1">
        <w:t>The focus of future research needs to center around forecasting important updates that will have significant impact on deemed measure savings. Future codes and standards and emerging technologies are two broad categories that influence how measure baseline definitions evolve resulting from new codes and standards. Additional research may be needed to bridge from case studies to a reliable sample or pilot evaluation that can be used to create a new measure. Beyond the baseline research and to support new measures, further research could support newer policies and use assumptions that could be updated with research. These items may not be measure specific and could affect default parameters such as NTG or EUL.</w:t>
      </w:r>
      <w:bookmarkStart w:name="_Ref98073017" w:id="139"/>
    </w:p>
    <w:p w:rsidRPr="009905E3" w:rsidR="00F61AC1" w:rsidP="00F61AC1" w:rsidRDefault="00F22458" w14:paraId="6F7CFE0B" w14:textId="008DEBD9">
      <w:pPr>
        <w:pStyle w:val="Heading2"/>
      </w:pPr>
      <w:bookmarkStart w:name="_Toc176448236" w:id="140"/>
      <w:bookmarkStart w:name="_Toc176448237" w:id="141"/>
      <w:bookmarkStart w:name="_Toc185271187" w:id="142"/>
      <w:bookmarkEnd w:id="140"/>
      <w:bookmarkEnd w:id="141"/>
      <w:r>
        <w:t>(</w:t>
      </w:r>
      <w:r w:rsidR="00764D8E">
        <w:t>G</w:t>
      </w:r>
      <w:r>
        <w:t xml:space="preserve">) </w:t>
      </w:r>
      <w:r w:rsidRPr="009905E3" w:rsidR="00F61AC1">
        <w:t>Research to Improve HVAC Refrigerant Charge Values</w:t>
      </w:r>
      <w:bookmarkEnd w:id="142"/>
    </w:p>
    <w:p w:rsidRPr="009905E3" w:rsidR="00F61AC1" w:rsidP="00F61AC1" w:rsidRDefault="0007307D" w14:paraId="292AE681" w14:textId="3B7D0F85">
      <w:r>
        <w:rPr>
          <w:u w:val="single"/>
        </w:rPr>
        <w:t>Effective Program Year: 2028.</w:t>
      </w:r>
      <w:r>
        <w:t xml:space="preserve"> </w:t>
      </w:r>
      <w:r w:rsidRPr="009905E3" w:rsidR="00F61AC1">
        <w:t>Since the avoided emissions due to refrigerant leakage have a direct effect on both the cost effectiveness of a given measure offering and—for fuel substitution measures—whether a given measure offering permutation passes part two of the fuel substitution test, it is important to have a better understanding of the refrigerant charge (lb./NormUnit) for HVAC systems and products. A study should answer the following research questions using product information from no fewer than three leading manufacturers of products sold in California:</w:t>
      </w:r>
    </w:p>
    <w:p w:rsidRPr="009905E3" w:rsidR="00F61AC1" w:rsidP="00F61AC1" w:rsidRDefault="00F61AC1" w14:paraId="6DD9BC1A" w14:textId="77777777">
      <w:pPr>
        <w:numPr>
          <w:ilvl w:val="0"/>
          <w:numId w:val="12"/>
        </w:numPr>
      </w:pPr>
      <w:r w:rsidRPr="009905E3">
        <w:t xml:space="preserve">Does the amount of refrigerant charge increase proportionally to the Cap-Tons for air conditioning equipment for all sizes? Should these be binned? </w:t>
      </w:r>
    </w:p>
    <w:p w:rsidRPr="009905E3" w:rsidR="00F61AC1" w:rsidP="00F61AC1" w:rsidRDefault="00F61AC1" w14:paraId="55121819" w14:textId="77777777">
      <w:pPr>
        <w:numPr>
          <w:ilvl w:val="0"/>
          <w:numId w:val="12"/>
        </w:numPr>
      </w:pPr>
      <w:r w:rsidRPr="009905E3">
        <w:t>Does the amount of refrigerant charge increase proportionally to the Cap-kBtuh for HVAC heat pump equipment? Should these be binned?</w:t>
      </w:r>
    </w:p>
    <w:p w:rsidRPr="009905E3" w:rsidR="00F61AC1" w:rsidP="00F61AC1" w:rsidRDefault="00F61AC1" w14:paraId="32334B3A" w14:textId="297E7DCF">
      <w:pPr>
        <w:numPr>
          <w:ilvl w:val="0"/>
          <w:numId w:val="12"/>
        </w:numPr>
      </w:pPr>
      <w:r w:rsidRPr="009905E3">
        <w:t>Does the amount of refrigerant charge vary by efficiency tier?</w:t>
      </w:r>
      <w:r w:rsidR="00053854">
        <w:t xml:space="preserve"> And if so, by how much?</w:t>
      </w:r>
    </w:p>
    <w:p w:rsidRPr="009905E3" w:rsidR="00F61AC1" w:rsidP="00F61AC1" w:rsidRDefault="00F61AC1" w14:paraId="74D9C93B" w14:textId="74E31514">
      <w:pPr>
        <w:numPr>
          <w:ilvl w:val="0"/>
          <w:numId w:val="12"/>
        </w:numPr>
      </w:pPr>
      <w:r w:rsidRPr="009905E3">
        <w:t>Does the amount of refrigerant charge vary by refrigerant?</w:t>
      </w:r>
      <w:r w:rsidR="00053854">
        <w:t xml:space="preserve"> And if so, by how much?</w:t>
      </w:r>
    </w:p>
    <w:p w:rsidRPr="009905E3" w:rsidR="00F61AC1" w:rsidP="00F61AC1" w:rsidRDefault="00F61AC1" w14:paraId="6209E27B" w14:textId="77777777"/>
    <w:p w:rsidRPr="009905E3" w:rsidR="00F61AC1" w:rsidP="00F61AC1" w:rsidRDefault="00563367" w14:paraId="304260E0" w14:textId="4FC2FA29">
      <w:pPr>
        <w:pStyle w:val="Heading2"/>
      </w:pPr>
      <w:bookmarkStart w:name="_Toc185271188" w:id="143"/>
      <w:r>
        <w:lastRenderedPageBreak/>
        <w:t>(</w:t>
      </w:r>
      <w:r w:rsidR="00764D8E">
        <w:t>H</w:t>
      </w:r>
      <w:r>
        <w:t xml:space="preserve">) </w:t>
      </w:r>
      <w:r w:rsidRPr="009905E3" w:rsidR="00F61AC1">
        <w:t>VRF Heat Pump and AC Performance Curves</w:t>
      </w:r>
      <w:bookmarkEnd w:id="143"/>
    </w:p>
    <w:p w:rsidRPr="009905E3" w:rsidR="00F61AC1" w:rsidP="00F61AC1" w:rsidRDefault="008579AC" w14:paraId="7D8B4331" w14:textId="592A9D9C">
      <w:r>
        <w:rPr>
          <w:u w:val="single"/>
        </w:rPr>
        <w:t>Effective Program Year: 2028.</w:t>
      </w:r>
      <w:r>
        <w:t xml:space="preserve"> </w:t>
      </w:r>
      <w:r w:rsidRPr="009905E3" w:rsidR="00F61AC1">
        <w:t xml:space="preserve">SDG&amp;E has funded additional research in high efficiency equipment using inverter-driven compressors with variable refrigerant flow to further address data gaps in the study that SDG&amp;E performed in 2023. We support this research and recommend relying on </w:t>
      </w:r>
      <w:r w:rsidR="00FF4371">
        <w:t xml:space="preserve">published </w:t>
      </w:r>
      <w:r w:rsidRPr="009905E3" w:rsidR="00F61AC1">
        <w:t xml:space="preserve">independent lab-test data rather than manufacturer data to inform performance curves. </w:t>
      </w:r>
    </w:p>
    <w:p w:rsidRPr="009905E3" w:rsidR="00F61AC1" w:rsidP="00F61AC1" w:rsidRDefault="00563367" w14:paraId="629DBC7D" w14:textId="3DD28A37">
      <w:pPr>
        <w:pStyle w:val="Heading2"/>
      </w:pPr>
      <w:bookmarkStart w:name="_Toc185271189" w:id="144"/>
      <w:r>
        <w:t>(</w:t>
      </w:r>
      <w:r w:rsidR="00764D8E">
        <w:t>I</w:t>
      </w:r>
      <w:r>
        <w:t xml:space="preserve">) </w:t>
      </w:r>
      <w:r w:rsidRPr="009905E3" w:rsidR="00F61AC1">
        <w:t>Improvements for Commercial Water Heater and Hot Water Measures</w:t>
      </w:r>
      <w:bookmarkEnd w:id="144"/>
    </w:p>
    <w:bookmarkEnd w:id="139"/>
    <w:p w:rsidRPr="009905E3" w:rsidR="00F61AC1" w:rsidP="00F61AC1" w:rsidRDefault="00DC4DFD" w14:paraId="5854F3D5" w14:textId="36BB96E2">
      <w:r>
        <w:rPr>
          <w:u w:val="single"/>
        </w:rPr>
        <w:t>Effective Program Year: 2028.</w:t>
      </w:r>
      <w:r>
        <w:t xml:space="preserve"> </w:t>
      </w:r>
      <w:r w:rsidRPr="009905E3" w:rsidR="00F61AC1">
        <w:t xml:space="preserve">In the past year, </w:t>
      </w:r>
      <w:r w:rsidR="00F3658E">
        <w:t>CPUC staff and staff consultants</w:t>
      </w:r>
      <w:r w:rsidRPr="009905E3" w:rsidR="00F61AC1">
        <w:t xml:space="preserve"> conducted literature and internet research to identify whether more recent hot water load profiles could be identified for commercial buildings. This effort did not identify any sources that would be better than those presently in use in the DEER Water Heater Calculator v5.1. The Ex Ante Review Team will revisit this effort once the last of the data gathered during the 2019 Commercial End Use Study (CEUS) has been published. Additional activity-level load shapes (e.g., gyms, laundromats) will be pursued for development. Pathways to migrating these commercial measures into EnergyPlus that are currently modeled using the DEER Water Heater Calculator will be explored. New measures will also be developed using EnergyPlus templates in phases as follows:</w:t>
      </w:r>
    </w:p>
    <w:p w:rsidRPr="009905E3" w:rsidR="00F61AC1" w:rsidP="00F61AC1" w:rsidRDefault="00F61AC1" w14:paraId="4E1B05D9" w14:textId="77777777">
      <w:pPr>
        <w:numPr>
          <w:ilvl w:val="0"/>
          <w:numId w:val="13"/>
        </w:numPr>
      </w:pPr>
      <w:r w:rsidRPr="009905E3">
        <w:t>Large central water heating measures</w:t>
      </w:r>
    </w:p>
    <w:p w:rsidRPr="009905E3" w:rsidR="00F61AC1" w:rsidP="00F61AC1" w:rsidRDefault="00F61AC1" w14:paraId="7DBC3D01" w14:textId="77777777">
      <w:pPr>
        <w:numPr>
          <w:ilvl w:val="0"/>
          <w:numId w:val="13"/>
        </w:numPr>
      </w:pPr>
      <w:r w:rsidRPr="009905E3">
        <w:t>Small split-system heat pump water heating measures</w:t>
      </w:r>
    </w:p>
    <w:p w:rsidR="00F61AC1" w:rsidP="00F61AC1" w:rsidRDefault="00F61AC1" w14:paraId="397D5423" w14:textId="77777777">
      <w:pPr>
        <w:numPr>
          <w:ilvl w:val="0"/>
          <w:numId w:val="13"/>
        </w:numPr>
      </w:pPr>
      <w:r w:rsidRPr="009905E3">
        <w:t>Small unitary “one-to-one” water heating measures</w:t>
      </w:r>
    </w:p>
    <w:p w:rsidR="0033160A" w:rsidP="0033160A" w:rsidRDefault="0033160A" w14:paraId="694AC18B" w14:textId="77777777">
      <w:pPr>
        <w:ind w:left="720"/>
      </w:pPr>
    </w:p>
    <w:p w:rsidRPr="009905E3" w:rsidR="001B076B" w:rsidP="001B076B" w:rsidRDefault="004B0116" w14:paraId="1765F158" w14:textId="378BF31C">
      <w:r>
        <w:t>Given th</w:t>
      </w:r>
      <w:r w:rsidR="00F42D8D">
        <w:t xml:space="preserve">at </w:t>
      </w:r>
      <w:r w:rsidR="00764CCC">
        <w:t xml:space="preserve">load shifting </w:t>
      </w:r>
      <w:r w:rsidR="000E3DDA">
        <w:t>may</w:t>
      </w:r>
      <w:r w:rsidR="00AA5F80">
        <w:t xml:space="preserve"> </w:t>
      </w:r>
      <w:r w:rsidR="00B45B40">
        <w:t>b</w:t>
      </w:r>
      <w:r w:rsidR="006B3F5E">
        <w:t>e</w:t>
      </w:r>
      <w:r w:rsidR="00764CCC">
        <w:t xml:space="preserve"> </w:t>
      </w:r>
      <w:r w:rsidR="006B3F5E">
        <w:t>pursued</w:t>
      </w:r>
      <w:r w:rsidR="00764CCC">
        <w:t xml:space="preserve"> as an energy efficiency measure</w:t>
      </w:r>
      <w:r w:rsidR="006B3F5E">
        <w:t xml:space="preserve"> on a limited basis</w:t>
      </w:r>
      <w:r w:rsidR="00764CCC">
        <w:t xml:space="preserve">, </w:t>
      </w:r>
      <w:r w:rsidR="00DC60BA">
        <w:t xml:space="preserve">we </w:t>
      </w:r>
      <w:r w:rsidR="00A70D33">
        <w:t>may shift</w:t>
      </w:r>
      <w:r w:rsidR="00CA245A">
        <w:t xml:space="preserve"> the </w:t>
      </w:r>
      <w:r w:rsidR="009400FF">
        <w:t>order</w:t>
      </w:r>
      <w:r w:rsidR="00D37D0C">
        <w:t xml:space="preserve"> of the phases</w:t>
      </w:r>
      <w:r w:rsidR="004128CF">
        <w:t xml:space="preserve"> in the future.</w:t>
      </w:r>
    </w:p>
    <w:p w:rsidRPr="004471F7" w:rsidR="00F61AC1" w:rsidP="00F61AC1" w:rsidRDefault="00F61AC1" w14:paraId="18119776" w14:textId="77777777"/>
    <w:p w:rsidR="00257E0C" w:rsidP="000A5509" w:rsidRDefault="008435D4" w14:paraId="59DA2F5E" w14:textId="038A7FC0">
      <w:pPr>
        <w:pStyle w:val="Heading1"/>
      </w:pPr>
      <w:bookmarkStart w:name="_Toc185271190" w:id="145"/>
      <w:r>
        <w:lastRenderedPageBreak/>
        <w:t>Measure Adoption</w:t>
      </w:r>
      <w:bookmarkEnd w:id="145"/>
    </w:p>
    <w:p w:rsidR="006575B0" w:rsidP="00625D79" w:rsidRDefault="00C8721B" w14:paraId="50D3965A" w14:textId="5598224F">
      <w:r>
        <w:rPr>
          <w:u w:val="single"/>
        </w:rPr>
        <w:t xml:space="preserve">Effective Program Year: </w:t>
      </w:r>
      <w:r w:rsidRPr="003E5507">
        <w:rPr>
          <w:u w:val="single"/>
        </w:rPr>
        <w:t>20</w:t>
      </w:r>
      <w:r w:rsidRPr="003E5507" w:rsidR="005964BB">
        <w:rPr>
          <w:u w:val="single"/>
        </w:rPr>
        <w:t>24-202</w:t>
      </w:r>
      <w:r w:rsidRPr="003E5507" w:rsidR="003F32AA">
        <w:rPr>
          <w:u w:val="single"/>
        </w:rPr>
        <w:t>5 and 2026-2027</w:t>
      </w:r>
      <w:r>
        <w:rPr>
          <w:u w:val="single"/>
        </w:rPr>
        <w:t>.</w:t>
      </w:r>
      <w:r>
        <w:t xml:space="preserve"> </w:t>
      </w:r>
      <w:r w:rsidR="00625D79">
        <w:t>This resolution will adopt and lock approved ex ante values contained in the measure packages for PY2026-2027 and mid-cycle change from PY2024-25. New guidance that has not been previously issued is provided in the sections below.</w:t>
      </w:r>
    </w:p>
    <w:p w:rsidR="00EB2E7E" w:rsidP="00EB2E7E" w:rsidRDefault="00EB2E7E" w14:paraId="53187FCC" w14:textId="35560075">
      <w:pPr>
        <w:pStyle w:val="Heading2"/>
      </w:pPr>
      <w:bookmarkStart w:name="_Toc185271191" w:id="146"/>
      <w:r>
        <w:t>(</w:t>
      </w:r>
      <w:r w:rsidR="00764D8E">
        <w:t>J</w:t>
      </w:r>
      <w:r>
        <w:t xml:space="preserve">) Guidance from 2021 </w:t>
      </w:r>
      <w:r w:rsidRPr="00F81466">
        <w:t>Custom Industrial, Agricultural, and Commercial (CIAC) Impact Evaluation</w:t>
      </w:r>
      <w:bookmarkEnd w:id="146"/>
    </w:p>
    <w:p w:rsidR="006D7F99" w:rsidP="00EB2E7E" w:rsidRDefault="71CAD134" w14:paraId="200F7854" w14:textId="4ACFEB7C">
      <w:r>
        <w:rPr>
          <w:u w:val="single"/>
        </w:rPr>
        <w:t>Effective Program Year: 20</w:t>
      </w:r>
      <w:r w:rsidR="01D9E4C8">
        <w:rPr>
          <w:u w:val="single"/>
        </w:rPr>
        <w:t>26</w:t>
      </w:r>
      <w:r>
        <w:rPr>
          <w:u w:val="single"/>
        </w:rPr>
        <w:t>.</w:t>
      </w:r>
      <w:r>
        <w:t xml:space="preserve"> The </w:t>
      </w:r>
      <w:r w:rsidRPr="009779A1">
        <w:t>2020-2021</w:t>
      </w:r>
      <w:r>
        <w:t xml:space="preserve"> CIAC study</w:t>
      </w:r>
      <w:r w:rsidR="00EB2E7E">
        <w:rPr>
          <w:rStyle w:val="FootnoteReference"/>
        </w:rPr>
        <w:footnoteReference w:id="32"/>
      </w:r>
      <w:r>
        <w:t xml:space="preserve"> evaluated electric and gas energy reductions by the CIAC program, which includes Savings by Design (SBD) and custom programs. All lighting calculators (Modified Lighting Calculator, Easy Lighting Calculator, GrowGreen Calculator, SCE’s Type B TLED Calculator) use DEER inputs for hours of use (HOU), coincidence demand factor</w:t>
      </w:r>
      <w:r w:rsidR="7A4FC4DF">
        <w:t>s</w:t>
      </w:r>
      <w:r>
        <w:t>, and interactive effects. PAs should use</w:t>
      </w:r>
      <w:r w:rsidR="0A5D08D7">
        <w:t xml:space="preserve"> </w:t>
      </w:r>
      <w:r>
        <w:t>area-specific</w:t>
      </w:r>
      <w:r w:rsidR="04CE5D78">
        <w:t xml:space="preserve"> </w:t>
      </w:r>
      <w:r>
        <w:t xml:space="preserve">categories to facilitate correct accounting of savings when installations </w:t>
      </w:r>
      <w:r w:rsidR="4CFB4889">
        <w:t>significantly deviate from</w:t>
      </w:r>
      <w:r>
        <w:t xml:space="preserve"> the </w:t>
      </w:r>
      <w:r w:rsidR="459644C9">
        <w:t>DEER</w:t>
      </w:r>
      <w:r>
        <w:t xml:space="preserve"> </w:t>
      </w:r>
      <w:r w:rsidR="47AA2D1C">
        <w:t>building</w:t>
      </w:r>
      <w:r>
        <w:t xml:space="preserve"> type</w:t>
      </w:r>
      <w:r w:rsidR="4889011E">
        <w:t xml:space="preserve"> HOU assumptions</w:t>
      </w:r>
      <w:r>
        <w:t xml:space="preserve">. Per D.12.05.015, the PAs can conduct a study to develop </w:t>
      </w:r>
      <w:r w:rsidR="10053A2E">
        <w:t>addition</w:t>
      </w:r>
      <w:r w:rsidR="3941524D">
        <w:t>al</w:t>
      </w:r>
      <w:r w:rsidR="10053A2E">
        <w:t xml:space="preserve"> </w:t>
      </w:r>
      <w:r>
        <w:t>HOU</w:t>
      </w:r>
      <w:r w:rsidR="3941524D">
        <w:t xml:space="preserve"> categories</w:t>
      </w:r>
      <w:r>
        <w:t xml:space="preserve"> if DEER values are not available or not applicable. </w:t>
      </w:r>
      <w:r w:rsidR="1B121C0E">
        <w:t xml:space="preserve">That said, the study </w:t>
      </w:r>
      <w:r w:rsidR="5604A5D6">
        <w:t>found that DEER EUL/HOU values</w:t>
      </w:r>
      <w:r w:rsidR="5030B818">
        <w:t xml:space="preserve"> </w:t>
      </w:r>
      <w:r>
        <w:t xml:space="preserve">were generally </w:t>
      </w:r>
      <w:r w:rsidR="3A591E4E">
        <w:t>accurate,</w:t>
      </w:r>
      <w:r>
        <w:t xml:space="preserve"> and the DEER EULs should continue to be used when available. </w:t>
      </w:r>
      <w:r w:rsidR="41C200B1">
        <w:t xml:space="preserve">This recommendation </w:t>
      </w:r>
      <w:r w:rsidR="14292AA4">
        <w:t xml:space="preserve">is subject to ongoing </w:t>
      </w:r>
      <w:r w:rsidR="3526E6BC">
        <w:t xml:space="preserve">collaboration with the custom project review ex-ante team and </w:t>
      </w:r>
      <w:r w:rsidR="3F94F080">
        <w:t xml:space="preserve">the </w:t>
      </w:r>
      <w:r w:rsidR="3526E6BC">
        <w:t xml:space="preserve">MLC </w:t>
      </w:r>
      <w:r w:rsidR="18CFAE89">
        <w:t>update.</w:t>
      </w:r>
    </w:p>
    <w:p w:rsidRPr="00F81466" w:rsidR="00EB2E7E" w:rsidP="00EB2E7E" w:rsidRDefault="72D99079" w14:paraId="3E21DD46" w14:textId="71762DCB">
      <w:r>
        <w:t xml:space="preserve">In general, the study supported the improvement of thorough review of measure application types (MATs) applied to claims and/or projects, appropriate baseline application, more permit documentation for savings by design projects, and a general improvement in documentation including customer contact information. </w:t>
      </w:r>
    </w:p>
    <w:p w:rsidRPr="00F81466" w:rsidR="00EB2E7E" w:rsidP="00EB2E7E" w:rsidRDefault="72D99079" w14:paraId="624F0A44" w14:textId="02B3B0A1">
      <w:r>
        <w:t>T</w:t>
      </w:r>
      <w:r w:rsidR="71CAD134">
        <w:t>he deemed portion of a custom project is recommended to be</w:t>
      </w:r>
      <w:r w:rsidR="2E3853EC">
        <w:t xml:space="preserve"> clearly</w:t>
      </w:r>
      <w:r w:rsidR="71CAD134">
        <w:t xml:space="preserve"> </w:t>
      </w:r>
      <w:r w:rsidR="4F41ABBD">
        <w:t>identified</w:t>
      </w:r>
      <w:r w:rsidR="71CAD134">
        <w:t xml:space="preserve"> as a deemed claim</w:t>
      </w:r>
      <w:r w:rsidR="02E20A8E">
        <w:t xml:space="preserve"> with deemed savings</w:t>
      </w:r>
      <w:r w:rsidR="71CAD134">
        <w:t xml:space="preserve">. There are no changes to current DEER values as </w:t>
      </w:r>
      <w:r w:rsidR="488D5480">
        <w:t xml:space="preserve">a </w:t>
      </w:r>
      <w:r w:rsidR="71CAD134">
        <w:t>result of this study.</w:t>
      </w:r>
    </w:p>
    <w:p w:rsidRPr="004471F7" w:rsidR="004471F7" w:rsidP="001A4FA3" w:rsidRDefault="000F13CF" w14:paraId="0F992379" w14:textId="35E88149">
      <w:pPr>
        <w:pStyle w:val="Heading2"/>
      </w:pPr>
      <w:bookmarkStart w:name="_Toc175733831" w:id="147"/>
      <w:bookmarkStart w:name="_Toc175742695" w:id="148"/>
      <w:bookmarkStart w:name="_Toc175762771" w:id="149"/>
      <w:bookmarkStart w:name="_Toc175766051" w:id="150"/>
      <w:bookmarkStart w:name="_Toc185271192" w:id="151"/>
      <w:bookmarkEnd w:id="147"/>
      <w:bookmarkEnd w:id="148"/>
      <w:bookmarkEnd w:id="149"/>
      <w:bookmarkEnd w:id="150"/>
      <w:r>
        <w:lastRenderedPageBreak/>
        <w:t>(</w:t>
      </w:r>
      <w:r w:rsidR="00764D8E">
        <w:t>K</w:t>
      </w:r>
      <w:r>
        <w:t xml:space="preserve">) </w:t>
      </w:r>
      <w:r w:rsidRPr="004471F7" w:rsidR="004471F7">
        <w:t xml:space="preserve">Guidance from </w:t>
      </w:r>
      <w:r w:rsidR="0010555B">
        <w:t>Effective Useful Life (</w:t>
      </w:r>
      <w:r w:rsidRPr="004471F7" w:rsidR="004471F7">
        <w:t>EUL</w:t>
      </w:r>
      <w:r w:rsidR="0010555B">
        <w:t>)</w:t>
      </w:r>
      <w:r w:rsidRPr="004471F7" w:rsidR="004471F7">
        <w:t xml:space="preserve"> studies</w:t>
      </w:r>
      <w:bookmarkEnd w:id="151"/>
    </w:p>
    <w:p w:rsidRPr="00740B6F" w:rsidR="00740B6F" w:rsidP="00740B6F" w:rsidRDefault="00740B6F" w14:paraId="0836897E" w14:textId="4B447BF3">
      <w:r>
        <w:rPr>
          <w:u w:val="single"/>
        </w:rPr>
        <w:t>Effective Program Year: 2024-202</w:t>
      </w:r>
      <w:r w:rsidR="0070740A">
        <w:rPr>
          <w:u w:val="single"/>
        </w:rPr>
        <w:t>5</w:t>
      </w:r>
      <w:r>
        <w:rPr>
          <w:u w:val="single"/>
        </w:rPr>
        <w:t>.</w:t>
      </w:r>
      <w:r>
        <w:t xml:space="preserve"> This section summarizes CPUC guidance for measure packages related to three recent effective useful life (EUL) studies.</w:t>
      </w:r>
    </w:p>
    <w:p w:rsidRPr="004471F7" w:rsidR="004471F7" w:rsidP="001A4FA3" w:rsidRDefault="006049E3" w14:paraId="00F28FE2" w14:textId="14135339">
      <w:pPr>
        <w:pStyle w:val="Heading3"/>
      </w:pPr>
      <w:bookmarkStart w:name="_Toc185271193" w:id="152"/>
      <w:r>
        <w:t>(</w:t>
      </w:r>
      <w:r w:rsidR="00764D8E">
        <w:t>K</w:t>
      </w:r>
      <w:r>
        <w:t xml:space="preserve">.1) </w:t>
      </w:r>
      <w:r w:rsidRPr="004471F7" w:rsidR="004471F7">
        <w:t>2023 Residential Insulation EUL Study updates</w:t>
      </w:r>
      <w:bookmarkEnd w:id="152"/>
    </w:p>
    <w:p w:rsidRPr="004471F7" w:rsidR="004471F7" w:rsidP="004471F7" w:rsidRDefault="004471F7" w14:paraId="74868A0B" w14:textId="773DD726">
      <w:r w:rsidRPr="004471F7">
        <w:rPr>
          <w:u w:val="single"/>
        </w:rPr>
        <w:t>Effective Program Year: 2024.</w:t>
      </w:r>
      <w:r w:rsidRPr="004471F7">
        <w:t xml:space="preserve"> The CPUC Group A 2023 Residential Insulation EUL Study FINAL Report</w:t>
      </w:r>
      <w:r w:rsidRPr="004471F7">
        <w:rPr>
          <w:vertAlign w:val="superscript"/>
        </w:rPr>
        <w:footnoteReference w:id="33"/>
      </w:r>
      <w:r w:rsidRPr="004471F7">
        <w:t xml:space="preserve"> published in December 2023 presents the report findings of a 30-year EUL for ceiling and wall insulation measures. The findings of this study updated the following insulation measures for program years 2024-25 with the new EULs per O.P. 5 in D.23-04-035 and as shown in </w:t>
      </w:r>
      <w:r w:rsidRPr="004471F7">
        <w:fldChar w:fldCharType="begin"/>
      </w:r>
      <w:r w:rsidRPr="004471F7">
        <w:instrText xml:space="preserve"> REF _Ref162894464 \h </w:instrText>
      </w:r>
      <w:r w:rsidR="00F81D80">
        <w:instrText xml:space="preserve"> \* MERGEFORMAT </w:instrText>
      </w:r>
      <w:r w:rsidRPr="004471F7">
        <w:fldChar w:fldCharType="separate"/>
      </w:r>
      <w:r w:rsidRPr="004471F7" w:rsidR="00E812F0">
        <w:t xml:space="preserve">Table </w:t>
      </w:r>
      <w:r w:rsidRPr="0033160A" w:rsidR="00E812F0">
        <w:rPr>
          <w:noProof/>
          <w:webHidden/>
        </w:rPr>
        <w:t>A-</w:t>
      </w:r>
      <w:r w:rsidR="00E812F0">
        <w:rPr>
          <w:noProof/>
        </w:rPr>
        <w:t>3</w:t>
      </w:r>
      <w:r w:rsidRPr="004471F7" w:rsidR="00E812F0">
        <w:rPr>
          <w:noProof/>
        </w:rPr>
        <w:noBreakHyphen/>
      </w:r>
      <w:r w:rsidR="00E812F0">
        <w:rPr>
          <w:noProof/>
        </w:rPr>
        <w:t>1</w:t>
      </w:r>
      <w:r w:rsidRPr="004471F7">
        <w:fldChar w:fldCharType="end"/>
      </w:r>
      <w:r w:rsidRPr="004471F7">
        <w:t xml:space="preserve">. </w:t>
      </w:r>
    </w:p>
    <w:p w:rsidRPr="004471F7" w:rsidR="004471F7" w:rsidP="00F81D80" w:rsidRDefault="004471F7" w14:paraId="686AC9FF" w14:textId="4990AE7E">
      <w:pPr>
        <w:pStyle w:val="Caption"/>
      </w:pPr>
      <w:bookmarkStart w:name="_Ref162894464" w:id="153"/>
      <w:bookmarkStart w:name="_Ref162894457" w:id="154"/>
      <w:bookmarkStart w:name="_Toc185273169" w:id="155"/>
      <w:r w:rsidRPr="004471F7">
        <w:t xml:space="preserve">Table </w:t>
      </w:r>
      <w:r w:rsidRPr="0033160A" w:rsidR="0033160A">
        <w:rPr>
          <w:webHidden/>
        </w:rPr>
        <w:t>A-</w:t>
      </w:r>
      <w:r>
        <w:fldChar w:fldCharType="begin"/>
      </w:r>
      <w:r>
        <w:instrText>STYLEREF 1 \s</w:instrText>
      </w:r>
      <w:r>
        <w:fldChar w:fldCharType="separate"/>
      </w:r>
      <w:r w:rsidR="00E812F0">
        <w:rPr>
          <w:noProof/>
        </w:rPr>
        <w:t>3</w:t>
      </w:r>
      <w:r>
        <w:fldChar w:fldCharType="end"/>
      </w:r>
      <w:r w:rsidRPr="004471F7">
        <w:noBreakHyphen/>
      </w:r>
      <w:r>
        <w:fldChar w:fldCharType="begin"/>
      </w:r>
      <w:r>
        <w:instrText>SEQ Table \* ARABIC \s 1</w:instrText>
      </w:r>
      <w:r>
        <w:fldChar w:fldCharType="separate"/>
      </w:r>
      <w:r w:rsidR="00E812F0">
        <w:rPr>
          <w:noProof/>
        </w:rPr>
        <w:t>1</w:t>
      </w:r>
      <w:r>
        <w:fldChar w:fldCharType="end"/>
      </w:r>
      <w:bookmarkEnd w:id="153"/>
      <w:r w:rsidRPr="004471F7">
        <w:t>. EUL Results from 2023 Residential Insulation EUL Study</w:t>
      </w:r>
      <w:bookmarkEnd w:id="154"/>
      <w:bookmarkEnd w:id="155"/>
      <w:r w:rsidRPr="004471F7">
        <w:t xml:space="preserve">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bottom w:w="14" w:type="dxa"/>
        </w:tblCellMar>
        <w:tblLook w:val="04A0" w:firstRow="1" w:lastRow="0" w:firstColumn="1" w:lastColumn="0" w:noHBand="0" w:noVBand="1"/>
      </w:tblPr>
      <w:tblGrid>
        <w:gridCol w:w="4464"/>
        <w:gridCol w:w="2448"/>
        <w:gridCol w:w="2448"/>
      </w:tblGrid>
      <w:tr w:rsidRPr="0091285D" w:rsidR="004471F7" w:rsidTr="009F155D" w14:paraId="5C37059E" w14:textId="77777777">
        <w:trPr>
          <w:cantSplit/>
          <w:tblHeader/>
        </w:trPr>
        <w:tc>
          <w:tcPr>
            <w:tcW w:w="4464" w:type="dxa"/>
            <w:tcBorders>
              <w:left w:val="single" w:color="auto" w:sz="4" w:space="0"/>
              <w:bottom w:val="single" w:color="auto" w:sz="4" w:space="0"/>
              <w:right w:val="single" w:color="auto" w:sz="4" w:space="0"/>
            </w:tcBorders>
            <w:vAlign w:val="bottom"/>
          </w:tcPr>
          <w:p w:rsidRPr="0091285D" w:rsidR="004471F7" w:rsidP="00F81D80" w:rsidRDefault="004471F7" w14:paraId="63D426B5" w14:textId="77777777">
            <w:pPr>
              <w:pStyle w:val="NormalinTable"/>
              <w:rPr>
                <w:b/>
                <w:bCs/>
              </w:rPr>
            </w:pPr>
            <w:r w:rsidRPr="0091285D">
              <w:rPr>
                <w:b/>
                <w:bCs/>
              </w:rPr>
              <w:t>Measure</w:t>
            </w:r>
          </w:p>
        </w:tc>
        <w:tc>
          <w:tcPr>
            <w:tcW w:w="2448" w:type="dxa"/>
            <w:tcBorders>
              <w:top w:val="single" w:color="auto" w:sz="4" w:space="0"/>
              <w:left w:val="single" w:color="auto" w:sz="4" w:space="0"/>
              <w:right w:val="single" w:color="auto" w:sz="4" w:space="0"/>
            </w:tcBorders>
            <w:vAlign w:val="bottom"/>
          </w:tcPr>
          <w:p w:rsidRPr="0091285D" w:rsidR="004471F7" w:rsidP="00F81D80" w:rsidRDefault="004471F7" w14:paraId="5CDDDD3F" w14:textId="77777777">
            <w:pPr>
              <w:pStyle w:val="NormalinTable"/>
              <w:rPr>
                <w:b/>
                <w:bCs/>
              </w:rPr>
            </w:pPr>
            <w:r w:rsidRPr="0091285D">
              <w:rPr>
                <w:b/>
                <w:bCs/>
              </w:rPr>
              <w:t>Existing EUL_ID, years</w:t>
            </w:r>
          </w:p>
        </w:tc>
        <w:tc>
          <w:tcPr>
            <w:tcW w:w="2448" w:type="dxa"/>
            <w:tcBorders>
              <w:top w:val="single" w:color="auto" w:sz="4" w:space="0"/>
              <w:left w:val="single" w:color="auto" w:sz="4" w:space="0"/>
              <w:right w:val="single" w:color="auto" w:sz="4" w:space="0"/>
            </w:tcBorders>
            <w:vAlign w:val="bottom"/>
          </w:tcPr>
          <w:p w:rsidRPr="0091285D" w:rsidR="004471F7" w:rsidP="00F81D80" w:rsidRDefault="004471F7" w14:paraId="467D9E84" w14:textId="77777777">
            <w:pPr>
              <w:pStyle w:val="NormalinTable"/>
              <w:rPr>
                <w:b/>
                <w:bCs/>
              </w:rPr>
            </w:pPr>
            <w:r w:rsidRPr="0091285D">
              <w:rPr>
                <w:b/>
                <w:bCs/>
              </w:rPr>
              <w:t>DEER2024 EUL_ID, years</w:t>
            </w:r>
          </w:p>
        </w:tc>
      </w:tr>
      <w:tr w:rsidRPr="004471F7" w:rsidR="004471F7" w:rsidTr="009F155D" w14:paraId="340BF2BA" w14:textId="77777777">
        <w:trPr>
          <w:cantSplit/>
          <w:tblHeader/>
        </w:trPr>
        <w:tc>
          <w:tcPr>
            <w:tcW w:w="4464" w:type="dxa"/>
            <w:tcBorders>
              <w:left w:val="single" w:color="auto" w:sz="4" w:space="0"/>
              <w:bottom w:val="single" w:color="auto" w:sz="4" w:space="0"/>
              <w:right w:val="single" w:color="auto" w:sz="4" w:space="0"/>
            </w:tcBorders>
          </w:tcPr>
          <w:p w:rsidRPr="004471F7" w:rsidR="004471F7" w:rsidP="00F81D80" w:rsidRDefault="004471F7" w14:paraId="45DF6C2B" w14:textId="77777777">
            <w:pPr>
              <w:pStyle w:val="NormalinTable"/>
            </w:pPr>
            <w:r w:rsidRPr="004471F7">
              <w:t>Ceiling Insulation (SWBE006)</w:t>
            </w:r>
          </w:p>
        </w:tc>
        <w:tc>
          <w:tcPr>
            <w:tcW w:w="2448" w:type="dxa"/>
            <w:tcBorders>
              <w:top w:val="single" w:color="auto" w:sz="4" w:space="0"/>
              <w:left w:val="single" w:color="auto" w:sz="4" w:space="0"/>
              <w:right w:val="single" w:color="auto" w:sz="4" w:space="0"/>
            </w:tcBorders>
          </w:tcPr>
          <w:p w:rsidRPr="004471F7" w:rsidR="004471F7" w:rsidP="00F81D80" w:rsidRDefault="004471F7" w14:paraId="27458B6F" w14:textId="77777777">
            <w:pPr>
              <w:pStyle w:val="NormalinTable"/>
            </w:pPr>
            <w:r w:rsidRPr="004471F7">
              <w:t>BS-CeilIns: 20.0</w:t>
            </w:r>
          </w:p>
        </w:tc>
        <w:tc>
          <w:tcPr>
            <w:tcW w:w="2448" w:type="dxa"/>
            <w:tcBorders>
              <w:top w:val="single" w:color="auto" w:sz="4" w:space="0"/>
              <w:left w:val="single" w:color="auto" w:sz="4" w:space="0"/>
              <w:right w:val="single" w:color="auto" w:sz="4" w:space="0"/>
            </w:tcBorders>
          </w:tcPr>
          <w:p w:rsidRPr="004471F7" w:rsidR="004471F7" w:rsidP="00F81D80" w:rsidRDefault="004471F7" w14:paraId="3202E4B0" w14:textId="77777777">
            <w:pPr>
              <w:pStyle w:val="NormalinTable"/>
            </w:pPr>
            <w:r w:rsidRPr="004471F7">
              <w:t>BS-CeilIns: 30.0</w:t>
            </w:r>
          </w:p>
        </w:tc>
      </w:tr>
      <w:tr w:rsidRPr="004471F7" w:rsidR="004471F7" w:rsidTr="009F155D" w14:paraId="385218EC" w14:textId="77777777">
        <w:trPr>
          <w:cantSplit/>
          <w:tblHeader/>
        </w:trPr>
        <w:tc>
          <w:tcPr>
            <w:tcW w:w="4464" w:type="dxa"/>
            <w:tcBorders>
              <w:left w:val="single" w:color="auto" w:sz="4" w:space="0"/>
              <w:bottom w:val="single" w:color="auto" w:sz="4" w:space="0"/>
              <w:right w:val="single" w:color="auto" w:sz="4" w:space="0"/>
            </w:tcBorders>
          </w:tcPr>
          <w:p w:rsidRPr="004471F7" w:rsidR="004471F7" w:rsidP="00F81D80" w:rsidRDefault="004471F7" w14:paraId="496BABA7" w14:textId="77777777">
            <w:pPr>
              <w:pStyle w:val="NormalinTable"/>
            </w:pPr>
            <w:r w:rsidRPr="004471F7">
              <w:t>Wall Insulation, both blown-in and non-blown-in insulation (SWBE007)</w:t>
            </w:r>
          </w:p>
        </w:tc>
        <w:tc>
          <w:tcPr>
            <w:tcW w:w="2448" w:type="dxa"/>
            <w:tcBorders>
              <w:top w:val="single" w:color="auto" w:sz="4" w:space="0"/>
              <w:left w:val="single" w:color="auto" w:sz="4" w:space="0"/>
              <w:right w:val="single" w:color="auto" w:sz="4" w:space="0"/>
            </w:tcBorders>
          </w:tcPr>
          <w:p w:rsidRPr="004471F7" w:rsidR="004471F7" w:rsidP="00F81D80" w:rsidRDefault="004471F7" w14:paraId="42A4F697" w14:textId="77777777">
            <w:pPr>
              <w:pStyle w:val="NormalinTable"/>
            </w:pPr>
            <w:r w:rsidRPr="004471F7">
              <w:t>BS-BlowInIns: 20.0</w:t>
            </w:r>
          </w:p>
          <w:p w:rsidRPr="004471F7" w:rsidR="004471F7" w:rsidP="00F81D80" w:rsidRDefault="004471F7" w14:paraId="4D94DF4A" w14:textId="77777777">
            <w:pPr>
              <w:pStyle w:val="NormalinTable"/>
            </w:pPr>
            <w:r w:rsidRPr="004471F7">
              <w:t>BS-WallIns: 20.0</w:t>
            </w:r>
          </w:p>
        </w:tc>
        <w:tc>
          <w:tcPr>
            <w:tcW w:w="2448" w:type="dxa"/>
            <w:tcBorders>
              <w:top w:val="single" w:color="auto" w:sz="4" w:space="0"/>
              <w:left w:val="single" w:color="auto" w:sz="4" w:space="0"/>
              <w:right w:val="single" w:color="auto" w:sz="4" w:space="0"/>
            </w:tcBorders>
          </w:tcPr>
          <w:p w:rsidRPr="004471F7" w:rsidR="004471F7" w:rsidP="00F81D80" w:rsidRDefault="004471F7" w14:paraId="6346EAF4" w14:textId="77777777">
            <w:pPr>
              <w:pStyle w:val="NormalinTable"/>
            </w:pPr>
            <w:r w:rsidRPr="004471F7">
              <w:t>BS-BlowInIns: 30.0</w:t>
            </w:r>
          </w:p>
          <w:p w:rsidRPr="004471F7" w:rsidR="004471F7" w:rsidP="00F81D80" w:rsidRDefault="004471F7" w14:paraId="32B08103" w14:textId="77777777">
            <w:pPr>
              <w:pStyle w:val="NormalinTable"/>
            </w:pPr>
            <w:r w:rsidRPr="004471F7">
              <w:t>BS-WallIns: 30.0</w:t>
            </w:r>
          </w:p>
        </w:tc>
      </w:tr>
    </w:tbl>
    <w:p w:rsidRPr="004471F7" w:rsidR="004471F7" w:rsidP="004471F7" w:rsidRDefault="004471F7" w14:paraId="4092DE7D" w14:textId="77777777"/>
    <w:p w:rsidRPr="004471F7" w:rsidR="004471F7" w:rsidP="00F81D80" w:rsidRDefault="006049E3" w14:paraId="5D6E498F" w14:textId="79530BA9">
      <w:pPr>
        <w:pStyle w:val="Heading3"/>
      </w:pPr>
      <w:bookmarkStart w:name="_Toc185271194" w:id="156"/>
      <w:r>
        <w:t>(</w:t>
      </w:r>
      <w:r w:rsidR="00764D8E">
        <w:t>K</w:t>
      </w:r>
      <w:r>
        <w:t xml:space="preserve">.2) </w:t>
      </w:r>
      <w:r w:rsidRPr="004471F7" w:rsidR="004471F7">
        <w:t>2023 Residential HVAC and Water Heating EUL Study updates</w:t>
      </w:r>
      <w:bookmarkEnd w:id="156"/>
    </w:p>
    <w:p w:rsidRPr="004471F7" w:rsidR="004471F7" w:rsidP="004471F7" w:rsidRDefault="004471F7" w14:paraId="6B08DF38" w14:textId="133DC095">
      <w:r w:rsidRPr="004471F7">
        <w:rPr>
          <w:u w:val="single"/>
        </w:rPr>
        <w:t xml:space="preserve">Effective Program Year: </w:t>
      </w:r>
      <w:r w:rsidRPr="00FC420B" w:rsidR="00FC420B">
        <w:rPr>
          <w:u w:val="single"/>
        </w:rPr>
        <w:t>2025</w:t>
      </w:r>
      <w:r w:rsidRPr="004471F7">
        <w:rPr>
          <w:u w:val="single"/>
        </w:rPr>
        <w:t>.</w:t>
      </w:r>
      <w:r w:rsidRPr="004471F7">
        <w:t xml:space="preserve"> The 2023 Residential HVAC and Water Heating EUL Study update</w:t>
      </w:r>
      <w:r w:rsidR="00044C6D">
        <w:t>d</w:t>
      </w:r>
      <w:r w:rsidRPr="004471F7">
        <w:t xml:space="preserve"> the EUL for fuel substitution HVAC and water heating measures. The study </w:t>
      </w:r>
      <w:r w:rsidR="009B66F5">
        <w:t>focused</w:t>
      </w:r>
      <w:r w:rsidRPr="004471F7" w:rsidR="009B66F5">
        <w:t xml:space="preserve"> </w:t>
      </w:r>
      <w:r w:rsidRPr="004471F7">
        <w:t xml:space="preserve">on both measure case and baseline equipment EULs as shown in </w:t>
      </w:r>
      <w:r w:rsidRPr="004471F7">
        <w:fldChar w:fldCharType="begin"/>
      </w:r>
      <w:r w:rsidRPr="004471F7">
        <w:instrText xml:space="preserve"> REF _Ref162895183 \h </w:instrText>
      </w:r>
      <w:r w:rsidR="007D315E">
        <w:instrText xml:space="preserve"> \* MERGEFORMAT </w:instrText>
      </w:r>
      <w:r w:rsidRPr="004471F7">
        <w:fldChar w:fldCharType="separate"/>
      </w:r>
      <w:r w:rsidRPr="004471F7" w:rsidR="00E812F0">
        <w:t xml:space="preserve">Table </w:t>
      </w:r>
      <w:r w:rsidRPr="0033160A" w:rsidR="00E812F0">
        <w:rPr>
          <w:noProof/>
          <w:webHidden/>
        </w:rPr>
        <w:t>A-</w:t>
      </w:r>
      <w:r w:rsidR="00E812F0">
        <w:rPr>
          <w:noProof/>
        </w:rPr>
        <w:t>3</w:t>
      </w:r>
      <w:r w:rsidRPr="004471F7" w:rsidR="00E812F0">
        <w:rPr>
          <w:noProof/>
        </w:rPr>
        <w:noBreakHyphen/>
      </w:r>
      <w:r w:rsidR="00E812F0">
        <w:rPr>
          <w:noProof/>
        </w:rPr>
        <w:t>2</w:t>
      </w:r>
      <w:r w:rsidRPr="004471F7">
        <w:fldChar w:fldCharType="end"/>
      </w:r>
      <w:r w:rsidRPr="004471F7">
        <w:t xml:space="preserve">. </w:t>
      </w:r>
      <w:r w:rsidR="00E839A7">
        <w:t xml:space="preserve">We direct </w:t>
      </w:r>
      <w:r w:rsidR="00086EAF">
        <w:t>that the EULs established in this study shall be used for the DEER2026 cycle</w:t>
      </w:r>
      <w:r w:rsidR="00820A67">
        <w:t>.</w:t>
      </w:r>
      <w:r w:rsidRPr="004471F7">
        <w:rPr>
          <w:vertAlign w:val="superscript"/>
        </w:rPr>
        <w:footnoteReference w:id="34"/>
      </w:r>
      <w:r w:rsidRPr="004471F7">
        <w:t xml:space="preserve"> </w:t>
      </w:r>
      <w:r w:rsidR="00653521">
        <w:t>Although residential central air conditioning was not part of this EUL study, the EUL</w:t>
      </w:r>
      <w:r w:rsidR="006F1BB6">
        <w:t xml:space="preserve"> (</w:t>
      </w:r>
      <w:r w:rsidR="00D34B90">
        <w:t>ID: HV-ResAC)</w:t>
      </w:r>
      <w:r w:rsidR="00653521">
        <w:t xml:space="preserve"> was increased from 15 years to 23 years so that it was equal to the EUL of heat pumps.  This is consistent with the commercial EUL, in that the air conditioner EUL was consistent with heat pump EUL.</w:t>
      </w:r>
      <w:r w:rsidR="00B75C07">
        <w:t xml:space="preserve">  We direct that t</w:t>
      </w:r>
      <w:r w:rsidRPr="00D3752B" w:rsidR="00B75C07">
        <w:t xml:space="preserve">he EULs established in this study </w:t>
      </w:r>
      <w:r w:rsidR="00B75C07">
        <w:t>shall</w:t>
      </w:r>
      <w:r w:rsidRPr="00D3752B" w:rsidR="00B75C07">
        <w:t xml:space="preserve"> be </w:t>
      </w:r>
      <w:r w:rsidR="00B75C07">
        <w:t>used for</w:t>
      </w:r>
      <w:r w:rsidRPr="00D3752B" w:rsidR="00B75C07">
        <w:t xml:space="preserve"> the DEER2026 cycle</w:t>
      </w:r>
      <w:r w:rsidR="0047259F">
        <w:t>,</w:t>
      </w:r>
      <w:r w:rsidR="00B75C07">
        <w:t xml:space="preserve"> but also allow program administrators to utilize the updated values for their 2025 programs.  This allows the programs to utilize the most current EUL to best capture the true values of these </w:t>
      </w:r>
      <w:r w:rsidR="00B75C07">
        <w:lastRenderedPageBreak/>
        <w:t>technologies and not miss opportunities to increase installations during the 2025 program year</w:t>
      </w:r>
      <w:r w:rsidR="00F42553">
        <w:t>.</w:t>
      </w:r>
    </w:p>
    <w:p w:rsidRPr="004471F7" w:rsidR="004471F7" w:rsidP="007D315E" w:rsidRDefault="004471F7" w14:paraId="4E68533D" w14:textId="3013C8E2">
      <w:pPr>
        <w:pStyle w:val="Caption"/>
      </w:pPr>
      <w:bookmarkStart w:name="_Ref162895183" w:id="157"/>
      <w:bookmarkStart w:name="_Toc185273170" w:id="158"/>
      <w:r w:rsidRPr="004471F7">
        <w:t xml:space="preserve">Table </w:t>
      </w:r>
      <w:r w:rsidRPr="0033160A" w:rsidR="0033160A">
        <w:rPr>
          <w:webHidden/>
        </w:rPr>
        <w:t>A-</w:t>
      </w:r>
      <w:r>
        <w:fldChar w:fldCharType="begin"/>
      </w:r>
      <w:r>
        <w:instrText>STYLEREF 1 \s</w:instrText>
      </w:r>
      <w:r>
        <w:fldChar w:fldCharType="separate"/>
      </w:r>
      <w:r w:rsidR="00E812F0">
        <w:rPr>
          <w:noProof/>
        </w:rPr>
        <w:t>3</w:t>
      </w:r>
      <w:r>
        <w:fldChar w:fldCharType="end"/>
      </w:r>
      <w:r w:rsidRPr="004471F7">
        <w:noBreakHyphen/>
      </w:r>
      <w:r>
        <w:fldChar w:fldCharType="begin"/>
      </w:r>
      <w:r>
        <w:instrText>SEQ Table \* ARABIC \s 1</w:instrText>
      </w:r>
      <w:r>
        <w:fldChar w:fldCharType="separate"/>
      </w:r>
      <w:r w:rsidR="00E812F0">
        <w:rPr>
          <w:noProof/>
        </w:rPr>
        <w:t>2</w:t>
      </w:r>
      <w:r>
        <w:fldChar w:fldCharType="end"/>
      </w:r>
      <w:bookmarkEnd w:id="157"/>
      <w:r w:rsidRPr="004471F7">
        <w:t>. Results from 2023 Residential HVAC and Water Heating EUL Study</w:t>
      </w:r>
      <w:bookmarkEnd w:id="158"/>
      <w:r w:rsidRPr="004471F7">
        <w:t xml:space="preserve"> </w:t>
      </w:r>
    </w:p>
    <w:tbl>
      <w:tblPr>
        <w:tblW w:w="936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bottom w:w="14" w:type="dxa"/>
        </w:tblCellMar>
        <w:tblLook w:val="04A0" w:firstRow="1" w:lastRow="0" w:firstColumn="1" w:lastColumn="0" w:noHBand="0" w:noVBand="1"/>
      </w:tblPr>
      <w:tblGrid>
        <w:gridCol w:w="3600"/>
        <w:gridCol w:w="2880"/>
        <w:gridCol w:w="2880"/>
      </w:tblGrid>
      <w:tr w:rsidRPr="00AF75AC" w:rsidR="004471F7" w:rsidTr="009F155D" w14:paraId="78762EFE" w14:textId="77777777">
        <w:trPr>
          <w:cantSplit/>
          <w:tblHeader/>
        </w:trPr>
        <w:tc>
          <w:tcPr>
            <w:tcW w:w="3600" w:type="dxa"/>
            <w:tcBorders>
              <w:left w:val="single" w:color="auto" w:sz="4" w:space="0"/>
              <w:bottom w:val="single" w:color="auto" w:sz="4" w:space="0"/>
              <w:right w:val="single" w:color="auto" w:sz="4" w:space="0"/>
            </w:tcBorders>
            <w:vAlign w:val="bottom"/>
          </w:tcPr>
          <w:p w:rsidRPr="00AF75AC" w:rsidR="004471F7" w:rsidP="007D315E" w:rsidRDefault="004471F7" w14:paraId="134E3A95" w14:textId="77777777">
            <w:pPr>
              <w:pStyle w:val="NormalinTable"/>
              <w:rPr>
                <w:b/>
                <w:bCs/>
              </w:rPr>
            </w:pPr>
            <w:r w:rsidRPr="00AF75AC">
              <w:rPr>
                <w:b/>
                <w:bCs/>
              </w:rPr>
              <w:t>Measure</w:t>
            </w:r>
          </w:p>
        </w:tc>
        <w:tc>
          <w:tcPr>
            <w:tcW w:w="2880" w:type="dxa"/>
            <w:tcBorders>
              <w:top w:val="single" w:color="auto" w:sz="4" w:space="0"/>
              <w:left w:val="single" w:color="auto" w:sz="4" w:space="0"/>
              <w:right w:val="single" w:color="auto" w:sz="4" w:space="0"/>
            </w:tcBorders>
            <w:vAlign w:val="bottom"/>
          </w:tcPr>
          <w:p w:rsidRPr="00AF75AC" w:rsidR="004471F7" w:rsidP="007D315E" w:rsidRDefault="004471F7" w14:paraId="3B2A1D6D" w14:textId="77777777">
            <w:pPr>
              <w:pStyle w:val="NormalinTable"/>
              <w:rPr>
                <w:b/>
                <w:bCs/>
              </w:rPr>
            </w:pPr>
            <w:r w:rsidRPr="00AF75AC">
              <w:rPr>
                <w:b/>
                <w:bCs/>
              </w:rPr>
              <w:t>Existing EUL_ID, years</w:t>
            </w:r>
          </w:p>
        </w:tc>
        <w:tc>
          <w:tcPr>
            <w:tcW w:w="2880" w:type="dxa"/>
            <w:tcBorders>
              <w:top w:val="single" w:color="auto" w:sz="4" w:space="0"/>
              <w:left w:val="single" w:color="auto" w:sz="4" w:space="0"/>
              <w:right w:val="single" w:color="auto" w:sz="4" w:space="0"/>
            </w:tcBorders>
            <w:vAlign w:val="bottom"/>
          </w:tcPr>
          <w:p w:rsidRPr="00AF75AC" w:rsidR="004471F7" w:rsidP="007D315E" w:rsidRDefault="004471F7" w14:paraId="59B7BA62" w14:textId="14F62D10">
            <w:pPr>
              <w:pStyle w:val="NormalinTable"/>
              <w:rPr>
                <w:b/>
                <w:bCs/>
              </w:rPr>
            </w:pPr>
            <w:r w:rsidRPr="00AF75AC">
              <w:rPr>
                <w:b/>
                <w:bCs/>
              </w:rPr>
              <w:t>DEER202</w:t>
            </w:r>
            <w:r w:rsidR="0070740A">
              <w:rPr>
                <w:b/>
                <w:bCs/>
              </w:rPr>
              <w:t>5</w:t>
            </w:r>
            <w:r w:rsidRPr="00AF75AC">
              <w:rPr>
                <w:b/>
                <w:bCs/>
              </w:rPr>
              <w:t xml:space="preserve"> EUL_ID, years</w:t>
            </w:r>
          </w:p>
        </w:tc>
      </w:tr>
      <w:tr w:rsidRPr="004471F7" w:rsidR="004471F7" w:rsidTr="009F155D" w14:paraId="6CAD2A26" w14:textId="77777777">
        <w:trPr>
          <w:cantSplit/>
          <w:tblHeader/>
        </w:trPr>
        <w:tc>
          <w:tcPr>
            <w:tcW w:w="3600" w:type="dxa"/>
            <w:tcBorders>
              <w:left w:val="single" w:color="auto" w:sz="4" w:space="0"/>
              <w:bottom w:val="single" w:color="auto" w:sz="4" w:space="0"/>
              <w:right w:val="single" w:color="auto" w:sz="4" w:space="0"/>
            </w:tcBorders>
          </w:tcPr>
          <w:p w:rsidRPr="004471F7" w:rsidR="004471F7" w:rsidP="007D315E" w:rsidRDefault="004471F7" w14:paraId="68F5CDF7" w14:textId="77777777">
            <w:pPr>
              <w:pStyle w:val="NormalinTable"/>
            </w:pPr>
            <w:r w:rsidRPr="004471F7">
              <w:t>Residential Heat Pump HVAC (Ductless and Central)</w:t>
            </w:r>
          </w:p>
        </w:tc>
        <w:tc>
          <w:tcPr>
            <w:tcW w:w="2880" w:type="dxa"/>
            <w:tcBorders>
              <w:top w:val="single" w:color="auto" w:sz="4" w:space="0"/>
              <w:left w:val="single" w:color="auto" w:sz="4" w:space="0"/>
              <w:right w:val="single" w:color="auto" w:sz="4" w:space="0"/>
            </w:tcBorders>
          </w:tcPr>
          <w:p w:rsidRPr="004471F7" w:rsidR="004471F7" w:rsidP="007D315E" w:rsidRDefault="004471F7" w14:paraId="38EB7B23" w14:textId="77777777">
            <w:pPr>
              <w:pStyle w:val="NormalinTable"/>
            </w:pPr>
            <w:r w:rsidRPr="004471F7">
              <w:t>HV-ResHP: 15.0</w:t>
            </w:r>
          </w:p>
        </w:tc>
        <w:tc>
          <w:tcPr>
            <w:tcW w:w="2880" w:type="dxa"/>
            <w:tcBorders>
              <w:top w:val="single" w:color="auto" w:sz="4" w:space="0"/>
              <w:left w:val="single" w:color="auto" w:sz="4" w:space="0"/>
              <w:right w:val="single" w:color="auto" w:sz="4" w:space="0"/>
            </w:tcBorders>
          </w:tcPr>
          <w:p w:rsidRPr="004471F7" w:rsidR="004471F7" w:rsidP="007D315E" w:rsidRDefault="004471F7" w14:paraId="3CDFB19A" w14:textId="77777777">
            <w:pPr>
              <w:pStyle w:val="NormalinTable"/>
            </w:pPr>
            <w:r w:rsidRPr="004471F7">
              <w:t>HV-ResHP: 23.0</w:t>
            </w:r>
          </w:p>
        </w:tc>
      </w:tr>
      <w:tr w:rsidRPr="004471F7" w:rsidR="004471F7" w:rsidTr="009F155D" w14:paraId="628D67E0" w14:textId="77777777">
        <w:trPr>
          <w:cantSplit/>
          <w:tblHeader/>
        </w:trPr>
        <w:tc>
          <w:tcPr>
            <w:tcW w:w="3600" w:type="dxa"/>
            <w:tcBorders>
              <w:left w:val="single" w:color="auto" w:sz="4" w:space="0"/>
              <w:bottom w:val="single" w:color="auto" w:sz="4" w:space="0"/>
              <w:right w:val="single" w:color="auto" w:sz="4" w:space="0"/>
            </w:tcBorders>
          </w:tcPr>
          <w:p w:rsidRPr="004471F7" w:rsidR="004471F7" w:rsidP="007D315E" w:rsidRDefault="004471F7" w14:paraId="4A36DF67" w14:textId="77777777">
            <w:pPr>
              <w:pStyle w:val="NormalinTable"/>
            </w:pPr>
            <w:r w:rsidRPr="004471F7">
              <w:t>Residential Gas Furnace (Central and Wall)</w:t>
            </w:r>
          </w:p>
        </w:tc>
        <w:tc>
          <w:tcPr>
            <w:tcW w:w="2880" w:type="dxa"/>
            <w:tcBorders>
              <w:top w:val="single" w:color="auto" w:sz="4" w:space="0"/>
              <w:left w:val="single" w:color="auto" w:sz="4" w:space="0"/>
              <w:right w:val="single" w:color="auto" w:sz="4" w:space="0"/>
            </w:tcBorders>
          </w:tcPr>
          <w:p w:rsidRPr="004471F7" w:rsidR="004471F7" w:rsidP="007D315E" w:rsidRDefault="004471F7" w14:paraId="362545F7" w14:textId="77777777">
            <w:pPr>
              <w:pStyle w:val="NormalinTable"/>
            </w:pPr>
            <w:r w:rsidRPr="004471F7">
              <w:t>HV-EffFurn: 20.0</w:t>
            </w:r>
          </w:p>
        </w:tc>
        <w:tc>
          <w:tcPr>
            <w:tcW w:w="2880" w:type="dxa"/>
            <w:tcBorders>
              <w:top w:val="single" w:color="auto" w:sz="4" w:space="0"/>
              <w:left w:val="single" w:color="auto" w:sz="4" w:space="0"/>
              <w:right w:val="single" w:color="auto" w:sz="4" w:space="0"/>
            </w:tcBorders>
          </w:tcPr>
          <w:p w:rsidRPr="004471F7" w:rsidR="004471F7" w:rsidP="007D315E" w:rsidRDefault="004471F7" w14:paraId="4EF9DC83" w14:textId="77777777">
            <w:pPr>
              <w:pStyle w:val="NormalinTable"/>
            </w:pPr>
            <w:r w:rsidRPr="004471F7">
              <w:t>HV-EffFurn: 30.0</w:t>
            </w:r>
          </w:p>
        </w:tc>
      </w:tr>
      <w:tr w:rsidRPr="004471F7" w:rsidR="004471F7" w:rsidTr="009F155D" w14:paraId="16E80DB9" w14:textId="77777777">
        <w:tc>
          <w:tcPr>
            <w:tcW w:w="3600" w:type="dxa"/>
            <w:tcBorders>
              <w:top w:val="single" w:color="auto" w:sz="4" w:space="0"/>
              <w:left w:val="single" w:color="auto" w:sz="4" w:space="0"/>
              <w:bottom w:val="single" w:color="auto" w:sz="4" w:space="0"/>
              <w:right w:val="single" w:color="auto" w:sz="4" w:space="0"/>
            </w:tcBorders>
          </w:tcPr>
          <w:p w:rsidRPr="004471F7" w:rsidR="004471F7" w:rsidP="007D315E" w:rsidRDefault="004471F7" w14:paraId="65D6F7DB" w14:textId="77777777">
            <w:pPr>
              <w:pStyle w:val="NormalinTable"/>
            </w:pPr>
            <w:r w:rsidRPr="004471F7">
              <w:t>Residential Heat Pump Water Heater</w:t>
            </w:r>
          </w:p>
        </w:tc>
        <w:tc>
          <w:tcPr>
            <w:tcW w:w="2880" w:type="dxa"/>
            <w:tcBorders>
              <w:left w:val="single" w:color="auto" w:sz="4" w:space="0"/>
              <w:right w:val="single" w:color="auto" w:sz="4" w:space="0"/>
            </w:tcBorders>
          </w:tcPr>
          <w:p w:rsidRPr="004471F7" w:rsidR="004471F7" w:rsidP="007D315E" w:rsidRDefault="004471F7" w14:paraId="02EF7397" w14:textId="77777777">
            <w:pPr>
              <w:pStyle w:val="NormalinTable"/>
            </w:pPr>
            <w:r w:rsidRPr="004471F7">
              <w:t>WtrHt-HtPmp: 10.0</w:t>
            </w:r>
          </w:p>
        </w:tc>
        <w:tc>
          <w:tcPr>
            <w:tcW w:w="2880" w:type="dxa"/>
            <w:tcBorders>
              <w:left w:val="single" w:color="auto" w:sz="4" w:space="0"/>
              <w:right w:val="single" w:color="auto" w:sz="4" w:space="0"/>
            </w:tcBorders>
          </w:tcPr>
          <w:p w:rsidRPr="004471F7" w:rsidR="004471F7" w:rsidP="007D315E" w:rsidRDefault="004471F7" w14:paraId="373211F7" w14:textId="77777777">
            <w:pPr>
              <w:pStyle w:val="NormalinTable"/>
            </w:pPr>
            <w:r w:rsidRPr="004471F7">
              <w:t>WtrHt-Res-HPWH: 20.0</w:t>
            </w:r>
          </w:p>
        </w:tc>
      </w:tr>
      <w:tr w:rsidRPr="004471F7" w:rsidR="004471F7" w:rsidTr="009F155D" w14:paraId="062D31B8" w14:textId="77777777">
        <w:tc>
          <w:tcPr>
            <w:tcW w:w="3600" w:type="dxa"/>
            <w:tcBorders>
              <w:top w:val="single" w:color="auto" w:sz="4" w:space="0"/>
              <w:left w:val="single" w:color="auto" w:sz="4" w:space="0"/>
              <w:bottom w:val="single" w:color="auto" w:sz="4" w:space="0"/>
              <w:right w:val="single" w:color="auto" w:sz="4" w:space="0"/>
            </w:tcBorders>
          </w:tcPr>
          <w:p w:rsidRPr="004471F7" w:rsidR="004471F7" w:rsidP="007D315E" w:rsidRDefault="004471F7" w14:paraId="5F632648" w14:textId="77777777">
            <w:pPr>
              <w:pStyle w:val="NormalinTable"/>
            </w:pPr>
            <w:r w:rsidRPr="004471F7">
              <w:t>Residential Gas Storage Water Heater</w:t>
            </w:r>
          </w:p>
        </w:tc>
        <w:tc>
          <w:tcPr>
            <w:tcW w:w="2880" w:type="dxa"/>
            <w:tcBorders>
              <w:left w:val="single" w:color="auto" w:sz="4" w:space="0"/>
              <w:right w:val="single" w:color="auto" w:sz="4" w:space="0"/>
            </w:tcBorders>
          </w:tcPr>
          <w:p w:rsidRPr="004471F7" w:rsidR="004471F7" w:rsidP="007D315E" w:rsidRDefault="004471F7" w14:paraId="79C07B35" w14:textId="77777777">
            <w:pPr>
              <w:pStyle w:val="NormalinTable"/>
            </w:pPr>
            <w:r w:rsidRPr="004471F7">
              <w:t>WtrHt-Res-Gas: 11.0</w:t>
            </w:r>
          </w:p>
        </w:tc>
        <w:tc>
          <w:tcPr>
            <w:tcW w:w="2880" w:type="dxa"/>
            <w:tcBorders>
              <w:left w:val="single" w:color="auto" w:sz="4" w:space="0"/>
              <w:right w:val="single" w:color="auto" w:sz="4" w:space="0"/>
            </w:tcBorders>
          </w:tcPr>
          <w:p w:rsidRPr="004471F7" w:rsidR="004471F7" w:rsidP="007D315E" w:rsidRDefault="004471F7" w14:paraId="6843A566" w14:textId="77777777">
            <w:pPr>
              <w:pStyle w:val="NormalinTable"/>
            </w:pPr>
            <w:r w:rsidRPr="004471F7">
              <w:t>WtrHt-Res-Gas: 25.0</w:t>
            </w:r>
          </w:p>
        </w:tc>
      </w:tr>
      <w:tr w:rsidRPr="004471F7" w:rsidR="004471F7" w:rsidTr="009F155D" w14:paraId="03518485" w14:textId="77777777">
        <w:tc>
          <w:tcPr>
            <w:tcW w:w="3600" w:type="dxa"/>
            <w:tcBorders>
              <w:top w:val="single" w:color="auto" w:sz="4" w:space="0"/>
              <w:left w:val="single" w:color="auto" w:sz="4" w:space="0"/>
              <w:bottom w:val="single" w:color="auto" w:sz="4" w:space="0"/>
              <w:right w:val="single" w:color="auto" w:sz="4" w:space="0"/>
            </w:tcBorders>
          </w:tcPr>
          <w:p w:rsidRPr="004471F7" w:rsidR="004471F7" w:rsidP="007D315E" w:rsidRDefault="004471F7" w14:paraId="0ED91665" w14:textId="77777777">
            <w:pPr>
              <w:pStyle w:val="NormalinTable"/>
            </w:pPr>
            <w:r w:rsidRPr="004471F7">
              <w:t>Residential Gas Tankless Water Heater</w:t>
            </w:r>
          </w:p>
        </w:tc>
        <w:tc>
          <w:tcPr>
            <w:tcW w:w="2880" w:type="dxa"/>
            <w:tcBorders>
              <w:left w:val="single" w:color="auto" w:sz="4" w:space="0"/>
              <w:bottom w:val="single" w:color="auto" w:sz="4" w:space="0"/>
              <w:right w:val="single" w:color="auto" w:sz="4" w:space="0"/>
            </w:tcBorders>
          </w:tcPr>
          <w:p w:rsidRPr="004471F7" w:rsidR="004471F7" w:rsidP="007D315E" w:rsidRDefault="004471F7" w14:paraId="393CDD29" w14:textId="77777777">
            <w:pPr>
              <w:pStyle w:val="NormalinTable"/>
            </w:pPr>
            <w:r w:rsidRPr="004471F7">
              <w:t>WtrHt-Instant-Res: 20.0</w:t>
            </w:r>
          </w:p>
        </w:tc>
        <w:tc>
          <w:tcPr>
            <w:tcW w:w="2880" w:type="dxa"/>
            <w:tcBorders>
              <w:left w:val="single" w:color="auto" w:sz="4" w:space="0"/>
              <w:bottom w:val="single" w:color="auto" w:sz="4" w:space="0"/>
              <w:right w:val="single" w:color="auto" w:sz="4" w:space="0"/>
            </w:tcBorders>
          </w:tcPr>
          <w:p w:rsidRPr="004471F7" w:rsidR="004471F7" w:rsidP="007D315E" w:rsidRDefault="004471F7" w14:paraId="6EFD37C5" w14:textId="77777777">
            <w:pPr>
              <w:pStyle w:val="NormalinTable"/>
            </w:pPr>
            <w:r w:rsidRPr="004471F7">
              <w:t>WtrHt-Instant-Res: 20.0</w:t>
            </w:r>
          </w:p>
        </w:tc>
      </w:tr>
    </w:tbl>
    <w:p w:rsidRPr="004471F7" w:rsidR="004471F7" w:rsidP="004471F7" w:rsidRDefault="004471F7" w14:paraId="695590D8" w14:textId="77777777"/>
    <w:p w:rsidRPr="004471F7" w:rsidR="004471F7" w:rsidP="00C601AB" w:rsidRDefault="006049E3" w14:paraId="12A2A6F5" w14:textId="604D8C57">
      <w:pPr>
        <w:pStyle w:val="Heading3"/>
      </w:pPr>
      <w:bookmarkStart w:name="_Toc185271195" w:id="159"/>
      <w:r>
        <w:t>(</w:t>
      </w:r>
      <w:r w:rsidR="00764D8E">
        <w:t>K</w:t>
      </w:r>
      <w:r>
        <w:t xml:space="preserve">.3) </w:t>
      </w:r>
      <w:r w:rsidRPr="004471F7" w:rsidR="004471F7">
        <w:t>2023 Commercial Measure EUL Study updates</w:t>
      </w:r>
      <w:bookmarkEnd w:id="159"/>
    </w:p>
    <w:p w:rsidR="004471F7" w:rsidP="004471F7" w:rsidRDefault="004471F7" w14:paraId="04EBD27C" w14:textId="22284088">
      <w:r w:rsidRPr="004471F7">
        <w:rPr>
          <w:u w:val="single"/>
        </w:rPr>
        <w:t xml:space="preserve">Effective Program Year: </w:t>
      </w:r>
      <w:r w:rsidR="002A3F0F">
        <w:rPr>
          <w:u w:val="single"/>
        </w:rPr>
        <w:t>2025</w:t>
      </w:r>
      <w:r w:rsidRPr="004471F7">
        <w:rPr>
          <w:u w:val="single"/>
        </w:rPr>
        <w:t>.</w:t>
      </w:r>
      <w:r w:rsidRPr="004471F7">
        <w:t xml:space="preserve"> The 2023 Commercial Measure EUL Study update</w:t>
      </w:r>
      <w:r w:rsidR="00BF4796">
        <w:t>d</w:t>
      </w:r>
      <w:r w:rsidRPr="004471F7">
        <w:t xml:space="preserve"> the EUL for fuel substitution HVAC and water heating measures. The study focuses on both measure case and baseline equipment EULs as shown in </w:t>
      </w:r>
      <w:r w:rsidRPr="004471F7">
        <w:fldChar w:fldCharType="begin"/>
      </w:r>
      <w:r w:rsidRPr="004471F7">
        <w:instrText xml:space="preserve"> REF _Ref162895162 \h </w:instrText>
      </w:r>
      <w:r w:rsidR="00C601AB">
        <w:instrText xml:space="preserve"> \* MERGEFORMAT </w:instrText>
      </w:r>
      <w:r w:rsidRPr="004471F7">
        <w:fldChar w:fldCharType="separate"/>
      </w:r>
      <w:r w:rsidRPr="004471F7" w:rsidR="00E812F0">
        <w:t>Table</w:t>
      </w:r>
      <w:r w:rsidRPr="00E812F0" w:rsidR="00E812F0">
        <w:rPr>
          <w:b/>
          <w:bCs/>
        </w:rPr>
        <w:t xml:space="preserve"> </w:t>
      </w:r>
      <w:r w:rsidRPr="0033160A" w:rsidR="00E812F0">
        <w:rPr>
          <w:noProof/>
          <w:webHidden/>
        </w:rPr>
        <w:t>A-</w:t>
      </w:r>
      <w:r w:rsidR="00E812F0">
        <w:rPr>
          <w:noProof/>
        </w:rPr>
        <w:t>3</w:t>
      </w:r>
      <w:r w:rsidRPr="004471F7" w:rsidR="00E812F0">
        <w:rPr>
          <w:noProof/>
        </w:rPr>
        <w:noBreakHyphen/>
      </w:r>
      <w:r w:rsidR="00E812F0">
        <w:rPr>
          <w:noProof/>
        </w:rPr>
        <w:t>3</w:t>
      </w:r>
      <w:r w:rsidRPr="004471F7">
        <w:fldChar w:fldCharType="end"/>
      </w:r>
      <w:r w:rsidRPr="004471F7">
        <w:t xml:space="preserve">. The EULs established in this study </w:t>
      </w:r>
      <w:r w:rsidR="00BF4796">
        <w:t>are</w:t>
      </w:r>
      <w:r w:rsidRPr="004471F7" w:rsidR="00BF4796">
        <w:t xml:space="preserve"> </w:t>
      </w:r>
      <w:r w:rsidRPr="004471F7" w:rsidR="267EB2EF">
        <w:t xml:space="preserve">to </w:t>
      </w:r>
      <w:r w:rsidRPr="004471F7">
        <w:t xml:space="preserve">be formally adopted into the DEER2026 cycle. </w:t>
      </w:r>
      <w:r w:rsidR="00B43A70">
        <w:rPr>
          <w:rStyle w:val="FootnoteReference"/>
        </w:rPr>
        <w:footnoteReference w:id="35"/>
      </w:r>
      <w:r w:rsidR="003171DF">
        <w:t xml:space="preserve">  </w:t>
      </w:r>
      <w:r w:rsidR="004D335A">
        <w:t xml:space="preserve">In addition, the </w:t>
      </w:r>
      <w:r w:rsidRPr="006A1087" w:rsidR="003171DF">
        <w:t>EULs established in this study should be formally adopted into DEER202</w:t>
      </w:r>
      <w:r w:rsidR="00967AD2">
        <w:t>5</w:t>
      </w:r>
      <w:r w:rsidR="003171DF">
        <w:t xml:space="preserve"> for reasons stated earlier.</w:t>
      </w:r>
      <w:r w:rsidR="003171DF">
        <w:rPr>
          <w:rStyle w:val="FootnoteReference"/>
        </w:rPr>
        <w:footnoteReference w:id="36"/>
      </w:r>
    </w:p>
    <w:p w:rsidR="00967AD2" w:rsidP="00967AD2" w:rsidRDefault="00967AD2" w14:paraId="064D334B" w14:textId="77777777"/>
    <w:p w:rsidRPr="00967AD2" w:rsidR="00967AD2" w:rsidP="00967AD2" w:rsidRDefault="00967AD2" w14:paraId="7F3D402F" w14:textId="53E270EB">
      <w:pPr>
        <w:tabs>
          <w:tab w:val="left" w:pos="8352"/>
        </w:tabs>
      </w:pPr>
      <w:r>
        <w:tab/>
      </w:r>
    </w:p>
    <w:p w:rsidRPr="004471F7" w:rsidR="004471F7" w:rsidP="00C601AB" w:rsidRDefault="004471F7" w14:paraId="65F68B7A" w14:textId="79A3E4AA">
      <w:pPr>
        <w:pStyle w:val="Caption"/>
      </w:pPr>
      <w:bookmarkStart w:name="_Ref162895162" w:id="160"/>
      <w:bookmarkStart w:name="_Toc185273171" w:id="161"/>
      <w:r w:rsidRPr="004471F7">
        <w:lastRenderedPageBreak/>
        <w:t xml:space="preserve">Table </w:t>
      </w:r>
      <w:r w:rsidRPr="0033160A" w:rsidR="0033160A">
        <w:rPr>
          <w:webHidden/>
        </w:rPr>
        <w:t>A-</w:t>
      </w:r>
      <w:r>
        <w:fldChar w:fldCharType="begin"/>
      </w:r>
      <w:r>
        <w:instrText>STYLEREF 1 \s</w:instrText>
      </w:r>
      <w:r>
        <w:fldChar w:fldCharType="separate"/>
      </w:r>
      <w:r w:rsidR="00E812F0">
        <w:rPr>
          <w:noProof/>
        </w:rPr>
        <w:t>3</w:t>
      </w:r>
      <w:r>
        <w:fldChar w:fldCharType="end"/>
      </w:r>
      <w:r w:rsidRPr="004471F7">
        <w:noBreakHyphen/>
      </w:r>
      <w:r>
        <w:fldChar w:fldCharType="begin"/>
      </w:r>
      <w:r>
        <w:instrText>SEQ Table \* ARABIC \s 1</w:instrText>
      </w:r>
      <w:r>
        <w:fldChar w:fldCharType="separate"/>
      </w:r>
      <w:r w:rsidR="00E812F0">
        <w:rPr>
          <w:noProof/>
        </w:rPr>
        <w:t>3</w:t>
      </w:r>
      <w:r>
        <w:fldChar w:fldCharType="end"/>
      </w:r>
      <w:bookmarkEnd w:id="160"/>
      <w:r w:rsidRPr="004471F7">
        <w:t>. EUL Results from 2023 Commercial HVAC and Water Heating EUL Study</w:t>
      </w:r>
      <w:bookmarkEnd w:id="161"/>
    </w:p>
    <w:tbl>
      <w:tblPr>
        <w:tblW w:w="96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bottom w:w="14" w:type="dxa"/>
        </w:tblCellMar>
        <w:tblLook w:val="04A0" w:firstRow="1" w:lastRow="0" w:firstColumn="1" w:lastColumn="0" w:noHBand="0" w:noVBand="1"/>
      </w:tblPr>
      <w:tblGrid>
        <w:gridCol w:w="3888"/>
        <w:gridCol w:w="2880"/>
        <w:gridCol w:w="2880"/>
      </w:tblGrid>
      <w:tr w:rsidRPr="00764D8E" w:rsidR="004471F7" w:rsidTr="009F155D" w14:paraId="4846C369" w14:textId="77777777">
        <w:trPr>
          <w:cantSplit/>
          <w:tblHeader/>
        </w:trPr>
        <w:tc>
          <w:tcPr>
            <w:tcW w:w="3888" w:type="dxa"/>
            <w:tcBorders>
              <w:left w:val="single" w:color="auto" w:sz="4" w:space="0"/>
              <w:bottom w:val="single" w:color="auto" w:sz="4" w:space="0"/>
              <w:right w:val="single" w:color="auto" w:sz="4" w:space="0"/>
            </w:tcBorders>
            <w:vAlign w:val="center"/>
          </w:tcPr>
          <w:p w:rsidRPr="00764D8E" w:rsidR="004471F7" w:rsidP="00C601AB" w:rsidRDefault="004471F7" w14:paraId="3E51BC82" w14:textId="77777777">
            <w:pPr>
              <w:pStyle w:val="NormalinTable"/>
              <w:rPr>
                <w:b/>
                <w:bCs/>
              </w:rPr>
            </w:pPr>
            <w:r w:rsidRPr="00764D8E">
              <w:rPr>
                <w:b/>
                <w:bCs/>
              </w:rPr>
              <w:t>Measure</w:t>
            </w:r>
          </w:p>
        </w:tc>
        <w:tc>
          <w:tcPr>
            <w:tcW w:w="2880" w:type="dxa"/>
            <w:tcBorders>
              <w:top w:val="single" w:color="auto" w:sz="4" w:space="0"/>
              <w:left w:val="single" w:color="auto" w:sz="4" w:space="0"/>
              <w:right w:val="single" w:color="auto" w:sz="4" w:space="0"/>
            </w:tcBorders>
            <w:vAlign w:val="center"/>
          </w:tcPr>
          <w:p w:rsidRPr="00764D8E" w:rsidR="004471F7" w:rsidP="00C601AB" w:rsidRDefault="004471F7" w14:paraId="60B9A45C" w14:textId="77777777">
            <w:pPr>
              <w:pStyle w:val="NormalinTable"/>
              <w:rPr>
                <w:b/>
                <w:bCs/>
              </w:rPr>
            </w:pPr>
            <w:r w:rsidRPr="00764D8E">
              <w:rPr>
                <w:b/>
                <w:bCs/>
              </w:rPr>
              <w:t>Existing EUL_ID, years</w:t>
            </w:r>
          </w:p>
        </w:tc>
        <w:tc>
          <w:tcPr>
            <w:tcW w:w="2880" w:type="dxa"/>
            <w:tcBorders>
              <w:top w:val="single" w:color="auto" w:sz="4" w:space="0"/>
              <w:left w:val="single" w:color="auto" w:sz="4" w:space="0"/>
              <w:right w:val="single" w:color="auto" w:sz="4" w:space="0"/>
            </w:tcBorders>
            <w:vAlign w:val="center"/>
          </w:tcPr>
          <w:p w:rsidRPr="00764D8E" w:rsidR="004471F7" w:rsidP="00C601AB" w:rsidRDefault="004471F7" w14:paraId="4CE35528" w14:textId="0A9187E6">
            <w:pPr>
              <w:pStyle w:val="NormalinTable"/>
              <w:rPr>
                <w:b/>
                <w:bCs/>
              </w:rPr>
            </w:pPr>
            <w:r w:rsidRPr="00764D8E">
              <w:rPr>
                <w:b/>
                <w:bCs/>
              </w:rPr>
              <w:t>DEER202</w:t>
            </w:r>
            <w:r w:rsidR="0070740A">
              <w:rPr>
                <w:b/>
                <w:bCs/>
              </w:rPr>
              <w:t>5</w:t>
            </w:r>
            <w:r w:rsidRPr="00764D8E">
              <w:rPr>
                <w:b/>
                <w:bCs/>
              </w:rPr>
              <w:t xml:space="preserve"> EUL_ID, years</w:t>
            </w:r>
          </w:p>
        </w:tc>
      </w:tr>
      <w:tr w:rsidRPr="004471F7" w:rsidR="004471F7" w:rsidTr="009F155D" w14:paraId="523799B3" w14:textId="77777777">
        <w:trPr>
          <w:cantSplit/>
          <w:tblHeader/>
        </w:trPr>
        <w:tc>
          <w:tcPr>
            <w:tcW w:w="3888" w:type="dxa"/>
            <w:tcBorders>
              <w:left w:val="single" w:color="auto" w:sz="4" w:space="0"/>
              <w:bottom w:val="single" w:color="auto" w:sz="4" w:space="0"/>
              <w:right w:val="single" w:color="auto" w:sz="4" w:space="0"/>
            </w:tcBorders>
          </w:tcPr>
          <w:p w:rsidRPr="004471F7" w:rsidR="004471F7" w:rsidP="00C601AB" w:rsidRDefault="004471F7" w14:paraId="5DC371DA" w14:textId="77777777">
            <w:pPr>
              <w:pStyle w:val="NormalinTable"/>
            </w:pPr>
            <w:r w:rsidRPr="004471F7">
              <w:t>Commercial Heat Pump HVAC (Ductless and Central)</w:t>
            </w:r>
          </w:p>
        </w:tc>
        <w:tc>
          <w:tcPr>
            <w:tcW w:w="2880" w:type="dxa"/>
            <w:tcBorders>
              <w:top w:val="single" w:color="auto" w:sz="4" w:space="0"/>
              <w:left w:val="single" w:color="auto" w:sz="4" w:space="0"/>
              <w:right w:val="single" w:color="auto" w:sz="4" w:space="0"/>
            </w:tcBorders>
          </w:tcPr>
          <w:p w:rsidRPr="004471F7" w:rsidR="004471F7" w:rsidP="00C601AB" w:rsidRDefault="004471F7" w14:paraId="2DF3A8D0" w14:textId="77777777">
            <w:pPr>
              <w:pStyle w:val="NormalinTable"/>
            </w:pPr>
            <w:r w:rsidRPr="004471F7">
              <w:t>HVAC-airHP: 15.0</w:t>
            </w:r>
          </w:p>
        </w:tc>
        <w:tc>
          <w:tcPr>
            <w:tcW w:w="2880" w:type="dxa"/>
            <w:tcBorders>
              <w:top w:val="single" w:color="auto" w:sz="4" w:space="0"/>
              <w:left w:val="single" w:color="auto" w:sz="4" w:space="0"/>
              <w:right w:val="single" w:color="auto" w:sz="4" w:space="0"/>
            </w:tcBorders>
          </w:tcPr>
          <w:p w:rsidRPr="004471F7" w:rsidR="004471F7" w:rsidP="00C601AB" w:rsidRDefault="004471F7" w14:paraId="77A00DA0" w14:textId="77777777">
            <w:pPr>
              <w:pStyle w:val="NormalinTable"/>
            </w:pPr>
            <w:r w:rsidRPr="004471F7">
              <w:t>HVAC-airHP: 20.0</w:t>
            </w:r>
          </w:p>
        </w:tc>
      </w:tr>
      <w:tr w:rsidRPr="004471F7" w:rsidR="004471F7" w:rsidTr="009F155D" w14:paraId="45E11A48" w14:textId="77777777">
        <w:trPr>
          <w:cantSplit/>
          <w:tblHeader/>
        </w:trPr>
        <w:tc>
          <w:tcPr>
            <w:tcW w:w="3888" w:type="dxa"/>
            <w:tcBorders>
              <w:left w:val="single" w:color="auto" w:sz="4" w:space="0"/>
              <w:bottom w:val="single" w:color="auto" w:sz="4" w:space="0"/>
              <w:right w:val="single" w:color="auto" w:sz="4" w:space="0"/>
            </w:tcBorders>
          </w:tcPr>
          <w:p w:rsidRPr="004471F7" w:rsidR="004471F7" w:rsidP="00C601AB" w:rsidRDefault="004471F7" w14:paraId="3A105B7E" w14:textId="77777777">
            <w:pPr>
              <w:pStyle w:val="NormalinTable"/>
            </w:pPr>
            <w:r w:rsidRPr="004471F7">
              <w:t>Commercial Air Conditioner (packaged and split with gas heating)</w:t>
            </w:r>
          </w:p>
        </w:tc>
        <w:tc>
          <w:tcPr>
            <w:tcW w:w="2880" w:type="dxa"/>
            <w:tcBorders>
              <w:top w:val="single" w:color="auto" w:sz="4" w:space="0"/>
              <w:left w:val="single" w:color="auto" w:sz="4" w:space="0"/>
              <w:right w:val="single" w:color="auto" w:sz="4" w:space="0"/>
            </w:tcBorders>
          </w:tcPr>
          <w:p w:rsidRPr="004471F7" w:rsidR="004471F7" w:rsidP="00C601AB" w:rsidRDefault="004471F7" w14:paraId="2092C718" w14:textId="77777777">
            <w:pPr>
              <w:pStyle w:val="NormalinTable"/>
            </w:pPr>
            <w:r w:rsidRPr="004471F7">
              <w:t>HVAC-airAC: 15.0</w:t>
            </w:r>
          </w:p>
        </w:tc>
        <w:tc>
          <w:tcPr>
            <w:tcW w:w="2880" w:type="dxa"/>
            <w:tcBorders>
              <w:top w:val="single" w:color="auto" w:sz="4" w:space="0"/>
              <w:left w:val="single" w:color="auto" w:sz="4" w:space="0"/>
              <w:right w:val="single" w:color="auto" w:sz="4" w:space="0"/>
            </w:tcBorders>
          </w:tcPr>
          <w:p w:rsidRPr="004471F7" w:rsidR="004471F7" w:rsidP="00C601AB" w:rsidRDefault="004471F7" w14:paraId="39ECA0C9" w14:textId="77777777">
            <w:pPr>
              <w:pStyle w:val="NormalinTable"/>
            </w:pPr>
            <w:r w:rsidRPr="004471F7">
              <w:t>HVAC-airAC: 20.0</w:t>
            </w:r>
          </w:p>
        </w:tc>
      </w:tr>
      <w:tr w:rsidRPr="004471F7" w:rsidR="004471F7" w:rsidTr="009F155D" w14:paraId="658A1A51" w14:textId="77777777">
        <w:tc>
          <w:tcPr>
            <w:tcW w:w="3888" w:type="dxa"/>
            <w:tcBorders>
              <w:top w:val="single" w:color="auto" w:sz="4" w:space="0"/>
              <w:left w:val="single" w:color="auto" w:sz="4" w:space="0"/>
              <w:bottom w:val="single" w:color="auto" w:sz="4" w:space="0"/>
              <w:right w:val="single" w:color="auto" w:sz="4" w:space="0"/>
            </w:tcBorders>
          </w:tcPr>
          <w:p w:rsidRPr="004471F7" w:rsidR="004471F7" w:rsidP="00C601AB" w:rsidRDefault="004471F7" w14:paraId="67BA1F22" w14:textId="77777777">
            <w:pPr>
              <w:pStyle w:val="NormalinTable"/>
            </w:pPr>
            <w:r w:rsidRPr="004471F7">
              <w:t>Commercial Heat Pump Water Heater</w:t>
            </w:r>
          </w:p>
        </w:tc>
        <w:tc>
          <w:tcPr>
            <w:tcW w:w="2880" w:type="dxa"/>
            <w:tcBorders>
              <w:left w:val="single" w:color="auto" w:sz="4" w:space="0"/>
              <w:right w:val="single" w:color="auto" w:sz="4" w:space="0"/>
            </w:tcBorders>
          </w:tcPr>
          <w:p w:rsidRPr="004471F7" w:rsidR="004471F7" w:rsidP="00C601AB" w:rsidRDefault="004471F7" w14:paraId="6A495987" w14:textId="77777777">
            <w:pPr>
              <w:pStyle w:val="NormalinTable"/>
            </w:pPr>
            <w:r w:rsidRPr="004471F7">
              <w:t>WtrHt-HtPmp: 10.0</w:t>
            </w:r>
          </w:p>
        </w:tc>
        <w:tc>
          <w:tcPr>
            <w:tcW w:w="2880" w:type="dxa"/>
            <w:tcBorders>
              <w:left w:val="single" w:color="auto" w:sz="4" w:space="0"/>
              <w:right w:val="single" w:color="auto" w:sz="4" w:space="0"/>
            </w:tcBorders>
          </w:tcPr>
          <w:p w:rsidRPr="004471F7" w:rsidR="004471F7" w:rsidP="00C601AB" w:rsidRDefault="004471F7" w14:paraId="1AFC8BC1" w14:textId="77777777">
            <w:pPr>
              <w:pStyle w:val="NormalinTable"/>
            </w:pPr>
            <w:r w:rsidRPr="004471F7">
              <w:t>WtrHt-Com-HPWH: 13.0</w:t>
            </w:r>
          </w:p>
        </w:tc>
      </w:tr>
      <w:tr w:rsidRPr="004471F7" w:rsidR="004471F7" w:rsidTr="009F155D" w14:paraId="64F614F1" w14:textId="77777777">
        <w:tc>
          <w:tcPr>
            <w:tcW w:w="3888" w:type="dxa"/>
            <w:tcBorders>
              <w:top w:val="single" w:color="auto" w:sz="4" w:space="0"/>
              <w:left w:val="single" w:color="auto" w:sz="4" w:space="0"/>
              <w:bottom w:val="single" w:color="auto" w:sz="4" w:space="0"/>
              <w:right w:val="single" w:color="auto" w:sz="4" w:space="0"/>
            </w:tcBorders>
          </w:tcPr>
          <w:p w:rsidRPr="004471F7" w:rsidR="004471F7" w:rsidP="00C601AB" w:rsidRDefault="004471F7" w14:paraId="7E207FE5" w14:textId="77777777">
            <w:pPr>
              <w:pStyle w:val="NormalinTable"/>
            </w:pPr>
            <w:r w:rsidRPr="004471F7">
              <w:t>Commercial Gas Storage Water Heater</w:t>
            </w:r>
          </w:p>
        </w:tc>
        <w:tc>
          <w:tcPr>
            <w:tcW w:w="2880" w:type="dxa"/>
            <w:tcBorders>
              <w:left w:val="single" w:color="auto" w:sz="4" w:space="0"/>
              <w:right w:val="single" w:color="auto" w:sz="4" w:space="0"/>
            </w:tcBorders>
          </w:tcPr>
          <w:p w:rsidRPr="004471F7" w:rsidR="004471F7" w:rsidP="00C601AB" w:rsidRDefault="004471F7" w14:paraId="3FD778AA" w14:textId="77777777">
            <w:pPr>
              <w:pStyle w:val="NormalinTable"/>
            </w:pPr>
            <w:r w:rsidRPr="004471F7">
              <w:t>WtrHt-Com: 15.0</w:t>
            </w:r>
          </w:p>
        </w:tc>
        <w:tc>
          <w:tcPr>
            <w:tcW w:w="2880" w:type="dxa"/>
            <w:tcBorders>
              <w:left w:val="single" w:color="auto" w:sz="4" w:space="0"/>
              <w:right w:val="single" w:color="auto" w:sz="4" w:space="0"/>
            </w:tcBorders>
          </w:tcPr>
          <w:p w:rsidRPr="004471F7" w:rsidR="004471F7" w:rsidP="00C601AB" w:rsidRDefault="004471F7" w14:paraId="483CF0FE" w14:textId="77777777">
            <w:pPr>
              <w:pStyle w:val="NormalinTable"/>
            </w:pPr>
            <w:r w:rsidRPr="004471F7">
              <w:t>WtrHt-Com: 13.0</w:t>
            </w:r>
          </w:p>
        </w:tc>
      </w:tr>
      <w:tr w:rsidRPr="004471F7" w:rsidR="004471F7" w:rsidTr="009F155D" w14:paraId="52873EE9" w14:textId="77777777">
        <w:tc>
          <w:tcPr>
            <w:tcW w:w="3888" w:type="dxa"/>
            <w:tcBorders>
              <w:top w:val="single" w:color="auto" w:sz="4" w:space="0"/>
              <w:left w:val="single" w:color="auto" w:sz="4" w:space="0"/>
              <w:bottom w:val="single" w:color="auto" w:sz="4" w:space="0"/>
              <w:right w:val="single" w:color="auto" w:sz="4" w:space="0"/>
            </w:tcBorders>
          </w:tcPr>
          <w:p w:rsidRPr="004471F7" w:rsidR="004471F7" w:rsidP="00C601AB" w:rsidRDefault="004471F7" w14:paraId="4F8E4521" w14:textId="77777777">
            <w:pPr>
              <w:pStyle w:val="NormalinTable"/>
            </w:pPr>
            <w:r w:rsidRPr="004471F7">
              <w:t>Commercial Gas Tankless Water Heater</w:t>
            </w:r>
          </w:p>
        </w:tc>
        <w:tc>
          <w:tcPr>
            <w:tcW w:w="2880" w:type="dxa"/>
            <w:tcBorders>
              <w:left w:val="single" w:color="auto" w:sz="4" w:space="0"/>
              <w:bottom w:val="single" w:color="auto" w:sz="4" w:space="0"/>
              <w:right w:val="single" w:color="auto" w:sz="4" w:space="0"/>
            </w:tcBorders>
          </w:tcPr>
          <w:p w:rsidRPr="004471F7" w:rsidR="004471F7" w:rsidP="00C601AB" w:rsidRDefault="004471F7" w14:paraId="1FFEEC31" w14:textId="77777777">
            <w:pPr>
              <w:pStyle w:val="NormalinTable"/>
            </w:pPr>
            <w:r w:rsidRPr="004471F7">
              <w:t>WtrHt-Instant-Com: 20.0</w:t>
            </w:r>
          </w:p>
        </w:tc>
        <w:tc>
          <w:tcPr>
            <w:tcW w:w="2880" w:type="dxa"/>
            <w:tcBorders>
              <w:left w:val="single" w:color="auto" w:sz="4" w:space="0"/>
              <w:bottom w:val="single" w:color="auto" w:sz="4" w:space="0"/>
              <w:right w:val="single" w:color="auto" w:sz="4" w:space="0"/>
            </w:tcBorders>
          </w:tcPr>
          <w:p w:rsidRPr="004471F7" w:rsidR="004471F7" w:rsidP="00C601AB" w:rsidRDefault="004471F7" w14:paraId="11B7C82E" w14:textId="77777777">
            <w:pPr>
              <w:pStyle w:val="NormalinTable"/>
            </w:pPr>
            <w:r w:rsidRPr="004471F7">
              <w:t>WtrHt-Instant-Com: 20.0</w:t>
            </w:r>
          </w:p>
        </w:tc>
      </w:tr>
    </w:tbl>
    <w:p w:rsidRPr="004471F7" w:rsidR="004471F7" w:rsidP="004471F7" w:rsidRDefault="004471F7" w14:paraId="7D8C5A6B" w14:textId="77777777"/>
    <w:p w:rsidRPr="004471F7" w:rsidR="004471F7" w:rsidP="008631C3" w:rsidRDefault="0040714E" w14:paraId="0C75A918" w14:textId="637933FF">
      <w:pPr>
        <w:pStyle w:val="Heading2"/>
      </w:pPr>
      <w:bookmarkStart w:name="_Toc185271196" w:id="162"/>
      <w:r>
        <w:t>(</w:t>
      </w:r>
      <w:r w:rsidR="00891292">
        <w:t>L</w:t>
      </w:r>
      <w:r>
        <w:t xml:space="preserve">) </w:t>
      </w:r>
      <w:r w:rsidRPr="004471F7" w:rsidR="004471F7">
        <w:t xml:space="preserve">Guidance </w:t>
      </w:r>
      <w:r w:rsidR="001C617C">
        <w:t>Based on</w:t>
      </w:r>
      <w:r w:rsidRPr="004471F7" w:rsidR="001C617C">
        <w:t xml:space="preserve"> </w:t>
      </w:r>
      <w:r w:rsidRPr="004471F7" w:rsidR="004471F7">
        <w:t xml:space="preserve">Other </w:t>
      </w:r>
      <w:r w:rsidRPr="004471F7" w:rsidR="000E57F9">
        <w:t>S</w:t>
      </w:r>
      <w:r w:rsidRPr="004471F7" w:rsidR="004471F7">
        <w:t>tudies</w:t>
      </w:r>
      <w:bookmarkEnd w:id="162"/>
    </w:p>
    <w:p w:rsidRPr="00AA6EF3" w:rsidR="00AA6EF3" w:rsidP="00AA6EF3" w:rsidRDefault="001B11E4" w14:paraId="24480DC0" w14:textId="14A8077E">
      <w:r>
        <w:rPr>
          <w:u w:val="single"/>
        </w:rPr>
        <w:t>Effective Program Year: 2026.</w:t>
      </w:r>
      <w:r>
        <w:t xml:space="preserve"> </w:t>
      </w:r>
      <w:r w:rsidR="00AA6EF3">
        <w:t>This section summarizes CPUC guidance for measure packages related to three other recent studies.</w:t>
      </w:r>
    </w:p>
    <w:p w:rsidRPr="004471F7" w:rsidR="004471F7" w:rsidP="008631C3" w:rsidRDefault="0040714E" w14:paraId="18E4B8B1" w14:textId="47D20A6B">
      <w:pPr>
        <w:pStyle w:val="Heading3"/>
      </w:pPr>
      <w:bookmarkStart w:name="_Toc185271197" w:id="163"/>
      <w:r>
        <w:t>(</w:t>
      </w:r>
      <w:r w:rsidR="00891292">
        <w:t>L</w:t>
      </w:r>
      <w:r>
        <w:t xml:space="preserve">.1) </w:t>
      </w:r>
      <w:r w:rsidRPr="004471F7" w:rsidR="004471F7">
        <w:t xml:space="preserve">Hard-to-Reach (HTR) </w:t>
      </w:r>
      <w:r w:rsidRPr="004471F7" w:rsidDel="00137E01" w:rsidR="004471F7">
        <w:t xml:space="preserve">Net-to-Gross </w:t>
      </w:r>
      <w:r w:rsidRPr="004471F7" w:rsidR="004471F7">
        <w:t>Ratios</w:t>
      </w:r>
      <w:bookmarkEnd w:id="163"/>
    </w:p>
    <w:p w:rsidRPr="004471F7" w:rsidR="004471F7" w:rsidP="004471F7" w:rsidRDefault="004471F7" w14:paraId="7A04F432" w14:textId="7F2C533B">
      <w:r w:rsidRPr="004471F7">
        <w:rPr>
          <w:u w:val="single"/>
        </w:rPr>
        <w:t>Effective Program Year: 2026.</w:t>
      </w:r>
      <w:r w:rsidRPr="004471F7">
        <w:t xml:space="preserve"> Resolution E-5221 required research to determine whether there was evidence for having different default net-to-gross ratios (NTGRs) for HTR and non-HTR customers participating in direct install and downstream programs. The results of this study</w:t>
      </w:r>
      <w:r w:rsidRPr="004471F7">
        <w:rPr>
          <w:vertAlign w:val="superscript"/>
        </w:rPr>
        <w:footnoteReference w:id="37"/>
      </w:r>
      <w:r w:rsidRPr="004471F7">
        <w:t xml:space="preserve"> found </w:t>
      </w:r>
      <w:r w:rsidR="0081192A">
        <w:t>insufficient</w:t>
      </w:r>
      <w:r w:rsidRPr="004471F7" w:rsidR="0081192A">
        <w:t xml:space="preserve"> </w:t>
      </w:r>
      <w:r w:rsidRPr="004471F7">
        <w:t xml:space="preserve">evidence to support having different NTGRs for participants in direct install programs. For residential participants—both HTR and non-HTR—the NTGR was 0.89 and 0.87, respectively; for commercial participants, these were 0.65 and 0.71, respectively. No statistically significant difference was found between these pairs of results. For commercial participants, the results were less conclusive and had relative precision results that were outside of the targeted ±10%. The resulting updates in DEER are as shown in </w:t>
      </w:r>
      <w:r w:rsidRPr="004471F7">
        <w:fldChar w:fldCharType="begin"/>
      </w:r>
      <w:r w:rsidRPr="004471F7">
        <w:instrText xml:space="preserve"> REF _Ref163566144 \h </w:instrText>
      </w:r>
      <w:r w:rsidR="008631C3">
        <w:instrText xml:space="preserve"> \* MERGEFORMAT </w:instrText>
      </w:r>
      <w:r w:rsidRPr="004471F7">
        <w:fldChar w:fldCharType="separate"/>
      </w:r>
      <w:r w:rsidRPr="004471F7" w:rsidR="00E812F0">
        <w:t xml:space="preserve">Table </w:t>
      </w:r>
      <w:r w:rsidRPr="0033160A" w:rsidR="00E812F0">
        <w:rPr>
          <w:noProof/>
          <w:webHidden/>
        </w:rPr>
        <w:t>A-</w:t>
      </w:r>
      <w:r w:rsidR="00E812F0">
        <w:rPr>
          <w:noProof/>
        </w:rPr>
        <w:t>3</w:t>
      </w:r>
      <w:r w:rsidRPr="004471F7" w:rsidR="00E812F0">
        <w:rPr>
          <w:noProof/>
        </w:rPr>
        <w:noBreakHyphen/>
      </w:r>
      <w:r w:rsidR="00E812F0">
        <w:rPr>
          <w:noProof/>
        </w:rPr>
        <w:t>4</w:t>
      </w:r>
      <w:r w:rsidRPr="004471F7">
        <w:fldChar w:fldCharType="end"/>
      </w:r>
      <w:r w:rsidRPr="004471F7">
        <w:t>.</w:t>
      </w:r>
    </w:p>
    <w:p w:rsidRPr="004471F7" w:rsidR="004471F7" w:rsidP="008631C3" w:rsidRDefault="004471F7" w14:paraId="2B1915DB" w14:textId="134F965A">
      <w:pPr>
        <w:pStyle w:val="Caption"/>
      </w:pPr>
      <w:bookmarkStart w:name="_Ref163566144" w:id="164"/>
      <w:bookmarkStart w:name="_Ref163588871" w:id="165"/>
      <w:bookmarkStart w:name="_Toc185273172" w:id="166"/>
      <w:r w:rsidRPr="004471F7">
        <w:lastRenderedPageBreak/>
        <w:t xml:space="preserve">Table </w:t>
      </w:r>
      <w:r w:rsidRPr="0033160A" w:rsidR="0033160A">
        <w:rPr>
          <w:webHidden/>
        </w:rPr>
        <w:t>A-</w:t>
      </w:r>
      <w:r>
        <w:fldChar w:fldCharType="begin"/>
      </w:r>
      <w:r>
        <w:instrText>STYLEREF 1 \s</w:instrText>
      </w:r>
      <w:r>
        <w:fldChar w:fldCharType="separate"/>
      </w:r>
      <w:r w:rsidR="00E812F0">
        <w:rPr>
          <w:noProof/>
        </w:rPr>
        <w:t>3</w:t>
      </w:r>
      <w:r>
        <w:fldChar w:fldCharType="end"/>
      </w:r>
      <w:r w:rsidRPr="004471F7">
        <w:noBreakHyphen/>
      </w:r>
      <w:r>
        <w:fldChar w:fldCharType="begin"/>
      </w:r>
      <w:r>
        <w:instrText>SEQ Table \* ARABIC \s 1</w:instrText>
      </w:r>
      <w:r>
        <w:fldChar w:fldCharType="separate"/>
      </w:r>
      <w:r w:rsidR="00E812F0">
        <w:rPr>
          <w:noProof/>
        </w:rPr>
        <w:t>4</w:t>
      </w:r>
      <w:r>
        <w:fldChar w:fldCharType="end"/>
      </w:r>
      <w:bookmarkEnd w:id="164"/>
      <w:r w:rsidRPr="004471F7">
        <w:t>. Recommended updates to NTG_IDs and NTGRs</w:t>
      </w:r>
      <w:bookmarkEnd w:id="165"/>
      <w:bookmarkEnd w:id="166"/>
    </w:p>
    <w:tbl>
      <w:tblPr>
        <w:tblStyle w:val="DNVNiceStyle"/>
        <w:tblW w:w="9502" w:type="dxa"/>
        <w:tblBorders>
          <w:top w:val="single" w:color="0D0D0D" w:themeColor="text1" w:themeTint="F2" w:sz="4" w:space="0"/>
          <w:left w:val="single" w:color="0D0D0D" w:themeColor="text1" w:themeTint="F2" w:sz="4" w:space="0"/>
          <w:bottom w:val="single" w:color="0D0D0D" w:themeColor="text1" w:themeTint="F2" w:sz="4" w:space="0"/>
          <w:right w:val="single" w:color="0D0D0D" w:themeColor="text1" w:themeTint="F2" w:sz="4" w:space="0"/>
          <w:insideH w:val="single" w:color="0D0D0D" w:themeColor="text1" w:themeTint="F2" w:sz="4" w:space="0"/>
          <w:insideV w:val="single" w:color="0D0D0D" w:themeColor="text1" w:themeTint="F2" w:sz="4" w:space="0"/>
        </w:tblBorders>
        <w:tblLayout w:type="fixed"/>
        <w:tblCellMar>
          <w:top w:w="14" w:type="dxa"/>
          <w:bottom w:w="14" w:type="dxa"/>
        </w:tblCellMar>
        <w:tblLook w:val="06A0" w:firstRow="1" w:lastRow="0" w:firstColumn="1" w:lastColumn="0" w:noHBand="1" w:noVBand="1"/>
      </w:tblPr>
      <w:tblGrid>
        <w:gridCol w:w="864"/>
        <w:gridCol w:w="2846"/>
        <w:gridCol w:w="3456"/>
        <w:gridCol w:w="2336"/>
      </w:tblGrid>
      <w:tr w:rsidRPr="00D06CCE" w:rsidR="00D06CCE" w:rsidTr="000C1D9C" w14:paraId="1498FC70" w14:textId="77777777">
        <w:trPr>
          <w:cnfStyle w:val="100000000000" w:firstRow="1" w:lastRow="0" w:firstColumn="0" w:lastColumn="0" w:oddVBand="0" w:evenVBand="0" w:oddHBand="0" w:evenHBand="0" w:firstRowFirstColumn="0" w:firstRowLastColumn="0" w:lastRowFirstColumn="0" w:lastRowLastColumn="0"/>
          <w:trHeight w:val="227"/>
          <w:tblHeader/>
        </w:trPr>
        <w:tc>
          <w:tcPr>
            <w:cnfStyle w:val="001000000100" w:firstRow="0" w:lastRow="0" w:firstColumn="1" w:lastColumn="0" w:oddVBand="0" w:evenVBand="0" w:oddHBand="0" w:evenHBand="0" w:firstRowFirstColumn="1" w:firstRowLastColumn="0" w:lastRowFirstColumn="0" w:lastRowLastColumn="0"/>
            <w:tcW w:w="864" w:type="dxa"/>
            <w:tcBorders>
              <w:right w:val="single" w:color="auto" w:sz="4" w:space="0"/>
            </w:tcBorders>
            <w:shd w:val="clear" w:color="auto" w:fill="FFFFFF" w:themeFill="background1"/>
            <w:vAlign w:val="center"/>
          </w:tcPr>
          <w:p w:rsidRPr="00D06CCE" w:rsidR="004471F7" w:rsidP="008631C3" w:rsidRDefault="004471F7" w14:paraId="7C68376A" w14:textId="77777777">
            <w:pPr>
              <w:pStyle w:val="NormalinTable"/>
              <w:rPr>
                <w:color w:val="auto"/>
                <w:lang w:val="en-GB" w:eastAsia="en-US"/>
              </w:rPr>
            </w:pPr>
            <w:r w:rsidRPr="00D06CCE">
              <w:rPr>
                <w:color w:val="auto"/>
                <w:lang w:val="en-GB" w:eastAsia="en-US"/>
              </w:rPr>
              <w:t>Sector</w:t>
            </w:r>
          </w:p>
        </w:tc>
        <w:tc>
          <w:tcPr>
            <w:tcW w:w="2846" w:type="dxa"/>
            <w:tcBorders>
              <w:left w:val="single" w:color="auto" w:sz="4" w:space="0"/>
              <w:right w:val="single" w:color="auto" w:sz="4" w:space="0"/>
            </w:tcBorders>
            <w:shd w:val="clear" w:color="auto" w:fill="FFFFFF" w:themeFill="background1"/>
            <w:vAlign w:val="center"/>
          </w:tcPr>
          <w:p w:rsidRPr="00D06CCE" w:rsidR="004471F7" w:rsidP="008631C3" w:rsidRDefault="004471F7" w14:paraId="4522DAF0" w14:textId="77777777">
            <w:pPr>
              <w:pStyle w:val="NormalinTable"/>
              <w:cnfStyle w:val="100000000000" w:firstRow="1" w:lastRow="0" w:firstColumn="0" w:lastColumn="0" w:oddVBand="0" w:evenVBand="0" w:oddHBand="0" w:evenHBand="0" w:firstRowFirstColumn="0" w:firstRowLastColumn="0" w:lastRowFirstColumn="0" w:lastRowLastColumn="0"/>
              <w:rPr>
                <w:color w:val="auto"/>
                <w:lang w:val="en-GB" w:eastAsia="en-US"/>
              </w:rPr>
            </w:pPr>
            <w:r w:rsidRPr="00D06CCE">
              <w:rPr>
                <w:color w:val="auto"/>
                <w:lang w:val="en-GB" w:eastAsia="en-US"/>
              </w:rPr>
              <w:t>Existing/Related NTG_IDs</w:t>
            </w:r>
          </w:p>
        </w:tc>
        <w:tc>
          <w:tcPr>
            <w:tcW w:w="3456" w:type="dxa"/>
            <w:tcBorders>
              <w:left w:val="single" w:color="auto" w:sz="4" w:space="0"/>
              <w:right w:val="single" w:color="auto" w:sz="4" w:space="0"/>
            </w:tcBorders>
            <w:shd w:val="clear" w:color="auto" w:fill="FFFFFF" w:themeFill="background1"/>
            <w:vAlign w:val="center"/>
          </w:tcPr>
          <w:p w:rsidRPr="00D06CCE" w:rsidR="004471F7" w:rsidP="008631C3" w:rsidRDefault="004471F7" w14:paraId="653605B9" w14:textId="77777777">
            <w:pPr>
              <w:pStyle w:val="NormalinTable"/>
              <w:cnfStyle w:val="100000000000" w:firstRow="1" w:lastRow="0" w:firstColumn="0" w:lastColumn="0" w:oddVBand="0" w:evenVBand="0" w:oddHBand="0" w:evenHBand="0" w:firstRowFirstColumn="0" w:firstRowLastColumn="0" w:lastRowFirstColumn="0" w:lastRowLastColumn="0"/>
              <w:rPr>
                <w:color w:val="auto"/>
                <w:lang w:val="en-GB" w:eastAsia="en-US"/>
              </w:rPr>
            </w:pPr>
            <w:r w:rsidRPr="00D06CCE">
              <w:rPr>
                <w:color w:val="auto"/>
                <w:lang w:val="en-GB" w:eastAsia="en-US"/>
              </w:rPr>
              <w:t>Recommended Change</w:t>
            </w:r>
          </w:p>
        </w:tc>
        <w:tc>
          <w:tcPr>
            <w:tcW w:w="2336" w:type="dxa"/>
            <w:tcBorders>
              <w:left w:val="single" w:color="auto" w:sz="4" w:space="0"/>
            </w:tcBorders>
            <w:shd w:val="clear" w:color="auto" w:fill="FFFFFF" w:themeFill="background1"/>
            <w:vAlign w:val="center"/>
          </w:tcPr>
          <w:p w:rsidRPr="00D06CCE" w:rsidR="004471F7" w:rsidP="008631C3" w:rsidRDefault="004471F7" w14:paraId="6486708F" w14:textId="77777777">
            <w:pPr>
              <w:pStyle w:val="NormalinTable"/>
              <w:cnfStyle w:val="100000000000" w:firstRow="1" w:lastRow="0" w:firstColumn="0" w:lastColumn="0" w:oddVBand="0" w:evenVBand="0" w:oddHBand="0" w:evenHBand="0" w:firstRowFirstColumn="0" w:firstRowLastColumn="0" w:lastRowFirstColumn="0" w:lastRowLastColumn="0"/>
              <w:rPr>
                <w:color w:val="auto"/>
                <w:lang w:val="en-GB" w:eastAsia="en-US"/>
              </w:rPr>
            </w:pPr>
            <w:r w:rsidRPr="00D06CCE">
              <w:rPr>
                <w:color w:val="auto"/>
                <w:lang w:val="en-GB" w:eastAsia="en-US"/>
              </w:rPr>
              <w:t>DEER2026 NTG_ID</w:t>
            </w:r>
          </w:p>
        </w:tc>
      </w:tr>
      <w:tr w:rsidRPr="004471F7" w:rsidR="004471F7" w:rsidTr="000C1D9C" w14:paraId="0307A6F5" w14:textId="77777777">
        <w:trPr>
          <w:trHeight w:val="317"/>
        </w:trPr>
        <w:tc>
          <w:tcPr>
            <w:cnfStyle w:val="001000000000" w:firstRow="0" w:lastRow="0" w:firstColumn="1" w:lastColumn="0" w:oddVBand="0" w:evenVBand="0" w:oddHBand="0" w:evenHBand="0" w:firstRowFirstColumn="0" w:firstRowLastColumn="0" w:lastRowFirstColumn="0" w:lastRowLastColumn="0"/>
            <w:tcW w:w="864" w:type="dxa"/>
            <w:vMerge w:val="restart"/>
            <w:vAlign w:val="center"/>
          </w:tcPr>
          <w:p w:rsidRPr="004471F7" w:rsidR="004471F7" w:rsidP="008631C3" w:rsidRDefault="004471F7" w14:paraId="4C190A09" w14:textId="77777777">
            <w:pPr>
              <w:pStyle w:val="NormalinTable"/>
              <w:rPr>
                <w:lang w:val="en-GB" w:eastAsia="en-US"/>
              </w:rPr>
            </w:pPr>
            <w:r w:rsidRPr="004471F7">
              <w:rPr>
                <w:lang w:val="en-GB" w:eastAsia="en-US"/>
              </w:rPr>
              <w:t>Res</w:t>
            </w:r>
          </w:p>
        </w:tc>
        <w:tc>
          <w:tcPr>
            <w:tcW w:w="2846" w:type="dxa"/>
            <w:vAlign w:val="center"/>
          </w:tcPr>
          <w:p w:rsidRPr="004471F7" w:rsidR="004471F7" w:rsidP="008631C3" w:rsidRDefault="004471F7" w14:paraId="77A2E1B2" w14:textId="77777777">
            <w:pPr>
              <w:pStyle w:val="NormalinTable"/>
              <w:cnfStyle w:val="000000000000" w:firstRow="0" w:lastRow="0" w:firstColumn="0" w:lastColumn="0" w:oddVBand="0" w:evenVBand="0" w:oddHBand="0" w:evenHBand="0" w:firstRowFirstColumn="0" w:firstRowLastColumn="0" w:lastRowFirstColumn="0" w:lastRowLastColumn="0"/>
              <w:rPr>
                <w:lang w:val="en-GB" w:eastAsia="en-US"/>
              </w:rPr>
            </w:pPr>
            <w:r w:rsidRPr="004471F7">
              <w:rPr>
                <w:lang w:val="en-GB" w:eastAsia="en-US"/>
              </w:rPr>
              <w:t>Res-Default&gt;2:  0.55</w:t>
            </w:r>
          </w:p>
        </w:tc>
        <w:tc>
          <w:tcPr>
            <w:tcW w:w="3456" w:type="dxa"/>
            <w:vMerge w:val="restart"/>
            <w:vAlign w:val="center"/>
          </w:tcPr>
          <w:p w:rsidRPr="004471F7" w:rsidR="004471F7" w:rsidP="008631C3" w:rsidRDefault="004471F7" w14:paraId="3EB94F1E" w14:textId="238D7F27">
            <w:pPr>
              <w:pStyle w:val="NormalinTable"/>
              <w:cnfStyle w:val="000000000000" w:firstRow="0" w:lastRow="0" w:firstColumn="0" w:lastColumn="0" w:oddVBand="0" w:evenVBand="0" w:oddHBand="0" w:evenHBand="0" w:firstRowFirstColumn="0" w:firstRowLastColumn="0" w:lastRowFirstColumn="0" w:lastRowLastColumn="0"/>
              <w:rPr>
                <w:lang w:val="en-GB" w:eastAsia="en-US"/>
              </w:rPr>
            </w:pPr>
            <w:r w:rsidRPr="004471F7">
              <w:rPr>
                <w:lang w:val="en-GB" w:eastAsia="en-US"/>
              </w:rPr>
              <w:t xml:space="preserve">Shall no longer be used for direct install </w:t>
            </w:r>
            <w:r w:rsidR="00497626">
              <w:rPr>
                <w:lang w:val="en-GB" w:eastAsia="en-US"/>
              </w:rPr>
              <w:t>measures</w:t>
            </w:r>
          </w:p>
        </w:tc>
        <w:tc>
          <w:tcPr>
            <w:tcW w:w="2336" w:type="dxa"/>
            <w:vMerge w:val="restart"/>
            <w:vAlign w:val="center"/>
          </w:tcPr>
          <w:p w:rsidRPr="004471F7" w:rsidR="004471F7" w:rsidP="008631C3" w:rsidRDefault="004471F7" w14:paraId="661D09A3" w14:textId="77777777">
            <w:pPr>
              <w:pStyle w:val="NormalinTable"/>
              <w:cnfStyle w:val="000000000000" w:firstRow="0" w:lastRow="0" w:firstColumn="0" w:lastColumn="0" w:oddVBand="0" w:evenVBand="0" w:oddHBand="0" w:evenHBand="0" w:firstRowFirstColumn="0" w:firstRowLastColumn="0" w:lastRowFirstColumn="0" w:lastRowLastColumn="0"/>
              <w:rPr>
                <w:lang w:val="en-GB" w:eastAsia="en-US"/>
              </w:rPr>
            </w:pPr>
            <w:r w:rsidRPr="004471F7">
              <w:rPr>
                <w:lang w:val="en-GB" w:eastAsia="en-US"/>
              </w:rPr>
              <w:t>Res-Default-di:  0.90</w:t>
            </w:r>
          </w:p>
        </w:tc>
      </w:tr>
      <w:tr w:rsidRPr="004471F7" w:rsidR="004471F7" w:rsidTr="000C1D9C" w14:paraId="3B8FB5D0" w14:textId="77777777">
        <w:trPr>
          <w:trHeight w:val="317"/>
        </w:trPr>
        <w:tc>
          <w:tcPr>
            <w:cnfStyle w:val="001000000000" w:firstRow="0" w:lastRow="0" w:firstColumn="1" w:lastColumn="0" w:oddVBand="0" w:evenVBand="0" w:oddHBand="0" w:evenHBand="0" w:firstRowFirstColumn="0" w:firstRowLastColumn="0" w:lastRowFirstColumn="0" w:lastRowLastColumn="0"/>
            <w:tcW w:w="864" w:type="dxa"/>
            <w:vMerge/>
            <w:vAlign w:val="center"/>
          </w:tcPr>
          <w:p w:rsidRPr="004471F7" w:rsidR="004471F7" w:rsidP="008631C3" w:rsidRDefault="004471F7" w14:paraId="579CB854" w14:textId="77777777">
            <w:pPr>
              <w:pStyle w:val="NormalinTable"/>
              <w:rPr>
                <w:lang w:val="en-GB" w:eastAsia="en-US"/>
              </w:rPr>
            </w:pPr>
          </w:p>
        </w:tc>
        <w:tc>
          <w:tcPr>
            <w:tcW w:w="2846" w:type="dxa"/>
            <w:vAlign w:val="center"/>
          </w:tcPr>
          <w:p w:rsidRPr="004471F7" w:rsidR="004471F7" w:rsidP="008631C3" w:rsidRDefault="004471F7" w14:paraId="3258589E" w14:textId="77777777">
            <w:pPr>
              <w:pStyle w:val="NormalinTable"/>
              <w:cnfStyle w:val="000000000000" w:firstRow="0" w:lastRow="0" w:firstColumn="0" w:lastColumn="0" w:oddVBand="0" w:evenVBand="0" w:oddHBand="0" w:evenHBand="0" w:firstRowFirstColumn="0" w:firstRowLastColumn="0" w:lastRowFirstColumn="0" w:lastRowLastColumn="0"/>
              <w:rPr>
                <w:lang w:val="en-GB" w:eastAsia="en-US"/>
              </w:rPr>
            </w:pPr>
            <w:r w:rsidRPr="004471F7">
              <w:rPr>
                <w:lang w:val="en-GB" w:eastAsia="en-US"/>
              </w:rPr>
              <w:t>All-Default&lt;=2yrs:  0.70</w:t>
            </w:r>
          </w:p>
        </w:tc>
        <w:tc>
          <w:tcPr>
            <w:tcW w:w="3456" w:type="dxa"/>
            <w:vMerge/>
            <w:vAlign w:val="center"/>
          </w:tcPr>
          <w:p w:rsidRPr="004471F7" w:rsidR="004471F7" w:rsidP="008631C3" w:rsidRDefault="004471F7" w14:paraId="024C77AC" w14:textId="77777777">
            <w:pPr>
              <w:pStyle w:val="NormalinTable"/>
              <w:cnfStyle w:val="000000000000" w:firstRow="0" w:lastRow="0" w:firstColumn="0" w:lastColumn="0" w:oddVBand="0" w:evenVBand="0" w:oddHBand="0" w:evenHBand="0" w:firstRowFirstColumn="0" w:firstRowLastColumn="0" w:lastRowFirstColumn="0" w:lastRowLastColumn="0"/>
              <w:rPr>
                <w:lang w:val="en-GB" w:eastAsia="en-US"/>
              </w:rPr>
            </w:pPr>
          </w:p>
        </w:tc>
        <w:tc>
          <w:tcPr>
            <w:tcW w:w="2336" w:type="dxa"/>
            <w:vMerge/>
            <w:vAlign w:val="center"/>
          </w:tcPr>
          <w:p w:rsidRPr="004471F7" w:rsidR="004471F7" w:rsidP="008631C3" w:rsidRDefault="004471F7" w14:paraId="4A97C5E5" w14:textId="77777777">
            <w:pPr>
              <w:pStyle w:val="NormalinTable"/>
              <w:cnfStyle w:val="000000000000" w:firstRow="0" w:lastRow="0" w:firstColumn="0" w:lastColumn="0" w:oddVBand="0" w:evenVBand="0" w:oddHBand="0" w:evenHBand="0" w:firstRowFirstColumn="0" w:firstRowLastColumn="0" w:lastRowFirstColumn="0" w:lastRowLastColumn="0"/>
              <w:rPr>
                <w:lang w:val="en-GB" w:eastAsia="en-US"/>
              </w:rPr>
            </w:pPr>
          </w:p>
        </w:tc>
      </w:tr>
      <w:tr w:rsidRPr="004471F7" w:rsidR="004471F7" w:rsidTr="000C1D9C" w14:paraId="5EAD7D75" w14:textId="77777777">
        <w:trPr>
          <w:trHeight w:val="317"/>
        </w:trPr>
        <w:tc>
          <w:tcPr>
            <w:cnfStyle w:val="001000000000" w:firstRow="0" w:lastRow="0" w:firstColumn="1" w:lastColumn="0" w:oddVBand="0" w:evenVBand="0" w:oddHBand="0" w:evenHBand="0" w:firstRowFirstColumn="0" w:firstRowLastColumn="0" w:lastRowFirstColumn="0" w:lastRowLastColumn="0"/>
            <w:tcW w:w="864" w:type="dxa"/>
            <w:vMerge/>
            <w:vAlign w:val="center"/>
          </w:tcPr>
          <w:p w:rsidRPr="004471F7" w:rsidR="004471F7" w:rsidP="008631C3" w:rsidRDefault="004471F7" w14:paraId="133ED251" w14:textId="77777777">
            <w:pPr>
              <w:pStyle w:val="NormalinTable"/>
              <w:rPr>
                <w:lang w:val="en-GB" w:eastAsia="en-US"/>
              </w:rPr>
            </w:pPr>
          </w:p>
        </w:tc>
        <w:tc>
          <w:tcPr>
            <w:tcW w:w="2846" w:type="dxa"/>
            <w:vAlign w:val="center"/>
          </w:tcPr>
          <w:p w:rsidRPr="004471F7" w:rsidR="004471F7" w:rsidP="008631C3" w:rsidRDefault="004471F7" w14:paraId="6C173A86" w14:textId="77777777">
            <w:pPr>
              <w:pStyle w:val="NormalinTable"/>
              <w:cnfStyle w:val="000000000000" w:firstRow="0" w:lastRow="0" w:firstColumn="0" w:lastColumn="0" w:oddVBand="0" w:evenVBand="0" w:oddHBand="0" w:evenHBand="0" w:firstRowFirstColumn="0" w:firstRowLastColumn="0" w:lastRowFirstColumn="0" w:lastRowLastColumn="0"/>
              <w:rPr>
                <w:lang w:val="en-GB" w:eastAsia="en-US"/>
              </w:rPr>
            </w:pPr>
            <w:r w:rsidRPr="004471F7">
              <w:rPr>
                <w:lang w:val="en-GB" w:eastAsia="en-US"/>
              </w:rPr>
              <w:t>Res-Default-HTR-di:  0.85</w:t>
            </w:r>
          </w:p>
        </w:tc>
        <w:tc>
          <w:tcPr>
            <w:tcW w:w="3456" w:type="dxa"/>
            <w:vAlign w:val="center"/>
          </w:tcPr>
          <w:p w:rsidRPr="004471F7" w:rsidR="004471F7" w:rsidP="008631C3" w:rsidRDefault="004471F7" w14:paraId="522D235C" w14:textId="77777777">
            <w:pPr>
              <w:pStyle w:val="NormalinTable"/>
              <w:cnfStyle w:val="000000000000" w:firstRow="0" w:lastRow="0" w:firstColumn="0" w:lastColumn="0" w:oddVBand="0" w:evenVBand="0" w:oddHBand="0" w:evenHBand="0" w:firstRowFirstColumn="0" w:firstRowLastColumn="0" w:lastRowFirstColumn="0" w:lastRowLastColumn="0"/>
              <w:rPr>
                <w:lang w:val="en-GB" w:eastAsia="en-US"/>
              </w:rPr>
            </w:pPr>
            <w:r w:rsidRPr="004471F7">
              <w:rPr>
                <w:lang w:val="en-GB" w:eastAsia="en-US"/>
              </w:rPr>
              <w:t>Expire</w:t>
            </w:r>
          </w:p>
        </w:tc>
        <w:tc>
          <w:tcPr>
            <w:tcW w:w="2336" w:type="dxa"/>
            <w:vMerge/>
            <w:vAlign w:val="center"/>
          </w:tcPr>
          <w:p w:rsidRPr="004471F7" w:rsidR="004471F7" w:rsidP="008631C3" w:rsidRDefault="004471F7" w14:paraId="28B263DA" w14:textId="77777777">
            <w:pPr>
              <w:pStyle w:val="NormalinTable"/>
              <w:cnfStyle w:val="000000000000" w:firstRow="0" w:lastRow="0" w:firstColumn="0" w:lastColumn="0" w:oddVBand="0" w:evenVBand="0" w:oddHBand="0" w:evenHBand="0" w:firstRowFirstColumn="0" w:firstRowLastColumn="0" w:lastRowFirstColumn="0" w:lastRowLastColumn="0"/>
              <w:rPr>
                <w:lang w:val="en-GB" w:eastAsia="en-US"/>
              </w:rPr>
            </w:pPr>
          </w:p>
        </w:tc>
      </w:tr>
      <w:tr w:rsidRPr="004471F7" w:rsidR="000C1D9C" w:rsidTr="000C1D9C" w14:paraId="61C35C8F" w14:textId="77777777">
        <w:trPr>
          <w:trHeight w:val="317"/>
        </w:trPr>
        <w:tc>
          <w:tcPr>
            <w:cnfStyle w:val="001000000000" w:firstRow="0" w:lastRow="0" w:firstColumn="1" w:lastColumn="0" w:oddVBand="0" w:evenVBand="0" w:oddHBand="0" w:evenHBand="0" w:firstRowFirstColumn="0" w:firstRowLastColumn="0" w:lastRowFirstColumn="0" w:lastRowLastColumn="0"/>
            <w:tcW w:w="864" w:type="dxa"/>
            <w:vMerge w:val="restart"/>
            <w:vAlign w:val="center"/>
          </w:tcPr>
          <w:p w:rsidRPr="004471F7" w:rsidR="000C1D9C" w:rsidP="008631C3" w:rsidRDefault="000C1D9C" w14:paraId="40B2D47C" w14:textId="77777777">
            <w:pPr>
              <w:pStyle w:val="NormalinTable"/>
              <w:rPr>
                <w:lang w:val="en-GB" w:eastAsia="en-US"/>
              </w:rPr>
            </w:pPr>
            <w:r w:rsidRPr="004471F7">
              <w:rPr>
                <w:lang w:val="en-GB" w:eastAsia="en-US"/>
              </w:rPr>
              <w:t>Com</w:t>
            </w:r>
          </w:p>
        </w:tc>
        <w:tc>
          <w:tcPr>
            <w:tcW w:w="2846" w:type="dxa"/>
            <w:vAlign w:val="center"/>
          </w:tcPr>
          <w:p w:rsidRPr="004471F7" w:rsidR="000C1D9C" w:rsidP="008631C3" w:rsidRDefault="000C1D9C" w14:paraId="278E70DD" w14:textId="77777777">
            <w:pPr>
              <w:pStyle w:val="NormalinTable"/>
              <w:cnfStyle w:val="000000000000" w:firstRow="0" w:lastRow="0" w:firstColumn="0" w:lastColumn="0" w:oddVBand="0" w:evenVBand="0" w:oddHBand="0" w:evenHBand="0" w:firstRowFirstColumn="0" w:firstRowLastColumn="0" w:lastRowFirstColumn="0" w:lastRowLastColumn="0"/>
              <w:rPr>
                <w:lang w:val="en-GB" w:eastAsia="en-US"/>
              </w:rPr>
            </w:pPr>
            <w:r w:rsidRPr="004471F7">
              <w:rPr>
                <w:lang w:val="en-GB" w:eastAsia="en-US"/>
              </w:rPr>
              <w:t>Com-Default&gt;2yrs:  0.60</w:t>
            </w:r>
          </w:p>
        </w:tc>
        <w:tc>
          <w:tcPr>
            <w:tcW w:w="3456" w:type="dxa"/>
            <w:vMerge w:val="restart"/>
            <w:vAlign w:val="center"/>
          </w:tcPr>
          <w:p w:rsidRPr="004471F7" w:rsidR="000C1D9C" w:rsidP="008631C3" w:rsidRDefault="000C1D9C" w14:paraId="1E8CA3A1" w14:textId="77777777">
            <w:pPr>
              <w:pStyle w:val="NormalinTable"/>
              <w:cnfStyle w:val="000000000000" w:firstRow="0" w:lastRow="0" w:firstColumn="0" w:lastColumn="0" w:oddVBand="0" w:evenVBand="0" w:oddHBand="0" w:evenHBand="0" w:firstRowFirstColumn="0" w:firstRowLastColumn="0" w:lastRowFirstColumn="0" w:lastRowLastColumn="0"/>
              <w:rPr>
                <w:lang w:val="en-GB" w:eastAsia="en-US"/>
              </w:rPr>
            </w:pPr>
            <w:r w:rsidRPr="004471F7">
              <w:rPr>
                <w:lang w:val="en-GB" w:eastAsia="en-US"/>
              </w:rPr>
              <w:t>Shall no longer be used for direct install programs</w:t>
            </w:r>
          </w:p>
        </w:tc>
        <w:tc>
          <w:tcPr>
            <w:tcW w:w="2336" w:type="dxa"/>
            <w:vMerge w:val="restart"/>
            <w:vAlign w:val="center"/>
          </w:tcPr>
          <w:p w:rsidRPr="004471F7" w:rsidR="000C1D9C" w:rsidP="008631C3" w:rsidRDefault="000C1D9C" w14:paraId="146E2D0F" w14:textId="77777777">
            <w:pPr>
              <w:pStyle w:val="NormalinTable"/>
              <w:cnfStyle w:val="000000000000" w:firstRow="0" w:lastRow="0" w:firstColumn="0" w:lastColumn="0" w:oddVBand="0" w:evenVBand="0" w:oddHBand="0" w:evenHBand="0" w:firstRowFirstColumn="0" w:firstRowLastColumn="0" w:lastRowFirstColumn="0" w:lastRowLastColumn="0"/>
              <w:rPr>
                <w:lang w:val="en-GB" w:eastAsia="en-US"/>
              </w:rPr>
            </w:pPr>
            <w:r w:rsidRPr="004471F7">
              <w:rPr>
                <w:lang w:val="en-GB" w:eastAsia="en-US"/>
              </w:rPr>
              <w:t>Com-Default-di:  0.70</w:t>
            </w:r>
          </w:p>
        </w:tc>
      </w:tr>
      <w:tr w:rsidRPr="004471F7" w:rsidR="000C1D9C" w:rsidTr="000C1D9C" w14:paraId="5BAF50A5" w14:textId="77777777">
        <w:trPr>
          <w:trHeight w:val="317"/>
        </w:trPr>
        <w:tc>
          <w:tcPr>
            <w:cnfStyle w:val="001000000000" w:firstRow="0" w:lastRow="0" w:firstColumn="1" w:lastColumn="0" w:oddVBand="0" w:evenVBand="0" w:oddHBand="0" w:evenHBand="0" w:firstRowFirstColumn="0" w:firstRowLastColumn="0" w:lastRowFirstColumn="0" w:lastRowLastColumn="0"/>
            <w:tcW w:w="864" w:type="dxa"/>
            <w:vMerge/>
            <w:vAlign w:val="center"/>
          </w:tcPr>
          <w:p w:rsidRPr="004471F7" w:rsidR="000C1D9C" w:rsidP="008631C3" w:rsidRDefault="000C1D9C" w14:paraId="1EC2B810" w14:textId="77777777">
            <w:pPr>
              <w:pStyle w:val="NormalinTable"/>
              <w:rPr>
                <w:lang w:val="en-GB" w:eastAsia="en-US"/>
              </w:rPr>
            </w:pPr>
          </w:p>
        </w:tc>
        <w:tc>
          <w:tcPr>
            <w:tcW w:w="2846" w:type="dxa"/>
            <w:vAlign w:val="center"/>
          </w:tcPr>
          <w:p w:rsidRPr="004471F7" w:rsidR="000C1D9C" w:rsidP="008631C3" w:rsidRDefault="000C1D9C" w14:paraId="2F1BF6AF" w14:textId="77777777">
            <w:pPr>
              <w:pStyle w:val="NormalinTable"/>
              <w:cnfStyle w:val="000000000000" w:firstRow="0" w:lastRow="0" w:firstColumn="0" w:lastColumn="0" w:oddVBand="0" w:evenVBand="0" w:oddHBand="0" w:evenHBand="0" w:firstRowFirstColumn="0" w:firstRowLastColumn="0" w:lastRowFirstColumn="0" w:lastRowLastColumn="0"/>
              <w:rPr>
                <w:lang w:val="en-GB" w:eastAsia="en-US"/>
              </w:rPr>
            </w:pPr>
            <w:r w:rsidRPr="004471F7">
              <w:rPr>
                <w:lang w:val="en-GB" w:eastAsia="en-US"/>
              </w:rPr>
              <w:t>All-Default&lt;=2yrs:  0.70</w:t>
            </w:r>
          </w:p>
        </w:tc>
        <w:tc>
          <w:tcPr>
            <w:tcW w:w="3456" w:type="dxa"/>
            <w:vMerge/>
            <w:vAlign w:val="center"/>
          </w:tcPr>
          <w:p w:rsidRPr="004471F7" w:rsidR="000C1D9C" w:rsidP="008631C3" w:rsidRDefault="000C1D9C" w14:paraId="5ED36C3E" w14:textId="77777777">
            <w:pPr>
              <w:pStyle w:val="NormalinTable"/>
              <w:cnfStyle w:val="000000000000" w:firstRow="0" w:lastRow="0" w:firstColumn="0" w:lastColumn="0" w:oddVBand="0" w:evenVBand="0" w:oddHBand="0" w:evenHBand="0" w:firstRowFirstColumn="0" w:firstRowLastColumn="0" w:lastRowFirstColumn="0" w:lastRowLastColumn="0"/>
              <w:rPr>
                <w:lang w:val="en-GB" w:eastAsia="en-US"/>
              </w:rPr>
            </w:pPr>
          </w:p>
        </w:tc>
        <w:tc>
          <w:tcPr>
            <w:tcW w:w="2336" w:type="dxa"/>
            <w:vMerge/>
            <w:vAlign w:val="center"/>
          </w:tcPr>
          <w:p w:rsidRPr="004471F7" w:rsidR="000C1D9C" w:rsidP="008631C3" w:rsidRDefault="000C1D9C" w14:paraId="6FEC6A1A" w14:textId="77777777">
            <w:pPr>
              <w:pStyle w:val="NormalinTable"/>
              <w:cnfStyle w:val="000000000000" w:firstRow="0" w:lastRow="0" w:firstColumn="0" w:lastColumn="0" w:oddVBand="0" w:evenVBand="0" w:oddHBand="0" w:evenHBand="0" w:firstRowFirstColumn="0" w:firstRowLastColumn="0" w:lastRowFirstColumn="0" w:lastRowLastColumn="0"/>
              <w:rPr>
                <w:lang w:val="en-GB" w:eastAsia="en-US"/>
              </w:rPr>
            </w:pPr>
          </w:p>
        </w:tc>
      </w:tr>
      <w:tr w:rsidRPr="004471F7" w:rsidR="000C1D9C" w:rsidTr="000C1D9C" w14:paraId="319B6957" w14:textId="77777777">
        <w:trPr>
          <w:trHeight w:val="317"/>
        </w:trPr>
        <w:tc>
          <w:tcPr>
            <w:cnfStyle w:val="001000000000" w:firstRow="0" w:lastRow="0" w:firstColumn="1" w:lastColumn="0" w:oddVBand="0" w:evenVBand="0" w:oddHBand="0" w:evenHBand="0" w:firstRowFirstColumn="0" w:firstRowLastColumn="0" w:lastRowFirstColumn="0" w:lastRowLastColumn="0"/>
            <w:tcW w:w="864" w:type="dxa"/>
            <w:vMerge/>
            <w:vAlign w:val="center"/>
          </w:tcPr>
          <w:p w:rsidRPr="004471F7" w:rsidR="000C1D9C" w:rsidP="008631C3" w:rsidRDefault="000C1D9C" w14:paraId="6FB5A4AD" w14:textId="77777777">
            <w:pPr>
              <w:pStyle w:val="NormalinTable"/>
              <w:rPr>
                <w:lang w:val="en-GB" w:eastAsia="en-US"/>
              </w:rPr>
            </w:pPr>
          </w:p>
        </w:tc>
        <w:tc>
          <w:tcPr>
            <w:tcW w:w="2846" w:type="dxa"/>
            <w:vAlign w:val="center"/>
          </w:tcPr>
          <w:p w:rsidRPr="004471F7" w:rsidR="000C1D9C" w:rsidP="008631C3" w:rsidRDefault="000C1D9C" w14:paraId="267B7FC7" w14:textId="77777777">
            <w:pPr>
              <w:pStyle w:val="NormalinTable"/>
              <w:cnfStyle w:val="000000000000" w:firstRow="0" w:lastRow="0" w:firstColumn="0" w:lastColumn="0" w:oddVBand="0" w:evenVBand="0" w:oddHBand="0" w:evenHBand="0" w:firstRowFirstColumn="0" w:firstRowLastColumn="0" w:lastRowFirstColumn="0" w:lastRowLastColumn="0"/>
              <w:rPr>
                <w:lang w:val="en-GB" w:eastAsia="en-US"/>
              </w:rPr>
            </w:pPr>
            <w:r w:rsidRPr="004471F7">
              <w:rPr>
                <w:lang w:val="en-GB" w:eastAsia="en-US"/>
              </w:rPr>
              <w:t>Com-Default-HTR-di:  0.85</w:t>
            </w:r>
          </w:p>
        </w:tc>
        <w:tc>
          <w:tcPr>
            <w:tcW w:w="3456" w:type="dxa"/>
            <w:vAlign w:val="center"/>
          </w:tcPr>
          <w:p w:rsidRPr="004471F7" w:rsidR="000C1D9C" w:rsidP="008631C3" w:rsidRDefault="000C1D9C" w14:paraId="6AE1C3BE" w14:textId="77777777">
            <w:pPr>
              <w:pStyle w:val="NormalinTable"/>
              <w:cnfStyle w:val="000000000000" w:firstRow="0" w:lastRow="0" w:firstColumn="0" w:lastColumn="0" w:oddVBand="0" w:evenVBand="0" w:oddHBand="0" w:evenHBand="0" w:firstRowFirstColumn="0" w:firstRowLastColumn="0" w:lastRowFirstColumn="0" w:lastRowLastColumn="0"/>
              <w:rPr>
                <w:lang w:val="en-GB" w:eastAsia="en-US"/>
              </w:rPr>
            </w:pPr>
            <w:r w:rsidRPr="004471F7">
              <w:rPr>
                <w:lang w:val="en-GB" w:eastAsia="en-US"/>
              </w:rPr>
              <w:t>Expire</w:t>
            </w:r>
          </w:p>
        </w:tc>
        <w:tc>
          <w:tcPr>
            <w:tcW w:w="2336" w:type="dxa"/>
            <w:vMerge/>
            <w:vAlign w:val="center"/>
          </w:tcPr>
          <w:p w:rsidRPr="004471F7" w:rsidR="000C1D9C" w:rsidP="008631C3" w:rsidRDefault="000C1D9C" w14:paraId="721F30AE" w14:textId="77777777">
            <w:pPr>
              <w:pStyle w:val="NormalinTable"/>
              <w:cnfStyle w:val="000000000000" w:firstRow="0" w:lastRow="0" w:firstColumn="0" w:lastColumn="0" w:oddVBand="0" w:evenVBand="0" w:oddHBand="0" w:evenHBand="0" w:firstRowFirstColumn="0" w:firstRowLastColumn="0" w:lastRowFirstColumn="0" w:lastRowLastColumn="0"/>
              <w:rPr>
                <w:lang w:val="en-GB" w:eastAsia="en-US"/>
              </w:rPr>
            </w:pPr>
          </w:p>
        </w:tc>
      </w:tr>
    </w:tbl>
    <w:p w:rsidRPr="004471F7" w:rsidR="004471F7" w:rsidP="004471F7" w:rsidRDefault="004471F7" w14:paraId="3224F843" w14:textId="77777777"/>
    <w:p w:rsidRPr="00B41358" w:rsidR="003D30B2" w:rsidP="003D30B2" w:rsidRDefault="003D30B2" w14:paraId="4AF8F23C" w14:textId="74D80F4D">
      <w:r>
        <w:t xml:space="preserve">The change to the NTGR for HTR customers does not, however, modify the expectation that programs will continue to serve HTR </w:t>
      </w:r>
      <w:r w:rsidR="00ED6503">
        <w:t xml:space="preserve">customers </w:t>
      </w:r>
      <w:r>
        <w:t>and track which participants are categorized as HTR</w:t>
      </w:r>
      <w:r w:rsidR="006F7D6F">
        <w:t xml:space="preserve"> along with the criteria used to qualify them at HTR</w:t>
      </w:r>
      <w:r>
        <w:t>.</w:t>
      </w:r>
    </w:p>
    <w:p w:rsidRPr="004471F7" w:rsidR="004471F7" w:rsidP="000F6B76" w:rsidRDefault="0040714E" w14:paraId="4F54EB05" w14:textId="4A76181E">
      <w:pPr>
        <w:pStyle w:val="Heading3"/>
      </w:pPr>
      <w:bookmarkStart w:name="_Toc175766058" w:id="167"/>
      <w:bookmarkStart w:name="_Ref100591199" w:id="168"/>
      <w:bookmarkStart w:name="_Toc185271198" w:id="169"/>
      <w:bookmarkEnd w:id="167"/>
      <w:r>
        <w:t>(</w:t>
      </w:r>
      <w:r w:rsidR="00891292">
        <w:t>L</w:t>
      </w:r>
      <w:r>
        <w:t xml:space="preserve">.2) </w:t>
      </w:r>
      <w:r w:rsidRPr="004471F7" w:rsidR="004471F7">
        <w:t>High-SEER Heat Pump and AC Performance Curves</w:t>
      </w:r>
      <w:bookmarkEnd w:id="168"/>
      <w:bookmarkEnd w:id="169"/>
    </w:p>
    <w:p w:rsidRPr="004471F7" w:rsidR="004471F7" w:rsidP="004471F7" w:rsidRDefault="000A1E9A" w14:paraId="07C90001" w14:textId="56A54C76">
      <w:r w:rsidRPr="004471F7">
        <w:rPr>
          <w:u w:val="single"/>
        </w:rPr>
        <w:t>Effective Program Year: 2026.</w:t>
      </w:r>
      <w:r w:rsidRPr="004471F7">
        <w:t xml:space="preserve"> </w:t>
      </w:r>
      <w:r w:rsidRPr="004471F7" w:rsidR="004471F7">
        <w:t xml:space="preserve">Resolution E-5221 requested research to inform revised EnergyPlus performance curves for high SEER inverter-driven heat pumps. The study, titled “Adding SEER2 VCHP Offerings to DEER” and funded by SDG&amp;E, was completed in November 2023. Although the study tried to obtain manufacturer performance data from a wide range of systems, they were only successful at getting sufficient information from two manufacturers: one product line from each. The authors developed performance curves from this data, and ultimately recommended one curve to represent all high-SEER equipment. The curves are very similar to the previous multispeed DEER curves for air conditioner performance (see </w:t>
      </w:r>
      <w:r w:rsidRPr="004471F7" w:rsidR="004471F7">
        <w:fldChar w:fldCharType="begin"/>
      </w:r>
      <w:r w:rsidRPr="004471F7" w:rsidR="004471F7">
        <w:instrText xml:space="preserve"> REF _Ref162907885 \h </w:instrText>
      </w:r>
      <w:r w:rsidR="00894252">
        <w:instrText xml:space="preserve"> \* MERGEFORMAT </w:instrText>
      </w:r>
      <w:r w:rsidRPr="004471F7" w:rsidR="004471F7">
        <w:fldChar w:fldCharType="separate"/>
      </w:r>
      <w:r w:rsidRPr="004471F7" w:rsidR="00E812F0">
        <w:t>Figure</w:t>
      </w:r>
      <w:r w:rsidRPr="00E812F0" w:rsidR="00E812F0">
        <w:rPr>
          <w:b/>
          <w:bCs/>
        </w:rPr>
        <w:t xml:space="preserve"> </w:t>
      </w:r>
      <w:r w:rsidRPr="006F7D6F" w:rsidR="00E812F0">
        <w:rPr>
          <w:noProof/>
          <w:webHidden/>
        </w:rPr>
        <w:t>A-</w:t>
      </w:r>
      <w:r w:rsidR="00E812F0">
        <w:rPr>
          <w:noProof/>
        </w:rPr>
        <w:t>3</w:t>
      </w:r>
      <w:r w:rsidRPr="004471F7" w:rsidR="00E812F0">
        <w:rPr>
          <w:noProof/>
        </w:rPr>
        <w:noBreakHyphen/>
      </w:r>
      <w:r w:rsidR="00E812F0">
        <w:rPr>
          <w:noProof/>
        </w:rPr>
        <w:t>1</w:t>
      </w:r>
      <w:r w:rsidRPr="004471F7" w:rsidR="004471F7">
        <w:fldChar w:fldCharType="end"/>
      </w:r>
      <w:r w:rsidRPr="004471F7" w:rsidR="004471F7">
        <w:t xml:space="preserve">) but differ for heat pump performance (see </w:t>
      </w:r>
      <w:r w:rsidRPr="000E57F9" w:rsidR="004471F7">
        <w:fldChar w:fldCharType="begin"/>
      </w:r>
      <w:r w:rsidRPr="004471F7" w:rsidR="004471F7">
        <w:rPr>
          <w:b/>
          <w:bCs/>
        </w:rPr>
        <w:instrText xml:space="preserve"> REF _Ref162907898 \h </w:instrText>
      </w:r>
      <w:r w:rsidR="00894252">
        <w:rPr>
          <w:b/>
          <w:bCs/>
        </w:rPr>
        <w:instrText xml:space="preserve"> \* MERGEFORMAT </w:instrText>
      </w:r>
      <w:r w:rsidRPr="000E57F9" w:rsidR="004471F7">
        <w:fldChar w:fldCharType="separate"/>
      </w:r>
      <w:r w:rsidRPr="004471F7" w:rsidR="00E812F0">
        <w:t xml:space="preserve">Figure </w:t>
      </w:r>
      <w:r w:rsidRPr="006F7D6F" w:rsidR="00E812F0">
        <w:rPr>
          <w:noProof/>
          <w:webHidden/>
        </w:rPr>
        <w:t>A-</w:t>
      </w:r>
      <w:r w:rsidR="00E812F0">
        <w:rPr>
          <w:noProof/>
        </w:rPr>
        <w:t>3</w:t>
      </w:r>
      <w:r w:rsidRPr="004471F7" w:rsidR="00E812F0">
        <w:rPr>
          <w:noProof/>
        </w:rPr>
        <w:noBreakHyphen/>
      </w:r>
      <w:r w:rsidR="00E812F0">
        <w:rPr>
          <w:noProof/>
        </w:rPr>
        <w:t>2</w:t>
      </w:r>
      <w:r w:rsidRPr="000E57F9" w:rsidR="004471F7">
        <w:fldChar w:fldCharType="end"/>
      </w:r>
      <w:r w:rsidRPr="004471F7" w:rsidR="004471F7">
        <w:t>)</w:t>
      </w:r>
      <w:r w:rsidR="006F7D6F">
        <w:t>.</w:t>
      </w:r>
      <w:r w:rsidRPr="004471F7" w:rsidR="004471F7">
        <w:rPr>
          <w:vertAlign w:val="superscript"/>
        </w:rPr>
        <w:footnoteReference w:id="38"/>
      </w:r>
      <w:r w:rsidRPr="004471F7" w:rsidR="004471F7">
        <w:t xml:space="preserve"> In the new curves heating capacity degrades by only 10% at 32 °F compared to the 20% degradation using the earlier curves. Although it may be true that heat pump heating performance has improved with the introduction of cold climate heat pumps in the past ten years, it is difficult to justify a change to the curves </w:t>
      </w:r>
      <w:r w:rsidR="00323929">
        <w:t xml:space="preserve">for all SEER-rated equipment </w:t>
      </w:r>
      <w:r w:rsidRPr="004471F7" w:rsidR="004471F7">
        <w:t>based on data from such a small number of systems</w:t>
      </w:r>
      <w:r w:rsidR="00551785">
        <w:t xml:space="preserve">, </w:t>
      </w:r>
      <w:r w:rsidR="00435B6F">
        <w:t xml:space="preserve">therefore </w:t>
      </w:r>
      <w:r w:rsidRPr="002066CA" w:rsidR="002066CA">
        <w:t>heat pumps designed for cold weather temperatures</w:t>
      </w:r>
      <w:r w:rsidR="002066CA">
        <w:t xml:space="preserve"> </w:t>
      </w:r>
      <w:r w:rsidRPr="002066CA" w:rsidR="002066CA">
        <w:t>should use different performance curves</w:t>
      </w:r>
      <w:r w:rsidR="00FC102B">
        <w:t xml:space="preserve"> once there is sufficient </w:t>
      </w:r>
      <w:r w:rsidR="00935BBF">
        <w:t xml:space="preserve">data </w:t>
      </w:r>
      <w:r w:rsidR="00FC102B">
        <w:t>obtained to generate</w:t>
      </w:r>
      <w:r w:rsidR="00AB48B2">
        <w:t xml:space="preserve"> curves that have </w:t>
      </w:r>
      <w:r w:rsidR="007572AA">
        <w:t>robustness similar to the existing set</w:t>
      </w:r>
      <w:r w:rsidRPr="004471F7" w:rsidR="004471F7">
        <w:t xml:space="preserve">. </w:t>
      </w:r>
    </w:p>
    <w:p w:rsidRPr="004471F7" w:rsidR="004471F7" w:rsidP="00894252" w:rsidRDefault="004471F7" w14:paraId="4511CA07" w14:textId="0B601641">
      <w:pPr>
        <w:pStyle w:val="Caption"/>
      </w:pPr>
      <w:bookmarkStart w:name="_Ref162907885" w:id="170"/>
      <w:bookmarkStart w:name="_Toc185271238" w:id="171"/>
      <w:r w:rsidRPr="004471F7">
        <w:lastRenderedPageBreak/>
        <w:t xml:space="preserve">Figure </w:t>
      </w:r>
      <w:r w:rsidRPr="006F7D6F" w:rsidR="006F7D6F">
        <w:rPr>
          <w:webHidden/>
        </w:rPr>
        <w:t>A-</w:t>
      </w:r>
      <w:r>
        <w:fldChar w:fldCharType="begin"/>
      </w:r>
      <w:r>
        <w:instrText>STYLEREF 1 \s</w:instrText>
      </w:r>
      <w:r>
        <w:fldChar w:fldCharType="separate"/>
      </w:r>
      <w:r w:rsidR="00E812F0">
        <w:rPr>
          <w:noProof/>
        </w:rPr>
        <w:t>3</w:t>
      </w:r>
      <w:r>
        <w:fldChar w:fldCharType="end"/>
      </w:r>
      <w:r w:rsidRPr="004471F7">
        <w:noBreakHyphen/>
      </w:r>
      <w:r>
        <w:fldChar w:fldCharType="begin"/>
      </w:r>
      <w:r>
        <w:instrText>SEQ Figure \* ARABIC \s 1</w:instrText>
      </w:r>
      <w:r>
        <w:fldChar w:fldCharType="separate"/>
      </w:r>
      <w:r w:rsidR="00E812F0">
        <w:rPr>
          <w:noProof/>
        </w:rPr>
        <w:t>1</w:t>
      </w:r>
      <w:r>
        <w:fldChar w:fldCharType="end"/>
      </w:r>
      <w:bookmarkEnd w:id="170"/>
      <w:r w:rsidRPr="004471F7">
        <w:t>. Cooling performance curves at 75 °F indoor wet bulb</w:t>
      </w:r>
      <w:bookmarkEnd w:id="171"/>
    </w:p>
    <w:p w:rsidRPr="004471F7" w:rsidR="004471F7" w:rsidP="004471F7" w:rsidRDefault="004471F7" w14:paraId="56805A10" w14:textId="77777777">
      <w:r w:rsidRPr="004471F7">
        <w:rPr>
          <w:noProof/>
        </w:rPr>
        <w:drawing>
          <wp:inline distT="0" distB="0" distL="0" distR="0" wp14:anchorId="5B5FFB2A" wp14:editId="0C3353E0">
            <wp:extent cx="6016277" cy="1638300"/>
            <wp:effectExtent l="0" t="0" r="3810" b="0"/>
            <wp:docPr id="1777566536" name="Picture 1" descr="A graph of a graph of a graph of a graph of a graph of a graph of a graph of a graph of a graph of a graph of a graph of a graph of a graph of&#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77566536" name="Picture 1" descr="A graph of a graph of a graph of a graph of a graph of a graph of a graph of a graph of a graph of a graph of a graph of a graph of a graph of&#10;&#10;Description automatically generated"/>
                    <pic:cNvPicPr/>
                  </pic:nvPicPr>
                  <pic:blipFill>
                    <a:blip r:embed="rId16"/>
                    <a:stretch>
                      <a:fillRect/>
                    </a:stretch>
                  </pic:blipFill>
                  <pic:spPr>
                    <a:xfrm>
                      <a:off x="0" y="0"/>
                      <a:ext cx="6022760" cy="1640065"/>
                    </a:xfrm>
                    <a:prstGeom prst="rect">
                      <a:avLst/>
                    </a:prstGeom>
                  </pic:spPr>
                </pic:pic>
              </a:graphicData>
            </a:graphic>
          </wp:inline>
        </w:drawing>
      </w:r>
    </w:p>
    <w:p w:rsidRPr="004471F7" w:rsidR="004471F7" w:rsidP="00894252" w:rsidRDefault="004471F7" w14:paraId="0A055A05" w14:textId="3EED2845">
      <w:pPr>
        <w:pStyle w:val="Caption"/>
      </w:pPr>
      <w:bookmarkStart w:name="_Ref162907898" w:id="172"/>
      <w:bookmarkStart w:name="_Toc185271239" w:id="173"/>
      <w:r w:rsidRPr="004471F7">
        <w:t xml:space="preserve">Figure </w:t>
      </w:r>
      <w:r w:rsidRPr="006F7D6F" w:rsidR="006F7D6F">
        <w:rPr>
          <w:webHidden/>
        </w:rPr>
        <w:t>A-</w:t>
      </w:r>
      <w:r>
        <w:fldChar w:fldCharType="begin"/>
      </w:r>
      <w:r>
        <w:instrText>STYLEREF 1 \s</w:instrText>
      </w:r>
      <w:r>
        <w:fldChar w:fldCharType="separate"/>
      </w:r>
      <w:r w:rsidR="00E812F0">
        <w:rPr>
          <w:noProof/>
        </w:rPr>
        <w:t>3</w:t>
      </w:r>
      <w:r>
        <w:fldChar w:fldCharType="end"/>
      </w:r>
      <w:r w:rsidRPr="004471F7">
        <w:noBreakHyphen/>
      </w:r>
      <w:r>
        <w:fldChar w:fldCharType="begin"/>
      </w:r>
      <w:r>
        <w:instrText>SEQ Figure \* ARABIC \s 1</w:instrText>
      </w:r>
      <w:r>
        <w:fldChar w:fldCharType="separate"/>
      </w:r>
      <w:r w:rsidR="00E812F0">
        <w:rPr>
          <w:noProof/>
        </w:rPr>
        <w:t>2</w:t>
      </w:r>
      <w:r>
        <w:fldChar w:fldCharType="end"/>
      </w:r>
      <w:bookmarkEnd w:id="172"/>
      <w:r w:rsidRPr="004471F7">
        <w:t>. Heating performance curves at 65 °F indoor wet bulb</w:t>
      </w:r>
      <w:bookmarkEnd w:id="173"/>
    </w:p>
    <w:p w:rsidRPr="004471F7" w:rsidR="004471F7" w:rsidP="004471F7" w:rsidRDefault="004471F7" w14:paraId="0A5B255F" w14:textId="77777777">
      <w:r w:rsidRPr="004471F7">
        <w:rPr>
          <w:noProof/>
        </w:rPr>
        <w:drawing>
          <wp:inline distT="0" distB="0" distL="0" distR="0" wp14:anchorId="28257525" wp14:editId="400BCBD5">
            <wp:extent cx="5999745" cy="1684020"/>
            <wp:effectExtent l="0" t="0" r="1270" b="0"/>
            <wp:docPr id="397010164" name="Picture 1" descr="A graph of heat and hea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7010164" name="Picture 1" descr="A graph of heat and heat&#10;&#10;Description automatically generated"/>
                    <pic:cNvPicPr/>
                  </pic:nvPicPr>
                  <pic:blipFill>
                    <a:blip r:embed="rId17"/>
                    <a:stretch>
                      <a:fillRect/>
                    </a:stretch>
                  </pic:blipFill>
                  <pic:spPr>
                    <a:xfrm>
                      <a:off x="0" y="0"/>
                      <a:ext cx="6001801" cy="1684597"/>
                    </a:xfrm>
                    <a:prstGeom prst="rect">
                      <a:avLst/>
                    </a:prstGeom>
                  </pic:spPr>
                </pic:pic>
              </a:graphicData>
            </a:graphic>
          </wp:inline>
        </w:drawing>
      </w:r>
    </w:p>
    <w:p w:rsidRPr="004471F7" w:rsidR="004471F7" w:rsidP="004471F7" w:rsidRDefault="004471F7" w14:paraId="65B55FC9" w14:textId="77777777"/>
    <w:p w:rsidRPr="004471F7" w:rsidR="004471F7" w:rsidP="004471F7" w:rsidRDefault="004471F7" w14:paraId="7A289DA6" w14:textId="6A7D05AB">
      <w:r w:rsidRPr="004471F7">
        <w:t>The previous DEER curves were based on a 2013 NREL report “Improved Modeling of Residential Air Conditioners and Heat Pumps for Energy Calculations.” That report compared lab-test data to manufacturer-reported data and found the manufacturers extended performance table data to be unreliable. Therefore</w:t>
      </w:r>
      <w:r w:rsidR="000E57F9">
        <w:t>,</w:t>
      </w:r>
      <w:r w:rsidRPr="004471F7">
        <w:t xml:space="preserve"> the NREL report based its performance curves on AHRI 210/240 laboratory testing of 460 air conditioner and heat pump systems. Because this older study uses a much more robust dataset, we cannot justify a change to the performance curves based on potentially unreliable manufacturer-reported data from only eight systems.</w:t>
      </w:r>
    </w:p>
    <w:p w:rsidRPr="004471F7" w:rsidR="004471F7" w:rsidP="004471F7" w:rsidRDefault="004471F7" w14:paraId="0334DE46" w14:textId="5110BF5C">
      <w:r w:rsidRPr="004471F7">
        <w:t xml:space="preserve">Although we don’t recommend updating the performance curves at this time, we do agree with the study’s other recommendations. Variable compressor systems should be modeled using the MULTISPEED function in EnergyPlus, setting the number of compressor speeds to 4, and using no cycling losses for speeds 4, 3, and 2. This represents a 4:1 turn-down ratio which was determined for the eight system in this study based on </w:t>
      </w:r>
      <w:r w:rsidR="008F3C7F">
        <w:t>Air-conditioning, Heating, and Refrigeration Institute (</w:t>
      </w:r>
      <w:r w:rsidRPr="004471F7">
        <w:t>AHRI</w:t>
      </w:r>
      <w:r w:rsidR="008F3C7F">
        <w:t>)</w:t>
      </w:r>
      <w:r w:rsidRPr="004471F7">
        <w:t xml:space="preserve"> 210/240 </w:t>
      </w:r>
      <w:r w:rsidRPr="004471F7">
        <w:lastRenderedPageBreak/>
        <w:t>data from the Northeast Energy Efficiency Partnership’s (NEEP’s) cold climate air source heat pump (ccASHP) database.</w:t>
      </w:r>
    </w:p>
    <w:p w:rsidRPr="004471F7" w:rsidR="004471F7" w:rsidP="004471F7" w:rsidRDefault="004471F7" w14:paraId="1E3FC560" w14:textId="77777777">
      <w:r w:rsidRPr="004471F7">
        <w:t>The study also recommends, and we agree, that measure packages include program requirements intended to ensure that the new offerings function correctly.</w:t>
      </w:r>
    </w:p>
    <w:p w:rsidRPr="004471F7" w:rsidR="004471F7" w:rsidP="0072237C" w:rsidRDefault="004471F7" w14:paraId="0F83B239" w14:textId="77777777">
      <w:pPr>
        <w:numPr>
          <w:ilvl w:val="0"/>
          <w:numId w:val="9"/>
        </w:numPr>
      </w:pPr>
      <w:r w:rsidRPr="004471F7">
        <w:t>Require the OEM-recommended controls and thermostats.</w:t>
      </w:r>
    </w:p>
    <w:p w:rsidRPr="004471F7" w:rsidR="004471F7" w:rsidP="0072237C" w:rsidRDefault="004471F7" w14:paraId="4A58DD9E" w14:textId="77777777">
      <w:pPr>
        <w:numPr>
          <w:ilvl w:val="0"/>
          <w:numId w:val="9"/>
        </w:numPr>
      </w:pPr>
      <w:r w:rsidRPr="004471F7">
        <w:t>Outdoor units must be considered capable of “variable capacity” performance (reference the definition we provided in the “Introduction to VCHP Technology” section of this report, based on AHRI 210/240 definitions).</w:t>
      </w:r>
    </w:p>
    <w:p w:rsidRPr="004471F7" w:rsidR="004471F7" w:rsidP="0072237C" w:rsidRDefault="004471F7" w14:paraId="4E3AD6FB" w14:textId="57C70768">
      <w:pPr>
        <w:numPr>
          <w:ilvl w:val="0"/>
          <w:numId w:val="9"/>
        </w:numPr>
      </w:pPr>
      <w:r w:rsidRPr="004471F7">
        <w:t xml:space="preserve">If high efficiency </w:t>
      </w:r>
      <w:r w:rsidR="00B1525E">
        <w:t>air-handling unit (</w:t>
      </w:r>
      <w:r w:rsidRPr="004471F7">
        <w:t>AHU</w:t>
      </w:r>
      <w:r w:rsidR="00B1525E">
        <w:t>)</w:t>
      </w:r>
      <w:r w:rsidRPr="004471F7">
        <w:t xml:space="preserve"> offerings are pursued, consider performance requirements such as an </w:t>
      </w:r>
      <w:r w:rsidR="00B948A2">
        <w:t xml:space="preserve">electronically commutated motor </w:t>
      </w:r>
      <w:r w:rsidR="00594883">
        <w:t>(</w:t>
      </w:r>
      <w:r w:rsidRPr="004471F7">
        <w:t>ECM</w:t>
      </w:r>
      <w:r w:rsidR="00594883">
        <w:t>)</w:t>
      </w:r>
      <w:r w:rsidRPr="004471F7">
        <w:t xml:space="preserve"> or ≥3 fan speed settings.</w:t>
      </w:r>
    </w:p>
    <w:p w:rsidRPr="004471F7" w:rsidR="004471F7" w:rsidP="004471F7" w:rsidRDefault="004471F7" w14:paraId="42563A31" w14:textId="77777777"/>
    <w:p w:rsidRPr="004471F7" w:rsidR="004471F7" w:rsidP="00894252" w:rsidRDefault="0040714E" w14:paraId="01034FEF" w14:textId="6E8564D9">
      <w:pPr>
        <w:pStyle w:val="Heading3"/>
      </w:pPr>
      <w:bookmarkStart w:name="_Toc185271199" w:id="174"/>
      <w:bookmarkStart w:name="_Ref100647002" w:id="175"/>
      <w:bookmarkStart w:name="_Hlk100591576" w:id="176"/>
      <w:r>
        <w:t>(</w:t>
      </w:r>
      <w:r w:rsidR="00463E0C">
        <w:t>L</w:t>
      </w:r>
      <w:r>
        <w:t xml:space="preserve">.3) </w:t>
      </w:r>
      <w:r w:rsidRPr="004471F7" w:rsidR="004471F7">
        <w:t>Boiler Compliance with Condensation of Exhaust Gases and Energy Efficiency</w:t>
      </w:r>
      <w:bookmarkEnd w:id="174"/>
      <w:r w:rsidRPr="004471F7" w:rsidR="004471F7">
        <w:t xml:space="preserve"> </w:t>
      </w:r>
      <w:bookmarkEnd w:id="175"/>
    </w:p>
    <w:bookmarkEnd w:id="176"/>
    <w:p w:rsidRPr="004471F7" w:rsidR="004471F7" w:rsidP="004471F7" w:rsidRDefault="001F45D5" w14:paraId="771E270A" w14:textId="4C3ED017">
      <w:r w:rsidRPr="004471F7">
        <w:rPr>
          <w:u w:val="single"/>
        </w:rPr>
        <w:t>Effective Program Year: 2026.</w:t>
      </w:r>
      <w:r w:rsidRPr="004471F7">
        <w:t xml:space="preserve"> </w:t>
      </w:r>
      <w:r w:rsidRPr="004471F7" w:rsidR="004471F7">
        <w:t>Resolution E-5221 requested research to inform updates to measure packages consisting of condensing boilers. For a boiler to run in condensing mode, the return water temperature must be below 140 °F. CPUC staff has approved measures for condensing boilers, but it is necessary verify that they operate in a mode where the return water temperatures are low enough to allow for condensing of water vapor in the exhaust gases. The study yielded the following key findings:</w:t>
      </w:r>
    </w:p>
    <w:p w:rsidRPr="004471F7" w:rsidR="004471F7" w:rsidP="00894252" w:rsidRDefault="004471F7" w14:paraId="5ACC92B5" w14:textId="77777777">
      <w:pPr>
        <w:pStyle w:val="ListParagraph"/>
      </w:pPr>
      <w:r w:rsidRPr="004471F7">
        <w:t xml:space="preserve">The hot water return temperature must be below 130 °F for condensing boilers to start operating in condensing mode. To achieve the system’s peak or advertised efficiency (e.g., 97% efficiency), a much lower return temperature will be needed. </w:t>
      </w:r>
    </w:p>
    <w:p w:rsidRPr="004471F7" w:rsidR="004471F7" w:rsidP="00894252" w:rsidRDefault="004471F7" w14:paraId="75251AAB" w14:textId="77777777">
      <w:pPr>
        <w:pStyle w:val="ListParagraph"/>
      </w:pPr>
      <w:r w:rsidRPr="004471F7">
        <w:t xml:space="preserve">Supply hot-water temperatures for condensing boiler systems should not exceed 140 °F in order to achieve the low return-water temperature. </w:t>
      </w:r>
    </w:p>
    <w:p w:rsidRPr="004471F7" w:rsidR="004471F7" w:rsidP="00894252" w:rsidRDefault="004471F7" w14:paraId="2B7D080F" w14:textId="77777777">
      <w:pPr>
        <w:pStyle w:val="ListParagraph"/>
      </w:pPr>
      <w:r w:rsidRPr="004471F7">
        <w:t xml:space="preserve">For retrofit projects (replacing boilers only), it is likely that most of the existing end use equipment (e.g., heating coils, radiators, etc.) is not designed for low supply temperatures but is typically designed for a supply temperature of 180 °F. As such, it is very likely that end-user equipment will most likely need to be upgraded or go through extensive commissioning for the new condensing boilers to operate in condensing mode. </w:t>
      </w:r>
    </w:p>
    <w:p w:rsidRPr="004471F7" w:rsidR="004471F7" w:rsidP="00894252" w:rsidRDefault="004471F7" w14:paraId="76AAFDB0" w14:textId="77777777">
      <w:pPr>
        <w:pStyle w:val="ListParagraph"/>
      </w:pPr>
      <w:r w:rsidRPr="004471F7">
        <w:lastRenderedPageBreak/>
        <w:t xml:space="preserve">Condensing boilers in retrofit systems are expected to operate in condensing mode less than 50% of the time. New construction systems can be expected to condense greater than 90% of the time given that they are designed for condensing operation. </w:t>
      </w:r>
    </w:p>
    <w:p w:rsidRPr="004471F7" w:rsidR="004471F7" w:rsidP="00894252" w:rsidRDefault="004471F7" w14:paraId="18D34BC4" w14:textId="77777777">
      <w:pPr>
        <w:pStyle w:val="ListParagraph"/>
      </w:pPr>
      <w:r w:rsidRPr="004471F7">
        <w:t>Boiler outside-air reset control is a standard feature with condensing boilers. 2022 CA Title 24 code requires new hydronic systems larger than 500,000 Btu/h to include reset temperature control. Typical boiler reset temperature has a delta-T range of 20 °F – 60 °F.</w:t>
      </w:r>
    </w:p>
    <w:p w:rsidRPr="004471F7" w:rsidR="004471F7" w:rsidP="004471F7" w:rsidRDefault="004471F7" w14:paraId="7D0E575F" w14:textId="5A6EB6EB"/>
    <w:p w:rsidRPr="004471F7" w:rsidR="004471F7" w:rsidP="00222BCF" w:rsidRDefault="0038024D" w14:paraId="2A3AC80E" w14:textId="573B479C">
      <w:pPr>
        <w:pStyle w:val="Heading2"/>
      </w:pPr>
      <w:bookmarkStart w:name="_Toc185271200" w:id="177"/>
      <w:r>
        <w:t>(</w:t>
      </w:r>
      <w:r w:rsidR="00463E0C">
        <w:t>M</w:t>
      </w:r>
      <w:r>
        <w:t xml:space="preserve">) </w:t>
      </w:r>
      <w:r w:rsidRPr="004471F7" w:rsidR="004471F7">
        <w:t xml:space="preserve">Guidance from </w:t>
      </w:r>
      <w:r w:rsidR="00462044">
        <w:t xml:space="preserve">Review of </w:t>
      </w:r>
      <w:r w:rsidR="006E0F08">
        <w:t>PY</w:t>
      </w:r>
      <w:r w:rsidRPr="004471F7" w:rsidR="004471F7">
        <w:t>202</w:t>
      </w:r>
      <w:r w:rsidR="006E0F08">
        <w:t>1 and PY2022</w:t>
      </w:r>
      <w:r w:rsidRPr="004471F7" w:rsidR="004471F7">
        <w:t xml:space="preserve"> EM&amp;V </w:t>
      </w:r>
      <w:r w:rsidR="006E0F08">
        <w:t>Reports for Deemed Measure Claims</w:t>
      </w:r>
      <w:bookmarkEnd w:id="177"/>
    </w:p>
    <w:p w:rsidR="00587056" w:rsidP="00587056" w:rsidRDefault="004471F7" w14:paraId="121546B8" w14:textId="4B578ECE">
      <w:r w:rsidRPr="004471F7">
        <w:rPr>
          <w:u w:val="single"/>
        </w:rPr>
        <w:t>Effective Program Year: 2026</w:t>
      </w:r>
      <w:r w:rsidRPr="004471F7">
        <w:t>. EM&amp;V market sector evaluation results and/or special studies will continue to be some of the primary sources for DEER measure and measure package updates. Evaluation results with sufficient rigor and precision will be used to update DEER and measure package assumptions. Parameters in need of data to reduce uncertainty or increase accuracy will also be identified and fed back into the next EM&amp;V cycle. Th</w:t>
      </w:r>
      <w:r w:rsidR="001064A3">
        <w:t xml:space="preserve">is review </w:t>
      </w:r>
      <w:r w:rsidRPr="004471F7">
        <w:t xml:space="preserve">is focused on </w:t>
      </w:r>
      <w:r w:rsidR="001064A3">
        <w:t xml:space="preserve">evaluations of </w:t>
      </w:r>
      <w:r w:rsidRPr="004471F7">
        <w:t>PY2021 and PY2022 claims</w:t>
      </w:r>
      <w:r w:rsidR="002E29D7">
        <w:t xml:space="preserve"> from the following studies:</w:t>
      </w:r>
    </w:p>
    <w:bookmarkStart w:name="_Hlk161148269" w:id="178"/>
    <w:p w:rsidRPr="004471F7" w:rsidR="004471F7" w:rsidP="0072237C" w:rsidRDefault="004471F7" w14:paraId="6C5C5326" w14:textId="22E04DD7">
      <w:pPr>
        <w:pStyle w:val="ListParagraph"/>
        <w:numPr>
          <w:ilvl w:val="0"/>
          <w:numId w:val="10"/>
        </w:numPr>
      </w:pPr>
      <w:r w:rsidRPr="004471F7">
        <w:fldChar w:fldCharType="begin"/>
      </w:r>
      <w:r w:rsidRPr="004471F7">
        <w:instrText>HYPERLINK "https://pda.energydataweb.com/" \l "!/documents/3909/view"</w:instrText>
      </w:r>
      <w:r w:rsidRPr="004471F7">
        <w:fldChar w:fldCharType="separate"/>
      </w:r>
      <w:r w:rsidRPr="004471F7">
        <w:rPr>
          <w:rStyle w:val="Hyperlink"/>
        </w:rPr>
        <w:t>Comfortably California HVAC Statewide Third-Party Program Evaluation, Program Year 2021</w:t>
      </w:r>
      <w:r w:rsidRPr="004471F7">
        <w:fldChar w:fldCharType="end"/>
      </w:r>
    </w:p>
    <w:p w:rsidRPr="004471F7" w:rsidR="004471F7" w:rsidP="0072237C" w:rsidRDefault="004471F7" w14:paraId="2CEEC394" w14:textId="15E11C0F">
      <w:pPr>
        <w:pStyle w:val="ListParagraph"/>
        <w:numPr>
          <w:ilvl w:val="0"/>
          <w:numId w:val="10"/>
        </w:numPr>
      </w:pPr>
      <w:hyperlink w:history="1" w:anchor="!/documents/3868/view" r:id="rId18">
        <w:r w:rsidRPr="004471F7">
          <w:rPr>
            <w:rStyle w:val="Hyperlink"/>
          </w:rPr>
          <w:t>Foodservice Instant Rebates Statewide Third-Party Program Evaluation, Program Year 2021</w:t>
        </w:r>
      </w:hyperlink>
    </w:p>
    <w:p w:rsidRPr="00585BB7" w:rsidR="004471F7" w:rsidP="0072237C" w:rsidRDefault="00585BB7" w14:paraId="3EE1E2B6" w14:textId="6C932925">
      <w:pPr>
        <w:pStyle w:val="ListParagraph"/>
        <w:numPr>
          <w:ilvl w:val="0"/>
          <w:numId w:val="10"/>
        </w:numPr>
        <w:rPr>
          <w:rStyle w:val="Hyperlink"/>
        </w:rPr>
      </w:pPr>
      <w:r>
        <w:fldChar w:fldCharType="begin"/>
      </w:r>
      <w:r>
        <w:instrText>HYPERLINK "https://pda.energydataweb.com/" \l "!/documents/3862/view"</w:instrText>
      </w:r>
      <w:r>
        <w:fldChar w:fldCharType="separate"/>
      </w:r>
      <w:r w:rsidRPr="00585BB7" w:rsidR="004471F7">
        <w:rPr>
          <w:rStyle w:val="Hyperlink"/>
        </w:rPr>
        <w:t>PY2021 MCE Impact Evaluation Final Report</w:t>
      </w:r>
    </w:p>
    <w:p w:rsidRPr="004471F7" w:rsidR="004471F7" w:rsidP="0072237C" w:rsidRDefault="00585BB7" w14:paraId="3369FC96" w14:textId="2A96DB3F">
      <w:pPr>
        <w:pStyle w:val="ListParagraph"/>
        <w:numPr>
          <w:ilvl w:val="0"/>
          <w:numId w:val="10"/>
        </w:numPr>
      </w:pPr>
      <w:r>
        <w:fldChar w:fldCharType="end"/>
      </w:r>
      <w:hyperlink w:history="1" w:anchor="!/documents/2810/view" r:id="rId19">
        <w:r w:rsidRPr="004471F7" w:rsidR="004471F7">
          <w:rPr>
            <w:rStyle w:val="Hyperlink"/>
          </w:rPr>
          <w:t>Program Year 2021 Residential Energy Efficiency Impact Evaluation</w:t>
        </w:r>
      </w:hyperlink>
    </w:p>
    <w:p w:rsidRPr="004471F7" w:rsidR="004471F7" w:rsidP="0072237C" w:rsidRDefault="004471F7" w14:paraId="040BD88B" w14:textId="72CF4F3C">
      <w:pPr>
        <w:pStyle w:val="ListParagraph"/>
        <w:numPr>
          <w:ilvl w:val="0"/>
          <w:numId w:val="10"/>
        </w:numPr>
      </w:pPr>
      <w:hyperlink w:history="1" w:anchor="!/documents/2806/view" r:id="rId20">
        <w:r w:rsidRPr="004471F7">
          <w:rPr>
            <w:rStyle w:val="Hyperlink"/>
          </w:rPr>
          <w:t>CPUC Group A Residential Direct Install Program Final Impact Evaluation - Program Year 2021</w:t>
        </w:r>
      </w:hyperlink>
    </w:p>
    <w:p w:rsidRPr="004471F7" w:rsidR="004471F7" w:rsidP="0072237C" w:rsidRDefault="004471F7" w14:paraId="557EFC00" w14:textId="59155BE7">
      <w:pPr>
        <w:pStyle w:val="ListParagraph"/>
        <w:numPr>
          <w:ilvl w:val="0"/>
          <w:numId w:val="10"/>
        </w:numPr>
      </w:pPr>
      <w:hyperlink w:history="1" w:anchor="!/documents/2802/view" r:id="rId21">
        <w:r w:rsidRPr="004471F7">
          <w:rPr>
            <w:rStyle w:val="Hyperlink"/>
          </w:rPr>
          <w:t>CPUC Group A Local Third-Party Programs PY2021 - Final Impact Evaluation Report</w:t>
        </w:r>
      </w:hyperlink>
    </w:p>
    <w:p w:rsidRPr="004471F7" w:rsidR="004471F7" w:rsidP="0072237C" w:rsidRDefault="004471F7" w14:paraId="03966BFD" w14:textId="20E8FEF4">
      <w:pPr>
        <w:pStyle w:val="ListParagraph"/>
        <w:numPr>
          <w:ilvl w:val="0"/>
          <w:numId w:val="10"/>
        </w:numPr>
      </w:pPr>
      <w:hyperlink w:history="1" w:anchor="!/documents/2798/view" r:id="rId22">
        <w:r w:rsidRPr="004471F7">
          <w:rPr>
            <w:rStyle w:val="Hyperlink"/>
          </w:rPr>
          <w:t>CPUC Group A Impact Evaluation of Southern California Edison's Plug Load and Appliance Program, Program Year 2021</w:t>
        </w:r>
      </w:hyperlink>
      <w:bookmarkEnd w:id="178"/>
    </w:p>
    <w:p w:rsidRPr="004471F7" w:rsidR="004471F7" w:rsidP="0072237C" w:rsidRDefault="004471F7" w14:paraId="3CB9702C" w14:textId="2D64473C">
      <w:pPr>
        <w:pStyle w:val="ListParagraph"/>
        <w:numPr>
          <w:ilvl w:val="0"/>
          <w:numId w:val="10"/>
        </w:numPr>
      </w:pPr>
      <w:hyperlink w:history="1" w:anchor="!/documents/3934/view" r:id="rId23">
        <w:r w:rsidRPr="004471F7">
          <w:rPr>
            <w:rStyle w:val="Hyperlink"/>
          </w:rPr>
          <w:t>Local Third-Party Programs Impact Evaluation, Program Year 2022</w:t>
        </w:r>
      </w:hyperlink>
    </w:p>
    <w:p w:rsidRPr="004471F7" w:rsidR="004471F7" w:rsidP="0072237C" w:rsidRDefault="004471F7" w14:paraId="311128B8" w14:textId="5270580E">
      <w:pPr>
        <w:pStyle w:val="ListParagraph"/>
        <w:numPr>
          <w:ilvl w:val="0"/>
          <w:numId w:val="10"/>
        </w:numPr>
      </w:pPr>
      <w:hyperlink w:history="1" w:anchor="!/documents/3941/view" r:id="rId24">
        <w:r w:rsidRPr="004471F7">
          <w:rPr>
            <w:rStyle w:val="Hyperlink"/>
          </w:rPr>
          <w:t>Regional Energy Network Evaluation, Program Year 2022</w:t>
        </w:r>
      </w:hyperlink>
    </w:p>
    <w:p w:rsidRPr="004471F7" w:rsidR="004471F7" w:rsidP="0072237C" w:rsidRDefault="004471F7" w14:paraId="7A53E16C" w14:textId="7A051FC9">
      <w:pPr>
        <w:pStyle w:val="ListParagraph"/>
        <w:numPr>
          <w:ilvl w:val="0"/>
          <w:numId w:val="10"/>
        </w:numPr>
      </w:pPr>
      <w:hyperlink w:history="1" w:anchor="!/documents/3992/view" r:id="rId25">
        <w:r w:rsidRPr="00C854CE">
          <w:rPr>
            <w:rStyle w:val="Hyperlink"/>
          </w:rPr>
          <w:t>Third-Party Commercial Programs Impact Evaluation Program Year 2022</w:t>
        </w:r>
      </w:hyperlink>
    </w:p>
    <w:p w:rsidRPr="004471F7" w:rsidR="004471F7" w:rsidP="004471F7" w:rsidRDefault="004471F7" w14:paraId="7EFBF07B" w14:textId="77777777"/>
    <w:p w:rsidRPr="004471F7" w:rsidR="004471F7" w:rsidP="004471F7" w:rsidRDefault="004471F7" w14:paraId="22458F74" w14:textId="67E125B7">
      <w:r w:rsidRPr="004471F7">
        <w:t xml:space="preserve">CPUC staff has examined the </w:t>
      </w:r>
      <w:r w:rsidR="00917B32">
        <w:t xml:space="preserve">2021 and </w:t>
      </w:r>
      <w:r w:rsidRPr="004471F7">
        <w:t xml:space="preserve">2022 EM&amp;V final impact evaluation reports and other studies to identify findings that may result in updates to deemed measure parameters and/or savings estimation approaches. </w:t>
      </w:r>
    </w:p>
    <w:p w:rsidRPr="004471F7" w:rsidR="004471F7" w:rsidP="004471F7" w:rsidRDefault="004471F7" w14:paraId="619D16DA" w14:textId="6543E48D">
      <w:r w:rsidRPr="004471F7">
        <w:t xml:space="preserve">The list of studies reviewed is provided in </w:t>
      </w:r>
      <w:r w:rsidRPr="004471F7">
        <w:fldChar w:fldCharType="begin"/>
      </w:r>
      <w:r w:rsidRPr="004471F7">
        <w:instrText xml:space="preserve"> REF _Ref97577285 \h </w:instrText>
      </w:r>
      <w:r w:rsidR="00222BCF">
        <w:instrText xml:space="preserve"> \* MERGEFORMAT </w:instrText>
      </w:r>
      <w:r w:rsidRPr="004471F7">
        <w:fldChar w:fldCharType="separate"/>
      </w:r>
      <w:r w:rsidRPr="004471F7" w:rsidR="00E812F0">
        <w:t xml:space="preserve">Table </w:t>
      </w:r>
      <w:r w:rsidRPr="006F7D6F" w:rsidR="00E812F0">
        <w:rPr>
          <w:noProof/>
          <w:webHidden/>
        </w:rPr>
        <w:t>A-</w:t>
      </w:r>
      <w:r w:rsidR="00E812F0">
        <w:rPr>
          <w:noProof/>
        </w:rPr>
        <w:t>3</w:t>
      </w:r>
      <w:r w:rsidRPr="004471F7" w:rsidR="00E812F0">
        <w:rPr>
          <w:noProof/>
        </w:rPr>
        <w:noBreakHyphen/>
      </w:r>
      <w:r w:rsidR="00E812F0">
        <w:rPr>
          <w:noProof/>
        </w:rPr>
        <w:t>5</w:t>
      </w:r>
      <w:r w:rsidRPr="004471F7">
        <w:fldChar w:fldCharType="end"/>
      </w:r>
      <w:r w:rsidRPr="004471F7">
        <w:t xml:space="preserve"> along with links to where they are stored on the Energy Project Status Reporting System. Also, a complete list of the studies to consider is provided in Appendix E of the CPUC’s 2019-2021 EM&amp;V Plan and the Energy Project Status Reporting System.</w:t>
      </w:r>
      <w:r w:rsidRPr="004471F7">
        <w:rPr>
          <w:vertAlign w:val="superscript"/>
        </w:rPr>
        <w:footnoteReference w:id="39"/>
      </w:r>
      <w:r w:rsidRPr="004471F7">
        <w:t xml:space="preserve"> </w:t>
      </w:r>
    </w:p>
    <w:p w:rsidRPr="004471F7" w:rsidR="004471F7" w:rsidP="00222BCF" w:rsidRDefault="004471F7" w14:paraId="62828E7F" w14:textId="0B2BDC52">
      <w:pPr>
        <w:pStyle w:val="Caption"/>
      </w:pPr>
      <w:bookmarkStart w:name="_Ref97577285" w:id="179"/>
      <w:bookmarkStart w:name="_Toc185273173" w:id="180"/>
      <w:r w:rsidRPr="004471F7">
        <w:t xml:space="preserve">Table </w:t>
      </w:r>
      <w:r w:rsidRPr="006F7D6F" w:rsidR="006F7D6F">
        <w:rPr>
          <w:webHidden/>
        </w:rPr>
        <w:t>A-</w:t>
      </w:r>
      <w:r>
        <w:fldChar w:fldCharType="begin"/>
      </w:r>
      <w:r>
        <w:instrText>STYLEREF 1 \s</w:instrText>
      </w:r>
      <w:r>
        <w:fldChar w:fldCharType="separate"/>
      </w:r>
      <w:r w:rsidR="00E812F0">
        <w:rPr>
          <w:noProof/>
        </w:rPr>
        <w:t>3</w:t>
      </w:r>
      <w:r>
        <w:fldChar w:fldCharType="end"/>
      </w:r>
      <w:r w:rsidRPr="004471F7">
        <w:noBreakHyphen/>
      </w:r>
      <w:r>
        <w:fldChar w:fldCharType="begin"/>
      </w:r>
      <w:r>
        <w:instrText>SEQ Table \* ARABIC \s 1</w:instrText>
      </w:r>
      <w:r>
        <w:fldChar w:fldCharType="separate"/>
      </w:r>
      <w:r w:rsidR="00E812F0">
        <w:rPr>
          <w:noProof/>
        </w:rPr>
        <w:t>5</w:t>
      </w:r>
      <w:r>
        <w:fldChar w:fldCharType="end"/>
      </w:r>
      <w:bookmarkEnd w:id="179"/>
      <w:r w:rsidRPr="004471F7">
        <w:t>. Final EM&amp;V Studies Reviewed</w:t>
      </w:r>
      <w:bookmarkEnd w:id="180"/>
    </w:p>
    <w:tbl>
      <w:tblPr>
        <w:tblW w:w="5291" w:type="pct"/>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bottom w:w="14" w:type="dxa"/>
          <w:right w:w="158" w:type="dxa"/>
        </w:tblCellMar>
        <w:tblLook w:val="04A0" w:firstRow="1" w:lastRow="0" w:firstColumn="1" w:lastColumn="0" w:noHBand="0" w:noVBand="1"/>
      </w:tblPr>
      <w:tblGrid>
        <w:gridCol w:w="849"/>
        <w:gridCol w:w="3016"/>
        <w:gridCol w:w="6029"/>
      </w:tblGrid>
      <w:tr w:rsidRPr="00F553AA" w:rsidR="004471F7" w:rsidTr="009F155D" w14:paraId="435A9F80" w14:textId="77777777">
        <w:trPr>
          <w:cantSplit/>
          <w:trHeight w:val="399"/>
          <w:tblHeader/>
        </w:trPr>
        <w:tc>
          <w:tcPr>
            <w:tcW w:w="429" w:type="pct"/>
            <w:tcBorders>
              <w:top w:val="single" w:color="auto" w:sz="4" w:space="0"/>
              <w:left w:val="single" w:color="auto" w:sz="4" w:space="0"/>
              <w:right w:val="single" w:color="auto" w:sz="4" w:space="0"/>
            </w:tcBorders>
            <w:vAlign w:val="bottom"/>
          </w:tcPr>
          <w:p w:rsidRPr="00F553AA" w:rsidR="004471F7" w:rsidP="00222BCF" w:rsidRDefault="004471F7" w14:paraId="45A18E28" w14:textId="77777777">
            <w:pPr>
              <w:pStyle w:val="NormalinTable"/>
              <w:rPr>
                <w:b/>
                <w:bCs/>
              </w:rPr>
            </w:pPr>
            <w:r w:rsidRPr="00F553AA">
              <w:rPr>
                <w:b/>
                <w:bCs/>
              </w:rPr>
              <w:t>Study</w:t>
            </w:r>
          </w:p>
        </w:tc>
        <w:tc>
          <w:tcPr>
            <w:tcW w:w="1524" w:type="pct"/>
            <w:tcBorders>
              <w:top w:val="single" w:color="auto" w:sz="4" w:space="0"/>
              <w:left w:val="single" w:color="auto" w:sz="4" w:space="0"/>
              <w:right w:val="single" w:color="auto" w:sz="4" w:space="0"/>
            </w:tcBorders>
            <w:vAlign w:val="bottom"/>
          </w:tcPr>
          <w:p w:rsidRPr="00F553AA" w:rsidR="004471F7" w:rsidP="00222BCF" w:rsidRDefault="004471F7" w14:paraId="61D75D36" w14:textId="77777777">
            <w:pPr>
              <w:pStyle w:val="NormalinTable"/>
              <w:rPr>
                <w:b/>
                <w:bCs/>
              </w:rPr>
            </w:pPr>
            <w:r w:rsidRPr="00F553AA">
              <w:rPr>
                <w:b/>
                <w:bCs/>
              </w:rPr>
              <w:t>Study Title (with link)</w:t>
            </w:r>
          </w:p>
        </w:tc>
        <w:tc>
          <w:tcPr>
            <w:tcW w:w="3047" w:type="pct"/>
            <w:tcBorders>
              <w:top w:val="single" w:color="auto" w:sz="4" w:space="0"/>
              <w:left w:val="single" w:color="auto" w:sz="4" w:space="0"/>
              <w:right w:val="single" w:color="auto" w:sz="4" w:space="0"/>
            </w:tcBorders>
            <w:vAlign w:val="bottom"/>
          </w:tcPr>
          <w:p w:rsidRPr="00F553AA" w:rsidR="004471F7" w:rsidP="00222BCF" w:rsidRDefault="004471F7" w14:paraId="1E1FC1CD" w14:textId="77777777">
            <w:pPr>
              <w:pStyle w:val="NormalinTable"/>
              <w:rPr>
                <w:b/>
                <w:bCs/>
              </w:rPr>
            </w:pPr>
            <w:r w:rsidRPr="00F553AA">
              <w:rPr>
                <w:b/>
                <w:bCs/>
              </w:rPr>
              <w:t>Evaluated PY2021 or PY2022 Measures</w:t>
            </w:r>
          </w:p>
        </w:tc>
      </w:tr>
      <w:tr w:rsidRPr="004471F7" w:rsidR="004471F7" w:rsidTr="009F155D" w14:paraId="2FC3E66E" w14:textId="77777777">
        <w:trPr>
          <w:cantSplit/>
          <w:trHeight w:val="864"/>
        </w:trPr>
        <w:tc>
          <w:tcPr>
            <w:tcW w:w="429" w:type="pct"/>
            <w:tcBorders>
              <w:top w:val="single" w:color="auto" w:sz="4" w:space="0"/>
              <w:left w:val="single" w:color="auto" w:sz="4" w:space="0"/>
              <w:bottom w:val="single" w:color="auto" w:sz="4" w:space="0"/>
              <w:right w:val="single" w:color="auto" w:sz="4" w:space="0"/>
            </w:tcBorders>
          </w:tcPr>
          <w:p w:rsidRPr="004471F7" w:rsidR="004471F7" w:rsidP="00222BCF" w:rsidRDefault="004471F7" w14:paraId="06A5DD07" w14:textId="77777777">
            <w:pPr>
              <w:pStyle w:val="NormalinTable"/>
            </w:pPr>
            <w:r w:rsidRPr="004471F7">
              <w:t>1</w:t>
            </w:r>
          </w:p>
        </w:tc>
        <w:tc>
          <w:tcPr>
            <w:tcW w:w="1524" w:type="pct"/>
            <w:tcBorders>
              <w:top w:val="single" w:color="auto" w:sz="4" w:space="0"/>
              <w:left w:val="single" w:color="auto" w:sz="4" w:space="0"/>
              <w:bottom w:val="single" w:color="auto" w:sz="4" w:space="0"/>
              <w:right w:val="single" w:color="auto" w:sz="4" w:space="0"/>
            </w:tcBorders>
          </w:tcPr>
          <w:p w:rsidRPr="00FC1212" w:rsidR="004471F7" w:rsidP="00222BCF" w:rsidRDefault="004471F7" w14:paraId="241CFBC2" w14:textId="7F1FF444">
            <w:pPr>
              <w:pStyle w:val="NormalinTable"/>
              <w:rPr>
                <w:rFonts w:cstheme="minorHAnsi"/>
              </w:rPr>
            </w:pPr>
            <w:hyperlink w:history="1" w:anchor="!/documents/3909/view" r:id="rId26">
              <w:r w:rsidRPr="00FC1212">
                <w:rPr>
                  <w:rStyle w:val="Hyperlink"/>
                  <w:rFonts w:asciiTheme="minorHAnsi" w:hAnsiTheme="minorHAnsi" w:cstheme="minorHAnsi"/>
                </w:rPr>
                <w:t>Comfortably California HVAC Statewide Third-Party Program Evaluation, Program Year 2021</w:t>
              </w:r>
            </w:hyperlink>
          </w:p>
        </w:tc>
        <w:tc>
          <w:tcPr>
            <w:tcW w:w="3047" w:type="pct"/>
            <w:tcBorders>
              <w:top w:val="single" w:color="auto" w:sz="4" w:space="0"/>
              <w:left w:val="single" w:color="auto" w:sz="4" w:space="0"/>
              <w:bottom w:val="single" w:color="auto" w:sz="4" w:space="0"/>
              <w:right w:val="single" w:color="auto" w:sz="4" w:space="0"/>
            </w:tcBorders>
          </w:tcPr>
          <w:p w:rsidRPr="004471F7" w:rsidR="004471F7" w:rsidP="00222BCF" w:rsidRDefault="004471F7" w14:paraId="06F30D62" w14:textId="77777777">
            <w:pPr>
              <w:pStyle w:val="NormalinTable"/>
            </w:pPr>
            <w:r w:rsidRPr="004471F7">
              <w:t>SWHC001 – Wall Furnace, Residential</w:t>
            </w:r>
          </w:p>
          <w:p w:rsidRPr="004471F7" w:rsidR="004471F7" w:rsidP="00222BCF" w:rsidRDefault="004471F7" w14:paraId="35551C27" w14:textId="77777777">
            <w:pPr>
              <w:pStyle w:val="NormalinTable"/>
            </w:pPr>
            <w:r w:rsidRPr="004471F7">
              <w:t>SWHC004 – Space Heating Boiler, Commercial &amp; Multifamily</w:t>
            </w:r>
          </w:p>
          <w:p w:rsidRPr="004471F7" w:rsidR="004471F7" w:rsidP="00222BCF" w:rsidRDefault="004471F7" w14:paraId="1D25DCD0" w14:textId="77777777">
            <w:pPr>
              <w:pStyle w:val="NormalinTable"/>
            </w:pPr>
            <w:r w:rsidRPr="004471F7">
              <w:t>SWHC013 – Unitary Air-Cooled Air Conditioner Over 65 kBtu/hr, Commercial</w:t>
            </w:r>
          </w:p>
          <w:p w:rsidRPr="004471F7" w:rsidR="004471F7" w:rsidP="00222BCF" w:rsidRDefault="004471F7" w14:paraId="5094C678" w14:textId="77777777">
            <w:pPr>
              <w:pStyle w:val="NormalinTable"/>
            </w:pPr>
            <w:r w:rsidRPr="004471F7">
              <w:t>SWHC014 – Unitary Air-Cooled Air Conditioner or HP Under 65 kBtu/hr, Commercial</w:t>
            </w:r>
          </w:p>
          <w:p w:rsidRPr="004471F7" w:rsidR="004471F7" w:rsidP="00222BCF" w:rsidRDefault="004471F7" w14:paraId="768EB831" w14:textId="77777777">
            <w:pPr>
              <w:pStyle w:val="NormalinTable"/>
            </w:pPr>
            <w:r w:rsidRPr="004471F7">
              <w:t>SWHC031 – Furnace, Residential</w:t>
            </w:r>
          </w:p>
          <w:p w:rsidRPr="004471F7" w:rsidR="004471F7" w:rsidP="00222BCF" w:rsidRDefault="004471F7" w14:paraId="5C3D1E65" w14:textId="77777777">
            <w:pPr>
              <w:pStyle w:val="NormalinTable"/>
            </w:pPr>
            <w:r w:rsidRPr="004471F7">
              <w:t>SWHC049 – SEER Rated AC and HP HVAC Equipment, Residential</w:t>
            </w:r>
          </w:p>
        </w:tc>
      </w:tr>
      <w:tr w:rsidRPr="004471F7" w:rsidR="004471F7" w:rsidTr="009F155D" w14:paraId="235A3326" w14:textId="77777777">
        <w:trPr>
          <w:cantSplit/>
        </w:trPr>
        <w:tc>
          <w:tcPr>
            <w:tcW w:w="429" w:type="pct"/>
            <w:tcBorders>
              <w:top w:val="single" w:color="auto" w:sz="4" w:space="0"/>
              <w:left w:val="single" w:color="auto" w:sz="4" w:space="0"/>
              <w:bottom w:val="single" w:color="auto" w:sz="4" w:space="0"/>
              <w:right w:val="single" w:color="auto" w:sz="4" w:space="0"/>
            </w:tcBorders>
          </w:tcPr>
          <w:p w:rsidRPr="004471F7" w:rsidR="004471F7" w:rsidP="00222BCF" w:rsidRDefault="004471F7" w14:paraId="096BC65B" w14:textId="77777777">
            <w:pPr>
              <w:pStyle w:val="NormalinTable"/>
            </w:pPr>
            <w:r w:rsidRPr="004471F7">
              <w:lastRenderedPageBreak/>
              <w:t>2</w:t>
            </w:r>
          </w:p>
        </w:tc>
        <w:tc>
          <w:tcPr>
            <w:tcW w:w="1524" w:type="pct"/>
            <w:tcBorders>
              <w:top w:val="single" w:color="auto" w:sz="4" w:space="0"/>
              <w:left w:val="single" w:color="auto" w:sz="4" w:space="0"/>
              <w:bottom w:val="single" w:color="auto" w:sz="4" w:space="0"/>
              <w:right w:val="single" w:color="auto" w:sz="4" w:space="0"/>
            </w:tcBorders>
          </w:tcPr>
          <w:p w:rsidRPr="00FC1212" w:rsidR="004471F7" w:rsidP="00222BCF" w:rsidRDefault="004471F7" w14:paraId="06A553F9" w14:textId="578093D2">
            <w:pPr>
              <w:pStyle w:val="NormalinTable"/>
              <w:rPr>
                <w:rFonts w:cstheme="minorHAnsi"/>
              </w:rPr>
            </w:pPr>
            <w:hyperlink w:history="1" w:anchor="!/documents/3868/view" r:id="rId27">
              <w:r w:rsidRPr="00FC1212">
                <w:rPr>
                  <w:rStyle w:val="Hyperlink"/>
                  <w:rFonts w:asciiTheme="minorHAnsi" w:hAnsiTheme="minorHAnsi" w:cstheme="minorHAnsi"/>
                </w:rPr>
                <w:t>Foodservice Instant Rebates Statewide Third-Party Program Evaluation, Program Year 2021</w:t>
              </w:r>
            </w:hyperlink>
          </w:p>
        </w:tc>
        <w:tc>
          <w:tcPr>
            <w:tcW w:w="3047" w:type="pct"/>
            <w:tcBorders>
              <w:top w:val="single" w:color="auto" w:sz="4" w:space="0"/>
              <w:left w:val="single" w:color="auto" w:sz="4" w:space="0"/>
              <w:bottom w:val="single" w:color="auto" w:sz="4" w:space="0"/>
              <w:right w:val="single" w:color="auto" w:sz="4" w:space="0"/>
            </w:tcBorders>
          </w:tcPr>
          <w:p w:rsidRPr="004471F7" w:rsidR="004471F7" w:rsidP="00222BCF" w:rsidRDefault="004471F7" w14:paraId="0F9332CE" w14:textId="77777777">
            <w:pPr>
              <w:pStyle w:val="NormalinTable"/>
            </w:pPr>
            <w:r w:rsidRPr="004471F7">
              <w:t>SWCR017 – Ultra-Low Temperature Freezer, Commercial</w:t>
            </w:r>
          </w:p>
          <w:p w:rsidRPr="004471F7" w:rsidR="004471F7" w:rsidP="00222BCF" w:rsidRDefault="004471F7" w14:paraId="1D10B6EB" w14:textId="77777777">
            <w:pPr>
              <w:pStyle w:val="NormalinTable"/>
            </w:pPr>
            <w:r w:rsidRPr="004471F7">
              <w:t>SWCR018 – Reach-In Refrigerator or Freezer, Commercial</w:t>
            </w:r>
          </w:p>
          <w:p w:rsidRPr="004471F7" w:rsidR="004471F7" w:rsidP="00222BCF" w:rsidRDefault="004471F7" w14:paraId="2546240C" w14:textId="77777777">
            <w:pPr>
              <w:pStyle w:val="NormalinTable"/>
            </w:pPr>
            <w:r w:rsidRPr="004471F7">
              <w:t>SWFS001 – Convection Oven, Commercial</w:t>
            </w:r>
          </w:p>
          <w:p w:rsidRPr="004471F7" w:rsidR="004471F7" w:rsidP="00222BCF" w:rsidRDefault="004471F7" w14:paraId="0EE1AF90" w14:textId="77777777">
            <w:pPr>
              <w:pStyle w:val="NormalinTable"/>
            </w:pPr>
            <w:r w:rsidRPr="004471F7">
              <w:t>SWFS002 – Door-Type Dishwasher, Commercial</w:t>
            </w:r>
          </w:p>
          <w:p w:rsidRPr="004471F7" w:rsidR="004471F7" w:rsidP="00222BCF" w:rsidRDefault="004471F7" w14:paraId="0318DA91" w14:textId="77777777">
            <w:pPr>
              <w:pStyle w:val="NormalinTable"/>
            </w:pPr>
            <w:r w:rsidRPr="004471F7">
              <w:t>SWFS003 – Combination Oven, Commercial</w:t>
            </w:r>
          </w:p>
          <w:p w:rsidRPr="004471F7" w:rsidR="004471F7" w:rsidP="00222BCF" w:rsidRDefault="004471F7" w14:paraId="6B85A971" w14:textId="77777777">
            <w:pPr>
              <w:pStyle w:val="NormalinTable"/>
            </w:pPr>
            <w:r w:rsidRPr="004471F7">
              <w:t>SWFS004 – Griddle, Commercial</w:t>
            </w:r>
          </w:p>
          <w:p w:rsidRPr="004471F7" w:rsidR="004471F7" w:rsidP="00222BCF" w:rsidRDefault="004471F7" w14:paraId="01C239CF" w14:textId="77777777">
            <w:pPr>
              <w:pStyle w:val="NormalinTable"/>
            </w:pPr>
            <w:r w:rsidRPr="004471F7">
              <w:t>SWFS005 – Steamer, Commercial</w:t>
            </w:r>
          </w:p>
          <w:p w:rsidRPr="004471F7" w:rsidR="004471F7" w:rsidP="00222BCF" w:rsidRDefault="004471F7" w14:paraId="13307805" w14:textId="77777777">
            <w:pPr>
              <w:pStyle w:val="NormalinTable"/>
            </w:pPr>
            <w:r w:rsidRPr="004471F7">
              <w:t>SWFS006 – Ice Machine, Commercial</w:t>
            </w:r>
          </w:p>
          <w:p w:rsidRPr="004471F7" w:rsidR="004471F7" w:rsidP="00222BCF" w:rsidRDefault="004471F7" w14:paraId="457905AD" w14:textId="77777777">
            <w:pPr>
              <w:pStyle w:val="NormalinTable"/>
            </w:pPr>
            <w:r w:rsidRPr="004471F7">
              <w:t>SWFS007 – Insulated Hot Food Holding Cabinet, Commercial</w:t>
            </w:r>
          </w:p>
          <w:p w:rsidRPr="004471F7" w:rsidR="004471F7" w:rsidP="00222BCF" w:rsidRDefault="004471F7" w14:paraId="4EDB8E9F" w14:textId="77777777">
            <w:pPr>
              <w:pStyle w:val="NormalinTable"/>
            </w:pPr>
            <w:r w:rsidRPr="004471F7">
              <w:t>SWFS009 – Deck Oven, Electric, Commercial</w:t>
            </w:r>
          </w:p>
          <w:p w:rsidRPr="004471F7" w:rsidR="004471F7" w:rsidP="00222BCF" w:rsidRDefault="004471F7" w14:paraId="57FB3C42" w14:textId="77777777">
            <w:pPr>
              <w:pStyle w:val="NormalinTable"/>
            </w:pPr>
            <w:r w:rsidRPr="004471F7">
              <w:t>SWFS011 – Fryer, Commercial</w:t>
            </w:r>
          </w:p>
          <w:p w:rsidRPr="004471F7" w:rsidR="004471F7" w:rsidP="00222BCF" w:rsidRDefault="004471F7" w14:paraId="5C43894A" w14:textId="77777777">
            <w:pPr>
              <w:pStyle w:val="NormalinTable"/>
            </w:pPr>
            <w:r w:rsidRPr="004471F7">
              <w:t>SWFS012 – Exhaust Hood Demand Controlled Ventilation, Commercial</w:t>
            </w:r>
          </w:p>
          <w:p w:rsidRPr="004471F7" w:rsidR="004471F7" w:rsidP="00222BCF" w:rsidRDefault="004471F7" w14:paraId="25F6C981" w14:textId="77777777">
            <w:pPr>
              <w:pStyle w:val="NormalinTable"/>
            </w:pPr>
            <w:r w:rsidRPr="004471F7">
              <w:t>SWFS014 – Rack Oven, Gas, Commercial</w:t>
            </w:r>
          </w:p>
          <w:p w:rsidRPr="004471F7" w:rsidR="004471F7" w:rsidP="00222BCF" w:rsidRDefault="004471F7" w14:paraId="079D29BE" w14:textId="77777777">
            <w:pPr>
              <w:pStyle w:val="NormalinTable"/>
            </w:pPr>
            <w:r w:rsidRPr="004471F7">
              <w:t>SWFS017 – Automatic Conveyor Broiler, Commercial</w:t>
            </w:r>
          </w:p>
          <w:p w:rsidRPr="004471F7" w:rsidR="004471F7" w:rsidP="00222BCF" w:rsidRDefault="004471F7" w14:paraId="33570344" w14:textId="77777777">
            <w:pPr>
              <w:pStyle w:val="NormalinTable"/>
            </w:pPr>
            <w:r w:rsidRPr="004471F7">
              <w:t>SWFS018 – Undercounter Dishwasher, Commercial</w:t>
            </w:r>
          </w:p>
          <w:p w:rsidRPr="004471F7" w:rsidR="004471F7" w:rsidP="00222BCF" w:rsidRDefault="004471F7" w14:paraId="2C2505BF" w14:textId="77777777">
            <w:pPr>
              <w:pStyle w:val="NormalinTable"/>
            </w:pPr>
            <w:r w:rsidRPr="004471F7">
              <w:t>SWFS019 – Underfired Broiler, Commercial</w:t>
            </w:r>
          </w:p>
        </w:tc>
      </w:tr>
      <w:tr w:rsidRPr="004471F7" w:rsidR="004471F7" w:rsidTr="009F155D" w14:paraId="78D8C597" w14:textId="77777777">
        <w:trPr>
          <w:cantSplit/>
        </w:trPr>
        <w:tc>
          <w:tcPr>
            <w:tcW w:w="429" w:type="pct"/>
            <w:tcBorders>
              <w:top w:val="single" w:color="auto" w:sz="4" w:space="0"/>
              <w:left w:val="single" w:color="auto" w:sz="4" w:space="0"/>
              <w:bottom w:val="single" w:color="auto" w:sz="4" w:space="0"/>
              <w:right w:val="single" w:color="auto" w:sz="4" w:space="0"/>
            </w:tcBorders>
            <w:shd w:val="clear" w:color="auto" w:fill="auto"/>
          </w:tcPr>
          <w:p w:rsidRPr="004471F7" w:rsidR="004471F7" w:rsidP="00222BCF" w:rsidRDefault="004471F7" w14:paraId="56690C93" w14:textId="77777777">
            <w:pPr>
              <w:pStyle w:val="NormalinTable"/>
            </w:pPr>
            <w:r w:rsidRPr="004471F7">
              <w:t>3</w:t>
            </w:r>
          </w:p>
        </w:tc>
        <w:tc>
          <w:tcPr>
            <w:tcW w:w="1524" w:type="pct"/>
            <w:tcBorders>
              <w:top w:val="single" w:color="auto" w:sz="4" w:space="0"/>
              <w:left w:val="single" w:color="auto" w:sz="4" w:space="0"/>
              <w:bottom w:val="single" w:color="auto" w:sz="4" w:space="0"/>
              <w:right w:val="single" w:color="auto" w:sz="4" w:space="0"/>
            </w:tcBorders>
          </w:tcPr>
          <w:p w:rsidRPr="00FC1212" w:rsidR="004471F7" w:rsidP="00222BCF" w:rsidRDefault="004471F7" w14:paraId="17144017" w14:textId="5BE617C1">
            <w:pPr>
              <w:pStyle w:val="NormalinTable"/>
              <w:rPr>
                <w:rFonts w:cstheme="minorHAnsi"/>
              </w:rPr>
            </w:pPr>
            <w:hyperlink w:history="1" w:anchor="!/documents/3862/view" r:id="rId28">
              <w:r w:rsidRPr="00FC1212">
                <w:rPr>
                  <w:rStyle w:val="Hyperlink"/>
                  <w:rFonts w:asciiTheme="minorHAnsi" w:hAnsiTheme="minorHAnsi" w:cstheme="minorHAnsi"/>
                </w:rPr>
                <w:t>MCE Impact Evaluation Final Report, Program Year 2021</w:t>
              </w:r>
            </w:hyperlink>
          </w:p>
        </w:tc>
        <w:tc>
          <w:tcPr>
            <w:tcW w:w="3047" w:type="pct"/>
            <w:tcBorders>
              <w:top w:val="single" w:color="auto" w:sz="4" w:space="0"/>
              <w:left w:val="single" w:color="auto" w:sz="4" w:space="0"/>
              <w:bottom w:val="single" w:color="auto" w:sz="4" w:space="0"/>
              <w:right w:val="single" w:color="auto" w:sz="4" w:space="0"/>
            </w:tcBorders>
          </w:tcPr>
          <w:p w:rsidRPr="004471F7" w:rsidR="004471F7" w:rsidP="00222BCF" w:rsidRDefault="004471F7" w14:paraId="2BA52066" w14:textId="0FE1F930">
            <w:pPr>
              <w:pStyle w:val="NormalinTable"/>
            </w:pPr>
            <w:r w:rsidRPr="004471F7">
              <w:t>SWLG009 – LED, Tube, Type A</w:t>
            </w:r>
          </w:p>
        </w:tc>
      </w:tr>
      <w:tr w:rsidRPr="004471F7" w:rsidR="004471F7" w:rsidTr="009F155D" w14:paraId="467C10A1" w14:textId="77777777">
        <w:trPr>
          <w:cantSplit/>
        </w:trPr>
        <w:tc>
          <w:tcPr>
            <w:tcW w:w="429" w:type="pct"/>
            <w:tcBorders>
              <w:top w:val="single" w:color="auto" w:sz="4" w:space="0"/>
              <w:left w:val="single" w:color="auto" w:sz="4" w:space="0"/>
              <w:bottom w:val="single" w:color="auto" w:sz="4" w:space="0"/>
              <w:right w:val="single" w:color="auto" w:sz="4" w:space="0"/>
            </w:tcBorders>
            <w:shd w:val="clear" w:color="auto" w:fill="auto"/>
          </w:tcPr>
          <w:p w:rsidRPr="004471F7" w:rsidR="004471F7" w:rsidP="00222BCF" w:rsidRDefault="004471F7" w14:paraId="2F211835" w14:textId="77777777">
            <w:pPr>
              <w:pStyle w:val="NormalinTable"/>
            </w:pPr>
            <w:r w:rsidRPr="004471F7">
              <w:t>4</w:t>
            </w:r>
          </w:p>
        </w:tc>
        <w:tc>
          <w:tcPr>
            <w:tcW w:w="1524" w:type="pct"/>
            <w:tcBorders>
              <w:top w:val="single" w:color="auto" w:sz="4" w:space="0"/>
              <w:left w:val="single" w:color="auto" w:sz="4" w:space="0"/>
              <w:bottom w:val="single" w:color="auto" w:sz="4" w:space="0"/>
              <w:right w:val="single" w:color="auto" w:sz="4" w:space="0"/>
            </w:tcBorders>
          </w:tcPr>
          <w:p w:rsidRPr="00FC1212" w:rsidR="004471F7" w:rsidP="00222BCF" w:rsidRDefault="004471F7" w14:paraId="23AA87E4" w14:textId="5D9DB289">
            <w:pPr>
              <w:pStyle w:val="NormalinTable"/>
              <w:rPr>
                <w:rFonts w:cstheme="minorHAnsi"/>
              </w:rPr>
            </w:pPr>
            <w:hyperlink w:history="1" w:anchor="!/documents/2810/view" r:id="rId29">
              <w:r w:rsidRPr="00FC1212">
                <w:rPr>
                  <w:rStyle w:val="Hyperlink"/>
                  <w:rFonts w:asciiTheme="minorHAnsi" w:hAnsiTheme="minorHAnsi" w:cstheme="minorHAnsi"/>
                </w:rPr>
                <w:t>Residential Energy Efficiency Impact Evaluation, Program Year 2021</w:t>
              </w:r>
            </w:hyperlink>
          </w:p>
        </w:tc>
        <w:tc>
          <w:tcPr>
            <w:tcW w:w="3047" w:type="pct"/>
            <w:tcBorders>
              <w:top w:val="single" w:color="auto" w:sz="4" w:space="0"/>
              <w:left w:val="single" w:color="auto" w:sz="4" w:space="0"/>
              <w:bottom w:val="single" w:color="auto" w:sz="4" w:space="0"/>
              <w:right w:val="single" w:color="auto" w:sz="4" w:space="0"/>
            </w:tcBorders>
          </w:tcPr>
          <w:p w:rsidRPr="004471F7" w:rsidR="004471F7" w:rsidP="00222BCF" w:rsidRDefault="004471F7" w14:paraId="602BF91D" w14:textId="77777777">
            <w:pPr>
              <w:pStyle w:val="NormalinTable"/>
            </w:pPr>
            <w:r w:rsidRPr="004471F7">
              <w:t>SWAP003 – Clothes Dryer, Residential</w:t>
            </w:r>
          </w:p>
          <w:p w:rsidRPr="004471F7" w:rsidR="004471F7" w:rsidP="00222BCF" w:rsidRDefault="004471F7" w14:paraId="1200ABB9" w14:textId="77777777">
            <w:pPr>
              <w:pStyle w:val="NormalinTable"/>
            </w:pPr>
            <w:r w:rsidRPr="004471F7">
              <w:t>SWAP004 – Clothes Washer, Residential</w:t>
            </w:r>
          </w:p>
          <w:p w:rsidRPr="004471F7" w:rsidR="004471F7" w:rsidP="00222BCF" w:rsidRDefault="004471F7" w14:paraId="3EC8980C" w14:textId="77777777">
            <w:pPr>
              <w:pStyle w:val="NormalinTable"/>
            </w:pPr>
            <w:r w:rsidRPr="004471F7">
              <w:t>SWHC001 – Wall Furnace, Residential</w:t>
            </w:r>
          </w:p>
          <w:p w:rsidRPr="004471F7" w:rsidR="004471F7" w:rsidP="00222BCF" w:rsidRDefault="004471F7" w14:paraId="307DD4E9" w14:textId="77777777">
            <w:pPr>
              <w:pStyle w:val="NormalinTable"/>
            </w:pPr>
            <w:r w:rsidRPr="004471F7">
              <w:t>SWHC031 – Furnace, Residential</w:t>
            </w:r>
          </w:p>
          <w:p w:rsidRPr="004471F7" w:rsidR="004471F7" w:rsidP="00222BCF" w:rsidRDefault="004471F7" w14:paraId="665DAC3C" w14:textId="77777777">
            <w:pPr>
              <w:pStyle w:val="NormalinTable"/>
            </w:pPr>
            <w:r w:rsidRPr="004471F7">
              <w:t>SWHC039 – Smart Thermostat, Residential</w:t>
            </w:r>
          </w:p>
          <w:p w:rsidRPr="004471F7" w:rsidR="004471F7" w:rsidP="00222BCF" w:rsidRDefault="004471F7" w14:paraId="32A55F7A" w14:textId="77777777">
            <w:pPr>
              <w:pStyle w:val="NormalinTable"/>
            </w:pPr>
            <w:r w:rsidRPr="004471F7">
              <w:t>SWHC047 – Gas Fireplace, Residential</w:t>
            </w:r>
          </w:p>
          <w:p w:rsidRPr="004471F7" w:rsidR="004471F7" w:rsidP="00222BCF" w:rsidRDefault="004471F7" w14:paraId="0D4C9175" w14:textId="77777777">
            <w:pPr>
              <w:pStyle w:val="NormalinTable"/>
            </w:pPr>
            <w:r w:rsidRPr="004471F7">
              <w:t>SWRE004 – Pool Heater, Residential</w:t>
            </w:r>
          </w:p>
          <w:p w:rsidRPr="004471F7" w:rsidR="004471F7" w:rsidP="00222BCF" w:rsidRDefault="004471F7" w14:paraId="4D74E994" w14:textId="77777777">
            <w:pPr>
              <w:pStyle w:val="NormalinTable"/>
            </w:pPr>
            <w:r w:rsidRPr="004471F7">
              <w:t>SWSV001 – Duct Seal, Residential</w:t>
            </w:r>
          </w:p>
          <w:p w:rsidRPr="004471F7" w:rsidR="004471F7" w:rsidP="00222BCF" w:rsidRDefault="004471F7" w14:paraId="1931B5D3" w14:textId="77777777">
            <w:pPr>
              <w:pStyle w:val="NormalinTable"/>
            </w:pPr>
            <w:r w:rsidRPr="004471F7">
              <w:t>SWWH002 – Low-Flow Showerhead, Residential</w:t>
            </w:r>
          </w:p>
          <w:p w:rsidRPr="004471F7" w:rsidR="004471F7" w:rsidP="00222BCF" w:rsidRDefault="004471F7" w14:paraId="23191813" w14:textId="77777777">
            <w:pPr>
              <w:pStyle w:val="NormalinTable"/>
            </w:pPr>
            <w:r w:rsidRPr="004471F7">
              <w:t>SWWH010 – Boiler, Multifamily</w:t>
            </w:r>
          </w:p>
          <w:p w:rsidRPr="004471F7" w:rsidR="004471F7" w:rsidP="00222BCF" w:rsidRDefault="004471F7" w14:paraId="14BD6221" w14:textId="77777777">
            <w:pPr>
              <w:pStyle w:val="NormalinTable"/>
            </w:pPr>
            <w:r w:rsidRPr="004471F7">
              <w:t>SWWH012 – Storage Water Heater, Residential</w:t>
            </w:r>
          </w:p>
          <w:p w:rsidRPr="004471F7" w:rsidR="004471F7" w:rsidP="00222BCF" w:rsidRDefault="004471F7" w14:paraId="406A3B91" w14:textId="77777777">
            <w:pPr>
              <w:pStyle w:val="NormalinTable"/>
            </w:pPr>
            <w:r w:rsidRPr="004471F7">
              <w:t>SWWH013 – Tankless Water Heater, Residential</w:t>
            </w:r>
          </w:p>
        </w:tc>
      </w:tr>
      <w:tr w:rsidRPr="004471F7" w:rsidR="004471F7" w:rsidTr="009F155D" w14:paraId="78F3C202" w14:textId="77777777">
        <w:trPr>
          <w:cantSplit/>
        </w:trPr>
        <w:tc>
          <w:tcPr>
            <w:tcW w:w="429" w:type="pct"/>
            <w:tcBorders>
              <w:top w:val="single" w:color="auto" w:sz="4" w:space="0"/>
              <w:left w:val="single" w:color="auto" w:sz="4" w:space="0"/>
              <w:bottom w:val="single" w:color="auto" w:sz="4" w:space="0"/>
              <w:right w:val="single" w:color="auto" w:sz="4" w:space="0"/>
            </w:tcBorders>
            <w:shd w:val="clear" w:color="auto" w:fill="auto"/>
          </w:tcPr>
          <w:p w:rsidRPr="004471F7" w:rsidR="004471F7" w:rsidP="00222BCF" w:rsidRDefault="004471F7" w14:paraId="2096B9FF" w14:textId="77777777">
            <w:pPr>
              <w:pStyle w:val="NormalinTable"/>
            </w:pPr>
            <w:r w:rsidRPr="004471F7">
              <w:lastRenderedPageBreak/>
              <w:t>5</w:t>
            </w:r>
          </w:p>
        </w:tc>
        <w:tc>
          <w:tcPr>
            <w:tcW w:w="1524" w:type="pct"/>
            <w:tcBorders>
              <w:top w:val="single" w:color="auto" w:sz="4" w:space="0"/>
              <w:left w:val="single" w:color="auto" w:sz="4" w:space="0"/>
              <w:bottom w:val="single" w:color="auto" w:sz="4" w:space="0"/>
              <w:right w:val="single" w:color="auto" w:sz="4" w:space="0"/>
            </w:tcBorders>
          </w:tcPr>
          <w:p w:rsidRPr="00FC1212" w:rsidR="004471F7" w:rsidP="00222BCF" w:rsidRDefault="004471F7" w14:paraId="516A2661" w14:textId="2538B91B">
            <w:pPr>
              <w:pStyle w:val="NormalinTable"/>
              <w:rPr>
                <w:rFonts w:cstheme="minorHAnsi"/>
              </w:rPr>
            </w:pPr>
            <w:hyperlink w:history="1" w:anchor="!/documents/2806/view" r:id="rId30">
              <w:r w:rsidRPr="00FC1212">
                <w:rPr>
                  <w:rStyle w:val="Hyperlink"/>
                  <w:rFonts w:asciiTheme="minorHAnsi" w:hAnsiTheme="minorHAnsi" w:cstheme="minorHAnsi"/>
                </w:rPr>
                <w:t>Residential Direct Install Program Impact Evaluation, Program Year 2021</w:t>
              </w:r>
            </w:hyperlink>
          </w:p>
        </w:tc>
        <w:tc>
          <w:tcPr>
            <w:tcW w:w="3047" w:type="pct"/>
            <w:tcBorders>
              <w:top w:val="single" w:color="auto" w:sz="4" w:space="0"/>
              <w:left w:val="single" w:color="auto" w:sz="4" w:space="0"/>
              <w:bottom w:val="single" w:color="auto" w:sz="4" w:space="0"/>
              <w:right w:val="single" w:color="auto" w:sz="4" w:space="0"/>
            </w:tcBorders>
          </w:tcPr>
          <w:p w:rsidRPr="004471F7" w:rsidR="004471F7" w:rsidP="00222BCF" w:rsidRDefault="004471F7" w14:paraId="704F40A9" w14:textId="77777777">
            <w:pPr>
              <w:pStyle w:val="NormalinTable"/>
            </w:pPr>
            <w:r w:rsidRPr="004471F7">
              <w:t>SWHC029 – Fan Controller for Air Conditioner, Residential</w:t>
            </w:r>
          </w:p>
          <w:p w:rsidRPr="004471F7" w:rsidR="004471F7" w:rsidP="00222BCF" w:rsidRDefault="004471F7" w14:paraId="2B70830A" w14:textId="77777777">
            <w:pPr>
              <w:pStyle w:val="NormalinTable"/>
            </w:pPr>
            <w:r w:rsidRPr="004471F7">
              <w:t>SWHC038 – Brushless Fan Motor Replacement, Residential</w:t>
            </w:r>
          </w:p>
          <w:p w:rsidRPr="004471F7" w:rsidR="004471F7" w:rsidP="00222BCF" w:rsidRDefault="004471F7" w14:paraId="165FE2FD" w14:textId="77777777">
            <w:pPr>
              <w:pStyle w:val="NormalinTable"/>
            </w:pPr>
            <w:r w:rsidRPr="004471F7">
              <w:t>SWHC039 – Smart Thermostat, Residential</w:t>
            </w:r>
          </w:p>
          <w:p w:rsidRPr="004471F7" w:rsidR="004471F7" w:rsidP="00222BCF" w:rsidRDefault="004471F7" w14:paraId="7793BAE8" w14:textId="77777777">
            <w:pPr>
              <w:pStyle w:val="NormalinTable"/>
            </w:pPr>
            <w:r w:rsidRPr="004471F7">
              <w:t>SWSV001 – Duct Seal, Residential</w:t>
            </w:r>
          </w:p>
          <w:p w:rsidRPr="004471F7" w:rsidR="004471F7" w:rsidP="00222BCF" w:rsidRDefault="004471F7" w14:paraId="79763C8E" w14:textId="77777777">
            <w:pPr>
              <w:pStyle w:val="NormalinTable"/>
            </w:pPr>
            <w:r w:rsidRPr="004471F7">
              <w:t>SWSV006 – Refrigerant Charge Adjustment, Residential</w:t>
            </w:r>
          </w:p>
          <w:p w:rsidRPr="004471F7" w:rsidR="004471F7" w:rsidP="00222BCF" w:rsidRDefault="004471F7" w14:paraId="47FE118A" w14:textId="77777777">
            <w:pPr>
              <w:pStyle w:val="NormalinTable"/>
            </w:pPr>
            <w:r w:rsidRPr="004471F7">
              <w:t>SWWH001 – Faucet Aerator, Residential</w:t>
            </w:r>
          </w:p>
        </w:tc>
      </w:tr>
      <w:tr w:rsidRPr="004471F7" w:rsidR="004471F7" w:rsidTr="009F155D" w14:paraId="443FB083" w14:textId="77777777">
        <w:trPr>
          <w:cantSplit/>
          <w:trHeight w:val="426"/>
        </w:trPr>
        <w:tc>
          <w:tcPr>
            <w:tcW w:w="429" w:type="pct"/>
            <w:tcBorders>
              <w:top w:val="single" w:color="auto" w:sz="4" w:space="0"/>
              <w:left w:val="single" w:color="auto" w:sz="4" w:space="0"/>
              <w:bottom w:val="single" w:color="auto" w:sz="4" w:space="0"/>
              <w:right w:val="single" w:color="auto" w:sz="4" w:space="0"/>
            </w:tcBorders>
          </w:tcPr>
          <w:p w:rsidRPr="004471F7" w:rsidR="004471F7" w:rsidP="00222BCF" w:rsidRDefault="004471F7" w14:paraId="3A66AFA0" w14:textId="77777777">
            <w:pPr>
              <w:pStyle w:val="NormalinTable"/>
            </w:pPr>
            <w:r w:rsidRPr="004471F7">
              <w:lastRenderedPageBreak/>
              <w:t>6</w:t>
            </w:r>
          </w:p>
        </w:tc>
        <w:tc>
          <w:tcPr>
            <w:tcW w:w="1524" w:type="pct"/>
            <w:tcBorders>
              <w:top w:val="single" w:color="auto" w:sz="4" w:space="0"/>
              <w:left w:val="single" w:color="auto" w:sz="4" w:space="0"/>
              <w:bottom w:val="single" w:color="auto" w:sz="4" w:space="0"/>
              <w:right w:val="single" w:color="auto" w:sz="4" w:space="0"/>
            </w:tcBorders>
          </w:tcPr>
          <w:p w:rsidRPr="00FC1212" w:rsidR="004471F7" w:rsidP="00222BCF" w:rsidRDefault="004471F7" w14:paraId="106C725B" w14:textId="1023897C">
            <w:pPr>
              <w:pStyle w:val="NormalinTable"/>
              <w:rPr>
                <w:rFonts w:cstheme="minorHAnsi"/>
              </w:rPr>
            </w:pPr>
            <w:hyperlink w:history="1" w:anchor="!/documents/2802/view" r:id="rId31">
              <w:r w:rsidRPr="00FC1212">
                <w:rPr>
                  <w:rStyle w:val="Hyperlink"/>
                  <w:rFonts w:asciiTheme="minorHAnsi" w:hAnsiTheme="minorHAnsi" w:cstheme="minorHAnsi"/>
                </w:rPr>
                <w:t>Local Third Party Programs Impact Evaluation, Program Year 2021</w:t>
              </w:r>
            </w:hyperlink>
          </w:p>
        </w:tc>
        <w:tc>
          <w:tcPr>
            <w:tcW w:w="3047" w:type="pct"/>
            <w:tcBorders>
              <w:top w:val="single" w:color="auto" w:sz="4" w:space="0"/>
              <w:left w:val="single" w:color="auto" w:sz="4" w:space="0"/>
              <w:bottom w:val="single" w:color="auto" w:sz="4" w:space="0"/>
              <w:right w:val="single" w:color="auto" w:sz="4" w:space="0"/>
            </w:tcBorders>
          </w:tcPr>
          <w:p w:rsidRPr="004471F7" w:rsidR="004471F7" w:rsidP="00222BCF" w:rsidRDefault="004471F7" w14:paraId="2B6BCFBF" w14:textId="77777777">
            <w:pPr>
              <w:pStyle w:val="NormalinTable"/>
            </w:pPr>
            <w:r w:rsidRPr="004471F7">
              <w:t>SWAP012 – Gas Dryer Modulating Valve, Commercial and Multifamily</w:t>
            </w:r>
          </w:p>
          <w:p w:rsidRPr="004471F7" w:rsidR="004471F7" w:rsidP="00222BCF" w:rsidRDefault="004471F7" w14:paraId="620D9F30" w14:textId="77777777">
            <w:pPr>
              <w:pStyle w:val="NormalinTable"/>
            </w:pPr>
            <w:r w:rsidRPr="004471F7">
              <w:t>SWHC002 – Intermittent Pilot Light, Residential</w:t>
            </w:r>
          </w:p>
          <w:p w:rsidRPr="004471F7" w:rsidR="004471F7" w:rsidP="00222BCF" w:rsidRDefault="004471F7" w14:paraId="3FA0D53F" w14:textId="77777777">
            <w:pPr>
              <w:pStyle w:val="NormalinTable"/>
            </w:pPr>
            <w:r w:rsidRPr="004471F7">
              <w:t>SWHC029 – Fan Controller for Air Conditioner, Residential</w:t>
            </w:r>
          </w:p>
          <w:p w:rsidRPr="004471F7" w:rsidR="004471F7" w:rsidP="00222BCF" w:rsidRDefault="004471F7" w14:paraId="18219F71" w14:textId="77777777">
            <w:pPr>
              <w:pStyle w:val="NormalinTable"/>
            </w:pPr>
            <w:r w:rsidRPr="004471F7">
              <w:t>SWHC031 – Furnace, Residential</w:t>
            </w:r>
          </w:p>
          <w:p w:rsidRPr="004471F7" w:rsidR="004471F7" w:rsidP="00222BCF" w:rsidRDefault="004471F7" w14:paraId="5CEE6573" w14:textId="77777777">
            <w:pPr>
              <w:pStyle w:val="NormalinTable"/>
            </w:pPr>
            <w:r w:rsidRPr="004471F7">
              <w:t>SWHC038 – Brushless Fan Motor Replacement, Residential</w:t>
            </w:r>
          </w:p>
          <w:p w:rsidRPr="004471F7" w:rsidR="004471F7" w:rsidP="00222BCF" w:rsidRDefault="004471F7" w14:paraId="40B6DDD8" w14:textId="77777777">
            <w:pPr>
              <w:pStyle w:val="NormalinTable"/>
            </w:pPr>
            <w:r w:rsidRPr="004471F7">
              <w:t>SWHC039 – Smart Thermostat, Residential</w:t>
            </w:r>
          </w:p>
          <w:p w:rsidRPr="004471F7" w:rsidR="004471F7" w:rsidP="00222BCF" w:rsidRDefault="004471F7" w14:paraId="426984FB" w14:textId="77777777">
            <w:pPr>
              <w:pStyle w:val="NormalinTable"/>
            </w:pPr>
            <w:r w:rsidRPr="004471F7">
              <w:t>SWLG009 – LED, Tube, Type A</w:t>
            </w:r>
          </w:p>
          <w:p w:rsidRPr="004471F7" w:rsidR="004471F7" w:rsidP="00222BCF" w:rsidRDefault="004471F7" w14:paraId="651F5F08" w14:textId="77777777">
            <w:pPr>
              <w:pStyle w:val="NormalinTable"/>
            </w:pPr>
            <w:r w:rsidRPr="004471F7">
              <w:t>SWPR003 – Steam Trap, Commercial</w:t>
            </w:r>
          </w:p>
          <w:p w:rsidRPr="004471F7" w:rsidR="004471F7" w:rsidP="00222BCF" w:rsidRDefault="004471F7" w14:paraId="7F8DAB8A" w14:textId="77777777">
            <w:pPr>
              <w:pStyle w:val="NormalinTable"/>
            </w:pPr>
            <w:r w:rsidRPr="004471F7">
              <w:t>SWSV001 – Duct Seal, Residential</w:t>
            </w:r>
          </w:p>
          <w:p w:rsidRPr="004471F7" w:rsidR="004471F7" w:rsidP="00222BCF" w:rsidRDefault="004471F7" w14:paraId="78FAD413" w14:textId="77777777">
            <w:pPr>
              <w:pStyle w:val="NormalinTable"/>
            </w:pPr>
            <w:r w:rsidRPr="004471F7">
              <w:t>SWSV006 – Refrigerant Charge Adjustment</w:t>
            </w:r>
          </w:p>
          <w:p w:rsidRPr="004471F7" w:rsidR="004471F7" w:rsidP="00222BCF" w:rsidRDefault="004471F7" w14:paraId="49A6E259" w14:textId="77777777">
            <w:pPr>
              <w:pStyle w:val="NormalinTable"/>
            </w:pPr>
            <w:r w:rsidRPr="004471F7">
              <w:t>SWSV007 – Condenser Coil Cleaning, Residential</w:t>
            </w:r>
          </w:p>
          <w:p w:rsidRPr="004471F7" w:rsidR="004471F7" w:rsidP="00222BCF" w:rsidRDefault="004471F7" w14:paraId="22465D81" w14:textId="77777777">
            <w:pPr>
              <w:pStyle w:val="NormalinTable"/>
            </w:pPr>
            <w:r w:rsidRPr="004471F7">
              <w:t>SWSV009 – Airflow Adjustment, Residential</w:t>
            </w:r>
          </w:p>
          <w:p w:rsidRPr="004471F7" w:rsidR="004471F7" w:rsidP="00222BCF" w:rsidRDefault="004471F7" w14:paraId="007DEA4B" w14:textId="77777777">
            <w:pPr>
              <w:pStyle w:val="NormalinTable"/>
            </w:pPr>
            <w:r w:rsidRPr="004471F7">
              <w:t>SWWH001 – Faucet Aerator, Residential</w:t>
            </w:r>
          </w:p>
          <w:p w:rsidRPr="004471F7" w:rsidR="004471F7" w:rsidP="00222BCF" w:rsidRDefault="004471F7" w14:paraId="7991FD35" w14:textId="77777777">
            <w:pPr>
              <w:pStyle w:val="NormalinTable"/>
            </w:pPr>
            <w:r w:rsidRPr="004471F7">
              <w:t>SWWH002 – Low-Flow Showerhead, Residential</w:t>
            </w:r>
          </w:p>
          <w:p w:rsidRPr="004471F7" w:rsidR="004471F7" w:rsidP="00222BCF" w:rsidRDefault="004471F7" w14:paraId="70ABE2C6" w14:textId="77777777">
            <w:pPr>
              <w:pStyle w:val="NormalinTable"/>
            </w:pPr>
            <w:r w:rsidRPr="004471F7">
              <w:t>SWWH003 – TSV with and without an Integrated Low-Flow Showerhead, Residential</w:t>
            </w:r>
          </w:p>
          <w:p w:rsidRPr="004471F7" w:rsidR="004471F7" w:rsidP="00222BCF" w:rsidRDefault="004471F7" w14:paraId="0D27A95D" w14:textId="77777777">
            <w:pPr>
              <w:pStyle w:val="NormalinTable"/>
            </w:pPr>
            <w:r w:rsidRPr="004471F7">
              <w:t>SWWH006 – Tankless Water Heater, Commercial</w:t>
            </w:r>
          </w:p>
          <w:p w:rsidRPr="004471F7" w:rsidR="004471F7" w:rsidP="00222BCF" w:rsidRDefault="004471F7" w14:paraId="459909C2" w14:textId="77777777">
            <w:pPr>
              <w:pStyle w:val="NormalinTable"/>
            </w:pPr>
            <w:r w:rsidRPr="004471F7">
              <w:t>SWWH013 – Tankless Water Heater, Residential</w:t>
            </w:r>
          </w:p>
          <w:p w:rsidRPr="004471F7" w:rsidR="004471F7" w:rsidP="00222BCF" w:rsidRDefault="004471F7" w14:paraId="1B18416E" w14:textId="77777777">
            <w:pPr>
              <w:pStyle w:val="NormalinTable"/>
            </w:pPr>
            <w:r w:rsidRPr="004471F7">
              <w:t>SWWH015 – Demand Control for Centralized Water Heater Recirculation Pump, Multifamily &amp; Commercial</w:t>
            </w:r>
          </w:p>
          <w:p w:rsidRPr="004471F7" w:rsidR="004471F7" w:rsidP="00222BCF" w:rsidRDefault="004471F7" w14:paraId="0C92C64C" w14:textId="77777777">
            <w:pPr>
              <w:pStyle w:val="NormalinTable"/>
            </w:pPr>
            <w:r w:rsidRPr="004471F7">
              <w:t>SWWH016 – Domestic Hot Water Loop Temperature Controller, Multifamily &amp; Commercial</w:t>
            </w:r>
          </w:p>
          <w:p w:rsidRPr="004471F7" w:rsidR="004471F7" w:rsidP="00222BCF" w:rsidRDefault="004471F7" w14:paraId="75CE00F6" w14:textId="77777777">
            <w:pPr>
              <w:pStyle w:val="NormalinTable"/>
            </w:pPr>
            <w:r w:rsidRPr="004471F7">
              <w:t>SWWH017 – Hot Water Pipe Insulation, Nonresidential &amp; Multifamily</w:t>
            </w:r>
          </w:p>
          <w:p w:rsidRPr="004471F7" w:rsidR="004471F7" w:rsidP="00222BCF" w:rsidRDefault="004471F7" w14:paraId="7B07D5C6" w14:textId="77777777">
            <w:pPr>
              <w:pStyle w:val="NormalinTable"/>
            </w:pPr>
            <w:r w:rsidRPr="004471F7">
              <w:t>SWWH018 – Hot Water Tank Insulation, Nonresidential &amp; Multifamily</w:t>
            </w:r>
          </w:p>
          <w:p w:rsidRPr="004471F7" w:rsidR="004471F7" w:rsidP="00222BCF" w:rsidRDefault="004471F7" w14:paraId="76A1093C" w14:textId="77777777">
            <w:pPr>
              <w:pStyle w:val="NormalinTable"/>
            </w:pPr>
            <w:r w:rsidRPr="004471F7">
              <w:t>SWWH020 – Low-Flow Showerhead, Commercial</w:t>
            </w:r>
          </w:p>
          <w:p w:rsidRPr="004471F7" w:rsidR="004471F7" w:rsidP="00222BCF" w:rsidRDefault="004471F7" w14:paraId="1AEC29D3" w14:textId="77777777">
            <w:pPr>
              <w:pStyle w:val="NormalinTable"/>
            </w:pPr>
            <w:r w:rsidRPr="004471F7">
              <w:t>SWWH023 – Diverting Tub Spout with TSV, Residential</w:t>
            </w:r>
          </w:p>
          <w:p w:rsidRPr="004471F7" w:rsidR="004471F7" w:rsidP="00222BCF" w:rsidRDefault="004471F7" w14:paraId="710D5433" w14:textId="77777777">
            <w:pPr>
              <w:pStyle w:val="NormalinTable"/>
            </w:pPr>
            <w:r w:rsidRPr="004471F7">
              <w:t>SWWH026 – Water Heater Pipe Wrap, Residential</w:t>
            </w:r>
          </w:p>
          <w:p w:rsidRPr="004471F7" w:rsidR="004471F7" w:rsidP="00222BCF" w:rsidRDefault="004471F7" w14:paraId="27640C7C" w14:textId="77777777">
            <w:pPr>
              <w:pStyle w:val="NormalinTable"/>
            </w:pPr>
            <w:r w:rsidRPr="004471F7">
              <w:t>SWWH027 – Heat Pump Water Heater, Commercial, Fuel Substitution</w:t>
            </w:r>
          </w:p>
        </w:tc>
      </w:tr>
      <w:tr w:rsidRPr="004471F7" w:rsidR="004471F7" w:rsidTr="009F155D" w14:paraId="39BFD9D6" w14:textId="77777777">
        <w:trPr>
          <w:cantSplit/>
          <w:trHeight w:val="426"/>
        </w:trPr>
        <w:tc>
          <w:tcPr>
            <w:tcW w:w="429" w:type="pct"/>
            <w:tcBorders>
              <w:top w:val="single" w:color="auto" w:sz="4" w:space="0"/>
              <w:left w:val="single" w:color="auto" w:sz="4" w:space="0"/>
              <w:bottom w:val="single" w:color="auto" w:sz="4" w:space="0"/>
              <w:right w:val="single" w:color="auto" w:sz="4" w:space="0"/>
            </w:tcBorders>
          </w:tcPr>
          <w:p w:rsidRPr="004471F7" w:rsidR="004471F7" w:rsidP="00222BCF" w:rsidRDefault="004471F7" w14:paraId="5A6365A8" w14:textId="77777777">
            <w:pPr>
              <w:pStyle w:val="NormalinTable"/>
            </w:pPr>
            <w:r w:rsidRPr="004471F7">
              <w:lastRenderedPageBreak/>
              <w:t>7</w:t>
            </w:r>
          </w:p>
        </w:tc>
        <w:bookmarkStart w:name="_Hlk97743132" w:id="181"/>
        <w:tc>
          <w:tcPr>
            <w:tcW w:w="1524" w:type="pct"/>
            <w:tcBorders>
              <w:top w:val="single" w:color="auto" w:sz="4" w:space="0"/>
              <w:left w:val="single" w:color="auto" w:sz="4" w:space="0"/>
              <w:bottom w:val="single" w:color="auto" w:sz="4" w:space="0"/>
              <w:right w:val="single" w:color="auto" w:sz="4" w:space="0"/>
            </w:tcBorders>
          </w:tcPr>
          <w:p w:rsidRPr="00FC1212" w:rsidR="004471F7" w:rsidP="00222BCF" w:rsidRDefault="004471F7" w14:paraId="323FD698" w14:textId="3A08960A">
            <w:pPr>
              <w:pStyle w:val="NormalinTable"/>
              <w:rPr>
                <w:rFonts w:cstheme="minorHAnsi"/>
              </w:rPr>
            </w:pPr>
            <w:r w:rsidRPr="00FC1212">
              <w:rPr>
                <w:rFonts w:cstheme="minorHAnsi"/>
              </w:rPr>
              <w:fldChar w:fldCharType="begin"/>
            </w:r>
            <w:r w:rsidRPr="00FC1212">
              <w:rPr>
                <w:rFonts w:cstheme="minorHAnsi"/>
              </w:rPr>
              <w:instrText>HYPERLINK "https://pda.energydataweb.com/" \l "!/documents/2798/view"</w:instrText>
            </w:r>
            <w:r w:rsidRPr="00FC1212">
              <w:rPr>
                <w:rFonts w:cstheme="minorHAnsi"/>
              </w:rPr>
            </w:r>
            <w:r w:rsidRPr="00FC1212">
              <w:rPr>
                <w:rFonts w:cstheme="minorHAnsi"/>
              </w:rPr>
              <w:fldChar w:fldCharType="separate"/>
            </w:r>
            <w:r w:rsidRPr="00FC1212">
              <w:rPr>
                <w:rStyle w:val="Hyperlink"/>
                <w:rFonts w:asciiTheme="minorHAnsi" w:hAnsiTheme="minorHAnsi" w:cstheme="minorHAnsi"/>
              </w:rPr>
              <w:t>Southern California Edison's Plug Load and Appliance Program, Program Year 2021</w:t>
            </w:r>
            <w:r w:rsidRPr="00FC1212">
              <w:rPr>
                <w:rFonts w:cstheme="minorHAnsi"/>
              </w:rPr>
              <w:fldChar w:fldCharType="end"/>
            </w:r>
            <w:bookmarkEnd w:id="181"/>
          </w:p>
        </w:tc>
        <w:tc>
          <w:tcPr>
            <w:tcW w:w="3047" w:type="pct"/>
            <w:tcBorders>
              <w:top w:val="single" w:color="auto" w:sz="4" w:space="0"/>
              <w:left w:val="single" w:color="auto" w:sz="4" w:space="0"/>
              <w:bottom w:val="single" w:color="auto" w:sz="4" w:space="0"/>
              <w:right w:val="single" w:color="auto" w:sz="4" w:space="0"/>
            </w:tcBorders>
          </w:tcPr>
          <w:p w:rsidRPr="004471F7" w:rsidR="004471F7" w:rsidP="00222BCF" w:rsidRDefault="004471F7" w14:paraId="561842A9" w14:textId="77777777">
            <w:pPr>
              <w:pStyle w:val="NormalinTable"/>
            </w:pPr>
            <w:r w:rsidRPr="004471F7">
              <w:t>SWHC044 – Ductless HVAC, Residential, Fuel Substitution</w:t>
            </w:r>
          </w:p>
          <w:p w:rsidRPr="004471F7" w:rsidR="004471F7" w:rsidP="00222BCF" w:rsidRDefault="004471F7" w14:paraId="7BC22522" w14:textId="77777777">
            <w:pPr>
              <w:pStyle w:val="NormalinTable"/>
            </w:pPr>
            <w:r w:rsidRPr="004471F7">
              <w:t>SWHC045 – Heat Pump HVAC, Residential, Fuel Substitution</w:t>
            </w:r>
          </w:p>
          <w:p w:rsidRPr="004471F7" w:rsidR="004471F7" w:rsidP="00222BCF" w:rsidRDefault="004471F7" w14:paraId="62177E17" w14:textId="77777777">
            <w:pPr>
              <w:pStyle w:val="NormalinTable"/>
            </w:pPr>
            <w:r w:rsidRPr="004471F7">
              <w:t>SWHC050 – Ductless Heat Pump, Residential</w:t>
            </w:r>
          </w:p>
          <w:p w:rsidRPr="004471F7" w:rsidR="004471F7" w:rsidP="00222BCF" w:rsidRDefault="004471F7" w14:paraId="3A4D1232" w14:textId="77777777">
            <w:pPr>
              <w:pStyle w:val="NormalinTable"/>
            </w:pPr>
            <w:r w:rsidRPr="004471F7">
              <w:t>SWWH025 – Heat Pump Water Heater, Residential, Fuel Substitution</w:t>
            </w:r>
          </w:p>
        </w:tc>
      </w:tr>
      <w:tr w:rsidRPr="004471F7" w:rsidR="004471F7" w:rsidTr="009F155D" w14:paraId="5A6A64AB" w14:textId="77777777">
        <w:trPr>
          <w:cantSplit/>
          <w:trHeight w:val="426"/>
        </w:trPr>
        <w:tc>
          <w:tcPr>
            <w:tcW w:w="429" w:type="pct"/>
            <w:tcBorders>
              <w:top w:val="single" w:color="auto" w:sz="4" w:space="0"/>
              <w:left w:val="single" w:color="auto" w:sz="4" w:space="0"/>
              <w:bottom w:val="single" w:color="auto" w:sz="4" w:space="0"/>
              <w:right w:val="single" w:color="auto" w:sz="4" w:space="0"/>
            </w:tcBorders>
          </w:tcPr>
          <w:p w:rsidRPr="004471F7" w:rsidR="004471F7" w:rsidP="00222BCF" w:rsidRDefault="004471F7" w14:paraId="1014C023" w14:textId="77777777">
            <w:pPr>
              <w:pStyle w:val="NormalinTable"/>
            </w:pPr>
            <w:r w:rsidRPr="004471F7">
              <w:lastRenderedPageBreak/>
              <w:t>8</w:t>
            </w:r>
          </w:p>
        </w:tc>
        <w:tc>
          <w:tcPr>
            <w:tcW w:w="1524" w:type="pct"/>
            <w:tcBorders>
              <w:top w:val="single" w:color="auto" w:sz="4" w:space="0"/>
              <w:left w:val="single" w:color="auto" w:sz="4" w:space="0"/>
              <w:bottom w:val="single" w:color="auto" w:sz="4" w:space="0"/>
              <w:right w:val="single" w:color="auto" w:sz="4" w:space="0"/>
            </w:tcBorders>
          </w:tcPr>
          <w:p w:rsidRPr="00DF5DA6" w:rsidR="004471F7" w:rsidP="00222BCF" w:rsidRDefault="004471F7" w14:paraId="071BA695" w14:textId="610EA344">
            <w:pPr>
              <w:pStyle w:val="NormalinTable"/>
              <w:rPr>
                <w:rFonts w:cstheme="minorHAnsi"/>
              </w:rPr>
            </w:pPr>
            <w:hyperlink w:history="1" r:id="rId32">
              <w:r w:rsidRPr="00DF5DA6">
                <w:rPr>
                  <w:rStyle w:val="Hyperlink"/>
                  <w:rFonts w:asciiTheme="minorHAnsi" w:hAnsiTheme="minorHAnsi" w:cstheme="minorHAnsi"/>
                </w:rPr>
                <w:t>Local Third Party Programs Impact Evaluation, Program Year 2022</w:t>
              </w:r>
            </w:hyperlink>
          </w:p>
        </w:tc>
        <w:tc>
          <w:tcPr>
            <w:tcW w:w="3047" w:type="pct"/>
            <w:tcBorders>
              <w:top w:val="single" w:color="auto" w:sz="4" w:space="0"/>
              <w:left w:val="single" w:color="auto" w:sz="4" w:space="0"/>
              <w:bottom w:val="single" w:color="auto" w:sz="4" w:space="0"/>
              <w:right w:val="single" w:color="auto" w:sz="4" w:space="0"/>
            </w:tcBorders>
          </w:tcPr>
          <w:p w:rsidRPr="004471F7" w:rsidR="004471F7" w:rsidP="00222BCF" w:rsidRDefault="004471F7" w14:paraId="4AD24785" w14:textId="77777777">
            <w:pPr>
              <w:pStyle w:val="NormalinTable"/>
            </w:pPr>
            <w:r w:rsidRPr="004471F7">
              <w:t>SWAP012 – Gas Dryer Modulating Valve, Commercial and Multifamily</w:t>
            </w:r>
          </w:p>
          <w:p w:rsidRPr="004471F7" w:rsidR="004471F7" w:rsidP="00222BCF" w:rsidRDefault="004471F7" w14:paraId="000E854C" w14:textId="77777777">
            <w:pPr>
              <w:pStyle w:val="NormalinTable"/>
            </w:pPr>
            <w:r w:rsidRPr="004471F7">
              <w:t>SWCR018 – Reach-In Refrigerator or Freezer, Commercial</w:t>
            </w:r>
          </w:p>
          <w:p w:rsidRPr="004471F7" w:rsidR="004471F7" w:rsidP="00222BCF" w:rsidRDefault="004471F7" w14:paraId="481C6F21" w14:textId="77777777">
            <w:pPr>
              <w:pStyle w:val="NormalinTable"/>
            </w:pPr>
            <w:r w:rsidRPr="004471F7">
              <w:t>SWFS003 – Combination Oven, Commercial</w:t>
            </w:r>
          </w:p>
          <w:p w:rsidRPr="004471F7" w:rsidR="004471F7" w:rsidP="00222BCF" w:rsidRDefault="004471F7" w14:paraId="05E01983" w14:textId="77777777">
            <w:pPr>
              <w:pStyle w:val="NormalinTable"/>
            </w:pPr>
            <w:r w:rsidRPr="004471F7">
              <w:t>SWFS006 – Ice Machine, Commercial</w:t>
            </w:r>
          </w:p>
          <w:p w:rsidRPr="004471F7" w:rsidR="004471F7" w:rsidP="00222BCF" w:rsidRDefault="004471F7" w14:paraId="013F7383" w14:textId="77777777">
            <w:pPr>
              <w:pStyle w:val="NormalinTable"/>
            </w:pPr>
            <w:r w:rsidRPr="004471F7">
              <w:t>SWHC029 – Fan Controller for Air Conditioner, Residential</w:t>
            </w:r>
          </w:p>
          <w:p w:rsidRPr="004471F7" w:rsidR="004471F7" w:rsidP="00222BCF" w:rsidRDefault="004471F7" w14:paraId="7A3F0F8D" w14:textId="77777777">
            <w:pPr>
              <w:pStyle w:val="NormalinTable"/>
            </w:pPr>
            <w:r w:rsidRPr="004471F7">
              <w:t>SWHC038 – Brushless Fan Motor Replacement, Residential</w:t>
            </w:r>
          </w:p>
          <w:p w:rsidRPr="004471F7" w:rsidR="004471F7" w:rsidP="00222BCF" w:rsidRDefault="004471F7" w14:paraId="60447F72" w14:textId="77777777">
            <w:pPr>
              <w:pStyle w:val="NormalinTable"/>
            </w:pPr>
            <w:r w:rsidRPr="004471F7">
              <w:t>SWHC039 – Smart Thermostat, Residential</w:t>
            </w:r>
          </w:p>
          <w:p w:rsidRPr="004471F7" w:rsidR="004471F7" w:rsidP="00222BCF" w:rsidRDefault="004471F7" w14:paraId="3EDA1B18" w14:textId="77777777">
            <w:pPr>
              <w:pStyle w:val="NormalinTable"/>
            </w:pPr>
            <w:r w:rsidRPr="004471F7">
              <w:t>SWLG009 – LED, Tube, Type A</w:t>
            </w:r>
          </w:p>
          <w:p w:rsidRPr="004471F7" w:rsidR="004471F7" w:rsidP="00222BCF" w:rsidRDefault="004471F7" w14:paraId="504E4A06" w14:textId="77777777">
            <w:pPr>
              <w:pStyle w:val="NormalinTable"/>
            </w:pPr>
            <w:r w:rsidRPr="004471F7">
              <w:t>SWLG018 – LED, Tube, Type B and C</w:t>
            </w:r>
          </w:p>
          <w:p w:rsidRPr="004471F7" w:rsidR="004471F7" w:rsidP="00222BCF" w:rsidRDefault="004471F7" w14:paraId="667AAE01" w14:textId="77777777">
            <w:pPr>
              <w:pStyle w:val="NormalinTable"/>
            </w:pPr>
            <w:r w:rsidRPr="004471F7">
              <w:t>SWPR003 – Steam Trap, Commercial</w:t>
            </w:r>
          </w:p>
          <w:p w:rsidRPr="004471F7" w:rsidR="004471F7" w:rsidP="00222BCF" w:rsidRDefault="004471F7" w14:paraId="0B7256CD" w14:textId="77777777">
            <w:pPr>
              <w:pStyle w:val="NormalinTable"/>
            </w:pPr>
            <w:r w:rsidRPr="004471F7">
              <w:t>SWSV001 – Duct Seal, Residential</w:t>
            </w:r>
          </w:p>
          <w:p w:rsidRPr="004471F7" w:rsidR="004471F7" w:rsidP="00222BCF" w:rsidRDefault="004471F7" w14:paraId="3C78A24E" w14:textId="77777777">
            <w:pPr>
              <w:pStyle w:val="NormalinTable"/>
            </w:pPr>
            <w:r w:rsidRPr="004471F7">
              <w:t>SWWH001 – Faucet Aerator, Residential</w:t>
            </w:r>
          </w:p>
          <w:p w:rsidRPr="004471F7" w:rsidR="004471F7" w:rsidP="00222BCF" w:rsidRDefault="004471F7" w14:paraId="7AF76E23" w14:textId="77777777">
            <w:pPr>
              <w:pStyle w:val="NormalinTable"/>
            </w:pPr>
            <w:r w:rsidRPr="004471F7">
              <w:t>SWWH002 – Low-Flow Showerhead, Residential</w:t>
            </w:r>
          </w:p>
          <w:p w:rsidRPr="004471F7" w:rsidR="004471F7" w:rsidP="00222BCF" w:rsidRDefault="004471F7" w14:paraId="014932D3" w14:textId="77777777">
            <w:pPr>
              <w:pStyle w:val="NormalinTable"/>
            </w:pPr>
            <w:r w:rsidRPr="004471F7">
              <w:t>SWWH003 – TSV with and without an Integrated Low-Flow Showerhead, Residential</w:t>
            </w:r>
          </w:p>
          <w:p w:rsidRPr="004471F7" w:rsidR="004471F7" w:rsidP="00222BCF" w:rsidRDefault="004471F7" w14:paraId="702F70BD" w14:textId="77777777">
            <w:pPr>
              <w:pStyle w:val="NormalinTable"/>
            </w:pPr>
            <w:r w:rsidRPr="004471F7">
              <w:t>SWWH006 – Tankless Water Heater, Commercial</w:t>
            </w:r>
          </w:p>
          <w:p w:rsidRPr="004471F7" w:rsidR="004471F7" w:rsidP="00222BCF" w:rsidRDefault="004471F7" w14:paraId="6704E351" w14:textId="77777777">
            <w:pPr>
              <w:pStyle w:val="NormalinTable"/>
            </w:pPr>
            <w:r w:rsidRPr="004471F7">
              <w:t>SWWH013 – Tankless Water Heater, Residential</w:t>
            </w:r>
          </w:p>
          <w:p w:rsidRPr="004471F7" w:rsidR="004471F7" w:rsidP="00222BCF" w:rsidRDefault="004471F7" w14:paraId="41918BF1" w14:textId="77777777">
            <w:pPr>
              <w:pStyle w:val="NormalinTable"/>
            </w:pPr>
            <w:r w:rsidRPr="004471F7">
              <w:t>SWWH015 – Demand Control for Centralized Water Heater Recirculation Pump, Multifamily &amp; Commercial</w:t>
            </w:r>
          </w:p>
          <w:p w:rsidRPr="004471F7" w:rsidR="004471F7" w:rsidP="00222BCF" w:rsidRDefault="004471F7" w14:paraId="07B27D83" w14:textId="77777777">
            <w:pPr>
              <w:pStyle w:val="NormalinTable"/>
            </w:pPr>
            <w:r w:rsidRPr="004471F7">
              <w:t>SWWH016 – Domestic Hot Water Loop Temperature Controller, Multifamily &amp; Commercial</w:t>
            </w:r>
          </w:p>
          <w:p w:rsidRPr="004471F7" w:rsidR="004471F7" w:rsidP="00222BCF" w:rsidRDefault="004471F7" w14:paraId="6585BFB6" w14:textId="77777777">
            <w:pPr>
              <w:pStyle w:val="NormalinTable"/>
            </w:pPr>
            <w:r w:rsidRPr="004471F7">
              <w:t>SWWH017 – Hot Water Pipe Insulation, Nonresidential &amp; Multifamily</w:t>
            </w:r>
          </w:p>
          <w:p w:rsidRPr="004471F7" w:rsidR="004471F7" w:rsidP="00222BCF" w:rsidRDefault="004471F7" w14:paraId="5718A100" w14:textId="77777777">
            <w:pPr>
              <w:pStyle w:val="NormalinTable"/>
            </w:pPr>
            <w:r w:rsidRPr="004471F7">
              <w:t>SWWH018 – Hot Water Tank Insulation, Nonresidential &amp; Multifamily</w:t>
            </w:r>
          </w:p>
          <w:p w:rsidRPr="004471F7" w:rsidR="004471F7" w:rsidP="00222BCF" w:rsidRDefault="004471F7" w14:paraId="66E56ED0" w14:textId="77777777">
            <w:pPr>
              <w:pStyle w:val="NormalinTable"/>
            </w:pPr>
            <w:r w:rsidRPr="004471F7">
              <w:t>SWWH023 – Diverting Tub Spout with TSV, Residential</w:t>
            </w:r>
          </w:p>
          <w:p w:rsidRPr="004471F7" w:rsidR="004471F7" w:rsidP="00222BCF" w:rsidRDefault="004471F7" w14:paraId="0AD91E66" w14:textId="77777777">
            <w:pPr>
              <w:pStyle w:val="NormalinTable"/>
            </w:pPr>
            <w:r w:rsidRPr="004471F7">
              <w:t>SWWH025 – Heat Pump Water Heater, Residential, Fuel Substitution</w:t>
            </w:r>
          </w:p>
          <w:p w:rsidRPr="004471F7" w:rsidR="004471F7" w:rsidP="00222BCF" w:rsidRDefault="004471F7" w14:paraId="466FD3B2" w14:textId="77777777">
            <w:pPr>
              <w:pStyle w:val="NormalinTable"/>
            </w:pPr>
            <w:r w:rsidRPr="004471F7">
              <w:t>SWWH026 – Water Heater Pipe Wrap, Residential</w:t>
            </w:r>
          </w:p>
          <w:p w:rsidRPr="004471F7" w:rsidR="004471F7" w:rsidP="00222BCF" w:rsidRDefault="004471F7" w14:paraId="4B1926AF" w14:textId="77777777">
            <w:pPr>
              <w:pStyle w:val="NormalinTable"/>
            </w:pPr>
            <w:r w:rsidRPr="004471F7">
              <w:t>SWWH027 – Heat Pump Water Heater, Commercial, Fuel Substitution</w:t>
            </w:r>
          </w:p>
          <w:p w:rsidRPr="004471F7" w:rsidR="004471F7" w:rsidP="00222BCF" w:rsidRDefault="004471F7" w14:paraId="1EEDEB4E" w14:textId="77777777">
            <w:pPr>
              <w:pStyle w:val="NormalinTable"/>
            </w:pPr>
            <w:r w:rsidRPr="004471F7">
              <w:t>SWWH028 – Large Heat Pump Water Heater, Commercial and Multifamily, Fuel Substitution</w:t>
            </w:r>
          </w:p>
          <w:p w:rsidRPr="004471F7" w:rsidR="004471F7" w:rsidP="00222BCF" w:rsidRDefault="004471F7" w14:paraId="2868E01C" w14:textId="77777777">
            <w:pPr>
              <w:pStyle w:val="NormalinTable"/>
            </w:pPr>
            <w:r w:rsidRPr="004471F7">
              <w:t>SWWH031 – Heat Pump Water Heater, Commercial</w:t>
            </w:r>
          </w:p>
        </w:tc>
      </w:tr>
      <w:tr w:rsidRPr="004471F7" w:rsidR="004471F7" w:rsidTr="009F155D" w14:paraId="0A7AA8B0" w14:textId="77777777">
        <w:trPr>
          <w:cantSplit/>
          <w:trHeight w:val="426"/>
        </w:trPr>
        <w:tc>
          <w:tcPr>
            <w:tcW w:w="429" w:type="pct"/>
            <w:tcBorders>
              <w:top w:val="single" w:color="auto" w:sz="4" w:space="0"/>
              <w:left w:val="single" w:color="auto" w:sz="4" w:space="0"/>
              <w:bottom w:val="single" w:color="auto" w:sz="4" w:space="0"/>
              <w:right w:val="single" w:color="auto" w:sz="4" w:space="0"/>
            </w:tcBorders>
          </w:tcPr>
          <w:p w:rsidRPr="004471F7" w:rsidR="004471F7" w:rsidP="00222BCF" w:rsidRDefault="004471F7" w14:paraId="3EA4CD70" w14:textId="77777777">
            <w:pPr>
              <w:pStyle w:val="NormalinTable"/>
            </w:pPr>
            <w:r w:rsidRPr="004471F7">
              <w:lastRenderedPageBreak/>
              <w:t>9</w:t>
            </w:r>
          </w:p>
        </w:tc>
        <w:tc>
          <w:tcPr>
            <w:tcW w:w="1524" w:type="pct"/>
            <w:tcBorders>
              <w:top w:val="single" w:color="auto" w:sz="4" w:space="0"/>
              <w:left w:val="single" w:color="auto" w:sz="4" w:space="0"/>
              <w:bottom w:val="single" w:color="auto" w:sz="4" w:space="0"/>
              <w:right w:val="single" w:color="auto" w:sz="4" w:space="0"/>
            </w:tcBorders>
          </w:tcPr>
          <w:p w:rsidRPr="00DF5DA6" w:rsidR="004471F7" w:rsidP="00222BCF" w:rsidRDefault="004471F7" w14:paraId="536A08F2" w14:textId="022F70DD">
            <w:pPr>
              <w:pStyle w:val="NormalinTable"/>
              <w:rPr>
                <w:rFonts w:cstheme="minorHAnsi"/>
              </w:rPr>
            </w:pPr>
            <w:hyperlink w:history="1" w:anchor="!/documents/3969/view" r:id="rId33">
              <w:r w:rsidRPr="00DF5DA6">
                <w:rPr>
                  <w:rStyle w:val="Hyperlink"/>
                  <w:rFonts w:asciiTheme="minorHAnsi" w:hAnsiTheme="minorHAnsi" w:cstheme="minorHAnsi"/>
                </w:rPr>
                <w:t>Regional Energy Networks Evaluation, Program Year 2022</w:t>
              </w:r>
            </w:hyperlink>
          </w:p>
        </w:tc>
        <w:tc>
          <w:tcPr>
            <w:tcW w:w="3047" w:type="pct"/>
            <w:tcBorders>
              <w:top w:val="single" w:color="auto" w:sz="4" w:space="0"/>
              <w:left w:val="single" w:color="auto" w:sz="4" w:space="0"/>
              <w:bottom w:val="single" w:color="auto" w:sz="4" w:space="0"/>
              <w:right w:val="single" w:color="auto" w:sz="4" w:space="0"/>
            </w:tcBorders>
          </w:tcPr>
          <w:p w:rsidRPr="004471F7" w:rsidR="004471F7" w:rsidP="00222BCF" w:rsidRDefault="004471F7" w14:paraId="25E5FBCA" w14:textId="77777777">
            <w:pPr>
              <w:pStyle w:val="NormalinTable"/>
            </w:pPr>
            <w:r w:rsidRPr="004471F7">
              <w:t>SWAP004 – Clothes Washer, Residential</w:t>
            </w:r>
          </w:p>
          <w:p w:rsidRPr="004471F7" w:rsidR="004471F7" w:rsidP="00222BCF" w:rsidRDefault="004471F7" w14:paraId="02F93FFD" w14:textId="77777777">
            <w:pPr>
              <w:pStyle w:val="NormalinTable"/>
            </w:pPr>
            <w:r w:rsidRPr="004471F7">
              <w:t>SWAP006 – Dishwasher, Residential</w:t>
            </w:r>
          </w:p>
          <w:p w:rsidRPr="004471F7" w:rsidR="004471F7" w:rsidP="00222BCF" w:rsidRDefault="004471F7" w14:paraId="2F188AF4" w14:textId="77777777">
            <w:pPr>
              <w:pStyle w:val="NormalinTable"/>
            </w:pPr>
            <w:r w:rsidRPr="004471F7">
              <w:t>SWAP010 – Smart Connected Power Strip</w:t>
            </w:r>
          </w:p>
          <w:p w:rsidRPr="004471F7" w:rsidR="004471F7" w:rsidP="00222BCF" w:rsidRDefault="004471F7" w14:paraId="5B977567" w14:textId="77777777">
            <w:pPr>
              <w:pStyle w:val="NormalinTable"/>
            </w:pPr>
            <w:r w:rsidRPr="004471F7">
              <w:t>SWAP013 – Cooking Appliances, Residential, Fuel Substitution</w:t>
            </w:r>
          </w:p>
          <w:p w:rsidRPr="004471F7" w:rsidR="004471F7" w:rsidP="00222BCF" w:rsidRDefault="004471F7" w14:paraId="5C7FDB30" w14:textId="77777777">
            <w:pPr>
              <w:pStyle w:val="NormalinTable"/>
            </w:pPr>
            <w:r w:rsidRPr="004471F7">
              <w:t>SWAP014 – Heat Pump Clothes Dryer, Residential, Fuel Substitution</w:t>
            </w:r>
          </w:p>
          <w:p w:rsidRPr="004471F7" w:rsidR="004471F7" w:rsidP="00222BCF" w:rsidRDefault="004471F7" w14:paraId="3008BA6C" w14:textId="77777777">
            <w:pPr>
              <w:pStyle w:val="NormalinTable"/>
            </w:pPr>
            <w:r w:rsidRPr="004471F7">
              <w:t>SWBE006 – Ceiling Insulation, Residential</w:t>
            </w:r>
          </w:p>
          <w:p w:rsidRPr="004471F7" w:rsidR="004471F7" w:rsidP="00222BCF" w:rsidRDefault="004471F7" w14:paraId="59E48FFC" w14:textId="77777777">
            <w:pPr>
              <w:pStyle w:val="NormalinTable"/>
            </w:pPr>
            <w:r w:rsidRPr="004471F7">
              <w:t>SWBE007 – Wall Insulation, Residential</w:t>
            </w:r>
          </w:p>
          <w:p w:rsidRPr="004471F7" w:rsidR="004471F7" w:rsidP="00222BCF" w:rsidRDefault="004471F7" w14:paraId="30748CB7" w14:textId="77777777">
            <w:pPr>
              <w:pStyle w:val="NormalinTable"/>
            </w:pPr>
            <w:r w:rsidRPr="004471F7">
              <w:t>SWHC005 – Water-Cooled Chiller</w:t>
            </w:r>
          </w:p>
          <w:p w:rsidRPr="004471F7" w:rsidR="004471F7" w:rsidP="00222BCF" w:rsidRDefault="004471F7" w14:paraId="02471DFA" w14:textId="77777777">
            <w:pPr>
              <w:pStyle w:val="NormalinTable"/>
            </w:pPr>
            <w:r w:rsidRPr="004471F7">
              <w:t>SWHC031 – Furnace, Residential</w:t>
            </w:r>
          </w:p>
          <w:p w:rsidRPr="004471F7" w:rsidR="004471F7" w:rsidP="00222BCF" w:rsidRDefault="004471F7" w14:paraId="7D55BCF5" w14:textId="77777777">
            <w:pPr>
              <w:pStyle w:val="NormalinTable"/>
            </w:pPr>
            <w:r w:rsidRPr="004471F7">
              <w:t>SWHC039 – Smart Thermostat, Residential</w:t>
            </w:r>
          </w:p>
          <w:p w:rsidRPr="004471F7" w:rsidR="004471F7" w:rsidP="00222BCF" w:rsidRDefault="004471F7" w14:paraId="5D3F0B99" w14:textId="77777777">
            <w:pPr>
              <w:pStyle w:val="NormalinTable"/>
            </w:pPr>
            <w:r w:rsidRPr="004471F7">
              <w:t>SWHC044 – Ductless HVAC, Residential, Fuel Substitution</w:t>
            </w:r>
          </w:p>
          <w:p w:rsidRPr="004471F7" w:rsidR="004471F7" w:rsidP="00222BCF" w:rsidRDefault="004471F7" w14:paraId="56ACE271" w14:textId="77777777">
            <w:pPr>
              <w:pStyle w:val="NormalinTable"/>
            </w:pPr>
            <w:r w:rsidRPr="004471F7">
              <w:t>SWHC045 – Heat Pump HVAC, Residential, Fuel Substitution</w:t>
            </w:r>
          </w:p>
          <w:p w:rsidRPr="004471F7" w:rsidR="004471F7" w:rsidP="00222BCF" w:rsidRDefault="004471F7" w14:paraId="4177FE8A" w14:textId="77777777">
            <w:pPr>
              <w:pStyle w:val="NormalinTable"/>
            </w:pPr>
            <w:r w:rsidRPr="004471F7">
              <w:t>SWHC049 – SEER Rated AC and HP HVAC Equipment, Residential</w:t>
            </w:r>
          </w:p>
          <w:p w:rsidRPr="004471F7" w:rsidR="004471F7" w:rsidP="00222BCF" w:rsidRDefault="004471F7" w14:paraId="336CC6C8" w14:textId="77777777">
            <w:pPr>
              <w:pStyle w:val="NormalinTable"/>
            </w:pPr>
            <w:r w:rsidRPr="004471F7">
              <w:t>SWRE003 – Heater for Pool or Spa, Commercial and Multifamily</w:t>
            </w:r>
          </w:p>
          <w:p w:rsidRPr="004471F7" w:rsidR="004471F7" w:rsidP="00222BCF" w:rsidRDefault="004471F7" w14:paraId="6F12A78B" w14:textId="77777777">
            <w:pPr>
              <w:pStyle w:val="NormalinTable"/>
            </w:pPr>
            <w:r w:rsidRPr="004471F7">
              <w:t>SWSV001 – Duct Seal, Residential</w:t>
            </w:r>
          </w:p>
          <w:p w:rsidRPr="004471F7" w:rsidR="004471F7" w:rsidP="00222BCF" w:rsidRDefault="004471F7" w14:paraId="39B264E0" w14:textId="77777777">
            <w:pPr>
              <w:pStyle w:val="NormalinTable"/>
            </w:pPr>
            <w:r w:rsidRPr="004471F7">
              <w:t>SWWH001 – Faucet Aerator, Residential</w:t>
            </w:r>
          </w:p>
          <w:p w:rsidRPr="004471F7" w:rsidR="004471F7" w:rsidP="00222BCF" w:rsidRDefault="004471F7" w14:paraId="0BD4B614" w14:textId="77777777">
            <w:pPr>
              <w:pStyle w:val="NormalinTable"/>
            </w:pPr>
            <w:r w:rsidRPr="004471F7">
              <w:t>SWWH002 – Low-Flow Showerhead, Residential</w:t>
            </w:r>
          </w:p>
          <w:p w:rsidRPr="004471F7" w:rsidR="004471F7" w:rsidP="00222BCF" w:rsidRDefault="004471F7" w14:paraId="7A59C26D" w14:textId="77777777">
            <w:pPr>
              <w:pStyle w:val="NormalinTable"/>
            </w:pPr>
            <w:r w:rsidRPr="004471F7">
              <w:t>SWWH012 – Storage Water Heater, Residential</w:t>
            </w:r>
          </w:p>
          <w:p w:rsidRPr="004471F7" w:rsidR="004471F7" w:rsidP="00222BCF" w:rsidRDefault="004471F7" w14:paraId="6084D365" w14:textId="77777777">
            <w:pPr>
              <w:pStyle w:val="NormalinTable"/>
            </w:pPr>
            <w:r w:rsidRPr="004471F7">
              <w:t>SWWH013 – Tankless Water Heater, Residential</w:t>
            </w:r>
          </w:p>
          <w:p w:rsidRPr="004471F7" w:rsidR="004471F7" w:rsidP="00222BCF" w:rsidRDefault="004471F7" w14:paraId="62AEB703" w14:textId="77777777">
            <w:pPr>
              <w:pStyle w:val="NormalinTable"/>
            </w:pPr>
            <w:r w:rsidRPr="004471F7">
              <w:t>SWWH014 – Heat Pump Water Heater, Residential</w:t>
            </w:r>
          </w:p>
          <w:p w:rsidRPr="004471F7" w:rsidR="004471F7" w:rsidP="00222BCF" w:rsidRDefault="004471F7" w14:paraId="63AFC874" w14:textId="77777777">
            <w:pPr>
              <w:pStyle w:val="NormalinTable"/>
            </w:pPr>
            <w:r w:rsidRPr="004471F7">
              <w:t>SWWH015 – Demand Control for Centralized Water Heater Recirculation Pump, Multifamily &amp; Commercial</w:t>
            </w:r>
          </w:p>
          <w:p w:rsidRPr="004471F7" w:rsidR="004471F7" w:rsidP="00222BCF" w:rsidRDefault="004471F7" w14:paraId="69A9E63A" w14:textId="77777777">
            <w:pPr>
              <w:pStyle w:val="NormalinTable"/>
            </w:pPr>
            <w:r w:rsidRPr="004471F7">
              <w:t>SWWH017 – Hot Water Pipe Insulation, Nonresidential &amp; Multifamily</w:t>
            </w:r>
          </w:p>
          <w:p w:rsidRPr="004471F7" w:rsidR="004471F7" w:rsidP="00222BCF" w:rsidRDefault="004471F7" w14:paraId="2F6D2D96" w14:textId="42DC1B2E">
            <w:pPr>
              <w:pStyle w:val="NormalinTable"/>
            </w:pPr>
            <w:r w:rsidRPr="004471F7">
              <w:t>SWWH025 – Heat Pump Water Heater, Residential, Fuel Substitution</w:t>
            </w:r>
          </w:p>
        </w:tc>
      </w:tr>
      <w:tr w:rsidRPr="004471F7" w:rsidR="004471F7" w:rsidTr="009F155D" w14:paraId="57B69EC9" w14:textId="77777777">
        <w:trPr>
          <w:cantSplit/>
          <w:trHeight w:val="426"/>
        </w:trPr>
        <w:tc>
          <w:tcPr>
            <w:tcW w:w="429" w:type="pct"/>
            <w:tcBorders>
              <w:top w:val="single" w:color="auto" w:sz="4" w:space="0"/>
              <w:left w:val="single" w:color="auto" w:sz="4" w:space="0"/>
              <w:bottom w:val="single" w:color="auto" w:sz="4" w:space="0"/>
              <w:right w:val="single" w:color="auto" w:sz="4" w:space="0"/>
            </w:tcBorders>
          </w:tcPr>
          <w:p w:rsidRPr="004471F7" w:rsidR="004471F7" w:rsidP="00222BCF" w:rsidRDefault="004471F7" w14:paraId="1EA62F92" w14:textId="77777777">
            <w:pPr>
              <w:pStyle w:val="NormalinTable"/>
            </w:pPr>
            <w:r w:rsidRPr="004471F7">
              <w:lastRenderedPageBreak/>
              <w:t>10</w:t>
            </w:r>
          </w:p>
        </w:tc>
        <w:tc>
          <w:tcPr>
            <w:tcW w:w="1524" w:type="pct"/>
            <w:tcBorders>
              <w:top w:val="single" w:color="auto" w:sz="4" w:space="0"/>
              <w:left w:val="single" w:color="auto" w:sz="4" w:space="0"/>
              <w:bottom w:val="single" w:color="auto" w:sz="4" w:space="0"/>
              <w:right w:val="single" w:color="auto" w:sz="4" w:space="0"/>
            </w:tcBorders>
          </w:tcPr>
          <w:p w:rsidRPr="00DF5DA6" w:rsidR="004471F7" w:rsidP="00222BCF" w:rsidRDefault="004471F7" w14:paraId="687BC064" w14:textId="15EBFA32">
            <w:pPr>
              <w:pStyle w:val="NormalinTable"/>
              <w:rPr>
                <w:rFonts w:cstheme="minorHAnsi"/>
              </w:rPr>
            </w:pPr>
            <w:hyperlink w:history="1" w:anchor="!/documents/3992/view" r:id="rId34">
              <w:r w:rsidRPr="00DF5DA6">
                <w:rPr>
                  <w:rStyle w:val="Hyperlink"/>
                  <w:rFonts w:asciiTheme="minorHAnsi" w:hAnsiTheme="minorHAnsi" w:cstheme="minorHAnsi"/>
                </w:rPr>
                <w:t>Third-Party Commercial Program Evaluation, Program Year 2022</w:t>
              </w:r>
            </w:hyperlink>
          </w:p>
        </w:tc>
        <w:tc>
          <w:tcPr>
            <w:tcW w:w="3047" w:type="pct"/>
            <w:tcBorders>
              <w:top w:val="single" w:color="auto" w:sz="4" w:space="0"/>
              <w:left w:val="single" w:color="auto" w:sz="4" w:space="0"/>
              <w:bottom w:val="single" w:color="auto" w:sz="4" w:space="0"/>
              <w:right w:val="single" w:color="auto" w:sz="4" w:space="0"/>
            </w:tcBorders>
          </w:tcPr>
          <w:p w:rsidRPr="004471F7" w:rsidR="004471F7" w:rsidP="00222BCF" w:rsidRDefault="004471F7" w14:paraId="6E9099B0" w14:textId="77777777">
            <w:pPr>
              <w:pStyle w:val="NormalinTable"/>
            </w:pPr>
            <w:r w:rsidRPr="004471F7">
              <w:t>SWCR001 – Anti-Sweat Heater Controls</w:t>
            </w:r>
          </w:p>
          <w:p w:rsidRPr="004471F7" w:rsidR="004471F7" w:rsidP="00222BCF" w:rsidRDefault="004471F7" w14:paraId="3C64DB37" w14:textId="77777777">
            <w:pPr>
              <w:pStyle w:val="NormalinTable"/>
            </w:pPr>
            <w:r w:rsidRPr="004471F7">
              <w:t>SWCR004 – ECM Retrofit for a Walk-in Cooler or Freezer</w:t>
            </w:r>
          </w:p>
          <w:p w:rsidRPr="004471F7" w:rsidR="004471F7" w:rsidP="00222BCF" w:rsidRDefault="004471F7" w14:paraId="043AA493" w14:textId="77777777">
            <w:pPr>
              <w:pStyle w:val="NormalinTable"/>
            </w:pPr>
            <w:r w:rsidRPr="004471F7">
              <w:t>SWCR005 – Auto Closer for Refrigerated Storage Door</w:t>
            </w:r>
          </w:p>
          <w:p w:rsidRPr="004471F7" w:rsidR="004471F7" w:rsidP="00222BCF" w:rsidRDefault="004471F7" w14:paraId="58C85BD7" w14:textId="77777777">
            <w:pPr>
              <w:pStyle w:val="NormalinTable"/>
            </w:pPr>
            <w:r w:rsidRPr="004471F7">
              <w:t>SWCR015 – Medium-Temperature Case Doors</w:t>
            </w:r>
          </w:p>
          <w:p w:rsidRPr="004471F7" w:rsidR="004471F7" w:rsidP="00222BCF" w:rsidRDefault="004471F7" w14:paraId="1978290A" w14:textId="77777777">
            <w:pPr>
              <w:pStyle w:val="NormalinTable"/>
            </w:pPr>
            <w:r w:rsidRPr="004471F7">
              <w:t>SWHC027 – Package Terminal Air-Conditioner or Heat Pump, Under 24 kBtu/hr</w:t>
            </w:r>
          </w:p>
          <w:p w:rsidRPr="004471F7" w:rsidR="004471F7" w:rsidP="00222BCF" w:rsidRDefault="004471F7" w14:paraId="31CB279F" w14:textId="77777777">
            <w:pPr>
              <w:pStyle w:val="NormalinTable"/>
            </w:pPr>
            <w:r w:rsidRPr="004471F7">
              <w:t>SWHC042 – Evaporative Pre-Cooler System and Controls for Packaged HVAC Unit</w:t>
            </w:r>
          </w:p>
          <w:p w:rsidRPr="004471F7" w:rsidR="004471F7" w:rsidP="00222BCF" w:rsidRDefault="004471F7" w14:paraId="59BBC112" w14:textId="77777777">
            <w:pPr>
              <w:pStyle w:val="NormalinTable"/>
            </w:pPr>
            <w:r w:rsidRPr="004471F7">
              <w:t>SWLG009 – LED, Tube</w:t>
            </w:r>
          </w:p>
          <w:p w:rsidRPr="004471F7" w:rsidR="004471F7" w:rsidP="00222BCF" w:rsidRDefault="004471F7" w14:paraId="12EAC63B" w14:textId="77777777">
            <w:pPr>
              <w:pStyle w:val="NormalinTable"/>
            </w:pPr>
            <w:r w:rsidRPr="004471F7">
              <w:t>SWLG011 – LED, High or Low Bay</w:t>
            </w:r>
          </w:p>
          <w:p w:rsidRPr="004471F7" w:rsidR="004471F7" w:rsidP="00222BCF" w:rsidRDefault="004471F7" w14:paraId="53C36E1E" w14:textId="77777777">
            <w:pPr>
              <w:pStyle w:val="NormalinTable"/>
            </w:pPr>
            <w:r w:rsidRPr="004471F7">
              <w:t>SWLG018 – LED, Tube, Type B and Type C</w:t>
            </w:r>
          </w:p>
          <w:p w:rsidRPr="004471F7" w:rsidR="004471F7" w:rsidP="00222BCF" w:rsidRDefault="004471F7" w14:paraId="0B6466F1" w14:textId="77777777">
            <w:pPr>
              <w:pStyle w:val="NormalinTable"/>
            </w:pPr>
            <w:r w:rsidRPr="004471F7">
              <w:t>SWWH027 – Heat Pump Water Heater, Commercial, Fuel Substitution</w:t>
            </w:r>
          </w:p>
          <w:p w:rsidRPr="004471F7" w:rsidR="004471F7" w:rsidP="00222BCF" w:rsidRDefault="004471F7" w14:paraId="25CDF090" w14:textId="77777777">
            <w:pPr>
              <w:pStyle w:val="NormalinTable"/>
            </w:pPr>
            <w:r w:rsidRPr="004471F7">
              <w:t>SWWH028 – Large Heat Pump Water Heater, Commercial and Multifamily, Fuel Substitution</w:t>
            </w:r>
          </w:p>
          <w:p w:rsidRPr="004471F7" w:rsidR="004471F7" w:rsidP="00222BCF" w:rsidRDefault="004471F7" w14:paraId="689282F3" w14:textId="77777777">
            <w:pPr>
              <w:pStyle w:val="NormalinTable"/>
            </w:pPr>
            <w:r w:rsidRPr="004471F7">
              <w:t>SWWH031 – Heat Pump Water Heater, Commercial</w:t>
            </w:r>
          </w:p>
        </w:tc>
      </w:tr>
    </w:tbl>
    <w:p w:rsidRPr="004471F7" w:rsidR="004471F7" w:rsidP="004471F7" w:rsidRDefault="004471F7" w14:paraId="6D8810C1" w14:textId="77777777"/>
    <w:p w:rsidR="00387119" w:rsidP="00387119" w:rsidRDefault="004471F7" w14:paraId="3F44E45B" w14:textId="0A239B31">
      <w:r w:rsidRPr="004471F7">
        <w:t xml:space="preserve">We only considered EM&amp;V studies that were expected to be final by April 2024. A summary of the recommended updates to gross unit energy savings (UES), and NTGRs resulting from PY2021 and PY2022 impact evaluations is provided in </w:t>
      </w:r>
      <w:r w:rsidRPr="004471F7">
        <w:fldChar w:fldCharType="begin"/>
      </w:r>
      <w:r w:rsidRPr="004471F7">
        <w:instrText xml:space="preserve"> REF _Ref98195326 \h </w:instrText>
      </w:r>
      <w:r w:rsidRPr="004471F7">
        <w:fldChar w:fldCharType="separate"/>
      </w:r>
      <w:r w:rsidRPr="004471F7" w:rsidR="00E812F0">
        <w:t xml:space="preserve">Table </w:t>
      </w:r>
      <w:r w:rsidRPr="006F7D6F" w:rsidR="00E812F0">
        <w:rPr>
          <w:webHidden/>
        </w:rPr>
        <w:t>A-</w:t>
      </w:r>
      <w:r w:rsidR="00E812F0">
        <w:rPr>
          <w:noProof/>
        </w:rPr>
        <w:t>3</w:t>
      </w:r>
      <w:r w:rsidRPr="004471F7" w:rsidR="00E812F0">
        <w:noBreakHyphen/>
      </w:r>
      <w:r w:rsidR="00E812F0">
        <w:rPr>
          <w:noProof/>
        </w:rPr>
        <w:t>6</w:t>
      </w:r>
      <w:r w:rsidRPr="004471F7">
        <w:fldChar w:fldCharType="end"/>
      </w:r>
      <w:r w:rsidRPr="004471F7">
        <w:t xml:space="preserve"> and </w:t>
      </w:r>
      <w:r w:rsidRPr="004471F7">
        <w:fldChar w:fldCharType="begin"/>
      </w:r>
      <w:r w:rsidRPr="004471F7">
        <w:instrText xml:space="preserve"> REF _Ref162914597 \h </w:instrText>
      </w:r>
      <w:r w:rsidRPr="004471F7">
        <w:fldChar w:fldCharType="separate"/>
      </w:r>
      <w:r w:rsidRPr="004471F7" w:rsidR="00E812F0">
        <w:t xml:space="preserve">Table </w:t>
      </w:r>
      <w:r w:rsidRPr="006F7D6F" w:rsidR="00E812F0">
        <w:rPr>
          <w:webHidden/>
        </w:rPr>
        <w:t>A-</w:t>
      </w:r>
      <w:r w:rsidR="00E812F0">
        <w:rPr>
          <w:noProof/>
        </w:rPr>
        <w:t>3</w:t>
      </w:r>
      <w:r w:rsidRPr="004471F7" w:rsidR="00E812F0">
        <w:noBreakHyphen/>
      </w:r>
      <w:r w:rsidR="00E812F0">
        <w:rPr>
          <w:noProof/>
        </w:rPr>
        <w:t>7</w:t>
      </w:r>
      <w:r w:rsidRPr="004471F7">
        <w:fldChar w:fldCharType="end"/>
      </w:r>
      <w:r w:rsidRPr="004471F7">
        <w:t>, respectively.</w:t>
      </w:r>
      <w:r w:rsidR="00387119">
        <w:t xml:space="preserve">  </w:t>
      </w:r>
      <w:r w:rsidRPr="004471F7">
        <w:t xml:space="preserve"> </w:t>
      </w:r>
      <w:r w:rsidR="00387119">
        <w:t>In addition, CPUC staff has the authority to change the Custom project NTG values based on current studies or evaluation results.</w:t>
      </w:r>
    </w:p>
    <w:p w:rsidRPr="004471F7" w:rsidR="004471F7" w:rsidP="004471F7" w:rsidRDefault="004471F7" w14:paraId="17F7BA98" w14:textId="50F956D1"/>
    <w:p w:rsidRPr="004471F7" w:rsidR="004471F7" w:rsidP="00AE3052" w:rsidRDefault="004471F7" w14:paraId="15BE2413" w14:textId="70061159">
      <w:pPr>
        <w:pStyle w:val="Caption"/>
      </w:pPr>
      <w:bookmarkStart w:name="_Ref98195326" w:id="182"/>
      <w:bookmarkStart w:name="_Toc185273174" w:id="183"/>
      <w:bookmarkStart w:name="_Ref97891961" w:id="184"/>
      <w:r w:rsidRPr="004471F7">
        <w:t xml:space="preserve">Table </w:t>
      </w:r>
      <w:r w:rsidRPr="006F7D6F" w:rsidR="006F7D6F">
        <w:rPr>
          <w:webHidden/>
        </w:rPr>
        <w:t>A-</w:t>
      </w:r>
      <w:r>
        <w:fldChar w:fldCharType="begin"/>
      </w:r>
      <w:r>
        <w:instrText>STYLEREF 1 \s</w:instrText>
      </w:r>
      <w:r>
        <w:fldChar w:fldCharType="separate"/>
      </w:r>
      <w:r w:rsidR="00E812F0">
        <w:rPr>
          <w:noProof/>
        </w:rPr>
        <w:t>3</w:t>
      </w:r>
      <w:r>
        <w:fldChar w:fldCharType="end"/>
      </w:r>
      <w:r w:rsidRPr="004471F7">
        <w:noBreakHyphen/>
      </w:r>
      <w:r>
        <w:fldChar w:fldCharType="begin"/>
      </w:r>
      <w:r>
        <w:instrText>SEQ Table \* ARABIC \s 1</w:instrText>
      </w:r>
      <w:r>
        <w:fldChar w:fldCharType="separate"/>
      </w:r>
      <w:r w:rsidR="00E812F0">
        <w:rPr>
          <w:noProof/>
        </w:rPr>
        <w:t>6</w:t>
      </w:r>
      <w:r>
        <w:fldChar w:fldCharType="end"/>
      </w:r>
      <w:bookmarkEnd w:id="182"/>
      <w:r w:rsidRPr="004471F7">
        <w:t>. Proposed UES Parameter Updates Based on EM&amp;V Studies</w:t>
      </w:r>
      <w:bookmarkEnd w:id="183"/>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bottom w:w="14" w:type="dxa"/>
        </w:tblCellMar>
        <w:tblLook w:val="04A0" w:firstRow="1" w:lastRow="0" w:firstColumn="1" w:lastColumn="0" w:noHBand="0" w:noVBand="1"/>
      </w:tblPr>
      <w:tblGrid>
        <w:gridCol w:w="806"/>
        <w:gridCol w:w="5759"/>
        <w:gridCol w:w="1385"/>
        <w:gridCol w:w="1675"/>
      </w:tblGrid>
      <w:tr w:rsidRPr="004471F7" w:rsidR="004471F7" w:rsidTr="00810A94" w14:paraId="1F3DF89B" w14:textId="77777777">
        <w:trPr>
          <w:trHeight w:val="669"/>
          <w:tblHeader/>
        </w:trPr>
        <w:tc>
          <w:tcPr>
            <w:tcW w:w="806" w:type="dxa"/>
            <w:tcBorders>
              <w:top w:val="single" w:color="auto" w:sz="4" w:space="0"/>
              <w:left w:val="single" w:color="auto" w:sz="4" w:space="0"/>
              <w:right w:val="single" w:color="auto" w:sz="4" w:space="0"/>
            </w:tcBorders>
            <w:vAlign w:val="bottom"/>
          </w:tcPr>
          <w:p w:rsidRPr="004471F7" w:rsidR="004471F7" w:rsidP="00AE3052" w:rsidRDefault="004471F7" w14:paraId="3A7AB1FD" w14:textId="77777777">
            <w:pPr>
              <w:pStyle w:val="NormalinTable"/>
            </w:pPr>
            <w:r w:rsidRPr="004471F7">
              <w:t>Study</w:t>
            </w:r>
          </w:p>
        </w:tc>
        <w:tc>
          <w:tcPr>
            <w:tcW w:w="5759" w:type="dxa"/>
            <w:tcBorders>
              <w:top w:val="single" w:color="auto" w:sz="4" w:space="0"/>
              <w:left w:val="single" w:color="auto" w:sz="4" w:space="0"/>
              <w:right w:val="single" w:color="auto" w:sz="4" w:space="0"/>
            </w:tcBorders>
            <w:vAlign w:val="bottom"/>
          </w:tcPr>
          <w:p w:rsidRPr="004471F7" w:rsidR="004471F7" w:rsidP="00AE3052" w:rsidRDefault="004471F7" w14:paraId="100AFC86" w14:textId="77777777">
            <w:pPr>
              <w:pStyle w:val="NormalinTable"/>
            </w:pPr>
            <w:r w:rsidRPr="004471F7">
              <w:t>Measure</w:t>
            </w:r>
          </w:p>
        </w:tc>
        <w:tc>
          <w:tcPr>
            <w:tcW w:w="1385" w:type="dxa"/>
            <w:tcBorders>
              <w:top w:val="single" w:color="auto" w:sz="4" w:space="0"/>
              <w:left w:val="single" w:color="auto" w:sz="4" w:space="0"/>
              <w:right w:val="single" w:color="auto" w:sz="4" w:space="0"/>
            </w:tcBorders>
            <w:vAlign w:val="bottom"/>
          </w:tcPr>
          <w:p w:rsidRPr="004471F7" w:rsidR="004471F7" w:rsidP="00AE3052" w:rsidRDefault="004471F7" w14:paraId="10864A58" w14:textId="77777777">
            <w:pPr>
              <w:pStyle w:val="NormalinTable"/>
            </w:pPr>
            <w:r w:rsidRPr="004471F7">
              <w:t>Previous UES</w:t>
            </w:r>
          </w:p>
        </w:tc>
        <w:tc>
          <w:tcPr>
            <w:tcW w:w="1675" w:type="dxa"/>
            <w:tcBorders>
              <w:top w:val="single" w:color="auto" w:sz="4" w:space="0"/>
              <w:left w:val="single" w:color="auto" w:sz="4" w:space="0"/>
              <w:right w:val="single" w:color="auto" w:sz="4" w:space="0"/>
            </w:tcBorders>
            <w:vAlign w:val="bottom"/>
          </w:tcPr>
          <w:p w:rsidRPr="004471F7" w:rsidR="004471F7" w:rsidP="00AE3052" w:rsidRDefault="004471F7" w14:paraId="0ADEC526" w14:textId="77777777">
            <w:pPr>
              <w:pStyle w:val="NormalinTable"/>
            </w:pPr>
            <w:r w:rsidRPr="004471F7">
              <w:t>DEER2026 UES</w:t>
            </w:r>
          </w:p>
        </w:tc>
      </w:tr>
      <w:tr w:rsidRPr="004471F7" w:rsidR="004471F7" w:rsidTr="00810A94" w14:paraId="3BE7EFC3" w14:textId="77777777">
        <w:trPr>
          <w:cantSplit/>
          <w:trHeight w:val="498"/>
        </w:trPr>
        <w:tc>
          <w:tcPr>
            <w:tcW w:w="806" w:type="dxa"/>
            <w:vMerge w:val="restart"/>
            <w:tcBorders>
              <w:top w:val="single" w:color="auto" w:sz="4" w:space="0"/>
              <w:left w:val="single" w:color="auto" w:sz="4" w:space="0"/>
              <w:right w:val="single" w:color="auto" w:sz="4" w:space="0"/>
            </w:tcBorders>
          </w:tcPr>
          <w:p w:rsidRPr="004471F7" w:rsidR="004471F7" w:rsidP="00AE3052" w:rsidRDefault="004471F7" w14:paraId="277715D2" w14:textId="77777777">
            <w:pPr>
              <w:pStyle w:val="NormalinTable"/>
            </w:pPr>
            <w:r w:rsidRPr="004471F7">
              <w:t>5</w:t>
            </w:r>
          </w:p>
        </w:tc>
        <w:tc>
          <w:tcPr>
            <w:tcW w:w="5759" w:type="dxa"/>
            <w:tcBorders>
              <w:top w:val="single" w:color="auto" w:sz="4" w:space="0"/>
              <w:left w:val="single" w:color="auto" w:sz="4" w:space="0"/>
              <w:right w:val="single" w:color="auto" w:sz="4" w:space="0"/>
            </w:tcBorders>
          </w:tcPr>
          <w:p w:rsidRPr="004471F7" w:rsidR="004471F7" w:rsidP="00AE3052" w:rsidRDefault="004471F7" w14:paraId="1E8CE605" w14:textId="77777777">
            <w:pPr>
              <w:pStyle w:val="NormalinTable"/>
            </w:pPr>
            <w:r w:rsidRPr="004471F7">
              <w:t xml:space="preserve">SWHC039 - Smart Thermostat, Residential </w:t>
            </w:r>
          </w:p>
        </w:tc>
        <w:tc>
          <w:tcPr>
            <w:tcW w:w="1385" w:type="dxa"/>
            <w:tcBorders>
              <w:top w:val="single" w:color="auto" w:sz="4" w:space="0"/>
              <w:left w:val="single" w:color="auto" w:sz="4" w:space="0"/>
              <w:right w:val="single" w:color="auto" w:sz="4" w:space="0"/>
            </w:tcBorders>
          </w:tcPr>
          <w:p w:rsidRPr="004471F7" w:rsidR="004471F7" w:rsidP="00AE3052" w:rsidRDefault="004471F7" w14:paraId="1E61014B" w14:textId="77777777">
            <w:pPr>
              <w:pStyle w:val="NormalinTable"/>
            </w:pPr>
            <w:r w:rsidRPr="004471F7">
              <w:t>Varies</w:t>
            </w:r>
          </w:p>
        </w:tc>
        <w:tc>
          <w:tcPr>
            <w:tcW w:w="1675" w:type="dxa"/>
            <w:tcBorders>
              <w:top w:val="single" w:color="auto" w:sz="4" w:space="0"/>
              <w:left w:val="single" w:color="auto" w:sz="4" w:space="0"/>
              <w:right w:val="single" w:color="auto" w:sz="4" w:space="0"/>
            </w:tcBorders>
            <w:shd w:val="clear" w:color="auto" w:fill="auto"/>
          </w:tcPr>
          <w:p w:rsidRPr="004471F7" w:rsidR="004471F7" w:rsidP="00AE3052" w:rsidRDefault="004471F7" w14:paraId="0A7B6BEC" w14:textId="77777777">
            <w:pPr>
              <w:pStyle w:val="NormalinTable"/>
            </w:pPr>
            <w:r w:rsidRPr="004471F7">
              <w:t>Low GRR indicates further investigation</w:t>
            </w:r>
          </w:p>
        </w:tc>
      </w:tr>
      <w:tr w:rsidRPr="004471F7" w:rsidR="004471F7" w:rsidTr="00810A94" w14:paraId="6FCB6D8E" w14:textId="77777777">
        <w:trPr>
          <w:cantSplit/>
          <w:trHeight w:val="498"/>
        </w:trPr>
        <w:tc>
          <w:tcPr>
            <w:tcW w:w="806" w:type="dxa"/>
            <w:vMerge/>
            <w:tcBorders>
              <w:left w:val="single" w:color="auto" w:sz="4" w:space="0"/>
              <w:right w:val="single" w:color="auto" w:sz="4" w:space="0"/>
            </w:tcBorders>
          </w:tcPr>
          <w:p w:rsidRPr="004471F7" w:rsidR="004471F7" w:rsidP="00AE3052" w:rsidRDefault="004471F7" w14:paraId="4BE5DA11" w14:textId="77777777">
            <w:pPr>
              <w:pStyle w:val="NormalinTable"/>
            </w:pPr>
          </w:p>
        </w:tc>
        <w:tc>
          <w:tcPr>
            <w:tcW w:w="5759" w:type="dxa"/>
            <w:tcBorders>
              <w:top w:val="single" w:color="auto" w:sz="4" w:space="0"/>
              <w:left w:val="single" w:color="auto" w:sz="4" w:space="0"/>
              <w:right w:val="single" w:color="auto" w:sz="4" w:space="0"/>
            </w:tcBorders>
          </w:tcPr>
          <w:p w:rsidRPr="004471F7" w:rsidR="004471F7" w:rsidP="00AE3052" w:rsidRDefault="00C82384" w14:paraId="4BEB89EE" w14:textId="5D44283F">
            <w:pPr>
              <w:pStyle w:val="NormalinTable"/>
            </w:pPr>
            <w:r>
              <w:t>SWHC059 – Smart Fan Controller, Residential</w:t>
            </w:r>
          </w:p>
        </w:tc>
        <w:tc>
          <w:tcPr>
            <w:tcW w:w="1385" w:type="dxa"/>
            <w:tcBorders>
              <w:top w:val="single" w:color="auto" w:sz="4" w:space="0"/>
              <w:left w:val="single" w:color="auto" w:sz="4" w:space="0"/>
              <w:right w:val="single" w:color="auto" w:sz="4" w:space="0"/>
            </w:tcBorders>
          </w:tcPr>
          <w:p w:rsidRPr="004471F7" w:rsidR="004471F7" w:rsidP="00AE3052" w:rsidRDefault="004471F7" w14:paraId="26173B71" w14:textId="77777777">
            <w:pPr>
              <w:pStyle w:val="NormalinTable"/>
            </w:pPr>
            <w:r w:rsidRPr="004471F7">
              <w:t>Varies</w:t>
            </w:r>
          </w:p>
        </w:tc>
        <w:tc>
          <w:tcPr>
            <w:tcW w:w="1675" w:type="dxa"/>
            <w:tcBorders>
              <w:top w:val="single" w:color="auto" w:sz="4" w:space="0"/>
              <w:left w:val="single" w:color="auto" w:sz="4" w:space="0"/>
              <w:right w:val="single" w:color="auto" w:sz="4" w:space="0"/>
            </w:tcBorders>
            <w:shd w:val="clear" w:color="auto" w:fill="auto"/>
          </w:tcPr>
          <w:p w:rsidRPr="004471F7" w:rsidR="004471F7" w:rsidP="00AE3052" w:rsidRDefault="004471F7" w14:paraId="64501891" w14:textId="77777777">
            <w:pPr>
              <w:pStyle w:val="NormalinTable"/>
            </w:pPr>
            <w:r w:rsidRPr="004471F7">
              <w:t>Revise baseline</w:t>
            </w:r>
          </w:p>
        </w:tc>
      </w:tr>
      <w:tr w:rsidRPr="004471F7" w:rsidR="004471F7" w:rsidTr="00810A94" w14:paraId="69F04D26" w14:textId="77777777">
        <w:trPr>
          <w:cantSplit/>
          <w:trHeight w:val="498"/>
        </w:trPr>
        <w:tc>
          <w:tcPr>
            <w:tcW w:w="806" w:type="dxa"/>
            <w:vMerge/>
            <w:tcBorders>
              <w:left w:val="single" w:color="auto" w:sz="4" w:space="0"/>
              <w:right w:val="single" w:color="auto" w:sz="4" w:space="0"/>
            </w:tcBorders>
          </w:tcPr>
          <w:p w:rsidRPr="004471F7" w:rsidR="004471F7" w:rsidP="00AE3052" w:rsidRDefault="004471F7" w14:paraId="6A36DC97" w14:textId="77777777">
            <w:pPr>
              <w:pStyle w:val="NormalinTable"/>
            </w:pPr>
          </w:p>
        </w:tc>
        <w:tc>
          <w:tcPr>
            <w:tcW w:w="5759" w:type="dxa"/>
            <w:tcBorders>
              <w:top w:val="single" w:color="auto" w:sz="4" w:space="0"/>
              <w:left w:val="single" w:color="auto" w:sz="4" w:space="0"/>
              <w:right w:val="single" w:color="auto" w:sz="4" w:space="0"/>
            </w:tcBorders>
          </w:tcPr>
          <w:p w:rsidRPr="004471F7" w:rsidR="004471F7" w:rsidP="00AE3052" w:rsidRDefault="004471F7" w14:paraId="55B97E5F" w14:textId="77777777">
            <w:pPr>
              <w:pStyle w:val="NormalinTable"/>
            </w:pPr>
            <w:r w:rsidRPr="004471F7">
              <w:t>SWHC038 – Brushless Fan Motor Replacement, Residential</w:t>
            </w:r>
          </w:p>
        </w:tc>
        <w:tc>
          <w:tcPr>
            <w:tcW w:w="1385" w:type="dxa"/>
            <w:tcBorders>
              <w:top w:val="single" w:color="auto" w:sz="4" w:space="0"/>
              <w:left w:val="single" w:color="auto" w:sz="4" w:space="0"/>
              <w:right w:val="single" w:color="auto" w:sz="4" w:space="0"/>
            </w:tcBorders>
          </w:tcPr>
          <w:p w:rsidRPr="004471F7" w:rsidR="004471F7" w:rsidP="00AE3052" w:rsidRDefault="004471F7" w14:paraId="4831E378" w14:textId="77777777">
            <w:pPr>
              <w:pStyle w:val="NormalinTable"/>
            </w:pPr>
            <w:r w:rsidRPr="004471F7">
              <w:t>Varies</w:t>
            </w:r>
          </w:p>
        </w:tc>
        <w:tc>
          <w:tcPr>
            <w:tcW w:w="1675" w:type="dxa"/>
            <w:tcBorders>
              <w:top w:val="single" w:color="auto" w:sz="4" w:space="0"/>
              <w:left w:val="single" w:color="auto" w:sz="4" w:space="0"/>
              <w:right w:val="single" w:color="auto" w:sz="4" w:space="0"/>
            </w:tcBorders>
            <w:shd w:val="clear" w:color="auto" w:fill="auto"/>
          </w:tcPr>
          <w:p w:rsidRPr="004471F7" w:rsidR="004471F7" w:rsidP="00AE3052" w:rsidRDefault="004471F7" w14:paraId="3CF04E15" w14:textId="77777777">
            <w:pPr>
              <w:pStyle w:val="NormalinTable"/>
            </w:pPr>
            <w:r w:rsidRPr="004471F7">
              <w:t>Revise methodology</w:t>
            </w:r>
          </w:p>
        </w:tc>
      </w:tr>
      <w:tr w:rsidRPr="004471F7" w:rsidR="004471F7" w:rsidTr="00810A94" w14:paraId="1AD8327C" w14:textId="77777777">
        <w:trPr>
          <w:cantSplit/>
          <w:trHeight w:val="498"/>
        </w:trPr>
        <w:tc>
          <w:tcPr>
            <w:tcW w:w="806" w:type="dxa"/>
            <w:vMerge/>
            <w:tcBorders>
              <w:left w:val="single" w:color="auto" w:sz="4" w:space="0"/>
              <w:right w:val="single" w:color="auto" w:sz="4" w:space="0"/>
            </w:tcBorders>
          </w:tcPr>
          <w:p w:rsidRPr="004471F7" w:rsidR="004471F7" w:rsidP="00AE3052" w:rsidRDefault="004471F7" w14:paraId="42CC9C9F" w14:textId="77777777">
            <w:pPr>
              <w:pStyle w:val="NormalinTable"/>
            </w:pPr>
          </w:p>
        </w:tc>
        <w:tc>
          <w:tcPr>
            <w:tcW w:w="5759" w:type="dxa"/>
            <w:tcBorders>
              <w:top w:val="single" w:color="auto" w:sz="4" w:space="0"/>
              <w:left w:val="single" w:color="auto" w:sz="4" w:space="0"/>
              <w:right w:val="single" w:color="auto" w:sz="4" w:space="0"/>
            </w:tcBorders>
          </w:tcPr>
          <w:p w:rsidRPr="004471F7" w:rsidR="004471F7" w:rsidP="00AE3052" w:rsidRDefault="004471F7" w14:paraId="3EA1563B" w14:textId="77777777">
            <w:pPr>
              <w:pStyle w:val="NormalinTable"/>
            </w:pPr>
            <w:r w:rsidRPr="004471F7">
              <w:t>SWWH001 – Faucet Aerator, Residential</w:t>
            </w:r>
          </w:p>
        </w:tc>
        <w:tc>
          <w:tcPr>
            <w:tcW w:w="1385" w:type="dxa"/>
            <w:tcBorders>
              <w:top w:val="single" w:color="auto" w:sz="4" w:space="0"/>
              <w:left w:val="single" w:color="auto" w:sz="4" w:space="0"/>
              <w:right w:val="single" w:color="auto" w:sz="4" w:space="0"/>
            </w:tcBorders>
          </w:tcPr>
          <w:p w:rsidRPr="004471F7" w:rsidR="004471F7" w:rsidP="00AE3052" w:rsidRDefault="004471F7" w14:paraId="4E75E070" w14:textId="77777777">
            <w:pPr>
              <w:pStyle w:val="NormalinTable"/>
            </w:pPr>
            <w:r w:rsidRPr="004471F7">
              <w:t>Varies</w:t>
            </w:r>
          </w:p>
        </w:tc>
        <w:tc>
          <w:tcPr>
            <w:tcW w:w="1675" w:type="dxa"/>
            <w:tcBorders>
              <w:top w:val="single" w:color="auto" w:sz="4" w:space="0"/>
              <w:left w:val="single" w:color="auto" w:sz="4" w:space="0"/>
              <w:right w:val="single" w:color="auto" w:sz="4" w:space="0"/>
            </w:tcBorders>
            <w:shd w:val="clear" w:color="auto" w:fill="auto"/>
          </w:tcPr>
          <w:p w:rsidRPr="004471F7" w:rsidR="004471F7" w:rsidP="00AE3052" w:rsidRDefault="004471F7" w14:paraId="1B2FFBB6" w14:textId="77777777">
            <w:pPr>
              <w:pStyle w:val="NormalinTable"/>
            </w:pPr>
            <w:r w:rsidRPr="004471F7">
              <w:t>Revise assumptions</w:t>
            </w:r>
          </w:p>
        </w:tc>
      </w:tr>
    </w:tbl>
    <w:p w:rsidRPr="004471F7" w:rsidR="004471F7" w:rsidP="004471F7" w:rsidRDefault="004471F7" w14:paraId="73158FD1" w14:textId="77777777"/>
    <w:p w:rsidRPr="004471F7" w:rsidR="004471F7" w:rsidP="00AE3052" w:rsidRDefault="004471F7" w14:paraId="1D3B3DCA" w14:textId="4B16968F">
      <w:pPr>
        <w:pStyle w:val="Caption"/>
      </w:pPr>
      <w:bookmarkStart w:name="_Ref162914597" w:id="185"/>
      <w:bookmarkStart w:name="_Ref100172201" w:id="186"/>
      <w:bookmarkStart w:name="_Toc185273175" w:id="187"/>
      <w:bookmarkEnd w:id="184"/>
      <w:r w:rsidRPr="004471F7">
        <w:t xml:space="preserve">Table </w:t>
      </w:r>
      <w:r w:rsidRPr="006F7D6F" w:rsidR="006F7D6F">
        <w:rPr>
          <w:webHidden/>
        </w:rPr>
        <w:t>A-</w:t>
      </w:r>
      <w:r>
        <w:fldChar w:fldCharType="begin"/>
      </w:r>
      <w:r>
        <w:instrText>STYLEREF 1 \s</w:instrText>
      </w:r>
      <w:r>
        <w:fldChar w:fldCharType="separate"/>
      </w:r>
      <w:r w:rsidR="00E812F0">
        <w:rPr>
          <w:noProof/>
        </w:rPr>
        <w:t>3</w:t>
      </w:r>
      <w:r>
        <w:fldChar w:fldCharType="end"/>
      </w:r>
      <w:r w:rsidRPr="004471F7">
        <w:noBreakHyphen/>
      </w:r>
      <w:r>
        <w:fldChar w:fldCharType="begin"/>
      </w:r>
      <w:r>
        <w:instrText>SEQ Table \* ARABIC \s 1</w:instrText>
      </w:r>
      <w:r>
        <w:fldChar w:fldCharType="separate"/>
      </w:r>
      <w:r w:rsidR="00E812F0">
        <w:rPr>
          <w:noProof/>
        </w:rPr>
        <w:t>7</w:t>
      </w:r>
      <w:r>
        <w:fldChar w:fldCharType="end"/>
      </w:r>
      <w:bookmarkEnd w:id="185"/>
      <w:r w:rsidRPr="004471F7">
        <w:t>. NTGR Parameter Updates Based on Final EM&amp;V Studies</w:t>
      </w:r>
      <w:bookmarkEnd w:id="186"/>
      <w:bookmarkEnd w:id="187"/>
    </w:p>
    <w:tbl>
      <w:tblPr>
        <w:tblW w:w="962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4" w:type="dxa"/>
          <w:bottom w:w="14" w:type="dxa"/>
        </w:tblCellMar>
        <w:tblLook w:val="04A0" w:firstRow="1" w:lastRow="0" w:firstColumn="1" w:lastColumn="0" w:noHBand="0" w:noVBand="1"/>
      </w:tblPr>
      <w:tblGrid>
        <w:gridCol w:w="793"/>
        <w:gridCol w:w="3702"/>
        <w:gridCol w:w="1710"/>
        <w:gridCol w:w="1620"/>
        <w:gridCol w:w="1800"/>
      </w:tblGrid>
      <w:tr w:rsidRPr="004471F7" w:rsidR="004471F7" w:rsidTr="0E94ADA0" w14:paraId="0F614C3E" w14:textId="77777777">
        <w:trPr>
          <w:cantSplit/>
          <w:tblHeader/>
        </w:trPr>
        <w:tc>
          <w:tcPr>
            <w:tcW w:w="793" w:type="dxa"/>
            <w:tcBorders>
              <w:top w:val="single" w:color="auto" w:sz="4" w:space="0"/>
              <w:left w:val="single" w:color="auto" w:sz="4" w:space="0"/>
              <w:bottom w:val="single" w:color="auto" w:sz="4" w:space="0"/>
              <w:right w:val="single" w:color="auto" w:sz="4" w:space="0"/>
            </w:tcBorders>
            <w:vAlign w:val="bottom"/>
          </w:tcPr>
          <w:p w:rsidRPr="004471F7" w:rsidR="004471F7" w:rsidP="00AE3052" w:rsidRDefault="004471F7" w14:paraId="04BE216A" w14:textId="77777777">
            <w:pPr>
              <w:pStyle w:val="NormalinTable"/>
            </w:pPr>
            <w:r w:rsidRPr="004471F7">
              <w:t>Study</w:t>
            </w:r>
          </w:p>
        </w:tc>
        <w:tc>
          <w:tcPr>
            <w:tcW w:w="3702" w:type="dxa"/>
            <w:tcBorders>
              <w:top w:val="single" w:color="auto" w:sz="4" w:space="0"/>
              <w:left w:val="single" w:color="auto" w:sz="4" w:space="0"/>
              <w:bottom w:val="single" w:color="auto" w:sz="4" w:space="0"/>
              <w:right w:val="single" w:color="auto" w:sz="4" w:space="0"/>
            </w:tcBorders>
            <w:vAlign w:val="bottom"/>
          </w:tcPr>
          <w:p w:rsidRPr="004471F7" w:rsidR="004471F7" w:rsidP="00AE3052" w:rsidRDefault="004471F7" w14:paraId="0D148760" w14:textId="77777777">
            <w:pPr>
              <w:pStyle w:val="NormalinTable"/>
            </w:pPr>
            <w:r w:rsidRPr="004471F7">
              <w:t xml:space="preserve">Measure </w:t>
            </w:r>
          </w:p>
        </w:tc>
        <w:tc>
          <w:tcPr>
            <w:tcW w:w="1710" w:type="dxa"/>
            <w:tcBorders>
              <w:top w:val="single" w:color="auto" w:sz="4" w:space="0"/>
              <w:left w:val="single" w:color="auto" w:sz="4" w:space="0"/>
              <w:bottom w:val="single" w:color="auto" w:sz="4" w:space="0"/>
              <w:right w:val="single" w:color="auto" w:sz="4" w:space="0"/>
            </w:tcBorders>
          </w:tcPr>
          <w:p w:rsidRPr="004471F7" w:rsidR="004471F7" w:rsidP="00AE3052" w:rsidRDefault="009A229D" w14:paraId="679A1343" w14:textId="13054F0A">
            <w:pPr>
              <w:pStyle w:val="NormalinTable"/>
            </w:pPr>
            <w:r>
              <w:t>Current</w:t>
            </w:r>
            <w:r w:rsidR="00994226">
              <w:t xml:space="preserve"> </w:t>
            </w:r>
            <w:r w:rsidRPr="004471F7" w:rsidR="004471F7">
              <w:t>NTGR</w:t>
            </w:r>
          </w:p>
        </w:tc>
        <w:tc>
          <w:tcPr>
            <w:tcW w:w="1620" w:type="dxa"/>
            <w:tcBorders>
              <w:top w:val="single" w:color="auto" w:sz="4" w:space="0"/>
              <w:left w:val="single" w:color="auto" w:sz="4" w:space="0"/>
              <w:bottom w:val="single" w:color="auto" w:sz="4" w:space="0"/>
              <w:right w:val="single" w:color="auto" w:sz="4" w:space="0"/>
            </w:tcBorders>
            <w:vAlign w:val="bottom"/>
          </w:tcPr>
          <w:p w:rsidRPr="004471F7" w:rsidR="004471F7" w:rsidP="00AE3052" w:rsidRDefault="004471F7" w14:paraId="1CE1E3AF" w14:textId="77777777">
            <w:pPr>
              <w:pStyle w:val="NormalinTable"/>
            </w:pPr>
            <w:r w:rsidRPr="004471F7">
              <w:t>Evaluated NTGR</w:t>
            </w:r>
          </w:p>
        </w:tc>
        <w:tc>
          <w:tcPr>
            <w:tcW w:w="1800" w:type="dxa"/>
            <w:tcBorders>
              <w:top w:val="single" w:color="auto" w:sz="4" w:space="0"/>
              <w:left w:val="single" w:color="auto" w:sz="4" w:space="0"/>
              <w:bottom w:val="single" w:color="auto" w:sz="4" w:space="0"/>
              <w:right w:val="single" w:color="auto" w:sz="4" w:space="0"/>
            </w:tcBorders>
            <w:vAlign w:val="bottom"/>
          </w:tcPr>
          <w:p w:rsidRPr="004471F7" w:rsidR="004471F7" w:rsidP="00AE3052" w:rsidRDefault="004471F7" w14:paraId="20E86B18" w14:textId="77777777">
            <w:pPr>
              <w:pStyle w:val="NormalinTable"/>
            </w:pPr>
            <w:r w:rsidRPr="004471F7">
              <w:t>DEER2026 NTGR</w:t>
            </w:r>
          </w:p>
        </w:tc>
      </w:tr>
      <w:tr w:rsidRPr="004471F7" w:rsidR="004471F7" w:rsidTr="0E94ADA0" w14:paraId="023E099A" w14:textId="77777777">
        <w:tc>
          <w:tcPr>
            <w:tcW w:w="793" w:type="dxa"/>
            <w:vMerge w:val="restart"/>
          </w:tcPr>
          <w:p w:rsidRPr="004471F7" w:rsidR="004471F7" w:rsidP="00AE3052" w:rsidRDefault="004471F7" w14:paraId="22B695CE" w14:textId="77777777">
            <w:pPr>
              <w:pStyle w:val="NormalinTable"/>
            </w:pPr>
            <w:r w:rsidRPr="004471F7">
              <w:t>5</w:t>
            </w:r>
          </w:p>
          <w:p w:rsidRPr="004471F7" w:rsidR="004471F7" w:rsidP="00AE3052" w:rsidRDefault="004471F7" w14:paraId="519DCAEA" w14:textId="77777777">
            <w:pPr>
              <w:pStyle w:val="NormalinTable"/>
            </w:pPr>
          </w:p>
        </w:tc>
        <w:tc>
          <w:tcPr>
            <w:tcW w:w="3702" w:type="dxa"/>
            <w:tcBorders>
              <w:top w:val="single" w:color="auto" w:sz="4" w:space="0"/>
              <w:left w:val="single" w:color="auto" w:sz="4" w:space="0"/>
              <w:bottom w:val="single" w:color="auto" w:sz="4" w:space="0"/>
              <w:right w:val="single" w:color="auto" w:sz="4" w:space="0"/>
            </w:tcBorders>
          </w:tcPr>
          <w:p w:rsidRPr="004471F7" w:rsidR="004471F7" w:rsidP="00AE3052" w:rsidRDefault="00C82384" w14:paraId="2D7E4D00" w14:textId="5E2BDA94">
            <w:pPr>
              <w:pStyle w:val="NormalinTable"/>
            </w:pPr>
            <w:r>
              <w:t>SWHC059 – Smart Fan Controller, Residential</w:t>
            </w:r>
          </w:p>
        </w:tc>
        <w:tc>
          <w:tcPr>
            <w:tcW w:w="1710" w:type="dxa"/>
            <w:tcBorders>
              <w:top w:val="single" w:color="auto" w:sz="4" w:space="0"/>
              <w:left w:val="single" w:color="auto" w:sz="4" w:space="0"/>
              <w:bottom w:val="single" w:color="auto" w:sz="4" w:space="0"/>
              <w:right w:val="single" w:color="auto" w:sz="4" w:space="0"/>
            </w:tcBorders>
          </w:tcPr>
          <w:p w:rsidRPr="004471F7" w:rsidR="004471F7" w:rsidP="00AE3052" w:rsidRDefault="004471F7" w14:paraId="615CB23E" w14:textId="77777777">
            <w:pPr>
              <w:pStyle w:val="NormalinTable"/>
            </w:pPr>
            <w:r w:rsidRPr="004471F7">
              <w:t>0.88</w:t>
            </w:r>
          </w:p>
        </w:tc>
        <w:tc>
          <w:tcPr>
            <w:tcW w:w="1620" w:type="dxa"/>
            <w:tcBorders>
              <w:top w:val="single" w:color="auto" w:sz="4" w:space="0"/>
              <w:left w:val="single" w:color="auto" w:sz="4" w:space="0"/>
              <w:bottom w:val="single" w:color="auto" w:sz="4" w:space="0"/>
              <w:right w:val="single" w:color="auto" w:sz="4" w:space="0"/>
            </w:tcBorders>
          </w:tcPr>
          <w:p w:rsidRPr="004471F7" w:rsidR="004471F7" w:rsidP="00AE3052" w:rsidRDefault="004471F7" w14:paraId="3C2EEC09" w14:textId="77777777">
            <w:pPr>
              <w:pStyle w:val="NormalinTable"/>
            </w:pPr>
            <w:r w:rsidRPr="004471F7">
              <w:t>0.76</w:t>
            </w:r>
          </w:p>
        </w:tc>
        <w:tc>
          <w:tcPr>
            <w:tcW w:w="1800" w:type="dxa"/>
            <w:tcBorders>
              <w:top w:val="single" w:color="auto" w:sz="4" w:space="0"/>
              <w:left w:val="single" w:color="auto" w:sz="4" w:space="0"/>
              <w:bottom w:val="single" w:color="auto" w:sz="4" w:space="0"/>
              <w:right w:val="single" w:color="auto" w:sz="4" w:space="0"/>
            </w:tcBorders>
          </w:tcPr>
          <w:p w:rsidRPr="004471F7" w:rsidR="004471F7" w:rsidP="00AE3052" w:rsidRDefault="004471F7" w14:paraId="6F21E43E" w14:textId="7F352349">
            <w:pPr>
              <w:pStyle w:val="NormalinTable"/>
            </w:pPr>
            <w:r w:rsidRPr="004471F7">
              <w:t>0.</w:t>
            </w:r>
            <w:r w:rsidR="00C72AD4">
              <w:t>80</w:t>
            </w:r>
          </w:p>
        </w:tc>
      </w:tr>
      <w:tr w:rsidRPr="004471F7" w:rsidR="004471F7" w:rsidTr="0E94ADA0" w14:paraId="338BEE02" w14:textId="77777777">
        <w:tc>
          <w:tcPr>
            <w:tcW w:w="793" w:type="dxa"/>
            <w:vMerge/>
          </w:tcPr>
          <w:p w:rsidRPr="004471F7" w:rsidR="004471F7" w:rsidP="00AE3052" w:rsidRDefault="004471F7" w14:paraId="2102FBCA" w14:textId="77777777">
            <w:pPr>
              <w:pStyle w:val="NormalinTable"/>
            </w:pPr>
          </w:p>
        </w:tc>
        <w:tc>
          <w:tcPr>
            <w:tcW w:w="3702" w:type="dxa"/>
            <w:tcBorders>
              <w:top w:val="single" w:color="auto" w:sz="4" w:space="0"/>
              <w:bottom w:val="single" w:color="auto" w:sz="4" w:space="0"/>
              <w:right w:val="single" w:color="auto" w:sz="4" w:space="0"/>
            </w:tcBorders>
          </w:tcPr>
          <w:p w:rsidRPr="004471F7" w:rsidR="004471F7" w:rsidP="00AE3052" w:rsidRDefault="004471F7" w14:paraId="0A82399F" w14:textId="77777777">
            <w:pPr>
              <w:pStyle w:val="NormalinTable"/>
            </w:pPr>
            <w:r w:rsidRPr="004471F7">
              <w:t>SWHC038 – Brushless Fan Motor Replacement, Residential</w:t>
            </w:r>
          </w:p>
        </w:tc>
        <w:tc>
          <w:tcPr>
            <w:tcW w:w="1710" w:type="dxa"/>
            <w:tcBorders>
              <w:top w:val="single" w:color="auto" w:sz="4" w:space="0"/>
              <w:bottom w:val="single" w:color="auto" w:sz="4" w:space="0"/>
              <w:right w:val="single" w:color="auto" w:sz="4" w:space="0"/>
            </w:tcBorders>
          </w:tcPr>
          <w:p w:rsidRPr="004471F7" w:rsidR="004471F7" w:rsidP="00AE3052" w:rsidRDefault="004471F7" w14:paraId="40E94CF2" w14:textId="77777777">
            <w:pPr>
              <w:pStyle w:val="NormalinTable"/>
            </w:pPr>
            <w:r w:rsidRPr="004471F7">
              <w:t>0.85</w:t>
            </w:r>
          </w:p>
        </w:tc>
        <w:tc>
          <w:tcPr>
            <w:tcW w:w="1620" w:type="dxa"/>
            <w:tcBorders>
              <w:top w:val="single" w:color="auto" w:sz="4" w:space="0"/>
              <w:left w:val="single" w:color="auto" w:sz="4" w:space="0"/>
              <w:bottom w:val="single" w:color="auto" w:sz="4" w:space="0"/>
              <w:right w:val="single" w:color="auto" w:sz="4" w:space="0"/>
            </w:tcBorders>
          </w:tcPr>
          <w:p w:rsidRPr="004471F7" w:rsidR="004471F7" w:rsidP="00AE3052" w:rsidRDefault="004471F7" w14:paraId="5139C4FE" w14:textId="77777777">
            <w:pPr>
              <w:pStyle w:val="NormalinTable"/>
            </w:pPr>
            <w:r w:rsidRPr="004471F7">
              <w:t>0.86</w:t>
            </w:r>
          </w:p>
        </w:tc>
        <w:tc>
          <w:tcPr>
            <w:tcW w:w="1800" w:type="dxa"/>
            <w:tcBorders>
              <w:top w:val="single" w:color="auto" w:sz="4" w:space="0"/>
              <w:left w:val="single" w:color="auto" w:sz="4" w:space="0"/>
              <w:bottom w:val="single" w:color="auto" w:sz="4" w:space="0"/>
              <w:right w:val="single" w:color="auto" w:sz="4" w:space="0"/>
            </w:tcBorders>
          </w:tcPr>
          <w:p w:rsidRPr="004471F7" w:rsidR="004471F7" w:rsidP="00AE3052" w:rsidRDefault="004471F7" w14:paraId="30471F63" w14:textId="33341CF9">
            <w:pPr>
              <w:pStyle w:val="NormalinTable"/>
            </w:pPr>
            <w:r w:rsidRPr="004471F7">
              <w:t>0.</w:t>
            </w:r>
            <w:r w:rsidR="00017D23">
              <w:t>90</w:t>
            </w:r>
          </w:p>
        </w:tc>
      </w:tr>
      <w:tr w:rsidRPr="004471F7" w:rsidR="004471F7" w:rsidTr="0E94ADA0" w14:paraId="719B14A0" w14:textId="77777777">
        <w:tc>
          <w:tcPr>
            <w:tcW w:w="793" w:type="dxa"/>
            <w:vMerge/>
          </w:tcPr>
          <w:p w:rsidRPr="004471F7" w:rsidR="004471F7" w:rsidP="00AE3052" w:rsidRDefault="004471F7" w14:paraId="1A36A2CA" w14:textId="77777777">
            <w:pPr>
              <w:pStyle w:val="NormalinTable"/>
            </w:pPr>
          </w:p>
        </w:tc>
        <w:tc>
          <w:tcPr>
            <w:tcW w:w="3702" w:type="dxa"/>
            <w:tcBorders>
              <w:top w:val="single" w:color="auto" w:sz="4" w:space="0"/>
              <w:left w:val="single" w:color="auto" w:sz="4" w:space="0"/>
              <w:bottom w:val="single" w:color="auto" w:sz="4" w:space="0"/>
              <w:right w:val="single" w:color="auto" w:sz="4" w:space="0"/>
            </w:tcBorders>
          </w:tcPr>
          <w:p w:rsidRPr="004471F7" w:rsidR="004471F7" w:rsidP="00AE3052" w:rsidRDefault="004471F7" w14:paraId="3D0FCD9D" w14:textId="1DBD945E">
            <w:pPr>
              <w:pStyle w:val="NormalinTable"/>
            </w:pPr>
            <w:r w:rsidRPr="004471F7">
              <w:t>SWHC039 – Smart Thermostat, Residential (</w:t>
            </w:r>
            <w:r w:rsidR="0063214F">
              <w:t>d</w:t>
            </w:r>
            <w:r w:rsidRPr="004471F7">
              <w:t xml:space="preserve">irect </w:t>
            </w:r>
            <w:r w:rsidR="0063214F">
              <w:t>i</w:t>
            </w:r>
            <w:r w:rsidRPr="004471F7">
              <w:t>nstall only)</w:t>
            </w:r>
          </w:p>
        </w:tc>
        <w:tc>
          <w:tcPr>
            <w:tcW w:w="1710" w:type="dxa"/>
            <w:tcBorders>
              <w:top w:val="single" w:color="auto" w:sz="4" w:space="0"/>
              <w:left w:val="single" w:color="auto" w:sz="4" w:space="0"/>
              <w:bottom w:val="single" w:color="auto" w:sz="4" w:space="0"/>
              <w:right w:val="single" w:color="auto" w:sz="4" w:space="0"/>
            </w:tcBorders>
          </w:tcPr>
          <w:p w:rsidRPr="004471F7" w:rsidR="004471F7" w:rsidP="00AE3052" w:rsidRDefault="004471F7" w14:paraId="224FDCA6" w14:textId="77777777">
            <w:pPr>
              <w:pStyle w:val="NormalinTable"/>
            </w:pPr>
            <w:r w:rsidRPr="004471F7">
              <w:t>0.95</w:t>
            </w:r>
          </w:p>
        </w:tc>
        <w:tc>
          <w:tcPr>
            <w:tcW w:w="1620" w:type="dxa"/>
            <w:tcBorders>
              <w:top w:val="single" w:color="auto" w:sz="4" w:space="0"/>
              <w:left w:val="single" w:color="auto" w:sz="4" w:space="0"/>
              <w:bottom w:val="single" w:color="auto" w:sz="4" w:space="0"/>
              <w:right w:val="single" w:color="auto" w:sz="4" w:space="0"/>
            </w:tcBorders>
          </w:tcPr>
          <w:p w:rsidRPr="004471F7" w:rsidR="004471F7" w:rsidP="00AE3052" w:rsidRDefault="004471F7" w14:paraId="6CD09342" w14:textId="77777777">
            <w:pPr>
              <w:pStyle w:val="NormalinTable"/>
            </w:pPr>
            <w:r w:rsidRPr="004471F7">
              <w:t>0.83</w:t>
            </w:r>
          </w:p>
        </w:tc>
        <w:tc>
          <w:tcPr>
            <w:tcW w:w="1800" w:type="dxa"/>
            <w:tcBorders>
              <w:top w:val="single" w:color="auto" w:sz="4" w:space="0"/>
              <w:left w:val="single" w:color="auto" w:sz="4" w:space="0"/>
              <w:bottom w:val="single" w:color="auto" w:sz="4" w:space="0"/>
              <w:right w:val="single" w:color="auto" w:sz="4" w:space="0"/>
            </w:tcBorders>
          </w:tcPr>
          <w:p w:rsidRPr="004471F7" w:rsidR="004471F7" w:rsidP="00AE3052" w:rsidRDefault="004471F7" w14:paraId="18AE4BB5" w14:textId="77777777">
            <w:pPr>
              <w:pStyle w:val="NormalinTable"/>
            </w:pPr>
            <w:r w:rsidRPr="004471F7">
              <w:t>0.85</w:t>
            </w:r>
          </w:p>
        </w:tc>
      </w:tr>
      <w:tr w:rsidRPr="004471F7" w:rsidR="004471F7" w:rsidTr="0E94ADA0" w14:paraId="2F4873B0" w14:textId="77777777">
        <w:tc>
          <w:tcPr>
            <w:tcW w:w="793" w:type="dxa"/>
            <w:vMerge/>
          </w:tcPr>
          <w:p w:rsidRPr="004471F7" w:rsidR="004471F7" w:rsidP="00AE3052" w:rsidRDefault="004471F7" w14:paraId="65732EF7" w14:textId="77777777">
            <w:pPr>
              <w:pStyle w:val="NormalinTable"/>
            </w:pPr>
          </w:p>
        </w:tc>
        <w:tc>
          <w:tcPr>
            <w:tcW w:w="3702" w:type="dxa"/>
            <w:tcBorders>
              <w:top w:val="single" w:color="auto" w:sz="4" w:space="0"/>
              <w:left w:val="single" w:color="auto" w:sz="4" w:space="0"/>
              <w:bottom w:val="single" w:color="auto" w:sz="4" w:space="0"/>
              <w:right w:val="single" w:color="auto" w:sz="4" w:space="0"/>
            </w:tcBorders>
          </w:tcPr>
          <w:p w:rsidRPr="004471F7" w:rsidR="004471F7" w:rsidP="00AE3052" w:rsidRDefault="004471F7" w14:paraId="0EDDA8DA" w14:textId="77777777">
            <w:pPr>
              <w:pStyle w:val="NormalinTable"/>
            </w:pPr>
            <w:r w:rsidRPr="004471F7">
              <w:t>SWSV001 – Duct Seal, Residential</w:t>
            </w:r>
          </w:p>
        </w:tc>
        <w:tc>
          <w:tcPr>
            <w:tcW w:w="1710" w:type="dxa"/>
            <w:tcBorders>
              <w:top w:val="single" w:color="auto" w:sz="4" w:space="0"/>
              <w:left w:val="single" w:color="auto" w:sz="4" w:space="0"/>
              <w:bottom w:val="single" w:color="auto" w:sz="4" w:space="0"/>
              <w:right w:val="single" w:color="auto" w:sz="4" w:space="0"/>
            </w:tcBorders>
          </w:tcPr>
          <w:p w:rsidRPr="004471F7" w:rsidR="004471F7" w:rsidP="00AE3052" w:rsidRDefault="004471F7" w14:paraId="68A374FB" w14:textId="77777777">
            <w:pPr>
              <w:pStyle w:val="NormalinTable"/>
            </w:pPr>
            <w:r w:rsidRPr="004471F7">
              <w:t>0.95</w:t>
            </w:r>
          </w:p>
        </w:tc>
        <w:tc>
          <w:tcPr>
            <w:tcW w:w="1620" w:type="dxa"/>
            <w:tcBorders>
              <w:top w:val="single" w:color="auto" w:sz="4" w:space="0"/>
              <w:left w:val="single" w:color="auto" w:sz="4" w:space="0"/>
              <w:bottom w:val="single" w:color="auto" w:sz="4" w:space="0"/>
              <w:right w:val="single" w:color="auto" w:sz="4" w:space="0"/>
            </w:tcBorders>
          </w:tcPr>
          <w:p w:rsidRPr="004471F7" w:rsidR="004471F7" w:rsidP="00AE3052" w:rsidRDefault="004471F7" w14:paraId="61CBAD74" w14:textId="77777777">
            <w:pPr>
              <w:pStyle w:val="NormalinTable"/>
            </w:pPr>
            <w:r w:rsidRPr="004471F7">
              <w:t>0.91</w:t>
            </w:r>
          </w:p>
        </w:tc>
        <w:tc>
          <w:tcPr>
            <w:tcW w:w="1800" w:type="dxa"/>
            <w:tcBorders>
              <w:top w:val="single" w:color="auto" w:sz="4" w:space="0"/>
              <w:left w:val="single" w:color="auto" w:sz="4" w:space="0"/>
              <w:bottom w:val="single" w:color="auto" w:sz="4" w:space="0"/>
              <w:right w:val="single" w:color="auto" w:sz="4" w:space="0"/>
            </w:tcBorders>
          </w:tcPr>
          <w:p w:rsidRPr="004471F7" w:rsidR="004471F7" w:rsidP="00AE3052" w:rsidRDefault="004471F7" w14:paraId="5DCA2709" w14:textId="01A428D2">
            <w:pPr>
              <w:pStyle w:val="NormalinTable"/>
            </w:pPr>
            <w:r w:rsidRPr="004471F7">
              <w:t>0.</w:t>
            </w:r>
            <w:r w:rsidRPr="004471F7" w:rsidR="00361C7A">
              <w:t>9</w:t>
            </w:r>
            <w:r w:rsidR="00361C7A">
              <w:t>5</w:t>
            </w:r>
            <w:r w:rsidR="00F97443">
              <w:t>*</w:t>
            </w:r>
          </w:p>
        </w:tc>
      </w:tr>
      <w:tr w:rsidRPr="004471F7" w:rsidR="004471F7" w:rsidTr="0E94ADA0" w14:paraId="423F2577" w14:textId="77777777">
        <w:trPr>
          <w:trHeight w:val="462"/>
        </w:trPr>
        <w:tc>
          <w:tcPr>
            <w:tcW w:w="793" w:type="dxa"/>
            <w:vMerge/>
          </w:tcPr>
          <w:p w:rsidRPr="004471F7" w:rsidR="004471F7" w:rsidP="00AE3052" w:rsidRDefault="004471F7" w14:paraId="098B049A" w14:textId="77777777">
            <w:pPr>
              <w:pStyle w:val="NormalinTable"/>
            </w:pPr>
          </w:p>
        </w:tc>
        <w:tc>
          <w:tcPr>
            <w:tcW w:w="3702" w:type="dxa"/>
            <w:tcBorders>
              <w:top w:val="single" w:color="auto" w:sz="4" w:space="0"/>
              <w:bottom w:val="single" w:color="auto" w:sz="4" w:space="0"/>
              <w:right w:val="single" w:color="auto" w:sz="4" w:space="0"/>
            </w:tcBorders>
          </w:tcPr>
          <w:p w:rsidRPr="004471F7" w:rsidR="004471F7" w:rsidP="00AE3052" w:rsidRDefault="004471F7" w14:paraId="353C3D5F" w14:textId="5F2286E0">
            <w:pPr>
              <w:pStyle w:val="NormalinTable"/>
            </w:pPr>
            <w:r w:rsidRPr="004471F7">
              <w:t>SWWH001 – Faucet Aerator, Residential</w:t>
            </w:r>
            <w:r w:rsidR="00344A72">
              <w:t xml:space="preserve"> (a</w:t>
            </w:r>
            <w:r w:rsidRPr="00344A72" w:rsidR="00344A72">
              <w:t>ll residential building types except multi-family</w:t>
            </w:r>
            <w:r w:rsidR="00344A72">
              <w:t>)</w:t>
            </w:r>
          </w:p>
        </w:tc>
        <w:tc>
          <w:tcPr>
            <w:tcW w:w="1710" w:type="dxa"/>
            <w:tcBorders>
              <w:top w:val="single" w:color="auto" w:sz="4" w:space="0"/>
              <w:bottom w:val="single" w:color="auto" w:sz="4" w:space="0"/>
              <w:right w:val="single" w:color="auto" w:sz="4" w:space="0"/>
            </w:tcBorders>
          </w:tcPr>
          <w:p w:rsidRPr="004471F7" w:rsidR="004471F7" w:rsidP="00AE3052" w:rsidRDefault="004471F7" w14:paraId="630B2C8B" w14:textId="77777777">
            <w:pPr>
              <w:pStyle w:val="NormalinTable"/>
            </w:pPr>
            <w:r w:rsidRPr="004471F7">
              <w:t>0.59</w:t>
            </w:r>
          </w:p>
        </w:tc>
        <w:tc>
          <w:tcPr>
            <w:tcW w:w="1620" w:type="dxa"/>
            <w:tcBorders>
              <w:top w:val="single" w:color="auto" w:sz="4" w:space="0"/>
              <w:left w:val="single" w:color="auto" w:sz="4" w:space="0"/>
              <w:bottom w:val="single" w:color="auto" w:sz="4" w:space="0"/>
              <w:right w:val="single" w:color="auto" w:sz="4" w:space="0"/>
            </w:tcBorders>
          </w:tcPr>
          <w:p w:rsidRPr="004471F7" w:rsidR="004471F7" w:rsidP="00AE3052" w:rsidRDefault="004471F7" w14:paraId="3EB8B1D4" w14:textId="77777777">
            <w:pPr>
              <w:pStyle w:val="NormalinTable"/>
            </w:pPr>
            <w:r w:rsidRPr="004471F7">
              <w:t>0.81</w:t>
            </w:r>
          </w:p>
        </w:tc>
        <w:tc>
          <w:tcPr>
            <w:tcW w:w="1800" w:type="dxa"/>
            <w:tcBorders>
              <w:top w:val="single" w:color="auto" w:sz="4" w:space="0"/>
              <w:left w:val="single" w:color="auto" w:sz="4" w:space="0"/>
              <w:bottom w:val="single" w:color="auto" w:sz="4" w:space="0"/>
              <w:right w:val="single" w:color="auto" w:sz="4" w:space="0"/>
            </w:tcBorders>
          </w:tcPr>
          <w:p w:rsidRPr="004471F7" w:rsidR="004471F7" w:rsidP="00AE3052" w:rsidRDefault="004471F7" w14:paraId="4E8AE9FB" w14:textId="085ACD7D">
            <w:pPr>
              <w:pStyle w:val="NormalinTable"/>
            </w:pPr>
            <w:r w:rsidRPr="004471F7">
              <w:t>0.8</w:t>
            </w:r>
            <w:r w:rsidR="00CC2AFC">
              <w:t>5</w:t>
            </w:r>
          </w:p>
        </w:tc>
      </w:tr>
      <w:tr w:rsidRPr="004471F7" w:rsidR="004471F7" w:rsidTr="0E94ADA0" w14:paraId="5619183D" w14:textId="77777777">
        <w:trPr>
          <w:trHeight w:val="462"/>
        </w:trPr>
        <w:tc>
          <w:tcPr>
            <w:tcW w:w="793" w:type="dxa"/>
            <w:tcBorders>
              <w:top w:val="nil"/>
              <w:bottom w:val="single" w:color="auto" w:sz="4" w:space="0"/>
            </w:tcBorders>
          </w:tcPr>
          <w:p w:rsidRPr="004471F7" w:rsidR="004471F7" w:rsidP="00AE3052" w:rsidRDefault="004471F7" w14:paraId="0B8D138F" w14:textId="77777777">
            <w:pPr>
              <w:pStyle w:val="NormalinTable"/>
            </w:pPr>
          </w:p>
        </w:tc>
        <w:tc>
          <w:tcPr>
            <w:tcW w:w="3702" w:type="dxa"/>
            <w:tcBorders>
              <w:top w:val="single" w:color="auto" w:sz="4" w:space="0"/>
              <w:bottom w:val="single" w:color="auto" w:sz="4" w:space="0"/>
              <w:right w:val="single" w:color="auto" w:sz="4" w:space="0"/>
            </w:tcBorders>
          </w:tcPr>
          <w:p w:rsidRPr="004471F7" w:rsidR="004471F7" w:rsidP="00AE3052" w:rsidRDefault="004471F7" w14:paraId="3E3419CF" w14:textId="77777777">
            <w:pPr>
              <w:pStyle w:val="NormalinTable"/>
            </w:pPr>
            <w:r w:rsidRPr="004471F7">
              <w:t>SWWH002 – Low-Flow Showerhead, Residential</w:t>
            </w:r>
          </w:p>
        </w:tc>
        <w:tc>
          <w:tcPr>
            <w:tcW w:w="1710" w:type="dxa"/>
            <w:tcBorders>
              <w:top w:val="single" w:color="auto" w:sz="4" w:space="0"/>
              <w:bottom w:val="single" w:color="auto" w:sz="4" w:space="0"/>
              <w:right w:val="single" w:color="auto" w:sz="4" w:space="0"/>
            </w:tcBorders>
          </w:tcPr>
          <w:p w:rsidRPr="004471F7" w:rsidR="004471F7" w:rsidP="00AE3052" w:rsidRDefault="004471F7" w14:paraId="6FCEF143" w14:textId="77777777">
            <w:pPr>
              <w:pStyle w:val="NormalinTable"/>
            </w:pPr>
            <w:r w:rsidRPr="004471F7">
              <w:t>0.70</w:t>
            </w:r>
          </w:p>
        </w:tc>
        <w:tc>
          <w:tcPr>
            <w:tcW w:w="1620" w:type="dxa"/>
            <w:tcBorders>
              <w:top w:val="single" w:color="auto" w:sz="4" w:space="0"/>
              <w:left w:val="single" w:color="auto" w:sz="4" w:space="0"/>
              <w:bottom w:val="single" w:color="auto" w:sz="4" w:space="0"/>
              <w:right w:val="single" w:color="auto" w:sz="4" w:space="0"/>
            </w:tcBorders>
          </w:tcPr>
          <w:p w:rsidRPr="004471F7" w:rsidR="004471F7" w:rsidP="00AE3052" w:rsidRDefault="004471F7" w14:paraId="710A9A16" w14:textId="77777777">
            <w:pPr>
              <w:pStyle w:val="NormalinTable"/>
            </w:pPr>
            <w:r w:rsidRPr="004471F7">
              <w:t>0.81</w:t>
            </w:r>
          </w:p>
        </w:tc>
        <w:tc>
          <w:tcPr>
            <w:tcW w:w="1800" w:type="dxa"/>
            <w:tcBorders>
              <w:top w:val="single" w:color="auto" w:sz="4" w:space="0"/>
              <w:left w:val="single" w:color="auto" w:sz="4" w:space="0"/>
              <w:bottom w:val="single" w:color="auto" w:sz="4" w:space="0"/>
              <w:right w:val="single" w:color="auto" w:sz="4" w:space="0"/>
            </w:tcBorders>
          </w:tcPr>
          <w:p w:rsidRPr="004471F7" w:rsidR="004471F7" w:rsidP="00AE3052" w:rsidRDefault="004471F7" w14:paraId="3EC63CD9" w14:textId="4B002125">
            <w:pPr>
              <w:pStyle w:val="NormalinTable"/>
            </w:pPr>
            <w:r w:rsidRPr="004471F7">
              <w:t>0.8</w:t>
            </w:r>
            <w:r w:rsidR="00CC2AFC">
              <w:t>5</w:t>
            </w:r>
          </w:p>
        </w:tc>
      </w:tr>
      <w:tr w:rsidRPr="004471F7" w:rsidR="00E64A71" w:rsidTr="0E94ADA0" w14:paraId="333383CB" w14:textId="77777777">
        <w:trPr>
          <w:trHeight w:val="462"/>
        </w:trPr>
        <w:tc>
          <w:tcPr>
            <w:tcW w:w="793" w:type="dxa"/>
            <w:vMerge w:val="restart"/>
            <w:tcBorders>
              <w:top w:val="nil"/>
              <w:bottom w:val="single" w:color="auto" w:sz="4" w:space="0"/>
            </w:tcBorders>
          </w:tcPr>
          <w:p w:rsidRPr="004471F7" w:rsidR="00E64A71" w:rsidP="00AE3052" w:rsidRDefault="00071420" w14:paraId="0B661E8B" w14:textId="3B65C77A">
            <w:pPr>
              <w:pStyle w:val="NormalinTable"/>
            </w:pPr>
            <w:r>
              <w:t>6</w:t>
            </w:r>
          </w:p>
        </w:tc>
        <w:tc>
          <w:tcPr>
            <w:tcW w:w="3702" w:type="dxa"/>
            <w:tcBorders>
              <w:top w:val="single" w:color="auto" w:sz="4" w:space="0"/>
              <w:bottom w:val="single" w:color="auto" w:sz="4" w:space="0"/>
              <w:right w:val="single" w:color="auto" w:sz="4" w:space="0"/>
            </w:tcBorders>
          </w:tcPr>
          <w:p w:rsidRPr="004471F7" w:rsidR="00E64A71" w:rsidP="00071420" w:rsidRDefault="00E64A71" w14:paraId="67AE7E61" w14:textId="72F8D48D">
            <w:pPr>
              <w:pStyle w:val="NormalinTable"/>
            </w:pPr>
            <w:r>
              <w:t>SWAP012</w:t>
            </w:r>
            <w:r w:rsidR="00870D3F">
              <w:t xml:space="preserve"> – </w:t>
            </w:r>
            <w:r>
              <w:t>Gas Dryer Modulating Valve, Commercial and Multifamily (</w:t>
            </w:r>
            <w:r w:rsidR="006C4652">
              <w:t xml:space="preserve">downstream and </w:t>
            </w:r>
            <w:r w:rsidR="007A3717">
              <w:t xml:space="preserve">excluding </w:t>
            </w:r>
            <w:r w:rsidR="00B51F2F">
              <w:t>dwellings</w:t>
            </w:r>
            <w:r>
              <w:t>)</w:t>
            </w:r>
          </w:p>
        </w:tc>
        <w:tc>
          <w:tcPr>
            <w:tcW w:w="1710" w:type="dxa"/>
            <w:tcBorders>
              <w:top w:val="single" w:color="auto" w:sz="4" w:space="0"/>
              <w:bottom w:val="single" w:color="auto" w:sz="4" w:space="0"/>
              <w:right w:val="single" w:color="auto" w:sz="4" w:space="0"/>
            </w:tcBorders>
          </w:tcPr>
          <w:p w:rsidRPr="004471F7" w:rsidR="00E64A71" w:rsidP="00AE3052" w:rsidRDefault="00E64A71" w14:paraId="2C333ECF" w14:textId="59114BFE">
            <w:pPr>
              <w:pStyle w:val="NormalinTable"/>
            </w:pPr>
            <w:r>
              <w:t>0.60</w:t>
            </w:r>
          </w:p>
        </w:tc>
        <w:tc>
          <w:tcPr>
            <w:tcW w:w="1620" w:type="dxa"/>
            <w:tcBorders>
              <w:top w:val="single" w:color="auto" w:sz="4" w:space="0"/>
              <w:left w:val="single" w:color="auto" w:sz="4" w:space="0"/>
              <w:bottom w:val="single" w:color="auto" w:sz="4" w:space="0"/>
              <w:right w:val="single" w:color="auto" w:sz="4" w:space="0"/>
            </w:tcBorders>
          </w:tcPr>
          <w:p w:rsidRPr="004471F7" w:rsidR="00E64A71" w:rsidP="00AE3052" w:rsidRDefault="00E64A71" w14:paraId="44FD506F" w14:textId="70789684">
            <w:pPr>
              <w:pStyle w:val="NormalinTable"/>
            </w:pPr>
            <w:r>
              <w:t>0.83</w:t>
            </w:r>
          </w:p>
        </w:tc>
        <w:tc>
          <w:tcPr>
            <w:tcW w:w="1800" w:type="dxa"/>
            <w:tcBorders>
              <w:top w:val="single" w:color="auto" w:sz="4" w:space="0"/>
              <w:left w:val="single" w:color="auto" w:sz="4" w:space="0"/>
              <w:bottom w:val="single" w:color="auto" w:sz="4" w:space="0"/>
              <w:right w:val="single" w:color="auto" w:sz="4" w:space="0"/>
            </w:tcBorders>
          </w:tcPr>
          <w:p w:rsidRPr="004471F7" w:rsidR="00E64A71" w:rsidP="00AE3052" w:rsidRDefault="00E64A71" w14:paraId="450385DF" w14:textId="739866D2">
            <w:pPr>
              <w:pStyle w:val="NormalinTable"/>
            </w:pPr>
            <w:r>
              <w:t>0.85</w:t>
            </w:r>
          </w:p>
        </w:tc>
      </w:tr>
      <w:tr w:rsidRPr="004471F7" w:rsidR="00B73B9C" w:rsidTr="0E94ADA0" w14:paraId="5834BFE4" w14:textId="77777777">
        <w:trPr>
          <w:trHeight w:val="462"/>
        </w:trPr>
        <w:tc>
          <w:tcPr>
            <w:tcW w:w="793" w:type="dxa"/>
            <w:vMerge/>
          </w:tcPr>
          <w:p w:rsidRPr="004471F7" w:rsidR="00B73B9C" w:rsidP="00AE3052" w:rsidRDefault="00B73B9C" w14:paraId="68DBBB4D" w14:textId="77777777">
            <w:pPr>
              <w:pStyle w:val="NormalinTable"/>
            </w:pPr>
          </w:p>
        </w:tc>
        <w:tc>
          <w:tcPr>
            <w:tcW w:w="3702" w:type="dxa"/>
            <w:tcBorders>
              <w:top w:val="single" w:color="auto" w:sz="4" w:space="0"/>
              <w:bottom w:val="single" w:color="auto" w:sz="4" w:space="0"/>
              <w:right w:val="single" w:color="auto" w:sz="4" w:space="0"/>
            </w:tcBorders>
          </w:tcPr>
          <w:p w:rsidRPr="000263C0" w:rsidR="00B73B9C" w:rsidP="00AE3052" w:rsidRDefault="00870D3F" w14:paraId="50AD6252" w14:textId="46E53109">
            <w:pPr>
              <w:pStyle w:val="NormalinTable"/>
            </w:pPr>
            <w:r w:rsidRPr="00870D3F">
              <w:t>SWWH017</w:t>
            </w:r>
            <w:r w:rsidRPr="004471F7">
              <w:t xml:space="preserve"> –</w:t>
            </w:r>
            <w:r>
              <w:t xml:space="preserve"> </w:t>
            </w:r>
            <w:r w:rsidRPr="00B97747" w:rsidR="00B97747">
              <w:t>Hot Water Pipe Insulation, Nonresidential and Multifamily</w:t>
            </w:r>
            <w:r w:rsidR="005F69DA">
              <w:t xml:space="preserve"> (</w:t>
            </w:r>
            <w:r w:rsidR="00181116">
              <w:t xml:space="preserve">direct install and </w:t>
            </w:r>
            <w:r w:rsidR="00344A72">
              <w:t>m</w:t>
            </w:r>
            <w:r w:rsidR="00B65782">
              <w:t>ultifamily only)</w:t>
            </w:r>
          </w:p>
        </w:tc>
        <w:tc>
          <w:tcPr>
            <w:tcW w:w="1710" w:type="dxa"/>
            <w:tcBorders>
              <w:top w:val="single" w:color="auto" w:sz="4" w:space="0"/>
              <w:right w:val="single" w:color="auto" w:sz="4" w:space="0"/>
            </w:tcBorders>
          </w:tcPr>
          <w:p w:rsidR="00B73B9C" w:rsidP="00AE3052" w:rsidRDefault="00FD6346" w14:paraId="26A1CC77" w14:textId="1C94AD57">
            <w:pPr>
              <w:pStyle w:val="NormalinTable"/>
            </w:pPr>
            <w:r>
              <w:t>0.</w:t>
            </w:r>
            <w:r w:rsidR="005F69DA">
              <w:t>5</w:t>
            </w:r>
            <w:r>
              <w:t>5</w:t>
            </w:r>
          </w:p>
        </w:tc>
        <w:tc>
          <w:tcPr>
            <w:tcW w:w="1620" w:type="dxa"/>
            <w:tcBorders>
              <w:top w:val="single" w:color="auto" w:sz="4" w:space="0"/>
              <w:left w:val="single" w:color="auto" w:sz="4" w:space="0"/>
              <w:right w:val="single" w:color="auto" w:sz="4" w:space="0"/>
            </w:tcBorders>
          </w:tcPr>
          <w:p w:rsidRPr="004471F7" w:rsidR="00B73B9C" w:rsidP="00AE3052" w:rsidRDefault="00FD6346" w14:paraId="282DC18E" w14:textId="69D293C0">
            <w:pPr>
              <w:pStyle w:val="NormalinTable"/>
            </w:pPr>
            <w:r>
              <w:t>0.</w:t>
            </w:r>
            <w:r w:rsidR="00352667">
              <w:t>64</w:t>
            </w:r>
          </w:p>
        </w:tc>
        <w:tc>
          <w:tcPr>
            <w:tcW w:w="1800" w:type="dxa"/>
            <w:tcBorders>
              <w:top w:val="single" w:color="auto" w:sz="4" w:space="0"/>
              <w:left w:val="single" w:color="auto" w:sz="4" w:space="0"/>
              <w:right w:val="single" w:color="auto" w:sz="4" w:space="0"/>
            </w:tcBorders>
          </w:tcPr>
          <w:p w:rsidRPr="004471F7" w:rsidR="00B73B9C" w:rsidP="00AE3052" w:rsidRDefault="00FD6346" w14:paraId="7E6733A2" w14:textId="307F4D07">
            <w:pPr>
              <w:pStyle w:val="NormalinTable"/>
            </w:pPr>
            <w:r>
              <w:t>0.</w:t>
            </w:r>
            <w:r w:rsidR="00352667">
              <w:t>65</w:t>
            </w:r>
          </w:p>
        </w:tc>
      </w:tr>
      <w:tr w:rsidRPr="004471F7" w:rsidR="00E64A71" w:rsidTr="0E94ADA0" w14:paraId="3C69216F" w14:textId="77777777">
        <w:trPr>
          <w:trHeight w:val="462"/>
        </w:trPr>
        <w:tc>
          <w:tcPr>
            <w:tcW w:w="793" w:type="dxa"/>
            <w:vMerge/>
          </w:tcPr>
          <w:p w:rsidRPr="004471F7" w:rsidR="00E64A71" w:rsidP="00AE3052" w:rsidRDefault="00E64A71" w14:paraId="7EEE490E" w14:textId="77777777">
            <w:pPr>
              <w:pStyle w:val="NormalinTable"/>
            </w:pPr>
          </w:p>
        </w:tc>
        <w:tc>
          <w:tcPr>
            <w:tcW w:w="3702" w:type="dxa"/>
            <w:tcBorders>
              <w:top w:val="single" w:color="auto" w:sz="4" w:space="0"/>
              <w:bottom w:val="single" w:color="auto" w:sz="4" w:space="0"/>
              <w:right w:val="single" w:color="auto" w:sz="4" w:space="0"/>
            </w:tcBorders>
          </w:tcPr>
          <w:p w:rsidRPr="004471F7" w:rsidR="00E64A71" w:rsidP="00AE3052" w:rsidRDefault="000263C0" w14:paraId="16759FF1" w14:textId="61970AE6">
            <w:pPr>
              <w:pStyle w:val="NormalinTable"/>
            </w:pPr>
            <w:r w:rsidRPr="000263C0">
              <w:t>SWWH0</w:t>
            </w:r>
            <w:r w:rsidR="009A2559">
              <w:t>26</w:t>
            </w:r>
            <w:r w:rsidRPr="004471F7">
              <w:t xml:space="preserve"> –</w:t>
            </w:r>
            <w:r w:rsidR="00DD3A21">
              <w:t xml:space="preserve"> </w:t>
            </w:r>
            <w:r w:rsidRPr="009A2559" w:rsidR="009A2559">
              <w:t>Water Heater Pipe Wrap, Residential</w:t>
            </w:r>
            <w:r w:rsidR="00081D7B">
              <w:t xml:space="preserve"> (</w:t>
            </w:r>
            <w:r w:rsidR="00F124CD">
              <w:t>direct install</w:t>
            </w:r>
            <w:r w:rsidR="00081D7B">
              <w:t>)</w:t>
            </w:r>
          </w:p>
        </w:tc>
        <w:tc>
          <w:tcPr>
            <w:tcW w:w="1710" w:type="dxa"/>
            <w:tcBorders>
              <w:top w:val="single" w:color="auto" w:sz="4" w:space="0"/>
              <w:right w:val="single" w:color="auto" w:sz="4" w:space="0"/>
            </w:tcBorders>
          </w:tcPr>
          <w:p w:rsidRPr="004471F7" w:rsidR="00E64A71" w:rsidP="00AE3052" w:rsidRDefault="001572C5" w14:paraId="39858BC9" w14:textId="31BE3A80">
            <w:pPr>
              <w:pStyle w:val="NormalinTable"/>
            </w:pPr>
            <w:r>
              <w:t>0.</w:t>
            </w:r>
            <w:r w:rsidR="00FD6346">
              <w:t>55</w:t>
            </w:r>
          </w:p>
        </w:tc>
        <w:tc>
          <w:tcPr>
            <w:tcW w:w="1620" w:type="dxa"/>
            <w:tcBorders>
              <w:top w:val="single" w:color="auto" w:sz="4" w:space="0"/>
              <w:left w:val="single" w:color="auto" w:sz="4" w:space="0"/>
              <w:right w:val="single" w:color="auto" w:sz="4" w:space="0"/>
            </w:tcBorders>
          </w:tcPr>
          <w:p w:rsidRPr="004471F7" w:rsidR="00E64A71" w:rsidP="00AE3052" w:rsidRDefault="00FD6346" w14:paraId="53507071" w14:textId="5E68DF01">
            <w:pPr>
              <w:pStyle w:val="NormalinTable"/>
            </w:pPr>
            <w:r>
              <w:t>0.</w:t>
            </w:r>
            <w:r w:rsidR="00087275">
              <w:t>88</w:t>
            </w:r>
          </w:p>
        </w:tc>
        <w:tc>
          <w:tcPr>
            <w:tcW w:w="1800" w:type="dxa"/>
            <w:tcBorders>
              <w:top w:val="single" w:color="auto" w:sz="4" w:space="0"/>
              <w:left w:val="single" w:color="auto" w:sz="4" w:space="0"/>
              <w:right w:val="single" w:color="auto" w:sz="4" w:space="0"/>
            </w:tcBorders>
          </w:tcPr>
          <w:p w:rsidRPr="004471F7" w:rsidR="00E64A71" w:rsidP="00AE3052" w:rsidRDefault="00087275" w14:paraId="4FF67165" w14:textId="799DA9B0">
            <w:pPr>
              <w:pStyle w:val="NormalinTable"/>
            </w:pPr>
            <w:r>
              <w:t>0.90</w:t>
            </w:r>
          </w:p>
        </w:tc>
      </w:tr>
    </w:tbl>
    <w:p w:rsidRPr="007449E6" w:rsidR="004471F7" w:rsidP="004471F7" w:rsidRDefault="00F97443" w14:paraId="1BC3B9F9" w14:textId="3DADEEA8">
      <w:pPr>
        <w:rPr>
          <w:rFonts w:ascii="Garamond" w:hAnsi="Garamond"/>
          <w:sz w:val="20"/>
          <w:szCs w:val="20"/>
        </w:rPr>
      </w:pPr>
      <w:r w:rsidRPr="007449E6">
        <w:rPr>
          <w:rFonts w:ascii="Garamond" w:hAnsi="Garamond"/>
          <w:sz w:val="20"/>
          <w:szCs w:val="20"/>
        </w:rPr>
        <w:t xml:space="preserve">*Evaluated </w:t>
      </w:r>
      <w:r w:rsidRPr="007449E6" w:rsidR="00F74E43">
        <w:rPr>
          <w:rFonts w:ascii="Garamond" w:hAnsi="Garamond"/>
          <w:sz w:val="20"/>
          <w:szCs w:val="20"/>
        </w:rPr>
        <w:t>NTG for DEER2026 is unchanged from previously evaluated NTG value.</w:t>
      </w:r>
    </w:p>
    <w:p w:rsidRPr="004471F7" w:rsidR="004471F7" w:rsidP="00AE3052" w:rsidRDefault="004471F7" w14:paraId="3EC248D1" w14:textId="67688C84">
      <w:pPr>
        <w:pStyle w:val="Heading3"/>
      </w:pPr>
      <w:bookmarkStart w:name="_Toc185271201" w:id="188"/>
      <w:r w:rsidRPr="004471F7">
        <w:lastRenderedPageBreak/>
        <w:t>Comfortably California HVAC Statewide Third-Party Program Evaluation, Program Year 2021</w:t>
      </w:r>
      <w:bookmarkEnd w:id="188"/>
    </w:p>
    <w:p w:rsidRPr="004471F7" w:rsidR="004471F7" w:rsidP="004471F7" w:rsidRDefault="004471F7" w14:paraId="3E705F14" w14:textId="77777777">
      <w:r w:rsidRPr="004471F7">
        <w:t xml:space="preserve">The Comfortably California HVAC Statewide Third-Party Program Evaluation reviewed targeted midstream/upstream programs of the following measures for PY2021: residential furnace, commercial packaged AC, residential AC and Heat Pump HVAC equipment, and commercial/multifamily space heating boilers. </w:t>
      </w:r>
    </w:p>
    <w:p w:rsidRPr="004471F7" w:rsidR="004471F7" w:rsidP="004471F7" w:rsidRDefault="004471F7" w14:paraId="28A27B42" w14:textId="36529838">
      <w:r w:rsidRPr="004471F7">
        <w:t xml:space="preserve">The NTG results were not adopted because the evaluation </w:t>
      </w:r>
      <w:r w:rsidR="00BF4B61">
        <w:t xml:space="preserve">found program attribution to be far too low to support a cost effective program and the evaluation made recommendations </w:t>
      </w:r>
      <w:r w:rsidR="00435B9E">
        <w:t>on how to improve attribution through program changes, rather than recommend adoption of the evaluated NTGRs for these measures delivered through the midstream/upstream</w:t>
      </w:r>
      <w:r w:rsidR="002E4948">
        <w:t xml:space="preserve"> channel</w:t>
      </w:r>
      <w:r w:rsidRPr="004471F7">
        <w:t>.  There are no changes to current DEER values as result of this study.</w:t>
      </w:r>
    </w:p>
    <w:p w:rsidRPr="004471F7" w:rsidR="004471F7" w:rsidP="00AE3052" w:rsidRDefault="004471F7" w14:paraId="7C5F4D0B" w14:textId="2858784F">
      <w:pPr>
        <w:pStyle w:val="Heading3"/>
      </w:pPr>
      <w:bookmarkStart w:name="_Toc185271202" w:id="189"/>
      <w:r w:rsidRPr="004471F7">
        <w:t>Foodservice Instant Rebates Statewide Third-Party Program Evaluation, Program Year 2021</w:t>
      </w:r>
      <w:bookmarkEnd w:id="189"/>
    </w:p>
    <w:p w:rsidRPr="004471F7" w:rsidR="004471F7" w:rsidP="004471F7" w:rsidRDefault="004471F7" w14:paraId="6F1B966E" w14:textId="77777777">
      <w:r w:rsidRPr="004471F7">
        <w:t xml:space="preserve">The Foodservice Instant Rebates Statewide Third-Party Program Evaluation, Program Year 2021 examined the newly implemented midstream statewide rebate program offering efficiency incentives focused on serving the food service market. Most of the program claimed electric savings came from measures incentivizing steamers, ovens, refrigerators and freezers, and electric griddles while the gas savings was predominantly from gas fryers, ovens, broilers, and steamer equipment measures. </w:t>
      </w:r>
    </w:p>
    <w:p w:rsidRPr="004471F7" w:rsidR="004471F7" w:rsidP="004471F7" w:rsidRDefault="004471F7" w14:paraId="1066E87C" w14:textId="2CD3CAC4">
      <w:r w:rsidRPr="004471F7">
        <w:t xml:space="preserve">The evaluation found almost all measures were achieving the expected gross energy and demand impacts, except for the Ultra-Low Temperature Freezer, Commercial measure (SWCR017-02). For this measure package, lower than expected electric impacts (81% GRR) were found due to some of the claims for this measure either being reported using IFP-Food Processing and RSD-Restaurant-Sit-Down building types for which there are no recognized DEER permutation savings or inaccuracies in the claimed climate zone relative to the documented installation location. While the evaluation found that gross energy savings was meeting expectations, the evaluation’s assessment of the program’s attributable influence on the participants was far below expectations, with the evaluation determining a program-level net-to-gross ratio of 31%, whereas the claimed NTGRs ranged from 60 to 85%, depending on the measure package. This lower NTGR outcome was driven by the end-user survey results in which “over half of the </w:t>
      </w:r>
      <w:r w:rsidRPr="004471F7">
        <w:lastRenderedPageBreak/>
        <w:t>end users said that the distributor recommendations were only ‘moderately influential’ on their decision to purchase equipment, with roughly a third saying they are ‘not influential at all.</w:t>
      </w:r>
      <w:r w:rsidR="00C51FB6">
        <w:t>’</w:t>
      </w:r>
      <w:r w:rsidRPr="004471F7">
        <w:t>”</w:t>
      </w:r>
    </w:p>
    <w:p w:rsidRPr="004471F7" w:rsidR="004471F7" w:rsidP="004471F7" w:rsidRDefault="004471F7" w14:paraId="0BCF3B87" w14:textId="3DD9DFEA">
      <w:r w:rsidRPr="004471F7">
        <w:t>There are no changes to current DEER values as result of this study</w:t>
      </w:r>
      <w:r w:rsidR="001B4B93">
        <w:t xml:space="preserve"> as the program was still relatively new at the time of the evaluation and </w:t>
      </w:r>
      <w:r w:rsidR="00346FFA">
        <w:t>was expected to achieve higher influence attribution as the program developed and considers the evaluation recommendations</w:t>
      </w:r>
      <w:r w:rsidRPr="004471F7">
        <w:t>.</w:t>
      </w:r>
    </w:p>
    <w:p w:rsidRPr="004471F7" w:rsidR="004471F7" w:rsidP="00AE3052" w:rsidRDefault="004471F7" w14:paraId="282B6876" w14:textId="6BE78E53">
      <w:pPr>
        <w:pStyle w:val="Heading3"/>
      </w:pPr>
      <w:bookmarkStart w:name="_Toc185271203" w:id="190"/>
      <w:r w:rsidRPr="004471F7">
        <w:t>MCE Impact Evaluation Final Report, Program Year 2021</w:t>
      </w:r>
      <w:bookmarkEnd w:id="190"/>
    </w:p>
    <w:p w:rsidRPr="004471F7" w:rsidR="003C56A1" w:rsidP="004471F7" w:rsidRDefault="004471F7" w14:paraId="06365A29" w14:textId="619C6D2B">
      <w:r w:rsidRPr="004471F7">
        <w:t>The MCE Impact Evaluation reviewed various program delivery types including the Commercial Efficiency Market (CEM) program. CEM is a Normalized Metered Energy Consumption (NMEC) program that pays aggregators a variable rate based on the time during which participants save electricity.  The evaluation was conducted during the early stages of implementation and early feedback shows program influence on project expansion. Projects should continue to document accelerated replacement (AR) conditions and follow both custom (Resolution E-5115) and deemed guidance</w:t>
      </w:r>
      <w:r w:rsidRPr="004471F7">
        <w:rPr>
          <w:vertAlign w:val="superscript"/>
        </w:rPr>
        <w:footnoteReference w:id="40"/>
      </w:r>
      <w:r w:rsidRPr="004471F7">
        <w:t xml:space="preserve">. </w:t>
      </w:r>
      <w:r w:rsidR="00B45BC5">
        <w:t xml:space="preserve">The </w:t>
      </w:r>
      <w:r w:rsidR="005B77BA">
        <w:t>published results from this study</w:t>
      </w:r>
      <w:r w:rsidR="001C690B">
        <w:t xml:space="preserve"> </w:t>
      </w:r>
      <w:r w:rsidR="00F661F8">
        <w:t>do not have sufficient resolution t</w:t>
      </w:r>
      <w:r w:rsidR="00E36CAA">
        <w:t>o support update</w:t>
      </w:r>
      <w:r w:rsidR="00E32560">
        <w:t>d</w:t>
      </w:r>
      <w:r w:rsidR="00E36CAA">
        <w:t xml:space="preserve"> </w:t>
      </w:r>
      <w:r w:rsidR="00297511">
        <w:t>lighting hours of use in DEER.</w:t>
      </w:r>
    </w:p>
    <w:p w:rsidRPr="004471F7" w:rsidR="004471F7" w:rsidP="00197651" w:rsidRDefault="004471F7" w14:paraId="025BF63C" w14:textId="31B6E3B1">
      <w:pPr>
        <w:pStyle w:val="Heading3"/>
      </w:pPr>
      <w:bookmarkStart w:name="_Toc185271204" w:id="191"/>
      <w:r w:rsidRPr="004471F7">
        <w:t>Program Year 2021 Residential Energy Efficiency Impact Evaluation</w:t>
      </w:r>
      <w:bookmarkEnd w:id="191"/>
    </w:p>
    <w:p w:rsidRPr="004471F7" w:rsidR="004471F7" w:rsidP="004471F7" w:rsidRDefault="004471F7" w14:paraId="1D02016A" w14:textId="689DEE18">
      <w:r w:rsidRPr="004471F7">
        <w:t xml:space="preserve">This study evaluated the impacts of Southern California Gas Company’s Residential Energy Efficiency Program administered in program year 2021, which provides incentives for customers adopting efficient gas appliances in single-family and multi-family existing buildings, as well as residential new constructions applications. The vast majority (82%) of savings claimed from this program came from tankless water heating measures, mostly in single-family and residential new construction applications. The evaluation found that the claimed tankless water measures were meeting expectations for gross energy impacts (net attribution was not studied) with a GRR ranging between 100 and 103%. A notable finding from the evaluation survey effort was a lower hot water setpoint temperature of 120/122 °F relative to the measure </w:t>
      </w:r>
      <w:r w:rsidRPr="004471F7">
        <w:rPr>
          <w:i/>
          <w:iCs/>
        </w:rPr>
        <w:t>package</w:t>
      </w:r>
      <w:r w:rsidRPr="004471F7">
        <w:t xml:space="preserve"> value of 135 °F</w:t>
      </w:r>
      <w:r w:rsidR="00084649">
        <w:t xml:space="preserve">, </w:t>
      </w:r>
      <w:r w:rsidR="00084649">
        <w:lastRenderedPageBreak/>
        <w:t>though</w:t>
      </w:r>
      <w:r w:rsidR="00AD67A7">
        <w:t xml:space="preserve"> </w:t>
      </w:r>
      <w:r w:rsidR="00084649">
        <w:t>f</w:t>
      </w:r>
      <w:r w:rsidRPr="00AD67A7" w:rsidR="00AD67A7">
        <w:t>or tankless water heaters using the D</w:t>
      </w:r>
      <w:r w:rsidR="00E31DCB">
        <w:t>eemed Hot Water Calculator</w:t>
      </w:r>
      <w:r w:rsidRPr="00AD67A7" w:rsidR="00AD67A7">
        <w:t xml:space="preserve"> in its current version, the annual energy usage is not affected by set point temperature</w:t>
      </w:r>
    </w:p>
    <w:p w:rsidRPr="004471F7" w:rsidR="004471F7" w:rsidP="00197651" w:rsidRDefault="004471F7" w14:paraId="3410CA11" w14:textId="6E8A6B99">
      <w:pPr>
        <w:pStyle w:val="Heading3"/>
      </w:pPr>
      <w:bookmarkStart w:name="_Toc185271205" w:id="192"/>
      <w:r w:rsidRPr="004471F7">
        <w:t>Residential Direct Install Program Impact Evaluation, Program Year 2021</w:t>
      </w:r>
      <w:bookmarkEnd w:id="192"/>
    </w:p>
    <w:p w:rsidRPr="004471F7" w:rsidR="004471F7" w:rsidP="004471F7" w:rsidRDefault="004471F7" w14:paraId="0324BAD5" w14:textId="150CE14B">
      <w:r w:rsidRPr="004471F7">
        <w:t>This study determined measure-level gross realization rates, net-to-gross ratios, and evaluated program delivery performance for the residential direct install programs in PY2021. For these direct install programs</w:t>
      </w:r>
      <w:r w:rsidR="002D6CB4">
        <w:t>,</w:t>
      </w:r>
      <w:r w:rsidRPr="004471F7">
        <w:t xml:space="preserve"> the NTG ratios are all higher than those claimed through the program, and </w:t>
      </w:r>
      <w:r w:rsidR="00B905D1">
        <w:t xml:space="preserve">it confirmed a NTG </w:t>
      </w:r>
      <w:r w:rsidR="00955F68">
        <w:t xml:space="preserve">ratio </w:t>
      </w:r>
      <w:r w:rsidR="00B905D1">
        <w:t>of 0.95 for Residential Duct Seal measures. W</w:t>
      </w:r>
      <w:r w:rsidRPr="004471F7">
        <w:t xml:space="preserve">e recommend making changes to the DEER2026 direct install NTGRs for these measures in </w:t>
      </w:r>
      <w:r w:rsidRPr="004471F7">
        <w:fldChar w:fldCharType="begin"/>
      </w:r>
      <w:r w:rsidRPr="004471F7">
        <w:instrText xml:space="preserve"> REF _Ref162909436 \h </w:instrText>
      </w:r>
      <w:r w:rsidRPr="004471F7">
        <w:fldChar w:fldCharType="separate"/>
      </w:r>
      <w:r w:rsidRPr="004471F7" w:rsidR="00E812F0">
        <w:t xml:space="preserve">Table </w:t>
      </w:r>
      <w:r w:rsidRPr="00CF1BC3" w:rsidR="00E812F0">
        <w:rPr>
          <w:webHidden/>
        </w:rPr>
        <w:t>A-</w:t>
      </w:r>
      <w:r w:rsidR="00E812F0">
        <w:rPr>
          <w:noProof/>
        </w:rPr>
        <w:t>3</w:t>
      </w:r>
      <w:r w:rsidRPr="004471F7" w:rsidR="00E812F0">
        <w:noBreakHyphen/>
      </w:r>
      <w:r w:rsidR="00E812F0">
        <w:rPr>
          <w:noProof/>
        </w:rPr>
        <w:t>8</w:t>
      </w:r>
      <w:r w:rsidRPr="004471F7">
        <w:fldChar w:fldCharType="end"/>
      </w:r>
      <w:r w:rsidRPr="004471F7">
        <w:t xml:space="preserve">. </w:t>
      </w:r>
    </w:p>
    <w:p w:rsidRPr="004471F7" w:rsidR="004471F7" w:rsidP="00197651" w:rsidRDefault="004471F7" w14:paraId="332029E3" w14:textId="6197B2EA">
      <w:pPr>
        <w:pStyle w:val="Caption"/>
      </w:pPr>
      <w:bookmarkStart w:name="_Ref162909436" w:id="193"/>
      <w:bookmarkStart w:name="_Toc185273176" w:id="194"/>
      <w:r w:rsidRPr="004471F7">
        <w:t xml:space="preserve">Table </w:t>
      </w:r>
      <w:r w:rsidRPr="00CF1BC3" w:rsidR="00CF1BC3">
        <w:rPr>
          <w:webHidden/>
        </w:rPr>
        <w:t>A-</w:t>
      </w:r>
      <w:r>
        <w:fldChar w:fldCharType="begin"/>
      </w:r>
      <w:r>
        <w:instrText>STYLEREF 1 \s</w:instrText>
      </w:r>
      <w:r>
        <w:fldChar w:fldCharType="separate"/>
      </w:r>
      <w:r w:rsidR="00E812F0">
        <w:rPr>
          <w:noProof/>
        </w:rPr>
        <w:t>3</w:t>
      </w:r>
      <w:r>
        <w:fldChar w:fldCharType="end"/>
      </w:r>
      <w:r w:rsidRPr="004471F7">
        <w:noBreakHyphen/>
      </w:r>
      <w:r>
        <w:fldChar w:fldCharType="begin"/>
      </w:r>
      <w:r>
        <w:instrText>SEQ Table \* ARABIC \s 1</w:instrText>
      </w:r>
      <w:r>
        <w:fldChar w:fldCharType="separate"/>
      </w:r>
      <w:r w:rsidR="00E812F0">
        <w:rPr>
          <w:noProof/>
        </w:rPr>
        <w:t>8</w:t>
      </w:r>
      <w:r>
        <w:fldChar w:fldCharType="end"/>
      </w:r>
      <w:bookmarkEnd w:id="193"/>
      <w:r w:rsidRPr="004471F7">
        <w:t>. Evaluated NTGR Findings</w:t>
      </w:r>
      <w:r w:rsidR="00242031">
        <w:t xml:space="preserve"> in Residential Direct Install Programs, PY2021</w:t>
      </w:r>
      <w:bookmarkEnd w:id="194"/>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bottom w:w="14" w:type="dxa"/>
        </w:tblCellMar>
        <w:tblLook w:val="04A0" w:firstRow="1" w:lastRow="0" w:firstColumn="1" w:lastColumn="0" w:noHBand="0" w:noVBand="1"/>
      </w:tblPr>
      <w:tblGrid>
        <w:gridCol w:w="4315"/>
        <w:gridCol w:w="1710"/>
        <w:gridCol w:w="1890"/>
        <w:gridCol w:w="1435"/>
      </w:tblGrid>
      <w:tr w:rsidRPr="00E3031D" w:rsidR="004471F7" w:rsidTr="009F155D" w14:paraId="3B884D98" w14:textId="77777777">
        <w:trPr>
          <w:cantSplit/>
          <w:tblHeader/>
        </w:trPr>
        <w:tc>
          <w:tcPr>
            <w:tcW w:w="4315" w:type="dxa"/>
            <w:tcBorders>
              <w:left w:val="single" w:color="auto" w:sz="4" w:space="0"/>
              <w:bottom w:val="single" w:color="auto" w:sz="4" w:space="0"/>
              <w:right w:val="single" w:color="auto" w:sz="4" w:space="0"/>
            </w:tcBorders>
            <w:vAlign w:val="bottom"/>
          </w:tcPr>
          <w:p w:rsidRPr="00E3031D" w:rsidR="004471F7" w:rsidP="00197651" w:rsidRDefault="004471F7" w14:paraId="73F3BF42" w14:textId="77777777">
            <w:pPr>
              <w:pStyle w:val="NormalinTable"/>
              <w:rPr>
                <w:b/>
                <w:bCs/>
              </w:rPr>
            </w:pPr>
            <w:r w:rsidRPr="00E3031D">
              <w:rPr>
                <w:b/>
                <w:bCs/>
              </w:rPr>
              <w:t>Measure</w:t>
            </w:r>
          </w:p>
        </w:tc>
        <w:tc>
          <w:tcPr>
            <w:tcW w:w="1710" w:type="dxa"/>
            <w:tcBorders>
              <w:left w:val="single" w:color="auto" w:sz="4" w:space="0"/>
              <w:bottom w:val="single" w:color="auto" w:sz="4" w:space="0"/>
              <w:right w:val="single" w:color="auto" w:sz="4" w:space="0"/>
            </w:tcBorders>
          </w:tcPr>
          <w:p w:rsidRPr="00E3031D" w:rsidR="004471F7" w:rsidP="00197651" w:rsidRDefault="004471F7" w14:paraId="68FD36FE" w14:textId="77777777">
            <w:pPr>
              <w:pStyle w:val="NormalinTable"/>
              <w:rPr>
                <w:b/>
                <w:bCs/>
              </w:rPr>
            </w:pPr>
            <w:r w:rsidRPr="00E3031D">
              <w:rPr>
                <w:b/>
                <w:bCs/>
              </w:rPr>
              <w:t>Claimed NTGR (electric/gas)</w:t>
            </w:r>
          </w:p>
        </w:tc>
        <w:tc>
          <w:tcPr>
            <w:tcW w:w="1890" w:type="dxa"/>
            <w:tcBorders>
              <w:top w:val="single" w:color="auto" w:sz="4" w:space="0"/>
              <w:left w:val="single" w:color="auto" w:sz="4" w:space="0"/>
              <w:bottom w:val="single" w:color="auto" w:sz="4" w:space="0"/>
              <w:right w:val="single" w:color="auto" w:sz="4" w:space="0"/>
            </w:tcBorders>
            <w:vAlign w:val="bottom"/>
          </w:tcPr>
          <w:p w:rsidRPr="00E3031D" w:rsidR="004471F7" w:rsidP="00197651" w:rsidRDefault="004471F7" w14:paraId="55339D64" w14:textId="77777777">
            <w:pPr>
              <w:pStyle w:val="NormalinTable"/>
              <w:rPr>
                <w:b/>
                <w:bCs/>
              </w:rPr>
            </w:pPr>
            <w:r w:rsidRPr="00E3031D">
              <w:rPr>
                <w:b/>
                <w:bCs/>
              </w:rPr>
              <w:t>Evaluated NTGR (electric/gas)</w:t>
            </w:r>
          </w:p>
        </w:tc>
        <w:tc>
          <w:tcPr>
            <w:tcW w:w="1435" w:type="dxa"/>
            <w:tcBorders>
              <w:top w:val="single" w:color="auto" w:sz="4" w:space="0"/>
              <w:left w:val="single" w:color="auto" w:sz="4" w:space="0"/>
              <w:right w:val="single" w:color="auto" w:sz="4" w:space="0"/>
            </w:tcBorders>
            <w:vAlign w:val="bottom"/>
          </w:tcPr>
          <w:p w:rsidRPr="00E3031D" w:rsidR="004471F7" w:rsidP="00197651" w:rsidRDefault="004471F7" w14:paraId="3829ED7B" w14:textId="77777777">
            <w:pPr>
              <w:pStyle w:val="NormalinTable"/>
              <w:rPr>
                <w:b/>
                <w:bCs/>
              </w:rPr>
            </w:pPr>
            <w:r w:rsidRPr="00E3031D">
              <w:rPr>
                <w:b/>
                <w:bCs/>
              </w:rPr>
              <w:t>DEER2026 NTGR</w:t>
            </w:r>
          </w:p>
        </w:tc>
      </w:tr>
      <w:tr w:rsidRPr="004471F7" w:rsidR="004471F7" w:rsidTr="002304C7" w14:paraId="5DBC1572" w14:textId="77777777">
        <w:trPr>
          <w:cantSplit/>
        </w:trPr>
        <w:tc>
          <w:tcPr>
            <w:tcW w:w="4315" w:type="dxa"/>
            <w:tcBorders>
              <w:top w:val="single" w:color="auto" w:sz="4" w:space="0"/>
              <w:left w:val="single" w:color="auto" w:sz="4" w:space="0"/>
              <w:bottom w:val="single" w:color="auto" w:sz="4" w:space="0"/>
              <w:right w:val="single" w:color="auto" w:sz="4" w:space="0"/>
            </w:tcBorders>
          </w:tcPr>
          <w:p w:rsidRPr="004471F7" w:rsidR="004471F7" w:rsidP="00197651" w:rsidRDefault="004471F7" w14:paraId="771585C0" w14:textId="77777777">
            <w:pPr>
              <w:pStyle w:val="NormalinTable"/>
            </w:pPr>
            <w:r w:rsidRPr="004471F7">
              <w:t>SWHC029 – Fan Controller for Air Conditioner, Residential</w:t>
            </w:r>
          </w:p>
          <w:p w:rsidRPr="004471F7" w:rsidR="004471F7" w:rsidP="00197651" w:rsidRDefault="004471F7" w14:paraId="0FB9062C" w14:textId="77777777">
            <w:pPr>
              <w:pStyle w:val="NormalinTable"/>
            </w:pPr>
            <w:r w:rsidRPr="004471F7">
              <w:t>‘Res-sAll-mHVAC-FanCtrl-di’</w:t>
            </w:r>
          </w:p>
        </w:tc>
        <w:tc>
          <w:tcPr>
            <w:tcW w:w="1710" w:type="dxa"/>
            <w:tcBorders>
              <w:top w:val="single" w:color="auto" w:sz="4" w:space="0"/>
              <w:left w:val="single" w:color="auto" w:sz="4" w:space="0"/>
              <w:bottom w:val="single" w:color="auto" w:sz="4" w:space="0"/>
              <w:right w:val="single" w:color="auto" w:sz="4" w:space="0"/>
            </w:tcBorders>
          </w:tcPr>
          <w:p w:rsidRPr="004471F7" w:rsidR="004471F7" w:rsidP="002304C7" w:rsidRDefault="004471F7" w14:paraId="482E7D5B" w14:textId="77777777">
            <w:pPr>
              <w:pStyle w:val="NormalinTable"/>
              <w:jc w:val="right"/>
            </w:pPr>
            <w:r w:rsidRPr="004471F7">
              <w:t>0.69</w:t>
            </w:r>
          </w:p>
        </w:tc>
        <w:tc>
          <w:tcPr>
            <w:tcW w:w="1890" w:type="dxa"/>
            <w:tcBorders>
              <w:top w:val="single" w:color="auto" w:sz="4" w:space="0"/>
              <w:left w:val="single" w:color="auto" w:sz="4" w:space="0"/>
              <w:bottom w:val="single" w:color="auto" w:sz="4" w:space="0"/>
              <w:right w:val="single" w:color="auto" w:sz="4" w:space="0"/>
            </w:tcBorders>
          </w:tcPr>
          <w:p w:rsidRPr="004471F7" w:rsidR="004471F7" w:rsidP="002304C7" w:rsidRDefault="004471F7" w14:paraId="3A8BEED1" w14:textId="77777777">
            <w:pPr>
              <w:pStyle w:val="NormalinTable"/>
              <w:jc w:val="right"/>
            </w:pPr>
            <w:r w:rsidRPr="004471F7">
              <w:t>0.76</w:t>
            </w:r>
          </w:p>
        </w:tc>
        <w:tc>
          <w:tcPr>
            <w:tcW w:w="1435" w:type="dxa"/>
            <w:tcBorders>
              <w:left w:val="single" w:color="auto" w:sz="4" w:space="0"/>
              <w:right w:val="single" w:color="auto" w:sz="4" w:space="0"/>
            </w:tcBorders>
          </w:tcPr>
          <w:p w:rsidRPr="004471F7" w:rsidR="004471F7" w:rsidP="002304C7" w:rsidRDefault="004471F7" w14:paraId="25558AD7" w14:textId="2E2C2DBD">
            <w:pPr>
              <w:pStyle w:val="NormalinTable"/>
              <w:jc w:val="right"/>
            </w:pPr>
            <w:r w:rsidRPr="004471F7">
              <w:t>0.</w:t>
            </w:r>
            <w:r w:rsidR="009C1267">
              <w:t>80</w:t>
            </w:r>
          </w:p>
        </w:tc>
      </w:tr>
      <w:tr w:rsidRPr="004471F7" w:rsidR="004471F7" w:rsidTr="002304C7" w14:paraId="64253C16" w14:textId="77777777">
        <w:trPr>
          <w:cantSplit/>
        </w:trPr>
        <w:tc>
          <w:tcPr>
            <w:tcW w:w="4315" w:type="dxa"/>
            <w:tcBorders>
              <w:top w:val="single" w:color="auto" w:sz="4" w:space="0"/>
              <w:left w:val="single" w:color="auto" w:sz="4" w:space="0"/>
              <w:bottom w:val="single" w:color="auto" w:sz="4" w:space="0"/>
              <w:right w:val="single" w:color="auto" w:sz="4" w:space="0"/>
            </w:tcBorders>
          </w:tcPr>
          <w:p w:rsidRPr="004471F7" w:rsidR="004471F7" w:rsidP="00197651" w:rsidRDefault="004471F7" w14:paraId="138FB139" w14:textId="77777777">
            <w:pPr>
              <w:pStyle w:val="NormalinTable"/>
            </w:pPr>
            <w:r w:rsidRPr="004471F7">
              <w:t>SWHC038 – Brushless Fan Motor Replacement, Residential</w:t>
            </w:r>
          </w:p>
          <w:p w:rsidRPr="004471F7" w:rsidR="004471F7" w:rsidP="00197651" w:rsidRDefault="004471F7" w14:paraId="0A8EA663" w14:textId="72565B31">
            <w:pPr>
              <w:pStyle w:val="NormalinTable"/>
            </w:pPr>
            <w:r w:rsidRPr="004471F7">
              <w:t>‘Res-sAll-mHVAC-FanMotor’</w:t>
            </w:r>
          </w:p>
        </w:tc>
        <w:tc>
          <w:tcPr>
            <w:tcW w:w="1710" w:type="dxa"/>
            <w:tcBorders>
              <w:top w:val="single" w:color="auto" w:sz="4" w:space="0"/>
              <w:left w:val="single" w:color="auto" w:sz="4" w:space="0"/>
              <w:bottom w:val="single" w:color="auto" w:sz="4" w:space="0"/>
              <w:right w:val="single" w:color="auto" w:sz="4" w:space="0"/>
            </w:tcBorders>
          </w:tcPr>
          <w:p w:rsidRPr="004471F7" w:rsidR="004471F7" w:rsidP="002304C7" w:rsidRDefault="004471F7" w14:paraId="1D91CCCE" w14:textId="77777777">
            <w:pPr>
              <w:pStyle w:val="NormalinTable"/>
              <w:jc w:val="right"/>
            </w:pPr>
            <w:r w:rsidRPr="004471F7">
              <w:t>0.64/0.70</w:t>
            </w:r>
          </w:p>
        </w:tc>
        <w:tc>
          <w:tcPr>
            <w:tcW w:w="1890" w:type="dxa"/>
            <w:tcBorders>
              <w:top w:val="single" w:color="auto" w:sz="4" w:space="0"/>
              <w:left w:val="single" w:color="auto" w:sz="4" w:space="0"/>
              <w:bottom w:val="single" w:color="auto" w:sz="4" w:space="0"/>
              <w:right w:val="single" w:color="auto" w:sz="4" w:space="0"/>
            </w:tcBorders>
          </w:tcPr>
          <w:p w:rsidRPr="004471F7" w:rsidR="004471F7" w:rsidP="002304C7" w:rsidRDefault="004471F7" w14:paraId="7D6AAE15" w14:textId="77777777">
            <w:pPr>
              <w:pStyle w:val="NormalinTable"/>
              <w:jc w:val="right"/>
            </w:pPr>
            <w:r w:rsidRPr="004471F7">
              <w:t>0.85/0.86</w:t>
            </w:r>
          </w:p>
        </w:tc>
        <w:tc>
          <w:tcPr>
            <w:tcW w:w="1435" w:type="dxa"/>
            <w:tcBorders>
              <w:left w:val="single" w:color="auto" w:sz="4" w:space="0"/>
              <w:right w:val="single" w:color="auto" w:sz="4" w:space="0"/>
            </w:tcBorders>
          </w:tcPr>
          <w:p w:rsidRPr="004471F7" w:rsidR="004471F7" w:rsidP="002304C7" w:rsidRDefault="004471F7" w14:paraId="00A56520" w14:textId="253F05AA">
            <w:pPr>
              <w:pStyle w:val="NormalinTable"/>
              <w:jc w:val="right"/>
            </w:pPr>
            <w:r w:rsidRPr="004471F7">
              <w:t>0.</w:t>
            </w:r>
            <w:r w:rsidR="00210933">
              <w:t>90</w:t>
            </w:r>
          </w:p>
        </w:tc>
      </w:tr>
      <w:tr w:rsidRPr="004471F7" w:rsidR="004471F7" w:rsidTr="002304C7" w14:paraId="4324AAF4" w14:textId="77777777">
        <w:trPr>
          <w:cantSplit/>
        </w:trPr>
        <w:tc>
          <w:tcPr>
            <w:tcW w:w="4315" w:type="dxa"/>
            <w:tcBorders>
              <w:top w:val="single" w:color="auto" w:sz="4" w:space="0"/>
              <w:left w:val="single" w:color="auto" w:sz="4" w:space="0"/>
              <w:bottom w:val="single" w:color="auto" w:sz="4" w:space="0"/>
              <w:right w:val="single" w:color="auto" w:sz="4" w:space="0"/>
            </w:tcBorders>
          </w:tcPr>
          <w:p w:rsidRPr="004471F7" w:rsidR="004471F7" w:rsidP="00197651" w:rsidRDefault="004471F7" w14:paraId="037F126E" w14:textId="77777777">
            <w:pPr>
              <w:pStyle w:val="NormalinTable"/>
            </w:pPr>
            <w:r w:rsidRPr="004471F7">
              <w:t>SWHC039 – Smart Thermostat, Residential</w:t>
            </w:r>
          </w:p>
          <w:p w:rsidRPr="004471F7" w:rsidR="004471F7" w:rsidP="00197651" w:rsidRDefault="004471F7" w14:paraId="3CF2BD42" w14:textId="77777777">
            <w:pPr>
              <w:pStyle w:val="NormalinTable"/>
            </w:pPr>
            <w:r w:rsidRPr="004471F7">
              <w:t>‘Res-sAll-mHVAC-SCT-di’</w:t>
            </w:r>
          </w:p>
        </w:tc>
        <w:tc>
          <w:tcPr>
            <w:tcW w:w="1710" w:type="dxa"/>
            <w:tcBorders>
              <w:top w:val="single" w:color="auto" w:sz="4" w:space="0"/>
              <w:left w:val="single" w:color="auto" w:sz="4" w:space="0"/>
              <w:bottom w:val="single" w:color="auto" w:sz="4" w:space="0"/>
              <w:right w:val="single" w:color="auto" w:sz="4" w:space="0"/>
            </w:tcBorders>
          </w:tcPr>
          <w:p w:rsidRPr="004471F7" w:rsidR="004471F7" w:rsidP="002304C7" w:rsidRDefault="004471F7" w14:paraId="475368C3" w14:textId="77777777">
            <w:pPr>
              <w:pStyle w:val="NormalinTable"/>
              <w:jc w:val="right"/>
            </w:pPr>
            <w:r w:rsidRPr="004471F7">
              <w:t>0.90</w:t>
            </w:r>
          </w:p>
        </w:tc>
        <w:tc>
          <w:tcPr>
            <w:tcW w:w="1890" w:type="dxa"/>
            <w:tcBorders>
              <w:top w:val="single" w:color="auto" w:sz="4" w:space="0"/>
              <w:left w:val="single" w:color="auto" w:sz="4" w:space="0"/>
              <w:bottom w:val="single" w:color="auto" w:sz="4" w:space="0"/>
              <w:right w:val="single" w:color="auto" w:sz="4" w:space="0"/>
            </w:tcBorders>
          </w:tcPr>
          <w:p w:rsidRPr="004471F7" w:rsidR="004471F7" w:rsidP="002304C7" w:rsidRDefault="004471F7" w14:paraId="65E6EE3C" w14:textId="77777777">
            <w:pPr>
              <w:pStyle w:val="NormalinTable"/>
              <w:jc w:val="right"/>
            </w:pPr>
            <w:r w:rsidRPr="004471F7">
              <w:t>0.83</w:t>
            </w:r>
          </w:p>
        </w:tc>
        <w:tc>
          <w:tcPr>
            <w:tcW w:w="1435" w:type="dxa"/>
            <w:tcBorders>
              <w:left w:val="single" w:color="auto" w:sz="4" w:space="0"/>
              <w:right w:val="single" w:color="auto" w:sz="4" w:space="0"/>
            </w:tcBorders>
          </w:tcPr>
          <w:p w:rsidRPr="004471F7" w:rsidR="004471F7" w:rsidP="002304C7" w:rsidRDefault="004471F7" w14:paraId="674E5520" w14:textId="77777777">
            <w:pPr>
              <w:pStyle w:val="NormalinTable"/>
              <w:jc w:val="right"/>
            </w:pPr>
            <w:r w:rsidRPr="004471F7">
              <w:t>0.85</w:t>
            </w:r>
          </w:p>
        </w:tc>
      </w:tr>
      <w:tr w:rsidRPr="004471F7" w:rsidR="004471F7" w:rsidTr="002304C7" w14:paraId="3BBB9E36" w14:textId="77777777">
        <w:trPr>
          <w:cantSplit/>
        </w:trPr>
        <w:tc>
          <w:tcPr>
            <w:tcW w:w="4315" w:type="dxa"/>
            <w:tcBorders>
              <w:top w:val="single" w:color="auto" w:sz="4" w:space="0"/>
              <w:left w:val="single" w:color="auto" w:sz="4" w:space="0"/>
              <w:bottom w:val="single" w:color="auto" w:sz="4" w:space="0"/>
              <w:right w:val="single" w:color="auto" w:sz="4" w:space="0"/>
            </w:tcBorders>
          </w:tcPr>
          <w:p w:rsidRPr="004471F7" w:rsidR="004471F7" w:rsidP="00197651" w:rsidRDefault="004471F7" w14:paraId="3A11F3AA" w14:textId="77777777">
            <w:pPr>
              <w:pStyle w:val="NormalinTable"/>
            </w:pPr>
            <w:r w:rsidRPr="004471F7">
              <w:t>SWWH001 – Faucet Aerator, Residential</w:t>
            </w:r>
          </w:p>
          <w:p w:rsidRPr="004471F7" w:rsidR="004471F7" w:rsidP="00197651" w:rsidRDefault="004471F7" w14:paraId="5DBD8FF5" w14:textId="77777777">
            <w:pPr>
              <w:pStyle w:val="NormalinTable"/>
            </w:pPr>
            <w:r w:rsidRPr="004471F7">
              <w:t>‘Res-mDHWaerator’</w:t>
            </w:r>
          </w:p>
        </w:tc>
        <w:tc>
          <w:tcPr>
            <w:tcW w:w="1710" w:type="dxa"/>
            <w:tcBorders>
              <w:top w:val="single" w:color="auto" w:sz="4" w:space="0"/>
              <w:left w:val="single" w:color="auto" w:sz="4" w:space="0"/>
              <w:bottom w:val="single" w:color="auto" w:sz="4" w:space="0"/>
              <w:right w:val="single" w:color="auto" w:sz="4" w:space="0"/>
            </w:tcBorders>
          </w:tcPr>
          <w:p w:rsidRPr="004471F7" w:rsidR="004471F7" w:rsidP="002304C7" w:rsidRDefault="004471F7" w14:paraId="4C48839E" w14:textId="77777777">
            <w:pPr>
              <w:pStyle w:val="NormalinTable"/>
              <w:jc w:val="right"/>
            </w:pPr>
            <w:r w:rsidRPr="004471F7">
              <w:t>0.66</w:t>
            </w:r>
          </w:p>
        </w:tc>
        <w:tc>
          <w:tcPr>
            <w:tcW w:w="1890" w:type="dxa"/>
            <w:tcBorders>
              <w:top w:val="single" w:color="auto" w:sz="4" w:space="0"/>
              <w:left w:val="single" w:color="auto" w:sz="4" w:space="0"/>
              <w:bottom w:val="single" w:color="auto" w:sz="4" w:space="0"/>
              <w:right w:val="single" w:color="auto" w:sz="4" w:space="0"/>
            </w:tcBorders>
          </w:tcPr>
          <w:p w:rsidRPr="004471F7" w:rsidR="004471F7" w:rsidP="002304C7" w:rsidRDefault="004471F7" w14:paraId="14EE2788" w14:textId="77777777">
            <w:pPr>
              <w:pStyle w:val="NormalinTable"/>
              <w:jc w:val="right"/>
            </w:pPr>
            <w:r w:rsidRPr="004471F7">
              <w:t>0.81</w:t>
            </w:r>
          </w:p>
        </w:tc>
        <w:tc>
          <w:tcPr>
            <w:tcW w:w="1435" w:type="dxa"/>
            <w:tcBorders>
              <w:left w:val="single" w:color="auto" w:sz="4" w:space="0"/>
              <w:right w:val="single" w:color="auto" w:sz="4" w:space="0"/>
            </w:tcBorders>
          </w:tcPr>
          <w:p w:rsidRPr="004471F7" w:rsidR="004471F7" w:rsidP="002304C7" w:rsidRDefault="004471F7" w14:paraId="0F6F4BCD" w14:textId="0ADDA7C9">
            <w:pPr>
              <w:pStyle w:val="NormalinTable"/>
              <w:jc w:val="right"/>
            </w:pPr>
            <w:r w:rsidRPr="004471F7">
              <w:t>0.</w:t>
            </w:r>
            <w:r w:rsidR="008B3C6A">
              <w:t>85</w:t>
            </w:r>
          </w:p>
        </w:tc>
      </w:tr>
      <w:tr w:rsidRPr="004471F7" w:rsidR="004471F7" w:rsidTr="002304C7" w14:paraId="34838FB8" w14:textId="77777777">
        <w:trPr>
          <w:cantSplit/>
        </w:trPr>
        <w:tc>
          <w:tcPr>
            <w:tcW w:w="4315" w:type="dxa"/>
            <w:tcBorders>
              <w:top w:val="single" w:color="auto" w:sz="4" w:space="0"/>
              <w:left w:val="single" w:color="auto" w:sz="4" w:space="0"/>
              <w:bottom w:val="single" w:color="auto" w:sz="4" w:space="0"/>
              <w:right w:val="single" w:color="auto" w:sz="4" w:space="0"/>
            </w:tcBorders>
          </w:tcPr>
          <w:p w:rsidRPr="004471F7" w:rsidR="004471F7" w:rsidP="00197651" w:rsidRDefault="004471F7" w14:paraId="27B153F0" w14:textId="77777777">
            <w:pPr>
              <w:pStyle w:val="NormalinTable"/>
            </w:pPr>
            <w:r w:rsidRPr="004471F7">
              <w:t>SWWH002 – Low-Flow Showerhead, Residential</w:t>
            </w:r>
          </w:p>
          <w:p w:rsidRPr="004471F7" w:rsidR="004471F7" w:rsidP="00197651" w:rsidRDefault="004471F7" w14:paraId="58EDDB41" w14:textId="77777777">
            <w:pPr>
              <w:pStyle w:val="NormalinTable"/>
            </w:pPr>
            <w:r w:rsidRPr="004471F7">
              <w:t>‘Res-sAll-mDHWshwr’</w:t>
            </w:r>
          </w:p>
        </w:tc>
        <w:tc>
          <w:tcPr>
            <w:tcW w:w="1710" w:type="dxa"/>
            <w:tcBorders>
              <w:top w:val="single" w:color="auto" w:sz="4" w:space="0"/>
              <w:left w:val="single" w:color="auto" w:sz="4" w:space="0"/>
              <w:bottom w:val="single" w:color="auto" w:sz="4" w:space="0"/>
              <w:right w:val="single" w:color="auto" w:sz="4" w:space="0"/>
            </w:tcBorders>
          </w:tcPr>
          <w:p w:rsidRPr="004471F7" w:rsidR="004471F7" w:rsidP="002304C7" w:rsidRDefault="004471F7" w14:paraId="380127E0" w14:textId="77777777">
            <w:pPr>
              <w:pStyle w:val="NormalinTable"/>
              <w:jc w:val="right"/>
            </w:pPr>
            <w:r w:rsidRPr="004471F7">
              <w:t>0.66</w:t>
            </w:r>
          </w:p>
        </w:tc>
        <w:tc>
          <w:tcPr>
            <w:tcW w:w="1890" w:type="dxa"/>
            <w:tcBorders>
              <w:top w:val="single" w:color="auto" w:sz="4" w:space="0"/>
              <w:left w:val="single" w:color="auto" w:sz="4" w:space="0"/>
              <w:bottom w:val="single" w:color="auto" w:sz="4" w:space="0"/>
              <w:right w:val="single" w:color="auto" w:sz="4" w:space="0"/>
            </w:tcBorders>
          </w:tcPr>
          <w:p w:rsidRPr="004471F7" w:rsidR="004471F7" w:rsidP="002304C7" w:rsidRDefault="004471F7" w14:paraId="1F639F5C" w14:textId="77777777">
            <w:pPr>
              <w:pStyle w:val="NormalinTable"/>
              <w:jc w:val="right"/>
            </w:pPr>
            <w:r w:rsidRPr="004471F7">
              <w:t>0.81</w:t>
            </w:r>
          </w:p>
        </w:tc>
        <w:tc>
          <w:tcPr>
            <w:tcW w:w="1435" w:type="dxa"/>
            <w:tcBorders>
              <w:left w:val="single" w:color="auto" w:sz="4" w:space="0"/>
              <w:right w:val="single" w:color="auto" w:sz="4" w:space="0"/>
            </w:tcBorders>
          </w:tcPr>
          <w:p w:rsidRPr="004471F7" w:rsidR="004471F7" w:rsidP="002304C7" w:rsidRDefault="004471F7" w14:paraId="4BE53DE0" w14:textId="747A8CDA">
            <w:pPr>
              <w:pStyle w:val="NormalinTable"/>
              <w:jc w:val="right"/>
            </w:pPr>
            <w:r w:rsidRPr="004471F7">
              <w:t>0.</w:t>
            </w:r>
            <w:r w:rsidR="008B3C6A">
              <w:t>85</w:t>
            </w:r>
          </w:p>
        </w:tc>
      </w:tr>
    </w:tbl>
    <w:p w:rsidRPr="004471F7" w:rsidR="004471F7" w:rsidP="004471F7" w:rsidRDefault="004471F7" w14:paraId="362D5B6A" w14:textId="77777777"/>
    <w:p w:rsidRPr="004471F7" w:rsidR="004471F7" w:rsidP="004471F7" w:rsidRDefault="004471F7" w14:paraId="0518B59F" w14:textId="6385CE16">
      <w:r w:rsidRPr="004471F7">
        <w:t>The study found low gross realization rates for smart thermostats, fan motor replacements and fan motor controls. Based on the study findings, we recommend that the underlying measure savings assumptions be re-evaluated for PY2026 revisions to these measure packages. The following assumptions should be re-assessed:</w:t>
      </w:r>
    </w:p>
    <w:p w:rsidRPr="004471F7" w:rsidR="004471F7" w:rsidP="00197651" w:rsidRDefault="004471F7" w14:paraId="2D0FF676" w14:textId="77777777">
      <w:pPr>
        <w:pStyle w:val="ListParagraph"/>
      </w:pPr>
      <w:r w:rsidRPr="004471F7">
        <w:lastRenderedPageBreak/>
        <w:t xml:space="preserve">SWHC038 – Brushless Fan Motor Replacement, Residential: the baseline fan motor efficiency is based on a 15-year-old study. </w:t>
      </w:r>
    </w:p>
    <w:p w:rsidR="004471F7" w:rsidP="00197651" w:rsidRDefault="00AA3A0D" w14:paraId="586EE189" w14:textId="3196F3B7">
      <w:pPr>
        <w:pStyle w:val="ListParagraph"/>
      </w:pPr>
      <w:r>
        <w:t>SWHC</w:t>
      </w:r>
      <w:r w:rsidR="00E01021">
        <w:t>039</w:t>
      </w:r>
      <w:r w:rsidRPr="004471F7" w:rsidR="004471F7">
        <w:t xml:space="preserve"> – </w:t>
      </w:r>
      <w:r w:rsidR="00E01021">
        <w:t>Smart Thermostat</w:t>
      </w:r>
      <w:r w:rsidR="00F05CBC">
        <w:t>, Residential</w:t>
      </w:r>
      <w:r w:rsidRPr="004471F7" w:rsidR="004471F7">
        <w:t xml:space="preserve">: review the savings methodology and underlying data since this measure has a low realization rate </w:t>
      </w:r>
      <w:r w:rsidR="00DC5C00">
        <w:t>relative to the savings which is</w:t>
      </w:r>
      <w:r w:rsidRPr="004471F7" w:rsidR="004471F7">
        <w:t xml:space="preserve"> based on </w:t>
      </w:r>
      <w:r w:rsidRPr="003162F4" w:rsidR="003162F4">
        <w:t>CPUC’s Impact Evaluation of Residential HVAC Measures, Residential Sector – Program Year 2020</w:t>
      </w:r>
      <w:r w:rsidRPr="004471F7" w:rsidR="004471F7">
        <w:t xml:space="preserve">. </w:t>
      </w:r>
    </w:p>
    <w:p w:rsidRPr="004471F7" w:rsidR="00555EA5" w:rsidP="00197651" w:rsidRDefault="00555EA5" w14:paraId="2E8E6691" w14:textId="69AEF24F">
      <w:pPr>
        <w:pStyle w:val="ListParagraph"/>
      </w:pPr>
      <w:r>
        <w:t xml:space="preserve">SWHC059 </w:t>
      </w:r>
      <w:r w:rsidR="00FB0B48">
        <w:t>–</w:t>
      </w:r>
      <w:r>
        <w:t xml:space="preserve"> </w:t>
      </w:r>
      <w:r w:rsidR="00FB0B48">
        <w:t xml:space="preserve">Smart Fan Controller, Residential: </w:t>
      </w:r>
      <w:r w:rsidR="003D2D7D">
        <w:t>review the methodology as it is applied to contemporary HVAC systems for relating the part-load ratio to savings impacts.</w:t>
      </w:r>
    </w:p>
    <w:p w:rsidR="004471F7" w:rsidP="00197651" w:rsidRDefault="004471F7" w14:paraId="30CF285A" w14:textId="77777777">
      <w:pPr>
        <w:pStyle w:val="ListParagraph"/>
      </w:pPr>
      <w:r w:rsidRPr="004471F7">
        <w:t xml:space="preserve">SWWH001 – Faucet Aerator, Residential: the assumptions of hot water consumption or change in flow rate should be investigated and corrected if necessary. </w:t>
      </w:r>
    </w:p>
    <w:p w:rsidRPr="004471F7" w:rsidR="00CF1BC3" w:rsidP="00CF1BC3" w:rsidRDefault="00CF1BC3" w14:paraId="79032005" w14:textId="77777777">
      <w:pPr>
        <w:pStyle w:val="ListParagraph"/>
        <w:numPr>
          <w:ilvl w:val="0"/>
          <w:numId w:val="0"/>
        </w:numPr>
        <w:ind w:left="720"/>
      </w:pPr>
    </w:p>
    <w:p w:rsidRPr="004471F7" w:rsidR="004471F7" w:rsidP="00197651" w:rsidRDefault="004471F7" w14:paraId="164BC789" w14:textId="3E28A70D">
      <w:pPr>
        <w:pStyle w:val="Heading3"/>
      </w:pPr>
      <w:bookmarkStart w:name="_Toc185271206" w:id="195"/>
      <w:r w:rsidRPr="004471F7">
        <w:t>Local Third-Party Programs Impact Evaluation, Program Year 2021</w:t>
      </w:r>
      <w:bookmarkEnd w:id="195"/>
    </w:p>
    <w:p w:rsidRPr="004471F7" w:rsidR="004471F7" w:rsidP="004471F7" w:rsidRDefault="004471F7" w14:paraId="74328724" w14:textId="77777777">
      <w:r w:rsidRPr="004471F7">
        <w:t xml:space="preserve">The study focused on third-party programs for PY2021 found a high share of the reported local 3PP savings would not have happened without the programs, indicating the programs reached population segments that benefited from the EE services. The programs also served a higher proportion of customers in disadvantaged communities (DAC). </w:t>
      </w:r>
    </w:p>
    <w:p w:rsidRPr="004471F7" w:rsidR="00C537E3" w:rsidP="00C537E3" w:rsidRDefault="00C537E3" w14:paraId="67DABB35" w14:textId="062ABE32">
      <w:r w:rsidRPr="004471F7">
        <w:t xml:space="preserve">For these </w:t>
      </w:r>
      <w:r>
        <w:t>local third-party</w:t>
      </w:r>
      <w:r w:rsidRPr="004471F7">
        <w:t xml:space="preserve"> programs</w:t>
      </w:r>
      <w:r w:rsidR="00046E70">
        <w:t>,</w:t>
      </w:r>
      <w:r w:rsidRPr="004471F7">
        <w:t xml:space="preserve"> the NTG ratios are all higher than those claimed through the program, and we recommend making changes to the DEER2026 NTGRs for </w:t>
      </w:r>
      <w:r>
        <w:t>select</w:t>
      </w:r>
      <w:r w:rsidRPr="004471F7">
        <w:t xml:space="preserve"> measures</w:t>
      </w:r>
      <w:r>
        <w:t xml:space="preserve"> that were not evaluated under the Residential Direct Install Program PY2021 Impact Evaluation</w:t>
      </w:r>
      <w:r w:rsidRPr="004471F7">
        <w:t xml:space="preserve">. The NTG ratio findings are summarized below in </w:t>
      </w:r>
      <w:r w:rsidR="00090D93">
        <w:fldChar w:fldCharType="begin"/>
      </w:r>
      <w:r w:rsidR="00090D93">
        <w:instrText xml:space="preserve"> REF _Ref175738980 \h </w:instrText>
      </w:r>
      <w:r w:rsidR="00090D93">
        <w:fldChar w:fldCharType="separate"/>
      </w:r>
      <w:r w:rsidRPr="004471F7" w:rsidR="00E812F0">
        <w:t xml:space="preserve">Table </w:t>
      </w:r>
      <w:r w:rsidRPr="001F3AF8" w:rsidR="00E812F0">
        <w:rPr>
          <w:webHidden/>
        </w:rPr>
        <w:t>A-</w:t>
      </w:r>
      <w:r w:rsidR="00E812F0">
        <w:rPr>
          <w:noProof/>
        </w:rPr>
        <w:t>3</w:t>
      </w:r>
      <w:r w:rsidRPr="004471F7" w:rsidR="00E812F0">
        <w:noBreakHyphen/>
      </w:r>
      <w:r w:rsidR="00E812F0">
        <w:rPr>
          <w:noProof/>
        </w:rPr>
        <w:t>9</w:t>
      </w:r>
      <w:r w:rsidR="00090D93">
        <w:fldChar w:fldCharType="end"/>
      </w:r>
      <w:r w:rsidRPr="004471F7">
        <w:t xml:space="preserve">. </w:t>
      </w:r>
    </w:p>
    <w:p w:rsidRPr="004471F7" w:rsidR="00090D93" w:rsidP="00090D93" w:rsidRDefault="00090D93" w14:paraId="10926F7A" w14:textId="640550F8">
      <w:pPr>
        <w:pStyle w:val="Caption"/>
      </w:pPr>
      <w:bookmarkStart w:name="_Ref175738980" w:id="196"/>
      <w:bookmarkStart w:name="_Toc185273177" w:id="197"/>
      <w:r w:rsidRPr="004471F7">
        <w:t xml:space="preserve">Table </w:t>
      </w:r>
      <w:r w:rsidRPr="001F3AF8" w:rsidR="001F3AF8">
        <w:rPr>
          <w:webHidden/>
        </w:rPr>
        <w:t>A-</w:t>
      </w:r>
      <w:r>
        <w:fldChar w:fldCharType="begin"/>
      </w:r>
      <w:r>
        <w:instrText>STYLEREF 1 \s</w:instrText>
      </w:r>
      <w:r>
        <w:fldChar w:fldCharType="separate"/>
      </w:r>
      <w:r w:rsidR="00E812F0">
        <w:rPr>
          <w:noProof/>
        </w:rPr>
        <w:t>3</w:t>
      </w:r>
      <w:r>
        <w:fldChar w:fldCharType="end"/>
      </w:r>
      <w:r w:rsidRPr="004471F7">
        <w:noBreakHyphen/>
      </w:r>
      <w:r>
        <w:fldChar w:fldCharType="begin"/>
      </w:r>
      <w:r>
        <w:instrText>SEQ Table \* ARABIC \s 1</w:instrText>
      </w:r>
      <w:r>
        <w:fldChar w:fldCharType="separate"/>
      </w:r>
      <w:r w:rsidR="00E812F0">
        <w:rPr>
          <w:noProof/>
        </w:rPr>
        <w:t>9</w:t>
      </w:r>
      <w:r>
        <w:fldChar w:fldCharType="end"/>
      </w:r>
      <w:bookmarkEnd w:id="196"/>
      <w:r w:rsidRPr="004471F7">
        <w:t>.</w:t>
      </w:r>
      <w:r w:rsidR="003459EE">
        <w:t xml:space="preserve"> </w:t>
      </w:r>
      <w:r w:rsidR="003C0627">
        <w:t>Evaluated NTG Findings in Local Third-Party Programs</w:t>
      </w:r>
      <w:r w:rsidR="001F3AF8">
        <w:t>, PY2021</w:t>
      </w:r>
      <w:bookmarkEnd w:id="197"/>
    </w:p>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4" w:type="dxa"/>
          <w:bottom w:w="14" w:type="dxa"/>
        </w:tblCellMar>
        <w:tblLook w:val="04A0" w:firstRow="1" w:lastRow="0" w:firstColumn="1" w:lastColumn="0" w:noHBand="0" w:noVBand="1"/>
      </w:tblPr>
      <w:tblGrid>
        <w:gridCol w:w="4315"/>
        <w:gridCol w:w="1710"/>
        <w:gridCol w:w="1890"/>
        <w:gridCol w:w="1435"/>
      </w:tblGrid>
      <w:tr w:rsidRPr="00323023" w:rsidR="00913685" w:rsidTr="0E94ADA0" w14:paraId="57029F4B" w14:textId="77777777">
        <w:trPr>
          <w:cantSplit/>
          <w:tblHeader/>
        </w:trPr>
        <w:tc>
          <w:tcPr>
            <w:tcW w:w="4315" w:type="dxa"/>
            <w:tcBorders>
              <w:left w:val="single" w:color="auto" w:sz="4" w:space="0"/>
              <w:bottom w:val="single" w:color="auto" w:sz="4" w:space="0"/>
              <w:right w:val="single" w:color="auto" w:sz="4" w:space="0"/>
            </w:tcBorders>
            <w:vAlign w:val="bottom"/>
          </w:tcPr>
          <w:p w:rsidRPr="00323023" w:rsidR="00913685" w:rsidRDefault="00913685" w14:paraId="718AA127" w14:textId="77777777">
            <w:pPr>
              <w:pStyle w:val="NormalinTable"/>
              <w:rPr>
                <w:b/>
                <w:bCs/>
              </w:rPr>
            </w:pPr>
            <w:r w:rsidRPr="00323023">
              <w:rPr>
                <w:b/>
                <w:bCs/>
              </w:rPr>
              <w:t>Measure</w:t>
            </w:r>
          </w:p>
        </w:tc>
        <w:tc>
          <w:tcPr>
            <w:tcW w:w="1710" w:type="dxa"/>
            <w:tcBorders>
              <w:left w:val="single" w:color="auto" w:sz="4" w:space="0"/>
              <w:bottom w:val="single" w:color="auto" w:sz="4" w:space="0"/>
              <w:right w:val="single" w:color="auto" w:sz="4" w:space="0"/>
            </w:tcBorders>
          </w:tcPr>
          <w:p w:rsidRPr="00323023" w:rsidR="00913685" w:rsidRDefault="00913685" w14:paraId="6E555212" w14:textId="77777777">
            <w:pPr>
              <w:pStyle w:val="NormalinTable"/>
              <w:rPr>
                <w:b/>
                <w:bCs/>
              </w:rPr>
            </w:pPr>
            <w:r w:rsidRPr="00323023">
              <w:rPr>
                <w:b/>
                <w:bCs/>
              </w:rPr>
              <w:t>Claimed NTGR (electric/gas)</w:t>
            </w:r>
          </w:p>
        </w:tc>
        <w:tc>
          <w:tcPr>
            <w:tcW w:w="1890" w:type="dxa"/>
            <w:tcBorders>
              <w:top w:val="single" w:color="auto" w:sz="4" w:space="0"/>
              <w:left w:val="single" w:color="auto" w:sz="4" w:space="0"/>
              <w:bottom w:val="single" w:color="auto" w:sz="4" w:space="0"/>
              <w:right w:val="single" w:color="auto" w:sz="4" w:space="0"/>
            </w:tcBorders>
            <w:vAlign w:val="bottom"/>
          </w:tcPr>
          <w:p w:rsidRPr="00323023" w:rsidR="00913685" w:rsidRDefault="00913685" w14:paraId="5A3A74F3" w14:textId="77777777">
            <w:pPr>
              <w:pStyle w:val="NormalinTable"/>
              <w:rPr>
                <w:b/>
                <w:bCs/>
              </w:rPr>
            </w:pPr>
            <w:r w:rsidRPr="00323023">
              <w:rPr>
                <w:b/>
                <w:bCs/>
              </w:rPr>
              <w:t>Evaluated NTGR (electric/gas)</w:t>
            </w:r>
          </w:p>
        </w:tc>
        <w:tc>
          <w:tcPr>
            <w:tcW w:w="1435" w:type="dxa"/>
            <w:tcBorders>
              <w:top w:val="single" w:color="auto" w:sz="4" w:space="0"/>
              <w:left w:val="single" w:color="auto" w:sz="4" w:space="0"/>
              <w:right w:val="single" w:color="auto" w:sz="4" w:space="0"/>
            </w:tcBorders>
            <w:vAlign w:val="bottom"/>
          </w:tcPr>
          <w:p w:rsidRPr="00323023" w:rsidR="00913685" w:rsidRDefault="00913685" w14:paraId="0FA56439" w14:textId="77777777">
            <w:pPr>
              <w:pStyle w:val="NormalinTable"/>
              <w:rPr>
                <w:b/>
                <w:bCs/>
              </w:rPr>
            </w:pPr>
            <w:r w:rsidRPr="00323023">
              <w:rPr>
                <w:b/>
                <w:bCs/>
              </w:rPr>
              <w:t>DEER2026 NTGR</w:t>
            </w:r>
          </w:p>
        </w:tc>
      </w:tr>
      <w:tr w:rsidRPr="004471F7" w:rsidR="00913685" w:rsidTr="0E94ADA0" w14:paraId="39BD23B4" w14:textId="77777777">
        <w:trPr>
          <w:cantSplit/>
        </w:trPr>
        <w:tc>
          <w:tcPr>
            <w:tcW w:w="4315" w:type="dxa"/>
            <w:tcBorders>
              <w:top w:val="single" w:color="auto" w:sz="4" w:space="0"/>
              <w:left w:val="single" w:color="auto" w:sz="4" w:space="0"/>
              <w:bottom w:val="single" w:color="auto" w:sz="4" w:space="0"/>
              <w:right w:val="single" w:color="auto" w:sz="4" w:space="0"/>
            </w:tcBorders>
          </w:tcPr>
          <w:p w:rsidRPr="004471F7" w:rsidR="00913685" w:rsidP="00913685" w:rsidRDefault="00913685" w14:paraId="6AF969A4" w14:textId="468F0F82">
            <w:pPr>
              <w:pStyle w:val="NormalinTable"/>
            </w:pPr>
            <w:r>
              <w:t>SWAP012 – Gas Dryer Modulating Valve, Commercial and Multifamily (</w:t>
            </w:r>
            <w:r w:rsidR="00AF1DAA">
              <w:t>downstream</w:t>
            </w:r>
            <w:r w:rsidR="00C45FFF">
              <w:t xml:space="preserve"> </w:t>
            </w:r>
            <w:r w:rsidR="00D90F95">
              <w:t>and excluding dwellings</w:t>
            </w:r>
            <w:r>
              <w:t>)</w:t>
            </w:r>
          </w:p>
        </w:tc>
        <w:tc>
          <w:tcPr>
            <w:tcW w:w="1710" w:type="dxa"/>
            <w:tcBorders>
              <w:top w:val="single" w:color="auto" w:sz="4" w:space="0"/>
              <w:left w:val="single" w:color="auto" w:sz="4" w:space="0"/>
              <w:bottom w:val="single" w:color="auto" w:sz="4" w:space="0"/>
              <w:right w:val="single" w:color="auto" w:sz="4" w:space="0"/>
            </w:tcBorders>
          </w:tcPr>
          <w:p w:rsidRPr="004471F7" w:rsidR="00913685" w:rsidP="009739B1" w:rsidRDefault="00913685" w14:paraId="7D56A200" w14:textId="674AAA1B">
            <w:pPr>
              <w:pStyle w:val="NormalinTable"/>
              <w:jc w:val="right"/>
            </w:pPr>
            <w:r>
              <w:t>0.60</w:t>
            </w:r>
          </w:p>
        </w:tc>
        <w:tc>
          <w:tcPr>
            <w:tcW w:w="1890" w:type="dxa"/>
            <w:tcBorders>
              <w:top w:val="single" w:color="auto" w:sz="4" w:space="0"/>
              <w:left w:val="single" w:color="auto" w:sz="4" w:space="0"/>
              <w:bottom w:val="single" w:color="auto" w:sz="4" w:space="0"/>
              <w:right w:val="single" w:color="auto" w:sz="4" w:space="0"/>
            </w:tcBorders>
          </w:tcPr>
          <w:p w:rsidRPr="004471F7" w:rsidR="00913685" w:rsidP="009739B1" w:rsidRDefault="00913685" w14:paraId="7F91C9B7" w14:textId="044DFB9D">
            <w:pPr>
              <w:pStyle w:val="NormalinTable"/>
              <w:jc w:val="right"/>
            </w:pPr>
            <w:r>
              <w:t>0.83</w:t>
            </w:r>
          </w:p>
        </w:tc>
        <w:tc>
          <w:tcPr>
            <w:tcW w:w="1435" w:type="dxa"/>
            <w:tcBorders>
              <w:left w:val="single" w:color="auto" w:sz="4" w:space="0"/>
              <w:right w:val="single" w:color="auto" w:sz="4" w:space="0"/>
            </w:tcBorders>
          </w:tcPr>
          <w:p w:rsidRPr="004471F7" w:rsidR="00913685" w:rsidP="009739B1" w:rsidRDefault="00913685" w14:paraId="16F46B18" w14:textId="12010629">
            <w:pPr>
              <w:pStyle w:val="NormalinTable"/>
              <w:jc w:val="right"/>
            </w:pPr>
            <w:r>
              <w:t>0.85</w:t>
            </w:r>
          </w:p>
        </w:tc>
      </w:tr>
      <w:tr w:rsidRPr="004471F7" w:rsidR="00913685" w:rsidTr="0E94ADA0" w14:paraId="3743D0D5" w14:textId="77777777">
        <w:trPr>
          <w:cantSplit/>
        </w:trPr>
        <w:tc>
          <w:tcPr>
            <w:tcW w:w="4315" w:type="dxa"/>
            <w:tcBorders>
              <w:top w:val="single" w:color="auto" w:sz="4" w:space="0"/>
              <w:left w:val="single" w:color="auto" w:sz="4" w:space="0"/>
              <w:bottom w:val="single" w:color="auto" w:sz="4" w:space="0"/>
              <w:right w:val="single" w:color="auto" w:sz="4" w:space="0"/>
            </w:tcBorders>
          </w:tcPr>
          <w:p w:rsidRPr="004471F7" w:rsidR="00913685" w:rsidP="00913685" w:rsidRDefault="00913685" w14:paraId="750C0410" w14:textId="173B74B6">
            <w:pPr>
              <w:pStyle w:val="NormalinTable"/>
            </w:pPr>
            <w:r w:rsidRPr="00870D3F">
              <w:lastRenderedPageBreak/>
              <w:t>SWWH017</w:t>
            </w:r>
            <w:r w:rsidRPr="004471F7">
              <w:t xml:space="preserve"> –</w:t>
            </w:r>
            <w:r>
              <w:t xml:space="preserve"> </w:t>
            </w:r>
            <w:r w:rsidRPr="00B97747">
              <w:t>Hot Water Pipe Insulation, Nonresidential and Multifamily</w:t>
            </w:r>
            <w:r>
              <w:t xml:space="preserve"> (</w:t>
            </w:r>
            <w:r w:rsidR="00184ABC">
              <w:t xml:space="preserve">direct install </w:t>
            </w:r>
            <w:r w:rsidR="00A464E6">
              <w:t xml:space="preserve">and </w:t>
            </w:r>
            <w:r w:rsidR="00184ABC">
              <w:t xml:space="preserve">multifamily </w:t>
            </w:r>
            <w:r>
              <w:t>only)</w:t>
            </w:r>
          </w:p>
        </w:tc>
        <w:tc>
          <w:tcPr>
            <w:tcW w:w="1710" w:type="dxa"/>
            <w:tcBorders>
              <w:top w:val="single" w:color="auto" w:sz="4" w:space="0"/>
              <w:left w:val="single" w:color="auto" w:sz="4" w:space="0"/>
              <w:bottom w:val="single" w:color="auto" w:sz="4" w:space="0"/>
              <w:right w:val="single" w:color="auto" w:sz="4" w:space="0"/>
            </w:tcBorders>
          </w:tcPr>
          <w:p w:rsidRPr="004471F7" w:rsidR="00913685" w:rsidP="009739B1" w:rsidRDefault="00913685" w14:paraId="6904CF4C" w14:textId="4629DBAA">
            <w:pPr>
              <w:pStyle w:val="NormalinTable"/>
              <w:jc w:val="right"/>
            </w:pPr>
            <w:r>
              <w:t>0.55</w:t>
            </w:r>
          </w:p>
        </w:tc>
        <w:tc>
          <w:tcPr>
            <w:tcW w:w="1890" w:type="dxa"/>
            <w:tcBorders>
              <w:top w:val="single" w:color="auto" w:sz="4" w:space="0"/>
              <w:left w:val="single" w:color="auto" w:sz="4" w:space="0"/>
              <w:bottom w:val="single" w:color="auto" w:sz="4" w:space="0"/>
              <w:right w:val="single" w:color="auto" w:sz="4" w:space="0"/>
            </w:tcBorders>
          </w:tcPr>
          <w:p w:rsidRPr="004471F7" w:rsidR="00913685" w:rsidP="009739B1" w:rsidRDefault="00913685" w14:paraId="78918F9E" w14:textId="1AF5CA4C">
            <w:pPr>
              <w:pStyle w:val="NormalinTable"/>
              <w:jc w:val="right"/>
            </w:pPr>
            <w:r>
              <w:t>0.</w:t>
            </w:r>
            <w:r w:rsidR="001967BE">
              <w:t>64</w:t>
            </w:r>
          </w:p>
        </w:tc>
        <w:tc>
          <w:tcPr>
            <w:tcW w:w="1435" w:type="dxa"/>
            <w:tcBorders>
              <w:left w:val="single" w:color="auto" w:sz="4" w:space="0"/>
              <w:right w:val="single" w:color="auto" w:sz="4" w:space="0"/>
            </w:tcBorders>
          </w:tcPr>
          <w:p w:rsidRPr="004471F7" w:rsidR="00913685" w:rsidP="009739B1" w:rsidRDefault="00913685" w14:paraId="033F87A7" w14:textId="14B7CC89">
            <w:pPr>
              <w:pStyle w:val="NormalinTable"/>
              <w:jc w:val="right"/>
            </w:pPr>
            <w:r>
              <w:t>0.</w:t>
            </w:r>
            <w:r w:rsidR="001967BE">
              <w:t>65</w:t>
            </w:r>
          </w:p>
        </w:tc>
      </w:tr>
      <w:tr w:rsidRPr="004471F7" w:rsidR="00913685" w:rsidTr="0E94ADA0" w14:paraId="7D5FB74F" w14:textId="77777777">
        <w:trPr>
          <w:cantSplit/>
        </w:trPr>
        <w:tc>
          <w:tcPr>
            <w:tcW w:w="4315" w:type="dxa"/>
            <w:tcBorders>
              <w:top w:val="single" w:color="auto" w:sz="4" w:space="0"/>
              <w:left w:val="single" w:color="auto" w:sz="4" w:space="0"/>
              <w:bottom w:val="single" w:color="auto" w:sz="4" w:space="0"/>
              <w:right w:val="single" w:color="auto" w:sz="4" w:space="0"/>
            </w:tcBorders>
          </w:tcPr>
          <w:p w:rsidRPr="004471F7" w:rsidR="00913685" w:rsidP="00913685" w:rsidRDefault="00913685" w14:paraId="451A45DF" w14:textId="1B91C906">
            <w:pPr>
              <w:pStyle w:val="NormalinTable"/>
            </w:pPr>
            <w:r w:rsidRPr="000263C0">
              <w:t>SWWH0</w:t>
            </w:r>
            <w:r>
              <w:t>26</w:t>
            </w:r>
            <w:r w:rsidRPr="004471F7">
              <w:t xml:space="preserve"> –</w:t>
            </w:r>
            <w:r>
              <w:t xml:space="preserve"> </w:t>
            </w:r>
            <w:r w:rsidRPr="009A2559">
              <w:t>Water Heater Pipe Wrap, Residential</w:t>
            </w:r>
            <w:r w:rsidR="001967BE">
              <w:t xml:space="preserve"> (</w:t>
            </w:r>
            <w:r w:rsidR="00184ABC">
              <w:t xml:space="preserve">direct install </w:t>
            </w:r>
            <w:r w:rsidR="00980354">
              <w:t>only</w:t>
            </w:r>
            <w:r w:rsidR="001967BE">
              <w:t>)</w:t>
            </w:r>
          </w:p>
        </w:tc>
        <w:tc>
          <w:tcPr>
            <w:tcW w:w="1710" w:type="dxa"/>
            <w:tcBorders>
              <w:top w:val="single" w:color="auto" w:sz="4" w:space="0"/>
              <w:left w:val="single" w:color="auto" w:sz="4" w:space="0"/>
              <w:bottom w:val="single" w:color="auto" w:sz="4" w:space="0"/>
              <w:right w:val="single" w:color="auto" w:sz="4" w:space="0"/>
            </w:tcBorders>
          </w:tcPr>
          <w:p w:rsidRPr="004471F7" w:rsidR="00913685" w:rsidP="009739B1" w:rsidRDefault="00913685" w14:paraId="1BF75541" w14:textId="694DFD0E">
            <w:pPr>
              <w:pStyle w:val="NormalinTable"/>
              <w:jc w:val="right"/>
            </w:pPr>
            <w:r>
              <w:t>0.55</w:t>
            </w:r>
          </w:p>
        </w:tc>
        <w:tc>
          <w:tcPr>
            <w:tcW w:w="1890" w:type="dxa"/>
            <w:tcBorders>
              <w:top w:val="single" w:color="auto" w:sz="4" w:space="0"/>
              <w:left w:val="single" w:color="auto" w:sz="4" w:space="0"/>
              <w:bottom w:val="single" w:color="auto" w:sz="4" w:space="0"/>
              <w:right w:val="single" w:color="auto" w:sz="4" w:space="0"/>
            </w:tcBorders>
          </w:tcPr>
          <w:p w:rsidRPr="004471F7" w:rsidR="00913685" w:rsidP="009739B1" w:rsidRDefault="00913685" w14:paraId="7A8E5EE6" w14:textId="40B224D5">
            <w:pPr>
              <w:pStyle w:val="NormalinTable"/>
              <w:jc w:val="right"/>
            </w:pPr>
            <w:r>
              <w:t>0.</w:t>
            </w:r>
            <w:r w:rsidR="001967BE">
              <w:t>88</w:t>
            </w:r>
          </w:p>
        </w:tc>
        <w:tc>
          <w:tcPr>
            <w:tcW w:w="1435" w:type="dxa"/>
            <w:tcBorders>
              <w:left w:val="single" w:color="auto" w:sz="4" w:space="0"/>
              <w:right w:val="single" w:color="auto" w:sz="4" w:space="0"/>
            </w:tcBorders>
          </w:tcPr>
          <w:p w:rsidRPr="004471F7" w:rsidR="00913685" w:rsidP="009739B1" w:rsidRDefault="001967BE" w14:paraId="42DB97EA" w14:textId="436EB824">
            <w:pPr>
              <w:pStyle w:val="NormalinTable"/>
              <w:jc w:val="right"/>
            </w:pPr>
            <w:r>
              <w:t>0.90</w:t>
            </w:r>
          </w:p>
        </w:tc>
      </w:tr>
    </w:tbl>
    <w:p w:rsidRPr="004471F7" w:rsidR="00913685" w:rsidP="004471F7" w:rsidRDefault="00913685" w14:paraId="17F2D081" w14:textId="77777777"/>
    <w:p w:rsidRPr="004471F7" w:rsidR="004471F7" w:rsidP="00CE6782" w:rsidRDefault="004471F7" w14:paraId="4D0E2D7D" w14:textId="2F000364">
      <w:pPr>
        <w:pStyle w:val="Heading3"/>
      </w:pPr>
      <w:bookmarkStart w:name="_Toc175733847" w:id="198"/>
      <w:bookmarkStart w:name="_Toc175742711" w:id="199"/>
      <w:bookmarkStart w:name="_Toc175762787" w:id="200"/>
      <w:bookmarkStart w:name="_Toc175766068" w:id="201"/>
      <w:bookmarkStart w:name="_Toc185271207" w:id="202"/>
      <w:bookmarkEnd w:id="198"/>
      <w:bookmarkEnd w:id="199"/>
      <w:bookmarkEnd w:id="200"/>
      <w:bookmarkEnd w:id="201"/>
      <w:r w:rsidRPr="004471F7">
        <w:t>Southern California Edison’s Plug Load and Appliance Program Impact Evaluation, Program Year 2021</w:t>
      </w:r>
      <w:bookmarkEnd w:id="202"/>
    </w:p>
    <w:p w:rsidRPr="004471F7" w:rsidR="004471F7" w:rsidP="004471F7" w:rsidRDefault="004471F7" w14:paraId="33F4045B" w14:textId="77777777">
      <w:r w:rsidRPr="004471F7">
        <w:t xml:space="preserve">The focus of this evaluation was to assess the gross and net impacts achieved through SCE’s Plug Load and Appliance (PLA) program in PY2021, which predominantly encouraged adoption of fuel substitution in residential space heating and water heating applications through midstream (HVAC) and upstream (DHW) program interventions. </w:t>
      </w:r>
    </w:p>
    <w:p w:rsidRPr="004471F7" w:rsidR="004471F7" w:rsidP="004471F7" w:rsidRDefault="004471F7" w14:paraId="3357D8C6" w14:textId="6C574E1F">
      <w:r w:rsidRPr="004471F7">
        <w:t xml:space="preserve">The HVAC fuel substitution measures were found to save less site-level gross gas energy than expected, with central HVAC measures achieving around half (54%) of expected gas savings, down from 75% in PY2020, and ductless HVAC measures saving far less gas site-level gross gas energy savings at 6% of expectation, which is similar to the PY2020 finding. The gross site-level electric energy increases remain below expectation but increased relative to PY2020 findings with central HVAC measures realizing 69% of the expected increase, up from 64%, and the ductless HVAC measure realizing 85% of the expected electric energy increase, up from 68%. Influence attribution was not studied for the HVAC measures under the PY2021 evaluation as this effort was conducted just the prior year under the PY2020 HVAC Fuel Substitution Impact Evaluation report, the results and subsequent recommendations of which were adopted beginning in PY2024. </w:t>
      </w:r>
    </w:p>
    <w:p w:rsidRPr="004471F7" w:rsidR="004471F7" w:rsidP="004471F7" w:rsidRDefault="004471F7" w14:paraId="4C23E2DE" w14:textId="77777777">
      <w:r w:rsidRPr="004471F7">
        <w:t xml:space="preserve">The claimed DHW measure installations were not verifiable and their gross impacts (site energy, source energy, and emissions) remain untested and uncertain due to the extremely limited available data collected by the program’s upstream delivery type, which effectively made these claims unevaluable for gross impacts or net influence attribution as the participating manufacturers did not track and document DHW units provided to the distributors in a manner that enabled identification of installation </w:t>
      </w:r>
      <w:r w:rsidRPr="004471F7">
        <w:lastRenderedPageBreak/>
        <w:t xml:space="preserve">locations to study the achieved gross impacts nor the program’s influence on the distributor’s normal business practices or sales. </w:t>
      </w:r>
    </w:p>
    <w:p w:rsidRPr="004471F7" w:rsidR="004471F7" w:rsidP="004471F7" w:rsidRDefault="004471F7" w14:paraId="17C34EAB" w14:textId="77777777">
      <w:r w:rsidRPr="004471F7">
        <w:t>There are no changes to current DEER values as result of this study.</w:t>
      </w:r>
    </w:p>
    <w:p w:rsidRPr="004471F7" w:rsidR="004471F7" w:rsidP="00CE6782" w:rsidRDefault="004471F7" w14:paraId="367D9FA8" w14:textId="4D4A57A4">
      <w:pPr>
        <w:pStyle w:val="Heading3"/>
      </w:pPr>
      <w:bookmarkStart w:name="_Toc185271208" w:id="203"/>
      <w:r w:rsidRPr="004471F7">
        <w:t>Local Third-Party Programs Impact Evaluation, Program Year 2022</w:t>
      </w:r>
      <w:bookmarkEnd w:id="203"/>
    </w:p>
    <w:p w:rsidRPr="004471F7" w:rsidR="004471F7" w:rsidP="004471F7" w:rsidRDefault="004471F7" w14:paraId="0C62BA10" w14:textId="77777777">
      <w:r w:rsidRPr="004471F7">
        <w:t xml:space="preserve">The study focused on third-party programs for PY20222 and found a high share of the reported local 3PP savings would not have happened without the programs, indicating the programs reached population segments that benefited from the EE services. The programs also served a higher proportion of customers in disadvantaged communities (DAC). </w:t>
      </w:r>
    </w:p>
    <w:p w:rsidRPr="004471F7" w:rsidR="004471F7" w:rsidP="004471F7" w:rsidRDefault="004471F7" w14:paraId="4288BCF9" w14:textId="77777777">
      <w:r w:rsidRPr="004471F7">
        <w:t xml:space="preserve">Program attribution and NTG ratio is on par with claimed values indicating the programs are reaching the intended population segments. While the local third-party evaluation showed continued focus on HTR/DAC communities, the program implementers did not track efforts to obtain input from these communities making it difficult to evaluate procedural equity efforts. </w:t>
      </w:r>
    </w:p>
    <w:p w:rsidRPr="004471F7" w:rsidR="004471F7" w:rsidP="004471F7" w:rsidRDefault="004471F7" w14:paraId="60B84A2C" w14:textId="09E2D4AC">
      <w:r w:rsidRPr="004471F7">
        <w:t>There are no changes to current DEER values as result of this study.</w:t>
      </w:r>
    </w:p>
    <w:p w:rsidRPr="004471F7" w:rsidR="004471F7" w:rsidP="00CE6782" w:rsidRDefault="004471F7" w14:paraId="190253E7" w14:textId="31688BEC">
      <w:pPr>
        <w:pStyle w:val="Heading3"/>
      </w:pPr>
      <w:bookmarkStart w:name="_Toc185271209" w:id="204"/>
      <w:r w:rsidRPr="004471F7">
        <w:t>REN Impact Evaluation, Program Year 2022</w:t>
      </w:r>
      <w:bookmarkEnd w:id="204"/>
    </w:p>
    <w:p w:rsidRPr="004471F7" w:rsidR="004471F7" w:rsidP="004471F7" w:rsidRDefault="004471F7" w14:paraId="09597733" w14:textId="77777777">
      <w:r w:rsidRPr="004471F7">
        <w:t xml:space="preserve">This study evaluated 18 active REN resource and non-resource programs in PY2022, run by Bay Area Regional Energy Network (BayREN), Southern California Regional Energy Network (SoCalREN), and Tri-County Regional Energy Network (3C-REN), but of which only three were resource programs that underwent an evaluation of claimed impacts: BAYREN08 (Single-family), BAYREN02/02A (multifamily), and SCR-RES-A1 (multifamily). </w:t>
      </w:r>
    </w:p>
    <w:p w:rsidRPr="004471F7" w:rsidR="004471F7" w:rsidP="004471F7" w:rsidRDefault="004471F7" w14:paraId="483E8E6F" w14:textId="77777777">
      <w:r w:rsidRPr="004471F7">
        <w:t xml:space="preserve">Overall, the RENs achieved higher electric savings than claimed for the single-family program (142% GRR) and most of the savings claimed for the multifamily programs (81% GRR for BAYREN and 97% for SoCalREN).  The net-to-gross values for the multifamily programs electric results indicate that the programs reached populations that benefited from their interventions significantly (75% and 93% NTGR, respectively), but the single-family program had lower influence (58% NTRG), especially compared to the reported NTGR (97% for single family, 84% and 76% for the respective multifamily programs). </w:t>
      </w:r>
    </w:p>
    <w:p w:rsidRPr="004471F7" w:rsidR="004471F7" w:rsidP="004471F7" w:rsidRDefault="004471F7" w14:paraId="22EB06ED" w14:textId="77777777">
      <w:r w:rsidRPr="004471F7">
        <w:lastRenderedPageBreak/>
        <w:t>The programs achieved almost all of the expected gross gas savings, with 96% of gross claimed savings realized (GRR). Like the electric case, the gross evaluated gas savings for the BAYREN02/02A multifamily program were notably lower (69% GRR) than claimed due to unclear measure characterizations and low in-service rates for the following measures: faucet aerators, showerheads, smart thermostats, power strips, common area lighting, and how water loop controls. Additionally, as in the electric case, multifamily program attribution was high and above claimed levels (92% for BAYREN and 95% for SoCalREN), indicating that the programs succeeded in serving the right population segments, whereas the evaluated single-family program attribution was found to be near the reported level at 49%.</w:t>
      </w:r>
    </w:p>
    <w:p w:rsidRPr="004471F7" w:rsidR="004471F7" w:rsidP="004471F7" w:rsidRDefault="004471F7" w14:paraId="2D757A54" w14:textId="77777777">
      <w:r w:rsidRPr="004471F7">
        <w:t>The single-family program had a lot of influence on either small measures (such as aerators and power strips) or large, expensive fuel substitution measures (such as central heat pumps and heat pump water heaters). On the other hand, the program motivated low proportions of the envelope, furnace, and less expensive fuel substitution measures. Results show that the NTGR for multifamily is high but are in line with recent multifamily NTGR estimates from other recent CPUC evaluations.</w:t>
      </w:r>
    </w:p>
    <w:p w:rsidRPr="004471F7" w:rsidR="004471F7" w:rsidP="004471F7" w:rsidRDefault="004471F7" w14:paraId="2CDC6802" w14:textId="1DD3E4D2">
      <w:r w:rsidRPr="004471F7">
        <w:t>There are no changes to current DEER values as result of this study.</w:t>
      </w:r>
    </w:p>
    <w:p w:rsidRPr="004471F7" w:rsidR="004471F7" w:rsidP="00CE6782" w:rsidRDefault="004471F7" w14:paraId="1E8ED7A4" w14:textId="78CDF4B3">
      <w:pPr>
        <w:pStyle w:val="Heading3"/>
      </w:pPr>
      <w:bookmarkStart w:name="_Toc185271210" w:id="205"/>
      <w:r w:rsidRPr="004471F7">
        <w:t>Third-Party Commercial Programs Impact Evaluation Program Year 2022</w:t>
      </w:r>
      <w:bookmarkEnd w:id="205"/>
      <w:r w:rsidRPr="004471F7">
        <w:t xml:space="preserve"> </w:t>
      </w:r>
    </w:p>
    <w:p w:rsidRPr="004471F7" w:rsidR="004471F7" w:rsidP="004471F7" w:rsidRDefault="004471F7" w14:paraId="68F369EB" w14:textId="77777777">
      <w:r w:rsidRPr="004471F7">
        <w:t xml:space="preserve">This study examined the impacts and attribution influence of three relatively new third-party commercial sector downstream delivered programs offered in PY2022 by the electric IOU program administrators. The majority of impacts claimed from these programs, and the focus for the evaluation of impacts, were for the following commercial refrigeration applied measures: auto-closers for refrigerated storage doors, anti-sweat heater controls, medium-temperature case doors. Additionally, these programs also claimed a small volume of commercial heat pump water heater measures, some classified as fuel substation, that the evaluation focused on evaluating. </w:t>
      </w:r>
    </w:p>
    <w:p w:rsidRPr="004471F7" w:rsidR="004471F7" w:rsidP="004471F7" w:rsidRDefault="004471F7" w14:paraId="5D33572D" w14:textId="77777777">
      <w:r w:rsidRPr="004471F7">
        <w:t xml:space="preserve">Overall, the evaluation found the program achieved the same or greater gross energy savings impacts compared to reporting expectations (108% electric energy, 123% electric demand, and 95% gas energy GRRs across the evaluated measure packages), with no issues discovered with in-service-rates and only minor adjustments to energy modeling input parameters for each evaluated measure.  Net program influence attribution </w:t>
      </w:r>
      <w:r w:rsidRPr="004471F7">
        <w:lastRenderedPageBreak/>
        <w:t xml:space="preserve">exceeded the reported values significantly, with evaluated NTGRs of 97% and 98% for electric and gas, respectively, compared to the reported 64% and 67% for electric and gas, meaning the end-user customers surveyed indicated the incentives and support provided for the program was highly influential to the adoption of these measures by the participating businesses. </w:t>
      </w:r>
    </w:p>
    <w:p w:rsidRPr="004471F7" w:rsidR="004471F7" w:rsidP="004471F7" w:rsidRDefault="004471F7" w14:paraId="15A44E63" w14:textId="07FAF6D3">
      <w:r w:rsidRPr="004471F7">
        <w:t>There are no changes to current DEER values as result of this study</w:t>
      </w:r>
      <w:r w:rsidR="007E4F59">
        <w:t xml:space="preserve"> as the majority of claims and evaluated influence attribution </w:t>
      </w:r>
      <w:r w:rsidR="002A75CC">
        <w:t>is tied to SWCR005 (</w:t>
      </w:r>
      <w:r w:rsidRPr="002A75CC" w:rsidR="002A75CC">
        <w:t>Auto Closer for Refrigerated Storage Door</w:t>
      </w:r>
      <w:r w:rsidR="002A75CC">
        <w:t>), a measure package that is being sunse</w:t>
      </w:r>
      <w:r w:rsidR="00090D93">
        <w:t>t</w:t>
      </w:r>
      <w:r w:rsidRPr="004471F7">
        <w:t>.</w:t>
      </w:r>
    </w:p>
    <w:p w:rsidR="009905E3" w:rsidP="004471F7" w:rsidRDefault="009905E3" w14:paraId="29183F98" w14:textId="01B8B92C"/>
    <w:p w:rsidR="004C4DA6" w:rsidP="0034661B" w:rsidRDefault="004C4DA6" w14:paraId="71693609" w14:textId="77777777"/>
    <w:sectPr w:rsidR="004C4DA6" w:rsidSect="000500D6">
      <w:footerReference w:type="default" r:id="rId35"/>
      <w:headerReference w:type="first" r:id="rId36"/>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CCF6652" w14:textId="77777777" w:rsidR="00DC700B" w:rsidRDefault="00DC700B">
      <w:pPr>
        <w:spacing w:after="0" w:line="240" w:lineRule="auto"/>
      </w:pPr>
      <w:r>
        <w:separator/>
      </w:r>
    </w:p>
    <w:p w14:paraId="0B95093F" w14:textId="77777777" w:rsidR="00DC700B" w:rsidRDefault="00DC700B"/>
  </w:endnote>
  <w:endnote w:type="continuationSeparator" w:id="0">
    <w:p w14:paraId="117A6E38" w14:textId="77777777" w:rsidR="00DC700B" w:rsidRDefault="00DC700B">
      <w:pPr>
        <w:spacing w:after="0" w:line="240" w:lineRule="auto"/>
      </w:pPr>
      <w:r>
        <w:continuationSeparator/>
      </w:r>
    </w:p>
    <w:p w14:paraId="20E31E9B" w14:textId="77777777" w:rsidR="00DC700B" w:rsidRDefault="00DC700B"/>
  </w:endnote>
  <w:endnote w:type="continuationNotice" w:id="1">
    <w:p w14:paraId="30991844" w14:textId="77777777" w:rsidR="00DC700B" w:rsidRDefault="00DC700B">
      <w:pPr>
        <w:spacing w:after="0" w:line="240" w:lineRule="auto"/>
      </w:pPr>
    </w:p>
    <w:p w14:paraId="7C44BE1E" w14:textId="77777777" w:rsidR="00DC700B" w:rsidRDefault="00DC700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sto MT">
    <w:panose1 w:val="02040603050505030304"/>
    <w:charset w:val="00"/>
    <w:family w:val="roman"/>
    <w:pitch w:val="variable"/>
    <w:sig w:usb0="00000003" w:usb1="00000000" w:usb2="00000000" w:usb3="00000000" w:csb0="00000001" w:csb1="00000000"/>
  </w:font>
  <w:font w:name="Verdana Pro">
    <w:charset w:val="00"/>
    <w:family w:val="swiss"/>
    <w:pitch w:val="variable"/>
    <w:sig w:usb0="80000287" w:usb1="00000043"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elvetica">
    <w:panose1 w:val="020B0604020202020204"/>
    <w:charset w:val="00"/>
    <w:family w:val="swiss"/>
    <w:pitch w:val="variable"/>
    <w:sig w:usb0="E0002AFF" w:usb1="5000785B" w:usb2="00000000"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362712456"/>
      <w:docPartObj>
        <w:docPartGallery w:val="Page Numbers (Bottom of Page)"/>
        <w:docPartUnique/>
      </w:docPartObj>
    </w:sdtPr>
    <w:sdtEndPr>
      <w:rPr>
        <w:noProof/>
      </w:rPr>
    </w:sdtEndPr>
    <w:sdtContent>
      <w:p w14:paraId="340CC6A0" w14:textId="764AA4B1" w:rsidR="00224E2E" w:rsidRDefault="00224E2E">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5B3A65E" w14:textId="2C397A12" w:rsidR="009A3E45" w:rsidRPr="00165D62" w:rsidRDefault="009A3E45" w:rsidP="004E5BCD">
    <w:pPr>
      <w:pStyle w:val="Footer"/>
      <w:rPr>
        <w:rFonts w:ascii="Verdana" w:hAnsi="Verdana"/>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6145858" w14:textId="3A180CC3" w:rsidR="00D07F55" w:rsidRPr="00D07F55" w:rsidRDefault="00D07F55">
    <w:pPr>
      <w:pStyle w:val="Footer"/>
      <w:jc w:val="center"/>
    </w:pPr>
    <w:r w:rsidRPr="00D07F55">
      <w:fldChar w:fldCharType="begin"/>
    </w:r>
    <w:r w:rsidRPr="00D07F55">
      <w:instrText xml:space="preserve"> PAGE   \* MERGEFORMAT </w:instrText>
    </w:r>
    <w:r w:rsidRPr="00D07F55">
      <w:fldChar w:fldCharType="separate"/>
    </w:r>
    <w:r w:rsidRPr="00D07F55">
      <w:rPr>
        <w:noProof/>
      </w:rPr>
      <w:t>2</w:t>
    </w:r>
    <w:r w:rsidRPr="00D07F55">
      <w:rPr>
        <w:noProof/>
      </w:rPr>
      <w:fldChar w:fldCharType="end"/>
    </w:r>
  </w:p>
  <w:p w14:paraId="107B079D" w14:textId="77777777" w:rsidR="00D07F55" w:rsidRDefault="00D07F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0159581" w14:textId="5777BA35" w:rsidR="001A29B7" w:rsidRPr="00165D62" w:rsidRDefault="001A29B7" w:rsidP="004E5BCD">
    <w:pPr>
      <w:pStyle w:val="Footer"/>
      <w:rPr>
        <w:rFonts w:ascii="Verdana" w:hAnsi="Verdana"/>
        <w:sz w:val="20"/>
        <w:szCs w:val="20"/>
      </w:rPr>
    </w:pPr>
    <w:r>
      <w:tab/>
    </w:r>
    <w:r w:rsidR="00850E72">
      <w:t>A-</w:t>
    </w:r>
    <w:r>
      <w:fldChar w:fldCharType="begin"/>
    </w:r>
    <w:r>
      <w:instrText xml:space="preserve"> PAGE   \* MERGEFORMAT </w:instrText>
    </w:r>
    <w:r>
      <w:fldChar w:fldCharType="separate"/>
    </w:r>
    <w:r>
      <w:rPr>
        <w:noProof/>
      </w:rPr>
      <w:t>1</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D19D902" w14:textId="77777777" w:rsidR="00DC700B" w:rsidRDefault="00DC700B">
      <w:pPr>
        <w:spacing w:after="0" w:line="240" w:lineRule="auto"/>
      </w:pPr>
      <w:r>
        <w:separator/>
      </w:r>
    </w:p>
  </w:footnote>
  <w:footnote w:type="continuationSeparator" w:id="0">
    <w:p w14:paraId="77C5DE94" w14:textId="77777777" w:rsidR="00DC700B" w:rsidRDefault="00DC700B">
      <w:pPr>
        <w:spacing w:after="0" w:line="240" w:lineRule="auto"/>
      </w:pPr>
      <w:r>
        <w:continuationSeparator/>
      </w:r>
    </w:p>
    <w:p w14:paraId="7CF8C774" w14:textId="77777777" w:rsidR="00DC700B" w:rsidRDefault="00DC700B"/>
  </w:footnote>
  <w:footnote w:type="continuationNotice" w:id="1">
    <w:p w14:paraId="37C9FEED" w14:textId="77777777" w:rsidR="00DC700B" w:rsidRDefault="00DC700B">
      <w:pPr>
        <w:spacing w:after="0" w:line="240" w:lineRule="auto"/>
      </w:pPr>
    </w:p>
    <w:p w14:paraId="5B45AD87" w14:textId="77777777" w:rsidR="00DC700B" w:rsidRDefault="00DC700B"/>
  </w:footnote>
  <w:footnote w:id="2">
    <w:p w14:paraId="7A52A6B7" w14:textId="64D5FC27" w:rsidR="00BF1272" w:rsidRDefault="00BF1272">
      <w:pPr>
        <w:pStyle w:val="FootnoteText"/>
      </w:pPr>
      <w:r>
        <w:rPr>
          <w:rStyle w:val="FootnoteReference"/>
        </w:rPr>
        <w:footnoteRef/>
      </w:r>
      <w:r>
        <w:t xml:space="preserve"> Formerly referred to a</w:t>
      </w:r>
      <w:r w:rsidR="00103617">
        <w:t>s</w:t>
      </w:r>
      <w:r>
        <w:t xml:space="preserve"> </w:t>
      </w:r>
      <w:r w:rsidR="00103617">
        <w:t>“w</w:t>
      </w:r>
      <w:r>
        <w:t>orkpapers</w:t>
      </w:r>
      <w:r w:rsidR="00103617">
        <w:t>”</w:t>
      </w:r>
    </w:p>
  </w:footnote>
  <w:footnote w:id="3">
    <w:p w14:paraId="5E99B824" w14:textId="4738DFFC" w:rsidR="00BA018F" w:rsidRDefault="00BA018F">
      <w:pPr>
        <w:pStyle w:val="FootnoteText"/>
      </w:pPr>
      <w:r>
        <w:rPr>
          <w:rStyle w:val="FootnoteReference"/>
        </w:rPr>
        <w:footnoteRef/>
      </w:r>
      <w:r>
        <w:t xml:space="preserve"> </w:t>
      </w:r>
      <w:hyperlink r:id="rId1" w:history="1">
        <w:r w:rsidRPr="00103617">
          <w:rPr>
            <w:rStyle w:val="Hyperlink"/>
            <w:sz w:val="16"/>
          </w:rPr>
          <w:t>https://www.caetrm.com/</w:t>
        </w:r>
      </w:hyperlink>
    </w:p>
  </w:footnote>
  <w:footnote w:id="4">
    <w:p w14:paraId="7641277A" w14:textId="77777777" w:rsidR="00AB6256" w:rsidRDefault="00AB6256" w:rsidP="00AB6256">
      <w:pPr>
        <w:pStyle w:val="FootnoteText"/>
      </w:pPr>
      <w:r>
        <w:rPr>
          <w:rStyle w:val="FootnoteReference"/>
        </w:rPr>
        <w:footnoteRef/>
      </w:r>
      <w:r>
        <w:t xml:space="preserve"> Git is a distributed version control system that tracks changes in any set of computer files, usually used for computer programming.</w:t>
      </w:r>
    </w:p>
  </w:footnote>
  <w:footnote w:id="5">
    <w:p w14:paraId="4F1C256C" w14:textId="4A027D08" w:rsidR="000C037F" w:rsidRPr="00D31958" w:rsidRDefault="000C037F" w:rsidP="00D31958">
      <w:pPr>
        <w:pStyle w:val="FootnoteText"/>
        <w:rPr>
          <w:rStyle w:val="FootnoteReference"/>
          <w:vertAlign w:val="baseline"/>
        </w:rPr>
      </w:pPr>
      <w:r>
        <w:rPr>
          <w:rStyle w:val="FootnoteReference"/>
        </w:rPr>
        <w:footnoteRef/>
      </w:r>
      <w:r w:rsidRPr="002502F3">
        <w:t xml:space="preserve"> </w:t>
      </w:r>
      <w:r w:rsidR="00AB2755">
        <w:t xml:space="preserve">See </w:t>
      </w:r>
      <w:hyperlink r:id="rId2" w:history="1">
        <w:r w:rsidR="00AB2755" w:rsidRPr="003B7526">
          <w:rPr>
            <w:rStyle w:val="Hyperlink"/>
            <w:sz w:val="16"/>
          </w:rPr>
          <w:t>https://cedars.cpuc.ca.gov/deer-resources/tools/supporting-files/resource/2/history/</w:t>
        </w:r>
      </w:hyperlink>
      <w:r w:rsidR="000A079A">
        <w:t xml:space="preserve">. </w:t>
      </w:r>
      <w:r w:rsidR="00BC2626">
        <w:t xml:space="preserve">RACC-FSC_v3.1 was released </w:t>
      </w:r>
      <w:r w:rsidR="003327DC">
        <w:t>to</w:t>
      </w:r>
      <w:r w:rsidR="00677955">
        <w:t xml:space="preserve"> enable distinguishing between </w:t>
      </w:r>
      <w:r w:rsidR="00A5318D">
        <w:t>former and updated EUL values</w:t>
      </w:r>
      <w:r w:rsidR="00905009">
        <w:t xml:space="preserve"> as a matter of convenience</w:t>
      </w:r>
      <w:r w:rsidR="0017160B">
        <w:t xml:space="preserve"> and </w:t>
      </w:r>
      <w:r w:rsidR="001B2515">
        <w:t>clarity</w:t>
      </w:r>
      <w:r w:rsidR="00A5318D">
        <w:t>.</w:t>
      </w:r>
      <w:r w:rsidR="00BC2A47">
        <w:t xml:space="preserve"> </w:t>
      </w:r>
      <w:r w:rsidR="001C0218">
        <w:t xml:space="preserve">Both versions of the workbook yield </w:t>
      </w:r>
      <w:r w:rsidR="00D62C93">
        <w:t>equal results</w:t>
      </w:r>
      <w:r w:rsidR="00B8294F">
        <w:t xml:space="preserve"> </w:t>
      </w:r>
      <w:r w:rsidR="001B2515">
        <w:t>and</w:t>
      </w:r>
      <w:r w:rsidR="00B8294F">
        <w:t xml:space="preserve"> either </w:t>
      </w:r>
      <w:r w:rsidR="00EB667C">
        <w:t xml:space="preserve">version </w:t>
      </w:r>
      <w:r w:rsidR="00E9773F">
        <w:t>is</w:t>
      </w:r>
      <w:r w:rsidR="00BC2471">
        <w:t xml:space="preserve"> acceptable</w:t>
      </w:r>
      <w:r w:rsidR="00EB667C">
        <w:t xml:space="preserve"> for </w:t>
      </w:r>
      <w:r w:rsidR="00C83032">
        <w:t xml:space="preserve">DEER2025 </w:t>
      </w:r>
      <w:r w:rsidR="008000AA">
        <w:t>and DEER2026 measure packages.</w:t>
      </w:r>
    </w:p>
  </w:footnote>
  <w:footnote w:id="6">
    <w:p w14:paraId="05D475A8" w14:textId="59C32DC3" w:rsidR="000C037F" w:rsidRDefault="000C037F" w:rsidP="000C037F">
      <w:pPr>
        <w:pStyle w:val="FootnoteText"/>
      </w:pPr>
      <w:r>
        <w:rPr>
          <w:rStyle w:val="FootnoteReference"/>
        </w:rPr>
        <w:footnoteRef/>
      </w:r>
      <w:r>
        <w:t xml:space="preserve"> Refrigerant charge describes the weight of the refrigerant contained within equipment, typically </w:t>
      </w:r>
      <w:r w:rsidR="00B8558C">
        <w:t xml:space="preserve">measured </w:t>
      </w:r>
      <w:r>
        <w:t>in pounds.</w:t>
      </w:r>
    </w:p>
  </w:footnote>
  <w:footnote w:id="7">
    <w:p w14:paraId="7558D7D2" w14:textId="3B516629" w:rsidR="009042E9" w:rsidRPr="00523792" w:rsidRDefault="009042E9">
      <w:pPr>
        <w:pStyle w:val="FootnoteText"/>
      </w:pPr>
      <w:r>
        <w:rPr>
          <w:rStyle w:val="FootnoteReference"/>
        </w:rPr>
        <w:footnoteRef/>
      </w:r>
      <w:r>
        <w:t xml:space="preserve"> </w:t>
      </w:r>
      <w:r w:rsidR="00523792">
        <w:t xml:space="preserve">See </w:t>
      </w:r>
      <w:hyperlink r:id="rId3" w:history="1">
        <w:r w:rsidR="00523792" w:rsidRPr="008609E1">
          <w:rPr>
            <w:rStyle w:val="Hyperlink"/>
            <w:sz w:val="16"/>
          </w:rPr>
          <w:t>https://cedars.cpuc.ca.gov/deer-resources/tools/supporting-files/resource/16/history/</w:t>
        </w:r>
      </w:hyperlink>
      <w:r w:rsidR="00523792">
        <w:rPr>
          <w:rStyle w:val="Hyperlink"/>
          <w:sz w:val="16"/>
          <w:u w:val="none"/>
        </w:rPr>
        <w:t xml:space="preserve">. Since the </w:t>
      </w:r>
      <w:r w:rsidR="003C6DC5">
        <w:rPr>
          <w:rStyle w:val="Hyperlink"/>
          <w:sz w:val="16"/>
          <w:u w:val="none"/>
        </w:rPr>
        <w:t>2024 Avoided Cost Calculators</w:t>
      </w:r>
      <w:r w:rsidR="003D5B12">
        <w:rPr>
          <w:rStyle w:val="Hyperlink"/>
          <w:sz w:val="16"/>
          <w:u w:val="none"/>
        </w:rPr>
        <w:t xml:space="preserve"> were </w:t>
      </w:r>
      <w:r w:rsidR="00196639">
        <w:rPr>
          <w:rStyle w:val="Hyperlink"/>
          <w:sz w:val="16"/>
          <w:u w:val="none"/>
        </w:rPr>
        <w:t xml:space="preserve">finalized on November 7, 2024, </w:t>
      </w:r>
      <w:r w:rsidR="001E5888">
        <w:rPr>
          <w:rStyle w:val="Hyperlink"/>
          <w:sz w:val="16"/>
          <w:u w:val="none"/>
        </w:rPr>
        <w:t>Appendices A</w:t>
      </w:r>
      <w:r w:rsidR="00D3776D">
        <w:rPr>
          <w:rStyle w:val="Hyperlink"/>
          <w:sz w:val="16"/>
          <w:u w:val="none"/>
        </w:rPr>
        <w:t xml:space="preserve"> and B were updated accordingly.</w:t>
      </w:r>
    </w:p>
  </w:footnote>
  <w:footnote w:id="8">
    <w:p w14:paraId="42B26434" w14:textId="089592FD" w:rsidR="000C037F" w:rsidRDefault="000C037F" w:rsidP="000C037F">
      <w:pPr>
        <w:pStyle w:val="FootnoteText"/>
      </w:pPr>
      <w:r>
        <w:rPr>
          <w:rStyle w:val="FootnoteReference"/>
        </w:rPr>
        <w:footnoteRef/>
      </w:r>
      <w:r>
        <w:t xml:space="preserve"> Intergovernmental Panel on Climate Change (</w:t>
      </w:r>
      <w:r w:rsidRPr="00A705A8">
        <w:t>IPCC</w:t>
      </w:r>
      <w:r>
        <w:t>),</w:t>
      </w:r>
      <w:r w:rsidRPr="00A705A8">
        <w:t xml:space="preserve"> Fourth Assessment Report (AR4)</w:t>
      </w:r>
      <w:r>
        <w:t xml:space="preserve">, </w:t>
      </w:r>
      <w:r w:rsidRPr="00A705A8">
        <w:t>2007</w:t>
      </w:r>
      <w:r>
        <w:t xml:space="preserve">. (see </w:t>
      </w:r>
      <w:hyperlink r:id="rId4" w:history="1">
        <w:r w:rsidRPr="00A705A8">
          <w:rPr>
            <w:rStyle w:val="Hyperlink"/>
            <w:sz w:val="16"/>
          </w:rPr>
          <w:t>https://www.ipcc.ch/assessment-report/ar4/</w:t>
        </w:r>
      </w:hyperlink>
      <w:r>
        <w:t>.)</w:t>
      </w:r>
    </w:p>
  </w:footnote>
  <w:footnote w:id="9">
    <w:p w14:paraId="50BB053E" w14:textId="191A4639" w:rsidR="000C037F" w:rsidRPr="00012A31" w:rsidRDefault="000C037F" w:rsidP="000C037F">
      <w:pPr>
        <w:pStyle w:val="FootnoteText"/>
      </w:pPr>
      <w:r w:rsidRPr="00012A31">
        <w:rPr>
          <w:rStyle w:val="FootnoteReference"/>
        </w:rPr>
        <w:footnoteRef/>
      </w:r>
      <w:r w:rsidRPr="00012A31">
        <w:t xml:space="preserve"> </w:t>
      </w:r>
      <w:hyperlink r:id="rId5" w:history="1">
        <w:r w:rsidRPr="00012A31">
          <w:rPr>
            <w:rStyle w:val="Hyperlink"/>
            <w:sz w:val="16"/>
          </w:rPr>
          <w:t>https://www.cpuc.ca.gov/industries-and-topics/electrical-energy/demand-side-management/energy-efficiency/water-energy-nexus-programs</w:t>
        </w:r>
      </w:hyperlink>
    </w:p>
  </w:footnote>
  <w:footnote w:id="10">
    <w:p w14:paraId="555BC06F" w14:textId="25FDA481" w:rsidR="004921CA" w:rsidRDefault="004921CA" w:rsidP="004921CA">
      <w:pPr>
        <w:pStyle w:val="FootnoteText"/>
      </w:pPr>
      <w:r>
        <w:rPr>
          <w:rStyle w:val="FootnoteReference"/>
        </w:rPr>
        <w:footnoteRef/>
      </w:r>
      <w:r>
        <w:t xml:space="preserve"> </w:t>
      </w:r>
      <w:r w:rsidRPr="00A83909">
        <w:t xml:space="preserve"> </w:t>
      </w:r>
      <w:hyperlink r:id="rId6" w:history="1">
        <w:r w:rsidRPr="000E1CCF">
          <w:rPr>
            <w:rStyle w:val="Hyperlink"/>
            <w:sz w:val="16"/>
          </w:rPr>
          <w:t>https://docs.cpuc.ca.gov/PublishedDocs/WORD_PDF/FINAL_DECISION/77638.PDF</w:t>
        </w:r>
      </w:hyperlink>
      <w:r>
        <w:t>, p. 10</w:t>
      </w:r>
    </w:p>
  </w:footnote>
  <w:footnote w:id="11">
    <w:p w14:paraId="3BF23426" w14:textId="77777777" w:rsidR="004921CA" w:rsidRDefault="004921CA" w:rsidP="004921CA">
      <w:pPr>
        <w:pStyle w:val="FootnoteText"/>
      </w:pPr>
      <w:r>
        <w:rPr>
          <w:rStyle w:val="FootnoteReference"/>
        </w:rPr>
        <w:footnoteRef/>
      </w:r>
      <w:r>
        <w:t xml:space="preserve"> The INC term is </w:t>
      </w:r>
      <w:r w:rsidRPr="000C037F">
        <w:t xml:space="preserve">used </w:t>
      </w:r>
      <w:r>
        <w:t xml:space="preserve">as the transfer payment included in the denominator of the Program Administrator Cost (PAC) test but not included in the denominator of the Total Resource Cost (TRC) test. The INC term is also used </w:t>
      </w:r>
      <w:r w:rsidRPr="000C037F">
        <w:t>to calculate participant costs</w:t>
      </w:r>
      <w:r>
        <w:t>.</w:t>
      </w:r>
    </w:p>
  </w:footnote>
  <w:footnote w:id="12">
    <w:p w14:paraId="55C756C4" w14:textId="37435728" w:rsidR="004921CA" w:rsidRDefault="004921CA" w:rsidP="004921CA">
      <w:pPr>
        <w:pStyle w:val="FootnoteText"/>
      </w:pPr>
      <w:r>
        <w:rPr>
          <w:rStyle w:val="FootnoteReference"/>
        </w:rPr>
        <w:footnoteRef/>
      </w:r>
      <w:r>
        <w:t xml:space="preserve"> </w:t>
      </w:r>
      <w:hyperlink r:id="rId7" w:history="1">
        <w:r w:rsidRPr="00E122AD">
          <w:rPr>
            <w:rStyle w:val="Hyperlink"/>
            <w:rFonts w:ascii="Garamond" w:hAnsi="Garamond"/>
            <w:sz w:val="20"/>
            <w:szCs w:val="20"/>
          </w:rPr>
          <w:t>https://edcentralserver.files.com/preview/f/f7b564868ffdc879/CET_Input_Guide_10132022.xlsx</w:t>
        </w:r>
      </w:hyperlink>
    </w:p>
  </w:footnote>
  <w:footnote w:id="13">
    <w:p w14:paraId="5B58898C" w14:textId="2B48A2BD" w:rsidR="004921CA" w:rsidRDefault="004921CA" w:rsidP="004921CA">
      <w:pPr>
        <w:pStyle w:val="FootnoteText"/>
      </w:pPr>
      <w:r>
        <w:rPr>
          <w:rStyle w:val="FootnoteReference"/>
        </w:rPr>
        <w:footnoteRef/>
      </w:r>
      <w:r>
        <w:t xml:space="preserve"> </w:t>
      </w:r>
      <w:hyperlink r:id="rId8" w:history="1">
        <w:r w:rsidRPr="000E1CCF">
          <w:rPr>
            <w:rStyle w:val="Hyperlink"/>
            <w:sz w:val="16"/>
          </w:rPr>
          <w:t>https://docs.cpuc.ca.gov/PublishedDocs/WORD_PDF/FINAL_DECISION/77638.PDF</w:t>
        </w:r>
      </w:hyperlink>
      <w:r>
        <w:t>, p. 13</w:t>
      </w:r>
    </w:p>
  </w:footnote>
  <w:footnote w:id="14">
    <w:p w14:paraId="2D251BEE" w14:textId="55950821" w:rsidR="00B87919" w:rsidRDefault="00B87919">
      <w:pPr>
        <w:pStyle w:val="FootnoteText"/>
      </w:pPr>
      <w:r>
        <w:rPr>
          <w:rStyle w:val="FootnoteReference"/>
        </w:rPr>
        <w:footnoteRef/>
      </w:r>
      <w:r>
        <w:t xml:space="preserve"> </w:t>
      </w:r>
      <w:r w:rsidR="009A7FBB">
        <w:t>For NR measures the measure cost is defined as the IMC</w:t>
      </w:r>
      <w:r w:rsidR="007266A4">
        <w:t xml:space="preserve"> so the FMC rebate </w:t>
      </w:r>
      <w:r w:rsidR="00060A92">
        <w:t>is larger than the measure cost.</w:t>
      </w:r>
    </w:p>
  </w:footnote>
  <w:footnote w:id="15">
    <w:p w14:paraId="6EA1B2B9" w14:textId="77777777" w:rsidR="004921CA" w:rsidRDefault="004921CA" w:rsidP="004921CA">
      <w:pPr>
        <w:pStyle w:val="FootnoteText"/>
      </w:pPr>
      <w:r>
        <w:rPr>
          <w:rStyle w:val="FootnoteReference"/>
        </w:rPr>
        <w:footnoteRef/>
      </w:r>
      <w:r>
        <w:t xml:space="preserve"> Note that per the SPM, transfer payments are not excluded from the Program Administrator Cost (PAC) test so rebates (INC) is added to the non-rebate program costs (PRC) for the PAC test.</w:t>
      </w:r>
    </w:p>
  </w:footnote>
  <w:footnote w:id="16">
    <w:p w14:paraId="0C9A88E7" w14:textId="77777777" w:rsidR="004921CA" w:rsidRDefault="004921CA" w:rsidP="004921CA">
      <w:pPr>
        <w:pStyle w:val="FootnoteText"/>
      </w:pPr>
      <w:r>
        <w:rPr>
          <w:rStyle w:val="FootnoteReference"/>
        </w:rPr>
        <w:footnoteRef/>
      </w:r>
      <w:r>
        <w:t xml:space="preserve"> Note that if the IMC happens to be negative, the measure package will require not only the addendum documenting the reasons for the negative IMC but also the addendum documenting rebate greater than IMC for the measure to be eligible for a rebate.</w:t>
      </w:r>
    </w:p>
  </w:footnote>
  <w:footnote w:id="17">
    <w:p w14:paraId="7CE5E290" w14:textId="77777777" w:rsidR="00E50655" w:rsidRDefault="00E50655" w:rsidP="00E50655">
      <w:pPr>
        <w:pStyle w:val="FootnoteText"/>
      </w:pPr>
      <w:r>
        <w:rPr>
          <w:rStyle w:val="FootnoteReference"/>
        </w:rPr>
        <w:footnoteRef/>
      </w:r>
      <w:r>
        <w:t xml:space="preserve"> ARC = FMC – (FMC – IMC) / (1 + D)</w:t>
      </w:r>
      <w:r w:rsidRPr="00C70393">
        <w:rPr>
          <w:vertAlign w:val="superscript"/>
        </w:rPr>
        <w:t>RUL</w:t>
      </w:r>
      <w:r>
        <w:t xml:space="preserve"> where D is the utility WACC discount rate used in the CET and RUL is the remaining life of the accelerated replacement measure. The baseline measure cost is (FMC – ARC) which simplifies to the second term of the ARC or (FMC – IMC) / (1 + D)</w:t>
      </w:r>
      <w:r w:rsidRPr="00C70393">
        <w:rPr>
          <w:vertAlign w:val="superscript"/>
        </w:rPr>
        <w:t>RUL</w:t>
      </w:r>
      <w:r>
        <w:t>.</w:t>
      </w:r>
    </w:p>
  </w:footnote>
  <w:footnote w:id="18">
    <w:p w14:paraId="31C4FA02" w14:textId="77777777" w:rsidR="000C037F" w:rsidRDefault="000C037F" w:rsidP="000C037F">
      <w:pPr>
        <w:pStyle w:val="FootnoteText"/>
      </w:pPr>
      <w:r>
        <w:rPr>
          <w:rStyle w:val="FootnoteReference"/>
        </w:rPr>
        <w:footnoteRef/>
      </w:r>
      <w:r>
        <w:t xml:space="preserve"> </w:t>
      </w:r>
      <w:r w:rsidRPr="00140EB7">
        <w:t>D.06-06-063 OP 1. The DEER version adopted in D.12-05-015 utilizes a 3-day “heat wave” that occurs on consecutive days in June through September such that the three consecutive days do not include weekends or holidays, and where the heat wave is ranked by giving equal weight to the peak temperature during the 72-hour period, the average temperature during the 72-hour period and the average temperature from noon – 6 pm over the three days.</w:t>
      </w:r>
    </w:p>
  </w:footnote>
  <w:footnote w:id="19">
    <w:p w14:paraId="6CB7FA70" w14:textId="77777777" w:rsidR="000C037F" w:rsidRDefault="000C037F" w:rsidP="000C037F">
      <w:pPr>
        <w:pStyle w:val="FootnoteText"/>
      </w:pPr>
      <w:r>
        <w:rPr>
          <w:rStyle w:val="FootnoteReference"/>
        </w:rPr>
        <w:footnoteRef/>
      </w:r>
      <w:r>
        <w:t xml:space="preserve"> A building EUI is the energy consumption per square foot of building area.</w:t>
      </w:r>
    </w:p>
  </w:footnote>
  <w:footnote w:id="20">
    <w:p w14:paraId="03BB6AAE" w14:textId="19E4B6DF" w:rsidR="00A75BF7" w:rsidRDefault="00A75BF7">
      <w:pPr>
        <w:pStyle w:val="FootnoteText"/>
      </w:pPr>
      <w:r>
        <w:rPr>
          <w:rStyle w:val="FootnoteReference"/>
        </w:rPr>
        <w:footnoteRef/>
      </w:r>
      <w:r>
        <w:t xml:space="preserve"> </w:t>
      </w:r>
      <w:hyperlink r:id="rId9" w:history="1">
        <w:r w:rsidR="006659B5">
          <w:rPr>
            <w:rStyle w:val="Hyperlink"/>
            <w:sz w:val="16"/>
          </w:rPr>
          <w:t>https://cedars.cpuc.ca.gov/deer-resources/tools/energy-plus/resource/13/history</w:t>
        </w:r>
      </w:hyperlink>
    </w:p>
  </w:footnote>
  <w:footnote w:id="21">
    <w:p w14:paraId="7A5E8F07" w14:textId="50C60539" w:rsidR="54FEE404" w:rsidRDefault="004074CB">
      <w:pPr>
        <w:pStyle w:val="FootnoteText"/>
      </w:pPr>
      <w:r>
        <w:rPr>
          <w:rStyle w:val="FootnoteReference"/>
        </w:rPr>
        <w:footnoteRef/>
      </w:r>
      <w:r>
        <w:t xml:space="preserve"> </w:t>
      </w:r>
      <w:hyperlink r:id="rId10" w:history="1">
        <w:r w:rsidRPr="00A839C4">
          <w:rPr>
            <w:rStyle w:val="cf01"/>
            <w:rFonts w:ascii="Palatino Linotype" w:hAnsi="Palatino Linotype"/>
            <w:sz w:val="16"/>
            <w:szCs w:val="16"/>
            <w:u w:val="single"/>
          </w:rPr>
          <w:t>https://www.energy.ca.gov/publications/2023/2022-california-commercial-end-use-survey-ceus-final-report</w:t>
        </w:r>
      </w:hyperlink>
    </w:p>
  </w:footnote>
  <w:footnote w:id="22">
    <w:p w14:paraId="690F811D" w14:textId="77777777" w:rsidR="000C037F" w:rsidRDefault="000C037F" w:rsidP="000C037F">
      <w:pPr>
        <w:pStyle w:val="FootnoteText"/>
      </w:pPr>
      <w:r>
        <w:rPr>
          <w:rStyle w:val="FootnoteReference"/>
        </w:rPr>
        <w:footnoteRef/>
      </w:r>
      <w:r>
        <w:t xml:space="preserve"> Commercial water heating measures, however, will continue to use the DEER Water Heater Calculator to determine energy usage and savings.</w:t>
      </w:r>
    </w:p>
  </w:footnote>
  <w:footnote w:id="23">
    <w:p w14:paraId="12D91B11" w14:textId="766B9338" w:rsidR="000C037F" w:rsidRDefault="000C037F" w:rsidP="000C037F">
      <w:pPr>
        <w:pStyle w:val="FootnoteText"/>
      </w:pPr>
      <w:r>
        <w:rPr>
          <w:rStyle w:val="FootnoteReference"/>
        </w:rPr>
        <w:footnoteRef/>
      </w:r>
      <w:r>
        <w:t xml:space="preserve"> </w:t>
      </w:r>
      <w:hyperlink r:id="rId11" w:history="1">
        <w:r w:rsidRPr="00944085">
          <w:rPr>
            <w:rStyle w:val="Hyperlink"/>
            <w:sz w:val="16"/>
          </w:rPr>
          <w:t>https://github.com/sound-data/DEER-Prototypes-EnergyPlus</w:t>
        </w:r>
      </w:hyperlink>
    </w:p>
  </w:footnote>
  <w:footnote w:id="24">
    <w:p w14:paraId="2DF01360" w14:textId="3018DE7D" w:rsidR="000C037F" w:rsidRDefault="000C037F" w:rsidP="000C037F">
      <w:pPr>
        <w:pStyle w:val="FootnoteText"/>
      </w:pPr>
      <w:r>
        <w:rPr>
          <w:rStyle w:val="FootnoteReference"/>
        </w:rPr>
        <w:footnoteRef/>
      </w:r>
      <w:r>
        <w:t xml:space="preserve"> </w:t>
      </w:r>
      <w:hyperlink r:id="rId12" w:history="1">
        <w:r w:rsidR="006659B5">
          <w:rPr>
            <w:rStyle w:val="Hyperlink"/>
            <w:sz w:val="16"/>
          </w:rPr>
          <w:t>https://cedars.cpuc.ca.gov/deer-resources/tools/energy-plus/file/3085/download</w:t>
        </w:r>
      </w:hyperlink>
    </w:p>
  </w:footnote>
  <w:footnote w:id="25">
    <w:p w14:paraId="6E240631" w14:textId="77777777" w:rsidR="000C037F" w:rsidRDefault="000C037F" w:rsidP="000C037F">
      <w:pPr>
        <w:pStyle w:val="FootnoteText"/>
      </w:pPr>
      <w:r>
        <w:rPr>
          <w:rStyle w:val="FootnoteReference"/>
        </w:rPr>
        <w:footnoteRef/>
      </w:r>
      <w:r>
        <w:t xml:space="preserve"> Resolution E-5152, Attachment Section 5.1, pg. A-32</w:t>
      </w:r>
    </w:p>
  </w:footnote>
  <w:footnote w:id="26">
    <w:p w14:paraId="6FE0C6FA" w14:textId="2AED8698" w:rsidR="00D514DA" w:rsidRDefault="00D514DA" w:rsidP="00D514DA">
      <w:pPr>
        <w:pStyle w:val="FootnoteText"/>
      </w:pPr>
      <w:r>
        <w:rPr>
          <w:rStyle w:val="FootnoteReference"/>
        </w:rPr>
        <w:footnoteRef/>
      </w:r>
      <w:r>
        <w:t xml:space="preserve"> “</w:t>
      </w:r>
      <w:r w:rsidRPr="00B029DB">
        <w:t>Upstream (at the manufacturer level) and midstream (at the distributor or retailer level, but not the contractor or installer level) interventions are required to be delivered statewide. Some, but not all, downstream (at the</w:t>
      </w:r>
      <w:r>
        <w:t xml:space="preserve"> </w:t>
      </w:r>
      <w:r w:rsidRPr="00B029DB">
        <w:t>customer level) approaches are also appropriate for statewide administration.</w:t>
      </w:r>
      <w:r>
        <w:t>” D.16-08-019, O.P. 5, pp. 109-110</w:t>
      </w:r>
      <w:r w:rsidR="00FA5633">
        <w:t>.</w:t>
      </w:r>
    </w:p>
  </w:footnote>
  <w:footnote w:id="27">
    <w:p w14:paraId="761BFF9B" w14:textId="6642419F" w:rsidR="00D514DA" w:rsidRDefault="00D514DA" w:rsidP="00D514DA">
      <w:pPr>
        <w:pStyle w:val="FootnoteText"/>
      </w:pPr>
      <w:r>
        <w:rPr>
          <w:rStyle w:val="FootnoteReference"/>
        </w:rPr>
        <w:footnoteRef/>
      </w:r>
      <w:r>
        <w:t xml:space="preserve"> “CPUC Group A Impact Evaluation Report, Population-Based NMEC – Program Years 2019-2021,” Dec. 22, 2023, CALMAC ID: CPU0365.01, pp. 4-5. (See: </w:t>
      </w:r>
      <w:hyperlink r:id="rId13" w:anchor="!/documents/3904/view" w:history="1">
        <w:r w:rsidRPr="0005331C">
          <w:rPr>
            <w:rStyle w:val="Hyperlink"/>
            <w:sz w:val="16"/>
          </w:rPr>
          <w:t>https://pda.energydataweb.com/#!/documents/3904/view</w:t>
        </w:r>
      </w:hyperlink>
      <w:r>
        <w:t>.)</w:t>
      </w:r>
    </w:p>
  </w:footnote>
  <w:footnote w:id="28">
    <w:p w14:paraId="7F368987" w14:textId="1C68E4A5" w:rsidR="00A85D8B" w:rsidRDefault="00A85D8B">
      <w:pPr>
        <w:pStyle w:val="FootnoteText"/>
      </w:pPr>
      <w:r>
        <w:rPr>
          <w:rStyle w:val="FootnoteReference"/>
        </w:rPr>
        <w:footnoteRef/>
      </w:r>
      <w:r>
        <w:t xml:space="preserve"> </w:t>
      </w:r>
      <w:r w:rsidRPr="000E750A">
        <w:t>ENERGY STAR, "Residential Windows Doors and Skylights Data Package.xlsx", Version 7.0, "3. Energy and Cost Savings" worksheet.</w:t>
      </w:r>
      <w:r>
        <w:t xml:space="preserve"> </w:t>
      </w:r>
      <w:hyperlink r:id="rId14" w:history="1">
        <w:r w:rsidRPr="00A85D8B">
          <w:rPr>
            <w:rStyle w:val="Hyperlink"/>
            <w:sz w:val="16"/>
          </w:rPr>
          <w:t>https://www.energystar.gov/sites/default/files/asset/document/ENERGY%20STAR%20Version%207.0%20Residential%20Windows%20Doors%20and%20Skylights%20Data%20Package.xlsx</w:t>
        </w:r>
      </w:hyperlink>
    </w:p>
  </w:footnote>
  <w:footnote w:id="29">
    <w:p w14:paraId="0B2D3361" w14:textId="4A3BF975" w:rsidR="00A97252" w:rsidRDefault="00A97252">
      <w:pPr>
        <w:pStyle w:val="FootnoteText"/>
      </w:pPr>
      <w:r>
        <w:rPr>
          <w:rStyle w:val="FootnoteReference"/>
        </w:rPr>
        <w:footnoteRef/>
      </w:r>
      <w:r>
        <w:t xml:space="preserve"> </w:t>
      </w:r>
      <w:r w:rsidRPr="00D93FDB">
        <w:t>Pennsylvania P.U.C., "Technical Reference Manual, Volume 2: Residential Measures", Aug. 2019 (rev. Feb. 2021), p. 155.</w:t>
      </w:r>
    </w:p>
  </w:footnote>
  <w:footnote w:id="30">
    <w:p w14:paraId="4920C175" w14:textId="47E5CBE7" w:rsidR="006B2AAF" w:rsidRDefault="006B2AAF">
      <w:pPr>
        <w:pStyle w:val="FootnoteText"/>
      </w:pPr>
      <w:r>
        <w:rPr>
          <w:rStyle w:val="FootnoteReference"/>
        </w:rPr>
        <w:footnoteRef/>
      </w:r>
      <w:r>
        <w:t xml:space="preserve"> </w:t>
      </w:r>
      <w:r w:rsidRPr="00E45F2F">
        <w:t>Regional Technical Forum, Northwest Council, "ResDoorSweep_v2_1.xlsm", Jul. 17, 2023, "Summary" worksheet.</w:t>
      </w:r>
    </w:p>
  </w:footnote>
  <w:footnote w:id="31">
    <w:p w14:paraId="23F9113C" w14:textId="638C3545" w:rsidR="00773DE4" w:rsidRDefault="00773DE4">
      <w:pPr>
        <w:pStyle w:val="FootnoteText"/>
      </w:pPr>
      <w:r>
        <w:rPr>
          <w:rStyle w:val="FootnoteReference"/>
        </w:rPr>
        <w:footnoteRef/>
      </w:r>
      <w:r>
        <w:t xml:space="preserve"> </w:t>
      </w:r>
      <w:hyperlink r:id="rId15" w:history="1">
        <w:r w:rsidR="006659B5">
          <w:rPr>
            <w:rStyle w:val="Hyperlink"/>
            <w:sz w:val="16"/>
          </w:rPr>
          <w:t>https://cedars.cpuc.ca.gov/deer-resources/tools/supporting-files/file/3105/download</w:t>
        </w:r>
      </w:hyperlink>
    </w:p>
  </w:footnote>
  <w:footnote w:id="32">
    <w:p w14:paraId="0D49CA71" w14:textId="1DF5004C" w:rsidR="00EB2E7E" w:rsidRDefault="00EB2E7E" w:rsidP="00EB2E7E">
      <w:pPr>
        <w:pStyle w:val="FootnoteText"/>
      </w:pPr>
      <w:r>
        <w:rPr>
          <w:rStyle w:val="FootnoteReference"/>
        </w:rPr>
        <w:footnoteRef/>
      </w:r>
      <w:r>
        <w:t xml:space="preserve"> </w:t>
      </w:r>
      <w:hyperlink r:id="rId16" w:history="1">
        <w:r w:rsidRPr="00B9513D">
          <w:rPr>
            <w:rStyle w:val="Hyperlink"/>
            <w:sz w:val="16"/>
          </w:rPr>
          <w:t>https://pda.energydataweb.com/api/downloads/2816/CIAC 2020-2021 Evaluation Final Report - Revised.pdf</w:t>
        </w:r>
      </w:hyperlink>
    </w:p>
  </w:footnote>
  <w:footnote w:id="33">
    <w:p w14:paraId="1B1AA8F5" w14:textId="6DBCAB78" w:rsidR="004471F7" w:rsidRDefault="004471F7" w:rsidP="004471F7">
      <w:pPr>
        <w:pStyle w:val="FootnoteText"/>
      </w:pPr>
      <w:r>
        <w:rPr>
          <w:rStyle w:val="FootnoteReference"/>
        </w:rPr>
        <w:footnoteRef/>
      </w:r>
      <w:r>
        <w:t xml:space="preserve"> </w:t>
      </w:r>
      <w:hyperlink r:id="rId17" w:history="1">
        <w:r w:rsidRPr="00A63797">
          <w:rPr>
            <w:rStyle w:val="Hyperlink"/>
            <w:sz w:val="16"/>
          </w:rPr>
          <w:t>https://pda.energydataweb.com/api/downloads/3903/CPUC</w:t>
        </w:r>
        <w:r w:rsidRPr="00FE5499">
          <w:rPr>
            <w:rStyle w:val="Hyperlink"/>
            <w:sz w:val="16"/>
          </w:rPr>
          <w:t xml:space="preserve"> Group A 2023 Residential Insulation EUL Study Final Report</w:t>
        </w:r>
        <w:r w:rsidRPr="00A63797">
          <w:rPr>
            <w:rStyle w:val="Hyperlink"/>
            <w:sz w:val="16"/>
          </w:rPr>
          <w:t>.pdf</w:t>
        </w:r>
      </w:hyperlink>
    </w:p>
  </w:footnote>
  <w:footnote w:id="34">
    <w:p w14:paraId="68D0703B" w14:textId="173DD3CA" w:rsidR="004471F7" w:rsidRDefault="004471F7" w:rsidP="004471F7">
      <w:pPr>
        <w:pStyle w:val="FootnoteText"/>
      </w:pPr>
      <w:r>
        <w:rPr>
          <w:rStyle w:val="FootnoteReference"/>
        </w:rPr>
        <w:footnoteRef/>
      </w:r>
      <w:r>
        <w:t xml:space="preserve"> </w:t>
      </w:r>
      <w:hyperlink r:id="rId18" w:history="1">
        <w:r w:rsidRPr="00963E55">
          <w:rPr>
            <w:rStyle w:val="Hyperlink"/>
            <w:sz w:val="16"/>
          </w:rPr>
          <w:t>https://pda.energydataweb.com/api/downloads/3952/CPUC Group A 2023 Res HVAC and DHW EUL Study Final Report.pdf</w:t>
        </w:r>
      </w:hyperlink>
    </w:p>
  </w:footnote>
  <w:footnote w:id="35">
    <w:p w14:paraId="232C94F8" w14:textId="2E866E97" w:rsidR="00B43A70" w:rsidRDefault="00B43A70">
      <w:pPr>
        <w:pStyle w:val="FootnoteText"/>
      </w:pPr>
      <w:r>
        <w:rPr>
          <w:rStyle w:val="FootnoteReference"/>
        </w:rPr>
        <w:footnoteRef/>
      </w:r>
      <w:r>
        <w:t xml:space="preserve"> </w:t>
      </w:r>
      <w:hyperlink r:id="rId19" w:history="1">
        <w:r w:rsidR="00366230" w:rsidRPr="00366230">
          <w:rPr>
            <w:rStyle w:val="Hyperlink"/>
            <w:sz w:val="16"/>
          </w:rPr>
          <w:t>https://pda.energydataweb.com/api/view/3980/CPUC%20Group%20A%202023%20Commercial%20HVAC%20and%20Water %20Heating%20EUL%20Study%20Final%20Report.pdf</w:t>
        </w:r>
      </w:hyperlink>
    </w:p>
  </w:footnote>
  <w:footnote w:id="36">
    <w:p w14:paraId="30172988" w14:textId="144AE9F1" w:rsidR="003171DF" w:rsidRDefault="003171DF" w:rsidP="003171DF">
      <w:pPr>
        <w:pStyle w:val="FootnoteHyperlink"/>
      </w:pPr>
      <w:r>
        <w:rPr>
          <w:rStyle w:val="FootnoteReference"/>
        </w:rPr>
        <w:footnoteRef/>
      </w:r>
      <w:r w:rsidRPr="00CA0CEF">
        <w:t xml:space="preserve"> </w:t>
      </w:r>
      <w:hyperlink r:id="rId20" w:history="1">
        <w:r w:rsidRPr="00512848">
          <w:rPr>
            <w:rStyle w:val="Hyperlink"/>
            <w:sz w:val="16"/>
            <w:szCs w:val="16"/>
          </w:rPr>
          <w:t>https://pda.energydataweb.com/api/view/3980/CPUC%20Group%20A%202023%20Commercial%20 HVAC%20and%20Water%20Heating%20EUL%20Study%20Final%20Report.pdf</w:t>
        </w:r>
      </w:hyperlink>
    </w:p>
  </w:footnote>
  <w:footnote w:id="37">
    <w:p w14:paraId="1F6E6E3D" w14:textId="509425F8" w:rsidR="004471F7" w:rsidRDefault="004471F7" w:rsidP="004471F7">
      <w:pPr>
        <w:pStyle w:val="FootnoteText"/>
      </w:pPr>
      <w:r>
        <w:rPr>
          <w:rStyle w:val="FootnoteReference"/>
        </w:rPr>
        <w:footnoteRef/>
      </w:r>
      <w:r>
        <w:t xml:space="preserve"> “Group A Forward Looking Research</w:t>
      </w:r>
      <w:r w:rsidRPr="00A10307">
        <w:t>: Cross-Program Net-to-Gross Ratios for Hard-to-Reach Customers</w:t>
      </w:r>
      <w:r>
        <w:t xml:space="preserve">”, </w:t>
      </w:r>
      <w:r w:rsidR="0034245D">
        <w:t xml:space="preserve">August </w:t>
      </w:r>
      <w:r>
        <w:t>2024.</w:t>
      </w:r>
      <w:r w:rsidR="0034245D">
        <w:t xml:space="preserve"> (see </w:t>
      </w:r>
      <w:hyperlink r:id="rId21" w:anchor="!/documents/4023/view" w:history="1">
        <w:r w:rsidR="0034245D" w:rsidRPr="0034245D">
          <w:rPr>
            <w:rStyle w:val="Hyperlink"/>
            <w:sz w:val="16"/>
          </w:rPr>
          <w:t>https://pda.energydataweb.com/#!/documents/4023/view</w:t>
        </w:r>
      </w:hyperlink>
      <w:r w:rsidR="00272D64">
        <w:t>)</w:t>
      </w:r>
    </w:p>
  </w:footnote>
  <w:footnote w:id="38">
    <w:p w14:paraId="6A87D5BA" w14:textId="77777777" w:rsidR="004471F7" w:rsidRDefault="004471F7" w:rsidP="004471F7">
      <w:pPr>
        <w:pStyle w:val="FootnoteText"/>
      </w:pPr>
      <w:r>
        <w:rPr>
          <w:rStyle w:val="FootnoteReference"/>
        </w:rPr>
        <w:footnoteRef/>
      </w:r>
      <w:r>
        <w:t xml:space="preserve"> In the figures OEM stands for Original Equipment Manufacturer, and refers to the new curves developed in the SDG&amp;E-funded study</w:t>
      </w:r>
    </w:p>
  </w:footnote>
  <w:footnote w:id="39">
    <w:p w14:paraId="781F29EB" w14:textId="2A60E49D" w:rsidR="004471F7" w:rsidRDefault="004471F7" w:rsidP="004471F7">
      <w:pPr>
        <w:pStyle w:val="FootnoteText"/>
      </w:pPr>
      <w:r>
        <w:rPr>
          <w:rStyle w:val="FootnoteReference"/>
        </w:rPr>
        <w:footnoteRef/>
      </w:r>
      <w:r>
        <w:t xml:space="preserve"> </w:t>
      </w:r>
      <w:hyperlink r:id="rId22" w:history="1">
        <w:r w:rsidRPr="00C25344">
          <w:rPr>
            <w:rStyle w:val="Hyperlink"/>
            <w:sz w:val="16"/>
          </w:rPr>
          <w:t>https://psr.energydataweb.com/#!/project-status</w:t>
        </w:r>
      </w:hyperlink>
    </w:p>
  </w:footnote>
  <w:footnote w:id="40">
    <w:p w14:paraId="5E98050B" w14:textId="47265165" w:rsidR="004471F7" w:rsidRDefault="004471F7" w:rsidP="004471F7">
      <w:pPr>
        <w:pStyle w:val="FootnoteText"/>
      </w:pPr>
      <w:r>
        <w:rPr>
          <w:rStyle w:val="FootnoteReference"/>
        </w:rPr>
        <w:footnoteRef/>
      </w:r>
      <w:r>
        <w:t xml:space="preserve"> Preponderance of Evidence Requirements for Accelerated Replacement of Deemed Measures, </w:t>
      </w:r>
      <w:hyperlink r:id="rId23" w:history="1">
        <w:r w:rsidR="007F3852">
          <w:rPr>
            <w:rStyle w:val="Hyperlink"/>
            <w:sz w:val="16"/>
          </w:rPr>
          <w:t>https://cedars.cpuc.ca.gov/deer-resources/deemed-measure-packages/guidance/file/3060/download</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FDA559" w14:textId="7EE92271" w:rsidR="004468CB" w:rsidRPr="00514EEC" w:rsidRDefault="00D70C30" w:rsidP="000E2EC9">
    <w:pPr>
      <w:tabs>
        <w:tab w:val="center" w:pos="4950"/>
        <w:tab w:val="right" w:pos="9360"/>
      </w:tabs>
      <w:spacing w:after="0"/>
      <w:rPr>
        <w:noProof/>
        <w:lang w:val="de-DE"/>
      </w:rPr>
    </w:pPr>
    <w:r w:rsidRPr="00514EEC">
      <w:rPr>
        <w:lang w:val="de-DE"/>
      </w:rPr>
      <w:t>Resolution</w:t>
    </w:r>
    <w:r w:rsidR="00566C46" w:rsidRPr="00514EEC">
      <w:rPr>
        <w:lang w:val="de-DE"/>
      </w:rPr>
      <w:t xml:space="preserve"> </w:t>
    </w:r>
    <w:r w:rsidR="00830599" w:rsidRPr="00514EEC">
      <w:rPr>
        <w:lang w:val="de-DE"/>
      </w:rPr>
      <w:t xml:space="preserve">E-5350 </w:t>
    </w:r>
    <w:r w:rsidR="004468CB" w:rsidRPr="00514EEC">
      <w:rPr>
        <w:lang w:val="de-DE"/>
      </w:rPr>
      <w:t>DEER202</w:t>
    </w:r>
    <w:r w:rsidR="00833CF3" w:rsidRPr="00514EEC">
      <w:rPr>
        <w:lang w:val="de-DE"/>
      </w:rPr>
      <w:t>6</w:t>
    </w:r>
    <w:r w:rsidR="00D64F92" w:rsidRPr="00514EEC">
      <w:rPr>
        <w:lang w:val="de-DE"/>
      </w:rPr>
      <w:t xml:space="preserve"> </w:t>
    </w:r>
    <w:r w:rsidR="000E2EC9" w:rsidRPr="00514EEC">
      <w:rPr>
        <w:lang w:val="de-DE"/>
      </w:rPr>
      <w:tab/>
    </w:r>
    <w:r w:rsidR="00224E2E" w:rsidRPr="00514EEC">
      <w:rPr>
        <w:lang w:val="de-DE"/>
      </w:rPr>
      <w:tab/>
    </w:r>
    <w:r w:rsidR="007C7D6A">
      <w:rPr>
        <w:lang w:val="de-DE"/>
      </w:rPr>
      <w:t>December 19</w:t>
    </w:r>
    <w:r w:rsidR="004B3E72" w:rsidRPr="007C7D6A">
      <w:rPr>
        <w:lang w:val="de-DE"/>
      </w:rPr>
      <w:t>,</w:t>
    </w:r>
    <w:r w:rsidR="004468CB" w:rsidRPr="007C7D6A">
      <w:rPr>
        <w:lang w:val="de-DE"/>
      </w:rPr>
      <w:t xml:space="preserve"> </w:t>
    </w:r>
    <w:r w:rsidR="004468CB" w:rsidRPr="00514EEC">
      <w:rPr>
        <w:lang w:val="de-DE"/>
      </w:rPr>
      <w:t>202</w:t>
    </w:r>
    <w:r w:rsidR="005D40D3" w:rsidRPr="00514EEC">
      <w:rPr>
        <w:lang w:val="de-DE"/>
      </w:rPr>
      <w:t>4</w:t>
    </w:r>
  </w:p>
  <w:p w14:paraId="393B9757" w14:textId="61FFA6D3" w:rsidR="004468CB" w:rsidRDefault="00D64F92" w:rsidP="004725DA">
    <w:pPr>
      <w:tabs>
        <w:tab w:val="left" w:pos="6030"/>
        <w:tab w:val="right" w:pos="9360"/>
      </w:tabs>
    </w:pPr>
    <w:r>
      <w:rPr>
        <w:noProof/>
      </w:rPr>
      <w:t>Attachment 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4FEE404" w14:paraId="1BF01DEB" w14:textId="77777777" w:rsidTr="00D419E1">
      <w:trPr>
        <w:trHeight w:val="300"/>
      </w:trPr>
      <w:tc>
        <w:tcPr>
          <w:tcW w:w="3120" w:type="dxa"/>
        </w:tcPr>
        <w:p w14:paraId="0A465F53" w14:textId="49C150B1" w:rsidR="54FEE404" w:rsidRDefault="54FEE404" w:rsidP="00D419E1">
          <w:pPr>
            <w:pStyle w:val="Header"/>
            <w:ind w:left="-115"/>
          </w:pPr>
        </w:p>
      </w:tc>
      <w:tc>
        <w:tcPr>
          <w:tcW w:w="3120" w:type="dxa"/>
        </w:tcPr>
        <w:p w14:paraId="2AC90B75" w14:textId="3D712A9E" w:rsidR="54FEE404" w:rsidRDefault="54FEE404" w:rsidP="00D419E1">
          <w:pPr>
            <w:pStyle w:val="Header"/>
            <w:jc w:val="center"/>
          </w:pPr>
        </w:p>
      </w:tc>
      <w:tc>
        <w:tcPr>
          <w:tcW w:w="3120" w:type="dxa"/>
        </w:tcPr>
        <w:p w14:paraId="7C44E8FB" w14:textId="01AFC583" w:rsidR="54FEE404" w:rsidRDefault="54FEE404" w:rsidP="00D419E1">
          <w:pPr>
            <w:pStyle w:val="Header"/>
            <w:ind w:right="-115"/>
            <w:jc w:val="right"/>
          </w:pPr>
        </w:p>
      </w:tc>
    </w:tr>
  </w:tbl>
  <w:p w14:paraId="5C077CFF" w14:textId="06191DF2" w:rsidR="008134F6" w:rsidRDefault="008134F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120"/>
      <w:gridCol w:w="3120"/>
      <w:gridCol w:w="3120"/>
    </w:tblGrid>
    <w:tr w:rsidR="54FEE404" w14:paraId="57FB7163" w14:textId="77777777" w:rsidTr="00D419E1">
      <w:trPr>
        <w:trHeight w:val="300"/>
      </w:trPr>
      <w:tc>
        <w:tcPr>
          <w:tcW w:w="3120" w:type="dxa"/>
        </w:tcPr>
        <w:p w14:paraId="7E6EB493" w14:textId="0EE2AF4F" w:rsidR="54FEE404" w:rsidRDefault="54FEE404" w:rsidP="00D419E1">
          <w:pPr>
            <w:pStyle w:val="Header"/>
            <w:ind w:left="-115"/>
          </w:pPr>
        </w:p>
      </w:tc>
      <w:tc>
        <w:tcPr>
          <w:tcW w:w="3120" w:type="dxa"/>
        </w:tcPr>
        <w:p w14:paraId="037DEB98" w14:textId="19AFEBBA" w:rsidR="54FEE404" w:rsidRDefault="54FEE404" w:rsidP="00D419E1">
          <w:pPr>
            <w:pStyle w:val="Header"/>
            <w:jc w:val="center"/>
          </w:pPr>
        </w:p>
      </w:tc>
      <w:tc>
        <w:tcPr>
          <w:tcW w:w="3120" w:type="dxa"/>
        </w:tcPr>
        <w:p w14:paraId="27A26469" w14:textId="4761D61A" w:rsidR="54FEE404" w:rsidRDefault="54FEE404" w:rsidP="00D419E1">
          <w:pPr>
            <w:pStyle w:val="Header"/>
            <w:ind w:right="-115"/>
            <w:jc w:val="right"/>
          </w:pPr>
        </w:p>
      </w:tc>
    </w:tr>
  </w:tbl>
  <w:p w14:paraId="557110E2" w14:textId="47EB41E1" w:rsidR="008134F6" w:rsidRDefault="008134F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2D7D3A"/>
    <w:multiLevelType w:val="hybridMultilevel"/>
    <w:tmpl w:val="FFFFFFFF"/>
    <w:lvl w:ilvl="0" w:tplc="FFFFFFFF">
      <w:start w:val="1"/>
      <w:numFmt w:val="decimal"/>
      <w:lvlText w:val="%1."/>
      <w:lvlJc w:val="left"/>
      <w:pPr>
        <w:ind w:left="720"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 w15:restartNumberingAfterBreak="0">
    <w:nsid w:val="0E7D131E"/>
    <w:multiLevelType w:val="hybridMultilevel"/>
    <w:tmpl w:val="FFFFFFFF"/>
    <w:lvl w:ilvl="0" w:tplc="3594F1A0">
      <w:start w:val="1"/>
      <w:numFmt w:val="decimal"/>
      <w:lvlText w:val="%1."/>
      <w:lvlJc w:val="left"/>
      <w:pPr>
        <w:ind w:left="360" w:hanging="360"/>
      </w:pPr>
    </w:lvl>
    <w:lvl w:ilvl="1" w:tplc="0DF017A2">
      <w:start w:val="1"/>
      <w:numFmt w:val="lowerLetter"/>
      <w:lvlText w:val="%2."/>
      <w:lvlJc w:val="left"/>
      <w:pPr>
        <w:ind w:left="1080" w:hanging="360"/>
      </w:pPr>
    </w:lvl>
    <w:lvl w:ilvl="2" w:tplc="078854D6">
      <w:start w:val="1"/>
      <w:numFmt w:val="lowerRoman"/>
      <w:lvlText w:val="%3."/>
      <w:lvlJc w:val="right"/>
      <w:pPr>
        <w:ind w:left="1800" w:hanging="180"/>
      </w:pPr>
    </w:lvl>
    <w:lvl w:ilvl="3" w:tplc="2F204F9C">
      <w:start w:val="1"/>
      <w:numFmt w:val="decimal"/>
      <w:lvlText w:val="%4."/>
      <w:lvlJc w:val="left"/>
      <w:pPr>
        <w:ind w:left="2520" w:hanging="360"/>
      </w:pPr>
    </w:lvl>
    <w:lvl w:ilvl="4" w:tplc="A6F69662">
      <w:start w:val="1"/>
      <w:numFmt w:val="lowerLetter"/>
      <w:lvlText w:val="%5."/>
      <w:lvlJc w:val="left"/>
      <w:pPr>
        <w:ind w:left="3240" w:hanging="360"/>
      </w:pPr>
    </w:lvl>
    <w:lvl w:ilvl="5" w:tplc="CD3605DC">
      <w:start w:val="1"/>
      <w:numFmt w:val="lowerRoman"/>
      <w:lvlText w:val="%6."/>
      <w:lvlJc w:val="right"/>
      <w:pPr>
        <w:ind w:left="3960" w:hanging="180"/>
      </w:pPr>
    </w:lvl>
    <w:lvl w:ilvl="6" w:tplc="4BCAFEE4">
      <w:start w:val="1"/>
      <w:numFmt w:val="decimal"/>
      <w:lvlText w:val="%7."/>
      <w:lvlJc w:val="left"/>
      <w:pPr>
        <w:ind w:left="4680" w:hanging="360"/>
      </w:pPr>
    </w:lvl>
    <w:lvl w:ilvl="7" w:tplc="1F4CFDB0">
      <w:start w:val="1"/>
      <w:numFmt w:val="lowerLetter"/>
      <w:lvlText w:val="%8."/>
      <w:lvlJc w:val="left"/>
      <w:pPr>
        <w:ind w:left="5400" w:hanging="360"/>
      </w:pPr>
    </w:lvl>
    <w:lvl w:ilvl="8" w:tplc="15828FD4">
      <w:start w:val="1"/>
      <w:numFmt w:val="lowerRoman"/>
      <w:lvlText w:val="%9."/>
      <w:lvlJc w:val="right"/>
      <w:pPr>
        <w:ind w:left="6120" w:hanging="180"/>
      </w:pPr>
    </w:lvl>
  </w:abstractNum>
  <w:abstractNum w:abstractNumId="2" w15:restartNumberingAfterBreak="0">
    <w:nsid w:val="136125AF"/>
    <w:multiLevelType w:val="hybridMultilevel"/>
    <w:tmpl w:val="D7FA38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8077C46"/>
    <w:multiLevelType w:val="hybridMultilevel"/>
    <w:tmpl w:val="AB567CCA"/>
    <w:styleLink w:val="Style1"/>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516048E"/>
    <w:multiLevelType w:val="hybridMultilevel"/>
    <w:tmpl w:val="A452750A"/>
    <w:lvl w:ilvl="0" w:tplc="04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52B68D4"/>
    <w:multiLevelType w:val="hybridMultilevel"/>
    <w:tmpl w:val="A8680E02"/>
    <w:lvl w:ilvl="0" w:tplc="F710E62E">
      <w:start w:val="1"/>
      <w:numFmt w:val="bullet"/>
      <w:pStyle w:val="ListBullet2"/>
      <w:lvlText w:val="-"/>
      <w:lvlJc w:val="left"/>
      <w:pPr>
        <w:ind w:left="1800" w:hanging="360"/>
      </w:pPr>
      <w:rPr>
        <w:rFonts w:ascii="Courier New" w:hAnsi="Courier New" w:hint="default"/>
        <w:color w:val="0F204B" w:themeColor="accent4"/>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43F9599C"/>
    <w:multiLevelType w:val="hybridMultilevel"/>
    <w:tmpl w:val="066A5E06"/>
    <w:lvl w:ilvl="0" w:tplc="04090001">
      <w:start w:val="1"/>
      <w:numFmt w:val="bullet"/>
      <w:lvlText w:val=""/>
      <w:lvlJc w:val="left"/>
      <w:pPr>
        <w:ind w:left="778" w:hanging="360"/>
      </w:pPr>
      <w:rPr>
        <w:rFonts w:ascii="Symbol" w:hAnsi="Symbol" w:hint="default"/>
      </w:rPr>
    </w:lvl>
    <w:lvl w:ilvl="1" w:tplc="04090003" w:tentative="1">
      <w:start w:val="1"/>
      <w:numFmt w:val="bullet"/>
      <w:lvlText w:val="o"/>
      <w:lvlJc w:val="left"/>
      <w:pPr>
        <w:ind w:left="1498" w:hanging="360"/>
      </w:pPr>
      <w:rPr>
        <w:rFonts w:ascii="Courier New" w:hAnsi="Courier New" w:cs="Courier New" w:hint="default"/>
      </w:rPr>
    </w:lvl>
    <w:lvl w:ilvl="2" w:tplc="04090005" w:tentative="1">
      <w:start w:val="1"/>
      <w:numFmt w:val="bullet"/>
      <w:lvlText w:val=""/>
      <w:lvlJc w:val="left"/>
      <w:pPr>
        <w:ind w:left="2218" w:hanging="360"/>
      </w:pPr>
      <w:rPr>
        <w:rFonts w:ascii="Wingdings" w:hAnsi="Wingdings" w:hint="default"/>
      </w:rPr>
    </w:lvl>
    <w:lvl w:ilvl="3" w:tplc="04090001" w:tentative="1">
      <w:start w:val="1"/>
      <w:numFmt w:val="bullet"/>
      <w:lvlText w:val=""/>
      <w:lvlJc w:val="left"/>
      <w:pPr>
        <w:ind w:left="2938" w:hanging="360"/>
      </w:pPr>
      <w:rPr>
        <w:rFonts w:ascii="Symbol" w:hAnsi="Symbol" w:hint="default"/>
      </w:rPr>
    </w:lvl>
    <w:lvl w:ilvl="4" w:tplc="04090003" w:tentative="1">
      <w:start w:val="1"/>
      <w:numFmt w:val="bullet"/>
      <w:lvlText w:val="o"/>
      <w:lvlJc w:val="left"/>
      <w:pPr>
        <w:ind w:left="3658" w:hanging="360"/>
      </w:pPr>
      <w:rPr>
        <w:rFonts w:ascii="Courier New" w:hAnsi="Courier New" w:cs="Courier New" w:hint="default"/>
      </w:rPr>
    </w:lvl>
    <w:lvl w:ilvl="5" w:tplc="04090005" w:tentative="1">
      <w:start w:val="1"/>
      <w:numFmt w:val="bullet"/>
      <w:lvlText w:val=""/>
      <w:lvlJc w:val="left"/>
      <w:pPr>
        <w:ind w:left="4378" w:hanging="360"/>
      </w:pPr>
      <w:rPr>
        <w:rFonts w:ascii="Wingdings" w:hAnsi="Wingdings" w:hint="default"/>
      </w:rPr>
    </w:lvl>
    <w:lvl w:ilvl="6" w:tplc="04090001" w:tentative="1">
      <w:start w:val="1"/>
      <w:numFmt w:val="bullet"/>
      <w:lvlText w:val=""/>
      <w:lvlJc w:val="left"/>
      <w:pPr>
        <w:ind w:left="5098" w:hanging="360"/>
      </w:pPr>
      <w:rPr>
        <w:rFonts w:ascii="Symbol" w:hAnsi="Symbol" w:hint="default"/>
      </w:rPr>
    </w:lvl>
    <w:lvl w:ilvl="7" w:tplc="04090003" w:tentative="1">
      <w:start w:val="1"/>
      <w:numFmt w:val="bullet"/>
      <w:lvlText w:val="o"/>
      <w:lvlJc w:val="left"/>
      <w:pPr>
        <w:ind w:left="5818" w:hanging="360"/>
      </w:pPr>
      <w:rPr>
        <w:rFonts w:ascii="Courier New" w:hAnsi="Courier New" w:cs="Courier New" w:hint="default"/>
      </w:rPr>
    </w:lvl>
    <w:lvl w:ilvl="8" w:tplc="04090005" w:tentative="1">
      <w:start w:val="1"/>
      <w:numFmt w:val="bullet"/>
      <w:lvlText w:val=""/>
      <w:lvlJc w:val="left"/>
      <w:pPr>
        <w:ind w:left="6538" w:hanging="360"/>
      </w:pPr>
      <w:rPr>
        <w:rFonts w:ascii="Wingdings" w:hAnsi="Wingdings" w:hint="default"/>
      </w:rPr>
    </w:lvl>
  </w:abstractNum>
  <w:abstractNum w:abstractNumId="7" w15:restartNumberingAfterBreak="0">
    <w:nsid w:val="4602C7B3"/>
    <w:multiLevelType w:val="hybridMultilevel"/>
    <w:tmpl w:val="FFFFFFFF"/>
    <w:lvl w:ilvl="0" w:tplc="A4FA8534">
      <w:start w:val="1"/>
      <w:numFmt w:val="decimal"/>
      <w:lvlText w:val="%1."/>
      <w:lvlJc w:val="left"/>
      <w:pPr>
        <w:ind w:left="720" w:hanging="360"/>
      </w:pPr>
    </w:lvl>
    <w:lvl w:ilvl="1" w:tplc="8852434E">
      <w:start w:val="1"/>
      <w:numFmt w:val="lowerLetter"/>
      <w:lvlText w:val="%2."/>
      <w:lvlJc w:val="left"/>
      <w:pPr>
        <w:ind w:left="1440" w:hanging="360"/>
      </w:pPr>
    </w:lvl>
    <w:lvl w:ilvl="2" w:tplc="6C3C9190">
      <w:start w:val="1"/>
      <w:numFmt w:val="lowerRoman"/>
      <w:lvlText w:val="%3."/>
      <w:lvlJc w:val="right"/>
      <w:pPr>
        <w:ind w:left="2160" w:hanging="180"/>
      </w:pPr>
    </w:lvl>
    <w:lvl w:ilvl="3" w:tplc="EBE8B3C8">
      <w:start w:val="1"/>
      <w:numFmt w:val="decimal"/>
      <w:lvlText w:val="%4."/>
      <w:lvlJc w:val="left"/>
      <w:pPr>
        <w:ind w:left="2880" w:hanging="360"/>
      </w:pPr>
    </w:lvl>
    <w:lvl w:ilvl="4" w:tplc="A03EEB7C">
      <w:start w:val="1"/>
      <w:numFmt w:val="lowerLetter"/>
      <w:lvlText w:val="%5."/>
      <w:lvlJc w:val="left"/>
      <w:pPr>
        <w:ind w:left="3600" w:hanging="360"/>
      </w:pPr>
    </w:lvl>
    <w:lvl w:ilvl="5" w:tplc="92AEAB78">
      <w:start w:val="1"/>
      <w:numFmt w:val="lowerRoman"/>
      <w:lvlText w:val="%6."/>
      <w:lvlJc w:val="right"/>
      <w:pPr>
        <w:ind w:left="4320" w:hanging="180"/>
      </w:pPr>
    </w:lvl>
    <w:lvl w:ilvl="6" w:tplc="B56450C0">
      <w:start w:val="1"/>
      <w:numFmt w:val="decimal"/>
      <w:lvlText w:val="%7."/>
      <w:lvlJc w:val="left"/>
      <w:pPr>
        <w:ind w:left="5040" w:hanging="360"/>
      </w:pPr>
    </w:lvl>
    <w:lvl w:ilvl="7" w:tplc="48101030">
      <w:start w:val="1"/>
      <w:numFmt w:val="lowerLetter"/>
      <w:lvlText w:val="%8."/>
      <w:lvlJc w:val="left"/>
      <w:pPr>
        <w:ind w:left="5760" w:hanging="360"/>
      </w:pPr>
    </w:lvl>
    <w:lvl w:ilvl="8" w:tplc="8640EA92">
      <w:start w:val="1"/>
      <w:numFmt w:val="lowerRoman"/>
      <w:lvlText w:val="%9."/>
      <w:lvlJc w:val="right"/>
      <w:pPr>
        <w:ind w:left="6480" w:hanging="180"/>
      </w:pPr>
    </w:lvl>
  </w:abstractNum>
  <w:abstractNum w:abstractNumId="8" w15:restartNumberingAfterBreak="0">
    <w:nsid w:val="4BD97A24"/>
    <w:multiLevelType w:val="hybridMultilevel"/>
    <w:tmpl w:val="F8A0CC24"/>
    <w:lvl w:ilvl="0" w:tplc="71C068E6">
      <w:start w:val="1"/>
      <w:numFmt w:val="bullet"/>
      <w:pStyle w:val="DNVGLBulletLevel1"/>
      <w:lvlText w:val=""/>
      <w:lvlJc w:val="left"/>
      <w:pPr>
        <w:ind w:left="720" w:hanging="360"/>
      </w:pPr>
      <w:rPr>
        <w:rFonts w:ascii="Wingdings" w:hAnsi="Wingdings" w:hint="default"/>
        <w:color w:val="009FDA" w:themeColor="accent5"/>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A4F436E"/>
    <w:multiLevelType w:val="hybridMultilevel"/>
    <w:tmpl w:val="1FC404C4"/>
    <w:lvl w:ilvl="0" w:tplc="0DC0D180">
      <w:start w:val="1"/>
      <w:numFmt w:val="bullet"/>
      <w:pStyle w:val="DNVGL-Bullet1"/>
      <w:lvlText w:val=""/>
      <w:lvlJc w:val="left"/>
      <w:pPr>
        <w:ind w:left="720" w:hanging="360"/>
      </w:pPr>
      <w:rPr>
        <w:rFonts w:ascii="Wingdings" w:hAnsi="Wingdings" w:hint="default"/>
        <w:color w:val="43B2E3" w:themeColor="accent3" w:themeShade="BF"/>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DC525C5"/>
    <w:multiLevelType w:val="hybridMultilevel"/>
    <w:tmpl w:val="F6CA4DFE"/>
    <w:lvl w:ilvl="0" w:tplc="4B22BD12">
      <w:start w:val="1"/>
      <w:numFmt w:val="bullet"/>
      <w:pStyle w:val="ListParagraph"/>
      <w:lvlText w:val=""/>
      <w:lvlJc w:val="left"/>
      <w:pPr>
        <w:ind w:left="720" w:hanging="360"/>
      </w:pPr>
      <w:rPr>
        <w:rFonts w:ascii="Symbol" w:hAnsi="Symbol" w:hint="default"/>
        <w:sz w:val="18"/>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146775A"/>
    <w:multiLevelType w:val="hybridMultilevel"/>
    <w:tmpl w:val="D1CE4928"/>
    <w:lvl w:ilvl="0" w:tplc="EE364A7C">
      <w:start w:val="1"/>
      <w:numFmt w:val="bullet"/>
      <w:pStyle w:val="BulletListinTable"/>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463785"/>
    <w:multiLevelType w:val="hybridMultilevel"/>
    <w:tmpl w:val="75B07D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0D45491"/>
    <w:multiLevelType w:val="multilevel"/>
    <w:tmpl w:val="4AE83B06"/>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15:restartNumberingAfterBreak="0">
    <w:nsid w:val="742576DE"/>
    <w:multiLevelType w:val="multilevel"/>
    <w:tmpl w:val="D2B293C8"/>
    <w:lvl w:ilvl="0">
      <w:start w:val="1"/>
      <w:numFmt w:val="upperLetter"/>
      <w:lvlText w:val="%1"/>
      <w:lvlJc w:val="left"/>
      <w:pPr>
        <w:ind w:left="720" w:hanging="360"/>
      </w:pPr>
      <w:rPr>
        <w:rFonts w:hint="default"/>
        <w:caps/>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5" w15:restartNumberingAfterBreak="0">
    <w:nsid w:val="763D567D"/>
    <w:multiLevelType w:val="hybridMultilevel"/>
    <w:tmpl w:val="9D206B56"/>
    <w:lvl w:ilvl="0" w:tplc="0409000F">
      <w:start w:val="1"/>
      <w:numFmt w:val="decimal"/>
      <w:lvlText w:val="%1."/>
      <w:lvlJc w:val="left"/>
      <w:pPr>
        <w:ind w:left="720" w:hanging="360"/>
      </w:pPr>
      <w:rPr>
        <w:rFonts w:hint="default"/>
        <w:sz w:val="18"/>
      </w:rPr>
    </w:lvl>
    <w:lvl w:ilvl="1" w:tplc="FFFFFFFF">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num w:numId="1" w16cid:durableId="2124297994">
    <w:abstractNumId w:val="10"/>
  </w:num>
  <w:num w:numId="2" w16cid:durableId="1014845222">
    <w:abstractNumId w:val="5"/>
  </w:num>
  <w:num w:numId="3" w16cid:durableId="2004699325">
    <w:abstractNumId w:val="9"/>
  </w:num>
  <w:num w:numId="4" w16cid:durableId="1026520792">
    <w:abstractNumId w:val="8"/>
  </w:num>
  <w:num w:numId="5" w16cid:durableId="495537128">
    <w:abstractNumId w:val="14"/>
  </w:num>
  <w:num w:numId="6" w16cid:durableId="625621362">
    <w:abstractNumId w:val="13"/>
  </w:num>
  <w:num w:numId="7" w16cid:durableId="712774694">
    <w:abstractNumId w:val="3"/>
  </w:num>
  <w:num w:numId="8" w16cid:durableId="568615968">
    <w:abstractNumId w:val="11"/>
  </w:num>
  <w:num w:numId="9" w16cid:durableId="1692485775">
    <w:abstractNumId w:val="4"/>
  </w:num>
  <w:num w:numId="10" w16cid:durableId="998577068">
    <w:abstractNumId w:val="15"/>
  </w:num>
  <w:num w:numId="11" w16cid:durableId="165678483">
    <w:abstractNumId w:val="7"/>
  </w:num>
  <w:num w:numId="12" w16cid:durableId="2108887378">
    <w:abstractNumId w:val="0"/>
  </w:num>
  <w:num w:numId="13" w16cid:durableId="1635988695">
    <w:abstractNumId w:val="12"/>
  </w:num>
  <w:num w:numId="14" w16cid:durableId="1321274875">
    <w:abstractNumId w:val="2"/>
  </w:num>
  <w:num w:numId="15" w16cid:durableId="383794141">
    <w:abstractNumId w:val="1"/>
  </w:num>
  <w:num w:numId="16" w16cid:durableId="1479227787">
    <w:abstractNumId w:val="6"/>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removePersonalInformatio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oNotTrackFormatting/>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035F6"/>
    <w:rsid w:val="00000071"/>
    <w:rsid w:val="00000DB2"/>
    <w:rsid w:val="00000E6B"/>
    <w:rsid w:val="0000119D"/>
    <w:rsid w:val="000013AC"/>
    <w:rsid w:val="0000158A"/>
    <w:rsid w:val="00001715"/>
    <w:rsid w:val="0000173D"/>
    <w:rsid w:val="00001CC9"/>
    <w:rsid w:val="00001D05"/>
    <w:rsid w:val="00001D27"/>
    <w:rsid w:val="00001D6D"/>
    <w:rsid w:val="0000228A"/>
    <w:rsid w:val="000026EA"/>
    <w:rsid w:val="00002ACD"/>
    <w:rsid w:val="00002CF2"/>
    <w:rsid w:val="00003297"/>
    <w:rsid w:val="000032C7"/>
    <w:rsid w:val="000033FA"/>
    <w:rsid w:val="00003555"/>
    <w:rsid w:val="000037FB"/>
    <w:rsid w:val="000038F6"/>
    <w:rsid w:val="0000397C"/>
    <w:rsid w:val="00003B66"/>
    <w:rsid w:val="00003D21"/>
    <w:rsid w:val="00003D46"/>
    <w:rsid w:val="00003F36"/>
    <w:rsid w:val="000040D2"/>
    <w:rsid w:val="00004340"/>
    <w:rsid w:val="00004C03"/>
    <w:rsid w:val="0000544C"/>
    <w:rsid w:val="000059E6"/>
    <w:rsid w:val="00006040"/>
    <w:rsid w:val="00006061"/>
    <w:rsid w:val="00006583"/>
    <w:rsid w:val="00006595"/>
    <w:rsid w:val="00006627"/>
    <w:rsid w:val="00006A7C"/>
    <w:rsid w:val="00006B4C"/>
    <w:rsid w:val="00006CD6"/>
    <w:rsid w:val="00006D8D"/>
    <w:rsid w:val="00006DB0"/>
    <w:rsid w:val="00006E23"/>
    <w:rsid w:val="00006EBA"/>
    <w:rsid w:val="000070E8"/>
    <w:rsid w:val="00007214"/>
    <w:rsid w:val="000072BF"/>
    <w:rsid w:val="000073ED"/>
    <w:rsid w:val="00007403"/>
    <w:rsid w:val="000078A5"/>
    <w:rsid w:val="00007B97"/>
    <w:rsid w:val="00007DF2"/>
    <w:rsid w:val="00007EFE"/>
    <w:rsid w:val="00007F1F"/>
    <w:rsid w:val="000100BC"/>
    <w:rsid w:val="000100D7"/>
    <w:rsid w:val="00010749"/>
    <w:rsid w:val="00010795"/>
    <w:rsid w:val="0001093F"/>
    <w:rsid w:val="00011165"/>
    <w:rsid w:val="000114B7"/>
    <w:rsid w:val="000115EA"/>
    <w:rsid w:val="00011778"/>
    <w:rsid w:val="00011A39"/>
    <w:rsid w:val="00011A6C"/>
    <w:rsid w:val="000120C1"/>
    <w:rsid w:val="00012D05"/>
    <w:rsid w:val="00012D12"/>
    <w:rsid w:val="00012D46"/>
    <w:rsid w:val="00012DE6"/>
    <w:rsid w:val="0001393F"/>
    <w:rsid w:val="00013A65"/>
    <w:rsid w:val="00013C4D"/>
    <w:rsid w:val="000141AF"/>
    <w:rsid w:val="00014290"/>
    <w:rsid w:val="000146D8"/>
    <w:rsid w:val="00014789"/>
    <w:rsid w:val="000147BB"/>
    <w:rsid w:val="00014992"/>
    <w:rsid w:val="00015202"/>
    <w:rsid w:val="000152BF"/>
    <w:rsid w:val="0001568B"/>
    <w:rsid w:val="00015850"/>
    <w:rsid w:val="0001602C"/>
    <w:rsid w:val="00016080"/>
    <w:rsid w:val="00016126"/>
    <w:rsid w:val="000161CD"/>
    <w:rsid w:val="000168FD"/>
    <w:rsid w:val="00016AB0"/>
    <w:rsid w:val="00016C88"/>
    <w:rsid w:val="00016D3F"/>
    <w:rsid w:val="00016F6C"/>
    <w:rsid w:val="00017473"/>
    <w:rsid w:val="00017582"/>
    <w:rsid w:val="000178A9"/>
    <w:rsid w:val="000179A5"/>
    <w:rsid w:val="00017C45"/>
    <w:rsid w:val="00017C92"/>
    <w:rsid w:val="00017D23"/>
    <w:rsid w:val="00020032"/>
    <w:rsid w:val="0002049D"/>
    <w:rsid w:val="000207A4"/>
    <w:rsid w:val="00020822"/>
    <w:rsid w:val="00020ADB"/>
    <w:rsid w:val="00020FAF"/>
    <w:rsid w:val="0002128F"/>
    <w:rsid w:val="000213E5"/>
    <w:rsid w:val="000216B6"/>
    <w:rsid w:val="00021957"/>
    <w:rsid w:val="0002198F"/>
    <w:rsid w:val="00021F81"/>
    <w:rsid w:val="0002201E"/>
    <w:rsid w:val="0002206B"/>
    <w:rsid w:val="00022282"/>
    <w:rsid w:val="00022C19"/>
    <w:rsid w:val="00023452"/>
    <w:rsid w:val="00023F22"/>
    <w:rsid w:val="00023F73"/>
    <w:rsid w:val="0002413D"/>
    <w:rsid w:val="000241BD"/>
    <w:rsid w:val="0002451D"/>
    <w:rsid w:val="00024884"/>
    <w:rsid w:val="00024B06"/>
    <w:rsid w:val="00024CE8"/>
    <w:rsid w:val="00024DA7"/>
    <w:rsid w:val="0002510C"/>
    <w:rsid w:val="0002512F"/>
    <w:rsid w:val="00025601"/>
    <w:rsid w:val="00025A0C"/>
    <w:rsid w:val="00025AEA"/>
    <w:rsid w:val="00025BDE"/>
    <w:rsid w:val="00025D78"/>
    <w:rsid w:val="00025F55"/>
    <w:rsid w:val="0002602C"/>
    <w:rsid w:val="00026051"/>
    <w:rsid w:val="000261A1"/>
    <w:rsid w:val="000263C0"/>
    <w:rsid w:val="000267C3"/>
    <w:rsid w:val="00026965"/>
    <w:rsid w:val="00026991"/>
    <w:rsid w:val="00026C27"/>
    <w:rsid w:val="00026C33"/>
    <w:rsid w:val="000274BF"/>
    <w:rsid w:val="0002758C"/>
    <w:rsid w:val="00027AB9"/>
    <w:rsid w:val="00027D3D"/>
    <w:rsid w:val="00027F6D"/>
    <w:rsid w:val="000306D5"/>
    <w:rsid w:val="00030946"/>
    <w:rsid w:val="000309A3"/>
    <w:rsid w:val="000309CB"/>
    <w:rsid w:val="00030E84"/>
    <w:rsid w:val="00031F92"/>
    <w:rsid w:val="000324B3"/>
    <w:rsid w:val="0003253F"/>
    <w:rsid w:val="00032894"/>
    <w:rsid w:val="00032952"/>
    <w:rsid w:val="000329CC"/>
    <w:rsid w:val="00032AAD"/>
    <w:rsid w:val="00032C20"/>
    <w:rsid w:val="0003329D"/>
    <w:rsid w:val="00033467"/>
    <w:rsid w:val="000334F0"/>
    <w:rsid w:val="0003364F"/>
    <w:rsid w:val="0003388F"/>
    <w:rsid w:val="00033C2B"/>
    <w:rsid w:val="00033EF7"/>
    <w:rsid w:val="00033F01"/>
    <w:rsid w:val="00034364"/>
    <w:rsid w:val="00034776"/>
    <w:rsid w:val="000347DC"/>
    <w:rsid w:val="0003492D"/>
    <w:rsid w:val="00034DF7"/>
    <w:rsid w:val="00034EE9"/>
    <w:rsid w:val="00034FCE"/>
    <w:rsid w:val="00034FD8"/>
    <w:rsid w:val="00035031"/>
    <w:rsid w:val="0003513A"/>
    <w:rsid w:val="00035213"/>
    <w:rsid w:val="0003528F"/>
    <w:rsid w:val="000356AD"/>
    <w:rsid w:val="000357B5"/>
    <w:rsid w:val="00035803"/>
    <w:rsid w:val="00035845"/>
    <w:rsid w:val="00035D69"/>
    <w:rsid w:val="00035D99"/>
    <w:rsid w:val="000360BA"/>
    <w:rsid w:val="000363CA"/>
    <w:rsid w:val="00036577"/>
    <w:rsid w:val="00036755"/>
    <w:rsid w:val="00036793"/>
    <w:rsid w:val="00036794"/>
    <w:rsid w:val="00036921"/>
    <w:rsid w:val="00036AF8"/>
    <w:rsid w:val="00036CE9"/>
    <w:rsid w:val="00037381"/>
    <w:rsid w:val="00037B0A"/>
    <w:rsid w:val="00040198"/>
    <w:rsid w:val="000402A9"/>
    <w:rsid w:val="0004043B"/>
    <w:rsid w:val="00040818"/>
    <w:rsid w:val="00040963"/>
    <w:rsid w:val="00040A9E"/>
    <w:rsid w:val="000413A7"/>
    <w:rsid w:val="000417B1"/>
    <w:rsid w:val="0004187D"/>
    <w:rsid w:val="00041A3E"/>
    <w:rsid w:val="000420CD"/>
    <w:rsid w:val="000421E4"/>
    <w:rsid w:val="000426CC"/>
    <w:rsid w:val="00042BE4"/>
    <w:rsid w:val="00042C4F"/>
    <w:rsid w:val="00042C79"/>
    <w:rsid w:val="00042E8D"/>
    <w:rsid w:val="00042ED9"/>
    <w:rsid w:val="00043476"/>
    <w:rsid w:val="000436D7"/>
    <w:rsid w:val="0004374E"/>
    <w:rsid w:val="000437BE"/>
    <w:rsid w:val="00043A42"/>
    <w:rsid w:val="00043BE9"/>
    <w:rsid w:val="00043D42"/>
    <w:rsid w:val="00043E2D"/>
    <w:rsid w:val="00043F0B"/>
    <w:rsid w:val="00043F52"/>
    <w:rsid w:val="00044199"/>
    <w:rsid w:val="0004430F"/>
    <w:rsid w:val="000444DC"/>
    <w:rsid w:val="0004453E"/>
    <w:rsid w:val="00044744"/>
    <w:rsid w:val="00044758"/>
    <w:rsid w:val="0004497C"/>
    <w:rsid w:val="00044BBA"/>
    <w:rsid w:val="00044C6D"/>
    <w:rsid w:val="00044C7F"/>
    <w:rsid w:val="00044D8E"/>
    <w:rsid w:val="00045240"/>
    <w:rsid w:val="0004531A"/>
    <w:rsid w:val="0004564A"/>
    <w:rsid w:val="00045808"/>
    <w:rsid w:val="00045B27"/>
    <w:rsid w:val="00045EEF"/>
    <w:rsid w:val="00045F13"/>
    <w:rsid w:val="000463D6"/>
    <w:rsid w:val="0004668D"/>
    <w:rsid w:val="00046E70"/>
    <w:rsid w:val="00047114"/>
    <w:rsid w:val="0004734D"/>
    <w:rsid w:val="0004740D"/>
    <w:rsid w:val="00047448"/>
    <w:rsid w:val="0004783B"/>
    <w:rsid w:val="0004785E"/>
    <w:rsid w:val="00047AF7"/>
    <w:rsid w:val="00047B57"/>
    <w:rsid w:val="00047F2B"/>
    <w:rsid w:val="00047F8B"/>
    <w:rsid w:val="000500D6"/>
    <w:rsid w:val="0005066E"/>
    <w:rsid w:val="00050B83"/>
    <w:rsid w:val="00050CA4"/>
    <w:rsid w:val="00050DF5"/>
    <w:rsid w:val="000510D9"/>
    <w:rsid w:val="00051396"/>
    <w:rsid w:val="00051C99"/>
    <w:rsid w:val="0005252C"/>
    <w:rsid w:val="0005253F"/>
    <w:rsid w:val="0005289A"/>
    <w:rsid w:val="00052930"/>
    <w:rsid w:val="00052982"/>
    <w:rsid w:val="00052AF0"/>
    <w:rsid w:val="00052B73"/>
    <w:rsid w:val="00052C16"/>
    <w:rsid w:val="00052DE8"/>
    <w:rsid w:val="00052F39"/>
    <w:rsid w:val="00053090"/>
    <w:rsid w:val="000531FD"/>
    <w:rsid w:val="000534E4"/>
    <w:rsid w:val="00053854"/>
    <w:rsid w:val="0005394F"/>
    <w:rsid w:val="00053C04"/>
    <w:rsid w:val="00053CBE"/>
    <w:rsid w:val="00053CF1"/>
    <w:rsid w:val="00053D0C"/>
    <w:rsid w:val="00053F23"/>
    <w:rsid w:val="000540CB"/>
    <w:rsid w:val="0005415E"/>
    <w:rsid w:val="000541E6"/>
    <w:rsid w:val="00054251"/>
    <w:rsid w:val="0005447B"/>
    <w:rsid w:val="00054814"/>
    <w:rsid w:val="00054A45"/>
    <w:rsid w:val="00054B7A"/>
    <w:rsid w:val="00055061"/>
    <w:rsid w:val="000551C3"/>
    <w:rsid w:val="00055247"/>
    <w:rsid w:val="0005547E"/>
    <w:rsid w:val="000554D4"/>
    <w:rsid w:val="00055824"/>
    <w:rsid w:val="000559CD"/>
    <w:rsid w:val="000559F5"/>
    <w:rsid w:val="00055C6A"/>
    <w:rsid w:val="00055D0E"/>
    <w:rsid w:val="000562C4"/>
    <w:rsid w:val="000566A9"/>
    <w:rsid w:val="00056A2E"/>
    <w:rsid w:val="00056E74"/>
    <w:rsid w:val="00057229"/>
    <w:rsid w:val="0005726D"/>
    <w:rsid w:val="00057539"/>
    <w:rsid w:val="00057547"/>
    <w:rsid w:val="00057727"/>
    <w:rsid w:val="000577AE"/>
    <w:rsid w:val="0005780B"/>
    <w:rsid w:val="00057951"/>
    <w:rsid w:val="000579FB"/>
    <w:rsid w:val="00057A0E"/>
    <w:rsid w:val="00057BA0"/>
    <w:rsid w:val="00057DF4"/>
    <w:rsid w:val="00057E4F"/>
    <w:rsid w:val="000601E6"/>
    <w:rsid w:val="000606BD"/>
    <w:rsid w:val="00060897"/>
    <w:rsid w:val="000608FE"/>
    <w:rsid w:val="00060A92"/>
    <w:rsid w:val="00060D1C"/>
    <w:rsid w:val="00060D1F"/>
    <w:rsid w:val="00060F48"/>
    <w:rsid w:val="0006106F"/>
    <w:rsid w:val="00061359"/>
    <w:rsid w:val="0006150A"/>
    <w:rsid w:val="0006158B"/>
    <w:rsid w:val="00061A1E"/>
    <w:rsid w:val="00061B2A"/>
    <w:rsid w:val="00062407"/>
    <w:rsid w:val="00062734"/>
    <w:rsid w:val="00062DF5"/>
    <w:rsid w:val="00063936"/>
    <w:rsid w:val="00063A08"/>
    <w:rsid w:val="00063D50"/>
    <w:rsid w:val="00064055"/>
    <w:rsid w:val="0006447D"/>
    <w:rsid w:val="0006449E"/>
    <w:rsid w:val="000644F7"/>
    <w:rsid w:val="00064C4A"/>
    <w:rsid w:val="00064C4E"/>
    <w:rsid w:val="0006514B"/>
    <w:rsid w:val="00065B4D"/>
    <w:rsid w:val="00065DAD"/>
    <w:rsid w:val="000661A6"/>
    <w:rsid w:val="000662E3"/>
    <w:rsid w:val="00066D91"/>
    <w:rsid w:val="00070033"/>
    <w:rsid w:val="000707C5"/>
    <w:rsid w:val="000707C7"/>
    <w:rsid w:val="0007087A"/>
    <w:rsid w:val="000708BF"/>
    <w:rsid w:val="00070D9E"/>
    <w:rsid w:val="00070F75"/>
    <w:rsid w:val="0007106D"/>
    <w:rsid w:val="0007128A"/>
    <w:rsid w:val="00071359"/>
    <w:rsid w:val="00071420"/>
    <w:rsid w:val="000719AD"/>
    <w:rsid w:val="00071F9B"/>
    <w:rsid w:val="0007206B"/>
    <w:rsid w:val="00072114"/>
    <w:rsid w:val="000722B3"/>
    <w:rsid w:val="0007237E"/>
    <w:rsid w:val="00072473"/>
    <w:rsid w:val="000725EA"/>
    <w:rsid w:val="00072909"/>
    <w:rsid w:val="000729F2"/>
    <w:rsid w:val="00072A79"/>
    <w:rsid w:val="00072CA9"/>
    <w:rsid w:val="0007307D"/>
    <w:rsid w:val="00073131"/>
    <w:rsid w:val="00073385"/>
    <w:rsid w:val="000734B7"/>
    <w:rsid w:val="00073687"/>
    <w:rsid w:val="0007406B"/>
    <w:rsid w:val="0007413D"/>
    <w:rsid w:val="0007426B"/>
    <w:rsid w:val="0007429A"/>
    <w:rsid w:val="00074C85"/>
    <w:rsid w:val="00074FC0"/>
    <w:rsid w:val="000752F4"/>
    <w:rsid w:val="000754CB"/>
    <w:rsid w:val="000758E6"/>
    <w:rsid w:val="000759DE"/>
    <w:rsid w:val="00075CB9"/>
    <w:rsid w:val="00075F39"/>
    <w:rsid w:val="00076778"/>
    <w:rsid w:val="00076975"/>
    <w:rsid w:val="00076AC0"/>
    <w:rsid w:val="00076B86"/>
    <w:rsid w:val="00076E09"/>
    <w:rsid w:val="00076E9B"/>
    <w:rsid w:val="00076F68"/>
    <w:rsid w:val="0007727A"/>
    <w:rsid w:val="00077774"/>
    <w:rsid w:val="000778A4"/>
    <w:rsid w:val="00080397"/>
    <w:rsid w:val="0008079C"/>
    <w:rsid w:val="00080875"/>
    <w:rsid w:val="000809F3"/>
    <w:rsid w:val="00080A96"/>
    <w:rsid w:val="00080AFC"/>
    <w:rsid w:val="00080BB8"/>
    <w:rsid w:val="00080E43"/>
    <w:rsid w:val="00080EAE"/>
    <w:rsid w:val="00080F45"/>
    <w:rsid w:val="00080FEE"/>
    <w:rsid w:val="00081D7B"/>
    <w:rsid w:val="000820FA"/>
    <w:rsid w:val="0008220B"/>
    <w:rsid w:val="000825F8"/>
    <w:rsid w:val="0008264E"/>
    <w:rsid w:val="000827AE"/>
    <w:rsid w:val="00082AC0"/>
    <w:rsid w:val="00082D41"/>
    <w:rsid w:val="00082E4B"/>
    <w:rsid w:val="000832EC"/>
    <w:rsid w:val="000834AB"/>
    <w:rsid w:val="000836BE"/>
    <w:rsid w:val="000836E2"/>
    <w:rsid w:val="000836FA"/>
    <w:rsid w:val="00084143"/>
    <w:rsid w:val="00084649"/>
    <w:rsid w:val="00084850"/>
    <w:rsid w:val="00084AD7"/>
    <w:rsid w:val="00084FA4"/>
    <w:rsid w:val="0008509D"/>
    <w:rsid w:val="00085138"/>
    <w:rsid w:val="00085A27"/>
    <w:rsid w:val="0008607E"/>
    <w:rsid w:val="000861FF"/>
    <w:rsid w:val="0008675F"/>
    <w:rsid w:val="00086A5F"/>
    <w:rsid w:val="00086EAF"/>
    <w:rsid w:val="00087169"/>
    <w:rsid w:val="00087234"/>
    <w:rsid w:val="00087275"/>
    <w:rsid w:val="000873CC"/>
    <w:rsid w:val="00087D66"/>
    <w:rsid w:val="00087E9A"/>
    <w:rsid w:val="000902B8"/>
    <w:rsid w:val="000904FD"/>
    <w:rsid w:val="00090D93"/>
    <w:rsid w:val="00090EB2"/>
    <w:rsid w:val="0009114A"/>
    <w:rsid w:val="0009133B"/>
    <w:rsid w:val="000913BF"/>
    <w:rsid w:val="000915BE"/>
    <w:rsid w:val="000915E7"/>
    <w:rsid w:val="0009168B"/>
    <w:rsid w:val="00091E04"/>
    <w:rsid w:val="00091FD6"/>
    <w:rsid w:val="000920AF"/>
    <w:rsid w:val="000924FF"/>
    <w:rsid w:val="000928B8"/>
    <w:rsid w:val="0009295F"/>
    <w:rsid w:val="00092A83"/>
    <w:rsid w:val="00092FB3"/>
    <w:rsid w:val="00093084"/>
    <w:rsid w:val="0009325B"/>
    <w:rsid w:val="00093445"/>
    <w:rsid w:val="00093674"/>
    <w:rsid w:val="000939AF"/>
    <w:rsid w:val="00093AF8"/>
    <w:rsid w:val="00093CDB"/>
    <w:rsid w:val="00093D75"/>
    <w:rsid w:val="00093D7D"/>
    <w:rsid w:val="00093F05"/>
    <w:rsid w:val="00093F50"/>
    <w:rsid w:val="0009401A"/>
    <w:rsid w:val="000941F4"/>
    <w:rsid w:val="000943F4"/>
    <w:rsid w:val="000946B2"/>
    <w:rsid w:val="00094949"/>
    <w:rsid w:val="00094AB5"/>
    <w:rsid w:val="00094C69"/>
    <w:rsid w:val="0009500A"/>
    <w:rsid w:val="00095192"/>
    <w:rsid w:val="000951E7"/>
    <w:rsid w:val="000952BD"/>
    <w:rsid w:val="00095B20"/>
    <w:rsid w:val="00095E0A"/>
    <w:rsid w:val="00096244"/>
    <w:rsid w:val="00096256"/>
    <w:rsid w:val="00096D91"/>
    <w:rsid w:val="00096F62"/>
    <w:rsid w:val="00096FE4"/>
    <w:rsid w:val="000975E8"/>
    <w:rsid w:val="0009788C"/>
    <w:rsid w:val="00097C52"/>
    <w:rsid w:val="00097FC4"/>
    <w:rsid w:val="000A037E"/>
    <w:rsid w:val="000A0536"/>
    <w:rsid w:val="000A079A"/>
    <w:rsid w:val="000A0B3F"/>
    <w:rsid w:val="000A0B82"/>
    <w:rsid w:val="000A0F19"/>
    <w:rsid w:val="000A0F8F"/>
    <w:rsid w:val="000A144C"/>
    <w:rsid w:val="000A18D2"/>
    <w:rsid w:val="000A1A1C"/>
    <w:rsid w:val="000A1AAE"/>
    <w:rsid w:val="000A1ACB"/>
    <w:rsid w:val="000A1BD8"/>
    <w:rsid w:val="000A1BFB"/>
    <w:rsid w:val="000A1E70"/>
    <w:rsid w:val="000A1E9A"/>
    <w:rsid w:val="000A1F75"/>
    <w:rsid w:val="000A30F5"/>
    <w:rsid w:val="000A312B"/>
    <w:rsid w:val="000A392D"/>
    <w:rsid w:val="000A3AF3"/>
    <w:rsid w:val="000A3C3F"/>
    <w:rsid w:val="000A3DEF"/>
    <w:rsid w:val="000A3FC7"/>
    <w:rsid w:val="000A4120"/>
    <w:rsid w:val="000A4200"/>
    <w:rsid w:val="000A4228"/>
    <w:rsid w:val="000A4B0E"/>
    <w:rsid w:val="000A4DB5"/>
    <w:rsid w:val="000A4E2B"/>
    <w:rsid w:val="000A4EED"/>
    <w:rsid w:val="000A4F90"/>
    <w:rsid w:val="000A4FE6"/>
    <w:rsid w:val="000A5061"/>
    <w:rsid w:val="000A50A9"/>
    <w:rsid w:val="000A51EC"/>
    <w:rsid w:val="000A52F0"/>
    <w:rsid w:val="000A5509"/>
    <w:rsid w:val="000A56A5"/>
    <w:rsid w:val="000A605C"/>
    <w:rsid w:val="000A63CB"/>
    <w:rsid w:val="000A6522"/>
    <w:rsid w:val="000A6853"/>
    <w:rsid w:val="000A6B08"/>
    <w:rsid w:val="000A6CB6"/>
    <w:rsid w:val="000A6E7D"/>
    <w:rsid w:val="000A702A"/>
    <w:rsid w:val="000A70A5"/>
    <w:rsid w:val="000A7C05"/>
    <w:rsid w:val="000A7D86"/>
    <w:rsid w:val="000B010B"/>
    <w:rsid w:val="000B07FA"/>
    <w:rsid w:val="000B0A52"/>
    <w:rsid w:val="000B1073"/>
    <w:rsid w:val="000B1766"/>
    <w:rsid w:val="000B19F1"/>
    <w:rsid w:val="000B23C5"/>
    <w:rsid w:val="000B2408"/>
    <w:rsid w:val="000B2481"/>
    <w:rsid w:val="000B25E9"/>
    <w:rsid w:val="000B28BF"/>
    <w:rsid w:val="000B2E2A"/>
    <w:rsid w:val="000B315A"/>
    <w:rsid w:val="000B35CC"/>
    <w:rsid w:val="000B3642"/>
    <w:rsid w:val="000B3B62"/>
    <w:rsid w:val="000B3F03"/>
    <w:rsid w:val="000B4137"/>
    <w:rsid w:val="000B4709"/>
    <w:rsid w:val="000B4B74"/>
    <w:rsid w:val="000B4DCD"/>
    <w:rsid w:val="000B4DF3"/>
    <w:rsid w:val="000B4E70"/>
    <w:rsid w:val="000B51F2"/>
    <w:rsid w:val="000B53BA"/>
    <w:rsid w:val="000B5454"/>
    <w:rsid w:val="000B5713"/>
    <w:rsid w:val="000B5807"/>
    <w:rsid w:val="000B5B13"/>
    <w:rsid w:val="000B5B7C"/>
    <w:rsid w:val="000B5F7B"/>
    <w:rsid w:val="000B63D6"/>
    <w:rsid w:val="000B6BD5"/>
    <w:rsid w:val="000B6DB5"/>
    <w:rsid w:val="000B7395"/>
    <w:rsid w:val="000B74CB"/>
    <w:rsid w:val="000B7F3C"/>
    <w:rsid w:val="000B7F76"/>
    <w:rsid w:val="000B7F98"/>
    <w:rsid w:val="000C00BF"/>
    <w:rsid w:val="000C0150"/>
    <w:rsid w:val="000C01A9"/>
    <w:rsid w:val="000C0237"/>
    <w:rsid w:val="000C02AC"/>
    <w:rsid w:val="000C037F"/>
    <w:rsid w:val="000C0F77"/>
    <w:rsid w:val="000C1209"/>
    <w:rsid w:val="000C17BD"/>
    <w:rsid w:val="000C1BB7"/>
    <w:rsid w:val="000C1D9C"/>
    <w:rsid w:val="000C2143"/>
    <w:rsid w:val="000C22AF"/>
    <w:rsid w:val="000C29C2"/>
    <w:rsid w:val="000C2A0A"/>
    <w:rsid w:val="000C2C89"/>
    <w:rsid w:val="000C2EEB"/>
    <w:rsid w:val="000C33C9"/>
    <w:rsid w:val="000C350D"/>
    <w:rsid w:val="000C3530"/>
    <w:rsid w:val="000C3598"/>
    <w:rsid w:val="000C387C"/>
    <w:rsid w:val="000C3B90"/>
    <w:rsid w:val="000C3DDE"/>
    <w:rsid w:val="000C3F48"/>
    <w:rsid w:val="000C41D8"/>
    <w:rsid w:val="000C4535"/>
    <w:rsid w:val="000C4972"/>
    <w:rsid w:val="000C4AE2"/>
    <w:rsid w:val="000C4B70"/>
    <w:rsid w:val="000C52A3"/>
    <w:rsid w:val="000C532F"/>
    <w:rsid w:val="000C538F"/>
    <w:rsid w:val="000C5450"/>
    <w:rsid w:val="000C5B6D"/>
    <w:rsid w:val="000C5FDB"/>
    <w:rsid w:val="000C62AD"/>
    <w:rsid w:val="000C630A"/>
    <w:rsid w:val="000C66CA"/>
    <w:rsid w:val="000C6AEC"/>
    <w:rsid w:val="000C6BE0"/>
    <w:rsid w:val="000C7118"/>
    <w:rsid w:val="000C723B"/>
    <w:rsid w:val="000C73EC"/>
    <w:rsid w:val="000C7939"/>
    <w:rsid w:val="000C79A0"/>
    <w:rsid w:val="000C7AD2"/>
    <w:rsid w:val="000C7D53"/>
    <w:rsid w:val="000C7F00"/>
    <w:rsid w:val="000D0129"/>
    <w:rsid w:val="000D012F"/>
    <w:rsid w:val="000D03C1"/>
    <w:rsid w:val="000D046B"/>
    <w:rsid w:val="000D04C8"/>
    <w:rsid w:val="000D0788"/>
    <w:rsid w:val="000D0E94"/>
    <w:rsid w:val="000D0F21"/>
    <w:rsid w:val="000D12CC"/>
    <w:rsid w:val="000D1825"/>
    <w:rsid w:val="000D1CF9"/>
    <w:rsid w:val="000D1DDC"/>
    <w:rsid w:val="000D21EB"/>
    <w:rsid w:val="000D26CB"/>
    <w:rsid w:val="000D2CA7"/>
    <w:rsid w:val="000D2E10"/>
    <w:rsid w:val="000D2FD2"/>
    <w:rsid w:val="000D32F1"/>
    <w:rsid w:val="000D3787"/>
    <w:rsid w:val="000D39FF"/>
    <w:rsid w:val="000D4C90"/>
    <w:rsid w:val="000D4FA6"/>
    <w:rsid w:val="000D514B"/>
    <w:rsid w:val="000D51D6"/>
    <w:rsid w:val="000D51E7"/>
    <w:rsid w:val="000D534B"/>
    <w:rsid w:val="000D5A01"/>
    <w:rsid w:val="000D5A78"/>
    <w:rsid w:val="000D5F56"/>
    <w:rsid w:val="000D62E2"/>
    <w:rsid w:val="000D63CD"/>
    <w:rsid w:val="000D65C2"/>
    <w:rsid w:val="000D65F8"/>
    <w:rsid w:val="000D67D5"/>
    <w:rsid w:val="000D67ED"/>
    <w:rsid w:val="000D691F"/>
    <w:rsid w:val="000D6CF8"/>
    <w:rsid w:val="000D6DCE"/>
    <w:rsid w:val="000D731E"/>
    <w:rsid w:val="000D7715"/>
    <w:rsid w:val="000D79AC"/>
    <w:rsid w:val="000D7DE8"/>
    <w:rsid w:val="000D7F59"/>
    <w:rsid w:val="000E0082"/>
    <w:rsid w:val="000E015B"/>
    <w:rsid w:val="000E07DC"/>
    <w:rsid w:val="000E0CBD"/>
    <w:rsid w:val="000E0D89"/>
    <w:rsid w:val="000E0F5E"/>
    <w:rsid w:val="000E1131"/>
    <w:rsid w:val="000E12B9"/>
    <w:rsid w:val="000E12E5"/>
    <w:rsid w:val="000E1479"/>
    <w:rsid w:val="000E180A"/>
    <w:rsid w:val="000E1AAB"/>
    <w:rsid w:val="000E24EA"/>
    <w:rsid w:val="000E2A32"/>
    <w:rsid w:val="000E2C01"/>
    <w:rsid w:val="000E2EC9"/>
    <w:rsid w:val="000E3060"/>
    <w:rsid w:val="000E313A"/>
    <w:rsid w:val="000E34D6"/>
    <w:rsid w:val="000E36F3"/>
    <w:rsid w:val="000E3AEC"/>
    <w:rsid w:val="000E3CA1"/>
    <w:rsid w:val="000E3DDA"/>
    <w:rsid w:val="000E3FF6"/>
    <w:rsid w:val="000E4011"/>
    <w:rsid w:val="000E423A"/>
    <w:rsid w:val="000E4256"/>
    <w:rsid w:val="000E429C"/>
    <w:rsid w:val="000E44CA"/>
    <w:rsid w:val="000E4691"/>
    <w:rsid w:val="000E4CDC"/>
    <w:rsid w:val="000E55B3"/>
    <w:rsid w:val="000E5733"/>
    <w:rsid w:val="000E57F9"/>
    <w:rsid w:val="000E5833"/>
    <w:rsid w:val="000E5AEA"/>
    <w:rsid w:val="000E5B17"/>
    <w:rsid w:val="000E5FAD"/>
    <w:rsid w:val="000E66EF"/>
    <w:rsid w:val="000E72A3"/>
    <w:rsid w:val="000E74AF"/>
    <w:rsid w:val="000E752B"/>
    <w:rsid w:val="000E76B3"/>
    <w:rsid w:val="000E7820"/>
    <w:rsid w:val="000E7853"/>
    <w:rsid w:val="000E7BD7"/>
    <w:rsid w:val="000E7C35"/>
    <w:rsid w:val="000E7CE9"/>
    <w:rsid w:val="000F00F7"/>
    <w:rsid w:val="000F04F3"/>
    <w:rsid w:val="000F07E1"/>
    <w:rsid w:val="000F0AA4"/>
    <w:rsid w:val="000F0D24"/>
    <w:rsid w:val="000F0E64"/>
    <w:rsid w:val="000F0E6A"/>
    <w:rsid w:val="000F13CF"/>
    <w:rsid w:val="000F170B"/>
    <w:rsid w:val="000F17AD"/>
    <w:rsid w:val="000F1999"/>
    <w:rsid w:val="000F1ACE"/>
    <w:rsid w:val="000F1F3C"/>
    <w:rsid w:val="000F2367"/>
    <w:rsid w:val="000F2434"/>
    <w:rsid w:val="000F2C41"/>
    <w:rsid w:val="000F2D58"/>
    <w:rsid w:val="000F3175"/>
    <w:rsid w:val="000F3309"/>
    <w:rsid w:val="000F3387"/>
    <w:rsid w:val="000F344B"/>
    <w:rsid w:val="000F3471"/>
    <w:rsid w:val="000F3491"/>
    <w:rsid w:val="000F3675"/>
    <w:rsid w:val="000F38D5"/>
    <w:rsid w:val="000F39DB"/>
    <w:rsid w:val="000F3AAD"/>
    <w:rsid w:val="000F3E0A"/>
    <w:rsid w:val="000F4176"/>
    <w:rsid w:val="000F426A"/>
    <w:rsid w:val="000F426E"/>
    <w:rsid w:val="000F4A8B"/>
    <w:rsid w:val="000F4B3D"/>
    <w:rsid w:val="000F4BDF"/>
    <w:rsid w:val="000F4C59"/>
    <w:rsid w:val="000F4C64"/>
    <w:rsid w:val="000F4CB1"/>
    <w:rsid w:val="000F502F"/>
    <w:rsid w:val="000F5256"/>
    <w:rsid w:val="000F587B"/>
    <w:rsid w:val="000F5A01"/>
    <w:rsid w:val="000F5C17"/>
    <w:rsid w:val="000F609A"/>
    <w:rsid w:val="000F6145"/>
    <w:rsid w:val="000F645A"/>
    <w:rsid w:val="000F67BE"/>
    <w:rsid w:val="000F68A0"/>
    <w:rsid w:val="000F6B18"/>
    <w:rsid w:val="000F6B26"/>
    <w:rsid w:val="000F6B76"/>
    <w:rsid w:val="000F6D23"/>
    <w:rsid w:val="000F6D2F"/>
    <w:rsid w:val="000F6E9F"/>
    <w:rsid w:val="000F6F16"/>
    <w:rsid w:val="000F7072"/>
    <w:rsid w:val="000F7577"/>
    <w:rsid w:val="000F7841"/>
    <w:rsid w:val="000F7910"/>
    <w:rsid w:val="000F7B61"/>
    <w:rsid w:val="000F7BEE"/>
    <w:rsid w:val="000F7CDD"/>
    <w:rsid w:val="000F7D5D"/>
    <w:rsid w:val="000F7DE9"/>
    <w:rsid w:val="000F7DED"/>
    <w:rsid w:val="00100082"/>
    <w:rsid w:val="001002E2"/>
    <w:rsid w:val="0010045C"/>
    <w:rsid w:val="001004DA"/>
    <w:rsid w:val="001008B3"/>
    <w:rsid w:val="001008F2"/>
    <w:rsid w:val="00100A14"/>
    <w:rsid w:val="00100CBE"/>
    <w:rsid w:val="00100DA5"/>
    <w:rsid w:val="00100DFC"/>
    <w:rsid w:val="00100FB7"/>
    <w:rsid w:val="001014A3"/>
    <w:rsid w:val="0010156F"/>
    <w:rsid w:val="00101CDD"/>
    <w:rsid w:val="001022CA"/>
    <w:rsid w:val="0010261D"/>
    <w:rsid w:val="00102C8F"/>
    <w:rsid w:val="001030E7"/>
    <w:rsid w:val="001032BF"/>
    <w:rsid w:val="00103617"/>
    <w:rsid w:val="001036CF"/>
    <w:rsid w:val="00103963"/>
    <w:rsid w:val="00103968"/>
    <w:rsid w:val="00103AD3"/>
    <w:rsid w:val="00103CEA"/>
    <w:rsid w:val="001048D1"/>
    <w:rsid w:val="0010499D"/>
    <w:rsid w:val="00104ED5"/>
    <w:rsid w:val="00105177"/>
    <w:rsid w:val="0010536B"/>
    <w:rsid w:val="0010555B"/>
    <w:rsid w:val="0010598D"/>
    <w:rsid w:val="00105A59"/>
    <w:rsid w:val="00105E64"/>
    <w:rsid w:val="00105F02"/>
    <w:rsid w:val="001064A3"/>
    <w:rsid w:val="001065B1"/>
    <w:rsid w:val="001067B9"/>
    <w:rsid w:val="001069B3"/>
    <w:rsid w:val="00106B0A"/>
    <w:rsid w:val="00106EA5"/>
    <w:rsid w:val="00107172"/>
    <w:rsid w:val="0010726B"/>
    <w:rsid w:val="0010738D"/>
    <w:rsid w:val="00107444"/>
    <w:rsid w:val="00107A7F"/>
    <w:rsid w:val="00107A8B"/>
    <w:rsid w:val="00107E68"/>
    <w:rsid w:val="001100D0"/>
    <w:rsid w:val="00110303"/>
    <w:rsid w:val="00110362"/>
    <w:rsid w:val="00110689"/>
    <w:rsid w:val="00110784"/>
    <w:rsid w:val="00111130"/>
    <w:rsid w:val="0011114B"/>
    <w:rsid w:val="0011116C"/>
    <w:rsid w:val="00111253"/>
    <w:rsid w:val="0011162F"/>
    <w:rsid w:val="001119C8"/>
    <w:rsid w:val="00111A2C"/>
    <w:rsid w:val="00111B6F"/>
    <w:rsid w:val="00111B9D"/>
    <w:rsid w:val="00112205"/>
    <w:rsid w:val="00112285"/>
    <w:rsid w:val="00112372"/>
    <w:rsid w:val="001128C5"/>
    <w:rsid w:val="00112A18"/>
    <w:rsid w:val="00112FE7"/>
    <w:rsid w:val="0011316F"/>
    <w:rsid w:val="00113286"/>
    <w:rsid w:val="00113449"/>
    <w:rsid w:val="001134CA"/>
    <w:rsid w:val="001137D3"/>
    <w:rsid w:val="0011404C"/>
    <w:rsid w:val="00114146"/>
    <w:rsid w:val="00114876"/>
    <w:rsid w:val="00114ADB"/>
    <w:rsid w:val="00114C06"/>
    <w:rsid w:val="00114D63"/>
    <w:rsid w:val="00114E38"/>
    <w:rsid w:val="0011561F"/>
    <w:rsid w:val="001158C9"/>
    <w:rsid w:val="00115918"/>
    <w:rsid w:val="00115A60"/>
    <w:rsid w:val="00115AC4"/>
    <w:rsid w:val="00115CD5"/>
    <w:rsid w:val="00115E1C"/>
    <w:rsid w:val="00115FDD"/>
    <w:rsid w:val="00116197"/>
    <w:rsid w:val="00116756"/>
    <w:rsid w:val="001168B8"/>
    <w:rsid w:val="0011699E"/>
    <w:rsid w:val="001169E8"/>
    <w:rsid w:val="00116DA0"/>
    <w:rsid w:val="0011726B"/>
    <w:rsid w:val="00117391"/>
    <w:rsid w:val="00117C58"/>
    <w:rsid w:val="0012032E"/>
    <w:rsid w:val="001206A0"/>
    <w:rsid w:val="00120820"/>
    <w:rsid w:val="00120C47"/>
    <w:rsid w:val="00120EDC"/>
    <w:rsid w:val="00121379"/>
    <w:rsid w:val="001213B5"/>
    <w:rsid w:val="0012145F"/>
    <w:rsid w:val="00121BB7"/>
    <w:rsid w:val="00122775"/>
    <w:rsid w:val="00122FAB"/>
    <w:rsid w:val="0012302D"/>
    <w:rsid w:val="00123080"/>
    <w:rsid w:val="001235D2"/>
    <w:rsid w:val="001238A2"/>
    <w:rsid w:val="00123BFE"/>
    <w:rsid w:val="00123D4A"/>
    <w:rsid w:val="001240C2"/>
    <w:rsid w:val="001242EE"/>
    <w:rsid w:val="00124573"/>
    <w:rsid w:val="0012460E"/>
    <w:rsid w:val="00124B76"/>
    <w:rsid w:val="00124BA2"/>
    <w:rsid w:val="001253AE"/>
    <w:rsid w:val="00125729"/>
    <w:rsid w:val="00125830"/>
    <w:rsid w:val="00125982"/>
    <w:rsid w:val="00125C5E"/>
    <w:rsid w:val="0012647D"/>
    <w:rsid w:val="0012684D"/>
    <w:rsid w:val="00126B9F"/>
    <w:rsid w:val="00126DC9"/>
    <w:rsid w:val="001270FF"/>
    <w:rsid w:val="001274B0"/>
    <w:rsid w:val="0012777B"/>
    <w:rsid w:val="001279E1"/>
    <w:rsid w:val="00127BFA"/>
    <w:rsid w:val="00130046"/>
    <w:rsid w:val="00130154"/>
    <w:rsid w:val="001301A9"/>
    <w:rsid w:val="00130322"/>
    <w:rsid w:val="00130444"/>
    <w:rsid w:val="001308DF"/>
    <w:rsid w:val="001309C9"/>
    <w:rsid w:val="00130AF5"/>
    <w:rsid w:val="00130BB9"/>
    <w:rsid w:val="00130C70"/>
    <w:rsid w:val="00130D91"/>
    <w:rsid w:val="001310E1"/>
    <w:rsid w:val="001311A1"/>
    <w:rsid w:val="001312B9"/>
    <w:rsid w:val="001312C4"/>
    <w:rsid w:val="00131591"/>
    <w:rsid w:val="0013174F"/>
    <w:rsid w:val="00131B5B"/>
    <w:rsid w:val="0013209B"/>
    <w:rsid w:val="001328F6"/>
    <w:rsid w:val="00132D7D"/>
    <w:rsid w:val="001331A4"/>
    <w:rsid w:val="001331D1"/>
    <w:rsid w:val="001332D0"/>
    <w:rsid w:val="00133315"/>
    <w:rsid w:val="00133702"/>
    <w:rsid w:val="001337CB"/>
    <w:rsid w:val="00133BFB"/>
    <w:rsid w:val="00133D6E"/>
    <w:rsid w:val="001344A1"/>
    <w:rsid w:val="00134B31"/>
    <w:rsid w:val="00134E19"/>
    <w:rsid w:val="001352A9"/>
    <w:rsid w:val="001352F3"/>
    <w:rsid w:val="001354B2"/>
    <w:rsid w:val="00135623"/>
    <w:rsid w:val="00135CF9"/>
    <w:rsid w:val="00136130"/>
    <w:rsid w:val="00136160"/>
    <w:rsid w:val="00136450"/>
    <w:rsid w:val="0013668D"/>
    <w:rsid w:val="0013683F"/>
    <w:rsid w:val="00136923"/>
    <w:rsid w:val="00136BA6"/>
    <w:rsid w:val="00136EF9"/>
    <w:rsid w:val="001374BD"/>
    <w:rsid w:val="001378AF"/>
    <w:rsid w:val="00137A36"/>
    <w:rsid w:val="00137E01"/>
    <w:rsid w:val="00137EF6"/>
    <w:rsid w:val="0014008D"/>
    <w:rsid w:val="00140446"/>
    <w:rsid w:val="00140549"/>
    <w:rsid w:val="00140A92"/>
    <w:rsid w:val="00140AC2"/>
    <w:rsid w:val="001413DA"/>
    <w:rsid w:val="00141433"/>
    <w:rsid w:val="00141642"/>
    <w:rsid w:val="00141856"/>
    <w:rsid w:val="0014187D"/>
    <w:rsid w:val="001418B3"/>
    <w:rsid w:val="001419FA"/>
    <w:rsid w:val="00141CC1"/>
    <w:rsid w:val="00141EA7"/>
    <w:rsid w:val="001420A7"/>
    <w:rsid w:val="001422F4"/>
    <w:rsid w:val="0014242A"/>
    <w:rsid w:val="001424C1"/>
    <w:rsid w:val="001424D3"/>
    <w:rsid w:val="00142CB1"/>
    <w:rsid w:val="00142EC1"/>
    <w:rsid w:val="001430F7"/>
    <w:rsid w:val="00143620"/>
    <w:rsid w:val="0014365C"/>
    <w:rsid w:val="00143FE7"/>
    <w:rsid w:val="001440E8"/>
    <w:rsid w:val="0014440D"/>
    <w:rsid w:val="001444E0"/>
    <w:rsid w:val="001445E0"/>
    <w:rsid w:val="001446EE"/>
    <w:rsid w:val="001446FD"/>
    <w:rsid w:val="001448FF"/>
    <w:rsid w:val="00144BA7"/>
    <w:rsid w:val="00144C13"/>
    <w:rsid w:val="00144C38"/>
    <w:rsid w:val="001453A9"/>
    <w:rsid w:val="0014581B"/>
    <w:rsid w:val="001458EF"/>
    <w:rsid w:val="00145AA8"/>
    <w:rsid w:val="00145BB0"/>
    <w:rsid w:val="00145D18"/>
    <w:rsid w:val="00145D9E"/>
    <w:rsid w:val="00145DB1"/>
    <w:rsid w:val="00145EF0"/>
    <w:rsid w:val="0014611A"/>
    <w:rsid w:val="00146169"/>
    <w:rsid w:val="0014619C"/>
    <w:rsid w:val="001462CD"/>
    <w:rsid w:val="00146336"/>
    <w:rsid w:val="00146337"/>
    <w:rsid w:val="001463A3"/>
    <w:rsid w:val="001465B3"/>
    <w:rsid w:val="00146A03"/>
    <w:rsid w:val="00146CCA"/>
    <w:rsid w:val="001470FF"/>
    <w:rsid w:val="001475CF"/>
    <w:rsid w:val="001475EB"/>
    <w:rsid w:val="00147761"/>
    <w:rsid w:val="00147FCF"/>
    <w:rsid w:val="00150299"/>
    <w:rsid w:val="0015096C"/>
    <w:rsid w:val="00150C2D"/>
    <w:rsid w:val="00150E04"/>
    <w:rsid w:val="00150F31"/>
    <w:rsid w:val="00151172"/>
    <w:rsid w:val="0015130A"/>
    <w:rsid w:val="00151493"/>
    <w:rsid w:val="00151963"/>
    <w:rsid w:val="00151A16"/>
    <w:rsid w:val="00151E56"/>
    <w:rsid w:val="00152034"/>
    <w:rsid w:val="001522B8"/>
    <w:rsid w:val="00152576"/>
    <w:rsid w:val="00152665"/>
    <w:rsid w:val="001528DA"/>
    <w:rsid w:val="001529CE"/>
    <w:rsid w:val="00152BF9"/>
    <w:rsid w:val="00152E1A"/>
    <w:rsid w:val="0015308D"/>
    <w:rsid w:val="0015349C"/>
    <w:rsid w:val="001538D0"/>
    <w:rsid w:val="001538D5"/>
    <w:rsid w:val="00153CF7"/>
    <w:rsid w:val="00153E7D"/>
    <w:rsid w:val="0015402E"/>
    <w:rsid w:val="0015417C"/>
    <w:rsid w:val="0015425D"/>
    <w:rsid w:val="00154394"/>
    <w:rsid w:val="001545DF"/>
    <w:rsid w:val="0015469B"/>
    <w:rsid w:val="001546B2"/>
    <w:rsid w:val="001547A6"/>
    <w:rsid w:val="0015482D"/>
    <w:rsid w:val="001550DF"/>
    <w:rsid w:val="001552D8"/>
    <w:rsid w:val="001552D9"/>
    <w:rsid w:val="0015541C"/>
    <w:rsid w:val="00155663"/>
    <w:rsid w:val="00155CFB"/>
    <w:rsid w:val="00155DF4"/>
    <w:rsid w:val="00155E14"/>
    <w:rsid w:val="00155FE2"/>
    <w:rsid w:val="0015606D"/>
    <w:rsid w:val="00156073"/>
    <w:rsid w:val="001561CD"/>
    <w:rsid w:val="00156602"/>
    <w:rsid w:val="001566D1"/>
    <w:rsid w:val="00156CC4"/>
    <w:rsid w:val="001571EF"/>
    <w:rsid w:val="0015728D"/>
    <w:rsid w:val="001572C5"/>
    <w:rsid w:val="0015734C"/>
    <w:rsid w:val="0015771C"/>
    <w:rsid w:val="00157AD8"/>
    <w:rsid w:val="00157D14"/>
    <w:rsid w:val="00157F6C"/>
    <w:rsid w:val="00157FE4"/>
    <w:rsid w:val="00160153"/>
    <w:rsid w:val="001602C7"/>
    <w:rsid w:val="00160710"/>
    <w:rsid w:val="001607CB"/>
    <w:rsid w:val="001608EB"/>
    <w:rsid w:val="00160923"/>
    <w:rsid w:val="00160A92"/>
    <w:rsid w:val="00160C61"/>
    <w:rsid w:val="00160D8B"/>
    <w:rsid w:val="00160EB4"/>
    <w:rsid w:val="001610F0"/>
    <w:rsid w:val="001611EA"/>
    <w:rsid w:val="001612CF"/>
    <w:rsid w:val="00161A7F"/>
    <w:rsid w:val="00161CD9"/>
    <w:rsid w:val="00161EC0"/>
    <w:rsid w:val="001621CD"/>
    <w:rsid w:val="001624AA"/>
    <w:rsid w:val="00162F9E"/>
    <w:rsid w:val="00163132"/>
    <w:rsid w:val="00163153"/>
    <w:rsid w:val="0016320C"/>
    <w:rsid w:val="00163678"/>
    <w:rsid w:val="001637F2"/>
    <w:rsid w:val="00163ADC"/>
    <w:rsid w:val="00163D26"/>
    <w:rsid w:val="00163DE1"/>
    <w:rsid w:val="00163ED6"/>
    <w:rsid w:val="001640D5"/>
    <w:rsid w:val="0016416D"/>
    <w:rsid w:val="00164B5F"/>
    <w:rsid w:val="00164BDA"/>
    <w:rsid w:val="00164BF6"/>
    <w:rsid w:val="00164EEE"/>
    <w:rsid w:val="00164EF3"/>
    <w:rsid w:val="0016515D"/>
    <w:rsid w:val="001651D9"/>
    <w:rsid w:val="00165286"/>
    <w:rsid w:val="0016543A"/>
    <w:rsid w:val="00165D59"/>
    <w:rsid w:val="00165D62"/>
    <w:rsid w:val="00166864"/>
    <w:rsid w:val="00166B83"/>
    <w:rsid w:val="00166C8B"/>
    <w:rsid w:val="001674A1"/>
    <w:rsid w:val="00167C8A"/>
    <w:rsid w:val="00167D7C"/>
    <w:rsid w:val="00167FB0"/>
    <w:rsid w:val="0017030B"/>
    <w:rsid w:val="0017047B"/>
    <w:rsid w:val="001704C8"/>
    <w:rsid w:val="001705D0"/>
    <w:rsid w:val="001709AA"/>
    <w:rsid w:val="00170D88"/>
    <w:rsid w:val="0017128C"/>
    <w:rsid w:val="001715FA"/>
    <w:rsid w:val="0017160B"/>
    <w:rsid w:val="0017161E"/>
    <w:rsid w:val="00171BCB"/>
    <w:rsid w:val="00171ECD"/>
    <w:rsid w:val="0017200B"/>
    <w:rsid w:val="0017207E"/>
    <w:rsid w:val="001721DC"/>
    <w:rsid w:val="00172284"/>
    <w:rsid w:val="0017267D"/>
    <w:rsid w:val="00172B08"/>
    <w:rsid w:val="00172F56"/>
    <w:rsid w:val="0017317F"/>
    <w:rsid w:val="001734AD"/>
    <w:rsid w:val="00173DDE"/>
    <w:rsid w:val="001740B2"/>
    <w:rsid w:val="001748B3"/>
    <w:rsid w:val="00174928"/>
    <w:rsid w:val="00174A24"/>
    <w:rsid w:val="00174D24"/>
    <w:rsid w:val="00174DEE"/>
    <w:rsid w:val="0017503D"/>
    <w:rsid w:val="0017515A"/>
    <w:rsid w:val="001751FB"/>
    <w:rsid w:val="00175420"/>
    <w:rsid w:val="001754C3"/>
    <w:rsid w:val="00175BBC"/>
    <w:rsid w:val="00175C6D"/>
    <w:rsid w:val="00176B9C"/>
    <w:rsid w:val="00176FFE"/>
    <w:rsid w:val="001775D4"/>
    <w:rsid w:val="00177AB8"/>
    <w:rsid w:val="00177C94"/>
    <w:rsid w:val="00177DC4"/>
    <w:rsid w:val="00177E6D"/>
    <w:rsid w:val="001801E3"/>
    <w:rsid w:val="0018021D"/>
    <w:rsid w:val="001802FD"/>
    <w:rsid w:val="0018040A"/>
    <w:rsid w:val="00180F9D"/>
    <w:rsid w:val="00181116"/>
    <w:rsid w:val="0018115D"/>
    <w:rsid w:val="0018154D"/>
    <w:rsid w:val="00181703"/>
    <w:rsid w:val="00181846"/>
    <w:rsid w:val="0018185B"/>
    <w:rsid w:val="00181986"/>
    <w:rsid w:val="0018286A"/>
    <w:rsid w:val="001828A5"/>
    <w:rsid w:val="00183301"/>
    <w:rsid w:val="001836AF"/>
    <w:rsid w:val="00183897"/>
    <w:rsid w:val="00183BD6"/>
    <w:rsid w:val="00183CEF"/>
    <w:rsid w:val="00183F0C"/>
    <w:rsid w:val="00184178"/>
    <w:rsid w:val="00184464"/>
    <w:rsid w:val="001844FE"/>
    <w:rsid w:val="001848B5"/>
    <w:rsid w:val="001848C2"/>
    <w:rsid w:val="00184ABC"/>
    <w:rsid w:val="00184E35"/>
    <w:rsid w:val="00184FBD"/>
    <w:rsid w:val="00185417"/>
    <w:rsid w:val="00185CDE"/>
    <w:rsid w:val="00185F95"/>
    <w:rsid w:val="001862A0"/>
    <w:rsid w:val="0018632F"/>
    <w:rsid w:val="001863BE"/>
    <w:rsid w:val="00186478"/>
    <w:rsid w:val="001864AE"/>
    <w:rsid w:val="00186760"/>
    <w:rsid w:val="001868E9"/>
    <w:rsid w:val="001869FE"/>
    <w:rsid w:val="001872D5"/>
    <w:rsid w:val="00187EDB"/>
    <w:rsid w:val="00190188"/>
    <w:rsid w:val="001902E9"/>
    <w:rsid w:val="00190326"/>
    <w:rsid w:val="001903A1"/>
    <w:rsid w:val="00190450"/>
    <w:rsid w:val="00190707"/>
    <w:rsid w:val="00190C2E"/>
    <w:rsid w:val="0019115B"/>
    <w:rsid w:val="0019156F"/>
    <w:rsid w:val="00191979"/>
    <w:rsid w:val="00191A7B"/>
    <w:rsid w:val="00191D8A"/>
    <w:rsid w:val="00191EFC"/>
    <w:rsid w:val="00192399"/>
    <w:rsid w:val="0019247A"/>
    <w:rsid w:val="00192883"/>
    <w:rsid w:val="00192B25"/>
    <w:rsid w:val="00192E71"/>
    <w:rsid w:val="00192FDB"/>
    <w:rsid w:val="0019303C"/>
    <w:rsid w:val="00193494"/>
    <w:rsid w:val="00193C2E"/>
    <w:rsid w:val="00193C58"/>
    <w:rsid w:val="00193DA1"/>
    <w:rsid w:val="001943E7"/>
    <w:rsid w:val="0019490F"/>
    <w:rsid w:val="00194A31"/>
    <w:rsid w:val="00194BE8"/>
    <w:rsid w:val="00194E7E"/>
    <w:rsid w:val="00194EAC"/>
    <w:rsid w:val="00194EF4"/>
    <w:rsid w:val="001952AD"/>
    <w:rsid w:val="00195675"/>
    <w:rsid w:val="00195765"/>
    <w:rsid w:val="00195C7F"/>
    <w:rsid w:val="00195D71"/>
    <w:rsid w:val="00195DDD"/>
    <w:rsid w:val="00196075"/>
    <w:rsid w:val="00196528"/>
    <w:rsid w:val="00196639"/>
    <w:rsid w:val="001966B4"/>
    <w:rsid w:val="001967BE"/>
    <w:rsid w:val="00196973"/>
    <w:rsid w:val="00196E19"/>
    <w:rsid w:val="00197651"/>
    <w:rsid w:val="0019765E"/>
    <w:rsid w:val="00197FED"/>
    <w:rsid w:val="001A02DF"/>
    <w:rsid w:val="001A05BA"/>
    <w:rsid w:val="001A0793"/>
    <w:rsid w:val="001A0853"/>
    <w:rsid w:val="001A08C3"/>
    <w:rsid w:val="001A0A5E"/>
    <w:rsid w:val="001A1065"/>
    <w:rsid w:val="001A110B"/>
    <w:rsid w:val="001A1267"/>
    <w:rsid w:val="001A1745"/>
    <w:rsid w:val="001A1B06"/>
    <w:rsid w:val="001A1CE5"/>
    <w:rsid w:val="001A24F1"/>
    <w:rsid w:val="001A25FA"/>
    <w:rsid w:val="001A29B7"/>
    <w:rsid w:val="001A2AC3"/>
    <w:rsid w:val="001A2C13"/>
    <w:rsid w:val="001A2DA6"/>
    <w:rsid w:val="001A3185"/>
    <w:rsid w:val="001A32D9"/>
    <w:rsid w:val="001A33F6"/>
    <w:rsid w:val="001A3541"/>
    <w:rsid w:val="001A354B"/>
    <w:rsid w:val="001A35D1"/>
    <w:rsid w:val="001A3B0D"/>
    <w:rsid w:val="001A3C6A"/>
    <w:rsid w:val="001A4060"/>
    <w:rsid w:val="001A4069"/>
    <w:rsid w:val="001A421F"/>
    <w:rsid w:val="001A4462"/>
    <w:rsid w:val="001A4739"/>
    <w:rsid w:val="001A4C53"/>
    <w:rsid w:val="001A4D6A"/>
    <w:rsid w:val="001A4EC7"/>
    <w:rsid w:val="001A4FA3"/>
    <w:rsid w:val="001A5275"/>
    <w:rsid w:val="001A55A1"/>
    <w:rsid w:val="001A5C95"/>
    <w:rsid w:val="001A5FC3"/>
    <w:rsid w:val="001A63EA"/>
    <w:rsid w:val="001A6AD0"/>
    <w:rsid w:val="001A6BC1"/>
    <w:rsid w:val="001A7071"/>
    <w:rsid w:val="001A70D3"/>
    <w:rsid w:val="001A7880"/>
    <w:rsid w:val="001A7950"/>
    <w:rsid w:val="001A7A17"/>
    <w:rsid w:val="001A7C7C"/>
    <w:rsid w:val="001A7D4B"/>
    <w:rsid w:val="001B0126"/>
    <w:rsid w:val="001B03F7"/>
    <w:rsid w:val="001B0465"/>
    <w:rsid w:val="001B052A"/>
    <w:rsid w:val="001B0662"/>
    <w:rsid w:val="001B076B"/>
    <w:rsid w:val="001B0C36"/>
    <w:rsid w:val="001B10C3"/>
    <w:rsid w:val="001B11E4"/>
    <w:rsid w:val="001B1474"/>
    <w:rsid w:val="001B1726"/>
    <w:rsid w:val="001B175C"/>
    <w:rsid w:val="001B1875"/>
    <w:rsid w:val="001B1947"/>
    <w:rsid w:val="001B2091"/>
    <w:rsid w:val="001B230D"/>
    <w:rsid w:val="001B2390"/>
    <w:rsid w:val="001B2421"/>
    <w:rsid w:val="001B2515"/>
    <w:rsid w:val="001B2524"/>
    <w:rsid w:val="001B2536"/>
    <w:rsid w:val="001B2669"/>
    <w:rsid w:val="001B2F00"/>
    <w:rsid w:val="001B30D9"/>
    <w:rsid w:val="001B3270"/>
    <w:rsid w:val="001B32A5"/>
    <w:rsid w:val="001B341D"/>
    <w:rsid w:val="001B3C11"/>
    <w:rsid w:val="001B3C72"/>
    <w:rsid w:val="001B3CFE"/>
    <w:rsid w:val="001B3ECF"/>
    <w:rsid w:val="001B3EE9"/>
    <w:rsid w:val="001B413A"/>
    <w:rsid w:val="001B434E"/>
    <w:rsid w:val="001B4972"/>
    <w:rsid w:val="001B4B93"/>
    <w:rsid w:val="001B4B9A"/>
    <w:rsid w:val="001B4D1F"/>
    <w:rsid w:val="001B54B1"/>
    <w:rsid w:val="001B5803"/>
    <w:rsid w:val="001B6252"/>
    <w:rsid w:val="001B6ADB"/>
    <w:rsid w:val="001B6C80"/>
    <w:rsid w:val="001B6DEA"/>
    <w:rsid w:val="001B7024"/>
    <w:rsid w:val="001B70C5"/>
    <w:rsid w:val="001B7107"/>
    <w:rsid w:val="001B72D1"/>
    <w:rsid w:val="001B7AEF"/>
    <w:rsid w:val="001B7B0E"/>
    <w:rsid w:val="001B7D69"/>
    <w:rsid w:val="001B7FA5"/>
    <w:rsid w:val="001C0218"/>
    <w:rsid w:val="001C0642"/>
    <w:rsid w:val="001C0BB7"/>
    <w:rsid w:val="001C0DB3"/>
    <w:rsid w:val="001C0E4E"/>
    <w:rsid w:val="001C0F74"/>
    <w:rsid w:val="001C11DA"/>
    <w:rsid w:val="001C12C4"/>
    <w:rsid w:val="001C1377"/>
    <w:rsid w:val="001C1591"/>
    <w:rsid w:val="001C1798"/>
    <w:rsid w:val="001C17F0"/>
    <w:rsid w:val="001C1C52"/>
    <w:rsid w:val="001C215F"/>
    <w:rsid w:val="001C22B4"/>
    <w:rsid w:val="001C253D"/>
    <w:rsid w:val="001C2599"/>
    <w:rsid w:val="001C27E3"/>
    <w:rsid w:val="001C287D"/>
    <w:rsid w:val="001C28F7"/>
    <w:rsid w:val="001C291E"/>
    <w:rsid w:val="001C2AE1"/>
    <w:rsid w:val="001C2D68"/>
    <w:rsid w:val="001C2E43"/>
    <w:rsid w:val="001C2E62"/>
    <w:rsid w:val="001C2EFC"/>
    <w:rsid w:val="001C30D0"/>
    <w:rsid w:val="001C341B"/>
    <w:rsid w:val="001C37AA"/>
    <w:rsid w:val="001C383B"/>
    <w:rsid w:val="001C3F19"/>
    <w:rsid w:val="001C40C7"/>
    <w:rsid w:val="001C4470"/>
    <w:rsid w:val="001C44F8"/>
    <w:rsid w:val="001C49D1"/>
    <w:rsid w:val="001C4D40"/>
    <w:rsid w:val="001C521D"/>
    <w:rsid w:val="001C52B7"/>
    <w:rsid w:val="001C532A"/>
    <w:rsid w:val="001C5816"/>
    <w:rsid w:val="001C59EE"/>
    <w:rsid w:val="001C5A5C"/>
    <w:rsid w:val="001C5D4B"/>
    <w:rsid w:val="001C5D86"/>
    <w:rsid w:val="001C60D8"/>
    <w:rsid w:val="001C617C"/>
    <w:rsid w:val="001C62F1"/>
    <w:rsid w:val="001C6415"/>
    <w:rsid w:val="001C6749"/>
    <w:rsid w:val="001C684D"/>
    <w:rsid w:val="001C690B"/>
    <w:rsid w:val="001C691B"/>
    <w:rsid w:val="001C6B4B"/>
    <w:rsid w:val="001C6CC6"/>
    <w:rsid w:val="001C7286"/>
    <w:rsid w:val="001C7595"/>
    <w:rsid w:val="001C7622"/>
    <w:rsid w:val="001C7938"/>
    <w:rsid w:val="001C7961"/>
    <w:rsid w:val="001C7A3B"/>
    <w:rsid w:val="001C7C44"/>
    <w:rsid w:val="001C7C8A"/>
    <w:rsid w:val="001C7E2A"/>
    <w:rsid w:val="001D0077"/>
    <w:rsid w:val="001D0559"/>
    <w:rsid w:val="001D0DC8"/>
    <w:rsid w:val="001D0F96"/>
    <w:rsid w:val="001D154D"/>
    <w:rsid w:val="001D19C3"/>
    <w:rsid w:val="001D1C79"/>
    <w:rsid w:val="001D1D1B"/>
    <w:rsid w:val="001D256B"/>
    <w:rsid w:val="001D26A1"/>
    <w:rsid w:val="001D2BD4"/>
    <w:rsid w:val="001D325B"/>
    <w:rsid w:val="001D3283"/>
    <w:rsid w:val="001D3414"/>
    <w:rsid w:val="001D364F"/>
    <w:rsid w:val="001D3927"/>
    <w:rsid w:val="001D3DF1"/>
    <w:rsid w:val="001D4475"/>
    <w:rsid w:val="001D4535"/>
    <w:rsid w:val="001D474B"/>
    <w:rsid w:val="001D4A7C"/>
    <w:rsid w:val="001D4CF8"/>
    <w:rsid w:val="001D540A"/>
    <w:rsid w:val="001D5530"/>
    <w:rsid w:val="001D558E"/>
    <w:rsid w:val="001D566C"/>
    <w:rsid w:val="001D568F"/>
    <w:rsid w:val="001D5B76"/>
    <w:rsid w:val="001D5BA6"/>
    <w:rsid w:val="001D6370"/>
    <w:rsid w:val="001D69AA"/>
    <w:rsid w:val="001D6A04"/>
    <w:rsid w:val="001D6A38"/>
    <w:rsid w:val="001D6B71"/>
    <w:rsid w:val="001D6DE7"/>
    <w:rsid w:val="001D6F31"/>
    <w:rsid w:val="001D70D9"/>
    <w:rsid w:val="001D7B63"/>
    <w:rsid w:val="001D7E63"/>
    <w:rsid w:val="001E01EA"/>
    <w:rsid w:val="001E0531"/>
    <w:rsid w:val="001E0719"/>
    <w:rsid w:val="001E0C0B"/>
    <w:rsid w:val="001E0D43"/>
    <w:rsid w:val="001E0DA6"/>
    <w:rsid w:val="001E0F95"/>
    <w:rsid w:val="001E1984"/>
    <w:rsid w:val="001E19D6"/>
    <w:rsid w:val="001E1B36"/>
    <w:rsid w:val="001E1BC7"/>
    <w:rsid w:val="001E1C02"/>
    <w:rsid w:val="001E2026"/>
    <w:rsid w:val="001E252E"/>
    <w:rsid w:val="001E27BC"/>
    <w:rsid w:val="001E29E3"/>
    <w:rsid w:val="001E2DD6"/>
    <w:rsid w:val="001E2E96"/>
    <w:rsid w:val="001E3001"/>
    <w:rsid w:val="001E30BC"/>
    <w:rsid w:val="001E3307"/>
    <w:rsid w:val="001E354C"/>
    <w:rsid w:val="001E35F2"/>
    <w:rsid w:val="001E386C"/>
    <w:rsid w:val="001E3E00"/>
    <w:rsid w:val="001E3ED5"/>
    <w:rsid w:val="001E4054"/>
    <w:rsid w:val="001E4231"/>
    <w:rsid w:val="001E4713"/>
    <w:rsid w:val="001E4EC4"/>
    <w:rsid w:val="001E504A"/>
    <w:rsid w:val="001E50F1"/>
    <w:rsid w:val="001E5478"/>
    <w:rsid w:val="001E5888"/>
    <w:rsid w:val="001E5908"/>
    <w:rsid w:val="001E5A9E"/>
    <w:rsid w:val="001E5B85"/>
    <w:rsid w:val="001E5BE0"/>
    <w:rsid w:val="001E641D"/>
    <w:rsid w:val="001E651A"/>
    <w:rsid w:val="001E6739"/>
    <w:rsid w:val="001E6886"/>
    <w:rsid w:val="001E6989"/>
    <w:rsid w:val="001E6A9A"/>
    <w:rsid w:val="001E6D7F"/>
    <w:rsid w:val="001E73B9"/>
    <w:rsid w:val="001E7499"/>
    <w:rsid w:val="001E75AE"/>
    <w:rsid w:val="001E77A2"/>
    <w:rsid w:val="001E7ACA"/>
    <w:rsid w:val="001E7AE5"/>
    <w:rsid w:val="001E7AED"/>
    <w:rsid w:val="001E7B8E"/>
    <w:rsid w:val="001E7EA1"/>
    <w:rsid w:val="001F0054"/>
    <w:rsid w:val="001F01C0"/>
    <w:rsid w:val="001F0433"/>
    <w:rsid w:val="001F04F0"/>
    <w:rsid w:val="001F0563"/>
    <w:rsid w:val="001F05DF"/>
    <w:rsid w:val="001F07E2"/>
    <w:rsid w:val="001F0875"/>
    <w:rsid w:val="001F0A8F"/>
    <w:rsid w:val="001F0B27"/>
    <w:rsid w:val="001F0C09"/>
    <w:rsid w:val="001F1011"/>
    <w:rsid w:val="001F1252"/>
    <w:rsid w:val="001F1451"/>
    <w:rsid w:val="001F15F4"/>
    <w:rsid w:val="001F172B"/>
    <w:rsid w:val="001F17A8"/>
    <w:rsid w:val="001F1854"/>
    <w:rsid w:val="001F1A0B"/>
    <w:rsid w:val="001F1AA1"/>
    <w:rsid w:val="001F1B8B"/>
    <w:rsid w:val="001F2186"/>
    <w:rsid w:val="001F22A7"/>
    <w:rsid w:val="001F27F0"/>
    <w:rsid w:val="001F2AF7"/>
    <w:rsid w:val="001F2B53"/>
    <w:rsid w:val="001F2D60"/>
    <w:rsid w:val="001F2F2A"/>
    <w:rsid w:val="001F3015"/>
    <w:rsid w:val="001F371B"/>
    <w:rsid w:val="001F38C5"/>
    <w:rsid w:val="001F39D6"/>
    <w:rsid w:val="001F39FD"/>
    <w:rsid w:val="001F3AF8"/>
    <w:rsid w:val="001F3BEC"/>
    <w:rsid w:val="001F3DC5"/>
    <w:rsid w:val="001F3F26"/>
    <w:rsid w:val="001F4418"/>
    <w:rsid w:val="001F443C"/>
    <w:rsid w:val="001F44AF"/>
    <w:rsid w:val="001F4529"/>
    <w:rsid w:val="001F45D5"/>
    <w:rsid w:val="001F4861"/>
    <w:rsid w:val="001F4941"/>
    <w:rsid w:val="001F4FAD"/>
    <w:rsid w:val="001F51F2"/>
    <w:rsid w:val="001F5F60"/>
    <w:rsid w:val="001F6251"/>
    <w:rsid w:val="001F6435"/>
    <w:rsid w:val="001F6F3C"/>
    <w:rsid w:val="001F774E"/>
    <w:rsid w:val="001F7AA0"/>
    <w:rsid w:val="001F7BCD"/>
    <w:rsid w:val="001F7F84"/>
    <w:rsid w:val="00200048"/>
    <w:rsid w:val="002001CE"/>
    <w:rsid w:val="00200220"/>
    <w:rsid w:val="00200899"/>
    <w:rsid w:val="002008B1"/>
    <w:rsid w:val="0020095F"/>
    <w:rsid w:val="002009A7"/>
    <w:rsid w:val="00200DBF"/>
    <w:rsid w:val="00200FC1"/>
    <w:rsid w:val="00201153"/>
    <w:rsid w:val="0020127B"/>
    <w:rsid w:val="00201876"/>
    <w:rsid w:val="00201BF6"/>
    <w:rsid w:val="00201BFF"/>
    <w:rsid w:val="00201DCF"/>
    <w:rsid w:val="00201FB4"/>
    <w:rsid w:val="0020218C"/>
    <w:rsid w:val="00202355"/>
    <w:rsid w:val="0020238B"/>
    <w:rsid w:val="00202465"/>
    <w:rsid w:val="00202729"/>
    <w:rsid w:val="00202A2B"/>
    <w:rsid w:val="002039C9"/>
    <w:rsid w:val="00203BF0"/>
    <w:rsid w:val="00203EEE"/>
    <w:rsid w:val="00203F01"/>
    <w:rsid w:val="002041D9"/>
    <w:rsid w:val="002044E1"/>
    <w:rsid w:val="00204580"/>
    <w:rsid w:val="002045FB"/>
    <w:rsid w:val="002046DC"/>
    <w:rsid w:val="00204A69"/>
    <w:rsid w:val="00204AD3"/>
    <w:rsid w:val="00204AE0"/>
    <w:rsid w:val="00204B50"/>
    <w:rsid w:val="00205072"/>
    <w:rsid w:val="00205108"/>
    <w:rsid w:val="00205166"/>
    <w:rsid w:val="00205B22"/>
    <w:rsid w:val="00205BFC"/>
    <w:rsid w:val="00205C40"/>
    <w:rsid w:val="00205CE7"/>
    <w:rsid w:val="00205DBF"/>
    <w:rsid w:val="002060B9"/>
    <w:rsid w:val="0020634D"/>
    <w:rsid w:val="002066CA"/>
    <w:rsid w:val="002067B6"/>
    <w:rsid w:val="002068D1"/>
    <w:rsid w:val="00207743"/>
    <w:rsid w:val="00207C52"/>
    <w:rsid w:val="00210933"/>
    <w:rsid w:val="00210D97"/>
    <w:rsid w:val="00210E44"/>
    <w:rsid w:val="00210E8A"/>
    <w:rsid w:val="002110D8"/>
    <w:rsid w:val="00211460"/>
    <w:rsid w:val="00211718"/>
    <w:rsid w:val="002118C3"/>
    <w:rsid w:val="002119F6"/>
    <w:rsid w:val="00211B7C"/>
    <w:rsid w:val="00211C6C"/>
    <w:rsid w:val="00211D52"/>
    <w:rsid w:val="00211FAF"/>
    <w:rsid w:val="0021216C"/>
    <w:rsid w:val="002122A6"/>
    <w:rsid w:val="00212446"/>
    <w:rsid w:val="00212473"/>
    <w:rsid w:val="00212496"/>
    <w:rsid w:val="00212776"/>
    <w:rsid w:val="00212892"/>
    <w:rsid w:val="00212B86"/>
    <w:rsid w:val="00212CF9"/>
    <w:rsid w:val="00212F10"/>
    <w:rsid w:val="0021327C"/>
    <w:rsid w:val="00213339"/>
    <w:rsid w:val="002133AB"/>
    <w:rsid w:val="002133F3"/>
    <w:rsid w:val="00213595"/>
    <w:rsid w:val="00213B7D"/>
    <w:rsid w:val="00213C2F"/>
    <w:rsid w:val="00213E32"/>
    <w:rsid w:val="0021455B"/>
    <w:rsid w:val="00214659"/>
    <w:rsid w:val="00214781"/>
    <w:rsid w:val="002148D4"/>
    <w:rsid w:val="00214A3C"/>
    <w:rsid w:val="00214BFA"/>
    <w:rsid w:val="0021532D"/>
    <w:rsid w:val="0021559A"/>
    <w:rsid w:val="002156CD"/>
    <w:rsid w:val="00215A70"/>
    <w:rsid w:val="00215C87"/>
    <w:rsid w:val="00215D9E"/>
    <w:rsid w:val="00215F4B"/>
    <w:rsid w:val="00216016"/>
    <w:rsid w:val="0021636F"/>
    <w:rsid w:val="002165EF"/>
    <w:rsid w:val="00216CAC"/>
    <w:rsid w:val="00216D20"/>
    <w:rsid w:val="0021722E"/>
    <w:rsid w:val="002176EB"/>
    <w:rsid w:val="002176F7"/>
    <w:rsid w:val="00217771"/>
    <w:rsid w:val="00217A1D"/>
    <w:rsid w:val="00217C11"/>
    <w:rsid w:val="00217CD4"/>
    <w:rsid w:val="00217D85"/>
    <w:rsid w:val="00217ED3"/>
    <w:rsid w:val="002206CA"/>
    <w:rsid w:val="00220772"/>
    <w:rsid w:val="00220814"/>
    <w:rsid w:val="00220937"/>
    <w:rsid w:val="00220BF3"/>
    <w:rsid w:val="00220D64"/>
    <w:rsid w:val="00220E37"/>
    <w:rsid w:val="00220FBB"/>
    <w:rsid w:val="00221108"/>
    <w:rsid w:val="0022143B"/>
    <w:rsid w:val="002217A8"/>
    <w:rsid w:val="002218EF"/>
    <w:rsid w:val="002219CA"/>
    <w:rsid w:val="00221B55"/>
    <w:rsid w:val="00221DCB"/>
    <w:rsid w:val="002220CA"/>
    <w:rsid w:val="00222779"/>
    <w:rsid w:val="002229E0"/>
    <w:rsid w:val="00222BBF"/>
    <w:rsid w:val="00222BCF"/>
    <w:rsid w:val="00222C98"/>
    <w:rsid w:val="00222CD0"/>
    <w:rsid w:val="00222CD4"/>
    <w:rsid w:val="00223729"/>
    <w:rsid w:val="002237EB"/>
    <w:rsid w:val="00223D56"/>
    <w:rsid w:val="00223E51"/>
    <w:rsid w:val="0022447F"/>
    <w:rsid w:val="00224566"/>
    <w:rsid w:val="0022461C"/>
    <w:rsid w:val="002247FC"/>
    <w:rsid w:val="00224E2E"/>
    <w:rsid w:val="00224E95"/>
    <w:rsid w:val="00224F65"/>
    <w:rsid w:val="00225075"/>
    <w:rsid w:val="002250E2"/>
    <w:rsid w:val="00225679"/>
    <w:rsid w:val="00225852"/>
    <w:rsid w:val="00225EDE"/>
    <w:rsid w:val="00226320"/>
    <w:rsid w:val="00226414"/>
    <w:rsid w:val="0022642F"/>
    <w:rsid w:val="00226AD8"/>
    <w:rsid w:val="00226AE5"/>
    <w:rsid w:val="00226D70"/>
    <w:rsid w:val="00226D9C"/>
    <w:rsid w:val="00227312"/>
    <w:rsid w:val="002274A2"/>
    <w:rsid w:val="00227857"/>
    <w:rsid w:val="0022790F"/>
    <w:rsid w:val="002279A8"/>
    <w:rsid w:val="00227A5E"/>
    <w:rsid w:val="00227D2E"/>
    <w:rsid w:val="00227E5C"/>
    <w:rsid w:val="002300E5"/>
    <w:rsid w:val="00230298"/>
    <w:rsid w:val="00230373"/>
    <w:rsid w:val="002304C7"/>
    <w:rsid w:val="002306C9"/>
    <w:rsid w:val="00230958"/>
    <w:rsid w:val="00230B09"/>
    <w:rsid w:val="00230BB2"/>
    <w:rsid w:val="00230C9E"/>
    <w:rsid w:val="00230F58"/>
    <w:rsid w:val="00231709"/>
    <w:rsid w:val="002318EC"/>
    <w:rsid w:val="00231A31"/>
    <w:rsid w:val="00231D8E"/>
    <w:rsid w:val="0023216F"/>
    <w:rsid w:val="002321AC"/>
    <w:rsid w:val="0023234B"/>
    <w:rsid w:val="002327AE"/>
    <w:rsid w:val="002327BB"/>
    <w:rsid w:val="00232C3D"/>
    <w:rsid w:val="002332FC"/>
    <w:rsid w:val="0023359F"/>
    <w:rsid w:val="0023360C"/>
    <w:rsid w:val="00233AEF"/>
    <w:rsid w:val="00233B4A"/>
    <w:rsid w:val="00233BA0"/>
    <w:rsid w:val="00233BFF"/>
    <w:rsid w:val="0023411C"/>
    <w:rsid w:val="002341EE"/>
    <w:rsid w:val="002342B2"/>
    <w:rsid w:val="0023438B"/>
    <w:rsid w:val="00234545"/>
    <w:rsid w:val="00234B6F"/>
    <w:rsid w:val="0023511C"/>
    <w:rsid w:val="002351AB"/>
    <w:rsid w:val="00235328"/>
    <w:rsid w:val="002354C8"/>
    <w:rsid w:val="002355EA"/>
    <w:rsid w:val="00235707"/>
    <w:rsid w:val="00235749"/>
    <w:rsid w:val="00235755"/>
    <w:rsid w:val="00235AF6"/>
    <w:rsid w:val="00235DA4"/>
    <w:rsid w:val="00235E5B"/>
    <w:rsid w:val="00236000"/>
    <w:rsid w:val="0023648B"/>
    <w:rsid w:val="00236657"/>
    <w:rsid w:val="00236C74"/>
    <w:rsid w:val="00236E7A"/>
    <w:rsid w:val="00236F0D"/>
    <w:rsid w:val="00237084"/>
    <w:rsid w:val="0023731B"/>
    <w:rsid w:val="00237500"/>
    <w:rsid w:val="00237503"/>
    <w:rsid w:val="002375E2"/>
    <w:rsid w:val="00237664"/>
    <w:rsid w:val="002376A1"/>
    <w:rsid w:val="002379FD"/>
    <w:rsid w:val="00237A26"/>
    <w:rsid w:val="002400D5"/>
    <w:rsid w:val="002401A7"/>
    <w:rsid w:val="00240658"/>
    <w:rsid w:val="00240680"/>
    <w:rsid w:val="00240A7B"/>
    <w:rsid w:val="00240CE7"/>
    <w:rsid w:val="00240E90"/>
    <w:rsid w:val="00240E92"/>
    <w:rsid w:val="00240F61"/>
    <w:rsid w:val="00240F9B"/>
    <w:rsid w:val="00240FBF"/>
    <w:rsid w:val="0024122F"/>
    <w:rsid w:val="00241442"/>
    <w:rsid w:val="0024152B"/>
    <w:rsid w:val="00241B18"/>
    <w:rsid w:val="00241F9D"/>
    <w:rsid w:val="00242031"/>
    <w:rsid w:val="00242275"/>
    <w:rsid w:val="002423E0"/>
    <w:rsid w:val="00242426"/>
    <w:rsid w:val="0024276C"/>
    <w:rsid w:val="00243126"/>
    <w:rsid w:val="002438F1"/>
    <w:rsid w:val="00243D5A"/>
    <w:rsid w:val="00243E08"/>
    <w:rsid w:val="00244182"/>
    <w:rsid w:val="00244544"/>
    <w:rsid w:val="00244B97"/>
    <w:rsid w:val="00244D83"/>
    <w:rsid w:val="00245061"/>
    <w:rsid w:val="0024545A"/>
    <w:rsid w:val="0024563C"/>
    <w:rsid w:val="00245E0F"/>
    <w:rsid w:val="002460F5"/>
    <w:rsid w:val="002461D9"/>
    <w:rsid w:val="00246376"/>
    <w:rsid w:val="00246862"/>
    <w:rsid w:val="002472F9"/>
    <w:rsid w:val="002473FF"/>
    <w:rsid w:val="00247518"/>
    <w:rsid w:val="002479EF"/>
    <w:rsid w:val="00247A59"/>
    <w:rsid w:val="00247D81"/>
    <w:rsid w:val="00247D8E"/>
    <w:rsid w:val="00247E1F"/>
    <w:rsid w:val="00247FB1"/>
    <w:rsid w:val="00247FC4"/>
    <w:rsid w:val="00250296"/>
    <w:rsid w:val="00250525"/>
    <w:rsid w:val="0025083D"/>
    <w:rsid w:val="00250AF0"/>
    <w:rsid w:val="00250B2B"/>
    <w:rsid w:val="00250DCF"/>
    <w:rsid w:val="00250E18"/>
    <w:rsid w:val="00250F77"/>
    <w:rsid w:val="002513A3"/>
    <w:rsid w:val="002515A7"/>
    <w:rsid w:val="002516E9"/>
    <w:rsid w:val="002517C7"/>
    <w:rsid w:val="00251875"/>
    <w:rsid w:val="002518D0"/>
    <w:rsid w:val="0025190E"/>
    <w:rsid w:val="00251D53"/>
    <w:rsid w:val="0025219A"/>
    <w:rsid w:val="0025226E"/>
    <w:rsid w:val="00252A3F"/>
    <w:rsid w:val="00252B61"/>
    <w:rsid w:val="00252B95"/>
    <w:rsid w:val="0025316C"/>
    <w:rsid w:val="0025317B"/>
    <w:rsid w:val="00253442"/>
    <w:rsid w:val="0025380A"/>
    <w:rsid w:val="00253990"/>
    <w:rsid w:val="00253BBB"/>
    <w:rsid w:val="00253D28"/>
    <w:rsid w:val="00253F5A"/>
    <w:rsid w:val="00253F9E"/>
    <w:rsid w:val="00254073"/>
    <w:rsid w:val="00254093"/>
    <w:rsid w:val="00254254"/>
    <w:rsid w:val="0025443D"/>
    <w:rsid w:val="00254527"/>
    <w:rsid w:val="002546FD"/>
    <w:rsid w:val="00254743"/>
    <w:rsid w:val="0025475F"/>
    <w:rsid w:val="00254B91"/>
    <w:rsid w:val="00254E09"/>
    <w:rsid w:val="00255B53"/>
    <w:rsid w:val="00255C4F"/>
    <w:rsid w:val="00255DEE"/>
    <w:rsid w:val="00255F52"/>
    <w:rsid w:val="00255FDF"/>
    <w:rsid w:val="002562CB"/>
    <w:rsid w:val="00256307"/>
    <w:rsid w:val="002565C0"/>
    <w:rsid w:val="00256652"/>
    <w:rsid w:val="00256D32"/>
    <w:rsid w:val="00256EDC"/>
    <w:rsid w:val="00256F09"/>
    <w:rsid w:val="00257445"/>
    <w:rsid w:val="00257708"/>
    <w:rsid w:val="00257A9E"/>
    <w:rsid w:val="00257B92"/>
    <w:rsid w:val="00257D54"/>
    <w:rsid w:val="00257E0C"/>
    <w:rsid w:val="0026057A"/>
    <w:rsid w:val="00260604"/>
    <w:rsid w:val="00260A85"/>
    <w:rsid w:val="00260AED"/>
    <w:rsid w:val="002610B0"/>
    <w:rsid w:val="002610CC"/>
    <w:rsid w:val="00261216"/>
    <w:rsid w:val="00261357"/>
    <w:rsid w:val="00261644"/>
    <w:rsid w:val="00261743"/>
    <w:rsid w:val="00261E7C"/>
    <w:rsid w:val="00261FD3"/>
    <w:rsid w:val="00262074"/>
    <w:rsid w:val="0026219C"/>
    <w:rsid w:val="00262330"/>
    <w:rsid w:val="00262BD3"/>
    <w:rsid w:val="00262C08"/>
    <w:rsid w:val="00262E7F"/>
    <w:rsid w:val="00263114"/>
    <w:rsid w:val="002635D7"/>
    <w:rsid w:val="002639B2"/>
    <w:rsid w:val="002639F2"/>
    <w:rsid w:val="00263C70"/>
    <w:rsid w:val="0026415C"/>
    <w:rsid w:val="002642AD"/>
    <w:rsid w:val="002645AC"/>
    <w:rsid w:val="00264B46"/>
    <w:rsid w:val="00264C59"/>
    <w:rsid w:val="00264CE7"/>
    <w:rsid w:val="002654FB"/>
    <w:rsid w:val="00265540"/>
    <w:rsid w:val="002655D8"/>
    <w:rsid w:val="00265652"/>
    <w:rsid w:val="002656DE"/>
    <w:rsid w:val="00265C53"/>
    <w:rsid w:val="00266082"/>
    <w:rsid w:val="00266356"/>
    <w:rsid w:val="0026658C"/>
    <w:rsid w:val="002666EA"/>
    <w:rsid w:val="00266A9B"/>
    <w:rsid w:val="00266B36"/>
    <w:rsid w:val="00266CCA"/>
    <w:rsid w:val="00267058"/>
    <w:rsid w:val="00267298"/>
    <w:rsid w:val="0026735C"/>
    <w:rsid w:val="002673E3"/>
    <w:rsid w:val="00267BAB"/>
    <w:rsid w:val="00267CE8"/>
    <w:rsid w:val="00267D6F"/>
    <w:rsid w:val="00267EB3"/>
    <w:rsid w:val="00267FA6"/>
    <w:rsid w:val="00270179"/>
    <w:rsid w:val="0027038D"/>
    <w:rsid w:val="0027047A"/>
    <w:rsid w:val="0027055E"/>
    <w:rsid w:val="00270689"/>
    <w:rsid w:val="00270E37"/>
    <w:rsid w:val="002711DB"/>
    <w:rsid w:val="002717EB"/>
    <w:rsid w:val="0027195F"/>
    <w:rsid w:val="00271F55"/>
    <w:rsid w:val="002721D6"/>
    <w:rsid w:val="002723BF"/>
    <w:rsid w:val="002724A4"/>
    <w:rsid w:val="0027261E"/>
    <w:rsid w:val="0027286A"/>
    <w:rsid w:val="00272D64"/>
    <w:rsid w:val="00272EFB"/>
    <w:rsid w:val="00273186"/>
    <w:rsid w:val="002734BC"/>
    <w:rsid w:val="00273504"/>
    <w:rsid w:val="00273748"/>
    <w:rsid w:val="002737E9"/>
    <w:rsid w:val="00273DD0"/>
    <w:rsid w:val="00273DFA"/>
    <w:rsid w:val="002740A8"/>
    <w:rsid w:val="002744AB"/>
    <w:rsid w:val="002746AE"/>
    <w:rsid w:val="002747C3"/>
    <w:rsid w:val="002748F7"/>
    <w:rsid w:val="00274EFD"/>
    <w:rsid w:val="00275072"/>
    <w:rsid w:val="002751A9"/>
    <w:rsid w:val="002754B2"/>
    <w:rsid w:val="0027594D"/>
    <w:rsid w:val="00275BE5"/>
    <w:rsid w:val="00275DB3"/>
    <w:rsid w:val="002767A0"/>
    <w:rsid w:val="00276DDE"/>
    <w:rsid w:val="00277723"/>
    <w:rsid w:val="002778B1"/>
    <w:rsid w:val="00280175"/>
    <w:rsid w:val="002801B4"/>
    <w:rsid w:val="0028033C"/>
    <w:rsid w:val="00280357"/>
    <w:rsid w:val="00280762"/>
    <w:rsid w:val="00280A59"/>
    <w:rsid w:val="00280D18"/>
    <w:rsid w:val="00280E24"/>
    <w:rsid w:val="00280FBE"/>
    <w:rsid w:val="00281114"/>
    <w:rsid w:val="00281452"/>
    <w:rsid w:val="00281767"/>
    <w:rsid w:val="00281B93"/>
    <w:rsid w:val="00281BE1"/>
    <w:rsid w:val="00281C38"/>
    <w:rsid w:val="00281FAC"/>
    <w:rsid w:val="0028222E"/>
    <w:rsid w:val="002823FE"/>
    <w:rsid w:val="0028257D"/>
    <w:rsid w:val="002826CD"/>
    <w:rsid w:val="0028274C"/>
    <w:rsid w:val="00282B0B"/>
    <w:rsid w:val="002831BA"/>
    <w:rsid w:val="00283261"/>
    <w:rsid w:val="00283372"/>
    <w:rsid w:val="002834DD"/>
    <w:rsid w:val="002834EF"/>
    <w:rsid w:val="00283D00"/>
    <w:rsid w:val="00283DD7"/>
    <w:rsid w:val="00284010"/>
    <w:rsid w:val="002840E8"/>
    <w:rsid w:val="00284486"/>
    <w:rsid w:val="00284F2E"/>
    <w:rsid w:val="0028515F"/>
    <w:rsid w:val="002854D9"/>
    <w:rsid w:val="00285766"/>
    <w:rsid w:val="002859F2"/>
    <w:rsid w:val="00285A18"/>
    <w:rsid w:val="00285B7C"/>
    <w:rsid w:val="00285D81"/>
    <w:rsid w:val="00285F91"/>
    <w:rsid w:val="00286112"/>
    <w:rsid w:val="002862FD"/>
    <w:rsid w:val="0028681B"/>
    <w:rsid w:val="00286F42"/>
    <w:rsid w:val="00286FCD"/>
    <w:rsid w:val="0028704D"/>
    <w:rsid w:val="00287780"/>
    <w:rsid w:val="002879D3"/>
    <w:rsid w:val="00287CA7"/>
    <w:rsid w:val="00287D7B"/>
    <w:rsid w:val="00287D92"/>
    <w:rsid w:val="00290004"/>
    <w:rsid w:val="002901D3"/>
    <w:rsid w:val="0029077D"/>
    <w:rsid w:val="00290827"/>
    <w:rsid w:val="00290972"/>
    <w:rsid w:val="00290BB1"/>
    <w:rsid w:val="00290CD1"/>
    <w:rsid w:val="00291115"/>
    <w:rsid w:val="002914BC"/>
    <w:rsid w:val="0029159D"/>
    <w:rsid w:val="002919C0"/>
    <w:rsid w:val="00291B78"/>
    <w:rsid w:val="00291C71"/>
    <w:rsid w:val="00291DFB"/>
    <w:rsid w:val="00291EFF"/>
    <w:rsid w:val="00292038"/>
    <w:rsid w:val="002921E8"/>
    <w:rsid w:val="00292476"/>
    <w:rsid w:val="00292791"/>
    <w:rsid w:val="002927B8"/>
    <w:rsid w:val="00292920"/>
    <w:rsid w:val="002929FC"/>
    <w:rsid w:val="00292D0E"/>
    <w:rsid w:val="00293184"/>
    <w:rsid w:val="00293191"/>
    <w:rsid w:val="002935F9"/>
    <w:rsid w:val="0029374D"/>
    <w:rsid w:val="00293781"/>
    <w:rsid w:val="00293796"/>
    <w:rsid w:val="002937D0"/>
    <w:rsid w:val="0029382A"/>
    <w:rsid w:val="00293A75"/>
    <w:rsid w:val="00294089"/>
    <w:rsid w:val="0029409E"/>
    <w:rsid w:val="002944BF"/>
    <w:rsid w:val="00294779"/>
    <w:rsid w:val="00294893"/>
    <w:rsid w:val="002948B2"/>
    <w:rsid w:val="00294FB1"/>
    <w:rsid w:val="00294FE8"/>
    <w:rsid w:val="00295133"/>
    <w:rsid w:val="002953A3"/>
    <w:rsid w:val="00295849"/>
    <w:rsid w:val="00295B57"/>
    <w:rsid w:val="00295C43"/>
    <w:rsid w:val="00295FFD"/>
    <w:rsid w:val="00296184"/>
    <w:rsid w:val="00296315"/>
    <w:rsid w:val="00296341"/>
    <w:rsid w:val="00296365"/>
    <w:rsid w:val="0029674B"/>
    <w:rsid w:val="00296888"/>
    <w:rsid w:val="0029692E"/>
    <w:rsid w:val="002969DD"/>
    <w:rsid w:val="002969F6"/>
    <w:rsid w:val="002973DF"/>
    <w:rsid w:val="00297511"/>
    <w:rsid w:val="00297614"/>
    <w:rsid w:val="00297804"/>
    <w:rsid w:val="002978E3"/>
    <w:rsid w:val="0029790F"/>
    <w:rsid w:val="00297919"/>
    <w:rsid w:val="00297C50"/>
    <w:rsid w:val="002A01BA"/>
    <w:rsid w:val="002A01EB"/>
    <w:rsid w:val="002A0210"/>
    <w:rsid w:val="002A0294"/>
    <w:rsid w:val="002A02D9"/>
    <w:rsid w:val="002A03E2"/>
    <w:rsid w:val="002A0534"/>
    <w:rsid w:val="002A0635"/>
    <w:rsid w:val="002A0A1B"/>
    <w:rsid w:val="002A0A8C"/>
    <w:rsid w:val="002A0CEE"/>
    <w:rsid w:val="002A1DD0"/>
    <w:rsid w:val="002A1E54"/>
    <w:rsid w:val="002A1FA3"/>
    <w:rsid w:val="002A1FFC"/>
    <w:rsid w:val="002A216C"/>
    <w:rsid w:val="002A22C6"/>
    <w:rsid w:val="002A2604"/>
    <w:rsid w:val="002A26B4"/>
    <w:rsid w:val="002A2825"/>
    <w:rsid w:val="002A2880"/>
    <w:rsid w:val="002A2BEC"/>
    <w:rsid w:val="002A30B8"/>
    <w:rsid w:val="002A31C4"/>
    <w:rsid w:val="002A3487"/>
    <w:rsid w:val="002A3CC6"/>
    <w:rsid w:val="002A3D05"/>
    <w:rsid w:val="002A3D8F"/>
    <w:rsid w:val="002A3D9B"/>
    <w:rsid w:val="002A3E16"/>
    <w:rsid w:val="002A3F0F"/>
    <w:rsid w:val="002A41C0"/>
    <w:rsid w:val="002A43AC"/>
    <w:rsid w:val="002A4619"/>
    <w:rsid w:val="002A4722"/>
    <w:rsid w:val="002A476E"/>
    <w:rsid w:val="002A4AD5"/>
    <w:rsid w:val="002A5347"/>
    <w:rsid w:val="002A5364"/>
    <w:rsid w:val="002A5365"/>
    <w:rsid w:val="002A55A4"/>
    <w:rsid w:val="002A5819"/>
    <w:rsid w:val="002A625E"/>
    <w:rsid w:val="002A6317"/>
    <w:rsid w:val="002A648A"/>
    <w:rsid w:val="002A6724"/>
    <w:rsid w:val="002A6B8D"/>
    <w:rsid w:val="002A6FD7"/>
    <w:rsid w:val="002A71AF"/>
    <w:rsid w:val="002A75CC"/>
    <w:rsid w:val="002A7683"/>
    <w:rsid w:val="002A769D"/>
    <w:rsid w:val="002A7749"/>
    <w:rsid w:val="002A789C"/>
    <w:rsid w:val="002A7A14"/>
    <w:rsid w:val="002A7E50"/>
    <w:rsid w:val="002B00E3"/>
    <w:rsid w:val="002B075C"/>
    <w:rsid w:val="002B0829"/>
    <w:rsid w:val="002B0894"/>
    <w:rsid w:val="002B08DF"/>
    <w:rsid w:val="002B09D0"/>
    <w:rsid w:val="002B0A40"/>
    <w:rsid w:val="002B0D91"/>
    <w:rsid w:val="002B0D9A"/>
    <w:rsid w:val="002B0E7D"/>
    <w:rsid w:val="002B0FCE"/>
    <w:rsid w:val="002B1066"/>
    <w:rsid w:val="002B10C5"/>
    <w:rsid w:val="002B122E"/>
    <w:rsid w:val="002B1456"/>
    <w:rsid w:val="002B1600"/>
    <w:rsid w:val="002B1808"/>
    <w:rsid w:val="002B1925"/>
    <w:rsid w:val="002B1985"/>
    <w:rsid w:val="002B1BBD"/>
    <w:rsid w:val="002B202B"/>
    <w:rsid w:val="002B23C8"/>
    <w:rsid w:val="002B240A"/>
    <w:rsid w:val="002B2CCB"/>
    <w:rsid w:val="002B2DDD"/>
    <w:rsid w:val="002B2EEB"/>
    <w:rsid w:val="002B2FEB"/>
    <w:rsid w:val="002B2FFC"/>
    <w:rsid w:val="002B3079"/>
    <w:rsid w:val="002B31B2"/>
    <w:rsid w:val="002B3485"/>
    <w:rsid w:val="002B34EA"/>
    <w:rsid w:val="002B34F9"/>
    <w:rsid w:val="002B37DA"/>
    <w:rsid w:val="002B37E8"/>
    <w:rsid w:val="002B38CB"/>
    <w:rsid w:val="002B3CAE"/>
    <w:rsid w:val="002B3CDE"/>
    <w:rsid w:val="002B3DB0"/>
    <w:rsid w:val="002B3F66"/>
    <w:rsid w:val="002B4375"/>
    <w:rsid w:val="002B43E3"/>
    <w:rsid w:val="002B4762"/>
    <w:rsid w:val="002B4DD3"/>
    <w:rsid w:val="002B54F4"/>
    <w:rsid w:val="002B58A4"/>
    <w:rsid w:val="002B5AE4"/>
    <w:rsid w:val="002B5CC3"/>
    <w:rsid w:val="002B5F6B"/>
    <w:rsid w:val="002B6041"/>
    <w:rsid w:val="002B60DF"/>
    <w:rsid w:val="002B62B2"/>
    <w:rsid w:val="002B6D11"/>
    <w:rsid w:val="002B721B"/>
    <w:rsid w:val="002B751E"/>
    <w:rsid w:val="002B78D5"/>
    <w:rsid w:val="002C0154"/>
    <w:rsid w:val="002C0197"/>
    <w:rsid w:val="002C01C9"/>
    <w:rsid w:val="002C0646"/>
    <w:rsid w:val="002C0AA1"/>
    <w:rsid w:val="002C0BC3"/>
    <w:rsid w:val="002C0F9F"/>
    <w:rsid w:val="002C107E"/>
    <w:rsid w:val="002C1364"/>
    <w:rsid w:val="002C1A81"/>
    <w:rsid w:val="002C2005"/>
    <w:rsid w:val="002C2031"/>
    <w:rsid w:val="002C2591"/>
    <w:rsid w:val="002C2659"/>
    <w:rsid w:val="002C275C"/>
    <w:rsid w:val="002C2B42"/>
    <w:rsid w:val="002C2C5B"/>
    <w:rsid w:val="002C33F6"/>
    <w:rsid w:val="002C3779"/>
    <w:rsid w:val="002C3921"/>
    <w:rsid w:val="002C3AF1"/>
    <w:rsid w:val="002C3B0F"/>
    <w:rsid w:val="002C3C40"/>
    <w:rsid w:val="002C3DC3"/>
    <w:rsid w:val="002C47A6"/>
    <w:rsid w:val="002C4940"/>
    <w:rsid w:val="002C57E3"/>
    <w:rsid w:val="002C5885"/>
    <w:rsid w:val="002C5B44"/>
    <w:rsid w:val="002C5B8F"/>
    <w:rsid w:val="002C6267"/>
    <w:rsid w:val="002C62AC"/>
    <w:rsid w:val="002C63C3"/>
    <w:rsid w:val="002C6597"/>
    <w:rsid w:val="002C6639"/>
    <w:rsid w:val="002C6797"/>
    <w:rsid w:val="002C6818"/>
    <w:rsid w:val="002C68C7"/>
    <w:rsid w:val="002C690A"/>
    <w:rsid w:val="002C69CF"/>
    <w:rsid w:val="002C6AF3"/>
    <w:rsid w:val="002C6F9E"/>
    <w:rsid w:val="002C73B6"/>
    <w:rsid w:val="002C761D"/>
    <w:rsid w:val="002C7EFF"/>
    <w:rsid w:val="002D0607"/>
    <w:rsid w:val="002D06EA"/>
    <w:rsid w:val="002D0ABE"/>
    <w:rsid w:val="002D109C"/>
    <w:rsid w:val="002D1522"/>
    <w:rsid w:val="002D1905"/>
    <w:rsid w:val="002D1C06"/>
    <w:rsid w:val="002D1F7C"/>
    <w:rsid w:val="002D221A"/>
    <w:rsid w:val="002D2230"/>
    <w:rsid w:val="002D22AF"/>
    <w:rsid w:val="002D2859"/>
    <w:rsid w:val="002D2941"/>
    <w:rsid w:val="002D2AD3"/>
    <w:rsid w:val="002D2C73"/>
    <w:rsid w:val="002D34BD"/>
    <w:rsid w:val="002D3576"/>
    <w:rsid w:val="002D35DB"/>
    <w:rsid w:val="002D37C8"/>
    <w:rsid w:val="002D393B"/>
    <w:rsid w:val="002D3D4E"/>
    <w:rsid w:val="002D3D6A"/>
    <w:rsid w:val="002D3ED6"/>
    <w:rsid w:val="002D3F8F"/>
    <w:rsid w:val="002D4316"/>
    <w:rsid w:val="002D4BA6"/>
    <w:rsid w:val="002D4BD7"/>
    <w:rsid w:val="002D4D4C"/>
    <w:rsid w:val="002D4D80"/>
    <w:rsid w:val="002D4DDE"/>
    <w:rsid w:val="002D4E9C"/>
    <w:rsid w:val="002D4EE2"/>
    <w:rsid w:val="002D4F18"/>
    <w:rsid w:val="002D5B74"/>
    <w:rsid w:val="002D5CC9"/>
    <w:rsid w:val="002D5E15"/>
    <w:rsid w:val="002D5F81"/>
    <w:rsid w:val="002D60D6"/>
    <w:rsid w:val="002D661A"/>
    <w:rsid w:val="002D6764"/>
    <w:rsid w:val="002D69E3"/>
    <w:rsid w:val="002D6A8B"/>
    <w:rsid w:val="002D6CB4"/>
    <w:rsid w:val="002D6CC2"/>
    <w:rsid w:val="002D6FA2"/>
    <w:rsid w:val="002D7258"/>
    <w:rsid w:val="002D74D8"/>
    <w:rsid w:val="002D76B0"/>
    <w:rsid w:val="002D7AAE"/>
    <w:rsid w:val="002E0197"/>
    <w:rsid w:val="002E0BDD"/>
    <w:rsid w:val="002E0DB3"/>
    <w:rsid w:val="002E176B"/>
    <w:rsid w:val="002E1885"/>
    <w:rsid w:val="002E1C1A"/>
    <w:rsid w:val="002E1CFD"/>
    <w:rsid w:val="002E1D2C"/>
    <w:rsid w:val="002E2173"/>
    <w:rsid w:val="002E2268"/>
    <w:rsid w:val="002E266F"/>
    <w:rsid w:val="002E2809"/>
    <w:rsid w:val="002E29D7"/>
    <w:rsid w:val="002E2A5B"/>
    <w:rsid w:val="002E2CC3"/>
    <w:rsid w:val="002E2F11"/>
    <w:rsid w:val="002E304F"/>
    <w:rsid w:val="002E3284"/>
    <w:rsid w:val="002E372A"/>
    <w:rsid w:val="002E3BA6"/>
    <w:rsid w:val="002E444D"/>
    <w:rsid w:val="002E4948"/>
    <w:rsid w:val="002E4A57"/>
    <w:rsid w:val="002E4A5B"/>
    <w:rsid w:val="002E4E36"/>
    <w:rsid w:val="002E4EA9"/>
    <w:rsid w:val="002E51F6"/>
    <w:rsid w:val="002E5227"/>
    <w:rsid w:val="002E54CB"/>
    <w:rsid w:val="002E57DB"/>
    <w:rsid w:val="002E5A80"/>
    <w:rsid w:val="002E5C35"/>
    <w:rsid w:val="002E5E63"/>
    <w:rsid w:val="002E613D"/>
    <w:rsid w:val="002E673A"/>
    <w:rsid w:val="002E6944"/>
    <w:rsid w:val="002E6B36"/>
    <w:rsid w:val="002E7435"/>
    <w:rsid w:val="002E7888"/>
    <w:rsid w:val="002E7889"/>
    <w:rsid w:val="002F003D"/>
    <w:rsid w:val="002F00FA"/>
    <w:rsid w:val="002F019A"/>
    <w:rsid w:val="002F032B"/>
    <w:rsid w:val="002F0393"/>
    <w:rsid w:val="002F0453"/>
    <w:rsid w:val="002F0468"/>
    <w:rsid w:val="002F068F"/>
    <w:rsid w:val="002F06CA"/>
    <w:rsid w:val="002F0768"/>
    <w:rsid w:val="002F0B2A"/>
    <w:rsid w:val="002F0E17"/>
    <w:rsid w:val="002F0E9D"/>
    <w:rsid w:val="002F0EED"/>
    <w:rsid w:val="002F0FD5"/>
    <w:rsid w:val="002F101C"/>
    <w:rsid w:val="002F15B9"/>
    <w:rsid w:val="002F176A"/>
    <w:rsid w:val="002F1BF4"/>
    <w:rsid w:val="002F1CEF"/>
    <w:rsid w:val="002F1D46"/>
    <w:rsid w:val="002F1E25"/>
    <w:rsid w:val="002F1F5B"/>
    <w:rsid w:val="002F1FFC"/>
    <w:rsid w:val="002F26FE"/>
    <w:rsid w:val="002F280E"/>
    <w:rsid w:val="002F2D1B"/>
    <w:rsid w:val="002F2ECF"/>
    <w:rsid w:val="002F3046"/>
    <w:rsid w:val="002F32FC"/>
    <w:rsid w:val="002F3732"/>
    <w:rsid w:val="002F3B6D"/>
    <w:rsid w:val="002F3BF5"/>
    <w:rsid w:val="002F3C60"/>
    <w:rsid w:val="002F3C9F"/>
    <w:rsid w:val="002F3CA4"/>
    <w:rsid w:val="002F403A"/>
    <w:rsid w:val="002F433F"/>
    <w:rsid w:val="002F466B"/>
    <w:rsid w:val="002F486A"/>
    <w:rsid w:val="002F4932"/>
    <w:rsid w:val="002F4BFB"/>
    <w:rsid w:val="002F536C"/>
    <w:rsid w:val="002F53F5"/>
    <w:rsid w:val="002F5888"/>
    <w:rsid w:val="002F6370"/>
    <w:rsid w:val="002F669F"/>
    <w:rsid w:val="002F6719"/>
    <w:rsid w:val="002F691F"/>
    <w:rsid w:val="002F6924"/>
    <w:rsid w:val="002F6AE7"/>
    <w:rsid w:val="002F6B2E"/>
    <w:rsid w:val="002F6D4A"/>
    <w:rsid w:val="002F7098"/>
    <w:rsid w:val="002F7103"/>
    <w:rsid w:val="002F7187"/>
    <w:rsid w:val="002F7B8A"/>
    <w:rsid w:val="002F7D09"/>
    <w:rsid w:val="0030017C"/>
    <w:rsid w:val="00300357"/>
    <w:rsid w:val="00300389"/>
    <w:rsid w:val="00300BD9"/>
    <w:rsid w:val="00300C2C"/>
    <w:rsid w:val="00300EA8"/>
    <w:rsid w:val="00301613"/>
    <w:rsid w:val="00301623"/>
    <w:rsid w:val="003017F4"/>
    <w:rsid w:val="00301CE4"/>
    <w:rsid w:val="00301D64"/>
    <w:rsid w:val="0030203B"/>
    <w:rsid w:val="003020A0"/>
    <w:rsid w:val="003021E9"/>
    <w:rsid w:val="003023EC"/>
    <w:rsid w:val="0030240B"/>
    <w:rsid w:val="00302A6B"/>
    <w:rsid w:val="00302C0D"/>
    <w:rsid w:val="00302EAC"/>
    <w:rsid w:val="00302F99"/>
    <w:rsid w:val="00303418"/>
    <w:rsid w:val="00303472"/>
    <w:rsid w:val="003034B3"/>
    <w:rsid w:val="00303583"/>
    <w:rsid w:val="0030374C"/>
    <w:rsid w:val="00303DFD"/>
    <w:rsid w:val="00303EFB"/>
    <w:rsid w:val="00303F49"/>
    <w:rsid w:val="003042CC"/>
    <w:rsid w:val="0030447F"/>
    <w:rsid w:val="003044FB"/>
    <w:rsid w:val="00304D9C"/>
    <w:rsid w:val="00305605"/>
    <w:rsid w:val="00305738"/>
    <w:rsid w:val="003059F1"/>
    <w:rsid w:val="00305A5E"/>
    <w:rsid w:val="00305A97"/>
    <w:rsid w:val="00305B55"/>
    <w:rsid w:val="00305CE5"/>
    <w:rsid w:val="00305D88"/>
    <w:rsid w:val="00305EA3"/>
    <w:rsid w:val="00305FBC"/>
    <w:rsid w:val="00306052"/>
    <w:rsid w:val="003060A6"/>
    <w:rsid w:val="0030640B"/>
    <w:rsid w:val="003065BF"/>
    <w:rsid w:val="003067D4"/>
    <w:rsid w:val="0030686E"/>
    <w:rsid w:val="0030688E"/>
    <w:rsid w:val="00306B79"/>
    <w:rsid w:val="00306BB0"/>
    <w:rsid w:val="003071F9"/>
    <w:rsid w:val="00307291"/>
    <w:rsid w:val="003078A5"/>
    <w:rsid w:val="00307CA0"/>
    <w:rsid w:val="00307FDE"/>
    <w:rsid w:val="003100BB"/>
    <w:rsid w:val="00310105"/>
    <w:rsid w:val="0031080E"/>
    <w:rsid w:val="00310B1F"/>
    <w:rsid w:val="00310B58"/>
    <w:rsid w:val="00310DF0"/>
    <w:rsid w:val="00310F46"/>
    <w:rsid w:val="00311672"/>
    <w:rsid w:val="00311C97"/>
    <w:rsid w:val="00311D32"/>
    <w:rsid w:val="00312334"/>
    <w:rsid w:val="00312487"/>
    <w:rsid w:val="003124DD"/>
    <w:rsid w:val="00312A22"/>
    <w:rsid w:val="00312DE9"/>
    <w:rsid w:val="003135B8"/>
    <w:rsid w:val="003136F2"/>
    <w:rsid w:val="00313858"/>
    <w:rsid w:val="003138F6"/>
    <w:rsid w:val="00313CF7"/>
    <w:rsid w:val="00313EBC"/>
    <w:rsid w:val="0031425F"/>
    <w:rsid w:val="003142ED"/>
    <w:rsid w:val="00314666"/>
    <w:rsid w:val="003148A0"/>
    <w:rsid w:val="00315390"/>
    <w:rsid w:val="00315633"/>
    <w:rsid w:val="003159D7"/>
    <w:rsid w:val="00315A64"/>
    <w:rsid w:val="00315C44"/>
    <w:rsid w:val="00315C64"/>
    <w:rsid w:val="0031610E"/>
    <w:rsid w:val="003162F4"/>
    <w:rsid w:val="00316314"/>
    <w:rsid w:val="003164B5"/>
    <w:rsid w:val="00316A74"/>
    <w:rsid w:val="00316AB1"/>
    <w:rsid w:val="00316C8A"/>
    <w:rsid w:val="00316D07"/>
    <w:rsid w:val="003170D1"/>
    <w:rsid w:val="003171DF"/>
    <w:rsid w:val="0031754A"/>
    <w:rsid w:val="00317806"/>
    <w:rsid w:val="0031792F"/>
    <w:rsid w:val="00317A89"/>
    <w:rsid w:val="00317C95"/>
    <w:rsid w:val="00317D25"/>
    <w:rsid w:val="00317E54"/>
    <w:rsid w:val="00317E9D"/>
    <w:rsid w:val="00320197"/>
    <w:rsid w:val="00320396"/>
    <w:rsid w:val="00320678"/>
    <w:rsid w:val="00320B53"/>
    <w:rsid w:val="00320BF1"/>
    <w:rsid w:val="00320BFD"/>
    <w:rsid w:val="00320D6C"/>
    <w:rsid w:val="00320E77"/>
    <w:rsid w:val="0032112B"/>
    <w:rsid w:val="00321464"/>
    <w:rsid w:val="00321661"/>
    <w:rsid w:val="003216A0"/>
    <w:rsid w:val="00321989"/>
    <w:rsid w:val="00321C1C"/>
    <w:rsid w:val="00322664"/>
    <w:rsid w:val="0032291B"/>
    <w:rsid w:val="00322977"/>
    <w:rsid w:val="00322ACF"/>
    <w:rsid w:val="00322C43"/>
    <w:rsid w:val="00323023"/>
    <w:rsid w:val="003230DF"/>
    <w:rsid w:val="00323377"/>
    <w:rsid w:val="0032342D"/>
    <w:rsid w:val="003235E2"/>
    <w:rsid w:val="00323606"/>
    <w:rsid w:val="0032373F"/>
    <w:rsid w:val="00323929"/>
    <w:rsid w:val="00323F11"/>
    <w:rsid w:val="003242D8"/>
    <w:rsid w:val="003243D2"/>
    <w:rsid w:val="003247A3"/>
    <w:rsid w:val="003248EB"/>
    <w:rsid w:val="00324CC9"/>
    <w:rsid w:val="00324E03"/>
    <w:rsid w:val="00324E8E"/>
    <w:rsid w:val="00324EE6"/>
    <w:rsid w:val="00324F87"/>
    <w:rsid w:val="00325071"/>
    <w:rsid w:val="0032591C"/>
    <w:rsid w:val="00325B83"/>
    <w:rsid w:val="00325B9C"/>
    <w:rsid w:val="00325D70"/>
    <w:rsid w:val="00325F1E"/>
    <w:rsid w:val="0032602D"/>
    <w:rsid w:val="00326418"/>
    <w:rsid w:val="00326600"/>
    <w:rsid w:val="003266E1"/>
    <w:rsid w:val="00326DFB"/>
    <w:rsid w:val="00326F10"/>
    <w:rsid w:val="00326FC8"/>
    <w:rsid w:val="00327164"/>
    <w:rsid w:val="003271D3"/>
    <w:rsid w:val="00327364"/>
    <w:rsid w:val="0032773E"/>
    <w:rsid w:val="00327ACB"/>
    <w:rsid w:val="00327CF4"/>
    <w:rsid w:val="00327D37"/>
    <w:rsid w:val="00327D9E"/>
    <w:rsid w:val="00327DD0"/>
    <w:rsid w:val="003302AE"/>
    <w:rsid w:val="00330308"/>
    <w:rsid w:val="003304D5"/>
    <w:rsid w:val="003306B3"/>
    <w:rsid w:val="003309E2"/>
    <w:rsid w:val="00330D5A"/>
    <w:rsid w:val="00330E74"/>
    <w:rsid w:val="00331221"/>
    <w:rsid w:val="0033136B"/>
    <w:rsid w:val="0033160A"/>
    <w:rsid w:val="00331AA1"/>
    <w:rsid w:val="00331BA2"/>
    <w:rsid w:val="00331E12"/>
    <w:rsid w:val="00331F83"/>
    <w:rsid w:val="003320DA"/>
    <w:rsid w:val="00332229"/>
    <w:rsid w:val="00332643"/>
    <w:rsid w:val="003327DC"/>
    <w:rsid w:val="00332A37"/>
    <w:rsid w:val="00332AF2"/>
    <w:rsid w:val="00333133"/>
    <w:rsid w:val="00333658"/>
    <w:rsid w:val="003339C1"/>
    <w:rsid w:val="00333ACF"/>
    <w:rsid w:val="00333D56"/>
    <w:rsid w:val="00333DBA"/>
    <w:rsid w:val="00334170"/>
    <w:rsid w:val="003341D9"/>
    <w:rsid w:val="0033431A"/>
    <w:rsid w:val="00334809"/>
    <w:rsid w:val="00334E42"/>
    <w:rsid w:val="00335022"/>
    <w:rsid w:val="00335034"/>
    <w:rsid w:val="003350F3"/>
    <w:rsid w:val="00335228"/>
    <w:rsid w:val="00335484"/>
    <w:rsid w:val="00335A17"/>
    <w:rsid w:val="00335BD7"/>
    <w:rsid w:val="00336636"/>
    <w:rsid w:val="003367B4"/>
    <w:rsid w:val="00336815"/>
    <w:rsid w:val="00336A59"/>
    <w:rsid w:val="00336C51"/>
    <w:rsid w:val="00336C99"/>
    <w:rsid w:val="00336CC7"/>
    <w:rsid w:val="00336E67"/>
    <w:rsid w:val="0033705B"/>
    <w:rsid w:val="003373F5"/>
    <w:rsid w:val="00337448"/>
    <w:rsid w:val="003378F1"/>
    <w:rsid w:val="00337929"/>
    <w:rsid w:val="00337B2E"/>
    <w:rsid w:val="00337F1D"/>
    <w:rsid w:val="00340032"/>
    <w:rsid w:val="003401C8"/>
    <w:rsid w:val="00340464"/>
    <w:rsid w:val="003405E2"/>
    <w:rsid w:val="00340602"/>
    <w:rsid w:val="00340AAF"/>
    <w:rsid w:val="00340DF9"/>
    <w:rsid w:val="00340FB8"/>
    <w:rsid w:val="0034197B"/>
    <w:rsid w:val="003420B9"/>
    <w:rsid w:val="0034245D"/>
    <w:rsid w:val="00342548"/>
    <w:rsid w:val="00342DD9"/>
    <w:rsid w:val="00343479"/>
    <w:rsid w:val="00343846"/>
    <w:rsid w:val="003438E8"/>
    <w:rsid w:val="00343A01"/>
    <w:rsid w:val="00343A1F"/>
    <w:rsid w:val="00344A72"/>
    <w:rsid w:val="00344FDD"/>
    <w:rsid w:val="00345063"/>
    <w:rsid w:val="003452F6"/>
    <w:rsid w:val="003454E4"/>
    <w:rsid w:val="0034560F"/>
    <w:rsid w:val="00345697"/>
    <w:rsid w:val="003459EE"/>
    <w:rsid w:val="00345CAC"/>
    <w:rsid w:val="00345CD9"/>
    <w:rsid w:val="00345E63"/>
    <w:rsid w:val="00346458"/>
    <w:rsid w:val="0034661B"/>
    <w:rsid w:val="00346B30"/>
    <w:rsid w:val="00346B58"/>
    <w:rsid w:val="00346FFA"/>
    <w:rsid w:val="0034711E"/>
    <w:rsid w:val="003473C9"/>
    <w:rsid w:val="00347BAE"/>
    <w:rsid w:val="00347E56"/>
    <w:rsid w:val="00347F15"/>
    <w:rsid w:val="00347FD0"/>
    <w:rsid w:val="00350130"/>
    <w:rsid w:val="00350344"/>
    <w:rsid w:val="00350357"/>
    <w:rsid w:val="0035080B"/>
    <w:rsid w:val="003509B1"/>
    <w:rsid w:val="00350CDE"/>
    <w:rsid w:val="00350E34"/>
    <w:rsid w:val="00351071"/>
    <w:rsid w:val="003510D1"/>
    <w:rsid w:val="0035119C"/>
    <w:rsid w:val="003513A6"/>
    <w:rsid w:val="003516EB"/>
    <w:rsid w:val="003519EA"/>
    <w:rsid w:val="003520D4"/>
    <w:rsid w:val="00352151"/>
    <w:rsid w:val="003525C7"/>
    <w:rsid w:val="00352634"/>
    <w:rsid w:val="00352667"/>
    <w:rsid w:val="00352729"/>
    <w:rsid w:val="00352CB9"/>
    <w:rsid w:val="00352D3D"/>
    <w:rsid w:val="003530B3"/>
    <w:rsid w:val="00353F87"/>
    <w:rsid w:val="00353FBF"/>
    <w:rsid w:val="0035410D"/>
    <w:rsid w:val="0035431F"/>
    <w:rsid w:val="003545AA"/>
    <w:rsid w:val="0035483F"/>
    <w:rsid w:val="00354B3A"/>
    <w:rsid w:val="00354C40"/>
    <w:rsid w:val="00355076"/>
    <w:rsid w:val="003551F5"/>
    <w:rsid w:val="0035536D"/>
    <w:rsid w:val="00355437"/>
    <w:rsid w:val="00355599"/>
    <w:rsid w:val="00355906"/>
    <w:rsid w:val="00355C4D"/>
    <w:rsid w:val="00355D40"/>
    <w:rsid w:val="00355EA6"/>
    <w:rsid w:val="00355FBC"/>
    <w:rsid w:val="00356143"/>
    <w:rsid w:val="0035663A"/>
    <w:rsid w:val="00356777"/>
    <w:rsid w:val="0035684C"/>
    <w:rsid w:val="00356C38"/>
    <w:rsid w:val="00356C70"/>
    <w:rsid w:val="00356D2A"/>
    <w:rsid w:val="00356DE2"/>
    <w:rsid w:val="00357126"/>
    <w:rsid w:val="00357246"/>
    <w:rsid w:val="003572DA"/>
    <w:rsid w:val="003573A3"/>
    <w:rsid w:val="00357484"/>
    <w:rsid w:val="003575C9"/>
    <w:rsid w:val="0035764E"/>
    <w:rsid w:val="00357953"/>
    <w:rsid w:val="00357FBC"/>
    <w:rsid w:val="0036024C"/>
    <w:rsid w:val="00360298"/>
    <w:rsid w:val="00360374"/>
    <w:rsid w:val="00360915"/>
    <w:rsid w:val="003610A8"/>
    <w:rsid w:val="003610AD"/>
    <w:rsid w:val="00361169"/>
    <w:rsid w:val="0036126A"/>
    <w:rsid w:val="00361342"/>
    <w:rsid w:val="003613A0"/>
    <w:rsid w:val="003614FA"/>
    <w:rsid w:val="0036171C"/>
    <w:rsid w:val="00361823"/>
    <w:rsid w:val="003619AA"/>
    <w:rsid w:val="00361C7A"/>
    <w:rsid w:val="00361D9E"/>
    <w:rsid w:val="00362080"/>
    <w:rsid w:val="0036283B"/>
    <w:rsid w:val="00362F0E"/>
    <w:rsid w:val="003632F6"/>
    <w:rsid w:val="003637D5"/>
    <w:rsid w:val="00364087"/>
    <w:rsid w:val="003648E8"/>
    <w:rsid w:val="003649C8"/>
    <w:rsid w:val="00364BA6"/>
    <w:rsid w:val="00364C2B"/>
    <w:rsid w:val="00364F29"/>
    <w:rsid w:val="00364F38"/>
    <w:rsid w:val="00365581"/>
    <w:rsid w:val="00365589"/>
    <w:rsid w:val="00365609"/>
    <w:rsid w:val="003659A4"/>
    <w:rsid w:val="00365A97"/>
    <w:rsid w:val="00365D29"/>
    <w:rsid w:val="00365DC4"/>
    <w:rsid w:val="00365EDE"/>
    <w:rsid w:val="00366230"/>
    <w:rsid w:val="003664B0"/>
    <w:rsid w:val="003665EF"/>
    <w:rsid w:val="00366842"/>
    <w:rsid w:val="00366FFE"/>
    <w:rsid w:val="0036753D"/>
    <w:rsid w:val="00367674"/>
    <w:rsid w:val="003676EE"/>
    <w:rsid w:val="00367B16"/>
    <w:rsid w:val="00367CA3"/>
    <w:rsid w:val="0037049C"/>
    <w:rsid w:val="003712C2"/>
    <w:rsid w:val="00371307"/>
    <w:rsid w:val="003713A5"/>
    <w:rsid w:val="003719BC"/>
    <w:rsid w:val="00371C65"/>
    <w:rsid w:val="00372196"/>
    <w:rsid w:val="003725CE"/>
    <w:rsid w:val="00372B78"/>
    <w:rsid w:val="00372D0E"/>
    <w:rsid w:val="00372D42"/>
    <w:rsid w:val="00372F04"/>
    <w:rsid w:val="00373210"/>
    <w:rsid w:val="003733B7"/>
    <w:rsid w:val="0037369F"/>
    <w:rsid w:val="0037389E"/>
    <w:rsid w:val="00373992"/>
    <w:rsid w:val="00373B93"/>
    <w:rsid w:val="00373D95"/>
    <w:rsid w:val="00373F91"/>
    <w:rsid w:val="00374680"/>
    <w:rsid w:val="00374B73"/>
    <w:rsid w:val="00374BBC"/>
    <w:rsid w:val="00374EDD"/>
    <w:rsid w:val="003750BB"/>
    <w:rsid w:val="0037530B"/>
    <w:rsid w:val="003757CB"/>
    <w:rsid w:val="00375949"/>
    <w:rsid w:val="00375C37"/>
    <w:rsid w:val="00375FD6"/>
    <w:rsid w:val="0037619E"/>
    <w:rsid w:val="00376238"/>
    <w:rsid w:val="00376402"/>
    <w:rsid w:val="003767F7"/>
    <w:rsid w:val="00376A87"/>
    <w:rsid w:val="00376F8C"/>
    <w:rsid w:val="0037702F"/>
    <w:rsid w:val="00377110"/>
    <w:rsid w:val="003771A6"/>
    <w:rsid w:val="0037722B"/>
    <w:rsid w:val="00377262"/>
    <w:rsid w:val="00377393"/>
    <w:rsid w:val="003779EE"/>
    <w:rsid w:val="00377D7D"/>
    <w:rsid w:val="00380094"/>
    <w:rsid w:val="003800E9"/>
    <w:rsid w:val="0038017D"/>
    <w:rsid w:val="0038024D"/>
    <w:rsid w:val="003803D4"/>
    <w:rsid w:val="003809ED"/>
    <w:rsid w:val="00380C88"/>
    <w:rsid w:val="00380EC7"/>
    <w:rsid w:val="00381039"/>
    <w:rsid w:val="00381389"/>
    <w:rsid w:val="00381667"/>
    <w:rsid w:val="003817F1"/>
    <w:rsid w:val="00381892"/>
    <w:rsid w:val="00381CC3"/>
    <w:rsid w:val="00381D88"/>
    <w:rsid w:val="0038271B"/>
    <w:rsid w:val="00382770"/>
    <w:rsid w:val="0038293E"/>
    <w:rsid w:val="00382A8D"/>
    <w:rsid w:val="00382F9B"/>
    <w:rsid w:val="0038305B"/>
    <w:rsid w:val="00383149"/>
    <w:rsid w:val="00383165"/>
    <w:rsid w:val="00383335"/>
    <w:rsid w:val="0038343B"/>
    <w:rsid w:val="0038344E"/>
    <w:rsid w:val="003834CA"/>
    <w:rsid w:val="003835A9"/>
    <w:rsid w:val="00383C4B"/>
    <w:rsid w:val="003843D3"/>
    <w:rsid w:val="00384441"/>
    <w:rsid w:val="0038458A"/>
    <w:rsid w:val="003846AA"/>
    <w:rsid w:val="00384DA2"/>
    <w:rsid w:val="003855C7"/>
    <w:rsid w:val="0038560E"/>
    <w:rsid w:val="00385801"/>
    <w:rsid w:val="00385913"/>
    <w:rsid w:val="00385B84"/>
    <w:rsid w:val="00385F9F"/>
    <w:rsid w:val="00386035"/>
    <w:rsid w:val="00386109"/>
    <w:rsid w:val="00386316"/>
    <w:rsid w:val="003865D6"/>
    <w:rsid w:val="00386768"/>
    <w:rsid w:val="00386823"/>
    <w:rsid w:val="00387119"/>
    <w:rsid w:val="003872E6"/>
    <w:rsid w:val="003873EB"/>
    <w:rsid w:val="00387B1E"/>
    <w:rsid w:val="00387C23"/>
    <w:rsid w:val="00387C70"/>
    <w:rsid w:val="00387FC3"/>
    <w:rsid w:val="003902A4"/>
    <w:rsid w:val="003903BB"/>
    <w:rsid w:val="00390530"/>
    <w:rsid w:val="0039061A"/>
    <w:rsid w:val="00390781"/>
    <w:rsid w:val="00390913"/>
    <w:rsid w:val="00390A30"/>
    <w:rsid w:val="00390D21"/>
    <w:rsid w:val="00390D5A"/>
    <w:rsid w:val="0039109C"/>
    <w:rsid w:val="00391190"/>
    <w:rsid w:val="003912F7"/>
    <w:rsid w:val="00391344"/>
    <w:rsid w:val="00391364"/>
    <w:rsid w:val="003913C6"/>
    <w:rsid w:val="00391514"/>
    <w:rsid w:val="00391657"/>
    <w:rsid w:val="00391669"/>
    <w:rsid w:val="0039176D"/>
    <w:rsid w:val="003917F9"/>
    <w:rsid w:val="003918A1"/>
    <w:rsid w:val="00392048"/>
    <w:rsid w:val="003931A1"/>
    <w:rsid w:val="003931AC"/>
    <w:rsid w:val="003935E2"/>
    <w:rsid w:val="003936C1"/>
    <w:rsid w:val="003938E6"/>
    <w:rsid w:val="00393A0C"/>
    <w:rsid w:val="00393BDD"/>
    <w:rsid w:val="00393BFE"/>
    <w:rsid w:val="00393CF7"/>
    <w:rsid w:val="00394056"/>
    <w:rsid w:val="003945C6"/>
    <w:rsid w:val="00394BC4"/>
    <w:rsid w:val="00395A92"/>
    <w:rsid w:val="00395CB0"/>
    <w:rsid w:val="003961D2"/>
    <w:rsid w:val="003964CD"/>
    <w:rsid w:val="00396B5F"/>
    <w:rsid w:val="00396D1F"/>
    <w:rsid w:val="00396D60"/>
    <w:rsid w:val="00396D63"/>
    <w:rsid w:val="00396F43"/>
    <w:rsid w:val="003976C2"/>
    <w:rsid w:val="00397900"/>
    <w:rsid w:val="00397AA9"/>
    <w:rsid w:val="00397DD7"/>
    <w:rsid w:val="003A02CC"/>
    <w:rsid w:val="003A0383"/>
    <w:rsid w:val="003A0500"/>
    <w:rsid w:val="003A0501"/>
    <w:rsid w:val="003A073F"/>
    <w:rsid w:val="003A07F6"/>
    <w:rsid w:val="003A0A37"/>
    <w:rsid w:val="003A0B77"/>
    <w:rsid w:val="003A0F3C"/>
    <w:rsid w:val="003A122E"/>
    <w:rsid w:val="003A123D"/>
    <w:rsid w:val="003A16B4"/>
    <w:rsid w:val="003A184B"/>
    <w:rsid w:val="003A1AAE"/>
    <w:rsid w:val="003A1C38"/>
    <w:rsid w:val="003A1E82"/>
    <w:rsid w:val="003A2044"/>
    <w:rsid w:val="003A21E1"/>
    <w:rsid w:val="003A22EC"/>
    <w:rsid w:val="003A25B7"/>
    <w:rsid w:val="003A2673"/>
    <w:rsid w:val="003A3081"/>
    <w:rsid w:val="003A30DB"/>
    <w:rsid w:val="003A3112"/>
    <w:rsid w:val="003A34ED"/>
    <w:rsid w:val="003A3A32"/>
    <w:rsid w:val="003A3CC3"/>
    <w:rsid w:val="003A442A"/>
    <w:rsid w:val="003A49C1"/>
    <w:rsid w:val="003A4A02"/>
    <w:rsid w:val="003A4D52"/>
    <w:rsid w:val="003A5008"/>
    <w:rsid w:val="003A516F"/>
    <w:rsid w:val="003A5691"/>
    <w:rsid w:val="003A5868"/>
    <w:rsid w:val="003A5E02"/>
    <w:rsid w:val="003A5ECC"/>
    <w:rsid w:val="003A5EE2"/>
    <w:rsid w:val="003A6308"/>
    <w:rsid w:val="003A652B"/>
    <w:rsid w:val="003A69BD"/>
    <w:rsid w:val="003A6B63"/>
    <w:rsid w:val="003A6B95"/>
    <w:rsid w:val="003A6C7D"/>
    <w:rsid w:val="003A6DA1"/>
    <w:rsid w:val="003A74E0"/>
    <w:rsid w:val="003A782F"/>
    <w:rsid w:val="003B008B"/>
    <w:rsid w:val="003B0206"/>
    <w:rsid w:val="003B029A"/>
    <w:rsid w:val="003B04B4"/>
    <w:rsid w:val="003B0575"/>
    <w:rsid w:val="003B0788"/>
    <w:rsid w:val="003B12F4"/>
    <w:rsid w:val="003B1443"/>
    <w:rsid w:val="003B1496"/>
    <w:rsid w:val="003B18ED"/>
    <w:rsid w:val="003B1A1A"/>
    <w:rsid w:val="003B1DA6"/>
    <w:rsid w:val="003B1E2E"/>
    <w:rsid w:val="003B1E8F"/>
    <w:rsid w:val="003B205C"/>
    <w:rsid w:val="003B233E"/>
    <w:rsid w:val="003B2433"/>
    <w:rsid w:val="003B27AE"/>
    <w:rsid w:val="003B285A"/>
    <w:rsid w:val="003B2914"/>
    <w:rsid w:val="003B2C28"/>
    <w:rsid w:val="003B2EAF"/>
    <w:rsid w:val="003B2EEF"/>
    <w:rsid w:val="003B3190"/>
    <w:rsid w:val="003B32A2"/>
    <w:rsid w:val="003B330B"/>
    <w:rsid w:val="003B35CB"/>
    <w:rsid w:val="003B35E6"/>
    <w:rsid w:val="003B37B3"/>
    <w:rsid w:val="003B385F"/>
    <w:rsid w:val="003B3A0F"/>
    <w:rsid w:val="003B42BA"/>
    <w:rsid w:val="003B45E0"/>
    <w:rsid w:val="003B4653"/>
    <w:rsid w:val="003B46E8"/>
    <w:rsid w:val="003B4FBD"/>
    <w:rsid w:val="003B5360"/>
    <w:rsid w:val="003B5595"/>
    <w:rsid w:val="003B5A39"/>
    <w:rsid w:val="003B5A5F"/>
    <w:rsid w:val="003B5CDA"/>
    <w:rsid w:val="003B5E58"/>
    <w:rsid w:val="003B6122"/>
    <w:rsid w:val="003B68A1"/>
    <w:rsid w:val="003B6C67"/>
    <w:rsid w:val="003B747C"/>
    <w:rsid w:val="003B7526"/>
    <w:rsid w:val="003B7716"/>
    <w:rsid w:val="003B7841"/>
    <w:rsid w:val="003B7A7F"/>
    <w:rsid w:val="003B7C69"/>
    <w:rsid w:val="003B7DC6"/>
    <w:rsid w:val="003B7E70"/>
    <w:rsid w:val="003B7EAF"/>
    <w:rsid w:val="003C0627"/>
    <w:rsid w:val="003C0952"/>
    <w:rsid w:val="003C0CD3"/>
    <w:rsid w:val="003C0E9E"/>
    <w:rsid w:val="003C10B8"/>
    <w:rsid w:val="003C12B7"/>
    <w:rsid w:val="003C1487"/>
    <w:rsid w:val="003C19A1"/>
    <w:rsid w:val="003C1B4F"/>
    <w:rsid w:val="003C2098"/>
    <w:rsid w:val="003C20BB"/>
    <w:rsid w:val="003C2609"/>
    <w:rsid w:val="003C2859"/>
    <w:rsid w:val="003C28D0"/>
    <w:rsid w:val="003C2D10"/>
    <w:rsid w:val="003C37E7"/>
    <w:rsid w:val="003C37E9"/>
    <w:rsid w:val="003C3802"/>
    <w:rsid w:val="003C3A21"/>
    <w:rsid w:val="003C3C88"/>
    <w:rsid w:val="003C4078"/>
    <w:rsid w:val="003C41A9"/>
    <w:rsid w:val="003C4260"/>
    <w:rsid w:val="003C4332"/>
    <w:rsid w:val="003C4541"/>
    <w:rsid w:val="003C4A7E"/>
    <w:rsid w:val="003C508F"/>
    <w:rsid w:val="003C556E"/>
    <w:rsid w:val="003C56A1"/>
    <w:rsid w:val="003C595B"/>
    <w:rsid w:val="003C5DFC"/>
    <w:rsid w:val="003C5F4F"/>
    <w:rsid w:val="003C6535"/>
    <w:rsid w:val="003C6A5E"/>
    <w:rsid w:val="003C6BD3"/>
    <w:rsid w:val="003C6C2D"/>
    <w:rsid w:val="003C6CEB"/>
    <w:rsid w:val="003C6DC5"/>
    <w:rsid w:val="003C7076"/>
    <w:rsid w:val="003C7096"/>
    <w:rsid w:val="003C725A"/>
    <w:rsid w:val="003C7398"/>
    <w:rsid w:val="003C7497"/>
    <w:rsid w:val="003C75AA"/>
    <w:rsid w:val="003C75C7"/>
    <w:rsid w:val="003C7761"/>
    <w:rsid w:val="003C778B"/>
    <w:rsid w:val="003C77FF"/>
    <w:rsid w:val="003C7C0F"/>
    <w:rsid w:val="003C7E04"/>
    <w:rsid w:val="003D0644"/>
    <w:rsid w:val="003D0691"/>
    <w:rsid w:val="003D0F22"/>
    <w:rsid w:val="003D0FEA"/>
    <w:rsid w:val="003D1165"/>
    <w:rsid w:val="003D1191"/>
    <w:rsid w:val="003D133B"/>
    <w:rsid w:val="003D156C"/>
    <w:rsid w:val="003D1988"/>
    <w:rsid w:val="003D19B6"/>
    <w:rsid w:val="003D1C6B"/>
    <w:rsid w:val="003D1F9A"/>
    <w:rsid w:val="003D2013"/>
    <w:rsid w:val="003D20E9"/>
    <w:rsid w:val="003D20F2"/>
    <w:rsid w:val="003D23B6"/>
    <w:rsid w:val="003D2767"/>
    <w:rsid w:val="003D2BD6"/>
    <w:rsid w:val="003D2D7D"/>
    <w:rsid w:val="003D2E4F"/>
    <w:rsid w:val="003D30B2"/>
    <w:rsid w:val="003D3123"/>
    <w:rsid w:val="003D3152"/>
    <w:rsid w:val="003D358D"/>
    <w:rsid w:val="003D3BDB"/>
    <w:rsid w:val="003D3EAA"/>
    <w:rsid w:val="003D4175"/>
    <w:rsid w:val="003D423F"/>
    <w:rsid w:val="003D44D3"/>
    <w:rsid w:val="003D4620"/>
    <w:rsid w:val="003D4BAA"/>
    <w:rsid w:val="003D4E52"/>
    <w:rsid w:val="003D4F24"/>
    <w:rsid w:val="003D5248"/>
    <w:rsid w:val="003D5396"/>
    <w:rsid w:val="003D5485"/>
    <w:rsid w:val="003D55DB"/>
    <w:rsid w:val="003D57AD"/>
    <w:rsid w:val="003D59AD"/>
    <w:rsid w:val="003D5B05"/>
    <w:rsid w:val="003D5B12"/>
    <w:rsid w:val="003D5D7E"/>
    <w:rsid w:val="003D5DAC"/>
    <w:rsid w:val="003D5F3C"/>
    <w:rsid w:val="003D616A"/>
    <w:rsid w:val="003D618C"/>
    <w:rsid w:val="003D62E6"/>
    <w:rsid w:val="003D654C"/>
    <w:rsid w:val="003D66A2"/>
    <w:rsid w:val="003D7042"/>
    <w:rsid w:val="003D7103"/>
    <w:rsid w:val="003D7349"/>
    <w:rsid w:val="003D73E3"/>
    <w:rsid w:val="003E0207"/>
    <w:rsid w:val="003E0349"/>
    <w:rsid w:val="003E0430"/>
    <w:rsid w:val="003E0511"/>
    <w:rsid w:val="003E05C6"/>
    <w:rsid w:val="003E05D5"/>
    <w:rsid w:val="003E0620"/>
    <w:rsid w:val="003E10D7"/>
    <w:rsid w:val="003E1A70"/>
    <w:rsid w:val="003E1B26"/>
    <w:rsid w:val="003E1CDA"/>
    <w:rsid w:val="003E1E41"/>
    <w:rsid w:val="003E249F"/>
    <w:rsid w:val="003E28DA"/>
    <w:rsid w:val="003E2B36"/>
    <w:rsid w:val="003E2E67"/>
    <w:rsid w:val="003E2E76"/>
    <w:rsid w:val="003E30AB"/>
    <w:rsid w:val="003E329C"/>
    <w:rsid w:val="003E32B3"/>
    <w:rsid w:val="003E32DD"/>
    <w:rsid w:val="003E344B"/>
    <w:rsid w:val="003E3B0B"/>
    <w:rsid w:val="003E3C4C"/>
    <w:rsid w:val="003E4026"/>
    <w:rsid w:val="003E4173"/>
    <w:rsid w:val="003E4312"/>
    <w:rsid w:val="003E4A4B"/>
    <w:rsid w:val="003E4D5E"/>
    <w:rsid w:val="003E4DE8"/>
    <w:rsid w:val="003E4F96"/>
    <w:rsid w:val="003E5422"/>
    <w:rsid w:val="003E54CD"/>
    <w:rsid w:val="003E5507"/>
    <w:rsid w:val="003E57AD"/>
    <w:rsid w:val="003E5B31"/>
    <w:rsid w:val="003E5DB0"/>
    <w:rsid w:val="003E6236"/>
    <w:rsid w:val="003E62C2"/>
    <w:rsid w:val="003E6513"/>
    <w:rsid w:val="003E67C5"/>
    <w:rsid w:val="003E77E2"/>
    <w:rsid w:val="003E79E9"/>
    <w:rsid w:val="003E7AA3"/>
    <w:rsid w:val="003E7AF2"/>
    <w:rsid w:val="003E7CA6"/>
    <w:rsid w:val="003F014B"/>
    <w:rsid w:val="003F028A"/>
    <w:rsid w:val="003F0C2A"/>
    <w:rsid w:val="003F0D91"/>
    <w:rsid w:val="003F12A1"/>
    <w:rsid w:val="003F17FF"/>
    <w:rsid w:val="003F1A57"/>
    <w:rsid w:val="003F1D35"/>
    <w:rsid w:val="003F20BD"/>
    <w:rsid w:val="003F20CE"/>
    <w:rsid w:val="003F2152"/>
    <w:rsid w:val="003F22B9"/>
    <w:rsid w:val="003F2AB5"/>
    <w:rsid w:val="003F2ADE"/>
    <w:rsid w:val="003F32AA"/>
    <w:rsid w:val="003F3717"/>
    <w:rsid w:val="003F391F"/>
    <w:rsid w:val="003F39D0"/>
    <w:rsid w:val="003F39EC"/>
    <w:rsid w:val="003F3FD3"/>
    <w:rsid w:val="003F416D"/>
    <w:rsid w:val="003F41C9"/>
    <w:rsid w:val="003F4270"/>
    <w:rsid w:val="003F42EE"/>
    <w:rsid w:val="003F4781"/>
    <w:rsid w:val="003F47B6"/>
    <w:rsid w:val="003F480A"/>
    <w:rsid w:val="003F48AC"/>
    <w:rsid w:val="003F4A1E"/>
    <w:rsid w:val="003F4B0C"/>
    <w:rsid w:val="003F4C08"/>
    <w:rsid w:val="003F4E91"/>
    <w:rsid w:val="003F4EB2"/>
    <w:rsid w:val="003F4F83"/>
    <w:rsid w:val="003F5468"/>
    <w:rsid w:val="003F54C1"/>
    <w:rsid w:val="003F54D6"/>
    <w:rsid w:val="003F5D2D"/>
    <w:rsid w:val="003F5F3B"/>
    <w:rsid w:val="003F6363"/>
    <w:rsid w:val="003F6965"/>
    <w:rsid w:val="003F6D68"/>
    <w:rsid w:val="003F7448"/>
    <w:rsid w:val="003F74C4"/>
    <w:rsid w:val="003F7CA8"/>
    <w:rsid w:val="003F7D53"/>
    <w:rsid w:val="0040023B"/>
    <w:rsid w:val="004002CA"/>
    <w:rsid w:val="004003A4"/>
    <w:rsid w:val="00400671"/>
    <w:rsid w:val="00400764"/>
    <w:rsid w:val="00400C86"/>
    <w:rsid w:val="004012DD"/>
    <w:rsid w:val="00401C14"/>
    <w:rsid w:val="00401FD6"/>
    <w:rsid w:val="0040224A"/>
    <w:rsid w:val="00402589"/>
    <w:rsid w:val="00402949"/>
    <w:rsid w:val="00402B9A"/>
    <w:rsid w:val="00402E6F"/>
    <w:rsid w:val="00402EDD"/>
    <w:rsid w:val="00402F22"/>
    <w:rsid w:val="004031D0"/>
    <w:rsid w:val="00403B10"/>
    <w:rsid w:val="00403C0B"/>
    <w:rsid w:val="00403E26"/>
    <w:rsid w:val="00404021"/>
    <w:rsid w:val="00404061"/>
    <w:rsid w:val="004040E9"/>
    <w:rsid w:val="004042BA"/>
    <w:rsid w:val="00404519"/>
    <w:rsid w:val="004045F6"/>
    <w:rsid w:val="004047A8"/>
    <w:rsid w:val="00404A6F"/>
    <w:rsid w:val="00404BBC"/>
    <w:rsid w:val="00404E48"/>
    <w:rsid w:val="00404F77"/>
    <w:rsid w:val="00405153"/>
    <w:rsid w:val="00405332"/>
    <w:rsid w:val="00405581"/>
    <w:rsid w:val="00405614"/>
    <w:rsid w:val="00405790"/>
    <w:rsid w:val="00405810"/>
    <w:rsid w:val="00405AAC"/>
    <w:rsid w:val="00405E70"/>
    <w:rsid w:val="00405EEE"/>
    <w:rsid w:val="004061C3"/>
    <w:rsid w:val="0040659F"/>
    <w:rsid w:val="00406A4F"/>
    <w:rsid w:val="0040714E"/>
    <w:rsid w:val="004074CB"/>
    <w:rsid w:val="00407A02"/>
    <w:rsid w:val="00407B41"/>
    <w:rsid w:val="00407C06"/>
    <w:rsid w:val="00407CD9"/>
    <w:rsid w:val="00407DBC"/>
    <w:rsid w:val="004100E3"/>
    <w:rsid w:val="00410580"/>
    <w:rsid w:val="004107E0"/>
    <w:rsid w:val="00410A24"/>
    <w:rsid w:val="00410B6C"/>
    <w:rsid w:val="00410BCE"/>
    <w:rsid w:val="004110D6"/>
    <w:rsid w:val="004111F3"/>
    <w:rsid w:val="004113C2"/>
    <w:rsid w:val="004113CA"/>
    <w:rsid w:val="004114B3"/>
    <w:rsid w:val="00411573"/>
    <w:rsid w:val="004117DA"/>
    <w:rsid w:val="00411A8B"/>
    <w:rsid w:val="00411C5D"/>
    <w:rsid w:val="00411D56"/>
    <w:rsid w:val="00411DC2"/>
    <w:rsid w:val="0041211E"/>
    <w:rsid w:val="0041213B"/>
    <w:rsid w:val="0041222E"/>
    <w:rsid w:val="0041245B"/>
    <w:rsid w:val="004128CF"/>
    <w:rsid w:val="00412C7B"/>
    <w:rsid w:val="00412CB6"/>
    <w:rsid w:val="00412D99"/>
    <w:rsid w:val="00412F3B"/>
    <w:rsid w:val="00413092"/>
    <w:rsid w:val="00413286"/>
    <w:rsid w:val="00413500"/>
    <w:rsid w:val="004136CF"/>
    <w:rsid w:val="00413713"/>
    <w:rsid w:val="00413845"/>
    <w:rsid w:val="00413855"/>
    <w:rsid w:val="00413C59"/>
    <w:rsid w:val="00413CD9"/>
    <w:rsid w:val="00413D86"/>
    <w:rsid w:val="00413DB3"/>
    <w:rsid w:val="0041403D"/>
    <w:rsid w:val="004140D0"/>
    <w:rsid w:val="004146C7"/>
    <w:rsid w:val="00414749"/>
    <w:rsid w:val="00414855"/>
    <w:rsid w:val="004148EF"/>
    <w:rsid w:val="0041498B"/>
    <w:rsid w:val="00414A20"/>
    <w:rsid w:val="00414C34"/>
    <w:rsid w:val="0041571A"/>
    <w:rsid w:val="004159D0"/>
    <w:rsid w:val="004161F5"/>
    <w:rsid w:val="0041633B"/>
    <w:rsid w:val="00416656"/>
    <w:rsid w:val="00416AED"/>
    <w:rsid w:val="00417399"/>
    <w:rsid w:val="00417769"/>
    <w:rsid w:val="004177C1"/>
    <w:rsid w:val="00417A3F"/>
    <w:rsid w:val="00417BC5"/>
    <w:rsid w:val="0042023E"/>
    <w:rsid w:val="004204D5"/>
    <w:rsid w:val="00420B1F"/>
    <w:rsid w:val="00420B7B"/>
    <w:rsid w:val="00420C39"/>
    <w:rsid w:val="00420C3D"/>
    <w:rsid w:val="00420CCD"/>
    <w:rsid w:val="004210F1"/>
    <w:rsid w:val="00421550"/>
    <w:rsid w:val="00421605"/>
    <w:rsid w:val="00421618"/>
    <w:rsid w:val="00421787"/>
    <w:rsid w:val="00421A25"/>
    <w:rsid w:val="00421E15"/>
    <w:rsid w:val="00421EB9"/>
    <w:rsid w:val="00422493"/>
    <w:rsid w:val="0042253A"/>
    <w:rsid w:val="00422859"/>
    <w:rsid w:val="00422AE8"/>
    <w:rsid w:val="00422F51"/>
    <w:rsid w:val="004232EE"/>
    <w:rsid w:val="0042333D"/>
    <w:rsid w:val="004233D4"/>
    <w:rsid w:val="004235FD"/>
    <w:rsid w:val="004236B4"/>
    <w:rsid w:val="004236DD"/>
    <w:rsid w:val="00423A1C"/>
    <w:rsid w:val="00423A46"/>
    <w:rsid w:val="00423C88"/>
    <w:rsid w:val="00423D45"/>
    <w:rsid w:val="004242F0"/>
    <w:rsid w:val="004243C0"/>
    <w:rsid w:val="0042453D"/>
    <w:rsid w:val="004246BB"/>
    <w:rsid w:val="0042483F"/>
    <w:rsid w:val="00424DA8"/>
    <w:rsid w:val="00425725"/>
    <w:rsid w:val="00425DBF"/>
    <w:rsid w:val="00425E98"/>
    <w:rsid w:val="00426069"/>
    <w:rsid w:val="004260BC"/>
    <w:rsid w:val="00426401"/>
    <w:rsid w:val="00426428"/>
    <w:rsid w:val="00426B27"/>
    <w:rsid w:val="004271F2"/>
    <w:rsid w:val="00427375"/>
    <w:rsid w:val="0042741C"/>
    <w:rsid w:val="004279AF"/>
    <w:rsid w:val="00427A7A"/>
    <w:rsid w:val="00427C2D"/>
    <w:rsid w:val="0043019D"/>
    <w:rsid w:val="00430620"/>
    <w:rsid w:val="00430A23"/>
    <w:rsid w:val="00430B51"/>
    <w:rsid w:val="00430C9A"/>
    <w:rsid w:val="00430CA7"/>
    <w:rsid w:val="00430D31"/>
    <w:rsid w:val="00430FDB"/>
    <w:rsid w:val="0043159B"/>
    <w:rsid w:val="00431650"/>
    <w:rsid w:val="00431A5E"/>
    <w:rsid w:val="00431C54"/>
    <w:rsid w:val="00431C6E"/>
    <w:rsid w:val="00431CF5"/>
    <w:rsid w:val="00431EC3"/>
    <w:rsid w:val="00431F81"/>
    <w:rsid w:val="004320F5"/>
    <w:rsid w:val="004324D0"/>
    <w:rsid w:val="00432665"/>
    <w:rsid w:val="0043278B"/>
    <w:rsid w:val="00432879"/>
    <w:rsid w:val="00432E28"/>
    <w:rsid w:val="00432E66"/>
    <w:rsid w:val="0043302E"/>
    <w:rsid w:val="0043355E"/>
    <w:rsid w:val="004337BE"/>
    <w:rsid w:val="00433A3A"/>
    <w:rsid w:val="00433A3D"/>
    <w:rsid w:val="00433B7A"/>
    <w:rsid w:val="00434072"/>
    <w:rsid w:val="00434116"/>
    <w:rsid w:val="004348E1"/>
    <w:rsid w:val="00434F84"/>
    <w:rsid w:val="0043547E"/>
    <w:rsid w:val="004357D3"/>
    <w:rsid w:val="0043585E"/>
    <w:rsid w:val="004359DF"/>
    <w:rsid w:val="004359F7"/>
    <w:rsid w:val="00435ABB"/>
    <w:rsid w:val="00435B6F"/>
    <w:rsid w:val="00435B9E"/>
    <w:rsid w:val="00435CD5"/>
    <w:rsid w:val="00435D25"/>
    <w:rsid w:val="0043649C"/>
    <w:rsid w:val="004369B6"/>
    <w:rsid w:val="004369DF"/>
    <w:rsid w:val="00436AD9"/>
    <w:rsid w:val="00437371"/>
    <w:rsid w:val="004374BE"/>
    <w:rsid w:val="004375E0"/>
    <w:rsid w:val="004379C3"/>
    <w:rsid w:val="004404C0"/>
    <w:rsid w:val="00440AA8"/>
    <w:rsid w:val="00440C88"/>
    <w:rsid w:val="00440DEB"/>
    <w:rsid w:val="00441960"/>
    <w:rsid w:val="00441A70"/>
    <w:rsid w:val="00441ACA"/>
    <w:rsid w:val="00441D43"/>
    <w:rsid w:val="00441F67"/>
    <w:rsid w:val="00442018"/>
    <w:rsid w:val="00442058"/>
    <w:rsid w:val="00442269"/>
    <w:rsid w:val="00442322"/>
    <w:rsid w:val="00442A7A"/>
    <w:rsid w:val="0044311E"/>
    <w:rsid w:val="004433E5"/>
    <w:rsid w:val="00443917"/>
    <w:rsid w:val="00443D31"/>
    <w:rsid w:val="00443DBD"/>
    <w:rsid w:val="004442A3"/>
    <w:rsid w:val="004443FE"/>
    <w:rsid w:val="004444FC"/>
    <w:rsid w:val="0044456B"/>
    <w:rsid w:val="00444620"/>
    <w:rsid w:val="00444CFD"/>
    <w:rsid w:val="00444EA9"/>
    <w:rsid w:val="00444F2A"/>
    <w:rsid w:val="00445872"/>
    <w:rsid w:val="00445878"/>
    <w:rsid w:val="00445966"/>
    <w:rsid w:val="00445AAE"/>
    <w:rsid w:val="00445C56"/>
    <w:rsid w:val="00445C58"/>
    <w:rsid w:val="00445D14"/>
    <w:rsid w:val="004463FB"/>
    <w:rsid w:val="0044650A"/>
    <w:rsid w:val="0044652C"/>
    <w:rsid w:val="0044660F"/>
    <w:rsid w:val="00446758"/>
    <w:rsid w:val="004468CB"/>
    <w:rsid w:val="00446CAE"/>
    <w:rsid w:val="004471F7"/>
    <w:rsid w:val="004472A6"/>
    <w:rsid w:val="004476C1"/>
    <w:rsid w:val="00450111"/>
    <w:rsid w:val="00450376"/>
    <w:rsid w:val="004504EF"/>
    <w:rsid w:val="004505A7"/>
    <w:rsid w:val="004509C0"/>
    <w:rsid w:val="00450A55"/>
    <w:rsid w:val="00450E26"/>
    <w:rsid w:val="00450F5E"/>
    <w:rsid w:val="00451223"/>
    <w:rsid w:val="004514A5"/>
    <w:rsid w:val="00451AF3"/>
    <w:rsid w:val="00451FFD"/>
    <w:rsid w:val="00452068"/>
    <w:rsid w:val="004520E1"/>
    <w:rsid w:val="00452141"/>
    <w:rsid w:val="0045236C"/>
    <w:rsid w:val="00452512"/>
    <w:rsid w:val="00452579"/>
    <w:rsid w:val="0045273B"/>
    <w:rsid w:val="00452D6D"/>
    <w:rsid w:val="00452ED3"/>
    <w:rsid w:val="00452F2D"/>
    <w:rsid w:val="00453009"/>
    <w:rsid w:val="00453092"/>
    <w:rsid w:val="004531B1"/>
    <w:rsid w:val="00453236"/>
    <w:rsid w:val="00453914"/>
    <w:rsid w:val="00453F1E"/>
    <w:rsid w:val="0045421A"/>
    <w:rsid w:val="00454339"/>
    <w:rsid w:val="00454445"/>
    <w:rsid w:val="00454DCA"/>
    <w:rsid w:val="00454E38"/>
    <w:rsid w:val="00455541"/>
    <w:rsid w:val="0045565E"/>
    <w:rsid w:val="004558D8"/>
    <w:rsid w:val="00455FD6"/>
    <w:rsid w:val="00456268"/>
    <w:rsid w:val="00457523"/>
    <w:rsid w:val="004577B3"/>
    <w:rsid w:val="00457AC3"/>
    <w:rsid w:val="00457E97"/>
    <w:rsid w:val="00457EAF"/>
    <w:rsid w:val="004603BE"/>
    <w:rsid w:val="004604F9"/>
    <w:rsid w:val="00460516"/>
    <w:rsid w:val="004605A5"/>
    <w:rsid w:val="004606D9"/>
    <w:rsid w:val="004606E6"/>
    <w:rsid w:val="00460808"/>
    <w:rsid w:val="0046097E"/>
    <w:rsid w:val="00460A78"/>
    <w:rsid w:val="00460BC7"/>
    <w:rsid w:val="00461123"/>
    <w:rsid w:val="004612E6"/>
    <w:rsid w:val="004617AD"/>
    <w:rsid w:val="00461936"/>
    <w:rsid w:val="004619F5"/>
    <w:rsid w:val="00461CDE"/>
    <w:rsid w:val="00461D4C"/>
    <w:rsid w:val="00461D7A"/>
    <w:rsid w:val="00462044"/>
    <w:rsid w:val="004628F9"/>
    <w:rsid w:val="00462937"/>
    <w:rsid w:val="00462A26"/>
    <w:rsid w:val="00462BD0"/>
    <w:rsid w:val="00462E3C"/>
    <w:rsid w:val="004631C8"/>
    <w:rsid w:val="00463268"/>
    <w:rsid w:val="004636CA"/>
    <w:rsid w:val="00463760"/>
    <w:rsid w:val="00463C9A"/>
    <w:rsid w:val="00463E0C"/>
    <w:rsid w:val="00464E14"/>
    <w:rsid w:val="00464E1B"/>
    <w:rsid w:val="00465494"/>
    <w:rsid w:val="004655B6"/>
    <w:rsid w:val="00465759"/>
    <w:rsid w:val="00465796"/>
    <w:rsid w:val="0046585B"/>
    <w:rsid w:val="00465FDA"/>
    <w:rsid w:val="004663D9"/>
    <w:rsid w:val="00466619"/>
    <w:rsid w:val="0046675D"/>
    <w:rsid w:val="00467641"/>
    <w:rsid w:val="004700EA"/>
    <w:rsid w:val="004707DA"/>
    <w:rsid w:val="00470C7E"/>
    <w:rsid w:val="00470E63"/>
    <w:rsid w:val="004717A2"/>
    <w:rsid w:val="00471BFD"/>
    <w:rsid w:val="00471EB4"/>
    <w:rsid w:val="0047259F"/>
    <w:rsid w:val="004725C2"/>
    <w:rsid w:val="004725DA"/>
    <w:rsid w:val="0047265F"/>
    <w:rsid w:val="00472754"/>
    <w:rsid w:val="0047281F"/>
    <w:rsid w:val="00472988"/>
    <w:rsid w:val="00472EFF"/>
    <w:rsid w:val="00472F3F"/>
    <w:rsid w:val="00473414"/>
    <w:rsid w:val="0047341C"/>
    <w:rsid w:val="00473428"/>
    <w:rsid w:val="0047355C"/>
    <w:rsid w:val="00473A54"/>
    <w:rsid w:val="00473DC5"/>
    <w:rsid w:val="00473E20"/>
    <w:rsid w:val="0047425C"/>
    <w:rsid w:val="004743E9"/>
    <w:rsid w:val="00474574"/>
    <w:rsid w:val="00474990"/>
    <w:rsid w:val="00474B7A"/>
    <w:rsid w:val="00474C96"/>
    <w:rsid w:val="00474F01"/>
    <w:rsid w:val="00474F7D"/>
    <w:rsid w:val="00475325"/>
    <w:rsid w:val="004753F6"/>
    <w:rsid w:val="00475EF1"/>
    <w:rsid w:val="00475F04"/>
    <w:rsid w:val="00476034"/>
    <w:rsid w:val="00476197"/>
    <w:rsid w:val="00476804"/>
    <w:rsid w:val="0047701E"/>
    <w:rsid w:val="00477185"/>
    <w:rsid w:val="00477F74"/>
    <w:rsid w:val="00480498"/>
    <w:rsid w:val="004806B3"/>
    <w:rsid w:val="0048083F"/>
    <w:rsid w:val="004808C8"/>
    <w:rsid w:val="004810E6"/>
    <w:rsid w:val="004811A4"/>
    <w:rsid w:val="004813C7"/>
    <w:rsid w:val="00481EB7"/>
    <w:rsid w:val="00482291"/>
    <w:rsid w:val="004822C8"/>
    <w:rsid w:val="00482379"/>
    <w:rsid w:val="00482636"/>
    <w:rsid w:val="004828C7"/>
    <w:rsid w:val="004829F4"/>
    <w:rsid w:val="00482DFC"/>
    <w:rsid w:val="0048308B"/>
    <w:rsid w:val="004833A7"/>
    <w:rsid w:val="004835BA"/>
    <w:rsid w:val="004836FA"/>
    <w:rsid w:val="00483ABF"/>
    <w:rsid w:val="00483FE8"/>
    <w:rsid w:val="004842AB"/>
    <w:rsid w:val="00484699"/>
    <w:rsid w:val="004846E6"/>
    <w:rsid w:val="00484B3D"/>
    <w:rsid w:val="00484B4D"/>
    <w:rsid w:val="00484C24"/>
    <w:rsid w:val="00484EB7"/>
    <w:rsid w:val="0048507B"/>
    <w:rsid w:val="004852D5"/>
    <w:rsid w:val="004855DC"/>
    <w:rsid w:val="00485925"/>
    <w:rsid w:val="00485C8F"/>
    <w:rsid w:val="00485E07"/>
    <w:rsid w:val="004860D5"/>
    <w:rsid w:val="00486441"/>
    <w:rsid w:val="004867B0"/>
    <w:rsid w:val="00486ADB"/>
    <w:rsid w:val="00486D79"/>
    <w:rsid w:val="00487A4F"/>
    <w:rsid w:val="00487BCD"/>
    <w:rsid w:val="00487C1D"/>
    <w:rsid w:val="0049002F"/>
    <w:rsid w:val="004900FC"/>
    <w:rsid w:val="00490193"/>
    <w:rsid w:val="004902A4"/>
    <w:rsid w:val="00490420"/>
    <w:rsid w:val="00490454"/>
    <w:rsid w:val="0049057D"/>
    <w:rsid w:val="0049070E"/>
    <w:rsid w:val="0049074C"/>
    <w:rsid w:val="00490B25"/>
    <w:rsid w:val="00490E3C"/>
    <w:rsid w:val="00491039"/>
    <w:rsid w:val="004917AC"/>
    <w:rsid w:val="00491A23"/>
    <w:rsid w:val="004921CA"/>
    <w:rsid w:val="00492313"/>
    <w:rsid w:val="0049261C"/>
    <w:rsid w:val="00492648"/>
    <w:rsid w:val="00492703"/>
    <w:rsid w:val="00492707"/>
    <w:rsid w:val="004928BF"/>
    <w:rsid w:val="00492A50"/>
    <w:rsid w:val="00492AEC"/>
    <w:rsid w:val="00492B29"/>
    <w:rsid w:val="00492CD6"/>
    <w:rsid w:val="00492F7E"/>
    <w:rsid w:val="0049324F"/>
    <w:rsid w:val="00493329"/>
    <w:rsid w:val="0049371C"/>
    <w:rsid w:val="00493BEB"/>
    <w:rsid w:val="00494295"/>
    <w:rsid w:val="004943CE"/>
    <w:rsid w:val="00494661"/>
    <w:rsid w:val="004947EC"/>
    <w:rsid w:val="00494A06"/>
    <w:rsid w:val="00494EA8"/>
    <w:rsid w:val="00494EFC"/>
    <w:rsid w:val="00495F11"/>
    <w:rsid w:val="004962E7"/>
    <w:rsid w:val="004966BF"/>
    <w:rsid w:val="00496AF5"/>
    <w:rsid w:val="00496C26"/>
    <w:rsid w:val="00496CFA"/>
    <w:rsid w:val="00496E15"/>
    <w:rsid w:val="00496E1E"/>
    <w:rsid w:val="0049751A"/>
    <w:rsid w:val="00497581"/>
    <w:rsid w:val="00497626"/>
    <w:rsid w:val="00497C92"/>
    <w:rsid w:val="00497CE7"/>
    <w:rsid w:val="00497F9E"/>
    <w:rsid w:val="004A0056"/>
    <w:rsid w:val="004A04D5"/>
    <w:rsid w:val="004A07B3"/>
    <w:rsid w:val="004A094B"/>
    <w:rsid w:val="004A096D"/>
    <w:rsid w:val="004A0A2D"/>
    <w:rsid w:val="004A0F06"/>
    <w:rsid w:val="004A14F1"/>
    <w:rsid w:val="004A1783"/>
    <w:rsid w:val="004A1903"/>
    <w:rsid w:val="004A1AE3"/>
    <w:rsid w:val="004A1B36"/>
    <w:rsid w:val="004A1E74"/>
    <w:rsid w:val="004A20D0"/>
    <w:rsid w:val="004A26FA"/>
    <w:rsid w:val="004A2806"/>
    <w:rsid w:val="004A29E6"/>
    <w:rsid w:val="004A2C0A"/>
    <w:rsid w:val="004A2DC7"/>
    <w:rsid w:val="004A34B3"/>
    <w:rsid w:val="004A4203"/>
    <w:rsid w:val="004A4255"/>
    <w:rsid w:val="004A4434"/>
    <w:rsid w:val="004A44F5"/>
    <w:rsid w:val="004A4571"/>
    <w:rsid w:val="004A4B2E"/>
    <w:rsid w:val="004A4C21"/>
    <w:rsid w:val="004A4F5A"/>
    <w:rsid w:val="004A54AE"/>
    <w:rsid w:val="004A5527"/>
    <w:rsid w:val="004A5697"/>
    <w:rsid w:val="004A58AB"/>
    <w:rsid w:val="004A5E3A"/>
    <w:rsid w:val="004A5F47"/>
    <w:rsid w:val="004A5F70"/>
    <w:rsid w:val="004A6002"/>
    <w:rsid w:val="004A6B7B"/>
    <w:rsid w:val="004A6EC3"/>
    <w:rsid w:val="004A710C"/>
    <w:rsid w:val="004A7293"/>
    <w:rsid w:val="004A76AF"/>
    <w:rsid w:val="004A76B0"/>
    <w:rsid w:val="004A7A00"/>
    <w:rsid w:val="004A7A5A"/>
    <w:rsid w:val="004A7A69"/>
    <w:rsid w:val="004A7CDF"/>
    <w:rsid w:val="004A7D97"/>
    <w:rsid w:val="004A7EBB"/>
    <w:rsid w:val="004B0116"/>
    <w:rsid w:val="004B0166"/>
    <w:rsid w:val="004B023A"/>
    <w:rsid w:val="004B03C3"/>
    <w:rsid w:val="004B0407"/>
    <w:rsid w:val="004B051A"/>
    <w:rsid w:val="004B0803"/>
    <w:rsid w:val="004B1102"/>
    <w:rsid w:val="004B1163"/>
    <w:rsid w:val="004B1366"/>
    <w:rsid w:val="004B136A"/>
    <w:rsid w:val="004B15C0"/>
    <w:rsid w:val="004B1BEF"/>
    <w:rsid w:val="004B1DB9"/>
    <w:rsid w:val="004B2196"/>
    <w:rsid w:val="004B22D6"/>
    <w:rsid w:val="004B233B"/>
    <w:rsid w:val="004B236F"/>
    <w:rsid w:val="004B239E"/>
    <w:rsid w:val="004B248C"/>
    <w:rsid w:val="004B250E"/>
    <w:rsid w:val="004B26E6"/>
    <w:rsid w:val="004B26F9"/>
    <w:rsid w:val="004B27DC"/>
    <w:rsid w:val="004B2891"/>
    <w:rsid w:val="004B2B05"/>
    <w:rsid w:val="004B2B9A"/>
    <w:rsid w:val="004B2D8E"/>
    <w:rsid w:val="004B31FD"/>
    <w:rsid w:val="004B33A7"/>
    <w:rsid w:val="004B392D"/>
    <w:rsid w:val="004B3BEE"/>
    <w:rsid w:val="004B3E72"/>
    <w:rsid w:val="004B4243"/>
    <w:rsid w:val="004B44A0"/>
    <w:rsid w:val="004B47BA"/>
    <w:rsid w:val="004B499B"/>
    <w:rsid w:val="004B49CE"/>
    <w:rsid w:val="004B4D16"/>
    <w:rsid w:val="004B4DB3"/>
    <w:rsid w:val="004B513B"/>
    <w:rsid w:val="004B54AD"/>
    <w:rsid w:val="004B5728"/>
    <w:rsid w:val="004B59DA"/>
    <w:rsid w:val="004B5A06"/>
    <w:rsid w:val="004B5C2B"/>
    <w:rsid w:val="004B6120"/>
    <w:rsid w:val="004B66B6"/>
    <w:rsid w:val="004B6815"/>
    <w:rsid w:val="004B6927"/>
    <w:rsid w:val="004B6B50"/>
    <w:rsid w:val="004B6B62"/>
    <w:rsid w:val="004B7239"/>
    <w:rsid w:val="004B72CA"/>
    <w:rsid w:val="004B744C"/>
    <w:rsid w:val="004B7771"/>
    <w:rsid w:val="004B79DD"/>
    <w:rsid w:val="004C009B"/>
    <w:rsid w:val="004C0511"/>
    <w:rsid w:val="004C0579"/>
    <w:rsid w:val="004C0849"/>
    <w:rsid w:val="004C0980"/>
    <w:rsid w:val="004C0BAA"/>
    <w:rsid w:val="004C0DF5"/>
    <w:rsid w:val="004C1218"/>
    <w:rsid w:val="004C1602"/>
    <w:rsid w:val="004C1717"/>
    <w:rsid w:val="004C196C"/>
    <w:rsid w:val="004C2194"/>
    <w:rsid w:val="004C2ACD"/>
    <w:rsid w:val="004C2F41"/>
    <w:rsid w:val="004C3369"/>
    <w:rsid w:val="004C3375"/>
    <w:rsid w:val="004C3565"/>
    <w:rsid w:val="004C37E0"/>
    <w:rsid w:val="004C3946"/>
    <w:rsid w:val="004C3D7D"/>
    <w:rsid w:val="004C450D"/>
    <w:rsid w:val="004C45AC"/>
    <w:rsid w:val="004C4C83"/>
    <w:rsid w:val="004C4DA6"/>
    <w:rsid w:val="004C4EB2"/>
    <w:rsid w:val="004C4FC5"/>
    <w:rsid w:val="004C5087"/>
    <w:rsid w:val="004C52BA"/>
    <w:rsid w:val="004C557A"/>
    <w:rsid w:val="004C5F5C"/>
    <w:rsid w:val="004C6335"/>
    <w:rsid w:val="004C634D"/>
    <w:rsid w:val="004C63EC"/>
    <w:rsid w:val="004C65AA"/>
    <w:rsid w:val="004C66FC"/>
    <w:rsid w:val="004C685A"/>
    <w:rsid w:val="004C6CBB"/>
    <w:rsid w:val="004C6E85"/>
    <w:rsid w:val="004C6F5E"/>
    <w:rsid w:val="004C7362"/>
    <w:rsid w:val="004C74B3"/>
    <w:rsid w:val="004C74D6"/>
    <w:rsid w:val="004C77CC"/>
    <w:rsid w:val="004C784E"/>
    <w:rsid w:val="004C7901"/>
    <w:rsid w:val="004C794F"/>
    <w:rsid w:val="004C7EEF"/>
    <w:rsid w:val="004D03C9"/>
    <w:rsid w:val="004D0740"/>
    <w:rsid w:val="004D0C1B"/>
    <w:rsid w:val="004D133B"/>
    <w:rsid w:val="004D1D69"/>
    <w:rsid w:val="004D1E28"/>
    <w:rsid w:val="004D285D"/>
    <w:rsid w:val="004D28AC"/>
    <w:rsid w:val="004D291F"/>
    <w:rsid w:val="004D29A2"/>
    <w:rsid w:val="004D2C7B"/>
    <w:rsid w:val="004D2D84"/>
    <w:rsid w:val="004D2E6B"/>
    <w:rsid w:val="004D2FAB"/>
    <w:rsid w:val="004D3047"/>
    <w:rsid w:val="004D30A0"/>
    <w:rsid w:val="004D335A"/>
    <w:rsid w:val="004D35D6"/>
    <w:rsid w:val="004D3675"/>
    <w:rsid w:val="004D374D"/>
    <w:rsid w:val="004D388D"/>
    <w:rsid w:val="004D3CA8"/>
    <w:rsid w:val="004D3F51"/>
    <w:rsid w:val="004D414F"/>
    <w:rsid w:val="004D4154"/>
    <w:rsid w:val="004D42C9"/>
    <w:rsid w:val="004D4548"/>
    <w:rsid w:val="004D4C04"/>
    <w:rsid w:val="004D4E7F"/>
    <w:rsid w:val="004D4EEF"/>
    <w:rsid w:val="004D5216"/>
    <w:rsid w:val="004D568B"/>
    <w:rsid w:val="004D58B4"/>
    <w:rsid w:val="004D5983"/>
    <w:rsid w:val="004D5CDD"/>
    <w:rsid w:val="004D62D4"/>
    <w:rsid w:val="004D64A0"/>
    <w:rsid w:val="004D674F"/>
    <w:rsid w:val="004D67EB"/>
    <w:rsid w:val="004D68AD"/>
    <w:rsid w:val="004D69B6"/>
    <w:rsid w:val="004D6D9C"/>
    <w:rsid w:val="004D6EB9"/>
    <w:rsid w:val="004D6F44"/>
    <w:rsid w:val="004D7666"/>
    <w:rsid w:val="004D7A77"/>
    <w:rsid w:val="004D7F2F"/>
    <w:rsid w:val="004E005B"/>
    <w:rsid w:val="004E0830"/>
    <w:rsid w:val="004E0852"/>
    <w:rsid w:val="004E0B91"/>
    <w:rsid w:val="004E0C79"/>
    <w:rsid w:val="004E14BB"/>
    <w:rsid w:val="004E1509"/>
    <w:rsid w:val="004E15D6"/>
    <w:rsid w:val="004E20AA"/>
    <w:rsid w:val="004E223C"/>
    <w:rsid w:val="004E2B40"/>
    <w:rsid w:val="004E2CA2"/>
    <w:rsid w:val="004E32B9"/>
    <w:rsid w:val="004E33B9"/>
    <w:rsid w:val="004E3465"/>
    <w:rsid w:val="004E3E07"/>
    <w:rsid w:val="004E3F71"/>
    <w:rsid w:val="004E401D"/>
    <w:rsid w:val="004E418E"/>
    <w:rsid w:val="004E4597"/>
    <w:rsid w:val="004E4680"/>
    <w:rsid w:val="004E4B73"/>
    <w:rsid w:val="004E4D80"/>
    <w:rsid w:val="004E4D8B"/>
    <w:rsid w:val="004E4E1C"/>
    <w:rsid w:val="004E4FE4"/>
    <w:rsid w:val="004E5A1C"/>
    <w:rsid w:val="004E5BCD"/>
    <w:rsid w:val="004E5E16"/>
    <w:rsid w:val="004E6000"/>
    <w:rsid w:val="004E60FD"/>
    <w:rsid w:val="004E639F"/>
    <w:rsid w:val="004E63F9"/>
    <w:rsid w:val="004E6F10"/>
    <w:rsid w:val="004E71BF"/>
    <w:rsid w:val="004E730E"/>
    <w:rsid w:val="004E79EB"/>
    <w:rsid w:val="004E7A61"/>
    <w:rsid w:val="004E7A71"/>
    <w:rsid w:val="004E7C15"/>
    <w:rsid w:val="004F0754"/>
    <w:rsid w:val="004F0C9E"/>
    <w:rsid w:val="004F1132"/>
    <w:rsid w:val="004F14D9"/>
    <w:rsid w:val="004F16B9"/>
    <w:rsid w:val="004F1813"/>
    <w:rsid w:val="004F2140"/>
    <w:rsid w:val="004F229F"/>
    <w:rsid w:val="004F2313"/>
    <w:rsid w:val="004F261D"/>
    <w:rsid w:val="004F2D45"/>
    <w:rsid w:val="004F2FB3"/>
    <w:rsid w:val="004F35AC"/>
    <w:rsid w:val="004F36AC"/>
    <w:rsid w:val="004F36ED"/>
    <w:rsid w:val="004F3999"/>
    <w:rsid w:val="004F3ABF"/>
    <w:rsid w:val="004F3C1E"/>
    <w:rsid w:val="004F3D12"/>
    <w:rsid w:val="004F3E6C"/>
    <w:rsid w:val="004F427B"/>
    <w:rsid w:val="004F4363"/>
    <w:rsid w:val="004F444C"/>
    <w:rsid w:val="004F4B41"/>
    <w:rsid w:val="004F5540"/>
    <w:rsid w:val="004F59BD"/>
    <w:rsid w:val="004F5BDB"/>
    <w:rsid w:val="004F5CF6"/>
    <w:rsid w:val="004F5D7B"/>
    <w:rsid w:val="004F5E48"/>
    <w:rsid w:val="004F6147"/>
    <w:rsid w:val="004F6302"/>
    <w:rsid w:val="004F6425"/>
    <w:rsid w:val="004F67D5"/>
    <w:rsid w:val="004F6CEA"/>
    <w:rsid w:val="004F6FE7"/>
    <w:rsid w:val="004F7284"/>
    <w:rsid w:val="004F753A"/>
    <w:rsid w:val="004F7961"/>
    <w:rsid w:val="004F7AC1"/>
    <w:rsid w:val="004F7B14"/>
    <w:rsid w:val="004F7D1F"/>
    <w:rsid w:val="004F7F0D"/>
    <w:rsid w:val="00500381"/>
    <w:rsid w:val="00500465"/>
    <w:rsid w:val="00500A11"/>
    <w:rsid w:val="00501756"/>
    <w:rsid w:val="00501A51"/>
    <w:rsid w:val="00501BF7"/>
    <w:rsid w:val="00501D40"/>
    <w:rsid w:val="00501F5F"/>
    <w:rsid w:val="005020F5"/>
    <w:rsid w:val="00502211"/>
    <w:rsid w:val="0050230B"/>
    <w:rsid w:val="00502472"/>
    <w:rsid w:val="005024C6"/>
    <w:rsid w:val="00502601"/>
    <w:rsid w:val="00502FCD"/>
    <w:rsid w:val="0050302E"/>
    <w:rsid w:val="005031A3"/>
    <w:rsid w:val="005031EA"/>
    <w:rsid w:val="0050328D"/>
    <w:rsid w:val="00503719"/>
    <w:rsid w:val="00503B76"/>
    <w:rsid w:val="00503E34"/>
    <w:rsid w:val="00504156"/>
    <w:rsid w:val="00504330"/>
    <w:rsid w:val="0050467B"/>
    <w:rsid w:val="0050485A"/>
    <w:rsid w:val="00504AB5"/>
    <w:rsid w:val="00504CFB"/>
    <w:rsid w:val="00504FAF"/>
    <w:rsid w:val="0050553B"/>
    <w:rsid w:val="00505686"/>
    <w:rsid w:val="00505713"/>
    <w:rsid w:val="005059C7"/>
    <w:rsid w:val="00506261"/>
    <w:rsid w:val="0050635D"/>
    <w:rsid w:val="005063F5"/>
    <w:rsid w:val="00506761"/>
    <w:rsid w:val="00506AEB"/>
    <w:rsid w:val="00506D60"/>
    <w:rsid w:val="00506D70"/>
    <w:rsid w:val="00506DA7"/>
    <w:rsid w:val="00506E48"/>
    <w:rsid w:val="00506E78"/>
    <w:rsid w:val="005072CF"/>
    <w:rsid w:val="005073A8"/>
    <w:rsid w:val="00507605"/>
    <w:rsid w:val="00507874"/>
    <w:rsid w:val="00507AF0"/>
    <w:rsid w:val="00507B1E"/>
    <w:rsid w:val="00507B53"/>
    <w:rsid w:val="00507CA6"/>
    <w:rsid w:val="00507CB1"/>
    <w:rsid w:val="00507F9F"/>
    <w:rsid w:val="005105B1"/>
    <w:rsid w:val="00510A3E"/>
    <w:rsid w:val="00510E15"/>
    <w:rsid w:val="00511184"/>
    <w:rsid w:val="00511837"/>
    <w:rsid w:val="00511A05"/>
    <w:rsid w:val="00511A98"/>
    <w:rsid w:val="00511DA0"/>
    <w:rsid w:val="00511EB1"/>
    <w:rsid w:val="00511FCA"/>
    <w:rsid w:val="005120EE"/>
    <w:rsid w:val="0051265A"/>
    <w:rsid w:val="0051268E"/>
    <w:rsid w:val="005126DA"/>
    <w:rsid w:val="0051274C"/>
    <w:rsid w:val="00512848"/>
    <w:rsid w:val="00512EB8"/>
    <w:rsid w:val="00512F6C"/>
    <w:rsid w:val="00513013"/>
    <w:rsid w:val="0051303C"/>
    <w:rsid w:val="0051330C"/>
    <w:rsid w:val="0051331B"/>
    <w:rsid w:val="005134AA"/>
    <w:rsid w:val="00513507"/>
    <w:rsid w:val="0051368D"/>
    <w:rsid w:val="005136BC"/>
    <w:rsid w:val="005137CC"/>
    <w:rsid w:val="00513D21"/>
    <w:rsid w:val="00513E4A"/>
    <w:rsid w:val="00514727"/>
    <w:rsid w:val="005148D3"/>
    <w:rsid w:val="00514A5A"/>
    <w:rsid w:val="00514EC2"/>
    <w:rsid w:val="00514EEC"/>
    <w:rsid w:val="0051531F"/>
    <w:rsid w:val="0051568F"/>
    <w:rsid w:val="00515C28"/>
    <w:rsid w:val="00515CA6"/>
    <w:rsid w:val="00515CE3"/>
    <w:rsid w:val="005166B2"/>
    <w:rsid w:val="00516803"/>
    <w:rsid w:val="0051699C"/>
    <w:rsid w:val="00517189"/>
    <w:rsid w:val="005172D5"/>
    <w:rsid w:val="00517641"/>
    <w:rsid w:val="005176B2"/>
    <w:rsid w:val="00517877"/>
    <w:rsid w:val="00517A72"/>
    <w:rsid w:val="00517B65"/>
    <w:rsid w:val="00517C58"/>
    <w:rsid w:val="00517DEA"/>
    <w:rsid w:val="0052009A"/>
    <w:rsid w:val="005202AA"/>
    <w:rsid w:val="00520413"/>
    <w:rsid w:val="0052058C"/>
    <w:rsid w:val="0052104D"/>
    <w:rsid w:val="0052138D"/>
    <w:rsid w:val="005213FD"/>
    <w:rsid w:val="00521661"/>
    <w:rsid w:val="005216BA"/>
    <w:rsid w:val="005219B6"/>
    <w:rsid w:val="00522117"/>
    <w:rsid w:val="005221BE"/>
    <w:rsid w:val="00522824"/>
    <w:rsid w:val="00522DD8"/>
    <w:rsid w:val="0052318A"/>
    <w:rsid w:val="0052320F"/>
    <w:rsid w:val="0052342E"/>
    <w:rsid w:val="00523792"/>
    <w:rsid w:val="00523815"/>
    <w:rsid w:val="00523A5F"/>
    <w:rsid w:val="00523B28"/>
    <w:rsid w:val="0052423D"/>
    <w:rsid w:val="005242A9"/>
    <w:rsid w:val="00524589"/>
    <w:rsid w:val="005246FD"/>
    <w:rsid w:val="00524ADC"/>
    <w:rsid w:val="00525183"/>
    <w:rsid w:val="005253E0"/>
    <w:rsid w:val="005253EE"/>
    <w:rsid w:val="0052557C"/>
    <w:rsid w:val="005256BB"/>
    <w:rsid w:val="005256BF"/>
    <w:rsid w:val="0052580E"/>
    <w:rsid w:val="00525A4E"/>
    <w:rsid w:val="00525B67"/>
    <w:rsid w:val="00525C55"/>
    <w:rsid w:val="0052684C"/>
    <w:rsid w:val="00526930"/>
    <w:rsid w:val="00526AF8"/>
    <w:rsid w:val="00526DDF"/>
    <w:rsid w:val="00527293"/>
    <w:rsid w:val="0052776F"/>
    <w:rsid w:val="005278B0"/>
    <w:rsid w:val="00527A06"/>
    <w:rsid w:val="0053008D"/>
    <w:rsid w:val="00530107"/>
    <w:rsid w:val="0053024B"/>
    <w:rsid w:val="0053041E"/>
    <w:rsid w:val="00530487"/>
    <w:rsid w:val="005305A4"/>
    <w:rsid w:val="005305CA"/>
    <w:rsid w:val="005306F8"/>
    <w:rsid w:val="005309C2"/>
    <w:rsid w:val="00530BFF"/>
    <w:rsid w:val="00530CC0"/>
    <w:rsid w:val="00530D4F"/>
    <w:rsid w:val="00530FE7"/>
    <w:rsid w:val="005316F9"/>
    <w:rsid w:val="005318D5"/>
    <w:rsid w:val="00531ACA"/>
    <w:rsid w:val="00531C60"/>
    <w:rsid w:val="00531FE9"/>
    <w:rsid w:val="0053207E"/>
    <w:rsid w:val="0053241F"/>
    <w:rsid w:val="00532568"/>
    <w:rsid w:val="005327BF"/>
    <w:rsid w:val="005328AE"/>
    <w:rsid w:val="00532A38"/>
    <w:rsid w:val="00532C60"/>
    <w:rsid w:val="00532C7C"/>
    <w:rsid w:val="00532D60"/>
    <w:rsid w:val="00532E5A"/>
    <w:rsid w:val="005334A4"/>
    <w:rsid w:val="005338B7"/>
    <w:rsid w:val="00533B22"/>
    <w:rsid w:val="00533B52"/>
    <w:rsid w:val="00533CD6"/>
    <w:rsid w:val="00534552"/>
    <w:rsid w:val="00535539"/>
    <w:rsid w:val="005355A9"/>
    <w:rsid w:val="00535838"/>
    <w:rsid w:val="00535854"/>
    <w:rsid w:val="00535923"/>
    <w:rsid w:val="00535ACE"/>
    <w:rsid w:val="00535CF2"/>
    <w:rsid w:val="00535D7B"/>
    <w:rsid w:val="0053668C"/>
    <w:rsid w:val="0053669C"/>
    <w:rsid w:val="00536926"/>
    <w:rsid w:val="005369DF"/>
    <w:rsid w:val="00536D49"/>
    <w:rsid w:val="00536DF9"/>
    <w:rsid w:val="0053746E"/>
    <w:rsid w:val="00537578"/>
    <w:rsid w:val="0053762E"/>
    <w:rsid w:val="00540114"/>
    <w:rsid w:val="005405CE"/>
    <w:rsid w:val="00541115"/>
    <w:rsid w:val="005411A4"/>
    <w:rsid w:val="005412CE"/>
    <w:rsid w:val="005413D6"/>
    <w:rsid w:val="005413E1"/>
    <w:rsid w:val="00541992"/>
    <w:rsid w:val="00541F1D"/>
    <w:rsid w:val="005428DB"/>
    <w:rsid w:val="00542A77"/>
    <w:rsid w:val="0054310F"/>
    <w:rsid w:val="0054358B"/>
    <w:rsid w:val="00543B74"/>
    <w:rsid w:val="00544755"/>
    <w:rsid w:val="00544B9D"/>
    <w:rsid w:val="00544D51"/>
    <w:rsid w:val="00544F9A"/>
    <w:rsid w:val="00544FE2"/>
    <w:rsid w:val="0054502C"/>
    <w:rsid w:val="005456DA"/>
    <w:rsid w:val="00545759"/>
    <w:rsid w:val="00545900"/>
    <w:rsid w:val="00545F13"/>
    <w:rsid w:val="00545FA9"/>
    <w:rsid w:val="00545FF3"/>
    <w:rsid w:val="005465DF"/>
    <w:rsid w:val="00546609"/>
    <w:rsid w:val="00546730"/>
    <w:rsid w:val="00546834"/>
    <w:rsid w:val="00546882"/>
    <w:rsid w:val="0054691E"/>
    <w:rsid w:val="00546D6C"/>
    <w:rsid w:val="00547229"/>
    <w:rsid w:val="005474F2"/>
    <w:rsid w:val="00547678"/>
    <w:rsid w:val="005478DD"/>
    <w:rsid w:val="005501E1"/>
    <w:rsid w:val="005505D2"/>
    <w:rsid w:val="005505E9"/>
    <w:rsid w:val="00550914"/>
    <w:rsid w:val="00550960"/>
    <w:rsid w:val="00550A77"/>
    <w:rsid w:val="00550CB9"/>
    <w:rsid w:val="005511DB"/>
    <w:rsid w:val="00551565"/>
    <w:rsid w:val="0055160F"/>
    <w:rsid w:val="00551785"/>
    <w:rsid w:val="00551F03"/>
    <w:rsid w:val="0055218C"/>
    <w:rsid w:val="00552297"/>
    <w:rsid w:val="005524AD"/>
    <w:rsid w:val="00552716"/>
    <w:rsid w:val="00552955"/>
    <w:rsid w:val="00552D08"/>
    <w:rsid w:val="00552DE5"/>
    <w:rsid w:val="00553214"/>
    <w:rsid w:val="00553254"/>
    <w:rsid w:val="005533A9"/>
    <w:rsid w:val="005535ED"/>
    <w:rsid w:val="00553745"/>
    <w:rsid w:val="00553772"/>
    <w:rsid w:val="0055389C"/>
    <w:rsid w:val="00553D9D"/>
    <w:rsid w:val="00553E4D"/>
    <w:rsid w:val="00554214"/>
    <w:rsid w:val="005547F0"/>
    <w:rsid w:val="00555521"/>
    <w:rsid w:val="00555CC9"/>
    <w:rsid w:val="00555DC3"/>
    <w:rsid w:val="00555E5F"/>
    <w:rsid w:val="00555E88"/>
    <w:rsid w:val="00555EA5"/>
    <w:rsid w:val="0055637E"/>
    <w:rsid w:val="005566EC"/>
    <w:rsid w:val="00556761"/>
    <w:rsid w:val="005570EB"/>
    <w:rsid w:val="00557229"/>
    <w:rsid w:val="005572BD"/>
    <w:rsid w:val="005573FF"/>
    <w:rsid w:val="0055777C"/>
    <w:rsid w:val="00557793"/>
    <w:rsid w:val="00557A9B"/>
    <w:rsid w:val="00557F70"/>
    <w:rsid w:val="0056020B"/>
    <w:rsid w:val="00560909"/>
    <w:rsid w:val="00560AE3"/>
    <w:rsid w:val="00560B1B"/>
    <w:rsid w:val="00560CAB"/>
    <w:rsid w:val="00560E1D"/>
    <w:rsid w:val="00560FFC"/>
    <w:rsid w:val="005612A1"/>
    <w:rsid w:val="0056133E"/>
    <w:rsid w:val="005617D8"/>
    <w:rsid w:val="005621F0"/>
    <w:rsid w:val="00562225"/>
    <w:rsid w:val="005626B7"/>
    <w:rsid w:val="00562C9F"/>
    <w:rsid w:val="0056317E"/>
    <w:rsid w:val="005632B9"/>
    <w:rsid w:val="0056335A"/>
    <w:rsid w:val="00563367"/>
    <w:rsid w:val="005634F5"/>
    <w:rsid w:val="00563930"/>
    <w:rsid w:val="00563B6D"/>
    <w:rsid w:val="00563B6F"/>
    <w:rsid w:val="00563E7B"/>
    <w:rsid w:val="0056431A"/>
    <w:rsid w:val="00564327"/>
    <w:rsid w:val="00564407"/>
    <w:rsid w:val="00564451"/>
    <w:rsid w:val="0056452C"/>
    <w:rsid w:val="005646FA"/>
    <w:rsid w:val="00564717"/>
    <w:rsid w:val="0056478A"/>
    <w:rsid w:val="005649CB"/>
    <w:rsid w:val="00564A6D"/>
    <w:rsid w:val="00564C43"/>
    <w:rsid w:val="00565555"/>
    <w:rsid w:val="005655C2"/>
    <w:rsid w:val="00565605"/>
    <w:rsid w:val="00565A03"/>
    <w:rsid w:val="00565A53"/>
    <w:rsid w:val="00565A66"/>
    <w:rsid w:val="00565A7D"/>
    <w:rsid w:val="00565F2A"/>
    <w:rsid w:val="00565F5A"/>
    <w:rsid w:val="005666E9"/>
    <w:rsid w:val="00566A65"/>
    <w:rsid w:val="00566C46"/>
    <w:rsid w:val="00566C8D"/>
    <w:rsid w:val="0056722E"/>
    <w:rsid w:val="005675D3"/>
    <w:rsid w:val="005679A7"/>
    <w:rsid w:val="00567AE5"/>
    <w:rsid w:val="00567DE5"/>
    <w:rsid w:val="00567F76"/>
    <w:rsid w:val="00570167"/>
    <w:rsid w:val="00570239"/>
    <w:rsid w:val="005702EC"/>
    <w:rsid w:val="0057041F"/>
    <w:rsid w:val="005704E6"/>
    <w:rsid w:val="005705B6"/>
    <w:rsid w:val="00571059"/>
    <w:rsid w:val="00571390"/>
    <w:rsid w:val="00571468"/>
    <w:rsid w:val="00571469"/>
    <w:rsid w:val="0057172A"/>
    <w:rsid w:val="005719EC"/>
    <w:rsid w:val="00571B1A"/>
    <w:rsid w:val="00571D99"/>
    <w:rsid w:val="005724A0"/>
    <w:rsid w:val="00572748"/>
    <w:rsid w:val="00572878"/>
    <w:rsid w:val="00572E12"/>
    <w:rsid w:val="00572EE5"/>
    <w:rsid w:val="005731D2"/>
    <w:rsid w:val="00573A17"/>
    <w:rsid w:val="00573B75"/>
    <w:rsid w:val="00573B8C"/>
    <w:rsid w:val="00573D28"/>
    <w:rsid w:val="00574125"/>
    <w:rsid w:val="005742F0"/>
    <w:rsid w:val="005747CC"/>
    <w:rsid w:val="00574B52"/>
    <w:rsid w:val="00574D81"/>
    <w:rsid w:val="00574DCF"/>
    <w:rsid w:val="00574EC2"/>
    <w:rsid w:val="0057511A"/>
    <w:rsid w:val="0057517D"/>
    <w:rsid w:val="00575397"/>
    <w:rsid w:val="0057539F"/>
    <w:rsid w:val="005754A5"/>
    <w:rsid w:val="00575715"/>
    <w:rsid w:val="00575750"/>
    <w:rsid w:val="005759C1"/>
    <w:rsid w:val="00575BE6"/>
    <w:rsid w:val="00575FF5"/>
    <w:rsid w:val="00576321"/>
    <w:rsid w:val="00576732"/>
    <w:rsid w:val="005767FC"/>
    <w:rsid w:val="00576A55"/>
    <w:rsid w:val="00576ABA"/>
    <w:rsid w:val="00576BB0"/>
    <w:rsid w:val="00576C20"/>
    <w:rsid w:val="00576C78"/>
    <w:rsid w:val="00576D4C"/>
    <w:rsid w:val="00577139"/>
    <w:rsid w:val="00577193"/>
    <w:rsid w:val="0057750E"/>
    <w:rsid w:val="0057775E"/>
    <w:rsid w:val="00577861"/>
    <w:rsid w:val="00577C04"/>
    <w:rsid w:val="00577DFD"/>
    <w:rsid w:val="00577F62"/>
    <w:rsid w:val="005800D2"/>
    <w:rsid w:val="00580168"/>
    <w:rsid w:val="00580289"/>
    <w:rsid w:val="00580861"/>
    <w:rsid w:val="00580B44"/>
    <w:rsid w:val="00580BD6"/>
    <w:rsid w:val="00580C9B"/>
    <w:rsid w:val="00580D89"/>
    <w:rsid w:val="005810AC"/>
    <w:rsid w:val="005817C2"/>
    <w:rsid w:val="005818D3"/>
    <w:rsid w:val="005819FD"/>
    <w:rsid w:val="00581C11"/>
    <w:rsid w:val="00581C72"/>
    <w:rsid w:val="00582161"/>
    <w:rsid w:val="00582223"/>
    <w:rsid w:val="00582541"/>
    <w:rsid w:val="005825FE"/>
    <w:rsid w:val="00582722"/>
    <w:rsid w:val="00582852"/>
    <w:rsid w:val="00582AF6"/>
    <w:rsid w:val="00582B17"/>
    <w:rsid w:val="0058307A"/>
    <w:rsid w:val="005831CE"/>
    <w:rsid w:val="00583226"/>
    <w:rsid w:val="0058337E"/>
    <w:rsid w:val="005833F5"/>
    <w:rsid w:val="0058354A"/>
    <w:rsid w:val="00583669"/>
    <w:rsid w:val="005836D7"/>
    <w:rsid w:val="00583A45"/>
    <w:rsid w:val="00583F9C"/>
    <w:rsid w:val="00583FA2"/>
    <w:rsid w:val="00584248"/>
    <w:rsid w:val="005843B6"/>
    <w:rsid w:val="005845FC"/>
    <w:rsid w:val="00584725"/>
    <w:rsid w:val="005849EA"/>
    <w:rsid w:val="00584BFB"/>
    <w:rsid w:val="00584C30"/>
    <w:rsid w:val="00584DD2"/>
    <w:rsid w:val="00584F3B"/>
    <w:rsid w:val="005850D4"/>
    <w:rsid w:val="005851E3"/>
    <w:rsid w:val="005854EE"/>
    <w:rsid w:val="00585587"/>
    <w:rsid w:val="00585615"/>
    <w:rsid w:val="00585793"/>
    <w:rsid w:val="005857FB"/>
    <w:rsid w:val="0058589E"/>
    <w:rsid w:val="00585AF1"/>
    <w:rsid w:val="00585BB7"/>
    <w:rsid w:val="00585DD4"/>
    <w:rsid w:val="005862DA"/>
    <w:rsid w:val="00586738"/>
    <w:rsid w:val="005867D6"/>
    <w:rsid w:val="0058694D"/>
    <w:rsid w:val="00586B4C"/>
    <w:rsid w:val="00586D23"/>
    <w:rsid w:val="00587056"/>
    <w:rsid w:val="0058705A"/>
    <w:rsid w:val="005877C0"/>
    <w:rsid w:val="00587F54"/>
    <w:rsid w:val="00587FB3"/>
    <w:rsid w:val="0059070B"/>
    <w:rsid w:val="005908F6"/>
    <w:rsid w:val="00590F55"/>
    <w:rsid w:val="00591040"/>
    <w:rsid w:val="005913E4"/>
    <w:rsid w:val="005919F6"/>
    <w:rsid w:val="00591B55"/>
    <w:rsid w:val="00591BE0"/>
    <w:rsid w:val="00591D8B"/>
    <w:rsid w:val="00592168"/>
    <w:rsid w:val="005927E9"/>
    <w:rsid w:val="0059282B"/>
    <w:rsid w:val="00592F1A"/>
    <w:rsid w:val="00593444"/>
    <w:rsid w:val="00593519"/>
    <w:rsid w:val="0059367B"/>
    <w:rsid w:val="005937B2"/>
    <w:rsid w:val="0059385A"/>
    <w:rsid w:val="0059388D"/>
    <w:rsid w:val="00593CD4"/>
    <w:rsid w:val="00593D39"/>
    <w:rsid w:val="00593DD0"/>
    <w:rsid w:val="0059418B"/>
    <w:rsid w:val="00594305"/>
    <w:rsid w:val="00594347"/>
    <w:rsid w:val="00594414"/>
    <w:rsid w:val="00594883"/>
    <w:rsid w:val="00594F1C"/>
    <w:rsid w:val="0059517D"/>
    <w:rsid w:val="005955FA"/>
    <w:rsid w:val="00595627"/>
    <w:rsid w:val="00595BA8"/>
    <w:rsid w:val="00595D9B"/>
    <w:rsid w:val="00596326"/>
    <w:rsid w:val="005963C3"/>
    <w:rsid w:val="005964BB"/>
    <w:rsid w:val="0059669C"/>
    <w:rsid w:val="00596927"/>
    <w:rsid w:val="00596ADA"/>
    <w:rsid w:val="00596B3F"/>
    <w:rsid w:val="00596B59"/>
    <w:rsid w:val="00596EFB"/>
    <w:rsid w:val="00597142"/>
    <w:rsid w:val="00597303"/>
    <w:rsid w:val="00597A2B"/>
    <w:rsid w:val="00597B40"/>
    <w:rsid w:val="00597EB6"/>
    <w:rsid w:val="00597FA9"/>
    <w:rsid w:val="005A06F9"/>
    <w:rsid w:val="005A090A"/>
    <w:rsid w:val="005A0966"/>
    <w:rsid w:val="005A0A97"/>
    <w:rsid w:val="005A0ECD"/>
    <w:rsid w:val="005A1560"/>
    <w:rsid w:val="005A1613"/>
    <w:rsid w:val="005A1AC0"/>
    <w:rsid w:val="005A23E5"/>
    <w:rsid w:val="005A2E40"/>
    <w:rsid w:val="005A3044"/>
    <w:rsid w:val="005A31C3"/>
    <w:rsid w:val="005A350E"/>
    <w:rsid w:val="005A375C"/>
    <w:rsid w:val="005A37A1"/>
    <w:rsid w:val="005A3936"/>
    <w:rsid w:val="005A3B2A"/>
    <w:rsid w:val="005A3C3D"/>
    <w:rsid w:val="005A3D58"/>
    <w:rsid w:val="005A3DCF"/>
    <w:rsid w:val="005A3EDF"/>
    <w:rsid w:val="005A442D"/>
    <w:rsid w:val="005A4855"/>
    <w:rsid w:val="005A4D67"/>
    <w:rsid w:val="005A4FC6"/>
    <w:rsid w:val="005A504F"/>
    <w:rsid w:val="005A5297"/>
    <w:rsid w:val="005A5540"/>
    <w:rsid w:val="005A56DF"/>
    <w:rsid w:val="005A579C"/>
    <w:rsid w:val="005A58CA"/>
    <w:rsid w:val="005A60BB"/>
    <w:rsid w:val="005A639D"/>
    <w:rsid w:val="005A64DB"/>
    <w:rsid w:val="005A67C9"/>
    <w:rsid w:val="005A6906"/>
    <w:rsid w:val="005A6A2E"/>
    <w:rsid w:val="005A6CE7"/>
    <w:rsid w:val="005A6EA0"/>
    <w:rsid w:val="005A7290"/>
    <w:rsid w:val="005A74A6"/>
    <w:rsid w:val="005A7AFB"/>
    <w:rsid w:val="005A7C87"/>
    <w:rsid w:val="005A7C9D"/>
    <w:rsid w:val="005A7D41"/>
    <w:rsid w:val="005A7D6C"/>
    <w:rsid w:val="005A7D95"/>
    <w:rsid w:val="005A7E95"/>
    <w:rsid w:val="005A7F1A"/>
    <w:rsid w:val="005A7FC0"/>
    <w:rsid w:val="005A7FC2"/>
    <w:rsid w:val="005B005A"/>
    <w:rsid w:val="005B0067"/>
    <w:rsid w:val="005B033F"/>
    <w:rsid w:val="005B09A7"/>
    <w:rsid w:val="005B0BAA"/>
    <w:rsid w:val="005B0C6D"/>
    <w:rsid w:val="005B0F09"/>
    <w:rsid w:val="005B156A"/>
    <w:rsid w:val="005B15B1"/>
    <w:rsid w:val="005B18F1"/>
    <w:rsid w:val="005B1A93"/>
    <w:rsid w:val="005B1C55"/>
    <w:rsid w:val="005B1DBD"/>
    <w:rsid w:val="005B1DBE"/>
    <w:rsid w:val="005B1F36"/>
    <w:rsid w:val="005B1F71"/>
    <w:rsid w:val="005B1FF5"/>
    <w:rsid w:val="005B2036"/>
    <w:rsid w:val="005B30FF"/>
    <w:rsid w:val="005B3121"/>
    <w:rsid w:val="005B3215"/>
    <w:rsid w:val="005B38F1"/>
    <w:rsid w:val="005B3AF3"/>
    <w:rsid w:val="005B3EF9"/>
    <w:rsid w:val="005B40DD"/>
    <w:rsid w:val="005B416B"/>
    <w:rsid w:val="005B4353"/>
    <w:rsid w:val="005B48DA"/>
    <w:rsid w:val="005B4955"/>
    <w:rsid w:val="005B499D"/>
    <w:rsid w:val="005B4C30"/>
    <w:rsid w:val="005B4C44"/>
    <w:rsid w:val="005B5182"/>
    <w:rsid w:val="005B5403"/>
    <w:rsid w:val="005B55A8"/>
    <w:rsid w:val="005B5653"/>
    <w:rsid w:val="005B56A9"/>
    <w:rsid w:val="005B5E0E"/>
    <w:rsid w:val="005B606D"/>
    <w:rsid w:val="005B60F1"/>
    <w:rsid w:val="005B64F5"/>
    <w:rsid w:val="005B681A"/>
    <w:rsid w:val="005B709A"/>
    <w:rsid w:val="005B7218"/>
    <w:rsid w:val="005B746C"/>
    <w:rsid w:val="005B77BA"/>
    <w:rsid w:val="005B7B09"/>
    <w:rsid w:val="005B7C49"/>
    <w:rsid w:val="005B7D23"/>
    <w:rsid w:val="005B7E85"/>
    <w:rsid w:val="005B7EA2"/>
    <w:rsid w:val="005C0198"/>
    <w:rsid w:val="005C0250"/>
    <w:rsid w:val="005C02EF"/>
    <w:rsid w:val="005C068A"/>
    <w:rsid w:val="005C06B3"/>
    <w:rsid w:val="005C0708"/>
    <w:rsid w:val="005C0959"/>
    <w:rsid w:val="005C0ABE"/>
    <w:rsid w:val="005C0E4E"/>
    <w:rsid w:val="005C12AA"/>
    <w:rsid w:val="005C19B3"/>
    <w:rsid w:val="005C1D6C"/>
    <w:rsid w:val="005C1F04"/>
    <w:rsid w:val="005C2530"/>
    <w:rsid w:val="005C2C51"/>
    <w:rsid w:val="005C2DEB"/>
    <w:rsid w:val="005C320D"/>
    <w:rsid w:val="005C323F"/>
    <w:rsid w:val="005C336E"/>
    <w:rsid w:val="005C359E"/>
    <w:rsid w:val="005C3718"/>
    <w:rsid w:val="005C378F"/>
    <w:rsid w:val="005C387F"/>
    <w:rsid w:val="005C3A24"/>
    <w:rsid w:val="005C3BC1"/>
    <w:rsid w:val="005C3E68"/>
    <w:rsid w:val="005C438B"/>
    <w:rsid w:val="005C4797"/>
    <w:rsid w:val="005C4BDF"/>
    <w:rsid w:val="005C4C7B"/>
    <w:rsid w:val="005C4DE9"/>
    <w:rsid w:val="005C4F44"/>
    <w:rsid w:val="005C5326"/>
    <w:rsid w:val="005C5936"/>
    <w:rsid w:val="005C5B7A"/>
    <w:rsid w:val="005C5B99"/>
    <w:rsid w:val="005C5BBB"/>
    <w:rsid w:val="005C5BE9"/>
    <w:rsid w:val="005C5C1B"/>
    <w:rsid w:val="005C5F2E"/>
    <w:rsid w:val="005C6545"/>
    <w:rsid w:val="005C662A"/>
    <w:rsid w:val="005C67D3"/>
    <w:rsid w:val="005C6A1C"/>
    <w:rsid w:val="005C6F92"/>
    <w:rsid w:val="005C729B"/>
    <w:rsid w:val="005C7508"/>
    <w:rsid w:val="005C7623"/>
    <w:rsid w:val="005C7692"/>
    <w:rsid w:val="005C7A82"/>
    <w:rsid w:val="005C7EE8"/>
    <w:rsid w:val="005C7F97"/>
    <w:rsid w:val="005D024D"/>
    <w:rsid w:val="005D033D"/>
    <w:rsid w:val="005D0755"/>
    <w:rsid w:val="005D0BC8"/>
    <w:rsid w:val="005D1228"/>
    <w:rsid w:val="005D1423"/>
    <w:rsid w:val="005D1657"/>
    <w:rsid w:val="005D18EC"/>
    <w:rsid w:val="005D19B8"/>
    <w:rsid w:val="005D1D02"/>
    <w:rsid w:val="005D218C"/>
    <w:rsid w:val="005D21E9"/>
    <w:rsid w:val="005D22AE"/>
    <w:rsid w:val="005D2376"/>
    <w:rsid w:val="005D24CA"/>
    <w:rsid w:val="005D253C"/>
    <w:rsid w:val="005D25B9"/>
    <w:rsid w:val="005D2723"/>
    <w:rsid w:val="005D2C54"/>
    <w:rsid w:val="005D2CFB"/>
    <w:rsid w:val="005D2D2E"/>
    <w:rsid w:val="005D2DEC"/>
    <w:rsid w:val="005D2DF2"/>
    <w:rsid w:val="005D3261"/>
    <w:rsid w:val="005D375D"/>
    <w:rsid w:val="005D3851"/>
    <w:rsid w:val="005D3A8F"/>
    <w:rsid w:val="005D3F67"/>
    <w:rsid w:val="005D3FEE"/>
    <w:rsid w:val="005D40D3"/>
    <w:rsid w:val="005D4114"/>
    <w:rsid w:val="005D42B0"/>
    <w:rsid w:val="005D4363"/>
    <w:rsid w:val="005D47B9"/>
    <w:rsid w:val="005D4ADF"/>
    <w:rsid w:val="005D4F0C"/>
    <w:rsid w:val="005D4FBE"/>
    <w:rsid w:val="005D51D8"/>
    <w:rsid w:val="005D5224"/>
    <w:rsid w:val="005D547B"/>
    <w:rsid w:val="005D54C0"/>
    <w:rsid w:val="005D5635"/>
    <w:rsid w:val="005D5A13"/>
    <w:rsid w:val="005D5D34"/>
    <w:rsid w:val="005D5D6D"/>
    <w:rsid w:val="005D623A"/>
    <w:rsid w:val="005D62BA"/>
    <w:rsid w:val="005D642C"/>
    <w:rsid w:val="005D6653"/>
    <w:rsid w:val="005D6755"/>
    <w:rsid w:val="005D68C4"/>
    <w:rsid w:val="005D6980"/>
    <w:rsid w:val="005D6BE8"/>
    <w:rsid w:val="005D6C61"/>
    <w:rsid w:val="005D6D5F"/>
    <w:rsid w:val="005D70B9"/>
    <w:rsid w:val="005D72AB"/>
    <w:rsid w:val="005D72B5"/>
    <w:rsid w:val="005D73D1"/>
    <w:rsid w:val="005D754F"/>
    <w:rsid w:val="005D784D"/>
    <w:rsid w:val="005E0360"/>
    <w:rsid w:val="005E0818"/>
    <w:rsid w:val="005E0D0E"/>
    <w:rsid w:val="005E0E23"/>
    <w:rsid w:val="005E0EA4"/>
    <w:rsid w:val="005E0F43"/>
    <w:rsid w:val="005E1106"/>
    <w:rsid w:val="005E12EB"/>
    <w:rsid w:val="005E177E"/>
    <w:rsid w:val="005E198B"/>
    <w:rsid w:val="005E198C"/>
    <w:rsid w:val="005E1E2A"/>
    <w:rsid w:val="005E2317"/>
    <w:rsid w:val="005E242E"/>
    <w:rsid w:val="005E2470"/>
    <w:rsid w:val="005E27EE"/>
    <w:rsid w:val="005E3039"/>
    <w:rsid w:val="005E317E"/>
    <w:rsid w:val="005E3823"/>
    <w:rsid w:val="005E3AEA"/>
    <w:rsid w:val="005E4071"/>
    <w:rsid w:val="005E40FC"/>
    <w:rsid w:val="005E4138"/>
    <w:rsid w:val="005E448D"/>
    <w:rsid w:val="005E461B"/>
    <w:rsid w:val="005E491D"/>
    <w:rsid w:val="005E491E"/>
    <w:rsid w:val="005E4B83"/>
    <w:rsid w:val="005E4E23"/>
    <w:rsid w:val="005E4FEF"/>
    <w:rsid w:val="005E505D"/>
    <w:rsid w:val="005E50F3"/>
    <w:rsid w:val="005E565D"/>
    <w:rsid w:val="005E5A1B"/>
    <w:rsid w:val="005E5B2E"/>
    <w:rsid w:val="005E5B74"/>
    <w:rsid w:val="005E62BE"/>
    <w:rsid w:val="005E658C"/>
    <w:rsid w:val="005E66CC"/>
    <w:rsid w:val="005E6D1D"/>
    <w:rsid w:val="005E6FB1"/>
    <w:rsid w:val="005E7719"/>
    <w:rsid w:val="005E7850"/>
    <w:rsid w:val="005E7B50"/>
    <w:rsid w:val="005E7FDA"/>
    <w:rsid w:val="005F021E"/>
    <w:rsid w:val="005F0799"/>
    <w:rsid w:val="005F0881"/>
    <w:rsid w:val="005F0892"/>
    <w:rsid w:val="005F0926"/>
    <w:rsid w:val="005F0DA7"/>
    <w:rsid w:val="005F129F"/>
    <w:rsid w:val="005F16BC"/>
    <w:rsid w:val="005F2116"/>
    <w:rsid w:val="005F2132"/>
    <w:rsid w:val="005F21C4"/>
    <w:rsid w:val="005F23BC"/>
    <w:rsid w:val="005F23CF"/>
    <w:rsid w:val="005F25BE"/>
    <w:rsid w:val="005F28B1"/>
    <w:rsid w:val="005F2AB6"/>
    <w:rsid w:val="005F2E9E"/>
    <w:rsid w:val="005F3210"/>
    <w:rsid w:val="005F334C"/>
    <w:rsid w:val="005F3428"/>
    <w:rsid w:val="005F34A9"/>
    <w:rsid w:val="005F35F0"/>
    <w:rsid w:val="005F3650"/>
    <w:rsid w:val="005F37AC"/>
    <w:rsid w:val="005F493F"/>
    <w:rsid w:val="005F4D51"/>
    <w:rsid w:val="005F5259"/>
    <w:rsid w:val="005F5264"/>
    <w:rsid w:val="005F5272"/>
    <w:rsid w:val="005F5C0E"/>
    <w:rsid w:val="005F5C2C"/>
    <w:rsid w:val="005F5D00"/>
    <w:rsid w:val="005F5DBC"/>
    <w:rsid w:val="005F5EE2"/>
    <w:rsid w:val="005F5F54"/>
    <w:rsid w:val="005F6310"/>
    <w:rsid w:val="005F6964"/>
    <w:rsid w:val="005F69DA"/>
    <w:rsid w:val="005F6BA2"/>
    <w:rsid w:val="005F6E4B"/>
    <w:rsid w:val="005F6FA5"/>
    <w:rsid w:val="005F70AF"/>
    <w:rsid w:val="005F7193"/>
    <w:rsid w:val="005F7258"/>
    <w:rsid w:val="005F731F"/>
    <w:rsid w:val="005F7679"/>
    <w:rsid w:val="005F776E"/>
    <w:rsid w:val="005F7783"/>
    <w:rsid w:val="00600082"/>
    <w:rsid w:val="006000FF"/>
    <w:rsid w:val="00600372"/>
    <w:rsid w:val="0060044A"/>
    <w:rsid w:val="00600A8E"/>
    <w:rsid w:val="00600BF7"/>
    <w:rsid w:val="00600C91"/>
    <w:rsid w:val="00600FE9"/>
    <w:rsid w:val="006016A0"/>
    <w:rsid w:val="0060190F"/>
    <w:rsid w:val="00601941"/>
    <w:rsid w:val="0060197E"/>
    <w:rsid w:val="00601C88"/>
    <w:rsid w:val="00601E8E"/>
    <w:rsid w:val="0060206A"/>
    <w:rsid w:val="0060216A"/>
    <w:rsid w:val="00602210"/>
    <w:rsid w:val="00602224"/>
    <w:rsid w:val="00602253"/>
    <w:rsid w:val="00602AB4"/>
    <w:rsid w:val="00602B2B"/>
    <w:rsid w:val="00603601"/>
    <w:rsid w:val="00604188"/>
    <w:rsid w:val="006048DE"/>
    <w:rsid w:val="006049E3"/>
    <w:rsid w:val="00604C09"/>
    <w:rsid w:val="006057A0"/>
    <w:rsid w:val="00605B39"/>
    <w:rsid w:val="00605F5F"/>
    <w:rsid w:val="00606438"/>
    <w:rsid w:val="0060646B"/>
    <w:rsid w:val="00606981"/>
    <w:rsid w:val="006069A9"/>
    <w:rsid w:val="006069AB"/>
    <w:rsid w:val="00606AEA"/>
    <w:rsid w:val="00606B77"/>
    <w:rsid w:val="00607001"/>
    <w:rsid w:val="00607159"/>
    <w:rsid w:val="006075E9"/>
    <w:rsid w:val="00607913"/>
    <w:rsid w:val="0060794A"/>
    <w:rsid w:val="00607B68"/>
    <w:rsid w:val="00607D13"/>
    <w:rsid w:val="00607D15"/>
    <w:rsid w:val="00607D59"/>
    <w:rsid w:val="00607F73"/>
    <w:rsid w:val="00607F8A"/>
    <w:rsid w:val="0061001E"/>
    <w:rsid w:val="00610130"/>
    <w:rsid w:val="00610182"/>
    <w:rsid w:val="00610263"/>
    <w:rsid w:val="00610283"/>
    <w:rsid w:val="00610699"/>
    <w:rsid w:val="006106F8"/>
    <w:rsid w:val="006107A3"/>
    <w:rsid w:val="00610AF7"/>
    <w:rsid w:val="00610C0A"/>
    <w:rsid w:val="006118A2"/>
    <w:rsid w:val="00611A36"/>
    <w:rsid w:val="00611A97"/>
    <w:rsid w:val="00611E59"/>
    <w:rsid w:val="00611FC6"/>
    <w:rsid w:val="006122DC"/>
    <w:rsid w:val="006124A2"/>
    <w:rsid w:val="00612706"/>
    <w:rsid w:val="00612769"/>
    <w:rsid w:val="006128AB"/>
    <w:rsid w:val="00612FE4"/>
    <w:rsid w:val="00613484"/>
    <w:rsid w:val="0061358C"/>
    <w:rsid w:val="006141B2"/>
    <w:rsid w:val="006141C0"/>
    <w:rsid w:val="006141CB"/>
    <w:rsid w:val="00614327"/>
    <w:rsid w:val="00614AF2"/>
    <w:rsid w:val="00614F24"/>
    <w:rsid w:val="00615089"/>
    <w:rsid w:val="00615111"/>
    <w:rsid w:val="006153BF"/>
    <w:rsid w:val="00615608"/>
    <w:rsid w:val="00615E87"/>
    <w:rsid w:val="00616403"/>
    <w:rsid w:val="0061691A"/>
    <w:rsid w:val="00616D86"/>
    <w:rsid w:val="00616FCB"/>
    <w:rsid w:val="00617520"/>
    <w:rsid w:val="00617974"/>
    <w:rsid w:val="006179EB"/>
    <w:rsid w:val="00617CA5"/>
    <w:rsid w:val="00617D39"/>
    <w:rsid w:val="0062008A"/>
    <w:rsid w:val="00620274"/>
    <w:rsid w:val="006203AE"/>
    <w:rsid w:val="00620666"/>
    <w:rsid w:val="00620A65"/>
    <w:rsid w:val="00620BEB"/>
    <w:rsid w:val="00620C56"/>
    <w:rsid w:val="00620CB4"/>
    <w:rsid w:val="00620D8B"/>
    <w:rsid w:val="00620EDB"/>
    <w:rsid w:val="006210C3"/>
    <w:rsid w:val="0062116B"/>
    <w:rsid w:val="006212B8"/>
    <w:rsid w:val="00621418"/>
    <w:rsid w:val="00621558"/>
    <w:rsid w:val="0062164A"/>
    <w:rsid w:val="00621F1E"/>
    <w:rsid w:val="00621F26"/>
    <w:rsid w:val="00622205"/>
    <w:rsid w:val="00622534"/>
    <w:rsid w:val="006226CF"/>
    <w:rsid w:val="00622F39"/>
    <w:rsid w:val="00623900"/>
    <w:rsid w:val="00623970"/>
    <w:rsid w:val="00623EDA"/>
    <w:rsid w:val="00623F4B"/>
    <w:rsid w:val="006243EB"/>
    <w:rsid w:val="0062442A"/>
    <w:rsid w:val="00624510"/>
    <w:rsid w:val="006247F8"/>
    <w:rsid w:val="00624944"/>
    <w:rsid w:val="006249C2"/>
    <w:rsid w:val="00624C5F"/>
    <w:rsid w:val="00624CD1"/>
    <w:rsid w:val="006250EF"/>
    <w:rsid w:val="00625207"/>
    <w:rsid w:val="00625356"/>
    <w:rsid w:val="006254C3"/>
    <w:rsid w:val="0062569E"/>
    <w:rsid w:val="006258B3"/>
    <w:rsid w:val="00625B33"/>
    <w:rsid w:val="00625D79"/>
    <w:rsid w:val="00625D7B"/>
    <w:rsid w:val="00625E40"/>
    <w:rsid w:val="00625F54"/>
    <w:rsid w:val="006262AF"/>
    <w:rsid w:val="00626536"/>
    <w:rsid w:val="006265A8"/>
    <w:rsid w:val="006268B3"/>
    <w:rsid w:val="00626D98"/>
    <w:rsid w:val="00627524"/>
    <w:rsid w:val="00627555"/>
    <w:rsid w:val="00627CEE"/>
    <w:rsid w:val="00630218"/>
    <w:rsid w:val="0063026D"/>
    <w:rsid w:val="006303A9"/>
    <w:rsid w:val="006305BC"/>
    <w:rsid w:val="006307D8"/>
    <w:rsid w:val="00630816"/>
    <w:rsid w:val="0063085A"/>
    <w:rsid w:val="00630A20"/>
    <w:rsid w:val="00630A3F"/>
    <w:rsid w:val="00630C57"/>
    <w:rsid w:val="00630E3C"/>
    <w:rsid w:val="00630F62"/>
    <w:rsid w:val="0063102C"/>
    <w:rsid w:val="0063117E"/>
    <w:rsid w:val="006311FC"/>
    <w:rsid w:val="0063139A"/>
    <w:rsid w:val="00631757"/>
    <w:rsid w:val="0063195C"/>
    <w:rsid w:val="00631D11"/>
    <w:rsid w:val="00631EE3"/>
    <w:rsid w:val="0063205F"/>
    <w:rsid w:val="0063212A"/>
    <w:rsid w:val="0063214F"/>
    <w:rsid w:val="00632153"/>
    <w:rsid w:val="006321BA"/>
    <w:rsid w:val="006322EC"/>
    <w:rsid w:val="006322F2"/>
    <w:rsid w:val="006323B3"/>
    <w:rsid w:val="00632776"/>
    <w:rsid w:val="00632D59"/>
    <w:rsid w:val="00632FE2"/>
    <w:rsid w:val="00633004"/>
    <w:rsid w:val="00633594"/>
    <w:rsid w:val="00633641"/>
    <w:rsid w:val="00633644"/>
    <w:rsid w:val="00633858"/>
    <w:rsid w:val="00633AA3"/>
    <w:rsid w:val="00633AA7"/>
    <w:rsid w:val="00633D5B"/>
    <w:rsid w:val="0063411A"/>
    <w:rsid w:val="006343DF"/>
    <w:rsid w:val="00634421"/>
    <w:rsid w:val="0063445B"/>
    <w:rsid w:val="006344C4"/>
    <w:rsid w:val="00634791"/>
    <w:rsid w:val="0063486F"/>
    <w:rsid w:val="0063494B"/>
    <w:rsid w:val="0063496A"/>
    <w:rsid w:val="00634A27"/>
    <w:rsid w:val="00634CFD"/>
    <w:rsid w:val="00635268"/>
    <w:rsid w:val="006353F4"/>
    <w:rsid w:val="00635518"/>
    <w:rsid w:val="00635632"/>
    <w:rsid w:val="0063568E"/>
    <w:rsid w:val="0063573E"/>
    <w:rsid w:val="006358AC"/>
    <w:rsid w:val="00635BF0"/>
    <w:rsid w:val="00636012"/>
    <w:rsid w:val="0063618D"/>
    <w:rsid w:val="006365D2"/>
    <w:rsid w:val="00636A14"/>
    <w:rsid w:val="00636B41"/>
    <w:rsid w:val="00636E54"/>
    <w:rsid w:val="00636FF5"/>
    <w:rsid w:val="006372B3"/>
    <w:rsid w:val="00637392"/>
    <w:rsid w:val="0063746B"/>
    <w:rsid w:val="006374AF"/>
    <w:rsid w:val="00637F27"/>
    <w:rsid w:val="00637F81"/>
    <w:rsid w:val="0064040B"/>
    <w:rsid w:val="00640487"/>
    <w:rsid w:val="00640594"/>
    <w:rsid w:val="00640C62"/>
    <w:rsid w:val="00640E04"/>
    <w:rsid w:val="00640FA7"/>
    <w:rsid w:val="0064106E"/>
    <w:rsid w:val="0064149E"/>
    <w:rsid w:val="00641662"/>
    <w:rsid w:val="00641902"/>
    <w:rsid w:val="00641B15"/>
    <w:rsid w:val="00641BA9"/>
    <w:rsid w:val="00641D1B"/>
    <w:rsid w:val="00642331"/>
    <w:rsid w:val="006424A6"/>
    <w:rsid w:val="00642589"/>
    <w:rsid w:val="006425BB"/>
    <w:rsid w:val="0064266B"/>
    <w:rsid w:val="00642765"/>
    <w:rsid w:val="00642896"/>
    <w:rsid w:val="00642E6B"/>
    <w:rsid w:val="006430FD"/>
    <w:rsid w:val="006431A5"/>
    <w:rsid w:val="00643A4F"/>
    <w:rsid w:val="00643A89"/>
    <w:rsid w:val="00643EF3"/>
    <w:rsid w:val="006442E6"/>
    <w:rsid w:val="00644576"/>
    <w:rsid w:val="00644579"/>
    <w:rsid w:val="00644696"/>
    <w:rsid w:val="00644858"/>
    <w:rsid w:val="00644F44"/>
    <w:rsid w:val="006450E6"/>
    <w:rsid w:val="006451AD"/>
    <w:rsid w:val="00645214"/>
    <w:rsid w:val="006452AC"/>
    <w:rsid w:val="00645B60"/>
    <w:rsid w:val="0064628E"/>
    <w:rsid w:val="00646469"/>
    <w:rsid w:val="006467B5"/>
    <w:rsid w:val="00646996"/>
    <w:rsid w:val="00646C57"/>
    <w:rsid w:val="00646E56"/>
    <w:rsid w:val="00646FF3"/>
    <w:rsid w:val="0064701C"/>
    <w:rsid w:val="0064702D"/>
    <w:rsid w:val="006470E6"/>
    <w:rsid w:val="0064736A"/>
    <w:rsid w:val="006474E0"/>
    <w:rsid w:val="006477B6"/>
    <w:rsid w:val="00647B2B"/>
    <w:rsid w:val="00647C75"/>
    <w:rsid w:val="00647CA6"/>
    <w:rsid w:val="006501DB"/>
    <w:rsid w:val="0065035B"/>
    <w:rsid w:val="0065086B"/>
    <w:rsid w:val="00650902"/>
    <w:rsid w:val="00650A09"/>
    <w:rsid w:val="00650B37"/>
    <w:rsid w:val="00650F04"/>
    <w:rsid w:val="00650FE5"/>
    <w:rsid w:val="0065100A"/>
    <w:rsid w:val="00651516"/>
    <w:rsid w:val="00651844"/>
    <w:rsid w:val="00651AEF"/>
    <w:rsid w:val="00651BA8"/>
    <w:rsid w:val="00651E52"/>
    <w:rsid w:val="006529A1"/>
    <w:rsid w:val="00652AC6"/>
    <w:rsid w:val="00653169"/>
    <w:rsid w:val="0065322D"/>
    <w:rsid w:val="006532B2"/>
    <w:rsid w:val="00653330"/>
    <w:rsid w:val="00653387"/>
    <w:rsid w:val="00653521"/>
    <w:rsid w:val="00654444"/>
    <w:rsid w:val="006547C0"/>
    <w:rsid w:val="0065487E"/>
    <w:rsid w:val="00654C5A"/>
    <w:rsid w:val="006557D3"/>
    <w:rsid w:val="0065586C"/>
    <w:rsid w:val="00655924"/>
    <w:rsid w:val="00655D51"/>
    <w:rsid w:val="00655DAB"/>
    <w:rsid w:val="00655EB1"/>
    <w:rsid w:val="00655ED9"/>
    <w:rsid w:val="00655F9D"/>
    <w:rsid w:val="00656125"/>
    <w:rsid w:val="0065628B"/>
    <w:rsid w:val="006563B7"/>
    <w:rsid w:val="006564B9"/>
    <w:rsid w:val="00656635"/>
    <w:rsid w:val="00656B8F"/>
    <w:rsid w:val="006574FF"/>
    <w:rsid w:val="00657510"/>
    <w:rsid w:val="006575B0"/>
    <w:rsid w:val="006575B1"/>
    <w:rsid w:val="00657735"/>
    <w:rsid w:val="00657744"/>
    <w:rsid w:val="006578CF"/>
    <w:rsid w:val="00657968"/>
    <w:rsid w:val="00657DC4"/>
    <w:rsid w:val="00657DD7"/>
    <w:rsid w:val="00657E7A"/>
    <w:rsid w:val="006610AD"/>
    <w:rsid w:val="00661114"/>
    <w:rsid w:val="006611B4"/>
    <w:rsid w:val="006612A4"/>
    <w:rsid w:val="0066187B"/>
    <w:rsid w:val="00661A36"/>
    <w:rsid w:val="00661BCC"/>
    <w:rsid w:val="00661BF8"/>
    <w:rsid w:val="00661DD2"/>
    <w:rsid w:val="00661EA6"/>
    <w:rsid w:val="006622F8"/>
    <w:rsid w:val="0066245F"/>
    <w:rsid w:val="006627B6"/>
    <w:rsid w:val="00662807"/>
    <w:rsid w:val="00662A20"/>
    <w:rsid w:val="00662B83"/>
    <w:rsid w:val="00662CBC"/>
    <w:rsid w:val="00662D7D"/>
    <w:rsid w:val="00662EC8"/>
    <w:rsid w:val="006632FE"/>
    <w:rsid w:val="006634E2"/>
    <w:rsid w:val="00663659"/>
    <w:rsid w:val="006636E2"/>
    <w:rsid w:val="00664137"/>
    <w:rsid w:val="0066420D"/>
    <w:rsid w:val="00664278"/>
    <w:rsid w:val="00664321"/>
    <w:rsid w:val="0066434A"/>
    <w:rsid w:val="0066445F"/>
    <w:rsid w:val="0066467B"/>
    <w:rsid w:val="006649A0"/>
    <w:rsid w:val="00664C43"/>
    <w:rsid w:val="00664D1E"/>
    <w:rsid w:val="00664FDC"/>
    <w:rsid w:val="006659B5"/>
    <w:rsid w:val="00665AC1"/>
    <w:rsid w:val="00665DD5"/>
    <w:rsid w:val="00665F9D"/>
    <w:rsid w:val="00665FDE"/>
    <w:rsid w:val="006660B8"/>
    <w:rsid w:val="0066641B"/>
    <w:rsid w:val="0066654E"/>
    <w:rsid w:val="006667F4"/>
    <w:rsid w:val="006668DC"/>
    <w:rsid w:val="00666C35"/>
    <w:rsid w:val="006671D5"/>
    <w:rsid w:val="0066742B"/>
    <w:rsid w:val="006674EA"/>
    <w:rsid w:val="0066774C"/>
    <w:rsid w:val="006678FD"/>
    <w:rsid w:val="00667A25"/>
    <w:rsid w:val="00667C67"/>
    <w:rsid w:val="00667DD8"/>
    <w:rsid w:val="00670059"/>
    <w:rsid w:val="00670620"/>
    <w:rsid w:val="006707E6"/>
    <w:rsid w:val="00670975"/>
    <w:rsid w:val="00670EA7"/>
    <w:rsid w:val="00670F22"/>
    <w:rsid w:val="0067129D"/>
    <w:rsid w:val="0067168D"/>
    <w:rsid w:val="00671CC4"/>
    <w:rsid w:val="00671D30"/>
    <w:rsid w:val="00671E87"/>
    <w:rsid w:val="0067213D"/>
    <w:rsid w:val="00672325"/>
    <w:rsid w:val="00672339"/>
    <w:rsid w:val="00672A80"/>
    <w:rsid w:val="00672BA6"/>
    <w:rsid w:val="006730B5"/>
    <w:rsid w:val="00673732"/>
    <w:rsid w:val="006739B5"/>
    <w:rsid w:val="00673C93"/>
    <w:rsid w:val="00673CDC"/>
    <w:rsid w:val="00673E16"/>
    <w:rsid w:val="00674308"/>
    <w:rsid w:val="00674A0C"/>
    <w:rsid w:val="00674B8D"/>
    <w:rsid w:val="00674CB4"/>
    <w:rsid w:val="00675222"/>
    <w:rsid w:val="00675805"/>
    <w:rsid w:val="00675833"/>
    <w:rsid w:val="00675CB2"/>
    <w:rsid w:val="00675DFD"/>
    <w:rsid w:val="00675E79"/>
    <w:rsid w:val="00675F81"/>
    <w:rsid w:val="006762C7"/>
    <w:rsid w:val="006765B2"/>
    <w:rsid w:val="00676711"/>
    <w:rsid w:val="00676B45"/>
    <w:rsid w:val="00677074"/>
    <w:rsid w:val="00677396"/>
    <w:rsid w:val="006775BA"/>
    <w:rsid w:val="00677955"/>
    <w:rsid w:val="006801B7"/>
    <w:rsid w:val="006806A3"/>
    <w:rsid w:val="00680910"/>
    <w:rsid w:val="00680BCD"/>
    <w:rsid w:val="00680BFD"/>
    <w:rsid w:val="00680CD9"/>
    <w:rsid w:val="00680D12"/>
    <w:rsid w:val="00680D64"/>
    <w:rsid w:val="00680F97"/>
    <w:rsid w:val="0068148F"/>
    <w:rsid w:val="006816FA"/>
    <w:rsid w:val="00681EE2"/>
    <w:rsid w:val="00682C97"/>
    <w:rsid w:val="00683279"/>
    <w:rsid w:val="006836CE"/>
    <w:rsid w:val="00683A79"/>
    <w:rsid w:val="00683B67"/>
    <w:rsid w:val="00684351"/>
    <w:rsid w:val="00684875"/>
    <w:rsid w:val="00684D9F"/>
    <w:rsid w:val="006851BF"/>
    <w:rsid w:val="00685398"/>
    <w:rsid w:val="00685856"/>
    <w:rsid w:val="0068597D"/>
    <w:rsid w:val="00685A84"/>
    <w:rsid w:val="00685C26"/>
    <w:rsid w:val="00686038"/>
    <w:rsid w:val="006862F8"/>
    <w:rsid w:val="00686490"/>
    <w:rsid w:val="006864C0"/>
    <w:rsid w:val="0068694E"/>
    <w:rsid w:val="00686C77"/>
    <w:rsid w:val="00686FDA"/>
    <w:rsid w:val="00687098"/>
    <w:rsid w:val="00687301"/>
    <w:rsid w:val="00687A80"/>
    <w:rsid w:val="00687C55"/>
    <w:rsid w:val="00690176"/>
    <w:rsid w:val="00690371"/>
    <w:rsid w:val="00690475"/>
    <w:rsid w:val="006906F6"/>
    <w:rsid w:val="0069087C"/>
    <w:rsid w:val="0069090E"/>
    <w:rsid w:val="00690DE2"/>
    <w:rsid w:val="00690E74"/>
    <w:rsid w:val="00690EE6"/>
    <w:rsid w:val="00690FEE"/>
    <w:rsid w:val="0069121A"/>
    <w:rsid w:val="00691308"/>
    <w:rsid w:val="0069189E"/>
    <w:rsid w:val="00691BCB"/>
    <w:rsid w:val="0069225B"/>
    <w:rsid w:val="0069227B"/>
    <w:rsid w:val="006922B3"/>
    <w:rsid w:val="006922CB"/>
    <w:rsid w:val="00692395"/>
    <w:rsid w:val="006924F3"/>
    <w:rsid w:val="00692D29"/>
    <w:rsid w:val="00692DBD"/>
    <w:rsid w:val="006933A4"/>
    <w:rsid w:val="0069353B"/>
    <w:rsid w:val="00693541"/>
    <w:rsid w:val="0069363A"/>
    <w:rsid w:val="006939A7"/>
    <w:rsid w:val="00694026"/>
    <w:rsid w:val="0069490A"/>
    <w:rsid w:val="00694BB3"/>
    <w:rsid w:val="00695134"/>
    <w:rsid w:val="006951A3"/>
    <w:rsid w:val="006951D0"/>
    <w:rsid w:val="0069524D"/>
    <w:rsid w:val="006955FE"/>
    <w:rsid w:val="006956AB"/>
    <w:rsid w:val="00695828"/>
    <w:rsid w:val="00695BBF"/>
    <w:rsid w:val="00695D5B"/>
    <w:rsid w:val="00695E67"/>
    <w:rsid w:val="006967B1"/>
    <w:rsid w:val="006967B2"/>
    <w:rsid w:val="00697159"/>
    <w:rsid w:val="006971D3"/>
    <w:rsid w:val="006975FA"/>
    <w:rsid w:val="00697613"/>
    <w:rsid w:val="00697FF4"/>
    <w:rsid w:val="006A01CE"/>
    <w:rsid w:val="006A0269"/>
    <w:rsid w:val="006A04C1"/>
    <w:rsid w:val="006A06A5"/>
    <w:rsid w:val="006A0724"/>
    <w:rsid w:val="006A0A02"/>
    <w:rsid w:val="006A1069"/>
    <w:rsid w:val="006A13CA"/>
    <w:rsid w:val="006A16F3"/>
    <w:rsid w:val="006A1AD0"/>
    <w:rsid w:val="006A1D08"/>
    <w:rsid w:val="006A1D83"/>
    <w:rsid w:val="006A20EB"/>
    <w:rsid w:val="006A2B2A"/>
    <w:rsid w:val="006A2CFE"/>
    <w:rsid w:val="006A2DAB"/>
    <w:rsid w:val="006A32E4"/>
    <w:rsid w:val="006A3313"/>
    <w:rsid w:val="006A351A"/>
    <w:rsid w:val="006A37D2"/>
    <w:rsid w:val="006A3C97"/>
    <w:rsid w:val="006A3F5B"/>
    <w:rsid w:val="006A42CE"/>
    <w:rsid w:val="006A43F1"/>
    <w:rsid w:val="006A4508"/>
    <w:rsid w:val="006A4577"/>
    <w:rsid w:val="006A45A5"/>
    <w:rsid w:val="006A49CC"/>
    <w:rsid w:val="006A51FE"/>
    <w:rsid w:val="006A523E"/>
    <w:rsid w:val="006A5490"/>
    <w:rsid w:val="006A5887"/>
    <w:rsid w:val="006A5910"/>
    <w:rsid w:val="006A5C1A"/>
    <w:rsid w:val="006A5D83"/>
    <w:rsid w:val="006A5D9E"/>
    <w:rsid w:val="006A5DA0"/>
    <w:rsid w:val="006A5DE6"/>
    <w:rsid w:val="006A61A7"/>
    <w:rsid w:val="006A647A"/>
    <w:rsid w:val="006A666C"/>
    <w:rsid w:val="006A66C4"/>
    <w:rsid w:val="006A67C8"/>
    <w:rsid w:val="006A6A84"/>
    <w:rsid w:val="006A6DFE"/>
    <w:rsid w:val="006A752E"/>
    <w:rsid w:val="006A7606"/>
    <w:rsid w:val="006A7AFF"/>
    <w:rsid w:val="006A7B78"/>
    <w:rsid w:val="006A7C7F"/>
    <w:rsid w:val="006A7DE0"/>
    <w:rsid w:val="006B0158"/>
    <w:rsid w:val="006B0242"/>
    <w:rsid w:val="006B056B"/>
    <w:rsid w:val="006B0716"/>
    <w:rsid w:val="006B0A29"/>
    <w:rsid w:val="006B0C96"/>
    <w:rsid w:val="006B0D2D"/>
    <w:rsid w:val="006B0F40"/>
    <w:rsid w:val="006B0F73"/>
    <w:rsid w:val="006B15F4"/>
    <w:rsid w:val="006B176C"/>
    <w:rsid w:val="006B1912"/>
    <w:rsid w:val="006B192F"/>
    <w:rsid w:val="006B1984"/>
    <w:rsid w:val="006B19F6"/>
    <w:rsid w:val="006B1AA2"/>
    <w:rsid w:val="006B1CBA"/>
    <w:rsid w:val="006B1EE3"/>
    <w:rsid w:val="006B1F38"/>
    <w:rsid w:val="006B214A"/>
    <w:rsid w:val="006B2213"/>
    <w:rsid w:val="006B272F"/>
    <w:rsid w:val="006B277F"/>
    <w:rsid w:val="006B2AAF"/>
    <w:rsid w:val="006B2EEB"/>
    <w:rsid w:val="006B30DD"/>
    <w:rsid w:val="006B3384"/>
    <w:rsid w:val="006B3450"/>
    <w:rsid w:val="006B39A1"/>
    <w:rsid w:val="006B3C0B"/>
    <w:rsid w:val="006B3F40"/>
    <w:rsid w:val="006B3F5E"/>
    <w:rsid w:val="006B4725"/>
    <w:rsid w:val="006B4866"/>
    <w:rsid w:val="006B4AB9"/>
    <w:rsid w:val="006B52C0"/>
    <w:rsid w:val="006B535D"/>
    <w:rsid w:val="006B53EC"/>
    <w:rsid w:val="006B5601"/>
    <w:rsid w:val="006B572A"/>
    <w:rsid w:val="006B59EB"/>
    <w:rsid w:val="006B5A20"/>
    <w:rsid w:val="006B5C11"/>
    <w:rsid w:val="006B5F1A"/>
    <w:rsid w:val="006B60FC"/>
    <w:rsid w:val="006B6162"/>
    <w:rsid w:val="006B61C0"/>
    <w:rsid w:val="006B627C"/>
    <w:rsid w:val="006B65C2"/>
    <w:rsid w:val="006B6983"/>
    <w:rsid w:val="006B69A6"/>
    <w:rsid w:val="006B71F2"/>
    <w:rsid w:val="006B7443"/>
    <w:rsid w:val="006B76F8"/>
    <w:rsid w:val="006B78A5"/>
    <w:rsid w:val="006B78CC"/>
    <w:rsid w:val="006C048F"/>
    <w:rsid w:val="006C078A"/>
    <w:rsid w:val="006C0855"/>
    <w:rsid w:val="006C0878"/>
    <w:rsid w:val="006C0880"/>
    <w:rsid w:val="006C0928"/>
    <w:rsid w:val="006C0BD1"/>
    <w:rsid w:val="006C0E3B"/>
    <w:rsid w:val="006C1023"/>
    <w:rsid w:val="006C10DF"/>
    <w:rsid w:val="006C111F"/>
    <w:rsid w:val="006C126F"/>
    <w:rsid w:val="006C13A9"/>
    <w:rsid w:val="006C1502"/>
    <w:rsid w:val="006C1693"/>
    <w:rsid w:val="006C180A"/>
    <w:rsid w:val="006C22CA"/>
    <w:rsid w:val="006C2451"/>
    <w:rsid w:val="006C24F6"/>
    <w:rsid w:val="006C2711"/>
    <w:rsid w:val="006C2844"/>
    <w:rsid w:val="006C2C45"/>
    <w:rsid w:val="006C2C4D"/>
    <w:rsid w:val="006C2F7C"/>
    <w:rsid w:val="006C2F9C"/>
    <w:rsid w:val="006C3099"/>
    <w:rsid w:val="006C31B1"/>
    <w:rsid w:val="006C3753"/>
    <w:rsid w:val="006C3922"/>
    <w:rsid w:val="006C3A01"/>
    <w:rsid w:val="006C3A14"/>
    <w:rsid w:val="006C3BF8"/>
    <w:rsid w:val="006C3D35"/>
    <w:rsid w:val="006C3E8E"/>
    <w:rsid w:val="006C3EFA"/>
    <w:rsid w:val="006C4652"/>
    <w:rsid w:val="006C4757"/>
    <w:rsid w:val="006C4776"/>
    <w:rsid w:val="006C47C0"/>
    <w:rsid w:val="006C47E8"/>
    <w:rsid w:val="006C4932"/>
    <w:rsid w:val="006C4DE7"/>
    <w:rsid w:val="006C5090"/>
    <w:rsid w:val="006C514D"/>
    <w:rsid w:val="006C5166"/>
    <w:rsid w:val="006C538B"/>
    <w:rsid w:val="006C5468"/>
    <w:rsid w:val="006C55F9"/>
    <w:rsid w:val="006C5657"/>
    <w:rsid w:val="006C583F"/>
    <w:rsid w:val="006C5A6A"/>
    <w:rsid w:val="006C5FA0"/>
    <w:rsid w:val="006C61B2"/>
    <w:rsid w:val="006C67E2"/>
    <w:rsid w:val="006C6A5C"/>
    <w:rsid w:val="006C6C07"/>
    <w:rsid w:val="006C6F59"/>
    <w:rsid w:val="006C6F95"/>
    <w:rsid w:val="006C7058"/>
    <w:rsid w:val="006C7286"/>
    <w:rsid w:val="006C7733"/>
    <w:rsid w:val="006C7D8A"/>
    <w:rsid w:val="006C7DA0"/>
    <w:rsid w:val="006D006F"/>
    <w:rsid w:val="006D0196"/>
    <w:rsid w:val="006D0752"/>
    <w:rsid w:val="006D0D9D"/>
    <w:rsid w:val="006D128A"/>
    <w:rsid w:val="006D13B4"/>
    <w:rsid w:val="006D1751"/>
    <w:rsid w:val="006D1775"/>
    <w:rsid w:val="006D1954"/>
    <w:rsid w:val="006D199B"/>
    <w:rsid w:val="006D1C07"/>
    <w:rsid w:val="006D1EFF"/>
    <w:rsid w:val="006D1F7F"/>
    <w:rsid w:val="006D1FA7"/>
    <w:rsid w:val="006D27AA"/>
    <w:rsid w:val="006D2B49"/>
    <w:rsid w:val="006D2BB4"/>
    <w:rsid w:val="006D2DC6"/>
    <w:rsid w:val="006D2DDA"/>
    <w:rsid w:val="006D2F89"/>
    <w:rsid w:val="006D3626"/>
    <w:rsid w:val="006D3B25"/>
    <w:rsid w:val="006D3EEB"/>
    <w:rsid w:val="006D40FF"/>
    <w:rsid w:val="006D438F"/>
    <w:rsid w:val="006D460C"/>
    <w:rsid w:val="006D4756"/>
    <w:rsid w:val="006D48E2"/>
    <w:rsid w:val="006D5085"/>
    <w:rsid w:val="006D54BA"/>
    <w:rsid w:val="006D57B2"/>
    <w:rsid w:val="006D5CF4"/>
    <w:rsid w:val="006D65F4"/>
    <w:rsid w:val="006D6C4C"/>
    <w:rsid w:val="006D6E66"/>
    <w:rsid w:val="006D6F33"/>
    <w:rsid w:val="006D71F1"/>
    <w:rsid w:val="006D72AC"/>
    <w:rsid w:val="006D7531"/>
    <w:rsid w:val="006D7553"/>
    <w:rsid w:val="006D75E5"/>
    <w:rsid w:val="006D76E3"/>
    <w:rsid w:val="006D77B1"/>
    <w:rsid w:val="006D78D4"/>
    <w:rsid w:val="006D7B5A"/>
    <w:rsid w:val="006D7C59"/>
    <w:rsid w:val="006D7E5E"/>
    <w:rsid w:val="006D7F99"/>
    <w:rsid w:val="006E0357"/>
    <w:rsid w:val="006E07ED"/>
    <w:rsid w:val="006E091D"/>
    <w:rsid w:val="006E0961"/>
    <w:rsid w:val="006E0A39"/>
    <w:rsid w:val="006E0E09"/>
    <w:rsid w:val="006E0F08"/>
    <w:rsid w:val="006E119F"/>
    <w:rsid w:val="006E1973"/>
    <w:rsid w:val="006E19DE"/>
    <w:rsid w:val="006E1D9C"/>
    <w:rsid w:val="006E1EE1"/>
    <w:rsid w:val="006E2221"/>
    <w:rsid w:val="006E2644"/>
    <w:rsid w:val="006E28CC"/>
    <w:rsid w:val="006E2979"/>
    <w:rsid w:val="006E2F7A"/>
    <w:rsid w:val="006E30CB"/>
    <w:rsid w:val="006E35EE"/>
    <w:rsid w:val="006E3D17"/>
    <w:rsid w:val="006E3DC3"/>
    <w:rsid w:val="006E3DFC"/>
    <w:rsid w:val="006E3EDD"/>
    <w:rsid w:val="006E40C1"/>
    <w:rsid w:val="006E40F4"/>
    <w:rsid w:val="006E44AD"/>
    <w:rsid w:val="006E4605"/>
    <w:rsid w:val="006E50D9"/>
    <w:rsid w:val="006E5100"/>
    <w:rsid w:val="006E521D"/>
    <w:rsid w:val="006E5250"/>
    <w:rsid w:val="006E556A"/>
    <w:rsid w:val="006E5588"/>
    <w:rsid w:val="006E582C"/>
    <w:rsid w:val="006E593D"/>
    <w:rsid w:val="006E5DB3"/>
    <w:rsid w:val="006E5E5C"/>
    <w:rsid w:val="006E62AC"/>
    <w:rsid w:val="006E638C"/>
    <w:rsid w:val="006E65EB"/>
    <w:rsid w:val="006E6A6D"/>
    <w:rsid w:val="006E6B86"/>
    <w:rsid w:val="006E6E7D"/>
    <w:rsid w:val="006E6EFA"/>
    <w:rsid w:val="006E705A"/>
    <w:rsid w:val="006E7254"/>
    <w:rsid w:val="006E7384"/>
    <w:rsid w:val="006E77B6"/>
    <w:rsid w:val="006E79D5"/>
    <w:rsid w:val="006E7A9D"/>
    <w:rsid w:val="006E7BCC"/>
    <w:rsid w:val="006E7D16"/>
    <w:rsid w:val="006E7F32"/>
    <w:rsid w:val="006F0003"/>
    <w:rsid w:val="006F048F"/>
    <w:rsid w:val="006F052C"/>
    <w:rsid w:val="006F08D0"/>
    <w:rsid w:val="006F0F2A"/>
    <w:rsid w:val="006F120E"/>
    <w:rsid w:val="006F1324"/>
    <w:rsid w:val="006F13FF"/>
    <w:rsid w:val="006F1BB6"/>
    <w:rsid w:val="006F1C06"/>
    <w:rsid w:val="006F1F6D"/>
    <w:rsid w:val="006F2343"/>
    <w:rsid w:val="006F2848"/>
    <w:rsid w:val="006F2E70"/>
    <w:rsid w:val="006F3171"/>
    <w:rsid w:val="006F32AF"/>
    <w:rsid w:val="006F32E5"/>
    <w:rsid w:val="006F32F2"/>
    <w:rsid w:val="006F3426"/>
    <w:rsid w:val="006F372E"/>
    <w:rsid w:val="006F3B5A"/>
    <w:rsid w:val="006F3DEC"/>
    <w:rsid w:val="006F3E44"/>
    <w:rsid w:val="006F441F"/>
    <w:rsid w:val="006F4911"/>
    <w:rsid w:val="006F4A7B"/>
    <w:rsid w:val="006F4AA3"/>
    <w:rsid w:val="006F55CB"/>
    <w:rsid w:val="006F5867"/>
    <w:rsid w:val="006F5927"/>
    <w:rsid w:val="006F5A57"/>
    <w:rsid w:val="006F5AEE"/>
    <w:rsid w:val="006F623C"/>
    <w:rsid w:val="006F6259"/>
    <w:rsid w:val="006F6279"/>
    <w:rsid w:val="006F6431"/>
    <w:rsid w:val="006F6773"/>
    <w:rsid w:val="006F697C"/>
    <w:rsid w:val="006F6C8C"/>
    <w:rsid w:val="006F6EAD"/>
    <w:rsid w:val="006F6F74"/>
    <w:rsid w:val="006F7321"/>
    <w:rsid w:val="006F77C8"/>
    <w:rsid w:val="006F7C59"/>
    <w:rsid w:val="006F7C94"/>
    <w:rsid w:val="006F7CB9"/>
    <w:rsid w:val="006F7D6F"/>
    <w:rsid w:val="007001EC"/>
    <w:rsid w:val="00700694"/>
    <w:rsid w:val="0070072A"/>
    <w:rsid w:val="0070074E"/>
    <w:rsid w:val="00700913"/>
    <w:rsid w:val="00700990"/>
    <w:rsid w:val="00700F7E"/>
    <w:rsid w:val="0070108C"/>
    <w:rsid w:val="007011E0"/>
    <w:rsid w:val="00702038"/>
    <w:rsid w:val="007021BA"/>
    <w:rsid w:val="007023D0"/>
    <w:rsid w:val="0070262C"/>
    <w:rsid w:val="00702714"/>
    <w:rsid w:val="0070277B"/>
    <w:rsid w:val="00702808"/>
    <w:rsid w:val="00702DFE"/>
    <w:rsid w:val="00702E3D"/>
    <w:rsid w:val="00703366"/>
    <w:rsid w:val="007033A4"/>
    <w:rsid w:val="007033D4"/>
    <w:rsid w:val="00703549"/>
    <w:rsid w:val="007035F6"/>
    <w:rsid w:val="00703684"/>
    <w:rsid w:val="007036A8"/>
    <w:rsid w:val="007036D9"/>
    <w:rsid w:val="00703708"/>
    <w:rsid w:val="00703C3D"/>
    <w:rsid w:val="00704066"/>
    <w:rsid w:val="0070413B"/>
    <w:rsid w:val="0070415F"/>
    <w:rsid w:val="00704233"/>
    <w:rsid w:val="0070428E"/>
    <w:rsid w:val="007046C8"/>
    <w:rsid w:val="00704872"/>
    <w:rsid w:val="00704B4E"/>
    <w:rsid w:val="00704E6A"/>
    <w:rsid w:val="00704EBA"/>
    <w:rsid w:val="007056AE"/>
    <w:rsid w:val="00705810"/>
    <w:rsid w:val="00705A9F"/>
    <w:rsid w:val="00705B00"/>
    <w:rsid w:val="00705D31"/>
    <w:rsid w:val="00706095"/>
    <w:rsid w:val="007063B2"/>
    <w:rsid w:val="00706644"/>
    <w:rsid w:val="00706726"/>
    <w:rsid w:val="00706BF9"/>
    <w:rsid w:val="00706D1C"/>
    <w:rsid w:val="00706D26"/>
    <w:rsid w:val="0070740A"/>
    <w:rsid w:val="0070766B"/>
    <w:rsid w:val="0070789C"/>
    <w:rsid w:val="007079D3"/>
    <w:rsid w:val="00707C18"/>
    <w:rsid w:val="00707FA3"/>
    <w:rsid w:val="0071031E"/>
    <w:rsid w:val="007103FA"/>
    <w:rsid w:val="00710529"/>
    <w:rsid w:val="007105A0"/>
    <w:rsid w:val="00710AA1"/>
    <w:rsid w:val="00710B72"/>
    <w:rsid w:val="00710B78"/>
    <w:rsid w:val="00710BCA"/>
    <w:rsid w:val="00710DE8"/>
    <w:rsid w:val="00710FFC"/>
    <w:rsid w:val="007110C9"/>
    <w:rsid w:val="007111E7"/>
    <w:rsid w:val="007112E9"/>
    <w:rsid w:val="00711746"/>
    <w:rsid w:val="00711C74"/>
    <w:rsid w:val="00711D22"/>
    <w:rsid w:val="007123E3"/>
    <w:rsid w:val="0071255A"/>
    <w:rsid w:val="007127EA"/>
    <w:rsid w:val="00712A1B"/>
    <w:rsid w:val="00712B2B"/>
    <w:rsid w:val="00712CA9"/>
    <w:rsid w:val="007130A3"/>
    <w:rsid w:val="007130D1"/>
    <w:rsid w:val="00713307"/>
    <w:rsid w:val="00713A12"/>
    <w:rsid w:val="007141F0"/>
    <w:rsid w:val="00714667"/>
    <w:rsid w:val="00715998"/>
    <w:rsid w:val="007159F8"/>
    <w:rsid w:val="00715BF2"/>
    <w:rsid w:val="00715EB4"/>
    <w:rsid w:val="007167CA"/>
    <w:rsid w:val="007167D7"/>
    <w:rsid w:val="00716993"/>
    <w:rsid w:val="00716B00"/>
    <w:rsid w:val="00716C84"/>
    <w:rsid w:val="00716EAD"/>
    <w:rsid w:val="00716F00"/>
    <w:rsid w:val="00716FF5"/>
    <w:rsid w:val="00717563"/>
    <w:rsid w:val="007175EC"/>
    <w:rsid w:val="00717E5F"/>
    <w:rsid w:val="00717F98"/>
    <w:rsid w:val="007202E5"/>
    <w:rsid w:val="0072077C"/>
    <w:rsid w:val="007209A6"/>
    <w:rsid w:val="00721220"/>
    <w:rsid w:val="007216A2"/>
    <w:rsid w:val="00721950"/>
    <w:rsid w:val="00721D63"/>
    <w:rsid w:val="00721E5D"/>
    <w:rsid w:val="007220B2"/>
    <w:rsid w:val="007222D1"/>
    <w:rsid w:val="0072237C"/>
    <w:rsid w:val="007228B9"/>
    <w:rsid w:val="00722BCC"/>
    <w:rsid w:val="00722BD6"/>
    <w:rsid w:val="00722D07"/>
    <w:rsid w:val="00722E39"/>
    <w:rsid w:val="00723088"/>
    <w:rsid w:val="007230AA"/>
    <w:rsid w:val="00723192"/>
    <w:rsid w:val="0072339C"/>
    <w:rsid w:val="007233A5"/>
    <w:rsid w:val="0072350C"/>
    <w:rsid w:val="00723A90"/>
    <w:rsid w:val="00724629"/>
    <w:rsid w:val="007247B5"/>
    <w:rsid w:val="00724933"/>
    <w:rsid w:val="00724A61"/>
    <w:rsid w:val="00724ABD"/>
    <w:rsid w:val="00724AF4"/>
    <w:rsid w:val="00724E3B"/>
    <w:rsid w:val="007251A8"/>
    <w:rsid w:val="00725651"/>
    <w:rsid w:val="007256B4"/>
    <w:rsid w:val="007258A1"/>
    <w:rsid w:val="007258EF"/>
    <w:rsid w:val="007258FB"/>
    <w:rsid w:val="007259E6"/>
    <w:rsid w:val="00725AA2"/>
    <w:rsid w:val="00725AB6"/>
    <w:rsid w:val="00725C8C"/>
    <w:rsid w:val="00726034"/>
    <w:rsid w:val="007261ED"/>
    <w:rsid w:val="0072637E"/>
    <w:rsid w:val="007263A9"/>
    <w:rsid w:val="007265B8"/>
    <w:rsid w:val="007266A4"/>
    <w:rsid w:val="0072685D"/>
    <w:rsid w:val="0072695C"/>
    <w:rsid w:val="00726C7B"/>
    <w:rsid w:val="0072734B"/>
    <w:rsid w:val="007276DF"/>
    <w:rsid w:val="00727751"/>
    <w:rsid w:val="007278B0"/>
    <w:rsid w:val="00727917"/>
    <w:rsid w:val="00727ABC"/>
    <w:rsid w:val="00727DA1"/>
    <w:rsid w:val="00727F57"/>
    <w:rsid w:val="00727FB4"/>
    <w:rsid w:val="0073011B"/>
    <w:rsid w:val="00730184"/>
    <w:rsid w:val="007301AD"/>
    <w:rsid w:val="00730254"/>
    <w:rsid w:val="007304D6"/>
    <w:rsid w:val="00730856"/>
    <w:rsid w:val="007309B4"/>
    <w:rsid w:val="00730B5D"/>
    <w:rsid w:val="00730B87"/>
    <w:rsid w:val="00730CC8"/>
    <w:rsid w:val="00730FAD"/>
    <w:rsid w:val="0073131A"/>
    <w:rsid w:val="0073132A"/>
    <w:rsid w:val="007313BF"/>
    <w:rsid w:val="00731741"/>
    <w:rsid w:val="00731C52"/>
    <w:rsid w:val="007323E5"/>
    <w:rsid w:val="0073244F"/>
    <w:rsid w:val="00732681"/>
    <w:rsid w:val="00732813"/>
    <w:rsid w:val="00732AB4"/>
    <w:rsid w:val="00732B0C"/>
    <w:rsid w:val="00732B6D"/>
    <w:rsid w:val="00732C80"/>
    <w:rsid w:val="00732E2E"/>
    <w:rsid w:val="00732F36"/>
    <w:rsid w:val="00733140"/>
    <w:rsid w:val="00733523"/>
    <w:rsid w:val="00733537"/>
    <w:rsid w:val="00733F1C"/>
    <w:rsid w:val="00734139"/>
    <w:rsid w:val="007347A9"/>
    <w:rsid w:val="0073486F"/>
    <w:rsid w:val="007349CF"/>
    <w:rsid w:val="00734CD1"/>
    <w:rsid w:val="007351FB"/>
    <w:rsid w:val="0073552B"/>
    <w:rsid w:val="00735530"/>
    <w:rsid w:val="007359A1"/>
    <w:rsid w:val="00735AD3"/>
    <w:rsid w:val="00735B39"/>
    <w:rsid w:val="00735C40"/>
    <w:rsid w:val="00735C59"/>
    <w:rsid w:val="0073608F"/>
    <w:rsid w:val="007360A0"/>
    <w:rsid w:val="0073643C"/>
    <w:rsid w:val="0073650C"/>
    <w:rsid w:val="00736BAD"/>
    <w:rsid w:val="00736EA3"/>
    <w:rsid w:val="00736EC6"/>
    <w:rsid w:val="00736EE7"/>
    <w:rsid w:val="00736FD3"/>
    <w:rsid w:val="00737393"/>
    <w:rsid w:val="007373C2"/>
    <w:rsid w:val="0073764E"/>
    <w:rsid w:val="00737A0C"/>
    <w:rsid w:val="007401AC"/>
    <w:rsid w:val="0074026D"/>
    <w:rsid w:val="00740612"/>
    <w:rsid w:val="00740816"/>
    <w:rsid w:val="00740839"/>
    <w:rsid w:val="00740843"/>
    <w:rsid w:val="00740AB9"/>
    <w:rsid w:val="00740B6F"/>
    <w:rsid w:val="00740D2B"/>
    <w:rsid w:val="00740DE6"/>
    <w:rsid w:val="00740F26"/>
    <w:rsid w:val="007410A8"/>
    <w:rsid w:val="0074137E"/>
    <w:rsid w:val="0074140C"/>
    <w:rsid w:val="00741422"/>
    <w:rsid w:val="007414E0"/>
    <w:rsid w:val="00741855"/>
    <w:rsid w:val="00741BC9"/>
    <w:rsid w:val="00741C09"/>
    <w:rsid w:val="00741E95"/>
    <w:rsid w:val="00741F24"/>
    <w:rsid w:val="0074219A"/>
    <w:rsid w:val="00742458"/>
    <w:rsid w:val="007424C2"/>
    <w:rsid w:val="007424E7"/>
    <w:rsid w:val="00742695"/>
    <w:rsid w:val="00742B63"/>
    <w:rsid w:val="007431CD"/>
    <w:rsid w:val="007431F0"/>
    <w:rsid w:val="007432F3"/>
    <w:rsid w:val="00743375"/>
    <w:rsid w:val="007436F0"/>
    <w:rsid w:val="0074383A"/>
    <w:rsid w:val="00743AAC"/>
    <w:rsid w:val="00743F05"/>
    <w:rsid w:val="0074402D"/>
    <w:rsid w:val="007446B7"/>
    <w:rsid w:val="00744702"/>
    <w:rsid w:val="007448E0"/>
    <w:rsid w:val="007449E6"/>
    <w:rsid w:val="00744D87"/>
    <w:rsid w:val="00744EDE"/>
    <w:rsid w:val="00744F2E"/>
    <w:rsid w:val="00744F35"/>
    <w:rsid w:val="007450E5"/>
    <w:rsid w:val="0074541E"/>
    <w:rsid w:val="007454D6"/>
    <w:rsid w:val="0074554C"/>
    <w:rsid w:val="0074569C"/>
    <w:rsid w:val="00745803"/>
    <w:rsid w:val="007458F7"/>
    <w:rsid w:val="00745A0C"/>
    <w:rsid w:val="00745A57"/>
    <w:rsid w:val="00745AB3"/>
    <w:rsid w:val="00745BD5"/>
    <w:rsid w:val="00746062"/>
    <w:rsid w:val="00746430"/>
    <w:rsid w:val="007467B0"/>
    <w:rsid w:val="00746A72"/>
    <w:rsid w:val="00746B5C"/>
    <w:rsid w:val="007473E4"/>
    <w:rsid w:val="0074740B"/>
    <w:rsid w:val="007474DD"/>
    <w:rsid w:val="0074756D"/>
    <w:rsid w:val="00747CF6"/>
    <w:rsid w:val="0075010B"/>
    <w:rsid w:val="0075026B"/>
    <w:rsid w:val="00750ACB"/>
    <w:rsid w:val="00750E22"/>
    <w:rsid w:val="007512C2"/>
    <w:rsid w:val="00751361"/>
    <w:rsid w:val="0075142F"/>
    <w:rsid w:val="007517E4"/>
    <w:rsid w:val="007518A7"/>
    <w:rsid w:val="00751C53"/>
    <w:rsid w:val="00751D56"/>
    <w:rsid w:val="00751DF0"/>
    <w:rsid w:val="00752092"/>
    <w:rsid w:val="0075259B"/>
    <w:rsid w:val="007525F5"/>
    <w:rsid w:val="00752761"/>
    <w:rsid w:val="007529EB"/>
    <w:rsid w:val="00752A4A"/>
    <w:rsid w:val="00752B1B"/>
    <w:rsid w:val="00752C7D"/>
    <w:rsid w:val="007531A7"/>
    <w:rsid w:val="007533A0"/>
    <w:rsid w:val="007535E0"/>
    <w:rsid w:val="0075367F"/>
    <w:rsid w:val="007537C6"/>
    <w:rsid w:val="00753D35"/>
    <w:rsid w:val="00753E8D"/>
    <w:rsid w:val="007546F5"/>
    <w:rsid w:val="007547F0"/>
    <w:rsid w:val="00754A73"/>
    <w:rsid w:val="00754A7D"/>
    <w:rsid w:val="00754BCC"/>
    <w:rsid w:val="00755026"/>
    <w:rsid w:val="00755076"/>
    <w:rsid w:val="007554D1"/>
    <w:rsid w:val="007556E9"/>
    <w:rsid w:val="007557EE"/>
    <w:rsid w:val="00755C16"/>
    <w:rsid w:val="00755F11"/>
    <w:rsid w:val="00756A47"/>
    <w:rsid w:val="00756B06"/>
    <w:rsid w:val="00756D5E"/>
    <w:rsid w:val="00756E0A"/>
    <w:rsid w:val="00757218"/>
    <w:rsid w:val="007572AA"/>
    <w:rsid w:val="007572CC"/>
    <w:rsid w:val="00757441"/>
    <w:rsid w:val="00757733"/>
    <w:rsid w:val="00757B8B"/>
    <w:rsid w:val="00757E87"/>
    <w:rsid w:val="00760307"/>
    <w:rsid w:val="0076063E"/>
    <w:rsid w:val="00760848"/>
    <w:rsid w:val="00760991"/>
    <w:rsid w:val="00760D74"/>
    <w:rsid w:val="00760FCF"/>
    <w:rsid w:val="00761533"/>
    <w:rsid w:val="0076171A"/>
    <w:rsid w:val="00762096"/>
    <w:rsid w:val="007623BE"/>
    <w:rsid w:val="00762509"/>
    <w:rsid w:val="007625A6"/>
    <w:rsid w:val="0076299D"/>
    <w:rsid w:val="00762B98"/>
    <w:rsid w:val="00762C8B"/>
    <w:rsid w:val="00763059"/>
    <w:rsid w:val="007632FB"/>
    <w:rsid w:val="0076353A"/>
    <w:rsid w:val="00763C00"/>
    <w:rsid w:val="00763E01"/>
    <w:rsid w:val="00763F96"/>
    <w:rsid w:val="00764068"/>
    <w:rsid w:val="00764322"/>
    <w:rsid w:val="007643DC"/>
    <w:rsid w:val="007645BD"/>
    <w:rsid w:val="007646F2"/>
    <w:rsid w:val="007647D7"/>
    <w:rsid w:val="007649C8"/>
    <w:rsid w:val="00764BEE"/>
    <w:rsid w:val="00764CCC"/>
    <w:rsid w:val="00764D8E"/>
    <w:rsid w:val="00764F16"/>
    <w:rsid w:val="00765081"/>
    <w:rsid w:val="0076515B"/>
    <w:rsid w:val="00765406"/>
    <w:rsid w:val="0076583D"/>
    <w:rsid w:val="007659A7"/>
    <w:rsid w:val="00765B75"/>
    <w:rsid w:val="00766249"/>
    <w:rsid w:val="007663C2"/>
    <w:rsid w:val="00766C1B"/>
    <w:rsid w:val="00766E91"/>
    <w:rsid w:val="00766EF3"/>
    <w:rsid w:val="00767034"/>
    <w:rsid w:val="00767740"/>
    <w:rsid w:val="00767A89"/>
    <w:rsid w:val="00767BD2"/>
    <w:rsid w:val="00767BE4"/>
    <w:rsid w:val="00767D7B"/>
    <w:rsid w:val="007700FE"/>
    <w:rsid w:val="007702C0"/>
    <w:rsid w:val="0077086B"/>
    <w:rsid w:val="007708CD"/>
    <w:rsid w:val="007711A3"/>
    <w:rsid w:val="00771613"/>
    <w:rsid w:val="00771912"/>
    <w:rsid w:val="00771A1B"/>
    <w:rsid w:val="00771DA4"/>
    <w:rsid w:val="00771FC2"/>
    <w:rsid w:val="00771FEA"/>
    <w:rsid w:val="007721C8"/>
    <w:rsid w:val="00772B87"/>
    <w:rsid w:val="0077325E"/>
    <w:rsid w:val="00773373"/>
    <w:rsid w:val="0077344B"/>
    <w:rsid w:val="0077361C"/>
    <w:rsid w:val="00773DE4"/>
    <w:rsid w:val="00774279"/>
    <w:rsid w:val="00774468"/>
    <w:rsid w:val="00774836"/>
    <w:rsid w:val="00774F4A"/>
    <w:rsid w:val="00774F61"/>
    <w:rsid w:val="007750FE"/>
    <w:rsid w:val="00775514"/>
    <w:rsid w:val="007755B9"/>
    <w:rsid w:val="00775723"/>
    <w:rsid w:val="00775802"/>
    <w:rsid w:val="00775994"/>
    <w:rsid w:val="00775B3F"/>
    <w:rsid w:val="00775F04"/>
    <w:rsid w:val="007760F9"/>
    <w:rsid w:val="0077647C"/>
    <w:rsid w:val="007768E8"/>
    <w:rsid w:val="00776B9C"/>
    <w:rsid w:val="00776BE9"/>
    <w:rsid w:val="00776D62"/>
    <w:rsid w:val="00777097"/>
    <w:rsid w:val="007770A1"/>
    <w:rsid w:val="00777536"/>
    <w:rsid w:val="007776D5"/>
    <w:rsid w:val="00777B86"/>
    <w:rsid w:val="00780790"/>
    <w:rsid w:val="00780814"/>
    <w:rsid w:val="0078097F"/>
    <w:rsid w:val="0078098D"/>
    <w:rsid w:val="00780D29"/>
    <w:rsid w:val="00780F11"/>
    <w:rsid w:val="0078106B"/>
    <w:rsid w:val="0078141C"/>
    <w:rsid w:val="00781492"/>
    <w:rsid w:val="00781BE3"/>
    <w:rsid w:val="00782132"/>
    <w:rsid w:val="007822C7"/>
    <w:rsid w:val="007824D2"/>
    <w:rsid w:val="007826DC"/>
    <w:rsid w:val="007828D2"/>
    <w:rsid w:val="00782A10"/>
    <w:rsid w:val="00782A47"/>
    <w:rsid w:val="00782E3A"/>
    <w:rsid w:val="00782E9A"/>
    <w:rsid w:val="00783312"/>
    <w:rsid w:val="00783400"/>
    <w:rsid w:val="00783788"/>
    <w:rsid w:val="00783A62"/>
    <w:rsid w:val="00783BD6"/>
    <w:rsid w:val="00783D76"/>
    <w:rsid w:val="00783DC8"/>
    <w:rsid w:val="0078406C"/>
    <w:rsid w:val="0078434D"/>
    <w:rsid w:val="007846CB"/>
    <w:rsid w:val="007849F4"/>
    <w:rsid w:val="00784C34"/>
    <w:rsid w:val="007851EB"/>
    <w:rsid w:val="007853B7"/>
    <w:rsid w:val="00785572"/>
    <w:rsid w:val="0078564A"/>
    <w:rsid w:val="0078565E"/>
    <w:rsid w:val="00785892"/>
    <w:rsid w:val="00785A2D"/>
    <w:rsid w:val="00785B59"/>
    <w:rsid w:val="00785FE1"/>
    <w:rsid w:val="0078696D"/>
    <w:rsid w:val="00787001"/>
    <w:rsid w:val="00787157"/>
    <w:rsid w:val="00790189"/>
    <w:rsid w:val="007901CA"/>
    <w:rsid w:val="007903B2"/>
    <w:rsid w:val="00790448"/>
    <w:rsid w:val="0079059F"/>
    <w:rsid w:val="00790723"/>
    <w:rsid w:val="00790E3F"/>
    <w:rsid w:val="00791243"/>
    <w:rsid w:val="0079132D"/>
    <w:rsid w:val="0079185F"/>
    <w:rsid w:val="007922B7"/>
    <w:rsid w:val="007925AD"/>
    <w:rsid w:val="00792BF6"/>
    <w:rsid w:val="00792F80"/>
    <w:rsid w:val="00793087"/>
    <w:rsid w:val="0079322B"/>
    <w:rsid w:val="00793326"/>
    <w:rsid w:val="007933E9"/>
    <w:rsid w:val="007935E5"/>
    <w:rsid w:val="007935E6"/>
    <w:rsid w:val="00793952"/>
    <w:rsid w:val="007939B5"/>
    <w:rsid w:val="00793B03"/>
    <w:rsid w:val="00793C4B"/>
    <w:rsid w:val="00793DAE"/>
    <w:rsid w:val="00794025"/>
    <w:rsid w:val="007942CF"/>
    <w:rsid w:val="007944F8"/>
    <w:rsid w:val="0079474A"/>
    <w:rsid w:val="00794FD4"/>
    <w:rsid w:val="00795381"/>
    <w:rsid w:val="0079540B"/>
    <w:rsid w:val="0079589D"/>
    <w:rsid w:val="007958CD"/>
    <w:rsid w:val="00795BE2"/>
    <w:rsid w:val="00795F56"/>
    <w:rsid w:val="00796266"/>
    <w:rsid w:val="007962F5"/>
    <w:rsid w:val="007965DB"/>
    <w:rsid w:val="00796608"/>
    <w:rsid w:val="007969CE"/>
    <w:rsid w:val="00796B1F"/>
    <w:rsid w:val="00796D9B"/>
    <w:rsid w:val="0079701C"/>
    <w:rsid w:val="0079769E"/>
    <w:rsid w:val="007979AD"/>
    <w:rsid w:val="00797A7D"/>
    <w:rsid w:val="007A0265"/>
    <w:rsid w:val="007A03B7"/>
    <w:rsid w:val="007A03D9"/>
    <w:rsid w:val="007A06A7"/>
    <w:rsid w:val="007A0742"/>
    <w:rsid w:val="007A0B12"/>
    <w:rsid w:val="007A0BF0"/>
    <w:rsid w:val="007A0C55"/>
    <w:rsid w:val="007A0E9E"/>
    <w:rsid w:val="007A1149"/>
    <w:rsid w:val="007A13C2"/>
    <w:rsid w:val="007A173B"/>
    <w:rsid w:val="007A199B"/>
    <w:rsid w:val="007A1D30"/>
    <w:rsid w:val="007A1F04"/>
    <w:rsid w:val="007A20F0"/>
    <w:rsid w:val="007A2155"/>
    <w:rsid w:val="007A2198"/>
    <w:rsid w:val="007A2238"/>
    <w:rsid w:val="007A2586"/>
    <w:rsid w:val="007A2715"/>
    <w:rsid w:val="007A2A8B"/>
    <w:rsid w:val="007A2F5D"/>
    <w:rsid w:val="007A30DD"/>
    <w:rsid w:val="007A30E3"/>
    <w:rsid w:val="007A3145"/>
    <w:rsid w:val="007A3217"/>
    <w:rsid w:val="007A32FB"/>
    <w:rsid w:val="007A3356"/>
    <w:rsid w:val="007A3717"/>
    <w:rsid w:val="007A37EB"/>
    <w:rsid w:val="007A39A0"/>
    <w:rsid w:val="007A3DA6"/>
    <w:rsid w:val="007A3E43"/>
    <w:rsid w:val="007A42BC"/>
    <w:rsid w:val="007A440F"/>
    <w:rsid w:val="007A4495"/>
    <w:rsid w:val="007A4C75"/>
    <w:rsid w:val="007A4DC8"/>
    <w:rsid w:val="007A524B"/>
    <w:rsid w:val="007A543E"/>
    <w:rsid w:val="007A57F8"/>
    <w:rsid w:val="007A58DC"/>
    <w:rsid w:val="007A5950"/>
    <w:rsid w:val="007A5BB7"/>
    <w:rsid w:val="007A5C7F"/>
    <w:rsid w:val="007A5CAF"/>
    <w:rsid w:val="007A6021"/>
    <w:rsid w:val="007A602F"/>
    <w:rsid w:val="007A60AA"/>
    <w:rsid w:val="007A615A"/>
    <w:rsid w:val="007A62DB"/>
    <w:rsid w:val="007A66D0"/>
    <w:rsid w:val="007A672C"/>
    <w:rsid w:val="007A6982"/>
    <w:rsid w:val="007A6E7A"/>
    <w:rsid w:val="007A6FE6"/>
    <w:rsid w:val="007A72F0"/>
    <w:rsid w:val="007A7464"/>
    <w:rsid w:val="007A7789"/>
    <w:rsid w:val="007A7969"/>
    <w:rsid w:val="007A79E3"/>
    <w:rsid w:val="007A7A50"/>
    <w:rsid w:val="007A7B4A"/>
    <w:rsid w:val="007A7BE5"/>
    <w:rsid w:val="007A7D88"/>
    <w:rsid w:val="007A7DC0"/>
    <w:rsid w:val="007A7FC1"/>
    <w:rsid w:val="007B0241"/>
    <w:rsid w:val="007B0936"/>
    <w:rsid w:val="007B0D43"/>
    <w:rsid w:val="007B12DB"/>
    <w:rsid w:val="007B12E4"/>
    <w:rsid w:val="007B15EB"/>
    <w:rsid w:val="007B1ABA"/>
    <w:rsid w:val="007B1BD9"/>
    <w:rsid w:val="007B1DAD"/>
    <w:rsid w:val="007B1E07"/>
    <w:rsid w:val="007B1F6A"/>
    <w:rsid w:val="007B1F9F"/>
    <w:rsid w:val="007B1FC3"/>
    <w:rsid w:val="007B20B3"/>
    <w:rsid w:val="007B2AF4"/>
    <w:rsid w:val="007B2BFF"/>
    <w:rsid w:val="007B2CB6"/>
    <w:rsid w:val="007B2CC0"/>
    <w:rsid w:val="007B2D90"/>
    <w:rsid w:val="007B2E99"/>
    <w:rsid w:val="007B3B60"/>
    <w:rsid w:val="007B3BEB"/>
    <w:rsid w:val="007B3D03"/>
    <w:rsid w:val="007B3D56"/>
    <w:rsid w:val="007B429B"/>
    <w:rsid w:val="007B452C"/>
    <w:rsid w:val="007B470C"/>
    <w:rsid w:val="007B4DD7"/>
    <w:rsid w:val="007B51F0"/>
    <w:rsid w:val="007B54F9"/>
    <w:rsid w:val="007B57F3"/>
    <w:rsid w:val="007B5A00"/>
    <w:rsid w:val="007B5C0A"/>
    <w:rsid w:val="007B5DD6"/>
    <w:rsid w:val="007B5E84"/>
    <w:rsid w:val="007B5EA4"/>
    <w:rsid w:val="007B6856"/>
    <w:rsid w:val="007B6FD9"/>
    <w:rsid w:val="007B7836"/>
    <w:rsid w:val="007B7958"/>
    <w:rsid w:val="007B7A09"/>
    <w:rsid w:val="007B7A20"/>
    <w:rsid w:val="007B7C55"/>
    <w:rsid w:val="007B7C7C"/>
    <w:rsid w:val="007B7CED"/>
    <w:rsid w:val="007B7E72"/>
    <w:rsid w:val="007B7E7F"/>
    <w:rsid w:val="007C02AE"/>
    <w:rsid w:val="007C072E"/>
    <w:rsid w:val="007C07EA"/>
    <w:rsid w:val="007C09F3"/>
    <w:rsid w:val="007C0C49"/>
    <w:rsid w:val="007C0C85"/>
    <w:rsid w:val="007C0E31"/>
    <w:rsid w:val="007C102D"/>
    <w:rsid w:val="007C10CA"/>
    <w:rsid w:val="007C135B"/>
    <w:rsid w:val="007C1616"/>
    <w:rsid w:val="007C181A"/>
    <w:rsid w:val="007C20BB"/>
    <w:rsid w:val="007C2189"/>
    <w:rsid w:val="007C220D"/>
    <w:rsid w:val="007C2611"/>
    <w:rsid w:val="007C2749"/>
    <w:rsid w:val="007C2869"/>
    <w:rsid w:val="007C334B"/>
    <w:rsid w:val="007C381A"/>
    <w:rsid w:val="007C3887"/>
    <w:rsid w:val="007C3B73"/>
    <w:rsid w:val="007C3D33"/>
    <w:rsid w:val="007C3FA2"/>
    <w:rsid w:val="007C4500"/>
    <w:rsid w:val="007C491F"/>
    <w:rsid w:val="007C4AAC"/>
    <w:rsid w:val="007C4AD9"/>
    <w:rsid w:val="007C4F2F"/>
    <w:rsid w:val="007C4F48"/>
    <w:rsid w:val="007C53B6"/>
    <w:rsid w:val="007C5481"/>
    <w:rsid w:val="007C5493"/>
    <w:rsid w:val="007C5613"/>
    <w:rsid w:val="007C5CF7"/>
    <w:rsid w:val="007C5E9D"/>
    <w:rsid w:val="007C5EE7"/>
    <w:rsid w:val="007C67D6"/>
    <w:rsid w:val="007C687F"/>
    <w:rsid w:val="007C6A68"/>
    <w:rsid w:val="007C6D42"/>
    <w:rsid w:val="007C6DE4"/>
    <w:rsid w:val="007C7138"/>
    <w:rsid w:val="007C73D0"/>
    <w:rsid w:val="007C74E4"/>
    <w:rsid w:val="007C7749"/>
    <w:rsid w:val="007C7877"/>
    <w:rsid w:val="007C7D6A"/>
    <w:rsid w:val="007D03E4"/>
    <w:rsid w:val="007D0880"/>
    <w:rsid w:val="007D08CA"/>
    <w:rsid w:val="007D0B1C"/>
    <w:rsid w:val="007D0BD0"/>
    <w:rsid w:val="007D0D17"/>
    <w:rsid w:val="007D0EB1"/>
    <w:rsid w:val="007D1645"/>
    <w:rsid w:val="007D16DC"/>
    <w:rsid w:val="007D1803"/>
    <w:rsid w:val="007D19DC"/>
    <w:rsid w:val="007D19E3"/>
    <w:rsid w:val="007D26C9"/>
    <w:rsid w:val="007D2874"/>
    <w:rsid w:val="007D29AF"/>
    <w:rsid w:val="007D2A28"/>
    <w:rsid w:val="007D2B97"/>
    <w:rsid w:val="007D2D47"/>
    <w:rsid w:val="007D309D"/>
    <w:rsid w:val="007D313C"/>
    <w:rsid w:val="007D315E"/>
    <w:rsid w:val="007D31A7"/>
    <w:rsid w:val="007D34ED"/>
    <w:rsid w:val="007D3502"/>
    <w:rsid w:val="007D3745"/>
    <w:rsid w:val="007D3E65"/>
    <w:rsid w:val="007D41E4"/>
    <w:rsid w:val="007D42FD"/>
    <w:rsid w:val="007D46DC"/>
    <w:rsid w:val="007D47C0"/>
    <w:rsid w:val="007D47CB"/>
    <w:rsid w:val="007D483F"/>
    <w:rsid w:val="007D4B62"/>
    <w:rsid w:val="007D5A63"/>
    <w:rsid w:val="007D5B63"/>
    <w:rsid w:val="007D5E4A"/>
    <w:rsid w:val="007D5EE0"/>
    <w:rsid w:val="007D5EE5"/>
    <w:rsid w:val="007D6216"/>
    <w:rsid w:val="007D6420"/>
    <w:rsid w:val="007D647B"/>
    <w:rsid w:val="007D656D"/>
    <w:rsid w:val="007D69F3"/>
    <w:rsid w:val="007D6E64"/>
    <w:rsid w:val="007D70FF"/>
    <w:rsid w:val="007D72DF"/>
    <w:rsid w:val="007D74A3"/>
    <w:rsid w:val="007D756B"/>
    <w:rsid w:val="007D773E"/>
    <w:rsid w:val="007D783E"/>
    <w:rsid w:val="007D78FE"/>
    <w:rsid w:val="007D7A95"/>
    <w:rsid w:val="007D7B4A"/>
    <w:rsid w:val="007E002C"/>
    <w:rsid w:val="007E0228"/>
    <w:rsid w:val="007E05D4"/>
    <w:rsid w:val="007E09A6"/>
    <w:rsid w:val="007E0C12"/>
    <w:rsid w:val="007E1312"/>
    <w:rsid w:val="007E1A74"/>
    <w:rsid w:val="007E1B91"/>
    <w:rsid w:val="007E1BB4"/>
    <w:rsid w:val="007E1BF2"/>
    <w:rsid w:val="007E1D2E"/>
    <w:rsid w:val="007E20C4"/>
    <w:rsid w:val="007E2252"/>
    <w:rsid w:val="007E23E1"/>
    <w:rsid w:val="007E24DD"/>
    <w:rsid w:val="007E2875"/>
    <w:rsid w:val="007E288D"/>
    <w:rsid w:val="007E2D57"/>
    <w:rsid w:val="007E2E24"/>
    <w:rsid w:val="007E329E"/>
    <w:rsid w:val="007E3A72"/>
    <w:rsid w:val="007E4610"/>
    <w:rsid w:val="007E46A4"/>
    <w:rsid w:val="007E4936"/>
    <w:rsid w:val="007E4F59"/>
    <w:rsid w:val="007E4FF1"/>
    <w:rsid w:val="007E5123"/>
    <w:rsid w:val="007E5769"/>
    <w:rsid w:val="007E5797"/>
    <w:rsid w:val="007E579A"/>
    <w:rsid w:val="007E5A23"/>
    <w:rsid w:val="007E5AE2"/>
    <w:rsid w:val="007E5BE1"/>
    <w:rsid w:val="007E5D4F"/>
    <w:rsid w:val="007E5F92"/>
    <w:rsid w:val="007E6010"/>
    <w:rsid w:val="007E617E"/>
    <w:rsid w:val="007E63CE"/>
    <w:rsid w:val="007E66EA"/>
    <w:rsid w:val="007E6AF2"/>
    <w:rsid w:val="007E72DE"/>
    <w:rsid w:val="007E756F"/>
    <w:rsid w:val="007E7AEF"/>
    <w:rsid w:val="007E7EDF"/>
    <w:rsid w:val="007E7EE0"/>
    <w:rsid w:val="007F0AEA"/>
    <w:rsid w:val="007F0F7D"/>
    <w:rsid w:val="007F0FD3"/>
    <w:rsid w:val="007F1643"/>
    <w:rsid w:val="007F19C9"/>
    <w:rsid w:val="007F1BB0"/>
    <w:rsid w:val="007F1CD1"/>
    <w:rsid w:val="007F1F70"/>
    <w:rsid w:val="007F21C6"/>
    <w:rsid w:val="007F2228"/>
    <w:rsid w:val="007F222C"/>
    <w:rsid w:val="007F22E3"/>
    <w:rsid w:val="007F2393"/>
    <w:rsid w:val="007F24DE"/>
    <w:rsid w:val="007F28BA"/>
    <w:rsid w:val="007F2D9F"/>
    <w:rsid w:val="007F34F7"/>
    <w:rsid w:val="007F35B2"/>
    <w:rsid w:val="007F3852"/>
    <w:rsid w:val="007F3A81"/>
    <w:rsid w:val="007F3AAA"/>
    <w:rsid w:val="007F3FE9"/>
    <w:rsid w:val="007F46A9"/>
    <w:rsid w:val="007F46C2"/>
    <w:rsid w:val="007F4A59"/>
    <w:rsid w:val="007F4C1B"/>
    <w:rsid w:val="007F4D91"/>
    <w:rsid w:val="007F4DDB"/>
    <w:rsid w:val="007F53F6"/>
    <w:rsid w:val="007F55B3"/>
    <w:rsid w:val="007F593E"/>
    <w:rsid w:val="007F5A22"/>
    <w:rsid w:val="007F5D3F"/>
    <w:rsid w:val="007F6A31"/>
    <w:rsid w:val="007F6D5A"/>
    <w:rsid w:val="007F74F8"/>
    <w:rsid w:val="007F7880"/>
    <w:rsid w:val="007F7A7C"/>
    <w:rsid w:val="007F7ADD"/>
    <w:rsid w:val="007F7D61"/>
    <w:rsid w:val="007F7D9C"/>
    <w:rsid w:val="007F7FBA"/>
    <w:rsid w:val="008000AA"/>
    <w:rsid w:val="00800283"/>
    <w:rsid w:val="008004AE"/>
    <w:rsid w:val="008004E9"/>
    <w:rsid w:val="00800C86"/>
    <w:rsid w:val="00800EE9"/>
    <w:rsid w:val="00801165"/>
    <w:rsid w:val="0080133A"/>
    <w:rsid w:val="00801349"/>
    <w:rsid w:val="008013A3"/>
    <w:rsid w:val="0080143B"/>
    <w:rsid w:val="008014F6"/>
    <w:rsid w:val="008015F9"/>
    <w:rsid w:val="0080178A"/>
    <w:rsid w:val="008018C5"/>
    <w:rsid w:val="008019BF"/>
    <w:rsid w:val="00801EE2"/>
    <w:rsid w:val="00801FB4"/>
    <w:rsid w:val="0080230D"/>
    <w:rsid w:val="0080258F"/>
    <w:rsid w:val="00802730"/>
    <w:rsid w:val="00802926"/>
    <w:rsid w:val="0080292B"/>
    <w:rsid w:val="00802BEA"/>
    <w:rsid w:val="00802C6F"/>
    <w:rsid w:val="00802F38"/>
    <w:rsid w:val="008030AC"/>
    <w:rsid w:val="008030DA"/>
    <w:rsid w:val="00803BD3"/>
    <w:rsid w:val="00803DFB"/>
    <w:rsid w:val="00803E93"/>
    <w:rsid w:val="00803EC5"/>
    <w:rsid w:val="00804AF8"/>
    <w:rsid w:val="008050E7"/>
    <w:rsid w:val="00805119"/>
    <w:rsid w:val="00805317"/>
    <w:rsid w:val="008053F0"/>
    <w:rsid w:val="008055B0"/>
    <w:rsid w:val="00805B15"/>
    <w:rsid w:val="00806368"/>
    <w:rsid w:val="00806942"/>
    <w:rsid w:val="0080727F"/>
    <w:rsid w:val="008073BA"/>
    <w:rsid w:val="0080780F"/>
    <w:rsid w:val="0080799D"/>
    <w:rsid w:val="00807CDD"/>
    <w:rsid w:val="00807CED"/>
    <w:rsid w:val="00810A94"/>
    <w:rsid w:val="00810E0B"/>
    <w:rsid w:val="00811063"/>
    <w:rsid w:val="008111CD"/>
    <w:rsid w:val="008112D9"/>
    <w:rsid w:val="008112E6"/>
    <w:rsid w:val="00811408"/>
    <w:rsid w:val="008116E8"/>
    <w:rsid w:val="0081192A"/>
    <w:rsid w:val="00811A10"/>
    <w:rsid w:val="00811BAC"/>
    <w:rsid w:val="00811CB3"/>
    <w:rsid w:val="00811CB4"/>
    <w:rsid w:val="00811D9B"/>
    <w:rsid w:val="00811F43"/>
    <w:rsid w:val="00811F6E"/>
    <w:rsid w:val="00811F8D"/>
    <w:rsid w:val="008120D9"/>
    <w:rsid w:val="00812181"/>
    <w:rsid w:val="0081227D"/>
    <w:rsid w:val="008122F3"/>
    <w:rsid w:val="0081238E"/>
    <w:rsid w:val="00812612"/>
    <w:rsid w:val="0081272B"/>
    <w:rsid w:val="0081283D"/>
    <w:rsid w:val="00812872"/>
    <w:rsid w:val="008129A6"/>
    <w:rsid w:val="008129C8"/>
    <w:rsid w:val="00812B35"/>
    <w:rsid w:val="00812C6A"/>
    <w:rsid w:val="00812CC8"/>
    <w:rsid w:val="00812D78"/>
    <w:rsid w:val="00812FC9"/>
    <w:rsid w:val="00813176"/>
    <w:rsid w:val="008131DC"/>
    <w:rsid w:val="008132D1"/>
    <w:rsid w:val="0081335E"/>
    <w:rsid w:val="008134F6"/>
    <w:rsid w:val="00813657"/>
    <w:rsid w:val="008138EC"/>
    <w:rsid w:val="00813C9C"/>
    <w:rsid w:val="00813DC8"/>
    <w:rsid w:val="00813E0E"/>
    <w:rsid w:val="008143A2"/>
    <w:rsid w:val="008144EF"/>
    <w:rsid w:val="0081450C"/>
    <w:rsid w:val="00814565"/>
    <w:rsid w:val="008146D4"/>
    <w:rsid w:val="00814B4C"/>
    <w:rsid w:val="00814D63"/>
    <w:rsid w:val="00814E7F"/>
    <w:rsid w:val="00814F9F"/>
    <w:rsid w:val="00814FCE"/>
    <w:rsid w:val="00815155"/>
    <w:rsid w:val="008151F1"/>
    <w:rsid w:val="0081535C"/>
    <w:rsid w:val="00815F3B"/>
    <w:rsid w:val="008160D7"/>
    <w:rsid w:val="00816200"/>
    <w:rsid w:val="008162E0"/>
    <w:rsid w:val="0081656E"/>
    <w:rsid w:val="008166BA"/>
    <w:rsid w:val="008167B8"/>
    <w:rsid w:val="00816B12"/>
    <w:rsid w:val="00816CDB"/>
    <w:rsid w:val="00816CE2"/>
    <w:rsid w:val="00816EC8"/>
    <w:rsid w:val="00817152"/>
    <w:rsid w:val="00817709"/>
    <w:rsid w:val="00817C92"/>
    <w:rsid w:val="00817E32"/>
    <w:rsid w:val="008201E0"/>
    <w:rsid w:val="00820712"/>
    <w:rsid w:val="00820738"/>
    <w:rsid w:val="0082076F"/>
    <w:rsid w:val="008208FC"/>
    <w:rsid w:val="00820A67"/>
    <w:rsid w:val="00820A92"/>
    <w:rsid w:val="00820B5F"/>
    <w:rsid w:val="00820C99"/>
    <w:rsid w:val="00820CF1"/>
    <w:rsid w:val="00820F13"/>
    <w:rsid w:val="008211D3"/>
    <w:rsid w:val="0082130C"/>
    <w:rsid w:val="008214E2"/>
    <w:rsid w:val="008218C8"/>
    <w:rsid w:val="00821980"/>
    <w:rsid w:val="00821D29"/>
    <w:rsid w:val="00821D9E"/>
    <w:rsid w:val="008220B5"/>
    <w:rsid w:val="00822666"/>
    <w:rsid w:val="008227EC"/>
    <w:rsid w:val="008228CF"/>
    <w:rsid w:val="00822B5E"/>
    <w:rsid w:val="00822C05"/>
    <w:rsid w:val="00822DE9"/>
    <w:rsid w:val="0082300A"/>
    <w:rsid w:val="00823068"/>
    <w:rsid w:val="0082320E"/>
    <w:rsid w:val="008232E6"/>
    <w:rsid w:val="0082332F"/>
    <w:rsid w:val="0082340B"/>
    <w:rsid w:val="00823536"/>
    <w:rsid w:val="008235B9"/>
    <w:rsid w:val="00823830"/>
    <w:rsid w:val="00823933"/>
    <w:rsid w:val="00823A87"/>
    <w:rsid w:val="00823A94"/>
    <w:rsid w:val="00823C10"/>
    <w:rsid w:val="00823EA7"/>
    <w:rsid w:val="00823EC8"/>
    <w:rsid w:val="00824219"/>
    <w:rsid w:val="00824581"/>
    <w:rsid w:val="0082478C"/>
    <w:rsid w:val="00824897"/>
    <w:rsid w:val="00824F09"/>
    <w:rsid w:val="008253BF"/>
    <w:rsid w:val="00825E07"/>
    <w:rsid w:val="00826177"/>
    <w:rsid w:val="00826299"/>
    <w:rsid w:val="00826352"/>
    <w:rsid w:val="00826588"/>
    <w:rsid w:val="00826699"/>
    <w:rsid w:val="00826826"/>
    <w:rsid w:val="00826935"/>
    <w:rsid w:val="00826C10"/>
    <w:rsid w:val="00826DB0"/>
    <w:rsid w:val="00826F3F"/>
    <w:rsid w:val="008275A5"/>
    <w:rsid w:val="0082761B"/>
    <w:rsid w:val="00827B8C"/>
    <w:rsid w:val="008300E7"/>
    <w:rsid w:val="008303A6"/>
    <w:rsid w:val="00830599"/>
    <w:rsid w:val="00830897"/>
    <w:rsid w:val="00831069"/>
    <w:rsid w:val="0083119D"/>
    <w:rsid w:val="0083137A"/>
    <w:rsid w:val="0083179A"/>
    <w:rsid w:val="00831821"/>
    <w:rsid w:val="0083197E"/>
    <w:rsid w:val="00831AA1"/>
    <w:rsid w:val="00831B08"/>
    <w:rsid w:val="00831CF6"/>
    <w:rsid w:val="00831D02"/>
    <w:rsid w:val="00831E70"/>
    <w:rsid w:val="0083204C"/>
    <w:rsid w:val="008323CC"/>
    <w:rsid w:val="0083291F"/>
    <w:rsid w:val="00832977"/>
    <w:rsid w:val="00832F7B"/>
    <w:rsid w:val="00833265"/>
    <w:rsid w:val="008338F1"/>
    <w:rsid w:val="00833AE2"/>
    <w:rsid w:val="00833CF3"/>
    <w:rsid w:val="00833E11"/>
    <w:rsid w:val="00833E25"/>
    <w:rsid w:val="00834668"/>
    <w:rsid w:val="0083476F"/>
    <w:rsid w:val="008348B4"/>
    <w:rsid w:val="00834923"/>
    <w:rsid w:val="0083494C"/>
    <w:rsid w:val="00834B23"/>
    <w:rsid w:val="00834C19"/>
    <w:rsid w:val="00834E93"/>
    <w:rsid w:val="00835082"/>
    <w:rsid w:val="00835253"/>
    <w:rsid w:val="00835459"/>
    <w:rsid w:val="008356FB"/>
    <w:rsid w:val="0083583F"/>
    <w:rsid w:val="00835ED5"/>
    <w:rsid w:val="0083614E"/>
    <w:rsid w:val="00836558"/>
    <w:rsid w:val="00836A6A"/>
    <w:rsid w:val="00836AF3"/>
    <w:rsid w:val="00836E58"/>
    <w:rsid w:val="00836FA1"/>
    <w:rsid w:val="00837100"/>
    <w:rsid w:val="0083713F"/>
    <w:rsid w:val="008374DB"/>
    <w:rsid w:val="008374DF"/>
    <w:rsid w:val="00837571"/>
    <w:rsid w:val="00837CE8"/>
    <w:rsid w:val="00837E12"/>
    <w:rsid w:val="00837E9A"/>
    <w:rsid w:val="0084026D"/>
    <w:rsid w:val="00840841"/>
    <w:rsid w:val="008408FB"/>
    <w:rsid w:val="00840A2B"/>
    <w:rsid w:val="00840C56"/>
    <w:rsid w:val="00840F6B"/>
    <w:rsid w:val="008410B8"/>
    <w:rsid w:val="008410F9"/>
    <w:rsid w:val="0084126C"/>
    <w:rsid w:val="0084132A"/>
    <w:rsid w:val="008415D5"/>
    <w:rsid w:val="008418AB"/>
    <w:rsid w:val="008419B3"/>
    <w:rsid w:val="0084213E"/>
    <w:rsid w:val="00842B20"/>
    <w:rsid w:val="00842E10"/>
    <w:rsid w:val="00842EB3"/>
    <w:rsid w:val="00843105"/>
    <w:rsid w:val="0084328C"/>
    <w:rsid w:val="00843466"/>
    <w:rsid w:val="00843487"/>
    <w:rsid w:val="008435D4"/>
    <w:rsid w:val="00843699"/>
    <w:rsid w:val="0084381B"/>
    <w:rsid w:val="00843A0C"/>
    <w:rsid w:val="00843D4D"/>
    <w:rsid w:val="00843DE7"/>
    <w:rsid w:val="00843ED3"/>
    <w:rsid w:val="0084420F"/>
    <w:rsid w:val="008442E2"/>
    <w:rsid w:val="0084477A"/>
    <w:rsid w:val="00844D18"/>
    <w:rsid w:val="0084504C"/>
    <w:rsid w:val="00845189"/>
    <w:rsid w:val="00845558"/>
    <w:rsid w:val="00845A98"/>
    <w:rsid w:val="00845B64"/>
    <w:rsid w:val="00845C32"/>
    <w:rsid w:val="00845F9C"/>
    <w:rsid w:val="0084647F"/>
    <w:rsid w:val="00846604"/>
    <w:rsid w:val="008469F7"/>
    <w:rsid w:val="008471BF"/>
    <w:rsid w:val="008473E5"/>
    <w:rsid w:val="008474F0"/>
    <w:rsid w:val="008476FD"/>
    <w:rsid w:val="0085014F"/>
    <w:rsid w:val="008501F9"/>
    <w:rsid w:val="008502B5"/>
    <w:rsid w:val="00850446"/>
    <w:rsid w:val="0085063E"/>
    <w:rsid w:val="0085065B"/>
    <w:rsid w:val="0085087F"/>
    <w:rsid w:val="00850C96"/>
    <w:rsid w:val="00850E72"/>
    <w:rsid w:val="00851048"/>
    <w:rsid w:val="00851098"/>
    <w:rsid w:val="0085110C"/>
    <w:rsid w:val="008514C7"/>
    <w:rsid w:val="008515E0"/>
    <w:rsid w:val="0085173A"/>
    <w:rsid w:val="00851745"/>
    <w:rsid w:val="008517BB"/>
    <w:rsid w:val="00851EF8"/>
    <w:rsid w:val="008521A1"/>
    <w:rsid w:val="008521D6"/>
    <w:rsid w:val="008522EE"/>
    <w:rsid w:val="00852554"/>
    <w:rsid w:val="008527BD"/>
    <w:rsid w:val="00852928"/>
    <w:rsid w:val="00852C9C"/>
    <w:rsid w:val="00852F82"/>
    <w:rsid w:val="00853435"/>
    <w:rsid w:val="00853AFA"/>
    <w:rsid w:val="00853C89"/>
    <w:rsid w:val="00853D79"/>
    <w:rsid w:val="00853EB9"/>
    <w:rsid w:val="008542A6"/>
    <w:rsid w:val="00854436"/>
    <w:rsid w:val="008545A7"/>
    <w:rsid w:val="008549CC"/>
    <w:rsid w:val="00854A44"/>
    <w:rsid w:val="00854AF9"/>
    <w:rsid w:val="00854D3D"/>
    <w:rsid w:val="00854EA2"/>
    <w:rsid w:val="008552AA"/>
    <w:rsid w:val="0085577F"/>
    <w:rsid w:val="00855E24"/>
    <w:rsid w:val="00856075"/>
    <w:rsid w:val="00856563"/>
    <w:rsid w:val="0085657C"/>
    <w:rsid w:val="00856707"/>
    <w:rsid w:val="00856736"/>
    <w:rsid w:val="00856769"/>
    <w:rsid w:val="008569CC"/>
    <w:rsid w:val="00856DF3"/>
    <w:rsid w:val="00856E07"/>
    <w:rsid w:val="00857312"/>
    <w:rsid w:val="00857677"/>
    <w:rsid w:val="008578B4"/>
    <w:rsid w:val="008578D2"/>
    <w:rsid w:val="008579AC"/>
    <w:rsid w:val="00857A20"/>
    <w:rsid w:val="00857B70"/>
    <w:rsid w:val="00860239"/>
    <w:rsid w:val="00860466"/>
    <w:rsid w:val="0086059C"/>
    <w:rsid w:val="00860ACA"/>
    <w:rsid w:val="00860B46"/>
    <w:rsid w:val="00860CFE"/>
    <w:rsid w:val="00860DA1"/>
    <w:rsid w:val="00860E69"/>
    <w:rsid w:val="0086106F"/>
    <w:rsid w:val="008610EB"/>
    <w:rsid w:val="008613E0"/>
    <w:rsid w:val="00861562"/>
    <w:rsid w:val="008615D8"/>
    <w:rsid w:val="00861903"/>
    <w:rsid w:val="00861904"/>
    <w:rsid w:val="00861BF0"/>
    <w:rsid w:val="00861CAB"/>
    <w:rsid w:val="008621CC"/>
    <w:rsid w:val="008621D5"/>
    <w:rsid w:val="008625B6"/>
    <w:rsid w:val="008626C0"/>
    <w:rsid w:val="0086272D"/>
    <w:rsid w:val="00862AC8"/>
    <w:rsid w:val="00862BAB"/>
    <w:rsid w:val="00862C15"/>
    <w:rsid w:val="00862D0C"/>
    <w:rsid w:val="00862EB8"/>
    <w:rsid w:val="008630EE"/>
    <w:rsid w:val="008631C3"/>
    <w:rsid w:val="00863307"/>
    <w:rsid w:val="00863406"/>
    <w:rsid w:val="0086343F"/>
    <w:rsid w:val="008637B7"/>
    <w:rsid w:val="00863B1B"/>
    <w:rsid w:val="00863E3E"/>
    <w:rsid w:val="008644BD"/>
    <w:rsid w:val="0086460E"/>
    <w:rsid w:val="008646AB"/>
    <w:rsid w:val="008646B9"/>
    <w:rsid w:val="00864763"/>
    <w:rsid w:val="008647F1"/>
    <w:rsid w:val="008648DC"/>
    <w:rsid w:val="00864AE9"/>
    <w:rsid w:val="00864C9F"/>
    <w:rsid w:val="00864E50"/>
    <w:rsid w:val="00865434"/>
    <w:rsid w:val="0086543E"/>
    <w:rsid w:val="00865763"/>
    <w:rsid w:val="00866250"/>
    <w:rsid w:val="008664BE"/>
    <w:rsid w:val="0086697B"/>
    <w:rsid w:val="00866EBE"/>
    <w:rsid w:val="00866F39"/>
    <w:rsid w:val="00867267"/>
    <w:rsid w:val="008672F4"/>
    <w:rsid w:val="00867632"/>
    <w:rsid w:val="0086794D"/>
    <w:rsid w:val="00867B83"/>
    <w:rsid w:val="008700E4"/>
    <w:rsid w:val="008700F3"/>
    <w:rsid w:val="008704E7"/>
    <w:rsid w:val="008707A3"/>
    <w:rsid w:val="00870D3F"/>
    <w:rsid w:val="00870D45"/>
    <w:rsid w:val="00870E22"/>
    <w:rsid w:val="008715DB"/>
    <w:rsid w:val="008715FC"/>
    <w:rsid w:val="008716EA"/>
    <w:rsid w:val="00871822"/>
    <w:rsid w:val="00871DA9"/>
    <w:rsid w:val="00871E54"/>
    <w:rsid w:val="008722A7"/>
    <w:rsid w:val="008724CC"/>
    <w:rsid w:val="008725ED"/>
    <w:rsid w:val="008728A3"/>
    <w:rsid w:val="0087291C"/>
    <w:rsid w:val="00872C05"/>
    <w:rsid w:val="00872F37"/>
    <w:rsid w:val="008731DA"/>
    <w:rsid w:val="00873895"/>
    <w:rsid w:val="00873DC3"/>
    <w:rsid w:val="00873F2B"/>
    <w:rsid w:val="0087411D"/>
    <w:rsid w:val="0087462F"/>
    <w:rsid w:val="00874B6D"/>
    <w:rsid w:val="00874C9D"/>
    <w:rsid w:val="00874FA4"/>
    <w:rsid w:val="008750B6"/>
    <w:rsid w:val="00875CEA"/>
    <w:rsid w:val="00876014"/>
    <w:rsid w:val="008762FD"/>
    <w:rsid w:val="00876EFC"/>
    <w:rsid w:val="00877068"/>
    <w:rsid w:val="008770CF"/>
    <w:rsid w:val="008774EC"/>
    <w:rsid w:val="0087779D"/>
    <w:rsid w:val="00877B4B"/>
    <w:rsid w:val="00877C26"/>
    <w:rsid w:val="00877C6A"/>
    <w:rsid w:val="00877C9D"/>
    <w:rsid w:val="00877EEC"/>
    <w:rsid w:val="00880044"/>
    <w:rsid w:val="008801B4"/>
    <w:rsid w:val="00880469"/>
    <w:rsid w:val="008805EA"/>
    <w:rsid w:val="0088064F"/>
    <w:rsid w:val="00880C29"/>
    <w:rsid w:val="00880D11"/>
    <w:rsid w:val="00880D85"/>
    <w:rsid w:val="00880D86"/>
    <w:rsid w:val="00880D98"/>
    <w:rsid w:val="00880FED"/>
    <w:rsid w:val="0088141F"/>
    <w:rsid w:val="00881425"/>
    <w:rsid w:val="008814DE"/>
    <w:rsid w:val="0088152A"/>
    <w:rsid w:val="0088182C"/>
    <w:rsid w:val="00881950"/>
    <w:rsid w:val="00881980"/>
    <w:rsid w:val="008820FA"/>
    <w:rsid w:val="00882306"/>
    <w:rsid w:val="008824C5"/>
    <w:rsid w:val="00882737"/>
    <w:rsid w:val="008827B5"/>
    <w:rsid w:val="00882CAE"/>
    <w:rsid w:val="00883091"/>
    <w:rsid w:val="008836C1"/>
    <w:rsid w:val="008839F3"/>
    <w:rsid w:val="00883F1F"/>
    <w:rsid w:val="008840CF"/>
    <w:rsid w:val="00884203"/>
    <w:rsid w:val="00884293"/>
    <w:rsid w:val="00884298"/>
    <w:rsid w:val="008843F5"/>
    <w:rsid w:val="00884769"/>
    <w:rsid w:val="0088488F"/>
    <w:rsid w:val="008848A7"/>
    <w:rsid w:val="00884911"/>
    <w:rsid w:val="0088495C"/>
    <w:rsid w:val="00884D5E"/>
    <w:rsid w:val="00884FE0"/>
    <w:rsid w:val="008850ED"/>
    <w:rsid w:val="00885455"/>
    <w:rsid w:val="0088572B"/>
    <w:rsid w:val="00885A9B"/>
    <w:rsid w:val="00885BE6"/>
    <w:rsid w:val="0088613F"/>
    <w:rsid w:val="008863E7"/>
    <w:rsid w:val="008869FA"/>
    <w:rsid w:val="00886ABD"/>
    <w:rsid w:val="0088743F"/>
    <w:rsid w:val="00887594"/>
    <w:rsid w:val="008875DE"/>
    <w:rsid w:val="008877CF"/>
    <w:rsid w:val="00887994"/>
    <w:rsid w:val="008879C3"/>
    <w:rsid w:val="00887BA1"/>
    <w:rsid w:val="00887CE6"/>
    <w:rsid w:val="008901D7"/>
    <w:rsid w:val="0089041A"/>
    <w:rsid w:val="00890511"/>
    <w:rsid w:val="00890813"/>
    <w:rsid w:val="008909A9"/>
    <w:rsid w:val="00890C05"/>
    <w:rsid w:val="00890CBC"/>
    <w:rsid w:val="00891292"/>
    <w:rsid w:val="008918CF"/>
    <w:rsid w:val="00891E80"/>
    <w:rsid w:val="00891F7F"/>
    <w:rsid w:val="00891F9C"/>
    <w:rsid w:val="008924E2"/>
    <w:rsid w:val="008927AC"/>
    <w:rsid w:val="00892B89"/>
    <w:rsid w:val="008932A2"/>
    <w:rsid w:val="0089345F"/>
    <w:rsid w:val="0089356E"/>
    <w:rsid w:val="008935C1"/>
    <w:rsid w:val="00893864"/>
    <w:rsid w:val="00893EED"/>
    <w:rsid w:val="00894252"/>
    <w:rsid w:val="00894269"/>
    <w:rsid w:val="00894576"/>
    <w:rsid w:val="008945C5"/>
    <w:rsid w:val="0089474F"/>
    <w:rsid w:val="00894C0C"/>
    <w:rsid w:val="00894C44"/>
    <w:rsid w:val="00895174"/>
    <w:rsid w:val="00895C8C"/>
    <w:rsid w:val="00895CBD"/>
    <w:rsid w:val="00895F3E"/>
    <w:rsid w:val="0089608E"/>
    <w:rsid w:val="0089615A"/>
    <w:rsid w:val="008963AB"/>
    <w:rsid w:val="008966CA"/>
    <w:rsid w:val="00896804"/>
    <w:rsid w:val="00896DFE"/>
    <w:rsid w:val="00896F6B"/>
    <w:rsid w:val="008971B7"/>
    <w:rsid w:val="008974FC"/>
    <w:rsid w:val="0089786D"/>
    <w:rsid w:val="00897887"/>
    <w:rsid w:val="008979F9"/>
    <w:rsid w:val="00897B31"/>
    <w:rsid w:val="00897B6E"/>
    <w:rsid w:val="008A000D"/>
    <w:rsid w:val="008A01F0"/>
    <w:rsid w:val="008A05DF"/>
    <w:rsid w:val="008A0720"/>
    <w:rsid w:val="008A0DE2"/>
    <w:rsid w:val="008A12E6"/>
    <w:rsid w:val="008A1C0A"/>
    <w:rsid w:val="008A1DFB"/>
    <w:rsid w:val="008A2195"/>
    <w:rsid w:val="008A25F2"/>
    <w:rsid w:val="008A27C5"/>
    <w:rsid w:val="008A28B8"/>
    <w:rsid w:val="008A29C0"/>
    <w:rsid w:val="008A2CB7"/>
    <w:rsid w:val="008A2F44"/>
    <w:rsid w:val="008A3164"/>
    <w:rsid w:val="008A31CE"/>
    <w:rsid w:val="008A32BB"/>
    <w:rsid w:val="008A368E"/>
    <w:rsid w:val="008A3AD4"/>
    <w:rsid w:val="008A3BEA"/>
    <w:rsid w:val="008A42B7"/>
    <w:rsid w:val="008A4443"/>
    <w:rsid w:val="008A478D"/>
    <w:rsid w:val="008A4DA9"/>
    <w:rsid w:val="008A53F1"/>
    <w:rsid w:val="008A561A"/>
    <w:rsid w:val="008A5811"/>
    <w:rsid w:val="008A5D0A"/>
    <w:rsid w:val="008A62DB"/>
    <w:rsid w:val="008A66D9"/>
    <w:rsid w:val="008A6831"/>
    <w:rsid w:val="008A6AA2"/>
    <w:rsid w:val="008A6B57"/>
    <w:rsid w:val="008A6F40"/>
    <w:rsid w:val="008A7356"/>
    <w:rsid w:val="008A78A8"/>
    <w:rsid w:val="008A7A4A"/>
    <w:rsid w:val="008A7AD6"/>
    <w:rsid w:val="008B019A"/>
    <w:rsid w:val="008B0599"/>
    <w:rsid w:val="008B07ED"/>
    <w:rsid w:val="008B0845"/>
    <w:rsid w:val="008B0AB0"/>
    <w:rsid w:val="008B0BB0"/>
    <w:rsid w:val="008B0FDC"/>
    <w:rsid w:val="008B1116"/>
    <w:rsid w:val="008B128D"/>
    <w:rsid w:val="008B149C"/>
    <w:rsid w:val="008B1632"/>
    <w:rsid w:val="008B1AC3"/>
    <w:rsid w:val="008B1B3D"/>
    <w:rsid w:val="008B1BFF"/>
    <w:rsid w:val="008B1D18"/>
    <w:rsid w:val="008B1E0D"/>
    <w:rsid w:val="008B1F41"/>
    <w:rsid w:val="008B23CB"/>
    <w:rsid w:val="008B2AF6"/>
    <w:rsid w:val="008B2BB0"/>
    <w:rsid w:val="008B2C6E"/>
    <w:rsid w:val="008B2D53"/>
    <w:rsid w:val="008B2F0D"/>
    <w:rsid w:val="008B2FE6"/>
    <w:rsid w:val="008B33D6"/>
    <w:rsid w:val="008B36FC"/>
    <w:rsid w:val="008B3C6A"/>
    <w:rsid w:val="008B3DA7"/>
    <w:rsid w:val="008B4346"/>
    <w:rsid w:val="008B48AA"/>
    <w:rsid w:val="008B4A12"/>
    <w:rsid w:val="008B4B9F"/>
    <w:rsid w:val="008B4C5B"/>
    <w:rsid w:val="008B5610"/>
    <w:rsid w:val="008B5901"/>
    <w:rsid w:val="008B5A02"/>
    <w:rsid w:val="008B5CED"/>
    <w:rsid w:val="008B5FC4"/>
    <w:rsid w:val="008B61B9"/>
    <w:rsid w:val="008B65C1"/>
    <w:rsid w:val="008B6E13"/>
    <w:rsid w:val="008B705B"/>
    <w:rsid w:val="008B7142"/>
    <w:rsid w:val="008B717C"/>
    <w:rsid w:val="008B750F"/>
    <w:rsid w:val="008B759A"/>
    <w:rsid w:val="008B78E5"/>
    <w:rsid w:val="008B7CC1"/>
    <w:rsid w:val="008B7CCD"/>
    <w:rsid w:val="008C0321"/>
    <w:rsid w:val="008C0358"/>
    <w:rsid w:val="008C03D9"/>
    <w:rsid w:val="008C064E"/>
    <w:rsid w:val="008C072F"/>
    <w:rsid w:val="008C0DDC"/>
    <w:rsid w:val="008C0FCA"/>
    <w:rsid w:val="008C10EA"/>
    <w:rsid w:val="008C136B"/>
    <w:rsid w:val="008C1764"/>
    <w:rsid w:val="008C18BE"/>
    <w:rsid w:val="008C1EB1"/>
    <w:rsid w:val="008C1FC6"/>
    <w:rsid w:val="008C1FD3"/>
    <w:rsid w:val="008C2053"/>
    <w:rsid w:val="008C2138"/>
    <w:rsid w:val="008C21D9"/>
    <w:rsid w:val="008C21F5"/>
    <w:rsid w:val="008C255D"/>
    <w:rsid w:val="008C2610"/>
    <w:rsid w:val="008C2953"/>
    <w:rsid w:val="008C2F75"/>
    <w:rsid w:val="008C2FD5"/>
    <w:rsid w:val="008C371D"/>
    <w:rsid w:val="008C3A92"/>
    <w:rsid w:val="008C3E20"/>
    <w:rsid w:val="008C3E26"/>
    <w:rsid w:val="008C45DE"/>
    <w:rsid w:val="008C470D"/>
    <w:rsid w:val="008C4832"/>
    <w:rsid w:val="008C4A1A"/>
    <w:rsid w:val="008C5304"/>
    <w:rsid w:val="008C5520"/>
    <w:rsid w:val="008C57DD"/>
    <w:rsid w:val="008C5AAE"/>
    <w:rsid w:val="008C608D"/>
    <w:rsid w:val="008C6184"/>
    <w:rsid w:val="008C619A"/>
    <w:rsid w:val="008C6218"/>
    <w:rsid w:val="008C6253"/>
    <w:rsid w:val="008C6570"/>
    <w:rsid w:val="008C65DA"/>
    <w:rsid w:val="008C6694"/>
    <w:rsid w:val="008C6788"/>
    <w:rsid w:val="008C6814"/>
    <w:rsid w:val="008C6B14"/>
    <w:rsid w:val="008C6BBD"/>
    <w:rsid w:val="008C7169"/>
    <w:rsid w:val="008C74DB"/>
    <w:rsid w:val="008C7AE7"/>
    <w:rsid w:val="008C7B0D"/>
    <w:rsid w:val="008C7B64"/>
    <w:rsid w:val="008C7F76"/>
    <w:rsid w:val="008D03F7"/>
    <w:rsid w:val="008D051E"/>
    <w:rsid w:val="008D053E"/>
    <w:rsid w:val="008D07B8"/>
    <w:rsid w:val="008D0800"/>
    <w:rsid w:val="008D08A4"/>
    <w:rsid w:val="008D0EFD"/>
    <w:rsid w:val="008D0F6B"/>
    <w:rsid w:val="008D1008"/>
    <w:rsid w:val="008D1361"/>
    <w:rsid w:val="008D1624"/>
    <w:rsid w:val="008D1781"/>
    <w:rsid w:val="008D19E9"/>
    <w:rsid w:val="008D1AC4"/>
    <w:rsid w:val="008D1EB0"/>
    <w:rsid w:val="008D206C"/>
    <w:rsid w:val="008D218E"/>
    <w:rsid w:val="008D2347"/>
    <w:rsid w:val="008D28A2"/>
    <w:rsid w:val="008D2B1F"/>
    <w:rsid w:val="008D2B76"/>
    <w:rsid w:val="008D2B9A"/>
    <w:rsid w:val="008D2D2B"/>
    <w:rsid w:val="008D3019"/>
    <w:rsid w:val="008D3083"/>
    <w:rsid w:val="008D31BB"/>
    <w:rsid w:val="008D3542"/>
    <w:rsid w:val="008D357E"/>
    <w:rsid w:val="008D3655"/>
    <w:rsid w:val="008D3790"/>
    <w:rsid w:val="008D37ED"/>
    <w:rsid w:val="008D3A2D"/>
    <w:rsid w:val="008D3D64"/>
    <w:rsid w:val="008D3EDC"/>
    <w:rsid w:val="008D40B9"/>
    <w:rsid w:val="008D4666"/>
    <w:rsid w:val="008D4A1D"/>
    <w:rsid w:val="008D4DC9"/>
    <w:rsid w:val="008D4F13"/>
    <w:rsid w:val="008D540E"/>
    <w:rsid w:val="008D57A2"/>
    <w:rsid w:val="008D5B5D"/>
    <w:rsid w:val="008D5CF5"/>
    <w:rsid w:val="008D5D21"/>
    <w:rsid w:val="008D5E05"/>
    <w:rsid w:val="008D616C"/>
    <w:rsid w:val="008D6539"/>
    <w:rsid w:val="008D6618"/>
    <w:rsid w:val="008D68CA"/>
    <w:rsid w:val="008D6C5C"/>
    <w:rsid w:val="008D6DAC"/>
    <w:rsid w:val="008D6FB2"/>
    <w:rsid w:val="008D7167"/>
    <w:rsid w:val="008D73B2"/>
    <w:rsid w:val="008D767B"/>
    <w:rsid w:val="008D770F"/>
    <w:rsid w:val="008D77BE"/>
    <w:rsid w:val="008D78C4"/>
    <w:rsid w:val="008D7AF5"/>
    <w:rsid w:val="008D7D17"/>
    <w:rsid w:val="008D7D62"/>
    <w:rsid w:val="008D7DB5"/>
    <w:rsid w:val="008E02F8"/>
    <w:rsid w:val="008E043F"/>
    <w:rsid w:val="008E04BB"/>
    <w:rsid w:val="008E057A"/>
    <w:rsid w:val="008E0619"/>
    <w:rsid w:val="008E0836"/>
    <w:rsid w:val="008E09B5"/>
    <w:rsid w:val="008E0F09"/>
    <w:rsid w:val="008E19E1"/>
    <w:rsid w:val="008E1C60"/>
    <w:rsid w:val="008E1CA5"/>
    <w:rsid w:val="008E1CC5"/>
    <w:rsid w:val="008E1D10"/>
    <w:rsid w:val="008E2097"/>
    <w:rsid w:val="008E2121"/>
    <w:rsid w:val="008E229A"/>
    <w:rsid w:val="008E2346"/>
    <w:rsid w:val="008E2572"/>
    <w:rsid w:val="008E2582"/>
    <w:rsid w:val="008E267E"/>
    <w:rsid w:val="008E2750"/>
    <w:rsid w:val="008E28CF"/>
    <w:rsid w:val="008E2CA0"/>
    <w:rsid w:val="008E2D34"/>
    <w:rsid w:val="008E3066"/>
    <w:rsid w:val="008E3274"/>
    <w:rsid w:val="008E32BD"/>
    <w:rsid w:val="008E33AC"/>
    <w:rsid w:val="008E378E"/>
    <w:rsid w:val="008E3875"/>
    <w:rsid w:val="008E38AE"/>
    <w:rsid w:val="008E3921"/>
    <w:rsid w:val="008E3B25"/>
    <w:rsid w:val="008E4037"/>
    <w:rsid w:val="008E429A"/>
    <w:rsid w:val="008E4870"/>
    <w:rsid w:val="008E49D4"/>
    <w:rsid w:val="008E4A0E"/>
    <w:rsid w:val="008E4A95"/>
    <w:rsid w:val="008E4FBC"/>
    <w:rsid w:val="008E5223"/>
    <w:rsid w:val="008E53F8"/>
    <w:rsid w:val="008E554C"/>
    <w:rsid w:val="008E56B8"/>
    <w:rsid w:val="008E56EF"/>
    <w:rsid w:val="008E57C9"/>
    <w:rsid w:val="008E5C66"/>
    <w:rsid w:val="008E5DE1"/>
    <w:rsid w:val="008E625A"/>
    <w:rsid w:val="008E6274"/>
    <w:rsid w:val="008E6527"/>
    <w:rsid w:val="008E65BD"/>
    <w:rsid w:val="008E673A"/>
    <w:rsid w:val="008E734F"/>
    <w:rsid w:val="008E74C4"/>
    <w:rsid w:val="008E7890"/>
    <w:rsid w:val="008E7A21"/>
    <w:rsid w:val="008E7C97"/>
    <w:rsid w:val="008E7E36"/>
    <w:rsid w:val="008F017C"/>
    <w:rsid w:val="008F02BE"/>
    <w:rsid w:val="008F02C9"/>
    <w:rsid w:val="008F0F74"/>
    <w:rsid w:val="008F100F"/>
    <w:rsid w:val="008F1157"/>
    <w:rsid w:val="008F1585"/>
    <w:rsid w:val="008F1720"/>
    <w:rsid w:val="008F1721"/>
    <w:rsid w:val="008F17C1"/>
    <w:rsid w:val="008F1A21"/>
    <w:rsid w:val="008F2712"/>
    <w:rsid w:val="008F2846"/>
    <w:rsid w:val="008F29D8"/>
    <w:rsid w:val="008F2B00"/>
    <w:rsid w:val="008F2B1B"/>
    <w:rsid w:val="008F35E3"/>
    <w:rsid w:val="008F38AB"/>
    <w:rsid w:val="008F3C7F"/>
    <w:rsid w:val="008F4051"/>
    <w:rsid w:val="008F453F"/>
    <w:rsid w:val="008F50C9"/>
    <w:rsid w:val="008F5224"/>
    <w:rsid w:val="008F5722"/>
    <w:rsid w:val="008F5D70"/>
    <w:rsid w:val="008F5FEC"/>
    <w:rsid w:val="008F61D6"/>
    <w:rsid w:val="008F635D"/>
    <w:rsid w:val="008F6470"/>
    <w:rsid w:val="008F65DB"/>
    <w:rsid w:val="008F69F0"/>
    <w:rsid w:val="008F6E75"/>
    <w:rsid w:val="008F7567"/>
    <w:rsid w:val="008F7D54"/>
    <w:rsid w:val="008F7DCE"/>
    <w:rsid w:val="008F7DE0"/>
    <w:rsid w:val="008F7E42"/>
    <w:rsid w:val="009001F6"/>
    <w:rsid w:val="00900B2B"/>
    <w:rsid w:val="00900C1D"/>
    <w:rsid w:val="00900C84"/>
    <w:rsid w:val="00900EB5"/>
    <w:rsid w:val="00901169"/>
    <w:rsid w:val="009011A8"/>
    <w:rsid w:val="0090138F"/>
    <w:rsid w:val="00901523"/>
    <w:rsid w:val="00901968"/>
    <w:rsid w:val="00901DC5"/>
    <w:rsid w:val="00901EAF"/>
    <w:rsid w:val="00902046"/>
    <w:rsid w:val="00902269"/>
    <w:rsid w:val="009023F9"/>
    <w:rsid w:val="0090248F"/>
    <w:rsid w:val="009024D0"/>
    <w:rsid w:val="009025CC"/>
    <w:rsid w:val="009025FB"/>
    <w:rsid w:val="00902B19"/>
    <w:rsid w:val="00902DAC"/>
    <w:rsid w:val="00902DB9"/>
    <w:rsid w:val="00902E09"/>
    <w:rsid w:val="00902F95"/>
    <w:rsid w:val="00902F96"/>
    <w:rsid w:val="009033AD"/>
    <w:rsid w:val="009034D4"/>
    <w:rsid w:val="009034DF"/>
    <w:rsid w:val="00903612"/>
    <w:rsid w:val="0090389C"/>
    <w:rsid w:val="00903A02"/>
    <w:rsid w:val="00903A24"/>
    <w:rsid w:val="00903AA7"/>
    <w:rsid w:val="00903AE1"/>
    <w:rsid w:val="00903E54"/>
    <w:rsid w:val="009042E9"/>
    <w:rsid w:val="00904477"/>
    <w:rsid w:val="0090452D"/>
    <w:rsid w:val="00904782"/>
    <w:rsid w:val="00904830"/>
    <w:rsid w:val="00904A05"/>
    <w:rsid w:val="00905009"/>
    <w:rsid w:val="00905377"/>
    <w:rsid w:val="009053FB"/>
    <w:rsid w:val="009056A9"/>
    <w:rsid w:val="00905BDC"/>
    <w:rsid w:val="00905C27"/>
    <w:rsid w:val="00905FBA"/>
    <w:rsid w:val="00906471"/>
    <w:rsid w:val="00906A00"/>
    <w:rsid w:val="00906AB9"/>
    <w:rsid w:val="00906AFC"/>
    <w:rsid w:val="00907004"/>
    <w:rsid w:val="00907178"/>
    <w:rsid w:val="009072E6"/>
    <w:rsid w:val="009073B5"/>
    <w:rsid w:val="009074D8"/>
    <w:rsid w:val="009078AC"/>
    <w:rsid w:val="00907A1E"/>
    <w:rsid w:val="00907AB1"/>
    <w:rsid w:val="00907B50"/>
    <w:rsid w:val="00907C22"/>
    <w:rsid w:val="00907E74"/>
    <w:rsid w:val="009101D0"/>
    <w:rsid w:val="0091062C"/>
    <w:rsid w:val="0091087D"/>
    <w:rsid w:val="00910C12"/>
    <w:rsid w:val="00910C28"/>
    <w:rsid w:val="009110F8"/>
    <w:rsid w:val="009117D8"/>
    <w:rsid w:val="009117EC"/>
    <w:rsid w:val="009118B3"/>
    <w:rsid w:val="00911B16"/>
    <w:rsid w:val="00911EB6"/>
    <w:rsid w:val="00912034"/>
    <w:rsid w:val="009121FC"/>
    <w:rsid w:val="00912464"/>
    <w:rsid w:val="009124C5"/>
    <w:rsid w:val="0091274A"/>
    <w:rsid w:val="00912855"/>
    <w:rsid w:val="0091285D"/>
    <w:rsid w:val="00912877"/>
    <w:rsid w:val="00912E9C"/>
    <w:rsid w:val="00912FB8"/>
    <w:rsid w:val="00913248"/>
    <w:rsid w:val="00913470"/>
    <w:rsid w:val="00913685"/>
    <w:rsid w:val="00913712"/>
    <w:rsid w:val="00914118"/>
    <w:rsid w:val="00914151"/>
    <w:rsid w:val="009141E4"/>
    <w:rsid w:val="00914242"/>
    <w:rsid w:val="009143E6"/>
    <w:rsid w:val="00914668"/>
    <w:rsid w:val="0091481C"/>
    <w:rsid w:val="00914A5E"/>
    <w:rsid w:val="00914BEF"/>
    <w:rsid w:val="00915131"/>
    <w:rsid w:val="00915329"/>
    <w:rsid w:val="009156EF"/>
    <w:rsid w:val="009157AB"/>
    <w:rsid w:val="009158C7"/>
    <w:rsid w:val="00915C87"/>
    <w:rsid w:val="00915E18"/>
    <w:rsid w:val="00916042"/>
    <w:rsid w:val="0091613B"/>
    <w:rsid w:val="00917665"/>
    <w:rsid w:val="00917A55"/>
    <w:rsid w:val="00917B32"/>
    <w:rsid w:val="00917D92"/>
    <w:rsid w:val="00917DCF"/>
    <w:rsid w:val="00917E27"/>
    <w:rsid w:val="00920011"/>
    <w:rsid w:val="00920270"/>
    <w:rsid w:val="00920464"/>
    <w:rsid w:val="0092050F"/>
    <w:rsid w:val="0092082A"/>
    <w:rsid w:val="0092088E"/>
    <w:rsid w:val="00920AAA"/>
    <w:rsid w:val="00920CB9"/>
    <w:rsid w:val="00920F83"/>
    <w:rsid w:val="009212D0"/>
    <w:rsid w:val="00921588"/>
    <w:rsid w:val="009218FC"/>
    <w:rsid w:val="00921D0B"/>
    <w:rsid w:val="00921EAA"/>
    <w:rsid w:val="009221F5"/>
    <w:rsid w:val="0092246B"/>
    <w:rsid w:val="00922736"/>
    <w:rsid w:val="00922AE6"/>
    <w:rsid w:val="00922CD2"/>
    <w:rsid w:val="0092308B"/>
    <w:rsid w:val="00923373"/>
    <w:rsid w:val="0092375B"/>
    <w:rsid w:val="00923888"/>
    <w:rsid w:val="00923BEE"/>
    <w:rsid w:val="00923C58"/>
    <w:rsid w:val="00923C86"/>
    <w:rsid w:val="00923D5A"/>
    <w:rsid w:val="00923E57"/>
    <w:rsid w:val="00923F28"/>
    <w:rsid w:val="00924246"/>
    <w:rsid w:val="009247DA"/>
    <w:rsid w:val="00924881"/>
    <w:rsid w:val="00924ABA"/>
    <w:rsid w:val="00924B2C"/>
    <w:rsid w:val="00924BB7"/>
    <w:rsid w:val="00924C50"/>
    <w:rsid w:val="00925248"/>
    <w:rsid w:val="00925AE4"/>
    <w:rsid w:val="00925E31"/>
    <w:rsid w:val="00926280"/>
    <w:rsid w:val="00926521"/>
    <w:rsid w:val="009265CB"/>
    <w:rsid w:val="009265D5"/>
    <w:rsid w:val="0092677F"/>
    <w:rsid w:val="009268A8"/>
    <w:rsid w:val="00926A39"/>
    <w:rsid w:val="00926D5F"/>
    <w:rsid w:val="00926FFF"/>
    <w:rsid w:val="0092732B"/>
    <w:rsid w:val="00927404"/>
    <w:rsid w:val="00927633"/>
    <w:rsid w:val="0092790D"/>
    <w:rsid w:val="00927EEE"/>
    <w:rsid w:val="00927F14"/>
    <w:rsid w:val="0093044C"/>
    <w:rsid w:val="00930573"/>
    <w:rsid w:val="00930668"/>
    <w:rsid w:val="00930901"/>
    <w:rsid w:val="00930AEA"/>
    <w:rsid w:val="00930BED"/>
    <w:rsid w:val="00931680"/>
    <w:rsid w:val="00931690"/>
    <w:rsid w:val="0093171E"/>
    <w:rsid w:val="00931CA3"/>
    <w:rsid w:val="00931CEB"/>
    <w:rsid w:val="00931F63"/>
    <w:rsid w:val="009320E9"/>
    <w:rsid w:val="009321DF"/>
    <w:rsid w:val="00932395"/>
    <w:rsid w:val="00932461"/>
    <w:rsid w:val="009324D4"/>
    <w:rsid w:val="00932760"/>
    <w:rsid w:val="0093280A"/>
    <w:rsid w:val="00932998"/>
    <w:rsid w:val="00932B39"/>
    <w:rsid w:val="00932B77"/>
    <w:rsid w:val="0093304A"/>
    <w:rsid w:val="0093328C"/>
    <w:rsid w:val="009332EF"/>
    <w:rsid w:val="00933633"/>
    <w:rsid w:val="0093393D"/>
    <w:rsid w:val="00933BEF"/>
    <w:rsid w:val="00933C05"/>
    <w:rsid w:val="00933CFB"/>
    <w:rsid w:val="009340BD"/>
    <w:rsid w:val="0093487F"/>
    <w:rsid w:val="00934A22"/>
    <w:rsid w:val="00934BA1"/>
    <w:rsid w:val="00934C09"/>
    <w:rsid w:val="00934E4B"/>
    <w:rsid w:val="00934E57"/>
    <w:rsid w:val="00934EB6"/>
    <w:rsid w:val="0093519A"/>
    <w:rsid w:val="00935226"/>
    <w:rsid w:val="009355CB"/>
    <w:rsid w:val="0093582C"/>
    <w:rsid w:val="0093592B"/>
    <w:rsid w:val="00935BBF"/>
    <w:rsid w:val="00935E1C"/>
    <w:rsid w:val="00935E72"/>
    <w:rsid w:val="00935F4F"/>
    <w:rsid w:val="00936406"/>
    <w:rsid w:val="00936E77"/>
    <w:rsid w:val="00936FC1"/>
    <w:rsid w:val="0093757A"/>
    <w:rsid w:val="009377E9"/>
    <w:rsid w:val="00937A17"/>
    <w:rsid w:val="00940060"/>
    <w:rsid w:val="009400FF"/>
    <w:rsid w:val="00940679"/>
    <w:rsid w:val="0094070C"/>
    <w:rsid w:val="00940905"/>
    <w:rsid w:val="009409D7"/>
    <w:rsid w:val="00940BE9"/>
    <w:rsid w:val="0094168E"/>
    <w:rsid w:val="00941749"/>
    <w:rsid w:val="009418F0"/>
    <w:rsid w:val="00941B25"/>
    <w:rsid w:val="00942108"/>
    <w:rsid w:val="009423EA"/>
    <w:rsid w:val="0094243C"/>
    <w:rsid w:val="009426F4"/>
    <w:rsid w:val="00942957"/>
    <w:rsid w:val="00942AB2"/>
    <w:rsid w:val="00942B61"/>
    <w:rsid w:val="0094300C"/>
    <w:rsid w:val="00943851"/>
    <w:rsid w:val="00943C87"/>
    <w:rsid w:val="009441FA"/>
    <w:rsid w:val="009442BE"/>
    <w:rsid w:val="009443ED"/>
    <w:rsid w:val="0094449A"/>
    <w:rsid w:val="009444C8"/>
    <w:rsid w:val="00944718"/>
    <w:rsid w:val="00944C45"/>
    <w:rsid w:val="00944CAC"/>
    <w:rsid w:val="00944D89"/>
    <w:rsid w:val="00945060"/>
    <w:rsid w:val="00945083"/>
    <w:rsid w:val="009451F8"/>
    <w:rsid w:val="00945529"/>
    <w:rsid w:val="00945904"/>
    <w:rsid w:val="00945B27"/>
    <w:rsid w:val="00945CCD"/>
    <w:rsid w:val="00945D32"/>
    <w:rsid w:val="00945F4C"/>
    <w:rsid w:val="00946574"/>
    <w:rsid w:val="00946986"/>
    <w:rsid w:val="009469E3"/>
    <w:rsid w:val="00947C45"/>
    <w:rsid w:val="00947EB9"/>
    <w:rsid w:val="00947F53"/>
    <w:rsid w:val="00950176"/>
    <w:rsid w:val="00950244"/>
    <w:rsid w:val="009508C9"/>
    <w:rsid w:val="00950A7C"/>
    <w:rsid w:val="00950CDC"/>
    <w:rsid w:val="00950E2D"/>
    <w:rsid w:val="00950FCF"/>
    <w:rsid w:val="009515A7"/>
    <w:rsid w:val="009515DE"/>
    <w:rsid w:val="009519E4"/>
    <w:rsid w:val="00951D0C"/>
    <w:rsid w:val="00951D33"/>
    <w:rsid w:val="00951DE2"/>
    <w:rsid w:val="00952051"/>
    <w:rsid w:val="00952233"/>
    <w:rsid w:val="009523EB"/>
    <w:rsid w:val="0095248C"/>
    <w:rsid w:val="0095258C"/>
    <w:rsid w:val="009526AA"/>
    <w:rsid w:val="00952762"/>
    <w:rsid w:val="00952E85"/>
    <w:rsid w:val="00952FBA"/>
    <w:rsid w:val="009532BC"/>
    <w:rsid w:val="00953519"/>
    <w:rsid w:val="009535A4"/>
    <w:rsid w:val="009536EA"/>
    <w:rsid w:val="009537F9"/>
    <w:rsid w:val="00953D83"/>
    <w:rsid w:val="00954073"/>
    <w:rsid w:val="009543B6"/>
    <w:rsid w:val="00954660"/>
    <w:rsid w:val="00954804"/>
    <w:rsid w:val="00954805"/>
    <w:rsid w:val="00954997"/>
    <w:rsid w:val="00954CE6"/>
    <w:rsid w:val="00954D19"/>
    <w:rsid w:val="00954F61"/>
    <w:rsid w:val="009551EB"/>
    <w:rsid w:val="009551FC"/>
    <w:rsid w:val="00955684"/>
    <w:rsid w:val="00955890"/>
    <w:rsid w:val="00955E91"/>
    <w:rsid w:val="00955F68"/>
    <w:rsid w:val="0095655D"/>
    <w:rsid w:val="009569D5"/>
    <w:rsid w:val="00956A74"/>
    <w:rsid w:val="00956B4D"/>
    <w:rsid w:val="00956BA1"/>
    <w:rsid w:val="00956E88"/>
    <w:rsid w:val="00957069"/>
    <w:rsid w:val="00957CB3"/>
    <w:rsid w:val="00957FA1"/>
    <w:rsid w:val="009602BD"/>
    <w:rsid w:val="00960CBB"/>
    <w:rsid w:val="00960CCB"/>
    <w:rsid w:val="00960D4B"/>
    <w:rsid w:val="009614B5"/>
    <w:rsid w:val="009614F9"/>
    <w:rsid w:val="00961601"/>
    <w:rsid w:val="00961AB6"/>
    <w:rsid w:val="00962040"/>
    <w:rsid w:val="00962187"/>
    <w:rsid w:val="00962519"/>
    <w:rsid w:val="00962639"/>
    <w:rsid w:val="0096267E"/>
    <w:rsid w:val="009626DD"/>
    <w:rsid w:val="00962AB9"/>
    <w:rsid w:val="00962BA7"/>
    <w:rsid w:val="00962BB0"/>
    <w:rsid w:val="00962C66"/>
    <w:rsid w:val="00962E7C"/>
    <w:rsid w:val="00963119"/>
    <w:rsid w:val="009636B7"/>
    <w:rsid w:val="00963804"/>
    <w:rsid w:val="00963860"/>
    <w:rsid w:val="009638EA"/>
    <w:rsid w:val="00963AEF"/>
    <w:rsid w:val="00963C29"/>
    <w:rsid w:val="00963D2D"/>
    <w:rsid w:val="00963E5F"/>
    <w:rsid w:val="00963F7F"/>
    <w:rsid w:val="0096430B"/>
    <w:rsid w:val="00964380"/>
    <w:rsid w:val="0096443C"/>
    <w:rsid w:val="00964A33"/>
    <w:rsid w:val="00964AD8"/>
    <w:rsid w:val="00964C96"/>
    <w:rsid w:val="00964FE3"/>
    <w:rsid w:val="00965053"/>
    <w:rsid w:val="0096509D"/>
    <w:rsid w:val="0096568D"/>
    <w:rsid w:val="00965D7A"/>
    <w:rsid w:val="00965FC9"/>
    <w:rsid w:val="0096634F"/>
    <w:rsid w:val="009665CC"/>
    <w:rsid w:val="00966DFD"/>
    <w:rsid w:val="00966F78"/>
    <w:rsid w:val="00967092"/>
    <w:rsid w:val="009672D4"/>
    <w:rsid w:val="00967AC9"/>
    <w:rsid w:val="00967AD2"/>
    <w:rsid w:val="00967DE8"/>
    <w:rsid w:val="00967EE9"/>
    <w:rsid w:val="00967F93"/>
    <w:rsid w:val="00970224"/>
    <w:rsid w:val="0097047B"/>
    <w:rsid w:val="0097081B"/>
    <w:rsid w:val="009709CD"/>
    <w:rsid w:val="00970BE2"/>
    <w:rsid w:val="00970D47"/>
    <w:rsid w:val="00970EC3"/>
    <w:rsid w:val="00970F15"/>
    <w:rsid w:val="009713D1"/>
    <w:rsid w:val="009719A0"/>
    <w:rsid w:val="00971F7F"/>
    <w:rsid w:val="00972104"/>
    <w:rsid w:val="0097269C"/>
    <w:rsid w:val="009727AC"/>
    <w:rsid w:val="00973303"/>
    <w:rsid w:val="009738BE"/>
    <w:rsid w:val="009739B1"/>
    <w:rsid w:val="009739F9"/>
    <w:rsid w:val="00973A54"/>
    <w:rsid w:val="00973A67"/>
    <w:rsid w:val="00973FB1"/>
    <w:rsid w:val="00973FBA"/>
    <w:rsid w:val="00974122"/>
    <w:rsid w:val="009746F4"/>
    <w:rsid w:val="00974B91"/>
    <w:rsid w:val="00974D58"/>
    <w:rsid w:val="00974D5E"/>
    <w:rsid w:val="009751D7"/>
    <w:rsid w:val="00975715"/>
    <w:rsid w:val="00975863"/>
    <w:rsid w:val="00975A39"/>
    <w:rsid w:val="00975DCA"/>
    <w:rsid w:val="00975EF4"/>
    <w:rsid w:val="00976387"/>
    <w:rsid w:val="00976885"/>
    <w:rsid w:val="00976A18"/>
    <w:rsid w:val="00976D4D"/>
    <w:rsid w:val="00977521"/>
    <w:rsid w:val="009777E0"/>
    <w:rsid w:val="00977D6C"/>
    <w:rsid w:val="00977FEC"/>
    <w:rsid w:val="0098016D"/>
    <w:rsid w:val="00980254"/>
    <w:rsid w:val="00980354"/>
    <w:rsid w:val="00980379"/>
    <w:rsid w:val="009803F6"/>
    <w:rsid w:val="009809FC"/>
    <w:rsid w:val="00980A82"/>
    <w:rsid w:val="00980CA4"/>
    <w:rsid w:val="0098117E"/>
    <w:rsid w:val="0098162E"/>
    <w:rsid w:val="009816A3"/>
    <w:rsid w:val="009816FA"/>
    <w:rsid w:val="009819A6"/>
    <w:rsid w:val="00981C37"/>
    <w:rsid w:val="00981C78"/>
    <w:rsid w:val="00981CE3"/>
    <w:rsid w:val="00981E32"/>
    <w:rsid w:val="00981FD9"/>
    <w:rsid w:val="0098232D"/>
    <w:rsid w:val="00982470"/>
    <w:rsid w:val="009828DD"/>
    <w:rsid w:val="00982CAA"/>
    <w:rsid w:val="009831A6"/>
    <w:rsid w:val="009832FF"/>
    <w:rsid w:val="009835BA"/>
    <w:rsid w:val="00983B35"/>
    <w:rsid w:val="00983C44"/>
    <w:rsid w:val="00983D20"/>
    <w:rsid w:val="009842CE"/>
    <w:rsid w:val="00984426"/>
    <w:rsid w:val="009844B9"/>
    <w:rsid w:val="00984760"/>
    <w:rsid w:val="009847A8"/>
    <w:rsid w:val="00984828"/>
    <w:rsid w:val="00984A14"/>
    <w:rsid w:val="00984A9A"/>
    <w:rsid w:val="00984B6A"/>
    <w:rsid w:val="00984DDE"/>
    <w:rsid w:val="009850C3"/>
    <w:rsid w:val="0098527C"/>
    <w:rsid w:val="0098531B"/>
    <w:rsid w:val="00985480"/>
    <w:rsid w:val="00985D41"/>
    <w:rsid w:val="00985D4C"/>
    <w:rsid w:val="00985FB9"/>
    <w:rsid w:val="00985FCC"/>
    <w:rsid w:val="00986131"/>
    <w:rsid w:val="00986BF3"/>
    <w:rsid w:val="00986FEB"/>
    <w:rsid w:val="00987171"/>
    <w:rsid w:val="00987A93"/>
    <w:rsid w:val="00987CFF"/>
    <w:rsid w:val="00990035"/>
    <w:rsid w:val="009900DC"/>
    <w:rsid w:val="009905E3"/>
    <w:rsid w:val="009906C7"/>
    <w:rsid w:val="00990D77"/>
    <w:rsid w:val="00990F54"/>
    <w:rsid w:val="00990FFC"/>
    <w:rsid w:val="00991B7F"/>
    <w:rsid w:val="00991CC8"/>
    <w:rsid w:val="0099212C"/>
    <w:rsid w:val="0099219D"/>
    <w:rsid w:val="00992258"/>
    <w:rsid w:val="00992412"/>
    <w:rsid w:val="0099267E"/>
    <w:rsid w:val="00992B26"/>
    <w:rsid w:val="00992C79"/>
    <w:rsid w:val="00992FD6"/>
    <w:rsid w:val="00993223"/>
    <w:rsid w:val="00993662"/>
    <w:rsid w:val="00993968"/>
    <w:rsid w:val="00993AD8"/>
    <w:rsid w:val="00993D8D"/>
    <w:rsid w:val="00994226"/>
    <w:rsid w:val="009945AA"/>
    <w:rsid w:val="00994EE9"/>
    <w:rsid w:val="00994EED"/>
    <w:rsid w:val="00995323"/>
    <w:rsid w:val="00995631"/>
    <w:rsid w:val="00995A25"/>
    <w:rsid w:val="00995DFD"/>
    <w:rsid w:val="00995E50"/>
    <w:rsid w:val="00995F3F"/>
    <w:rsid w:val="00995FB3"/>
    <w:rsid w:val="00995FC9"/>
    <w:rsid w:val="0099608B"/>
    <w:rsid w:val="0099628B"/>
    <w:rsid w:val="00996523"/>
    <w:rsid w:val="009965B6"/>
    <w:rsid w:val="009967B7"/>
    <w:rsid w:val="0099692C"/>
    <w:rsid w:val="0099697F"/>
    <w:rsid w:val="00996AA7"/>
    <w:rsid w:val="00996B86"/>
    <w:rsid w:val="00996C92"/>
    <w:rsid w:val="00996E98"/>
    <w:rsid w:val="00996F3B"/>
    <w:rsid w:val="00997100"/>
    <w:rsid w:val="00997121"/>
    <w:rsid w:val="0099726B"/>
    <w:rsid w:val="0099747D"/>
    <w:rsid w:val="00997490"/>
    <w:rsid w:val="00997C33"/>
    <w:rsid w:val="00997CFC"/>
    <w:rsid w:val="00997D99"/>
    <w:rsid w:val="00997DF6"/>
    <w:rsid w:val="00997F4A"/>
    <w:rsid w:val="009A006E"/>
    <w:rsid w:val="009A03E2"/>
    <w:rsid w:val="009A06B1"/>
    <w:rsid w:val="009A0895"/>
    <w:rsid w:val="009A090A"/>
    <w:rsid w:val="009A0E60"/>
    <w:rsid w:val="009A1067"/>
    <w:rsid w:val="009A1116"/>
    <w:rsid w:val="009A1397"/>
    <w:rsid w:val="009A14D2"/>
    <w:rsid w:val="009A17DD"/>
    <w:rsid w:val="009A19B7"/>
    <w:rsid w:val="009A1C65"/>
    <w:rsid w:val="009A1CF9"/>
    <w:rsid w:val="009A20EF"/>
    <w:rsid w:val="009A21E2"/>
    <w:rsid w:val="009A229D"/>
    <w:rsid w:val="009A249C"/>
    <w:rsid w:val="009A2559"/>
    <w:rsid w:val="009A2BE7"/>
    <w:rsid w:val="009A2E16"/>
    <w:rsid w:val="009A3095"/>
    <w:rsid w:val="009A32F8"/>
    <w:rsid w:val="009A335E"/>
    <w:rsid w:val="009A3493"/>
    <w:rsid w:val="009A381D"/>
    <w:rsid w:val="009A3A5E"/>
    <w:rsid w:val="009A3A6D"/>
    <w:rsid w:val="009A3C3D"/>
    <w:rsid w:val="009A3DFD"/>
    <w:rsid w:val="009A3E45"/>
    <w:rsid w:val="009A415E"/>
    <w:rsid w:val="009A4647"/>
    <w:rsid w:val="009A46E9"/>
    <w:rsid w:val="009A4BA9"/>
    <w:rsid w:val="009A5199"/>
    <w:rsid w:val="009A51F9"/>
    <w:rsid w:val="009A524C"/>
    <w:rsid w:val="009A5473"/>
    <w:rsid w:val="009A54C1"/>
    <w:rsid w:val="009A582D"/>
    <w:rsid w:val="009A5AC5"/>
    <w:rsid w:val="009A603F"/>
    <w:rsid w:val="009A6061"/>
    <w:rsid w:val="009A6A54"/>
    <w:rsid w:val="009A6CB8"/>
    <w:rsid w:val="009A75A8"/>
    <w:rsid w:val="009A7B71"/>
    <w:rsid w:val="009A7C2A"/>
    <w:rsid w:val="009A7D43"/>
    <w:rsid w:val="009A7FBB"/>
    <w:rsid w:val="009B01F9"/>
    <w:rsid w:val="009B065D"/>
    <w:rsid w:val="009B0974"/>
    <w:rsid w:val="009B09FF"/>
    <w:rsid w:val="009B0E0C"/>
    <w:rsid w:val="009B10F7"/>
    <w:rsid w:val="009B1489"/>
    <w:rsid w:val="009B1E70"/>
    <w:rsid w:val="009B20B9"/>
    <w:rsid w:val="009B212C"/>
    <w:rsid w:val="009B21EC"/>
    <w:rsid w:val="009B21F2"/>
    <w:rsid w:val="009B277E"/>
    <w:rsid w:val="009B2A2F"/>
    <w:rsid w:val="009B3169"/>
    <w:rsid w:val="009B3280"/>
    <w:rsid w:val="009B3402"/>
    <w:rsid w:val="009B345B"/>
    <w:rsid w:val="009B34F2"/>
    <w:rsid w:val="009B3506"/>
    <w:rsid w:val="009B3768"/>
    <w:rsid w:val="009B395B"/>
    <w:rsid w:val="009B3C8A"/>
    <w:rsid w:val="009B3F18"/>
    <w:rsid w:val="009B42A5"/>
    <w:rsid w:val="009B4804"/>
    <w:rsid w:val="009B49B6"/>
    <w:rsid w:val="009B4A0F"/>
    <w:rsid w:val="009B4AB5"/>
    <w:rsid w:val="009B4BC7"/>
    <w:rsid w:val="009B4D18"/>
    <w:rsid w:val="009B50A3"/>
    <w:rsid w:val="009B5418"/>
    <w:rsid w:val="009B5562"/>
    <w:rsid w:val="009B5FFA"/>
    <w:rsid w:val="009B60E0"/>
    <w:rsid w:val="009B62F0"/>
    <w:rsid w:val="009B6318"/>
    <w:rsid w:val="009B654A"/>
    <w:rsid w:val="009B66F5"/>
    <w:rsid w:val="009B6735"/>
    <w:rsid w:val="009B6B68"/>
    <w:rsid w:val="009B6E80"/>
    <w:rsid w:val="009B6E86"/>
    <w:rsid w:val="009B6FE9"/>
    <w:rsid w:val="009B7211"/>
    <w:rsid w:val="009B729A"/>
    <w:rsid w:val="009B74B2"/>
    <w:rsid w:val="009B76D6"/>
    <w:rsid w:val="009B78B1"/>
    <w:rsid w:val="009B7C4D"/>
    <w:rsid w:val="009B7C83"/>
    <w:rsid w:val="009B7DBD"/>
    <w:rsid w:val="009B7EC5"/>
    <w:rsid w:val="009B7EDB"/>
    <w:rsid w:val="009C0063"/>
    <w:rsid w:val="009C0295"/>
    <w:rsid w:val="009C0462"/>
    <w:rsid w:val="009C0914"/>
    <w:rsid w:val="009C0977"/>
    <w:rsid w:val="009C09C2"/>
    <w:rsid w:val="009C0A1D"/>
    <w:rsid w:val="009C0A3B"/>
    <w:rsid w:val="009C0A8C"/>
    <w:rsid w:val="009C0ACD"/>
    <w:rsid w:val="009C0F0D"/>
    <w:rsid w:val="009C1267"/>
    <w:rsid w:val="009C12DA"/>
    <w:rsid w:val="009C13BE"/>
    <w:rsid w:val="009C14EF"/>
    <w:rsid w:val="009C15AB"/>
    <w:rsid w:val="009C1940"/>
    <w:rsid w:val="009C23B7"/>
    <w:rsid w:val="009C2975"/>
    <w:rsid w:val="009C2B96"/>
    <w:rsid w:val="009C2DCC"/>
    <w:rsid w:val="009C2DEC"/>
    <w:rsid w:val="009C2E23"/>
    <w:rsid w:val="009C2FE8"/>
    <w:rsid w:val="009C3109"/>
    <w:rsid w:val="009C318F"/>
    <w:rsid w:val="009C3606"/>
    <w:rsid w:val="009C36E7"/>
    <w:rsid w:val="009C385C"/>
    <w:rsid w:val="009C3A6D"/>
    <w:rsid w:val="009C3C1E"/>
    <w:rsid w:val="009C474C"/>
    <w:rsid w:val="009C4A6C"/>
    <w:rsid w:val="009C4A90"/>
    <w:rsid w:val="009C4BA6"/>
    <w:rsid w:val="009C4E51"/>
    <w:rsid w:val="009C56F4"/>
    <w:rsid w:val="009C58B0"/>
    <w:rsid w:val="009C5B4B"/>
    <w:rsid w:val="009C5D19"/>
    <w:rsid w:val="009C5E3B"/>
    <w:rsid w:val="009C6152"/>
    <w:rsid w:val="009C627C"/>
    <w:rsid w:val="009C62AC"/>
    <w:rsid w:val="009C6370"/>
    <w:rsid w:val="009C648A"/>
    <w:rsid w:val="009C65B4"/>
    <w:rsid w:val="009C67A8"/>
    <w:rsid w:val="009C67CC"/>
    <w:rsid w:val="009C6998"/>
    <w:rsid w:val="009C6F53"/>
    <w:rsid w:val="009C7549"/>
    <w:rsid w:val="009C76C8"/>
    <w:rsid w:val="009C7A1C"/>
    <w:rsid w:val="009C7C2B"/>
    <w:rsid w:val="009C7F49"/>
    <w:rsid w:val="009D0416"/>
    <w:rsid w:val="009D06B2"/>
    <w:rsid w:val="009D0746"/>
    <w:rsid w:val="009D08DD"/>
    <w:rsid w:val="009D0A52"/>
    <w:rsid w:val="009D0B64"/>
    <w:rsid w:val="009D0C06"/>
    <w:rsid w:val="009D0D7D"/>
    <w:rsid w:val="009D0DBB"/>
    <w:rsid w:val="009D0E00"/>
    <w:rsid w:val="009D116E"/>
    <w:rsid w:val="009D118F"/>
    <w:rsid w:val="009D1346"/>
    <w:rsid w:val="009D137A"/>
    <w:rsid w:val="009D1C6E"/>
    <w:rsid w:val="009D21D2"/>
    <w:rsid w:val="009D2735"/>
    <w:rsid w:val="009D2744"/>
    <w:rsid w:val="009D2814"/>
    <w:rsid w:val="009D29BE"/>
    <w:rsid w:val="009D2BC0"/>
    <w:rsid w:val="009D2D3C"/>
    <w:rsid w:val="009D3A8B"/>
    <w:rsid w:val="009D3CBA"/>
    <w:rsid w:val="009D3DC1"/>
    <w:rsid w:val="009D46A8"/>
    <w:rsid w:val="009D4785"/>
    <w:rsid w:val="009D47EC"/>
    <w:rsid w:val="009D4C75"/>
    <w:rsid w:val="009D4F66"/>
    <w:rsid w:val="009D5006"/>
    <w:rsid w:val="009D5022"/>
    <w:rsid w:val="009D50FB"/>
    <w:rsid w:val="009D5240"/>
    <w:rsid w:val="009D5620"/>
    <w:rsid w:val="009D5A18"/>
    <w:rsid w:val="009D63EA"/>
    <w:rsid w:val="009D6494"/>
    <w:rsid w:val="009D6BC6"/>
    <w:rsid w:val="009D6C31"/>
    <w:rsid w:val="009D6CBC"/>
    <w:rsid w:val="009D6E40"/>
    <w:rsid w:val="009D6F78"/>
    <w:rsid w:val="009D701C"/>
    <w:rsid w:val="009D7195"/>
    <w:rsid w:val="009D739B"/>
    <w:rsid w:val="009E038E"/>
    <w:rsid w:val="009E09EB"/>
    <w:rsid w:val="009E0D03"/>
    <w:rsid w:val="009E0FD6"/>
    <w:rsid w:val="009E1379"/>
    <w:rsid w:val="009E1530"/>
    <w:rsid w:val="009E21B2"/>
    <w:rsid w:val="009E245E"/>
    <w:rsid w:val="009E2724"/>
    <w:rsid w:val="009E27DB"/>
    <w:rsid w:val="009E2AC3"/>
    <w:rsid w:val="009E3172"/>
    <w:rsid w:val="009E3273"/>
    <w:rsid w:val="009E3287"/>
    <w:rsid w:val="009E365E"/>
    <w:rsid w:val="009E3948"/>
    <w:rsid w:val="009E39F4"/>
    <w:rsid w:val="009E3AF7"/>
    <w:rsid w:val="009E3B4B"/>
    <w:rsid w:val="009E41EE"/>
    <w:rsid w:val="009E424C"/>
    <w:rsid w:val="009E4812"/>
    <w:rsid w:val="009E4895"/>
    <w:rsid w:val="009E49D1"/>
    <w:rsid w:val="009E5458"/>
    <w:rsid w:val="009E5855"/>
    <w:rsid w:val="009E5907"/>
    <w:rsid w:val="009E5995"/>
    <w:rsid w:val="009E5AB4"/>
    <w:rsid w:val="009E5DD8"/>
    <w:rsid w:val="009E5DE3"/>
    <w:rsid w:val="009E613C"/>
    <w:rsid w:val="009E6A24"/>
    <w:rsid w:val="009E6E17"/>
    <w:rsid w:val="009E6E1A"/>
    <w:rsid w:val="009E7561"/>
    <w:rsid w:val="009E763F"/>
    <w:rsid w:val="009E7D1E"/>
    <w:rsid w:val="009E7ED5"/>
    <w:rsid w:val="009F00AC"/>
    <w:rsid w:val="009F0A52"/>
    <w:rsid w:val="009F0AD5"/>
    <w:rsid w:val="009F0DA8"/>
    <w:rsid w:val="009F1018"/>
    <w:rsid w:val="009F1462"/>
    <w:rsid w:val="009F155D"/>
    <w:rsid w:val="009F1586"/>
    <w:rsid w:val="009F1D46"/>
    <w:rsid w:val="009F1E1C"/>
    <w:rsid w:val="009F2027"/>
    <w:rsid w:val="009F2064"/>
    <w:rsid w:val="009F2102"/>
    <w:rsid w:val="009F218E"/>
    <w:rsid w:val="009F260B"/>
    <w:rsid w:val="009F29DE"/>
    <w:rsid w:val="009F29E6"/>
    <w:rsid w:val="009F2CDC"/>
    <w:rsid w:val="009F2FFD"/>
    <w:rsid w:val="009F3378"/>
    <w:rsid w:val="009F3590"/>
    <w:rsid w:val="009F3EBD"/>
    <w:rsid w:val="009F3F47"/>
    <w:rsid w:val="009F40D8"/>
    <w:rsid w:val="009F4502"/>
    <w:rsid w:val="009F461E"/>
    <w:rsid w:val="009F4A86"/>
    <w:rsid w:val="009F4C43"/>
    <w:rsid w:val="009F4D44"/>
    <w:rsid w:val="009F5076"/>
    <w:rsid w:val="009F5236"/>
    <w:rsid w:val="009F5237"/>
    <w:rsid w:val="009F5467"/>
    <w:rsid w:val="009F5641"/>
    <w:rsid w:val="009F57FF"/>
    <w:rsid w:val="009F5967"/>
    <w:rsid w:val="009F5A51"/>
    <w:rsid w:val="009F5BA2"/>
    <w:rsid w:val="009F6273"/>
    <w:rsid w:val="009F639B"/>
    <w:rsid w:val="009F6561"/>
    <w:rsid w:val="009F675E"/>
    <w:rsid w:val="009F679E"/>
    <w:rsid w:val="009F69D7"/>
    <w:rsid w:val="009F6A8F"/>
    <w:rsid w:val="009F6CAB"/>
    <w:rsid w:val="009F6F24"/>
    <w:rsid w:val="009F7DE9"/>
    <w:rsid w:val="009F7FD5"/>
    <w:rsid w:val="009F7FE7"/>
    <w:rsid w:val="00A0010A"/>
    <w:rsid w:val="00A00191"/>
    <w:rsid w:val="00A00391"/>
    <w:rsid w:val="00A00642"/>
    <w:rsid w:val="00A00BF9"/>
    <w:rsid w:val="00A00E66"/>
    <w:rsid w:val="00A010B7"/>
    <w:rsid w:val="00A0134F"/>
    <w:rsid w:val="00A0136A"/>
    <w:rsid w:val="00A01503"/>
    <w:rsid w:val="00A01CF6"/>
    <w:rsid w:val="00A01ED6"/>
    <w:rsid w:val="00A02317"/>
    <w:rsid w:val="00A02351"/>
    <w:rsid w:val="00A0295A"/>
    <w:rsid w:val="00A02B0C"/>
    <w:rsid w:val="00A031DF"/>
    <w:rsid w:val="00A03236"/>
    <w:rsid w:val="00A0336D"/>
    <w:rsid w:val="00A034AD"/>
    <w:rsid w:val="00A03C3E"/>
    <w:rsid w:val="00A03DE1"/>
    <w:rsid w:val="00A03EA5"/>
    <w:rsid w:val="00A04259"/>
    <w:rsid w:val="00A0427A"/>
    <w:rsid w:val="00A046E4"/>
    <w:rsid w:val="00A04A42"/>
    <w:rsid w:val="00A04C75"/>
    <w:rsid w:val="00A05568"/>
    <w:rsid w:val="00A059E2"/>
    <w:rsid w:val="00A05B1D"/>
    <w:rsid w:val="00A0606A"/>
    <w:rsid w:val="00A06171"/>
    <w:rsid w:val="00A06218"/>
    <w:rsid w:val="00A06499"/>
    <w:rsid w:val="00A065DB"/>
    <w:rsid w:val="00A07281"/>
    <w:rsid w:val="00A07352"/>
    <w:rsid w:val="00A07818"/>
    <w:rsid w:val="00A07859"/>
    <w:rsid w:val="00A07A03"/>
    <w:rsid w:val="00A07A47"/>
    <w:rsid w:val="00A07A7F"/>
    <w:rsid w:val="00A07C29"/>
    <w:rsid w:val="00A07F3F"/>
    <w:rsid w:val="00A100D4"/>
    <w:rsid w:val="00A101AB"/>
    <w:rsid w:val="00A10571"/>
    <w:rsid w:val="00A106FF"/>
    <w:rsid w:val="00A10DF2"/>
    <w:rsid w:val="00A1114B"/>
    <w:rsid w:val="00A11195"/>
    <w:rsid w:val="00A117F8"/>
    <w:rsid w:val="00A1197B"/>
    <w:rsid w:val="00A11A4B"/>
    <w:rsid w:val="00A11AC2"/>
    <w:rsid w:val="00A11B6E"/>
    <w:rsid w:val="00A11D39"/>
    <w:rsid w:val="00A122C2"/>
    <w:rsid w:val="00A12464"/>
    <w:rsid w:val="00A12606"/>
    <w:rsid w:val="00A12A29"/>
    <w:rsid w:val="00A12A36"/>
    <w:rsid w:val="00A12D13"/>
    <w:rsid w:val="00A1304B"/>
    <w:rsid w:val="00A130D9"/>
    <w:rsid w:val="00A13925"/>
    <w:rsid w:val="00A139EB"/>
    <w:rsid w:val="00A13D32"/>
    <w:rsid w:val="00A14127"/>
    <w:rsid w:val="00A149AA"/>
    <w:rsid w:val="00A14B5D"/>
    <w:rsid w:val="00A15054"/>
    <w:rsid w:val="00A1508F"/>
    <w:rsid w:val="00A15142"/>
    <w:rsid w:val="00A15966"/>
    <w:rsid w:val="00A15F97"/>
    <w:rsid w:val="00A15F9E"/>
    <w:rsid w:val="00A1601F"/>
    <w:rsid w:val="00A161BB"/>
    <w:rsid w:val="00A168DA"/>
    <w:rsid w:val="00A16C37"/>
    <w:rsid w:val="00A16CC6"/>
    <w:rsid w:val="00A16EF7"/>
    <w:rsid w:val="00A173E0"/>
    <w:rsid w:val="00A17665"/>
    <w:rsid w:val="00A17943"/>
    <w:rsid w:val="00A17E9A"/>
    <w:rsid w:val="00A17F0B"/>
    <w:rsid w:val="00A20128"/>
    <w:rsid w:val="00A20518"/>
    <w:rsid w:val="00A205A6"/>
    <w:rsid w:val="00A20774"/>
    <w:rsid w:val="00A209E4"/>
    <w:rsid w:val="00A2108F"/>
    <w:rsid w:val="00A2113B"/>
    <w:rsid w:val="00A2136F"/>
    <w:rsid w:val="00A21869"/>
    <w:rsid w:val="00A21964"/>
    <w:rsid w:val="00A219F9"/>
    <w:rsid w:val="00A22276"/>
    <w:rsid w:val="00A224AA"/>
    <w:rsid w:val="00A22A3B"/>
    <w:rsid w:val="00A22B11"/>
    <w:rsid w:val="00A22D53"/>
    <w:rsid w:val="00A22E31"/>
    <w:rsid w:val="00A2312D"/>
    <w:rsid w:val="00A231B6"/>
    <w:rsid w:val="00A2334D"/>
    <w:rsid w:val="00A23811"/>
    <w:rsid w:val="00A23918"/>
    <w:rsid w:val="00A23DFA"/>
    <w:rsid w:val="00A23E05"/>
    <w:rsid w:val="00A23F4A"/>
    <w:rsid w:val="00A24115"/>
    <w:rsid w:val="00A241A2"/>
    <w:rsid w:val="00A2425F"/>
    <w:rsid w:val="00A243A0"/>
    <w:rsid w:val="00A246A6"/>
    <w:rsid w:val="00A24808"/>
    <w:rsid w:val="00A24D1B"/>
    <w:rsid w:val="00A24F14"/>
    <w:rsid w:val="00A25695"/>
    <w:rsid w:val="00A25B34"/>
    <w:rsid w:val="00A25F53"/>
    <w:rsid w:val="00A26596"/>
    <w:rsid w:val="00A265F1"/>
    <w:rsid w:val="00A26AF6"/>
    <w:rsid w:val="00A26B90"/>
    <w:rsid w:val="00A2721F"/>
    <w:rsid w:val="00A27427"/>
    <w:rsid w:val="00A2756A"/>
    <w:rsid w:val="00A275C9"/>
    <w:rsid w:val="00A276BA"/>
    <w:rsid w:val="00A27AF6"/>
    <w:rsid w:val="00A27DAA"/>
    <w:rsid w:val="00A27EC1"/>
    <w:rsid w:val="00A30115"/>
    <w:rsid w:val="00A3024C"/>
    <w:rsid w:val="00A304E9"/>
    <w:rsid w:val="00A30B59"/>
    <w:rsid w:val="00A30B7D"/>
    <w:rsid w:val="00A30C5B"/>
    <w:rsid w:val="00A30F72"/>
    <w:rsid w:val="00A310C6"/>
    <w:rsid w:val="00A310D1"/>
    <w:rsid w:val="00A312FB"/>
    <w:rsid w:val="00A313E4"/>
    <w:rsid w:val="00A3196C"/>
    <w:rsid w:val="00A31AA6"/>
    <w:rsid w:val="00A31AF6"/>
    <w:rsid w:val="00A31B81"/>
    <w:rsid w:val="00A320E4"/>
    <w:rsid w:val="00A321B8"/>
    <w:rsid w:val="00A3263E"/>
    <w:rsid w:val="00A32AAD"/>
    <w:rsid w:val="00A32C24"/>
    <w:rsid w:val="00A330CA"/>
    <w:rsid w:val="00A33117"/>
    <w:rsid w:val="00A33167"/>
    <w:rsid w:val="00A33517"/>
    <w:rsid w:val="00A338AB"/>
    <w:rsid w:val="00A33B0E"/>
    <w:rsid w:val="00A34581"/>
    <w:rsid w:val="00A34BEA"/>
    <w:rsid w:val="00A34C49"/>
    <w:rsid w:val="00A34D9A"/>
    <w:rsid w:val="00A34DA7"/>
    <w:rsid w:val="00A34F5A"/>
    <w:rsid w:val="00A34FC6"/>
    <w:rsid w:val="00A3532A"/>
    <w:rsid w:val="00A3539F"/>
    <w:rsid w:val="00A3542C"/>
    <w:rsid w:val="00A3586B"/>
    <w:rsid w:val="00A359FE"/>
    <w:rsid w:val="00A35BB3"/>
    <w:rsid w:val="00A35C01"/>
    <w:rsid w:val="00A35D72"/>
    <w:rsid w:val="00A35F22"/>
    <w:rsid w:val="00A36291"/>
    <w:rsid w:val="00A36467"/>
    <w:rsid w:val="00A36479"/>
    <w:rsid w:val="00A369CD"/>
    <w:rsid w:val="00A36BE7"/>
    <w:rsid w:val="00A36FC1"/>
    <w:rsid w:val="00A370C5"/>
    <w:rsid w:val="00A374C0"/>
    <w:rsid w:val="00A377A5"/>
    <w:rsid w:val="00A379ED"/>
    <w:rsid w:val="00A37B7E"/>
    <w:rsid w:val="00A37CC4"/>
    <w:rsid w:val="00A37DA9"/>
    <w:rsid w:val="00A40263"/>
    <w:rsid w:val="00A403A2"/>
    <w:rsid w:val="00A4075B"/>
    <w:rsid w:val="00A40A63"/>
    <w:rsid w:val="00A40A69"/>
    <w:rsid w:val="00A40FC4"/>
    <w:rsid w:val="00A415FF"/>
    <w:rsid w:val="00A41707"/>
    <w:rsid w:val="00A417DD"/>
    <w:rsid w:val="00A41950"/>
    <w:rsid w:val="00A41A9E"/>
    <w:rsid w:val="00A42420"/>
    <w:rsid w:val="00A42516"/>
    <w:rsid w:val="00A428B0"/>
    <w:rsid w:val="00A4291F"/>
    <w:rsid w:val="00A42991"/>
    <w:rsid w:val="00A42A5B"/>
    <w:rsid w:val="00A42EAD"/>
    <w:rsid w:val="00A42FC2"/>
    <w:rsid w:val="00A430DC"/>
    <w:rsid w:val="00A43554"/>
    <w:rsid w:val="00A43575"/>
    <w:rsid w:val="00A4463F"/>
    <w:rsid w:val="00A4464E"/>
    <w:rsid w:val="00A4470D"/>
    <w:rsid w:val="00A44767"/>
    <w:rsid w:val="00A448C3"/>
    <w:rsid w:val="00A44C50"/>
    <w:rsid w:val="00A44D1E"/>
    <w:rsid w:val="00A450CC"/>
    <w:rsid w:val="00A4551B"/>
    <w:rsid w:val="00A45544"/>
    <w:rsid w:val="00A4571B"/>
    <w:rsid w:val="00A45A70"/>
    <w:rsid w:val="00A45A7E"/>
    <w:rsid w:val="00A4615F"/>
    <w:rsid w:val="00A461A9"/>
    <w:rsid w:val="00A461C2"/>
    <w:rsid w:val="00A46209"/>
    <w:rsid w:val="00A463E2"/>
    <w:rsid w:val="00A464E6"/>
    <w:rsid w:val="00A46A84"/>
    <w:rsid w:val="00A46D3B"/>
    <w:rsid w:val="00A46DD1"/>
    <w:rsid w:val="00A47192"/>
    <w:rsid w:val="00A472F5"/>
    <w:rsid w:val="00A47663"/>
    <w:rsid w:val="00A4784A"/>
    <w:rsid w:val="00A50193"/>
    <w:rsid w:val="00A501C7"/>
    <w:rsid w:val="00A5071D"/>
    <w:rsid w:val="00A5084A"/>
    <w:rsid w:val="00A50BE7"/>
    <w:rsid w:val="00A50C99"/>
    <w:rsid w:val="00A50EC2"/>
    <w:rsid w:val="00A51038"/>
    <w:rsid w:val="00A511C7"/>
    <w:rsid w:val="00A512FB"/>
    <w:rsid w:val="00A5163B"/>
    <w:rsid w:val="00A51761"/>
    <w:rsid w:val="00A51C95"/>
    <w:rsid w:val="00A52003"/>
    <w:rsid w:val="00A52237"/>
    <w:rsid w:val="00A522DC"/>
    <w:rsid w:val="00A52359"/>
    <w:rsid w:val="00A5248A"/>
    <w:rsid w:val="00A5259B"/>
    <w:rsid w:val="00A526AF"/>
    <w:rsid w:val="00A52838"/>
    <w:rsid w:val="00A52EBF"/>
    <w:rsid w:val="00A5318D"/>
    <w:rsid w:val="00A531E6"/>
    <w:rsid w:val="00A53326"/>
    <w:rsid w:val="00A53442"/>
    <w:rsid w:val="00A53D24"/>
    <w:rsid w:val="00A53FA3"/>
    <w:rsid w:val="00A54101"/>
    <w:rsid w:val="00A5444A"/>
    <w:rsid w:val="00A545ED"/>
    <w:rsid w:val="00A54608"/>
    <w:rsid w:val="00A546E1"/>
    <w:rsid w:val="00A547DB"/>
    <w:rsid w:val="00A54A11"/>
    <w:rsid w:val="00A54A58"/>
    <w:rsid w:val="00A54C36"/>
    <w:rsid w:val="00A54CA7"/>
    <w:rsid w:val="00A54D14"/>
    <w:rsid w:val="00A54DF2"/>
    <w:rsid w:val="00A54E8F"/>
    <w:rsid w:val="00A54F37"/>
    <w:rsid w:val="00A552F8"/>
    <w:rsid w:val="00A553F7"/>
    <w:rsid w:val="00A55EA1"/>
    <w:rsid w:val="00A56154"/>
    <w:rsid w:val="00A56909"/>
    <w:rsid w:val="00A56990"/>
    <w:rsid w:val="00A56E19"/>
    <w:rsid w:val="00A5703A"/>
    <w:rsid w:val="00A5722F"/>
    <w:rsid w:val="00A57391"/>
    <w:rsid w:val="00A57523"/>
    <w:rsid w:val="00A5785A"/>
    <w:rsid w:val="00A57E31"/>
    <w:rsid w:val="00A57F85"/>
    <w:rsid w:val="00A57F8A"/>
    <w:rsid w:val="00A602EA"/>
    <w:rsid w:val="00A6038A"/>
    <w:rsid w:val="00A60B04"/>
    <w:rsid w:val="00A60CEC"/>
    <w:rsid w:val="00A60FDD"/>
    <w:rsid w:val="00A6111E"/>
    <w:rsid w:val="00A618DE"/>
    <w:rsid w:val="00A6227A"/>
    <w:rsid w:val="00A62387"/>
    <w:rsid w:val="00A62418"/>
    <w:rsid w:val="00A625D9"/>
    <w:rsid w:val="00A626A8"/>
    <w:rsid w:val="00A62B7F"/>
    <w:rsid w:val="00A62E41"/>
    <w:rsid w:val="00A62EAD"/>
    <w:rsid w:val="00A6380B"/>
    <w:rsid w:val="00A63A32"/>
    <w:rsid w:val="00A63AAC"/>
    <w:rsid w:val="00A64780"/>
    <w:rsid w:val="00A64836"/>
    <w:rsid w:val="00A64BCF"/>
    <w:rsid w:val="00A64C51"/>
    <w:rsid w:val="00A64C76"/>
    <w:rsid w:val="00A64D1F"/>
    <w:rsid w:val="00A64D31"/>
    <w:rsid w:val="00A64E6C"/>
    <w:rsid w:val="00A64EAD"/>
    <w:rsid w:val="00A65138"/>
    <w:rsid w:val="00A651BB"/>
    <w:rsid w:val="00A65271"/>
    <w:rsid w:val="00A653DC"/>
    <w:rsid w:val="00A65761"/>
    <w:rsid w:val="00A6578B"/>
    <w:rsid w:val="00A65A68"/>
    <w:rsid w:val="00A65A98"/>
    <w:rsid w:val="00A6610A"/>
    <w:rsid w:val="00A662A6"/>
    <w:rsid w:val="00A66642"/>
    <w:rsid w:val="00A668EF"/>
    <w:rsid w:val="00A6694B"/>
    <w:rsid w:val="00A66CA7"/>
    <w:rsid w:val="00A66DA1"/>
    <w:rsid w:val="00A67791"/>
    <w:rsid w:val="00A6789E"/>
    <w:rsid w:val="00A6794C"/>
    <w:rsid w:val="00A67950"/>
    <w:rsid w:val="00A67B98"/>
    <w:rsid w:val="00A67F13"/>
    <w:rsid w:val="00A67F55"/>
    <w:rsid w:val="00A700AC"/>
    <w:rsid w:val="00A7048B"/>
    <w:rsid w:val="00A70783"/>
    <w:rsid w:val="00A70821"/>
    <w:rsid w:val="00A709B5"/>
    <w:rsid w:val="00A70A57"/>
    <w:rsid w:val="00A70A9C"/>
    <w:rsid w:val="00A70D33"/>
    <w:rsid w:val="00A71258"/>
    <w:rsid w:val="00A712D6"/>
    <w:rsid w:val="00A714F4"/>
    <w:rsid w:val="00A71645"/>
    <w:rsid w:val="00A7168E"/>
    <w:rsid w:val="00A717E8"/>
    <w:rsid w:val="00A71B79"/>
    <w:rsid w:val="00A71DB2"/>
    <w:rsid w:val="00A71EEF"/>
    <w:rsid w:val="00A72856"/>
    <w:rsid w:val="00A729AD"/>
    <w:rsid w:val="00A729D5"/>
    <w:rsid w:val="00A72C68"/>
    <w:rsid w:val="00A72C77"/>
    <w:rsid w:val="00A73103"/>
    <w:rsid w:val="00A7361C"/>
    <w:rsid w:val="00A7387A"/>
    <w:rsid w:val="00A73885"/>
    <w:rsid w:val="00A7391A"/>
    <w:rsid w:val="00A73A08"/>
    <w:rsid w:val="00A73A56"/>
    <w:rsid w:val="00A73D59"/>
    <w:rsid w:val="00A742C8"/>
    <w:rsid w:val="00A743DC"/>
    <w:rsid w:val="00A744DA"/>
    <w:rsid w:val="00A7454A"/>
    <w:rsid w:val="00A74894"/>
    <w:rsid w:val="00A74CAF"/>
    <w:rsid w:val="00A74E63"/>
    <w:rsid w:val="00A75BF7"/>
    <w:rsid w:val="00A75C24"/>
    <w:rsid w:val="00A75E87"/>
    <w:rsid w:val="00A75F1B"/>
    <w:rsid w:val="00A76136"/>
    <w:rsid w:val="00A76149"/>
    <w:rsid w:val="00A765B3"/>
    <w:rsid w:val="00A767B5"/>
    <w:rsid w:val="00A767DC"/>
    <w:rsid w:val="00A7694C"/>
    <w:rsid w:val="00A76B10"/>
    <w:rsid w:val="00A76B4C"/>
    <w:rsid w:val="00A76F0C"/>
    <w:rsid w:val="00A76FCE"/>
    <w:rsid w:val="00A77003"/>
    <w:rsid w:val="00A77495"/>
    <w:rsid w:val="00A7757D"/>
    <w:rsid w:val="00A77BB6"/>
    <w:rsid w:val="00A77CA9"/>
    <w:rsid w:val="00A77E2E"/>
    <w:rsid w:val="00A77E52"/>
    <w:rsid w:val="00A8058F"/>
    <w:rsid w:val="00A8096E"/>
    <w:rsid w:val="00A80C1B"/>
    <w:rsid w:val="00A80C90"/>
    <w:rsid w:val="00A80CC7"/>
    <w:rsid w:val="00A80D70"/>
    <w:rsid w:val="00A81173"/>
    <w:rsid w:val="00A8156F"/>
    <w:rsid w:val="00A818DD"/>
    <w:rsid w:val="00A81BA2"/>
    <w:rsid w:val="00A81DB3"/>
    <w:rsid w:val="00A820B3"/>
    <w:rsid w:val="00A8215E"/>
    <w:rsid w:val="00A82376"/>
    <w:rsid w:val="00A82840"/>
    <w:rsid w:val="00A829C8"/>
    <w:rsid w:val="00A82DC5"/>
    <w:rsid w:val="00A82EB5"/>
    <w:rsid w:val="00A82F2C"/>
    <w:rsid w:val="00A8313A"/>
    <w:rsid w:val="00A8324A"/>
    <w:rsid w:val="00A83279"/>
    <w:rsid w:val="00A832E0"/>
    <w:rsid w:val="00A835EE"/>
    <w:rsid w:val="00A837EB"/>
    <w:rsid w:val="00A83909"/>
    <w:rsid w:val="00A839C4"/>
    <w:rsid w:val="00A84596"/>
    <w:rsid w:val="00A847FC"/>
    <w:rsid w:val="00A84B9C"/>
    <w:rsid w:val="00A84E7A"/>
    <w:rsid w:val="00A84F3D"/>
    <w:rsid w:val="00A85133"/>
    <w:rsid w:val="00A85194"/>
    <w:rsid w:val="00A85398"/>
    <w:rsid w:val="00A8544E"/>
    <w:rsid w:val="00A855FC"/>
    <w:rsid w:val="00A856E4"/>
    <w:rsid w:val="00A85BFC"/>
    <w:rsid w:val="00A85D8B"/>
    <w:rsid w:val="00A85DC0"/>
    <w:rsid w:val="00A86224"/>
    <w:rsid w:val="00A8631E"/>
    <w:rsid w:val="00A86343"/>
    <w:rsid w:val="00A86668"/>
    <w:rsid w:val="00A86CD2"/>
    <w:rsid w:val="00A86E82"/>
    <w:rsid w:val="00A872A0"/>
    <w:rsid w:val="00A87334"/>
    <w:rsid w:val="00A875D8"/>
    <w:rsid w:val="00A87ACA"/>
    <w:rsid w:val="00A87C38"/>
    <w:rsid w:val="00A905B9"/>
    <w:rsid w:val="00A90739"/>
    <w:rsid w:val="00A90983"/>
    <w:rsid w:val="00A90F48"/>
    <w:rsid w:val="00A910D6"/>
    <w:rsid w:val="00A9118F"/>
    <w:rsid w:val="00A91BFE"/>
    <w:rsid w:val="00A91C41"/>
    <w:rsid w:val="00A91EAF"/>
    <w:rsid w:val="00A9208E"/>
    <w:rsid w:val="00A92492"/>
    <w:rsid w:val="00A927F0"/>
    <w:rsid w:val="00A92A5B"/>
    <w:rsid w:val="00A92BCF"/>
    <w:rsid w:val="00A92D45"/>
    <w:rsid w:val="00A93156"/>
    <w:rsid w:val="00A93542"/>
    <w:rsid w:val="00A936C2"/>
    <w:rsid w:val="00A9381B"/>
    <w:rsid w:val="00A93AE9"/>
    <w:rsid w:val="00A93E64"/>
    <w:rsid w:val="00A93F18"/>
    <w:rsid w:val="00A9443A"/>
    <w:rsid w:val="00A94657"/>
    <w:rsid w:val="00A94781"/>
    <w:rsid w:val="00A94D3A"/>
    <w:rsid w:val="00A94F1F"/>
    <w:rsid w:val="00A95393"/>
    <w:rsid w:val="00A95668"/>
    <w:rsid w:val="00A95786"/>
    <w:rsid w:val="00A958A4"/>
    <w:rsid w:val="00A958BE"/>
    <w:rsid w:val="00A95A16"/>
    <w:rsid w:val="00A95D62"/>
    <w:rsid w:val="00A9608B"/>
    <w:rsid w:val="00A9640E"/>
    <w:rsid w:val="00A9648A"/>
    <w:rsid w:val="00A964D6"/>
    <w:rsid w:val="00A96952"/>
    <w:rsid w:val="00A97252"/>
    <w:rsid w:val="00A97425"/>
    <w:rsid w:val="00A9764F"/>
    <w:rsid w:val="00A9779E"/>
    <w:rsid w:val="00A97D1B"/>
    <w:rsid w:val="00A97F61"/>
    <w:rsid w:val="00AA077E"/>
    <w:rsid w:val="00AA0AA7"/>
    <w:rsid w:val="00AA0CDA"/>
    <w:rsid w:val="00AA0CE7"/>
    <w:rsid w:val="00AA0D6B"/>
    <w:rsid w:val="00AA0E7C"/>
    <w:rsid w:val="00AA0F48"/>
    <w:rsid w:val="00AA102C"/>
    <w:rsid w:val="00AA111D"/>
    <w:rsid w:val="00AA11AF"/>
    <w:rsid w:val="00AA1279"/>
    <w:rsid w:val="00AA12ED"/>
    <w:rsid w:val="00AA15B1"/>
    <w:rsid w:val="00AA19DC"/>
    <w:rsid w:val="00AA1B18"/>
    <w:rsid w:val="00AA1F0D"/>
    <w:rsid w:val="00AA1F45"/>
    <w:rsid w:val="00AA2190"/>
    <w:rsid w:val="00AA2272"/>
    <w:rsid w:val="00AA2483"/>
    <w:rsid w:val="00AA24E6"/>
    <w:rsid w:val="00AA366D"/>
    <w:rsid w:val="00AA367E"/>
    <w:rsid w:val="00AA37F9"/>
    <w:rsid w:val="00AA3A0D"/>
    <w:rsid w:val="00AA3C6F"/>
    <w:rsid w:val="00AA3EB1"/>
    <w:rsid w:val="00AA402E"/>
    <w:rsid w:val="00AA4D94"/>
    <w:rsid w:val="00AA5074"/>
    <w:rsid w:val="00AA541C"/>
    <w:rsid w:val="00AA58A4"/>
    <w:rsid w:val="00AA5A87"/>
    <w:rsid w:val="00AA5C4D"/>
    <w:rsid w:val="00AA5F80"/>
    <w:rsid w:val="00AA62FA"/>
    <w:rsid w:val="00AA6361"/>
    <w:rsid w:val="00AA6A08"/>
    <w:rsid w:val="00AA6BDC"/>
    <w:rsid w:val="00AA6E2D"/>
    <w:rsid w:val="00AA6EF3"/>
    <w:rsid w:val="00AA73A3"/>
    <w:rsid w:val="00AA7937"/>
    <w:rsid w:val="00AA79E6"/>
    <w:rsid w:val="00AA7BD5"/>
    <w:rsid w:val="00AA7CD9"/>
    <w:rsid w:val="00AA7E2D"/>
    <w:rsid w:val="00AB0283"/>
    <w:rsid w:val="00AB02E9"/>
    <w:rsid w:val="00AB042B"/>
    <w:rsid w:val="00AB08D0"/>
    <w:rsid w:val="00AB0CD3"/>
    <w:rsid w:val="00AB0D91"/>
    <w:rsid w:val="00AB124A"/>
    <w:rsid w:val="00AB1A38"/>
    <w:rsid w:val="00AB20A1"/>
    <w:rsid w:val="00AB235D"/>
    <w:rsid w:val="00AB2755"/>
    <w:rsid w:val="00AB2933"/>
    <w:rsid w:val="00AB29C2"/>
    <w:rsid w:val="00AB2CDD"/>
    <w:rsid w:val="00AB3235"/>
    <w:rsid w:val="00AB3948"/>
    <w:rsid w:val="00AB39F7"/>
    <w:rsid w:val="00AB3C2B"/>
    <w:rsid w:val="00AB3D08"/>
    <w:rsid w:val="00AB3D96"/>
    <w:rsid w:val="00AB419C"/>
    <w:rsid w:val="00AB4269"/>
    <w:rsid w:val="00AB48B2"/>
    <w:rsid w:val="00AB4E04"/>
    <w:rsid w:val="00AB4ED0"/>
    <w:rsid w:val="00AB4F3D"/>
    <w:rsid w:val="00AB5819"/>
    <w:rsid w:val="00AB582F"/>
    <w:rsid w:val="00AB5948"/>
    <w:rsid w:val="00AB604B"/>
    <w:rsid w:val="00AB6256"/>
    <w:rsid w:val="00AB6E0F"/>
    <w:rsid w:val="00AB6F37"/>
    <w:rsid w:val="00AB78AF"/>
    <w:rsid w:val="00AB7B10"/>
    <w:rsid w:val="00AC0F29"/>
    <w:rsid w:val="00AC10FE"/>
    <w:rsid w:val="00AC14A4"/>
    <w:rsid w:val="00AC150A"/>
    <w:rsid w:val="00AC2057"/>
    <w:rsid w:val="00AC20C1"/>
    <w:rsid w:val="00AC22EF"/>
    <w:rsid w:val="00AC239A"/>
    <w:rsid w:val="00AC2633"/>
    <w:rsid w:val="00AC2CBD"/>
    <w:rsid w:val="00AC2E7F"/>
    <w:rsid w:val="00AC2F15"/>
    <w:rsid w:val="00AC2F79"/>
    <w:rsid w:val="00AC3090"/>
    <w:rsid w:val="00AC31A6"/>
    <w:rsid w:val="00AC3B00"/>
    <w:rsid w:val="00AC3E06"/>
    <w:rsid w:val="00AC3F89"/>
    <w:rsid w:val="00AC4195"/>
    <w:rsid w:val="00AC42D5"/>
    <w:rsid w:val="00AC4552"/>
    <w:rsid w:val="00AC4647"/>
    <w:rsid w:val="00AC4657"/>
    <w:rsid w:val="00AC4AAE"/>
    <w:rsid w:val="00AC4BAF"/>
    <w:rsid w:val="00AC4D2D"/>
    <w:rsid w:val="00AC5147"/>
    <w:rsid w:val="00AC56E5"/>
    <w:rsid w:val="00AC59D1"/>
    <w:rsid w:val="00AC5B3A"/>
    <w:rsid w:val="00AC5CAF"/>
    <w:rsid w:val="00AC5CC0"/>
    <w:rsid w:val="00AC5F01"/>
    <w:rsid w:val="00AC5F6F"/>
    <w:rsid w:val="00AC60C2"/>
    <w:rsid w:val="00AC664B"/>
    <w:rsid w:val="00AC6C61"/>
    <w:rsid w:val="00AC6D20"/>
    <w:rsid w:val="00AC6D34"/>
    <w:rsid w:val="00AC6FA5"/>
    <w:rsid w:val="00AC7213"/>
    <w:rsid w:val="00AC72B1"/>
    <w:rsid w:val="00AC7377"/>
    <w:rsid w:val="00AC762B"/>
    <w:rsid w:val="00AC762E"/>
    <w:rsid w:val="00AC7697"/>
    <w:rsid w:val="00AC7D6F"/>
    <w:rsid w:val="00AC7E61"/>
    <w:rsid w:val="00AC7E6F"/>
    <w:rsid w:val="00AD0171"/>
    <w:rsid w:val="00AD031F"/>
    <w:rsid w:val="00AD0391"/>
    <w:rsid w:val="00AD04A2"/>
    <w:rsid w:val="00AD0724"/>
    <w:rsid w:val="00AD089E"/>
    <w:rsid w:val="00AD0980"/>
    <w:rsid w:val="00AD0BFE"/>
    <w:rsid w:val="00AD1081"/>
    <w:rsid w:val="00AD116F"/>
    <w:rsid w:val="00AD1846"/>
    <w:rsid w:val="00AD19B4"/>
    <w:rsid w:val="00AD1AE6"/>
    <w:rsid w:val="00AD1F95"/>
    <w:rsid w:val="00AD2293"/>
    <w:rsid w:val="00AD2362"/>
    <w:rsid w:val="00AD2458"/>
    <w:rsid w:val="00AD254A"/>
    <w:rsid w:val="00AD294D"/>
    <w:rsid w:val="00AD2CB4"/>
    <w:rsid w:val="00AD331D"/>
    <w:rsid w:val="00AD33E4"/>
    <w:rsid w:val="00AD3C8C"/>
    <w:rsid w:val="00AD3E2A"/>
    <w:rsid w:val="00AD4094"/>
    <w:rsid w:val="00AD450D"/>
    <w:rsid w:val="00AD481F"/>
    <w:rsid w:val="00AD4D27"/>
    <w:rsid w:val="00AD4E50"/>
    <w:rsid w:val="00AD4E9C"/>
    <w:rsid w:val="00AD4FCC"/>
    <w:rsid w:val="00AD5232"/>
    <w:rsid w:val="00AD52CC"/>
    <w:rsid w:val="00AD565A"/>
    <w:rsid w:val="00AD567F"/>
    <w:rsid w:val="00AD5771"/>
    <w:rsid w:val="00AD59C1"/>
    <w:rsid w:val="00AD5B10"/>
    <w:rsid w:val="00AD5B7F"/>
    <w:rsid w:val="00AD5DFF"/>
    <w:rsid w:val="00AD5F5A"/>
    <w:rsid w:val="00AD62B7"/>
    <w:rsid w:val="00AD6578"/>
    <w:rsid w:val="00AD6579"/>
    <w:rsid w:val="00AD6702"/>
    <w:rsid w:val="00AD6726"/>
    <w:rsid w:val="00AD67A7"/>
    <w:rsid w:val="00AD6849"/>
    <w:rsid w:val="00AD6865"/>
    <w:rsid w:val="00AD6CE1"/>
    <w:rsid w:val="00AD6D94"/>
    <w:rsid w:val="00AD6DC3"/>
    <w:rsid w:val="00AD7162"/>
    <w:rsid w:val="00AD73F0"/>
    <w:rsid w:val="00AD74B9"/>
    <w:rsid w:val="00AD7597"/>
    <w:rsid w:val="00AD75DC"/>
    <w:rsid w:val="00AD7683"/>
    <w:rsid w:val="00AD7836"/>
    <w:rsid w:val="00AD7D93"/>
    <w:rsid w:val="00AE00B7"/>
    <w:rsid w:val="00AE0108"/>
    <w:rsid w:val="00AE01D0"/>
    <w:rsid w:val="00AE031F"/>
    <w:rsid w:val="00AE0A52"/>
    <w:rsid w:val="00AE1386"/>
    <w:rsid w:val="00AE16BE"/>
    <w:rsid w:val="00AE1AEA"/>
    <w:rsid w:val="00AE20D7"/>
    <w:rsid w:val="00AE24E2"/>
    <w:rsid w:val="00AE2723"/>
    <w:rsid w:val="00AE2899"/>
    <w:rsid w:val="00AE2C0E"/>
    <w:rsid w:val="00AE2C6F"/>
    <w:rsid w:val="00AE2DF8"/>
    <w:rsid w:val="00AE3052"/>
    <w:rsid w:val="00AE314F"/>
    <w:rsid w:val="00AE347A"/>
    <w:rsid w:val="00AE34D2"/>
    <w:rsid w:val="00AE3775"/>
    <w:rsid w:val="00AE3A13"/>
    <w:rsid w:val="00AE3D46"/>
    <w:rsid w:val="00AE3E9D"/>
    <w:rsid w:val="00AE40F6"/>
    <w:rsid w:val="00AE460D"/>
    <w:rsid w:val="00AE48EF"/>
    <w:rsid w:val="00AE4BE8"/>
    <w:rsid w:val="00AE52D8"/>
    <w:rsid w:val="00AE54FB"/>
    <w:rsid w:val="00AE5549"/>
    <w:rsid w:val="00AE5B70"/>
    <w:rsid w:val="00AE62D5"/>
    <w:rsid w:val="00AE67A9"/>
    <w:rsid w:val="00AE67D9"/>
    <w:rsid w:val="00AE700D"/>
    <w:rsid w:val="00AE73BD"/>
    <w:rsid w:val="00AE7591"/>
    <w:rsid w:val="00AE7664"/>
    <w:rsid w:val="00AE7767"/>
    <w:rsid w:val="00AE7D89"/>
    <w:rsid w:val="00AE7FD2"/>
    <w:rsid w:val="00AF00A7"/>
    <w:rsid w:val="00AF0178"/>
    <w:rsid w:val="00AF01D3"/>
    <w:rsid w:val="00AF06CB"/>
    <w:rsid w:val="00AF1047"/>
    <w:rsid w:val="00AF1467"/>
    <w:rsid w:val="00AF148C"/>
    <w:rsid w:val="00AF1762"/>
    <w:rsid w:val="00AF1797"/>
    <w:rsid w:val="00AF1A39"/>
    <w:rsid w:val="00AF1DAA"/>
    <w:rsid w:val="00AF1F75"/>
    <w:rsid w:val="00AF24CB"/>
    <w:rsid w:val="00AF263E"/>
    <w:rsid w:val="00AF2856"/>
    <w:rsid w:val="00AF2E52"/>
    <w:rsid w:val="00AF301E"/>
    <w:rsid w:val="00AF3303"/>
    <w:rsid w:val="00AF3444"/>
    <w:rsid w:val="00AF3733"/>
    <w:rsid w:val="00AF3C78"/>
    <w:rsid w:val="00AF3FFB"/>
    <w:rsid w:val="00AF418B"/>
    <w:rsid w:val="00AF4222"/>
    <w:rsid w:val="00AF459A"/>
    <w:rsid w:val="00AF4638"/>
    <w:rsid w:val="00AF46E8"/>
    <w:rsid w:val="00AF4716"/>
    <w:rsid w:val="00AF477E"/>
    <w:rsid w:val="00AF4C1A"/>
    <w:rsid w:val="00AF4FB8"/>
    <w:rsid w:val="00AF515D"/>
    <w:rsid w:val="00AF5952"/>
    <w:rsid w:val="00AF59B7"/>
    <w:rsid w:val="00AF5C68"/>
    <w:rsid w:val="00AF5CA2"/>
    <w:rsid w:val="00AF5DCE"/>
    <w:rsid w:val="00AF5F73"/>
    <w:rsid w:val="00AF6203"/>
    <w:rsid w:val="00AF650D"/>
    <w:rsid w:val="00AF6657"/>
    <w:rsid w:val="00AF6840"/>
    <w:rsid w:val="00AF6A4E"/>
    <w:rsid w:val="00AF6F8D"/>
    <w:rsid w:val="00AF7179"/>
    <w:rsid w:val="00AF7512"/>
    <w:rsid w:val="00AF75AC"/>
    <w:rsid w:val="00AF79BC"/>
    <w:rsid w:val="00AF7A23"/>
    <w:rsid w:val="00AF7A26"/>
    <w:rsid w:val="00AF7B9E"/>
    <w:rsid w:val="00B00323"/>
    <w:rsid w:val="00B009E4"/>
    <w:rsid w:val="00B00A64"/>
    <w:rsid w:val="00B00D82"/>
    <w:rsid w:val="00B00DBF"/>
    <w:rsid w:val="00B00DED"/>
    <w:rsid w:val="00B01403"/>
    <w:rsid w:val="00B01722"/>
    <w:rsid w:val="00B0176B"/>
    <w:rsid w:val="00B017FC"/>
    <w:rsid w:val="00B01C62"/>
    <w:rsid w:val="00B01C6A"/>
    <w:rsid w:val="00B01D32"/>
    <w:rsid w:val="00B025AC"/>
    <w:rsid w:val="00B026BC"/>
    <w:rsid w:val="00B028CF"/>
    <w:rsid w:val="00B02904"/>
    <w:rsid w:val="00B029DB"/>
    <w:rsid w:val="00B029DF"/>
    <w:rsid w:val="00B03190"/>
    <w:rsid w:val="00B03286"/>
    <w:rsid w:val="00B034CE"/>
    <w:rsid w:val="00B0358C"/>
    <w:rsid w:val="00B03BE3"/>
    <w:rsid w:val="00B042C8"/>
    <w:rsid w:val="00B045C1"/>
    <w:rsid w:val="00B0486C"/>
    <w:rsid w:val="00B04A17"/>
    <w:rsid w:val="00B04A9C"/>
    <w:rsid w:val="00B04BA5"/>
    <w:rsid w:val="00B05023"/>
    <w:rsid w:val="00B05217"/>
    <w:rsid w:val="00B05403"/>
    <w:rsid w:val="00B05694"/>
    <w:rsid w:val="00B05696"/>
    <w:rsid w:val="00B05850"/>
    <w:rsid w:val="00B05BDA"/>
    <w:rsid w:val="00B05FE9"/>
    <w:rsid w:val="00B0611F"/>
    <w:rsid w:val="00B063B6"/>
    <w:rsid w:val="00B0658A"/>
    <w:rsid w:val="00B06CE8"/>
    <w:rsid w:val="00B06E05"/>
    <w:rsid w:val="00B06F04"/>
    <w:rsid w:val="00B06F3B"/>
    <w:rsid w:val="00B07413"/>
    <w:rsid w:val="00B0744C"/>
    <w:rsid w:val="00B0790B"/>
    <w:rsid w:val="00B07DAA"/>
    <w:rsid w:val="00B105F2"/>
    <w:rsid w:val="00B1065E"/>
    <w:rsid w:val="00B106D1"/>
    <w:rsid w:val="00B10897"/>
    <w:rsid w:val="00B10C29"/>
    <w:rsid w:val="00B10D14"/>
    <w:rsid w:val="00B10E76"/>
    <w:rsid w:val="00B10ECE"/>
    <w:rsid w:val="00B1100C"/>
    <w:rsid w:val="00B113B5"/>
    <w:rsid w:val="00B114E7"/>
    <w:rsid w:val="00B11679"/>
    <w:rsid w:val="00B1189A"/>
    <w:rsid w:val="00B11B13"/>
    <w:rsid w:val="00B11BE6"/>
    <w:rsid w:val="00B11E95"/>
    <w:rsid w:val="00B1213C"/>
    <w:rsid w:val="00B12195"/>
    <w:rsid w:val="00B12ACD"/>
    <w:rsid w:val="00B12CFC"/>
    <w:rsid w:val="00B13107"/>
    <w:rsid w:val="00B13437"/>
    <w:rsid w:val="00B135CF"/>
    <w:rsid w:val="00B13D84"/>
    <w:rsid w:val="00B13E8E"/>
    <w:rsid w:val="00B14321"/>
    <w:rsid w:val="00B143BC"/>
    <w:rsid w:val="00B14849"/>
    <w:rsid w:val="00B14AF2"/>
    <w:rsid w:val="00B14C70"/>
    <w:rsid w:val="00B14DEB"/>
    <w:rsid w:val="00B15209"/>
    <w:rsid w:val="00B1525E"/>
    <w:rsid w:val="00B156EC"/>
    <w:rsid w:val="00B156F3"/>
    <w:rsid w:val="00B15A34"/>
    <w:rsid w:val="00B16230"/>
    <w:rsid w:val="00B1649F"/>
    <w:rsid w:val="00B16522"/>
    <w:rsid w:val="00B165E9"/>
    <w:rsid w:val="00B16C13"/>
    <w:rsid w:val="00B173D0"/>
    <w:rsid w:val="00B17D4D"/>
    <w:rsid w:val="00B17EDF"/>
    <w:rsid w:val="00B17F3D"/>
    <w:rsid w:val="00B17FA7"/>
    <w:rsid w:val="00B20103"/>
    <w:rsid w:val="00B20501"/>
    <w:rsid w:val="00B20533"/>
    <w:rsid w:val="00B2058D"/>
    <w:rsid w:val="00B20668"/>
    <w:rsid w:val="00B20A4A"/>
    <w:rsid w:val="00B20A84"/>
    <w:rsid w:val="00B21215"/>
    <w:rsid w:val="00B214BA"/>
    <w:rsid w:val="00B2179C"/>
    <w:rsid w:val="00B217AD"/>
    <w:rsid w:val="00B217BA"/>
    <w:rsid w:val="00B219A6"/>
    <w:rsid w:val="00B2211A"/>
    <w:rsid w:val="00B229F3"/>
    <w:rsid w:val="00B22A17"/>
    <w:rsid w:val="00B22C69"/>
    <w:rsid w:val="00B22E7B"/>
    <w:rsid w:val="00B233B5"/>
    <w:rsid w:val="00B234D2"/>
    <w:rsid w:val="00B23821"/>
    <w:rsid w:val="00B2386F"/>
    <w:rsid w:val="00B238EB"/>
    <w:rsid w:val="00B23BAD"/>
    <w:rsid w:val="00B23F79"/>
    <w:rsid w:val="00B23FB6"/>
    <w:rsid w:val="00B2404C"/>
    <w:rsid w:val="00B240BE"/>
    <w:rsid w:val="00B243B6"/>
    <w:rsid w:val="00B24566"/>
    <w:rsid w:val="00B245AB"/>
    <w:rsid w:val="00B24DF8"/>
    <w:rsid w:val="00B25132"/>
    <w:rsid w:val="00B25621"/>
    <w:rsid w:val="00B2562D"/>
    <w:rsid w:val="00B257AE"/>
    <w:rsid w:val="00B257B4"/>
    <w:rsid w:val="00B25D6A"/>
    <w:rsid w:val="00B260DA"/>
    <w:rsid w:val="00B26101"/>
    <w:rsid w:val="00B268C1"/>
    <w:rsid w:val="00B269BA"/>
    <w:rsid w:val="00B26A29"/>
    <w:rsid w:val="00B26C24"/>
    <w:rsid w:val="00B26C91"/>
    <w:rsid w:val="00B2718D"/>
    <w:rsid w:val="00B27494"/>
    <w:rsid w:val="00B2754A"/>
    <w:rsid w:val="00B279F6"/>
    <w:rsid w:val="00B27E7E"/>
    <w:rsid w:val="00B27FB0"/>
    <w:rsid w:val="00B30642"/>
    <w:rsid w:val="00B309AA"/>
    <w:rsid w:val="00B30F4E"/>
    <w:rsid w:val="00B3108B"/>
    <w:rsid w:val="00B31322"/>
    <w:rsid w:val="00B313DB"/>
    <w:rsid w:val="00B317C7"/>
    <w:rsid w:val="00B31AF6"/>
    <w:rsid w:val="00B31D9C"/>
    <w:rsid w:val="00B32086"/>
    <w:rsid w:val="00B320FA"/>
    <w:rsid w:val="00B328F2"/>
    <w:rsid w:val="00B32BD9"/>
    <w:rsid w:val="00B32D09"/>
    <w:rsid w:val="00B32EE4"/>
    <w:rsid w:val="00B32FE5"/>
    <w:rsid w:val="00B332AE"/>
    <w:rsid w:val="00B33430"/>
    <w:rsid w:val="00B3363F"/>
    <w:rsid w:val="00B3374C"/>
    <w:rsid w:val="00B338F6"/>
    <w:rsid w:val="00B33986"/>
    <w:rsid w:val="00B33E0A"/>
    <w:rsid w:val="00B348BC"/>
    <w:rsid w:val="00B34D56"/>
    <w:rsid w:val="00B35039"/>
    <w:rsid w:val="00B3523A"/>
    <w:rsid w:val="00B352F2"/>
    <w:rsid w:val="00B353DA"/>
    <w:rsid w:val="00B35445"/>
    <w:rsid w:val="00B357C4"/>
    <w:rsid w:val="00B357D5"/>
    <w:rsid w:val="00B35934"/>
    <w:rsid w:val="00B35963"/>
    <w:rsid w:val="00B35B9F"/>
    <w:rsid w:val="00B35C91"/>
    <w:rsid w:val="00B35D5D"/>
    <w:rsid w:val="00B36066"/>
    <w:rsid w:val="00B36240"/>
    <w:rsid w:val="00B362DD"/>
    <w:rsid w:val="00B36812"/>
    <w:rsid w:val="00B3695E"/>
    <w:rsid w:val="00B36DFE"/>
    <w:rsid w:val="00B3741B"/>
    <w:rsid w:val="00B374A6"/>
    <w:rsid w:val="00B377C4"/>
    <w:rsid w:val="00B37BB9"/>
    <w:rsid w:val="00B37BF3"/>
    <w:rsid w:val="00B37ECD"/>
    <w:rsid w:val="00B400F3"/>
    <w:rsid w:val="00B40171"/>
    <w:rsid w:val="00B4041B"/>
    <w:rsid w:val="00B40549"/>
    <w:rsid w:val="00B405A8"/>
    <w:rsid w:val="00B405BF"/>
    <w:rsid w:val="00B408F9"/>
    <w:rsid w:val="00B40A24"/>
    <w:rsid w:val="00B40B84"/>
    <w:rsid w:val="00B40D88"/>
    <w:rsid w:val="00B40FED"/>
    <w:rsid w:val="00B4107E"/>
    <w:rsid w:val="00B41121"/>
    <w:rsid w:val="00B41B0A"/>
    <w:rsid w:val="00B41D59"/>
    <w:rsid w:val="00B41F01"/>
    <w:rsid w:val="00B41FA9"/>
    <w:rsid w:val="00B4227C"/>
    <w:rsid w:val="00B42506"/>
    <w:rsid w:val="00B429C5"/>
    <w:rsid w:val="00B42D8A"/>
    <w:rsid w:val="00B42FA5"/>
    <w:rsid w:val="00B4339E"/>
    <w:rsid w:val="00B43561"/>
    <w:rsid w:val="00B43A70"/>
    <w:rsid w:val="00B4455B"/>
    <w:rsid w:val="00B44A83"/>
    <w:rsid w:val="00B44B44"/>
    <w:rsid w:val="00B44E2F"/>
    <w:rsid w:val="00B44F6B"/>
    <w:rsid w:val="00B44FEA"/>
    <w:rsid w:val="00B45061"/>
    <w:rsid w:val="00B45120"/>
    <w:rsid w:val="00B455BE"/>
    <w:rsid w:val="00B4584E"/>
    <w:rsid w:val="00B458D3"/>
    <w:rsid w:val="00B45997"/>
    <w:rsid w:val="00B45AB5"/>
    <w:rsid w:val="00B45B40"/>
    <w:rsid w:val="00B45BC5"/>
    <w:rsid w:val="00B45E9E"/>
    <w:rsid w:val="00B45ED2"/>
    <w:rsid w:val="00B45F46"/>
    <w:rsid w:val="00B45F6A"/>
    <w:rsid w:val="00B4645F"/>
    <w:rsid w:val="00B466D8"/>
    <w:rsid w:val="00B46B44"/>
    <w:rsid w:val="00B46D03"/>
    <w:rsid w:val="00B4756B"/>
    <w:rsid w:val="00B475D2"/>
    <w:rsid w:val="00B47757"/>
    <w:rsid w:val="00B478A1"/>
    <w:rsid w:val="00B47D6B"/>
    <w:rsid w:val="00B47E43"/>
    <w:rsid w:val="00B47E46"/>
    <w:rsid w:val="00B47ED6"/>
    <w:rsid w:val="00B5040E"/>
    <w:rsid w:val="00B504D6"/>
    <w:rsid w:val="00B508FD"/>
    <w:rsid w:val="00B50CCE"/>
    <w:rsid w:val="00B50D07"/>
    <w:rsid w:val="00B50D0E"/>
    <w:rsid w:val="00B50F48"/>
    <w:rsid w:val="00B51250"/>
    <w:rsid w:val="00B51369"/>
    <w:rsid w:val="00B5141C"/>
    <w:rsid w:val="00B515BD"/>
    <w:rsid w:val="00B51698"/>
    <w:rsid w:val="00B51777"/>
    <w:rsid w:val="00B51A63"/>
    <w:rsid w:val="00B51E23"/>
    <w:rsid w:val="00B51E9A"/>
    <w:rsid w:val="00B51F2F"/>
    <w:rsid w:val="00B520DB"/>
    <w:rsid w:val="00B5243E"/>
    <w:rsid w:val="00B52696"/>
    <w:rsid w:val="00B52844"/>
    <w:rsid w:val="00B5293C"/>
    <w:rsid w:val="00B52A63"/>
    <w:rsid w:val="00B52C69"/>
    <w:rsid w:val="00B52C8A"/>
    <w:rsid w:val="00B535FC"/>
    <w:rsid w:val="00B53D83"/>
    <w:rsid w:val="00B541B5"/>
    <w:rsid w:val="00B542E7"/>
    <w:rsid w:val="00B5441C"/>
    <w:rsid w:val="00B545C9"/>
    <w:rsid w:val="00B54641"/>
    <w:rsid w:val="00B548A5"/>
    <w:rsid w:val="00B548C2"/>
    <w:rsid w:val="00B549C3"/>
    <w:rsid w:val="00B54A6A"/>
    <w:rsid w:val="00B54DAF"/>
    <w:rsid w:val="00B54EFE"/>
    <w:rsid w:val="00B55133"/>
    <w:rsid w:val="00B551BF"/>
    <w:rsid w:val="00B5561A"/>
    <w:rsid w:val="00B557E9"/>
    <w:rsid w:val="00B55934"/>
    <w:rsid w:val="00B55FCA"/>
    <w:rsid w:val="00B56084"/>
    <w:rsid w:val="00B56422"/>
    <w:rsid w:val="00B5651A"/>
    <w:rsid w:val="00B566D9"/>
    <w:rsid w:val="00B56797"/>
    <w:rsid w:val="00B56A6D"/>
    <w:rsid w:val="00B56A8C"/>
    <w:rsid w:val="00B56BC4"/>
    <w:rsid w:val="00B56D9E"/>
    <w:rsid w:val="00B570AF"/>
    <w:rsid w:val="00B570B7"/>
    <w:rsid w:val="00B5734F"/>
    <w:rsid w:val="00B576C9"/>
    <w:rsid w:val="00B57939"/>
    <w:rsid w:val="00B57A7D"/>
    <w:rsid w:val="00B57A8E"/>
    <w:rsid w:val="00B57D4F"/>
    <w:rsid w:val="00B60461"/>
    <w:rsid w:val="00B608F9"/>
    <w:rsid w:val="00B60B7D"/>
    <w:rsid w:val="00B60C66"/>
    <w:rsid w:val="00B60EF5"/>
    <w:rsid w:val="00B6101B"/>
    <w:rsid w:val="00B6114E"/>
    <w:rsid w:val="00B616F4"/>
    <w:rsid w:val="00B61757"/>
    <w:rsid w:val="00B61863"/>
    <w:rsid w:val="00B61B70"/>
    <w:rsid w:val="00B61E11"/>
    <w:rsid w:val="00B620E5"/>
    <w:rsid w:val="00B6246E"/>
    <w:rsid w:val="00B6283D"/>
    <w:rsid w:val="00B62C3A"/>
    <w:rsid w:val="00B62F6B"/>
    <w:rsid w:val="00B63CFD"/>
    <w:rsid w:val="00B63D8E"/>
    <w:rsid w:val="00B64393"/>
    <w:rsid w:val="00B64E2A"/>
    <w:rsid w:val="00B64E80"/>
    <w:rsid w:val="00B64FC6"/>
    <w:rsid w:val="00B650BF"/>
    <w:rsid w:val="00B6520A"/>
    <w:rsid w:val="00B6565B"/>
    <w:rsid w:val="00B6568E"/>
    <w:rsid w:val="00B65782"/>
    <w:rsid w:val="00B657BA"/>
    <w:rsid w:val="00B657C7"/>
    <w:rsid w:val="00B65878"/>
    <w:rsid w:val="00B658DE"/>
    <w:rsid w:val="00B65CDA"/>
    <w:rsid w:val="00B660DC"/>
    <w:rsid w:val="00B66315"/>
    <w:rsid w:val="00B663E4"/>
    <w:rsid w:val="00B6642A"/>
    <w:rsid w:val="00B665F6"/>
    <w:rsid w:val="00B667AE"/>
    <w:rsid w:val="00B667C8"/>
    <w:rsid w:val="00B6697A"/>
    <w:rsid w:val="00B66ADB"/>
    <w:rsid w:val="00B66D79"/>
    <w:rsid w:val="00B66DCE"/>
    <w:rsid w:val="00B66E86"/>
    <w:rsid w:val="00B67778"/>
    <w:rsid w:val="00B677A6"/>
    <w:rsid w:val="00B67B5A"/>
    <w:rsid w:val="00B67C22"/>
    <w:rsid w:val="00B67C89"/>
    <w:rsid w:val="00B701D0"/>
    <w:rsid w:val="00B70646"/>
    <w:rsid w:val="00B70BFF"/>
    <w:rsid w:val="00B70D93"/>
    <w:rsid w:val="00B70E9D"/>
    <w:rsid w:val="00B713F1"/>
    <w:rsid w:val="00B71511"/>
    <w:rsid w:val="00B716B1"/>
    <w:rsid w:val="00B71A5A"/>
    <w:rsid w:val="00B71F3D"/>
    <w:rsid w:val="00B72174"/>
    <w:rsid w:val="00B724C8"/>
    <w:rsid w:val="00B72721"/>
    <w:rsid w:val="00B729F6"/>
    <w:rsid w:val="00B72AB6"/>
    <w:rsid w:val="00B7311E"/>
    <w:rsid w:val="00B73144"/>
    <w:rsid w:val="00B73167"/>
    <w:rsid w:val="00B73595"/>
    <w:rsid w:val="00B73864"/>
    <w:rsid w:val="00B73B9C"/>
    <w:rsid w:val="00B73BD5"/>
    <w:rsid w:val="00B73C9B"/>
    <w:rsid w:val="00B740C8"/>
    <w:rsid w:val="00B740C9"/>
    <w:rsid w:val="00B74125"/>
    <w:rsid w:val="00B7431A"/>
    <w:rsid w:val="00B74487"/>
    <w:rsid w:val="00B74623"/>
    <w:rsid w:val="00B74F54"/>
    <w:rsid w:val="00B75038"/>
    <w:rsid w:val="00B754F7"/>
    <w:rsid w:val="00B75631"/>
    <w:rsid w:val="00B75795"/>
    <w:rsid w:val="00B75A06"/>
    <w:rsid w:val="00B75B7E"/>
    <w:rsid w:val="00B75C04"/>
    <w:rsid w:val="00B75C07"/>
    <w:rsid w:val="00B75EA3"/>
    <w:rsid w:val="00B760D1"/>
    <w:rsid w:val="00B761A4"/>
    <w:rsid w:val="00B76F68"/>
    <w:rsid w:val="00B7730F"/>
    <w:rsid w:val="00B77BA5"/>
    <w:rsid w:val="00B8005C"/>
    <w:rsid w:val="00B80957"/>
    <w:rsid w:val="00B80E22"/>
    <w:rsid w:val="00B80E2B"/>
    <w:rsid w:val="00B80EB4"/>
    <w:rsid w:val="00B81343"/>
    <w:rsid w:val="00B813A8"/>
    <w:rsid w:val="00B8188B"/>
    <w:rsid w:val="00B82162"/>
    <w:rsid w:val="00B82252"/>
    <w:rsid w:val="00B82485"/>
    <w:rsid w:val="00B827D4"/>
    <w:rsid w:val="00B82824"/>
    <w:rsid w:val="00B8294F"/>
    <w:rsid w:val="00B829AE"/>
    <w:rsid w:val="00B82BC2"/>
    <w:rsid w:val="00B82C36"/>
    <w:rsid w:val="00B82E18"/>
    <w:rsid w:val="00B83692"/>
    <w:rsid w:val="00B8372D"/>
    <w:rsid w:val="00B8374E"/>
    <w:rsid w:val="00B83A8F"/>
    <w:rsid w:val="00B83B0D"/>
    <w:rsid w:val="00B83B97"/>
    <w:rsid w:val="00B84710"/>
    <w:rsid w:val="00B847F9"/>
    <w:rsid w:val="00B84876"/>
    <w:rsid w:val="00B84921"/>
    <w:rsid w:val="00B84E53"/>
    <w:rsid w:val="00B85424"/>
    <w:rsid w:val="00B8558C"/>
    <w:rsid w:val="00B858C3"/>
    <w:rsid w:val="00B85941"/>
    <w:rsid w:val="00B85BCF"/>
    <w:rsid w:val="00B85E54"/>
    <w:rsid w:val="00B860D4"/>
    <w:rsid w:val="00B86342"/>
    <w:rsid w:val="00B863BC"/>
    <w:rsid w:val="00B8696C"/>
    <w:rsid w:val="00B869A4"/>
    <w:rsid w:val="00B87461"/>
    <w:rsid w:val="00B875D9"/>
    <w:rsid w:val="00B87790"/>
    <w:rsid w:val="00B87820"/>
    <w:rsid w:val="00B87919"/>
    <w:rsid w:val="00B87B71"/>
    <w:rsid w:val="00B87CD1"/>
    <w:rsid w:val="00B87EAA"/>
    <w:rsid w:val="00B904DC"/>
    <w:rsid w:val="00B905D1"/>
    <w:rsid w:val="00B9065A"/>
    <w:rsid w:val="00B906C8"/>
    <w:rsid w:val="00B908C1"/>
    <w:rsid w:val="00B9095A"/>
    <w:rsid w:val="00B90FF9"/>
    <w:rsid w:val="00B91486"/>
    <w:rsid w:val="00B9148E"/>
    <w:rsid w:val="00B91493"/>
    <w:rsid w:val="00B917CD"/>
    <w:rsid w:val="00B91CC5"/>
    <w:rsid w:val="00B91D19"/>
    <w:rsid w:val="00B9204B"/>
    <w:rsid w:val="00B9206D"/>
    <w:rsid w:val="00B9254B"/>
    <w:rsid w:val="00B928E2"/>
    <w:rsid w:val="00B92A39"/>
    <w:rsid w:val="00B931CF"/>
    <w:rsid w:val="00B933B1"/>
    <w:rsid w:val="00B93521"/>
    <w:rsid w:val="00B93619"/>
    <w:rsid w:val="00B94074"/>
    <w:rsid w:val="00B9425E"/>
    <w:rsid w:val="00B944E8"/>
    <w:rsid w:val="00B9465F"/>
    <w:rsid w:val="00B947BF"/>
    <w:rsid w:val="00B948A2"/>
    <w:rsid w:val="00B94987"/>
    <w:rsid w:val="00B94A0D"/>
    <w:rsid w:val="00B94AD6"/>
    <w:rsid w:val="00B94EB7"/>
    <w:rsid w:val="00B94F72"/>
    <w:rsid w:val="00B9513D"/>
    <w:rsid w:val="00B95473"/>
    <w:rsid w:val="00B95807"/>
    <w:rsid w:val="00B95A50"/>
    <w:rsid w:val="00B95AC2"/>
    <w:rsid w:val="00B95E29"/>
    <w:rsid w:val="00B960A5"/>
    <w:rsid w:val="00B96160"/>
    <w:rsid w:val="00B96651"/>
    <w:rsid w:val="00B96896"/>
    <w:rsid w:val="00B96D67"/>
    <w:rsid w:val="00B96EE0"/>
    <w:rsid w:val="00B96EF1"/>
    <w:rsid w:val="00B96F8A"/>
    <w:rsid w:val="00B9729F"/>
    <w:rsid w:val="00B972F6"/>
    <w:rsid w:val="00B97747"/>
    <w:rsid w:val="00B977CA"/>
    <w:rsid w:val="00B979F7"/>
    <w:rsid w:val="00B97AB1"/>
    <w:rsid w:val="00B97B7A"/>
    <w:rsid w:val="00BA0085"/>
    <w:rsid w:val="00BA018F"/>
    <w:rsid w:val="00BA0234"/>
    <w:rsid w:val="00BA054A"/>
    <w:rsid w:val="00BA084C"/>
    <w:rsid w:val="00BA0927"/>
    <w:rsid w:val="00BA09E4"/>
    <w:rsid w:val="00BA0A14"/>
    <w:rsid w:val="00BA0A7B"/>
    <w:rsid w:val="00BA0A9B"/>
    <w:rsid w:val="00BA106B"/>
    <w:rsid w:val="00BA137B"/>
    <w:rsid w:val="00BA1B26"/>
    <w:rsid w:val="00BA1E76"/>
    <w:rsid w:val="00BA1F59"/>
    <w:rsid w:val="00BA1F88"/>
    <w:rsid w:val="00BA2077"/>
    <w:rsid w:val="00BA20EA"/>
    <w:rsid w:val="00BA21EB"/>
    <w:rsid w:val="00BA2316"/>
    <w:rsid w:val="00BA23D1"/>
    <w:rsid w:val="00BA2541"/>
    <w:rsid w:val="00BA26B3"/>
    <w:rsid w:val="00BA289A"/>
    <w:rsid w:val="00BA29F6"/>
    <w:rsid w:val="00BA30DC"/>
    <w:rsid w:val="00BA33B7"/>
    <w:rsid w:val="00BA33F1"/>
    <w:rsid w:val="00BA341A"/>
    <w:rsid w:val="00BA3654"/>
    <w:rsid w:val="00BA3833"/>
    <w:rsid w:val="00BA38D4"/>
    <w:rsid w:val="00BA3CEC"/>
    <w:rsid w:val="00BA3DDB"/>
    <w:rsid w:val="00BA3E68"/>
    <w:rsid w:val="00BA4033"/>
    <w:rsid w:val="00BA45F5"/>
    <w:rsid w:val="00BA4635"/>
    <w:rsid w:val="00BA49B9"/>
    <w:rsid w:val="00BA4C53"/>
    <w:rsid w:val="00BA501D"/>
    <w:rsid w:val="00BA51CD"/>
    <w:rsid w:val="00BA54A4"/>
    <w:rsid w:val="00BA553F"/>
    <w:rsid w:val="00BA5595"/>
    <w:rsid w:val="00BA5872"/>
    <w:rsid w:val="00BA5960"/>
    <w:rsid w:val="00BA5F07"/>
    <w:rsid w:val="00BA6027"/>
    <w:rsid w:val="00BA6218"/>
    <w:rsid w:val="00BA650B"/>
    <w:rsid w:val="00BA6753"/>
    <w:rsid w:val="00BA67A7"/>
    <w:rsid w:val="00BA67DB"/>
    <w:rsid w:val="00BA69B8"/>
    <w:rsid w:val="00BA69F6"/>
    <w:rsid w:val="00BA6A00"/>
    <w:rsid w:val="00BA702A"/>
    <w:rsid w:val="00BA749B"/>
    <w:rsid w:val="00BA75A5"/>
    <w:rsid w:val="00BA77BF"/>
    <w:rsid w:val="00BA78E9"/>
    <w:rsid w:val="00BA792C"/>
    <w:rsid w:val="00BA79B1"/>
    <w:rsid w:val="00BA7E09"/>
    <w:rsid w:val="00BB0095"/>
    <w:rsid w:val="00BB0743"/>
    <w:rsid w:val="00BB07AA"/>
    <w:rsid w:val="00BB08D5"/>
    <w:rsid w:val="00BB0A42"/>
    <w:rsid w:val="00BB0BDE"/>
    <w:rsid w:val="00BB10C1"/>
    <w:rsid w:val="00BB11BB"/>
    <w:rsid w:val="00BB1292"/>
    <w:rsid w:val="00BB1319"/>
    <w:rsid w:val="00BB1819"/>
    <w:rsid w:val="00BB1969"/>
    <w:rsid w:val="00BB1AA8"/>
    <w:rsid w:val="00BB1F2C"/>
    <w:rsid w:val="00BB206F"/>
    <w:rsid w:val="00BB2611"/>
    <w:rsid w:val="00BB263E"/>
    <w:rsid w:val="00BB27AB"/>
    <w:rsid w:val="00BB27E3"/>
    <w:rsid w:val="00BB2813"/>
    <w:rsid w:val="00BB29D4"/>
    <w:rsid w:val="00BB2AEA"/>
    <w:rsid w:val="00BB2C2E"/>
    <w:rsid w:val="00BB2D80"/>
    <w:rsid w:val="00BB2EEF"/>
    <w:rsid w:val="00BB310E"/>
    <w:rsid w:val="00BB3231"/>
    <w:rsid w:val="00BB3485"/>
    <w:rsid w:val="00BB3511"/>
    <w:rsid w:val="00BB3667"/>
    <w:rsid w:val="00BB3882"/>
    <w:rsid w:val="00BB3974"/>
    <w:rsid w:val="00BB3BB1"/>
    <w:rsid w:val="00BB3D5D"/>
    <w:rsid w:val="00BB3DD1"/>
    <w:rsid w:val="00BB3E9F"/>
    <w:rsid w:val="00BB44BC"/>
    <w:rsid w:val="00BB46A1"/>
    <w:rsid w:val="00BB485B"/>
    <w:rsid w:val="00BB4BBF"/>
    <w:rsid w:val="00BB4C9F"/>
    <w:rsid w:val="00BB54F3"/>
    <w:rsid w:val="00BB5A53"/>
    <w:rsid w:val="00BB5D45"/>
    <w:rsid w:val="00BB5D84"/>
    <w:rsid w:val="00BB60C2"/>
    <w:rsid w:val="00BB6122"/>
    <w:rsid w:val="00BB6336"/>
    <w:rsid w:val="00BB6347"/>
    <w:rsid w:val="00BB63CE"/>
    <w:rsid w:val="00BB6838"/>
    <w:rsid w:val="00BB69B4"/>
    <w:rsid w:val="00BB69C0"/>
    <w:rsid w:val="00BB6BA5"/>
    <w:rsid w:val="00BB6C67"/>
    <w:rsid w:val="00BB6ECB"/>
    <w:rsid w:val="00BB71E8"/>
    <w:rsid w:val="00BB7491"/>
    <w:rsid w:val="00BB7743"/>
    <w:rsid w:val="00BB775C"/>
    <w:rsid w:val="00BB7951"/>
    <w:rsid w:val="00BB7BD8"/>
    <w:rsid w:val="00BB7DFD"/>
    <w:rsid w:val="00BC0410"/>
    <w:rsid w:val="00BC044B"/>
    <w:rsid w:val="00BC04EB"/>
    <w:rsid w:val="00BC0942"/>
    <w:rsid w:val="00BC0A91"/>
    <w:rsid w:val="00BC0B14"/>
    <w:rsid w:val="00BC0B2E"/>
    <w:rsid w:val="00BC0CA7"/>
    <w:rsid w:val="00BC1270"/>
    <w:rsid w:val="00BC1A44"/>
    <w:rsid w:val="00BC1ACB"/>
    <w:rsid w:val="00BC1B34"/>
    <w:rsid w:val="00BC1FB5"/>
    <w:rsid w:val="00BC20B4"/>
    <w:rsid w:val="00BC226D"/>
    <w:rsid w:val="00BC22D7"/>
    <w:rsid w:val="00BC2389"/>
    <w:rsid w:val="00BC2471"/>
    <w:rsid w:val="00BC2496"/>
    <w:rsid w:val="00BC2626"/>
    <w:rsid w:val="00BC2737"/>
    <w:rsid w:val="00BC28BD"/>
    <w:rsid w:val="00BC2A47"/>
    <w:rsid w:val="00BC2D06"/>
    <w:rsid w:val="00BC3127"/>
    <w:rsid w:val="00BC35B3"/>
    <w:rsid w:val="00BC3B46"/>
    <w:rsid w:val="00BC3D56"/>
    <w:rsid w:val="00BC3DD9"/>
    <w:rsid w:val="00BC40F9"/>
    <w:rsid w:val="00BC4137"/>
    <w:rsid w:val="00BC45E4"/>
    <w:rsid w:val="00BC45FA"/>
    <w:rsid w:val="00BC4615"/>
    <w:rsid w:val="00BC49B6"/>
    <w:rsid w:val="00BC4C36"/>
    <w:rsid w:val="00BC4F02"/>
    <w:rsid w:val="00BC519A"/>
    <w:rsid w:val="00BC542C"/>
    <w:rsid w:val="00BC5549"/>
    <w:rsid w:val="00BC5801"/>
    <w:rsid w:val="00BC5846"/>
    <w:rsid w:val="00BC585F"/>
    <w:rsid w:val="00BC59D5"/>
    <w:rsid w:val="00BC5B66"/>
    <w:rsid w:val="00BC5D52"/>
    <w:rsid w:val="00BC5EB0"/>
    <w:rsid w:val="00BC62D0"/>
    <w:rsid w:val="00BC64D3"/>
    <w:rsid w:val="00BC6815"/>
    <w:rsid w:val="00BC6845"/>
    <w:rsid w:val="00BC6984"/>
    <w:rsid w:val="00BC6B10"/>
    <w:rsid w:val="00BC6B69"/>
    <w:rsid w:val="00BC6BA4"/>
    <w:rsid w:val="00BC6E77"/>
    <w:rsid w:val="00BC7013"/>
    <w:rsid w:val="00BC7296"/>
    <w:rsid w:val="00BC758E"/>
    <w:rsid w:val="00BC7687"/>
    <w:rsid w:val="00BC76E0"/>
    <w:rsid w:val="00BC7889"/>
    <w:rsid w:val="00BC7954"/>
    <w:rsid w:val="00BC799A"/>
    <w:rsid w:val="00BC7C63"/>
    <w:rsid w:val="00BC7E1F"/>
    <w:rsid w:val="00BD0071"/>
    <w:rsid w:val="00BD00C3"/>
    <w:rsid w:val="00BD036F"/>
    <w:rsid w:val="00BD0530"/>
    <w:rsid w:val="00BD0647"/>
    <w:rsid w:val="00BD06DA"/>
    <w:rsid w:val="00BD0A6B"/>
    <w:rsid w:val="00BD0C8D"/>
    <w:rsid w:val="00BD131A"/>
    <w:rsid w:val="00BD1548"/>
    <w:rsid w:val="00BD171A"/>
    <w:rsid w:val="00BD1BB7"/>
    <w:rsid w:val="00BD1C68"/>
    <w:rsid w:val="00BD1CC5"/>
    <w:rsid w:val="00BD2132"/>
    <w:rsid w:val="00BD224B"/>
    <w:rsid w:val="00BD2295"/>
    <w:rsid w:val="00BD2397"/>
    <w:rsid w:val="00BD25C1"/>
    <w:rsid w:val="00BD279C"/>
    <w:rsid w:val="00BD2805"/>
    <w:rsid w:val="00BD286B"/>
    <w:rsid w:val="00BD28E1"/>
    <w:rsid w:val="00BD2A66"/>
    <w:rsid w:val="00BD2C79"/>
    <w:rsid w:val="00BD2E44"/>
    <w:rsid w:val="00BD2FFE"/>
    <w:rsid w:val="00BD320D"/>
    <w:rsid w:val="00BD328A"/>
    <w:rsid w:val="00BD32E6"/>
    <w:rsid w:val="00BD3495"/>
    <w:rsid w:val="00BD3A63"/>
    <w:rsid w:val="00BD3CB7"/>
    <w:rsid w:val="00BD3EDD"/>
    <w:rsid w:val="00BD3FD2"/>
    <w:rsid w:val="00BD4823"/>
    <w:rsid w:val="00BD48B7"/>
    <w:rsid w:val="00BD4B13"/>
    <w:rsid w:val="00BD5236"/>
    <w:rsid w:val="00BD53FF"/>
    <w:rsid w:val="00BD5611"/>
    <w:rsid w:val="00BD5CBA"/>
    <w:rsid w:val="00BD5E5E"/>
    <w:rsid w:val="00BD606C"/>
    <w:rsid w:val="00BD6161"/>
    <w:rsid w:val="00BD63E0"/>
    <w:rsid w:val="00BD6746"/>
    <w:rsid w:val="00BD67E3"/>
    <w:rsid w:val="00BD6858"/>
    <w:rsid w:val="00BD68D8"/>
    <w:rsid w:val="00BD69AE"/>
    <w:rsid w:val="00BD6AAF"/>
    <w:rsid w:val="00BD6C6B"/>
    <w:rsid w:val="00BD6F1C"/>
    <w:rsid w:val="00BD72D0"/>
    <w:rsid w:val="00BD7343"/>
    <w:rsid w:val="00BD74E5"/>
    <w:rsid w:val="00BD79CE"/>
    <w:rsid w:val="00BD7F3E"/>
    <w:rsid w:val="00BE0052"/>
    <w:rsid w:val="00BE014A"/>
    <w:rsid w:val="00BE03A4"/>
    <w:rsid w:val="00BE070A"/>
    <w:rsid w:val="00BE0874"/>
    <w:rsid w:val="00BE0B47"/>
    <w:rsid w:val="00BE0E07"/>
    <w:rsid w:val="00BE1056"/>
    <w:rsid w:val="00BE12AD"/>
    <w:rsid w:val="00BE135F"/>
    <w:rsid w:val="00BE170C"/>
    <w:rsid w:val="00BE1792"/>
    <w:rsid w:val="00BE27E2"/>
    <w:rsid w:val="00BE28CD"/>
    <w:rsid w:val="00BE2AB0"/>
    <w:rsid w:val="00BE2DFA"/>
    <w:rsid w:val="00BE2EB8"/>
    <w:rsid w:val="00BE2F34"/>
    <w:rsid w:val="00BE33F5"/>
    <w:rsid w:val="00BE346B"/>
    <w:rsid w:val="00BE3558"/>
    <w:rsid w:val="00BE3B54"/>
    <w:rsid w:val="00BE3F27"/>
    <w:rsid w:val="00BE4280"/>
    <w:rsid w:val="00BE4779"/>
    <w:rsid w:val="00BE47F6"/>
    <w:rsid w:val="00BE4B56"/>
    <w:rsid w:val="00BE4C39"/>
    <w:rsid w:val="00BE50F6"/>
    <w:rsid w:val="00BE516A"/>
    <w:rsid w:val="00BE5222"/>
    <w:rsid w:val="00BE52C0"/>
    <w:rsid w:val="00BE52C6"/>
    <w:rsid w:val="00BE53BF"/>
    <w:rsid w:val="00BE53E6"/>
    <w:rsid w:val="00BE582D"/>
    <w:rsid w:val="00BE5D8D"/>
    <w:rsid w:val="00BE6012"/>
    <w:rsid w:val="00BE6199"/>
    <w:rsid w:val="00BE62EF"/>
    <w:rsid w:val="00BE63A0"/>
    <w:rsid w:val="00BE66E7"/>
    <w:rsid w:val="00BE670D"/>
    <w:rsid w:val="00BE68DE"/>
    <w:rsid w:val="00BE6C4B"/>
    <w:rsid w:val="00BE6F50"/>
    <w:rsid w:val="00BE6FB9"/>
    <w:rsid w:val="00BE7076"/>
    <w:rsid w:val="00BE709B"/>
    <w:rsid w:val="00BE74EB"/>
    <w:rsid w:val="00BE7B12"/>
    <w:rsid w:val="00BF0005"/>
    <w:rsid w:val="00BF0610"/>
    <w:rsid w:val="00BF09A4"/>
    <w:rsid w:val="00BF09B5"/>
    <w:rsid w:val="00BF0B8F"/>
    <w:rsid w:val="00BF0CB6"/>
    <w:rsid w:val="00BF0DB1"/>
    <w:rsid w:val="00BF0E5C"/>
    <w:rsid w:val="00BF10CE"/>
    <w:rsid w:val="00BF1272"/>
    <w:rsid w:val="00BF12AC"/>
    <w:rsid w:val="00BF12F9"/>
    <w:rsid w:val="00BF15BE"/>
    <w:rsid w:val="00BF18F9"/>
    <w:rsid w:val="00BF1B64"/>
    <w:rsid w:val="00BF1E05"/>
    <w:rsid w:val="00BF1E07"/>
    <w:rsid w:val="00BF1EBC"/>
    <w:rsid w:val="00BF201A"/>
    <w:rsid w:val="00BF203F"/>
    <w:rsid w:val="00BF2298"/>
    <w:rsid w:val="00BF237C"/>
    <w:rsid w:val="00BF25AF"/>
    <w:rsid w:val="00BF2830"/>
    <w:rsid w:val="00BF2856"/>
    <w:rsid w:val="00BF2AD8"/>
    <w:rsid w:val="00BF2DA2"/>
    <w:rsid w:val="00BF2F57"/>
    <w:rsid w:val="00BF3549"/>
    <w:rsid w:val="00BF3BD0"/>
    <w:rsid w:val="00BF3D85"/>
    <w:rsid w:val="00BF3E3D"/>
    <w:rsid w:val="00BF4131"/>
    <w:rsid w:val="00BF4323"/>
    <w:rsid w:val="00BF440F"/>
    <w:rsid w:val="00BF4755"/>
    <w:rsid w:val="00BF4796"/>
    <w:rsid w:val="00BF4841"/>
    <w:rsid w:val="00BF4B61"/>
    <w:rsid w:val="00BF4D6F"/>
    <w:rsid w:val="00BF4F40"/>
    <w:rsid w:val="00BF4F43"/>
    <w:rsid w:val="00BF510B"/>
    <w:rsid w:val="00BF51D0"/>
    <w:rsid w:val="00BF52F9"/>
    <w:rsid w:val="00BF559C"/>
    <w:rsid w:val="00BF55AD"/>
    <w:rsid w:val="00BF5885"/>
    <w:rsid w:val="00BF593F"/>
    <w:rsid w:val="00BF63DA"/>
    <w:rsid w:val="00BF64DD"/>
    <w:rsid w:val="00BF67D4"/>
    <w:rsid w:val="00BF6B8D"/>
    <w:rsid w:val="00BF6BAE"/>
    <w:rsid w:val="00BF6D83"/>
    <w:rsid w:val="00BF6FBC"/>
    <w:rsid w:val="00BF70E2"/>
    <w:rsid w:val="00BF7599"/>
    <w:rsid w:val="00BF7CF3"/>
    <w:rsid w:val="00C00284"/>
    <w:rsid w:val="00C005D6"/>
    <w:rsid w:val="00C00807"/>
    <w:rsid w:val="00C008C2"/>
    <w:rsid w:val="00C00B6F"/>
    <w:rsid w:val="00C00B83"/>
    <w:rsid w:val="00C00D84"/>
    <w:rsid w:val="00C01437"/>
    <w:rsid w:val="00C014E2"/>
    <w:rsid w:val="00C02079"/>
    <w:rsid w:val="00C020C9"/>
    <w:rsid w:val="00C021F1"/>
    <w:rsid w:val="00C0225D"/>
    <w:rsid w:val="00C023B4"/>
    <w:rsid w:val="00C023C3"/>
    <w:rsid w:val="00C024FE"/>
    <w:rsid w:val="00C0282D"/>
    <w:rsid w:val="00C0294C"/>
    <w:rsid w:val="00C02BE9"/>
    <w:rsid w:val="00C02C42"/>
    <w:rsid w:val="00C02D0A"/>
    <w:rsid w:val="00C02EBC"/>
    <w:rsid w:val="00C03373"/>
    <w:rsid w:val="00C036C2"/>
    <w:rsid w:val="00C0382A"/>
    <w:rsid w:val="00C03CD0"/>
    <w:rsid w:val="00C040DA"/>
    <w:rsid w:val="00C040ED"/>
    <w:rsid w:val="00C04835"/>
    <w:rsid w:val="00C04B7D"/>
    <w:rsid w:val="00C04C6C"/>
    <w:rsid w:val="00C05011"/>
    <w:rsid w:val="00C051CE"/>
    <w:rsid w:val="00C051DC"/>
    <w:rsid w:val="00C05548"/>
    <w:rsid w:val="00C05D28"/>
    <w:rsid w:val="00C05FE6"/>
    <w:rsid w:val="00C06497"/>
    <w:rsid w:val="00C071E1"/>
    <w:rsid w:val="00C071F3"/>
    <w:rsid w:val="00C0731D"/>
    <w:rsid w:val="00C076F0"/>
    <w:rsid w:val="00C077CF"/>
    <w:rsid w:val="00C07CD5"/>
    <w:rsid w:val="00C07CDB"/>
    <w:rsid w:val="00C104CA"/>
    <w:rsid w:val="00C104F4"/>
    <w:rsid w:val="00C1059B"/>
    <w:rsid w:val="00C105D9"/>
    <w:rsid w:val="00C10760"/>
    <w:rsid w:val="00C107E6"/>
    <w:rsid w:val="00C1085B"/>
    <w:rsid w:val="00C10B3C"/>
    <w:rsid w:val="00C10BD4"/>
    <w:rsid w:val="00C113D3"/>
    <w:rsid w:val="00C11458"/>
    <w:rsid w:val="00C1263A"/>
    <w:rsid w:val="00C12B80"/>
    <w:rsid w:val="00C12E35"/>
    <w:rsid w:val="00C12E92"/>
    <w:rsid w:val="00C12FF6"/>
    <w:rsid w:val="00C13442"/>
    <w:rsid w:val="00C13736"/>
    <w:rsid w:val="00C13874"/>
    <w:rsid w:val="00C13F2B"/>
    <w:rsid w:val="00C14239"/>
    <w:rsid w:val="00C142ED"/>
    <w:rsid w:val="00C1480C"/>
    <w:rsid w:val="00C14886"/>
    <w:rsid w:val="00C14EBB"/>
    <w:rsid w:val="00C1516C"/>
    <w:rsid w:val="00C15252"/>
    <w:rsid w:val="00C15970"/>
    <w:rsid w:val="00C15B4B"/>
    <w:rsid w:val="00C15F95"/>
    <w:rsid w:val="00C16079"/>
    <w:rsid w:val="00C16346"/>
    <w:rsid w:val="00C1636A"/>
    <w:rsid w:val="00C16F57"/>
    <w:rsid w:val="00C17509"/>
    <w:rsid w:val="00C176F6"/>
    <w:rsid w:val="00C17865"/>
    <w:rsid w:val="00C20169"/>
    <w:rsid w:val="00C202F0"/>
    <w:rsid w:val="00C203C6"/>
    <w:rsid w:val="00C2040E"/>
    <w:rsid w:val="00C20554"/>
    <w:rsid w:val="00C20ED6"/>
    <w:rsid w:val="00C21046"/>
    <w:rsid w:val="00C211F5"/>
    <w:rsid w:val="00C218A0"/>
    <w:rsid w:val="00C21D80"/>
    <w:rsid w:val="00C21E5F"/>
    <w:rsid w:val="00C21FBA"/>
    <w:rsid w:val="00C22024"/>
    <w:rsid w:val="00C22126"/>
    <w:rsid w:val="00C2260B"/>
    <w:rsid w:val="00C22843"/>
    <w:rsid w:val="00C229D1"/>
    <w:rsid w:val="00C22AE8"/>
    <w:rsid w:val="00C22C5B"/>
    <w:rsid w:val="00C22ECC"/>
    <w:rsid w:val="00C231A3"/>
    <w:rsid w:val="00C23564"/>
    <w:rsid w:val="00C23572"/>
    <w:rsid w:val="00C23985"/>
    <w:rsid w:val="00C23AA8"/>
    <w:rsid w:val="00C24267"/>
    <w:rsid w:val="00C244BB"/>
    <w:rsid w:val="00C2458C"/>
    <w:rsid w:val="00C245B8"/>
    <w:rsid w:val="00C245F1"/>
    <w:rsid w:val="00C24605"/>
    <w:rsid w:val="00C2466E"/>
    <w:rsid w:val="00C24B92"/>
    <w:rsid w:val="00C24BA0"/>
    <w:rsid w:val="00C24E27"/>
    <w:rsid w:val="00C25344"/>
    <w:rsid w:val="00C2578B"/>
    <w:rsid w:val="00C25AC0"/>
    <w:rsid w:val="00C25B3E"/>
    <w:rsid w:val="00C26288"/>
    <w:rsid w:val="00C26351"/>
    <w:rsid w:val="00C26901"/>
    <w:rsid w:val="00C26EFA"/>
    <w:rsid w:val="00C26FA3"/>
    <w:rsid w:val="00C2721E"/>
    <w:rsid w:val="00C27243"/>
    <w:rsid w:val="00C2760C"/>
    <w:rsid w:val="00C277CE"/>
    <w:rsid w:val="00C279C5"/>
    <w:rsid w:val="00C27B5B"/>
    <w:rsid w:val="00C3012E"/>
    <w:rsid w:val="00C30130"/>
    <w:rsid w:val="00C30266"/>
    <w:rsid w:val="00C302D3"/>
    <w:rsid w:val="00C3067E"/>
    <w:rsid w:val="00C3089F"/>
    <w:rsid w:val="00C30D9C"/>
    <w:rsid w:val="00C30E2E"/>
    <w:rsid w:val="00C313E1"/>
    <w:rsid w:val="00C31492"/>
    <w:rsid w:val="00C314A4"/>
    <w:rsid w:val="00C315C0"/>
    <w:rsid w:val="00C31671"/>
    <w:rsid w:val="00C31AA1"/>
    <w:rsid w:val="00C31E9C"/>
    <w:rsid w:val="00C31F14"/>
    <w:rsid w:val="00C31FEE"/>
    <w:rsid w:val="00C320CC"/>
    <w:rsid w:val="00C32611"/>
    <w:rsid w:val="00C326B1"/>
    <w:rsid w:val="00C329B3"/>
    <w:rsid w:val="00C32B2F"/>
    <w:rsid w:val="00C32E61"/>
    <w:rsid w:val="00C32E65"/>
    <w:rsid w:val="00C32F13"/>
    <w:rsid w:val="00C33261"/>
    <w:rsid w:val="00C334EA"/>
    <w:rsid w:val="00C33545"/>
    <w:rsid w:val="00C3355F"/>
    <w:rsid w:val="00C3356B"/>
    <w:rsid w:val="00C33994"/>
    <w:rsid w:val="00C33996"/>
    <w:rsid w:val="00C33A9E"/>
    <w:rsid w:val="00C33CCA"/>
    <w:rsid w:val="00C343B9"/>
    <w:rsid w:val="00C346F2"/>
    <w:rsid w:val="00C347EE"/>
    <w:rsid w:val="00C349FB"/>
    <w:rsid w:val="00C34CB3"/>
    <w:rsid w:val="00C34E5B"/>
    <w:rsid w:val="00C3522A"/>
    <w:rsid w:val="00C3563C"/>
    <w:rsid w:val="00C35B22"/>
    <w:rsid w:val="00C35D06"/>
    <w:rsid w:val="00C35FCB"/>
    <w:rsid w:val="00C36286"/>
    <w:rsid w:val="00C36319"/>
    <w:rsid w:val="00C363D4"/>
    <w:rsid w:val="00C36621"/>
    <w:rsid w:val="00C367F9"/>
    <w:rsid w:val="00C36ED2"/>
    <w:rsid w:val="00C37139"/>
    <w:rsid w:val="00C37149"/>
    <w:rsid w:val="00C374C6"/>
    <w:rsid w:val="00C3757A"/>
    <w:rsid w:val="00C37708"/>
    <w:rsid w:val="00C377B7"/>
    <w:rsid w:val="00C37A59"/>
    <w:rsid w:val="00C37D45"/>
    <w:rsid w:val="00C40121"/>
    <w:rsid w:val="00C40417"/>
    <w:rsid w:val="00C40B1C"/>
    <w:rsid w:val="00C40FDA"/>
    <w:rsid w:val="00C4106E"/>
    <w:rsid w:val="00C410C9"/>
    <w:rsid w:val="00C4148C"/>
    <w:rsid w:val="00C416C4"/>
    <w:rsid w:val="00C4203C"/>
    <w:rsid w:val="00C421A7"/>
    <w:rsid w:val="00C423ED"/>
    <w:rsid w:val="00C424D5"/>
    <w:rsid w:val="00C4265B"/>
    <w:rsid w:val="00C43283"/>
    <w:rsid w:val="00C433D3"/>
    <w:rsid w:val="00C43EDF"/>
    <w:rsid w:val="00C441CA"/>
    <w:rsid w:val="00C44CD7"/>
    <w:rsid w:val="00C450EB"/>
    <w:rsid w:val="00C45182"/>
    <w:rsid w:val="00C45419"/>
    <w:rsid w:val="00C45A81"/>
    <w:rsid w:val="00C45E64"/>
    <w:rsid w:val="00C45FFF"/>
    <w:rsid w:val="00C463C1"/>
    <w:rsid w:val="00C464E8"/>
    <w:rsid w:val="00C4675C"/>
    <w:rsid w:val="00C467C3"/>
    <w:rsid w:val="00C46BE0"/>
    <w:rsid w:val="00C46F38"/>
    <w:rsid w:val="00C470C5"/>
    <w:rsid w:val="00C470DA"/>
    <w:rsid w:val="00C470FD"/>
    <w:rsid w:val="00C47312"/>
    <w:rsid w:val="00C47754"/>
    <w:rsid w:val="00C47AA4"/>
    <w:rsid w:val="00C47C8F"/>
    <w:rsid w:val="00C5017A"/>
    <w:rsid w:val="00C501B4"/>
    <w:rsid w:val="00C50712"/>
    <w:rsid w:val="00C507E1"/>
    <w:rsid w:val="00C509A8"/>
    <w:rsid w:val="00C50DCA"/>
    <w:rsid w:val="00C51168"/>
    <w:rsid w:val="00C51443"/>
    <w:rsid w:val="00C519F2"/>
    <w:rsid w:val="00C51AF6"/>
    <w:rsid w:val="00C51B31"/>
    <w:rsid w:val="00C51B49"/>
    <w:rsid w:val="00C51C8A"/>
    <w:rsid w:val="00C51D2E"/>
    <w:rsid w:val="00C51FAC"/>
    <w:rsid w:val="00C51FB6"/>
    <w:rsid w:val="00C52406"/>
    <w:rsid w:val="00C529AA"/>
    <w:rsid w:val="00C52D5C"/>
    <w:rsid w:val="00C531AA"/>
    <w:rsid w:val="00C537C4"/>
    <w:rsid w:val="00C537E3"/>
    <w:rsid w:val="00C539CD"/>
    <w:rsid w:val="00C53DE8"/>
    <w:rsid w:val="00C53E98"/>
    <w:rsid w:val="00C54174"/>
    <w:rsid w:val="00C549A3"/>
    <w:rsid w:val="00C54F11"/>
    <w:rsid w:val="00C55AA2"/>
    <w:rsid w:val="00C55B36"/>
    <w:rsid w:val="00C55EC7"/>
    <w:rsid w:val="00C561B4"/>
    <w:rsid w:val="00C56455"/>
    <w:rsid w:val="00C5664A"/>
    <w:rsid w:val="00C56928"/>
    <w:rsid w:val="00C56ED1"/>
    <w:rsid w:val="00C56FCA"/>
    <w:rsid w:val="00C571AA"/>
    <w:rsid w:val="00C57615"/>
    <w:rsid w:val="00C5766C"/>
    <w:rsid w:val="00C5771E"/>
    <w:rsid w:val="00C57A53"/>
    <w:rsid w:val="00C57BBB"/>
    <w:rsid w:val="00C57C5A"/>
    <w:rsid w:val="00C57FA6"/>
    <w:rsid w:val="00C601AB"/>
    <w:rsid w:val="00C606E7"/>
    <w:rsid w:val="00C607C9"/>
    <w:rsid w:val="00C60999"/>
    <w:rsid w:val="00C60C4B"/>
    <w:rsid w:val="00C60C98"/>
    <w:rsid w:val="00C6108D"/>
    <w:rsid w:val="00C612F3"/>
    <w:rsid w:val="00C6135A"/>
    <w:rsid w:val="00C6148E"/>
    <w:rsid w:val="00C615D1"/>
    <w:rsid w:val="00C61711"/>
    <w:rsid w:val="00C61B02"/>
    <w:rsid w:val="00C61D26"/>
    <w:rsid w:val="00C62236"/>
    <w:rsid w:val="00C62286"/>
    <w:rsid w:val="00C62E73"/>
    <w:rsid w:val="00C63396"/>
    <w:rsid w:val="00C6364B"/>
    <w:rsid w:val="00C63C79"/>
    <w:rsid w:val="00C641C8"/>
    <w:rsid w:val="00C6443E"/>
    <w:rsid w:val="00C6447E"/>
    <w:rsid w:val="00C645A3"/>
    <w:rsid w:val="00C64C07"/>
    <w:rsid w:val="00C64E0D"/>
    <w:rsid w:val="00C65779"/>
    <w:rsid w:val="00C65AD6"/>
    <w:rsid w:val="00C65F76"/>
    <w:rsid w:val="00C66062"/>
    <w:rsid w:val="00C6665D"/>
    <w:rsid w:val="00C666BE"/>
    <w:rsid w:val="00C66BB4"/>
    <w:rsid w:val="00C670D1"/>
    <w:rsid w:val="00C6710E"/>
    <w:rsid w:val="00C67436"/>
    <w:rsid w:val="00C6749C"/>
    <w:rsid w:val="00C67596"/>
    <w:rsid w:val="00C678DF"/>
    <w:rsid w:val="00C67AF7"/>
    <w:rsid w:val="00C67D01"/>
    <w:rsid w:val="00C70388"/>
    <w:rsid w:val="00C703A5"/>
    <w:rsid w:val="00C708DB"/>
    <w:rsid w:val="00C70909"/>
    <w:rsid w:val="00C70AFA"/>
    <w:rsid w:val="00C70CD7"/>
    <w:rsid w:val="00C70D40"/>
    <w:rsid w:val="00C70E02"/>
    <w:rsid w:val="00C7138B"/>
    <w:rsid w:val="00C71653"/>
    <w:rsid w:val="00C71CB3"/>
    <w:rsid w:val="00C71DD2"/>
    <w:rsid w:val="00C725E6"/>
    <w:rsid w:val="00C72665"/>
    <w:rsid w:val="00C72968"/>
    <w:rsid w:val="00C72AD4"/>
    <w:rsid w:val="00C73073"/>
    <w:rsid w:val="00C732B4"/>
    <w:rsid w:val="00C734EC"/>
    <w:rsid w:val="00C736CD"/>
    <w:rsid w:val="00C73CBF"/>
    <w:rsid w:val="00C73DE5"/>
    <w:rsid w:val="00C7441D"/>
    <w:rsid w:val="00C74D84"/>
    <w:rsid w:val="00C74F1C"/>
    <w:rsid w:val="00C750B0"/>
    <w:rsid w:val="00C7540D"/>
    <w:rsid w:val="00C755E1"/>
    <w:rsid w:val="00C756BF"/>
    <w:rsid w:val="00C757A2"/>
    <w:rsid w:val="00C75AE8"/>
    <w:rsid w:val="00C75AF4"/>
    <w:rsid w:val="00C75FFA"/>
    <w:rsid w:val="00C76127"/>
    <w:rsid w:val="00C764CE"/>
    <w:rsid w:val="00C76694"/>
    <w:rsid w:val="00C7690A"/>
    <w:rsid w:val="00C769E2"/>
    <w:rsid w:val="00C76A3E"/>
    <w:rsid w:val="00C76A5C"/>
    <w:rsid w:val="00C76CB0"/>
    <w:rsid w:val="00C76DB2"/>
    <w:rsid w:val="00C77099"/>
    <w:rsid w:val="00C774DC"/>
    <w:rsid w:val="00C777B1"/>
    <w:rsid w:val="00C778EC"/>
    <w:rsid w:val="00C7791D"/>
    <w:rsid w:val="00C77CBE"/>
    <w:rsid w:val="00C77DF0"/>
    <w:rsid w:val="00C77E35"/>
    <w:rsid w:val="00C77EC4"/>
    <w:rsid w:val="00C77FED"/>
    <w:rsid w:val="00C80439"/>
    <w:rsid w:val="00C8050A"/>
    <w:rsid w:val="00C806CD"/>
    <w:rsid w:val="00C808C5"/>
    <w:rsid w:val="00C809B7"/>
    <w:rsid w:val="00C81080"/>
    <w:rsid w:val="00C810E8"/>
    <w:rsid w:val="00C8147C"/>
    <w:rsid w:val="00C81728"/>
    <w:rsid w:val="00C81907"/>
    <w:rsid w:val="00C8215B"/>
    <w:rsid w:val="00C82384"/>
    <w:rsid w:val="00C826D0"/>
    <w:rsid w:val="00C82720"/>
    <w:rsid w:val="00C8275B"/>
    <w:rsid w:val="00C829A5"/>
    <w:rsid w:val="00C82C35"/>
    <w:rsid w:val="00C82D09"/>
    <w:rsid w:val="00C82F3B"/>
    <w:rsid w:val="00C83032"/>
    <w:rsid w:val="00C8382C"/>
    <w:rsid w:val="00C83860"/>
    <w:rsid w:val="00C83EF5"/>
    <w:rsid w:val="00C83F00"/>
    <w:rsid w:val="00C83FC0"/>
    <w:rsid w:val="00C843A8"/>
    <w:rsid w:val="00C844E6"/>
    <w:rsid w:val="00C8454A"/>
    <w:rsid w:val="00C849C9"/>
    <w:rsid w:val="00C84DC8"/>
    <w:rsid w:val="00C8533D"/>
    <w:rsid w:val="00C853C7"/>
    <w:rsid w:val="00C854BC"/>
    <w:rsid w:val="00C854CE"/>
    <w:rsid w:val="00C856F7"/>
    <w:rsid w:val="00C858CE"/>
    <w:rsid w:val="00C85A87"/>
    <w:rsid w:val="00C85C67"/>
    <w:rsid w:val="00C85CB3"/>
    <w:rsid w:val="00C85D56"/>
    <w:rsid w:val="00C85DCA"/>
    <w:rsid w:val="00C85E6B"/>
    <w:rsid w:val="00C862C3"/>
    <w:rsid w:val="00C86498"/>
    <w:rsid w:val="00C865AB"/>
    <w:rsid w:val="00C86699"/>
    <w:rsid w:val="00C866EE"/>
    <w:rsid w:val="00C867C8"/>
    <w:rsid w:val="00C867E5"/>
    <w:rsid w:val="00C867E8"/>
    <w:rsid w:val="00C8693A"/>
    <w:rsid w:val="00C86A91"/>
    <w:rsid w:val="00C86EEA"/>
    <w:rsid w:val="00C8721B"/>
    <w:rsid w:val="00C87614"/>
    <w:rsid w:val="00C87671"/>
    <w:rsid w:val="00C87690"/>
    <w:rsid w:val="00C87845"/>
    <w:rsid w:val="00C87A6B"/>
    <w:rsid w:val="00C90231"/>
    <w:rsid w:val="00C90336"/>
    <w:rsid w:val="00C903FF"/>
    <w:rsid w:val="00C90501"/>
    <w:rsid w:val="00C9056B"/>
    <w:rsid w:val="00C907CC"/>
    <w:rsid w:val="00C90898"/>
    <w:rsid w:val="00C908D5"/>
    <w:rsid w:val="00C90A1E"/>
    <w:rsid w:val="00C90C4F"/>
    <w:rsid w:val="00C90CE6"/>
    <w:rsid w:val="00C91415"/>
    <w:rsid w:val="00C91766"/>
    <w:rsid w:val="00C91ADF"/>
    <w:rsid w:val="00C91D08"/>
    <w:rsid w:val="00C91FA4"/>
    <w:rsid w:val="00C92145"/>
    <w:rsid w:val="00C924A1"/>
    <w:rsid w:val="00C927A9"/>
    <w:rsid w:val="00C92AE7"/>
    <w:rsid w:val="00C93076"/>
    <w:rsid w:val="00C93859"/>
    <w:rsid w:val="00C93B26"/>
    <w:rsid w:val="00C93B2B"/>
    <w:rsid w:val="00C93B54"/>
    <w:rsid w:val="00C93C2E"/>
    <w:rsid w:val="00C93E2E"/>
    <w:rsid w:val="00C94282"/>
    <w:rsid w:val="00C946C4"/>
    <w:rsid w:val="00C94A40"/>
    <w:rsid w:val="00C94A9D"/>
    <w:rsid w:val="00C94ACF"/>
    <w:rsid w:val="00C94B31"/>
    <w:rsid w:val="00C94D2E"/>
    <w:rsid w:val="00C94D51"/>
    <w:rsid w:val="00C94E3F"/>
    <w:rsid w:val="00C9550B"/>
    <w:rsid w:val="00C95B19"/>
    <w:rsid w:val="00C95F8D"/>
    <w:rsid w:val="00C960AD"/>
    <w:rsid w:val="00C962DA"/>
    <w:rsid w:val="00C9631C"/>
    <w:rsid w:val="00C963BD"/>
    <w:rsid w:val="00C9682A"/>
    <w:rsid w:val="00C96924"/>
    <w:rsid w:val="00C96E08"/>
    <w:rsid w:val="00C96E0A"/>
    <w:rsid w:val="00C9715C"/>
    <w:rsid w:val="00C97873"/>
    <w:rsid w:val="00C97964"/>
    <w:rsid w:val="00C97A79"/>
    <w:rsid w:val="00C97EFA"/>
    <w:rsid w:val="00CA04B4"/>
    <w:rsid w:val="00CA079E"/>
    <w:rsid w:val="00CA098C"/>
    <w:rsid w:val="00CA0EDB"/>
    <w:rsid w:val="00CA12A3"/>
    <w:rsid w:val="00CA154F"/>
    <w:rsid w:val="00CA1558"/>
    <w:rsid w:val="00CA1830"/>
    <w:rsid w:val="00CA1BE8"/>
    <w:rsid w:val="00CA245A"/>
    <w:rsid w:val="00CA2499"/>
    <w:rsid w:val="00CA2501"/>
    <w:rsid w:val="00CA276E"/>
    <w:rsid w:val="00CA281D"/>
    <w:rsid w:val="00CA28BD"/>
    <w:rsid w:val="00CA28F2"/>
    <w:rsid w:val="00CA2B9B"/>
    <w:rsid w:val="00CA3036"/>
    <w:rsid w:val="00CA3215"/>
    <w:rsid w:val="00CA33E9"/>
    <w:rsid w:val="00CA34DF"/>
    <w:rsid w:val="00CA368A"/>
    <w:rsid w:val="00CA3762"/>
    <w:rsid w:val="00CA3982"/>
    <w:rsid w:val="00CA3B01"/>
    <w:rsid w:val="00CA3FDF"/>
    <w:rsid w:val="00CA443F"/>
    <w:rsid w:val="00CA44AE"/>
    <w:rsid w:val="00CA4A96"/>
    <w:rsid w:val="00CA4F87"/>
    <w:rsid w:val="00CA53CC"/>
    <w:rsid w:val="00CA5427"/>
    <w:rsid w:val="00CA5550"/>
    <w:rsid w:val="00CA577F"/>
    <w:rsid w:val="00CA5B78"/>
    <w:rsid w:val="00CA5CAA"/>
    <w:rsid w:val="00CA5CCD"/>
    <w:rsid w:val="00CA5DD3"/>
    <w:rsid w:val="00CA60C1"/>
    <w:rsid w:val="00CA62E2"/>
    <w:rsid w:val="00CA639B"/>
    <w:rsid w:val="00CA66B3"/>
    <w:rsid w:val="00CA6970"/>
    <w:rsid w:val="00CA69E6"/>
    <w:rsid w:val="00CA6A64"/>
    <w:rsid w:val="00CA6BA0"/>
    <w:rsid w:val="00CA6BD6"/>
    <w:rsid w:val="00CA71DA"/>
    <w:rsid w:val="00CA7564"/>
    <w:rsid w:val="00CA7CB9"/>
    <w:rsid w:val="00CA7DEA"/>
    <w:rsid w:val="00CA7EE7"/>
    <w:rsid w:val="00CA7F83"/>
    <w:rsid w:val="00CB0016"/>
    <w:rsid w:val="00CB01CC"/>
    <w:rsid w:val="00CB0340"/>
    <w:rsid w:val="00CB0562"/>
    <w:rsid w:val="00CB0579"/>
    <w:rsid w:val="00CB0B2C"/>
    <w:rsid w:val="00CB0D20"/>
    <w:rsid w:val="00CB114F"/>
    <w:rsid w:val="00CB11BB"/>
    <w:rsid w:val="00CB12FE"/>
    <w:rsid w:val="00CB17B2"/>
    <w:rsid w:val="00CB1B43"/>
    <w:rsid w:val="00CB1C35"/>
    <w:rsid w:val="00CB1F43"/>
    <w:rsid w:val="00CB2943"/>
    <w:rsid w:val="00CB297F"/>
    <w:rsid w:val="00CB2CA3"/>
    <w:rsid w:val="00CB2F0E"/>
    <w:rsid w:val="00CB316C"/>
    <w:rsid w:val="00CB3370"/>
    <w:rsid w:val="00CB373F"/>
    <w:rsid w:val="00CB3802"/>
    <w:rsid w:val="00CB39A0"/>
    <w:rsid w:val="00CB3A2D"/>
    <w:rsid w:val="00CB3B82"/>
    <w:rsid w:val="00CB4039"/>
    <w:rsid w:val="00CB4364"/>
    <w:rsid w:val="00CB4376"/>
    <w:rsid w:val="00CB4DAA"/>
    <w:rsid w:val="00CB4E7F"/>
    <w:rsid w:val="00CB5399"/>
    <w:rsid w:val="00CB53DF"/>
    <w:rsid w:val="00CB5994"/>
    <w:rsid w:val="00CB5FA1"/>
    <w:rsid w:val="00CB620D"/>
    <w:rsid w:val="00CB6249"/>
    <w:rsid w:val="00CB6442"/>
    <w:rsid w:val="00CB684B"/>
    <w:rsid w:val="00CB68E4"/>
    <w:rsid w:val="00CB6B0D"/>
    <w:rsid w:val="00CB6F00"/>
    <w:rsid w:val="00CB6FE6"/>
    <w:rsid w:val="00CB7290"/>
    <w:rsid w:val="00CB7565"/>
    <w:rsid w:val="00CB75A4"/>
    <w:rsid w:val="00CB75A8"/>
    <w:rsid w:val="00CB796E"/>
    <w:rsid w:val="00CB7C87"/>
    <w:rsid w:val="00CC0070"/>
    <w:rsid w:val="00CC00A6"/>
    <w:rsid w:val="00CC0699"/>
    <w:rsid w:val="00CC0881"/>
    <w:rsid w:val="00CC096F"/>
    <w:rsid w:val="00CC09D1"/>
    <w:rsid w:val="00CC0B0D"/>
    <w:rsid w:val="00CC0C48"/>
    <w:rsid w:val="00CC0CB9"/>
    <w:rsid w:val="00CC0FA0"/>
    <w:rsid w:val="00CC105E"/>
    <w:rsid w:val="00CC1181"/>
    <w:rsid w:val="00CC163C"/>
    <w:rsid w:val="00CC163F"/>
    <w:rsid w:val="00CC16E2"/>
    <w:rsid w:val="00CC196F"/>
    <w:rsid w:val="00CC1C5E"/>
    <w:rsid w:val="00CC1EA3"/>
    <w:rsid w:val="00CC2398"/>
    <w:rsid w:val="00CC23D8"/>
    <w:rsid w:val="00CC24DF"/>
    <w:rsid w:val="00CC25DD"/>
    <w:rsid w:val="00CC2760"/>
    <w:rsid w:val="00CC2A8F"/>
    <w:rsid w:val="00CC2AFC"/>
    <w:rsid w:val="00CC2B9C"/>
    <w:rsid w:val="00CC3511"/>
    <w:rsid w:val="00CC37F0"/>
    <w:rsid w:val="00CC3BA1"/>
    <w:rsid w:val="00CC3D82"/>
    <w:rsid w:val="00CC3F11"/>
    <w:rsid w:val="00CC4012"/>
    <w:rsid w:val="00CC42D5"/>
    <w:rsid w:val="00CC439B"/>
    <w:rsid w:val="00CC4423"/>
    <w:rsid w:val="00CC44BA"/>
    <w:rsid w:val="00CC4554"/>
    <w:rsid w:val="00CC4654"/>
    <w:rsid w:val="00CC4875"/>
    <w:rsid w:val="00CC48C6"/>
    <w:rsid w:val="00CC4B1C"/>
    <w:rsid w:val="00CC4B23"/>
    <w:rsid w:val="00CC55C6"/>
    <w:rsid w:val="00CC5690"/>
    <w:rsid w:val="00CC56A1"/>
    <w:rsid w:val="00CC5712"/>
    <w:rsid w:val="00CC5818"/>
    <w:rsid w:val="00CC63A3"/>
    <w:rsid w:val="00CC66BF"/>
    <w:rsid w:val="00CC723F"/>
    <w:rsid w:val="00CC7274"/>
    <w:rsid w:val="00CC7525"/>
    <w:rsid w:val="00CC75C2"/>
    <w:rsid w:val="00CC7665"/>
    <w:rsid w:val="00CC7CF3"/>
    <w:rsid w:val="00CC7DFE"/>
    <w:rsid w:val="00CD05DE"/>
    <w:rsid w:val="00CD079F"/>
    <w:rsid w:val="00CD099C"/>
    <w:rsid w:val="00CD09F0"/>
    <w:rsid w:val="00CD0B68"/>
    <w:rsid w:val="00CD0D1E"/>
    <w:rsid w:val="00CD0D66"/>
    <w:rsid w:val="00CD14C1"/>
    <w:rsid w:val="00CD1A77"/>
    <w:rsid w:val="00CD208B"/>
    <w:rsid w:val="00CD2198"/>
    <w:rsid w:val="00CD2226"/>
    <w:rsid w:val="00CD235D"/>
    <w:rsid w:val="00CD23B5"/>
    <w:rsid w:val="00CD24B2"/>
    <w:rsid w:val="00CD27DA"/>
    <w:rsid w:val="00CD2BB2"/>
    <w:rsid w:val="00CD2D89"/>
    <w:rsid w:val="00CD3041"/>
    <w:rsid w:val="00CD30E6"/>
    <w:rsid w:val="00CD3110"/>
    <w:rsid w:val="00CD33E8"/>
    <w:rsid w:val="00CD35C9"/>
    <w:rsid w:val="00CD3650"/>
    <w:rsid w:val="00CD3B94"/>
    <w:rsid w:val="00CD43DD"/>
    <w:rsid w:val="00CD4A4A"/>
    <w:rsid w:val="00CD4C20"/>
    <w:rsid w:val="00CD502F"/>
    <w:rsid w:val="00CD5301"/>
    <w:rsid w:val="00CD54FB"/>
    <w:rsid w:val="00CD5BE3"/>
    <w:rsid w:val="00CD61E4"/>
    <w:rsid w:val="00CD62DC"/>
    <w:rsid w:val="00CD656F"/>
    <w:rsid w:val="00CD65FB"/>
    <w:rsid w:val="00CD68A1"/>
    <w:rsid w:val="00CD6966"/>
    <w:rsid w:val="00CD6E07"/>
    <w:rsid w:val="00CD6F77"/>
    <w:rsid w:val="00CD745B"/>
    <w:rsid w:val="00CD75DC"/>
    <w:rsid w:val="00CD7643"/>
    <w:rsid w:val="00CD7B38"/>
    <w:rsid w:val="00CE0205"/>
    <w:rsid w:val="00CE032A"/>
    <w:rsid w:val="00CE054F"/>
    <w:rsid w:val="00CE06E1"/>
    <w:rsid w:val="00CE0B44"/>
    <w:rsid w:val="00CE149E"/>
    <w:rsid w:val="00CE14ED"/>
    <w:rsid w:val="00CE1617"/>
    <w:rsid w:val="00CE1BA9"/>
    <w:rsid w:val="00CE1C90"/>
    <w:rsid w:val="00CE20E8"/>
    <w:rsid w:val="00CE212F"/>
    <w:rsid w:val="00CE2323"/>
    <w:rsid w:val="00CE261E"/>
    <w:rsid w:val="00CE2698"/>
    <w:rsid w:val="00CE289A"/>
    <w:rsid w:val="00CE2AB2"/>
    <w:rsid w:val="00CE2AC3"/>
    <w:rsid w:val="00CE2FD6"/>
    <w:rsid w:val="00CE323D"/>
    <w:rsid w:val="00CE346D"/>
    <w:rsid w:val="00CE3885"/>
    <w:rsid w:val="00CE3BA5"/>
    <w:rsid w:val="00CE3C5F"/>
    <w:rsid w:val="00CE3D49"/>
    <w:rsid w:val="00CE413C"/>
    <w:rsid w:val="00CE4504"/>
    <w:rsid w:val="00CE451F"/>
    <w:rsid w:val="00CE464A"/>
    <w:rsid w:val="00CE50B0"/>
    <w:rsid w:val="00CE527A"/>
    <w:rsid w:val="00CE52C0"/>
    <w:rsid w:val="00CE5485"/>
    <w:rsid w:val="00CE5568"/>
    <w:rsid w:val="00CE56BD"/>
    <w:rsid w:val="00CE5AF0"/>
    <w:rsid w:val="00CE5B4B"/>
    <w:rsid w:val="00CE6045"/>
    <w:rsid w:val="00CE6291"/>
    <w:rsid w:val="00CE6420"/>
    <w:rsid w:val="00CE65C5"/>
    <w:rsid w:val="00CE6782"/>
    <w:rsid w:val="00CE6944"/>
    <w:rsid w:val="00CE75F7"/>
    <w:rsid w:val="00CE784A"/>
    <w:rsid w:val="00CE7A8A"/>
    <w:rsid w:val="00CE7B1E"/>
    <w:rsid w:val="00CE7B5D"/>
    <w:rsid w:val="00CF0145"/>
    <w:rsid w:val="00CF059A"/>
    <w:rsid w:val="00CF067E"/>
    <w:rsid w:val="00CF0BEF"/>
    <w:rsid w:val="00CF0C29"/>
    <w:rsid w:val="00CF0EBF"/>
    <w:rsid w:val="00CF112E"/>
    <w:rsid w:val="00CF1578"/>
    <w:rsid w:val="00CF16F4"/>
    <w:rsid w:val="00CF1AF7"/>
    <w:rsid w:val="00CF1BC3"/>
    <w:rsid w:val="00CF1DFC"/>
    <w:rsid w:val="00CF2A24"/>
    <w:rsid w:val="00CF2CC8"/>
    <w:rsid w:val="00CF2D02"/>
    <w:rsid w:val="00CF322D"/>
    <w:rsid w:val="00CF3343"/>
    <w:rsid w:val="00CF3632"/>
    <w:rsid w:val="00CF36CD"/>
    <w:rsid w:val="00CF370A"/>
    <w:rsid w:val="00CF3840"/>
    <w:rsid w:val="00CF38EA"/>
    <w:rsid w:val="00CF3CCE"/>
    <w:rsid w:val="00CF3EA3"/>
    <w:rsid w:val="00CF3EAF"/>
    <w:rsid w:val="00CF4076"/>
    <w:rsid w:val="00CF445F"/>
    <w:rsid w:val="00CF4843"/>
    <w:rsid w:val="00CF4B82"/>
    <w:rsid w:val="00CF4DA5"/>
    <w:rsid w:val="00CF5034"/>
    <w:rsid w:val="00CF542E"/>
    <w:rsid w:val="00CF543B"/>
    <w:rsid w:val="00CF5469"/>
    <w:rsid w:val="00CF5C8D"/>
    <w:rsid w:val="00CF5CC5"/>
    <w:rsid w:val="00CF5F01"/>
    <w:rsid w:val="00CF6147"/>
    <w:rsid w:val="00CF6203"/>
    <w:rsid w:val="00CF645E"/>
    <w:rsid w:val="00CF649D"/>
    <w:rsid w:val="00CF65F2"/>
    <w:rsid w:val="00CF68A9"/>
    <w:rsid w:val="00CF6A11"/>
    <w:rsid w:val="00CF6C43"/>
    <w:rsid w:val="00CF6CB4"/>
    <w:rsid w:val="00CF6EC2"/>
    <w:rsid w:val="00CF6F61"/>
    <w:rsid w:val="00CF70A7"/>
    <w:rsid w:val="00CF737A"/>
    <w:rsid w:val="00CF7700"/>
    <w:rsid w:val="00CF7882"/>
    <w:rsid w:val="00CF7EC4"/>
    <w:rsid w:val="00D00272"/>
    <w:rsid w:val="00D0097C"/>
    <w:rsid w:val="00D00992"/>
    <w:rsid w:val="00D00A90"/>
    <w:rsid w:val="00D00AFE"/>
    <w:rsid w:val="00D00CA0"/>
    <w:rsid w:val="00D00CD3"/>
    <w:rsid w:val="00D010DB"/>
    <w:rsid w:val="00D011E0"/>
    <w:rsid w:val="00D020E0"/>
    <w:rsid w:val="00D0211C"/>
    <w:rsid w:val="00D0239B"/>
    <w:rsid w:val="00D028FA"/>
    <w:rsid w:val="00D02A07"/>
    <w:rsid w:val="00D02BC4"/>
    <w:rsid w:val="00D02CE7"/>
    <w:rsid w:val="00D02DE4"/>
    <w:rsid w:val="00D03024"/>
    <w:rsid w:val="00D031DB"/>
    <w:rsid w:val="00D0324A"/>
    <w:rsid w:val="00D03355"/>
    <w:rsid w:val="00D0362A"/>
    <w:rsid w:val="00D036CC"/>
    <w:rsid w:val="00D03F29"/>
    <w:rsid w:val="00D03F98"/>
    <w:rsid w:val="00D04102"/>
    <w:rsid w:val="00D04109"/>
    <w:rsid w:val="00D0474C"/>
    <w:rsid w:val="00D04F09"/>
    <w:rsid w:val="00D0502B"/>
    <w:rsid w:val="00D05C86"/>
    <w:rsid w:val="00D05E4A"/>
    <w:rsid w:val="00D05E63"/>
    <w:rsid w:val="00D06385"/>
    <w:rsid w:val="00D069E6"/>
    <w:rsid w:val="00D06CCE"/>
    <w:rsid w:val="00D0739F"/>
    <w:rsid w:val="00D0788A"/>
    <w:rsid w:val="00D079A7"/>
    <w:rsid w:val="00D07D25"/>
    <w:rsid w:val="00D07F55"/>
    <w:rsid w:val="00D103CE"/>
    <w:rsid w:val="00D10449"/>
    <w:rsid w:val="00D105CA"/>
    <w:rsid w:val="00D10B40"/>
    <w:rsid w:val="00D10BE9"/>
    <w:rsid w:val="00D10D3D"/>
    <w:rsid w:val="00D10D54"/>
    <w:rsid w:val="00D10F4D"/>
    <w:rsid w:val="00D10FBE"/>
    <w:rsid w:val="00D1167E"/>
    <w:rsid w:val="00D116D4"/>
    <w:rsid w:val="00D1188F"/>
    <w:rsid w:val="00D1190A"/>
    <w:rsid w:val="00D11967"/>
    <w:rsid w:val="00D11A85"/>
    <w:rsid w:val="00D11DFE"/>
    <w:rsid w:val="00D12039"/>
    <w:rsid w:val="00D12043"/>
    <w:rsid w:val="00D1218F"/>
    <w:rsid w:val="00D1256D"/>
    <w:rsid w:val="00D1279D"/>
    <w:rsid w:val="00D127B6"/>
    <w:rsid w:val="00D12CBA"/>
    <w:rsid w:val="00D12D7D"/>
    <w:rsid w:val="00D1301E"/>
    <w:rsid w:val="00D1316D"/>
    <w:rsid w:val="00D131B5"/>
    <w:rsid w:val="00D132B0"/>
    <w:rsid w:val="00D13E21"/>
    <w:rsid w:val="00D14211"/>
    <w:rsid w:val="00D143B2"/>
    <w:rsid w:val="00D14629"/>
    <w:rsid w:val="00D149B8"/>
    <w:rsid w:val="00D14D24"/>
    <w:rsid w:val="00D1543F"/>
    <w:rsid w:val="00D155E8"/>
    <w:rsid w:val="00D15760"/>
    <w:rsid w:val="00D15A1A"/>
    <w:rsid w:val="00D15C4A"/>
    <w:rsid w:val="00D16A8B"/>
    <w:rsid w:val="00D16D43"/>
    <w:rsid w:val="00D16D4A"/>
    <w:rsid w:val="00D178DF"/>
    <w:rsid w:val="00D17A03"/>
    <w:rsid w:val="00D17AA9"/>
    <w:rsid w:val="00D17C59"/>
    <w:rsid w:val="00D20629"/>
    <w:rsid w:val="00D20863"/>
    <w:rsid w:val="00D208AD"/>
    <w:rsid w:val="00D20C42"/>
    <w:rsid w:val="00D20EF8"/>
    <w:rsid w:val="00D21055"/>
    <w:rsid w:val="00D21B03"/>
    <w:rsid w:val="00D2203B"/>
    <w:rsid w:val="00D22150"/>
    <w:rsid w:val="00D2257E"/>
    <w:rsid w:val="00D2261D"/>
    <w:rsid w:val="00D22775"/>
    <w:rsid w:val="00D228ED"/>
    <w:rsid w:val="00D22F7E"/>
    <w:rsid w:val="00D230C5"/>
    <w:rsid w:val="00D2331E"/>
    <w:rsid w:val="00D23583"/>
    <w:rsid w:val="00D23612"/>
    <w:rsid w:val="00D23803"/>
    <w:rsid w:val="00D238AE"/>
    <w:rsid w:val="00D23BE9"/>
    <w:rsid w:val="00D23F6D"/>
    <w:rsid w:val="00D24153"/>
    <w:rsid w:val="00D245DC"/>
    <w:rsid w:val="00D24ABB"/>
    <w:rsid w:val="00D24D66"/>
    <w:rsid w:val="00D24E53"/>
    <w:rsid w:val="00D24EC6"/>
    <w:rsid w:val="00D24F44"/>
    <w:rsid w:val="00D254AA"/>
    <w:rsid w:val="00D254F9"/>
    <w:rsid w:val="00D256B2"/>
    <w:rsid w:val="00D256BA"/>
    <w:rsid w:val="00D25748"/>
    <w:rsid w:val="00D25E17"/>
    <w:rsid w:val="00D25FB9"/>
    <w:rsid w:val="00D26172"/>
    <w:rsid w:val="00D26271"/>
    <w:rsid w:val="00D266F4"/>
    <w:rsid w:val="00D27021"/>
    <w:rsid w:val="00D270E4"/>
    <w:rsid w:val="00D27206"/>
    <w:rsid w:val="00D27223"/>
    <w:rsid w:val="00D27D27"/>
    <w:rsid w:val="00D27D59"/>
    <w:rsid w:val="00D27E27"/>
    <w:rsid w:val="00D3028E"/>
    <w:rsid w:val="00D30313"/>
    <w:rsid w:val="00D30361"/>
    <w:rsid w:val="00D3040B"/>
    <w:rsid w:val="00D3041B"/>
    <w:rsid w:val="00D3058A"/>
    <w:rsid w:val="00D30BC0"/>
    <w:rsid w:val="00D30C82"/>
    <w:rsid w:val="00D30EC3"/>
    <w:rsid w:val="00D30EEF"/>
    <w:rsid w:val="00D3115D"/>
    <w:rsid w:val="00D31278"/>
    <w:rsid w:val="00D314FB"/>
    <w:rsid w:val="00D31645"/>
    <w:rsid w:val="00D318B5"/>
    <w:rsid w:val="00D31958"/>
    <w:rsid w:val="00D31A0B"/>
    <w:rsid w:val="00D31C6D"/>
    <w:rsid w:val="00D3201E"/>
    <w:rsid w:val="00D32022"/>
    <w:rsid w:val="00D322DC"/>
    <w:rsid w:val="00D3237B"/>
    <w:rsid w:val="00D32484"/>
    <w:rsid w:val="00D324D9"/>
    <w:rsid w:val="00D3268E"/>
    <w:rsid w:val="00D32A8E"/>
    <w:rsid w:val="00D32C5C"/>
    <w:rsid w:val="00D32F75"/>
    <w:rsid w:val="00D32F7E"/>
    <w:rsid w:val="00D33403"/>
    <w:rsid w:val="00D33873"/>
    <w:rsid w:val="00D33883"/>
    <w:rsid w:val="00D33B0B"/>
    <w:rsid w:val="00D33C2E"/>
    <w:rsid w:val="00D33DA5"/>
    <w:rsid w:val="00D33DF3"/>
    <w:rsid w:val="00D33E1E"/>
    <w:rsid w:val="00D33E83"/>
    <w:rsid w:val="00D3444A"/>
    <w:rsid w:val="00D34508"/>
    <w:rsid w:val="00D3466F"/>
    <w:rsid w:val="00D34A41"/>
    <w:rsid w:val="00D34B90"/>
    <w:rsid w:val="00D34DD9"/>
    <w:rsid w:val="00D353A7"/>
    <w:rsid w:val="00D35409"/>
    <w:rsid w:val="00D356EE"/>
    <w:rsid w:val="00D35C40"/>
    <w:rsid w:val="00D35FA6"/>
    <w:rsid w:val="00D36204"/>
    <w:rsid w:val="00D36850"/>
    <w:rsid w:val="00D3696F"/>
    <w:rsid w:val="00D36E1D"/>
    <w:rsid w:val="00D36F98"/>
    <w:rsid w:val="00D372BC"/>
    <w:rsid w:val="00D37369"/>
    <w:rsid w:val="00D376BB"/>
    <w:rsid w:val="00D3776D"/>
    <w:rsid w:val="00D3789C"/>
    <w:rsid w:val="00D37BC7"/>
    <w:rsid w:val="00D37D0C"/>
    <w:rsid w:val="00D37D26"/>
    <w:rsid w:val="00D37E70"/>
    <w:rsid w:val="00D40B20"/>
    <w:rsid w:val="00D40F24"/>
    <w:rsid w:val="00D40FAF"/>
    <w:rsid w:val="00D40FD8"/>
    <w:rsid w:val="00D419E1"/>
    <w:rsid w:val="00D41AEC"/>
    <w:rsid w:val="00D41EE1"/>
    <w:rsid w:val="00D4207A"/>
    <w:rsid w:val="00D4213B"/>
    <w:rsid w:val="00D422E5"/>
    <w:rsid w:val="00D4239F"/>
    <w:rsid w:val="00D424EE"/>
    <w:rsid w:val="00D426E4"/>
    <w:rsid w:val="00D4281D"/>
    <w:rsid w:val="00D42AC1"/>
    <w:rsid w:val="00D42ED5"/>
    <w:rsid w:val="00D43142"/>
    <w:rsid w:val="00D43686"/>
    <w:rsid w:val="00D44043"/>
    <w:rsid w:val="00D440BE"/>
    <w:rsid w:val="00D44343"/>
    <w:rsid w:val="00D44576"/>
    <w:rsid w:val="00D44D72"/>
    <w:rsid w:val="00D450E9"/>
    <w:rsid w:val="00D4524D"/>
    <w:rsid w:val="00D45264"/>
    <w:rsid w:val="00D45577"/>
    <w:rsid w:val="00D45935"/>
    <w:rsid w:val="00D45F56"/>
    <w:rsid w:val="00D460FE"/>
    <w:rsid w:val="00D464AC"/>
    <w:rsid w:val="00D46511"/>
    <w:rsid w:val="00D46E10"/>
    <w:rsid w:val="00D47050"/>
    <w:rsid w:val="00D47263"/>
    <w:rsid w:val="00D47350"/>
    <w:rsid w:val="00D47506"/>
    <w:rsid w:val="00D4781F"/>
    <w:rsid w:val="00D4784A"/>
    <w:rsid w:val="00D47AC7"/>
    <w:rsid w:val="00D47BB4"/>
    <w:rsid w:val="00D47E88"/>
    <w:rsid w:val="00D47F85"/>
    <w:rsid w:val="00D504EF"/>
    <w:rsid w:val="00D5075E"/>
    <w:rsid w:val="00D50A6E"/>
    <w:rsid w:val="00D50C02"/>
    <w:rsid w:val="00D50E3E"/>
    <w:rsid w:val="00D51134"/>
    <w:rsid w:val="00D514DA"/>
    <w:rsid w:val="00D51552"/>
    <w:rsid w:val="00D51648"/>
    <w:rsid w:val="00D51695"/>
    <w:rsid w:val="00D51B70"/>
    <w:rsid w:val="00D51DE9"/>
    <w:rsid w:val="00D51E27"/>
    <w:rsid w:val="00D51EDF"/>
    <w:rsid w:val="00D52077"/>
    <w:rsid w:val="00D5226A"/>
    <w:rsid w:val="00D523FF"/>
    <w:rsid w:val="00D5247A"/>
    <w:rsid w:val="00D52B53"/>
    <w:rsid w:val="00D52BCD"/>
    <w:rsid w:val="00D52DB0"/>
    <w:rsid w:val="00D52E7D"/>
    <w:rsid w:val="00D531D5"/>
    <w:rsid w:val="00D531E3"/>
    <w:rsid w:val="00D5336E"/>
    <w:rsid w:val="00D535BF"/>
    <w:rsid w:val="00D53A02"/>
    <w:rsid w:val="00D53B63"/>
    <w:rsid w:val="00D53C23"/>
    <w:rsid w:val="00D53E3C"/>
    <w:rsid w:val="00D53F59"/>
    <w:rsid w:val="00D54165"/>
    <w:rsid w:val="00D552C5"/>
    <w:rsid w:val="00D55655"/>
    <w:rsid w:val="00D557F9"/>
    <w:rsid w:val="00D558CE"/>
    <w:rsid w:val="00D55BAB"/>
    <w:rsid w:val="00D55F26"/>
    <w:rsid w:val="00D560AA"/>
    <w:rsid w:val="00D57319"/>
    <w:rsid w:val="00D574B5"/>
    <w:rsid w:val="00D57582"/>
    <w:rsid w:val="00D576D8"/>
    <w:rsid w:val="00D57A87"/>
    <w:rsid w:val="00D57AB6"/>
    <w:rsid w:val="00D57B5C"/>
    <w:rsid w:val="00D57BFB"/>
    <w:rsid w:val="00D57D05"/>
    <w:rsid w:val="00D601CE"/>
    <w:rsid w:val="00D60629"/>
    <w:rsid w:val="00D60714"/>
    <w:rsid w:val="00D6079A"/>
    <w:rsid w:val="00D60C48"/>
    <w:rsid w:val="00D60CE8"/>
    <w:rsid w:val="00D60E0A"/>
    <w:rsid w:val="00D60F56"/>
    <w:rsid w:val="00D61584"/>
    <w:rsid w:val="00D615B4"/>
    <w:rsid w:val="00D6172F"/>
    <w:rsid w:val="00D619F7"/>
    <w:rsid w:val="00D61A00"/>
    <w:rsid w:val="00D61AA0"/>
    <w:rsid w:val="00D61E62"/>
    <w:rsid w:val="00D62557"/>
    <w:rsid w:val="00D625C8"/>
    <w:rsid w:val="00D62976"/>
    <w:rsid w:val="00D62B3B"/>
    <w:rsid w:val="00D62C1F"/>
    <w:rsid w:val="00D62C4F"/>
    <w:rsid w:val="00D62C93"/>
    <w:rsid w:val="00D62CCF"/>
    <w:rsid w:val="00D634E1"/>
    <w:rsid w:val="00D637C2"/>
    <w:rsid w:val="00D63A2E"/>
    <w:rsid w:val="00D63EFD"/>
    <w:rsid w:val="00D63FCC"/>
    <w:rsid w:val="00D640A8"/>
    <w:rsid w:val="00D64169"/>
    <w:rsid w:val="00D641F7"/>
    <w:rsid w:val="00D64507"/>
    <w:rsid w:val="00D64660"/>
    <w:rsid w:val="00D646DE"/>
    <w:rsid w:val="00D64F92"/>
    <w:rsid w:val="00D65027"/>
    <w:rsid w:val="00D65102"/>
    <w:rsid w:val="00D65606"/>
    <w:rsid w:val="00D65756"/>
    <w:rsid w:val="00D657B9"/>
    <w:rsid w:val="00D65952"/>
    <w:rsid w:val="00D66587"/>
    <w:rsid w:val="00D666F5"/>
    <w:rsid w:val="00D66A3E"/>
    <w:rsid w:val="00D66FF9"/>
    <w:rsid w:val="00D6745E"/>
    <w:rsid w:val="00D6756B"/>
    <w:rsid w:val="00D67774"/>
    <w:rsid w:val="00D67A65"/>
    <w:rsid w:val="00D67C4B"/>
    <w:rsid w:val="00D67E2F"/>
    <w:rsid w:val="00D67F54"/>
    <w:rsid w:val="00D70289"/>
    <w:rsid w:val="00D702E1"/>
    <w:rsid w:val="00D70967"/>
    <w:rsid w:val="00D70A35"/>
    <w:rsid w:val="00D70A73"/>
    <w:rsid w:val="00D70ABB"/>
    <w:rsid w:val="00D70BFB"/>
    <w:rsid w:val="00D70C30"/>
    <w:rsid w:val="00D70D38"/>
    <w:rsid w:val="00D714E4"/>
    <w:rsid w:val="00D719E7"/>
    <w:rsid w:val="00D72118"/>
    <w:rsid w:val="00D72662"/>
    <w:rsid w:val="00D729E9"/>
    <w:rsid w:val="00D72CE0"/>
    <w:rsid w:val="00D73081"/>
    <w:rsid w:val="00D7359D"/>
    <w:rsid w:val="00D73AF2"/>
    <w:rsid w:val="00D73FD3"/>
    <w:rsid w:val="00D741DD"/>
    <w:rsid w:val="00D7430D"/>
    <w:rsid w:val="00D74578"/>
    <w:rsid w:val="00D7469B"/>
    <w:rsid w:val="00D747EC"/>
    <w:rsid w:val="00D748FA"/>
    <w:rsid w:val="00D74A3F"/>
    <w:rsid w:val="00D7516A"/>
    <w:rsid w:val="00D75224"/>
    <w:rsid w:val="00D7524B"/>
    <w:rsid w:val="00D7534D"/>
    <w:rsid w:val="00D75866"/>
    <w:rsid w:val="00D75C0B"/>
    <w:rsid w:val="00D765AB"/>
    <w:rsid w:val="00D76C81"/>
    <w:rsid w:val="00D76E88"/>
    <w:rsid w:val="00D76F3A"/>
    <w:rsid w:val="00D77381"/>
    <w:rsid w:val="00D77618"/>
    <w:rsid w:val="00D77865"/>
    <w:rsid w:val="00D77C6F"/>
    <w:rsid w:val="00D77CE7"/>
    <w:rsid w:val="00D80353"/>
    <w:rsid w:val="00D804A3"/>
    <w:rsid w:val="00D805DA"/>
    <w:rsid w:val="00D809C6"/>
    <w:rsid w:val="00D80CC0"/>
    <w:rsid w:val="00D814E9"/>
    <w:rsid w:val="00D818D3"/>
    <w:rsid w:val="00D81E1D"/>
    <w:rsid w:val="00D81ED8"/>
    <w:rsid w:val="00D81EE5"/>
    <w:rsid w:val="00D81F2C"/>
    <w:rsid w:val="00D8295A"/>
    <w:rsid w:val="00D829A2"/>
    <w:rsid w:val="00D82AF1"/>
    <w:rsid w:val="00D82EB3"/>
    <w:rsid w:val="00D83062"/>
    <w:rsid w:val="00D83075"/>
    <w:rsid w:val="00D830FA"/>
    <w:rsid w:val="00D832C0"/>
    <w:rsid w:val="00D832D7"/>
    <w:rsid w:val="00D83CC9"/>
    <w:rsid w:val="00D83D0F"/>
    <w:rsid w:val="00D83DBD"/>
    <w:rsid w:val="00D8414A"/>
    <w:rsid w:val="00D84315"/>
    <w:rsid w:val="00D844A5"/>
    <w:rsid w:val="00D847D0"/>
    <w:rsid w:val="00D84A1A"/>
    <w:rsid w:val="00D84B23"/>
    <w:rsid w:val="00D85011"/>
    <w:rsid w:val="00D85ACD"/>
    <w:rsid w:val="00D85B47"/>
    <w:rsid w:val="00D8611C"/>
    <w:rsid w:val="00D861BC"/>
    <w:rsid w:val="00D86E88"/>
    <w:rsid w:val="00D87030"/>
    <w:rsid w:val="00D874A1"/>
    <w:rsid w:val="00D8752E"/>
    <w:rsid w:val="00D87535"/>
    <w:rsid w:val="00D876FE"/>
    <w:rsid w:val="00D87A1F"/>
    <w:rsid w:val="00D87CF0"/>
    <w:rsid w:val="00D90031"/>
    <w:rsid w:val="00D90762"/>
    <w:rsid w:val="00D90A37"/>
    <w:rsid w:val="00D90A56"/>
    <w:rsid w:val="00D90A64"/>
    <w:rsid w:val="00D90BCF"/>
    <w:rsid w:val="00D90DD7"/>
    <w:rsid w:val="00D90F95"/>
    <w:rsid w:val="00D912F4"/>
    <w:rsid w:val="00D914DA"/>
    <w:rsid w:val="00D91BFA"/>
    <w:rsid w:val="00D91C97"/>
    <w:rsid w:val="00D91D42"/>
    <w:rsid w:val="00D9234C"/>
    <w:rsid w:val="00D92510"/>
    <w:rsid w:val="00D92601"/>
    <w:rsid w:val="00D9292C"/>
    <w:rsid w:val="00D92980"/>
    <w:rsid w:val="00D92CCF"/>
    <w:rsid w:val="00D92F94"/>
    <w:rsid w:val="00D93054"/>
    <w:rsid w:val="00D934AA"/>
    <w:rsid w:val="00D935DC"/>
    <w:rsid w:val="00D936A9"/>
    <w:rsid w:val="00D93759"/>
    <w:rsid w:val="00D93A05"/>
    <w:rsid w:val="00D93C4A"/>
    <w:rsid w:val="00D93D0D"/>
    <w:rsid w:val="00D93F1F"/>
    <w:rsid w:val="00D94003"/>
    <w:rsid w:val="00D940E5"/>
    <w:rsid w:val="00D942B5"/>
    <w:rsid w:val="00D943F4"/>
    <w:rsid w:val="00D9443E"/>
    <w:rsid w:val="00D944EF"/>
    <w:rsid w:val="00D945EC"/>
    <w:rsid w:val="00D9460C"/>
    <w:rsid w:val="00D94668"/>
    <w:rsid w:val="00D9499E"/>
    <w:rsid w:val="00D950F6"/>
    <w:rsid w:val="00D95342"/>
    <w:rsid w:val="00D9548F"/>
    <w:rsid w:val="00D95808"/>
    <w:rsid w:val="00D95BA4"/>
    <w:rsid w:val="00D95CCA"/>
    <w:rsid w:val="00D95DEC"/>
    <w:rsid w:val="00D95F4A"/>
    <w:rsid w:val="00D95F9E"/>
    <w:rsid w:val="00D9602C"/>
    <w:rsid w:val="00D961D3"/>
    <w:rsid w:val="00D96386"/>
    <w:rsid w:val="00D966E8"/>
    <w:rsid w:val="00D96739"/>
    <w:rsid w:val="00D968D6"/>
    <w:rsid w:val="00D969F2"/>
    <w:rsid w:val="00D96AA2"/>
    <w:rsid w:val="00D96E53"/>
    <w:rsid w:val="00D978CA"/>
    <w:rsid w:val="00D97972"/>
    <w:rsid w:val="00D97A9A"/>
    <w:rsid w:val="00D97B74"/>
    <w:rsid w:val="00D97C9C"/>
    <w:rsid w:val="00DA0378"/>
    <w:rsid w:val="00DA0458"/>
    <w:rsid w:val="00DA05D3"/>
    <w:rsid w:val="00DA097C"/>
    <w:rsid w:val="00DA0C4A"/>
    <w:rsid w:val="00DA122B"/>
    <w:rsid w:val="00DA1968"/>
    <w:rsid w:val="00DA1F3B"/>
    <w:rsid w:val="00DA2066"/>
    <w:rsid w:val="00DA239B"/>
    <w:rsid w:val="00DA2600"/>
    <w:rsid w:val="00DA2E4D"/>
    <w:rsid w:val="00DA2FEF"/>
    <w:rsid w:val="00DA324C"/>
    <w:rsid w:val="00DA3497"/>
    <w:rsid w:val="00DA3B25"/>
    <w:rsid w:val="00DA41C9"/>
    <w:rsid w:val="00DA4965"/>
    <w:rsid w:val="00DA49C4"/>
    <w:rsid w:val="00DA4AD1"/>
    <w:rsid w:val="00DA4BF1"/>
    <w:rsid w:val="00DA4D8E"/>
    <w:rsid w:val="00DA55EA"/>
    <w:rsid w:val="00DA5600"/>
    <w:rsid w:val="00DA5721"/>
    <w:rsid w:val="00DA5759"/>
    <w:rsid w:val="00DA5A75"/>
    <w:rsid w:val="00DA5C66"/>
    <w:rsid w:val="00DA5D92"/>
    <w:rsid w:val="00DA5ED7"/>
    <w:rsid w:val="00DA633A"/>
    <w:rsid w:val="00DA6434"/>
    <w:rsid w:val="00DA6455"/>
    <w:rsid w:val="00DA6571"/>
    <w:rsid w:val="00DA6763"/>
    <w:rsid w:val="00DA682F"/>
    <w:rsid w:val="00DA6ACA"/>
    <w:rsid w:val="00DA6BCB"/>
    <w:rsid w:val="00DA6E73"/>
    <w:rsid w:val="00DA6F9F"/>
    <w:rsid w:val="00DA706E"/>
    <w:rsid w:val="00DA74B1"/>
    <w:rsid w:val="00DA74CA"/>
    <w:rsid w:val="00DA76B7"/>
    <w:rsid w:val="00DA7913"/>
    <w:rsid w:val="00DA7FDE"/>
    <w:rsid w:val="00DB071C"/>
    <w:rsid w:val="00DB0A0B"/>
    <w:rsid w:val="00DB0C70"/>
    <w:rsid w:val="00DB0FA1"/>
    <w:rsid w:val="00DB100F"/>
    <w:rsid w:val="00DB11DC"/>
    <w:rsid w:val="00DB1318"/>
    <w:rsid w:val="00DB18AF"/>
    <w:rsid w:val="00DB1B47"/>
    <w:rsid w:val="00DB1EF5"/>
    <w:rsid w:val="00DB1F6D"/>
    <w:rsid w:val="00DB229A"/>
    <w:rsid w:val="00DB283C"/>
    <w:rsid w:val="00DB2854"/>
    <w:rsid w:val="00DB2929"/>
    <w:rsid w:val="00DB2D21"/>
    <w:rsid w:val="00DB2E1F"/>
    <w:rsid w:val="00DB3520"/>
    <w:rsid w:val="00DB3873"/>
    <w:rsid w:val="00DB38EC"/>
    <w:rsid w:val="00DB3BF6"/>
    <w:rsid w:val="00DB3C83"/>
    <w:rsid w:val="00DB3C8A"/>
    <w:rsid w:val="00DB3E01"/>
    <w:rsid w:val="00DB3EEE"/>
    <w:rsid w:val="00DB40DC"/>
    <w:rsid w:val="00DB435F"/>
    <w:rsid w:val="00DB437F"/>
    <w:rsid w:val="00DB47F2"/>
    <w:rsid w:val="00DB492D"/>
    <w:rsid w:val="00DB4A25"/>
    <w:rsid w:val="00DB4BBC"/>
    <w:rsid w:val="00DB5184"/>
    <w:rsid w:val="00DB58F4"/>
    <w:rsid w:val="00DB5A6B"/>
    <w:rsid w:val="00DB5AA8"/>
    <w:rsid w:val="00DB5BED"/>
    <w:rsid w:val="00DB5C97"/>
    <w:rsid w:val="00DB6366"/>
    <w:rsid w:val="00DB6D61"/>
    <w:rsid w:val="00DB72B5"/>
    <w:rsid w:val="00DB7D3D"/>
    <w:rsid w:val="00DB7FE6"/>
    <w:rsid w:val="00DB7FFC"/>
    <w:rsid w:val="00DC029B"/>
    <w:rsid w:val="00DC033E"/>
    <w:rsid w:val="00DC03EF"/>
    <w:rsid w:val="00DC07F6"/>
    <w:rsid w:val="00DC098C"/>
    <w:rsid w:val="00DC0C6C"/>
    <w:rsid w:val="00DC1225"/>
    <w:rsid w:val="00DC1577"/>
    <w:rsid w:val="00DC1611"/>
    <w:rsid w:val="00DC184F"/>
    <w:rsid w:val="00DC1AC6"/>
    <w:rsid w:val="00DC1E78"/>
    <w:rsid w:val="00DC2934"/>
    <w:rsid w:val="00DC2FB1"/>
    <w:rsid w:val="00DC2FE7"/>
    <w:rsid w:val="00DC34FE"/>
    <w:rsid w:val="00DC3565"/>
    <w:rsid w:val="00DC3625"/>
    <w:rsid w:val="00DC39AB"/>
    <w:rsid w:val="00DC3C63"/>
    <w:rsid w:val="00DC425A"/>
    <w:rsid w:val="00DC4333"/>
    <w:rsid w:val="00DC44EA"/>
    <w:rsid w:val="00DC4608"/>
    <w:rsid w:val="00DC4688"/>
    <w:rsid w:val="00DC4DF2"/>
    <w:rsid w:val="00DC4DFD"/>
    <w:rsid w:val="00DC4EBA"/>
    <w:rsid w:val="00DC4F53"/>
    <w:rsid w:val="00DC5017"/>
    <w:rsid w:val="00DC5788"/>
    <w:rsid w:val="00DC5797"/>
    <w:rsid w:val="00DC5822"/>
    <w:rsid w:val="00DC59F0"/>
    <w:rsid w:val="00DC5C00"/>
    <w:rsid w:val="00DC5D34"/>
    <w:rsid w:val="00DC60BA"/>
    <w:rsid w:val="00DC64DE"/>
    <w:rsid w:val="00DC6504"/>
    <w:rsid w:val="00DC679F"/>
    <w:rsid w:val="00DC6862"/>
    <w:rsid w:val="00DC6A7F"/>
    <w:rsid w:val="00DC6CC0"/>
    <w:rsid w:val="00DC700B"/>
    <w:rsid w:val="00DC70F5"/>
    <w:rsid w:val="00DC7497"/>
    <w:rsid w:val="00DC74D1"/>
    <w:rsid w:val="00DC77E5"/>
    <w:rsid w:val="00DC7A38"/>
    <w:rsid w:val="00DC7C20"/>
    <w:rsid w:val="00DD00CA"/>
    <w:rsid w:val="00DD01D2"/>
    <w:rsid w:val="00DD0265"/>
    <w:rsid w:val="00DD0817"/>
    <w:rsid w:val="00DD0B66"/>
    <w:rsid w:val="00DD0C45"/>
    <w:rsid w:val="00DD0D14"/>
    <w:rsid w:val="00DD104D"/>
    <w:rsid w:val="00DD1175"/>
    <w:rsid w:val="00DD1418"/>
    <w:rsid w:val="00DD163D"/>
    <w:rsid w:val="00DD1813"/>
    <w:rsid w:val="00DD1F19"/>
    <w:rsid w:val="00DD2090"/>
    <w:rsid w:val="00DD272C"/>
    <w:rsid w:val="00DD28DC"/>
    <w:rsid w:val="00DD29D2"/>
    <w:rsid w:val="00DD2C0E"/>
    <w:rsid w:val="00DD2C24"/>
    <w:rsid w:val="00DD2C8C"/>
    <w:rsid w:val="00DD2CAA"/>
    <w:rsid w:val="00DD2CB2"/>
    <w:rsid w:val="00DD3040"/>
    <w:rsid w:val="00DD330D"/>
    <w:rsid w:val="00DD37F1"/>
    <w:rsid w:val="00DD3A21"/>
    <w:rsid w:val="00DD464D"/>
    <w:rsid w:val="00DD4E11"/>
    <w:rsid w:val="00DD509D"/>
    <w:rsid w:val="00DD51C6"/>
    <w:rsid w:val="00DD5454"/>
    <w:rsid w:val="00DD5B90"/>
    <w:rsid w:val="00DD603A"/>
    <w:rsid w:val="00DD676A"/>
    <w:rsid w:val="00DD6822"/>
    <w:rsid w:val="00DD6829"/>
    <w:rsid w:val="00DD6B2D"/>
    <w:rsid w:val="00DD70E5"/>
    <w:rsid w:val="00DD736B"/>
    <w:rsid w:val="00DD77D9"/>
    <w:rsid w:val="00DD7898"/>
    <w:rsid w:val="00DD7AE8"/>
    <w:rsid w:val="00DD7CEF"/>
    <w:rsid w:val="00DD7D76"/>
    <w:rsid w:val="00DD7DEA"/>
    <w:rsid w:val="00DE0006"/>
    <w:rsid w:val="00DE05A4"/>
    <w:rsid w:val="00DE0A01"/>
    <w:rsid w:val="00DE0C9F"/>
    <w:rsid w:val="00DE0D2B"/>
    <w:rsid w:val="00DE1041"/>
    <w:rsid w:val="00DE1415"/>
    <w:rsid w:val="00DE14F7"/>
    <w:rsid w:val="00DE176D"/>
    <w:rsid w:val="00DE17B2"/>
    <w:rsid w:val="00DE19F7"/>
    <w:rsid w:val="00DE2005"/>
    <w:rsid w:val="00DE21DB"/>
    <w:rsid w:val="00DE2437"/>
    <w:rsid w:val="00DE2A6D"/>
    <w:rsid w:val="00DE2B5A"/>
    <w:rsid w:val="00DE2EFF"/>
    <w:rsid w:val="00DE329F"/>
    <w:rsid w:val="00DE3385"/>
    <w:rsid w:val="00DE3470"/>
    <w:rsid w:val="00DE3566"/>
    <w:rsid w:val="00DE35EF"/>
    <w:rsid w:val="00DE36C0"/>
    <w:rsid w:val="00DE3BA4"/>
    <w:rsid w:val="00DE3E5E"/>
    <w:rsid w:val="00DE4208"/>
    <w:rsid w:val="00DE43D1"/>
    <w:rsid w:val="00DE482E"/>
    <w:rsid w:val="00DE4B16"/>
    <w:rsid w:val="00DE4B1A"/>
    <w:rsid w:val="00DE4DE7"/>
    <w:rsid w:val="00DE4FE1"/>
    <w:rsid w:val="00DE5095"/>
    <w:rsid w:val="00DE5121"/>
    <w:rsid w:val="00DE5133"/>
    <w:rsid w:val="00DE53F6"/>
    <w:rsid w:val="00DE56D1"/>
    <w:rsid w:val="00DE594D"/>
    <w:rsid w:val="00DE5A7E"/>
    <w:rsid w:val="00DE5BAD"/>
    <w:rsid w:val="00DE5E1A"/>
    <w:rsid w:val="00DE6163"/>
    <w:rsid w:val="00DE61A6"/>
    <w:rsid w:val="00DE63B0"/>
    <w:rsid w:val="00DE6852"/>
    <w:rsid w:val="00DE6970"/>
    <w:rsid w:val="00DE6BD8"/>
    <w:rsid w:val="00DE6E41"/>
    <w:rsid w:val="00DE6ED6"/>
    <w:rsid w:val="00DE7862"/>
    <w:rsid w:val="00DE79A2"/>
    <w:rsid w:val="00DE7A96"/>
    <w:rsid w:val="00DF0441"/>
    <w:rsid w:val="00DF09E7"/>
    <w:rsid w:val="00DF0A56"/>
    <w:rsid w:val="00DF0A5B"/>
    <w:rsid w:val="00DF0DBA"/>
    <w:rsid w:val="00DF11BA"/>
    <w:rsid w:val="00DF1290"/>
    <w:rsid w:val="00DF12D3"/>
    <w:rsid w:val="00DF1506"/>
    <w:rsid w:val="00DF1D0F"/>
    <w:rsid w:val="00DF21E7"/>
    <w:rsid w:val="00DF24EC"/>
    <w:rsid w:val="00DF2B18"/>
    <w:rsid w:val="00DF2BC0"/>
    <w:rsid w:val="00DF2C31"/>
    <w:rsid w:val="00DF2CEE"/>
    <w:rsid w:val="00DF30ED"/>
    <w:rsid w:val="00DF3180"/>
    <w:rsid w:val="00DF334D"/>
    <w:rsid w:val="00DF3585"/>
    <w:rsid w:val="00DF3677"/>
    <w:rsid w:val="00DF383B"/>
    <w:rsid w:val="00DF42BF"/>
    <w:rsid w:val="00DF430E"/>
    <w:rsid w:val="00DF464D"/>
    <w:rsid w:val="00DF4831"/>
    <w:rsid w:val="00DF4AEA"/>
    <w:rsid w:val="00DF4B7A"/>
    <w:rsid w:val="00DF4B7B"/>
    <w:rsid w:val="00DF4BCA"/>
    <w:rsid w:val="00DF4BFB"/>
    <w:rsid w:val="00DF4C7D"/>
    <w:rsid w:val="00DF50A7"/>
    <w:rsid w:val="00DF5597"/>
    <w:rsid w:val="00DF563B"/>
    <w:rsid w:val="00DF5CCF"/>
    <w:rsid w:val="00DF5DA6"/>
    <w:rsid w:val="00DF6409"/>
    <w:rsid w:val="00DF69B8"/>
    <w:rsid w:val="00DF6A20"/>
    <w:rsid w:val="00DF6AA3"/>
    <w:rsid w:val="00DF6B69"/>
    <w:rsid w:val="00DF6C7B"/>
    <w:rsid w:val="00DF6DE0"/>
    <w:rsid w:val="00DF76F7"/>
    <w:rsid w:val="00DF78DB"/>
    <w:rsid w:val="00DF79BE"/>
    <w:rsid w:val="00DF79C0"/>
    <w:rsid w:val="00DF7A80"/>
    <w:rsid w:val="00DF7D65"/>
    <w:rsid w:val="00DF7E8F"/>
    <w:rsid w:val="00E0007C"/>
    <w:rsid w:val="00E00207"/>
    <w:rsid w:val="00E005E5"/>
    <w:rsid w:val="00E009BC"/>
    <w:rsid w:val="00E00BC7"/>
    <w:rsid w:val="00E00C94"/>
    <w:rsid w:val="00E00C99"/>
    <w:rsid w:val="00E01021"/>
    <w:rsid w:val="00E01C66"/>
    <w:rsid w:val="00E01D38"/>
    <w:rsid w:val="00E01E74"/>
    <w:rsid w:val="00E020C5"/>
    <w:rsid w:val="00E02588"/>
    <w:rsid w:val="00E0260B"/>
    <w:rsid w:val="00E02B9B"/>
    <w:rsid w:val="00E02D5F"/>
    <w:rsid w:val="00E031A4"/>
    <w:rsid w:val="00E03296"/>
    <w:rsid w:val="00E03526"/>
    <w:rsid w:val="00E0352A"/>
    <w:rsid w:val="00E037F2"/>
    <w:rsid w:val="00E03B3F"/>
    <w:rsid w:val="00E03B87"/>
    <w:rsid w:val="00E03DC8"/>
    <w:rsid w:val="00E03EE8"/>
    <w:rsid w:val="00E03F66"/>
    <w:rsid w:val="00E04185"/>
    <w:rsid w:val="00E046E8"/>
    <w:rsid w:val="00E0484F"/>
    <w:rsid w:val="00E04D33"/>
    <w:rsid w:val="00E04DD8"/>
    <w:rsid w:val="00E04DE2"/>
    <w:rsid w:val="00E05761"/>
    <w:rsid w:val="00E05AD1"/>
    <w:rsid w:val="00E05B13"/>
    <w:rsid w:val="00E05F20"/>
    <w:rsid w:val="00E05F70"/>
    <w:rsid w:val="00E060CE"/>
    <w:rsid w:val="00E0637B"/>
    <w:rsid w:val="00E0637F"/>
    <w:rsid w:val="00E065D2"/>
    <w:rsid w:val="00E06EC5"/>
    <w:rsid w:val="00E06FEB"/>
    <w:rsid w:val="00E0713D"/>
    <w:rsid w:val="00E07214"/>
    <w:rsid w:val="00E07432"/>
    <w:rsid w:val="00E07451"/>
    <w:rsid w:val="00E07C4C"/>
    <w:rsid w:val="00E07E36"/>
    <w:rsid w:val="00E0F560"/>
    <w:rsid w:val="00E10452"/>
    <w:rsid w:val="00E10491"/>
    <w:rsid w:val="00E1050F"/>
    <w:rsid w:val="00E1055C"/>
    <w:rsid w:val="00E10564"/>
    <w:rsid w:val="00E1095D"/>
    <w:rsid w:val="00E1098A"/>
    <w:rsid w:val="00E10EEC"/>
    <w:rsid w:val="00E11079"/>
    <w:rsid w:val="00E11236"/>
    <w:rsid w:val="00E11491"/>
    <w:rsid w:val="00E11A7C"/>
    <w:rsid w:val="00E11E13"/>
    <w:rsid w:val="00E12094"/>
    <w:rsid w:val="00E122AD"/>
    <w:rsid w:val="00E122F0"/>
    <w:rsid w:val="00E126C5"/>
    <w:rsid w:val="00E127A1"/>
    <w:rsid w:val="00E12C23"/>
    <w:rsid w:val="00E12DF7"/>
    <w:rsid w:val="00E13391"/>
    <w:rsid w:val="00E13693"/>
    <w:rsid w:val="00E1377A"/>
    <w:rsid w:val="00E1382A"/>
    <w:rsid w:val="00E13928"/>
    <w:rsid w:val="00E13DE6"/>
    <w:rsid w:val="00E1416B"/>
    <w:rsid w:val="00E1432B"/>
    <w:rsid w:val="00E14718"/>
    <w:rsid w:val="00E149E3"/>
    <w:rsid w:val="00E14B61"/>
    <w:rsid w:val="00E151F1"/>
    <w:rsid w:val="00E1526A"/>
    <w:rsid w:val="00E1541F"/>
    <w:rsid w:val="00E1556F"/>
    <w:rsid w:val="00E156A4"/>
    <w:rsid w:val="00E15832"/>
    <w:rsid w:val="00E159FA"/>
    <w:rsid w:val="00E15EE2"/>
    <w:rsid w:val="00E16219"/>
    <w:rsid w:val="00E164A8"/>
    <w:rsid w:val="00E16596"/>
    <w:rsid w:val="00E16C64"/>
    <w:rsid w:val="00E16DF1"/>
    <w:rsid w:val="00E17248"/>
    <w:rsid w:val="00E17764"/>
    <w:rsid w:val="00E177C4"/>
    <w:rsid w:val="00E178DC"/>
    <w:rsid w:val="00E17913"/>
    <w:rsid w:val="00E17A1E"/>
    <w:rsid w:val="00E17AAC"/>
    <w:rsid w:val="00E17C2A"/>
    <w:rsid w:val="00E202C8"/>
    <w:rsid w:val="00E20372"/>
    <w:rsid w:val="00E203D6"/>
    <w:rsid w:val="00E20648"/>
    <w:rsid w:val="00E206EE"/>
    <w:rsid w:val="00E20860"/>
    <w:rsid w:val="00E21023"/>
    <w:rsid w:val="00E21328"/>
    <w:rsid w:val="00E214D6"/>
    <w:rsid w:val="00E21835"/>
    <w:rsid w:val="00E21A4D"/>
    <w:rsid w:val="00E21C7E"/>
    <w:rsid w:val="00E21E20"/>
    <w:rsid w:val="00E222C7"/>
    <w:rsid w:val="00E2335C"/>
    <w:rsid w:val="00E233CC"/>
    <w:rsid w:val="00E23502"/>
    <w:rsid w:val="00E23BB0"/>
    <w:rsid w:val="00E24888"/>
    <w:rsid w:val="00E24C36"/>
    <w:rsid w:val="00E24DCC"/>
    <w:rsid w:val="00E24F2C"/>
    <w:rsid w:val="00E2559D"/>
    <w:rsid w:val="00E25744"/>
    <w:rsid w:val="00E25CD7"/>
    <w:rsid w:val="00E25D02"/>
    <w:rsid w:val="00E25E82"/>
    <w:rsid w:val="00E25F0D"/>
    <w:rsid w:val="00E264CF"/>
    <w:rsid w:val="00E267DF"/>
    <w:rsid w:val="00E26854"/>
    <w:rsid w:val="00E26860"/>
    <w:rsid w:val="00E26D75"/>
    <w:rsid w:val="00E26F05"/>
    <w:rsid w:val="00E27E47"/>
    <w:rsid w:val="00E301EE"/>
    <w:rsid w:val="00E302B5"/>
    <w:rsid w:val="00E3031D"/>
    <w:rsid w:val="00E30A27"/>
    <w:rsid w:val="00E30BFB"/>
    <w:rsid w:val="00E30E25"/>
    <w:rsid w:val="00E30EA8"/>
    <w:rsid w:val="00E30F40"/>
    <w:rsid w:val="00E30F5F"/>
    <w:rsid w:val="00E3111B"/>
    <w:rsid w:val="00E31271"/>
    <w:rsid w:val="00E3134B"/>
    <w:rsid w:val="00E31626"/>
    <w:rsid w:val="00E31C86"/>
    <w:rsid w:val="00E31CAD"/>
    <w:rsid w:val="00E31D8C"/>
    <w:rsid w:val="00E31DBF"/>
    <w:rsid w:val="00E31DCB"/>
    <w:rsid w:val="00E31F70"/>
    <w:rsid w:val="00E32007"/>
    <w:rsid w:val="00E32560"/>
    <w:rsid w:val="00E3288B"/>
    <w:rsid w:val="00E32906"/>
    <w:rsid w:val="00E329B0"/>
    <w:rsid w:val="00E32DBA"/>
    <w:rsid w:val="00E32FD2"/>
    <w:rsid w:val="00E3322D"/>
    <w:rsid w:val="00E33453"/>
    <w:rsid w:val="00E3383A"/>
    <w:rsid w:val="00E338FA"/>
    <w:rsid w:val="00E33C8F"/>
    <w:rsid w:val="00E33E8F"/>
    <w:rsid w:val="00E33F02"/>
    <w:rsid w:val="00E33F07"/>
    <w:rsid w:val="00E3404B"/>
    <w:rsid w:val="00E34163"/>
    <w:rsid w:val="00E341B5"/>
    <w:rsid w:val="00E34410"/>
    <w:rsid w:val="00E34431"/>
    <w:rsid w:val="00E34783"/>
    <w:rsid w:val="00E347FE"/>
    <w:rsid w:val="00E34C40"/>
    <w:rsid w:val="00E34E13"/>
    <w:rsid w:val="00E34EC8"/>
    <w:rsid w:val="00E35180"/>
    <w:rsid w:val="00E356FC"/>
    <w:rsid w:val="00E35AD7"/>
    <w:rsid w:val="00E35FBE"/>
    <w:rsid w:val="00E364F3"/>
    <w:rsid w:val="00E365D1"/>
    <w:rsid w:val="00E36725"/>
    <w:rsid w:val="00E3684C"/>
    <w:rsid w:val="00E368C1"/>
    <w:rsid w:val="00E36A58"/>
    <w:rsid w:val="00E36B27"/>
    <w:rsid w:val="00E36CAA"/>
    <w:rsid w:val="00E37523"/>
    <w:rsid w:val="00E3793D"/>
    <w:rsid w:val="00E3798F"/>
    <w:rsid w:val="00E37A0C"/>
    <w:rsid w:val="00E37C66"/>
    <w:rsid w:val="00E37C8F"/>
    <w:rsid w:val="00E400B4"/>
    <w:rsid w:val="00E400FB"/>
    <w:rsid w:val="00E4021E"/>
    <w:rsid w:val="00E40313"/>
    <w:rsid w:val="00E403C9"/>
    <w:rsid w:val="00E4076D"/>
    <w:rsid w:val="00E40886"/>
    <w:rsid w:val="00E40BDB"/>
    <w:rsid w:val="00E40E96"/>
    <w:rsid w:val="00E412E4"/>
    <w:rsid w:val="00E412F5"/>
    <w:rsid w:val="00E4157D"/>
    <w:rsid w:val="00E41583"/>
    <w:rsid w:val="00E41D3D"/>
    <w:rsid w:val="00E41E56"/>
    <w:rsid w:val="00E425FC"/>
    <w:rsid w:val="00E426E1"/>
    <w:rsid w:val="00E42772"/>
    <w:rsid w:val="00E433AD"/>
    <w:rsid w:val="00E43560"/>
    <w:rsid w:val="00E436EA"/>
    <w:rsid w:val="00E43B54"/>
    <w:rsid w:val="00E43FA4"/>
    <w:rsid w:val="00E443E9"/>
    <w:rsid w:val="00E4442A"/>
    <w:rsid w:val="00E445A6"/>
    <w:rsid w:val="00E44DF4"/>
    <w:rsid w:val="00E45058"/>
    <w:rsid w:val="00E45151"/>
    <w:rsid w:val="00E45375"/>
    <w:rsid w:val="00E454E0"/>
    <w:rsid w:val="00E457A2"/>
    <w:rsid w:val="00E45FCD"/>
    <w:rsid w:val="00E4635A"/>
    <w:rsid w:val="00E46507"/>
    <w:rsid w:val="00E46BCA"/>
    <w:rsid w:val="00E46CDA"/>
    <w:rsid w:val="00E46D9E"/>
    <w:rsid w:val="00E470DE"/>
    <w:rsid w:val="00E47259"/>
    <w:rsid w:val="00E474EE"/>
    <w:rsid w:val="00E476CE"/>
    <w:rsid w:val="00E4790F"/>
    <w:rsid w:val="00E4795D"/>
    <w:rsid w:val="00E47A43"/>
    <w:rsid w:val="00E47B43"/>
    <w:rsid w:val="00E50025"/>
    <w:rsid w:val="00E50180"/>
    <w:rsid w:val="00E50488"/>
    <w:rsid w:val="00E50655"/>
    <w:rsid w:val="00E50E43"/>
    <w:rsid w:val="00E50F6B"/>
    <w:rsid w:val="00E51AFF"/>
    <w:rsid w:val="00E51D12"/>
    <w:rsid w:val="00E52108"/>
    <w:rsid w:val="00E52938"/>
    <w:rsid w:val="00E53047"/>
    <w:rsid w:val="00E5307E"/>
    <w:rsid w:val="00E531DA"/>
    <w:rsid w:val="00E53491"/>
    <w:rsid w:val="00E53538"/>
    <w:rsid w:val="00E537B2"/>
    <w:rsid w:val="00E537FB"/>
    <w:rsid w:val="00E53802"/>
    <w:rsid w:val="00E53978"/>
    <w:rsid w:val="00E540BA"/>
    <w:rsid w:val="00E5423F"/>
    <w:rsid w:val="00E54F0C"/>
    <w:rsid w:val="00E554DD"/>
    <w:rsid w:val="00E555B8"/>
    <w:rsid w:val="00E558A4"/>
    <w:rsid w:val="00E55940"/>
    <w:rsid w:val="00E55EBA"/>
    <w:rsid w:val="00E55F2F"/>
    <w:rsid w:val="00E56260"/>
    <w:rsid w:val="00E5626F"/>
    <w:rsid w:val="00E56394"/>
    <w:rsid w:val="00E56813"/>
    <w:rsid w:val="00E56B33"/>
    <w:rsid w:val="00E56CFE"/>
    <w:rsid w:val="00E56E14"/>
    <w:rsid w:val="00E56E25"/>
    <w:rsid w:val="00E57521"/>
    <w:rsid w:val="00E5761F"/>
    <w:rsid w:val="00E57B1A"/>
    <w:rsid w:val="00E57ED5"/>
    <w:rsid w:val="00E57F5D"/>
    <w:rsid w:val="00E60792"/>
    <w:rsid w:val="00E6086D"/>
    <w:rsid w:val="00E60B13"/>
    <w:rsid w:val="00E60BCD"/>
    <w:rsid w:val="00E60F3F"/>
    <w:rsid w:val="00E611BC"/>
    <w:rsid w:val="00E61499"/>
    <w:rsid w:val="00E61596"/>
    <w:rsid w:val="00E61816"/>
    <w:rsid w:val="00E618BC"/>
    <w:rsid w:val="00E61D1D"/>
    <w:rsid w:val="00E61FFB"/>
    <w:rsid w:val="00E62187"/>
    <w:rsid w:val="00E621E3"/>
    <w:rsid w:val="00E621F0"/>
    <w:rsid w:val="00E622BE"/>
    <w:rsid w:val="00E62812"/>
    <w:rsid w:val="00E62CA6"/>
    <w:rsid w:val="00E62D90"/>
    <w:rsid w:val="00E62ECA"/>
    <w:rsid w:val="00E62F17"/>
    <w:rsid w:val="00E635B2"/>
    <w:rsid w:val="00E63723"/>
    <w:rsid w:val="00E638D7"/>
    <w:rsid w:val="00E63A22"/>
    <w:rsid w:val="00E63A87"/>
    <w:rsid w:val="00E63C14"/>
    <w:rsid w:val="00E64179"/>
    <w:rsid w:val="00E64203"/>
    <w:rsid w:val="00E6425B"/>
    <w:rsid w:val="00E644C7"/>
    <w:rsid w:val="00E64A71"/>
    <w:rsid w:val="00E64BB1"/>
    <w:rsid w:val="00E64E64"/>
    <w:rsid w:val="00E650D8"/>
    <w:rsid w:val="00E65558"/>
    <w:rsid w:val="00E65B60"/>
    <w:rsid w:val="00E65C4A"/>
    <w:rsid w:val="00E65E4D"/>
    <w:rsid w:val="00E66232"/>
    <w:rsid w:val="00E66663"/>
    <w:rsid w:val="00E667C3"/>
    <w:rsid w:val="00E6686D"/>
    <w:rsid w:val="00E66A81"/>
    <w:rsid w:val="00E66F4B"/>
    <w:rsid w:val="00E6708C"/>
    <w:rsid w:val="00E6724D"/>
    <w:rsid w:val="00E67380"/>
    <w:rsid w:val="00E674C5"/>
    <w:rsid w:val="00E67625"/>
    <w:rsid w:val="00E677EF"/>
    <w:rsid w:val="00E678AA"/>
    <w:rsid w:val="00E67EC6"/>
    <w:rsid w:val="00E67EE0"/>
    <w:rsid w:val="00E70047"/>
    <w:rsid w:val="00E70125"/>
    <w:rsid w:val="00E7021F"/>
    <w:rsid w:val="00E7093B"/>
    <w:rsid w:val="00E7099B"/>
    <w:rsid w:val="00E70C20"/>
    <w:rsid w:val="00E70DE9"/>
    <w:rsid w:val="00E71074"/>
    <w:rsid w:val="00E71229"/>
    <w:rsid w:val="00E714C9"/>
    <w:rsid w:val="00E71502"/>
    <w:rsid w:val="00E71521"/>
    <w:rsid w:val="00E715B8"/>
    <w:rsid w:val="00E7176C"/>
    <w:rsid w:val="00E7188E"/>
    <w:rsid w:val="00E71A95"/>
    <w:rsid w:val="00E71AB6"/>
    <w:rsid w:val="00E71EA9"/>
    <w:rsid w:val="00E71F8B"/>
    <w:rsid w:val="00E72033"/>
    <w:rsid w:val="00E72064"/>
    <w:rsid w:val="00E72250"/>
    <w:rsid w:val="00E72359"/>
    <w:rsid w:val="00E72424"/>
    <w:rsid w:val="00E72B32"/>
    <w:rsid w:val="00E72F3E"/>
    <w:rsid w:val="00E72F86"/>
    <w:rsid w:val="00E73324"/>
    <w:rsid w:val="00E73407"/>
    <w:rsid w:val="00E735AD"/>
    <w:rsid w:val="00E73B2A"/>
    <w:rsid w:val="00E73F1B"/>
    <w:rsid w:val="00E740CD"/>
    <w:rsid w:val="00E741AB"/>
    <w:rsid w:val="00E743EB"/>
    <w:rsid w:val="00E74B9A"/>
    <w:rsid w:val="00E74E9A"/>
    <w:rsid w:val="00E75175"/>
    <w:rsid w:val="00E75247"/>
    <w:rsid w:val="00E755E1"/>
    <w:rsid w:val="00E755F5"/>
    <w:rsid w:val="00E75A96"/>
    <w:rsid w:val="00E75E92"/>
    <w:rsid w:val="00E7611A"/>
    <w:rsid w:val="00E761B1"/>
    <w:rsid w:val="00E764DB"/>
    <w:rsid w:val="00E766BA"/>
    <w:rsid w:val="00E766DA"/>
    <w:rsid w:val="00E76A15"/>
    <w:rsid w:val="00E76D38"/>
    <w:rsid w:val="00E771AB"/>
    <w:rsid w:val="00E77A2F"/>
    <w:rsid w:val="00E77C35"/>
    <w:rsid w:val="00E77E3A"/>
    <w:rsid w:val="00E80DA7"/>
    <w:rsid w:val="00E812F0"/>
    <w:rsid w:val="00E8154B"/>
    <w:rsid w:val="00E81648"/>
    <w:rsid w:val="00E816D9"/>
    <w:rsid w:val="00E819E4"/>
    <w:rsid w:val="00E81C3A"/>
    <w:rsid w:val="00E81FDA"/>
    <w:rsid w:val="00E82397"/>
    <w:rsid w:val="00E82A52"/>
    <w:rsid w:val="00E82BDB"/>
    <w:rsid w:val="00E83183"/>
    <w:rsid w:val="00E835B7"/>
    <w:rsid w:val="00E8374E"/>
    <w:rsid w:val="00E837AD"/>
    <w:rsid w:val="00E838CB"/>
    <w:rsid w:val="00E839A7"/>
    <w:rsid w:val="00E839FB"/>
    <w:rsid w:val="00E83F0D"/>
    <w:rsid w:val="00E84035"/>
    <w:rsid w:val="00E84552"/>
    <w:rsid w:val="00E849AB"/>
    <w:rsid w:val="00E84C8D"/>
    <w:rsid w:val="00E84E0E"/>
    <w:rsid w:val="00E84EB0"/>
    <w:rsid w:val="00E8510F"/>
    <w:rsid w:val="00E851C3"/>
    <w:rsid w:val="00E851D7"/>
    <w:rsid w:val="00E85619"/>
    <w:rsid w:val="00E8567D"/>
    <w:rsid w:val="00E8579D"/>
    <w:rsid w:val="00E85A97"/>
    <w:rsid w:val="00E85D2F"/>
    <w:rsid w:val="00E85D78"/>
    <w:rsid w:val="00E85F2F"/>
    <w:rsid w:val="00E8619A"/>
    <w:rsid w:val="00E862A7"/>
    <w:rsid w:val="00E865F9"/>
    <w:rsid w:val="00E868E7"/>
    <w:rsid w:val="00E86B66"/>
    <w:rsid w:val="00E86C32"/>
    <w:rsid w:val="00E86E81"/>
    <w:rsid w:val="00E87D63"/>
    <w:rsid w:val="00E87F6F"/>
    <w:rsid w:val="00E90388"/>
    <w:rsid w:val="00E9047E"/>
    <w:rsid w:val="00E905AA"/>
    <w:rsid w:val="00E905CA"/>
    <w:rsid w:val="00E90C02"/>
    <w:rsid w:val="00E90D18"/>
    <w:rsid w:val="00E90D59"/>
    <w:rsid w:val="00E90D7B"/>
    <w:rsid w:val="00E90ECE"/>
    <w:rsid w:val="00E90EF2"/>
    <w:rsid w:val="00E90F10"/>
    <w:rsid w:val="00E90F23"/>
    <w:rsid w:val="00E9126A"/>
    <w:rsid w:val="00E913AC"/>
    <w:rsid w:val="00E91788"/>
    <w:rsid w:val="00E917C3"/>
    <w:rsid w:val="00E91C07"/>
    <w:rsid w:val="00E91C43"/>
    <w:rsid w:val="00E91D29"/>
    <w:rsid w:val="00E91EA0"/>
    <w:rsid w:val="00E91F4F"/>
    <w:rsid w:val="00E92464"/>
    <w:rsid w:val="00E92513"/>
    <w:rsid w:val="00E92785"/>
    <w:rsid w:val="00E92B76"/>
    <w:rsid w:val="00E92DD9"/>
    <w:rsid w:val="00E93453"/>
    <w:rsid w:val="00E93519"/>
    <w:rsid w:val="00E9387C"/>
    <w:rsid w:val="00E94104"/>
    <w:rsid w:val="00E94211"/>
    <w:rsid w:val="00E943C3"/>
    <w:rsid w:val="00E95020"/>
    <w:rsid w:val="00E95364"/>
    <w:rsid w:val="00E9570F"/>
    <w:rsid w:val="00E95A37"/>
    <w:rsid w:val="00E95CC1"/>
    <w:rsid w:val="00E962FD"/>
    <w:rsid w:val="00E96AA4"/>
    <w:rsid w:val="00E96AB5"/>
    <w:rsid w:val="00E96E73"/>
    <w:rsid w:val="00E96EF9"/>
    <w:rsid w:val="00E9729E"/>
    <w:rsid w:val="00E97516"/>
    <w:rsid w:val="00E97540"/>
    <w:rsid w:val="00E975BF"/>
    <w:rsid w:val="00E9773F"/>
    <w:rsid w:val="00E97AEC"/>
    <w:rsid w:val="00E97B4B"/>
    <w:rsid w:val="00E97FF6"/>
    <w:rsid w:val="00EA01CF"/>
    <w:rsid w:val="00EA0266"/>
    <w:rsid w:val="00EA066A"/>
    <w:rsid w:val="00EA08E2"/>
    <w:rsid w:val="00EA0FA2"/>
    <w:rsid w:val="00EA0FF0"/>
    <w:rsid w:val="00EA18BF"/>
    <w:rsid w:val="00EA1B06"/>
    <w:rsid w:val="00EA1E81"/>
    <w:rsid w:val="00EA1F93"/>
    <w:rsid w:val="00EA2075"/>
    <w:rsid w:val="00EA22AF"/>
    <w:rsid w:val="00EA2461"/>
    <w:rsid w:val="00EA2ADE"/>
    <w:rsid w:val="00EA2E58"/>
    <w:rsid w:val="00EA2F41"/>
    <w:rsid w:val="00EA32D9"/>
    <w:rsid w:val="00EA3704"/>
    <w:rsid w:val="00EA3795"/>
    <w:rsid w:val="00EA37A3"/>
    <w:rsid w:val="00EA39EA"/>
    <w:rsid w:val="00EA3B9C"/>
    <w:rsid w:val="00EA3CC8"/>
    <w:rsid w:val="00EA40E6"/>
    <w:rsid w:val="00EA418E"/>
    <w:rsid w:val="00EA4284"/>
    <w:rsid w:val="00EA478B"/>
    <w:rsid w:val="00EA4CA1"/>
    <w:rsid w:val="00EA4E1E"/>
    <w:rsid w:val="00EA58C8"/>
    <w:rsid w:val="00EA5B7E"/>
    <w:rsid w:val="00EA5D8C"/>
    <w:rsid w:val="00EA668A"/>
    <w:rsid w:val="00EA66F3"/>
    <w:rsid w:val="00EA686C"/>
    <w:rsid w:val="00EA6A3A"/>
    <w:rsid w:val="00EA6C3B"/>
    <w:rsid w:val="00EA6D5C"/>
    <w:rsid w:val="00EA6F92"/>
    <w:rsid w:val="00EA71D0"/>
    <w:rsid w:val="00EA75FF"/>
    <w:rsid w:val="00EA76E7"/>
    <w:rsid w:val="00EA797A"/>
    <w:rsid w:val="00EA7BF9"/>
    <w:rsid w:val="00EA7C4C"/>
    <w:rsid w:val="00EA7CD8"/>
    <w:rsid w:val="00EB00E5"/>
    <w:rsid w:val="00EB0555"/>
    <w:rsid w:val="00EB06DF"/>
    <w:rsid w:val="00EB06E0"/>
    <w:rsid w:val="00EB075C"/>
    <w:rsid w:val="00EB0798"/>
    <w:rsid w:val="00EB1181"/>
    <w:rsid w:val="00EB1277"/>
    <w:rsid w:val="00EB1314"/>
    <w:rsid w:val="00EB13FA"/>
    <w:rsid w:val="00EB145F"/>
    <w:rsid w:val="00EB15C0"/>
    <w:rsid w:val="00EB1668"/>
    <w:rsid w:val="00EB16DA"/>
    <w:rsid w:val="00EB182B"/>
    <w:rsid w:val="00EB198B"/>
    <w:rsid w:val="00EB19AC"/>
    <w:rsid w:val="00EB1CBE"/>
    <w:rsid w:val="00EB2506"/>
    <w:rsid w:val="00EB2A78"/>
    <w:rsid w:val="00EB2AB9"/>
    <w:rsid w:val="00EB2DB6"/>
    <w:rsid w:val="00EB2E7E"/>
    <w:rsid w:val="00EB30CD"/>
    <w:rsid w:val="00EB34B6"/>
    <w:rsid w:val="00EB35E8"/>
    <w:rsid w:val="00EB3A2E"/>
    <w:rsid w:val="00EB3B0B"/>
    <w:rsid w:val="00EB3DE7"/>
    <w:rsid w:val="00EB3E7D"/>
    <w:rsid w:val="00EB4693"/>
    <w:rsid w:val="00EB4933"/>
    <w:rsid w:val="00EB4ADF"/>
    <w:rsid w:val="00EB521B"/>
    <w:rsid w:val="00EB53B1"/>
    <w:rsid w:val="00EB55BC"/>
    <w:rsid w:val="00EB5601"/>
    <w:rsid w:val="00EB5739"/>
    <w:rsid w:val="00EB573C"/>
    <w:rsid w:val="00EB588F"/>
    <w:rsid w:val="00EB59CD"/>
    <w:rsid w:val="00EB5A39"/>
    <w:rsid w:val="00EB5CDC"/>
    <w:rsid w:val="00EB625A"/>
    <w:rsid w:val="00EB6320"/>
    <w:rsid w:val="00EB640D"/>
    <w:rsid w:val="00EB652A"/>
    <w:rsid w:val="00EB666E"/>
    <w:rsid w:val="00EB667C"/>
    <w:rsid w:val="00EB72F7"/>
    <w:rsid w:val="00EB73BD"/>
    <w:rsid w:val="00EB79E7"/>
    <w:rsid w:val="00EB7B58"/>
    <w:rsid w:val="00EB7C11"/>
    <w:rsid w:val="00EB7F7E"/>
    <w:rsid w:val="00EC0252"/>
    <w:rsid w:val="00EC0276"/>
    <w:rsid w:val="00EC0A13"/>
    <w:rsid w:val="00EC0AF5"/>
    <w:rsid w:val="00EC0F48"/>
    <w:rsid w:val="00EC1001"/>
    <w:rsid w:val="00EC10C4"/>
    <w:rsid w:val="00EC13C9"/>
    <w:rsid w:val="00EC1504"/>
    <w:rsid w:val="00EC1C7C"/>
    <w:rsid w:val="00EC1E1E"/>
    <w:rsid w:val="00EC1F5A"/>
    <w:rsid w:val="00EC2235"/>
    <w:rsid w:val="00EC2821"/>
    <w:rsid w:val="00EC2AD6"/>
    <w:rsid w:val="00EC2C91"/>
    <w:rsid w:val="00EC2F07"/>
    <w:rsid w:val="00EC3067"/>
    <w:rsid w:val="00EC3404"/>
    <w:rsid w:val="00EC422F"/>
    <w:rsid w:val="00EC4560"/>
    <w:rsid w:val="00EC4998"/>
    <w:rsid w:val="00EC4ACA"/>
    <w:rsid w:val="00EC4B7C"/>
    <w:rsid w:val="00EC4E7F"/>
    <w:rsid w:val="00EC4F1C"/>
    <w:rsid w:val="00EC5208"/>
    <w:rsid w:val="00EC5487"/>
    <w:rsid w:val="00EC5657"/>
    <w:rsid w:val="00EC5764"/>
    <w:rsid w:val="00EC57BF"/>
    <w:rsid w:val="00EC57F3"/>
    <w:rsid w:val="00EC5B70"/>
    <w:rsid w:val="00EC5B81"/>
    <w:rsid w:val="00EC5D1A"/>
    <w:rsid w:val="00EC5DE4"/>
    <w:rsid w:val="00EC604A"/>
    <w:rsid w:val="00EC68DC"/>
    <w:rsid w:val="00EC6975"/>
    <w:rsid w:val="00EC6E74"/>
    <w:rsid w:val="00EC730B"/>
    <w:rsid w:val="00EC7796"/>
    <w:rsid w:val="00EC77D3"/>
    <w:rsid w:val="00EC793E"/>
    <w:rsid w:val="00EC7A9D"/>
    <w:rsid w:val="00EC7DC3"/>
    <w:rsid w:val="00EC7DCE"/>
    <w:rsid w:val="00ED022A"/>
    <w:rsid w:val="00ED0332"/>
    <w:rsid w:val="00ED05BE"/>
    <w:rsid w:val="00ED085E"/>
    <w:rsid w:val="00ED09D9"/>
    <w:rsid w:val="00ED0E3B"/>
    <w:rsid w:val="00ED11D2"/>
    <w:rsid w:val="00ED1555"/>
    <w:rsid w:val="00ED18B3"/>
    <w:rsid w:val="00ED1C14"/>
    <w:rsid w:val="00ED1C8C"/>
    <w:rsid w:val="00ED1C9C"/>
    <w:rsid w:val="00ED1DAF"/>
    <w:rsid w:val="00ED1F24"/>
    <w:rsid w:val="00ED22C8"/>
    <w:rsid w:val="00ED2698"/>
    <w:rsid w:val="00ED26F4"/>
    <w:rsid w:val="00ED2757"/>
    <w:rsid w:val="00ED28FC"/>
    <w:rsid w:val="00ED2B63"/>
    <w:rsid w:val="00ED334F"/>
    <w:rsid w:val="00ED3A45"/>
    <w:rsid w:val="00ED3B08"/>
    <w:rsid w:val="00ED3F86"/>
    <w:rsid w:val="00ED400A"/>
    <w:rsid w:val="00ED467F"/>
    <w:rsid w:val="00ED46BF"/>
    <w:rsid w:val="00ED46FB"/>
    <w:rsid w:val="00ED4C5B"/>
    <w:rsid w:val="00ED4E98"/>
    <w:rsid w:val="00ED50CF"/>
    <w:rsid w:val="00ED55EC"/>
    <w:rsid w:val="00ED566D"/>
    <w:rsid w:val="00ED57AF"/>
    <w:rsid w:val="00ED5A45"/>
    <w:rsid w:val="00ED5C05"/>
    <w:rsid w:val="00ED5C55"/>
    <w:rsid w:val="00ED5C96"/>
    <w:rsid w:val="00ED5C9B"/>
    <w:rsid w:val="00ED5D67"/>
    <w:rsid w:val="00ED604A"/>
    <w:rsid w:val="00ED60DE"/>
    <w:rsid w:val="00ED62D8"/>
    <w:rsid w:val="00ED63DF"/>
    <w:rsid w:val="00ED6503"/>
    <w:rsid w:val="00ED65F9"/>
    <w:rsid w:val="00ED6AB5"/>
    <w:rsid w:val="00ED7050"/>
    <w:rsid w:val="00ED7254"/>
    <w:rsid w:val="00ED7445"/>
    <w:rsid w:val="00ED7770"/>
    <w:rsid w:val="00ED7A25"/>
    <w:rsid w:val="00ED7EEE"/>
    <w:rsid w:val="00EE0200"/>
    <w:rsid w:val="00EE0460"/>
    <w:rsid w:val="00EE0B7C"/>
    <w:rsid w:val="00EE0CBB"/>
    <w:rsid w:val="00EE0F6E"/>
    <w:rsid w:val="00EE0FC6"/>
    <w:rsid w:val="00EE104A"/>
    <w:rsid w:val="00EE1710"/>
    <w:rsid w:val="00EE17FB"/>
    <w:rsid w:val="00EE1ABE"/>
    <w:rsid w:val="00EE21AA"/>
    <w:rsid w:val="00EE245C"/>
    <w:rsid w:val="00EE2538"/>
    <w:rsid w:val="00EE276F"/>
    <w:rsid w:val="00EE2C0E"/>
    <w:rsid w:val="00EE2CC1"/>
    <w:rsid w:val="00EE2D9F"/>
    <w:rsid w:val="00EE2DD0"/>
    <w:rsid w:val="00EE2E45"/>
    <w:rsid w:val="00EE2EC0"/>
    <w:rsid w:val="00EE326A"/>
    <w:rsid w:val="00EE3719"/>
    <w:rsid w:val="00EE3827"/>
    <w:rsid w:val="00EE39E3"/>
    <w:rsid w:val="00EE3ABF"/>
    <w:rsid w:val="00EE4005"/>
    <w:rsid w:val="00EE45DA"/>
    <w:rsid w:val="00EE46DB"/>
    <w:rsid w:val="00EE4B70"/>
    <w:rsid w:val="00EE4F2F"/>
    <w:rsid w:val="00EE50D9"/>
    <w:rsid w:val="00EE5437"/>
    <w:rsid w:val="00EE5CCA"/>
    <w:rsid w:val="00EE635A"/>
    <w:rsid w:val="00EE6439"/>
    <w:rsid w:val="00EE6611"/>
    <w:rsid w:val="00EE6FD3"/>
    <w:rsid w:val="00EE72D6"/>
    <w:rsid w:val="00EE7490"/>
    <w:rsid w:val="00EE7579"/>
    <w:rsid w:val="00EE7D2D"/>
    <w:rsid w:val="00EE7F1A"/>
    <w:rsid w:val="00EF00ED"/>
    <w:rsid w:val="00EF0377"/>
    <w:rsid w:val="00EF08E5"/>
    <w:rsid w:val="00EF0C59"/>
    <w:rsid w:val="00EF1177"/>
    <w:rsid w:val="00EF139A"/>
    <w:rsid w:val="00EF1707"/>
    <w:rsid w:val="00EF1A20"/>
    <w:rsid w:val="00EF1B58"/>
    <w:rsid w:val="00EF1FC9"/>
    <w:rsid w:val="00EF20BA"/>
    <w:rsid w:val="00EF22F8"/>
    <w:rsid w:val="00EF24C3"/>
    <w:rsid w:val="00EF2A85"/>
    <w:rsid w:val="00EF2FF3"/>
    <w:rsid w:val="00EF3339"/>
    <w:rsid w:val="00EF33AA"/>
    <w:rsid w:val="00EF355A"/>
    <w:rsid w:val="00EF3B5F"/>
    <w:rsid w:val="00EF3DF9"/>
    <w:rsid w:val="00EF4008"/>
    <w:rsid w:val="00EF41AF"/>
    <w:rsid w:val="00EF41DE"/>
    <w:rsid w:val="00EF43D6"/>
    <w:rsid w:val="00EF43E6"/>
    <w:rsid w:val="00EF45DC"/>
    <w:rsid w:val="00EF46CF"/>
    <w:rsid w:val="00EF499F"/>
    <w:rsid w:val="00EF49AC"/>
    <w:rsid w:val="00EF55C8"/>
    <w:rsid w:val="00EF56DB"/>
    <w:rsid w:val="00EF5896"/>
    <w:rsid w:val="00EF593B"/>
    <w:rsid w:val="00EF5A60"/>
    <w:rsid w:val="00EF5DD6"/>
    <w:rsid w:val="00EF6367"/>
    <w:rsid w:val="00EF67F0"/>
    <w:rsid w:val="00EF6AF0"/>
    <w:rsid w:val="00EF7156"/>
    <w:rsid w:val="00EF763E"/>
    <w:rsid w:val="00EF777A"/>
    <w:rsid w:val="00EF79CE"/>
    <w:rsid w:val="00EF7CEC"/>
    <w:rsid w:val="00EF7D38"/>
    <w:rsid w:val="00F000CB"/>
    <w:rsid w:val="00F00481"/>
    <w:rsid w:val="00F0070C"/>
    <w:rsid w:val="00F0086D"/>
    <w:rsid w:val="00F0093E"/>
    <w:rsid w:val="00F00BBC"/>
    <w:rsid w:val="00F00D7C"/>
    <w:rsid w:val="00F010F4"/>
    <w:rsid w:val="00F01390"/>
    <w:rsid w:val="00F0145A"/>
    <w:rsid w:val="00F01708"/>
    <w:rsid w:val="00F017F2"/>
    <w:rsid w:val="00F01A1C"/>
    <w:rsid w:val="00F01ABC"/>
    <w:rsid w:val="00F01B1B"/>
    <w:rsid w:val="00F01DA9"/>
    <w:rsid w:val="00F022F6"/>
    <w:rsid w:val="00F023C7"/>
    <w:rsid w:val="00F0247E"/>
    <w:rsid w:val="00F02EAD"/>
    <w:rsid w:val="00F02F86"/>
    <w:rsid w:val="00F030A0"/>
    <w:rsid w:val="00F03509"/>
    <w:rsid w:val="00F036CF"/>
    <w:rsid w:val="00F038D3"/>
    <w:rsid w:val="00F03B95"/>
    <w:rsid w:val="00F041CE"/>
    <w:rsid w:val="00F04224"/>
    <w:rsid w:val="00F045E4"/>
    <w:rsid w:val="00F04799"/>
    <w:rsid w:val="00F04A29"/>
    <w:rsid w:val="00F04CF0"/>
    <w:rsid w:val="00F04D7E"/>
    <w:rsid w:val="00F04EB6"/>
    <w:rsid w:val="00F052F8"/>
    <w:rsid w:val="00F053FC"/>
    <w:rsid w:val="00F05CBC"/>
    <w:rsid w:val="00F05CDB"/>
    <w:rsid w:val="00F05ECC"/>
    <w:rsid w:val="00F06245"/>
    <w:rsid w:val="00F065B7"/>
    <w:rsid w:val="00F0670C"/>
    <w:rsid w:val="00F0683E"/>
    <w:rsid w:val="00F068B4"/>
    <w:rsid w:val="00F07255"/>
    <w:rsid w:val="00F074CE"/>
    <w:rsid w:val="00F07506"/>
    <w:rsid w:val="00F07B80"/>
    <w:rsid w:val="00F101BB"/>
    <w:rsid w:val="00F105D7"/>
    <w:rsid w:val="00F10882"/>
    <w:rsid w:val="00F10A28"/>
    <w:rsid w:val="00F10BF2"/>
    <w:rsid w:val="00F10DAD"/>
    <w:rsid w:val="00F10E1D"/>
    <w:rsid w:val="00F10E30"/>
    <w:rsid w:val="00F113B1"/>
    <w:rsid w:val="00F113E7"/>
    <w:rsid w:val="00F1178A"/>
    <w:rsid w:val="00F11A5F"/>
    <w:rsid w:val="00F11AAF"/>
    <w:rsid w:val="00F11B15"/>
    <w:rsid w:val="00F11C6A"/>
    <w:rsid w:val="00F11FB7"/>
    <w:rsid w:val="00F12105"/>
    <w:rsid w:val="00F123B7"/>
    <w:rsid w:val="00F124CD"/>
    <w:rsid w:val="00F12707"/>
    <w:rsid w:val="00F12819"/>
    <w:rsid w:val="00F12876"/>
    <w:rsid w:val="00F12AF0"/>
    <w:rsid w:val="00F12E09"/>
    <w:rsid w:val="00F12E46"/>
    <w:rsid w:val="00F12F8D"/>
    <w:rsid w:val="00F1325E"/>
    <w:rsid w:val="00F132E9"/>
    <w:rsid w:val="00F132F4"/>
    <w:rsid w:val="00F13413"/>
    <w:rsid w:val="00F139D4"/>
    <w:rsid w:val="00F13BF9"/>
    <w:rsid w:val="00F13D1F"/>
    <w:rsid w:val="00F14448"/>
    <w:rsid w:val="00F145B2"/>
    <w:rsid w:val="00F146A1"/>
    <w:rsid w:val="00F146CD"/>
    <w:rsid w:val="00F14AD9"/>
    <w:rsid w:val="00F14FFF"/>
    <w:rsid w:val="00F1519F"/>
    <w:rsid w:val="00F15251"/>
    <w:rsid w:val="00F155EF"/>
    <w:rsid w:val="00F15612"/>
    <w:rsid w:val="00F158A3"/>
    <w:rsid w:val="00F1599A"/>
    <w:rsid w:val="00F15A7F"/>
    <w:rsid w:val="00F15B2B"/>
    <w:rsid w:val="00F15F3F"/>
    <w:rsid w:val="00F160A2"/>
    <w:rsid w:val="00F160F1"/>
    <w:rsid w:val="00F16247"/>
    <w:rsid w:val="00F16300"/>
    <w:rsid w:val="00F1636F"/>
    <w:rsid w:val="00F168B1"/>
    <w:rsid w:val="00F1692D"/>
    <w:rsid w:val="00F16AE2"/>
    <w:rsid w:val="00F16B62"/>
    <w:rsid w:val="00F17148"/>
    <w:rsid w:val="00F17223"/>
    <w:rsid w:val="00F17794"/>
    <w:rsid w:val="00F177E8"/>
    <w:rsid w:val="00F17AA9"/>
    <w:rsid w:val="00F17AF3"/>
    <w:rsid w:val="00F17E6B"/>
    <w:rsid w:val="00F203B2"/>
    <w:rsid w:val="00F20557"/>
    <w:rsid w:val="00F20609"/>
    <w:rsid w:val="00F207B9"/>
    <w:rsid w:val="00F209AD"/>
    <w:rsid w:val="00F20B0D"/>
    <w:rsid w:val="00F20DBA"/>
    <w:rsid w:val="00F20E4E"/>
    <w:rsid w:val="00F20E50"/>
    <w:rsid w:val="00F20EBD"/>
    <w:rsid w:val="00F2164F"/>
    <w:rsid w:val="00F216D4"/>
    <w:rsid w:val="00F216D7"/>
    <w:rsid w:val="00F21893"/>
    <w:rsid w:val="00F21921"/>
    <w:rsid w:val="00F219A4"/>
    <w:rsid w:val="00F222BF"/>
    <w:rsid w:val="00F2243B"/>
    <w:rsid w:val="00F22458"/>
    <w:rsid w:val="00F22740"/>
    <w:rsid w:val="00F22804"/>
    <w:rsid w:val="00F22A03"/>
    <w:rsid w:val="00F22A08"/>
    <w:rsid w:val="00F22B08"/>
    <w:rsid w:val="00F22C5E"/>
    <w:rsid w:val="00F22D7D"/>
    <w:rsid w:val="00F2300B"/>
    <w:rsid w:val="00F23049"/>
    <w:rsid w:val="00F23303"/>
    <w:rsid w:val="00F2350C"/>
    <w:rsid w:val="00F23899"/>
    <w:rsid w:val="00F23ACA"/>
    <w:rsid w:val="00F23B08"/>
    <w:rsid w:val="00F23DC9"/>
    <w:rsid w:val="00F23F85"/>
    <w:rsid w:val="00F240FE"/>
    <w:rsid w:val="00F24189"/>
    <w:rsid w:val="00F24599"/>
    <w:rsid w:val="00F245E0"/>
    <w:rsid w:val="00F248BE"/>
    <w:rsid w:val="00F24B9A"/>
    <w:rsid w:val="00F24C92"/>
    <w:rsid w:val="00F24DF6"/>
    <w:rsid w:val="00F24FD4"/>
    <w:rsid w:val="00F2505F"/>
    <w:rsid w:val="00F25098"/>
    <w:rsid w:val="00F254D8"/>
    <w:rsid w:val="00F25862"/>
    <w:rsid w:val="00F25909"/>
    <w:rsid w:val="00F25961"/>
    <w:rsid w:val="00F259B7"/>
    <w:rsid w:val="00F25C9A"/>
    <w:rsid w:val="00F25F08"/>
    <w:rsid w:val="00F2604B"/>
    <w:rsid w:val="00F264B0"/>
    <w:rsid w:val="00F267E3"/>
    <w:rsid w:val="00F26825"/>
    <w:rsid w:val="00F2699B"/>
    <w:rsid w:val="00F269A9"/>
    <w:rsid w:val="00F269DC"/>
    <w:rsid w:val="00F26B2B"/>
    <w:rsid w:val="00F273ED"/>
    <w:rsid w:val="00F27608"/>
    <w:rsid w:val="00F278C0"/>
    <w:rsid w:val="00F279C2"/>
    <w:rsid w:val="00F27C57"/>
    <w:rsid w:val="00F27E35"/>
    <w:rsid w:val="00F27E40"/>
    <w:rsid w:val="00F300A0"/>
    <w:rsid w:val="00F30111"/>
    <w:rsid w:val="00F3057F"/>
    <w:rsid w:val="00F3071F"/>
    <w:rsid w:val="00F30A86"/>
    <w:rsid w:val="00F30B0D"/>
    <w:rsid w:val="00F30BBC"/>
    <w:rsid w:val="00F30C13"/>
    <w:rsid w:val="00F30C76"/>
    <w:rsid w:val="00F30DD8"/>
    <w:rsid w:val="00F31300"/>
    <w:rsid w:val="00F313DF"/>
    <w:rsid w:val="00F3144B"/>
    <w:rsid w:val="00F315C2"/>
    <w:rsid w:val="00F3174D"/>
    <w:rsid w:val="00F31850"/>
    <w:rsid w:val="00F319ED"/>
    <w:rsid w:val="00F31B4B"/>
    <w:rsid w:val="00F31B8A"/>
    <w:rsid w:val="00F31F3A"/>
    <w:rsid w:val="00F31FA9"/>
    <w:rsid w:val="00F320F9"/>
    <w:rsid w:val="00F32490"/>
    <w:rsid w:val="00F32813"/>
    <w:rsid w:val="00F32965"/>
    <w:rsid w:val="00F3299F"/>
    <w:rsid w:val="00F32A6B"/>
    <w:rsid w:val="00F32E55"/>
    <w:rsid w:val="00F32F71"/>
    <w:rsid w:val="00F33026"/>
    <w:rsid w:val="00F3352E"/>
    <w:rsid w:val="00F33574"/>
    <w:rsid w:val="00F335A1"/>
    <w:rsid w:val="00F3388B"/>
    <w:rsid w:val="00F33FC0"/>
    <w:rsid w:val="00F342B1"/>
    <w:rsid w:val="00F344CF"/>
    <w:rsid w:val="00F346F2"/>
    <w:rsid w:val="00F3485C"/>
    <w:rsid w:val="00F34BCD"/>
    <w:rsid w:val="00F34FD4"/>
    <w:rsid w:val="00F35A19"/>
    <w:rsid w:val="00F35CB8"/>
    <w:rsid w:val="00F3658E"/>
    <w:rsid w:val="00F36D5A"/>
    <w:rsid w:val="00F36ECD"/>
    <w:rsid w:val="00F370D5"/>
    <w:rsid w:val="00F37535"/>
    <w:rsid w:val="00F37539"/>
    <w:rsid w:val="00F3757B"/>
    <w:rsid w:val="00F37B7F"/>
    <w:rsid w:val="00F37BAD"/>
    <w:rsid w:val="00F37E23"/>
    <w:rsid w:val="00F37E32"/>
    <w:rsid w:val="00F37F1B"/>
    <w:rsid w:val="00F4010A"/>
    <w:rsid w:val="00F403BA"/>
    <w:rsid w:val="00F40C74"/>
    <w:rsid w:val="00F40E0A"/>
    <w:rsid w:val="00F41450"/>
    <w:rsid w:val="00F415AF"/>
    <w:rsid w:val="00F41CFB"/>
    <w:rsid w:val="00F41D31"/>
    <w:rsid w:val="00F41F07"/>
    <w:rsid w:val="00F42553"/>
    <w:rsid w:val="00F4256D"/>
    <w:rsid w:val="00F42AA6"/>
    <w:rsid w:val="00F42CC9"/>
    <w:rsid w:val="00F42D8D"/>
    <w:rsid w:val="00F42F54"/>
    <w:rsid w:val="00F433DF"/>
    <w:rsid w:val="00F436B9"/>
    <w:rsid w:val="00F4398B"/>
    <w:rsid w:val="00F43C21"/>
    <w:rsid w:val="00F444C5"/>
    <w:rsid w:val="00F44578"/>
    <w:rsid w:val="00F44AB3"/>
    <w:rsid w:val="00F44D42"/>
    <w:rsid w:val="00F44D52"/>
    <w:rsid w:val="00F45025"/>
    <w:rsid w:val="00F45487"/>
    <w:rsid w:val="00F455D8"/>
    <w:rsid w:val="00F45918"/>
    <w:rsid w:val="00F45A08"/>
    <w:rsid w:val="00F45D43"/>
    <w:rsid w:val="00F45E56"/>
    <w:rsid w:val="00F45F8A"/>
    <w:rsid w:val="00F4608C"/>
    <w:rsid w:val="00F460B0"/>
    <w:rsid w:val="00F46270"/>
    <w:rsid w:val="00F46D8C"/>
    <w:rsid w:val="00F47049"/>
    <w:rsid w:val="00F50326"/>
    <w:rsid w:val="00F507DE"/>
    <w:rsid w:val="00F509F9"/>
    <w:rsid w:val="00F50A42"/>
    <w:rsid w:val="00F50B0D"/>
    <w:rsid w:val="00F5132F"/>
    <w:rsid w:val="00F51407"/>
    <w:rsid w:val="00F51DCC"/>
    <w:rsid w:val="00F51E84"/>
    <w:rsid w:val="00F52219"/>
    <w:rsid w:val="00F52BF4"/>
    <w:rsid w:val="00F52C82"/>
    <w:rsid w:val="00F52EB2"/>
    <w:rsid w:val="00F53020"/>
    <w:rsid w:val="00F5330F"/>
    <w:rsid w:val="00F53439"/>
    <w:rsid w:val="00F53593"/>
    <w:rsid w:val="00F5384F"/>
    <w:rsid w:val="00F5395D"/>
    <w:rsid w:val="00F53BFD"/>
    <w:rsid w:val="00F54426"/>
    <w:rsid w:val="00F54519"/>
    <w:rsid w:val="00F5452B"/>
    <w:rsid w:val="00F54BD0"/>
    <w:rsid w:val="00F54C6C"/>
    <w:rsid w:val="00F54E49"/>
    <w:rsid w:val="00F54EBC"/>
    <w:rsid w:val="00F551A4"/>
    <w:rsid w:val="00F5533C"/>
    <w:rsid w:val="00F553AA"/>
    <w:rsid w:val="00F55405"/>
    <w:rsid w:val="00F5540C"/>
    <w:rsid w:val="00F55909"/>
    <w:rsid w:val="00F55ACE"/>
    <w:rsid w:val="00F55DF2"/>
    <w:rsid w:val="00F55F0D"/>
    <w:rsid w:val="00F55F2C"/>
    <w:rsid w:val="00F564AE"/>
    <w:rsid w:val="00F56544"/>
    <w:rsid w:val="00F56B52"/>
    <w:rsid w:val="00F56C28"/>
    <w:rsid w:val="00F56C9A"/>
    <w:rsid w:val="00F56E70"/>
    <w:rsid w:val="00F56F2C"/>
    <w:rsid w:val="00F570E6"/>
    <w:rsid w:val="00F57184"/>
    <w:rsid w:val="00F57207"/>
    <w:rsid w:val="00F57630"/>
    <w:rsid w:val="00F57B9A"/>
    <w:rsid w:val="00F57BEF"/>
    <w:rsid w:val="00F57D00"/>
    <w:rsid w:val="00F57D17"/>
    <w:rsid w:val="00F57E8E"/>
    <w:rsid w:val="00F603B7"/>
    <w:rsid w:val="00F6077B"/>
    <w:rsid w:val="00F60A67"/>
    <w:rsid w:val="00F60B59"/>
    <w:rsid w:val="00F6102D"/>
    <w:rsid w:val="00F61065"/>
    <w:rsid w:val="00F612D4"/>
    <w:rsid w:val="00F61370"/>
    <w:rsid w:val="00F613DE"/>
    <w:rsid w:val="00F615ED"/>
    <w:rsid w:val="00F619C7"/>
    <w:rsid w:val="00F61AB7"/>
    <w:rsid w:val="00F61AC1"/>
    <w:rsid w:val="00F61B1C"/>
    <w:rsid w:val="00F61E61"/>
    <w:rsid w:val="00F62030"/>
    <w:rsid w:val="00F62081"/>
    <w:rsid w:val="00F621F4"/>
    <w:rsid w:val="00F6266E"/>
    <w:rsid w:val="00F626BD"/>
    <w:rsid w:val="00F62AD2"/>
    <w:rsid w:val="00F62F47"/>
    <w:rsid w:val="00F62F58"/>
    <w:rsid w:val="00F62F8D"/>
    <w:rsid w:val="00F63A56"/>
    <w:rsid w:val="00F63A7B"/>
    <w:rsid w:val="00F63AE5"/>
    <w:rsid w:val="00F63B4A"/>
    <w:rsid w:val="00F63CB7"/>
    <w:rsid w:val="00F63CFB"/>
    <w:rsid w:val="00F63D18"/>
    <w:rsid w:val="00F63EF7"/>
    <w:rsid w:val="00F6405C"/>
    <w:rsid w:val="00F64065"/>
    <w:rsid w:val="00F64365"/>
    <w:rsid w:val="00F64813"/>
    <w:rsid w:val="00F64AA2"/>
    <w:rsid w:val="00F64BA5"/>
    <w:rsid w:val="00F64BA9"/>
    <w:rsid w:val="00F64BE3"/>
    <w:rsid w:val="00F64BFD"/>
    <w:rsid w:val="00F64C44"/>
    <w:rsid w:val="00F64CB2"/>
    <w:rsid w:val="00F64E82"/>
    <w:rsid w:val="00F65441"/>
    <w:rsid w:val="00F65550"/>
    <w:rsid w:val="00F655B1"/>
    <w:rsid w:val="00F65892"/>
    <w:rsid w:val="00F658FB"/>
    <w:rsid w:val="00F65EF3"/>
    <w:rsid w:val="00F65F31"/>
    <w:rsid w:val="00F6601B"/>
    <w:rsid w:val="00F6615C"/>
    <w:rsid w:val="00F661DC"/>
    <w:rsid w:val="00F661F8"/>
    <w:rsid w:val="00F662B8"/>
    <w:rsid w:val="00F662F2"/>
    <w:rsid w:val="00F663F8"/>
    <w:rsid w:val="00F66D57"/>
    <w:rsid w:val="00F67777"/>
    <w:rsid w:val="00F6787B"/>
    <w:rsid w:val="00F6798C"/>
    <w:rsid w:val="00F679C1"/>
    <w:rsid w:val="00F67A46"/>
    <w:rsid w:val="00F67C6A"/>
    <w:rsid w:val="00F67D49"/>
    <w:rsid w:val="00F67E3F"/>
    <w:rsid w:val="00F67F16"/>
    <w:rsid w:val="00F67F3B"/>
    <w:rsid w:val="00F7006B"/>
    <w:rsid w:val="00F705AC"/>
    <w:rsid w:val="00F70629"/>
    <w:rsid w:val="00F70777"/>
    <w:rsid w:val="00F707B8"/>
    <w:rsid w:val="00F70CBD"/>
    <w:rsid w:val="00F71178"/>
    <w:rsid w:val="00F71318"/>
    <w:rsid w:val="00F71556"/>
    <w:rsid w:val="00F716D1"/>
    <w:rsid w:val="00F7183E"/>
    <w:rsid w:val="00F71889"/>
    <w:rsid w:val="00F7221F"/>
    <w:rsid w:val="00F72305"/>
    <w:rsid w:val="00F7237A"/>
    <w:rsid w:val="00F724DC"/>
    <w:rsid w:val="00F72CCE"/>
    <w:rsid w:val="00F72D3C"/>
    <w:rsid w:val="00F72DFC"/>
    <w:rsid w:val="00F72E35"/>
    <w:rsid w:val="00F72E67"/>
    <w:rsid w:val="00F72F9C"/>
    <w:rsid w:val="00F73123"/>
    <w:rsid w:val="00F738DA"/>
    <w:rsid w:val="00F73A5A"/>
    <w:rsid w:val="00F73A7E"/>
    <w:rsid w:val="00F73AD8"/>
    <w:rsid w:val="00F73CF7"/>
    <w:rsid w:val="00F73FEC"/>
    <w:rsid w:val="00F74490"/>
    <w:rsid w:val="00F745B2"/>
    <w:rsid w:val="00F746BE"/>
    <w:rsid w:val="00F74731"/>
    <w:rsid w:val="00F7474E"/>
    <w:rsid w:val="00F74AA2"/>
    <w:rsid w:val="00F74E43"/>
    <w:rsid w:val="00F75008"/>
    <w:rsid w:val="00F75184"/>
    <w:rsid w:val="00F75186"/>
    <w:rsid w:val="00F753A0"/>
    <w:rsid w:val="00F75785"/>
    <w:rsid w:val="00F759CD"/>
    <w:rsid w:val="00F75D27"/>
    <w:rsid w:val="00F75E12"/>
    <w:rsid w:val="00F766A4"/>
    <w:rsid w:val="00F76AB4"/>
    <w:rsid w:val="00F76BB6"/>
    <w:rsid w:val="00F770DB"/>
    <w:rsid w:val="00F77517"/>
    <w:rsid w:val="00F778C4"/>
    <w:rsid w:val="00F77B28"/>
    <w:rsid w:val="00F77C6E"/>
    <w:rsid w:val="00F77F1E"/>
    <w:rsid w:val="00F80019"/>
    <w:rsid w:val="00F806DE"/>
    <w:rsid w:val="00F809C6"/>
    <w:rsid w:val="00F809D1"/>
    <w:rsid w:val="00F80CE4"/>
    <w:rsid w:val="00F80E72"/>
    <w:rsid w:val="00F810AB"/>
    <w:rsid w:val="00F81209"/>
    <w:rsid w:val="00F812AC"/>
    <w:rsid w:val="00F818DC"/>
    <w:rsid w:val="00F81D45"/>
    <w:rsid w:val="00F81D80"/>
    <w:rsid w:val="00F81E7B"/>
    <w:rsid w:val="00F81EF0"/>
    <w:rsid w:val="00F826F0"/>
    <w:rsid w:val="00F8294E"/>
    <w:rsid w:val="00F82A64"/>
    <w:rsid w:val="00F82B36"/>
    <w:rsid w:val="00F82D1B"/>
    <w:rsid w:val="00F82E48"/>
    <w:rsid w:val="00F82FDA"/>
    <w:rsid w:val="00F82FF4"/>
    <w:rsid w:val="00F83182"/>
    <w:rsid w:val="00F83663"/>
    <w:rsid w:val="00F83A2B"/>
    <w:rsid w:val="00F83CBA"/>
    <w:rsid w:val="00F83E51"/>
    <w:rsid w:val="00F83FDE"/>
    <w:rsid w:val="00F84269"/>
    <w:rsid w:val="00F8434C"/>
    <w:rsid w:val="00F843C7"/>
    <w:rsid w:val="00F844B2"/>
    <w:rsid w:val="00F844F5"/>
    <w:rsid w:val="00F847E4"/>
    <w:rsid w:val="00F84AE9"/>
    <w:rsid w:val="00F8504E"/>
    <w:rsid w:val="00F855EE"/>
    <w:rsid w:val="00F856CE"/>
    <w:rsid w:val="00F85801"/>
    <w:rsid w:val="00F85E9B"/>
    <w:rsid w:val="00F85FA1"/>
    <w:rsid w:val="00F86888"/>
    <w:rsid w:val="00F868FE"/>
    <w:rsid w:val="00F86BEF"/>
    <w:rsid w:val="00F86CAC"/>
    <w:rsid w:val="00F86CDE"/>
    <w:rsid w:val="00F872D0"/>
    <w:rsid w:val="00F873B4"/>
    <w:rsid w:val="00F875A3"/>
    <w:rsid w:val="00F8765C"/>
    <w:rsid w:val="00F8786A"/>
    <w:rsid w:val="00F87967"/>
    <w:rsid w:val="00F87DEB"/>
    <w:rsid w:val="00F87E41"/>
    <w:rsid w:val="00F900FC"/>
    <w:rsid w:val="00F901BF"/>
    <w:rsid w:val="00F9024D"/>
    <w:rsid w:val="00F9029B"/>
    <w:rsid w:val="00F9042A"/>
    <w:rsid w:val="00F906EF"/>
    <w:rsid w:val="00F90811"/>
    <w:rsid w:val="00F90FDA"/>
    <w:rsid w:val="00F9104C"/>
    <w:rsid w:val="00F91268"/>
    <w:rsid w:val="00F91B99"/>
    <w:rsid w:val="00F91BFD"/>
    <w:rsid w:val="00F91D59"/>
    <w:rsid w:val="00F92581"/>
    <w:rsid w:val="00F92598"/>
    <w:rsid w:val="00F92AA2"/>
    <w:rsid w:val="00F92BE3"/>
    <w:rsid w:val="00F92FC0"/>
    <w:rsid w:val="00F9306E"/>
    <w:rsid w:val="00F932D8"/>
    <w:rsid w:val="00F938A5"/>
    <w:rsid w:val="00F93B30"/>
    <w:rsid w:val="00F93BF9"/>
    <w:rsid w:val="00F93F3E"/>
    <w:rsid w:val="00F94275"/>
    <w:rsid w:val="00F942E1"/>
    <w:rsid w:val="00F94325"/>
    <w:rsid w:val="00F94519"/>
    <w:rsid w:val="00F9465E"/>
    <w:rsid w:val="00F946FB"/>
    <w:rsid w:val="00F94880"/>
    <w:rsid w:val="00F94DA1"/>
    <w:rsid w:val="00F94E16"/>
    <w:rsid w:val="00F9552D"/>
    <w:rsid w:val="00F955FE"/>
    <w:rsid w:val="00F95947"/>
    <w:rsid w:val="00F95B81"/>
    <w:rsid w:val="00F95CF4"/>
    <w:rsid w:val="00F95D32"/>
    <w:rsid w:val="00F95D74"/>
    <w:rsid w:val="00F9606E"/>
    <w:rsid w:val="00F960C3"/>
    <w:rsid w:val="00F9674A"/>
    <w:rsid w:val="00F96B8D"/>
    <w:rsid w:val="00F96BB3"/>
    <w:rsid w:val="00F971D5"/>
    <w:rsid w:val="00F97376"/>
    <w:rsid w:val="00F973DC"/>
    <w:rsid w:val="00F97431"/>
    <w:rsid w:val="00F97443"/>
    <w:rsid w:val="00F978FD"/>
    <w:rsid w:val="00F97956"/>
    <w:rsid w:val="00F979DC"/>
    <w:rsid w:val="00F97A35"/>
    <w:rsid w:val="00F97BE9"/>
    <w:rsid w:val="00F97C6E"/>
    <w:rsid w:val="00F97DE2"/>
    <w:rsid w:val="00FA02ED"/>
    <w:rsid w:val="00FA0353"/>
    <w:rsid w:val="00FA0519"/>
    <w:rsid w:val="00FA06DC"/>
    <w:rsid w:val="00FA0BA4"/>
    <w:rsid w:val="00FA0D7C"/>
    <w:rsid w:val="00FA0EC6"/>
    <w:rsid w:val="00FA136A"/>
    <w:rsid w:val="00FA13F4"/>
    <w:rsid w:val="00FA1441"/>
    <w:rsid w:val="00FA190C"/>
    <w:rsid w:val="00FA1D32"/>
    <w:rsid w:val="00FA1EB8"/>
    <w:rsid w:val="00FA1F86"/>
    <w:rsid w:val="00FA2214"/>
    <w:rsid w:val="00FA23F6"/>
    <w:rsid w:val="00FA28BF"/>
    <w:rsid w:val="00FA29F1"/>
    <w:rsid w:val="00FA2C16"/>
    <w:rsid w:val="00FA2E40"/>
    <w:rsid w:val="00FA31E0"/>
    <w:rsid w:val="00FA38C5"/>
    <w:rsid w:val="00FA3C60"/>
    <w:rsid w:val="00FA3C9A"/>
    <w:rsid w:val="00FA3D89"/>
    <w:rsid w:val="00FA3DEC"/>
    <w:rsid w:val="00FA3E83"/>
    <w:rsid w:val="00FA42B8"/>
    <w:rsid w:val="00FA4521"/>
    <w:rsid w:val="00FA4523"/>
    <w:rsid w:val="00FA4738"/>
    <w:rsid w:val="00FA479C"/>
    <w:rsid w:val="00FA4B13"/>
    <w:rsid w:val="00FA4E70"/>
    <w:rsid w:val="00FA4E9B"/>
    <w:rsid w:val="00FA4EB7"/>
    <w:rsid w:val="00FA4F30"/>
    <w:rsid w:val="00FA500A"/>
    <w:rsid w:val="00FA5056"/>
    <w:rsid w:val="00FA53A3"/>
    <w:rsid w:val="00FA5633"/>
    <w:rsid w:val="00FA5809"/>
    <w:rsid w:val="00FA5A8B"/>
    <w:rsid w:val="00FA5F68"/>
    <w:rsid w:val="00FA6450"/>
    <w:rsid w:val="00FA67AC"/>
    <w:rsid w:val="00FA67B0"/>
    <w:rsid w:val="00FA6EC6"/>
    <w:rsid w:val="00FA71A3"/>
    <w:rsid w:val="00FA7525"/>
    <w:rsid w:val="00FA77AE"/>
    <w:rsid w:val="00FA7891"/>
    <w:rsid w:val="00FA7B83"/>
    <w:rsid w:val="00FA7B9B"/>
    <w:rsid w:val="00FA7D27"/>
    <w:rsid w:val="00FB04C9"/>
    <w:rsid w:val="00FB04DF"/>
    <w:rsid w:val="00FB0868"/>
    <w:rsid w:val="00FB09F7"/>
    <w:rsid w:val="00FB0B33"/>
    <w:rsid w:val="00FB0B48"/>
    <w:rsid w:val="00FB0C6A"/>
    <w:rsid w:val="00FB0E50"/>
    <w:rsid w:val="00FB183F"/>
    <w:rsid w:val="00FB1890"/>
    <w:rsid w:val="00FB18A2"/>
    <w:rsid w:val="00FB1A31"/>
    <w:rsid w:val="00FB1CA5"/>
    <w:rsid w:val="00FB1CE4"/>
    <w:rsid w:val="00FB1D13"/>
    <w:rsid w:val="00FB1DAB"/>
    <w:rsid w:val="00FB1DB0"/>
    <w:rsid w:val="00FB1E03"/>
    <w:rsid w:val="00FB1FD3"/>
    <w:rsid w:val="00FB215A"/>
    <w:rsid w:val="00FB22D0"/>
    <w:rsid w:val="00FB239D"/>
    <w:rsid w:val="00FB330E"/>
    <w:rsid w:val="00FB33B6"/>
    <w:rsid w:val="00FB34ED"/>
    <w:rsid w:val="00FB3717"/>
    <w:rsid w:val="00FB3E7D"/>
    <w:rsid w:val="00FB3ECF"/>
    <w:rsid w:val="00FB3F18"/>
    <w:rsid w:val="00FB4416"/>
    <w:rsid w:val="00FB47C1"/>
    <w:rsid w:val="00FB4922"/>
    <w:rsid w:val="00FB4E09"/>
    <w:rsid w:val="00FB4E5A"/>
    <w:rsid w:val="00FB4F07"/>
    <w:rsid w:val="00FB5050"/>
    <w:rsid w:val="00FB53E8"/>
    <w:rsid w:val="00FB5464"/>
    <w:rsid w:val="00FB59F4"/>
    <w:rsid w:val="00FB5AD6"/>
    <w:rsid w:val="00FB5D03"/>
    <w:rsid w:val="00FB5E28"/>
    <w:rsid w:val="00FB5F14"/>
    <w:rsid w:val="00FB5F76"/>
    <w:rsid w:val="00FB628D"/>
    <w:rsid w:val="00FB64A9"/>
    <w:rsid w:val="00FB6627"/>
    <w:rsid w:val="00FB66F0"/>
    <w:rsid w:val="00FB6A66"/>
    <w:rsid w:val="00FB712C"/>
    <w:rsid w:val="00FB73B5"/>
    <w:rsid w:val="00FB759D"/>
    <w:rsid w:val="00FB794A"/>
    <w:rsid w:val="00FB7A76"/>
    <w:rsid w:val="00FB7ABA"/>
    <w:rsid w:val="00FB7BC2"/>
    <w:rsid w:val="00FB7D56"/>
    <w:rsid w:val="00FB7E41"/>
    <w:rsid w:val="00FC0794"/>
    <w:rsid w:val="00FC0DE6"/>
    <w:rsid w:val="00FC0E7F"/>
    <w:rsid w:val="00FC0EE4"/>
    <w:rsid w:val="00FC0F40"/>
    <w:rsid w:val="00FC0FBA"/>
    <w:rsid w:val="00FC102B"/>
    <w:rsid w:val="00FC109B"/>
    <w:rsid w:val="00FC1212"/>
    <w:rsid w:val="00FC1E72"/>
    <w:rsid w:val="00FC1F13"/>
    <w:rsid w:val="00FC297C"/>
    <w:rsid w:val="00FC2B11"/>
    <w:rsid w:val="00FC331C"/>
    <w:rsid w:val="00FC34B7"/>
    <w:rsid w:val="00FC3796"/>
    <w:rsid w:val="00FC3BAC"/>
    <w:rsid w:val="00FC3F42"/>
    <w:rsid w:val="00FC41DF"/>
    <w:rsid w:val="00FC420B"/>
    <w:rsid w:val="00FC45BE"/>
    <w:rsid w:val="00FC4870"/>
    <w:rsid w:val="00FC4B09"/>
    <w:rsid w:val="00FC542A"/>
    <w:rsid w:val="00FC5678"/>
    <w:rsid w:val="00FC5A41"/>
    <w:rsid w:val="00FC5B7C"/>
    <w:rsid w:val="00FC618F"/>
    <w:rsid w:val="00FC636E"/>
    <w:rsid w:val="00FC641B"/>
    <w:rsid w:val="00FC6717"/>
    <w:rsid w:val="00FC67C8"/>
    <w:rsid w:val="00FC69B7"/>
    <w:rsid w:val="00FC6A01"/>
    <w:rsid w:val="00FC6D38"/>
    <w:rsid w:val="00FC6E28"/>
    <w:rsid w:val="00FC6E8B"/>
    <w:rsid w:val="00FC6FCE"/>
    <w:rsid w:val="00FC7217"/>
    <w:rsid w:val="00FC7369"/>
    <w:rsid w:val="00FC7476"/>
    <w:rsid w:val="00FC7687"/>
    <w:rsid w:val="00FC7811"/>
    <w:rsid w:val="00FC7EC6"/>
    <w:rsid w:val="00FD017D"/>
    <w:rsid w:val="00FD02F9"/>
    <w:rsid w:val="00FD03AF"/>
    <w:rsid w:val="00FD047F"/>
    <w:rsid w:val="00FD057A"/>
    <w:rsid w:val="00FD07C2"/>
    <w:rsid w:val="00FD090D"/>
    <w:rsid w:val="00FD0956"/>
    <w:rsid w:val="00FD0F09"/>
    <w:rsid w:val="00FD106A"/>
    <w:rsid w:val="00FD1D06"/>
    <w:rsid w:val="00FD1E88"/>
    <w:rsid w:val="00FD21C2"/>
    <w:rsid w:val="00FD23FD"/>
    <w:rsid w:val="00FD2592"/>
    <w:rsid w:val="00FD2694"/>
    <w:rsid w:val="00FD27A0"/>
    <w:rsid w:val="00FD27CB"/>
    <w:rsid w:val="00FD32A9"/>
    <w:rsid w:val="00FD366C"/>
    <w:rsid w:val="00FD4142"/>
    <w:rsid w:val="00FD49A6"/>
    <w:rsid w:val="00FD4EE7"/>
    <w:rsid w:val="00FD4F59"/>
    <w:rsid w:val="00FD51E9"/>
    <w:rsid w:val="00FD56AA"/>
    <w:rsid w:val="00FD576E"/>
    <w:rsid w:val="00FD58DF"/>
    <w:rsid w:val="00FD5BA3"/>
    <w:rsid w:val="00FD5D0B"/>
    <w:rsid w:val="00FD5E54"/>
    <w:rsid w:val="00FD6346"/>
    <w:rsid w:val="00FD69A2"/>
    <w:rsid w:val="00FD6C62"/>
    <w:rsid w:val="00FD6DF7"/>
    <w:rsid w:val="00FD6E47"/>
    <w:rsid w:val="00FD7188"/>
    <w:rsid w:val="00FD730A"/>
    <w:rsid w:val="00FD747E"/>
    <w:rsid w:val="00FD74BC"/>
    <w:rsid w:val="00FD75C8"/>
    <w:rsid w:val="00FE0142"/>
    <w:rsid w:val="00FE0263"/>
    <w:rsid w:val="00FE02AB"/>
    <w:rsid w:val="00FE0358"/>
    <w:rsid w:val="00FE06A7"/>
    <w:rsid w:val="00FE0D55"/>
    <w:rsid w:val="00FE19CD"/>
    <w:rsid w:val="00FE1A0B"/>
    <w:rsid w:val="00FE1ABE"/>
    <w:rsid w:val="00FE2289"/>
    <w:rsid w:val="00FE2749"/>
    <w:rsid w:val="00FE275B"/>
    <w:rsid w:val="00FE2ACD"/>
    <w:rsid w:val="00FE2CC2"/>
    <w:rsid w:val="00FE3176"/>
    <w:rsid w:val="00FE3362"/>
    <w:rsid w:val="00FE3467"/>
    <w:rsid w:val="00FE349F"/>
    <w:rsid w:val="00FE3D84"/>
    <w:rsid w:val="00FE459A"/>
    <w:rsid w:val="00FE4B05"/>
    <w:rsid w:val="00FE4B84"/>
    <w:rsid w:val="00FE4CDD"/>
    <w:rsid w:val="00FE521F"/>
    <w:rsid w:val="00FE53DD"/>
    <w:rsid w:val="00FE5650"/>
    <w:rsid w:val="00FE5776"/>
    <w:rsid w:val="00FE59E4"/>
    <w:rsid w:val="00FE5D0C"/>
    <w:rsid w:val="00FE6216"/>
    <w:rsid w:val="00FE62B4"/>
    <w:rsid w:val="00FE64D4"/>
    <w:rsid w:val="00FE67A0"/>
    <w:rsid w:val="00FE686A"/>
    <w:rsid w:val="00FE6BBB"/>
    <w:rsid w:val="00FE6F68"/>
    <w:rsid w:val="00FE73D0"/>
    <w:rsid w:val="00FE78AB"/>
    <w:rsid w:val="00FE7D41"/>
    <w:rsid w:val="00FF0341"/>
    <w:rsid w:val="00FF0633"/>
    <w:rsid w:val="00FF0903"/>
    <w:rsid w:val="00FF0A23"/>
    <w:rsid w:val="00FF0CC4"/>
    <w:rsid w:val="00FF1022"/>
    <w:rsid w:val="00FF10CD"/>
    <w:rsid w:val="00FF127E"/>
    <w:rsid w:val="00FF1AAB"/>
    <w:rsid w:val="00FF1C74"/>
    <w:rsid w:val="00FF1D26"/>
    <w:rsid w:val="00FF1D5B"/>
    <w:rsid w:val="00FF1E8D"/>
    <w:rsid w:val="00FF1FAD"/>
    <w:rsid w:val="00FF2468"/>
    <w:rsid w:val="00FF24F2"/>
    <w:rsid w:val="00FF2BFD"/>
    <w:rsid w:val="00FF3242"/>
    <w:rsid w:val="00FF353D"/>
    <w:rsid w:val="00FF3716"/>
    <w:rsid w:val="00FF3A0D"/>
    <w:rsid w:val="00FF40C7"/>
    <w:rsid w:val="00FF410A"/>
    <w:rsid w:val="00FF4190"/>
    <w:rsid w:val="00FF4371"/>
    <w:rsid w:val="00FF44B5"/>
    <w:rsid w:val="00FF44FE"/>
    <w:rsid w:val="00FF46E9"/>
    <w:rsid w:val="00FF4839"/>
    <w:rsid w:val="00FF4A7F"/>
    <w:rsid w:val="00FF4B53"/>
    <w:rsid w:val="00FF534B"/>
    <w:rsid w:val="00FF5449"/>
    <w:rsid w:val="00FF54AD"/>
    <w:rsid w:val="00FF5506"/>
    <w:rsid w:val="00FF5580"/>
    <w:rsid w:val="00FF57AF"/>
    <w:rsid w:val="00FF581C"/>
    <w:rsid w:val="00FF5E64"/>
    <w:rsid w:val="00FF5FC1"/>
    <w:rsid w:val="00FF6D26"/>
    <w:rsid w:val="00FF6ECE"/>
    <w:rsid w:val="00FF6F46"/>
    <w:rsid w:val="00FF6F50"/>
    <w:rsid w:val="00FF71CB"/>
    <w:rsid w:val="00FF780A"/>
    <w:rsid w:val="00FF7834"/>
    <w:rsid w:val="00FF7994"/>
    <w:rsid w:val="00FF7DCA"/>
    <w:rsid w:val="0135517D"/>
    <w:rsid w:val="013E7373"/>
    <w:rsid w:val="01566961"/>
    <w:rsid w:val="0164BDF2"/>
    <w:rsid w:val="01793FCA"/>
    <w:rsid w:val="019B4AC0"/>
    <w:rsid w:val="01AE365A"/>
    <w:rsid w:val="01D9E4C8"/>
    <w:rsid w:val="0247D629"/>
    <w:rsid w:val="025A7923"/>
    <w:rsid w:val="02C25428"/>
    <w:rsid w:val="02D6852E"/>
    <w:rsid w:val="02E20A8E"/>
    <w:rsid w:val="02E46701"/>
    <w:rsid w:val="030B7982"/>
    <w:rsid w:val="031D8C8E"/>
    <w:rsid w:val="031DE495"/>
    <w:rsid w:val="03464F8B"/>
    <w:rsid w:val="03523653"/>
    <w:rsid w:val="0410DD3F"/>
    <w:rsid w:val="0413514A"/>
    <w:rsid w:val="0429C201"/>
    <w:rsid w:val="0454BB69"/>
    <w:rsid w:val="047E7B41"/>
    <w:rsid w:val="048C8EF0"/>
    <w:rsid w:val="048CF6C8"/>
    <w:rsid w:val="04A9A73D"/>
    <w:rsid w:val="04AE43C0"/>
    <w:rsid w:val="04C0944F"/>
    <w:rsid w:val="04CE5D78"/>
    <w:rsid w:val="04D105D8"/>
    <w:rsid w:val="04FBEFF3"/>
    <w:rsid w:val="0523A036"/>
    <w:rsid w:val="054C89AC"/>
    <w:rsid w:val="055A3A80"/>
    <w:rsid w:val="0567E7B0"/>
    <w:rsid w:val="05B46683"/>
    <w:rsid w:val="05C6E54D"/>
    <w:rsid w:val="05CBCC92"/>
    <w:rsid w:val="05E2137A"/>
    <w:rsid w:val="061ED310"/>
    <w:rsid w:val="066EDCBA"/>
    <w:rsid w:val="06BFAE00"/>
    <w:rsid w:val="06F9463B"/>
    <w:rsid w:val="070E68F5"/>
    <w:rsid w:val="074D3B7D"/>
    <w:rsid w:val="0754F1CF"/>
    <w:rsid w:val="0759BE36"/>
    <w:rsid w:val="078517C3"/>
    <w:rsid w:val="078C6C67"/>
    <w:rsid w:val="07A1C3F7"/>
    <w:rsid w:val="07B3B305"/>
    <w:rsid w:val="07B4F067"/>
    <w:rsid w:val="07F4D528"/>
    <w:rsid w:val="080A7E15"/>
    <w:rsid w:val="08151B19"/>
    <w:rsid w:val="08A2A6DA"/>
    <w:rsid w:val="08B13409"/>
    <w:rsid w:val="08D425D5"/>
    <w:rsid w:val="08DF3A89"/>
    <w:rsid w:val="08E3DD51"/>
    <w:rsid w:val="0921BD6D"/>
    <w:rsid w:val="096D38C4"/>
    <w:rsid w:val="09728050"/>
    <w:rsid w:val="09B992D0"/>
    <w:rsid w:val="09C7635E"/>
    <w:rsid w:val="0A144F9E"/>
    <w:rsid w:val="0A5D08D7"/>
    <w:rsid w:val="0A60CE71"/>
    <w:rsid w:val="0ACE7199"/>
    <w:rsid w:val="0B3EC306"/>
    <w:rsid w:val="0B555C84"/>
    <w:rsid w:val="0B839A3B"/>
    <w:rsid w:val="0B85FC92"/>
    <w:rsid w:val="0B97EAFB"/>
    <w:rsid w:val="0BC2BE69"/>
    <w:rsid w:val="0BC63830"/>
    <w:rsid w:val="0BE2F108"/>
    <w:rsid w:val="0C0A4E5A"/>
    <w:rsid w:val="0C85E547"/>
    <w:rsid w:val="0CCC1B17"/>
    <w:rsid w:val="0CF62341"/>
    <w:rsid w:val="0D3AACC3"/>
    <w:rsid w:val="0D3D79E2"/>
    <w:rsid w:val="0DB5880C"/>
    <w:rsid w:val="0DF1D2BF"/>
    <w:rsid w:val="0DFA7EFB"/>
    <w:rsid w:val="0E1ADC0F"/>
    <w:rsid w:val="0E362970"/>
    <w:rsid w:val="0E94ADA0"/>
    <w:rsid w:val="0EB1F0A7"/>
    <w:rsid w:val="0EB4D0C4"/>
    <w:rsid w:val="0EF20CFE"/>
    <w:rsid w:val="0F5AF294"/>
    <w:rsid w:val="0F7FA28E"/>
    <w:rsid w:val="0FECC05D"/>
    <w:rsid w:val="0FFAA7E2"/>
    <w:rsid w:val="10053A2E"/>
    <w:rsid w:val="101EDD4B"/>
    <w:rsid w:val="1049B0B9"/>
    <w:rsid w:val="107518D2"/>
    <w:rsid w:val="10B8542D"/>
    <w:rsid w:val="110825E9"/>
    <w:rsid w:val="111DB2C4"/>
    <w:rsid w:val="115BA967"/>
    <w:rsid w:val="11619ABA"/>
    <w:rsid w:val="11B762D7"/>
    <w:rsid w:val="11D9D31C"/>
    <w:rsid w:val="11E20A75"/>
    <w:rsid w:val="120D6A79"/>
    <w:rsid w:val="122E2F39"/>
    <w:rsid w:val="123DAB1E"/>
    <w:rsid w:val="1254FA15"/>
    <w:rsid w:val="12850A85"/>
    <w:rsid w:val="1299DBC9"/>
    <w:rsid w:val="12A2929D"/>
    <w:rsid w:val="12C246BF"/>
    <w:rsid w:val="12DED2B8"/>
    <w:rsid w:val="12FCBEA0"/>
    <w:rsid w:val="136A4CA9"/>
    <w:rsid w:val="1374C11A"/>
    <w:rsid w:val="13756EBF"/>
    <w:rsid w:val="13E74F91"/>
    <w:rsid w:val="140D7CCF"/>
    <w:rsid w:val="1417A2C5"/>
    <w:rsid w:val="14241B6B"/>
    <w:rsid w:val="14292AA4"/>
    <w:rsid w:val="14447F84"/>
    <w:rsid w:val="146AE8F1"/>
    <w:rsid w:val="1473A6AD"/>
    <w:rsid w:val="1473F51F"/>
    <w:rsid w:val="14872159"/>
    <w:rsid w:val="1491CF0E"/>
    <w:rsid w:val="14A4DF2A"/>
    <w:rsid w:val="14B956D0"/>
    <w:rsid w:val="14FC0B22"/>
    <w:rsid w:val="14FC5A3D"/>
    <w:rsid w:val="15780E9F"/>
    <w:rsid w:val="15927912"/>
    <w:rsid w:val="15AC9E65"/>
    <w:rsid w:val="15B4591A"/>
    <w:rsid w:val="160D9478"/>
    <w:rsid w:val="16500279"/>
    <w:rsid w:val="16591D2A"/>
    <w:rsid w:val="1679A56C"/>
    <w:rsid w:val="16A52023"/>
    <w:rsid w:val="16D313EC"/>
    <w:rsid w:val="16FF7CC3"/>
    <w:rsid w:val="171A175F"/>
    <w:rsid w:val="172888CE"/>
    <w:rsid w:val="176E7BDC"/>
    <w:rsid w:val="17F654D6"/>
    <w:rsid w:val="17FD1E04"/>
    <w:rsid w:val="18675C69"/>
    <w:rsid w:val="186C32BC"/>
    <w:rsid w:val="188EF86D"/>
    <w:rsid w:val="18BBF5EF"/>
    <w:rsid w:val="18C449AD"/>
    <w:rsid w:val="18CFAE89"/>
    <w:rsid w:val="190E904D"/>
    <w:rsid w:val="19220841"/>
    <w:rsid w:val="19980187"/>
    <w:rsid w:val="19E2D0FF"/>
    <w:rsid w:val="1A0857C9"/>
    <w:rsid w:val="1A103FD9"/>
    <w:rsid w:val="1A31593C"/>
    <w:rsid w:val="1A688BD3"/>
    <w:rsid w:val="1A6B7966"/>
    <w:rsid w:val="1A926651"/>
    <w:rsid w:val="1A95CCD3"/>
    <w:rsid w:val="1A9F2059"/>
    <w:rsid w:val="1AF053BC"/>
    <w:rsid w:val="1AF76190"/>
    <w:rsid w:val="1B017963"/>
    <w:rsid w:val="1B121C0E"/>
    <w:rsid w:val="1B1F017B"/>
    <w:rsid w:val="1B2CAEAB"/>
    <w:rsid w:val="1B36FAE8"/>
    <w:rsid w:val="1BB6CF5A"/>
    <w:rsid w:val="1BD1C842"/>
    <w:rsid w:val="1BE39A0B"/>
    <w:rsid w:val="1C0AF8A6"/>
    <w:rsid w:val="1C288662"/>
    <w:rsid w:val="1C385037"/>
    <w:rsid w:val="1C4F579B"/>
    <w:rsid w:val="1C63EDCF"/>
    <w:rsid w:val="1C769238"/>
    <w:rsid w:val="1C960B3A"/>
    <w:rsid w:val="1CD08F27"/>
    <w:rsid w:val="1CE9EF01"/>
    <w:rsid w:val="1D52D191"/>
    <w:rsid w:val="1D6DE100"/>
    <w:rsid w:val="1D97FB51"/>
    <w:rsid w:val="1DBD70EF"/>
    <w:rsid w:val="1DDA798C"/>
    <w:rsid w:val="1DE0CACF"/>
    <w:rsid w:val="1E09EFC2"/>
    <w:rsid w:val="1E1ED903"/>
    <w:rsid w:val="1E30C7F8"/>
    <w:rsid w:val="1EC15F2E"/>
    <w:rsid w:val="1ED3EB2C"/>
    <w:rsid w:val="1EE25BF9"/>
    <w:rsid w:val="1EE78087"/>
    <w:rsid w:val="1EEF6C27"/>
    <w:rsid w:val="1F04EC04"/>
    <w:rsid w:val="1F17A632"/>
    <w:rsid w:val="1F222B39"/>
    <w:rsid w:val="1F86033B"/>
    <w:rsid w:val="1F9FAC1C"/>
    <w:rsid w:val="1FBC3CFB"/>
    <w:rsid w:val="1FEF078C"/>
    <w:rsid w:val="20255803"/>
    <w:rsid w:val="208C1203"/>
    <w:rsid w:val="20F5BDAB"/>
    <w:rsid w:val="211FFE23"/>
    <w:rsid w:val="21284318"/>
    <w:rsid w:val="2156151E"/>
    <w:rsid w:val="216AD315"/>
    <w:rsid w:val="21800AE9"/>
    <w:rsid w:val="21898B8F"/>
    <w:rsid w:val="21955529"/>
    <w:rsid w:val="21ACA54B"/>
    <w:rsid w:val="222E9B9B"/>
    <w:rsid w:val="22D5D901"/>
    <w:rsid w:val="22E0253E"/>
    <w:rsid w:val="2302991A"/>
    <w:rsid w:val="235516D2"/>
    <w:rsid w:val="235732A0"/>
    <w:rsid w:val="235E84BB"/>
    <w:rsid w:val="23C5C08F"/>
    <w:rsid w:val="23C79C3D"/>
    <w:rsid w:val="242A3DE3"/>
    <w:rsid w:val="2470E0EB"/>
    <w:rsid w:val="24876784"/>
    <w:rsid w:val="248DF349"/>
    <w:rsid w:val="24F194BD"/>
    <w:rsid w:val="254478CD"/>
    <w:rsid w:val="2557BF25"/>
    <w:rsid w:val="255AC3CC"/>
    <w:rsid w:val="255C3EC9"/>
    <w:rsid w:val="256171AE"/>
    <w:rsid w:val="2576D902"/>
    <w:rsid w:val="258B906D"/>
    <w:rsid w:val="25980E84"/>
    <w:rsid w:val="25AC8D58"/>
    <w:rsid w:val="26046644"/>
    <w:rsid w:val="26163269"/>
    <w:rsid w:val="261C59A8"/>
    <w:rsid w:val="2647292D"/>
    <w:rsid w:val="2656E86A"/>
    <w:rsid w:val="267EB2EF"/>
    <w:rsid w:val="2687E633"/>
    <w:rsid w:val="268FAEBE"/>
    <w:rsid w:val="2690AADD"/>
    <w:rsid w:val="26D2771B"/>
    <w:rsid w:val="26E7C7C6"/>
    <w:rsid w:val="26F147D1"/>
    <w:rsid w:val="27A91753"/>
    <w:rsid w:val="27FB24C1"/>
    <w:rsid w:val="284A1F8F"/>
    <w:rsid w:val="28A84C28"/>
    <w:rsid w:val="28AC5087"/>
    <w:rsid w:val="28AC9689"/>
    <w:rsid w:val="28F4BD52"/>
    <w:rsid w:val="290BD099"/>
    <w:rsid w:val="292BF228"/>
    <w:rsid w:val="2981C119"/>
    <w:rsid w:val="29B6467F"/>
    <w:rsid w:val="29FEFC14"/>
    <w:rsid w:val="2A6C61FF"/>
    <w:rsid w:val="2A712089"/>
    <w:rsid w:val="2AB94A39"/>
    <w:rsid w:val="2AEDE79C"/>
    <w:rsid w:val="2AFD34CD"/>
    <w:rsid w:val="2B9B5540"/>
    <w:rsid w:val="2BE4A7A5"/>
    <w:rsid w:val="2BF7255A"/>
    <w:rsid w:val="2C263BDC"/>
    <w:rsid w:val="2C44F2A3"/>
    <w:rsid w:val="2C79C81E"/>
    <w:rsid w:val="2CA7E7C9"/>
    <w:rsid w:val="2CAA5DDE"/>
    <w:rsid w:val="2CBA7366"/>
    <w:rsid w:val="2CC49657"/>
    <w:rsid w:val="2CDF5338"/>
    <w:rsid w:val="2D03D662"/>
    <w:rsid w:val="2D06531A"/>
    <w:rsid w:val="2D197965"/>
    <w:rsid w:val="2D7839C6"/>
    <w:rsid w:val="2DAB5C94"/>
    <w:rsid w:val="2DB9D054"/>
    <w:rsid w:val="2DD1C58B"/>
    <w:rsid w:val="2DE833DE"/>
    <w:rsid w:val="2E3853EC"/>
    <w:rsid w:val="2E90D90D"/>
    <w:rsid w:val="2EA44E8A"/>
    <w:rsid w:val="2EBB8BC6"/>
    <w:rsid w:val="2F3DE137"/>
    <w:rsid w:val="2F65E5CF"/>
    <w:rsid w:val="2F911F32"/>
    <w:rsid w:val="301F265F"/>
    <w:rsid w:val="3020E40D"/>
    <w:rsid w:val="3026CD1E"/>
    <w:rsid w:val="30296620"/>
    <w:rsid w:val="30A244BD"/>
    <w:rsid w:val="30BE3F30"/>
    <w:rsid w:val="310BC3B0"/>
    <w:rsid w:val="3128BF65"/>
    <w:rsid w:val="315898FE"/>
    <w:rsid w:val="317B9655"/>
    <w:rsid w:val="3184B3A2"/>
    <w:rsid w:val="31C85E0B"/>
    <w:rsid w:val="31ED2A23"/>
    <w:rsid w:val="31ED4D5D"/>
    <w:rsid w:val="3200BDDB"/>
    <w:rsid w:val="322C6F9A"/>
    <w:rsid w:val="327E1064"/>
    <w:rsid w:val="32B7DCD5"/>
    <w:rsid w:val="32D3E88A"/>
    <w:rsid w:val="33371BAF"/>
    <w:rsid w:val="3370F352"/>
    <w:rsid w:val="337ED525"/>
    <w:rsid w:val="338F814A"/>
    <w:rsid w:val="33A35648"/>
    <w:rsid w:val="33B41EBD"/>
    <w:rsid w:val="33B852B9"/>
    <w:rsid w:val="33E43776"/>
    <w:rsid w:val="33EE75FD"/>
    <w:rsid w:val="33EE8D74"/>
    <w:rsid w:val="34173075"/>
    <w:rsid w:val="3470F683"/>
    <w:rsid w:val="34FA57CA"/>
    <w:rsid w:val="350FEAE1"/>
    <w:rsid w:val="3521641C"/>
    <w:rsid w:val="3526E6BC"/>
    <w:rsid w:val="35290DD5"/>
    <w:rsid w:val="357EB1A9"/>
    <w:rsid w:val="35D4C5D9"/>
    <w:rsid w:val="35D7208C"/>
    <w:rsid w:val="35D8D710"/>
    <w:rsid w:val="36240D52"/>
    <w:rsid w:val="3630E8BF"/>
    <w:rsid w:val="367C1723"/>
    <w:rsid w:val="36A6D7F3"/>
    <w:rsid w:val="36A929BA"/>
    <w:rsid w:val="36D2D00A"/>
    <w:rsid w:val="37119E09"/>
    <w:rsid w:val="37163190"/>
    <w:rsid w:val="37319A34"/>
    <w:rsid w:val="37430021"/>
    <w:rsid w:val="379F1313"/>
    <w:rsid w:val="37E5301A"/>
    <w:rsid w:val="37ED2BF8"/>
    <w:rsid w:val="38377185"/>
    <w:rsid w:val="384DE3C0"/>
    <w:rsid w:val="387A13A2"/>
    <w:rsid w:val="3887FA9E"/>
    <w:rsid w:val="38895637"/>
    <w:rsid w:val="38A48697"/>
    <w:rsid w:val="38FD51D4"/>
    <w:rsid w:val="39066F21"/>
    <w:rsid w:val="392AA909"/>
    <w:rsid w:val="3941524D"/>
    <w:rsid w:val="396E93F9"/>
    <w:rsid w:val="39935A22"/>
    <w:rsid w:val="39F80533"/>
    <w:rsid w:val="3A012280"/>
    <w:rsid w:val="3A16A077"/>
    <w:rsid w:val="3A381BF1"/>
    <w:rsid w:val="3A478E61"/>
    <w:rsid w:val="3A591E4E"/>
    <w:rsid w:val="3A70A053"/>
    <w:rsid w:val="3AC1AA5C"/>
    <w:rsid w:val="3B0B1D3C"/>
    <w:rsid w:val="3B1A1DA8"/>
    <w:rsid w:val="3B253CF4"/>
    <w:rsid w:val="3BD269C4"/>
    <w:rsid w:val="3BDE8539"/>
    <w:rsid w:val="3BF5A15F"/>
    <w:rsid w:val="3C1D87DB"/>
    <w:rsid w:val="3C1E2819"/>
    <w:rsid w:val="3C32591F"/>
    <w:rsid w:val="3C3BA0F0"/>
    <w:rsid w:val="3C4BBB93"/>
    <w:rsid w:val="3C5475B9"/>
    <w:rsid w:val="3C741E48"/>
    <w:rsid w:val="3CD99BBC"/>
    <w:rsid w:val="3CF334DB"/>
    <w:rsid w:val="3D296F96"/>
    <w:rsid w:val="3D382EC8"/>
    <w:rsid w:val="3D65BAC1"/>
    <w:rsid w:val="3D6F253B"/>
    <w:rsid w:val="3D82FA60"/>
    <w:rsid w:val="3D919A7C"/>
    <w:rsid w:val="3DFCB41E"/>
    <w:rsid w:val="3E07D701"/>
    <w:rsid w:val="3E174F4F"/>
    <w:rsid w:val="3E56007B"/>
    <w:rsid w:val="3E78CBD5"/>
    <w:rsid w:val="3EC35791"/>
    <w:rsid w:val="3EC4066F"/>
    <w:rsid w:val="3ED09794"/>
    <w:rsid w:val="3EF194F8"/>
    <w:rsid w:val="3F47FD06"/>
    <w:rsid w:val="3F8261B6"/>
    <w:rsid w:val="3F8A663E"/>
    <w:rsid w:val="3F94F080"/>
    <w:rsid w:val="3F96F85E"/>
    <w:rsid w:val="3FAE2C90"/>
    <w:rsid w:val="40045776"/>
    <w:rsid w:val="403E361A"/>
    <w:rsid w:val="4055A049"/>
    <w:rsid w:val="40A7DEC2"/>
    <w:rsid w:val="40B94B6F"/>
    <w:rsid w:val="40F4CE02"/>
    <w:rsid w:val="40F78D89"/>
    <w:rsid w:val="40FC9022"/>
    <w:rsid w:val="40FD6612"/>
    <w:rsid w:val="40FE425E"/>
    <w:rsid w:val="4110C458"/>
    <w:rsid w:val="41174801"/>
    <w:rsid w:val="412C2068"/>
    <w:rsid w:val="413C8478"/>
    <w:rsid w:val="4143BDC7"/>
    <w:rsid w:val="4145A1C5"/>
    <w:rsid w:val="4170EF0A"/>
    <w:rsid w:val="4182DDFF"/>
    <w:rsid w:val="41C200B1"/>
    <w:rsid w:val="41DF66E7"/>
    <w:rsid w:val="421E8896"/>
    <w:rsid w:val="423B3989"/>
    <w:rsid w:val="426D66E6"/>
    <w:rsid w:val="42D5F6F9"/>
    <w:rsid w:val="430E5302"/>
    <w:rsid w:val="4323374F"/>
    <w:rsid w:val="434AC5EE"/>
    <w:rsid w:val="436A2001"/>
    <w:rsid w:val="43BCA262"/>
    <w:rsid w:val="43BCC614"/>
    <w:rsid w:val="43DB8375"/>
    <w:rsid w:val="43E53A9E"/>
    <w:rsid w:val="43F02AEE"/>
    <w:rsid w:val="43F67BD7"/>
    <w:rsid w:val="4409D0AA"/>
    <w:rsid w:val="4474F05A"/>
    <w:rsid w:val="447D2F89"/>
    <w:rsid w:val="449A96F7"/>
    <w:rsid w:val="44E76B30"/>
    <w:rsid w:val="45113AD0"/>
    <w:rsid w:val="4533639E"/>
    <w:rsid w:val="456C772F"/>
    <w:rsid w:val="45848A38"/>
    <w:rsid w:val="458EF162"/>
    <w:rsid w:val="459644C9"/>
    <w:rsid w:val="45DF0784"/>
    <w:rsid w:val="45F7AD99"/>
    <w:rsid w:val="46678D3C"/>
    <w:rsid w:val="4679C1EA"/>
    <w:rsid w:val="467FB465"/>
    <w:rsid w:val="46889EE1"/>
    <w:rsid w:val="4693BE2D"/>
    <w:rsid w:val="469B64F3"/>
    <w:rsid w:val="46A3CD57"/>
    <w:rsid w:val="46C8A1D8"/>
    <w:rsid w:val="46CFFE48"/>
    <w:rsid w:val="46DAFDD6"/>
    <w:rsid w:val="46F13220"/>
    <w:rsid w:val="4703CF90"/>
    <w:rsid w:val="4707222A"/>
    <w:rsid w:val="470A98BE"/>
    <w:rsid w:val="47402A7F"/>
    <w:rsid w:val="4795A7A3"/>
    <w:rsid w:val="47AA2D1C"/>
    <w:rsid w:val="47C29079"/>
    <w:rsid w:val="480D05BB"/>
    <w:rsid w:val="4810A4B5"/>
    <w:rsid w:val="48423D4B"/>
    <w:rsid w:val="4889011E"/>
    <w:rsid w:val="488D5480"/>
    <w:rsid w:val="4897F0CF"/>
    <w:rsid w:val="48C5FAAC"/>
    <w:rsid w:val="48DAC158"/>
    <w:rsid w:val="48F30D31"/>
    <w:rsid w:val="491A1960"/>
    <w:rsid w:val="492D29DD"/>
    <w:rsid w:val="4934DE01"/>
    <w:rsid w:val="496BD445"/>
    <w:rsid w:val="4988930F"/>
    <w:rsid w:val="49AB01DC"/>
    <w:rsid w:val="49E19FAC"/>
    <w:rsid w:val="49E1C4C5"/>
    <w:rsid w:val="4A036E58"/>
    <w:rsid w:val="4A486547"/>
    <w:rsid w:val="4A4A1A83"/>
    <w:rsid w:val="4A604D88"/>
    <w:rsid w:val="4AC6E5E3"/>
    <w:rsid w:val="4AF3F801"/>
    <w:rsid w:val="4B0CFFA9"/>
    <w:rsid w:val="4B8A032A"/>
    <w:rsid w:val="4B9FA62D"/>
    <w:rsid w:val="4BB21DB9"/>
    <w:rsid w:val="4BC71CCF"/>
    <w:rsid w:val="4BF3DCE8"/>
    <w:rsid w:val="4C165FFB"/>
    <w:rsid w:val="4C589291"/>
    <w:rsid w:val="4C5FF4F7"/>
    <w:rsid w:val="4C8FDC50"/>
    <w:rsid w:val="4C979705"/>
    <w:rsid w:val="4CA3A29F"/>
    <w:rsid w:val="4CAD14A0"/>
    <w:rsid w:val="4CBFF500"/>
    <w:rsid w:val="4CECA776"/>
    <w:rsid w:val="4CF50AE0"/>
    <w:rsid w:val="4CFB4889"/>
    <w:rsid w:val="4D14F0D2"/>
    <w:rsid w:val="4D4D5375"/>
    <w:rsid w:val="4D51121B"/>
    <w:rsid w:val="4DE6029F"/>
    <w:rsid w:val="4DFE86A5"/>
    <w:rsid w:val="4E57DF13"/>
    <w:rsid w:val="4E5DE972"/>
    <w:rsid w:val="4E91B888"/>
    <w:rsid w:val="4ECF2ACE"/>
    <w:rsid w:val="4ED15E21"/>
    <w:rsid w:val="4EF4EBB2"/>
    <w:rsid w:val="4F3CDFE7"/>
    <w:rsid w:val="4F41ABBD"/>
    <w:rsid w:val="4F606856"/>
    <w:rsid w:val="4F6C2148"/>
    <w:rsid w:val="4FB21456"/>
    <w:rsid w:val="4FECD51A"/>
    <w:rsid w:val="500372AB"/>
    <w:rsid w:val="500740B2"/>
    <w:rsid w:val="5030B818"/>
    <w:rsid w:val="505B4DE7"/>
    <w:rsid w:val="5069C732"/>
    <w:rsid w:val="506C667F"/>
    <w:rsid w:val="50881B65"/>
    <w:rsid w:val="5092CD4D"/>
    <w:rsid w:val="50C43674"/>
    <w:rsid w:val="50DD7E41"/>
    <w:rsid w:val="50E97474"/>
    <w:rsid w:val="510F8CBE"/>
    <w:rsid w:val="51292569"/>
    <w:rsid w:val="51468EA9"/>
    <w:rsid w:val="516450DF"/>
    <w:rsid w:val="516B3AF9"/>
    <w:rsid w:val="5172B303"/>
    <w:rsid w:val="51A0BC7E"/>
    <w:rsid w:val="51B7D4AE"/>
    <w:rsid w:val="51C9E4C2"/>
    <w:rsid w:val="520D0102"/>
    <w:rsid w:val="522DDA50"/>
    <w:rsid w:val="52831E69"/>
    <w:rsid w:val="528A824F"/>
    <w:rsid w:val="52A426B1"/>
    <w:rsid w:val="531E614F"/>
    <w:rsid w:val="5320FA38"/>
    <w:rsid w:val="537A9362"/>
    <w:rsid w:val="53BC9327"/>
    <w:rsid w:val="53EB076D"/>
    <w:rsid w:val="544B354C"/>
    <w:rsid w:val="5452B282"/>
    <w:rsid w:val="545D4D54"/>
    <w:rsid w:val="54665FB8"/>
    <w:rsid w:val="54698337"/>
    <w:rsid w:val="546DA720"/>
    <w:rsid w:val="547AD56C"/>
    <w:rsid w:val="54860F58"/>
    <w:rsid w:val="5492CED9"/>
    <w:rsid w:val="54B729B3"/>
    <w:rsid w:val="54D6C9A9"/>
    <w:rsid w:val="54FEE404"/>
    <w:rsid w:val="55082225"/>
    <w:rsid w:val="554AF552"/>
    <w:rsid w:val="5563398E"/>
    <w:rsid w:val="55942428"/>
    <w:rsid w:val="55E5E7D3"/>
    <w:rsid w:val="5604A5D6"/>
    <w:rsid w:val="5623240D"/>
    <w:rsid w:val="568DD86E"/>
    <w:rsid w:val="56A41DAE"/>
    <w:rsid w:val="57217C39"/>
    <w:rsid w:val="5737AD53"/>
    <w:rsid w:val="5740A37B"/>
    <w:rsid w:val="577AACF4"/>
    <w:rsid w:val="577BDBE4"/>
    <w:rsid w:val="57E89026"/>
    <w:rsid w:val="57FB924E"/>
    <w:rsid w:val="58C9E516"/>
    <w:rsid w:val="592F0954"/>
    <w:rsid w:val="5979E179"/>
    <w:rsid w:val="5A205B50"/>
    <w:rsid w:val="5A2533C4"/>
    <w:rsid w:val="5A2CE77B"/>
    <w:rsid w:val="5A5808DF"/>
    <w:rsid w:val="5A91E7ED"/>
    <w:rsid w:val="5A93902B"/>
    <w:rsid w:val="5AA6840A"/>
    <w:rsid w:val="5AE78566"/>
    <w:rsid w:val="5B1F2B11"/>
    <w:rsid w:val="5B2B4D67"/>
    <w:rsid w:val="5B6AABD8"/>
    <w:rsid w:val="5BA03730"/>
    <w:rsid w:val="5C190195"/>
    <w:rsid w:val="5CF6675B"/>
    <w:rsid w:val="5D0A5E1F"/>
    <w:rsid w:val="5D0F3DB7"/>
    <w:rsid w:val="5DE07702"/>
    <w:rsid w:val="5DEC5D6B"/>
    <w:rsid w:val="5DFB8212"/>
    <w:rsid w:val="5DFE686E"/>
    <w:rsid w:val="5E12A7EA"/>
    <w:rsid w:val="5E2FADC5"/>
    <w:rsid w:val="5E302E1A"/>
    <w:rsid w:val="5E45CAB8"/>
    <w:rsid w:val="5E717D86"/>
    <w:rsid w:val="5E7BA1F0"/>
    <w:rsid w:val="5E9853EA"/>
    <w:rsid w:val="5EBBE448"/>
    <w:rsid w:val="5F6F9DE2"/>
    <w:rsid w:val="5F9EF63D"/>
    <w:rsid w:val="5FAA6E79"/>
    <w:rsid w:val="5FB494D1"/>
    <w:rsid w:val="5FC6344F"/>
    <w:rsid w:val="5FCB7686"/>
    <w:rsid w:val="5FED553E"/>
    <w:rsid w:val="603C2D95"/>
    <w:rsid w:val="604B03A5"/>
    <w:rsid w:val="6053D703"/>
    <w:rsid w:val="607C4453"/>
    <w:rsid w:val="608E423C"/>
    <w:rsid w:val="60BEC737"/>
    <w:rsid w:val="61C4BF4E"/>
    <w:rsid w:val="61E2E1AB"/>
    <w:rsid w:val="61FFD790"/>
    <w:rsid w:val="624DB39D"/>
    <w:rsid w:val="62DE9129"/>
    <w:rsid w:val="6307E445"/>
    <w:rsid w:val="63121D9D"/>
    <w:rsid w:val="636D97F8"/>
    <w:rsid w:val="63801615"/>
    <w:rsid w:val="63B34D9D"/>
    <w:rsid w:val="63CBE477"/>
    <w:rsid w:val="63E1FB5C"/>
    <w:rsid w:val="63EFA88C"/>
    <w:rsid w:val="63F9F4C9"/>
    <w:rsid w:val="641A6087"/>
    <w:rsid w:val="6449A390"/>
    <w:rsid w:val="644ADF33"/>
    <w:rsid w:val="644B8FCC"/>
    <w:rsid w:val="6455A23C"/>
    <w:rsid w:val="64567F83"/>
    <w:rsid w:val="647387D9"/>
    <w:rsid w:val="64B8680D"/>
    <w:rsid w:val="64C30511"/>
    <w:rsid w:val="64D3916E"/>
    <w:rsid w:val="64DDFD7B"/>
    <w:rsid w:val="65082ED1"/>
    <w:rsid w:val="6549FCA7"/>
    <w:rsid w:val="655E5145"/>
    <w:rsid w:val="6578F792"/>
    <w:rsid w:val="657AE62C"/>
    <w:rsid w:val="658C732E"/>
    <w:rsid w:val="65A79C55"/>
    <w:rsid w:val="65AEB7E9"/>
    <w:rsid w:val="65B0087E"/>
    <w:rsid w:val="65BBD240"/>
    <w:rsid w:val="65C5AB02"/>
    <w:rsid w:val="66309602"/>
    <w:rsid w:val="669328B5"/>
    <w:rsid w:val="669CDBF5"/>
    <w:rsid w:val="66A3A523"/>
    <w:rsid w:val="66A722A5"/>
    <w:rsid w:val="66C98411"/>
    <w:rsid w:val="67291923"/>
    <w:rsid w:val="678B7918"/>
    <w:rsid w:val="6791038F"/>
    <w:rsid w:val="67C71C8C"/>
    <w:rsid w:val="67DCA89B"/>
    <w:rsid w:val="67DDCA7C"/>
    <w:rsid w:val="67ECACFE"/>
    <w:rsid w:val="6811E533"/>
    <w:rsid w:val="6822FA9E"/>
    <w:rsid w:val="68742228"/>
    <w:rsid w:val="68B3CC22"/>
    <w:rsid w:val="68B89C73"/>
    <w:rsid w:val="68DA8A16"/>
    <w:rsid w:val="6951BCAE"/>
    <w:rsid w:val="6982A10F"/>
    <w:rsid w:val="69C016E1"/>
    <w:rsid w:val="69CCD658"/>
    <w:rsid w:val="69E5D434"/>
    <w:rsid w:val="69F4C557"/>
    <w:rsid w:val="69F7FD18"/>
    <w:rsid w:val="6A124ED0"/>
    <w:rsid w:val="6A129EE5"/>
    <w:rsid w:val="6A57B5A7"/>
    <w:rsid w:val="6A5994F0"/>
    <w:rsid w:val="6A789252"/>
    <w:rsid w:val="6ABBDB43"/>
    <w:rsid w:val="6AE41368"/>
    <w:rsid w:val="6AF0A115"/>
    <w:rsid w:val="6B62BABC"/>
    <w:rsid w:val="6BB48BCC"/>
    <w:rsid w:val="6BC9831B"/>
    <w:rsid w:val="6BE0AC07"/>
    <w:rsid w:val="6BEC5093"/>
    <w:rsid w:val="6BFC5222"/>
    <w:rsid w:val="6C08DC8C"/>
    <w:rsid w:val="6C21A423"/>
    <w:rsid w:val="6C82E1E7"/>
    <w:rsid w:val="6C8C777F"/>
    <w:rsid w:val="6C915171"/>
    <w:rsid w:val="6C9AAA55"/>
    <w:rsid w:val="6C9FD786"/>
    <w:rsid w:val="6CD55C8B"/>
    <w:rsid w:val="6CDF493D"/>
    <w:rsid w:val="6D177859"/>
    <w:rsid w:val="6D2E6FCE"/>
    <w:rsid w:val="6D33DACC"/>
    <w:rsid w:val="6D34D6EB"/>
    <w:rsid w:val="6D4025DA"/>
    <w:rsid w:val="6D4A2102"/>
    <w:rsid w:val="6D7B5F9F"/>
    <w:rsid w:val="6DBC4D03"/>
    <w:rsid w:val="6DD527D2"/>
    <w:rsid w:val="6E09935F"/>
    <w:rsid w:val="6E0E044A"/>
    <w:rsid w:val="6E1F1C8A"/>
    <w:rsid w:val="6E7EB7AB"/>
    <w:rsid w:val="6E7FF7C7"/>
    <w:rsid w:val="6E8285BC"/>
    <w:rsid w:val="6EDC1931"/>
    <w:rsid w:val="6EF1BC34"/>
    <w:rsid w:val="6F507C95"/>
    <w:rsid w:val="6F63E0A9"/>
    <w:rsid w:val="6F92AF2B"/>
    <w:rsid w:val="6FB42951"/>
    <w:rsid w:val="6FC7954E"/>
    <w:rsid w:val="6FDDEE86"/>
    <w:rsid w:val="6FE2EA38"/>
    <w:rsid w:val="70063905"/>
    <w:rsid w:val="7011D852"/>
    <w:rsid w:val="7072540E"/>
    <w:rsid w:val="708810D3"/>
    <w:rsid w:val="70BB5193"/>
    <w:rsid w:val="70E260D0"/>
    <w:rsid w:val="71039A40"/>
    <w:rsid w:val="7106F5EC"/>
    <w:rsid w:val="716A67F5"/>
    <w:rsid w:val="71B22C73"/>
    <w:rsid w:val="71CAD134"/>
    <w:rsid w:val="71EEEC09"/>
    <w:rsid w:val="721ADD30"/>
    <w:rsid w:val="722777E9"/>
    <w:rsid w:val="7230BACF"/>
    <w:rsid w:val="723D0045"/>
    <w:rsid w:val="7257F481"/>
    <w:rsid w:val="72BE374F"/>
    <w:rsid w:val="72D99079"/>
    <w:rsid w:val="72DBBF67"/>
    <w:rsid w:val="731FA94F"/>
    <w:rsid w:val="734E3A3D"/>
    <w:rsid w:val="73AA9F1B"/>
    <w:rsid w:val="73AFE373"/>
    <w:rsid w:val="73C1BCC0"/>
    <w:rsid w:val="73D900AA"/>
    <w:rsid w:val="73E19AAB"/>
    <w:rsid w:val="73FEDDBC"/>
    <w:rsid w:val="748D2B55"/>
    <w:rsid w:val="7498A4B0"/>
    <w:rsid w:val="74DAD918"/>
    <w:rsid w:val="74F65C42"/>
    <w:rsid w:val="7554556D"/>
    <w:rsid w:val="755B81F6"/>
    <w:rsid w:val="75837BB7"/>
    <w:rsid w:val="758E2D10"/>
    <w:rsid w:val="7594D8A8"/>
    <w:rsid w:val="75C6D043"/>
    <w:rsid w:val="75D43F95"/>
    <w:rsid w:val="75F06D7B"/>
    <w:rsid w:val="760C5644"/>
    <w:rsid w:val="7645EB7F"/>
    <w:rsid w:val="765F8FB5"/>
    <w:rsid w:val="766266A6"/>
    <w:rsid w:val="76679BF9"/>
    <w:rsid w:val="76803F91"/>
    <w:rsid w:val="76A4193D"/>
    <w:rsid w:val="76C7761A"/>
    <w:rsid w:val="770DE1C6"/>
    <w:rsid w:val="77732340"/>
    <w:rsid w:val="777F52EB"/>
    <w:rsid w:val="778DE02A"/>
    <w:rsid w:val="778E581B"/>
    <w:rsid w:val="77965129"/>
    <w:rsid w:val="77B02FEC"/>
    <w:rsid w:val="77CCEB73"/>
    <w:rsid w:val="77CE275C"/>
    <w:rsid w:val="77D0B460"/>
    <w:rsid w:val="77E334A3"/>
    <w:rsid w:val="78043360"/>
    <w:rsid w:val="782456B6"/>
    <w:rsid w:val="782C6B85"/>
    <w:rsid w:val="78710716"/>
    <w:rsid w:val="78A42FD6"/>
    <w:rsid w:val="78EB2D77"/>
    <w:rsid w:val="78F76C76"/>
    <w:rsid w:val="793B08E8"/>
    <w:rsid w:val="797489F8"/>
    <w:rsid w:val="79962B98"/>
    <w:rsid w:val="79FF1D5A"/>
    <w:rsid w:val="7A313748"/>
    <w:rsid w:val="7A4FC4DF"/>
    <w:rsid w:val="7A6B5AE7"/>
    <w:rsid w:val="7A739240"/>
    <w:rsid w:val="7A886384"/>
    <w:rsid w:val="7A92B982"/>
    <w:rsid w:val="7A9FE1AF"/>
    <w:rsid w:val="7AC129D8"/>
    <w:rsid w:val="7AD6F73B"/>
    <w:rsid w:val="7AF5AF3E"/>
    <w:rsid w:val="7B1929D1"/>
    <w:rsid w:val="7B60473F"/>
    <w:rsid w:val="7B822B00"/>
    <w:rsid w:val="7B838BC6"/>
    <w:rsid w:val="7B956A7F"/>
    <w:rsid w:val="7BA579A9"/>
    <w:rsid w:val="7BC5902A"/>
    <w:rsid w:val="7BCF9BC4"/>
    <w:rsid w:val="7C150C20"/>
    <w:rsid w:val="7C67F2BD"/>
    <w:rsid w:val="7C8009A7"/>
    <w:rsid w:val="7CA7DE18"/>
    <w:rsid w:val="7CAA82F0"/>
    <w:rsid w:val="7CD514CD"/>
    <w:rsid w:val="7CF12FB5"/>
    <w:rsid w:val="7D0579E9"/>
    <w:rsid w:val="7D0A46E6"/>
    <w:rsid w:val="7D174D01"/>
    <w:rsid w:val="7D1838EA"/>
    <w:rsid w:val="7D320529"/>
    <w:rsid w:val="7D375766"/>
    <w:rsid w:val="7D57C633"/>
    <w:rsid w:val="7D6F4163"/>
    <w:rsid w:val="7D76FC18"/>
    <w:rsid w:val="7DACC531"/>
    <w:rsid w:val="7E1408FE"/>
    <w:rsid w:val="7E529515"/>
    <w:rsid w:val="7E915806"/>
    <w:rsid w:val="7EC25A5D"/>
    <w:rsid w:val="7F1BE7F4"/>
    <w:rsid w:val="7F3F45E8"/>
    <w:rsid w:val="7F47680A"/>
    <w:rsid w:val="7F7615C9"/>
    <w:rsid w:val="7F98943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3C9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0" w:unhideWhenUsed="1" w:qFormat="1"/>
    <w:lsdException w:name="heading 5" w:locked="0" w:semiHidden="1" w:uiPriority="0" w:unhideWhenUsed="1" w:qFormat="1"/>
    <w:lsdException w:name="heading 6" w:locked="0" w:semiHidden="1" w:uiPriority="0" w:unhideWhenUsed="1" w:qFormat="1"/>
    <w:lsdException w:name="heading 7" w:locked="0" w:semiHidden="1" w:uiPriority="0" w:unhideWhenUsed="1" w:qFormat="1"/>
    <w:lsdException w:name="heading 8" w:locked="0" w:semiHidden="1" w:uiPriority="0" w:unhideWhenUsed="1" w:qFormat="1"/>
    <w:lsdException w:name="heading 9" w:locked="0"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nhideWhenUsed="1"/>
    <w:lsdException w:name="header" w:locked="0" w:semiHidden="1" w:unhideWhenUsed="1"/>
    <w:lsdException w:name="footer" w:locked="0" w:semiHidden="1" w:unhideWhenUsed="1"/>
    <w:lsdException w:name="index heading" w:semiHidden="1" w:unhideWhenUsed="1"/>
    <w:lsdException w:name="caption" w:locked="0" w:semiHidden="1" w:uiPriority="0" w:unhideWhenUsed="1" w:qFormat="1"/>
    <w:lsdException w:name="table of figures" w:locked="0"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lsdException w:name="line number" w:semiHidden="1" w:unhideWhenUsed="1"/>
    <w:lsdException w:name="page number" w:locked="0"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0" w:uiPriority="10"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locked="0" w:semiHidden="1" w:unhideWhenUsed="1"/>
    <w:lsdException w:name="Strong" w:locked="0"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semiHidden="1" w:unhideWhenUsed="1"/>
    <w:lsdException w:name="Hashtag" w:semiHidden="1" w:unhideWhenUsed="1"/>
    <w:lsdException w:name="Unresolved Mention" w:locked="0" w:semiHidden="1" w:unhideWhenUsed="1"/>
    <w:lsdException w:name="Smart Link" w:semiHidden="1" w:unhideWhenUsed="1"/>
  </w:latentStyles>
  <w:style w:type="paragraph" w:default="1" w:styleId="Normal">
    <w:name w:val="Normal"/>
    <w:unhideWhenUsed/>
    <w:qFormat/>
    <w:rsid w:val="00975863"/>
    <w:rPr>
      <w:rFonts w:ascii="Palatino Linotype" w:hAnsi="Palatino Linotype"/>
      <w:sz w:val="24"/>
    </w:rPr>
  </w:style>
  <w:style w:type="paragraph" w:styleId="Heading1">
    <w:name w:val="heading 1"/>
    <w:basedOn w:val="Normal"/>
    <w:next w:val="Normal"/>
    <w:link w:val="Heading1Char"/>
    <w:uiPriority w:val="9"/>
    <w:qFormat/>
    <w:rsid w:val="00C96924"/>
    <w:pPr>
      <w:keepNext/>
      <w:pageBreakBefore/>
      <w:widowControl w:val="0"/>
      <w:numPr>
        <w:numId w:val="6"/>
      </w:numPr>
      <w:spacing w:after="80" w:line="240" w:lineRule="auto"/>
      <w:outlineLvl w:val="0"/>
    </w:pPr>
    <w:rPr>
      <w:rFonts w:eastAsiaTheme="majorEastAsia" w:cstheme="majorBidi"/>
      <w:bCs/>
      <w:sz w:val="32"/>
      <w:szCs w:val="28"/>
    </w:rPr>
  </w:style>
  <w:style w:type="paragraph" w:styleId="Heading2">
    <w:name w:val="heading 2"/>
    <w:basedOn w:val="Heading1"/>
    <w:next w:val="Normal"/>
    <w:link w:val="Heading2Char"/>
    <w:autoRedefine/>
    <w:uiPriority w:val="9"/>
    <w:unhideWhenUsed/>
    <w:qFormat/>
    <w:rsid w:val="008151F1"/>
    <w:pPr>
      <w:pageBreakBefore w:val="0"/>
      <w:widowControl/>
      <w:numPr>
        <w:ilvl w:val="1"/>
      </w:numPr>
      <w:spacing w:before="300" w:after="120"/>
      <w:outlineLvl w:val="1"/>
    </w:pPr>
    <w:rPr>
      <w:bCs w:val="0"/>
      <w:sz w:val="28"/>
      <w:szCs w:val="20"/>
    </w:rPr>
  </w:style>
  <w:style w:type="paragraph" w:styleId="Heading3">
    <w:name w:val="heading 3"/>
    <w:basedOn w:val="Heading2"/>
    <w:next w:val="Normal"/>
    <w:link w:val="Heading3Char"/>
    <w:uiPriority w:val="9"/>
    <w:unhideWhenUsed/>
    <w:qFormat/>
    <w:rsid w:val="00943C87"/>
    <w:pPr>
      <w:numPr>
        <w:ilvl w:val="2"/>
      </w:numPr>
      <w:outlineLvl w:val="2"/>
    </w:pPr>
    <w:rPr>
      <w:bCs/>
      <w:i/>
      <w:sz w:val="24"/>
    </w:rPr>
  </w:style>
  <w:style w:type="paragraph" w:styleId="Heading4">
    <w:name w:val="heading 4"/>
    <w:basedOn w:val="Normal"/>
    <w:next w:val="Normal"/>
    <w:link w:val="Heading4Char"/>
    <w:unhideWhenUsed/>
    <w:qFormat/>
    <w:rsid w:val="00A74E63"/>
    <w:pPr>
      <w:keepNext/>
      <w:keepLines/>
      <w:numPr>
        <w:ilvl w:val="3"/>
        <w:numId w:val="6"/>
      </w:numPr>
      <w:spacing w:before="200" w:after="80" w:line="240" w:lineRule="auto"/>
      <w:outlineLvl w:val="3"/>
    </w:pPr>
    <w:rPr>
      <w:rFonts w:eastAsiaTheme="majorEastAsia" w:cstheme="majorBidi"/>
      <w:b/>
      <w:bCs/>
      <w:i/>
      <w:iCs/>
    </w:rPr>
  </w:style>
  <w:style w:type="paragraph" w:styleId="Heading5">
    <w:name w:val="heading 5"/>
    <w:basedOn w:val="Normal"/>
    <w:next w:val="Normal"/>
    <w:link w:val="Heading5Char"/>
    <w:qFormat/>
    <w:rsid w:val="003C2609"/>
    <w:pPr>
      <w:numPr>
        <w:ilvl w:val="4"/>
        <w:numId w:val="6"/>
      </w:numPr>
      <w:spacing w:after="120" w:line="240" w:lineRule="auto"/>
      <w:outlineLvl w:val="4"/>
    </w:pPr>
    <w:rPr>
      <w:rFonts w:ascii="Times New Roman" w:eastAsia="Times New Roman" w:hAnsi="Times New Roman" w:cs="Times New Roman"/>
      <w:szCs w:val="24"/>
    </w:rPr>
  </w:style>
  <w:style w:type="paragraph" w:styleId="Heading6">
    <w:name w:val="heading 6"/>
    <w:basedOn w:val="Heading5"/>
    <w:next w:val="Normal"/>
    <w:link w:val="Heading6Char"/>
    <w:qFormat/>
    <w:rsid w:val="003C2609"/>
    <w:pPr>
      <w:numPr>
        <w:ilvl w:val="5"/>
      </w:numPr>
      <w:outlineLvl w:val="5"/>
    </w:pPr>
  </w:style>
  <w:style w:type="paragraph" w:styleId="Heading7">
    <w:name w:val="heading 7"/>
    <w:basedOn w:val="Heading6"/>
    <w:next w:val="Normal"/>
    <w:link w:val="Heading7Char"/>
    <w:qFormat/>
    <w:rsid w:val="003C2609"/>
    <w:pPr>
      <w:numPr>
        <w:ilvl w:val="6"/>
      </w:numPr>
      <w:outlineLvl w:val="6"/>
    </w:pPr>
  </w:style>
  <w:style w:type="paragraph" w:styleId="Heading8">
    <w:name w:val="heading 8"/>
    <w:basedOn w:val="Heading7"/>
    <w:next w:val="Normal"/>
    <w:link w:val="Heading8Char"/>
    <w:qFormat/>
    <w:rsid w:val="003C2609"/>
    <w:pPr>
      <w:numPr>
        <w:ilvl w:val="7"/>
      </w:numPr>
      <w:outlineLvl w:val="7"/>
    </w:pPr>
  </w:style>
  <w:style w:type="paragraph" w:styleId="Heading9">
    <w:name w:val="heading 9"/>
    <w:basedOn w:val="Heading8"/>
    <w:next w:val="Normal"/>
    <w:link w:val="Heading9Char"/>
    <w:qFormat/>
    <w:rsid w:val="003C2609"/>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locked/>
    <w:rsid w:val="007035F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PECI Bullets (Content)"/>
    <w:basedOn w:val="Normal"/>
    <w:link w:val="ListParagraphChar"/>
    <w:uiPriority w:val="34"/>
    <w:qFormat/>
    <w:rsid w:val="005570EB"/>
    <w:pPr>
      <w:numPr>
        <w:numId w:val="1"/>
      </w:numPr>
      <w:spacing w:before="240" w:after="60"/>
      <w:contextualSpacing/>
    </w:pPr>
  </w:style>
  <w:style w:type="paragraph" w:styleId="Caption">
    <w:name w:val="caption"/>
    <w:aliases w:val="Table Caption Char,Table Caption,Char,_Main body - Caption,Podpis nad obiektem,_Main body - Caption figure"/>
    <w:basedOn w:val="Normal"/>
    <w:next w:val="Normal"/>
    <w:link w:val="CaptionChar"/>
    <w:unhideWhenUsed/>
    <w:qFormat/>
    <w:rsid w:val="00F56F2C"/>
    <w:pPr>
      <w:keepNext/>
      <w:spacing w:before="120" w:after="120" w:line="240" w:lineRule="auto"/>
    </w:pPr>
    <w:rPr>
      <w:b/>
      <w:bCs/>
      <w:szCs w:val="18"/>
    </w:rPr>
  </w:style>
  <w:style w:type="paragraph" w:styleId="Header">
    <w:name w:val="header"/>
    <w:basedOn w:val="Normal"/>
    <w:link w:val="HeaderChar"/>
    <w:uiPriority w:val="99"/>
    <w:unhideWhenUsed/>
    <w:locked/>
    <w:rsid w:val="007035F6"/>
    <w:pPr>
      <w:tabs>
        <w:tab w:val="center" w:pos="4680"/>
        <w:tab w:val="right" w:pos="9360"/>
      </w:tabs>
      <w:spacing w:before="60" w:after="60" w:line="240" w:lineRule="auto"/>
    </w:pPr>
  </w:style>
  <w:style w:type="character" w:customStyle="1" w:styleId="HeaderChar">
    <w:name w:val="Header Char"/>
    <w:basedOn w:val="DefaultParagraphFont"/>
    <w:link w:val="Header"/>
    <w:uiPriority w:val="99"/>
    <w:rsid w:val="007035F6"/>
    <w:rPr>
      <w:rFonts w:ascii="Garamond" w:hAnsi="Garamond"/>
      <w:sz w:val="24"/>
    </w:rPr>
  </w:style>
  <w:style w:type="paragraph" w:styleId="Footer">
    <w:name w:val="footer"/>
    <w:basedOn w:val="Normal"/>
    <w:link w:val="FooterChar"/>
    <w:uiPriority w:val="99"/>
    <w:unhideWhenUsed/>
    <w:rsid w:val="007035F6"/>
    <w:pPr>
      <w:tabs>
        <w:tab w:val="center" w:pos="4680"/>
        <w:tab w:val="right" w:pos="9360"/>
      </w:tabs>
      <w:spacing w:before="60" w:after="60" w:line="240" w:lineRule="auto"/>
    </w:pPr>
  </w:style>
  <w:style w:type="character" w:customStyle="1" w:styleId="FooterChar">
    <w:name w:val="Footer Char"/>
    <w:basedOn w:val="DefaultParagraphFont"/>
    <w:link w:val="Footer"/>
    <w:uiPriority w:val="99"/>
    <w:rsid w:val="007035F6"/>
    <w:rPr>
      <w:rFonts w:ascii="Garamond" w:hAnsi="Garamond"/>
      <w:sz w:val="24"/>
    </w:rPr>
  </w:style>
  <w:style w:type="character" w:styleId="Hyperlink">
    <w:name w:val="Hyperlink"/>
    <w:basedOn w:val="DefaultParagraphFont"/>
    <w:uiPriority w:val="99"/>
    <w:unhideWhenUsed/>
    <w:rsid w:val="002A3487"/>
    <w:rPr>
      <w:rFonts w:ascii="Palatino Linotype" w:hAnsi="Palatino Linotype"/>
      <w:color w:val="auto"/>
      <w:sz w:val="24"/>
      <w:u w:val="single"/>
    </w:rPr>
  </w:style>
  <w:style w:type="paragraph" w:styleId="FootnoteText">
    <w:name w:val="footnote text"/>
    <w:aliases w:val="DFSListFootnote,Footnote Text1 Char,Footnote Text Char Ch,Footnote Text Char Ch Char Char Char,Footnote Text Char Ch Char Char,Footnote Text1 Char Char Char,Footnote Text Char Ch Char,DFSListFootnote1,Footnote Text1 Char1,DFSListFootnote2"/>
    <w:basedOn w:val="NoSpacing"/>
    <w:link w:val="FootnoteTextChar"/>
    <w:uiPriority w:val="99"/>
    <w:unhideWhenUsed/>
    <w:qFormat/>
    <w:rsid w:val="00025F55"/>
    <w:pPr>
      <w:widowControl w:val="0"/>
    </w:pPr>
    <w:rPr>
      <w:sz w:val="16"/>
      <w:szCs w:val="16"/>
    </w:rPr>
  </w:style>
  <w:style w:type="character" w:customStyle="1" w:styleId="FootnoteTextChar">
    <w:name w:val="Footnote Text Char"/>
    <w:aliases w:val="DFSListFootnote Char,Footnote Text1 Char Char,Footnote Text Char Ch Char1,Footnote Text Char Ch Char Char Char Char,Footnote Text Char Ch Char Char Char1,Footnote Text1 Char Char Char Char,Footnote Text Char Ch Char Char1"/>
    <w:basedOn w:val="DefaultParagraphFont"/>
    <w:link w:val="FootnoteText"/>
    <w:uiPriority w:val="99"/>
    <w:rsid w:val="00025F55"/>
    <w:rPr>
      <w:rFonts w:ascii="Garamond" w:hAnsi="Garamond"/>
      <w:sz w:val="16"/>
      <w:szCs w:val="16"/>
    </w:rPr>
  </w:style>
  <w:style w:type="character" w:styleId="FootnoteReference">
    <w:name w:val="footnote reference"/>
    <w:aliases w:val="o,Footnote_Reference,fr,Char Char Char Char,o1,o2,o3,o4,o5,o6,o11,o21,o7,0 PIER Footnote Reference,Style 3,o + Times New Roman,0 PIER Footnote Text,Footnote Reference1"/>
    <w:basedOn w:val="DefaultParagraphFont"/>
    <w:uiPriority w:val="99"/>
    <w:unhideWhenUsed/>
    <w:qFormat/>
    <w:rsid w:val="007035F6"/>
    <w:rPr>
      <w:vertAlign w:val="superscript"/>
    </w:rPr>
  </w:style>
  <w:style w:type="paragraph" w:styleId="BalloonText">
    <w:name w:val="Balloon Text"/>
    <w:basedOn w:val="Normal"/>
    <w:link w:val="BalloonTextChar"/>
    <w:uiPriority w:val="99"/>
    <w:semiHidden/>
    <w:unhideWhenUsed/>
    <w:locked/>
    <w:rsid w:val="007035F6"/>
    <w:pPr>
      <w:spacing w:before="60" w:after="6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35F6"/>
    <w:rPr>
      <w:rFonts w:ascii="Tahoma" w:hAnsi="Tahoma" w:cs="Tahoma"/>
      <w:sz w:val="16"/>
      <w:szCs w:val="16"/>
    </w:rPr>
  </w:style>
  <w:style w:type="character" w:customStyle="1" w:styleId="Heading1Char">
    <w:name w:val="Heading 1 Char"/>
    <w:basedOn w:val="DefaultParagraphFont"/>
    <w:link w:val="Heading1"/>
    <w:uiPriority w:val="9"/>
    <w:rsid w:val="00C96924"/>
    <w:rPr>
      <w:rFonts w:ascii="Palatino Linotype" w:eastAsiaTheme="majorEastAsia" w:hAnsi="Palatino Linotype" w:cstheme="majorBidi"/>
      <w:bCs/>
      <w:sz w:val="32"/>
      <w:szCs w:val="28"/>
    </w:rPr>
  </w:style>
  <w:style w:type="character" w:customStyle="1" w:styleId="Heading2Char">
    <w:name w:val="Heading 2 Char"/>
    <w:basedOn w:val="DefaultParagraphFont"/>
    <w:link w:val="Heading2"/>
    <w:uiPriority w:val="9"/>
    <w:rsid w:val="008151F1"/>
    <w:rPr>
      <w:rFonts w:ascii="Palatino Linotype" w:eastAsiaTheme="majorEastAsia" w:hAnsi="Palatino Linotype" w:cstheme="majorBidi"/>
      <w:sz w:val="28"/>
      <w:szCs w:val="20"/>
    </w:rPr>
  </w:style>
  <w:style w:type="character" w:customStyle="1" w:styleId="Heading3Char">
    <w:name w:val="Heading 3 Char"/>
    <w:basedOn w:val="DefaultParagraphFont"/>
    <w:link w:val="Heading3"/>
    <w:uiPriority w:val="9"/>
    <w:rsid w:val="00943C87"/>
    <w:rPr>
      <w:rFonts w:ascii="Palatino Linotype" w:eastAsiaTheme="majorEastAsia" w:hAnsi="Palatino Linotype" w:cstheme="majorBidi"/>
      <w:bCs/>
      <w:i/>
      <w:sz w:val="24"/>
      <w:szCs w:val="20"/>
    </w:rPr>
  </w:style>
  <w:style w:type="character" w:customStyle="1" w:styleId="Heading4Char">
    <w:name w:val="Heading 4 Char"/>
    <w:basedOn w:val="DefaultParagraphFont"/>
    <w:link w:val="Heading4"/>
    <w:rsid w:val="003C2609"/>
    <w:rPr>
      <w:rFonts w:ascii="Palatino Linotype" w:eastAsiaTheme="majorEastAsia" w:hAnsi="Palatino Linotype" w:cstheme="majorBidi"/>
      <w:b/>
      <w:bCs/>
      <w:i/>
      <w:iCs/>
      <w:sz w:val="24"/>
    </w:rPr>
  </w:style>
  <w:style w:type="character" w:customStyle="1" w:styleId="Heading5Char">
    <w:name w:val="Heading 5 Char"/>
    <w:basedOn w:val="DefaultParagraphFont"/>
    <w:link w:val="Heading5"/>
    <w:rsid w:val="003C2609"/>
    <w:rPr>
      <w:rFonts w:ascii="Times New Roman" w:eastAsia="Times New Roman" w:hAnsi="Times New Roman" w:cs="Times New Roman"/>
      <w:sz w:val="24"/>
      <w:szCs w:val="24"/>
    </w:rPr>
  </w:style>
  <w:style w:type="character" w:customStyle="1" w:styleId="Heading6Char">
    <w:name w:val="Heading 6 Char"/>
    <w:basedOn w:val="DefaultParagraphFont"/>
    <w:link w:val="Heading6"/>
    <w:rsid w:val="003C2609"/>
    <w:rPr>
      <w:rFonts w:ascii="Times New Roman" w:eastAsia="Times New Roman" w:hAnsi="Times New Roman" w:cs="Times New Roman"/>
      <w:sz w:val="24"/>
      <w:szCs w:val="24"/>
    </w:rPr>
  </w:style>
  <w:style w:type="character" w:customStyle="1" w:styleId="Heading7Char">
    <w:name w:val="Heading 7 Char"/>
    <w:basedOn w:val="DefaultParagraphFont"/>
    <w:link w:val="Heading7"/>
    <w:rsid w:val="003C260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3C2609"/>
    <w:rPr>
      <w:rFonts w:ascii="Times New Roman" w:eastAsia="Times New Roman" w:hAnsi="Times New Roman" w:cs="Times New Roman"/>
      <w:sz w:val="24"/>
      <w:szCs w:val="24"/>
    </w:rPr>
  </w:style>
  <w:style w:type="character" w:customStyle="1" w:styleId="Heading9Char">
    <w:name w:val="Heading 9 Char"/>
    <w:basedOn w:val="DefaultParagraphFont"/>
    <w:link w:val="Heading9"/>
    <w:rsid w:val="003C2609"/>
    <w:rPr>
      <w:rFonts w:ascii="Times New Roman" w:eastAsia="Times New Roman" w:hAnsi="Times New Roman" w:cs="Times New Roman"/>
      <w:sz w:val="24"/>
      <w:szCs w:val="24"/>
    </w:rPr>
  </w:style>
  <w:style w:type="paragraph" w:styleId="Title">
    <w:name w:val="Title"/>
    <w:basedOn w:val="Normal"/>
    <w:next w:val="Normal"/>
    <w:link w:val="TitleChar"/>
    <w:uiPriority w:val="10"/>
    <w:qFormat/>
    <w:rsid w:val="003C2609"/>
    <w:pPr>
      <w:keepNext/>
      <w:spacing w:after="80" w:line="240" w:lineRule="auto"/>
      <w:contextualSpacing/>
    </w:pPr>
    <w:rPr>
      <w:rFonts w:eastAsiaTheme="majorEastAsia" w:cstheme="majorBidi"/>
      <w:b/>
      <w:spacing w:val="5"/>
      <w:kern w:val="28"/>
      <w:szCs w:val="52"/>
    </w:rPr>
  </w:style>
  <w:style w:type="character" w:customStyle="1" w:styleId="TitleChar">
    <w:name w:val="Title Char"/>
    <w:basedOn w:val="DefaultParagraphFont"/>
    <w:link w:val="Title"/>
    <w:uiPriority w:val="10"/>
    <w:rsid w:val="003C2609"/>
    <w:rPr>
      <w:rFonts w:eastAsiaTheme="majorEastAsia" w:cstheme="majorBidi"/>
      <w:b/>
      <w:spacing w:val="5"/>
      <w:kern w:val="28"/>
      <w:szCs w:val="52"/>
    </w:rPr>
  </w:style>
  <w:style w:type="paragraph" w:styleId="TOC3">
    <w:name w:val="toc 3"/>
    <w:basedOn w:val="TOC2"/>
    <w:next w:val="Normal"/>
    <w:autoRedefine/>
    <w:uiPriority w:val="39"/>
    <w:unhideWhenUsed/>
    <w:rsid w:val="00F3174D"/>
    <w:pPr>
      <w:tabs>
        <w:tab w:val="clear" w:pos="9350"/>
        <w:tab w:val="left" w:pos="990"/>
        <w:tab w:val="right" w:leader="dot" w:pos="9360"/>
      </w:tabs>
      <w:spacing w:before="60" w:after="60" w:line="240" w:lineRule="auto"/>
      <w:ind w:left="1440" w:right="547" w:hanging="576"/>
    </w:pPr>
  </w:style>
  <w:style w:type="character" w:styleId="SubtleEmphasis">
    <w:name w:val="Subtle Emphasis"/>
    <w:basedOn w:val="DefaultParagraphFont"/>
    <w:uiPriority w:val="19"/>
    <w:qFormat/>
    <w:rsid w:val="00BF3BD0"/>
    <w:rPr>
      <w:i/>
      <w:iCs/>
      <w:color w:val="404040" w:themeColor="text1" w:themeTint="BF"/>
    </w:rPr>
  </w:style>
  <w:style w:type="paragraph" w:styleId="NoSpacing">
    <w:name w:val="No Spacing"/>
    <w:basedOn w:val="Normal"/>
    <w:next w:val="Normal"/>
    <w:link w:val="NoSpacingChar"/>
    <w:uiPriority w:val="1"/>
    <w:qFormat/>
    <w:rsid w:val="005570EB"/>
    <w:pPr>
      <w:keepNext/>
      <w:keepLines/>
      <w:spacing w:before="120" w:after="0" w:line="240" w:lineRule="auto"/>
      <w:contextualSpacing/>
    </w:pPr>
    <w:rPr>
      <w:sz w:val="20"/>
    </w:rPr>
  </w:style>
  <w:style w:type="paragraph" w:styleId="TOC1">
    <w:name w:val="toc 1"/>
    <w:basedOn w:val="Normal"/>
    <w:next w:val="Normal"/>
    <w:uiPriority w:val="39"/>
    <w:unhideWhenUsed/>
    <w:rsid w:val="00566C46"/>
    <w:pPr>
      <w:tabs>
        <w:tab w:val="right" w:leader="dot" w:pos="9350"/>
      </w:tabs>
      <w:spacing w:after="100"/>
      <w:ind w:left="432" w:hanging="432"/>
    </w:pPr>
    <w:rPr>
      <w:sz w:val="20"/>
    </w:rPr>
  </w:style>
  <w:style w:type="paragraph" w:styleId="TOC2">
    <w:name w:val="toc 2"/>
    <w:basedOn w:val="Normal"/>
    <w:next w:val="Normal"/>
    <w:uiPriority w:val="39"/>
    <w:unhideWhenUsed/>
    <w:rsid w:val="00566C46"/>
    <w:pPr>
      <w:tabs>
        <w:tab w:val="left" w:pos="1260"/>
        <w:tab w:val="right" w:leader="dot" w:pos="9350"/>
      </w:tabs>
      <w:spacing w:after="100"/>
      <w:ind w:left="864" w:hanging="432"/>
    </w:pPr>
    <w:rPr>
      <w:sz w:val="20"/>
    </w:rPr>
  </w:style>
  <w:style w:type="character" w:styleId="CommentReference">
    <w:name w:val="annotation reference"/>
    <w:basedOn w:val="DefaultParagraphFont"/>
    <w:uiPriority w:val="99"/>
    <w:semiHidden/>
    <w:unhideWhenUsed/>
    <w:locked/>
    <w:rsid w:val="00650902"/>
    <w:rPr>
      <w:sz w:val="16"/>
      <w:szCs w:val="16"/>
    </w:rPr>
  </w:style>
  <w:style w:type="paragraph" w:styleId="CommentText">
    <w:name w:val="annotation text"/>
    <w:basedOn w:val="Normal"/>
    <w:link w:val="CommentTextChar"/>
    <w:uiPriority w:val="99"/>
    <w:unhideWhenUsed/>
    <w:rsid w:val="009E39F4"/>
    <w:pPr>
      <w:spacing w:before="40" w:after="140" w:line="280" w:lineRule="atLeast"/>
    </w:pPr>
    <w:rPr>
      <w:rFonts w:ascii="Verdana" w:hAnsi="Verdana"/>
      <w:sz w:val="22"/>
      <w:szCs w:val="20"/>
    </w:rPr>
  </w:style>
  <w:style w:type="character" w:customStyle="1" w:styleId="CommentTextChar">
    <w:name w:val="Comment Text Char"/>
    <w:basedOn w:val="DefaultParagraphFont"/>
    <w:link w:val="CommentText"/>
    <w:uiPriority w:val="99"/>
    <w:rsid w:val="009E39F4"/>
    <w:rPr>
      <w:rFonts w:ascii="Verdana" w:hAnsi="Verdana"/>
      <w:szCs w:val="20"/>
    </w:rPr>
  </w:style>
  <w:style w:type="paragraph" w:styleId="CommentSubject">
    <w:name w:val="annotation subject"/>
    <w:basedOn w:val="CommentText"/>
    <w:next w:val="CommentText"/>
    <w:link w:val="CommentSubjectChar"/>
    <w:uiPriority w:val="99"/>
    <w:semiHidden/>
    <w:unhideWhenUsed/>
    <w:locked/>
    <w:rsid w:val="00650902"/>
    <w:rPr>
      <w:b/>
      <w:bCs/>
    </w:rPr>
  </w:style>
  <w:style w:type="character" w:customStyle="1" w:styleId="CommentSubjectChar">
    <w:name w:val="Comment Subject Char"/>
    <w:basedOn w:val="CommentTextChar"/>
    <w:link w:val="CommentSubject"/>
    <w:uiPriority w:val="99"/>
    <w:semiHidden/>
    <w:rsid w:val="00650902"/>
    <w:rPr>
      <w:rFonts w:ascii="Verdana" w:hAnsi="Verdana"/>
      <w:b/>
      <w:bCs/>
      <w:sz w:val="20"/>
      <w:szCs w:val="20"/>
    </w:rPr>
  </w:style>
  <w:style w:type="character" w:customStyle="1" w:styleId="UnresolvedMention1">
    <w:name w:val="Unresolved Mention1"/>
    <w:basedOn w:val="DefaultParagraphFont"/>
    <w:uiPriority w:val="99"/>
    <w:semiHidden/>
    <w:unhideWhenUsed/>
    <w:locked/>
    <w:rsid w:val="00B724C8"/>
    <w:rPr>
      <w:color w:val="808080"/>
      <w:shd w:val="clear" w:color="auto" w:fill="E6E6E6"/>
    </w:rPr>
  </w:style>
  <w:style w:type="character" w:styleId="FollowedHyperlink">
    <w:name w:val="FollowedHyperlink"/>
    <w:basedOn w:val="DefaultParagraphFont"/>
    <w:uiPriority w:val="99"/>
    <w:semiHidden/>
    <w:unhideWhenUsed/>
    <w:locked/>
    <w:rsid w:val="00B724C8"/>
    <w:rPr>
      <w:color w:val="33B2E1" w:themeColor="followedHyperlink"/>
      <w:u w:val="single"/>
    </w:rPr>
  </w:style>
  <w:style w:type="paragraph" w:styleId="Revision">
    <w:name w:val="Revision"/>
    <w:hidden/>
    <w:uiPriority w:val="99"/>
    <w:semiHidden/>
    <w:rsid w:val="00D7430D"/>
    <w:pPr>
      <w:spacing w:after="0" w:line="240" w:lineRule="auto"/>
    </w:pPr>
  </w:style>
  <w:style w:type="character" w:customStyle="1" w:styleId="UnresolvedMention2">
    <w:name w:val="Unresolved Mention2"/>
    <w:basedOn w:val="DefaultParagraphFont"/>
    <w:uiPriority w:val="99"/>
    <w:semiHidden/>
    <w:unhideWhenUsed/>
    <w:locked/>
    <w:rsid w:val="003913C6"/>
    <w:rPr>
      <w:color w:val="808080"/>
      <w:shd w:val="clear" w:color="auto" w:fill="E6E6E6"/>
    </w:rPr>
  </w:style>
  <w:style w:type="paragraph" w:styleId="TOCHeading">
    <w:name w:val="TOC Heading"/>
    <w:basedOn w:val="Heading1"/>
    <w:next w:val="Normal"/>
    <w:uiPriority w:val="39"/>
    <w:unhideWhenUsed/>
    <w:qFormat/>
    <w:rsid w:val="00EE7490"/>
    <w:pPr>
      <w:pageBreakBefore w:val="0"/>
      <w:numPr>
        <w:numId w:val="0"/>
      </w:numPr>
      <w:spacing w:before="40" w:after="140" w:line="280" w:lineRule="atLeast"/>
      <w:outlineLvl w:val="5"/>
    </w:pPr>
    <w:rPr>
      <w:rFonts w:ascii="Verdana" w:hAnsi="Verdana"/>
      <w:bCs w:val="0"/>
      <w:sz w:val="28"/>
      <w:szCs w:val="32"/>
    </w:rPr>
  </w:style>
  <w:style w:type="character" w:customStyle="1" w:styleId="UnresolvedMention3">
    <w:name w:val="Unresolved Mention3"/>
    <w:basedOn w:val="DefaultParagraphFont"/>
    <w:uiPriority w:val="99"/>
    <w:semiHidden/>
    <w:unhideWhenUsed/>
    <w:locked/>
    <w:rsid w:val="00A00391"/>
    <w:rPr>
      <w:color w:val="605E5C"/>
      <w:shd w:val="clear" w:color="auto" w:fill="E1DFDD"/>
    </w:rPr>
  </w:style>
  <w:style w:type="character" w:customStyle="1" w:styleId="ListParagraphChar">
    <w:name w:val="List Paragraph Char"/>
    <w:aliases w:val="List paragraph Char,PECI Bullets (Content) Char"/>
    <w:link w:val="ListParagraph"/>
    <w:uiPriority w:val="34"/>
    <w:locked/>
    <w:rsid w:val="001704C8"/>
    <w:rPr>
      <w:rFonts w:ascii="Palatino Linotype" w:hAnsi="Palatino Linotype"/>
      <w:sz w:val="24"/>
    </w:rPr>
  </w:style>
  <w:style w:type="character" w:customStyle="1" w:styleId="CaptionChar">
    <w:name w:val="Caption Char"/>
    <w:aliases w:val="Table Caption Char Char,Table Caption Char1,Char Char,_Main body - Caption Char,Podpis nad obiektem Char,_Main body - Caption figure Char"/>
    <w:basedOn w:val="DefaultParagraphFont"/>
    <w:link w:val="Caption"/>
    <w:qFormat/>
    <w:locked/>
    <w:rsid w:val="00F56F2C"/>
    <w:rPr>
      <w:rFonts w:ascii="Garamond" w:hAnsi="Garamond"/>
      <w:b/>
      <w:bCs/>
      <w:sz w:val="24"/>
      <w:szCs w:val="18"/>
    </w:rPr>
  </w:style>
  <w:style w:type="paragraph" w:customStyle="1" w:styleId="AttachmentListParagraph">
    <w:name w:val="Attachment List Paragraph"/>
    <w:basedOn w:val="ListParagraph"/>
    <w:qFormat/>
    <w:rsid w:val="00B548C2"/>
    <w:pPr>
      <w:spacing w:line="240" w:lineRule="auto"/>
    </w:pPr>
    <w:rPr>
      <w:rFonts w:eastAsia="Times New Roman" w:cs="Arial"/>
      <w:color w:val="000000"/>
      <w:szCs w:val="26"/>
    </w:rPr>
  </w:style>
  <w:style w:type="character" w:styleId="Strong">
    <w:name w:val="Strong"/>
    <w:basedOn w:val="DefaultParagraphFont"/>
    <w:uiPriority w:val="22"/>
    <w:qFormat/>
    <w:rsid w:val="00D76E88"/>
    <w:rPr>
      <w:b/>
      <w:bCs/>
    </w:rPr>
  </w:style>
  <w:style w:type="paragraph" w:styleId="NormalWeb">
    <w:name w:val="Normal (Web)"/>
    <w:basedOn w:val="Normal"/>
    <w:uiPriority w:val="99"/>
    <w:unhideWhenUsed/>
    <w:rsid w:val="00CE212F"/>
    <w:pPr>
      <w:spacing w:before="100" w:beforeAutospacing="1" w:after="100" w:afterAutospacing="1" w:line="240" w:lineRule="auto"/>
    </w:pPr>
    <w:rPr>
      <w:rFonts w:ascii="Calibri" w:hAnsi="Calibri" w:cs="Calibri"/>
    </w:rPr>
  </w:style>
  <w:style w:type="paragraph" w:customStyle="1" w:styleId="ListBullet2">
    <w:name w:val="List Bullet2"/>
    <w:basedOn w:val="Normal"/>
    <w:rsid w:val="005570EB"/>
    <w:pPr>
      <w:numPr>
        <w:numId w:val="2"/>
      </w:numPr>
      <w:spacing w:before="240" w:after="60"/>
      <w:contextualSpacing/>
    </w:pPr>
  </w:style>
  <w:style w:type="paragraph" w:customStyle="1" w:styleId="DNVGL-Bullet1">
    <w:name w:val="DNVGL-Bullet 1"/>
    <w:basedOn w:val="Normal"/>
    <w:link w:val="DNVGL-Bullet1Char"/>
    <w:rsid w:val="00DF1290"/>
    <w:pPr>
      <w:numPr>
        <w:numId w:val="3"/>
      </w:numPr>
      <w:spacing w:before="40" w:after="140" w:line="280" w:lineRule="atLeast"/>
      <w:contextualSpacing/>
    </w:pPr>
  </w:style>
  <w:style w:type="paragraph" w:customStyle="1" w:styleId="DNVGLBulletLevel1">
    <w:name w:val="DNV GL Bullet Level 1"/>
    <w:basedOn w:val="DNVGL-Bullet1"/>
    <w:link w:val="DNVGLBulletLevel1Char"/>
    <w:qFormat/>
    <w:rsid w:val="00DF1290"/>
    <w:pPr>
      <w:numPr>
        <w:numId w:val="4"/>
      </w:numPr>
    </w:pPr>
    <w:rPr>
      <w:rFonts w:ascii="Verdana" w:hAnsi="Verdana"/>
      <w:sz w:val="18"/>
      <w:szCs w:val="18"/>
    </w:rPr>
  </w:style>
  <w:style w:type="paragraph" w:customStyle="1" w:styleId="DNVGLfootnote">
    <w:name w:val="DNV GL footnote"/>
    <w:basedOn w:val="FootnoteText"/>
    <w:link w:val="DNVGLfootnoteChar"/>
    <w:qFormat/>
    <w:rsid w:val="00DF1290"/>
    <w:rPr>
      <w:rFonts w:ascii="Verdana" w:hAnsi="Verdana"/>
    </w:rPr>
  </w:style>
  <w:style w:type="character" w:customStyle="1" w:styleId="DNVGL-Bullet1Char">
    <w:name w:val="DNVGL-Bullet 1 Char"/>
    <w:basedOn w:val="DefaultParagraphFont"/>
    <w:link w:val="DNVGL-Bullet1"/>
    <w:rsid w:val="00DF1290"/>
    <w:rPr>
      <w:rFonts w:ascii="Palatino Linotype" w:hAnsi="Palatino Linotype"/>
      <w:sz w:val="24"/>
    </w:rPr>
  </w:style>
  <w:style w:type="character" w:customStyle="1" w:styleId="DNVGLBulletLevel1Char">
    <w:name w:val="DNV GL Bullet Level 1 Char"/>
    <w:basedOn w:val="DNVGL-Bullet1Char"/>
    <w:link w:val="DNVGLBulletLevel1"/>
    <w:rsid w:val="00DF1290"/>
    <w:rPr>
      <w:rFonts w:ascii="Verdana" w:hAnsi="Verdana"/>
      <w:sz w:val="18"/>
      <w:szCs w:val="18"/>
    </w:rPr>
  </w:style>
  <w:style w:type="character" w:customStyle="1" w:styleId="DNVGLfootnoteChar">
    <w:name w:val="DNV GL footnote Char"/>
    <w:basedOn w:val="FootnoteTextChar"/>
    <w:link w:val="DNVGLfootnote"/>
    <w:rsid w:val="00DF1290"/>
    <w:rPr>
      <w:rFonts w:ascii="Verdana" w:hAnsi="Verdana"/>
      <w:sz w:val="16"/>
      <w:szCs w:val="16"/>
    </w:rPr>
  </w:style>
  <w:style w:type="character" w:customStyle="1" w:styleId="UnresolvedMention4">
    <w:name w:val="Unresolved Mention4"/>
    <w:basedOn w:val="DefaultParagraphFont"/>
    <w:uiPriority w:val="99"/>
    <w:semiHidden/>
    <w:unhideWhenUsed/>
    <w:locked/>
    <w:rsid w:val="00F83663"/>
    <w:rPr>
      <w:color w:val="605E5C"/>
      <w:shd w:val="clear" w:color="auto" w:fill="E1DFDD"/>
    </w:rPr>
  </w:style>
  <w:style w:type="paragraph" w:styleId="TableofFigures">
    <w:name w:val="table of figures"/>
    <w:basedOn w:val="TOC1"/>
    <w:next w:val="Normal"/>
    <w:uiPriority w:val="99"/>
    <w:unhideWhenUsed/>
    <w:rsid w:val="00145AA8"/>
    <w:pPr>
      <w:spacing w:after="120"/>
    </w:pPr>
    <w:rPr>
      <w:noProof/>
      <w:szCs w:val="18"/>
    </w:rPr>
  </w:style>
  <w:style w:type="paragraph" w:customStyle="1" w:styleId="Table">
    <w:name w:val="Table"/>
    <w:aliases w:val="left"/>
    <w:basedOn w:val="Normal"/>
    <w:qFormat/>
    <w:rsid w:val="00917A55"/>
    <w:pPr>
      <w:spacing w:before="60" w:after="60" w:line="240" w:lineRule="auto"/>
    </w:pPr>
    <w:rPr>
      <w:rFonts w:ascii="Verdana" w:hAnsi="Verdana"/>
      <w:sz w:val="18"/>
      <w:szCs w:val="18"/>
    </w:rPr>
  </w:style>
  <w:style w:type="paragraph" w:customStyle="1" w:styleId="TableHeader">
    <w:name w:val="Table Header"/>
    <w:basedOn w:val="Table"/>
    <w:qFormat/>
    <w:rsid w:val="00917A55"/>
    <w:rPr>
      <w:b/>
      <w:bCs/>
      <w:color w:val="FFFFFF" w:themeColor="background1"/>
    </w:rPr>
  </w:style>
  <w:style w:type="paragraph" w:customStyle="1" w:styleId="Tablenote">
    <w:name w:val="Table note"/>
    <w:basedOn w:val="DNVGLfootnote"/>
    <w:qFormat/>
    <w:rsid w:val="00F01A1C"/>
    <w:pPr>
      <w:spacing w:before="40"/>
    </w:pPr>
    <w:rPr>
      <w:rFonts w:ascii="Garamond" w:hAnsi="Garamond" w:cs="Times New Roman"/>
      <w:sz w:val="20"/>
      <w:szCs w:val="20"/>
    </w:rPr>
  </w:style>
  <w:style w:type="paragraph" w:customStyle="1" w:styleId="TableList">
    <w:name w:val="Table List"/>
    <w:basedOn w:val="TableofFigures"/>
    <w:qFormat/>
    <w:rsid w:val="00D861BC"/>
    <w:pPr>
      <w:spacing w:after="0"/>
    </w:pPr>
    <w:rPr>
      <w:rFonts w:cstheme="minorHAnsi"/>
      <w:sz w:val="18"/>
    </w:rPr>
  </w:style>
  <w:style w:type="paragraph" w:styleId="Quote">
    <w:name w:val="Quote"/>
    <w:basedOn w:val="Normal"/>
    <w:next w:val="Normal"/>
    <w:link w:val="QuoteChar"/>
    <w:uiPriority w:val="29"/>
    <w:qFormat/>
    <w:rsid w:val="00CB7290"/>
    <w:pPr>
      <w:spacing w:before="200" w:after="160"/>
      <w:ind w:left="720" w:right="720"/>
    </w:pPr>
    <w:rPr>
      <w:iCs/>
    </w:rPr>
  </w:style>
  <w:style w:type="character" w:customStyle="1" w:styleId="QuoteChar">
    <w:name w:val="Quote Char"/>
    <w:basedOn w:val="DefaultParagraphFont"/>
    <w:link w:val="Quote"/>
    <w:uiPriority w:val="29"/>
    <w:rsid w:val="000B4DF3"/>
    <w:rPr>
      <w:rFonts w:ascii="Garamond" w:hAnsi="Garamond"/>
      <w:iCs/>
      <w:sz w:val="24"/>
    </w:rPr>
  </w:style>
  <w:style w:type="paragraph" w:customStyle="1" w:styleId="xmsobodytext2">
    <w:name w:val="x_msobodytext2"/>
    <w:basedOn w:val="Normal"/>
    <w:rsid w:val="00584C30"/>
    <w:pPr>
      <w:spacing w:after="120"/>
      <w:ind w:left="360"/>
    </w:pPr>
    <w:rPr>
      <w:rFonts w:ascii="Calisto MT" w:hAnsi="Calisto MT" w:cs="Calibri"/>
      <w:sz w:val="23"/>
      <w:szCs w:val="23"/>
    </w:rPr>
  </w:style>
  <w:style w:type="character" w:customStyle="1" w:styleId="UnresolvedMention5">
    <w:name w:val="Unresolved Mention5"/>
    <w:basedOn w:val="DefaultParagraphFont"/>
    <w:uiPriority w:val="99"/>
    <w:semiHidden/>
    <w:unhideWhenUsed/>
    <w:locked/>
    <w:rsid w:val="009537F9"/>
    <w:rPr>
      <w:color w:val="605E5C"/>
      <w:shd w:val="clear" w:color="auto" w:fill="E1DFDD"/>
    </w:rPr>
  </w:style>
  <w:style w:type="paragraph" w:customStyle="1" w:styleId="xmsonormal">
    <w:name w:val="x_msonormal"/>
    <w:basedOn w:val="Normal"/>
    <w:rsid w:val="00EA2ADE"/>
    <w:pPr>
      <w:spacing w:before="100" w:beforeAutospacing="1" w:after="100" w:afterAutospacing="1" w:line="240" w:lineRule="auto"/>
    </w:pPr>
    <w:rPr>
      <w:rFonts w:ascii="Times New Roman" w:eastAsia="Times New Roman" w:hAnsi="Times New Roman" w:cs="Times New Roman"/>
      <w:szCs w:val="24"/>
    </w:rPr>
  </w:style>
  <w:style w:type="character" w:customStyle="1" w:styleId="xmsofootnotereference">
    <w:name w:val="x_msofootnotereference"/>
    <w:basedOn w:val="DefaultParagraphFont"/>
    <w:rsid w:val="00EA2ADE"/>
  </w:style>
  <w:style w:type="paragraph" w:customStyle="1" w:styleId="xmsocaption">
    <w:name w:val="x_msocaption"/>
    <w:basedOn w:val="Normal"/>
    <w:rsid w:val="00EA2ADE"/>
    <w:pPr>
      <w:spacing w:before="100" w:beforeAutospacing="1" w:after="100" w:afterAutospacing="1" w:line="240" w:lineRule="auto"/>
    </w:pPr>
    <w:rPr>
      <w:rFonts w:ascii="Times New Roman" w:eastAsia="Times New Roman" w:hAnsi="Times New Roman" w:cs="Times New Roman"/>
      <w:szCs w:val="24"/>
    </w:rPr>
  </w:style>
  <w:style w:type="paragraph" w:customStyle="1" w:styleId="xtableheader">
    <w:name w:val="x_tableheader"/>
    <w:basedOn w:val="Normal"/>
    <w:rsid w:val="00EA2ADE"/>
    <w:pPr>
      <w:spacing w:before="100" w:beforeAutospacing="1" w:after="100" w:afterAutospacing="1" w:line="240" w:lineRule="auto"/>
    </w:pPr>
    <w:rPr>
      <w:rFonts w:ascii="Times New Roman" w:eastAsia="Times New Roman" w:hAnsi="Times New Roman" w:cs="Times New Roman"/>
      <w:szCs w:val="24"/>
    </w:rPr>
  </w:style>
  <w:style w:type="paragraph" w:customStyle="1" w:styleId="xtablelist">
    <w:name w:val="x_tablelist"/>
    <w:basedOn w:val="Normal"/>
    <w:rsid w:val="00EA2ADE"/>
    <w:pPr>
      <w:spacing w:before="100" w:beforeAutospacing="1" w:after="100" w:afterAutospacing="1" w:line="240" w:lineRule="auto"/>
    </w:pPr>
    <w:rPr>
      <w:rFonts w:ascii="Times New Roman" w:eastAsia="Times New Roman" w:hAnsi="Times New Roman" w:cs="Times New Roman"/>
      <w:szCs w:val="24"/>
    </w:rPr>
  </w:style>
  <w:style w:type="character" w:styleId="UnresolvedMention">
    <w:name w:val="Unresolved Mention"/>
    <w:basedOn w:val="DefaultParagraphFont"/>
    <w:uiPriority w:val="99"/>
    <w:unhideWhenUsed/>
    <w:rsid w:val="00942957"/>
    <w:rPr>
      <w:color w:val="605E5C"/>
      <w:shd w:val="clear" w:color="auto" w:fill="E1DFDD"/>
    </w:rPr>
  </w:style>
  <w:style w:type="character" w:styleId="Mention">
    <w:name w:val="Mention"/>
    <w:basedOn w:val="DefaultParagraphFont"/>
    <w:uiPriority w:val="99"/>
    <w:unhideWhenUsed/>
    <w:rsid w:val="00942957"/>
    <w:rPr>
      <w:color w:val="2B579A"/>
      <w:shd w:val="clear" w:color="auto" w:fill="E1DFDD"/>
    </w:rPr>
  </w:style>
  <w:style w:type="paragraph" w:customStyle="1" w:styleId="AppendixHeading1">
    <w:name w:val="Appendix Heading 1"/>
    <w:basedOn w:val="Heading1"/>
    <w:link w:val="AppendixHeading1Char"/>
    <w:qFormat/>
    <w:rsid w:val="00306052"/>
    <w:pPr>
      <w:numPr>
        <w:numId w:val="0"/>
      </w:numPr>
    </w:pPr>
    <w:rPr>
      <w:szCs w:val="32"/>
    </w:rPr>
  </w:style>
  <w:style w:type="paragraph" w:customStyle="1" w:styleId="AppendixHeading2">
    <w:name w:val="Appendix Heading 2"/>
    <w:basedOn w:val="Heading2"/>
    <w:link w:val="AppendixHeading2Char"/>
    <w:qFormat/>
    <w:rsid w:val="0086794D"/>
    <w:pPr>
      <w:numPr>
        <w:ilvl w:val="0"/>
        <w:numId w:val="0"/>
      </w:numPr>
    </w:pPr>
    <w:rPr>
      <w:b/>
    </w:rPr>
  </w:style>
  <w:style w:type="character" w:customStyle="1" w:styleId="AppendixHeading1Char">
    <w:name w:val="Appendix Heading 1 Char"/>
    <w:basedOn w:val="DefaultParagraphFont"/>
    <w:link w:val="AppendixHeading1"/>
    <w:rsid w:val="00F25961"/>
    <w:rPr>
      <w:rFonts w:ascii="Palatino Linotype" w:eastAsiaTheme="majorEastAsia" w:hAnsi="Palatino Linotype" w:cstheme="majorBidi"/>
      <w:bCs/>
      <w:sz w:val="32"/>
      <w:szCs w:val="32"/>
    </w:rPr>
  </w:style>
  <w:style w:type="character" w:customStyle="1" w:styleId="AppendixHeading2Char">
    <w:name w:val="Appendix Heading 2 Char"/>
    <w:basedOn w:val="Heading2Char"/>
    <w:link w:val="AppendixHeading2"/>
    <w:rsid w:val="0086794D"/>
    <w:rPr>
      <w:rFonts w:ascii="Garamond" w:eastAsiaTheme="majorEastAsia" w:hAnsi="Garamond" w:cstheme="majorBidi"/>
      <w:b/>
      <w:sz w:val="28"/>
      <w:szCs w:val="20"/>
    </w:rPr>
  </w:style>
  <w:style w:type="paragraph" w:customStyle="1" w:styleId="Default">
    <w:name w:val="Default"/>
    <w:rsid w:val="00D00CD3"/>
    <w:pPr>
      <w:autoSpaceDE w:val="0"/>
      <w:autoSpaceDN w:val="0"/>
      <w:adjustRightInd w:val="0"/>
      <w:spacing w:after="0" w:line="240" w:lineRule="auto"/>
    </w:pPr>
    <w:rPr>
      <w:rFonts w:ascii="Verdana Pro" w:hAnsi="Verdana Pro" w:cs="Verdana Pro"/>
      <w:color w:val="000000"/>
      <w:sz w:val="24"/>
      <w:szCs w:val="24"/>
    </w:rPr>
  </w:style>
  <w:style w:type="character" w:styleId="PlaceholderText">
    <w:name w:val="Placeholder Text"/>
    <w:basedOn w:val="DefaultParagraphFont"/>
    <w:uiPriority w:val="99"/>
    <w:semiHidden/>
    <w:locked/>
    <w:rsid w:val="00A5163B"/>
    <w:rPr>
      <w:color w:val="808080"/>
    </w:rPr>
  </w:style>
  <w:style w:type="paragraph" w:customStyle="1" w:styleId="NormalinTable">
    <w:name w:val="Normal in Table"/>
    <w:basedOn w:val="Normal"/>
    <w:qFormat/>
    <w:rsid w:val="003E4D5E"/>
    <w:pPr>
      <w:autoSpaceDE w:val="0"/>
      <w:autoSpaceDN w:val="0"/>
      <w:adjustRightInd w:val="0"/>
      <w:spacing w:before="40" w:after="0"/>
      <w:contextualSpacing/>
    </w:pPr>
    <w:rPr>
      <w:rFonts w:asciiTheme="minorHAnsi" w:hAnsiTheme="minorHAnsi"/>
    </w:rPr>
  </w:style>
  <w:style w:type="paragraph" w:customStyle="1" w:styleId="BulletListinTable">
    <w:name w:val="BulletListinTable"/>
    <w:basedOn w:val="NormalinTable"/>
    <w:qFormat/>
    <w:rsid w:val="00764068"/>
    <w:pPr>
      <w:numPr>
        <w:numId w:val="8"/>
      </w:numPr>
      <w:spacing w:line="240" w:lineRule="auto"/>
    </w:pPr>
  </w:style>
  <w:style w:type="paragraph" w:customStyle="1" w:styleId="NormalinTableHanging">
    <w:name w:val="NormalinTable_Hanging"/>
    <w:basedOn w:val="NormalinTable"/>
    <w:qFormat/>
    <w:rsid w:val="009221F5"/>
    <w:pPr>
      <w:spacing w:line="240" w:lineRule="auto"/>
      <w:ind w:left="250" w:hanging="250"/>
    </w:pPr>
  </w:style>
  <w:style w:type="paragraph" w:styleId="BodyText">
    <w:name w:val="Body Text"/>
    <w:basedOn w:val="Normal"/>
    <w:link w:val="BodyTextChar"/>
    <w:qFormat/>
    <w:locked/>
    <w:rsid w:val="00221B55"/>
    <w:pPr>
      <w:spacing w:before="40" w:after="140" w:line="280" w:lineRule="atLeast"/>
    </w:pPr>
    <w:rPr>
      <w:rFonts w:ascii="Verdana" w:eastAsiaTheme="minorEastAsia" w:hAnsi="Verdana" w:cs="Verdana"/>
      <w:sz w:val="18"/>
      <w:szCs w:val="18"/>
      <w:lang w:eastAsia="zh-CN"/>
    </w:rPr>
  </w:style>
  <w:style w:type="character" w:customStyle="1" w:styleId="BodyTextChar">
    <w:name w:val="Body Text Char"/>
    <w:basedOn w:val="DefaultParagraphFont"/>
    <w:link w:val="BodyText"/>
    <w:rsid w:val="00221B55"/>
    <w:rPr>
      <w:rFonts w:ascii="Verdana" w:eastAsiaTheme="minorEastAsia" w:hAnsi="Verdana" w:cs="Verdana"/>
      <w:sz w:val="18"/>
      <w:szCs w:val="18"/>
      <w:lang w:eastAsia="zh-CN"/>
    </w:rPr>
  </w:style>
  <w:style w:type="table" w:customStyle="1" w:styleId="TableGrid1">
    <w:name w:val="Table Grid1"/>
    <w:basedOn w:val="TableNormal"/>
    <w:next w:val="TableGrid"/>
    <w:uiPriority w:val="59"/>
    <w:rsid w:val="00AB3D96"/>
    <w:pPr>
      <w:spacing w:after="0" w:line="240" w:lineRule="auto"/>
    </w:pPr>
    <w:rPr>
      <w:rFonts w:eastAsia="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SpacingChar">
    <w:name w:val="No Spacing Char"/>
    <w:basedOn w:val="DefaultParagraphFont"/>
    <w:link w:val="NoSpacing"/>
    <w:uiPriority w:val="1"/>
    <w:rsid w:val="00F37539"/>
    <w:rPr>
      <w:rFonts w:ascii="Palatino Linotype" w:hAnsi="Palatino Linotype"/>
      <w:sz w:val="20"/>
    </w:rPr>
  </w:style>
  <w:style w:type="character" w:styleId="Emphasis">
    <w:name w:val="Emphasis"/>
    <w:basedOn w:val="DefaultParagraphFont"/>
    <w:uiPriority w:val="20"/>
    <w:qFormat/>
    <w:locked/>
    <w:rsid w:val="004471F7"/>
    <w:rPr>
      <w:i/>
      <w:iCs/>
    </w:rPr>
  </w:style>
  <w:style w:type="numbering" w:customStyle="1" w:styleId="Style1">
    <w:name w:val="Style1"/>
    <w:uiPriority w:val="99"/>
    <w:rsid w:val="004471F7"/>
    <w:pPr>
      <w:numPr>
        <w:numId w:val="7"/>
      </w:numPr>
    </w:pPr>
  </w:style>
  <w:style w:type="paragraph" w:customStyle="1" w:styleId="DNVGL-TableText">
    <w:name w:val="DNVGL-TableText"/>
    <w:basedOn w:val="Normal"/>
    <w:link w:val="DNVGL-TableTextChar"/>
    <w:uiPriority w:val="99"/>
    <w:rsid w:val="004471F7"/>
    <w:pPr>
      <w:keepNext/>
      <w:keepLines/>
      <w:spacing w:before="20" w:after="20" w:line="240" w:lineRule="auto"/>
    </w:pPr>
    <w:rPr>
      <w:rFonts w:ascii="Arial" w:eastAsiaTheme="minorEastAsia" w:hAnsi="Arial" w:cs="Arial"/>
      <w:sz w:val="18"/>
      <w:szCs w:val="18"/>
      <w:lang w:val="en-GB" w:eastAsia="zh-CN"/>
    </w:rPr>
  </w:style>
  <w:style w:type="character" w:customStyle="1" w:styleId="DNVGL-TableTextChar">
    <w:name w:val="DNVGL-TableText Char"/>
    <w:basedOn w:val="DefaultParagraphFont"/>
    <w:link w:val="DNVGL-TableText"/>
    <w:uiPriority w:val="99"/>
    <w:rsid w:val="004471F7"/>
    <w:rPr>
      <w:rFonts w:ascii="Arial" w:eastAsiaTheme="minorEastAsia" w:hAnsi="Arial" w:cs="Arial"/>
      <w:sz w:val="18"/>
      <w:szCs w:val="18"/>
      <w:lang w:val="en-GB" w:eastAsia="zh-CN"/>
    </w:rPr>
  </w:style>
  <w:style w:type="paragraph" w:customStyle="1" w:styleId="DNVGL-TableHeadingText">
    <w:name w:val="DNVGL-TableHeadingText"/>
    <w:basedOn w:val="DNVGL-TableText"/>
    <w:link w:val="DNVGL-TableHeadingTextChar"/>
    <w:uiPriority w:val="99"/>
    <w:rsid w:val="004471F7"/>
    <w:rPr>
      <w:b/>
    </w:rPr>
  </w:style>
  <w:style w:type="character" w:customStyle="1" w:styleId="DNVGL-TableHeadingTextChar">
    <w:name w:val="DNVGL-TableHeadingText Char"/>
    <w:basedOn w:val="DefaultParagraphFont"/>
    <w:link w:val="DNVGL-TableHeadingText"/>
    <w:uiPriority w:val="99"/>
    <w:rsid w:val="004471F7"/>
    <w:rPr>
      <w:rFonts w:ascii="Arial" w:eastAsiaTheme="minorEastAsia" w:hAnsi="Arial" w:cs="Arial"/>
      <w:b/>
      <w:sz w:val="18"/>
      <w:szCs w:val="18"/>
      <w:lang w:val="en-GB" w:eastAsia="zh-CN"/>
    </w:rPr>
  </w:style>
  <w:style w:type="table" w:customStyle="1" w:styleId="DNVNiceStyle">
    <w:name w:val="DNV Nice Style"/>
    <w:basedOn w:val="TableNormal"/>
    <w:uiPriority w:val="99"/>
    <w:rsid w:val="004471F7"/>
    <w:pPr>
      <w:spacing w:after="0" w:line="240" w:lineRule="auto"/>
    </w:pPr>
    <w:rPr>
      <w:rFonts w:ascii="Arial" w:eastAsiaTheme="minorEastAsia" w:hAnsi="Arial"/>
      <w:sz w:val="18"/>
      <w:lang w:eastAsia="zh-CN"/>
    </w:rPr>
    <w:tblPr>
      <w:tblStyleRowBandSize w:val="1"/>
      <w:tblBorders>
        <w:insideV w:val="single" w:sz="4" w:space="0" w:color="FFFFFF" w:themeColor="background1"/>
      </w:tblBorders>
    </w:tblPr>
    <w:tcPr>
      <w:shd w:val="clear" w:color="auto" w:fill="auto"/>
      <w:vAlign w:val="bottom"/>
    </w:tcPr>
    <w:tblStylePr w:type="firstRow">
      <w:pPr>
        <w:jc w:val="center"/>
      </w:pPr>
      <w:rPr>
        <w:rFonts w:ascii="Arial" w:hAnsi="Arial"/>
        <w:b/>
        <w:color w:val="FFFFFF" w:themeColor="background1"/>
        <w:sz w:val="18"/>
      </w:rPr>
      <w:tblPr/>
      <w:tcPr>
        <w:tcBorders>
          <w:insideV w:val="single" w:sz="4" w:space="0" w:color="FFFFFF" w:themeColor="background1"/>
        </w:tcBorders>
        <w:shd w:val="clear" w:color="auto" w:fill="003591" w:themeFill="text2"/>
      </w:tcPr>
    </w:tblStylePr>
    <w:tblStylePr w:type="firstCol">
      <w:pPr>
        <w:jc w:val="left"/>
      </w:pPr>
      <w:rPr>
        <w:rFonts w:ascii="Arial" w:hAnsi="Arial"/>
        <w:b/>
        <w:sz w:val="18"/>
      </w:rPr>
    </w:tblStylePr>
    <w:tblStylePr w:type="band1Horz">
      <w:pPr>
        <w:jc w:val="left"/>
      </w:pPr>
      <w:rPr>
        <w:rFonts w:ascii="Arial" w:hAnsi="Arial"/>
        <w:sz w:val="18"/>
      </w:rPr>
      <w:tblPr/>
      <w:tcPr>
        <w:shd w:val="clear" w:color="auto" w:fill="F2F2F2" w:themeFill="background1" w:themeFillShade="F2"/>
      </w:tcPr>
    </w:tblStylePr>
    <w:tblStylePr w:type="band2Horz">
      <w:pPr>
        <w:jc w:val="left"/>
      </w:pPr>
      <w:rPr>
        <w:rFonts w:ascii="Arial" w:hAnsi="Arial"/>
        <w:sz w:val="18"/>
      </w:rPr>
      <w:tblPr/>
      <w:tcPr>
        <w:shd w:val="clear" w:color="auto" w:fill="FFFFFF" w:themeFill="background1"/>
      </w:tcPr>
    </w:tblStylePr>
    <w:tblStylePr w:type="nwCell">
      <w:pPr>
        <w:jc w:val="left"/>
      </w:pPr>
      <w:rPr>
        <w:rFonts w:ascii="Arial" w:hAnsi="Arial"/>
        <w:b/>
        <w:color w:val="FFFFFF" w:themeColor="background1"/>
        <w:sz w:val="18"/>
      </w:rPr>
      <w:tblPr/>
      <w:tcPr>
        <w:shd w:val="clear" w:color="auto" w:fill="003591" w:themeFill="text2"/>
      </w:tcPr>
    </w:tblStylePr>
  </w:style>
  <w:style w:type="paragraph" w:customStyle="1" w:styleId="PIERCoverTitle">
    <w:name w:val="PIER Cover Title"/>
    <w:rsid w:val="0005780B"/>
    <w:pPr>
      <w:spacing w:after="0" w:line="240" w:lineRule="auto"/>
      <w:jc w:val="right"/>
    </w:pPr>
    <w:rPr>
      <w:rFonts w:ascii="Arial" w:eastAsia="Times New Roman" w:hAnsi="Arial" w:cs="Times New Roman"/>
      <w:b/>
      <w:sz w:val="36"/>
      <w:szCs w:val="24"/>
    </w:rPr>
  </w:style>
  <w:style w:type="paragraph" w:customStyle="1" w:styleId="PIERCoverArial10">
    <w:name w:val="PIER Cover Arial 10"/>
    <w:basedOn w:val="Normal"/>
    <w:rsid w:val="0005780B"/>
    <w:pPr>
      <w:spacing w:after="120" w:line="240" w:lineRule="auto"/>
    </w:pPr>
    <w:rPr>
      <w:rFonts w:ascii="Arial" w:eastAsia="Times New Roman" w:hAnsi="Arial" w:cs="Arial"/>
      <w:sz w:val="20"/>
      <w:szCs w:val="20"/>
    </w:rPr>
  </w:style>
  <w:style w:type="paragraph" w:customStyle="1" w:styleId="TblText">
    <w:name w:val="TblText"/>
    <w:basedOn w:val="Normal"/>
    <w:next w:val="Normal"/>
    <w:rsid w:val="0005780B"/>
    <w:pPr>
      <w:spacing w:after="120" w:line="240" w:lineRule="auto"/>
    </w:pPr>
    <w:rPr>
      <w:rFonts w:eastAsia="Times New Roman" w:cs="Times New Roman"/>
    </w:rPr>
  </w:style>
  <w:style w:type="paragraph" w:customStyle="1" w:styleId="AppendixBHeading1">
    <w:name w:val="Appendix B Heading 1"/>
    <w:basedOn w:val="Heading1"/>
    <w:link w:val="AppendixBHeading1Char"/>
    <w:qFormat/>
    <w:rsid w:val="0005780B"/>
    <w:pPr>
      <w:keepLines/>
      <w:pageBreakBefore w:val="0"/>
      <w:widowControl/>
      <w:numPr>
        <w:numId w:val="0"/>
      </w:numPr>
      <w:spacing w:before="360" w:after="240"/>
      <w:ind w:left="360" w:hanging="360"/>
    </w:pPr>
    <w:rPr>
      <w:rFonts w:ascii="Century Gothic" w:hAnsi="Century Gothic" w:cs="Helvetica"/>
      <w:b/>
      <w:sz w:val="24"/>
      <w:szCs w:val="26"/>
    </w:rPr>
  </w:style>
  <w:style w:type="character" w:customStyle="1" w:styleId="AppendixBHeading1Char">
    <w:name w:val="Appendix B Heading 1 Char"/>
    <w:basedOn w:val="Heading1Char"/>
    <w:link w:val="AppendixBHeading1"/>
    <w:locked/>
    <w:rsid w:val="0005780B"/>
    <w:rPr>
      <w:rFonts w:ascii="Century Gothic" w:eastAsiaTheme="majorEastAsia" w:hAnsi="Century Gothic" w:cs="Helvetica"/>
      <w:b/>
      <w:bCs/>
      <w:sz w:val="24"/>
      <w:szCs w:val="26"/>
    </w:rPr>
  </w:style>
  <w:style w:type="paragraph" w:customStyle="1" w:styleId="FrontHdg1">
    <w:name w:val="FrontHdg1"/>
    <w:basedOn w:val="Heading1"/>
    <w:qFormat/>
    <w:rsid w:val="0005780B"/>
    <w:pPr>
      <w:keepLines/>
      <w:pageBreakBefore w:val="0"/>
      <w:widowControl/>
      <w:numPr>
        <w:numId w:val="0"/>
      </w:numPr>
      <w:spacing w:before="240" w:after="120"/>
      <w:outlineLvl w:val="9"/>
    </w:pPr>
    <w:rPr>
      <w:rFonts w:ascii="Century Gothic" w:eastAsia="Times New Roman" w:hAnsi="Century Gothic" w:cs="Helvetica"/>
      <w:sz w:val="24"/>
      <w:szCs w:val="26"/>
    </w:rPr>
  </w:style>
  <w:style w:type="character" w:customStyle="1" w:styleId="cf01">
    <w:name w:val="cf01"/>
    <w:basedOn w:val="DefaultParagraphFont"/>
    <w:rsid w:val="00304D9C"/>
    <w:rPr>
      <w:rFonts w:ascii="Segoe UI" w:hAnsi="Segoe UI" w:cs="Segoe UI" w:hint="default"/>
      <w:sz w:val="18"/>
      <w:szCs w:val="18"/>
    </w:rPr>
  </w:style>
  <w:style w:type="paragraph" w:customStyle="1" w:styleId="FootnoteHyperlink">
    <w:name w:val="Footnote Hyperlink"/>
    <w:basedOn w:val="FootnoteText"/>
    <w:qFormat/>
    <w:rsid w:val="003171DF"/>
    <w:pPr>
      <w:keepNext w:val="0"/>
      <w:keepLines w:val="0"/>
      <w:widowControl/>
      <w:spacing w:before="0"/>
      <w:ind w:left="187" w:hanging="187"/>
      <w:contextualSpacing w:val="0"/>
    </w:pPr>
    <w:rPr>
      <w:rFonts w:eastAsia="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0811040">
      <w:bodyDiv w:val="1"/>
      <w:marLeft w:val="0"/>
      <w:marRight w:val="0"/>
      <w:marTop w:val="0"/>
      <w:marBottom w:val="0"/>
      <w:divBdr>
        <w:top w:val="none" w:sz="0" w:space="0" w:color="auto"/>
        <w:left w:val="none" w:sz="0" w:space="0" w:color="auto"/>
        <w:bottom w:val="none" w:sz="0" w:space="0" w:color="auto"/>
        <w:right w:val="none" w:sz="0" w:space="0" w:color="auto"/>
      </w:divBdr>
    </w:div>
    <w:div w:id="130292673">
      <w:bodyDiv w:val="1"/>
      <w:marLeft w:val="0"/>
      <w:marRight w:val="0"/>
      <w:marTop w:val="0"/>
      <w:marBottom w:val="0"/>
      <w:divBdr>
        <w:top w:val="none" w:sz="0" w:space="0" w:color="auto"/>
        <w:left w:val="none" w:sz="0" w:space="0" w:color="auto"/>
        <w:bottom w:val="none" w:sz="0" w:space="0" w:color="auto"/>
        <w:right w:val="none" w:sz="0" w:space="0" w:color="auto"/>
      </w:divBdr>
    </w:div>
    <w:div w:id="141778362">
      <w:bodyDiv w:val="1"/>
      <w:marLeft w:val="0"/>
      <w:marRight w:val="0"/>
      <w:marTop w:val="0"/>
      <w:marBottom w:val="0"/>
      <w:divBdr>
        <w:top w:val="none" w:sz="0" w:space="0" w:color="auto"/>
        <w:left w:val="none" w:sz="0" w:space="0" w:color="auto"/>
        <w:bottom w:val="none" w:sz="0" w:space="0" w:color="auto"/>
        <w:right w:val="none" w:sz="0" w:space="0" w:color="auto"/>
      </w:divBdr>
    </w:div>
    <w:div w:id="167868398">
      <w:bodyDiv w:val="1"/>
      <w:marLeft w:val="0"/>
      <w:marRight w:val="0"/>
      <w:marTop w:val="0"/>
      <w:marBottom w:val="0"/>
      <w:divBdr>
        <w:top w:val="none" w:sz="0" w:space="0" w:color="auto"/>
        <w:left w:val="none" w:sz="0" w:space="0" w:color="auto"/>
        <w:bottom w:val="none" w:sz="0" w:space="0" w:color="auto"/>
        <w:right w:val="none" w:sz="0" w:space="0" w:color="auto"/>
      </w:divBdr>
    </w:div>
    <w:div w:id="195897572">
      <w:bodyDiv w:val="1"/>
      <w:marLeft w:val="0"/>
      <w:marRight w:val="0"/>
      <w:marTop w:val="0"/>
      <w:marBottom w:val="0"/>
      <w:divBdr>
        <w:top w:val="none" w:sz="0" w:space="0" w:color="auto"/>
        <w:left w:val="none" w:sz="0" w:space="0" w:color="auto"/>
        <w:bottom w:val="none" w:sz="0" w:space="0" w:color="auto"/>
        <w:right w:val="none" w:sz="0" w:space="0" w:color="auto"/>
      </w:divBdr>
    </w:div>
    <w:div w:id="207570040">
      <w:bodyDiv w:val="1"/>
      <w:marLeft w:val="0"/>
      <w:marRight w:val="0"/>
      <w:marTop w:val="0"/>
      <w:marBottom w:val="0"/>
      <w:divBdr>
        <w:top w:val="none" w:sz="0" w:space="0" w:color="auto"/>
        <w:left w:val="none" w:sz="0" w:space="0" w:color="auto"/>
        <w:bottom w:val="none" w:sz="0" w:space="0" w:color="auto"/>
        <w:right w:val="none" w:sz="0" w:space="0" w:color="auto"/>
      </w:divBdr>
    </w:div>
    <w:div w:id="245379815">
      <w:bodyDiv w:val="1"/>
      <w:marLeft w:val="0"/>
      <w:marRight w:val="0"/>
      <w:marTop w:val="0"/>
      <w:marBottom w:val="0"/>
      <w:divBdr>
        <w:top w:val="none" w:sz="0" w:space="0" w:color="auto"/>
        <w:left w:val="none" w:sz="0" w:space="0" w:color="auto"/>
        <w:bottom w:val="none" w:sz="0" w:space="0" w:color="auto"/>
        <w:right w:val="none" w:sz="0" w:space="0" w:color="auto"/>
      </w:divBdr>
    </w:div>
    <w:div w:id="288558089">
      <w:bodyDiv w:val="1"/>
      <w:marLeft w:val="0"/>
      <w:marRight w:val="0"/>
      <w:marTop w:val="0"/>
      <w:marBottom w:val="0"/>
      <w:divBdr>
        <w:top w:val="none" w:sz="0" w:space="0" w:color="auto"/>
        <w:left w:val="none" w:sz="0" w:space="0" w:color="auto"/>
        <w:bottom w:val="none" w:sz="0" w:space="0" w:color="auto"/>
        <w:right w:val="none" w:sz="0" w:space="0" w:color="auto"/>
      </w:divBdr>
    </w:div>
    <w:div w:id="300697171">
      <w:bodyDiv w:val="1"/>
      <w:marLeft w:val="0"/>
      <w:marRight w:val="0"/>
      <w:marTop w:val="0"/>
      <w:marBottom w:val="0"/>
      <w:divBdr>
        <w:top w:val="none" w:sz="0" w:space="0" w:color="auto"/>
        <w:left w:val="none" w:sz="0" w:space="0" w:color="auto"/>
        <w:bottom w:val="none" w:sz="0" w:space="0" w:color="auto"/>
        <w:right w:val="none" w:sz="0" w:space="0" w:color="auto"/>
      </w:divBdr>
    </w:div>
    <w:div w:id="320426263">
      <w:bodyDiv w:val="1"/>
      <w:marLeft w:val="0"/>
      <w:marRight w:val="0"/>
      <w:marTop w:val="0"/>
      <w:marBottom w:val="0"/>
      <w:divBdr>
        <w:top w:val="none" w:sz="0" w:space="0" w:color="auto"/>
        <w:left w:val="none" w:sz="0" w:space="0" w:color="auto"/>
        <w:bottom w:val="none" w:sz="0" w:space="0" w:color="auto"/>
        <w:right w:val="none" w:sz="0" w:space="0" w:color="auto"/>
      </w:divBdr>
    </w:div>
    <w:div w:id="320744362">
      <w:bodyDiv w:val="1"/>
      <w:marLeft w:val="0"/>
      <w:marRight w:val="0"/>
      <w:marTop w:val="0"/>
      <w:marBottom w:val="0"/>
      <w:divBdr>
        <w:top w:val="none" w:sz="0" w:space="0" w:color="auto"/>
        <w:left w:val="none" w:sz="0" w:space="0" w:color="auto"/>
        <w:bottom w:val="none" w:sz="0" w:space="0" w:color="auto"/>
        <w:right w:val="none" w:sz="0" w:space="0" w:color="auto"/>
      </w:divBdr>
    </w:div>
    <w:div w:id="354964659">
      <w:bodyDiv w:val="1"/>
      <w:marLeft w:val="0"/>
      <w:marRight w:val="0"/>
      <w:marTop w:val="0"/>
      <w:marBottom w:val="0"/>
      <w:divBdr>
        <w:top w:val="none" w:sz="0" w:space="0" w:color="auto"/>
        <w:left w:val="none" w:sz="0" w:space="0" w:color="auto"/>
        <w:bottom w:val="none" w:sz="0" w:space="0" w:color="auto"/>
        <w:right w:val="none" w:sz="0" w:space="0" w:color="auto"/>
      </w:divBdr>
    </w:div>
    <w:div w:id="392512571">
      <w:bodyDiv w:val="1"/>
      <w:marLeft w:val="0"/>
      <w:marRight w:val="0"/>
      <w:marTop w:val="0"/>
      <w:marBottom w:val="0"/>
      <w:divBdr>
        <w:top w:val="none" w:sz="0" w:space="0" w:color="auto"/>
        <w:left w:val="none" w:sz="0" w:space="0" w:color="auto"/>
        <w:bottom w:val="none" w:sz="0" w:space="0" w:color="auto"/>
        <w:right w:val="none" w:sz="0" w:space="0" w:color="auto"/>
      </w:divBdr>
    </w:div>
    <w:div w:id="398212748">
      <w:bodyDiv w:val="1"/>
      <w:marLeft w:val="0"/>
      <w:marRight w:val="0"/>
      <w:marTop w:val="0"/>
      <w:marBottom w:val="0"/>
      <w:divBdr>
        <w:top w:val="none" w:sz="0" w:space="0" w:color="auto"/>
        <w:left w:val="none" w:sz="0" w:space="0" w:color="auto"/>
        <w:bottom w:val="none" w:sz="0" w:space="0" w:color="auto"/>
        <w:right w:val="none" w:sz="0" w:space="0" w:color="auto"/>
      </w:divBdr>
    </w:div>
    <w:div w:id="449933505">
      <w:bodyDiv w:val="1"/>
      <w:marLeft w:val="0"/>
      <w:marRight w:val="0"/>
      <w:marTop w:val="0"/>
      <w:marBottom w:val="0"/>
      <w:divBdr>
        <w:top w:val="none" w:sz="0" w:space="0" w:color="auto"/>
        <w:left w:val="none" w:sz="0" w:space="0" w:color="auto"/>
        <w:bottom w:val="none" w:sz="0" w:space="0" w:color="auto"/>
        <w:right w:val="none" w:sz="0" w:space="0" w:color="auto"/>
      </w:divBdr>
    </w:div>
    <w:div w:id="460996661">
      <w:bodyDiv w:val="1"/>
      <w:marLeft w:val="0"/>
      <w:marRight w:val="0"/>
      <w:marTop w:val="0"/>
      <w:marBottom w:val="0"/>
      <w:divBdr>
        <w:top w:val="none" w:sz="0" w:space="0" w:color="auto"/>
        <w:left w:val="none" w:sz="0" w:space="0" w:color="auto"/>
        <w:bottom w:val="none" w:sz="0" w:space="0" w:color="auto"/>
        <w:right w:val="none" w:sz="0" w:space="0" w:color="auto"/>
      </w:divBdr>
      <w:divsChild>
        <w:div w:id="355155066">
          <w:marLeft w:val="0"/>
          <w:marRight w:val="0"/>
          <w:marTop w:val="0"/>
          <w:marBottom w:val="0"/>
          <w:divBdr>
            <w:top w:val="none" w:sz="0" w:space="0" w:color="auto"/>
            <w:left w:val="none" w:sz="0" w:space="0" w:color="auto"/>
            <w:bottom w:val="none" w:sz="0" w:space="0" w:color="auto"/>
            <w:right w:val="none" w:sz="0" w:space="0" w:color="auto"/>
          </w:divBdr>
        </w:div>
      </w:divsChild>
    </w:div>
    <w:div w:id="464394488">
      <w:bodyDiv w:val="1"/>
      <w:marLeft w:val="0"/>
      <w:marRight w:val="0"/>
      <w:marTop w:val="0"/>
      <w:marBottom w:val="0"/>
      <w:divBdr>
        <w:top w:val="none" w:sz="0" w:space="0" w:color="auto"/>
        <w:left w:val="none" w:sz="0" w:space="0" w:color="auto"/>
        <w:bottom w:val="none" w:sz="0" w:space="0" w:color="auto"/>
        <w:right w:val="none" w:sz="0" w:space="0" w:color="auto"/>
      </w:divBdr>
    </w:div>
    <w:div w:id="524101242">
      <w:bodyDiv w:val="1"/>
      <w:marLeft w:val="0"/>
      <w:marRight w:val="0"/>
      <w:marTop w:val="0"/>
      <w:marBottom w:val="0"/>
      <w:divBdr>
        <w:top w:val="none" w:sz="0" w:space="0" w:color="auto"/>
        <w:left w:val="none" w:sz="0" w:space="0" w:color="auto"/>
        <w:bottom w:val="none" w:sz="0" w:space="0" w:color="auto"/>
        <w:right w:val="none" w:sz="0" w:space="0" w:color="auto"/>
      </w:divBdr>
    </w:div>
    <w:div w:id="553658930">
      <w:bodyDiv w:val="1"/>
      <w:marLeft w:val="0"/>
      <w:marRight w:val="0"/>
      <w:marTop w:val="0"/>
      <w:marBottom w:val="0"/>
      <w:divBdr>
        <w:top w:val="none" w:sz="0" w:space="0" w:color="auto"/>
        <w:left w:val="none" w:sz="0" w:space="0" w:color="auto"/>
        <w:bottom w:val="none" w:sz="0" w:space="0" w:color="auto"/>
        <w:right w:val="none" w:sz="0" w:space="0" w:color="auto"/>
      </w:divBdr>
    </w:div>
    <w:div w:id="608581557">
      <w:bodyDiv w:val="1"/>
      <w:marLeft w:val="0"/>
      <w:marRight w:val="0"/>
      <w:marTop w:val="0"/>
      <w:marBottom w:val="0"/>
      <w:divBdr>
        <w:top w:val="none" w:sz="0" w:space="0" w:color="auto"/>
        <w:left w:val="none" w:sz="0" w:space="0" w:color="auto"/>
        <w:bottom w:val="none" w:sz="0" w:space="0" w:color="auto"/>
        <w:right w:val="none" w:sz="0" w:space="0" w:color="auto"/>
      </w:divBdr>
    </w:div>
    <w:div w:id="671030969">
      <w:bodyDiv w:val="1"/>
      <w:marLeft w:val="0"/>
      <w:marRight w:val="0"/>
      <w:marTop w:val="0"/>
      <w:marBottom w:val="0"/>
      <w:divBdr>
        <w:top w:val="none" w:sz="0" w:space="0" w:color="auto"/>
        <w:left w:val="none" w:sz="0" w:space="0" w:color="auto"/>
        <w:bottom w:val="none" w:sz="0" w:space="0" w:color="auto"/>
        <w:right w:val="none" w:sz="0" w:space="0" w:color="auto"/>
      </w:divBdr>
    </w:div>
    <w:div w:id="695081817">
      <w:bodyDiv w:val="1"/>
      <w:marLeft w:val="0"/>
      <w:marRight w:val="0"/>
      <w:marTop w:val="0"/>
      <w:marBottom w:val="0"/>
      <w:divBdr>
        <w:top w:val="none" w:sz="0" w:space="0" w:color="auto"/>
        <w:left w:val="none" w:sz="0" w:space="0" w:color="auto"/>
        <w:bottom w:val="none" w:sz="0" w:space="0" w:color="auto"/>
        <w:right w:val="none" w:sz="0" w:space="0" w:color="auto"/>
      </w:divBdr>
    </w:div>
    <w:div w:id="709107131">
      <w:bodyDiv w:val="1"/>
      <w:marLeft w:val="0"/>
      <w:marRight w:val="0"/>
      <w:marTop w:val="0"/>
      <w:marBottom w:val="0"/>
      <w:divBdr>
        <w:top w:val="none" w:sz="0" w:space="0" w:color="auto"/>
        <w:left w:val="none" w:sz="0" w:space="0" w:color="auto"/>
        <w:bottom w:val="none" w:sz="0" w:space="0" w:color="auto"/>
        <w:right w:val="none" w:sz="0" w:space="0" w:color="auto"/>
      </w:divBdr>
    </w:div>
    <w:div w:id="740903891">
      <w:bodyDiv w:val="1"/>
      <w:marLeft w:val="0"/>
      <w:marRight w:val="0"/>
      <w:marTop w:val="0"/>
      <w:marBottom w:val="0"/>
      <w:divBdr>
        <w:top w:val="none" w:sz="0" w:space="0" w:color="auto"/>
        <w:left w:val="none" w:sz="0" w:space="0" w:color="auto"/>
        <w:bottom w:val="none" w:sz="0" w:space="0" w:color="auto"/>
        <w:right w:val="none" w:sz="0" w:space="0" w:color="auto"/>
      </w:divBdr>
    </w:div>
    <w:div w:id="749624361">
      <w:bodyDiv w:val="1"/>
      <w:marLeft w:val="0"/>
      <w:marRight w:val="0"/>
      <w:marTop w:val="0"/>
      <w:marBottom w:val="0"/>
      <w:divBdr>
        <w:top w:val="none" w:sz="0" w:space="0" w:color="auto"/>
        <w:left w:val="none" w:sz="0" w:space="0" w:color="auto"/>
        <w:bottom w:val="none" w:sz="0" w:space="0" w:color="auto"/>
        <w:right w:val="none" w:sz="0" w:space="0" w:color="auto"/>
      </w:divBdr>
    </w:div>
    <w:div w:id="813566662">
      <w:bodyDiv w:val="1"/>
      <w:marLeft w:val="0"/>
      <w:marRight w:val="0"/>
      <w:marTop w:val="0"/>
      <w:marBottom w:val="0"/>
      <w:divBdr>
        <w:top w:val="none" w:sz="0" w:space="0" w:color="auto"/>
        <w:left w:val="none" w:sz="0" w:space="0" w:color="auto"/>
        <w:bottom w:val="none" w:sz="0" w:space="0" w:color="auto"/>
        <w:right w:val="none" w:sz="0" w:space="0" w:color="auto"/>
      </w:divBdr>
    </w:div>
    <w:div w:id="846405488">
      <w:bodyDiv w:val="1"/>
      <w:marLeft w:val="0"/>
      <w:marRight w:val="0"/>
      <w:marTop w:val="0"/>
      <w:marBottom w:val="0"/>
      <w:divBdr>
        <w:top w:val="none" w:sz="0" w:space="0" w:color="auto"/>
        <w:left w:val="none" w:sz="0" w:space="0" w:color="auto"/>
        <w:bottom w:val="none" w:sz="0" w:space="0" w:color="auto"/>
        <w:right w:val="none" w:sz="0" w:space="0" w:color="auto"/>
      </w:divBdr>
    </w:div>
    <w:div w:id="847646156">
      <w:bodyDiv w:val="1"/>
      <w:marLeft w:val="0"/>
      <w:marRight w:val="0"/>
      <w:marTop w:val="0"/>
      <w:marBottom w:val="0"/>
      <w:divBdr>
        <w:top w:val="none" w:sz="0" w:space="0" w:color="auto"/>
        <w:left w:val="none" w:sz="0" w:space="0" w:color="auto"/>
        <w:bottom w:val="none" w:sz="0" w:space="0" w:color="auto"/>
        <w:right w:val="none" w:sz="0" w:space="0" w:color="auto"/>
      </w:divBdr>
    </w:div>
    <w:div w:id="890338157">
      <w:bodyDiv w:val="1"/>
      <w:marLeft w:val="0"/>
      <w:marRight w:val="0"/>
      <w:marTop w:val="0"/>
      <w:marBottom w:val="0"/>
      <w:divBdr>
        <w:top w:val="none" w:sz="0" w:space="0" w:color="auto"/>
        <w:left w:val="none" w:sz="0" w:space="0" w:color="auto"/>
        <w:bottom w:val="none" w:sz="0" w:space="0" w:color="auto"/>
        <w:right w:val="none" w:sz="0" w:space="0" w:color="auto"/>
      </w:divBdr>
    </w:div>
    <w:div w:id="985011947">
      <w:bodyDiv w:val="1"/>
      <w:marLeft w:val="0"/>
      <w:marRight w:val="0"/>
      <w:marTop w:val="0"/>
      <w:marBottom w:val="0"/>
      <w:divBdr>
        <w:top w:val="none" w:sz="0" w:space="0" w:color="auto"/>
        <w:left w:val="none" w:sz="0" w:space="0" w:color="auto"/>
        <w:bottom w:val="none" w:sz="0" w:space="0" w:color="auto"/>
        <w:right w:val="none" w:sz="0" w:space="0" w:color="auto"/>
      </w:divBdr>
    </w:div>
    <w:div w:id="1006638759">
      <w:bodyDiv w:val="1"/>
      <w:marLeft w:val="0"/>
      <w:marRight w:val="0"/>
      <w:marTop w:val="0"/>
      <w:marBottom w:val="0"/>
      <w:divBdr>
        <w:top w:val="none" w:sz="0" w:space="0" w:color="auto"/>
        <w:left w:val="none" w:sz="0" w:space="0" w:color="auto"/>
        <w:bottom w:val="none" w:sz="0" w:space="0" w:color="auto"/>
        <w:right w:val="none" w:sz="0" w:space="0" w:color="auto"/>
      </w:divBdr>
    </w:div>
    <w:div w:id="1116480687">
      <w:bodyDiv w:val="1"/>
      <w:marLeft w:val="0"/>
      <w:marRight w:val="0"/>
      <w:marTop w:val="0"/>
      <w:marBottom w:val="0"/>
      <w:divBdr>
        <w:top w:val="none" w:sz="0" w:space="0" w:color="auto"/>
        <w:left w:val="none" w:sz="0" w:space="0" w:color="auto"/>
        <w:bottom w:val="none" w:sz="0" w:space="0" w:color="auto"/>
        <w:right w:val="none" w:sz="0" w:space="0" w:color="auto"/>
      </w:divBdr>
    </w:div>
    <w:div w:id="1139763159">
      <w:bodyDiv w:val="1"/>
      <w:marLeft w:val="0"/>
      <w:marRight w:val="0"/>
      <w:marTop w:val="0"/>
      <w:marBottom w:val="0"/>
      <w:divBdr>
        <w:top w:val="none" w:sz="0" w:space="0" w:color="auto"/>
        <w:left w:val="none" w:sz="0" w:space="0" w:color="auto"/>
        <w:bottom w:val="none" w:sz="0" w:space="0" w:color="auto"/>
        <w:right w:val="none" w:sz="0" w:space="0" w:color="auto"/>
      </w:divBdr>
    </w:div>
    <w:div w:id="1152523163">
      <w:bodyDiv w:val="1"/>
      <w:marLeft w:val="0"/>
      <w:marRight w:val="0"/>
      <w:marTop w:val="0"/>
      <w:marBottom w:val="0"/>
      <w:divBdr>
        <w:top w:val="none" w:sz="0" w:space="0" w:color="auto"/>
        <w:left w:val="none" w:sz="0" w:space="0" w:color="auto"/>
        <w:bottom w:val="none" w:sz="0" w:space="0" w:color="auto"/>
        <w:right w:val="none" w:sz="0" w:space="0" w:color="auto"/>
      </w:divBdr>
    </w:div>
    <w:div w:id="1216548662">
      <w:bodyDiv w:val="1"/>
      <w:marLeft w:val="0"/>
      <w:marRight w:val="0"/>
      <w:marTop w:val="0"/>
      <w:marBottom w:val="0"/>
      <w:divBdr>
        <w:top w:val="none" w:sz="0" w:space="0" w:color="auto"/>
        <w:left w:val="none" w:sz="0" w:space="0" w:color="auto"/>
        <w:bottom w:val="none" w:sz="0" w:space="0" w:color="auto"/>
        <w:right w:val="none" w:sz="0" w:space="0" w:color="auto"/>
      </w:divBdr>
    </w:div>
    <w:div w:id="1259296096">
      <w:bodyDiv w:val="1"/>
      <w:marLeft w:val="0"/>
      <w:marRight w:val="0"/>
      <w:marTop w:val="0"/>
      <w:marBottom w:val="0"/>
      <w:divBdr>
        <w:top w:val="none" w:sz="0" w:space="0" w:color="auto"/>
        <w:left w:val="none" w:sz="0" w:space="0" w:color="auto"/>
        <w:bottom w:val="none" w:sz="0" w:space="0" w:color="auto"/>
        <w:right w:val="none" w:sz="0" w:space="0" w:color="auto"/>
      </w:divBdr>
    </w:div>
    <w:div w:id="1266694793">
      <w:bodyDiv w:val="1"/>
      <w:marLeft w:val="0"/>
      <w:marRight w:val="0"/>
      <w:marTop w:val="0"/>
      <w:marBottom w:val="0"/>
      <w:divBdr>
        <w:top w:val="none" w:sz="0" w:space="0" w:color="auto"/>
        <w:left w:val="none" w:sz="0" w:space="0" w:color="auto"/>
        <w:bottom w:val="none" w:sz="0" w:space="0" w:color="auto"/>
        <w:right w:val="none" w:sz="0" w:space="0" w:color="auto"/>
      </w:divBdr>
    </w:div>
    <w:div w:id="1334726985">
      <w:bodyDiv w:val="1"/>
      <w:marLeft w:val="0"/>
      <w:marRight w:val="0"/>
      <w:marTop w:val="0"/>
      <w:marBottom w:val="0"/>
      <w:divBdr>
        <w:top w:val="none" w:sz="0" w:space="0" w:color="auto"/>
        <w:left w:val="none" w:sz="0" w:space="0" w:color="auto"/>
        <w:bottom w:val="none" w:sz="0" w:space="0" w:color="auto"/>
        <w:right w:val="none" w:sz="0" w:space="0" w:color="auto"/>
      </w:divBdr>
    </w:div>
    <w:div w:id="1380977658">
      <w:bodyDiv w:val="1"/>
      <w:marLeft w:val="0"/>
      <w:marRight w:val="0"/>
      <w:marTop w:val="0"/>
      <w:marBottom w:val="0"/>
      <w:divBdr>
        <w:top w:val="none" w:sz="0" w:space="0" w:color="auto"/>
        <w:left w:val="none" w:sz="0" w:space="0" w:color="auto"/>
        <w:bottom w:val="none" w:sz="0" w:space="0" w:color="auto"/>
        <w:right w:val="none" w:sz="0" w:space="0" w:color="auto"/>
      </w:divBdr>
    </w:div>
    <w:div w:id="1487361385">
      <w:bodyDiv w:val="1"/>
      <w:marLeft w:val="0"/>
      <w:marRight w:val="0"/>
      <w:marTop w:val="0"/>
      <w:marBottom w:val="0"/>
      <w:divBdr>
        <w:top w:val="none" w:sz="0" w:space="0" w:color="auto"/>
        <w:left w:val="none" w:sz="0" w:space="0" w:color="auto"/>
        <w:bottom w:val="none" w:sz="0" w:space="0" w:color="auto"/>
        <w:right w:val="none" w:sz="0" w:space="0" w:color="auto"/>
      </w:divBdr>
    </w:div>
    <w:div w:id="1507867114">
      <w:bodyDiv w:val="1"/>
      <w:marLeft w:val="0"/>
      <w:marRight w:val="0"/>
      <w:marTop w:val="0"/>
      <w:marBottom w:val="0"/>
      <w:divBdr>
        <w:top w:val="none" w:sz="0" w:space="0" w:color="auto"/>
        <w:left w:val="none" w:sz="0" w:space="0" w:color="auto"/>
        <w:bottom w:val="none" w:sz="0" w:space="0" w:color="auto"/>
        <w:right w:val="none" w:sz="0" w:space="0" w:color="auto"/>
      </w:divBdr>
    </w:div>
    <w:div w:id="1539463251">
      <w:bodyDiv w:val="1"/>
      <w:marLeft w:val="0"/>
      <w:marRight w:val="0"/>
      <w:marTop w:val="0"/>
      <w:marBottom w:val="0"/>
      <w:divBdr>
        <w:top w:val="none" w:sz="0" w:space="0" w:color="auto"/>
        <w:left w:val="none" w:sz="0" w:space="0" w:color="auto"/>
        <w:bottom w:val="none" w:sz="0" w:space="0" w:color="auto"/>
        <w:right w:val="none" w:sz="0" w:space="0" w:color="auto"/>
      </w:divBdr>
    </w:div>
    <w:div w:id="1575894192">
      <w:bodyDiv w:val="1"/>
      <w:marLeft w:val="0"/>
      <w:marRight w:val="0"/>
      <w:marTop w:val="0"/>
      <w:marBottom w:val="0"/>
      <w:divBdr>
        <w:top w:val="none" w:sz="0" w:space="0" w:color="auto"/>
        <w:left w:val="none" w:sz="0" w:space="0" w:color="auto"/>
        <w:bottom w:val="none" w:sz="0" w:space="0" w:color="auto"/>
        <w:right w:val="none" w:sz="0" w:space="0" w:color="auto"/>
      </w:divBdr>
    </w:div>
    <w:div w:id="1600867002">
      <w:bodyDiv w:val="1"/>
      <w:marLeft w:val="0"/>
      <w:marRight w:val="0"/>
      <w:marTop w:val="0"/>
      <w:marBottom w:val="0"/>
      <w:divBdr>
        <w:top w:val="none" w:sz="0" w:space="0" w:color="auto"/>
        <w:left w:val="none" w:sz="0" w:space="0" w:color="auto"/>
        <w:bottom w:val="none" w:sz="0" w:space="0" w:color="auto"/>
        <w:right w:val="none" w:sz="0" w:space="0" w:color="auto"/>
      </w:divBdr>
    </w:div>
    <w:div w:id="1643540234">
      <w:bodyDiv w:val="1"/>
      <w:marLeft w:val="0"/>
      <w:marRight w:val="0"/>
      <w:marTop w:val="0"/>
      <w:marBottom w:val="0"/>
      <w:divBdr>
        <w:top w:val="none" w:sz="0" w:space="0" w:color="auto"/>
        <w:left w:val="none" w:sz="0" w:space="0" w:color="auto"/>
        <w:bottom w:val="none" w:sz="0" w:space="0" w:color="auto"/>
        <w:right w:val="none" w:sz="0" w:space="0" w:color="auto"/>
      </w:divBdr>
    </w:div>
    <w:div w:id="1670717282">
      <w:bodyDiv w:val="1"/>
      <w:marLeft w:val="0"/>
      <w:marRight w:val="0"/>
      <w:marTop w:val="0"/>
      <w:marBottom w:val="0"/>
      <w:divBdr>
        <w:top w:val="none" w:sz="0" w:space="0" w:color="auto"/>
        <w:left w:val="none" w:sz="0" w:space="0" w:color="auto"/>
        <w:bottom w:val="none" w:sz="0" w:space="0" w:color="auto"/>
        <w:right w:val="none" w:sz="0" w:space="0" w:color="auto"/>
      </w:divBdr>
    </w:div>
    <w:div w:id="1681544032">
      <w:bodyDiv w:val="1"/>
      <w:marLeft w:val="0"/>
      <w:marRight w:val="0"/>
      <w:marTop w:val="0"/>
      <w:marBottom w:val="0"/>
      <w:divBdr>
        <w:top w:val="none" w:sz="0" w:space="0" w:color="auto"/>
        <w:left w:val="none" w:sz="0" w:space="0" w:color="auto"/>
        <w:bottom w:val="none" w:sz="0" w:space="0" w:color="auto"/>
        <w:right w:val="none" w:sz="0" w:space="0" w:color="auto"/>
      </w:divBdr>
    </w:div>
    <w:div w:id="1708986841">
      <w:bodyDiv w:val="1"/>
      <w:marLeft w:val="0"/>
      <w:marRight w:val="0"/>
      <w:marTop w:val="0"/>
      <w:marBottom w:val="0"/>
      <w:divBdr>
        <w:top w:val="none" w:sz="0" w:space="0" w:color="auto"/>
        <w:left w:val="none" w:sz="0" w:space="0" w:color="auto"/>
        <w:bottom w:val="none" w:sz="0" w:space="0" w:color="auto"/>
        <w:right w:val="none" w:sz="0" w:space="0" w:color="auto"/>
      </w:divBdr>
    </w:div>
    <w:div w:id="1735541296">
      <w:bodyDiv w:val="1"/>
      <w:marLeft w:val="0"/>
      <w:marRight w:val="0"/>
      <w:marTop w:val="0"/>
      <w:marBottom w:val="0"/>
      <w:divBdr>
        <w:top w:val="none" w:sz="0" w:space="0" w:color="auto"/>
        <w:left w:val="none" w:sz="0" w:space="0" w:color="auto"/>
        <w:bottom w:val="none" w:sz="0" w:space="0" w:color="auto"/>
        <w:right w:val="none" w:sz="0" w:space="0" w:color="auto"/>
      </w:divBdr>
    </w:div>
    <w:div w:id="1823034219">
      <w:bodyDiv w:val="1"/>
      <w:marLeft w:val="0"/>
      <w:marRight w:val="0"/>
      <w:marTop w:val="0"/>
      <w:marBottom w:val="0"/>
      <w:divBdr>
        <w:top w:val="none" w:sz="0" w:space="0" w:color="auto"/>
        <w:left w:val="none" w:sz="0" w:space="0" w:color="auto"/>
        <w:bottom w:val="none" w:sz="0" w:space="0" w:color="auto"/>
        <w:right w:val="none" w:sz="0" w:space="0" w:color="auto"/>
      </w:divBdr>
    </w:div>
    <w:div w:id="1849296356">
      <w:bodyDiv w:val="1"/>
      <w:marLeft w:val="0"/>
      <w:marRight w:val="0"/>
      <w:marTop w:val="0"/>
      <w:marBottom w:val="0"/>
      <w:divBdr>
        <w:top w:val="none" w:sz="0" w:space="0" w:color="auto"/>
        <w:left w:val="none" w:sz="0" w:space="0" w:color="auto"/>
        <w:bottom w:val="none" w:sz="0" w:space="0" w:color="auto"/>
        <w:right w:val="none" w:sz="0" w:space="0" w:color="auto"/>
      </w:divBdr>
    </w:div>
    <w:div w:id="1853957789">
      <w:bodyDiv w:val="1"/>
      <w:marLeft w:val="0"/>
      <w:marRight w:val="0"/>
      <w:marTop w:val="0"/>
      <w:marBottom w:val="0"/>
      <w:divBdr>
        <w:top w:val="none" w:sz="0" w:space="0" w:color="auto"/>
        <w:left w:val="none" w:sz="0" w:space="0" w:color="auto"/>
        <w:bottom w:val="none" w:sz="0" w:space="0" w:color="auto"/>
        <w:right w:val="none" w:sz="0" w:space="0" w:color="auto"/>
      </w:divBdr>
    </w:div>
    <w:div w:id="1937059175">
      <w:bodyDiv w:val="1"/>
      <w:marLeft w:val="0"/>
      <w:marRight w:val="0"/>
      <w:marTop w:val="0"/>
      <w:marBottom w:val="0"/>
      <w:divBdr>
        <w:top w:val="none" w:sz="0" w:space="0" w:color="auto"/>
        <w:left w:val="none" w:sz="0" w:space="0" w:color="auto"/>
        <w:bottom w:val="none" w:sz="0" w:space="0" w:color="auto"/>
        <w:right w:val="none" w:sz="0" w:space="0" w:color="auto"/>
      </w:divBdr>
    </w:div>
    <w:div w:id="1948661692">
      <w:bodyDiv w:val="1"/>
      <w:marLeft w:val="0"/>
      <w:marRight w:val="0"/>
      <w:marTop w:val="0"/>
      <w:marBottom w:val="0"/>
      <w:divBdr>
        <w:top w:val="none" w:sz="0" w:space="0" w:color="auto"/>
        <w:left w:val="none" w:sz="0" w:space="0" w:color="auto"/>
        <w:bottom w:val="none" w:sz="0" w:space="0" w:color="auto"/>
        <w:right w:val="none" w:sz="0" w:space="0" w:color="auto"/>
      </w:divBdr>
    </w:div>
    <w:div w:id="2005163244">
      <w:bodyDiv w:val="1"/>
      <w:marLeft w:val="0"/>
      <w:marRight w:val="0"/>
      <w:marTop w:val="0"/>
      <w:marBottom w:val="0"/>
      <w:divBdr>
        <w:top w:val="none" w:sz="0" w:space="0" w:color="auto"/>
        <w:left w:val="none" w:sz="0" w:space="0" w:color="auto"/>
        <w:bottom w:val="none" w:sz="0" w:space="0" w:color="auto"/>
        <w:right w:val="none" w:sz="0" w:space="0" w:color="auto"/>
      </w:divBdr>
    </w:div>
    <w:div w:id="2030401583">
      <w:bodyDiv w:val="1"/>
      <w:marLeft w:val="0"/>
      <w:marRight w:val="0"/>
      <w:marTop w:val="0"/>
      <w:marBottom w:val="0"/>
      <w:divBdr>
        <w:top w:val="none" w:sz="0" w:space="0" w:color="auto"/>
        <w:left w:val="none" w:sz="0" w:space="0" w:color="auto"/>
        <w:bottom w:val="none" w:sz="0" w:space="0" w:color="auto"/>
        <w:right w:val="none" w:sz="0" w:space="0" w:color="auto"/>
      </w:divBdr>
    </w:div>
    <w:div w:id="2051688478">
      <w:bodyDiv w:val="1"/>
      <w:marLeft w:val="0"/>
      <w:marRight w:val="0"/>
      <w:marTop w:val="0"/>
      <w:marBottom w:val="0"/>
      <w:divBdr>
        <w:top w:val="none" w:sz="0" w:space="0" w:color="auto"/>
        <w:left w:val="none" w:sz="0" w:space="0" w:color="auto"/>
        <w:bottom w:val="none" w:sz="0" w:space="0" w:color="auto"/>
        <w:right w:val="none" w:sz="0" w:space="0" w:color="auto"/>
      </w:divBdr>
    </w:div>
    <w:div w:id="2090074328">
      <w:bodyDiv w:val="1"/>
      <w:marLeft w:val="0"/>
      <w:marRight w:val="0"/>
      <w:marTop w:val="0"/>
      <w:marBottom w:val="0"/>
      <w:divBdr>
        <w:top w:val="none" w:sz="0" w:space="0" w:color="auto"/>
        <w:left w:val="none" w:sz="0" w:space="0" w:color="auto"/>
        <w:bottom w:val="none" w:sz="0" w:space="0" w:color="auto"/>
        <w:right w:val="none" w:sz="0" w:space="0" w:color="auto"/>
      </w:divBdr>
    </w:div>
    <w:div w:id="2108647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da.energydataweb.com/" TargetMode="External"/><Relationship Id="rId26" Type="http://schemas.openxmlformats.org/officeDocument/2006/relationships/hyperlink" Target="https://pda.energydataweb.com/" TargetMode="External"/><Relationship Id="rId21" Type="http://schemas.openxmlformats.org/officeDocument/2006/relationships/hyperlink" Target="https://pda.energydataweb.com/" TargetMode="External"/><Relationship Id="rId34" Type="http://schemas.openxmlformats.org/officeDocument/2006/relationships/hyperlink" Target="https://pda.energydataweb.com/" TargetMode="Externa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image" Target="media/image3.png"/><Relationship Id="rId25" Type="http://schemas.openxmlformats.org/officeDocument/2006/relationships/hyperlink" Target="https://pda.energydataweb.com/" TargetMode="External"/><Relationship Id="rId33" Type="http://schemas.openxmlformats.org/officeDocument/2006/relationships/hyperlink" Target="https://pda.energydataweb.com/"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hyperlink" Target="https://pda.energydataweb.com/" TargetMode="External"/><Relationship Id="rId29" Type="http://schemas.openxmlformats.org/officeDocument/2006/relationships/hyperlink" Target="https://pda.energydataweb.com/"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hyperlink" Target="https://pda.energydataweb.com/" TargetMode="External"/><Relationship Id="rId32" Type="http://schemas.openxmlformats.org/officeDocument/2006/relationships/hyperlink" Target="https://pda.energydataweb.com/api/view/3957/CPUC_GroupA_L3PP_PY2022_Final%20report_PDA.pd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1.png"/><Relationship Id="rId23" Type="http://schemas.openxmlformats.org/officeDocument/2006/relationships/hyperlink" Target="https://pda.energydataweb.com/" TargetMode="External"/><Relationship Id="rId28" Type="http://schemas.openxmlformats.org/officeDocument/2006/relationships/hyperlink" Target="https://pda.energydataweb.com/" TargetMode="External"/><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hyperlink" Target="https://pda.energydataweb.com/" TargetMode="External"/><Relationship Id="rId31" Type="http://schemas.openxmlformats.org/officeDocument/2006/relationships/hyperlink" Target="https://pda.energydataweb.co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yperlink" Target="https://pda.energydataweb.com/" TargetMode="External"/><Relationship Id="rId27" Type="http://schemas.openxmlformats.org/officeDocument/2006/relationships/hyperlink" Target="https://pda.energydataweb.com/" TargetMode="External"/><Relationship Id="rId30" Type="http://schemas.openxmlformats.org/officeDocument/2006/relationships/hyperlink" Target="https://pda.energydataweb.com/" TargetMode="External"/><Relationship Id="rId35" Type="http://schemas.openxmlformats.org/officeDocument/2006/relationships/footer" Target="footer3.xml"/><Relationship Id="rId8" Type="http://schemas.openxmlformats.org/officeDocument/2006/relationships/webSettings" Target="webSettings.xml"/><Relationship Id="rId3" Type="http://schemas.openxmlformats.org/officeDocument/2006/relationships/customXml" Target="../customXml/item3.xml"/></Relationships>
</file>

<file path=word/_rels/footnotes.xml.rels><?xml version="1.0" encoding="UTF-8" standalone="yes"?>
<Relationships xmlns="http://schemas.openxmlformats.org/package/2006/relationships"><Relationship Id="rId8" Type="http://schemas.openxmlformats.org/officeDocument/2006/relationships/hyperlink" Target="https://docs.cpuc.ca.gov/PublishedDocs/WORD_PDF/FINAL_DECISION/77638.PDF" TargetMode="External"/><Relationship Id="rId13" Type="http://schemas.openxmlformats.org/officeDocument/2006/relationships/hyperlink" Target="https://pda.energydataweb.com/" TargetMode="External"/><Relationship Id="rId18" Type="http://schemas.openxmlformats.org/officeDocument/2006/relationships/hyperlink" Target="https://pda.energydataweb.com/api/downloads/3952/CPUC%20Group%20A%202023%20Res%20HVAC%20and%20DHW%20EUL%20Study%20Final%20Report.pdf" TargetMode="External"/><Relationship Id="rId3" Type="http://schemas.openxmlformats.org/officeDocument/2006/relationships/hyperlink" Target="https://cedars.cpuc.ca.gov/deer-resources/tools/supporting-files/resource/16/history/" TargetMode="External"/><Relationship Id="rId21" Type="http://schemas.openxmlformats.org/officeDocument/2006/relationships/hyperlink" Target="https://pda.energydataweb.com/" TargetMode="External"/><Relationship Id="rId7" Type="http://schemas.openxmlformats.org/officeDocument/2006/relationships/hyperlink" Target="https://edcentralserver.files.com/preview/f/f7b564868ffdc879/CET_Input_Guide_10132022.xlsx" TargetMode="External"/><Relationship Id="rId12" Type="http://schemas.openxmlformats.org/officeDocument/2006/relationships/hyperlink" Target="https://cedars.cpuc.ca.gov/deer-resources/tools/energy-plus/file/3085/download" TargetMode="External"/><Relationship Id="rId17" Type="http://schemas.openxmlformats.org/officeDocument/2006/relationships/hyperlink" Target="https://pda.energydataweb.com/api/downloads/3903/CPUC%20Group%20A%202023%20Residential%20Insulation%20EUL%20Study%20Final%20Report.pdf" TargetMode="External"/><Relationship Id="rId2" Type="http://schemas.openxmlformats.org/officeDocument/2006/relationships/hyperlink" Target="https://cedars.cpuc.ca.gov/deer-resources/tools/supporting-files/resource/2/history/" TargetMode="External"/><Relationship Id="rId16" Type="http://schemas.openxmlformats.org/officeDocument/2006/relationships/hyperlink" Target="https://pda.energydataweb.com/api/downloads/2816/CIAC%202020-2021%20Evaluation%20Final%20Report%20-%20Revised.pdf" TargetMode="External"/><Relationship Id="rId20" Type="http://schemas.openxmlformats.org/officeDocument/2006/relationships/hyperlink" Target="https://pda.energydataweb.com/api/view/3980/CPUC%20Group%20A%202023%20Commercial%20HVAC%20and%20Water%20%20Heating%20EUL%20Study%20Final%20Report.pdf" TargetMode="External"/><Relationship Id="rId1" Type="http://schemas.openxmlformats.org/officeDocument/2006/relationships/hyperlink" Target="https://www.caetrm.com/" TargetMode="External"/><Relationship Id="rId6" Type="http://schemas.openxmlformats.org/officeDocument/2006/relationships/hyperlink" Target="https://docs.cpuc.ca.gov/PublishedDocs/WORD_PDF/FINAL_DECISION/77638.PDF" TargetMode="External"/><Relationship Id="rId11" Type="http://schemas.openxmlformats.org/officeDocument/2006/relationships/hyperlink" Target="https://github.com/sound-data/DEER-Prototypes-EnergyPlus" TargetMode="External"/><Relationship Id="rId5" Type="http://schemas.openxmlformats.org/officeDocument/2006/relationships/hyperlink" Target="https://www.cpuc.ca.gov/industries-and-topics/electrical-energy/demand-side-management/energy-efficiency/water-energy-nexus-programs" TargetMode="External"/><Relationship Id="rId15" Type="http://schemas.openxmlformats.org/officeDocument/2006/relationships/hyperlink" Target="https://cedars.cpuc.ca.gov/deer-resources/tools/supporting-files/file/3105/download" TargetMode="External"/><Relationship Id="rId23" Type="http://schemas.openxmlformats.org/officeDocument/2006/relationships/hyperlink" Target="https://cedars.cpuc.ca.gov/deer-resources/deemed-measure-packages/guidance/file/3060/download" TargetMode="External"/><Relationship Id="rId10" Type="http://schemas.openxmlformats.org/officeDocument/2006/relationships/hyperlink" Target="https://www.energy.ca.gov/publications/2023/2022-california-commercial-end-use-survey-ceus-final-report" TargetMode="External"/><Relationship Id="rId19" Type="http://schemas.openxmlformats.org/officeDocument/2006/relationships/hyperlink" Target="https://pda.energydataweb.com/api/view/3980/CPUC%20Group%20A%202023%20Commercial%20HVAC%20and%20Water%20%20Heating%20EUL%20Study%20Final%20Report.pdf" TargetMode="External"/><Relationship Id="rId4" Type="http://schemas.openxmlformats.org/officeDocument/2006/relationships/hyperlink" Target="https://www.ipcc.ch/assessment-report/ar4/" TargetMode="External"/><Relationship Id="rId9" Type="http://schemas.openxmlformats.org/officeDocument/2006/relationships/hyperlink" Target="https://cedars.cpuc.ca.gov/deer-resources/tools/energy-plus/resource/13/history" TargetMode="External"/><Relationship Id="rId14" Type="http://schemas.openxmlformats.org/officeDocument/2006/relationships/hyperlink" Target="https://www.energystar.gov/sites/default/files/asset/document/ENERGY%20STAR%20Version%207.0%20Residential%20Windows%20Doors%20and%20Skylights%20Data%20Package.xlsx" TargetMode="External"/><Relationship Id="rId22" Type="http://schemas.openxmlformats.org/officeDocument/2006/relationships/hyperlink" Target="https://psr.energydataweb.com/%23!/project-status" TargetMode="External"/></Relationships>
</file>

<file path=word/theme/theme1.xml><?xml version="1.0" encoding="utf-8"?>
<a:theme xmlns:a="http://schemas.openxmlformats.org/drawingml/2006/main" name="Office Theme">
  <a:themeElements>
    <a:clrScheme name="DNV GL primary colors">
      <a:dk1>
        <a:sysClr val="windowText" lastClr="000000"/>
      </a:dk1>
      <a:lt1>
        <a:sysClr val="window" lastClr="FFFFFF"/>
      </a:lt1>
      <a:dk2>
        <a:srgbClr val="003591"/>
      </a:dk2>
      <a:lt2>
        <a:srgbClr val="FFFFFF"/>
      </a:lt2>
      <a:accent1>
        <a:srgbClr val="003591"/>
      </a:accent1>
      <a:accent2>
        <a:srgbClr val="3F9C35"/>
      </a:accent2>
      <a:accent3>
        <a:srgbClr val="99D6F0"/>
      </a:accent3>
      <a:accent4>
        <a:srgbClr val="0F204B"/>
      </a:accent4>
      <a:accent5>
        <a:srgbClr val="009FDA"/>
      </a:accent5>
      <a:accent6>
        <a:srgbClr val="E5F5FB"/>
      </a:accent6>
      <a:hlink>
        <a:srgbClr val="003591"/>
      </a:hlink>
      <a:folHlink>
        <a:srgbClr val="33B2E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ea71077-b24f-4377-8b54-e0467e191b48">
      <UserInfo>
        <DisplayName>Tuttle, Cameron</DisplayName>
        <AccountId>42</AccountId>
        <AccountType/>
      </UserInfo>
      <UserInfo>
        <DisplayName>Agnew, Ken</DisplayName>
        <AccountId>23</AccountId>
        <AccountType/>
      </UserInfo>
    </SharedWithUsers>
    <TaxCatchAll xmlns="2ea71077-b24f-4377-8b54-e0467e191b48" xsi:nil="true"/>
    <lcf76f155ced4ddcb4097134ff3c332f xmlns="31a47411-eddb-4817-9377-9e4a11e60228">
      <Terms xmlns="http://schemas.microsoft.com/office/infopath/2007/PartnerControls"/>
    </lcf76f155ced4ddcb4097134ff3c332f>
    <Reso_Status xmlns="31a47411-eddb-4817-9377-9e4a11e60228"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7B0CB52958DE244B956FFB60906530E" ma:contentTypeVersion="22" ma:contentTypeDescription="Create a new document." ma:contentTypeScope="" ma:versionID="6a8e1787495f06ab78dfd9cb84bb1507">
  <xsd:schema xmlns:xsd="http://www.w3.org/2001/XMLSchema" xmlns:xs="http://www.w3.org/2001/XMLSchema" xmlns:p="http://schemas.microsoft.com/office/2006/metadata/properties" xmlns:ns2="2ea71077-b24f-4377-8b54-e0467e191b48" xmlns:ns3="31a47411-eddb-4817-9377-9e4a11e60228" targetNamespace="http://schemas.microsoft.com/office/2006/metadata/properties" ma:root="true" ma:fieldsID="fcc4e1cb4f121753e6f739671002bd25" ns2:_="" ns3:_="">
    <xsd:import namespace="2ea71077-b24f-4377-8b54-e0467e191b48"/>
    <xsd:import namespace="31a47411-eddb-4817-9377-9e4a11e6022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ObjectDetectorVersions" minOccurs="0"/>
                <xsd:element ref="ns3:MediaServiceSearchProperties" minOccurs="0"/>
                <xsd:element ref="ns3:Reso_Status" minOccurs="0"/>
                <xsd:element ref="ns3:MediaLengthInSeconds"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a71077-b24f-4377-8b54-e0467e191b4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6" nillable="true" ma:displayName="Taxonomy Catch All Column" ma:hidden="true" ma:list="{2a541e1c-b919-4465-a8a2-6889ca9fba9b}" ma:internalName="TaxCatchAll" ma:showField="CatchAllData" ma:web="2ea71077-b24f-4377-8b54-e0467e191b48">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1a47411-eddb-4817-9377-9e4a11e6022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Reso_Status" ma:index="22" nillable="true" ma:displayName="Reso_Status" ma:description="Indicate whether: Unreviewed, Reviewed, Nothing to Add, Added" ma:format="Dropdown" ma:internalName="Reso_Status">
      <xsd:simpleType>
        <xsd:restriction base="dms:Text">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b0b031d9-ae19-48d6-a524-e417b27e882f"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176C584-EF4A-47B5-8DE3-D77377D91660}">
  <ds:schemaRefs>
    <ds:schemaRef ds:uri="http://schemas.microsoft.com/sharepoint/v3/contenttype/forms"/>
  </ds:schemaRefs>
</ds:datastoreItem>
</file>

<file path=customXml/itemProps2.xml><?xml version="1.0" encoding="utf-8"?>
<ds:datastoreItem xmlns:ds="http://schemas.openxmlformats.org/officeDocument/2006/customXml" ds:itemID="{D6E03879-9906-4AEC-A7C5-B4063F6A8AC9}">
  <ds:schemaRefs>
    <ds:schemaRef ds:uri="31a47411-eddb-4817-9377-9e4a11e60228"/>
    <ds:schemaRef ds:uri="http://schemas.microsoft.com/office/2006/documentManagement/types"/>
    <ds:schemaRef ds:uri="http://schemas.microsoft.com/office/infopath/2007/PartnerControls"/>
    <ds:schemaRef ds:uri="http://purl.org/dc/elements/1.1/"/>
    <ds:schemaRef ds:uri="http://schemas.microsoft.com/office/2006/metadata/properties"/>
    <ds:schemaRef ds:uri="http://schemas.openxmlformats.org/package/2006/metadata/core-properties"/>
    <ds:schemaRef ds:uri="http://purl.org/dc/terms/"/>
    <ds:schemaRef ds:uri="2ea71077-b24f-4377-8b54-e0467e191b48"/>
    <ds:schemaRef ds:uri="http://www.w3.org/XML/1998/namespace"/>
    <ds:schemaRef ds:uri="http://purl.org/dc/dcmitype/"/>
  </ds:schemaRefs>
</ds:datastoreItem>
</file>

<file path=customXml/itemProps3.xml><?xml version="1.0" encoding="utf-8"?>
<ds:datastoreItem xmlns:ds="http://schemas.openxmlformats.org/officeDocument/2006/customXml" ds:itemID="{332B76FB-D6DA-49CA-8129-E7D06C39A398}">
  <ds:schemaRefs>
    <ds:schemaRef ds:uri="http://schemas.openxmlformats.org/officeDocument/2006/bibliography"/>
  </ds:schemaRefs>
</ds:datastoreItem>
</file>

<file path=customXml/itemProps4.xml><?xml version="1.0" encoding="utf-8"?>
<ds:datastoreItem xmlns:ds="http://schemas.openxmlformats.org/officeDocument/2006/customXml" ds:itemID="{44A9E49B-89FE-40C6-9102-EA51A51DD2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a71077-b24f-4377-8b54-e0467e191b48"/>
    <ds:schemaRef ds:uri="31a47411-eddb-4817-9377-9e4a11e602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vt="http://schemas.openxmlformats.org/officeDocument/2006/docPropsVTypes" xmlns:ap="http://schemas.openxmlformats.org/officeDocument/2006/extended-properties">
  <ap:Template>Normal.dotm</ap:Template>
  <ap:TotalTime>0</ap:TotalTime>
  <ap:Pages>60</ap:Pages>
  <ap:Words>16261</ap:Words>
  <ap:Characters>92693</ap:Characters>
  <ap:Application>Microsoft Office Word</ap:Application>
  <ap:DocSecurity>0</ap:DocSecurity>
  <ap:Lines>772</ap:Lines>
  <ap:Paragraphs>217</ap:Paragraphs>
  <ap:ScaleCrop>false</ap:ScaleCrop>
  <ap:HeadingPairs>
    <vt:vector baseType="variant" size="2">
      <vt:variant>
        <vt:lpstr>Title</vt:lpstr>
      </vt:variant>
      <vt:variant>
        <vt:i4>1</vt:i4>
      </vt:variant>
    </vt:vector>
  </ap:HeadingPairs>
  <ap:TitlesOfParts>
    <vt:vector baseType="lpstr" size="1">
      <vt:lpstr>Resolution E-5221 DEER2024 Attachment A</vt:lpstr>
    </vt:vector>
  </ap:TitlesOfParts>
  <ap:Company/>
  <ap:LinksUpToDate>false</ap:LinksUpToDate>
  <ap:CharactersWithSpaces>108737</ap:CharactersWithSpaces>
  <ap:SharedDoc>false</ap:SharedDoc>
  <ap:HLinks>
    <vt:vector baseType="variant" size="798">
      <vt:variant>
        <vt:i4>2490407</vt:i4>
      </vt:variant>
      <vt:variant>
        <vt:i4>849</vt:i4>
      </vt:variant>
      <vt:variant>
        <vt:i4>0</vt:i4>
      </vt:variant>
      <vt:variant>
        <vt:i4>5</vt:i4>
      </vt:variant>
      <vt:variant>
        <vt:lpwstr>https://pda.energydataweb.com/</vt:lpwstr>
      </vt:variant>
      <vt:variant>
        <vt:lpwstr>!/documents/3992/view</vt:lpwstr>
      </vt:variant>
      <vt:variant>
        <vt:i4>2949160</vt:i4>
      </vt:variant>
      <vt:variant>
        <vt:i4>846</vt:i4>
      </vt:variant>
      <vt:variant>
        <vt:i4>0</vt:i4>
      </vt:variant>
      <vt:variant>
        <vt:i4>5</vt:i4>
      </vt:variant>
      <vt:variant>
        <vt:lpwstr>https://pda.energydataweb.com/</vt:lpwstr>
      </vt:variant>
      <vt:variant>
        <vt:lpwstr>!/documents/3969/view</vt:lpwstr>
      </vt:variant>
      <vt:variant>
        <vt:i4>5505141</vt:i4>
      </vt:variant>
      <vt:variant>
        <vt:i4>843</vt:i4>
      </vt:variant>
      <vt:variant>
        <vt:i4>0</vt:i4>
      </vt:variant>
      <vt:variant>
        <vt:i4>5</vt:i4>
      </vt:variant>
      <vt:variant>
        <vt:lpwstr>https://pda.energydataweb.com/api/view/3957/CPUC_GroupA_L3PP_PY2022_Final report_PDA.pdf</vt:lpwstr>
      </vt:variant>
      <vt:variant>
        <vt:lpwstr/>
      </vt:variant>
      <vt:variant>
        <vt:i4>2228262</vt:i4>
      </vt:variant>
      <vt:variant>
        <vt:i4>840</vt:i4>
      </vt:variant>
      <vt:variant>
        <vt:i4>0</vt:i4>
      </vt:variant>
      <vt:variant>
        <vt:i4>5</vt:i4>
      </vt:variant>
      <vt:variant>
        <vt:lpwstr>https://pda.energydataweb.com/</vt:lpwstr>
      </vt:variant>
      <vt:variant>
        <vt:lpwstr>!/documents/2798/view</vt:lpwstr>
      </vt:variant>
      <vt:variant>
        <vt:i4>2555951</vt:i4>
      </vt:variant>
      <vt:variant>
        <vt:i4>837</vt:i4>
      </vt:variant>
      <vt:variant>
        <vt:i4>0</vt:i4>
      </vt:variant>
      <vt:variant>
        <vt:i4>5</vt:i4>
      </vt:variant>
      <vt:variant>
        <vt:lpwstr>https://pda.energydataweb.com/</vt:lpwstr>
      </vt:variant>
      <vt:variant>
        <vt:lpwstr>!/documents/2802/view</vt:lpwstr>
      </vt:variant>
      <vt:variant>
        <vt:i4>2293807</vt:i4>
      </vt:variant>
      <vt:variant>
        <vt:i4>834</vt:i4>
      </vt:variant>
      <vt:variant>
        <vt:i4>0</vt:i4>
      </vt:variant>
      <vt:variant>
        <vt:i4>5</vt:i4>
      </vt:variant>
      <vt:variant>
        <vt:lpwstr>https://pda.energydataweb.com/</vt:lpwstr>
      </vt:variant>
      <vt:variant>
        <vt:lpwstr>!/documents/2806/view</vt:lpwstr>
      </vt:variant>
      <vt:variant>
        <vt:i4>2424878</vt:i4>
      </vt:variant>
      <vt:variant>
        <vt:i4>831</vt:i4>
      </vt:variant>
      <vt:variant>
        <vt:i4>0</vt:i4>
      </vt:variant>
      <vt:variant>
        <vt:i4>5</vt:i4>
      </vt:variant>
      <vt:variant>
        <vt:lpwstr>https://pda.energydataweb.com/</vt:lpwstr>
      </vt:variant>
      <vt:variant>
        <vt:lpwstr>!/documents/2810/view</vt:lpwstr>
      </vt:variant>
      <vt:variant>
        <vt:i4>2555944</vt:i4>
      </vt:variant>
      <vt:variant>
        <vt:i4>828</vt:i4>
      </vt:variant>
      <vt:variant>
        <vt:i4>0</vt:i4>
      </vt:variant>
      <vt:variant>
        <vt:i4>5</vt:i4>
      </vt:variant>
      <vt:variant>
        <vt:lpwstr>https://pda.energydataweb.com/</vt:lpwstr>
      </vt:variant>
      <vt:variant>
        <vt:lpwstr>!/documents/3862/view</vt:lpwstr>
      </vt:variant>
      <vt:variant>
        <vt:i4>2949160</vt:i4>
      </vt:variant>
      <vt:variant>
        <vt:i4>825</vt:i4>
      </vt:variant>
      <vt:variant>
        <vt:i4>0</vt:i4>
      </vt:variant>
      <vt:variant>
        <vt:i4>5</vt:i4>
      </vt:variant>
      <vt:variant>
        <vt:lpwstr>https://pda.energydataweb.com/</vt:lpwstr>
      </vt:variant>
      <vt:variant>
        <vt:lpwstr>!/documents/3868/view</vt:lpwstr>
      </vt:variant>
      <vt:variant>
        <vt:i4>2949166</vt:i4>
      </vt:variant>
      <vt:variant>
        <vt:i4>822</vt:i4>
      </vt:variant>
      <vt:variant>
        <vt:i4>0</vt:i4>
      </vt:variant>
      <vt:variant>
        <vt:i4>5</vt:i4>
      </vt:variant>
      <vt:variant>
        <vt:lpwstr>https://pda.energydataweb.com/</vt:lpwstr>
      </vt:variant>
      <vt:variant>
        <vt:lpwstr>!/documents/3909/view</vt:lpwstr>
      </vt:variant>
      <vt:variant>
        <vt:i4>2490407</vt:i4>
      </vt:variant>
      <vt:variant>
        <vt:i4>810</vt:i4>
      </vt:variant>
      <vt:variant>
        <vt:i4>0</vt:i4>
      </vt:variant>
      <vt:variant>
        <vt:i4>5</vt:i4>
      </vt:variant>
      <vt:variant>
        <vt:lpwstr>https://pda.energydataweb.com/</vt:lpwstr>
      </vt:variant>
      <vt:variant>
        <vt:lpwstr>!/documents/3992/view</vt:lpwstr>
      </vt:variant>
      <vt:variant>
        <vt:i4>2424874</vt:i4>
      </vt:variant>
      <vt:variant>
        <vt:i4>807</vt:i4>
      </vt:variant>
      <vt:variant>
        <vt:i4>0</vt:i4>
      </vt:variant>
      <vt:variant>
        <vt:i4>5</vt:i4>
      </vt:variant>
      <vt:variant>
        <vt:lpwstr>https://pda.energydataweb.com/</vt:lpwstr>
      </vt:variant>
      <vt:variant>
        <vt:lpwstr>!/documents/3941/view</vt:lpwstr>
      </vt:variant>
      <vt:variant>
        <vt:i4>2097197</vt:i4>
      </vt:variant>
      <vt:variant>
        <vt:i4>804</vt:i4>
      </vt:variant>
      <vt:variant>
        <vt:i4>0</vt:i4>
      </vt:variant>
      <vt:variant>
        <vt:i4>5</vt:i4>
      </vt:variant>
      <vt:variant>
        <vt:lpwstr>https://pda.energydataweb.com/</vt:lpwstr>
      </vt:variant>
      <vt:variant>
        <vt:lpwstr>!/documents/3934/view</vt:lpwstr>
      </vt:variant>
      <vt:variant>
        <vt:i4>2228262</vt:i4>
      </vt:variant>
      <vt:variant>
        <vt:i4>801</vt:i4>
      </vt:variant>
      <vt:variant>
        <vt:i4>0</vt:i4>
      </vt:variant>
      <vt:variant>
        <vt:i4>5</vt:i4>
      </vt:variant>
      <vt:variant>
        <vt:lpwstr>https://pda.energydataweb.com/</vt:lpwstr>
      </vt:variant>
      <vt:variant>
        <vt:lpwstr>!/documents/2798/view</vt:lpwstr>
      </vt:variant>
      <vt:variant>
        <vt:i4>2555951</vt:i4>
      </vt:variant>
      <vt:variant>
        <vt:i4>798</vt:i4>
      </vt:variant>
      <vt:variant>
        <vt:i4>0</vt:i4>
      </vt:variant>
      <vt:variant>
        <vt:i4>5</vt:i4>
      </vt:variant>
      <vt:variant>
        <vt:lpwstr>https://pda.energydataweb.com/</vt:lpwstr>
      </vt:variant>
      <vt:variant>
        <vt:lpwstr>!/documents/2802/view</vt:lpwstr>
      </vt:variant>
      <vt:variant>
        <vt:i4>2293807</vt:i4>
      </vt:variant>
      <vt:variant>
        <vt:i4>795</vt:i4>
      </vt:variant>
      <vt:variant>
        <vt:i4>0</vt:i4>
      </vt:variant>
      <vt:variant>
        <vt:i4>5</vt:i4>
      </vt:variant>
      <vt:variant>
        <vt:lpwstr>https://pda.energydataweb.com/</vt:lpwstr>
      </vt:variant>
      <vt:variant>
        <vt:lpwstr>!/documents/2806/view</vt:lpwstr>
      </vt:variant>
      <vt:variant>
        <vt:i4>2424878</vt:i4>
      </vt:variant>
      <vt:variant>
        <vt:i4>792</vt:i4>
      </vt:variant>
      <vt:variant>
        <vt:i4>0</vt:i4>
      </vt:variant>
      <vt:variant>
        <vt:i4>5</vt:i4>
      </vt:variant>
      <vt:variant>
        <vt:lpwstr>https://pda.energydataweb.com/</vt:lpwstr>
      </vt:variant>
      <vt:variant>
        <vt:lpwstr>!/documents/2810/view</vt:lpwstr>
      </vt:variant>
      <vt:variant>
        <vt:i4>2555944</vt:i4>
      </vt:variant>
      <vt:variant>
        <vt:i4>789</vt:i4>
      </vt:variant>
      <vt:variant>
        <vt:i4>0</vt:i4>
      </vt:variant>
      <vt:variant>
        <vt:i4>5</vt:i4>
      </vt:variant>
      <vt:variant>
        <vt:lpwstr>https://pda.energydataweb.com/</vt:lpwstr>
      </vt:variant>
      <vt:variant>
        <vt:lpwstr>!/documents/3862/view</vt:lpwstr>
      </vt:variant>
      <vt:variant>
        <vt:i4>2949160</vt:i4>
      </vt:variant>
      <vt:variant>
        <vt:i4>786</vt:i4>
      </vt:variant>
      <vt:variant>
        <vt:i4>0</vt:i4>
      </vt:variant>
      <vt:variant>
        <vt:i4>5</vt:i4>
      </vt:variant>
      <vt:variant>
        <vt:lpwstr>https://pda.energydataweb.com/</vt:lpwstr>
      </vt:variant>
      <vt:variant>
        <vt:lpwstr>!/documents/3868/view</vt:lpwstr>
      </vt:variant>
      <vt:variant>
        <vt:i4>2949166</vt:i4>
      </vt:variant>
      <vt:variant>
        <vt:i4>783</vt:i4>
      </vt:variant>
      <vt:variant>
        <vt:i4>0</vt:i4>
      </vt:variant>
      <vt:variant>
        <vt:i4>5</vt:i4>
      </vt:variant>
      <vt:variant>
        <vt:lpwstr>https://pda.energydataweb.com/</vt:lpwstr>
      </vt:variant>
      <vt:variant>
        <vt:lpwstr>!/documents/3909/view</vt:lpwstr>
      </vt:variant>
      <vt:variant>
        <vt:i4>2031665</vt:i4>
      </vt:variant>
      <vt:variant>
        <vt:i4>542</vt:i4>
      </vt:variant>
      <vt:variant>
        <vt:i4>0</vt:i4>
      </vt:variant>
      <vt:variant>
        <vt:i4>5</vt:i4>
      </vt:variant>
      <vt:variant>
        <vt:lpwstr/>
      </vt:variant>
      <vt:variant>
        <vt:lpwstr>_Toc185271239</vt:lpwstr>
      </vt:variant>
      <vt:variant>
        <vt:i4>2031665</vt:i4>
      </vt:variant>
      <vt:variant>
        <vt:i4>536</vt:i4>
      </vt:variant>
      <vt:variant>
        <vt:i4>0</vt:i4>
      </vt:variant>
      <vt:variant>
        <vt:i4>5</vt:i4>
      </vt:variant>
      <vt:variant>
        <vt:lpwstr/>
      </vt:variant>
      <vt:variant>
        <vt:lpwstr>_Toc185271238</vt:lpwstr>
      </vt:variant>
      <vt:variant>
        <vt:i4>2031665</vt:i4>
      </vt:variant>
      <vt:variant>
        <vt:i4>530</vt:i4>
      </vt:variant>
      <vt:variant>
        <vt:i4>0</vt:i4>
      </vt:variant>
      <vt:variant>
        <vt:i4>5</vt:i4>
      </vt:variant>
      <vt:variant>
        <vt:lpwstr/>
      </vt:variant>
      <vt:variant>
        <vt:lpwstr>_Toc185271237</vt:lpwstr>
      </vt:variant>
      <vt:variant>
        <vt:i4>1638450</vt:i4>
      </vt:variant>
      <vt:variant>
        <vt:i4>521</vt:i4>
      </vt:variant>
      <vt:variant>
        <vt:i4>0</vt:i4>
      </vt:variant>
      <vt:variant>
        <vt:i4>5</vt:i4>
      </vt:variant>
      <vt:variant>
        <vt:lpwstr/>
      </vt:variant>
      <vt:variant>
        <vt:lpwstr>_Toc185273177</vt:lpwstr>
      </vt:variant>
      <vt:variant>
        <vt:i4>1638450</vt:i4>
      </vt:variant>
      <vt:variant>
        <vt:i4>515</vt:i4>
      </vt:variant>
      <vt:variant>
        <vt:i4>0</vt:i4>
      </vt:variant>
      <vt:variant>
        <vt:i4>5</vt:i4>
      </vt:variant>
      <vt:variant>
        <vt:lpwstr/>
      </vt:variant>
      <vt:variant>
        <vt:lpwstr>_Toc185273176</vt:lpwstr>
      </vt:variant>
      <vt:variant>
        <vt:i4>1638450</vt:i4>
      </vt:variant>
      <vt:variant>
        <vt:i4>509</vt:i4>
      </vt:variant>
      <vt:variant>
        <vt:i4>0</vt:i4>
      </vt:variant>
      <vt:variant>
        <vt:i4>5</vt:i4>
      </vt:variant>
      <vt:variant>
        <vt:lpwstr/>
      </vt:variant>
      <vt:variant>
        <vt:lpwstr>_Toc185273175</vt:lpwstr>
      </vt:variant>
      <vt:variant>
        <vt:i4>1638450</vt:i4>
      </vt:variant>
      <vt:variant>
        <vt:i4>503</vt:i4>
      </vt:variant>
      <vt:variant>
        <vt:i4>0</vt:i4>
      </vt:variant>
      <vt:variant>
        <vt:i4>5</vt:i4>
      </vt:variant>
      <vt:variant>
        <vt:lpwstr/>
      </vt:variant>
      <vt:variant>
        <vt:lpwstr>_Toc185273174</vt:lpwstr>
      </vt:variant>
      <vt:variant>
        <vt:i4>1638450</vt:i4>
      </vt:variant>
      <vt:variant>
        <vt:i4>497</vt:i4>
      </vt:variant>
      <vt:variant>
        <vt:i4>0</vt:i4>
      </vt:variant>
      <vt:variant>
        <vt:i4>5</vt:i4>
      </vt:variant>
      <vt:variant>
        <vt:lpwstr/>
      </vt:variant>
      <vt:variant>
        <vt:lpwstr>_Toc185273173</vt:lpwstr>
      </vt:variant>
      <vt:variant>
        <vt:i4>1638450</vt:i4>
      </vt:variant>
      <vt:variant>
        <vt:i4>491</vt:i4>
      </vt:variant>
      <vt:variant>
        <vt:i4>0</vt:i4>
      </vt:variant>
      <vt:variant>
        <vt:i4>5</vt:i4>
      </vt:variant>
      <vt:variant>
        <vt:lpwstr/>
      </vt:variant>
      <vt:variant>
        <vt:lpwstr>_Toc185273172</vt:lpwstr>
      </vt:variant>
      <vt:variant>
        <vt:i4>1638450</vt:i4>
      </vt:variant>
      <vt:variant>
        <vt:i4>485</vt:i4>
      </vt:variant>
      <vt:variant>
        <vt:i4>0</vt:i4>
      </vt:variant>
      <vt:variant>
        <vt:i4>5</vt:i4>
      </vt:variant>
      <vt:variant>
        <vt:lpwstr/>
      </vt:variant>
      <vt:variant>
        <vt:lpwstr>_Toc185273171</vt:lpwstr>
      </vt:variant>
      <vt:variant>
        <vt:i4>1638450</vt:i4>
      </vt:variant>
      <vt:variant>
        <vt:i4>479</vt:i4>
      </vt:variant>
      <vt:variant>
        <vt:i4>0</vt:i4>
      </vt:variant>
      <vt:variant>
        <vt:i4>5</vt:i4>
      </vt:variant>
      <vt:variant>
        <vt:lpwstr/>
      </vt:variant>
      <vt:variant>
        <vt:lpwstr>_Toc185273170</vt:lpwstr>
      </vt:variant>
      <vt:variant>
        <vt:i4>1572914</vt:i4>
      </vt:variant>
      <vt:variant>
        <vt:i4>473</vt:i4>
      </vt:variant>
      <vt:variant>
        <vt:i4>0</vt:i4>
      </vt:variant>
      <vt:variant>
        <vt:i4>5</vt:i4>
      </vt:variant>
      <vt:variant>
        <vt:lpwstr/>
      </vt:variant>
      <vt:variant>
        <vt:lpwstr>_Toc185273169</vt:lpwstr>
      </vt:variant>
      <vt:variant>
        <vt:i4>1572914</vt:i4>
      </vt:variant>
      <vt:variant>
        <vt:i4>467</vt:i4>
      </vt:variant>
      <vt:variant>
        <vt:i4>0</vt:i4>
      </vt:variant>
      <vt:variant>
        <vt:i4>5</vt:i4>
      </vt:variant>
      <vt:variant>
        <vt:lpwstr/>
      </vt:variant>
      <vt:variant>
        <vt:lpwstr>_Toc185273168</vt:lpwstr>
      </vt:variant>
      <vt:variant>
        <vt:i4>1572914</vt:i4>
      </vt:variant>
      <vt:variant>
        <vt:i4>461</vt:i4>
      </vt:variant>
      <vt:variant>
        <vt:i4>0</vt:i4>
      </vt:variant>
      <vt:variant>
        <vt:i4>5</vt:i4>
      </vt:variant>
      <vt:variant>
        <vt:lpwstr/>
      </vt:variant>
      <vt:variant>
        <vt:lpwstr>_Toc185273167</vt:lpwstr>
      </vt:variant>
      <vt:variant>
        <vt:i4>1572914</vt:i4>
      </vt:variant>
      <vt:variant>
        <vt:i4>455</vt:i4>
      </vt:variant>
      <vt:variant>
        <vt:i4>0</vt:i4>
      </vt:variant>
      <vt:variant>
        <vt:i4>5</vt:i4>
      </vt:variant>
      <vt:variant>
        <vt:lpwstr/>
      </vt:variant>
      <vt:variant>
        <vt:lpwstr>_Toc185273166</vt:lpwstr>
      </vt:variant>
      <vt:variant>
        <vt:i4>1572914</vt:i4>
      </vt:variant>
      <vt:variant>
        <vt:i4>449</vt:i4>
      </vt:variant>
      <vt:variant>
        <vt:i4>0</vt:i4>
      </vt:variant>
      <vt:variant>
        <vt:i4>5</vt:i4>
      </vt:variant>
      <vt:variant>
        <vt:lpwstr/>
      </vt:variant>
      <vt:variant>
        <vt:lpwstr>_Toc185273165</vt:lpwstr>
      </vt:variant>
      <vt:variant>
        <vt:i4>1572914</vt:i4>
      </vt:variant>
      <vt:variant>
        <vt:i4>443</vt:i4>
      </vt:variant>
      <vt:variant>
        <vt:i4>0</vt:i4>
      </vt:variant>
      <vt:variant>
        <vt:i4>5</vt:i4>
      </vt:variant>
      <vt:variant>
        <vt:lpwstr/>
      </vt:variant>
      <vt:variant>
        <vt:lpwstr>_Toc185273164</vt:lpwstr>
      </vt:variant>
      <vt:variant>
        <vt:i4>1572914</vt:i4>
      </vt:variant>
      <vt:variant>
        <vt:i4>437</vt:i4>
      </vt:variant>
      <vt:variant>
        <vt:i4>0</vt:i4>
      </vt:variant>
      <vt:variant>
        <vt:i4>5</vt:i4>
      </vt:variant>
      <vt:variant>
        <vt:lpwstr/>
      </vt:variant>
      <vt:variant>
        <vt:lpwstr>_Toc185273163</vt:lpwstr>
      </vt:variant>
      <vt:variant>
        <vt:i4>1572914</vt:i4>
      </vt:variant>
      <vt:variant>
        <vt:i4>431</vt:i4>
      </vt:variant>
      <vt:variant>
        <vt:i4>0</vt:i4>
      </vt:variant>
      <vt:variant>
        <vt:i4>5</vt:i4>
      </vt:variant>
      <vt:variant>
        <vt:lpwstr/>
      </vt:variant>
      <vt:variant>
        <vt:lpwstr>_Toc185273162</vt:lpwstr>
      </vt:variant>
      <vt:variant>
        <vt:i4>1572914</vt:i4>
      </vt:variant>
      <vt:variant>
        <vt:i4>425</vt:i4>
      </vt:variant>
      <vt:variant>
        <vt:i4>0</vt:i4>
      </vt:variant>
      <vt:variant>
        <vt:i4>5</vt:i4>
      </vt:variant>
      <vt:variant>
        <vt:lpwstr/>
      </vt:variant>
      <vt:variant>
        <vt:lpwstr>_Toc185273161</vt:lpwstr>
      </vt:variant>
      <vt:variant>
        <vt:i4>1572914</vt:i4>
      </vt:variant>
      <vt:variant>
        <vt:i4>419</vt:i4>
      </vt:variant>
      <vt:variant>
        <vt:i4>0</vt:i4>
      </vt:variant>
      <vt:variant>
        <vt:i4>5</vt:i4>
      </vt:variant>
      <vt:variant>
        <vt:lpwstr/>
      </vt:variant>
      <vt:variant>
        <vt:lpwstr>_Toc185273160</vt:lpwstr>
      </vt:variant>
      <vt:variant>
        <vt:i4>1769522</vt:i4>
      </vt:variant>
      <vt:variant>
        <vt:i4>413</vt:i4>
      </vt:variant>
      <vt:variant>
        <vt:i4>0</vt:i4>
      </vt:variant>
      <vt:variant>
        <vt:i4>5</vt:i4>
      </vt:variant>
      <vt:variant>
        <vt:lpwstr/>
      </vt:variant>
      <vt:variant>
        <vt:lpwstr>_Toc185273159</vt:lpwstr>
      </vt:variant>
      <vt:variant>
        <vt:i4>1769522</vt:i4>
      </vt:variant>
      <vt:variant>
        <vt:i4>407</vt:i4>
      </vt:variant>
      <vt:variant>
        <vt:i4>0</vt:i4>
      </vt:variant>
      <vt:variant>
        <vt:i4>5</vt:i4>
      </vt:variant>
      <vt:variant>
        <vt:lpwstr/>
      </vt:variant>
      <vt:variant>
        <vt:lpwstr>_Toc185273158</vt:lpwstr>
      </vt:variant>
      <vt:variant>
        <vt:i4>1769522</vt:i4>
      </vt:variant>
      <vt:variant>
        <vt:i4>401</vt:i4>
      </vt:variant>
      <vt:variant>
        <vt:i4>0</vt:i4>
      </vt:variant>
      <vt:variant>
        <vt:i4>5</vt:i4>
      </vt:variant>
      <vt:variant>
        <vt:lpwstr/>
      </vt:variant>
      <vt:variant>
        <vt:lpwstr>_Toc185273157</vt:lpwstr>
      </vt:variant>
      <vt:variant>
        <vt:i4>1769522</vt:i4>
      </vt:variant>
      <vt:variant>
        <vt:i4>395</vt:i4>
      </vt:variant>
      <vt:variant>
        <vt:i4>0</vt:i4>
      </vt:variant>
      <vt:variant>
        <vt:i4>5</vt:i4>
      </vt:variant>
      <vt:variant>
        <vt:lpwstr/>
      </vt:variant>
      <vt:variant>
        <vt:lpwstr>_Toc185273156</vt:lpwstr>
      </vt:variant>
      <vt:variant>
        <vt:i4>1769522</vt:i4>
      </vt:variant>
      <vt:variant>
        <vt:i4>389</vt:i4>
      </vt:variant>
      <vt:variant>
        <vt:i4>0</vt:i4>
      </vt:variant>
      <vt:variant>
        <vt:i4>5</vt:i4>
      </vt:variant>
      <vt:variant>
        <vt:lpwstr/>
      </vt:variant>
      <vt:variant>
        <vt:lpwstr>_Toc185273155</vt:lpwstr>
      </vt:variant>
      <vt:variant>
        <vt:i4>1769522</vt:i4>
      </vt:variant>
      <vt:variant>
        <vt:i4>383</vt:i4>
      </vt:variant>
      <vt:variant>
        <vt:i4>0</vt:i4>
      </vt:variant>
      <vt:variant>
        <vt:i4>5</vt:i4>
      </vt:variant>
      <vt:variant>
        <vt:lpwstr/>
      </vt:variant>
      <vt:variant>
        <vt:lpwstr>_Toc185273154</vt:lpwstr>
      </vt:variant>
      <vt:variant>
        <vt:i4>1769522</vt:i4>
      </vt:variant>
      <vt:variant>
        <vt:i4>377</vt:i4>
      </vt:variant>
      <vt:variant>
        <vt:i4>0</vt:i4>
      </vt:variant>
      <vt:variant>
        <vt:i4>5</vt:i4>
      </vt:variant>
      <vt:variant>
        <vt:lpwstr/>
      </vt:variant>
      <vt:variant>
        <vt:lpwstr>_Toc185273153</vt:lpwstr>
      </vt:variant>
      <vt:variant>
        <vt:i4>1769522</vt:i4>
      </vt:variant>
      <vt:variant>
        <vt:i4>371</vt:i4>
      </vt:variant>
      <vt:variant>
        <vt:i4>0</vt:i4>
      </vt:variant>
      <vt:variant>
        <vt:i4>5</vt:i4>
      </vt:variant>
      <vt:variant>
        <vt:lpwstr/>
      </vt:variant>
      <vt:variant>
        <vt:lpwstr>_Toc185273152</vt:lpwstr>
      </vt:variant>
      <vt:variant>
        <vt:i4>1900593</vt:i4>
      </vt:variant>
      <vt:variant>
        <vt:i4>362</vt:i4>
      </vt:variant>
      <vt:variant>
        <vt:i4>0</vt:i4>
      </vt:variant>
      <vt:variant>
        <vt:i4>5</vt:i4>
      </vt:variant>
      <vt:variant>
        <vt:lpwstr/>
      </vt:variant>
      <vt:variant>
        <vt:lpwstr>_Toc185271210</vt:lpwstr>
      </vt:variant>
      <vt:variant>
        <vt:i4>1835057</vt:i4>
      </vt:variant>
      <vt:variant>
        <vt:i4>356</vt:i4>
      </vt:variant>
      <vt:variant>
        <vt:i4>0</vt:i4>
      </vt:variant>
      <vt:variant>
        <vt:i4>5</vt:i4>
      </vt:variant>
      <vt:variant>
        <vt:lpwstr/>
      </vt:variant>
      <vt:variant>
        <vt:lpwstr>_Toc185271209</vt:lpwstr>
      </vt:variant>
      <vt:variant>
        <vt:i4>1835057</vt:i4>
      </vt:variant>
      <vt:variant>
        <vt:i4>350</vt:i4>
      </vt:variant>
      <vt:variant>
        <vt:i4>0</vt:i4>
      </vt:variant>
      <vt:variant>
        <vt:i4>5</vt:i4>
      </vt:variant>
      <vt:variant>
        <vt:lpwstr/>
      </vt:variant>
      <vt:variant>
        <vt:lpwstr>_Toc185271208</vt:lpwstr>
      </vt:variant>
      <vt:variant>
        <vt:i4>1835057</vt:i4>
      </vt:variant>
      <vt:variant>
        <vt:i4>344</vt:i4>
      </vt:variant>
      <vt:variant>
        <vt:i4>0</vt:i4>
      </vt:variant>
      <vt:variant>
        <vt:i4>5</vt:i4>
      </vt:variant>
      <vt:variant>
        <vt:lpwstr/>
      </vt:variant>
      <vt:variant>
        <vt:lpwstr>_Toc185271207</vt:lpwstr>
      </vt:variant>
      <vt:variant>
        <vt:i4>1835057</vt:i4>
      </vt:variant>
      <vt:variant>
        <vt:i4>338</vt:i4>
      </vt:variant>
      <vt:variant>
        <vt:i4>0</vt:i4>
      </vt:variant>
      <vt:variant>
        <vt:i4>5</vt:i4>
      </vt:variant>
      <vt:variant>
        <vt:lpwstr/>
      </vt:variant>
      <vt:variant>
        <vt:lpwstr>_Toc185271206</vt:lpwstr>
      </vt:variant>
      <vt:variant>
        <vt:i4>1835057</vt:i4>
      </vt:variant>
      <vt:variant>
        <vt:i4>332</vt:i4>
      </vt:variant>
      <vt:variant>
        <vt:i4>0</vt:i4>
      </vt:variant>
      <vt:variant>
        <vt:i4>5</vt:i4>
      </vt:variant>
      <vt:variant>
        <vt:lpwstr/>
      </vt:variant>
      <vt:variant>
        <vt:lpwstr>_Toc185271205</vt:lpwstr>
      </vt:variant>
      <vt:variant>
        <vt:i4>1835057</vt:i4>
      </vt:variant>
      <vt:variant>
        <vt:i4>326</vt:i4>
      </vt:variant>
      <vt:variant>
        <vt:i4>0</vt:i4>
      </vt:variant>
      <vt:variant>
        <vt:i4>5</vt:i4>
      </vt:variant>
      <vt:variant>
        <vt:lpwstr/>
      </vt:variant>
      <vt:variant>
        <vt:lpwstr>_Toc185271204</vt:lpwstr>
      </vt:variant>
      <vt:variant>
        <vt:i4>1835057</vt:i4>
      </vt:variant>
      <vt:variant>
        <vt:i4>320</vt:i4>
      </vt:variant>
      <vt:variant>
        <vt:i4>0</vt:i4>
      </vt:variant>
      <vt:variant>
        <vt:i4>5</vt:i4>
      </vt:variant>
      <vt:variant>
        <vt:lpwstr/>
      </vt:variant>
      <vt:variant>
        <vt:lpwstr>_Toc185271203</vt:lpwstr>
      </vt:variant>
      <vt:variant>
        <vt:i4>1835057</vt:i4>
      </vt:variant>
      <vt:variant>
        <vt:i4>314</vt:i4>
      </vt:variant>
      <vt:variant>
        <vt:i4>0</vt:i4>
      </vt:variant>
      <vt:variant>
        <vt:i4>5</vt:i4>
      </vt:variant>
      <vt:variant>
        <vt:lpwstr/>
      </vt:variant>
      <vt:variant>
        <vt:lpwstr>_Toc185271202</vt:lpwstr>
      </vt:variant>
      <vt:variant>
        <vt:i4>1835057</vt:i4>
      </vt:variant>
      <vt:variant>
        <vt:i4>308</vt:i4>
      </vt:variant>
      <vt:variant>
        <vt:i4>0</vt:i4>
      </vt:variant>
      <vt:variant>
        <vt:i4>5</vt:i4>
      </vt:variant>
      <vt:variant>
        <vt:lpwstr/>
      </vt:variant>
      <vt:variant>
        <vt:lpwstr>_Toc185271201</vt:lpwstr>
      </vt:variant>
      <vt:variant>
        <vt:i4>1835057</vt:i4>
      </vt:variant>
      <vt:variant>
        <vt:i4>302</vt:i4>
      </vt:variant>
      <vt:variant>
        <vt:i4>0</vt:i4>
      </vt:variant>
      <vt:variant>
        <vt:i4>5</vt:i4>
      </vt:variant>
      <vt:variant>
        <vt:lpwstr/>
      </vt:variant>
      <vt:variant>
        <vt:lpwstr>_Toc185271200</vt:lpwstr>
      </vt:variant>
      <vt:variant>
        <vt:i4>1376306</vt:i4>
      </vt:variant>
      <vt:variant>
        <vt:i4>296</vt:i4>
      </vt:variant>
      <vt:variant>
        <vt:i4>0</vt:i4>
      </vt:variant>
      <vt:variant>
        <vt:i4>5</vt:i4>
      </vt:variant>
      <vt:variant>
        <vt:lpwstr/>
      </vt:variant>
      <vt:variant>
        <vt:lpwstr>_Toc185271199</vt:lpwstr>
      </vt:variant>
      <vt:variant>
        <vt:i4>1376306</vt:i4>
      </vt:variant>
      <vt:variant>
        <vt:i4>290</vt:i4>
      </vt:variant>
      <vt:variant>
        <vt:i4>0</vt:i4>
      </vt:variant>
      <vt:variant>
        <vt:i4>5</vt:i4>
      </vt:variant>
      <vt:variant>
        <vt:lpwstr/>
      </vt:variant>
      <vt:variant>
        <vt:lpwstr>_Toc185271198</vt:lpwstr>
      </vt:variant>
      <vt:variant>
        <vt:i4>1376306</vt:i4>
      </vt:variant>
      <vt:variant>
        <vt:i4>284</vt:i4>
      </vt:variant>
      <vt:variant>
        <vt:i4>0</vt:i4>
      </vt:variant>
      <vt:variant>
        <vt:i4>5</vt:i4>
      </vt:variant>
      <vt:variant>
        <vt:lpwstr/>
      </vt:variant>
      <vt:variant>
        <vt:lpwstr>_Toc185271197</vt:lpwstr>
      </vt:variant>
      <vt:variant>
        <vt:i4>1376306</vt:i4>
      </vt:variant>
      <vt:variant>
        <vt:i4>278</vt:i4>
      </vt:variant>
      <vt:variant>
        <vt:i4>0</vt:i4>
      </vt:variant>
      <vt:variant>
        <vt:i4>5</vt:i4>
      </vt:variant>
      <vt:variant>
        <vt:lpwstr/>
      </vt:variant>
      <vt:variant>
        <vt:lpwstr>_Toc185271196</vt:lpwstr>
      </vt:variant>
      <vt:variant>
        <vt:i4>1376306</vt:i4>
      </vt:variant>
      <vt:variant>
        <vt:i4>272</vt:i4>
      </vt:variant>
      <vt:variant>
        <vt:i4>0</vt:i4>
      </vt:variant>
      <vt:variant>
        <vt:i4>5</vt:i4>
      </vt:variant>
      <vt:variant>
        <vt:lpwstr/>
      </vt:variant>
      <vt:variant>
        <vt:lpwstr>_Toc185271195</vt:lpwstr>
      </vt:variant>
      <vt:variant>
        <vt:i4>1376306</vt:i4>
      </vt:variant>
      <vt:variant>
        <vt:i4>266</vt:i4>
      </vt:variant>
      <vt:variant>
        <vt:i4>0</vt:i4>
      </vt:variant>
      <vt:variant>
        <vt:i4>5</vt:i4>
      </vt:variant>
      <vt:variant>
        <vt:lpwstr/>
      </vt:variant>
      <vt:variant>
        <vt:lpwstr>_Toc185271194</vt:lpwstr>
      </vt:variant>
      <vt:variant>
        <vt:i4>1376306</vt:i4>
      </vt:variant>
      <vt:variant>
        <vt:i4>260</vt:i4>
      </vt:variant>
      <vt:variant>
        <vt:i4>0</vt:i4>
      </vt:variant>
      <vt:variant>
        <vt:i4>5</vt:i4>
      </vt:variant>
      <vt:variant>
        <vt:lpwstr/>
      </vt:variant>
      <vt:variant>
        <vt:lpwstr>_Toc185271193</vt:lpwstr>
      </vt:variant>
      <vt:variant>
        <vt:i4>1376306</vt:i4>
      </vt:variant>
      <vt:variant>
        <vt:i4>254</vt:i4>
      </vt:variant>
      <vt:variant>
        <vt:i4>0</vt:i4>
      </vt:variant>
      <vt:variant>
        <vt:i4>5</vt:i4>
      </vt:variant>
      <vt:variant>
        <vt:lpwstr/>
      </vt:variant>
      <vt:variant>
        <vt:lpwstr>_Toc185271192</vt:lpwstr>
      </vt:variant>
      <vt:variant>
        <vt:i4>1376306</vt:i4>
      </vt:variant>
      <vt:variant>
        <vt:i4>248</vt:i4>
      </vt:variant>
      <vt:variant>
        <vt:i4>0</vt:i4>
      </vt:variant>
      <vt:variant>
        <vt:i4>5</vt:i4>
      </vt:variant>
      <vt:variant>
        <vt:lpwstr/>
      </vt:variant>
      <vt:variant>
        <vt:lpwstr>_Toc185271191</vt:lpwstr>
      </vt:variant>
      <vt:variant>
        <vt:i4>1376306</vt:i4>
      </vt:variant>
      <vt:variant>
        <vt:i4>242</vt:i4>
      </vt:variant>
      <vt:variant>
        <vt:i4>0</vt:i4>
      </vt:variant>
      <vt:variant>
        <vt:i4>5</vt:i4>
      </vt:variant>
      <vt:variant>
        <vt:lpwstr/>
      </vt:variant>
      <vt:variant>
        <vt:lpwstr>_Toc185271190</vt:lpwstr>
      </vt:variant>
      <vt:variant>
        <vt:i4>1310770</vt:i4>
      </vt:variant>
      <vt:variant>
        <vt:i4>236</vt:i4>
      </vt:variant>
      <vt:variant>
        <vt:i4>0</vt:i4>
      </vt:variant>
      <vt:variant>
        <vt:i4>5</vt:i4>
      </vt:variant>
      <vt:variant>
        <vt:lpwstr/>
      </vt:variant>
      <vt:variant>
        <vt:lpwstr>_Toc185271189</vt:lpwstr>
      </vt:variant>
      <vt:variant>
        <vt:i4>1310770</vt:i4>
      </vt:variant>
      <vt:variant>
        <vt:i4>230</vt:i4>
      </vt:variant>
      <vt:variant>
        <vt:i4>0</vt:i4>
      </vt:variant>
      <vt:variant>
        <vt:i4>5</vt:i4>
      </vt:variant>
      <vt:variant>
        <vt:lpwstr/>
      </vt:variant>
      <vt:variant>
        <vt:lpwstr>_Toc185271188</vt:lpwstr>
      </vt:variant>
      <vt:variant>
        <vt:i4>1310770</vt:i4>
      </vt:variant>
      <vt:variant>
        <vt:i4>224</vt:i4>
      </vt:variant>
      <vt:variant>
        <vt:i4>0</vt:i4>
      </vt:variant>
      <vt:variant>
        <vt:i4>5</vt:i4>
      </vt:variant>
      <vt:variant>
        <vt:lpwstr/>
      </vt:variant>
      <vt:variant>
        <vt:lpwstr>_Toc185271187</vt:lpwstr>
      </vt:variant>
      <vt:variant>
        <vt:i4>1310770</vt:i4>
      </vt:variant>
      <vt:variant>
        <vt:i4>218</vt:i4>
      </vt:variant>
      <vt:variant>
        <vt:i4>0</vt:i4>
      </vt:variant>
      <vt:variant>
        <vt:i4>5</vt:i4>
      </vt:variant>
      <vt:variant>
        <vt:lpwstr/>
      </vt:variant>
      <vt:variant>
        <vt:lpwstr>_Toc185271186</vt:lpwstr>
      </vt:variant>
      <vt:variant>
        <vt:i4>1310770</vt:i4>
      </vt:variant>
      <vt:variant>
        <vt:i4>212</vt:i4>
      </vt:variant>
      <vt:variant>
        <vt:i4>0</vt:i4>
      </vt:variant>
      <vt:variant>
        <vt:i4>5</vt:i4>
      </vt:variant>
      <vt:variant>
        <vt:lpwstr/>
      </vt:variant>
      <vt:variant>
        <vt:lpwstr>_Toc185271185</vt:lpwstr>
      </vt:variant>
      <vt:variant>
        <vt:i4>1310770</vt:i4>
      </vt:variant>
      <vt:variant>
        <vt:i4>206</vt:i4>
      </vt:variant>
      <vt:variant>
        <vt:i4>0</vt:i4>
      </vt:variant>
      <vt:variant>
        <vt:i4>5</vt:i4>
      </vt:variant>
      <vt:variant>
        <vt:lpwstr/>
      </vt:variant>
      <vt:variant>
        <vt:lpwstr>_Toc185271184</vt:lpwstr>
      </vt:variant>
      <vt:variant>
        <vt:i4>1310770</vt:i4>
      </vt:variant>
      <vt:variant>
        <vt:i4>200</vt:i4>
      </vt:variant>
      <vt:variant>
        <vt:i4>0</vt:i4>
      </vt:variant>
      <vt:variant>
        <vt:i4>5</vt:i4>
      </vt:variant>
      <vt:variant>
        <vt:lpwstr/>
      </vt:variant>
      <vt:variant>
        <vt:lpwstr>_Toc185271183</vt:lpwstr>
      </vt:variant>
      <vt:variant>
        <vt:i4>1310770</vt:i4>
      </vt:variant>
      <vt:variant>
        <vt:i4>194</vt:i4>
      </vt:variant>
      <vt:variant>
        <vt:i4>0</vt:i4>
      </vt:variant>
      <vt:variant>
        <vt:i4>5</vt:i4>
      </vt:variant>
      <vt:variant>
        <vt:lpwstr/>
      </vt:variant>
      <vt:variant>
        <vt:lpwstr>_Toc185271182</vt:lpwstr>
      </vt:variant>
      <vt:variant>
        <vt:i4>1310770</vt:i4>
      </vt:variant>
      <vt:variant>
        <vt:i4>188</vt:i4>
      </vt:variant>
      <vt:variant>
        <vt:i4>0</vt:i4>
      </vt:variant>
      <vt:variant>
        <vt:i4>5</vt:i4>
      </vt:variant>
      <vt:variant>
        <vt:lpwstr/>
      </vt:variant>
      <vt:variant>
        <vt:lpwstr>_Toc185271181</vt:lpwstr>
      </vt:variant>
      <vt:variant>
        <vt:i4>1310770</vt:i4>
      </vt:variant>
      <vt:variant>
        <vt:i4>182</vt:i4>
      </vt:variant>
      <vt:variant>
        <vt:i4>0</vt:i4>
      </vt:variant>
      <vt:variant>
        <vt:i4>5</vt:i4>
      </vt:variant>
      <vt:variant>
        <vt:lpwstr/>
      </vt:variant>
      <vt:variant>
        <vt:lpwstr>_Toc185271180</vt:lpwstr>
      </vt:variant>
      <vt:variant>
        <vt:i4>1769522</vt:i4>
      </vt:variant>
      <vt:variant>
        <vt:i4>176</vt:i4>
      </vt:variant>
      <vt:variant>
        <vt:i4>0</vt:i4>
      </vt:variant>
      <vt:variant>
        <vt:i4>5</vt:i4>
      </vt:variant>
      <vt:variant>
        <vt:lpwstr/>
      </vt:variant>
      <vt:variant>
        <vt:lpwstr>_Toc185271179</vt:lpwstr>
      </vt:variant>
      <vt:variant>
        <vt:i4>1769522</vt:i4>
      </vt:variant>
      <vt:variant>
        <vt:i4>170</vt:i4>
      </vt:variant>
      <vt:variant>
        <vt:i4>0</vt:i4>
      </vt:variant>
      <vt:variant>
        <vt:i4>5</vt:i4>
      </vt:variant>
      <vt:variant>
        <vt:lpwstr/>
      </vt:variant>
      <vt:variant>
        <vt:lpwstr>_Toc185271178</vt:lpwstr>
      </vt:variant>
      <vt:variant>
        <vt:i4>1769522</vt:i4>
      </vt:variant>
      <vt:variant>
        <vt:i4>164</vt:i4>
      </vt:variant>
      <vt:variant>
        <vt:i4>0</vt:i4>
      </vt:variant>
      <vt:variant>
        <vt:i4>5</vt:i4>
      </vt:variant>
      <vt:variant>
        <vt:lpwstr/>
      </vt:variant>
      <vt:variant>
        <vt:lpwstr>_Toc185271177</vt:lpwstr>
      </vt:variant>
      <vt:variant>
        <vt:i4>1769522</vt:i4>
      </vt:variant>
      <vt:variant>
        <vt:i4>158</vt:i4>
      </vt:variant>
      <vt:variant>
        <vt:i4>0</vt:i4>
      </vt:variant>
      <vt:variant>
        <vt:i4>5</vt:i4>
      </vt:variant>
      <vt:variant>
        <vt:lpwstr/>
      </vt:variant>
      <vt:variant>
        <vt:lpwstr>_Toc185271176</vt:lpwstr>
      </vt:variant>
      <vt:variant>
        <vt:i4>1769522</vt:i4>
      </vt:variant>
      <vt:variant>
        <vt:i4>152</vt:i4>
      </vt:variant>
      <vt:variant>
        <vt:i4>0</vt:i4>
      </vt:variant>
      <vt:variant>
        <vt:i4>5</vt:i4>
      </vt:variant>
      <vt:variant>
        <vt:lpwstr/>
      </vt:variant>
      <vt:variant>
        <vt:lpwstr>_Toc185271175</vt:lpwstr>
      </vt:variant>
      <vt:variant>
        <vt:i4>1769522</vt:i4>
      </vt:variant>
      <vt:variant>
        <vt:i4>146</vt:i4>
      </vt:variant>
      <vt:variant>
        <vt:i4>0</vt:i4>
      </vt:variant>
      <vt:variant>
        <vt:i4>5</vt:i4>
      </vt:variant>
      <vt:variant>
        <vt:lpwstr/>
      </vt:variant>
      <vt:variant>
        <vt:lpwstr>_Toc185271174</vt:lpwstr>
      </vt:variant>
      <vt:variant>
        <vt:i4>1769522</vt:i4>
      </vt:variant>
      <vt:variant>
        <vt:i4>140</vt:i4>
      </vt:variant>
      <vt:variant>
        <vt:i4>0</vt:i4>
      </vt:variant>
      <vt:variant>
        <vt:i4>5</vt:i4>
      </vt:variant>
      <vt:variant>
        <vt:lpwstr/>
      </vt:variant>
      <vt:variant>
        <vt:lpwstr>_Toc185271173</vt:lpwstr>
      </vt:variant>
      <vt:variant>
        <vt:i4>1769522</vt:i4>
      </vt:variant>
      <vt:variant>
        <vt:i4>134</vt:i4>
      </vt:variant>
      <vt:variant>
        <vt:i4>0</vt:i4>
      </vt:variant>
      <vt:variant>
        <vt:i4>5</vt:i4>
      </vt:variant>
      <vt:variant>
        <vt:lpwstr/>
      </vt:variant>
      <vt:variant>
        <vt:lpwstr>_Toc185271172</vt:lpwstr>
      </vt:variant>
      <vt:variant>
        <vt:i4>1769522</vt:i4>
      </vt:variant>
      <vt:variant>
        <vt:i4>128</vt:i4>
      </vt:variant>
      <vt:variant>
        <vt:i4>0</vt:i4>
      </vt:variant>
      <vt:variant>
        <vt:i4>5</vt:i4>
      </vt:variant>
      <vt:variant>
        <vt:lpwstr/>
      </vt:variant>
      <vt:variant>
        <vt:lpwstr>_Toc185271171</vt:lpwstr>
      </vt:variant>
      <vt:variant>
        <vt:i4>1769522</vt:i4>
      </vt:variant>
      <vt:variant>
        <vt:i4>122</vt:i4>
      </vt:variant>
      <vt:variant>
        <vt:i4>0</vt:i4>
      </vt:variant>
      <vt:variant>
        <vt:i4>5</vt:i4>
      </vt:variant>
      <vt:variant>
        <vt:lpwstr/>
      </vt:variant>
      <vt:variant>
        <vt:lpwstr>_Toc185271170</vt:lpwstr>
      </vt:variant>
      <vt:variant>
        <vt:i4>1703986</vt:i4>
      </vt:variant>
      <vt:variant>
        <vt:i4>116</vt:i4>
      </vt:variant>
      <vt:variant>
        <vt:i4>0</vt:i4>
      </vt:variant>
      <vt:variant>
        <vt:i4>5</vt:i4>
      </vt:variant>
      <vt:variant>
        <vt:lpwstr/>
      </vt:variant>
      <vt:variant>
        <vt:lpwstr>_Toc185271169</vt:lpwstr>
      </vt:variant>
      <vt:variant>
        <vt:i4>1703986</vt:i4>
      </vt:variant>
      <vt:variant>
        <vt:i4>110</vt:i4>
      </vt:variant>
      <vt:variant>
        <vt:i4>0</vt:i4>
      </vt:variant>
      <vt:variant>
        <vt:i4>5</vt:i4>
      </vt:variant>
      <vt:variant>
        <vt:lpwstr/>
      </vt:variant>
      <vt:variant>
        <vt:lpwstr>_Toc185271168</vt:lpwstr>
      </vt:variant>
      <vt:variant>
        <vt:i4>1703986</vt:i4>
      </vt:variant>
      <vt:variant>
        <vt:i4>104</vt:i4>
      </vt:variant>
      <vt:variant>
        <vt:i4>0</vt:i4>
      </vt:variant>
      <vt:variant>
        <vt:i4>5</vt:i4>
      </vt:variant>
      <vt:variant>
        <vt:lpwstr/>
      </vt:variant>
      <vt:variant>
        <vt:lpwstr>_Toc185271167</vt:lpwstr>
      </vt:variant>
      <vt:variant>
        <vt:i4>1703986</vt:i4>
      </vt:variant>
      <vt:variant>
        <vt:i4>98</vt:i4>
      </vt:variant>
      <vt:variant>
        <vt:i4>0</vt:i4>
      </vt:variant>
      <vt:variant>
        <vt:i4>5</vt:i4>
      </vt:variant>
      <vt:variant>
        <vt:lpwstr/>
      </vt:variant>
      <vt:variant>
        <vt:lpwstr>_Toc185271165</vt:lpwstr>
      </vt:variant>
      <vt:variant>
        <vt:i4>1703986</vt:i4>
      </vt:variant>
      <vt:variant>
        <vt:i4>92</vt:i4>
      </vt:variant>
      <vt:variant>
        <vt:i4>0</vt:i4>
      </vt:variant>
      <vt:variant>
        <vt:i4>5</vt:i4>
      </vt:variant>
      <vt:variant>
        <vt:lpwstr/>
      </vt:variant>
      <vt:variant>
        <vt:lpwstr>_Toc185271164</vt:lpwstr>
      </vt:variant>
      <vt:variant>
        <vt:i4>1703986</vt:i4>
      </vt:variant>
      <vt:variant>
        <vt:i4>86</vt:i4>
      </vt:variant>
      <vt:variant>
        <vt:i4>0</vt:i4>
      </vt:variant>
      <vt:variant>
        <vt:i4>5</vt:i4>
      </vt:variant>
      <vt:variant>
        <vt:lpwstr/>
      </vt:variant>
      <vt:variant>
        <vt:lpwstr>_Toc185271163</vt:lpwstr>
      </vt:variant>
      <vt:variant>
        <vt:i4>1703986</vt:i4>
      </vt:variant>
      <vt:variant>
        <vt:i4>80</vt:i4>
      </vt:variant>
      <vt:variant>
        <vt:i4>0</vt:i4>
      </vt:variant>
      <vt:variant>
        <vt:i4>5</vt:i4>
      </vt:variant>
      <vt:variant>
        <vt:lpwstr/>
      </vt:variant>
      <vt:variant>
        <vt:lpwstr>_Toc185271162</vt:lpwstr>
      </vt:variant>
      <vt:variant>
        <vt:i4>1703986</vt:i4>
      </vt:variant>
      <vt:variant>
        <vt:i4>74</vt:i4>
      </vt:variant>
      <vt:variant>
        <vt:i4>0</vt:i4>
      </vt:variant>
      <vt:variant>
        <vt:i4>5</vt:i4>
      </vt:variant>
      <vt:variant>
        <vt:lpwstr/>
      </vt:variant>
      <vt:variant>
        <vt:lpwstr>_Toc185271161</vt:lpwstr>
      </vt:variant>
      <vt:variant>
        <vt:i4>1703986</vt:i4>
      </vt:variant>
      <vt:variant>
        <vt:i4>68</vt:i4>
      </vt:variant>
      <vt:variant>
        <vt:i4>0</vt:i4>
      </vt:variant>
      <vt:variant>
        <vt:i4>5</vt:i4>
      </vt:variant>
      <vt:variant>
        <vt:lpwstr/>
      </vt:variant>
      <vt:variant>
        <vt:lpwstr>_Toc185271160</vt:lpwstr>
      </vt:variant>
      <vt:variant>
        <vt:i4>1638450</vt:i4>
      </vt:variant>
      <vt:variant>
        <vt:i4>62</vt:i4>
      </vt:variant>
      <vt:variant>
        <vt:i4>0</vt:i4>
      </vt:variant>
      <vt:variant>
        <vt:i4>5</vt:i4>
      </vt:variant>
      <vt:variant>
        <vt:lpwstr/>
      </vt:variant>
      <vt:variant>
        <vt:lpwstr>_Toc185271159</vt:lpwstr>
      </vt:variant>
      <vt:variant>
        <vt:i4>1638450</vt:i4>
      </vt:variant>
      <vt:variant>
        <vt:i4>56</vt:i4>
      </vt:variant>
      <vt:variant>
        <vt:i4>0</vt:i4>
      </vt:variant>
      <vt:variant>
        <vt:i4>5</vt:i4>
      </vt:variant>
      <vt:variant>
        <vt:lpwstr/>
      </vt:variant>
      <vt:variant>
        <vt:lpwstr>_Toc185271158</vt:lpwstr>
      </vt:variant>
      <vt:variant>
        <vt:i4>1638450</vt:i4>
      </vt:variant>
      <vt:variant>
        <vt:i4>50</vt:i4>
      </vt:variant>
      <vt:variant>
        <vt:i4>0</vt:i4>
      </vt:variant>
      <vt:variant>
        <vt:i4>5</vt:i4>
      </vt:variant>
      <vt:variant>
        <vt:lpwstr/>
      </vt:variant>
      <vt:variant>
        <vt:lpwstr>_Toc185271157</vt:lpwstr>
      </vt:variant>
      <vt:variant>
        <vt:i4>1638450</vt:i4>
      </vt:variant>
      <vt:variant>
        <vt:i4>44</vt:i4>
      </vt:variant>
      <vt:variant>
        <vt:i4>0</vt:i4>
      </vt:variant>
      <vt:variant>
        <vt:i4>5</vt:i4>
      </vt:variant>
      <vt:variant>
        <vt:lpwstr/>
      </vt:variant>
      <vt:variant>
        <vt:lpwstr>_Toc185271156</vt:lpwstr>
      </vt:variant>
      <vt:variant>
        <vt:i4>1638450</vt:i4>
      </vt:variant>
      <vt:variant>
        <vt:i4>38</vt:i4>
      </vt:variant>
      <vt:variant>
        <vt:i4>0</vt:i4>
      </vt:variant>
      <vt:variant>
        <vt:i4>5</vt:i4>
      </vt:variant>
      <vt:variant>
        <vt:lpwstr/>
      </vt:variant>
      <vt:variant>
        <vt:lpwstr>_Toc185271155</vt:lpwstr>
      </vt:variant>
      <vt:variant>
        <vt:i4>1638450</vt:i4>
      </vt:variant>
      <vt:variant>
        <vt:i4>32</vt:i4>
      </vt:variant>
      <vt:variant>
        <vt:i4>0</vt:i4>
      </vt:variant>
      <vt:variant>
        <vt:i4>5</vt:i4>
      </vt:variant>
      <vt:variant>
        <vt:lpwstr/>
      </vt:variant>
      <vt:variant>
        <vt:lpwstr>_Toc185271154</vt:lpwstr>
      </vt:variant>
      <vt:variant>
        <vt:i4>1638450</vt:i4>
      </vt:variant>
      <vt:variant>
        <vt:i4>26</vt:i4>
      </vt:variant>
      <vt:variant>
        <vt:i4>0</vt:i4>
      </vt:variant>
      <vt:variant>
        <vt:i4>5</vt:i4>
      </vt:variant>
      <vt:variant>
        <vt:lpwstr/>
      </vt:variant>
      <vt:variant>
        <vt:lpwstr>_Toc185271153</vt:lpwstr>
      </vt:variant>
      <vt:variant>
        <vt:i4>1638450</vt:i4>
      </vt:variant>
      <vt:variant>
        <vt:i4>20</vt:i4>
      </vt:variant>
      <vt:variant>
        <vt:i4>0</vt:i4>
      </vt:variant>
      <vt:variant>
        <vt:i4>5</vt:i4>
      </vt:variant>
      <vt:variant>
        <vt:lpwstr/>
      </vt:variant>
      <vt:variant>
        <vt:lpwstr>_Toc185271152</vt:lpwstr>
      </vt:variant>
      <vt:variant>
        <vt:i4>1638450</vt:i4>
      </vt:variant>
      <vt:variant>
        <vt:i4>14</vt:i4>
      </vt:variant>
      <vt:variant>
        <vt:i4>0</vt:i4>
      </vt:variant>
      <vt:variant>
        <vt:i4>5</vt:i4>
      </vt:variant>
      <vt:variant>
        <vt:lpwstr/>
      </vt:variant>
      <vt:variant>
        <vt:lpwstr>_Toc185271151</vt:lpwstr>
      </vt:variant>
      <vt:variant>
        <vt:i4>1638450</vt:i4>
      </vt:variant>
      <vt:variant>
        <vt:i4>8</vt:i4>
      </vt:variant>
      <vt:variant>
        <vt:i4>0</vt:i4>
      </vt:variant>
      <vt:variant>
        <vt:i4>5</vt:i4>
      </vt:variant>
      <vt:variant>
        <vt:lpwstr/>
      </vt:variant>
      <vt:variant>
        <vt:lpwstr>_Toc185271150</vt:lpwstr>
      </vt:variant>
      <vt:variant>
        <vt:i4>1572914</vt:i4>
      </vt:variant>
      <vt:variant>
        <vt:i4>2</vt:i4>
      </vt:variant>
      <vt:variant>
        <vt:i4>0</vt:i4>
      </vt:variant>
      <vt:variant>
        <vt:i4>5</vt:i4>
      </vt:variant>
      <vt:variant>
        <vt:lpwstr/>
      </vt:variant>
      <vt:variant>
        <vt:lpwstr>_Toc185271149</vt:lpwstr>
      </vt:variant>
      <vt:variant>
        <vt:i4>5832707</vt:i4>
      </vt:variant>
      <vt:variant>
        <vt:i4>66</vt:i4>
      </vt:variant>
      <vt:variant>
        <vt:i4>0</vt:i4>
      </vt:variant>
      <vt:variant>
        <vt:i4>5</vt:i4>
      </vt:variant>
      <vt:variant>
        <vt:lpwstr>https://cedars.cpuc.ca.gov/deer-resources/deemed-measure-packages/guidance/file/3060/download</vt:lpwstr>
      </vt:variant>
      <vt:variant>
        <vt:lpwstr/>
      </vt:variant>
      <vt:variant>
        <vt:i4>5767233</vt:i4>
      </vt:variant>
      <vt:variant>
        <vt:i4>63</vt:i4>
      </vt:variant>
      <vt:variant>
        <vt:i4>0</vt:i4>
      </vt:variant>
      <vt:variant>
        <vt:i4>5</vt:i4>
      </vt:variant>
      <vt:variant>
        <vt:lpwstr>https://psr.energydataweb.com/%23!/project-status</vt:lpwstr>
      </vt:variant>
      <vt:variant>
        <vt:lpwstr/>
      </vt:variant>
      <vt:variant>
        <vt:i4>3014699</vt:i4>
      </vt:variant>
      <vt:variant>
        <vt:i4>60</vt:i4>
      </vt:variant>
      <vt:variant>
        <vt:i4>0</vt:i4>
      </vt:variant>
      <vt:variant>
        <vt:i4>5</vt:i4>
      </vt:variant>
      <vt:variant>
        <vt:lpwstr>https://pda.energydataweb.com/</vt:lpwstr>
      </vt:variant>
      <vt:variant>
        <vt:lpwstr>!/documents/4023/view</vt:lpwstr>
      </vt:variant>
      <vt:variant>
        <vt:i4>6488102</vt:i4>
      </vt:variant>
      <vt:variant>
        <vt:i4>57</vt:i4>
      </vt:variant>
      <vt:variant>
        <vt:i4>0</vt:i4>
      </vt:variant>
      <vt:variant>
        <vt:i4>5</vt:i4>
      </vt:variant>
      <vt:variant>
        <vt:lpwstr>https://pda.energydataweb.com/api/view/3980/CPUC Group A 2023 Commercial HVAC and Water  Heating EUL Study Final Report.pdf</vt:lpwstr>
      </vt:variant>
      <vt:variant>
        <vt:lpwstr/>
      </vt:variant>
      <vt:variant>
        <vt:i4>6488102</vt:i4>
      </vt:variant>
      <vt:variant>
        <vt:i4>54</vt:i4>
      </vt:variant>
      <vt:variant>
        <vt:i4>0</vt:i4>
      </vt:variant>
      <vt:variant>
        <vt:i4>5</vt:i4>
      </vt:variant>
      <vt:variant>
        <vt:lpwstr>https://pda.energydataweb.com/api/view/3980/CPUC Group A 2023 Commercial HVAC and Water  Heating EUL Study Final Report.pdf</vt:lpwstr>
      </vt:variant>
      <vt:variant>
        <vt:lpwstr/>
      </vt:variant>
      <vt:variant>
        <vt:i4>8192053</vt:i4>
      </vt:variant>
      <vt:variant>
        <vt:i4>51</vt:i4>
      </vt:variant>
      <vt:variant>
        <vt:i4>0</vt:i4>
      </vt:variant>
      <vt:variant>
        <vt:i4>5</vt:i4>
      </vt:variant>
      <vt:variant>
        <vt:lpwstr>https://pda.energydataweb.com/api/downloads/3952/CPUC Group A 2023 Res HVAC and DHW EUL Study Final Report.pdf</vt:lpwstr>
      </vt:variant>
      <vt:variant>
        <vt:lpwstr/>
      </vt:variant>
      <vt:variant>
        <vt:i4>1114199</vt:i4>
      </vt:variant>
      <vt:variant>
        <vt:i4>48</vt:i4>
      </vt:variant>
      <vt:variant>
        <vt:i4>0</vt:i4>
      </vt:variant>
      <vt:variant>
        <vt:i4>5</vt:i4>
      </vt:variant>
      <vt:variant>
        <vt:lpwstr>https://pda.energydataweb.com/api/downloads/3903/CPUC Group A 2023 Residential Insulation EUL Study Final Report.pdf</vt:lpwstr>
      </vt:variant>
      <vt:variant>
        <vt:lpwstr/>
      </vt:variant>
      <vt:variant>
        <vt:i4>524288</vt:i4>
      </vt:variant>
      <vt:variant>
        <vt:i4>45</vt:i4>
      </vt:variant>
      <vt:variant>
        <vt:i4>0</vt:i4>
      </vt:variant>
      <vt:variant>
        <vt:i4>5</vt:i4>
      </vt:variant>
      <vt:variant>
        <vt:lpwstr>https://pda.energydataweb.com/api/downloads/2816/CIAC 2020-2021 Evaluation Final Report - Revised.pdf</vt:lpwstr>
      </vt:variant>
      <vt:variant>
        <vt:lpwstr/>
      </vt:variant>
      <vt:variant>
        <vt:i4>2293800</vt:i4>
      </vt:variant>
      <vt:variant>
        <vt:i4>42</vt:i4>
      </vt:variant>
      <vt:variant>
        <vt:i4>0</vt:i4>
      </vt:variant>
      <vt:variant>
        <vt:i4>5</vt:i4>
      </vt:variant>
      <vt:variant>
        <vt:lpwstr>https://cedars.cpuc.ca.gov/deer-resources/tools/supporting-files/file/3105/download</vt:lpwstr>
      </vt:variant>
      <vt:variant>
        <vt:lpwstr/>
      </vt:variant>
      <vt:variant>
        <vt:i4>2359418</vt:i4>
      </vt:variant>
      <vt:variant>
        <vt:i4>39</vt:i4>
      </vt:variant>
      <vt:variant>
        <vt:i4>0</vt:i4>
      </vt:variant>
      <vt:variant>
        <vt:i4>5</vt:i4>
      </vt:variant>
      <vt:variant>
        <vt:lpwstr>https://www.energystar.gov/sites/default/files/asset/document/ENERGY STAR Version 7.0 Residential Windows Doors and Skylights Data Package.xlsx</vt:lpwstr>
      </vt:variant>
      <vt:variant>
        <vt:lpwstr/>
      </vt:variant>
      <vt:variant>
        <vt:i4>2097198</vt:i4>
      </vt:variant>
      <vt:variant>
        <vt:i4>36</vt:i4>
      </vt:variant>
      <vt:variant>
        <vt:i4>0</vt:i4>
      </vt:variant>
      <vt:variant>
        <vt:i4>5</vt:i4>
      </vt:variant>
      <vt:variant>
        <vt:lpwstr>https://pda.energydataweb.com/</vt:lpwstr>
      </vt:variant>
      <vt:variant>
        <vt:lpwstr>!/documents/3904/view</vt:lpwstr>
      </vt:variant>
      <vt:variant>
        <vt:i4>7405685</vt:i4>
      </vt:variant>
      <vt:variant>
        <vt:i4>33</vt:i4>
      </vt:variant>
      <vt:variant>
        <vt:i4>0</vt:i4>
      </vt:variant>
      <vt:variant>
        <vt:i4>5</vt:i4>
      </vt:variant>
      <vt:variant>
        <vt:lpwstr>https://cedars.cpuc.ca.gov/deer-resources/tools/energy-plus/file/3085/download</vt:lpwstr>
      </vt:variant>
      <vt:variant>
        <vt:lpwstr/>
      </vt:variant>
      <vt:variant>
        <vt:i4>852059</vt:i4>
      </vt:variant>
      <vt:variant>
        <vt:i4>30</vt:i4>
      </vt:variant>
      <vt:variant>
        <vt:i4>0</vt:i4>
      </vt:variant>
      <vt:variant>
        <vt:i4>5</vt:i4>
      </vt:variant>
      <vt:variant>
        <vt:lpwstr>https://github.com/sound-data/DEER-Prototypes-EnergyPlus</vt:lpwstr>
      </vt:variant>
      <vt:variant>
        <vt:lpwstr/>
      </vt:variant>
      <vt:variant>
        <vt:i4>7274554</vt:i4>
      </vt:variant>
      <vt:variant>
        <vt:i4>27</vt:i4>
      </vt:variant>
      <vt:variant>
        <vt:i4>0</vt:i4>
      </vt:variant>
      <vt:variant>
        <vt:i4>5</vt:i4>
      </vt:variant>
      <vt:variant>
        <vt:lpwstr>https://www.energy.ca.gov/publications/2023/2022-california-commercial-end-use-survey-ceus-final-report</vt:lpwstr>
      </vt:variant>
      <vt:variant>
        <vt:lpwstr/>
      </vt:variant>
      <vt:variant>
        <vt:i4>4128820</vt:i4>
      </vt:variant>
      <vt:variant>
        <vt:i4>24</vt:i4>
      </vt:variant>
      <vt:variant>
        <vt:i4>0</vt:i4>
      </vt:variant>
      <vt:variant>
        <vt:i4>5</vt:i4>
      </vt:variant>
      <vt:variant>
        <vt:lpwstr>https://cedars.cpuc.ca.gov/deer-resources/tools/energy-plus/resource/13/history</vt:lpwstr>
      </vt:variant>
      <vt:variant>
        <vt:lpwstr/>
      </vt:variant>
      <vt:variant>
        <vt:i4>4980819</vt:i4>
      </vt:variant>
      <vt:variant>
        <vt:i4>21</vt:i4>
      </vt:variant>
      <vt:variant>
        <vt:i4>0</vt:i4>
      </vt:variant>
      <vt:variant>
        <vt:i4>5</vt:i4>
      </vt:variant>
      <vt:variant>
        <vt:lpwstr>https://docs.cpuc.ca.gov/PublishedDocs/WORD_PDF/FINAL_DECISION/77638.PDF</vt:lpwstr>
      </vt:variant>
      <vt:variant>
        <vt:lpwstr/>
      </vt:variant>
      <vt:variant>
        <vt:i4>6553688</vt:i4>
      </vt:variant>
      <vt:variant>
        <vt:i4>18</vt:i4>
      </vt:variant>
      <vt:variant>
        <vt:i4>0</vt:i4>
      </vt:variant>
      <vt:variant>
        <vt:i4>5</vt:i4>
      </vt:variant>
      <vt:variant>
        <vt:lpwstr>https://edcentralserver.files.com/preview/f/f7b564868ffdc879/CET_Input_Guide_10132022.xlsx</vt:lpwstr>
      </vt:variant>
      <vt:variant>
        <vt:lpwstr/>
      </vt:variant>
      <vt:variant>
        <vt:i4>4980819</vt:i4>
      </vt:variant>
      <vt:variant>
        <vt:i4>15</vt:i4>
      </vt:variant>
      <vt:variant>
        <vt:i4>0</vt:i4>
      </vt:variant>
      <vt:variant>
        <vt:i4>5</vt:i4>
      </vt:variant>
      <vt:variant>
        <vt:lpwstr>https://docs.cpuc.ca.gov/PublishedDocs/WORD_PDF/FINAL_DECISION/77638.PDF</vt:lpwstr>
      </vt:variant>
      <vt:variant>
        <vt:lpwstr/>
      </vt:variant>
      <vt:variant>
        <vt:i4>4194373</vt:i4>
      </vt:variant>
      <vt:variant>
        <vt:i4>12</vt:i4>
      </vt:variant>
      <vt:variant>
        <vt:i4>0</vt:i4>
      </vt:variant>
      <vt:variant>
        <vt:i4>5</vt:i4>
      </vt:variant>
      <vt:variant>
        <vt:lpwstr>https://www.cpuc.ca.gov/industries-and-topics/electrical-energy/demand-side-management/energy-efficiency/water-energy-nexus-programs</vt:lpwstr>
      </vt:variant>
      <vt:variant>
        <vt:lpwstr/>
      </vt:variant>
      <vt:variant>
        <vt:i4>6357096</vt:i4>
      </vt:variant>
      <vt:variant>
        <vt:i4>9</vt:i4>
      </vt:variant>
      <vt:variant>
        <vt:i4>0</vt:i4>
      </vt:variant>
      <vt:variant>
        <vt:i4>5</vt:i4>
      </vt:variant>
      <vt:variant>
        <vt:lpwstr>https://www.ipcc.ch/assessment-report/ar4/</vt:lpwstr>
      </vt:variant>
      <vt:variant>
        <vt:lpwstr/>
      </vt:variant>
      <vt:variant>
        <vt:i4>2031626</vt:i4>
      </vt:variant>
      <vt:variant>
        <vt:i4>6</vt:i4>
      </vt:variant>
      <vt:variant>
        <vt:i4>0</vt:i4>
      </vt:variant>
      <vt:variant>
        <vt:i4>5</vt:i4>
      </vt:variant>
      <vt:variant>
        <vt:lpwstr>https://cedars.cpuc.ca.gov/deer-resources/tools/supporting-files/resource/16/history/</vt:lpwstr>
      </vt:variant>
      <vt:variant>
        <vt:lpwstr/>
      </vt:variant>
      <vt:variant>
        <vt:i4>4915268</vt:i4>
      </vt:variant>
      <vt:variant>
        <vt:i4>3</vt:i4>
      </vt:variant>
      <vt:variant>
        <vt:i4>0</vt:i4>
      </vt:variant>
      <vt:variant>
        <vt:i4>5</vt:i4>
      </vt:variant>
      <vt:variant>
        <vt:lpwstr>https://cedars.cpuc.ca.gov/deer-resources/tools/supporting-files/resource/2/history/</vt:lpwstr>
      </vt:variant>
      <vt:variant>
        <vt:lpwstr/>
      </vt:variant>
      <vt:variant>
        <vt:i4>4063349</vt:i4>
      </vt:variant>
      <vt:variant>
        <vt:i4>0</vt:i4>
      </vt:variant>
      <vt:variant>
        <vt:i4>0</vt:i4>
      </vt:variant>
      <vt:variant>
        <vt:i4>5</vt:i4>
      </vt:variant>
      <vt:variant>
        <vt:lpwstr>https://www.caetrm.com/</vt:lpwstr>
      </vt:variant>
      <vt:variant>
        <vt:lpwstr/>
      </vt:variant>
    </vt:vector>
  </ap:HLinks>
  <ap:HyperlinksChanged>false</ap:HyperlinksChanged>
  <ap:AppVersion>12.0000</ap:AppVersion>
</ap: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lastPrinted>2024-12-17T04:28:00Z</cp:lastPrinted>
  <dcterms:created xsi:type="dcterms:W3CDTF">2024-12-26T16:49:10Z</dcterms:created>
  <dcterms:modified xsi:type="dcterms:W3CDTF">2024-12-26T16:49:10Z</dcterms:modified>
</cp:coreProperties>
</file>