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53326" w:rsidP="004D7B18" w:rsidRDefault="00EF6CE0" w14:paraId="1AE3DF52" w14:textId="515A37C6">
      <w:pPr>
        <w:pStyle w:val="AppendixBHeading2"/>
      </w:pPr>
      <w:r w:rsidRPr="00084A8E">
        <w:t>PUBLIC UTILITIES COMMISSION OF THE STATE OF CALIFORNIA</w:t>
      </w:r>
      <w:bookmarkStart w:name="_Ref404993683" w:id="0"/>
    </w:p>
    <w:p w:rsidRPr="00084A8E" w:rsidR="00860781" w:rsidP="004D7B18" w:rsidRDefault="00860781" w14:paraId="351DC0CD" w14:textId="77777777">
      <w:pPr>
        <w:pStyle w:val="AppendixBHeading2"/>
      </w:pPr>
    </w:p>
    <w:p w:rsidRPr="000978B2" w:rsidR="00D3441C" w:rsidP="00B04AB6" w:rsidRDefault="00D470FE" w14:paraId="3A90A3A1" w14:textId="12B79F7D">
      <w:pPr>
        <w:tabs>
          <w:tab w:val="right" w:pos="9000"/>
        </w:tabs>
        <w:spacing w:after="0"/>
        <w:rPr>
          <w:b/>
          <w:bCs/>
        </w:rPr>
      </w:pPr>
      <w:r w:rsidRPr="482D3053">
        <w:rPr>
          <w:b/>
          <w:bCs/>
        </w:rPr>
        <w:t>ENERGY DIVISION</w:t>
      </w:r>
      <w:r>
        <w:tab/>
      </w:r>
      <w:r w:rsidRPr="482D3053" w:rsidR="00D3441C">
        <w:rPr>
          <w:b/>
          <w:bCs/>
        </w:rPr>
        <w:t xml:space="preserve">RESOLUTION </w:t>
      </w:r>
      <w:r w:rsidRPr="482D3053" w:rsidR="00F85B06">
        <w:rPr>
          <w:b/>
          <w:bCs/>
        </w:rPr>
        <w:t>E-</w:t>
      </w:r>
      <w:r w:rsidRPr="482D3053" w:rsidR="11C2FDD4">
        <w:rPr>
          <w:b/>
          <w:bCs/>
        </w:rPr>
        <w:t>5350</w:t>
      </w:r>
      <w:r>
        <w:tab/>
      </w:r>
      <w:r w:rsidR="006C1F08">
        <w:rPr>
          <w:b/>
          <w:bCs/>
        </w:rPr>
        <w:t>December 19</w:t>
      </w:r>
      <w:r w:rsidRPr="006C1F08" w:rsidR="00AA15E5">
        <w:rPr>
          <w:b/>
          <w:bCs/>
        </w:rPr>
        <w:t xml:space="preserve">, </w:t>
      </w:r>
      <w:r w:rsidRPr="00D86192" w:rsidR="00841513">
        <w:rPr>
          <w:b/>
          <w:bCs/>
        </w:rPr>
        <w:t>202</w:t>
      </w:r>
      <w:r w:rsidRPr="00D86192" w:rsidR="00960DDF">
        <w:rPr>
          <w:b/>
          <w:bCs/>
        </w:rPr>
        <w:t>4</w:t>
      </w:r>
      <w:r w:rsidRPr="482D3053" w:rsidR="00841513">
        <w:rPr>
          <w:b/>
          <w:bCs/>
        </w:rPr>
        <w:t xml:space="preserve"> </w:t>
      </w:r>
    </w:p>
    <w:p w:rsidRPr="00084A8E" w:rsidR="00D3441C" w:rsidP="00B4236D" w:rsidRDefault="00D3441C" w14:paraId="59E21CF2" w14:textId="77777777"/>
    <w:p w:rsidRPr="00AA587A" w:rsidR="00D3441C" w:rsidP="00B4236D" w:rsidRDefault="00D3441C" w14:paraId="527D585D" w14:textId="78D806F6">
      <w:pPr>
        <w:jc w:val="center"/>
        <w:rPr>
          <w:b/>
          <w:bCs/>
          <w:spacing w:val="86"/>
          <w:u w:val="single"/>
        </w:rPr>
      </w:pPr>
      <w:r w:rsidRPr="00AA587A">
        <w:rPr>
          <w:b/>
          <w:bCs/>
          <w:spacing w:val="86"/>
          <w:u w:val="single"/>
        </w:rPr>
        <w:t>RESOLUTION</w:t>
      </w:r>
    </w:p>
    <w:p w:rsidRPr="00084A8E" w:rsidR="00D3441C" w:rsidP="00B4236D" w:rsidRDefault="00D3441C" w14:paraId="2DB3C991" w14:textId="77777777"/>
    <w:p w:rsidRPr="00084A8E" w:rsidR="00D3441C" w:rsidP="00B4236D" w:rsidRDefault="00E61E7F" w14:paraId="65489B16" w14:textId="2C15357C">
      <w:pPr>
        <w:ind w:left="720"/>
        <w:rPr>
          <w:rFonts w:cs="Arial"/>
        </w:rPr>
      </w:pPr>
      <w:r>
        <w:t xml:space="preserve">Resolution </w:t>
      </w:r>
      <w:r w:rsidR="00D3441C">
        <w:t>E-</w:t>
      </w:r>
      <w:r w:rsidR="711B463F">
        <w:t>5350</w:t>
      </w:r>
      <w:r w:rsidR="00D3441C">
        <w:t>.</w:t>
      </w:r>
      <w:r w:rsidR="009F7548">
        <w:t xml:space="preserve"> </w:t>
      </w:r>
      <w:r w:rsidR="00D3441C">
        <w:t xml:space="preserve">Approval of the Database for Energy-Efficient Resources updates for </w:t>
      </w:r>
      <w:r w:rsidR="004B565F">
        <w:t xml:space="preserve">Program Year </w:t>
      </w:r>
      <w:r w:rsidR="00D3441C">
        <w:t>202</w:t>
      </w:r>
      <w:r w:rsidR="008D7584">
        <w:t>6</w:t>
      </w:r>
      <w:r w:rsidR="00D81454">
        <w:t>-202</w:t>
      </w:r>
      <w:r w:rsidR="008D7584">
        <w:t>7</w:t>
      </w:r>
      <w:r w:rsidR="00D3441C">
        <w:t xml:space="preserve"> and revised version </w:t>
      </w:r>
      <w:r w:rsidR="004209D7">
        <w:t>for Program Year</w:t>
      </w:r>
      <w:r w:rsidR="0043465B">
        <w:t>s</w:t>
      </w:r>
      <w:r w:rsidR="004209D7">
        <w:t xml:space="preserve"> </w:t>
      </w:r>
      <w:r w:rsidR="00D3441C">
        <w:t>20</w:t>
      </w:r>
      <w:r w:rsidR="00076CA5">
        <w:t>2</w:t>
      </w:r>
      <w:r w:rsidR="00AC1E84">
        <w:t>5</w:t>
      </w:r>
      <w:r w:rsidR="0043465B">
        <w:t xml:space="preserve"> and </w:t>
      </w:r>
      <w:r w:rsidR="00D3441C">
        <w:t>20</w:t>
      </w:r>
      <w:r w:rsidR="00076CA5">
        <w:t>2</w:t>
      </w:r>
      <w:r w:rsidR="00AC1E84">
        <w:t>4</w:t>
      </w:r>
      <w:r w:rsidR="00D3441C">
        <w:t>.</w:t>
      </w:r>
      <w:r w:rsidR="00926BB6">
        <w:t xml:space="preserve"> </w:t>
      </w:r>
    </w:p>
    <w:p w:rsidRPr="00084A8E" w:rsidR="00D3441C" w:rsidP="00B4236D" w:rsidRDefault="00D3441C" w14:paraId="1E6E3939" w14:textId="77777777">
      <w:pPr>
        <w:ind w:left="720"/>
      </w:pPr>
      <w:r w:rsidRPr="00084A8E">
        <w:t>PROPOSED OUTCOME:</w:t>
      </w:r>
    </w:p>
    <w:p w:rsidRPr="00084A8E" w:rsidR="0043465B" w:rsidP="00C35FD3" w:rsidRDefault="0043465B" w14:paraId="5488CC10" w14:textId="4FC24CE7">
      <w:pPr>
        <w:pStyle w:val="ListParagraph"/>
        <w:ind w:left="1440"/>
      </w:pPr>
      <w:r w:rsidRPr="00084A8E">
        <w:t>DEER202</w:t>
      </w:r>
      <w:r w:rsidR="00AC1E84">
        <w:t>6</w:t>
      </w:r>
      <w:r w:rsidRPr="00084A8E">
        <w:t xml:space="preserve"> Update (effective</w:t>
      </w:r>
      <w:r w:rsidRPr="00084A8E" w:rsidR="00D46D2D">
        <w:t xml:space="preserve"> January 1, 2</w:t>
      </w:r>
      <w:r w:rsidRPr="00084A8E">
        <w:t>02</w:t>
      </w:r>
      <w:r w:rsidR="00AC1E84">
        <w:t>6</w:t>
      </w:r>
      <w:r w:rsidRPr="00084A8E">
        <w:t>)</w:t>
      </w:r>
    </w:p>
    <w:p w:rsidRPr="00084A8E" w:rsidR="00D3441C" w:rsidP="00C35FD3" w:rsidRDefault="00D3441C" w14:paraId="0595EF71" w14:textId="623CA297">
      <w:pPr>
        <w:pStyle w:val="ListParagraph"/>
        <w:ind w:left="1440"/>
      </w:pPr>
      <w:r w:rsidRPr="00084A8E">
        <w:t>Revise DEER20</w:t>
      </w:r>
      <w:r w:rsidRPr="00084A8E" w:rsidR="00722640">
        <w:t>2</w:t>
      </w:r>
      <w:r w:rsidR="00AC1E84">
        <w:t>5</w:t>
      </w:r>
      <w:r w:rsidRPr="00084A8E">
        <w:t xml:space="preserve"> Update (effective </w:t>
      </w:r>
      <w:r w:rsidRPr="00084A8E" w:rsidR="00D46D2D">
        <w:t xml:space="preserve">January 1, </w:t>
      </w:r>
      <w:r w:rsidRPr="00084A8E">
        <w:t>20</w:t>
      </w:r>
      <w:r w:rsidRPr="00084A8E" w:rsidR="00187493">
        <w:t>2</w:t>
      </w:r>
      <w:r w:rsidR="00AC1E84">
        <w:t>5</w:t>
      </w:r>
      <w:r w:rsidRPr="00084A8E">
        <w:t>)</w:t>
      </w:r>
      <w:r w:rsidRPr="00084A8E" w:rsidR="00841F2F">
        <w:t xml:space="preserve"> </w:t>
      </w:r>
    </w:p>
    <w:p w:rsidRPr="00D62235" w:rsidR="0043465B" w:rsidP="00C35FD3" w:rsidRDefault="000657E3" w14:paraId="01603FB6" w14:textId="4B249050">
      <w:pPr>
        <w:pStyle w:val="ListParagraph"/>
        <w:ind w:left="1440"/>
      </w:pPr>
      <w:r w:rsidRPr="00D62235">
        <w:t xml:space="preserve">Revise </w:t>
      </w:r>
      <w:r w:rsidRPr="00D62235" w:rsidR="0043465B">
        <w:t>DEER202</w:t>
      </w:r>
      <w:r w:rsidR="00AC1E84">
        <w:t>4</w:t>
      </w:r>
      <w:r w:rsidRPr="00D62235" w:rsidR="0043465B">
        <w:t xml:space="preserve"> Update (</w:t>
      </w:r>
      <w:r w:rsidR="00942D03">
        <w:t>retroactive to</w:t>
      </w:r>
      <w:r w:rsidRPr="00D62235" w:rsidR="00942D03">
        <w:t xml:space="preserve"> </w:t>
      </w:r>
      <w:r w:rsidR="00942D03">
        <w:t xml:space="preserve">January 1, </w:t>
      </w:r>
      <w:r w:rsidRPr="00D62235" w:rsidR="0043465B">
        <w:t>202</w:t>
      </w:r>
      <w:r w:rsidR="00AC1E84">
        <w:t>4</w:t>
      </w:r>
      <w:r w:rsidRPr="00D62235" w:rsidR="0043465B">
        <w:t>)</w:t>
      </w:r>
    </w:p>
    <w:p w:rsidRPr="00084A8E" w:rsidR="00EF6CE0" w:rsidP="00B4236D" w:rsidRDefault="00EF6CE0" w14:paraId="16ED0962" w14:textId="77777777">
      <w:pPr>
        <w:ind w:left="720"/>
      </w:pPr>
    </w:p>
    <w:p w:rsidRPr="00084A8E" w:rsidR="00EF6CE0" w:rsidP="00B4236D" w:rsidRDefault="00EF6CE0" w14:paraId="1E8DB09F" w14:textId="77777777">
      <w:pPr>
        <w:ind w:left="720"/>
      </w:pPr>
      <w:r w:rsidRPr="00084A8E">
        <w:t>SAFETY CONSIDERATIONS:</w:t>
      </w:r>
    </w:p>
    <w:p w:rsidRPr="00084A8E" w:rsidR="00EF6CE0" w:rsidP="00C35FD3" w:rsidRDefault="00F80CFC" w14:paraId="3CBD8A32" w14:textId="184E0633">
      <w:pPr>
        <w:pStyle w:val="ListParagraph"/>
        <w:ind w:left="1440"/>
      </w:pPr>
      <w:r>
        <w:t>There are no safety considerations associated with this resolution</w:t>
      </w:r>
      <w:r w:rsidR="009E13CB">
        <w:t>.</w:t>
      </w:r>
    </w:p>
    <w:p w:rsidRPr="00084A8E" w:rsidR="00EF6CE0" w:rsidP="00B4236D" w:rsidRDefault="00EF6CE0" w14:paraId="4E6B701D" w14:textId="77777777">
      <w:pPr>
        <w:ind w:left="720"/>
      </w:pPr>
    </w:p>
    <w:p w:rsidRPr="00BE164E" w:rsidR="00EF6CE0" w:rsidP="00B4236D" w:rsidRDefault="00EF6CE0" w14:paraId="0AB8DB1C" w14:textId="77777777">
      <w:pPr>
        <w:ind w:left="720"/>
      </w:pPr>
      <w:r w:rsidRPr="00BE164E">
        <w:t>ESTIMATED COST</w:t>
      </w:r>
      <w:r w:rsidRPr="00BE164E" w:rsidR="005242E8">
        <w:t xml:space="preserve">: </w:t>
      </w:r>
    </w:p>
    <w:p w:rsidR="00EF6CE0" w:rsidP="00C35FD3" w:rsidRDefault="004D0980" w14:paraId="3D110ADB" w14:textId="7F8C19AE">
      <w:pPr>
        <w:pStyle w:val="ListParagraph"/>
        <w:numPr>
          <w:ilvl w:val="0"/>
          <w:numId w:val="38"/>
        </w:numPr>
      </w:pPr>
      <w:r w:rsidRPr="00BE164E">
        <w:t>There are no costs associated with this resolution.</w:t>
      </w:r>
    </w:p>
    <w:p w:rsidRPr="00BE164E" w:rsidR="00C35FD3" w:rsidP="00C35FD3" w:rsidRDefault="00C35FD3" w14:paraId="55863798" w14:textId="77777777">
      <w:pPr>
        <w:pStyle w:val="ListParagraph"/>
        <w:numPr>
          <w:ilvl w:val="0"/>
          <w:numId w:val="0"/>
        </w:numPr>
        <w:ind w:left="1440"/>
      </w:pPr>
    </w:p>
    <w:p w:rsidRPr="00084A8E" w:rsidR="002B56B8" w:rsidP="00B4236D" w:rsidRDefault="008E4EF8" w14:paraId="15CA1367" w14:textId="51C89B37">
      <w:pPr>
        <w:ind w:left="720"/>
      </w:pPr>
      <w:r w:rsidRPr="00084A8E">
        <w:rPr>
          <w:rFonts w:cs="Book Antiqua"/>
        </w:rPr>
        <w:t xml:space="preserve">By Energy Division’s own motion </w:t>
      </w:r>
      <w:r w:rsidRPr="00084A8E">
        <w:t xml:space="preserve">in Compliance with </w:t>
      </w:r>
      <w:r w:rsidRPr="003E5E39">
        <w:t>D.15-10-028</w:t>
      </w:r>
      <w:r w:rsidRPr="00084A8E">
        <w:t>.</w:t>
      </w:r>
      <w:r w:rsidRPr="00084A8E" w:rsidR="00CE0C36">
        <w:t xml:space="preserve"> </w:t>
      </w:r>
    </w:p>
    <w:p w:rsidRPr="0059337D" w:rsidR="0033795A" w:rsidP="009107C1" w:rsidRDefault="0033795A" w14:paraId="366022E2" w14:textId="77777777">
      <w:pPr>
        <w:ind w:left="810"/>
      </w:pPr>
      <w:r w:rsidRPr="0059337D">
        <w:t>__________________________________________________________</w:t>
      </w:r>
    </w:p>
    <w:p w:rsidRPr="0033795A" w:rsidR="00EF6CE0" w:rsidP="008E2F07" w:rsidRDefault="000B317B" w14:paraId="68D254A3" w14:textId="77777777">
      <w:pPr>
        <w:pStyle w:val="Heading1"/>
      </w:pPr>
      <w:bookmarkStart w:name="_Toc518983876" w:id="1"/>
      <w:bookmarkStart w:name="_Toc519764444" w:id="2"/>
      <w:bookmarkStart w:name="_Ref41482006" w:id="3"/>
      <w:bookmarkStart w:name="_Toc48835506" w:id="4"/>
      <w:bookmarkStart w:name="_Toc48843022" w:id="5"/>
      <w:bookmarkStart w:name="_Toc48845838" w:id="6"/>
      <w:bookmarkStart w:name="_Toc48900733" w:id="7"/>
      <w:r w:rsidRPr="0033795A">
        <w:t>SUMMARY</w:t>
      </w:r>
      <w:bookmarkEnd w:id="0"/>
      <w:bookmarkEnd w:id="1"/>
      <w:bookmarkEnd w:id="2"/>
      <w:bookmarkEnd w:id="3"/>
      <w:bookmarkEnd w:id="4"/>
      <w:bookmarkEnd w:id="5"/>
      <w:bookmarkEnd w:id="6"/>
      <w:bookmarkEnd w:id="7"/>
    </w:p>
    <w:p w:rsidRPr="00084A8E" w:rsidR="001B4236" w:rsidP="1BEEFBBC" w:rsidRDefault="42CD6EB7" w14:paraId="430ED127" w14:textId="1257659B">
      <w:r w:rsidRPr="00084A8E">
        <w:t>This Resolution approves updates to the Database for Energy-Efficient Resources (DEER) for program year (PY) 202</w:t>
      </w:r>
      <w:r w:rsidR="4074AC14">
        <w:t>6</w:t>
      </w:r>
      <w:r w:rsidRPr="00084A8E">
        <w:t xml:space="preserve"> and a revised version of DEER for PY202</w:t>
      </w:r>
      <w:r w:rsidR="4074AC14">
        <w:t>5</w:t>
      </w:r>
      <w:r w:rsidRPr="00084A8E">
        <w:t xml:space="preserve"> </w:t>
      </w:r>
      <w:r w:rsidRPr="00084A8E" w:rsidR="1F96DCBA">
        <w:t xml:space="preserve">and </w:t>
      </w:r>
      <w:r w:rsidRPr="00084A8E">
        <w:t>PY202</w:t>
      </w:r>
      <w:r w:rsidR="4074AC14">
        <w:t>4</w:t>
      </w:r>
      <w:r w:rsidRPr="00084A8E" w:rsidR="1F96DCBA">
        <w:t>,</w:t>
      </w:r>
      <w:r w:rsidRPr="00084A8E">
        <w:t xml:space="preserve"> in </w:t>
      </w:r>
      <w:r w:rsidR="31C7CB32">
        <w:t>c</w:t>
      </w:r>
      <w:r w:rsidRPr="004B2213">
        <w:t>ompliance with D.15-10-028</w:t>
      </w:r>
      <w:r w:rsidRPr="004B2213" w:rsidR="4F058B49">
        <w:t>, D.</w:t>
      </w:r>
      <w:r w:rsidRPr="004B2213" w:rsidR="31FBB104">
        <w:t>21-05-031</w:t>
      </w:r>
      <w:r w:rsidRPr="004B2213" w:rsidR="30EFBE87">
        <w:t>,</w:t>
      </w:r>
      <w:r w:rsidRPr="004B2213" w:rsidR="00FB0F99">
        <w:rPr>
          <w:rStyle w:val="FootnoteReference"/>
        </w:rPr>
        <w:footnoteReference w:id="2"/>
      </w:r>
      <w:r w:rsidRPr="004B2213">
        <w:t xml:space="preserve"> and Resolutions E-4818</w:t>
      </w:r>
      <w:r w:rsidRPr="004B2213" w:rsidR="104CB54C">
        <w:t xml:space="preserve">, </w:t>
      </w:r>
      <w:r w:rsidRPr="004B2213">
        <w:t>E-4952</w:t>
      </w:r>
      <w:r w:rsidRPr="004B2213" w:rsidR="6A25823C">
        <w:t>,</w:t>
      </w:r>
      <w:r w:rsidRPr="004B2213" w:rsidR="104CB54C">
        <w:t xml:space="preserve"> </w:t>
      </w:r>
      <w:r w:rsidRPr="004B2213" w:rsidR="28FDE099">
        <w:t>E-</w:t>
      </w:r>
      <w:r w:rsidRPr="004B2213" w:rsidR="104CB54C">
        <w:t>5009</w:t>
      </w:r>
      <w:r w:rsidRPr="004B2213" w:rsidR="69E069B3">
        <w:t>,</w:t>
      </w:r>
      <w:r w:rsidRPr="004B2213" w:rsidR="104CB54C">
        <w:t xml:space="preserve"> E</w:t>
      </w:r>
      <w:r w:rsidRPr="004B2213" w:rsidR="69E069B3">
        <w:t>-5082</w:t>
      </w:r>
      <w:r w:rsidRPr="004B2213" w:rsidR="315ACC12">
        <w:t>, E-5152</w:t>
      </w:r>
      <w:r w:rsidR="3CDB905A">
        <w:t xml:space="preserve">, </w:t>
      </w:r>
      <w:r w:rsidRPr="004B2213" w:rsidR="315ACC12">
        <w:t>and E-</w:t>
      </w:r>
      <w:r w:rsidR="3CDB905A">
        <w:t>5221</w:t>
      </w:r>
      <w:r w:rsidRPr="00084A8E">
        <w:t xml:space="preserve">. This update also </w:t>
      </w:r>
      <w:r w:rsidR="104D4B03">
        <w:t>directs forward</w:t>
      </w:r>
      <w:r w:rsidR="71279DA9">
        <w:t>-</w:t>
      </w:r>
      <w:r w:rsidR="104D4B03">
        <w:t xml:space="preserve">looking research </w:t>
      </w:r>
      <w:r w:rsidR="104D4B03">
        <w:lastRenderedPageBreak/>
        <w:t xml:space="preserve">and </w:t>
      </w:r>
      <w:r w:rsidRPr="00084A8E">
        <w:t xml:space="preserve">addresses significant transitions for </w:t>
      </w:r>
      <w:r w:rsidRPr="00084A8E" w:rsidR="282B4381">
        <w:t xml:space="preserve">the </w:t>
      </w:r>
      <w:r w:rsidRPr="00084A8E">
        <w:t xml:space="preserve">DEER and </w:t>
      </w:r>
      <w:r w:rsidR="01354029">
        <w:t>measure package</w:t>
      </w:r>
      <w:r w:rsidRPr="00084A8E">
        <w:t xml:space="preserve"> system maintenance and operation.</w:t>
      </w:r>
      <w:r w:rsidRPr="00084A8E" w:rsidR="18E9909D">
        <w:t xml:space="preserve"> </w:t>
      </w:r>
    </w:p>
    <w:p w:rsidRPr="00084A8E" w:rsidR="00EF6CE0" w:rsidP="008E2F07" w:rsidRDefault="003727BB" w14:paraId="437F1069" w14:textId="74701591">
      <w:r w:rsidRPr="00084A8E">
        <w:t>All</w:t>
      </w:r>
      <w:r w:rsidRPr="00084A8E" w:rsidR="00EF6CE0">
        <w:t xml:space="preserve"> updated DEER assumptions, methods, values and supporting documentation are available on the </w:t>
      </w:r>
      <w:r w:rsidR="00087872">
        <w:t>DEER Module on the California Energy Data and Reporting System (CEDARS).</w:t>
      </w:r>
      <w:r w:rsidR="00087872">
        <w:rPr>
          <w:rStyle w:val="FootnoteReference"/>
        </w:rPr>
        <w:footnoteReference w:id="3"/>
      </w:r>
    </w:p>
    <w:p w:rsidRPr="00E22203" w:rsidR="00BE3AC4" w:rsidP="008E2F07" w:rsidRDefault="00BE3AC4" w14:paraId="6FE48A9D" w14:textId="77777777">
      <w:pPr>
        <w:pStyle w:val="Heading1"/>
      </w:pPr>
      <w:bookmarkStart w:name="_Toc466363835" w:id="8"/>
      <w:bookmarkStart w:name="_Toc518983877" w:id="9"/>
      <w:bookmarkStart w:name="_Toc519764445" w:id="10"/>
      <w:bookmarkStart w:name="_Toc48835507" w:id="11"/>
      <w:bookmarkStart w:name="_Toc48843023" w:id="12"/>
      <w:bookmarkStart w:name="_Toc48845839" w:id="13"/>
      <w:bookmarkStart w:name="_Toc48900734" w:id="14"/>
      <w:r w:rsidRPr="00DB4A4B">
        <w:t>BACKGROUND</w:t>
      </w:r>
      <w:bookmarkEnd w:id="8"/>
      <w:bookmarkEnd w:id="9"/>
      <w:bookmarkEnd w:id="10"/>
      <w:bookmarkEnd w:id="11"/>
      <w:bookmarkEnd w:id="12"/>
      <w:bookmarkEnd w:id="13"/>
      <w:bookmarkEnd w:id="14"/>
    </w:p>
    <w:p w:rsidRPr="00500F3D" w:rsidR="00500F3D" w:rsidP="00B91EB7" w:rsidRDefault="00500F3D" w14:paraId="7D44C73C" w14:textId="1FB5916C">
      <w:bookmarkStart w:name="_Toc48835508" w:id="15"/>
      <w:bookmarkStart w:name="_Toc48843024" w:id="16"/>
      <w:bookmarkStart w:name="_Toc48845840" w:id="17"/>
      <w:bookmarkStart w:name="_Toc48900735" w:id="18"/>
      <w:r w:rsidRPr="00500F3D">
        <w:t xml:space="preserve">The Database for Energy Efficient Resources (DEER) contains information on energy-efficient technologies and measures. DEER provides estimates of the </w:t>
      </w:r>
      <w:r>
        <w:t xml:space="preserve">typical </w:t>
      </w:r>
      <w:r w:rsidRPr="00500F3D">
        <w:t xml:space="preserve">energy-savings potential for these technologies in residential and nonresidential applications. </w:t>
      </w:r>
      <w:r w:rsidR="001C5B49">
        <w:t>DEER is used by California Energy Efficiency (EE) Program Administrators (PAs), private sector implementers</w:t>
      </w:r>
      <w:r w:rsidR="00C576CE">
        <w:t>,</w:t>
      </w:r>
      <w:r w:rsidR="001C5B49">
        <w:t xml:space="preserve"> and the EE industry across the country to develop and design energy efficiency programs.</w:t>
      </w:r>
    </w:p>
    <w:p w:rsidR="00590DAC" w:rsidP="00B91EB7" w:rsidRDefault="00590DAC" w14:paraId="6686FC4D" w14:textId="774BB60E">
      <w:r>
        <w:t xml:space="preserve">The DEER database has a 30-year history, starting in the 1990s under the California Energy Commission (CEC) where </w:t>
      </w:r>
      <w:r w:rsidRPr="00E657D2">
        <w:t>responsibility for developing energy efficiency measure parameters</w:t>
      </w:r>
      <w:r>
        <w:t xml:space="preserve"> was delegated</w:t>
      </w:r>
      <w:r w:rsidRPr="00E657D2">
        <w:t xml:space="preserve"> to a broad stakeholder coalition</w:t>
      </w:r>
      <w:r>
        <w:t xml:space="preserve">. With the 2006-08 energy-efficiency (EE) portfolio cycle, the CPUC </w:t>
      </w:r>
      <w:r w:rsidR="00DE67FD">
        <w:t>staff</w:t>
      </w:r>
      <w:r>
        <w:t xml:space="preserve"> </w:t>
      </w:r>
      <w:r w:rsidR="00A8651B">
        <w:t>assumed responsibility for</w:t>
      </w:r>
      <w:r>
        <w:t xml:space="preserve"> the DEER and began hosting it on the “</w:t>
      </w:r>
      <w:proofErr w:type="spellStart"/>
      <w:r w:rsidR="00961CF3">
        <w:t>DEEResources</w:t>
      </w:r>
      <w:proofErr w:type="spellEnd"/>
      <w:r>
        <w:t xml:space="preserve">” suite of websites. </w:t>
      </w:r>
    </w:p>
    <w:p w:rsidRPr="008A28CD" w:rsidR="00C95F27" w:rsidP="00064073" w:rsidRDefault="001C5B49" w14:paraId="3B28BC6B" w14:textId="0763498B">
      <w:pPr>
        <w:pStyle w:val="Heading2"/>
      </w:pPr>
      <w:r>
        <w:t>Relevant Regulatory Background</w:t>
      </w:r>
      <w:bookmarkEnd w:id="15"/>
      <w:bookmarkEnd w:id="16"/>
      <w:bookmarkEnd w:id="17"/>
      <w:bookmarkEnd w:id="18"/>
    </w:p>
    <w:p w:rsidR="00DE17E6" w:rsidP="00BE0231" w:rsidRDefault="00C752BF" w14:paraId="03BA15C7" w14:textId="7E0B49B0">
      <w:r w:rsidRPr="007868A6">
        <w:t xml:space="preserve">The California Public Utilities </w:t>
      </w:r>
      <w:r w:rsidRPr="007868A6" w:rsidR="00EA330A">
        <w:t>Commission</w:t>
      </w:r>
      <w:r w:rsidRPr="007868A6">
        <w:t xml:space="preserve"> (Commission or CPUC)</w:t>
      </w:r>
      <w:r w:rsidRPr="007868A6" w:rsidR="00EA330A">
        <w:t xml:space="preserve"> Decision D.15-10-028, Ordering Paragraph 17 states: “Commission </w:t>
      </w:r>
      <w:r w:rsidR="00813B21">
        <w:t>s</w:t>
      </w:r>
      <w:r w:rsidRPr="007868A6" w:rsidR="00EA330A">
        <w:t>taff shall propose changes to the Database of Energy Efficient Resources once annually via Resolution, with the associated comment/protest period provided by General Order 96-B. However, Commission staff may make changes at any time without a Resolution to fix errors or to change documentation.” D.15-10-028 retains the direction from D.12-05-015 that DEER values be updated for consistency with existing and updated state and federal codes and standards while incorporating these changes into the DEER update.</w:t>
      </w:r>
      <w:r w:rsidRPr="007868A6" w:rsidR="00EA330A">
        <w:rPr>
          <w:vertAlign w:val="superscript"/>
        </w:rPr>
        <w:footnoteReference w:id="4"/>
      </w:r>
      <w:r w:rsidRPr="007868A6" w:rsidR="00EA330A">
        <w:t xml:space="preserve"> D.</w:t>
      </w:r>
      <w:r w:rsidR="00AF3350">
        <w:t>21-05-031</w:t>
      </w:r>
      <w:r w:rsidR="00A1561F">
        <w:t xml:space="preserve"> </w:t>
      </w:r>
      <w:r w:rsidRPr="007868A6" w:rsidR="00EA330A">
        <w:t xml:space="preserve">retains previous direction </w:t>
      </w:r>
      <w:r w:rsidR="001C5B49">
        <w:t>regarding</w:t>
      </w:r>
      <w:r w:rsidRPr="007868A6" w:rsidR="001C5B49">
        <w:t xml:space="preserve"> </w:t>
      </w:r>
      <w:r w:rsidRPr="007868A6">
        <w:t xml:space="preserve">CPUC </w:t>
      </w:r>
      <w:r w:rsidR="00813B21">
        <w:t>s</w:t>
      </w:r>
      <w:r w:rsidR="00FA4413">
        <w:t xml:space="preserve">taff </w:t>
      </w:r>
      <w:r w:rsidRPr="007868A6" w:rsidR="00EA330A">
        <w:t>latitude in updating DEER.</w:t>
      </w:r>
      <w:r w:rsidRPr="007868A6" w:rsidR="00EA330A">
        <w:rPr>
          <w:vertAlign w:val="superscript"/>
        </w:rPr>
        <w:footnoteReference w:id="5"/>
      </w:r>
      <w:r w:rsidR="00D45305">
        <w:t xml:space="preserve"> </w:t>
      </w:r>
      <w:r w:rsidR="00BE25F9">
        <w:t>D.</w:t>
      </w:r>
      <w:r w:rsidR="00AF3350">
        <w:t>21</w:t>
      </w:r>
      <w:r w:rsidR="37C72CC6">
        <w:t>-</w:t>
      </w:r>
      <w:r w:rsidR="00AF3350">
        <w:lastRenderedPageBreak/>
        <w:t>05</w:t>
      </w:r>
      <w:r w:rsidR="00F63FD4">
        <w:noBreakHyphen/>
      </w:r>
      <w:r w:rsidR="00AF3350">
        <w:t>031</w:t>
      </w:r>
      <w:r w:rsidR="00BE25F9">
        <w:t xml:space="preserve"> also adopts </w:t>
      </w:r>
      <w:r w:rsidR="00C43140">
        <w:t xml:space="preserve">and </w:t>
      </w:r>
      <w:r w:rsidRPr="00C43140" w:rsidR="00C43140">
        <w:t xml:space="preserve">Resolution E-5152 </w:t>
      </w:r>
      <w:r w:rsidR="00C43140">
        <w:t xml:space="preserve">enacted </w:t>
      </w:r>
      <w:r w:rsidR="00BE25F9">
        <w:t>a bie</w:t>
      </w:r>
      <w:r w:rsidR="00B6661A">
        <w:t>n</w:t>
      </w:r>
      <w:r w:rsidR="00BE25F9">
        <w:t>n</w:t>
      </w:r>
      <w:r w:rsidR="00CC2721">
        <w:t>i</w:t>
      </w:r>
      <w:r w:rsidR="00BE25F9">
        <w:t>al update schedule for DEER, eliminates the DEER and non-DEER distinction for EE measures</w:t>
      </w:r>
      <w:r w:rsidR="00B37A1F">
        <w:t>,</w:t>
      </w:r>
      <w:r w:rsidR="00BE25F9">
        <w:t xml:space="preserve"> and redefines the scope of the DEER resolution to:</w:t>
      </w:r>
    </w:p>
    <w:p w:rsidR="00C8624E" w:rsidP="00BE0231" w:rsidRDefault="00BE25F9" w14:paraId="15B2FE57" w14:textId="2AE33163">
      <w:r>
        <w:t>a) lock down the version of ex</w:t>
      </w:r>
      <w:r w:rsidR="00B377DD">
        <w:t xml:space="preserve"> </w:t>
      </w:r>
      <w:r>
        <w:t>ante</w:t>
      </w:r>
      <w:r w:rsidR="00835F22">
        <w:t xml:space="preserve"> (savings estimates before installation) </w:t>
      </w:r>
      <w:r>
        <w:t>EE values used for planning and claims; b) direct research to inform future DEER updates</w:t>
      </w:r>
      <w:r w:rsidR="00152D99">
        <w:t>;</w:t>
      </w:r>
      <w:r>
        <w:t xml:space="preserve"> and c) manage deemed ex</w:t>
      </w:r>
      <w:r w:rsidR="00B377DD">
        <w:t xml:space="preserve"> </w:t>
      </w:r>
      <w:r>
        <w:t>ante processes</w:t>
      </w:r>
      <w:r w:rsidR="00EC149B">
        <w:t xml:space="preserve">. </w:t>
      </w:r>
    </w:p>
    <w:p w:rsidR="00C8624E" w:rsidP="00BE0231" w:rsidRDefault="00C8624E" w14:paraId="2D0F5052" w14:textId="03836A43">
      <w:r>
        <w:t xml:space="preserve">Resolution E-5082 initiated the transition of existing DEER </w:t>
      </w:r>
      <w:r w:rsidR="00206CDB">
        <w:t xml:space="preserve">and </w:t>
      </w:r>
      <w:r w:rsidR="00A8651B">
        <w:t>measure package</w:t>
      </w:r>
      <w:r w:rsidR="00206CDB">
        <w:t xml:space="preserve"> systems </w:t>
      </w:r>
      <w:r w:rsidR="004F0B28">
        <w:t>to a software platform jointly co</w:t>
      </w:r>
      <w:r w:rsidR="00576890">
        <w:t>-</w:t>
      </w:r>
      <w:r w:rsidR="004F0B28">
        <w:t>funded by the IOUs</w:t>
      </w:r>
      <w:r w:rsidR="00FC3843">
        <w:t>,</w:t>
      </w:r>
      <w:r w:rsidR="004F0B28">
        <w:t xml:space="preserve"> called the Electronic Technical Resource Manual (</w:t>
      </w:r>
      <w:proofErr w:type="spellStart"/>
      <w:r w:rsidR="004F0B28">
        <w:t>eTRM</w:t>
      </w:r>
      <w:proofErr w:type="spellEnd"/>
      <w:r w:rsidR="004F0B28">
        <w:t>)</w:t>
      </w:r>
      <w:r w:rsidR="00FC3843">
        <w:t>,</w:t>
      </w:r>
      <w:r w:rsidR="00A05952">
        <w:rPr>
          <w:rStyle w:val="FootnoteReference"/>
        </w:rPr>
        <w:footnoteReference w:id="6"/>
      </w:r>
      <w:r w:rsidR="00A05952">
        <w:t xml:space="preserve"> and </w:t>
      </w:r>
      <w:r w:rsidR="002840A0">
        <w:t xml:space="preserve">conferred </w:t>
      </w:r>
      <w:r w:rsidR="00A23D8B">
        <w:t xml:space="preserve">conditional designation “data source of record” to the </w:t>
      </w:r>
      <w:proofErr w:type="spellStart"/>
      <w:r w:rsidR="00A23D8B">
        <w:t>eTRM</w:t>
      </w:r>
      <w:proofErr w:type="spellEnd"/>
      <w:r w:rsidR="006833F0">
        <w:t>.</w:t>
      </w:r>
      <w:r w:rsidR="006833F0">
        <w:rPr>
          <w:rStyle w:val="FootnoteReference"/>
        </w:rPr>
        <w:footnoteReference w:id="7"/>
      </w:r>
      <w:r w:rsidR="00395338">
        <w:t xml:space="preserve"> </w:t>
      </w:r>
      <w:r w:rsidR="0002488F">
        <w:t xml:space="preserve">Resolution E-5082 also outlined a schedule and benchmarks for the phased transition from DEER to the </w:t>
      </w:r>
      <w:proofErr w:type="spellStart"/>
      <w:r w:rsidR="0002488F">
        <w:t>eTRM</w:t>
      </w:r>
      <w:proofErr w:type="spellEnd"/>
      <w:r w:rsidR="0002488F">
        <w:t xml:space="preserve"> as the new “data source of record” for the typical deemed energy savings values for energy efficiency measures.</w:t>
      </w:r>
      <w:r w:rsidR="005F6B64">
        <w:t xml:space="preserve"> </w:t>
      </w:r>
    </w:p>
    <w:p w:rsidRPr="00084A8E" w:rsidR="00EA330A" w:rsidP="008E2F07" w:rsidRDefault="7313221C" w14:paraId="7216AB25" w14:textId="243CACBC">
      <w:r>
        <w:t xml:space="preserve">In addition, </w:t>
      </w:r>
      <w:r w:rsidRPr="007868A6" w:rsidR="53E38F35">
        <w:t>Resolution E</w:t>
      </w:r>
      <w:r w:rsidRPr="007868A6" w:rsidR="7C32BDD4">
        <w:t>-</w:t>
      </w:r>
      <w:r w:rsidRPr="007868A6" w:rsidR="001B7093">
        <w:noBreakHyphen/>
      </w:r>
      <w:r w:rsidRPr="007868A6" w:rsidR="53E38F35">
        <w:t>4952</w:t>
      </w:r>
      <w:r w:rsidRPr="007868A6" w:rsidR="00936614">
        <w:rPr>
          <w:rStyle w:val="FootnoteReference"/>
          <w:rFonts w:ascii="Palatino Linotype" w:hAnsi="Palatino Linotype"/>
        </w:rPr>
        <w:footnoteReference w:id="8"/>
      </w:r>
      <w:r w:rsidRPr="007868A6" w:rsidR="53E38F35">
        <w:t xml:space="preserve"> (DEER2020)</w:t>
      </w:r>
      <w:r w:rsidRPr="007868A6" w:rsidR="69BA7DC7">
        <w:t>, adopted on October 11, 2018</w:t>
      </w:r>
      <w:r>
        <w:t xml:space="preserve">, </w:t>
      </w:r>
      <w:r w:rsidRPr="007868A6" w:rsidR="53E38F35">
        <w:t xml:space="preserve">clarified and specified </w:t>
      </w:r>
      <w:r>
        <w:t>issues in Resolution</w:t>
      </w:r>
      <w:r w:rsidRPr="007868A6">
        <w:t xml:space="preserve"> </w:t>
      </w:r>
      <w:r w:rsidRPr="007868A6" w:rsidR="53E38F35">
        <w:t>E</w:t>
      </w:r>
      <w:r w:rsidRPr="007868A6" w:rsidR="115C0463">
        <w:t>-</w:t>
      </w:r>
      <w:r w:rsidRPr="007868A6" w:rsidR="53E38F35">
        <w:t>4818</w:t>
      </w:r>
      <w:r w:rsidR="65CDBA45">
        <w:t>,</w:t>
      </w:r>
      <w:r w:rsidRPr="007868A6" w:rsidR="00936614">
        <w:rPr>
          <w:rStyle w:val="FootnoteReference"/>
          <w:rFonts w:ascii="Palatino Linotype" w:hAnsi="Palatino Linotype"/>
        </w:rPr>
        <w:footnoteReference w:id="9"/>
      </w:r>
      <w:r w:rsidRPr="007868A6" w:rsidR="69BA7DC7">
        <w:t xml:space="preserve"> adopted on March 2, 2017</w:t>
      </w:r>
      <w:r w:rsidR="55DFAFED">
        <w:t xml:space="preserve">. </w:t>
      </w:r>
      <w:r>
        <w:t>Among other things, these resolutions</w:t>
      </w:r>
      <w:r w:rsidR="5638AE56">
        <w:t xml:space="preserve"> </w:t>
      </w:r>
      <w:r>
        <w:t>ordered</w:t>
      </w:r>
      <w:r w:rsidRPr="007868A6" w:rsidR="53E38F35">
        <w:t xml:space="preserve"> </w:t>
      </w:r>
      <w:r w:rsidRPr="007868A6" w:rsidR="03678F70">
        <w:t>many</w:t>
      </w:r>
      <w:r w:rsidRPr="007868A6" w:rsidR="53E38F35">
        <w:t xml:space="preserve"> significant changes</w:t>
      </w:r>
      <w:r w:rsidR="1D28D244">
        <w:t>,</w:t>
      </w:r>
      <w:r w:rsidRPr="007868A6" w:rsidR="53E38F35">
        <w:t xml:space="preserve"> </w:t>
      </w:r>
      <w:r>
        <w:t xml:space="preserve">including guidance on the </w:t>
      </w:r>
      <w:r w:rsidRPr="007868A6" w:rsidR="53E38F35">
        <w:t>peak demand period</w:t>
      </w:r>
      <w:r w:rsidR="09128944">
        <w:t>,</w:t>
      </w:r>
      <w:r w:rsidRPr="007868A6" w:rsidR="53E38F35">
        <w:t xml:space="preserve"> building prototype</w:t>
      </w:r>
      <w:r w:rsidR="09128944">
        <w:t>s,</w:t>
      </w:r>
      <w:r w:rsidRPr="007868A6" w:rsidR="53E38F35">
        <w:t xml:space="preserve"> and </w:t>
      </w:r>
      <w:r w:rsidRPr="007868A6" w:rsidR="62B92ABF">
        <w:t>measure analysis software c</w:t>
      </w:r>
      <w:r w:rsidRPr="007868A6" w:rsidR="53E38F35">
        <w:t xml:space="preserve">ontrol </w:t>
      </w:r>
      <w:r w:rsidRPr="007868A6" w:rsidR="62B92ABF">
        <w:t>(</w:t>
      </w:r>
      <w:r w:rsidRPr="007868A6" w:rsidR="53E38F35">
        <w:t>MAS</w:t>
      </w:r>
      <w:r w:rsidR="09128944">
        <w:t>C</w:t>
      </w:r>
      <w:r w:rsidRPr="007868A6" w:rsidR="53E38F35">
        <w:t>ontrol</w:t>
      </w:r>
      <w:r w:rsidR="09128944">
        <w:t>3)</w:t>
      </w:r>
      <w:r w:rsidRPr="007868A6" w:rsidR="53E38F35">
        <w:t xml:space="preserve"> updates.</w:t>
      </w:r>
    </w:p>
    <w:p w:rsidR="53E38F35" w:rsidRDefault="53E38F35" w14:paraId="19B2564F" w14:textId="77777777"/>
    <w:p w:rsidRPr="008A28CD" w:rsidR="00C95F27" w:rsidP="00064073" w:rsidRDefault="00C95F27" w14:paraId="03A659CC" w14:textId="16AFA02B">
      <w:pPr>
        <w:pStyle w:val="Heading2"/>
      </w:pPr>
      <w:bookmarkStart w:name="_Toc48835509" w:id="20"/>
      <w:bookmarkStart w:name="_Toc48843025" w:id="21"/>
      <w:bookmarkStart w:name="_Toc48845841" w:id="22"/>
      <w:bookmarkStart w:name="_Toc48900736" w:id="23"/>
      <w:r w:rsidRPr="008A28CD">
        <w:t xml:space="preserve">Timing and </w:t>
      </w:r>
      <w:r w:rsidRPr="00064073">
        <w:t>Applicability</w:t>
      </w:r>
      <w:r w:rsidRPr="008A28CD">
        <w:t xml:space="preserve"> of DEER Updates</w:t>
      </w:r>
      <w:bookmarkEnd w:id="20"/>
      <w:bookmarkEnd w:id="21"/>
      <w:bookmarkEnd w:id="22"/>
      <w:bookmarkEnd w:id="23"/>
    </w:p>
    <w:p w:rsidR="00BA4801" w:rsidP="008E2F07" w:rsidRDefault="00EF6CE0" w14:paraId="71AABB7F" w14:textId="6C34D085">
      <w:r w:rsidRPr="007868A6">
        <w:t xml:space="preserve">DEER updates flow into the </w:t>
      </w:r>
      <w:r w:rsidR="001C5B49">
        <w:t xml:space="preserve">EE </w:t>
      </w:r>
      <w:r w:rsidRPr="007868A6">
        <w:t xml:space="preserve">portfolio development process by providing new </w:t>
      </w:r>
      <w:r>
        <w:t xml:space="preserve">deemed </w:t>
      </w:r>
      <w:r w:rsidR="001C5B49">
        <w:t xml:space="preserve">energy </w:t>
      </w:r>
      <w:r w:rsidRPr="007868A6">
        <w:t xml:space="preserve">savings estimates </w:t>
      </w:r>
      <w:r w:rsidRPr="007868A6" w:rsidR="00725C20">
        <w:t>and other</w:t>
      </w:r>
      <w:r w:rsidR="001C5B49">
        <w:t xml:space="preserve"> EE measure</w:t>
      </w:r>
      <w:r w:rsidRPr="007868A6" w:rsidR="00725C20">
        <w:t xml:space="preserve"> parameter updates </w:t>
      </w:r>
      <w:r w:rsidRPr="007868A6" w:rsidR="00955E76">
        <w:t>for program</w:t>
      </w:r>
      <w:r w:rsidRPr="007868A6">
        <w:t xml:space="preserve"> design</w:t>
      </w:r>
      <w:r w:rsidR="00EC149B">
        <w:t xml:space="preserve">. </w:t>
      </w:r>
      <w:r w:rsidRPr="007868A6">
        <w:t>New</w:t>
      </w:r>
      <w:r w:rsidR="001C5B49">
        <w:t xml:space="preserve"> energy</w:t>
      </w:r>
      <w:r w:rsidRPr="007868A6">
        <w:t xml:space="preserve"> savings estimates</w:t>
      </w:r>
      <w:r w:rsidRPr="007868A6" w:rsidR="008975C4">
        <w:t>,</w:t>
      </w:r>
      <w:r w:rsidRPr="007868A6">
        <w:t xml:space="preserve"> </w:t>
      </w:r>
      <w:r w:rsidRPr="007868A6" w:rsidR="00D50321">
        <w:t xml:space="preserve">and </w:t>
      </w:r>
      <w:r w:rsidRPr="007868A6" w:rsidR="00B748DF">
        <w:t xml:space="preserve">underlying </w:t>
      </w:r>
      <w:r w:rsidRPr="007868A6">
        <w:t>assumptions</w:t>
      </w:r>
      <w:r w:rsidRPr="007868A6" w:rsidR="00B748DF">
        <w:t>,</w:t>
      </w:r>
      <w:r w:rsidRPr="007868A6">
        <w:t xml:space="preserve"> methods</w:t>
      </w:r>
      <w:r w:rsidRPr="007868A6" w:rsidR="00D50321">
        <w:t>,</w:t>
      </w:r>
      <w:r w:rsidRPr="007868A6">
        <w:t xml:space="preserve"> </w:t>
      </w:r>
      <w:r w:rsidRPr="007868A6" w:rsidR="00B748DF">
        <w:t>and</w:t>
      </w:r>
      <w:r w:rsidRPr="007868A6">
        <w:t xml:space="preserve"> values</w:t>
      </w:r>
      <w:r w:rsidR="00712436">
        <w:t>,</w:t>
      </w:r>
      <w:r w:rsidRPr="007868A6">
        <w:t xml:space="preserve"> inform </w:t>
      </w:r>
      <w:r w:rsidRPr="007868A6" w:rsidR="00D50321">
        <w:t xml:space="preserve">the direction of </w:t>
      </w:r>
      <w:r w:rsidR="0085545C">
        <w:t>energy efficiency</w:t>
      </w:r>
      <w:r w:rsidRPr="007868A6">
        <w:t xml:space="preserve"> program</w:t>
      </w:r>
      <w:r w:rsidRPr="007868A6" w:rsidR="00D50321">
        <w:t>s.</w:t>
      </w:r>
      <w:r w:rsidRPr="007868A6">
        <w:t xml:space="preserve"> </w:t>
      </w:r>
      <w:r w:rsidRPr="007868A6" w:rsidR="00D50321">
        <w:t xml:space="preserve">These allow </w:t>
      </w:r>
      <w:r w:rsidR="009567A8">
        <w:t>p</w:t>
      </w:r>
      <w:r w:rsidRPr="007868A6" w:rsidR="009567A8">
        <w:t xml:space="preserve">rogram </w:t>
      </w:r>
      <w:r w:rsidR="009567A8">
        <w:t>a</w:t>
      </w:r>
      <w:r w:rsidRPr="007868A6" w:rsidR="009567A8">
        <w:t>dministrators</w:t>
      </w:r>
      <w:r w:rsidRPr="007868A6" w:rsidR="00085C99">
        <w:t xml:space="preserve"> </w:t>
      </w:r>
      <w:r w:rsidRPr="007868A6">
        <w:t xml:space="preserve">to shift </w:t>
      </w:r>
      <w:r w:rsidRPr="007868A6" w:rsidR="00955E76">
        <w:t xml:space="preserve">program </w:t>
      </w:r>
      <w:r w:rsidRPr="007868A6">
        <w:t xml:space="preserve">eligibility </w:t>
      </w:r>
      <w:r w:rsidRPr="007868A6" w:rsidR="00D50321">
        <w:t xml:space="preserve">requirements </w:t>
      </w:r>
      <w:r w:rsidRPr="007868A6">
        <w:t>and incentive support</w:t>
      </w:r>
      <w:r w:rsidRPr="007868A6" w:rsidR="00D50321">
        <w:t xml:space="preserve"> mechanisms</w:t>
      </w:r>
      <w:r w:rsidRPr="007868A6">
        <w:t xml:space="preserve"> to </w:t>
      </w:r>
      <w:r w:rsidRPr="007868A6" w:rsidR="00B748DF">
        <w:t>deliver</w:t>
      </w:r>
      <w:r w:rsidR="000D5CE0">
        <w:t xml:space="preserve"> the most reliable,</w:t>
      </w:r>
      <w:r w:rsidRPr="007868A6">
        <w:t xml:space="preserve"> </w:t>
      </w:r>
      <w:r w:rsidRPr="007868A6" w:rsidR="00955E76">
        <w:t>cost</w:t>
      </w:r>
      <w:r w:rsidRPr="007868A6" w:rsidR="00D50321">
        <w:t>-</w:t>
      </w:r>
      <w:r w:rsidRPr="007868A6" w:rsidR="00955E76">
        <w:t xml:space="preserve">effective </w:t>
      </w:r>
      <w:r w:rsidR="000D5CE0">
        <w:t xml:space="preserve">energy </w:t>
      </w:r>
      <w:r w:rsidRPr="007868A6">
        <w:t>savings</w:t>
      </w:r>
      <w:r w:rsidRPr="007868A6" w:rsidR="00955E76">
        <w:t>.</w:t>
      </w:r>
      <w:r w:rsidRPr="007868A6">
        <w:t xml:space="preserve"> DEER updates may also reflect new market conditions</w:t>
      </w:r>
      <w:r w:rsidR="00EC149B">
        <w:t xml:space="preserve">. </w:t>
      </w:r>
      <w:r>
        <w:t xml:space="preserve">The </w:t>
      </w:r>
      <w:r w:rsidRPr="007868A6" w:rsidR="004A49EB">
        <w:t>PAs</w:t>
      </w:r>
      <w:r w:rsidRPr="007868A6">
        <w:t xml:space="preserve"> </w:t>
      </w:r>
      <w:r w:rsidRPr="007868A6" w:rsidR="009D4206">
        <w:t>are required</w:t>
      </w:r>
      <w:r w:rsidRPr="007868A6">
        <w:t xml:space="preserve"> to </w:t>
      </w:r>
      <w:r w:rsidR="000D5CE0">
        <w:t>ensure</w:t>
      </w:r>
      <w:r w:rsidRPr="007868A6">
        <w:t xml:space="preserve"> new assumptions and values </w:t>
      </w:r>
      <w:r w:rsidR="000D5CE0">
        <w:t xml:space="preserve">are incorporated into </w:t>
      </w:r>
      <w:r w:rsidR="2F0AD57F">
        <w:t xml:space="preserve">the next cycle of </w:t>
      </w:r>
      <w:r w:rsidR="000D5CE0">
        <w:t xml:space="preserve">EE programs </w:t>
      </w:r>
      <w:r w:rsidRPr="007868A6">
        <w:t>by</w:t>
      </w:r>
      <w:r w:rsidR="00522320">
        <w:t xml:space="preserve"> considering</w:t>
      </w:r>
      <w:r w:rsidRPr="007868A6">
        <w:t xml:space="preserve"> a) </w:t>
      </w:r>
      <w:r w:rsidR="00522320">
        <w:t>when the next</w:t>
      </w:r>
      <w:r w:rsidRPr="007868A6" w:rsidR="00522320">
        <w:t xml:space="preserve"> </w:t>
      </w:r>
      <w:r w:rsidRPr="007868A6">
        <w:t>update</w:t>
      </w:r>
      <w:r w:rsidR="00522320">
        <w:t xml:space="preserve"> is planned</w:t>
      </w:r>
      <w:r w:rsidRPr="007868A6">
        <w:t xml:space="preserve">, b) the fundamental assumptions for the update, and c) </w:t>
      </w:r>
      <w:r w:rsidR="00522320">
        <w:t>whether</w:t>
      </w:r>
      <w:r w:rsidRPr="007868A6">
        <w:t xml:space="preserve"> shifts to their programs to capture cost</w:t>
      </w:r>
      <w:r w:rsidR="00247D6F">
        <w:t>-</w:t>
      </w:r>
      <w:r w:rsidRPr="007868A6">
        <w:t>effective savings</w:t>
      </w:r>
      <w:r w:rsidR="00522320">
        <w:t xml:space="preserve"> are needed</w:t>
      </w:r>
      <w:r w:rsidR="00EC149B">
        <w:t xml:space="preserve">. </w:t>
      </w:r>
      <w:r w:rsidRPr="007868A6">
        <w:t xml:space="preserve">Updates to DEER methods </w:t>
      </w:r>
      <w:r w:rsidRPr="007868A6" w:rsidR="00B748DF">
        <w:t>apply</w:t>
      </w:r>
      <w:r w:rsidRPr="007868A6">
        <w:t xml:space="preserve"> </w:t>
      </w:r>
      <w:r w:rsidR="000D5CE0">
        <w:t>to EE technical</w:t>
      </w:r>
      <w:r w:rsidRPr="007868A6" w:rsidR="000D5CE0">
        <w:t xml:space="preserve"> </w:t>
      </w:r>
      <w:r w:rsidR="00A8651B">
        <w:t>measure package</w:t>
      </w:r>
      <w:r w:rsidRPr="007868A6">
        <w:t xml:space="preserve"> development and custom project </w:t>
      </w:r>
      <w:r w:rsidR="000D5CE0">
        <w:t xml:space="preserve">energy </w:t>
      </w:r>
      <w:r w:rsidRPr="007868A6">
        <w:t xml:space="preserve">savings estimates as well as program </w:t>
      </w:r>
      <w:r w:rsidR="000D5CE0">
        <w:t>delivery</w:t>
      </w:r>
      <w:r w:rsidRPr="007868A6" w:rsidR="000D5CE0">
        <w:t xml:space="preserve"> </w:t>
      </w:r>
      <w:r w:rsidRPr="007868A6">
        <w:t>decisions</w:t>
      </w:r>
      <w:r w:rsidR="00EC149B">
        <w:t xml:space="preserve">. </w:t>
      </w:r>
    </w:p>
    <w:p w:rsidRPr="007868A6" w:rsidR="00C95F27" w:rsidP="008E2F07" w:rsidRDefault="00AB0630" w14:paraId="054E5058" w14:textId="7ECEE5B6">
      <w:r>
        <w:lastRenderedPageBreak/>
        <w:t xml:space="preserve">The terminology </w:t>
      </w:r>
      <w:r w:rsidR="00C70E1A">
        <w:t>“</w:t>
      </w:r>
      <w:proofErr w:type="spellStart"/>
      <w:r>
        <w:t>DEER</w:t>
      </w:r>
      <w:r w:rsidR="00C3764C">
        <w:t>xxx</w:t>
      </w:r>
      <w:r w:rsidR="00325AC9">
        <w:t>x</w:t>
      </w:r>
      <w:proofErr w:type="spellEnd"/>
      <w:r w:rsidR="00325AC9">
        <w:t>”</w:t>
      </w:r>
      <w:r>
        <w:t xml:space="preserve"> is used to designate the version of updated parameters and is independent of the conversion to using </w:t>
      </w:r>
      <w:proofErr w:type="spellStart"/>
      <w:r>
        <w:t>eTRM</w:t>
      </w:r>
      <w:proofErr w:type="spellEnd"/>
      <w:r w:rsidR="00EC149B">
        <w:t xml:space="preserve">. </w:t>
      </w:r>
      <w:r w:rsidR="00B63996">
        <w:t xml:space="preserve">The year shown </w:t>
      </w:r>
      <w:r w:rsidR="00C07814">
        <w:t xml:space="preserve">reflects the program year that </w:t>
      </w:r>
      <w:r w:rsidR="004B4D0B">
        <w:t>a given</w:t>
      </w:r>
      <w:r w:rsidR="00C07814">
        <w:t xml:space="preserve"> update</w:t>
      </w:r>
      <w:r w:rsidR="00B63996">
        <w:t xml:space="preserve"> takes effect</w:t>
      </w:r>
      <w:r w:rsidR="00EC149B">
        <w:t xml:space="preserve">. </w:t>
      </w:r>
      <w:r w:rsidR="00B63996">
        <w:t xml:space="preserve">Beginning </w:t>
      </w:r>
      <w:r w:rsidR="004179E8">
        <w:t>January 1,</w:t>
      </w:r>
      <w:r w:rsidR="00B63996">
        <w:t xml:space="preserve"> 2022</w:t>
      </w:r>
      <w:r w:rsidR="4B0201ED">
        <w:t>,</w:t>
      </w:r>
      <w:r w:rsidR="000A3DE1">
        <w:t xml:space="preserve"> DEER no longer </w:t>
      </w:r>
      <w:r w:rsidR="005C6270">
        <w:t>refers</w:t>
      </w:r>
      <w:r w:rsidR="000A3DE1">
        <w:t xml:space="preserve"> to the </w:t>
      </w:r>
      <w:proofErr w:type="spellStart"/>
      <w:r w:rsidR="000A3DE1">
        <w:t>ExAnte</w:t>
      </w:r>
      <w:proofErr w:type="spellEnd"/>
      <w:r w:rsidR="000A3DE1">
        <w:t xml:space="preserve"> and</w:t>
      </w:r>
      <w:r w:rsidR="00096F85">
        <w:t xml:space="preserve"> Preliminary Ex Ante Review</w:t>
      </w:r>
      <w:r w:rsidR="000A3DE1">
        <w:t xml:space="preserve"> (PEAR</w:t>
      </w:r>
      <w:r w:rsidR="00C10312">
        <w:t>)</w:t>
      </w:r>
      <w:r w:rsidR="000A3DE1">
        <w:t xml:space="preserve"> databases</w:t>
      </w:r>
      <w:r w:rsidR="00214816">
        <w:t>,</w:t>
      </w:r>
      <w:r w:rsidR="0034421F">
        <w:t xml:space="preserve"> since these data </w:t>
      </w:r>
      <w:r w:rsidR="00453694">
        <w:t>now</w:t>
      </w:r>
      <w:r w:rsidR="0034421F">
        <w:t xml:space="preserve"> </w:t>
      </w:r>
      <w:r w:rsidR="00730543">
        <w:t>are accessed via</w:t>
      </w:r>
      <w:r w:rsidR="0034421F">
        <w:t xml:space="preserve"> the </w:t>
      </w:r>
      <w:proofErr w:type="spellStart"/>
      <w:r w:rsidR="0034421F">
        <w:t>eTRM</w:t>
      </w:r>
      <w:proofErr w:type="spellEnd"/>
      <w:r w:rsidR="0034421F">
        <w:t>.</w:t>
      </w:r>
    </w:p>
    <w:p w:rsidRPr="00482B1C" w:rsidR="00B156A2" w:rsidP="00064073" w:rsidRDefault="00465916" w14:paraId="6C031BC3" w14:textId="347D4CF3">
      <w:pPr>
        <w:pStyle w:val="Heading2"/>
      </w:pPr>
      <w:bookmarkStart w:name="_Toc48835510" w:id="24"/>
      <w:bookmarkStart w:name="_Toc48843026" w:id="25"/>
      <w:bookmarkStart w:name="_Toc48845842" w:id="26"/>
      <w:bookmarkStart w:name="_Toc48900737" w:id="27"/>
      <w:r w:rsidRPr="00482B1C">
        <w:t>Scoping Document and U</w:t>
      </w:r>
      <w:r w:rsidRPr="00482B1C" w:rsidR="00B156A2">
        <w:t>pdates for DEER202</w:t>
      </w:r>
      <w:r w:rsidRPr="00482B1C" w:rsidR="7C1A8DC6">
        <w:t>6</w:t>
      </w:r>
      <w:r w:rsidRPr="00482B1C" w:rsidR="00EA1627">
        <w:t xml:space="preserve"> and </w:t>
      </w:r>
      <w:r w:rsidRPr="00482B1C">
        <w:t>R</w:t>
      </w:r>
      <w:r w:rsidRPr="00482B1C" w:rsidR="00B156A2">
        <w:t xml:space="preserve">evised </w:t>
      </w:r>
      <w:bookmarkEnd w:id="24"/>
      <w:bookmarkEnd w:id="25"/>
      <w:bookmarkEnd w:id="26"/>
      <w:bookmarkEnd w:id="27"/>
      <w:r w:rsidRPr="00482B1C" w:rsidR="00B156A2">
        <w:t>DEER202</w:t>
      </w:r>
      <w:r w:rsidRPr="00482B1C" w:rsidR="36241C9B">
        <w:t>4</w:t>
      </w:r>
    </w:p>
    <w:p w:rsidR="127B664A" w:rsidRDefault="127B664A" w14:paraId="2D5B513C" w14:textId="1D147CF3">
      <w:r w:rsidRPr="00482B1C">
        <w:t>On</w:t>
      </w:r>
      <w:r w:rsidRPr="00482B1C" w:rsidR="00395338">
        <w:t xml:space="preserve"> </w:t>
      </w:r>
      <w:r w:rsidRPr="00482B1C" w:rsidR="00482B1C">
        <w:t>August</w:t>
      </w:r>
      <w:r w:rsidRPr="00482B1C" w:rsidR="00A73AA1">
        <w:t xml:space="preserve"> </w:t>
      </w:r>
      <w:r w:rsidRPr="00482B1C" w:rsidR="00482B1C">
        <w:t>1</w:t>
      </w:r>
      <w:r w:rsidRPr="00482B1C" w:rsidR="00A73AA1">
        <w:t>, 202</w:t>
      </w:r>
      <w:r w:rsidRPr="00482B1C" w:rsidR="00CC5CA4">
        <w:t>4</w:t>
      </w:r>
      <w:r w:rsidR="00FD4165">
        <w:t>,</w:t>
      </w:r>
      <w:r w:rsidRPr="00482B1C">
        <w:t xml:space="preserve"> the CPUC Energy Division released for public comment a Scoping Document outlining the</w:t>
      </w:r>
      <w:r>
        <w:t xml:space="preserve"> proposed issues and updates to be addressed in this DEER resolution. The Scoping Document described the various issues that may be considered in this resolution and the rationale for why these issues need to be addressed. </w:t>
      </w:r>
      <w:r w:rsidR="00200645">
        <w:t>Twelve</w:t>
      </w:r>
      <w:r w:rsidR="00A73AA1">
        <w:t xml:space="preserve"> stakeholders, including all four investor-owned utilities (IOUs), submitted comments on the Scoping Document.</w:t>
      </w:r>
      <w:r w:rsidR="00A73AA1">
        <w:rPr>
          <w:rStyle w:val="FootnoteReference"/>
        </w:rPr>
        <w:footnoteReference w:id="10"/>
      </w:r>
      <w:r w:rsidR="00A73AA1">
        <w:t xml:space="preserve"> Below are the issues raised most frequently in the comments:</w:t>
      </w:r>
    </w:p>
    <w:p w:rsidRPr="000A07DB" w:rsidR="00A73AA1" w:rsidP="00B41824" w:rsidRDefault="00964B75" w14:paraId="45497A1D" w14:textId="7F0F2BD4">
      <w:pPr>
        <w:pStyle w:val="ListParagraph"/>
      </w:pPr>
      <w:r>
        <w:t>M</w:t>
      </w:r>
      <w:r w:rsidR="006B775E">
        <w:t>easure package update timeline</w:t>
      </w:r>
    </w:p>
    <w:p w:rsidR="00D057F5" w:rsidP="00B41824" w:rsidRDefault="00964B75" w14:paraId="72AECA02" w14:textId="18D31F5C">
      <w:pPr>
        <w:pStyle w:val="ListParagraph"/>
      </w:pPr>
      <w:r>
        <w:t>In support</w:t>
      </w:r>
      <w:r w:rsidR="00F7102D">
        <w:t xml:space="preserve"> of load shape updates</w:t>
      </w:r>
    </w:p>
    <w:p w:rsidR="003D42C6" w:rsidP="00B41824" w:rsidRDefault="003D42C6" w14:paraId="4874D3C1" w14:textId="7777A0D5">
      <w:pPr>
        <w:pStyle w:val="ListParagraph"/>
      </w:pPr>
      <w:r>
        <w:t>Refrigerant leakage impacts</w:t>
      </w:r>
    </w:p>
    <w:p w:rsidR="002C32E4" w:rsidP="1BEEFBBC" w:rsidRDefault="24AE2430" w14:paraId="4B8FE656" w14:textId="466C38A7">
      <w:pPr>
        <w:pStyle w:val="ListParagraph"/>
        <w:rPr>
          <w:szCs w:val="24"/>
        </w:rPr>
      </w:pPr>
      <w:r>
        <w:t xml:space="preserve">Running </w:t>
      </w:r>
      <w:r w:rsidR="1F13E5A8">
        <w:t>the Cost Effectiveness Tool (CET)</w:t>
      </w:r>
      <w:r>
        <w:t xml:space="preserve"> </w:t>
      </w:r>
      <w:r w:rsidR="29977136">
        <w:t xml:space="preserve">from within </w:t>
      </w:r>
      <w:proofErr w:type="spellStart"/>
      <w:r w:rsidR="29977136">
        <w:t>eTRM</w:t>
      </w:r>
      <w:proofErr w:type="spellEnd"/>
    </w:p>
    <w:p w:rsidR="000378CA" w:rsidP="00B41824" w:rsidRDefault="000378CA" w14:paraId="53C24C0E" w14:textId="11F5D66C">
      <w:pPr>
        <w:pStyle w:val="ListParagraph"/>
      </w:pPr>
      <w:proofErr w:type="spellStart"/>
      <w:r>
        <w:t>eTRM</w:t>
      </w:r>
      <w:proofErr w:type="spellEnd"/>
      <w:r>
        <w:t xml:space="preserve"> table structure changes</w:t>
      </w:r>
    </w:p>
    <w:p w:rsidR="000378CA" w:rsidP="00B41824" w:rsidRDefault="000378CA" w14:paraId="62FB1952" w14:textId="31306110">
      <w:pPr>
        <w:pStyle w:val="ListParagraph"/>
      </w:pPr>
      <w:r>
        <w:t>Mid-cycle adjustments</w:t>
      </w:r>
      <w:r w:rsidR="009C3DDC">
        <w:t xml:space="preserve"> to locked ex ante values</w:t>
      </w:r>
    </w:p>
    <w:p w:rsidR="00A73AA1" w:rsidP="00F83181" w:rsidRDefault="00944284" w14:paraId="48D39904" w14:textId="61461DF7">
      <w:pPr>
        <w:pStyle w:val="ListParagraph"/>
      </w:pPr>
      <w:proofErr w:type="spellStart"/>
      <w:r>
        <w:t>FuelID</w:t>
      </w:r>
      <w:proofErr w:type="spellEnd"/>
      <w:r>
        <w:t xml:space="preserve"> table</w:t>
      </w:r>
      <w:r w:rsidR="00131FFE">
        <w:t xml:space="preserve"> </w:t>
      </w:r>
      <w:r w:rsidR="00D3756B">
        <w:t xml:space="preserve">replacing </w:t>
      </w:r>
      <w:proofErr w:type="spellStart"/>
      <w:r w:rsidR="00D3756B">
        <w:t>FuelSubID</w:t>
      </w:r>
      <w:proofErr w:type="spellEnd"/>
      <w:r w:rsidR="00D3756B">
        <w:t xml:space="preserve"> table</w:t>
      </w:r>
    </w:p>
    <w:p w:rsidRPr="00B97D13" w:rsidR="000D5CE0" w:rsidP="000D5CE0" w:rsidRDefault="00A73AA1" w14:paraId="1B332319" w14:textId="7AD36D51">
      <w:pPr>
        <w:rPr>
          <w:u w:val="single"/>
        </w:rPr>
      </w:pPr>
      <w:r>
        <w:t>In consideration of the</w:t>
      </w:r>
      <w:r w:rsidR="00125AE1">
        <w:t xml:space="preserve"> comments to the Scoping Document, the t</w:t>
      </w:r>
      <w:r w:rsidRPr="00B97D13" w:rsidR="000D5CE0">
        <w:t xml:space="preserve">opic areas </w:t>
      </w:r>
      <w:r w:rsidR="000D5CE0">
        <w:t xml:space="preserve">addressed in this DEER update </w:t>
      </w:r>
      <w:r w:rsidR="00F323CD">
        <w:t>are</w:t>
      </w:r>
      <w:r w:rsidRPr="00B97D13" w:rsidR="00F323CD">
        <w:t xml:space="preserve"> </w:t>
      </w:r>
      <w:r w:rsidRPr="00B97D13" w:rsidR="000D5CE0">
        <w:t>summarized in Table 1. The guidance for these updates is described in the Discussion section</w:t>
      </w:r>
      <w:r w:rsidR="000D5CE0">
        <w:t xml:space="preserve"> that follows.</w:t>
      </w:r>
      <w:r w:rsidRPr="00B97D13" w:rsidR="000D5CE0">
        <w:t xml:space="preserve"> </w:t>
      </w:r>
      <w:r w:rsidR="000D5CE0">
        <w:t>A</w:t>
      </w:r>
      <w:r w:rsidRPr="00B97D13" w:rsidR="000D5CE0">
        <w:t xml:space="preserve"> more detailed technical description of the changes and additions is provided in Attachment A to this Resolution. Complete documentation and supporting material on the updated assumptions and methods and updated DEER elements such as database tables, calculators, and web pages are available at </w:t>
      </w:r>
      <w:hyperlink w:history="1" r:id="rId11">
        <w:r w:rsidRPr="00DD5ABE" w:rsidR="00C81A07">
          <w:t>the</w:t>
        </w:r>
      </w:hyperlink>
      <w:r w:rsidRPr="00DD5ABE" w:rsidR="00C81A07">
        <w:t xml:space="preserve"> DEER Module on CEDARS</w:t>
      </w:r>
      <w:r w:rsidRPr="00DD5ABE" w:rsidR="000D5CE0">
        <w:t>.</w:t>
      </w:r>
      <w:r w:rsidRPr="127B664A" w:rsidR="000D5CE0">
        <w:rPr>
          <w:rStyle w:val="FootnoteReference"/>
          <w:rFonts w:ascii="Palatino Linotype" w:hAnsi="Palatino Linotype" w:cs="Arial"/>
          <w:color w:val="000000" w:themeColor="text1"/>
        </w:rPr>
        <w:footnoteReference w:id="11"/>
      </w:r>
    </w:p>
    <w:p w:rsidR="00316E71" w:rsidP="008E2F07" w:rsidRDefault="00316E71" w14:paraId="73B2B9B6" w14:textId="3F9EA072">
      <w:r>
        <w:br w:type="page"/>
      </w:r>
    </w:p>
    <w:p w:rsidRPr="00084A8E" w:rsidR="00AA1BFD" w:rsidP="009E220F" w:rsidRDefault="00AA1BFD" w14:paraId="1E8E3DD7" w14:textId="0EFCACF8">
      <w:pPr>
        <w:pStyle w:val="Caption"/>
      </w:pPr>
      <w:bookmarkStart w:name="_Ref11940666" w:id="28"/>
      <w:r w:rsidRPr="00084A8E">
        <w:lastRenderedPageBreak/>
        <w:t xml:space="preserve">Table </w:t>
      </w:r>
      <w:bookmarkEnd w:id="28"/>
      <w:r w:rsidR="003A59A0">
        <w:fldChar w:fldCharType="begin"/>
      </w:r>
      <w:r w:rsidR="003A59A0">
        <w:instrText xml:space="preserve"> SEQ Table \* ARABIC </w:instrText>
      </w:r>
      <w:r w:rsidR="003A59A0">
        <w:fldChar w:fldCharType="separate"/>
      </w:r>
      <w:r w:rsidR="00787722">
        <w:rPr>
          <w:noProof/>
        </w:rPr>
        <w:t>1</w:t>
      </w:r>
      <w:r w:rsidR="003A59A0">
        <w:fldChar w:fldCharType="end"/>
      </w:r>
      <w:r w:rsidRPr="00084A8E" w:rsidR="003B3FB5">
        <w:t>.</w:t>
      </w:r>
      <w:r w:rsidRPr="00084A8E">
        <w:t xml:space="preserve"> DEER202</w:t>
      </w:r>
      <w:r w:rsidR="00773477">
        <w:t>6</w:t>
      </w:r>
      <w:r w:rsidRPr="00084A8E">
        <w:t xml:space="preserve"> </w:t>
      </w:r>
      <w:r w:rsidRPr="00A804E8" w:rsidR="00CD552A">
        <w:t>Update</w:t>
      </w:r>
      <w:r w:rsidRPr="00084A8E">
        <w:t xml:space="preserve"> </w:t>
      </w:r>
    </w:p>
    <w:tbl>
      <w:tblPr>
        <w:tblW w:w="9618" w:type="dxa"/>
        <w:tblInd w:w="58" w:type="dxa"/>
        <w:tblLayout w:type="fixed"/>
        <w:tblCellMar>
          <w:top w:w="29" w:type="dxa"/>
          <w:left w:w="58" w:type="dxa"/>
          <w:bottom w:w="14" w:type="dxa"/>
          <w:right w:w="58" w:type="dxa"/>
        </w:tblCellMar>
        <w:tblLook w:val="04A0" w:firstRow="1" w:lastRow="0" w:firstColumn="1" w:lastColumn="0" w:noHBand="0" w:noVBand="1"/>
      </w:tblPr>
      <w:tblGrid>
        <w:gridCol w:w="655"/>
        <w:gridCol w:w="448"/>
        <w:gridCol w:w="89"/>
        <w:gridCol w:w="810"/>
        <w:gridCol w:w="3296"/>
        <w:gridCol w:w="358"/>
        <w:gridCol w:w="362"/>
        <w:gridCol w:w="359"/>
        <w:gridCol w:w="359"/>
        <w:gridCol w:w="359"/>
        <w:gridCol w:w="359"/>
        <w:gridCol w:w="364"/>
        <w:gridCol w:w="359"/>
        <w:gridCol w:w="359"/>
        <w:gridCol w:w="359"/>
        <w:gridCol w:w="359"/>
        <w:gridCol w:w="364"/>
      </w:tblGrid>
      <w:tr w:rsidRPr="00730611" w:rsidR="00D47195" w:rsidTr="00C45584" w14:paraId="67458C9C" w14:textId="77777777">
        <w:trPr>
          <w:trHeight w:val="336"/>
          <w:tblHeader/>
        </w:trPr>
        <w:tc>
          <w:tcPr>
            <w:tcW w:w="655" w:type="dxa"/>
            <w:vMerge w:val="restart"/>
            <w:tcBorders>
              <w:top w:val="single" w:color="auto" w:sz="4" w:space="0"/>
              <w:left w:val="single" w:color="auto" w:sz="4" w:space="0"/>
              <w:right w:val="single" w:color="auto" w:sz="4" w:space="0"/>
            </w:tcBorders>
          </w:tcPr>
          <w:p w:rsidR="00584A00" w:rsidP="00584A00" w:rsidRDefault="00584A00" w14:paraId="693A71FC" w14:textId="77777777">
            <w:pPr>
              <w:pStyle w:val="Table"/>
              <w:jc w:val="center"/>
            </w:pPr>
          </w:p>
          <w:p w:rsidR="00584A00" w:rsidP="00584A00" w:rsidRDefault="00584A00" w14:paraId="29690F0D" w14:textId="77777777">
            <w:pPr>
              <w:pStyle w:val="Table"/>
              <w:jc w:val="center"/>
            </w:pPr>
          </w:p>
          <w:p w:rsidR="00584A00" w:rsidP="00584A00" w:rsidRDefault="00584A00" w14:paraId="47265F4B" w14:textId="77777777">
            <w:pPr>
              <w:pStyle w:val="Table"/>
              <w:jc w:val="center"/>
            </w:pPr>
          </w:p>
          <w:p w:rsidR="00584A00" w:rsidP="00584A00" w:rsidRDefault="00584A00" w14:paraId="52E87150" w14:textId="77777777">
            <w:pPr>
              <w:pStyle w:val="Table"/>
              <w:jc w:val="center"/>
            </w:pPr>
          </w:p>
          <w:p w:rsidR="00584A00" w:rsidP="00584A00" w:rsidRDefault="00584A00" w14:paraId="77D898BE" w14:textId="77777777">
            <w:pPr>
              <w:pStyle w:val="Table"/>
              <w:jc w:val="center"/>
            </w:pPr>
          </w:p>
          <w:p w:rsidR="00584A00" w:rsidP="00584A00" w:rsidRDefault="00584A00" w14:paraId="316514CC" w14:textId="77777777">
            <w:pPr>
              <w:pStyle w:val="Table"/>
              <w:jc w:val="center"/>
            </w:pPr>
          </w:p>
          <w:p w:rsidRPr="00730611" w:rsidR="00584A00" w:rsidP="00584A00" w:rsidRDefault="00584A00" w14:paraId="1065532A" w14:textId="43D08402">
            <w:pPr>
              <w:pStyle w:val="Table"/>
              <w:jc w:val="center"/>
            </w:pPr>
            <w:r w:rsidRPr="000853BA">
              <w:t>Priority</w:t>
            </w:r>
          </w:p>
        </w:tc>
        <w:tc>
          <w:tcPr>
            <w:tcW w:w="537" w:type="dxa"/>
            <w:gridSpan w:val="2"/>
            <w:vMerge w:val="restart"/>
            <w:tcBorders>
              <w:top w:val="single" w:color="auto" w:sz="4" w:space="0"/>
              <w:left w:val="single" w:color="auto" w:sz="4" w:space="0"/>
              <w:right w:val="single" w:color="auto" w:sz="4" w:space="0"/>
            </w:tcBorders>
          </w:tcPr>
          <w:p w:rsidR="00584A00" w:rsidP="00584A00" w:rsidRDefault="00584A00" w14:paraId="63697B81" w14:textId="77777777">
            <w:pPr>
              <w:pStyle w:val="Table"/>
              <w:jc w:val="center"/>
            </w:pPr>
          </w:p>
          <w:p w:rsidR="00584A00" w:rsidP="00584A00" w:rsidRDefault="00584A00" w14:paraId="60B3EDBC" w14:textId="77777777">
            <w:pPr>
              <w:pStyle w:val="Table"/>
              <w:jc w:val="center"/>
            </w:pPr>
          </w:p>
          <w:p w:rsidR="00584A00" w:rsidP="00584A00" w:rsidRDefault="00584A00" w14:paraId="71B43862" w14:textId="77777777">
            <w:pPr>
              <w:pStyle w:val="Table"/>
              <w:jc w:val="center"/>
            </w:pPr>
          </w:p>
          <w:p w:rsidR="00584A00" w:rsidP="00584A00" w:rsidRDefault="00584A00" w14:paraId="29E407CE" w14:textId="77777777">
            <w:pPr>
              <w:pStyle w:val="Table"/>
              <w:jc w:val="center"/>
            </w:pPr>
          </w:p>
          <w:p w:rsidR="00584A00" w:rsidP="00584A00" w:rsidRDefault="00584A00" w14:paraId="6985EB23" w14:textId="77777777">
            <w:pPr>
              <w:pStyle w:val="Table"/>
              <w:jc w:val="center"/>
            </w:pPr>
          </w:p>
          <w:p w:rsidR="00584A00" w:rsidP="00584A00" w:rsidRDefault="00584A00" w14:paraId="67D1E2AE" w14:textId="77777777">
            <w:pPr>
              <w:pStyle w:val="Table"/>
              <w:jc w:val="center"/>
            </w:pPr>
          </w:p>
          <w:p w:rsidRPr="00730611" w:rsidR="00584A00" w:rsidP="00584A00" w:rsidRDefault="00584A00" w14:paraId="1A342FED" w14:textId="7DF62AB8">
            <w:pPr>
              <w:pStyle w:val="Table"/>
              <w:jc w:val="center"/>
            </w:pPr>
            <w:r>
              <w:t>Effort</w:t>
            </w:r>
          </w:p>
        </w:tc>
        <w:tc>
          <w:tcPr>
            <w:tcW w:w="810" w:type="dxa"/>
            <w:vMerge w:val="restart"/>
            <w:tcBorders>
              <w:top w:val="single" w:color="auto" w:sz="4" w:space="0"/>
              <w:left w:val="single" w:color="auto" w:sz="4" w:space="0"/>
              <w:right w:val="single" w:color="auto" w:sz="4" w:space="0"/>
            </w:tcBorders>
            <w:vAlign w:val="bottom"/>
          </w:tcPr>
          <w:p w:rsidRPr="00730611" w:rsidR="00584A00" w:rsidP="00584A00" w:rsidRDefault="00584A00" w14:paraId="5F1F5D61" w14:textId="516B0E0D">
            <w:pPr>
              <w:pStyle w:val="Table"/>
              <w:jc w:val="center"/>
            </w:pPr>
            <w:r w:rsidRPr="00737C2E">
              <w:t>DEER Version</w:t>
            </w:r>
          </w:p>
        </w:tc>
        <w:tc>
          <w:tcPr>
            <w:tcW w:w="3296" w:type="dxa"/>
            <w:tcBorders>
              <w:top w:val="single" w:color="auto" w:sz="4" w:space="0"/>
              <w:left w:val="nil"/>
              <w:right w:val="single" w:color="auto" w:sz="4" w:space="0"/>
            </w:tcBorders>
            <w:shd w:val="clear" w:color="auto" w:fill="auto"/>
            <w:noWrap/>
            <w:vAlign w:val="center"/>
            <w:hideMark/>
          </w:tcPr>
          <w:p w:rsidRPr="00730611" w:rsidR="00584A00" w:rsidP="00584A00" w:rsidRDefault="00584A00" w14:paraId="514E3A9D" w14:textId="77777777">
            <w:pPr>
              <w:pStyle w:val="Table"/>
              <w:jc w:val="center"/>
            </w:pP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rsidRPr="00730611" w:rsidR="00584A00" w:rsidP="00EC4C28" w:rsidRDefault="00584A00" w14:paraId="412B73D9" w14:textId="77777777">
            <w:pPr>
              <w:pStyle w:val="Table"/>
              <w:jc w:val="center"/>
            </w:pPr>
            <w:r w:rsidRPr="00730611">
              <w:t>Sector</w:t>
            </w:r>
          </w:p>
        </w:tc>
        <w:tc>
          <w:tcPr>
            <w:tcW w:w="1800" w:type="dxa"/>
            <w:gridSpan w:val="5"/>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730611" w:rsidR="00584A00" w:rsidP="00EC4C28" w:rsidRDefault="00584A00" w14:paraId="3B082B5E" w14:textId="77777777">
            <w:pPr>
              <w:pStyle w:val="Table"/>
              <w:jc w:val="center"/>
            </w:pPr>
            <w:r w:rsidRPr="00730611">
              <w:t>Measure/Tech Group</w:t>
            </w:r>
          </w:p>
        </w:tc>
        <w:tc>
          <w:tcPr>
            <w:tcW w:w="1800" w:type="dxa"/>
            <w:gridSpan w:val="5"/>
            <w:tcBorders>
              <w:top w:val="single" w:color="auto" w:sz="4" w:space="0"/>
              <w:left w:val="nil"/>
              <w:bottom w:val="single" w:color="auto" w:sz="4" w:space="0"/>
              <w:right w:val="single" w:color="auto" w:sz="4" w:space="0"/>
            </w:tcBorders>
            <w:vAlign w:val="center"/>
          </w:tcPr>
          <w:p w:rsidRPr="00730611" w:rsidR="00584A00" w:rsidP="00EC4C28" w:rsidRDefault="00584A00" w14:paraId="43747F54" w14:textId="77777777">
            <w:pPr>
              <w:pStyle w:val="Table"/>
              <w:jc w:val="center"/>
            </w:pPr>
            <w:r w:rsidRPr="00730611">
              <w:t>Forecasted Value</w:t>
            </w:r>
          </w:p>
        </w:tc>
      </w:tr>
      <w:tr w:rsidRPr="00730611" w:rsidR="006C047E" w:rsidTr="00C45584" w14:paraId="480B544F" w14:textId="77777777">
        <w:trPr>
          <w:trHeight w:val="638"/>
          <w:tblHeader/>
        </w:trPr>
        <w:tc>
          <w:tcPr>
            <w:tcW w:w="655" w:type="dxa"/>
            <w:vMerge/>
            <w:tcBorders>
              <w:left w:val="single" w:color="auto" w:sz="4" w:space="0"/>
              <w:right w:val="single" w:color="auto" w:sz="4" w:space="0"/>
            </w:tcBorders>
            <w:vAlign w:val="center"/>
          </w:tcPr>
          <w:p w:rsidRPr="00737C2E" w:rsidR="00584A00" w:rsidP="00584A00" w:rsidRDefault="00584A00" w14:paraId="7230275E" w14:textId="33665562">
            <w:pPr>
              <w:pStyle w:val="Table"/>
              <w:jc w:val="center"/>
              <w:rPr>
                <w:sz w:val="16"/>
                <w:szCs w:val="16"/>
              </w:rPr>
            </w:pPr>
          </w:p>
        </w:tc>
        <w:tc>
          <w:tcPr>
            <w:tcW w:w="537" w:type="dxa"/>
            <w:gridSpan w:val="2"/>
            <w:vMerge/>
            <w:tcBorders>
              <w:left w:val="single" w:color="auto" w:sz="4" w:space="0"/>
              <w:right w:val="single" w:color="auto" w:sz="4" w:space="0"/>
            </w:tcBorders>
            <w:vAlign w:val="center"/>
          </w:tcPr>
          <w:p w:rsidRPr="00737C2E" w:rsidR="00584A00" w:rsidP="00584A00" w:rsidRDefault="00584A00" w14:paraId="3C63342A" w14:textId="716EC9A1">
            <w:pPr>
              <w:pStyle w:val="Table"/>
              <w:jc w:val="center"/>
            </w:pPr>
          </w:p>
        </w:tc>
        <w:tc>
          <w:tcPr>
            <w:tcW w:w="810" w:type="dxa"/>
            <w:vMerge/>
            <w:tcBorders>
              <w:left w:val="single" w:color="auto" w:sz="4" w:space="0"/>
              <w:right w:val="single" w:color="auto" w:sz="4" w:space="0"/>
            </w:tcBorders>
            <w:vAlign w:val="bottom"/>
          </w:tcPr>
          <w:p w:rsidRPr="00737C2E" w:rsidR="00584A00" w:rsidP="00584A00" w:rsidRDefault="00584A00" w14:paraId="44D50234" w14:textId="56018739">
            <w:pPr>
              <w:pStyle w:val="Table"/>
              <w:jc w:val="center"/>
            </w:pPr>
          </w:p>
        </w:tc>
        <w:tc>
          <w:tcPr>
            <w:tcW w:w="3296" w:type="dxa"/>
            <w:tcBorders>
              <w:left w:val="nil"/>
              <w:right w:val="single" w:color="auto" w:sz="4" w:space="0"/>
            </w:tcBorders>
            <w:shd w:val="clear" w:color="auto" w:fill="auto"/>
            <w:noWrap/>
            <w:vAlign w:val="bottom"/>
            <w:hideMark/>
          </w:tcPr>
          <w:p w:rsidRPr="00737C2E" w:rsidR="00584A00" w:rsidP="00584A00" w:rsidRDefault="00584A00" w14:paraId="3AC261A7" w14:textId="77777777">
            <w:pPr>
              <w:pStyle w:val="Table"/>
              <w:jc w:val="center"/>
            </w:pPr>
          </w:p>
        </w:tc>
        <w:tc>
          <w:tcPr>
            <w:tcW w:w="358" w:type="dxa"/>
            <w:vMerge w:val="restart"/>
            <w:tcBorders>
              <w:top w:val="nil"/>
              <w:left w:val="nil"/>
              <w:bottom w:val="double" w:color="auto" w:sz="4" w:space="0"/>
              <w:right w:val="single" w:color="auto" w:sz="4" w:space="0"/>
            </w:tcBorders>
            <w:shd w:val="clear" w:color="auto" w:fill="auto"/>
            <w:noWrap/>
            <w:textDirection w:val="btLr"/>
            <w:vAlign w:val="center"/>
            <w:hideMark/>
          </w:tcPr>
          <w:p w:rsidRPr="00737C2E" w:rsidR="00584A00" w:rsidP="00402450" w:rsidRDefault="00584A00" w14:paraId="4E291890" w14:textId="0248F591">
            <w:pPr>
              <w:pStyle w:val="Table"/>
            </w:pPr>
            <w:r w:rsidRPr="00737C2E">
              <w:t>Residential</w:t>
            </w:r>
          </w:p>
        </w:tc>
        <w:tc>
          <w:tcPr>
            <w:tcW w:w="362" w:type="dxa"/>
            <w:vMerge w:val="restart"/>
            <w:tcBorders>
              <w:top w:val="nil"/>
              <w:left w:val="single" w:color="auto" w:sz="4" w:space="0"/>
              <w:bottom w:val="double" w:color="auto" w:sz="4" w:space="0"/>
              <w:right w:val="single" w:color="auto" w:sz="4" w:space="0"/>
            </w:tcBorders>
            <w:shd w:val="clear" w:color="auto" w:fill="auto"/>
            <w:noWrap/>
            <w:textDirection w:val="btLr"/>
            <w:vAlign w:val="center"/>
            <w:hideMark/>
          </w:tcPr>
          <w:p w:rsidRPr="00737C2E" w:rsidR="00584A00" w:rsidP="00402450" w:rsidRDefault="00584A00" w14:paraId="19A01E70" w14:textId="6FAB20F3">
            <w:pPr>
              <w:pStyle w:val="Table"/>
            </w:pPr>
            <w:r w:rsidRPr="00737C2E">
              <w:t>No</w:t>
            </w:r>
            <w:r w:rsidR="00184E5D">
              <w:t>n-Res</w:t>
            </w:r>
          </w:p>
        </w:tc>
        <w:tc>
          <w:tcPr>
            <w:tcW w:w="359" w:type="dxa"/>
            <w:vMerge w:val="restart"/>
            <w:tcBorders>
              <w:top w:val="nil"/>
              <w:left w:val="single" w:color="auto" w:sz="4" w:space="0"/>
              <w:bottom w:val="double" w:color="auto" w:sz="4" w:space="0"/>
              <w:right w:val="single" w:color="auto" w:sz="4" w:space="0"/>
            </w:tcBorders>
            <w:shd w:val="clear" w:color="auto" w:fill="F2F2F2" w:themeFill="background1" w:themeFillShade="F2"/>
            <w:noWrap/>
            <w:textDirection w:val="btLr"/>
            <w:vAlign w:val="center"/>
            <w:hideMark/>
          </w:tcPr>
          <w:p w:rsidRPr="00737C2E" w:rsidR="00584A00" w:rsidP="00402450" w:rsidRDefault="00584A00" w14:paraId="2EBC6529" w14:textId="77777777">
            <w:pPr>
              <w:pStyle w:val="Table"/>
            </w:pPr>
            <w:r w:rsidRPr="00737C2E">
              <w:t>Lighting</w:t>
            </w:r>
          </w:p>
        </w:tc>
        <w:tc>
          <w:tcPr>
            <w:tcW w:w="359" w:type="dxa"/>
            <w:vMerge w:val="restart"/>
            <w:tcBorders>
              <w:top w:val="nil"/>
              <w:left w:val="nil"/>
              <w:bottom w:val="double" w:color="auto" w:sz="4" w:space="0"/>
              <w:right w:val="single" w:color="auto" w:sz="4" w:space="0"/>
            </w:tcBorders>
            <w:shd w:val="clear" w:color="auto" w:fill="F2F2F2" w:themeFill="background1" w:themeFillShade="F2"/>
            <w:noWrap/>
            <w:textDirection w:val="btLr"/>
            <w:vAlign w:val="center"/>
            <w:hideMark/>
          </w:tcPr>
          <w:p w:rsidRPr="00737C2E" w:rsidR="00584A00" w:rsidP="00402450" w:rsidRDefault="00584A00" w14:paraId="0C81B1C3" w14:textId="7303F08C">
            <w:pPr>
              <w:pStyle w:val="Table"/>
            </w:pPr>
            <w:r w:rsidRPr="00737C2E">
              <w:t>HVAC*</w:t>
            </w:r>
          </w:p>
        </w:tc>
        <w:tc>
          <w:tcPr>
            <w:tcW w:w="359" w:type="dxa"/>
            <w:vMerge w:val="restart"/>
            <w:tcBorders>
              <w:top w:val="nil"/>
              <w:left w:val="single" w:color="auto" w:sz="4" w:space="0"/>
              <w:bottom w:val="double" w:color="auto" w:sz="4" w:space="0"/>
              <w:right w:val="single" w:color="auto" w:sz="4" w:space="0"/>
            </w:tcBorders>
            <w:shd w:val="clear" w:color="auto" w:fill="F2F2F2" w:themeFill="background1" w:themeFillShade="F2"/>
            <w:noWrap/>
            <w:textDirection w:val="btLr"/>
            <w:vAlign w:val="center"/>
            <w:hideMark/>
          </w:tcPr>
          <w:p w:rsidRPr="00737C2E" w:rsidR="00584A00" w:rsidP="00402450" w:rsidRDefault="00584A00" w14:paraId="668D2D7A" w14:textId="43143165">
            <w:pPr>
              <w:pStyle w:val="Table"/>
            </w:pPr>
            <w:r w:rsidRPr="00737C2E">
              <w:t>DHW*</w:t>
            </w:r>
          </w:p>
        </w:tc>
        <w:tc>
          <w:tcPr>
            <w:tcW w:w="359" w:type="dxa"/>
            <w:vMerge w:val="restart"/>
            <w:tcBorders>
              <w:top w:val="nil"/>
              <w:left w:val="nil"/>
              <w:bottom w:val="double" w:color="auto" w:sz="4" w:space="0"/>
              <w:right w:val="single" w:color="auto" w:sz="4" w:space="0"/>
            </w:tcBorders>
            <w:shd w:val="clear" w:color="auto" w:fill="F2F2F2" w:themeFill="background1" w:themeFillShade="F2"/>
            <w:noWrap/>
            <w:textDirection w:val="btLr"/>
            <w:vAlign w:val="center"/>
            <w:hideMark/>
          </w:tcPr>
          <w:p w:rsidRPr="00737C2E" w:rsidR="00584A00" w:rsidP="00402450" w:rsidRDefault="00584A00" w14:paraId="51167E88" w14:textId="77777777">
            <w:pPr>
              <w:pStyle w:val="Table"/>
            </w:pPr>
            <w:r w:rsidRPr="00737C2E">
              <w:t>Envelope</w:t>
            </w:r>
          </w:p>
        </w:tc>
        <w:tc>
          <w:tcPr>
            <w:tcW w:w="364" w:type="dxa"/>
            <w:vMerge w:val="restart"/>
            <w:tcBorders>
              <w:top w:val="nil"/>
              <w:left w:val="single" w:color="auto" w:sz="4" w:space="0"/>
              <w:bottom w:val="double" w:color="auto" w:sz="4" w:space="0"/>
              <w:right w:val="single" w:color="auto" w:sz="4" w:space="0"/>
            </w:tcBorders>
            <w:shd w:val="clear" w:color="auto" w:fill="F2F2F2" w:themeFill="background1" w:themeFillShade="F2"/>
            <w:noWrap/>
            <w:textDirection w:val="btLr"/>
            <w:vAlign w:val="center"/>
            <w:hideMark/>
          </w:tcPr>
          <w:p w:rsidRPr="00737C2E" w:rsidR="00584A00" w:rsidP="00402450" w:rsidRDefault="009949FC" w14:paraId="6700FFBF" w14:textId="648DE0C6">
            <w:pPr>
              <w:pStyle w:val="Table"/>
            </w:pPr>
            <w:r>
              <w:t>Plug</w:t>
            </w:r>
            <w:r w:rsidRPr="00737C2E" w:rsidR="00584A00">
              <w:t>/Process</w:t>
            </w:r>
          </w:p>
        </w:tc>
        <w:tc>
          <w:tcPr>
            <w:tcW w:w="359" w:type="dxa"/>
            <w:vMerge w:val="restart"/>
            <w:tcBorders>
              <w:top w:val="nil"/>
              <w:left w:val="nil"/>
              <w:bottom w:val="double" w:color="auto" w:sz="4" w:space="0"/>
              <w:right w:val="single" w:color="auto" w:sz="4" w:space="0"/>
            </w:tcBorders>
            <w:shd w:val="clear" w:color="auto" w:fill="auto"/>
            <w:noWrap/>
            <w:textDirection w:val="btLr"/>
            <w:vAlign w:val="center"/>
            <w:hideMark/>
          </w:tcPr>
          <w:p w:rsidRPr="00737C2E" w:rsidR="00584A00" w:rsidP="00402450" w:rsidRDefault="00584A00" w14:paraId="2C602226" w14:textId="5243B013">
            <w:pPr>
              <w:pStyle w:val="Table"/>
            </w:pPr>
            <w:r w:rsidRPr="00737C2E">
              <w:t>UES*</w:t>
            </w:r>
          </w:p>
        </w:tc>
        <w:tc>
          <w:tcPr>
            <w:tcW w:w="359" w:type="dxa"/>
            <w:vMerge w:val="restart"/>
            <w:tcBorders>
              <w:top w:val="nil"/>
              <w:left w:val="single" w:color="auto" w:sz="4" w:space="0"/>
              <w:bottom w:val="double" w:color="auto" w:sz="4" w:space="0"/>
              <w:right w:val="single" w:color="auto" w:sz="4" w:space="0"/>
            </w:tcBorders>
            <w:textDirection w:val="btLr"/>
            <w:vAlign w:val="center"/>
          </w:tcPr>
          <w:p w:rsidRPr="00737C2E" w:rsidR="00584A00" w:rsidP="00402450" w:rsidRDefault="00584A00" w14:paraId="7F0AC486" w14:textId="65EA5D7B">
            <w:pPr>
              <w:pStyle w:val="Table"/>
            </w:pPr>
            <w:r w:rsidRPr="00737C2E">
              <w:t>NTG*</w:t>
            </w:r>
          </w:p>
        </w:tc>
        <w:tc>
          <w:tcPr>
            <w:tcW w:w="359" w:type="dxa"/>
            <w:vMerge w:val="restart"/>
            <w:tcBorders>
              <w:top w:val="nil"/>
              <w:left w:val="single" w:color="auto" w:sz="4" w:space="0"/>
              <w:bottom w:val="double" w:color="auto" w:sz="4" w:space="0"/>
              <w:right w:val="single" w:color="auto" w:sz="4" w:space="0"/>
            </w:tcBorders>
            <w:shd w:val="clear" w:color="auto" w:fill="auto"/>
            <w:noWrap/>
            <w:textDirection w:val="btLr"/>
            <w:vAlign w:val="center"/>
            <w:hideMark/>
          </w:tcPr>
          <w:p w:rsidRPr="00737C2E" w:rsidR="00584A00" w:rsidP="00402450" w:rsidRDefault="00584A00" w14:paraId="5B2235C6" w14:textId="0B0D4CB8">
            <w:pPr>
              <w:pStyle w:val="Table"/>
            </w:pPr>
            <w:r w:rsidRPr="00737C2E">
              <w:t>EUL*</w:t>
            </w:r>
          </w:p>
        </w:tc>
        <w:tc>
          <w:tcPr>
            <w:tcW w:w="359" w:type="dxa"/>
            <w:vMerge w:val="restart"/>
            <w:tcBorders>
              <w:top w:val="nil"/>
              <w:left w:val="nil"/>
              <w:bottom w:val="double" w:color="auto" w:sz="4" w:space="0"/>
              <w:right w:val="single" w:color="auto" w:sz="4" w:space="0"/>
            </w:tcBorders>
            <w:textDirection w:val="btLr"/>
            <w:vAlign w:val="center"/>
          </w:tcPr>
          <w:p w:rsidRPr="00737C2E" w:rsidR="00584A00" w:rsidP="00402450" w:rsidRDefault="00584A00" w14:paraId="4A75D8C0" w14:textId="77FAE358">
            <w:pPr>
              <w:pStyle w:val="Table"/>
            </w:pPr>
            <w:r w:rsidRPr="00737C2E">
              <w:t>Measure Cost</w:t>
            </w:r>
          </w:p>
        </w:tc>
        <w:tc>
          <w:tcPr>
            <w:tcW w:w="359" w:type="dxa"/>
            <w:vMerge w:val="restart"/>
            <w:tcBorders>
              <w:top w:val="nil"/>
              <w:left w:val="single" w:color="auto" w:sz="4" w:space="0"/>
              <w:bottom w:val="double" w:color="auto" w:sz="4" w:space="0"/>
              <w:right w:val="single" w:color="auto" w:sz="4" w:space="0"/>
            </w:tcBorders>
            <w:textDirection w:val="btLr"/>
            <w:vAlign w:val="center"/>
          </w:tcPr>
          <w:p w:rsidRPr="00737C2E" w:rsidR="00584A00" w:rsidP="00402450" w:rsidRDefault="00584A00" w14:paraId="26092634" w14:textId="60F6C95F">
            <w:pPr>
              <w:pStyle w:val="Table"/>
            </w:pPr>
            <w:r w:rsidRPr="00737C2E">
              <w:t>Other</w:t>
            </w:r>
          </w:p>
        </w:tc>
      </w:tr>
      <w:tr w:rsidRPr="00730611" w:rsidR="006C047E" w:rsidTr="00C45584" w14:paraId="2A70D7F1" w14:textId="77777777">
        <w:trPr>
          <w:cantSplit/>
          <w:trHeight w:val="457"/>
          <w:tblHeader/>
        </w:trPr>
        <w:tc>
          <w:tcPr>
            <w:tcW w:w="655" w:type="dxa"/>
            <w:vMerge/>
            <w:tcBorders>
              <w:left w:val="single" w:color="auto" w:sz="4" w:space="0"/>
              <w:bottom w:val="double" w:color="auto" w:sz="4" w:space="0"/>
              <w:right w:val="single" w:color="auto" w:sz="4" w:space="0"/>
            </w:tcBorders>
            <w:textDirection w:val="btLr"/>
            <w:vAlign w:val="center"/>
          </w:tcPr>
          <w:p w:rsidRPr="00730611" w:rsidR="00584A00" w:rsidP="00584A00" w:rsidRDefault="00584A00" w14:paraId="75AE361C" w14:textId="77777777">
            <w:pPr>
              <w:pStyle w:val="Table"/>
              <w:jc w:val="center"/>
            </w:pPr>
          </w:p>
        </w:tc>
        <w:tc>
          <w:tcPr>
            <w:tcW w:w="537" w:type="dxa"/>
            <w:gridSpan w:val="2"/>
            <w:vMerge/>
            <w:tcBorders>
              <w:left w:val="single" w:color="auto" w:sz="4" w:space="0"/>
              <w:right w:val="single" w:color="auto" w:sz="4" w:space="0"/>
            </w:tcBorders>
            <w:textDirection w:val="btLr"/>
            <w:vAlign w:val="center"/>
          </w:tcPr>
          <w:p w:rsidRPr="00730611" w:rsidR="00584A00" w:rsidP="00584A00" w:rsidRDefault="00584A00" w14:paraId="375EC117" w14:textId="77777777">
            <w:pPr>
              <w:pStyle w:val="Table"/>
              <w:jc w:val="center"/>
            </w:pPr>
          </w:p>
        </w:tc>
        <w:tc>
          <w:tcPr>
            <w:tcW w:w="810" w:type="dxa"/>
            <w:vMerge/>
            <w:tcBorders>
              <w:left w:val="single" w:color="auto" w:sz="4" w:space="0"/>
              <w:bottom w:val="double" w:color="auto" w:sz="4" w:space="0"/>
              <w:right w:val="single" w:color="auto" w:sz="4" w:space="0"/>
            </w:tcBorders>
            <w:vAlign w:val="bottom"/>
          </w:tcPr>
          <w:p w:rsidRPr="00730611" w:rsidR="00584A00" w:rsidP="00584A00" w:rsidRDefault="00584A00" w14:paraId="49225F01" w14:textId="77777777">
            <w:pPr>
              <w:pStyle w:val="Table"/>
              <w:jc w:val="center"/>
            </w:pPr>
          </w:p>
        </w:tc>
        <w:tc>
          <w:tcPr>
            <w:tcW w:w="3296" w:type="dxa"/>
            <w:tcBorders>
              <w:left w:val="single" w:color="auto" w:sz="4" w:space="0"/>
              <w:bottom w:val="double" w:color="auto" w:sz="4" w:space="0"/>
              <w:right w:val="single" w:color="auto" w:sz="4" w:space="0"/>
            </w:tcBorders>
            <w:shd w:val="clear" w:color="auto" w:fill="auto"/>
            <w:noWrap/>
            <w:vAlign w:val="bottom"/>
          </w:tcPr>
          <w:p w:rsidRPr="000853BA" w:rsidR="00584A00" w:rsidP="00584A00" w:rsidRDefault="00584A00" w14:paraId="46A3866D" w14:textId="77777777">
            <w:pPr>
              <w:pStyle w:val="Table"/>
              <w:jc w:val="center"/>
            </w:pPr>
            <w:r w:rsidRPr="000853BA">
              <w:t>Update Topic Area</w:t>
            </w:r>
          </w:p>
        </w:tc>
        <w:tc>
          <w:tcPr>
            <w:tcW w:w="358" w:type="dxa"/>
            <w:vMerge/>
            <w:tcBorders>
              <w:top w:val="double" w:color="auto" w:sz="4" w:space="0"/>
              <w:bottom w:val="double" w:color="auto" w:sz="4" w:space="0"/>
              <w:right w:val="single" w:color="auto" w:sz="4" w:space="0"/>
            </w:tcBorders>
            <w:noWrap/>
            <w:textDirection w:val="btLr"/>
            <w:vAlign w:val="center"/>
          </w:tcPr>
          <w:p w:rsidRPr="00730611" w:rsidR="00584A00" w:rsidP="008E2F07" w:rsidRDefault="00584A00" w14:paraId="0A68CE01" w14:textId="77777777">
            <w:pPr>
              <w:rPr>
                <w:rFonts w:asciiTheme="minorHAnsi" w:hAnsiTheme="minorHAnsi" w:cstheme="minorHAnsi"/>
                <w:sz w:val="18"/>
                <w:szCs w:val="18"/>
              </w:rPr>
            </w:pPr>
          </w:p>
        </w:tc>
        <w:tc>
          <w:tcPr>
            <w:tcW w:w="362" w:type="dxa"/>
            <w:vMerge/>
            <w:tcBorders>
              <w:top w:val="double" w:color="auto" w:sz="4" w:space="0"/>
              <w:left w:val="single" w:color="auto" w:sz="4" w:space="0"/>
              <w:bottom w:val="double" w:color="auto" w:sz="4" w:space="0"/>
              <w:right w:val="single" w:color="auto" w:sz="4" w:space="0"/>
            </w:tcBorders>
            <w:noWrap/>
            <w:textDirection w:val="btLr"/>
            <w:vAlign w:val="center"/>
          </w:tcPr>
          <w:p w:rsidRPr="00730611" w:rsidR="00584A00" w:rsidP="008E2F07" w:rsidRDefault="00584A00" w14:paraId="71B3BDFF" w14:textId="77777777">
            <w:pPr>
              <w:rPr>
                <w:rFonts w:asciiTheme="minorHAnsi" w:hAnsiTheme="minorHAnsi" w:cstheme="minorHAnsi"/>
                <w:sz w:val="18"/>
                <w:szCs w:val="18"/>
              </w:rPr>
            </w:pPr>
          </w:p>
        </w:tc>
        <w:tc>
          <w:tcPr>
            <w:tcW w:w="359" w:type="dxa"/>
            <w:vMerge/>
            <w:tcBorders>
              <w:left w:val="single" w:color="auto" w:sz="4" w:space="0"/>
              <w:bottom w:val="double" w:color="auto" w:sz="4" w:space="0"/>
              <w:right w:val="single" w:color="auto" w:sz="4" w:space="0"/>
            </w:tcBorders>
            <w:noWrap/>
            <w:textDirection w:val="btLr"/>
            <w:vAlign w:val="center"/>
          </w:tcPr>
          <w:p w:rsidRPr="00730611" w:rsidR="00584A00" w:rsidP="008E2F07" w:rsidRDefault="00584A00" w14:paraId="178CE456" w14:textId="77777777">
            <w:pPr>
              <w:rPr>
                <w:rFonts w:asciiTheme="minorHAnsi" w:hAnsiTheme="minorHAnsi" w:cstheme="minorHAnsi"/>
                <w:sz w:val="18"/>
                <w:szCs w:val="18"/>
              </w:rPr>
            </w:pPr>
          </w:p>
        </w:tc>
        <w:tc>
          <w:tcPr>
            <w:tcW w:w="359" w:type="dxa"/>
            <w:vMerge/>
            <w:tcBorders>
              <w:top w:val="double" w:color="auto" w:sz="4" w:space="0"/>
              <w:left w:val="single" w:color="auto" w:sz="4" w:space="0"/>
              <w:bottom w:val="double" w:color="auto" w:sz="4" w:space="0"/>
              <w:right w:val="single" w:color="auto" w:sz="4" w:space="0"/>
            </w:tcBorders>
            <w:noWrap/>
            <w:textDirection w:val="btLr"/>
            <w:vAlign w:val="center"/>
          </w:tcPr>
          <w:p w:rsidRPr="00730611" w:rsidR="00584A00" w:rsidP="008E2F07" w:rsidRDefault="00584A00" w14:paraId="13208519" w14:textId="77777777">
            <w:pPr>
              <w:rPr>
                <w:rFonts w:asciiTheme="minorHAnsi" w:hAnsiTheme="minorHAnsi" w:cstheme="minorHAnsi"/>
                <w:sz w:val="18"/>
                <w:szCs w:val="18"/>
              </w:rPr>
            </w:pPr>
          </w:p>
        </w:tc>
        <w:tc>
          <w:tcPr>
            <w:tcW w:w="359" w:type="dxa"/>
            <w:vMerge/>
            <w:tcBorders>
              <w:left w:val="single" w:color="auto" w:sz="4" w:space="0"/>
              <w:bottom w:val="double" w:color="auto" w:sz="4" w:space="0"/>
              <w:right w:val="single" w:color="auto" w:sz="4" w:space="0"/>
            </w:tcBorders>
            <w:noWrap/>
            <w:textDirection w:val="btLr"/>
            <w:vAlign w:val="center"/>
          </w:tcPr>
          <w:p w:rsidRPr="00730611" w:rsidR="00584A00" w:rsidP="008E2F07" w:rsidRDefault="00584A00" w14:paraId="619EB8FE" w14:textId="77777777">
            <w:pPr>
              <w:rPr>
                <w:rFonts w:asciiTheme="minorHAnsi" w:hAnsiTheme="minorHAnsi" w:cstheme="minorHAnsi"/>
                <w:sz w:val="18"/>
                <w:szCs w:val="18"/>
              </w:rPr>
            </w:pPr>
          </w:p>
        </w:tc>
        <w:tc>
          <w:tcPr>
            <w:tcW w:w="359" w:type="dxa"/>
            <w:vMerge/>
            <w:tcBorders>
              <w:top w:val="double" w:color="auto" w:sz="4" w:space="0"/>
              <w:left w:val="single" w:color="auto" w:sz="4" w:space="0"/>
              <w:bottom w:val="double" w:color="auto" w:sz="4" w:space="0"/>
              <w:right w:val="single" w:color="auto" w:sz="4" w:space="0"/>
            </w:tcBorders>
            <w:noWrap/>
            <w:textDirection w:val="btLr"/>
            <w:vAlign w:val="center"/>
          </w:tcPr>
          <w:p w:rsidRPr="00730611" w:rsidR="00584A00" w:rsidP="008E2F07" w:rsidRDefault="00584A00" w14:paraId="212BC8DC" w14:textId="77777777">
            <w:pPr>
              <w:rPr>
                <w:rFonts w:asciiTheme="minorHAnsi" w:hAnsiTheme="minorHAnsi" w:cstheme="minorHAnsi"/>
                <w:sz w:val="18"/>
                <w:szCs w:val="18"/>
              </w:rPr>
            </w:pPr>
          </w:p>
        </w:tc>
        <w:tc>
          <w:tcPr>
            <w:tcW w:w="364" w:type="dxa"/>
            <w:vMerge/>
            <w:tcBorders>
              <w:left w:val="single" w:color="auto" w:sz="4" w:space="0"/>
              <w:bottom w:val="double" w:color="auto" w:sz="4" w:space="0"/>
              <w:right w:val="single" w:color="auto" w:sz="4" w:space="0"/>
            </w:tcBorders>
            <w:noWrap/>
            <w:textDirection w:val="btLr"/>
            <w:vAlign w:val="center"/>
          </w:tcPr>
          <w:p w:rsidRPr="00730611" w:rsidR="00584A00" w:rsidP="008E2F07" w:rsidRDefault="00584A00" w14:paraId="27C55892" w14:textId="77777777">
            <w:pPr>
              <w:rPr>
                <w:rFonts w:asciiTheme="minorHAnsi" w:hAnsiTheme="minorHAnsi" w:cstheme="minorHAnsi"/>
                <w:sz w:val="18"/>
                <w:szCs w:val="18"/>
              </w:rPr>
            </w:pPr>
          </w:p>
        </w:tc>
        <w:tc>
          <w:tcPr>
            <w:tcW w:w="359" w:type="dxa"/>
            <w:vMerge/>
            <w:tcBorders>
              <w:top w:val="double" w:color="auto" w:sz="4" w:space="0"/>
              <w:left w:val="single" w:color="auto" w:sz="4" w:space="0"/>
              <w:bottom w:val="double" w:color="auto" w:sz="4" w:space="0"/>
              <w:right w:val="single" w:color="auto" w:sz="4" w:space="0"/>
            </w:tcBorders>
            <w:noWrap/>
            <w:textDirection w:val="btLr"/>
            <w:vAlign w:val="center"/>
          </w:tcPr>
          <w:p w:rsidRPr="00730611" w:rsidR="00584A00" w:rsidP="008E2F07" w:rsidRDefault="00584A00" w14:paraId="58E398CD" w14:textId="77777777">
            <w:pPr>
              <w:rPr>
                <w:rFonts w:asciiTheme="minorHAnsi" w:hAnsiTheme="minorHAnsi" w:cstheme="minorHAnsi"/>
                <w:sz w:val="18"/>
                <w:szCs w:val="18"/>
              </w:rPr>
            </w:pPr>
          </w:p>
        </w:tc>
        <w:tc>
          <w:tcPr>
            <w:tcW w:w="359" w:type="dxa"/>
            <w:vMerge/>
            <w:tcBorders>
              <w:left w:val="single" w:color="auto" w:sz="4" w:space="0"/>
              <w:bottom w:val="double" w:color="auto" w:sz="4" w:space="0"/>
              <w:right w:val="single" w:color="auto" w:sz="4" w:space="0"/>
            </w:tcBorders>
            <w:textDirection w:val="btLr"/>
          </w:tcPr>
          <w:p w:rsidRPr="00730611" w:rsidR="00584A00" w:rsidP="008E2F07" w:rsidRDefault="00584A00" w14:paraId="2E69E06B" w14:textId="77777777">
            <w:pPr>
              <w:rPr>
                <w:rFonts w:asciiTheme="minorHAnsi" w:hAnsiTheme="minorHAnsi" w:cstheme="minorHAnsi"/>
                <w:sz w:val="18"/>
                <w:szCs w:val="18"/>
              </w:rPr>
            </w:pPr>
          </w:p>
        </w:tc>
        <w:tc>
          <w:tcPr>
            <w:tcW w:w="359" w:type="dxa"/>
            <w:vMerge/>
            <w:tcBorders>
              <w:left w:val="single" w:color="auto" w:sz="4" w:space="0"/>
              <w:bottom w:val="double" w:color="auto" w:sz="4" w:space="0"/>
              <w:right w:val="single" w:color="auto" w:sz="4" w:space="0"/>
            </w:tcBorders>
            <w:noWrap/>
            <w:textDirection w:val="btLr"/>
            <w:vAlign w:val="center"/>
          </w:tcPr>
          <w:p w:rsidRPr="00730611" w:rsidR="00584A00" w:rsidP="008E2F07" w:rsidRDefault="00584A00" w14:paraId="2ED32A96" w14:textId="77777777">
            <w:pPr>
              <w:rPr>
                <w:rFonts w:asciiTheme="minorHAnsi" w:hAnsiTheme="minorHAnsi" w:cstheme="minorHAnsi"/>
                <w:sz w:val="18"/>
                <w:szCs w:val="18"/>
              </w:rPr>
            </w:pPr>
          </w:p>
        </w:tc>
        <w:tc>
          <w:tcPr>
            <w:tcW w:w="359" w:type="dxa"/>
            <w:vMerge/>
            <w:tcBorders>
              <w:left w:val="single" w:color="auto" w:sz="4" w:space="0"/>
              <w:bottom w:val="double" w:color="auto" w:sz="4" w:space="0"/>
              <w:right w:val="single" w:color="auto" w:sz="4" w:space="0"/>
            </w:tcBorders>
            <w:textDirection w:val="btLr"/>
          </w:tcPr>
          <w:p w:rsidRPr="00730611" w:rsidR="00584A00" w:rsidP="008E2F07" w:rsidRDefault="00584A00" w14:paraId="76157B6E" w14:textId="77777777">
            <w:pPr>
              <w:rPr>
                <w:rFonts w:asciiTheme="minorHAnsi" w:hAnsiTheme="minorHAnsi" w:cstheme="minorHAnsi"/>
                <w:sz w:val="18"/>
                <w:szCs w:val="18"/>
              </w:rPr>
            </w:pPr>
          </w:p>
        </w:tc>
        <w:tc>
          <w:tcPr>
            <w:tcW w:w="359" w:type="dxa"/>
            <w:vMerge/>
            <w:tcBorders>
              <w:top w:val="double" w:color="auto" w:sz="4" w:space="0"/>
              <w:left w:val="single" w:color="auto" w:sz="4" w:space="0"/>
              <w:bottom w:val="double" w:color="auto" w:sz="4" w:space="0"/>
              <w:right w:val="single" w:color="auto" w:sz="4" w:space="0"/>
            </w:tcBorders>
            <w:textDirection w:val="btLr"/>
            <w:vAlign w:val="center"/>
          </w:tcPr>
          <w:p w:rsidRPr="00730611" w:rsidR="00584A00" w:rsidP="008E2F07" w:rsidRDefault="00584A00" w14:paraId="312D1AFB" w14:textId="77777777">
            <w:pPr>
              <w:rPr>
                <w:rFonts w:asciiTheme="minorHAnsi" w:hAnsiTheme="minorHAnsi" w:cstheme="minorHAnsi"/>
                <w:sz w:val="18"/>
                <w:szCs w:val="18"/>
              </w:rPr>
            </w:pPr>
          </w:p>
        </w:tc>
      </w:tr>
      <w:tr w:rsidRPr="00730611" w:rsidR="006C047E" w:rsidTr="00C45584" w14:paraId="055049D8" w14:textId="77777777">
        <w:trPr>
          <w:trHeight w:val="288"/>
        </w:trPr>
        <w:tc>
          <w:tcPr>
            <w:tcW w:w="655" w:type="dxa"/>
            <w:tcBorders>
              <w:top w:val="double" w:color="auto" w:sz="4" w:space="0"/>
              <w:left w:val="single" w:color="auto" w:sz="4" w:space="0"/>
              <w:bottom w:val="double" w:color="auto" w:sz="4" w:space="0"/>
            </w:tcBorders>
            <w:vAlign w:val="center"/>
          </w:tcPr>
          <w:p w:rsidRPr="00730611" w:rsidR="00813B21" w:rsidP="00505D4F" w:rsidRDefault="00813B21" w14:paraId="6931D1AB" w14:textId="77777777">
            <w:pPr>
              <w:pStyle w:val="Table"/>
              <w:keepNext/>
            </w:pPr>
          </w:p>
        </w:tc>
        <w:tc>
          <w:tcPr>
            <w:tcW w:w="448" w:type="dxa"/>
            <w:tcBorders>
              <w:top w:val="double" w:color="auto" w:sz="4" w:space="0"/>
              <w:bottom w:val="double" w:color="auto" w:sz="4" w:space="0"/>
            </w:tcBorders>
            <w:vAlign w:val="center"/>
          </w:tcPr>
          <w:p w:rsidRPr="00730611" w:rsidR="00813B21" w:rsidP="00505D4F" w:rsidRDefault="00813B21" w14:paraId="37458070" w14:textId="77777777">
            <w:pPr>
              <w:pStyle w:val="Table"/>
              <w:keepNext/>
            </w:pPr>
          </w:p>
        </w:tc>
        <w:tc>
          <w:tcPr>
            <w:tcW w:w="899" w:type="dxa"/>
            <w:gridSpan w:val="2"/>
            <w:tcBorders>
              <w:top w:val="double" w:color="auto" w:sz="4" w:space="0"/>
              <w:bottom w:val="double" w:color="auto" w:sz="4" w:space="0"/>
            </w:tcBorders>
            <w:vAlign w:val="center"/>
          </w:tcPr>
          <w:p w:rsidRPr="009F3248" w:rsidR="00813B21" w:rsidP="00505D4F" w:rsidRDefault="00813B21" w14:paraId="005D1113" w14:textId="77777777">
            <w:pPr>
              <w:pStyle w:val="Table"/>
              <w:keepNext/>
              <w:rPr>
                <w:b/>
                <w:bCs/>
              </w:rPr>
            </w:pPr>
          </w:p>
        </w:tc>
        <w:tc>
          <w:tcPr>
            <w:tcW w:w="3296" w:type="dxa"/>
            <w:tcBorders>
              <w:top w:val="double" w:color="auto" w:sz="4" w:space="0"/>
              <w:bottom w:val="double" w:color="auto" w:sz="4" w:space="0"/>
            </w:tcBorders>
            <w:shd w:val="clear" w:color="auto" w:fill="auto"/>
            <w:noWrap/>
            <w:vAlign w:val="center"/>
          </w:tcPr>
          <w:p w:rsidRPr="009F3248" w:rsidR="00813B21" w:rsidP="00505D4F" w:rsidRDefault="00B54A6A" w14:paraId="0D64A4DA" w14:textId="501AE4C4">
            <w:pPr>
              <w:pStyle w:val="Table"/>
              <w:keepNext/>
              <w:rPr>
                <w:b/>
                <w:bCs/>
              </w:rPr>
            </w:pPr>
            <w:r w:rsidRPr="009F3248">
              <w:rPr>
                <w:b/>
                <w:bCs/>
              </w:rPr>
              <w:t>Management of DEER Processes</w:t>
            </w:r>
          </w:p>
        </w:tc>
        <w:tc>
          <w:tcPr>
            <w:tcW w:w="358" w:type="dxa"/>
            <w:tcBorders>
              <w:top w:val="double" w:color="auto" w:sz="4" w:space="0"/>
              <w:bottom w:val="double" w:color="auto" w:sz="4" w:space="0"/>
            </w:tcBorders>
            <w:shd w:val="clear" w:color="auto" w:fill="auto"/>
            <w:noWrap/>
            <w:vAlign w:val="center"/>
          </w:tcPr>
          <w:p w:rsidRPr="00730611" w:rsidR="00813B21" w:rsidP="00505D4F" w:rsidRDefault="00813B21" w14:paraId="6914F358" w14:textId="77777777">
            <w:pPr>
              <w:pStyle w:val="Table"/>
              <w:keepNext/>
              <w:jc w:val="center"/>
            </w:pPr>
          </w:p>
        </w:tc>
        <w:tc>
          <w:tcPr>
            <w:tcW w:w="362" w:type="dxa"/>
            <w:tcBorders>
              <w:top w:val="double" w:color="auto" w:sz="4" w:space="0"/>
              <w:bottom w:val="double" w:color="auto" w:sz="4" w:space="0"/>
            </w:tcBorders>
            <w:shd w:val="clear" w:color="auto" w:fill="auto"/>
            <w:noWrap/>
            <w:vAlign w:val="center"/>
          </w:tcPr>
          <w:p w:rsidRPr="00730611" w:rsidR="00813B21" w:rsidP="00505D4F" w:rsidRDefault="00813B21" w14:paraId="63C86F5C" w14:textId="77777777">
            <w:pPr>
              <w:pStyle w:val="Table"/>
              <w:keepNext/>
              <w:jc w:val="center"/>
            </w:pPr>
          </w:p>
        </w:tc>
        <w:tc>
          <w:tcPr>
            <w:tcW w:w="359" w:type="dxa"/>
            <w:tcBorders>
              <w:top w:val="double" w:color="auto" w:sz="4" w:space="0"/>
              <w:bottom w:val="double" w:color="auto" w:sz="4" w:space="0"/>
            </w:tcBorders>
            <w:shd w:val="clear" w:color="auto" w:fill="FFFFFF" w:themeFill="background1"/>
            <w:noWrap/>
            <w:vAlign w:val="center"/>
          </w:tcPr>
          <w:p w:rsidRPr="00730611" w:rsidR="00813B21" w:rsidP="00505D4F" w:rsidRDefault="00813B21" w14:paraId="1B64FA29" w14:textId="77777777">
            <w:pPr>
              <w:pStyle w:val="Table"/>
              <w:keepNext/>
              <w:jc w:val="center"/>
            </w:pPr>
          </w:p>
        </w:tc>
        <w:tc>
          <w:tcPr>
            <w:tcW w:w="359" w:type="dxa"/>
            <w:tcBorders>
              <w:top w:val="double" w:color="auto" w:sz="4" w:space="0"/>
              <w:bottom w:val="double" w:color="auto" w:sz="4" w:space="0"/>
            </w:tcBorders>
            <w:shd w:val="clear" w:color="auto" w:fill="FFFFFF" w:themeFill="background1"/>
            <w:noWrap/>
            <w:vAlign w:val="center"/>
          </w:tcPr>
          <w:p w:rsidRPr="00730611" w:rsidR="00813B21" w:rsidP="00505D4F" w:rsidRDefault="00813B21" w14:paraId="0BDDB34A" w14:textId="77777777">
            <w:pPr>
              <w:pStyle w:val="Table"/>
              <w:keepNext/>
              <w:jc w:val="center"/>
            </w:pPr>
          </w:p>
        </w:tc>
        <w:tc>
          <w:tcPr>
            <w:tcW w:w="359" w:type="dxa"/>
            <w:tcBorders>
              <w:top w:val="double" w:color="auto" w:sz="4" w:space="0"/>
              <w:bottom w:val="double" w:color="auto" w:sz="4" w:space="0"/>
            </w:tcBorders>
            <w:shd w:val="clear" w:color="auto" w:fill="FFFFFF" w:themeFill="background1"/>
            <w:noWrap/>
            <w:vAlign w:val="center"/>
          </w:tcPr>
          <w:p w:rsidRPr="00730611" w:rsidR="00813B21" w:rsidP="00505D4F" w:rsidRDefault="00813B21" w14:paraId="5333E0CB" w14:textId="77777777">
            <w:pPr>
              <w:pStyle w:val="Table"/>
              <w:keepNext/>
              <w:jc w:val="center"/>
            </w:pPr>
          </w:p>
        </w:tc>
        <w:tc>
          <w:tcPr>
            <w:tcW w:w="359" w:type="dxa"/>
            <w:tcBorders>
              <w:top w:val="double" w:color="auto" w:sz="4" w:space="0"/>
              <w:bottom w:val="double" w:color="auto" w:sz="4" w:space="0"/>
            </w:tcBorders>
            <w:shd w:val="clear" w:color="auto" w:fill="FFFFFF" w:themeFill="background1"/>
            <w:noWrap/>
            <w:vAlign w:val="center"/>
          </w:tcPr>
          <w:p w:rsidRPr="00730611" w:rsidR="00813B21" w:rsidP="00505D4F" w:rsidRDefault="00813B21" w14:paraId="0843AD75" w14:textId="77777777">
            <w:pPr>
              <w:pStyle w:val="Table"/>
              <w:keepNext/>
              <w:jc w:val="center"/>
            </w:pPr>
          </w:p>
        </w:tc>
        <w:tc>
          <w:tcPr>
            <w:tcW w:w="364" w:type="dxa"/>
            <w:tcBorders>
              <w:top w:val="double" w:color="auto" w:sz="4" w:space="0"/>
              <w:bottom w:val="double" w:color="auto" w:sz="4" w:space="0"/>
            </w:tcBorders>
            <w:shd w:val="clear" w:color="auto" w:fill="FFFFFF" w:themeFill="background1"/>
            <w:noWrap/>
            <w:vAlign w:val="center"/>
          </w:tcPr>
          <w:p w:rsidRPr="00730611" w:rsidR="00813B21" w:rsidP="00505D4F" w:rsidRDefault="00813B21" w14:paraId="27620F96" w14:textId="77777777">
            <w:pPr>
              <w:pStyle w:val="Table"/>
              <w:keepNext/>
              <w:jc w:val="center"/>
            </w:pPr>
          </w:p>
        </w:tc>
        <w:tc>
          <w:tcPr>
            <w:tcW w:w="359" w:type="dxa"/>
            <w:tcBorders>
              <w:top w:val="double" w:color="auto" w:sz="4" w:space="0"/>
              <w:bottom w:val="double" w:color="auto" w:sz="4" w:space="0"/>
            </w:tcBorders>
            <w:shd w:val="clear" w:color="auto" w:fill="auto"/>
            <w:noWrap/>
            <w:vAlign w:val="center"/>
          </w:tcPr>
          <w:p w:rsidRPr="00730611" w:rsidR="00813B21" w:rsidP="00505D4F" w:rsidRDefault="00813B21" w14:paraId="77FCBC2A" w14:textId="77777777">
            <w:pPr>
              <w:pStyle w:val="Table"/>
              <w:keepNext/>
              <w:jc w:val="center"/>
            </w:pPr>
          </w:p>
        </w:tc>
        <w:tc>
          <w:tcPr>
            <w:tcW w:w="359" w:type="dxa"/>
            <w:tcBorders>
              <w:top w:val="double" w:color="auto" w:sz="4" w:space="0"/>
              <w:bottom w:val="double" w:color="auto" w:sz="4" w:space="0"/>
            </w:tcBorders>
            <w:vAlign w:val="center"/>
          </w:tcPr>
          <w:p w:rsidRPr="00730611" w:rsidR="00813B21" w:rsidP="00505D4F" w:rsidRDefault="00813B21" w14:paraId="35CB8CD2" w14:textId="77777777">
            <w:pPr>
              <w:pStyle w:val="Table"/>
              <w:keepNext/>
              <w:jc w:val="center"/>
            </w:pPr>
          </w:p>
        </w:tc>
        <w:tc>
          <w:tcPr>
            <w:tcW w:w="359" w:type="dxa"/>
            <w:tcBorders>
              <w:top w:val="double" w:color="auto" w:sz="4" w:space="0"/>
              <w:bottom w:val="double" w:color="auto" w:sz="4" w:space="0"/>
            </w:tcBorders>
            <w:shd w:val="clear" w:color="auto" w:fill="auto"/>
            <w:noWrap/>
            <w:vAlign w:val="center"/>
          </w:tcPr>
          <w:p w:rsidRPr="00730611" w:rsidR="00813B21" w:rsidP="00505D4F" w:rsidRDefault="00813B21" w14:paraId="5CE62DFA" w14:textId="77777777">
            <w:pPr>
              <w:pStyle w:val="Table"/>
              <w:keepNext/>
              <w:jc w:val="center"/>
            </w:pPr>
          </w:p>
        </w:tc>
        <w:tc>
          <w:tcPr>
            <w:tcW w:w="359" w:type="dxa"/>
            <w:tcBorders>
              <w:top w:val="double" w:color="auto" w:sz="4" w:space="0"/>
              <w:bottom w:val="double" w:color="auto" w:sz="4" w:space="0"/>
            </w:tcBorders>
            <w:vAlign w:val="center"/>
          </w:tcPr>
          <w:p w:rsidRPr="00730611" w:rsidR="00813B21" w:rsidP="00505D4F" w:rsidRDefault="00813B21" w14:paraId="057EB9EC" w14:textId="77777777">
            <w:pPr>
              <w:pStyle w:val="Table"/>
              <w:keepNext/>
              <w:jc w:val="center"/>
            </w:pPr>
          </w:p>
        </w:tc>
        <w:tc>
          <w:tcPr>
            <w:tcW w:w="359" w:type="dxa"/>
            <w:tcBorders>
              <w:top w:val="double" w:color="auto" w:sz="4" w:space="0"/>
              <w:bottom w:val="double" w:color="auto" w:sz="4" w:space="0"/>
              <w:right w:val="single" w:color="auto" w:sz="4" w:space="0"/>
            </w:tcBorders>
            <w:vAlign w:val="center"/>
          </w:tcPr>
          <w:p w:rsidRPr="00730611" w:rsidR="00813B21" w:rsidP="00505D4F" w:rsidRDefault="00813B21" w14:paraId="69AF4E00" w14:textId="77777777">
            <w:pPr>
              <w:pStyle w:val="Table"/>
              <w:keepNext/>
              <w:jc w:val="center"/>
            </w:pPr>
          </w:p>
        </w:tc>
      </w:tr>
      <w:tr w:rsidRPr="00730611" w:rsidR="006C047E" w:rsidTr="00C45584" w14:paraId="6ABBFEE4" w14:textId="77777777">
        <w:trPr>
          <w:trHeight w:val="288"/>
        </w:trPr>
        <w:tc>
          <w:tcPr>
            <w:tcW w:w="655" w:type="dxa"/>
            <w:tcBorders>
              <w:top w:val="double" w:color="auto" w:sz="4" w:space="0"/>
              <w:left w:val="single" w:color="auto" w:sz="4" w:space="0"/>
              <w:bottom w:val="single" w:color="auto" w:sz="4" w:space="0"/>
              <w:right w:val="single" w:color="auto" w:sz="4" w:space="0"/>
            </w:tcBorders>
            <w:vAlign w:val="center"/>
          </w:tcPr>
          <w:p w:rsidRPr="009D4AF8" w:rsidR="008914BD" w:rsidP="00D91B9A" w:rsidRDefault="005A1264" w14:paraId="52647469" w14:textId="4EBB7B3E">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537" w:type="dxa"/>
            <w:gridSpan w:val="2"/>
            <w:tcBorders>
              <w:top w:val="double" w:color="auto" w:sz="4" w:space="0"/>
              <w:left w:val="single" w:color="auto" w:sz="4" w:space="0"/>
              <w:bottom w:val="single" w:color="auto" w:sz="4" w:space="0"/>
              <w:right w:val="single" w:color="auto" w:sz="4" w:space="0"/>
            </w:tcBorders>
            <w:vAlign w:val="center"/>
          </w:tcPr>
          <w:p w:rsidRPr="00E37CAC" w:rsidR="008914BD" w:rsidP="00D91B9A" w:rsidRDefault="005A1264" w14:paraId="72D2B9FB" w14:textId="59F8843D">
            <w:pPr>
              <w:spacing w:after="0"/>
              <w:jc w:val="center"/>
              <w:rPr>
                <w:rFonts w:asciiTheme="minorHAnsi" w:hAnsiTheme="minorHAnsi" w:cstheme="minorHAnsi"/>
                <w:color w:val="000000"/>
                <w:sz w:val="18"/>
                <w:szCs w:val="18"/>
              </w:rPr>
            </w:pPr>
            <w:r w:rsidRPr="00E37CAC">
              <w:rPr>
                <w:rFonts w:asciiTheme="minorHAnsi" w:hAnsiTheme="minorHAnsi" w:cstheme="minorHAnsi"/>
                <w:color w:val="000000"/>
                <w:sz w:val="18"/>
                <w:szCs w:val="18"/>
              </w:rPr>
              <w:t>$$$</w:t>
            </w:r>
          </w:p>
        </w:tc>
        <w:tc>
          <w:tcPr>
            <w:tcW w:w="810" w:type="dxa"/>
            <w:tcBorders>
              <w:top w:val="double" w:color="auto" w:sz="4" w:space="0"/>
              <w:left w:val="single" w:color="auto" w:sz="4" w:space="0"/>
              <w:bottom w:val="single" w:color="auto" w:sz="4" w:space="0"/>
              <w:right w:val="single" w:color="auto" w:sz="4" w:space="0"/>
            </w:tcBorders>
            <w:vAlign w:val="center"/>
          </w:tcPr>
          <w:p w:rsidR="008914BD" w:rsidP="00D91B9A" w:rsidRDefault="00AB76E1" w14:paraId="1935CA39" w14:textId="27F47613">
            <w:pPr>
              <w:pStyle w:val="Table"/>
              <w:jc w:val="center"/>
            </w:pPr>
            <w:r>
              <w:t>2024-2028</w:t>
            </w:r>
          </w:p>
        </w:tc>
        <w:tc>
          <w:tcPr>
            <w:tcW w:w="3296" w:type="dxa"/>
            <w:tcBorders>
              <w:top w:val="double" w:color="auto" w:sz="4" w:space="0"/>
              <w:left w:val="single" w:color="auto" w:sz="4" w:space="0"/>
              <w:bottom w:val="single" w:color="auto" w:sz="4" w:space="0"/>
              <w:right w:val="single" w:color="auto" w:sz="4" w:space="0"/>
            </w:tcBorders>
            <w:shd w:val="clear" w:color="auto" w:fill="auto"/>
            <w:noWrap/>
            <w:vAlign w:val="center"/>
          </w:tcPr>
          <w:p w:rsidR="008914BD" w:rsidP="00FC7D10" w:rsidRDefault="008914BD" w14:paraId="3F9B9FE2" w14:textId="4A346921">
            <w:pPr>
              <w:pStyle w:val="Table"/>
              <w:ind w:left="259" w:hanging="259"/>
              <w:rPr>
                <w:shd w:val="clear" w:color="auto" w:fill="FFFFFF"/>
              </w:rPr>
            </w:pPr>
            <w:r>
              <w:rPr>
                <w:shd w:val="clear" w:color="auto" w:fill="FFFFFF"/>
              </w:rPr>
              <w:t>A.</w:t>
            </w:r>
            <w:r w:rsidR="009859C3">
              <w:rPr>
                <w:shd w:val="clear" w:color="auto" w:fill="FFFFFF"/>
              </w:rPr>
              <w:tab/>
            </w:r>
            <w:r w:rsidR="006F4E86">
              <w:rPr>
                <w:shd w:val="clear" w:color="auto" w:fill="FFFFFF"/>
              </w:rPr>
              <w:t xml:space="preserve">Updates to </w:t>
            </w:r>
            <w:proofErr w:type="spellStart"/>
            <w:r w:rsidR="006F4E86">
              <w:rPr>
                <w:shd w:val="clear" w:color="auto" w:fill="FFFFFF"/>
              </w:rPr>
              <w:t>eTRM</w:t>
            </w:r>
            <w:proofErr w:type="spellEnd"/>
            <w:r w:rsidR="006F4E86">
              <w:rPr>
                <w:shd w:val="clear" w:color="auto" w:fill="FFFFFF"/>
              </w:rPr>
              <w:t xml:space="preserve"> and Measure Packages</w:t>
            </w:r>
          </w:p>
        </w:tc>
        <w:tc>
          <w:tcPr>
            <w:tcW w:w="358" w:type="dxa"/>
            <w:tcBorders>
              <w:top w:val="double" w:color="auto" w:sz="4" w:space="0"/>
              <w:left w:val="single" w:color="auto" w:sz="4" w:space="0"/>
              <w:bottom w:val="single" w:color="auto" w:sz="4" w:space="0"/>
              <w:right w:val="single" w:color="auto" w:sz="4" w:space="0"/>
            </w:tcBorders>
            <w:shd w:val="clear" w:color="auto" w:fill="auto"/>
            <w:noWrap/>
            <w:vAlign w:val="center"/>
          </w:tcPr>
          <w:p w:rsidRPr="00730611" w:rsidR="008914BD" w:rsidP="008914BD" w:rsidRDefault="008914BD" w14:paraId="50517D43" w14:textId="655166A5">
            <w:pPr>
              <w:pStyle w:val="Table"/>
              <w:jc w:val="center"/>
            </w:pPr>
            <w:r w:rsidRPr="00730611">
              <w:t>X</w:t>
            </w:r>
          </w:p>
        </w:tc>
        <w:tc>
          <w:tcPr>
            <w:tcW w:w="362" w:type="dxa"/>
            <w:tcBorders>
              <w:top w:val="double" w:color="auto" w:sz="4" w:space="0"/>
              <w:left w:val="single" w:color="auto" w:sz="4" w:space="0"/>
              <w:bottom w:val="single" w:color="auto" w:sz="4" w:space="0"/>
              <w:right w:val="single" w:color="auto" w:sz="4" w:space="0"/>
            </w:tcBorders>
            <w:shd w:val="clear" w:color="auto" w:fill="auto"/>
            <w:noWrap/>
            <w:vAlign w:val="center"/>
          </w:tcPr>
          <w:p w:rsidRPr="00730611" w:rsidR="008914BD" w:rsidP="008914BD" w:rsidRDefault="008914BD" w14:paraId="613F5D36" w14:textId="7EDBB868">
            <w:pPr>
              <w:pStyle w:val="Table"/>
              <w:jc w:val="center"/>
            </w:pPr>
            <w:r w:rsidRPr="00730611">
              <w:t>X</w:t>
            </w:r>
          </w:p>
        </w:tc>
        <w:tc>
          <w:tcPr>
            <w:tcW w:w="359" w:type="dxa"/>
            <w:tcBorders>
              <w:top w:val="doub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914BD" w:rsidP="008914BD" w:rsidRDefault="008914BD" w14:paraId="56E7D3B5" w14:textId="4E3E6045">
            <w:pPr>
              <w:pStyle w:val="Table"/>
              <w:jc w:val="center"/>
            </w:pPr>
            <w:r w:rsidRPr="00730611">
              <w:t>X</w:t>
            </w:r>
          </w:p>
        </w:tc>
        <w:tc>
          <w:tcPr>
            <w:tcW w:w="359" w:type="dxa"/>
            <w:tcBorders>
              <w:top w:val="doub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914BD" w:rsidP="008914BD" w:rsidRDefault="008914BD" w14:paraId="16B1A099" w14:textId="4A0025E3">
            <w:pPr>
              <w:pStyle w:val="Table"/>
              <w:jc w:val="center"/>
            </w:pPr>
            <w:r w:rsidRPr="00730611">
              <w:t>X</w:t>
            </w:r>
          </w:p>
        </w:tc>
        <w:tc>
          <w:tcPr>
            <w:tcW w:w="359" w:type="dxa"/>
            <w:tcBorders>
              <w:top w:val="doub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914BD" w:rsidP="008914BD" w:rsidRDefault="008914BD" w14:paraId="376AB8E4" w14:textId="02BA41BF">
            <w:pPr>
              <w:pStyle w:val="Table"/>
              <w:jc w:val="center"/>
            </w:pPr>
            <w:r w:rsidRPr="00730611">
              <w:t>X</w:t>
            </w:r>
          </w:p>
        </w:tc>
        <w:tc>
          <w:tcPr>
            <w:tcW w:w="359" w:type="dxa"/>
            <w:tcBorders>
              <w:top w:val="doub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914BD" w:rsidP="008914BD" w:rsidRDefault="008914BD" w14:paraId="1443DC38" w14:textId="3E78EC6B">
            <w:pPr>
              <w:pStyle w:val="Table"/>
              <w:jc w:val="center"/>
            </w:pPr>
            <w:r w:rsidRPr="00730611">
              <w:t>X</w:t>
            </w:r>
          </w:p>
        </w:tc>
        <w:tc>
          <w:tcPr>
            <w:tcW w:w="364" w:type="dxa"/>
            <w:tcBorders>
              <w:top w:val="doub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914BD" w:rsidP="008914BD" w:rsidRDefault="008914BD" w14:paraId="0A641E93" w14:textId="401288E9">
            <w:pPr>
              <w:pStyle w:val="Table"/>
              <w:jc w:val="center"/>
            </w:pPr>
            <w:r w:rsidRPr="00730611">
              <w:t>X</w:t>
            </w:r>
          </w:p>
        </w:tc>
        <w:tc>
          <w:tcPr>
            <w:tcW w:w="359" w:type="dxa"/>
            <w:tcBorders>
              <w:top w:val="double" w:color="auto" w:sz="4" w:space="0"/>
              <w:left w:val="single" w:color="auto" w:sz="4" w:space="0"/>
              <w:bottom w:val="single" w:color="auto" w:sz="4" w:space="0"/>
              <w:right w:val="single" w:color="auto" w:sz="4" w:space="0"/>
            </w:tcBorders>
            <w:shd w:val="clear" w:color="auto" w:fill="auto"/>
            <w:noWrap/>
            <w:vAlign w:val="center"/>
          </w:tcPr>
          <w:p w:rsidRPr="00730611" w:rsidR="008914BD" w:rsidP="008914BD" w:rsidRDefault="008914BD" w14:paraId="3DF592CB" w14:textId="221B1A6E">
            <w:pPr>
              <w:pStyle w:val="Table"/>
              <w:jc w:val="center"/>
            </w:pPr>
            <w:r w:rsidRPr="00730611">
              <w:t>X</w:t>
            </w:r>
          </w:p>
        </w:tc>
        <w:tc>
          <w:tcPr>
            <w:tcW w:w="359" w:type="dxa"/>
            <w:tcBorders>
              <w:top w:val="double" w:color="auto" w:sz="4" w:space="0"/>
              <w:left w:val="single" w:color="auto" w:sz="4" w:space="0"/>
              <w:bottom w:val="single" w:color="auto" w:sz="4" w:space="0"/>
              <w:right w:val="single" w:color="auto" w:sz="4" w:space="0"/>
            </w:tcBorders>
            <w:vAlign w:val="center"/>
          </w:tcPr>
          <w:p w:rsidRPr="00730611" w:rsidR="008914BD" w:rsidP="008914BD" w:rsidRDefault="008914BD" w14:paraId="110D41BA" w14:textId="04D1A1E4">
            <w:pPr>
              <w:pStyle w:val="Table"/>
              <w:jc w:val="center"/>
            </w:pPr>
            <w:r w:rsidRPr="00730611">
              <w:t>X</w:t>
            </w:r>
          </w:p>
        </w:tc>
        <w:tc>
          <w:tcPr>
            <w:tcW w:w="359" w:type="dxa"/>
            <w:tcBorders>
              <w:top w:val="double" w:color="auto" w:sz="4" w:space="0"/>
              <w:left w:val="single" w:color="auto" w:sz="4" w:space="0"/>
              <w:bottom w:val="single" w:color="auto" w:sz="4" w:space="0"/>
              <w:right w:val="single" w:color="auto" w:sz="4" w:space="0"/>
            </w:tcBorders>
            <w:shd w:val="clear" w:color="auto" w:fill="auto"/>
            <w:noWrap/>
            <w:vAlign w:val="center"/>
          </w:tcPr>
          <w:p w:rsidRPr="00730611" w:rsidR="008914BD" w:rsidP="008914BD" w:rsidRDefault="008914BD" w14:paraId="449F3717" w14:textId="793C5695">
            <w:pPr>
              <w:pStyle w:val="Table"/>
              <w:jc w:val="center"/>
            </w:pPr>
            <w:r w:rsidRPr="00730611">
              <w:t>X</w:t>
            </w:r>
          </w:p>
        </w:tc>
        <w:tc>
          <w:tcPr>
            <w:tcW w:w="359" w:type="dxa"/>
            <w:tcBorders>
              <w:top w:val="double" w:color="auto" w:sz="4" w:space="0"/>
              <w:left w:val="single" w:color="auto" w:sz="4" w:space="0"/>
              <w:bottom w:val="single" w:color="auto" w:sz="4" w:space="0"/>
              <w:right w:val="single" w:color="auto" w:sz="4" w:space="0"/>
            </w:tcBorders>
            <w:vAlign w:val="center"/>
          </w:tcPr>
          <w:p w:rsidRPr="00730611" w:rsidR="008914BD" w:rsidP="008914BD" w:rsidRDefault="008914BD" w14:paraId="2B1141E0" w14:textId="1AD27928">
            <w:pPr>
              <w:pStyle w:val="Table"/>
              <w:jc w:val="center"/>
            </w:pPr>
            <w:r w:rsidRPr="00730611">
              <w:t>X</w:t>
            </w:r>
          </w:p>
        </w:tc>
        <w:tc>
          <w:tcPr>
            <w:tcW w:w="359" w:type="dxa"/>
            <w:tcBorders>
              <w:top w:val="double" w:color="auto" w:sz="4" w:space="0"/>
              <w:left w:val="single" w:color="auto" w:sz="4" w:space="0"/>
              <w:bottom w:val="single" w:color="auto" w:sz="4" w:space="0"/>
              <w:right w:val="single" w:color="auto" w:sz="4" w:space="0"/>
            </w:tcBorders>
            <w:vAlign w:val="center"/>
          </w:tcPr>
          <w:p w:rsidRPr="00730611" w:rsidR="008914BD" w:rsidP="008914BD" w:rsidRDefault="008914BD" w14:paraId="50190404" w14:textId="177EC415">
            <w:pPr>
              <w:pStyle w:val="Table"/>
              <w:jc w:val="center"/>
            </w:pPr>
            <w:r w:rsidRPr="00730611">
              <w:t>X</w:t>
            </w:r>
          </w:p>
        </w:tc>
      </w:tr>
      <w:tr w:rsidRPr="00730611" w:rsidR="006C047E" w:rsidTr="00C45584" w14:paraId="48E4EEE4" w14:textId="77777777">
        <w:trPr>
          <w:trHeight w:val="288"/>
        </w:trPr>
        <w:tc>
          <w:tcPr>
            <w:tcW w:w="655" w:type="dxa"/>
            <w:tcBorders>
              <w:top w:val="single" w:color="auto" w:sz="4" w:space="0"/>
              <w:left w:val="single" w:color="auto" w:sz="4" w:space="0"/>
              <w:bottom w:val="single" w:color="auto" w:sz="4" w:space="0"/>
              <w:right w:val="single" w:color="auto" w:sz="4" w:space="0"/>
            </w:tcBorders>
            <w:vAlign w:val="center"/>
          </w:tcPr>
          <w:p w:rsidRPr="009D4AF8" w:rsidR="00813B21" w:rsidP="00D91B9A" w:rsidRDefault="00813B21" w14:paraId="1D6B25A2" w14:textId="7AA6D55A">
            <w:pPr>
              <w:spacing w:after="0"/>
              <w:jc w:val="center"/>
              <w:rPr>
                <w:rFonts w:asciiTheme="minorHAnsi" w:hAnsiTheme="minorHAnsi" w:cstheme="minorHAnsi"/>
                <w:color w:val="000000"/>
                <w:sz w:val="18"/>
                <w:szCs w:val="18"/>
              </w:rPr>
            </w:pPr>
            <w:r w:rsidRPr="009D4AF8">
              <w:rPr>
                <w:rFonts w:asciiTheme="minorHAnsi" w:hAnsiTheme="minorHAnsi" w:cstheme="minorHAnsi"/>
                <w:color w:val="000000"/>
                <w:sz w:val="18"/>
                <w:szCs w:val="18"/>
              </w:rPr>
              <w:t>!!!!</w:t>
            </w:r>
          </w:p>
        </w:tc>
        <w:tc>
          <w:tcPr>
            <w:tcW w:w="537" w:type="dxa"/>
            <w:gridSpan w:val="2"/>
            <w:tcBorders>
              <w:top w:val="single" w:color="auto" w:sz="4" w:space="0"/>
              <w:left w:val="single" w:color="auto" w:sz="4" w:space="0"/>
              <w:bottom w:val="single" w:color="auto" w:sz="4" w:space="0"/>
              <w:right w:val="single" w:color="auto" w:sz="4" w:space="0"/>
            </w:tcBorders>
            <w:vAlign w:val="center"/>
          </w:tcPr>
          <w:p w:rsidRPr="00E37CAC" w:rsidR="00813B21" w:rsidP="00D91B9A" w:rsidRDefault="00813B21" w14:paraId="328F893A" w14:textId="2DF60D80">
            <w:pPr>
              <w:spacing w:after="0"/>
              <w:jc w:val="center"/>
              <w:rPr>
                <w:rFonts w:asciiTheme="minorHAnsi" w:hAnsiTheme="minorHAnsi" w:cstheme="minorHAnsi"/>
                <w:color w:val="000000"/>
                <w:sz w:val="18"/>
                <w:szCs w:val="18"/>
              </w:rPr>
            </w:pPr>
            <w:r w:rsidRPr="00E37CAC">
              <w:rPr>
                <w:rFonts w:asciiTheme="minorHAnsi" w:hAnsiTheme="minorHAnsi" w:cstheme="minorHAnsi"/>
                <w:color w:val="000000"/>
                <w:sz w:val="18"/>
                <w:szCs w:val="18"/>
              </w:rPr>
              <w:t>$$$</w:t>
            </w:r>
          </w:p>
        </w:tc>
        <w:tc>
          <w:tcPr>
            <w:tcW w:w="810" w:type="dxa"/>
            <w:tcBorders>
              <w:top w:val="single" w:color="auto" w:sz="4" w:space="0"/>
              <w:left w:val="single" w:color="auto" w:sz="4" w:space="0"/>
              <w:bottom w:val="single" w:color="auto" w:sz="4" w:space="0"/>
              <w:right w:val="single" w:color="auto" w:sz="4" w:space="0"/>
            </w:tcBorders>
            <w:vAlign w:val="center"/>
          </w:tcPr>
          <w:p w:rsidRPr="00E37CAC" w:rsidR="00813B21" w:rsidP="00D91B9A" w:rsidRDefault="00086D46" w14:paraId="47903396" w14:textId="56FCF541">
            <w:pPr>
              <w:pStyle w:val="Table"/>
              <w:jc w:val="center"/>
            </w:pPr>
            <w:r>
              <w:t>202</w:t>
            </w:r>
            <w:r w:rsidR="00107A58">
              <w:t>4</w:t>
            </w:r>
            <w:r>
              <w:t>-</w:t>
            </w:r>
            <w:r w:rsidR="00B91EB7">
              <w:t>202</w:t>
            </w:r>
            <w:r w:rsidR="00107A58">
              <w:t>8</w:t>
            </w:r>
          </w:p>
        </w:tc>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813B21" w:rsidP="00FC7D10" w:rsidRDefault="00064073" w14:paraId="0217E035" w14:textId="57B1EAE8">
            <w:pPr>
              <w:pStyle w:val="Table"/>
              <w:ind w:left="259" w:hanging="259"/>
              <w:rPr>
                <w:b/>
              </w:rPr>
            </w:pPr>
            <w:r>
              <w:rPr>
                <w:shd w:val="clear" w:color="auto" w:fill="FFFFFF"/>
              </w:rPr>
              <w:t>B.</w:t>
            </w:r>
            <w:r w:rsidR="009859C3">
              <w:rPr>
                <w:shd w:val="clear" w:color="auto" w:fill="FFFFFF"/>
              </w:rPr>
              <w:tab/>
            </w:r>
            <w:r w:rsidR="00F9160A">
              <w:rPr>
                <w:shd w:val="clear" w:color="auto" w:fill="FFFFFF"/>
              </w:rPr>
              <w:t>DEER System and Measure Package Updates</w:t>
            </w:r>
          </w:p>
        </w:tc>
        <w:tc>
          <w:tcPr>
            <w:tcW w:w="35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813B21" w:rsidP="004E0400" w:rsidRDefault="00813B21" w14:paraId="6900F524" w14:textId="19F3B808">
            <w:pPr>
              <w:pStyle w:val="Table"/>
              <w:jc w:val="center"/>
            </w:pPr>
            <w:r w:rsidRPr="00730611">
              <w:t>X</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813B21" w:rsidP="004E0400" w:rsidRDefault="00813B21" w14:paraId="64C96681" w14:textId="35E7BF48">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13B21" w:rsidP="004E0400" w:rsidRDefault="00813B21" w14:paraId="1D6E6072" w14:textId="16A205B9">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13B21" w:rsidP="004E0400" w:rsidRDefault="00813B21" w14:paraId="2E76B960" w14:textId="60C25881">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13B21" w:rsidP="004E0400" w:rsidRDefault="00813B21" w14:paraId="1BB2680D" w14:textId="1ACA45F3">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13B21" w:rsidP="004E0400" w:rsidRDefault="00813B21" w14:paraId="264E7BD6" w14:textId="5CEA4322">
            <w:pPr>
              <w:pStyle w:val="Table"/>
              <w:jc w:val="center"/>
            </w:pPr>
            <w:r w:rsidRPr="00730611">
              <w:t>X</w:t>
            </w:r>
          </w:p>
        </w:tc>
        <w:tc>
          <w:tcPr>
            <w:tcW w:w="36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13B21" w:rsidP="004E0400" w:rsidRDefault="00813B21" w14:paraId="2BF194AA" w14:textId="221E509C">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813B21" w:rsidP="004E0400" w:rsidRDefault="00813B21" w14:paraId="6DE10204" w14:textId="000741AC">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813B21" w:rsidP="004E0400" w:rsidRDefault="00813B21" w14:paraId="6C173F7F" w14:textId="316F2486">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813B21" w:rsidP="004E0400" w:rsidRDefault="00813B21" w14:paraId="52EBE8A4" w14:textId="0FD8F5A3">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813B21" w:rsidP="004E0400" w:rsidRDefault="00856911" w14:paraId="3F48BF02" w14:textId="11541DDF">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813B21" w:rsidP="004E0400" w:rsidRDefault="00856911" w14:paraId="64D48AFD" w14:textId="630ABB91">
            <w:pPr>
              <w:pStyle w:val="Table"/>
              <w:jc w:val="center"/>
            </w:pPr>
            <w:r w:rsidRPr="00730611">
              <w:t>X</w:t>
            </w:r>
          </w:p>
        </w:tc>
      </w:tr>
      <w:tr w:rsidRPr="00730611" w:rsidR="006C047E" w:rsidTr="00C45584" w14:paraId="474E53E5" w14:textId="77777777">
        <w:trPr>
          <w:trHeight w:val="288"/>
        </w:trPr>
        <w:tc>
          <w:tcPr>
            <w:tcW w:w="655" w:type="dxa"/>
            <w:tcBorders>
              <w:top w:val="single" w:color="auto" w:sz="4" w:space="0"/>
              <w:left w:val="single" w:color="auto" w:sz="4" w:space="0"/>
              <w:bottom w:val="single" w:color="auto" w:sz="4" w:space="0"/>
              <w:right w:val="single" w:color="auto" w:sz="4" w:space="0"/>
            </w:tcBorders>
            <w:vAlign w:val="center"/>
          </w:tcPr>
          <w:p w:rsidRPr="009D4AF8" w:rsidR="008914BD" w:rsidP="00D91B9A" w:rsidRDefault="005A1264" w14:paraId="35C56C8F" w14:textId="3BEA2AA7">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537" w:type="dxa"/>
            <w:gridSpan w:val="2"/>
            <w:tcBorders>
              <w:top w:val="single" w:color="auto" w:sz="4" w:space="0"/>
              <w:left w:val="single" w:color="auto" w:sz="4" w:space="0"/>
              <w:bottom w:val="single" w:color="auto" w:sz="4" w:space="0"/>
              <w:right w:val="single" w:color="auto" w:sz="4" w:space="0"/>
            </w:tcBorders>
            <w:vAlign w:val="center"/>
          </w:tcPr>
          <w:p w:rsidRPr="00E37CAC" w:rsidR="008914BD" w:rsidP="00D91B9A" w:rsidRDefault="005A1264" w14:paraId="71E28AD4" w14:textId="1BF68093">
            <w:pPr>
              <w:spacing w:after="0"/>
              <w:jc w:val="center"/>
              <w:rPr>
                <w:rFonts w:asciiTheme="minorHAnsi" w:hAnsiTheme="minorHAnsi" w:cstheme="minorHAnsi"/>
                <w:color w:val="000000"/>
                <w:sz w:val="18"/>
                <w:szCs w:val="18"/>
              </w:rPr>
            </w:pPr>
            <w:r w:rsidRPr="00E37CAC">
              <w:rPr>
                <w:rFonts w:asciiTheme="minorHAnsi" w:hAnsiTheme="minorHAnsi" w:cstheme="minorHAnsi"/>
                <w:color w:val="000000"/>
                <w:sz w:val="18"/>
                <w:szCs w:val="18"/>
              </w:rPr>
              <w:t>$$</w:t>
            </w:r>
            <w:r w:rsidR="004C0A24">
              <w:rPr>
                <w:rFonts w:asciiTheme="minorHAnsi" w:hAnsiTheme="minorHAnsi" w:cstheme="minorHAnsi"/>
                <w:color w:val="000000"/>
                <w:sz w:val="18"/>
                <w:szCs w:val="18"/>
              </w:rPr>
              <w:t>$</w:t>
            </w:r>
          </w:p>
        </w:tc>
        <w:tc>
          <w:tcPr>
            <w:tcW w:w="810" w:type="dxa"/>
            <w:tcBorders>
              <w:top w:val="single" w:color="auto" w:sz="4" w:space="0"/>
              <w:left w:val="single" w:color="auto" w:sz="4" w:space="0"/>
              <w:bottom w:val="single" w:color="auto" w:sz="4" w:space="0"/>
              <w:right w:val="single" w:color="auto" w:sz="4" w:space="0"/>
            </w:tcBorders>
            <w:vAlign w:val="center"/>
          </w:tcPr>
          <w:p w:rsidR="008914BD" w:rsidP="00D91B9A" w:rsidRDefault="008914BD" w14:paraId="1AF4E1E7" w14:textId="0C982EDF">
            <w:pPr>
              <w:pStyle w:val="Table"/>
              <w:jc w:val="center"/>
            </w:pPr>
            <w:r>
              <w:t>202</w:t>
            </w:r>
            <w:r w:rsidR="006B2678">
              <w:t>4</w:t>
            </w:r>
          </w:p>
        </w:tc>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37CAC" w:rsidR="008914BD" w:rsidP="00FC7D10" w:rsidRDefault="008914BD" w14:paraId="3F8B0A33" w14:textId="295CC1A1">
            <w:pPr>
              <w:pStyle w:val="Table"/>
              <w:ind w:left="259" w:hanging="259"/>
              <w:rPr>
                <w:shd w:val="clear" w:color="auto" w:fill="FFFFFF"/>
              </w:rPr>
            </w:pPr>
            <w:r>
              <w:rPr>
                <w:shd w:val="clear" w:color="auto" w:fill="FFFFFF"/>
              </w:rPr>
              <w:t>C</w:t>
            </w:r>
            <w:r w:rsidR="006F4E86">
              <w:rPr>
                <w:shd w:val="clear" w:color="auto" w:fill="FFFFFF"/>
              </w:rPr>
              <w:t>.</w:t>
            </w:r>
            <w:r w:rsidR="009859C3">
              <w:rPr>
                <w:shd w:val="clear" w:color="auto" w:fill="FFFFFF"/>
              </w:rPr>
              <w:t xml:space="preserve"> </w:t>
            </w:r>
            <w:r w:rsidR="009859C3">
              <w:rPr>
                <w:shd w:val="clear" w:color="auto" w:fill="FFFFFF"/>
              </w:rPr>
              <w:tab/>
            </w:r>
            <w:r w:rsidR="004E29EC">
              <w:rPr>
                <w:shd w:val="clear" w:color="auto" w:fill="FFFFFF"/>
              </w:rPr>
              <w:t>DEER 2028 Update and Measure Package Submission/Review Timeline</w:t>
            </w:r>
          </w:p>
        </w:tc>
        <w:tc>
          <w:tcPr>
            <w:tcW w:w="35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8914BD" w:rsidP="008914BD" w:rsidRDefault="008914BD" w14:paraId="5413119B" w14:textId="6255A26A">
            <w:pPr>
              <w:pStyle w:val="Table"/>
              <w:jc w:val="center"/>
            </w:pPr>
            <w:r w:rsidRPr="00730611">
              <w:t>X</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8914BD" w:rsidP="008914BD" w:rsidRDefault="008914BD" w14:paraId="7A97414B" w14:textId="0A44954D">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914BD" w:rsidP="008914BD" w:rsidRDefault="008914BD" w14:paraId="17B0E038" w14:textId="042067D2">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914BD" w:rsidP="008914BD" w:rsidRDefault="008914BD" w14:paraId="7796957D" w14:textId="6A3B8348">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914BD" w:rsidP="008914BD" w:rsidRDefault="008914BD" w14:paraId="66F1D1BF" w14:textId="08285081">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914BD" w:rsidP="008914BD" w:rsidRDefault="008914BD" w14:paraId="6608779B" w14:textId="0DA51532">
            <w:pPr>
              <w:pStyle w:val="Table"/>
              <w:jc w:val="center"/>
            </w:pPr>
            <w:r w:rsidRPr="00730611">
              <w:t>X</w:t>
            </w:r>
          </w:p>
        </w:tc>
        <w:tc>
          <w:tcPr>
            <w:tcW w:w="36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914BD" w:rsidP="008914BD" w:rsidRDefault="008914BD" w14:paraId="6DE172BC" w14:textId="112AD8B6">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8914BD" w:rsidP="008914BD" w:rsidRDefault="008914BD" w14:paraId="7CFB990B" w14:textId="5370AC35">
            <w:pPr>
              <w:pStyle w:val="Table"/>
              <w:jc w:val="center"/>
            </w:pP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8914BD" w:rsidP="004A72FB" w:rsidRDefault="008914BD" w14:paraId="5B2B39D9" w14:textId="248B5CC0">
            <w:pPr>
              <w:pStyle w:val="Table"/>
            </w:pPr>
          </w:p>
        </w:tc>
        <w:tc>
          <w:tcPr>
            <w:tcW w:w="35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8914BD" w:rsidP="008914BD" w:rsidRDefault="008914BD" w14:paraId="2457279B" w14:textId="1171F005">
            <w:pPr>
              <w:pStyle w:val="Table"/>
              <w:jc w:val="center"/>
            </w:pP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8914BD" w:rsidP="008914BD" w:rsidRDefault="008914BD" w14:paraId="3E971CC2" w14:textId="5B11A11E">
            <w:pPr>
              <w:pStyle w:val="Table"/>
              <w:jc w:val="center"/>
            </w:pP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8914BD" w:rsidP="008914BD" w:rsidRDefault="008914BD" w14:paraId="463701D6" w14:textId="4E5EE9AB">
            <w:pPr>
              <w:pStyle w:val="Table"/>
              <w:jc w:val="center"/>
            </w:pPr>
          </w:p>
        </w:tc>
      </w:tr>
      <w:tr w:rsidRPr="00730611" w:rsidR="006C047E" w:rsidTr="00C45584" w14:paraId="47334F01" w14:textId="77777777">
        <w:trPr>
          <w:trHeight w:val="288"/>
        </w:trPr>
        <w:tc>
          <w:tcPr>
            <w:tcW w:w="655" w:type="dxa"/>
            <w:tcBorders>
              <w:top w:val="single" w:color="auto" w:sz="4" w:space="0"/>
              <w:left w:val="single" w:color="auto" w:sz="4" w:space="0"/>
              <w:bottom w:val="single" w:color="auto" w:sz="4" w:space="0"/>
              <w:right w:val="single" w:color="auto" w:sz="4" w:space="0"/>
            </w:tcBorders>
            <w:vAlign w:val="center"/>
          </w:tcPr>
          <w:p w:rsidRPr="009D4AF8" w:rsidR="008914BD" w:rsidP="00D91B9A" w:rsidRDefault="005A1264" w14:paraId="65CB806D" w14:textId="513CE494">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w:t>
            </w:r>
            <w:r w:rsidR="003E3C2B">
              <w:rPr>
                <w:rFonts w:asciiTheme="minorHAnsi" w:hAnsiTheme="minorHAnsi" w:cstheme="minorHAnsi"/>
                <w:color w:val="000000"/>
                <w:sz w:val="18"/>
                <w:szCs w:val="18"/>
              </w:rPr>
              <w:t>!</w:t>
            </w:r>
          </w:p>
        </w:tc>
        <w:tc>
          <w:tcPr>
            <w:tcW w:w="537" w:type="dxa"/>
            <w:gridSpan w:val="2"/>
            <w:tcBorders>
              <w:top w:val="single" w:color="auto" w:sz="4" w:space="0"/>
              <w:left w:val="single" w:color="auto" w:sz="4" w:space="0"/>
              <w:bottom w:val="single" w:color="auto" w:sz="4" w:space="0"/>
              <w:right w:val="single" w:color="auto" w:sz="4" w:space="0"/>
            </w:tcBorders>
            <w:vAlign w:val="center"/>
          </w:tcPr>
          <w:p w:rsidRPr="00E37CAC" w:rsidR="008914BD" w:rsidP="00D91B9A" w:rsidRDefault="005A1264" w14:paraId="4B0ACE4F" w14:textId="158E3B61">
            <w:pPr>
              <w:spacing w:after="0"/>
              <w:jc w:val="center"/>
              <w:rPr>
                <w:rFonts w:asciiTheme="minorHAnsi" w:hAnsiTheme="minorHAnsi" w:cstheme="minorHAnsi"/>
                <w:color w:val="000000"/>
                <w:sz w:val="18"/>
                <w:szCs w:val="18"/>
              </w:rPr>
            </w:pPr>
            <w:r w:rsidRPr="00E37CAC">
              <w:rPr>
                <w:rFonts w:asciiTheme="minorHAnsi" w:hAnsiTheme="minorHAnsi" w:cstheme="minorHAnsi"/>
                <w:color w:val="000000"/>
                <w:sz w:val="18"/>
                <w:szCs w:val="18"/>
              </w:rPr>
              <w:t>$$$</w:t>
            </w:r>
          </w:p>
        </w:tc>
        <w:tc>
          <w:tcPr>
            <w:tcW w:w="810" w:type="dxa"/>
            <w:tcBorders>
              <w:top w:val="single" w:color="auto" w:sz="4" w:space="0"/>
              <w:left w:val="single" w:color="auto" w:sz="4" w:space="0"/>
              <w:bottom w:val="single" w:color="auto" w:sz="4" w:space="0"/>
              <w:right w:val="single" w:color="auto" w:sz="4" w:space="0"/>
            </w:tcBorders>
            <w:vAlign w:val="center"/>
          </w:tcPr>
          <w:p w:rsidR="008914BD" w:rsidP="00D91B9A" w:rsidRDefault="008914BD" w14:paraId="78997813" w14:textId="5B72DF8E">
            <w:pPr>
              <w:pStyle w:val="Table"/>
              <w:jc w:val="center"/>
            </w:pPr>
            <w:r>
              <w:t>202</w:t>
            </w:r>
            <w:r w:rsidR="00291048">
              <w:t>4</w:t>
            </w:r>
          </w:p>
        </w:tc>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37CAC" w:rsidR="008914BD" w:rsidP="00FC7D10" w:rsidRDefault="008914BD" w14:paraId="32A066C4" w14:textId="11C8DC7B">
            <w:pPr>
              <w:pStyle w:val="Table"/>
              <w:ind w:left="259" w:hanging="259"/>
              <w:rPr>
                <w:shd w:val="clear" w:color="auto" w:fill="FFFFFF"/>
              </w:rPr>
            </w:pPr>
            <w:r>
              <w:rPr>
                <w:shd w:val="clear" w:color="auto" w:fill="FFFFFF"/>
              </w:rPr>
              <w:t>D.</w:t>
            </w:r>
            <w:r w:rsidR="009859C3">
              <w:rPr>
                <w:shd w:val="clear" w:color="auto" w:fill="FFFFFF"/>
              </w:rPr>
              <w:t xml:space="preserve"> </w:t>
            </w:r>
            <w:r w:rsidR="009859C3">
              <w:rPr>
                <w:shd w:val="clear" w:color="auto" w:fill="FFFFFF"/>
              </w:rPr>
              <w:tab/>
            </w:r>
            <w:r w:rsidR="004E29EC">
              <w:rPr>
                <w:shd w:val="clear" w:color="auto" w:fill="FFFFFF"/>
              </w:rPr>
              <w:t>Mid-</w:t>
            </w:r>
            <w:r w:rsidR="00ED2A52">
              <w:rPr>
                <w:shd w:val="clear" w:color="auto" w:fill="FFFFFF"/>
              </w:rPr>
              <w:t>Cycle Adjustments to the Locked Ex-Ante Values</w:t>
            </w:r>
          </w:p>
        </w:tc>
        <w:tc>
          <w:tcPr>
            <w:tcW w:w="35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8914BD" w:rsidP="008914BD" w:rsidRDefault="008914BD" w14:paraId="4E933C67" w14:textId="3C97D0D0">
            <w:pPr>
              <w:pStyle w:val="Table"/>
              <w:jc w:val="center"/>
            </w:pPr>
            <w:r w:rsidRPr="00730611">
              <w:t>X</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8914BD" w:rsidP="008914BD" w:rsidRDefault="008914BD" w14:paraId="01811509" w14:textId="273287EB">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914BD" w:rsidP="008914BD" w:rsidRDefault="008914BD" w14:paraId="5010B709" w14:textId="5894F95E">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914BD" w:rsidP="008914BD" w:rsidRDefault="008914BD" w14:paraId="2C4ABA06" w14:textId="662F716C">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914BD" w:rsidP="008914BD" w:rsidRDefault="008914BD" w14:paraId="49CF50BF" w14:textId="451F3A1D">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914BD" w:rsidP="008914BD" w:rsidRDefault="008914BD" w14:paraId="31597DB0" w14:textId="5A054A5E">
            <w:pPr>
              <w:pStyle w:val="Table"/>
              <w:jc w:val="center"/>
            </w:pPr>
            <w:r w:rsidRPr="00730611">
              <w:t>X</w:t>
            </w:r>
          </w:p>
        </w:tc>
        <w:tc>
          <w:tcPr>
            <w:tcW w:w="36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8914BD" w:rsidP="008914BD" w:rsidRDefault="008914BD" w14:paraId="51379BA8" w14:textId="1802DE34">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8914BD" w:rsidP="008914BD" w:rsidRDefault="008914BD" w14:paraId="5D5B6A40" w14:textId="41133381">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8914BD" w:rsidP="008914BD" w:rsidRDefault="008914BD" w14:paraId="1707FA82" w14:textId="2A3722EF">
            <w:pPr>
              <w:pStyle w:val="Table"/>
              <w:jc w:val="center"/>
            </w:pPr>
          </w:p>
        </w:tc>
        <w:tc>
          <w:tcPr>
            <w:tcW w:w="35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8914BD" w:rsidP="008914BD" w:rsidRDefault="008914BD" w14:paraId="28221E3A" w14:textId="2043EE30">
            <w:pPr>
              <w:pStyle w:val="Table"/>
              <w:jc w:val="center"/>
            </w:pP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8914BD" w:rsidP="008914BD" w:rsidRDefault="008914BD" w14:paraId="3FEE581C" w14:textId="6915663A">
            <w:pPr>
              <w:pStyle w:val="Table"/>
              <w:jc w:val="center"/>
            </w:pP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8914BD" w:rsidP="008914BD" w:rsidRDefault="008914BD" w14:paraId="35B6F720" w14:textId="3A40C1FA">
            <w:pPr>
              <w:pStyle w:val="Table"/>
              <w:jc w:val="center"/>
            </w:pPr>
            <w:r w:rsidRPr="00730611">
              <w:t>X</w:t>
            </w:r>
          </w:p>
        </w:tc>
      </w:tr>
      <w:tr w:rsidRPr="00730611" w:rsidR="006C047E" w:rsidTr="00C45584" w14:paraId="3CDD4CDB" w14:textId="77777777">
        <w:trPr>
          <w:trHeight w:val="288"/>
        </w:trPr>
        <w:tc>
          <w:tcPr>
            <w:tcW w:w="655" w:type="dxa"/>
            <w:tcBorders>
              <w:top w:val="single" w:color="auto" w:sz="4" w:space="0"/>
              <w:left w:val="single" w:color="auto" w:sz="4" w:space="0"/>
              <w:bottom w:val="single" w:color="auto" w:sz="4" w:space="0"/>
              <w:right w:val="single" w:color="auto" w:sz="4" w:space="0"/>
            </w:tcBorders>
            <w:vAlign w:val="center"/>
          </w:tcPr>
          <w:p w:rsidRPr="009D4AF8" w:rsidR="00E635D5" w:rsidP="00D91B9A" w:rsidRDefault="005A1264" w14:paraId="3F9F6376" w14:textId="3B58360F">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w:t>
            </w:r>
            <w:r w:rsidR="004C0A24">
              <w:rPr>
                <w:rFonts w:asciiTheme="minorHAnsi" w:hAnsiTheme="minorHAnsi" w:cstheme="minorHAnsi"/>
                <w:color w:val="000000"/>
                <w:sz w:val="18"/>
                <w:szCs w:val="18"/>
              </w:rPr>
              <w:t>!</w:t>
            </w:r>
          </w:p>
        </w:tc>
        <w:tc>
          <w:tcPr>
            <w:tcW w:w="537" w:type="dxa"/>
            <w:gridSpan w:val="2"/>
            <w:tcBorders>
              <w:top w:val="single" w:color="auto" w:sz="4" w:space="0"/>
              <w:left w:val="single" w:color="auto" w:sz="4" w:space="0"/>
              <w:bottom w:val="single" w:color="auto" w:sz="4" w:space="0"/>
              <w:right w:val="single" w:color="auto" w:sz="4" w:space="0"/>
            </w:tcBorders>
            <w:vAlign w:val="center"/>
          </w:tcPr>
          <w:p w:rsidRPr="00E37CAC" w:rsidR="00E635D5" w:rsidP="00D91B9A" w:rsidRDefault="005A1264" w14:paraId="60B76D46" w14:textId="1727EA2F">
            <w:pPr>
              <w:spacing w:after="0"/>
              <w:jc w:val="center"/>
              <w:rPr>
                <w:rFonts w:asciiTheme="minorHAnsi" w:hAnsiTheme="minorHAnsi" w:cstheme="minorHAnsi"/>
                <w:color w:val="000000"/>
                <w:sz w:val="18"/>
                <w:szCs w:val="18"/>
              </w:rPr>
            </w:pPr>
            <w:r w:rsidRPr="00E37CAC">
              <w:rPr>
                <w:rFonts w:asciiTheme="minorHAnsi" w:hAnsiTheme="minorHAnsi" w:cstheme="minorHAnsi"/>
                <w:color w:val="000000"/>
                <w:sz w:val="18"/>
                <w:szCs w:val="18"/>
              </w:rPr>
              <w:t>$$</w:t>
            </w:r>
          </w:p>
        </w:tc>
        <w:tc>
          <w:tcPr>
            <w:tcW w:w="810" w:type="dxa"/>
            <w:tcBorders>
              <w:top w:val="single" w:color="auto" w:sz="4" w:space="0"/>
              <w:left w:val="single" w:color="auto" w:sz="4" w:space="0"/>
              <w:bottom w:val="single" w:color="auto" w:sz="4" w:space="0"/>
              <w:right w:val="single" w:color="auto" w:sz="4" w:space="0"/>
            </w:tcBorders>
            <w:vAlign w:val="center"/>
          </w:tcPr>
          <w:p w:rsidR="00E635D5" w:rsidP="00D91B9A" w:rsidRDefault="00432647" w14:paraId="77E7F43D" w14:textId="650DB06F">
            <w:pPr>
              <w:pStyle w:val="Table"/>
              <w:jc w:val="center"/>
            </w:pPr>
            <w:r>
              <w:t>2024-</w:t>
            </w:r>
            <w:r w:rsidR="00E635D5">
              <w:t>202</w:t>
            </w:r>
            <w:r w:rsidR="00ED2A52">
              <w:t>6</w:t>
            </w:r>
          </w:p>
        </w:tc>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37CAC" w:rsidR="00E635D5" w:rsidP="00FC7D10" w:rsidRDefault="00F9160A" w14:paraId="1891B1E3" w14:textId="6A5FA052">
            <w:pPr>
              <w:pStyle w:val="Table"/>
              <w:ind w:left="259" w:hanging="259"/>
              <w:rPr>
                <w:shd w:val="clear" w:color="auto" w:fill="FFFFFF"/>
              </w:rPr>
            </w:pPr>
            <w:r>
              <w:rPr>
                <w:shd w:val="clear" w:color="auto" w:fill="FFFFFF"/>
              </w:rPr>
              <w:t>E</w:t>
            </w:r>
            <w:r w:rsidR="00E635D5">
              <w:rPr>
                <w:shd w:val="clear" w:color="auto" w:fill="FFFFFF"/>
              </w:rPr>
              <w:t>.</w:t>
            </w:r>
            <w:r w:rsidR="009859C3">
              <w:rPr>
                <w:shd w:val="clear" w:color="auto" w:fill="FFFFFF"/>
              </w:rPr>
              <w:t xml:space="preserve"> </w:t>
            </w:r>
            <w:r w:rsidR="009859C3">
              <w:rPr>
                <w:shd w:val="clear" w:color="auto" w:fill="FFFFFF"/>
              </w:rPr>
              <w:tab/>
            </w:r>
            <w:r w:rsidR="00E635D5">
              <w:rPr>
                <w:shd w:val="clear" w:color="auto" w:fill="FFFFFF"/>
              </w:rPr>
              <w:t>Structural Changes to DEER Tables</w:t>
            </w:r>
          </w:p>
        </w:tc>
        <w:tc>
          <w:tcPr>
            <w:tcW w:w="35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E635D5" w:rsidP="00E635D5" w:rsidRDefault="00E635D5" w14:paraId="28621055" w14:textId="3DCF7A0F">
            <w:pPr>
              <w:pStyle w:val="Table"/>
              <w:jc w:val="center"/>
            </w:pPr>
            <w:r w:rsidRPr="00730611">
              <w:t>X</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E635D5" w:rsidP="00E635D5" w:rsidRDefault="00E635D5" w14:paraId="55194F90" w14:textId="5B8A582E">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470E3A7A" w14:textId="163B943B">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07E63B22" w14:textId="06B25728">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26772E8A" w14:textId="02C64418">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45413DE6" w14:textId="0B2F06CB">
            <w:pPr>
              <w:pStyle w:val="Table"/>
              <w:jc w:val="center"/>
            </w:pPr>
            <w:r w:rsidRPr="00730611">
              <w:t>X</w:t>
            </w:r>
          </w:p>
        </w:tc>
        <w:tc>
          <w:tcPr>
            <w:tcW w:w="36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72F06B41" w14:textId="26244476">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E635D5" w:rsidP="00E635D5" w:rsidRDefault="00E635D5" w14:paraId="0C4FA07E" w14:textId="77777777">
            <w:pPr>
              <w:pStyle w:val="Table"/>
              <w:jc w:val="center"/>
            </w:pP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E635D5" w:rsidP="00E635D5" w:rsidRDefault="00E635D5" w14:paraId="65CCA942" w14:textId="74FFA126">
            <w:pPr>
              <w:pStyle w:val="Table"/>
              <w:jc w:val="center"/>
            </w:pPr>
          </w:p>
        </w:tc>
        <w:tc>
          <w:tcPr>
            <w:tcW w:w="35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E635D5" w:rsidP="00E635D5" w:rsidRDefault="00E635D5" w14:paraId="77863E9C" w14:textId="0DD62618">
            <w:pPr>
              <w:pStyle w:val="Table"/>
              <w:jc w:val="center"/>
            </w:pP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E635D5" w:rsidP="00E635D5" w:rsidRDefault="00E635D5" w14:paraId="741CED9D" w14:textId="77777777">
            <w:pPr>
              <w:pStyle w:val="Table"/>
              <w:jc w:val="center"/>
            </w:pP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E635D5" w:rsidP="00E635D5" w:rsidRDefault="00B72244" w14:paraId="14D4A57C" w14:textId="620223EF">
            <w:pPr>
              <w:pStyle w:val="Table"/>
              <w:jc w:val="center"/>
            </w:pPr>
            <w:r>
              <w:t>X</w:t>
            </w:r>
          </w:p>
        </w:tc>
      </w:tr>
      <w:tr w:rsidRPr="00730611" w:rsidR="006C047E" w:rsidTr="00C45584" w14:paraId="2C6A0AF3" w14:textId="77777777">
        <w:trPr>
          <w:trHeight w:val="288"/>
        </w:trPr>
        <w:tc>
          <w:tcPr>
            <w:tcW w:w="655" w:type="dxa"/>
            <w:tcBorders>
              <w:top w:val="single" w:color="auto" w:sz="4" w:space="0"/>
              <w:left w:val="single" w:color="auto" w:sz="4" w:space="0"/>
              <w:bottom w:val="single" w:color="auto" w:sz="4" w:space="0"/>
              <w:right w:val="single" w:color="auto" w:sz="4" w:space="0"/>
            </w:tcBorders>
            <w:vAlign w:val="center"/>
          </w:tcPr>
          <w:p w:rsidRPr="009D4AF8" w:rsidR="00E635D5" w:rsidP="00D91B9A" w:rsidRDefault="005A1264" w14:paraId="2083C203" w14:textId="55878560">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w:t>
            </w:r>
            <w:r w:rsidR="007A3628">
              <w:rPr>
                <w:rFonts w:asciiTheme="minorHAnsi" w:hAnsiTheme="minorHAnsi" w:cstheme="minorHAnsi"/>
                <w:color w:val="000000"/>
                <w:sz w:val="18"/>
                <w:szCs w:val="18"/>
              </w:rPr>
              <w:t>!</w:t>
            </w:r>
          </w:p>
        </w:tc>
        <w:tc>
          <w:tcPr>
            <w:tcW w:w="537" w:type="dxa"/>
            <w:gridSpan w:val="2"/>
            <w:tcBorders>
              <w:top w:val="single" w:color="auto" w:sz="4" w:space="0"/>
              <w:left w:val="single" w:color="auto" w:sz="4" w:space="0"/>
              <w:bottom w:val="single" w:color="auto" w:sz="4" w:space="0"/>
              <w:right w:val="single" w:color="auto" w:sz="4" w:space="0"/>
            </w:tcBorders>
            <w:vAlign w:val="center"/>
          </w:tcPr>
          <w:p w:rsidRPr="00E37CAC" w:rsidR="00E635D5" w:rsidP="00D91B9A" w:rsidRDefault="005A1264" w14:paraId="79B6B9F7" w14:textId="7DBFEECC">
            <w:pPr>
              <w:spacing w:after="0"/>
              <w:jc w:val="center"/>
              <w:rPr>
                <w:rFonts w:asciiTheme="minorHAnsi" w:hAnsiTheme="minorHAnsi" w:cstheme="minorHAnsi"/>
                <w:color w:val="000000"/>
                <w:sz w:val="18"/>
                <w:szCs w:val="18"/>
              </w:rPr>
            </w:pPr>
            <w:r w:rsidRPr="00E37CAC">
              <w:rPr>
                <w:rFonts w:asciiTheme="minorHAnsi" w:hAnsiTheme="minorHAnsi" w:cstheme="minorHAnsi"/>
                <w:color w:val="000000"/>
                <w:sz w:val="18"/>
                <w:szCs w:val="18"/>
              </w:rPr>
              <w:t>$</w:t>
            </w:r>
            <w:r w:rsidR="004C0A24">
              <w:rPr>
                <w:rFonts w:asciiTheme="minorHAnsi" w:hAnsiTheme="minorHAnsi" w:cstheme="minorHAnsi"/>
                <w:color w:val="000000"/>
                <w:sz w:val="18"/>
                <w:szCs w:val="18"/>
              </w:rPr>
              <w:t>$</w:t>
            </w:r>
          </w:p>
        </w:tc>
        <w:tc>
          <w:tcPr>
            <w:tcW w:w="810" w:type="dxa"/>
            <w:tcBorders>
              <w:top w:val="single" w:color="auto" w:sz="4" w:space="0"/>
              <w:left w:val="single" w:color="auto" w:sz="4" w:space="0"/>
              <w:bottom w:val="single" w:color="auto" w:sz="4" w:space="0"/>
              <w:right w:val="single" w:color="auto" w:sz="4" w:space="0"/>
            </w:tcBorders>
            <w:vAlign w:val="center"/>
          </w:tcPr>
          <w:p w:rsidR="00E635D5" w:rsidP="00D91B9A" w:rsidRDefault="00FB3B8E" w14:paraId="72092081" w14:textId="60F7411F">
            <w:pPr>
              <w:pStyle w:val="Table"/>
              <w:jc w:val="center"/>
            </w:pPr>
            <w:r>
              <w:t>2023-2028</w:t>
            </w:r>
          </w:p>
        </w:tc>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37CAC" w:rsidR="00E635D5" w:rsidP="00FC7D10" w:rsidRDefault="00F9160A" w14:paraId="6330E4BB" w14:textId="1A399D6B">
            <w:pPr>
              <w:pStyle w:val="Table"/>
              <w:ind w:left="259" w:hanging="259"/>
              <w:rPr>
                <w:shd w:val="clear" w:color="auto" w:fill="FFFFFF"/>
              </w:rPr>
            </w:pPr>
            <w:r>
              <w:rPr>
                <w:shd w:val="clear" w:color="auto" w:fill="FFFFFF"/>
              </w:rPr>
              <w:t>F</w:t>
            </w:r>
            <w:r w:rsidR="00E635D5">
              <w:rPr>
                <w:shd w:val="clear" w:color="auto" w:fill="FFFFFF"/>
              </w:rPr>
              <w:t>.</w:t>
            </w:r>
            <w:r w:rsidR="009859C3">
              <w:rPr>
                <w:shd w:val="clear" w:color="auto" w:fill="FFFFFF"/>
              </w:rPr>
              <w:t xml:space="preserve"> </w:t>
            </w:r>
            <w:r w:rsidR="009859C3">
              <w:rPr>
                <w:shd w:val="clear" w:color="auto" w:fill="FFFFFF"/>
              </w:rPr>
              <w:tab/>
            </w:r>
            <w:r w:rsidR="00E635D5">
              <w:rPr>
                <w:shd w:val="clear" w:color="auto" w:fill="FFFFFF"/>
              </w:rPr>
              <w:t>Updates to DEER Support Table Values</w:t>
            </w:r>
          </w:p>
        </w:tc>
        <w:tc>
          <w:tcPr>
            <w:tcW w:w="35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E635D5" w:rsidP="00E635D5" w:rsidRDefault="00E635D5" w14:paraId="65C3BB1D" w14:textId="7F6AD929">
            <w:pPr>
              <w:pStyle w:val="Table"/>
              <w:jc w:val="center"/>
            </w:pPr>
            <w:r w:rsidRPr="00730611">
              <w:t>X</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E635D5" w:rsidP="00E635D5" w:rsidRDefault="00E635D5" w14:paraId="20EE37EE" w14:textId="411A00FE">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6DE46A9E" w14:textId="229405BE">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6EDB2256" w14:textId="23AD0179">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67C12FA8" w14:textId="3F1E4251">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794E27F4" w14:textId="06E30295">
            <w:pPr>
              <w:pStyle w:val="Table"/>
              <w:jc w:val="center"/>
            </w:pPr>
            <w:r w:rsidRPr="00730611">
              <w:t>X</w:t>
            </w:r>
          </w:p>
        </w:tc>
        <w:tc>
          <w:tcPr>
            <w:tcW w:w="36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465FB95F" w14:textId="4DE6C9D9">
            <w:pPr>
              <w:pStyle w:val="Table"/>
              <w:jc w:val="center"/>
            </w:pPr>
            <w:r w:rsidRPr="00730611">
              <w:t>X</w:t>
            </w:r>
          </w:p>
        </w:tc>
        <w:tc>
          <w:tcPr>
            <w:tcW w:w="35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E635D5" w:rsidP="00E635D5" w:rsidRDefault="00E635D5" w14:paraId="6157438E" w14:textId="77777777">
            <w:pPr>
              <w:pStyle w:val="Table"/>
              <w:jc w:val="center"/>
            </w:pP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E635D5" w:rsidP="00E635D5" w:rsidRDefault="00E635D5" w14:paraId="6BC79AD1" w14:textId="0D4A9755">
            <w:pPr>
              <w:pStyle w:val="Table"/>
              <w:jc w:val="center"/>
            </w:pPr>
            <w:r>
              <w:t>X</w:t>
            </w:r>
          </w:p>
        </w:tc>
        <w:tc>
          <w:tcPr>
            <w:tcW w:w="35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E635D5" w:rsidP="00E635D5" w:rsidRDefault="00E635D5" w14:paraId="638B23E8" w14:textId="019C5147">
            <w:pPr>
              <w:pStyle w:val="Table"/>
              <w:jc w:val="center"/>
            </w:pPr>
            <w:r>
              <w:t>X</w:t>
            </w: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E635D5" w:rsidP="00E635D5" w:rsidRDefault="00E635D5" w14:paraId="6BED6F58" w14:textId="77777777">
            <w:pPr>
              <w:pStyle w:val="Table"/>
              <w:jc w:val="center"/>
            </w:pP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E635D5" w:rsidP="00E635D5" w:rsidRDefault="00E635D5" w14:paraId="0ED56AAC" w14:textId="64E6C983">
            <w:pPr>
              <w:pStyle w:val="Table"/>
              <w:jc w:val="center"/>
            </w:pPr>
            <w:r>
              <w:t>X</w:t>
            </w:r>
          </w:p>
        </w:tc>
      </w:tr>
      <w:tr w:rsidRPr="00730611" w:rsidR="006C047E" w:rsidTr="00C45584" w14:paraId="081E9EF3" w14:textId="77777777">
        <w:trPr>
          <w:trHeight w:val="288"/>
        </w:trPr>
        <w:tc>
          <w:tcPr>
            <w:tcW w:w="655" w:type="dxa"/>
            <w:tcBorders>
              <w:top w:val="double" w:color="auto" w:sz="4" w:space="0"/>
              <w:left w:val="single" w:color="auto" w:sz="4" w:space="0"/>
              <w:bottom w:val="double" w:color="auto" w:sz="4" w:space="0"/>
            </w:tcBorders>
            <w:vAlign w:val="center"/>
          </w:tcPr>
          <w:p w:rsidRPr="009D4AF8" w:rsidR="00E635D5" w:rsidP="00D91B9A" w:rsidRDefault="00E635D5" w14:paraId="61E8D9C4" w14:textId="77777777">
            <w:pPr>
              <w:pStyle w:val="Table"/>
              <w:keepNext/>
              <w:jc w:val="center"/>
            </w:pPr>
          </w:p>
        </w:tc>
        <w:tc>
          <w:tcPr>
            <w:tcW w:w="448" w:type="dxa"/>
            <w:tcBorders>
              <w:top w:val="double" w:color="auto" w:sz="4" w:space="0"/>
              <w:bottom w:val="double" w:color="auto" w:sz="4" w:space="0"/>
            </w:tcBorders>
            <w:vAlign w:val="center"/>
          </w:tcPr>
          <w:p w:rsidRPr="00730611" w:rsidR="00E635D5" w:rsidP="00D91B9A" w:rsidRDefault="00E635D5" w14:paraId="3CF72E56" w14:textId="77777777">
            <w:pPr>
              <w:pStyle w:val="Table"/>
              <w:keepNext/>
              <w:jc w:val="center"/>
            </w:pPr>
          </w:p>
        </w:tc>
        <w:tc>
          <w:tcPr>
            <w:tcW w:w="899" w:type="dxa"/>
            <w:gridSpan w:val="2"/>
            <w:tcBorders>
              <w:top w:val="double" w:color="auto" w:sz="4" w:space="0"/>
              <w:bottom w:val="double" w:color="auto" w:sz="4" w:space="0"/>
            </w:tcBorders>
            <w:vAlign w:val="center"/>
          </w:tcPr>
          <w:p w:rsidRPr="009F3248" w:rsidR="00E635D5" w:rsidP="00D91B9A" w:rsidRDefault="00E635D5" w14:paraId="71B975ED" w14:textId="77777777">
            <w:pPr>
              <w:pStyle w:val="Table"/>
              <w:keepNext/>
              <w:jc w:val="center"/>
              <w:rPr>
                <w:b/>
                <w:bCs/>
              </w:rPr>
            </w:pPr>
          </w:p>
        </w:tc>
        <w:tc>
          <w:tcPr>
            <w:tcW w:w="3296" w:type="dxa"/>
            <w:tcBorders>
              <w:top w:val="double" w:color="auto" w:sz="4" w:space="0"/>
              <w:bottom w:val="double" w:color="auto" w:sz="4" w:space="0"/>
            </w:tcBorders>
            <w:shd w:val="clear" w:color="auto" w:fill="auto"/>
            <w:noWrap/>
            <w:vAlign w:val="center"/>
          </w:tcPr>
          <w:p w:rsidRPr="009F3248" w:rsidR="00E635D5" w:rsidP="00E635D5" w:rsidRDefault="00E635D5" w14:paraId="72EDF962" w14:textId="60AAF9BB">
            <w:pPr>
              <w:pStyle w:val="Table"/>
              <w:keepNext/>
              <w:rPr>
                <w:b/>
                <w:bCs/>
              </w:rPr>
            </w:pPr>
            <w:r w:rsidRPr="009F3248">
              <w:rPr>
                <w:b/>
                <w:bCs/>
              </w:rPr>
              <w:t xml:space="preserve">Research Needs for </w:t>
            </w:r>
            <w:r w:rsidRPr="009F3248" w:rsidR="007E2D88">
              <w:rPr>
                <w:b/>
                <w:bCs/>
              </w:rPr>
              <w:t>PY202</w:t>
            </w:r>
            <w:r w:rsidR="007E2D88">
              <w:rPr>
                <w:b/>
                <w:bCs/>
              </w:rPr>
              <w:t>8</w:t>
            </w:r>
            <w:r w:rsidRPr="009F3248">
              <w:rPr>
                <w:b/>
                <w:bCs/>
              </w:rPr>
              <w:t>-2</w:t>
            </w:r>
            <w:r w:rsidR="007E2D88">
              <w:rPr>
                <w:b/>
                <w:bCs/>
              </w:rPr>
              <w:t>9</w:t>
            </w:r>
          </w:p>
        </w:tc>
        <w:tc>
          <w:tcPr>
            <w:tcW w:w="358" w:type="dxa"/>
            <w:tcBorders>
              <w:top w:val="double" w:color="auto" w:sz="4" w:space="0"/>
              <w:bottom w:val="double" w:color="auto" w:sz="4" w:space="0"/>
            </w:tcBorders>
            <w:shd w:val="clear" w:color="auto" w:fill="auto"/>
            <w:noWrap/>
            <w:vAlign w:val="center"/>
          </w:tcPr>
          <w:p w:rsidRPr="00730611" w:rsidR="00E635D5" w:rsidP="00E635D5" w:rsidRDefault="00E635D5" w14:paraId="2E852135" w14:textId="77777777">
            <w:pPr>
              <w:pStyle w:val="Table"/>
              <w:keepNext/>
              <w:jc w:val="center"/>
            </w:pPr>
          </w:p>
        </w:tc>
        <w:tc>
          <w:tcPr>
            <w:tcW w:w="362" w:type="dxa"/>
            <w:tcBorders>
              <w:top w:val="double" w:color="auto" w:sz="4" w:space="0"/>
              <w:bottom w:val="double" w:color="auto" w:sz="4" w:space="0"/>
            </w:tcBorders>
            <w:shd w:val="clear" w:color="auto" w:fill="auto"/>
            <w:noWrap/>
            <w:vAlign w:val="center"/>
          </w:tcPr>
          <w:p w:rsidRPr="00730611" w:rsidR="00E635D5" w:rsidP="00E635D5" w:rsidRDefault="00E635D5" w14:paraId="4457CACA" w14:textId="77777777">
            <w:pPr>
              <w:pStyle w:val="Table"/>
              <w:keepNext/>
              <w:jc w:val="center"/>
            </w:pPr>
          </w:p>
        </w:tc>
        <w:tc>
          <w:tcPr>
            <w:tcW w:w="359" w:type="dxa"/>
            <w:tcBorders>
              <w:top w:val="double" w:color="auto" w:sz="4" w:space="0"/>
              <w:bottom w:val="double" w:color="auto" w:sz="4" w:space="0"/>
            </w:tcBorders>
            <w:shd w:val="clear" w:color="auto" w:fill="FFFFFF" w:themeFill="background1"/>
            <w:noWrap/>
            <w:vAlign w:val="center"/>
          </w:tcPr>
          <w:p w:rsidRPr="00730611" w:rsidR="00E635D5" w:rsidP="00E635D5" w:rsidRDefault="00E635D5" w14:paraId="770B8DBB" w14:textId="77777777">
            <w:pPr>
              <w:pStyle w:val="Table"/>
              <w:keepNext/>
              <w:jc w:val="center"/>
            </w:pPr>
          </w:p>
        </w:tc>
        <w:tc>
          <w:tcPr>
            <w:tcW w:w="359" w:type="dxa"/>
            <w:tcBorders>
              <w:top w:val="double" w:color="auto" w:sz="4" w:space="0"/>
              <w:bottom w:val="double" w:color="auto" w:sz="4" w:space="0"/>
            </w:tcBorders>
            <w:shd w:val="clear" w:color="auto" w:fill="FFFFFF" w:themeFill="background1"/>
            <w:noWrap/>
            <w:vAlign w:val="center"/>
          </w:tcPr>
          <w:p w:rsidRPr="00730611" w:rsidR="00E635D5" w:rsidP="00E635D5" w:rsidRDefault="00E635D5" w14:paraId="114943C9" w14:textId="77777777">
            <w:pPr>
              <w:pStyle w:val="Table"/>
              <w:keepNext/>
              <w:jc w:val="center"/>
            </w:pPr>
          </w:p>
        </w:tc>
        <w:tc>
          <w:tcPr>
            <w:tcW w:w="359" w:type="dxa"/>
            <w:tcBorders>
              <w:top w:val="double" w:color="auto" w:sz="4" w:space="0"/>
              <w:bottom w:val="double" w:color="auto" w:sz="4" w:space="0"/>
            </w:tcBorders>
            <w:shd w:val="clear" w:color="auto" w:fill="FFFFFF" w:themeFill="background1"/>
            <w:noWrap/>
            <w:vAlign w:val="center"/>
          </w:tcPr>
          <w:p w:rsidRPr="00730611" w:rsidR="00E635D5" w:rsidP="00E635D5" w:rsidRDefault="00E635D5" w14:paraId="42BA2B72" w14:textId="77777777">
            <w:pPr>
              <w:pStyle w:val="Table"/>
              <w:keepNext/>
              <w:jc w:val="center"/>
            </w:pPr>
          </w:p>
        </w:tc>
        <w:tc>
          <w:tcPr>
            <w:tcW w:w="359" w:type="dxa"/>
            <w:tcBorders>
              <w:top w:val="double" w:color="auto" w:sz="4" w:space="0"/>
              <w:bottom w:val="double" w:color="auto" w:sz="4" w:space="0"/>
            </w:tcBorders>
            <w:shd w:val="clear" w:color="auto" w:fill="FFFFFF" w:themeFill="background1"/>
            <w:noWrap/>
            <w:vAlign w:val="center"/>
          </w:tcPr>
          <w:p w:rsidRPr="00730611" w:rsidR="00E635D5" w:rsidP="00E635D5" w:rsidRDefault="00E635D5" w14:paraId="7B217B71" w14:textId="77777777">
            <w:pPr>
              <w:pStyle w:val="Table"/>
              <w:keepNext/>
              <w:jc w:val="center"/>
            </w:pPr>
          </w:p>
        </w:tc>
        <w:tc>
          <w:tcPr>
            <w:tcW w:w="364" w:type="dxa"/>
            <w:tcBorders>
              <w:top w:val="double" w:color="auto" w:sz="4" w:space="0"/>
              <w:bottom w:val="double" w:color="auto" w:sz="4" w:space="0"/>
            </w:tcBorders>
            <w:shd w:val="clear" w:color="auto" w:fill="FFFFFF" w:themeFill="background1"/>
            <w:noWrap/>
            <w:vAlign w:val="center"/>
          </w:tcPr>
          <w:p w:rsidRPr="00730611" w:rsidR="00E635D5" w:rsidP="00E635D5" w:rsidRDefault="00E635D5" w14:paraId="4E89A5BF" w14:textId="77777777">
            <w:pPr>
              <w:pStyle w:val="Table"/>
              <w:keepNext/>
              <w:jc w:val="center"/>
            </w:pPr>
          </w:p>
        </w:tc>
        <w:tc>
          <w:tcPr>
            <w:tcW w:w="359" w:type="dxa"/>
            <w:tcBorders>
              <w:top w:val="double" w:color="auto" w:sz="4" w:space="0"/>
              <w:bottom w:val="double" w:color="auto" w:sz="4" w:space="0"/>
            </w:tcBorders>
            <w:shd w:val="clear" w:color="auto" w:fill="auto"/>
            <w:noWrap/>
            <w:vAlign w:val="center"/>
          </w:tcPr>
          <w:p w:rsidRPr="00730611" w:rsidR="00E635D5" w:rsidP="00E635D5" w:rsidRDefault="00E635D5" w14:paraId="11A8686E" w14:textId="77777777">
            <w:pPr>
              <w:pStyle w:val="Table"/>
              <w:keepNext/>
              <w:jc w:val="center"/>
            </w:pPr>
          </w:p>
        </w:tc>
        <w:tc>
          <w:tcPr>
            <w:tcW w:w="359" w:type="dxa"/>
            <w:tcBorders>
              <w:top w:val="double" w:color="auto" w:sz="4" w:space="0"/>
              <w:bottom w:val="double" w:color="auto" w:sz="4" w:space="0"/>
            </w:tcBorders>
            <w:vAlign w:val="center"/>
          </w:tcPr>
          <w:p w:rsidRPr="00730611" w:rsidR="00E635D5" w:rsidP="00E635D5" w:rsidRDefault="00E635D5" w14:paraId="04BB07DA" w14:textId="77777777">
            <w:pPr>
              <w:pStyle w:val="Table"/>
              <w:keepNext/>
              <w:jc w:val="center"/>
            </w:pPr>
          </w:p>
        </w:tc>
        <w:tc>
          <w:tcPr>
            <w:tcW w:w="359" w:type="dxa"/>
            <w:tcBorders>
              <w:top w:val="double" w:color="auto" w:sz="4" w:space="0"/>
              <w:bottom w:val="double" w:color="auto" w:sz="4" w:space="0"/>
            </w:tcBorders>
            <w:shd w:val="clear" w:color="auto" w:fill="auto"/>
            <w:noWrap/>
            <w:vAlign w:val="center"/>
          </w:tcPr>
          <w:p w:rsidRPr="00730611" w:rsidR="00E635D5" w:rsidP="00E635D5" w:rsidRDefault="00E635D5" w14:paraId="1628D90A" w14:textId="77777777">
            <w:pPr>
              <w:pStyle w:val="Table"/>
              <w:keepNext/>
              <w:jc w:val="center"/>
            </w:pPr>
          </w:p>
        </w:tc>
        <w:tc>
          <w:tcPr>
            <w:tcW w:w="359" w:type="dxa"/>
            <w:tcBorders>
              <w:top w:val="double" w:color="auto" w:sz="4" w:space="0"/>
              <w:bottom w:val="double" w:color="auto" w:sz="4" w:space="0"/>
            </w:tcBorders>
            <w:vAlign w:val="center"/>
          </w:tcPr>
          <w:p w:rsidRPr="00730611" w:rsidR="00E635D5" w:rsidP="00E635D5" w:rsidRDefault="00E635D5" w14:paraId="381B19DE" w14:textId="77777777">
            <w:pPr>
              <w:pStyle w:val="Table"/>
              <w:keepNext/>
              <w:jc w:val="center"/>
            </w:pPr>
          </w:p>
        </w:tc>
        <w:tc>
          <w:tcPr>
            <w:tcW w:w="359" w:type="dxa"/>
            <w:tcBorders>
              <w:top w:val="double" w:color="auto" w:sz="4" w:space="0"/>
              <w:bottom w:val="double" w:color="auto" w:sz="4" w:space="0"/>
              <w:right w:val="single" w:color="auto" w:sz="4" w:space="0"/>
            </w:tcBorders>
            <w:vAlign w:val="center"/>
          </w:tcPr>
          <w:p w:rsidRPr="00730611" w:rsidR="00E635D5" w:rsidP="00E635D5" w:rsidRDefault="00E635D5" w14:paraId="02BC2D33" w14:textId="77777777">
            <w:pPr>
              <w:pStyle w:val="Table"/>
              <w:keepNext/>
              <w:jc w:val="center"/>
            </w:pPr>
          </w:p>
        </w:tc>
      </w:tr>
      <w:tr w:rsidRPr="00730611" w:rsidR="006C047E" w:rsidTr="00C45584" w14:paraId="367ED8D9" w14:textId="77777777">
        <w:trPr>
          <w:trHeight w:val="288"/>
        </w:trPr>
        <w:tc>
          <w:tcPr>
            <w:tcW w:w="655" w:type="dxa"/>
            <w:tcBorders>
              <w:top w:val="double" w:color="auto" w:sz="4" w:space="0"/>
              <w:left w:val="single" w:color="auto" w:sz="4" w:space="0"/>
              <w:bottom w:val="single" w:color="auto" w:sz="4" w:space="0"/>
              <w:right w:val="single" w:color="auto" w:sz="4" w:space="0"/>
            </w:tcBorders>
            <w:vAlign w:val="center"/>
          </w:tcPr>
          <w:p w:rsidRPr="009D4AF8" w:rsidR="00E635D5" w:rsidP="00D91B9A" w:rsidRDefault="005A1264" w14:paraId="1C856F1A" w14:textId="218AABC6">
            <w:pPr>
              <w:pStyle w:val="Table"/>
              <w:jc w:val="center"/>
            </w:pPr>
            <w:r>
              <w:t>!!</w:t>
            </w:r>
          </w:p>
        </w:tc>
        <w:tc>
          <w:tcPr>
            <w:tcW w:w="448" w:type="dxa"/>
            <w:tcBorders>
              <w:top w:val="double" w:color="auto" w:sz="4" w:space="0"/>
              <w:left w:val="single" w:color="auto" w:sz="4" w:space="0"/>
              <w:bottom w:val="single" w:color="auto" w:sz="4" w:space="0"/>
              <w:right w:val="single" w:color="auto" w:sz="4" w:space="0"/>
            </w:tcBorders>
            <w:vAlign w:val="center"/>
          </w:tcPr>
          <w:p w:rsidRPr="00E37CAC" w:rsidR="00E635D5" w:rsidP="00D91B9A" w:rsidRDefault="005A1264" w14:paraId="460403F9" w14:textId="5FEC8D77">
            <w:pPr>
              <w:pStyle w:val="Table"/>
              <w:jc w:val="center"/>
            </w:pPr>
            <w:r w:rsidRPr="00E37CAC">
              <w:t>$$</w:t>
            </w:r>
          </w:p>
        </w:tc>
        <w:tc>
          <w:tcPr>
            <w:tcW w:w="899" w:type="dxa"/>
            <w:gridSpan w:val="2"/>
            <w:tcBorders>
              <w:top w:val="double" w:color="auto" w:sz="4" w:space="0"/>
              <w:left w:val="single" w:color="auto" w:sz="4" w:space="0"/>
              <w:bottom w:val="single" w:color="auto" w:sz="4" w:space="0"/>
              <w:right w:val="single" w:color="auto" w:sz="4" w:space="0"/>
            </w:tcBorders>
            <w:vAlign w:val="center"/>
          </w:tcPr>
          <w:p w:rsidRPr="009F3248" w:rsidR="00E635D5" w:rsidP="00D91B9A" w:rsidRDefault="00E635D5" w14:paraId="231944E5" w14:textId="09F75050">
            <w:pPr>
              <w:pStyle w:val="Table"/>
              <w:jc w:val="center"/>
              <w:rPr>
                <w:bCs/>
              </w:rPr>
            </w:pPr>
            <w:r>
              <w:rPr>
                <w:bCs/>
              </w:rPr>
              <w:t>202</w:t>
            </w:r>
            <w:r w:rsidR="007E2D88">
              <w:rPr>
                <w:bCs/>
              </w:rPr>
              <w:t>8</w:t>
            </w:r>
          </w:p>
        </w:tc>
        <w:tc>
          <w:tcPr>
            <w:tcW w:w="3296" w:type="dxa"/>
            <w:tcBorders>
              <w:top w:val="double" w:color="auto" w:sz="4" w:space="0"/>
              <w:left w:val="single" w:color="auto" w:sz="4" w:space="0"/>
              <w:bottom w:val="single" w:color="auto" w:sz="4" w:space="0"/>
              <w:right w:val="single" w:color="auto" w:sz="4" w:space="0"/>
            </w:tcBorders>
            <w:shd w:val="clear" w:color="auto" w:fill="auto"/>
            <w:noWrap/>
            <w:vAlign w:val="center"/>
          </w:tcPr>
          <w:p w:rsidRPr="00512242" w:rsidR="00E635D5" w:rsidP="00FC7D10" w:rsidRDefault="00D36289" w14:paraId="1B74CC13" w14:textId="0C217140">
            <w:pPr>
              <w:pStyle w:val="Table"/>
              <w:ind w:left="259" w:hanging="259"/>
              <w:rPr>
                <w:shd w:val="clear" w:color="auto" w:fill="FFFFFF"/>
              </w:rPr>
            </w:pPr>
            <w:r>
              <w:rPr>
                <w:shd w:val="clear" w:color="auto" w:fill="FFFFFF"/>
              </w:rPr>
              <w:t>G</w:t>
            </w:r>
            <w:r w:rsidRPr="00512242" w:rsidR="00B308A9">
              <w:rPr>
                <w:shd w:val="clear" w:color="auto" w:fill="FFFFFF"/>
              </w:rPr>
              <w:t>.</w:t>
            </w:r>
            <w:r w:rsidR="00626DB1">
              <w:rPr>
                <w:shd w:val="clear" w:color="auto" w:fill="FFFFFF"/>
              </w:rPr>
              <w:t xml:space="preserve"> </w:t>
            </w:r>
            <w:r w:rsidR="00626DB1">
              <w:rPr>
                <w:shd w:val="clear" w:color="auto" w:fill="FFFFFF"/>
              </w:rPr>
              <w:tab/>
            </w:r>
            <w:r w:rsidRPr="00512242" w:rsidR="00B308A9">
              <w:rPr>
                <w:shd w:val="clear" w:color="auto" w:fill="FFFFFF"/>
              </w:rPr>
              <w:t>Research to Improve HVAC Refrigerant Charge Values</w:t>
            </w:r>
          </w:p>
        </w:tc>
        <w:tc>
          <w:tcPr>
            <w:tcW w:w="358" w:type="dxa"/>
            <w:tcBorders>
              <w:top w:val="double" w:color="auto" w:sz="4" w:space="0"/>
              <w:left w:val="single" w:color="auto" w:sz="4" w:space="0"/>
              <w:bottom w:val="single" w:color="auto" w:sz="4" w:space="0"/>
              <w:right w:val="single" w:color="auto" w:sz="4" w:space="0"/>
            </w:tcBorders>
            <w:shd w:val="clear" w:color="auto" w:fill="auto"/>
            <w:noWrap/>
            <w:vAlign w:val="center"/>
          </w:tcPr>
          <w:p w:rsidRPr="00730611" w:rsidR="00E635D5" w:rsidP="00E635D5" w:rsidRDefault="00A205C1" w14:paraId="6AC5C84C" w14:textId="5AF9FBB0">
            <w:pPr>
              <w:pStyle w:val="Table"/>
              <w:jc w:val="center"/>
            </w:pPr>
            <w:r>
              <w:t>X</w:t>
            </w:r>
          </w:p>
        </w:tc>
        <w:tc>
          <w:tcPr>
            <w:tcW w:w="362" w:type="dxa"/>
            <w:tcBorders>
              <w:top w:val="double" w:color="auto" w:sz="4" w:space="0"/>
              <w:left w:val="single" w:color="auto" w:sz="4" w:space="0"/>
              <w:bottom w:val="single" w:color="auto" w:sz="4" w:space="0"/>
              <w:right w:val="single" w:color="auto" w:sz="4" w:space="0"/>
            </w:tcBorders>
            <w:shd w:val="clear" w:color="auto" w:fill="auto"/>
            <w:noWrap/>
            <w:vAlign w:val="center"/>
          </w:tcPr>
          <w:p w:rsidRPr="00730611" w:rsidR="00E635D5" w:rsidP="00E635D5" w:rsidRDefault="00A205C1" w14:paraId="40A1EBD1" w14:textId="30629424">
            <w:pPr>
              <w:pStyle w:val="Table"/>
              <w:jc w:val="center"/>
            </w:pPr>
            <w:r>
              <w:t>X</w:t>
            </w:r>
          </w:p>
        </w:tc>
        <w:tc>
          <w:tcPr>
            <w:tcW w:w="359" w:type="dxa"/>
            <w:tcBorders>
              <w:top w:val="doub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1EE09375" w14:textId="77777777">
            <w:pPr>
              <w:pStyle w:val="Table"/>
              <w:jc w:val="center"/>
            </w:pPr>
          </w:p>
        </w:tc>
        <w:tc>
          <w:tcPr>
            <w:tcW w:w="359" w:type="dxa"/>
            <w:tcBorders>
              <w:top w:val="doub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E635D5" w:rsidP="00E635D5" w:rsidRDefault="00DF708D" w14:paraId="2885C3E0" w14:textId="12AD9A08">
            <w:pPr>
              <w:pStyle w:val="Table"/>
              <w:jc w:val="center"/>
            </w:pPr>
            <w:r>
              <w:t>X</w:t>
            </w:r>
          </w:p>
        </w:tc>
        <w:tc>
          <w:tcPr>
            <w:tcW w:w="359" w:type="dxa"/>
            <w:tcBorders>
              <w:top w:val="doub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2EB83015" w14:textId="77777777">
            <w:pPr>
              <w:pStyle w:val="Table"/>
              <w:jc w:val="center"/>
            </w:pPr>
          </w:p>
        </w:tc>
        <w:tc>
          <w:tcPr>
            <w:tcW w:w="359" w:type="dxa"/>
            <w:tcBorders>
              <w:top w:val="doub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6B1968F2" w14:textId="77777777">
            <w:pPr>
              <w:pStyle w:val="Table"/>
              <w:jc w:val="center"/>
            </w:pPr>
          </w:p>
        </w:tc>
        <w:tc>
          <w:tcPr>
            <w:tcW w:w="364" w:type="dxa"/>
            <w:tcBorders>
              <w:top w:val="doub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48DC0B84" w14:textId="77777777">
            <w:pPr>
              <w:pStyle w:val="Table"/>
              <w:jc w:val="center"/>
            </w:pPr>
          </w:p>
        </w:tc>
        <w:tc>
          <w:tcPr>
            <w:tcW w:w="359" w:type="dxa"/>
            <w:tcBorders>
              <w:top w:val="double" w:color="auto" w:sz="4" w:space="0"/>
              <w:left w:val="single" w:color="auto" w:sz="4" w:space="0"/>
              <w:bottom w:val="single" w:color="auto" w:sz="4" w:space="0"/>
              <w:right w:val="single" w:color="auto" w:sz="4" w:space="0"/>
            </w:tcBorders>
            <w:shd w:val="clear" w:color="auto" w:fill="auto"/>
            <w:noWrap/>
            <w:vAlign w:val="center"/>
          </w:tcPr>
          <w:p w:rsidRPr="00730611" w:rsidR="00E635D5" w:rsidP="00E635D5" w:rsidRDefault="00E635D5" w14:paraId="3CB2ADAE" w14:textId="20D9B985">
            <w:pPr>
              <w:pStyle w:val="Table"/>
              <w:jc w:val="center"/>
            </w:pPr>
          </w:p>
        </w:tc>
        <w:tc>
          <w:tcPr>
            <w:tcW w:w="359" w:type="dxa"/>
            <w:tcBorders>
              <w:top w:val="double" w:color="auto" w:sz="4" w:space="0"/>
              <w:left w:val="single" w:color="auto" w:sz="4" w:space="0"/>
              <w:bottom w:val="single" w:color="auto" w:sz="4" w:space="0"/>
              <w:right w:val="single" w:color="auto" w:sz="4" w:space="0"/>
            </w:tcBorders>
            <w:vAlign w:val="center"/>
          </w:tcPr>
          <w:p w:rsidRPr="00730611" w:rsidR="00E635D5" w:rsidP="00E635D5" w:rsidRDefault="00E635D5" w14:paraId="2DBDC72D" w14:textId="77777777">
            <w:pPr>
              <w:pStyle w:val="Table"/>
              <w:jc w:val="center"/>
            </w:pPr>
          </w:p>
        </w:tc>
        <w:tc>
          <w:tcPr>
            <w:tcW w:w="359" w:type="dxa"/>
            <w:tcBorders>
              <w:top w:val="double" w:color="auto" w:sz="4" w:space="0"/>
              <w:left w:val="single" w:color="auto" w:sz="4" w:space="0"/>
              <w:bottom w:val="single" w:color="auto" w:sz="4" w:space="0"/>
              <w:right w:val="single" w:color="auto" w:sz="4" w:space="0"/>
            </w:tcBorders>
            <w:shd w:val="clear" w:color="auto" w:fill="auto"/>
            <w:noWrap/>
            <w:vAlign w:val="center"/>
          </w:tcPr>
          <w:p w:rsidRPr="00730611" w:rsidR="00E635D5" w:rsidP="00E635D5" w:rsidRDefault="00E635D5" w14:paraId="648ED074" w14:textId="77777777">
            <w:pPr>
              <w:pStyle w:val="Table"/>
              <w:jc w:val="center"/>
            </w:pPr>
          </w:p>
        </w:tc>
        <w:tc>
          <w:tcPr>
            <w:tcW w:w="359" w:type="dxa"/>
            <w:tcBorders>
              <w:top w:val="double" w:color="auto" w:sz="4" w:space="0"/>
              <w:left w:val="single" w:color="auto" w:sz="4" w:space="0"/>
              <w:bottom w:val="single" w:color="auto" w:sz="4" w:space="0"/>
              <w:right w:val="single" w:color="auto" w:sz="4" w:space="0"/>
            </w:tcBorders>
            <w:vAlign w:val="center"/>
          </w:tcPr>
          <w:p w:rsidRPr="00730611" w:rsidR="00E635D5" w:rsidP="00E635D5" w:rsidRDefault="00E635D5" w14:paraId="55DFDA71" w14:textId="77777777">
            <w:pPr>
              <w:pStyle w:val="Table"/>
              <w:jc w:val="center"/>
            </w:pPr>
          </w:p>
        </w:tc>
        <w:tc>
          <w:tcPr>
            <w:tcW w:w="359" w:type="dxa"/>
            <w:tcBorders>
              <w:top w:val="double" w:color="auto" w:sz="4" w:space="0"/>
              <w:left w:val="single" w:color="auto" w:sz="4" w:space="0"/>
              <w:bottom w:val="single" w:color="auto" w:sz="4" w:space="0"/>
              <w:right w:val="single" w:color="auto" w:sz="4" w:space="0"/>
            </w:tcBorders>
            <w:vAlign w:val="center"/>
          </w:tcPr>
          <w:p w:rsidRPr="00730611" w:rsidR="00E635D5" w:rsidP="00E635D5" w:rsidRDefault="00490715" w14:paraId="07CBF4E6" w14:textId="533D3247">
            <w:pPr>
              <w:pStyle w:val="Table"/>
              <w:jc w:val="center"/>
            </w:pPr>
            <w:r>
              <w:t>X</w:t>
            </w:r>
          </w:p>
        </w:tc>
      </w:tr>
      <w:tr w:rsidRPr="00730611" w:rsidR="006C047E" w:rsidTr="00C45584" w14:paraId="73454EEC" w14:textId="77777777">
        <w:trPr>
          <w:trHeight w:val="288"/>
        </w:trPr>
        <w:tc>
          <w:tcPr>
            <w:tcW w:w="655" w:type="dxa"/>
            <w:tcBorders>
              <w:top w:val="single" w:color="auto" w:sz="4" w:space="0"/>
              <w:left w:val="single" w:color="auto" w:sz="4" w:space="0"/>
              <w:bottom w:val="single" w:color="auto" w:sz="4" w:space="0"/>
              <w:right w:val="single" w:color="auto" w:sz="4" w:space="0"/>
            </w:tcBorders>
            <w:vAlign w:val="center"/>
          </w:tcPr>
          <w:p w:rsidR="00B308A9" w:rsidP="00D91B9A" w:rsidRDefault="00EA34DE" w14:paraId="555F8997" w14:textId="51F4255C">
            <w:pPr>
              <w:pStyle w:val="Table"/>
              <w:jc w:val="center"/>
            </w:pPr>
            <w:r>
              <w:t>!!</w:t>
            </w:r>
          </w:p>
        </w:tc>
        <w:tc>
          <w:tcPr>
            <w:tcW w:w="448" w:type="dxa"/>
            <w:tcBorders>
              <w:top w:val="single" w:color="auto" w:sz="4" w:space="0"/>
              <w:left w:val="single" w:color="auto" w:sz="4" w:space="0"/>
              <w:bottom w:val="single" w:color="auto" w:sz="4" w:space="0"/>
              <w:right w:val="single" w:color="auto" w:sz="4" w:space="0"/>
            </w:tcBorders>
            <w:vAlign w:val="center"/>
          </w:tcPr>
          <w:p w:rsidRPr="00E37CAC" w:rsidR="00B308A9" w:rsidP="00D91B9A" w:rsidRDefault="00EA34DE" w14:paraId="4D2E3667" w14:textId="13E42325">
            <w:pPr>
              <w:pStyle w:val="Table"/>
              <w:jc w:val="center"/>
            </w:pPr>
            <w:r>
              <w:t>$$</w:t>
            </w:r>
          </w:p>
        </w:tc>
        <w:tc>
          <w:tcPr>
            <w:tcW w:w="899" w:type="dxa"/>
            <w:gridSpan w:val="2"/>
            <w:tcBorders>
              <w:top w:val="single" w:color="auto" w:sz="4" w:space="0"/>
              <w:left w:val="single" w:color="auto" w:sz="4" w:space="0"/>
              <w:bottom w:val="single" w:color="auto" w:sz="4" w:space="0"/>
              <w:right w:val="single" w:color="auto" w:sz="4" w:space="0"/>
            </w:tcBorders>
            <w:vAlign w:val="center"/>
          </w:tcPr>
          <w:p w:rsidR="00B308A9" w:rsidP="00D91B9A" w:rsidRDefault="00B308A9" w14:paraId="00E9F160" w14:textId="0AFBFBB1">
            <w:pPr>
              <w:pStyle w:val="Table"/>
              <w:jc w:val="center"/>
              <w:rPr>
                <w:bCs/>
              </w:rPr>
            </w:pPr>
            <w:r>
              <w:rPr>
                <w:bCs/>
              </w:rPr>
              <w:t>2028</w:t>
            </w:r>
          </w:p>
        </w:tc>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12242" w:rsidR="00B308A9" w:rsidP="00FC7D10" w:rsidRDefault="00D36289" w14:paraId="29DDAF31" w14:textId="2C011440">
            <w:pPr>
              <w:pStyle w:val="Table"/>
              <w:ind w:left="259" w:hanging="259"/>
              <w:rPr>
                <w:shd w:val="clear" w:color="auto" w:fill="FFFFFF"/>
              </w:rPr>
            </w:pPr>
            <w:r>
              <w:rPr>
                <w:shd w:val="clear" w:color="auto" w:fill="FFFFFF"/>
              </w:rPr>
              <w:t>H</w:t>
            </w:r>
            <w:r w:rsidRPr="00512242" w:rsidR="00C7096F">
              <w:rPr>
                <w:shd w:val="clear" w:color="auto" w:fill="FFFFFF"/>
              </w:rPr>
              <w:t>.</w:t>
            </w:r>
            <w:r w:rsidR="00626DB1">
              <w:rPr>
                <w:shd w:val="clear" w:color="auto" w:fill="FFFFFF"/>
              </w:rPr>
              <w:t xml:space="preserve"> </w:t>
            </w:r>
            <w:r w:rsidR="00626DB1">
              <w:rPr>
                <w:shd w:val="clear" w:color="auto" w:fill="FFFFFF"/>
              </w:rPr>
              <w:tab/>
            </w:r>
            <w:r w:rsidRPr="00512242" w:rsidR="00C7096F">
              <w:rPr>
                <w:shd w:val="clear" w:color="auto" w:fill="FFFFFF"/>
              </w:rPr>
              <w:t>VRF Heat Pump and AC Performance Curves</w:t>
            </w:r>
          </w:p>
        </w:tc>
        <w:tc>
          <w:tcPr>
            <w:tcW w:w="358" w:type="dxa"/>
            <w:tcBorders>
              <w:top w:val="single" w:color="auto" w:sz="4" w:space="0"/>
              <w:left w:val="single" w:color="auto" w:sz="4" w:space="0"/>
              <w:bottom w:val="single" w:color="auto" w:sz="4" w:space="0"/>
              <w:right w:val="single" w:color="auto" w:sz="4" w:space="0"/>
            </w:tcBorders>
            <w:shd w:val="clear" w:color="auto" w:fill="auto"/>
            <w:noWrap/>
            <w:vAlign w:val="center"/>
          </w:tcPr>
          <w:p w:rsidR="00B308A9" w:rsidDel="007E2D88" w:rsidP="00E635D5" w:rsidRDefault="00B308A9" w14:paraId="3896B0F0" w14:textId="77777777">
            <w:pPr>
              <w:pStyle w:val="Table"/>
              <w:jc w:val="center"/>
            </w:pP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rsidR="00B308A9" w:rsidDel="007E2D88" w:rsidP="00E635D5" w:rsidRDefault="00947B54" w14:paraId="080EA6C5" w14:textId="19745111">
            <w:pPr>
              <w:pStyle w:val="Table"/>
              <w:jc w:val="center"/>
            </w:pPr>
            <w:r>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B308A9" w:rsidP="00E635D5" w:rsidRDefault="00B308A9" w14:paraId="35207895" w14:textId="77777777">
            <w:pPr>
              <w:pStyle w:val="Table"/>
              <w:jc w:val="center"/>
            </w:pP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00B308A9" w:rsidDel="007E2D88" w:rsidP="00E635D5" w:rsidRDefault="00947B54" w14:paraId="39BEBBA1" w14:textId="5CC075AF">
            <w:pPr>
              <w:pStyle w:val="Table"/>
              <w:jc w:val="center"/>
            </w:pPr>
            <w:r>
              <w:t>X</w:t>
            </w: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B308A9" w:rsidP="00E635D5" w:rsidRDefault="00B308A9" w14:paraId="6530DE9C" w14:textId="77777777">
            <w:pPr>
              <w:pStyle w:val="Table"/>
              <w:jc w:val="center"/>
            </w:pPr>
          </w:p>
        </w:tc>
        <w:tc>
          <w:tcPr>
            <w:tcW w:w="359"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B308A9" w:rsidP="00E635D5" w:rsidRDefault="00B308A9" w14:paraId="1ED8FFAF" w14:textId="77777777">
            <w:pPr>
              <w:pStyle w:val="Table"/>
              <w:jc w:val="center"/>
            </w:pPr>
          </w:p>
        </w:tc>
        <w:tc>
          <w:tcPr>
            <w:tcW w:w="36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730611" w:rsidR="00B308A9" w:rsidP="00E635D5" w:rsidRDefault="00B308A9" w14:paraId="05D59D77" w14:textId="77777777">
            <w:pPr>
              <w:pStyle w:val="Table"/>
              <w:jc w:val="center"/>
            </w:pPr>
          </w:p>
        </w:tc>
        <w:tc>
          <w:tcPr>
            <w:tcW w:w="359" w:type="dxa"/>
            <w:tcBorders>
              <w:top w:val="single" w:color="auto" w:sz="4" w:space="0"/>
              <w:left w:val="single" w:color="auto" w:sz="4" w:space="0"/>
              <w:bottom w:val="single" w:color="auto" w:sz="4" w:space="0"/>
              <w:right w:val="single" w:color="auto" w:sz="4" w:space="0"/>
            </w:tcBorders>
            <w:shd w:val="clear" w:color="auto" w:fill="auto"/>
            <w:noWrap/>
            <w:vAlign w:val="center"/>
          </w:tcPr>
          <w:p w:rsidR="00B308A9" w:rsidDel="007E2D88" w:rsidP="00E635D5" w:rsidRDefault="00371DD6" w14:paraId="6F069D3E" w14:textId="5C082427">
            <w:pPr>
              <w:pStyle w:val="Table"/>
              <w:jc w:val="center"/>
            </w:pPr>
            <w:r>
              <w:t>X</w:t>
            </w: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B308A9" w:rsidP="00E635D5" w:rsidRDefault="00B308A9" w14:paraId="6BCB4A82" w14:textId="77777777">
            <w:pPr>
              <w:pStyle w:val="Table"/>
              <w:jc w:val="center"/>
            </w:pPr>
          </w:p>
        </w:tc>
        <w:tc>
          <w:tcPr>
            <w:tcW w:w="35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0611" w:rsidR="00B308A9" w:rsidP="00E635D5" w:rsidRDefault="00B308A9" w14:paraId="70F64826" w14:textId="77777777">
            <w:pPr>
              <w:pStyle w:val="Table"/>
              <w:jc w:val="center"/>
            </w:pP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B308A9" w:rsidP="00E635D5" w:rsidRDefault="00B308A9" w14:paraId="333ABB70" w14:textId="77777777">
            <w:pPr>
              <w:pStyle w:val="Table"/>
              <w:jc w:val="center"/>
            </w:pPr>
          </w:p>
        </w:tc>
        <w:tc>
          <w:tcPr>
            <w:tcW w:w="359" w:type="dxa"/>
            <w:tcBorders>
              <w:top w:val="single" w:color="auto" w:sz="4" w:space="0"/>
              <w:left w:val="single" w:color="auto" w:sz="4" w:space="0"/>
              <w:bottom w:val="single" w:color="auto" w:sz="4" w:space="0"/>
              <w:right w:val="single" w:color="auto" w:sz="4" w:space="0"/>
            </w:tcBorders>
            <w:vAlign w:val="center"/>
          </w:tcPr>
          <w:p w:rsidRPr="00730611" w:rsidR="00B308A9" w:rsidP="00E635D5" w:rsidRDefault="00B308A9" w14:paraId="6F35853C" w14:textId="77777777">
            <w:pPr>
              <w:pStyle w:val="Table"/>
              <w:jc w:val="center"/>
            </w:pPr>
          </w:p>
        </w:tc>
      </w:tr>
      <w:tr w:rsidRPr="00730611" w:rsidR="006C047E" w:rsidTr="00C45584" w14:paraId="01C78F0B" w14:textId="77777777">
        <w:trPr>
          <w:trHeight w:val="288"/>
        </w:trPr>
        <w:tc>
          <w:tcPr>
            <w:tcW w:w="655" w:type="dxa"/>
            <w:tcBorders>
              <w:top w:val="single" w:color="auto" w:sz="4" w:space="0"/>
              <w:left w:val="single" w:color="auto" w:sz="4" w:space="0"/>
              <w:bottom w:val="double" w:color="auto" w:sz="4" w:space="0"/>
              <w:right w:val="single" w:color="auto" w:sz="4" w:space="0"/>
            </w:tcBorders>
            <w:vAlign w:val="center"/>
          </w:tcPr>
          <w:p w:rsidRPr="009D4AF8" w:rsidR="00E635D5" w:rsidP="00D91B9A" w:rsidRDefault="005A1264" w14:paraId="3BFBF358" w14:textId="4EC64B1B">
            <w:pPr>
              <w:pStyle w:val="Table"/>
              <w:jc w:val="center"/>
            </w:pPr>
            <w:r>
              <w:t>!!</w:t>
            </w:r>
          </w:p>
        </w:tc>
        <w:tc>
          <w:tcPr>
            <w:tcW w:w="448" w:type="dxa"/>
            <w:tcBorders>
              <w:top w:val="single" w:color="auto" w:sz="4" w:space="0"/>
              <w:left w:val="single" w:color="auto" w:sz="4" w:space="0"/>
              <w:bottom w:val="double" w:color="auto" w:sz="4" w:space="0"/>
              <w:right w:val="single" w:color="auto" w:sz="4" w:space="0"/>
            </w:tcBorders>
            <w:vAlign w:val="center"/>
          </w:tcPr>
          <w:p w:rsidRPr="00E37CAC" w:rsidR="00E635D5" w:rsidP="00D91B9A" w:rsidRDefault="005A1264" w14:paraId="4BB351DB" w14:textId="4FBED8C5">
            <w:pPr>
              <w:pStyle w:val="Table"/>
              <w:jc w:val="center"/>
            </w:pPr>
            <w:r w:rsidRPr="00E37CAC">
              <w:t>$$</w:t>
            </w:r>
          </w:p>
        </w:tc>
        <w:tc>
          <w:tcPr>
            <w:tcW w:w="899" w:type="dxa"/>
            <w:gridSpan w:val="2"/>
            <w:tcBorders>
              <w:top w:val="single" w:color="auto" w:sz="4" w:space="0"/>
              <w:left w:val="single" w:color="auto" w:sz="4" w:space="0"/>
              <w:bottom w:val="double" w:color="auto" w:sz="4" w:space="0"/>
              <w:right w:val="single" w:color="auto" w:sz="4" w:space="0"/>
            </w:tcBorders>
            <w:vAlign w:val="center"/>
          </w:tcPr>
          <w:p w:rsidRPr="009F3248" w:rsidR="00E635D5" w:rsidP="00D91B9A" w:rsidRDefault="00E635D5" w14:paraId="39582510" w14:textId="56ACC269">
            <w:pPr>
              <w:pStyle w:val="Table"/>
              <w:jc w:val="center"/>
              <w:rPr>
                <w:bCs/>
              </w:rPr>
            </w:pPr>
            <w:r>
              <w:rPr>
                <w:bCs/>
              </w:rPr>
              <w:t>202</w:t>
            </w:r>
            <w:r w:rsidR="007E2D88">
              <w:rPr>
                <w:bCs/>
              </w:rPr>
              <w:t>8</w:t>
            </w:r>
          </w:p>
        </w:tc>
        <w:tc>
          <w:tcPr>
            <w:tcW w:w="3296" w:type="dxa"/>
            <w:tcBorders>
              <w:top w:val="single" w:color="auto" w:sz="4" w:space="0"/>
              <w:left w:val="single" w:color="auto" w:sz="4" w:space="0"/>
              <w:bottom w:val="double" w:color="auto" w:sz="4" w:space="0"/>
              <w:right w:val="single" w:color="auto" w:sz="4" w:space="0"/>
            </w:tcBorders>
            <w:shd w:val="clear" w:color="auto" w:fill="auto"/>
            <w:noWrap/>
            <w:vAlign w:val="center"/>
          </w:tcPr>
          <w:p w:rsidRPr="00512242" w:rsidR="00E635D5" w:rsidP="00FC7D10" w:rsidRDefault="00D36289" w14:paraId="05929CE0" w14:textId="7A06AEFA">
            <w:pPr>
              <w:pStyle w:val="Table"/>
              <w:ind w:left="259" w:hanging="259"/>
              <w:rPr>
                <w:shd w:val="clear" w:color="auto" w:fill="FFFFFF"/>
              </w:rPr>
            </w:pPr>
            <w:r>
              <w:rPr>
                <w:shd w:val="clear" w:color="auto" w:fill="FFFFFF"/>
              </w:rPr>
              <w:t>I</w:t>
            </w:r>
            <w:r w:rsidRPr="00512242" w:rsidR="00C7096F">
              <w:rPr>
                <w:shd w:val="clear" w:color="auto" w:fill="FFFFFF"/>
              </w:rPr>
              <w:t>.</w:t>
            </w:r>
            <w:r w:rsidR="00626DB1">
              <w:rPr>
                <w:shd w:val="clear" w:color="auto" w:fill="FFFFFF"/>
              </w:rPr>
              <w:t xml:space="preserve"> </w:t>
            </w:r>
            <w:r w:rsidR="00626DB1">
              <w:rPr>
                <w:shd w:val="clear" w:color="auto" w:fill="FFFFFF"/>
              </w:rPr>
              <w:tab/>
            </w:r>
            <w:r w:rsidRPr="00512242" w:rsidR="00C7096F">
              <w:rPr>
                <w:shd w:val="clear" w:color="auto" w:fill="FFFFFF"/>
              </w:rPr>
              <w:t xml:space="preserve">Improvements for Commercial Water Heater </w:t>
            </w:r>
            <w:r w:rsidRPr="00512242" w:rsidR="00773477">
              <w:rPr>
                <w:shd w:val="clear" w:color="auto" w:fill="FFFFFF"/>
              </w:rPr>
              <w:t>and Hot Water Measures</w:t>
            </w:r>
          </w:p>
        </w:tc>
        <w:tc>
          <w:tcPr>
            <w:tcW w:w="358" w:type="dxa"/>
            <w:tcBorders>
              <w:top w:val="single" w:color="auto" w:sz="4" w:space="0"/>
              <w:left w:val="single" w:color="auto" w:sz="4" w:space="0"/>
              <w:bottom w:val="double" w:color="auto" w:sz="4" w:space="0"/>
              <w:right w:val="single" w:color="auto" w:sz="4" w:space="0"/>
            </w:tcBorders>
            <w:shd w:val="clear" w:color="auto" w:fill="auto"/>
            <w:noWrap/>
            <w:vAlign w:val="center"/>
          </w:tcPr>
          <w:p w:rsidRPr="00730611" w:rsidR="00E635D5" w:rsidP="00E635D5" w:rsidRDefault="00E635D5" w14:paraId="6498EA7B" w14:textId="09F98924">
            <w:pPr>
              <w:pStyle w:val="Table"/>
              <w:jc w:val="center"/>
            </w:pPr>
          </w:p>
        </w:tc>
        <w:tc>
          <w:tcPr>
            <w:tcW w:w="362" w:type="dxa"/>
            <w:tcBorders>
              <w:top w:val="single" w:color="auto" w:sz="4" w:space="0"/>
              <w:left w:val="single" w:color="auto" w:sz="4" w:space="0"/>
              <w:bottom w:val="double" w:color="auto" w:sz="4" w:space="0"/>
              <w:right w:val="single" w:color="auto" w:sz="4" w:space="0"/>
            </w:tcBorders>
            <w:shd w:val="clear" w:color="auto" w:fill="auto"/>
            <w:noWrap/>
            <w:vAlign w:val="center"/>
          </w:tcPr>
          <w:p w:rsidRPr="00730611" w:rsidR="00E635D5" w:rsidP="00E635D5" w:rsidRDefault="00081623" w14:paraId="596857DC" w14:textId="02E7EF68">
            <w:pPr>
              <w:pStyle w:val="Table"/>
              <w:jc w:val="center"/>
            </w:pPr>
            <w:r>
              <w:t>X</w:t>
            </w:r>
          </w:p>
        </w:tc>
        <w:tc>
          <w:tcPr>
            <w:tcW w:w="359" w:type="dxa"/>
            <w:tcBorders>
              <w:top w:val="single" w:color="auto" w:sz="4" w:space="0"/>
              <w:left w:val="single" w:color="auto" w:sz="4" w:space="0"/>
              <w:bottom w:val="double" w:color="auto" w:sz="4" w:space="0"/>
              <w:right w:val="single" w:color="auto" w:sz="4" w:space="0"/>
            </w:tcBorders>
            <w:shd w:val="clear" w:color="auto" w:fill="F2F2F2" w:themeFill="background1" w:themeFillShade="F2"/>
            <w:noWrap/>
            <w:vAlign w:val="center"/>
          </w:tcPr>
          <w:p w:rsidRPr="00730611" w:rsidR="00E635D5" w:rsidP="00E635D5" w:rsidRDefault="00E635D5" w14:paraId="12FF7156" w14:textId="77777777">
            <w:pPr>
              <w:pStyle w:val="Table"/>
              <w:jc w:val="center"/>
            </w:pPr>
          </w:p>
        </w:tc>
        <w:tc>
          <w:tcPr>
            <w:tcW w:w="359" w:type="dxa"/>
            <w:tcBorders>
              <w:top w:val="single" w:color="auto" w:sz="4" w:space="0"/>
              <w:left w:val="single" w:color="auto" w:sz="4" w:space="0"/>
              <w:bottom w:val="double" w:color="auto" w:sz="4" w:space="0"/>
              <w:right w:val="single" w:color="auto" w:sz="4" w:space="0"/>
            </w:tcBorders>
            <w:shd w:val="clear" w:color="auto" w:fill="F2F2F2" w:themeFill="background1" w:themeFillShade="F2"/>
            <w:noWrap/>
            <w:vAlign w:val="center"/>
          </w:tcPr>
          <w:p w:rsidRPr="00730611" w:rsidR="00E635D5" w:rsidP="00E635D5" w:rsidRDefault="00E635D5" w14:paraId="6CAB9E9F" w14:textId="4EF4CD5C">
            <w:pPr>
              <w:pStyle w:val="Table"/>
              <w:jc w:val="center"/>
            </w:pPr>
          </w:p>
        </w:tc>
        <w:tc>
          <w:tcPr>
            <w:tcW w:w="359" w:type="dxa"/>
            <w:tcBorders>
              <w:top w:val="single" w:color="auto" w:sz="4" w:space="0"/>
              <w:left w:val="single" w:color="auto" w:sz="4" w:space="0"/>
              <w:bottom w:val="double" w:color="auto" w:sz="4" w:space="0"/>
              <w:right w:val="single" w:color="auto" w:sz="4" w:space="0"/>
            </w:tcBorders>
            <w:shd w:val="clear" w:color="auto" w:fill="F2F2F2" w:themeFill="background1" w:themeFillShade="F2"/>
            <w:noWrap/>
            <w:vAlign w:val="center"/>
          </w:tcPr>
          <w:p w:rsidRPr="00730611" w:rsidR="00E635D5" w:rsidP="00E635D5" w:rsidRDefault="00D207BE" w14:paraId="0EF12450" w14:textId="297846D3">
            <w:pPr>
              <w:pStyle w:val="Table"/>
              <w:jc w:val="center"/>
            </w:pPr>
            <w:r>
              <w:t>X</w:t>
            </w:r>
          </w:p>
        </w:tc>
        <w:tc>
          <w:tcPr>
            <w:tcW w:w="359" w:type="dxa"/>
            <w:tcBorders>
              <w:top w:val="single" w:color="auto" w:sz="4" w:space="0"/>
              <w:left w:val="single" w:color="auto" w:sz="4" w:space="0"/>
              <w:bottom w:val="double" w:color="auto" w:sz="4" w:space="0"/>
              <w:right w:val="single" w:color="auto" w:sz="4" w:space="0"/>
            </w:tcBorders>
            <w:shd w:val="clear" w:color="auto" w:fill="F2F2F2" w:themeFill="background1" w:themeFillShade="F2"/>
            <w:noWrap/>
            <w:vAlign w:val="center"/>
          </w:tcPr>
          <w:p w:rsidRPr="00730611" w:rsidR="00E635D5" w:rsidP="00E635D5" w:rsidRDefault="00E635D5" w14:paraId="540ACFED" w14:textId="77777777">
            <w:pPr>
              <w:pStyle w:val="Table"/>
              <w:jc w:val="center"/>
            </w:pPr>
          </w:p>
        </w:tc>
        <w:tc>
          <w:tcPr>
            <w:tcW w:w="364" w:type="dxa"/>
            <w:tcBorders>
              <w:top w:val="single" w:color="auto" w:sz="4" w:space="0"/>
              <w:left w:val="single" w:color="auto" w:sz="4" w:space="0"/>
              <w:bottom w:val="double" w:color="auto" w:sz="4" w:space="0"/>
              <w:right w:val="single" w:color="auto" w:sz="4" w:space="0"/>
            </w:tcBorders>
            <w:shd w:val="clear" w:color="auto" w:fill="F2F2F2" w:themeFill="background1" w:themeFillShade="F2"/>
            <w:noWrap/>
            <w:vAlign w:val="center"/>
          </w:tcPr>
          <w:p w:rsidRPr="00730611" w:rsidR="00E635D5" w:rsidP="00E635D5" w:rsidRDefault="00E635D5" w14:paraId="3DD7A026" w14:textId="77777777">
            <w:pPr>
              <w:pStyle w:val="Table"/>
              <w:jc w:val="center"/>
            </w:pPr>
          </w:p>
        </w:tc>
        <w:tc>
          <w:tcPr>
            <w:tcW w:w="359" w:type="dxa"/>
            <w:tcBorders>
              <w:top w:val="single" w:color="auto" w:sz="4" w:space="0"/>
              <w:left w:val="single" w:color="auto" w:sz="4" w:space="0"/>
              <w:bottom w:val="double" w:color="auto" w:sz="4" w:space="0"/>
              <w:right w:val="single" w:color="auto" w:sz="4" w:space="0"/>
            </w:tcBorders>
            <w:shd w:val="clear" w:color="auto" w:fill="auto"/>
            <w:noWrap/>
            <w:vAlign w:val="center"/>
          </w:tcPr>
          <w:p w:rsidRPr="00730611" w:rsidR="00E635D5" w:rsidP="00E635D5" w:rsidRDefault="00441CC5" w14:paraId="14279E9C" w14:textId="641D2330">
            <w:pPr>
              <w:pStyle w:val="Table"/>
              <w:jc w:val="center"/>
            </w:pPr>
            <w:r>
              <w:t>X</w:t>
            </w:r>
          </w:p>
        </w:tc>
        <w:tc>
          <w:tcPr>
            <w:tcW w:w="359" w:type="dxa"/>
            <w:tcBorders>
              <w:top w:val="single" w:color="auto" w:sz="4" w:space="0"/>
              <w:left w:val="single" w:color="auto" w:sz="4" w:space="0"/>
              <w:bottom w:val="double" w:color="auto" w:sz="4" w:space="0"/>
              <w:right w:val="single" w:color="auto" w:sz="4" w:space="0"/>
            </w:tcBorders>
            <w:vAlign w:val="center"/>
          </w:tcPr>
          <w:p w:rsidRPr="00730611" w:rsidR="00E635D5" w:rsidP="00E635D5" w:rsidRDefault="00E635D5" w14:paraId="4EFC811E" w14:textId="77777777">
            <w:pPr>
              <w:pStyle w:val="Table"/>
              <w:jc w:val="center"/>
            </w:pPr>
          </w:p>
        </w:tc>
        <w:tc>
          <w:tcPr>
            <w:tcW w:w="359" w:type="dxa"/>
            <w:tcBorders>
              <w:top w:val="single" w:color="auto" w:sz="4" w:space="0"/>
              <w:left w:val="single" w:color="auto" w:sz="4" w:space="0"/>
              <w:bottom w:val="double" w:color="auto" w:sz="4" w:space="0"/>
              <w:right w:val="single" w:color="auto" w:sz="4" w:space="0"/>
            </w:tcBorders>
            <w:shd w:val="clear" w:color="auto" w:fill="auto"/>
            <w:noWrap/>
            <w:vAlign w:val="center"/>
          </w:tcPr>
          <w:p w:rsidRPr="00730611" w:rsidR="00E635D5" w:rsidP="00E635D5" w:rsidRDefault="00E635D5" w14:paraId="47F22973" w14:textId="77777777">
            <w:pPr>
              <w:pStyle w:val="Table"/>
              <w:jc w:val="center"/>
            </w:pPr>
          </w:p>
        </w:tc>
        <w:tc>
          <w:tcPr>
            <w:tcW w:w="359" w:type="dxa"/>
            <w:tcBorders>
              <w:top w:val="single" w:color="auto" w:sz="4" w:space="0"/>
              <w:left w:val="single" w:color="auto" w:sz="4" w:space="0"/>
              <w:bottom w:val="double" w:color="auto" w:sz="4" w:space="0"/>
              <w:right w:val="single" w:color="auto" w:sz="4" w:space="0"/>
            </w:tcBorders>
            <w:vAlign w:val="center"/>
          </w:tcPr>
          <w:p w:rsidRPr="00730611" w:rsidR="00E635D5" w:rsidP="00E635D5" w:rsidRDefault="00E635D5" w14:paraId="302CFA8B" w14:textId="77777777">
            <w:pPr>
              <w:pStyle w:val="Table"/>
              <w:jc w:val="center"/>
            </w:pPr>
          </w:p>
        </w:tc>
        <w:tc>
          <w:tcPr>
            <w:tcW w:w="359" w:type="dxa"/>
            <w:tcBorders>
              <w:top w:val="single" w:color="auto" w:sz="4" w:space="0"/>
              <w:left w:val="single" w:color="auto" w:sz="4" w:space="0"/>
              <w:bottom w:val="double" w:color="auto" w:sz="4" w:space="0"/>
              <w:right w:val="single" w:color="auto" w:sz="4" w:space="0"/>
            </w:tcBorders>
            <w:vAlign w:val="center"/>
          </w:tcPr>
          <w:p w:rsidRPr="00730611" w:rsidR="00E635D5" w:rsidP="00E635D5" w:rsidRDefault="00E635D5" w14:paraId="48947133" w14:textId="77777777">
            <w:pPr>
              <w:pStyle w:val="Table"/>
              <w:jc w:val="center"/>
            </w:pPr>
          </w:p>
        </w:tc>
      </w:tr>
      <w:tr w:rsidRPr="00730611" w:rsidR="006C047E" w:rsidTr="00C45584" w14:paraId="65166EA0" w14:textId="77777777">
        <w:trPr>
          <w:trHeight w:val="288"/>
        </w:trPr>
        <w:tc>
          <w:tcPr>
            <w:tcW w:w="655" w:type="dxa"/>
            <w:tcBorders>
              <w:top w:val="double" w:color="auto" w:sz="4" w:space="0"/>
              <w:left w:val="single" w:color="auto" w:sz="4" w:space="0"/>
              <w:bottom w:val="double" w:color="auto" w:sz="4" w:space="0"/>
            </w:tcBorders>
            <w:vAlign w:val="center"/>
          </w:tcPr>
          <w:p w:rsidRPr="009D4AF8" w:rsidR="00E635D5" w:rsidP="00D91B9A" w:rsidRDefault="00E635D5" w14:paraId="4618FA56" w14:textId="77777777">
            <w:pPr>
              <w:pStyle w:val="Table"/>
              <w:keepNext/>
              <w:jc w:val="center"/>
            </w:pPr>
          </w:p>
        </w:tc>
        <w:tc>
          <w:tcPr>
            <w:tcW w:w="448" w:type="dxa"/>
            <w:tcBorders>
              <w:top w:val="double" w:color="auto" w:sz="4" w:space="0"/>
              <w:bottom w:val="double" w:color="auto" w:sz="4" w:space="0"/>
            </w:tcBorders>
            <w:vAlign w:val="center"/>
          </w:tcPr>
          <w:p w:rsidRPr="00730611" w:rsidR="00E635D5" w:rsidP="00D91B9A" w:rsidRDefault="00E635D5" w14:paraId="4748A183" w14:textId="77777777">
            <w:pPr>
              <w:pStyle w:val="Table"/>
              <w:keepNext/>
              <w:jc w:val="center"/>
            </w:pPr>
          </w:p>
        </w:tc>
        <w:tc>
          <w:tcPr>
            <w:tcW w:w="899" w:type="dxa"/>
            <w:gridSpan w:val="2"/>
            <w:tcBorders>
              <w:top w:val="double" w:color="auto" w:sz="4" w:space="0"/>
              <w:bottom w:val="double" w:color="auto" w:sz="4" w:space="0"/>
            </w:tcBorders>
            <w:vAlign w:val="center"/>
          </w:tcPr>
          <w:p w:rsidRPr="00730611" w:rsidR="00E635D5" w:rsidP="00D91B9A" w:rsidRDefault="00E635D5" w14:paraId="48690A7D" w14:textId="77777777">
            <w:pPr>
              <w:pStyle w:val="Table"/>
              <w:keepNext/>
              <w:jc w:val="center"/>
            </w:pPr>
          </w:p>
        </w:tc>
        <w:tc>
          <w:tcPr>
            <w:tcW w:w="3296" w:type="dxa"/>
            <w:tcBorders>
              <w:top w:val="double" w:color="auto" w:sz="4" w:space="0"/>
              <w:bottom w:val="double" w:color="auto" w:sz="4" w:space="0"/>
            </w:tcBorders>
            <w:shd w:val="clear" w:color="auto" w:fill="auto"/>
            <w:noWrap/>
            <w:vAlign w:val="center"/>
          </w:tcPr>
          <w:p w:rsidRPr="00631304" w:rsidR="00E635D5" w:rsidP="00E635D5" w:rsidRDefault="00E635D5" w14:paraId="00C42678" w14:textId="66CF133B">
            <w:pPr>
              <w:pStyle w:val="Table"/>
              <w:keepNext/>
              <w:rPr>
                <w:b/>
                <w:bCs/>
              </w:rPr>
            </w:pPr>
            <w:r w:rsidRPr="00631304">
              <w:rPr>
                <w:b/>
                <w:bCs/>
              </w:rPr>
              <w:t>Measure Adoption</w:t>
            </w:r>
          </w:p>
        </w:tc>
        <w:tc>
          <w:tcPr>
            <w:tcW w:w="358" w:type="dxa"/>
            <w:tcBorders>
              <w:top w:val="double" w:color="auto" w:sz="4" w:space="0"/>
              <w:bottom w:val="double" w:color="auto" w:sz="4" w:space="0"/>
            </w:tcBorders>
            <w:shd w:val="clear" w:color="auto" w:fill="auto"/>
            <w:noWrap/>
            <w:vAlign w:val="center"/>
          </w:tcPr>
          <w:p w:rsidRPr="00730611" w:rsidR="00E635D5" w:rsidP="00E635D5" w:rsidRDefault="00E635D5" w14:paraId="000480E5" w14:textId="77777777">
            <w:pPr>
              <w:pStyle w:val="Table"/>
              <w:keepNext/>
              <w:jc w:val="center"/>
            </w:pPr>
          </w:p>
        </w:tc>
        <w:tc>
          <w:tcPr>
            <w:tcW w:w="362" w:type="dxa"/>
            <w:tcBorders>
              <w:top w:val="double" w:color="auto" w:sz="4" w:space="0"/>
              <w:bottom w:val="double" w:color="auto" w:sz="4" w:space="0"/>
            </w:tcBorders>
            <w:shd w:val="clear" w:color="auto" w:fill="auto"/>
            <w:noWrap/>
            <w:vAlign w:val="center"/>
          </w:tcPr>
          <w:p w:rsidRPr="00730611" w:rsidR="00E635D5" w:rsidP="00E635D5" w:rsidRDefault="00E635D5" w14:paraId="47D1869E" w14:textId="77777777">
            <w:pPr>
              <w:pStyle w:val="Table"/>
              <w:keepNext/>
              <w:jc w:val="center"/>
            </w:pPr>
          </w:p>
        </w:tc>
        <w:tc>
          <w:tcPr>
            <w:tcW w:w="359" w:type="dxa"/>
            <w:tcBorders>
              <w:top w:val="double" w:color="auto" w:sz="4" w:space="0"/>
              <w:bottom w:val="double" w:color="auto" w:sz="4" w:space="0"/>
            </w:tcBorders>
            <w:shd w:val="clear" w:color="auto" w:fill="FFFFFF" w:themeFill="background1"/>
            <w:noWrap/>
            <w:vAlign w:val="center"/>
          </w:tcPr>
          <w:p w:rsidRPr="00730611" w:rsidR="00E635D5" w:rsidP="00E635D5" w:rsidRDefault="00E635D5" w14:paraId="4C262DEE" w14:textId="77777777">
            <w:pPr>
              <w:pStyle w:val="Table"/>
              <w:keepNext/>
              <w:jc w:val="center"/>
            </w:pPr>
          </w:p>
        </w:tc>
        <w:tc>
          <w:tcPr>
            <w:tcW w:w="359" w:type="dxa"/>
            <w:tcBorders>
              <w:top w:val="double" w:color="auto" w:sz="4" w:space="0"/>
              <w:bottom w:val="double" w:color="auto" w:sz="4" w:space="0"/>
            </w:tcBorders>
            <w:shd w:val="clear" w:color="auto" w:fill="FFFFFF" w:themeFill="background1"/>
            <w:noWrap/>
            <w:vAlign w:val="center"/>
          </w:tcPr>
          <w:p w:rsidRPr="00730611" w:rsidR="00E635D5" w:rsidP="00E635D5" w:rsidRDefault="00E635D5" w14:paraId="6FBCDECC" w14:textId="77777777">
            <w:pPr>
              <w:pStyle w:val="Table"/>
              <w:keepNext/>
              <w:jc w:val="center"/>
            </w:pPr>
          </w:p>
        </w:tc>
        <w:tc>
          <w:tcPr>
            <w:tcW w:w="359" w:type="dxa"/>
            <w:tcBorders>
              <w:top w:val="double" w:color="auto" w:sz="4" w:space="0"/>
              <w:bottom w:val="double" w:color="auto" w:sz="4" w:space="0"/>
            </w:tcBorders>
            <w:shd w:val="clear" w:color="auto" w:fill="FFFFFF" w:themeFill="background1"/>
            <w:noWrap/>
            <w:vAlign w:val="center"/>
          </w:tcPr>
          <w:p w:rsidRPr="00730611" w:rsidR="00E635D5" w:rsidP="00E635D5" w:rsidRDefault="00E635D5" w14:paraId="3BBC220F" w14:textId="77777777">
            <w:pPr>
              <w:pStyle w:val="Table"/>
              <w:keepNext/>
              <w:jc w:val="center"/>
            </w:pPr>
          </w:p>
        </w:tc>
        <w:tc>
          <w:tcPr>
            <w:tcW w:w="359" w:type="dxa"/>
            <w:tcBorders>
              <w:top w:val="double" w:color="auto" w:sz="4" w:space="0"/>
              <w:bottom w:val="double" w:color="auto" w:sz="4" w:space="0"/>
            </w:tcBorders>
            <w:shd w:val="clear" w:color="auto" w:fill="FFFFFF" w:themeFill="background1"/>
            <w:noWrap/>
            <w:vAlign w:val="center"/>
          </w:tcPr>
          <w:p w:rsidRPr="00730611" w:rsidR="00E635D5" w:rsidP="00E635D5" w:rsidRDefault="00E635D5" w14:paraId="3B736D4B" w14:textId="77777777">
            <w:pPr>
              <w:pStyle w:val="Table"/>
              <w:keepNext/>
              <w:jc w:val="center"/>
            </w:pPr>
          </w:p>
        </w:tc>
        <w:tc>
          <w:tcPr>
            <w:tcW w:w="364" w:type="dxa"/>
            <w:tcBorders>
              <w:top w:val="double" w:color="auto" w:sz="4" w:space="0"/>
              <w:bottom w:val="double" w:color="auto" w:sz="4" w:space="0"/>
            </w:tcBorders>
            <w:shd w:val="clear" w:color="auto" w:fill="FFFFFF" w:themeFill="background1"/>
            <w:noWrap/>
            <w:vAlign w:val="center"/>
          </w:tcPr>
          <w:p w:rsidRPr="00730611" w:rsidR="00E635D5" w:rsidP="00E635D5" w:rsidRDefault="00E635D5" w14:paraId="5634B9E6" w14:textId="77777777">
            <w:pPr>
              <w:pStyle w:val="Table"/>
              <w:keepNext/>
              <w:jc w:val="center"/>
            </w:pPr>
          </w:p>
        </w:tc>
        <w:tc>
          <w:tcPr>
            <w:tcW w:w="359" w:type="dxa"/>
            <w:tcBorders>
              <w:top w:val="double" w:color="auto" w:sz="4" w:space="0"/>
              <w:bottom w:val="double" w:color="auto" w:sz="4" w:space="0"/>
            </w:tcBorders>
            <w:shd w:val="clear" w:color="auto" w:fill="auto"/>
            <w:noWrap/>
            <w:vAlign w:val="center"/>
          </w:tcPr>
          <w:p w:rsidRPr="00730611" w:rsidR="00E635D5" w:rsidP="00E635D5" w:rsidRDefault="00E635D5" w14:paraId="3FCC9CB9" w14:textId="77777777">
            <w:pPr>
              <w:pStyle w:val="Table"/>
              <w:keepNext/>
              <w:jc w:val="center"/>
            </w:pPr>
          </w:p>
        </w:tc>
        <w:tc>
          <w:tcPr>
            <w:tcW w:w="359" w:type="dxa"/>
            <w:tcBorders>
              <w:top w:val="double" w:color="auto" w:sz="4" w:space="0"/>
              <w:bottom w:val="double" w:color="auto" w:sz="4" w:space="0"/>
            </w:tcBorders>
            <w:vAlign w:val="center"/>
          </w:tcPr>
          <w:p w:rsidRPr="00730611" w:rsidR="00E635D5" w:rsidP="00E635D5" w:rsidRDefault="00E635D5" w14:paraId="27A53BD3" w14:textId="77777777">
            <w:pPr>
              <w:pStyle w:val="Table"/>
              <w:keepNext/>
              <w:jc w:val="center"/>
            </w:pPr>
          </w:p>
        </w:tc>
        <w:tc>
          <w:tcPr>
            <w:tcW w:w="359" w:type="dxa"/>
            <w:tcBorders>
              <w:top w:val="double" w:color="auto" w:sz="4" w:space="0"/>
              <w:bottom w:val="double" w:color="auto" w:sz="4" w:space="0"/>
            </w:tcBorders>
            <w:shd w:val="clear" w:color="auto" w:fill="auto"/>
            <w:noWrap/>
            <w:vAlign w:val="center"/>
          </w:tcPr>
          <w:p w:rsidRPr="00730611" w:rsidR="00E635D5" w:rsidP="00E635D5" w:rsidRDefault="00E635D5" w14:paraId="08F4E699" w14:textId="77777777">
            <w:pPr>
              <w:pStyle w:val="Table"/>
              <w:keepNext/>
              <w:jc w:val="center"/>
            </w:pPr>
          </w:p>
        </w:tc>
        <w:tc>
          <w:tcPr>
            <w:tcW w:w="359" w:type="dxa"/>
            <w:tcBorders>
              <w:top w:val="double" w:color="auto" w:sz="4" w:space="0"/>
              <w:bottom w:val="double" w:color="auto" w:sz="4" w:space="0"/>
            </w:tcBorders>
            <w:vAlign w:val="center"/>
          </w:tcPr>
          <w:p w:rsidRPr="00730611" w:rsidR="00E635D5" w:rsidP="00E635D5" w:rsidRDefault="00E635D5" w14:paraId="363F2000" w14:textId="77777777">
            <w:pPr>
              <w:pStyle w:val="Table"/>
              <w:keepNext/>
              <w:jc w:val="center"/>
            </w:pPr>
          </w:p>
        </w:tc>
        <w:tc>
          <w:tcPr>
            <w:tcW w:w="359" w:type="dxa"/>
            <w:tcBorders>
              <w:top w:val="double" w:color="auto" w:sz="4" w:space="0"/>
              <w:bottom w:val="double" w:color="auto" w:sz="4" w:space="0"/>
              <w:right w:val="single" w:color="auto" w:sz="4" w:space="0"/>
            </w:tcBorders>
            <w:vAlign w:val="center"/>
          </w:tcPr>
          <w:p w:rsidRPr="00730611" w:rsidR="00E635D5" w:rsidP="00E635D5" w:rsidRDefault="00E635D5" w14:paraId="2EBB5E1E" w14:textId="77777777">
            <w:pPr>
              <w:pStyle w:val="Table"/>
              <w:keepNext/>
              <w:jc w:val="center"/>
            </w:pPr>
          </w:p>
        </w:tc>
      </w:tr>
      <w:tr w:rsidRPr="00730611" w:rsidR="006C047E" w:rsidTr="00C45584" w14:paraId="2CE8FF78" w14:textId="77777777">
        <w:trPr>
          <w:trHeight w:val="288"/>
        </w:trPr>
        <w:tc>
          <w:tcPr>
            <w:tcW w:w="655" w:type="dxa"/>
            <w:tcBorders>
              <w:top w:val="single" w:color="auto" w:sz="4" w:space="0"/>
              <w:left w:val="single" w:color="auto" w:sz="4" w:space="0"/>
              <w:bottom w:val="single" w:color="auto" w:sz="4" w:space="0"/>
              <w:right w:val="single" w:color="auto" w:sz="4" w:space="0"/>
            </w:tcBorders>
            <w:vAlign w:val="center"/>
          </w:tcPr>
          <w:p w:rsidRPr="009D4AF8" w:rsidR="00E635D5" w:rsidP="00D91B9A" w:rsidRDefault="00E635D5" w14:paraId="5AC14483" w14:textId="0D6AE08A">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448" w:type="dxa"/>
            <w:tcBorders>
              <w:top w:val="single" w:color="auto" w:sz="4" w:space="0"/>
              <w:left w:val="single" w:color="auto" w:sz="4" w:space="0"/>
              <w:bottom w:val="single" w:color="auto" w:sz="4" w:space="0"/>
              <w:right w:val="single" w:color="auto" w:sz="4" w:space="0"/>
            </w:tcBorders>
            <w:vAlign w:val="center"/>
          </w:tcPr>
          <w:p w:rsidRPr="00E37CAC" w:rsidR="00E635D5" w:rsidP="00D91B9A" w:rsidRDefault="00E635D5" w14:paraId="436E47B5" w14:textId="088E4AD3">
            <w:pPr>
              <w:pStyle w:val="Table"/>
              <w:jc w:val="center"/>
            </w:pPr>
            <w:r>
              <w:t>$</w:t>
            </w:r>
          </w:p>
        </w:tc>
        <w:tc>
          <w:tcPr>
            <w:tcW w:w="899" w:type="dxa"/>
            <w:gridSpan w:val="2"/>
            <w:tcBorders>
              <w:top w:val="single" w:color="auto" w:sz="4" w:space="0"/>
              <w:left w:val="single" w:color="auto" w:sz="4" w:space="0"/>
              <w:bottom w:val="single" w:color="auto" w:sz="4" w:space="0"/>
              <w:right w:val="single" w:color="auto" w:sz="4" w:space="0"/>
            </w:tcBorders>
            <w:vAlign w:val="center"/>
          </w:tcPr>
          <w:p w:rsidRPr="00E37CAC" w:rsidR="00E635D5" w:rsidP="00D91B9A" w:rsidRDefault="00E635D5" w14:paraId="78C1B6BA" w14:textId="71749DB0">
            <w:pPr>
              <w:pStyle w:val="Table"/>
              <w:jc w:val="center"/>
            </w:pPr>
            <w:r>
              <w:t>202</w:t>
            </w:r>
            <w:r w:rsidR="00300754">
              <w:t>6</w:t>
            </w:r>
          </w:p>
        </w:tc>
        <w:tc>
          <w:tcPr>
            <w:tcW w:w="3296" w:type="dxa"/>
            <w:tcBorders>
              <w:top w:val="single" w:color="auto" w:sz="4" w:space="0"/>
              <w:left w:val="nil"/>
              <w:bottom w:val="single" w:color="auto" w:sz="4" w:space="0"/>
              <w:right w:val="single" w:color="auto" w:sz="4" w:space="0"/>
            </w:tcBorders>
            <w:shd w:val="clear" w:color="auto" w:fill="auto"/>
            <w:noWrap/>
            <w:vAlign w:val="center"/>
          </w:tcPr>
          <w:p w:rsidRPr="00512242" w:rsidR="00E635D5" w:rsidP="00FC7D10" w:rsidRDefault="00D36289" w14:paraId="3A8C04D1" w14:textId="19A701A9">
            <w:pPr>
              <w:pStyle w:val="Table"/>
              <w:ind w:left="259" w:hanging="259"/>
              <w:rPr>
                <w:shd w:val="clear" w:color="auto" w:fill="FFFFFF"/>
              </w:rPr>
            </w:pPr>
            <w:r>
              <w:rPr>
                <w:shd w:val="clear" w:color="auto" w:fill="FFFFFF"/>
              </w:rPr>
              <w:t>J</w:t>
            </w:r>
            <w:r w:rsidRPr="00512242" w:rsidR="00E635D5">
              <w:rPr>
                <w:shd w:val="clear" w:color="auto" w:fill="FFFFFF"/>
              </w:rPr>
              <w:t>.</w:t>
            </w:r>
            <w:r w:rsidR="00626DB1">
              <w:rPr>
                <w:shd w:val="clear" w:color="auto" w:fill="FFFFFF"/>
              </w:rPr>
              <w:t xml:space="preserve"> </w:t>
            </w:r>
            <w:r w:rsidR="00626DB1">
              <w:rPr>
                <w:shd w:val="clear" w:color="auto" w:fill="FFFFFF"/>
              </w:rPr>
              <w:tab/>
            </w:r>
            <w:r w:rsidRPr="00512242" w:rsidR="00E635D5">
              <w:rPr>
                <w:shd w:val="clear" w:color="auto" w:fill="FFFFFF"/>
              </w:rPr>
              <w:t xml:space="preserve">Guidance </w:t>
            </w:r>
            <w:r w:rsidRPr="00512242" w:rsidR="005B4795">
              <w:rPr>
                <w:shd w:val="clear" w:color="auto" w:fill="FFFFFF"/>
              </w:rPr>
              <w:t>from 2021 Custom Industrial, Agricultural, and Commercial Impact Evaluation</w:t>
            </w:r>
          </w:p>
        </w:tc>
        <w:tc>
          <w:tcPr>
            <w:tcW w:w="358" w:type="dxa"/>
            <w:tcBorders>
              <w:top w:val="single" w:color="auto" w:sz="4" w:space="0"/>
              <w:left w:val="nil"/>
              <w:bottom w:val="single" w:color="auto" w:sz="4" w:space="0"/>
              <w:right w:val="single" w:color="auto" w:sz="4" w:space="0"/>
            </w:tcBorders>
            <w:shd w:val="clear" w:color="auto" w:fill="auto"/>
            <w:noWrap/>
            <w:vAlign w:val="center"/>
          </w:tcPr>
          <w:p w:rsidRPr="00730611" w:rsidR="00E635D5" w:rsidP="004232AF" w:rsidRDefault="00E635D5" w14:paraId="28A19A86" w14:textId="4FC90108">
            <w:pPr>
              <w:pStyle w:val="Table"/>
            </w:pPr>
          </w:p>
        </w:tc>
        <w:tc>
          <w:tcPr>
            <w:tcW w:w="362" w:type="dxa"/>
            <w:tcBorders>
              <w:top w:val="single" w:color="auto" w:sz="4" w:space="0"/>
              <w:left w:val="nil"/>
              <w:bottom w:val="single" w:color="auto" w:sz="4" w:space="0"/>
              <w:right w:val="single" w:color="auto" w:sz="4" w:space="0"/>
            </w:tcBorders>
            <w:shd w:val="clear" w:color="auto" w:fill="auto"/>
            <w:noWrap/>
            <w:vAlign w:val="center"/>
          </w:tcPr>
          <w:p w:rsidRPr="00730611" w:rsidR="00E635D5" w:rsidP="00E635D5" w:rsidRDefault="00E635D5" w14:paraId="5AB1BCED" w14:textId="467BBBE8">
            <w:pPr>
              <w:pStyle w:val="Table"/>
              <w:jc w:val="center"/>
            </w:pPr>
            <w:r>
              <w:t>X</w:t>
            </w:r>
          </w:p>
        </w:tc>
        <w:tc>
          <w:tcPr>
            <w:tcW w:w="35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730611" w:rsidR="00E635D5" w:rsidP="00E635D5" w:rsidRDefault="004232AF" w14:paraId="6FA9BD6A" w14:textId="157DBE3D">
            <w:pPr>
              <w:pStyle w:val="Table"/>
              <w:jc w:val="center"/>
            </w:pPr>
            <w:r w:rsidRPr="004232AF">
              <w:t>X</w:t>
            </w:r>
          </w:p>
        </w:tc>
        <w:tc>
          <w:tcPr>
            <w:tcW w:w="35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5DD48C3C" w14:textId="6D395D3B">
            <w:pPr>
              <w:pStyle w:val="Table"/>
              <w:jc w:val="center"/>
            </w:pPr>
          </w:p>
        </w:tc>
        <w:tc>
          <w:tcPr>
            <w:tcW w:w="35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3E14B609" w14:textId="4CBA8BA8">
            <w:pPr>
              <w:pStyle w:val="Table"/>
              <w:jc w:val="center"/>
            </w:pPr>
          </w:p>
        </w:tc>
        <w:tc>
          <w:tcPr>
            <w:tcW w:w="35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3B9841C0" w14:textId="524D3124">
            <w:pPr>
              <w:pStyle w:val="Table"/>
              <w:jc w:val="center"/>
            </w:pPr>
          </w:p>
        </w:tc>
        <w:tc>
          <w:tcPr>
            <w:tcW w:w="364"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5B1F2B5B" w14:textId="7A482DBE">
            <w:pPr>
              <w:pStyle w:val="Table"/>
              <w:jc w:val="center"/>
            </w:pPr>
          </w:p>
        </w:tc>
        <w:tc>
          <w:tcPr>
            <w:tcW w:w="359" w:type="dxa"/>
            <w:tcBorders>
              <w:top w:val="single" w:color="auto" w:sz="4" w:space="0"/>
              <w:left w:val="nil"/>
              <w:bottom w:val="single" w:color="auto" w:sz="4" w:space="0"/>
              <w:right w:val="single" w:color="auto" w:sz="4" w:space="0"/>
            </w:tcBorders>
            <w:shd w:val="clear" w:color="auto" w:fill="auto"/>
            <w:noWrap/>
            <w:vAlign w:val="center"/>
          </w:tcPr>
          <w:p w:rsidRPr="00730611" w:rsidR="00E635D5" w:rsidP="00E635D5" w:rsidRDefault="00E635D5" w14:paraId="55CF1C45" w14:textId="2B8C832D">
            <w:pPr>
              <w:pStyle w:val="Table"/>
              <w:jc w:val="center"/>
            </w:pPr>
          </w:p>
        </w:tc>
        <w:tc>
          <w:tcPr>
            <w:tcW w:w="359" w:type="dxa"/>
            <w:tcBorders>
              <w:top w:val="single" w:color="auto" w:sz="4" w:space="0"/>
              <w:left w:val="nil"/>
              <w:bottom w:val="single" w:color="auto" w:sz="4" w:space="0"/>
              <w:right w:val="single" w:color="000000" w:themeColor="text1" w:sz="4" w:space="0"/>
            </w:tcBorders>
            <w:vAlign w:val="center"/>
          </w:tcPr>
          <w:p w:rsidRPr="00730611" w:rsidR="00E635D5" w:rsidP="00E635D5" w:rsidRDefault="00E635D5" w14:paraId="057C7795" w14:textId="77777777">
            <w:pPr>
              <w:pStyle w:val="Table"/>
              <w:jc w:val="center"/>
            </w:pPr>
          </w:p>
        </w:tc>
        <w:tc>
          <w:tcPr>
            <w:tcW w:w="359" w:type="dxa"/>
            <w:tcBorders>
              <w:top w:val="single" w:color="auto" w:sz="4" w:space="0"/>
              <w:left w:val="single" w:color="000000" w:themeColor="text1" w:sz="4" w:space="0"/>
              <w:bottom w:val="single" w:color="auto" w:sz="4" w:space="0"/>
              <w:right w:val="single" w:color="auto" w:sz="4" w:space="0"/>
            </w:tcBorders>
            <w:shd w:val="clear" w:color="auto" w:fill="auto"/>
            <w:noWrap/>
            <w:vAlign w:val="center"/>
          </w:tcPr>
          <w:p w:rsidRPr="00730611" w:rsidR="00E635D5" w:rsidP="00E635D5" w:rsidRDefault="004232AF" w14:paraId="130453EB" w14:textId="24DF54D1">
            <w:pPr>
              <w:pStyle w:val="Table"/>
              <w:jc w:val="center"/>
            </w:pPr>
            <w:r w:rsidRPr="004232AF">
              <w:t>X</w:t>
            </w:r>
          </w:p>
        </w:tc>
        <w:tc>
          <w:tcPr>
            <w:tcW w:w="359" w:type="dxa"/>
            <w:tcBorders>
              <w:top w:val="single" w:color="auto" w:sz="4" w:space="0"/>
              <w:left w:val="nil"/>
              <w:bottom w:val="single" w:color="auto" w:sz="4" w:space="0"/>
              <w:right w:val="single" w:color="000000" w:themeColor="text1" w:sz="4" w:space="0"/>
            </w:tcBorders>
            <w:vAlign w:val="center"/>
          </w:tcPr>
          <w:p w:rsidRPr="00730611" w:rsidR="00E635D5" w:rsidP="00E635D5" w:rsidRDefault="00E635D5" w14:paraId="2814081C" w14:textId="77777777">
            <w:pPr>
              <w:pStyle w:val="Table"/>
              <w:jc w:val="center"/>
            </w:pPr>
          </w:p>
        </w:tc>
        <w:tc>
          <w:tcPr>
            <w:tcW w:w="359" w:type="dxa"/>
            <w:tcBorders>
              <w:top w:val="single" w:color="auto" w:sz="4" w:space="0"/>
              <w:left w:val="single" w:color="000000" w:themeColor="text1" w:sz="4" w:space="0"/>
              <w:bottom w:val="single" w:color="auto" w:sz="4" w:space="0"/>
              <w:right w:val="single" w:color="auto" w:sz="4" w:space="0"/>
            </w:tcBorders>
            <w:vAlign w:val="center"/>
          </w:tcPr>
          <w:p w:rsidRPr="00730611" w:rsidR="00E635D5" w:rsidP="00E635D5" w:rsidRDefault="00E635D5" w14:paraId="2387D451" w14:textId="77777777">
            <w:pPr>
              <w:pStyle w:val="Table"/>
              <w:jc w:val="center"/>
            </w:pPr>
          </w:p>
        </w:tc>
      </w:tr>
      <w:tr w:rsidRPr="00730611" w:rsidR="006C047E" w:rsidTr="00C45584" w14:paraId="50D3D0D9" w14:textId="77777777">
        <w:trPr>
          <w:trHeight w:val="288"/>
        </w:trPr>
        <w:tc>
          <w:tcPr>
            <w:tcW w:w="655" w:type="dxa"/>
            <w:tcBorders>
              <w:top w:val="single" w:color="auto" w:sz="4" w:space="0"/>
              <w:left w:val="single" w:color="auto" w:sz="4" w:space="0"/>
              <w:bottom w:val="single" w:color="auto" w:sz="4" w:space="0"/>
              <w:right w:val="single" w:color="auto" w:sz="4" w:space="0"/>
            </w:tcBorders>
            <w:vAlign w:val="center"/>
          </w:tcPr>
          <w:p w:rsidRPr="009D4AF8" w:rsidR="00E635D5" w:rsidP="00D91B9A" w:rsidRDefault="005A1264" w14:paraId="21378371" w14:textId="48911257">
            <w:pPr>
              <w:spacing w:after="0"/>
              <w:jc w:val="center"/>
              <w:rPr>
                <w:rFonts w:asciiTheme="minorHAnsi" w:hAnsiTheme="minorHAnsi" w:cstheme="minorHAnsi"/>
                <w:bCs/>
                <w:color w:val="000000"/>
                <w:sz w:val="18"/>
                <w:szCs w:val="18"/>
              </w:rPr>
            </w:pPr>
            <w:r>
              <w:rPr>
                <w:rFonts w:asciiTheme="minorHAnsi" w:hAnsiTheme="minorHAnsi" w:cstheme="minorHAnsi"/>
                <w:color w:val="000000"/>
                <w:sz w:val="18"/>
                <w:szCs w:val="18"/>
              </w:rPr>
              <w:t>!!</w:t>
            </w:r>
          </w:p>
        </w:tc>
        <w:tc>
          <w:tcPr>
            <w:tcW w:w="448" w:type="dxa"/>
            <w:tcBorders>
              <w:top w:val="single" w:color="auto" w:sz="4" w:space="0"/>
              <w:left w:val="single" w:color="auto" w:sz="4" w:space="0"/>
              <w:bottom w:val="single" w:color="auto" w:sz="4" w:space="0"/>
              <w:right w:val="single" w:color="auto" w:sz="4" w:space="0"/>
            </w:tcBorders>
            <w:vAlign w:val="center"/>
          </w:tcPr>
          <w:p w:rsidRPr="00E37CAC" w:rsidR="00E635D5" w:rsidP="00D91B9A" w:rsidRDefault="005A1264" w14:paraId="69BA59E5" w14:textId="55D93DDE">
            <w:pPr>
              <w:pStyle w:val="Table"/>
              <w:jc w:val="center"/>
            </w:pPr>
            <w:r>
              <w:t>$</w:t>
            </w:r>
          </w:p>
        </w:tc>
        <w:tc>
          <w:tcPr>
            <w:tcW w:w="899" w:type="dxa"/>
            <w:gridSpan w:val="2"/>
            <w:tcBorders>
              <w:top w:val="single" w:color="auto" w:sz="4" w:space="0"/>
              <w:left w:val="single" w:color="auto" w:sz="4" w:space="0"/>
              <w:bottom w:val="single" w:color="auto" w:sz="4" w:space="0"/>
              <w:right w:val="single" w:color="auto" w:sz="4" w:space="0"/>
            </w:tcBorders>
            <w:vAlign w:val="center"/>
          </w:tcPr>
          <w:p w:rsidRPr="00E37CAC" w:rsidR="00E635D5" w:rsidP="00D91B9A" w:rsidRDefault="00994E5B" w14:paraId="2D1789D9" w14:textId="5584E2A8">
            <w:pPr>
              <w:pStyle w:val="Table"/>
              <w:jc w:val="center"/>
            </w:pPr>
            <w:r>
              <w:t>2024-</w:t>
            </w:r>
            <w:r w:rsidR="00E635D5">
              <w:t>202</w:t>
            </w:r>
            <w:r w:rsidR="00617716">
              <w:t>5</w:t>
            </w:r>
          </w:p>
        </w:tc>
        <w:tc>
          <w:tcPr>
            <w:tcW w:w="3296" w:type="dxa"/>
            <w:tcBorders>
              <w:top w:val="single" w:color="auto" w:sz="4" w:space="0"/>
              <w:left w:val="nil"/>
              <w:bottom w:val="single" w:color="auto" w:sz="4" w:space="0"/>
              <w:right w:val="single" w:color="auto" w:sz="4" w:space="0"/>
            </w:tcBorders>
            <w:shd w:val="clear" w:color="auto" w:fill="auto"/>
            <w:noWrap/>
            <w:vAlign w:val="center"/>
          </w:tcPr>
          <w:p w:rsidRPr="00512242" w:rsidR="00E635D5" w:rsidP="00FC7D10" w:rsidRDefault="00D36289" w14:paraId="7B1013A2" w14:textId="1DDEEC6C">
            <w:pPr>
              <w:pStyle w:val="Table"/>
              <w:ind w:left="259" w:hanging="259"/>
              <w:rPr>
                <w:shd w:val="clear" w:color="auto" w:fill="FFFFFF"/>
              </w:rPr>
            </w:pPr>
            <w:r>
              <w:rPr>
                <w:shd w:val="clear" w:color="auto" w:fill="FFFFFF"/>
              </w:rPr>
              <w:t>K</w:t>
            </w:r>
            <w:r w:rsidRPr="00512242" w:rsidR="00300754">
              <w:rPr>
                <w:shd w:val="clear" w:color="auto" w:fill="FFFFFF"/>
              </w:rPr>
              <w:t>.</w:t>
            </w:r>
            <w:r w:rsidR="00626DB1">
              <w:rPr>
                <w:shd w:val="clear" w:color="auto" w:fill="FFFFFF"/>
              </w:rPr>
              <w:t xml:space="preserve"> </w:t>
            </w:r>
            <w:r w:rsidR="00626DB1">
              <w:rPr>
                <w:shd w:val="clear" w:color="auto" w:fill="FFFFFF"/>
              </w:rPr>
              <w:tab/>
            </w:r>
            <w:r w:rsidRPr="00512242" w:rsidR="00300754">
              <w:rPr>
                <w:shd w:val="clear" w:color="auto" w:fill="FFFFFF"/>
              </w:rPr>
              <w:t>Guidance from EUL Studies</w:t>
            </w:r>
          </w:p>
        </w:tc>
        <w:tc>
          <w:tcPr>
            <w:tcW w:w="358" w:type="dxa"/>
            <w:tcBorders>
              <w:top w:val="single" w:color="auto" w:sz="4" w:space="0"/>
              <w:left w:val="nil"/>
              <w:bottom w:val="single" w:color="auto" w:sz="4" w:space="0"/>
              <w:right w:val="single" w:color="auto" w:sz="4" w:space="0"/>
            </w:tcBorders>
            <w:shd w:val="clear" w:color="auto" w:fill="auto"/>
            <w:noWrap/>
            <w:vAlign w:val="center"/>
          </w:tcPr>
          <w:p w:rsidRPr="00730611" w:rsidR="00E635D5" w:rsidP="00E635D5" w:rsidRDefault="00FE5472" w14:paraId="32CE2AD5" w14:textId="1CE0C6E4">
            <w:pPr>
              <w:pStyle w:val="Table"/>
              <w:jc w:val="center"/>
            </w:pPr>
            <w:r>
              <w:t>X</w:t>
            </w:r>
          </w:p>
        </w:tc>
        <w:tc>
          <w:tcPr>
            <w:tcW w:w="362" w:type="dxa"/>
            <w:tcBorders>
              <w:top w:val="single" w:color="auto" w:sz="4" w:space="0"/>
              <w:left w:val="nil"/>
              <w:bottom w:val="single" w:color="auto" w:sz="4" w:space="0"/>
              <w:right w:val="single" w:color="auto" w:sz="4" w:space="0"/>
            </w:tcBorders>
            <w:shd w:val="clear" w:color="auto" w:fill="auto"/>
            <w:noWrap/>
            <w:vAlign w:val="center"/>
          </w:tcPr>
          <w:p w:rsidR="00E635D5" w:rsidP="00E635D5" w:rsidRDefault="00E635D5" w14:paraId="2A4E0652" w14:textId="2EE15B41">
            <w:pPr>
              <w:pStyle w:val="Table"/>
              <w:jc w:val="center"/>
            </w:pPr>
            <w:r>
              <w:t>X</w:t>
            </w:r>
          </w:p>
        </w:tc>
        <w:tc>
          <w:tcPr>
            <w:tcW w:w="35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00E635D5" w:rsidP="00E635D5" w:rsidRDefault="00E635D5" w14:paraId="0E554292" w14:textId="007967E7">
            <w:pPr>
              <w:pStyle w:val="Table"/>
              <w:jc w:val="center"/>
            </w:pPr>
          </w:p>
        </w:tc>
        <w:tc>
          <w:tcPr>
            <w:tcW w:w="35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00E635D5" w:rsidP="00E635D5" w:rsidRDefault="00E635D5" w14:paraId="77E79927" w14:textId="5C20E852">
            <w:pPr>
              <w:pStyle w:val="Table"/>
              <w:jc w:val="center"/>
            </w:pPr>
            <w:r>
              <w:t>X</w:t>
            </w:r>
          </w:p>
        </w:tc>
        <w:tc>
          <w:tcPr>
            <w:tcW w:w="35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00E635D5" w:rsidP="00E635D5" w:rsidRDefault="00E635D5" w14:paraId="0AEB5D44" w14:textId="757D8909">
            <w:pPr>
              <w:pStyle w:val="Table"/>
              <w:jc w:val="center"/>
            </w:pPr>
            <w:r>
              <w:t>X</w:t>
            </w:r>
          </w:p>
        </w:tc>
        <w:tc>
          <w:tcPr>
            <w:tcW w:w="35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00E635D5" w:rsidP="00E635D5" w:rsidRDefault="00E635D5" w14:paraId="0265A2FE" w14:textId="6BFF0E5C">
            <w:pPr>
              <w:pStyle w:val="Table"/>
              <w:jc w:val="center"/>
            </w:pPr>
            <w:r>
              <w:t>X</w:t>
            </w:r>
          </w:p>
        </w:tc>
        <w:tc>
          <w:tcPr>
            <w:tcW w:w="364"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00E635D5" w:rsidP="00E635D5" w:rsidRDefault="00E635D5" w14:paraId="102AA0F9" w14:textId="4C93C9A8">
            <w:pPr>
              <w:pStyle w:val="Table"/>
              <w:jc w:val="center"/>
            </w:pPr>
          </w:p>
        </w:tc>
        <w:tc>
          <w:tcPr>
            <w:tcW w:w="359" w:type="dxa"/>
            <w:tcBorders>
              <w:top w:val="single" w:color="auto" w:sz="4" w:space="0"/>
              <w:left w:val="nil"/>
              <w:bottom w:val="single" w:color="auto" w:sz="4" w:space="0"/>
              <w:right w:val="single" w:color="auto" w:sz="4" w:space="0"/>
            </w:tcBorders>
            <w:shd w:val="clear" w:color="auto" w:fill="auto"/>
            <w:noWrap/>
            <w:vAlign w:val="center"/>
          </w:tcPr>
          <w:p w:rsidR="00E635D5" w:rsidP="00E635D5" w:rsidRDefault="00E635D5" w14:paraId="4E6E3ADD" w14:textId="6A370FF0">
            <w:pPr>
              <w:pStyle w:val="Table"/>
              <w:jc w:val="center"/>
            </w:pPr>
          </w:p>
        </w:tc>
        <w:tc>
          <w:tcPr>
            <w:tcW w:w="359" w:type="dxa"/>
            <w:tcBorders>
              <w:top w:val="single" w:color="auto" w:sz="4" w:space="0"/>
              <w:left w:val="nil"/>
              <w:bottom w:val="single" w:color="auto" w:sz="4" w:space="0"/>
              <w:right w:val="single" w:color="000000" w:themeColor="text1" w:sz="4" w:space="0"/>
            </w:tcBorders>
            <w:vAlign w:val="center"/>
          </w:tcPr>
          <w:p w:rsidRPr="00730611" w:rsidR="00E635D5" w:rsidP="00E635D5" w:rsidRDefault="00E635D5" w14:paraId="75D508EC" w14:textId="5CAC0979">
            <w:pPr>
              <w:pStyle w:val="Table"/>
              <w:jc w:val="center"/>
            </w:pPr>
          </w:p>
        </w:tc>
        <w:tc>
          <w:tcPr>
            <w:tcW w:w="359" w:type="dxa"/>
            <w:tcBorders>
              <w:top w:val="single" w:color="auto" w:sz="4" w:space="0"/>
              <w:left w:val="single" w:color="000000" w:themeColor="text1" w:sz="4" w:space="0"/>
              <w:bottom w:val="single" w:color="auto" w:sz="4" w:space="0"/>
              <w:right w:val="single" w:color="auto" w:sz="4" w:space="0"/>
            </w:tcBorders>
            <w:shd w:val="clear" w:color="auto" w:fill="auto"/>
            <w:noWrap/>
            <w:vAlign w:val="center"/>
          </w:tcPr>
          <w:p w:rsidRPr="00730611" w:rsidR="00E635D5" w:rsidP="00E635D5" w:rsidRDefault="00E31535" w14:paraId="08C4415F" w14:textId="00D1F794">
            <w:pPr>
              <w:pStyle w:val="Table"/>
              <w:jc w:val="center"/>
            </w:pPr>
            <w:r>
              <w:t>X</w:t>
            </w:r>
          </w:p>
        </w:tc>
        <w:tc>
          <w:tcPr>
            <w:tcW w:w="359" w:type="dxa"/>
            <w:tcBorders>
              <w:top w:val="single" w:color="auto" w:sz="4" w:space="0"/>
              <w:left w:val="nil"/>
              <w:bottom w:val="single" w:color="auto" w:sz="4" w:space="0"/>
              <w:right w:val="single" w:color="000000" w:themeColor="text1" w:sz="4" w:space="0"/>
            </w:tcBorders>
            <w:vAlign w:val="center"/>
          </w:tcPr>
          <w:p w:rsidR="00E635D5" w:rsidP="00E635D5" w:rsidRDefault="00E635D5" w14:paraId="6C0C81E5" w14:textId="77777777">
            <w:pPr>
              <w:pStyle w:val="Table"/>
              <w:jc w:val="center"/>
            </w:pPr>
          </w:p>
        </w:tc>
        <w:tc>
          <w:tcPr>
            <w:tcW w:w="359" w:type="dxa"/>
            <w:tcBorders>
              <w:top w:val="single" w:color="auto" w:sz="4" w:space="0"/>
              <w:left w:val="single" w:color="000000" w:themeColor="text1" w:sz="4" w:space="0"/>
              <w:bottom w:val="single" w:color="auto" w:sz="4" w:space="0"/>
              <w:right w:val="single" w:color="auto" w:sz="4" w:space="0"/>
            </w:tcBorders>
            <w:vAlign w:val="center"/>
          </w:tcPr>
          <w:p w:rsidRPr="00730611" w:rsidR="00E635D5" w:rsidP="00E635D5" w:rsidRDefault="00E635D5" w14:paraId="36E02AB9" w14:textId="77777777">
            <w:pPr>
              <w:pStyle w:val="Table"/>
              <w:jc w:val="center"/>
            </w:pPr>
          </w:p>
        </w:tc>
      </w:tr>
      <w:tr w:rsidRPr="00730611" w:rsidR="006C047E" w:rsidTr="00C45584" w14:paraId="1411BD34" w14:textId="77777777">
        <w:trPr>
          <w:trHeight w:val="288"/>
        </w:trPr>
        <w:tc>
          <w:tcPr>
            <w:tcW w:w="655" w:type="dxa"/>
            <w:tcBorders>
              <w:top w:val="single" w:color="auto" w:sz="4" w:space="0"/>
              <w:left w:val="single" w:color="auto" w:sz="4" w:space="0"/>
              <w:bottom w:val="single" w:color="auto" w:sz="4" w:space="0"/>
              <w:right w:val="single" w:color="auto" w:sz="4" w:space="0"/>
            </w:tcBorders>
            <w:vAlign w:val="center"/>
          </w:tcPr>
          <w:p w:rsidRPr="009D4AF8" w:rsidR="00E635D5" w:rsidP="00D91B9A" w:rsidRDefault="005A1264" w14:paraId="5B94B643" w14:textId="4EF44B49">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448" w:type="dxa"/>
            <w:tcBorders>
              <w:top w:val="single" w:color="auto" w:sz="4" w:space="0"/>
              <w:left w:val="single" w:color="auto" w:sz="4" w:space="0"/>
              <w:bottom w:val="single" w:color="auto" w:sz="4" w:space="0"/>
              <w:right w:val="single" w:color="auto" w:sz="4" w:space="0"/>
            </w:tcBorders>
            <w:vAlign w:val="center"/>
          </w:tcPr>
          <w:p w:rsidRPr="00730611" w:rsidR="00E635D5" w:rsidP="00D91B9A" w:rsidRDefault="005A1264" w14:paraId="73211129" w14:textId="0CF911AE">
            <w:pPr>
              <w:pStyle w:val="Table"/>
              <w:jc w:val="center"/>
            </w:pPr>
            <w:r>
              <w:t>$</w:t>
            </w:r>
          </w:p>
        </w:tc>
        <w:tc>
          <w:tcPr>
            <w:tcW w:w="899" w:type="dxa"/>
            <w:gridSpan w:val="2"/>
            <w:tcBorders>
              <w:top w:val="single" w:color="auto" w:sz="4" w:space="0"/>
              <w:left w:val="single" w:color="auto" w:sz="4" w:space="0"/>
              <w:bottom w:val="single" w:color="auto" w:sz="4" w:space="0"/>
              <w:right w:val="single" w:color="auto" w:sz="4" w:space="0"/>
            </w:tcBorders>
            <w:vAlign w:val="center"/>
          </w:tcPr>
          <w:p w:rsidRPr="00730611" w:rsidR="00E635D5" w:rsidP="00D91B9A" w:rsidRDefault="00E635D5" w14:paraId="569C5684" w14:textId="4A27F1BD">
            <w:pPr>
              <w:pStyle w:val="Table"/>
              <w:jc w:val="center"/>
            </w:pPr>
            <w:r>
              <w:t>202</w:t>
            </w:r>
            <w:r w:rsidR="00C369CD">
              <w:t>6</w:t>
            </w:r>
          </w:p>
        </w:tc>
        <w:tc>
          <w:tcPr>
            <w:tcW w:w="3296" w:type="dxa"/>
            <w:tcBorders>
              <w:top w:val="single" w:color="auto" w:sz="4" w:space="0"/>
              <w:left w:val="nil"/>
              <w:bottom w:val="single" w:color="auto" w:sz="4" w:space="0"/>
              <w:right w:val="single" w:color="auto" w:sz="4" w:space="0"/>
            </w:tcBorders>
            <w:shd w:val="clear" w:color="auto" w:fill="auto"/>
            <w:noWrap/>
            <w:vAlign w:val="center"/>
          </w:tcPr>
          <w:p w:rsidRPr="00512242" w:rsidR="00E635D5" w:rsidP="00FC7D10" w:rsidRDefault="00D36289" w14:paraId="46AFF346" w14:textId="777F9903">
            <w:pPr>
              <w:pStyle w:val="Table"/>
              <w:ind w:left="259" w:hanging="259"/>
              <w:rPr>
                <w:shd w:val="clear" w:color="auto" w:fill="FFFFFF"/>
              </w:rPr>
            </w:pPr>
            <w:r>
              <w:rPr>
                <w:shd w:val="clear" w:color="auto" w:fill="FFFFFF"/>
              </w:rPr>
              <w:t>L</w:t>
            </w:r>
            <w:r w:rsidRPr="00512242" w:rsidR="006F404A">
              <w:rPr>
                <w:shd w:val="clear" w:color="auto" w:fill="FFFFFF"/>
              </w:rPr>
              <w:t>.</w:t>
            </w:r>
            <w:r w:rsidR="00626DB1">
              <w:rPr>
                <w:shd w:val="clear" w:color="auto" w:fill="FFFFFF"/>
              </w:rPr>
              <w:t xml:space="preserve"> </w:t>
            </w:r>
            <w:r w:rsidR="00626DB1">
              <w:rPr>
                <w:shd w:val="clear" w:color="auto" w:fill="FFFFFF"/>
              </w:rPr>
              <w:tab/>
            </w:r>
            <w:r w:rsidRPr="00512242" w:rsidR="006F404A">
              <w:rPr>
                <w:shd w:val="clear" w:color="auto" w:fill="FFFFFF"/>
              </w:rPr>
              <w:t>Guidance Based on Other Studies</w:t>
            </w:r>
          </w:p>
        </w:tc>
        <w:tc>
          <w:tcPr>
            <w:tcW w:w="358" w:type="dxa"/>
            <w:tcBorders>
              <w:top w:val="single" w:color="auto" w:sz="4" w:space="0"/>
              <w:left w:val="nil"/>
              <w:bottom w:val="single" w:color="auto" w:sz="4" w:space="0"/>
              <w:right w:val="single" w:color="auto" w:sz="4" w:space="0"/>
            </w:tcBorders>
            <w:shd w:val="clear" w:color="auto" w:fill="auto"/>
            <w:noWrap/>
            <w:vAlign w:val="center"/>
          </w:tcPr>
          <w:p w:rsidRPr="00730611" w:rsidR="00E635D5" w:rsidP="00E635D5" w:rsidRDefault="00E635D5" w14:paraId="67149ECB" w14:textId="08414EF2">
            <w:pPr>
              <w:pStyle w:val="Table"/>
              <w:jc w:val="center"/>
            </w:pPr>
            <w:r w:rsidRPr="00730611">
              <w:t>X</w:t>
            </w:r>
          </w:p>
        </w:tc>
        <w:tc>
          <w:tcPr>
            <w:tcW w:w="362" w:type="dxa"/>
            <w:tcBorders>
              <w:top w:val="single" w:color="auto" w:sz="4" w:space="0"/>
              <w:left w:val="nil"/>
              <w:bottom w:val="single" w:color="auto" w:sz="4" w:space="0"/>
              <w:right w:val="single" w:color="auto" w:sz="4" w:space="0"/>
            </w:tcBorders>
            <w:shd w:val="clear" w:color="auto" w:fill="auto"/>
            <w:noWrap/>
            <w:vAlign w:val="center"/>
          </w:tcPr>
          <w:p w:rsidRPr="00730611" w:rsidR="00E635D5" w:rsidP="00E635D5" w:rsidRDefault="00E635D5" w14:paraId="1D1CADD6" w14:textId="4C7E5F72">
            <w:pPr>
              <w:pStyle w:val="Table"/>
              <w:jc w:val="center"/>
            </w:pPr>
            <w:r w:rsidRPr="00730611">
              <w:t>X</w:t>
            </w:r>
          </w:p>
        </w:tc>
        <w:tc>
          <w:tcPr>
            <w:tcW w:w="35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730611" w:rsidR="00E635D5" w:rsidP="00E635D5" w:rsidRDefault="00C47E4C" w14:paraId="7045A748" w14:textId="26CB3B14">
            <w:pPr>
              <w:pStyle w:val="Table"/>
              <w:jc w:val="center"/>
            </w:pPr>
            <w:r>
              <w:t>X</w:t>
            </w:r>
          </w:p>
        </w:tc>
        <w:tc>
          <w:tcPr>
            <w:tcW w:w="35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3B2F6C5E" w14:textId="2607D40B">
            <w:pPr>
              <w:pStyle w:val="Table"/>
              <w:jc w:val="center"/>
            </w:pPr>
            <w:r w:rsidRPr="00730611">
              <w:t>X</w:t>
            </w:r>
          </w:p>
        </w:tc>
        <w:tc>
          <w:tcPr>
            <w:tcW w:w="35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255D2BB1" w14:textId="155E5F6C">
            <w:pPr>
              <w:pStyle w:val="Table"/>
              <w:jc w:val="center"/>
            </w:pPr>
            <w:r w:rsidRPr="00730611">
              <w:t>X</w:t>
            </w:r>
          </w:p>
        </w:tc>
        <w:tc>
          <w:tcPr>
            <w:tcW w:w="35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730611" w:rsidR="00E635D5" w:rsidP="00E635D5" w:rsidRDefault="00E635D5" w14:paraId="0261DB1A" w14:textId="607F7944">
            <w:pPr>
              <w:pStyle w:val="Table"/>
              <w:jc w:val="center"/>
            </w:pPr>
            <w:r w:rsidRPr="00730611">
              <w:t>X</w:t>
            </w:r>
          </w:p>
        </w:tc>
        <w:tc>
          <w:tcPr>
            <w:tcW w:w="364"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730611" w:rsidR="00E635D5" w:rsidP="00E635D5" w:rsidRDefault="00C47E4C" w14:paraId="7F1F37F4" w14:textId="76F0AF27">
            <w:pPr>
              <w:pStyle w:val="Table"/>
              <w:jc w:val="center"/>
            </w:pPr>
            <w:r>
              <w:t>X</w:t>
            </w:r>
          </w:p>
        </w:tc>
        <w:tc>
          <w:tcPr>
            <w:tcW w:w="359" w:type="dxa"/>
            <w:tcBorders>
              <w:top w:val="single" w:color="auto" w:sz="4" w:space="0"/>
              <w:left w:val="nil"/>
              <w:bottom w:val="single" w:color="auto" w:sz="4" w:space="0"/>
              <w:right w:val="single" w:color="auto" w:sz="4" w:space="0"/>
            </w:tcBorders>
            <w:shd w:val="clear" w:color="auto" w:fill="auto"/>
            <w:noWrap/>
            <w:vAlign w:val="center"/>
          </w:tcPr>
          <w:p w:rsidRPr="00730611" w:rsidR="00E635D5" w:rsidP="00E635D5" w:rsidRDefault="00E635D5" w14:paraId="6BB27EBB" w14:textId="0686BC3D">
            <w:pPr>
              <w:pStyle w:val="Table"/>
              <w:jc w:val="center"/>
            </w:pPr>
            <w:r w:rsidRPr="00730611">
              <w:t>X</w:t>
            </w:r>
          </w:p>
        </w:tc>
        <w:tc>
          <w:tcPr>
            <w:tcW w:w="359" w:type="dxa"/>
            <w:tcBorders>
              <w:top w:val="single" w:color="auto" w:sz="4" w:space="0"/>
              <w:left w:val="nil"/>
              <w:bottom w:val="single" w:color="auto" w:sz="4" w:space="0"/>
              <w:right w:val="single" w:color="000000" w:themeColor="text1" w:sz="4" w:space="0"/>
            </w:tcBorders>
            <w:vAlign w:val="center"/>
          </w:tcPr>
          <w:p w:rsidRPr="00730611" w:rsidR="00E635D5" w:rsidP="00E635D5" w:rsidRDefault="00E635D5" w14:paraId="39B4BCDA" w14:textId="79F02D13">
            <w:pPr>
              <w:pStyle w:val="Table"/>
              <w:jc w:val="center"/>
            </w:pPr>
            <w:r w:rsidRPr="00730611">
              <w:t>X</w:t>
            </w:r>
          </w:p>
        </w:tc>
        <w:tc>
          <w:tcPr>
            <w:tcW w:w="359" w:type="dxa"/>
            <w:tcBorders>
              <w:top w:val="single" w:color="auto" w:sz="4" w:space="0"/>
              <w:left w:val="single" w:color="000000" w:themeColor="text1" w:sz="4" w:space="0"/>
              <w:bottom w:val="single" w:color="auto" w:sz="4" w:space="0"/>
              <w:right w:val="single" w:color="auto" w:sz="4" w:space="0"/>
            </w:tcBorders>
            <w:shd w:val="clear" w:color="auto" w:fill="auto"/>
            <w:noWrap/>
            <w:vAlign w:val="center"/>
          </w:tcPr>
          <w:p w:rsidRPr="00730611" w:rsidR="00E635D5" w:rsidP="00E635D5" w:rsidRDefault="00E635D5" w14:paraId="65BDC6D8" w14:textId="7971BBF8">
            <w:pPr>
              <w:pStyle w:val="Table"/>
              <w:jc w:val="center"/>
            </w:pPr>
          </w:p>
        </w:tc>
        <w:tc>
          <w:tcPr>
            <w:tcW w:w="359" w:type="dxa"/>
            <w:tcBorders>
              <w:top w:val="single" w:color="auto" w:sz="4" w:space="0"/>
              <w:left w:val="nil"/>
              <w:bottom w:val="single" w:color="auto" w:sz="4" w:space="0"/>
              <w:right w:val="single" w:color="000000" w:themeColor="text1" w:sz="4" w:space="0"/>
            </w:tcBorders>
            <w:vAlign w:val="center"/>
          </w:tcPr>
          <w:p w:rsidRPr="00730611" w:rsidR="00E635D5" w:rsidP="00E635D5" w:rsidRDefault="00E635D5" w14:paraId="3C822988" w14:textId="7FA75D2F">
            <w:pPr>
              <w:pStyle w:val="Table"/>
              <w:jc w:val="center"/>
            </w:pPr>
          </w:p>
        </w:tc>
        <w:tc>
          <w:tcPr>
            <w:tcW w:w="359" w:type="dxa"/>
            <w:tcBorders>
              <w:top w:val="single" w:color="auto" w:sz="4" w:space="0"/>
              <w:left w:val="single" w:color="000000" w:themeColor="text1" w:sz="4" w:space="0"/>
              <w:bottom w:val="single" w:color="auto" w:sz="4" w:space="0"/>
              <w:right w:val="single" w:color="auto" w:sz="4" w:space="0"/>
            </w:tcBorders>
            <w:vAlign w:val="center"/>
          </w:tcPr>
          <w:p w:rsidRPr="00730611" w:rsidR="00E635D5" w:rsidP="00E635D5" w:rsidRDefault="00E635D5" w14:paraId="688010CF" w14:textId="52AED03B">
            <w:pPr>
              <w:pStyle w:val="Table"/>
              <w:jc w:val="center"/>
            </w:pPr>
          </w:p>
        </w:tc>
      </w:tr>
      <w:tr w:rsidRPr="00730611" w:rsidR="006C047E" w:rsidTr="00C45584" w14:paraId="2347CAC6" w14:textId="77777777">
        <w:trPr>
          <w:trHeight w:val="288"/>
        </w:trPr>
        <w:tc>
          <w:tcPr>
            <w:tcW w:w="655" w:type="dxa"/>
            <w:tcBorders>
              <w:top w:val="single" w:color="auto" w:sz="4" w:space="0"/>
              <w:left w:val="single" w:color="auto" w:sz="4" w:space="0"/>
              <w:bottom w:val="single" w:color="auto" w:sz="4" w:space="0"/>
              <w:right w:val="single" w:color="auto" w:sz="4" w:space="0"/>
            </w:tcBorders>
            <w:vAlign w:val="center"/>
          </w:tcPr>
          <w:p w:rsidR="006F404A" w:rsidP="00D91B9A" w:rsidRDefault="007600D2" w14:paraId="4E8EA92C" w14:textId="2934882F">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448" w:type="dxa"/>
            <w:tcBorders>
              <w:top w:val="single" w:color="auto" w:sz="4" w:space="0"/>
              <w:left w:val="single" w:color="auto" w:sz="4" w:space="0"/>
              <w:bottom w:val="single" w:color="auto" w:sz="4" w:space="0"/>
              <w:right w:val="single" w:color="auto" w:sz="4" w:space="0"/>
            </w:tcBorders>
            <w:vAlign w:val="center"/>
          </w:tcPr>
          <w:p w:rsidR="006F404A" w:rsidP="00D91B9A" w:rsidRDefault="007600D2" w14:paraId="51FCD121" w14:textId="319986D7">
            <w:pPr>
              <w:pStyle w:val="Table"/>
              <w:jc w:val="center"/>
            </w:pPr>
            <w:r>
              <w:t>$</w:t>
            </w:r>
          </w:p>
        </w:tc>
        <w:tc>
          <w:tcPr>
            <w:tcW w:w="899" w:type="dxa"/>
            <w:gridSpan w:val="2"/>
            <w:tcBorders>
              <w:top w:val="single" w:color="auto" w:sz="4" w:space="0"/>
              <w:left w:val="single" w:color="auto" w:sz="4" w:space="0"/>
              <w:bottom w:val="single" w:color="auto" w:sz="4" w:space="0"/>
              <w:right w:val="single" w:color="auto" w:sz="4" w:space="0"/>
            </w:tcBorders>
            <w:vAlign w:val="center"/>
          </w:tcPr>
          <w:p w:rsidR="006F404A" w:rsidP="00D91B9A" w:rsidRDefault="007600D2" w14:paraId="6AEFB827" w14:textId="38C43EE2">
            <w:pPr>
              <w:pStyle w:val="Table"/>
              <w:jc w:val="center"/>
            </w:pPr>
            <w:r>
              <w:t>2026</w:t>
            </w:r>
          </w:p>
        </w:tc>
        <w:tc>
          <w:tcPr>
            <w:tcW w:w="3296" w:type="dxa"/>
            <w:tcBorders>
              <w:top w:val="single" w:color="auto" w:sz="4" w:space="0"/>
              <w:left w:val="nil"/>
              <w:bottom w:val="single" w:color="auto" w:sz="4" w:space="0"/>
              <w:right w:val="single" w:color="auto" w:sz="4" w:space="0"/>
            </w:tcBorders>
            <w:shd w:val="clear" w:color="auto" w:fill="auto"/>
            <w:noWrap/>
            <w:vAlign w:val="center"/>
          </w:tcPr>
          <w:p w:rsidRPr="00512242" w:rsidR="006F404A" w:rsidP="00FC7D10" w:rsidRDefault="00D36289" w14:paraId="09788FDB" w14:textId="49D5897C">
            <w:pPr>
              <w:pStyle w:val="Table"/>
              <w:ind w:left="259" w:hanging="259"/>
              <w:rPr>
                <w:shd w:val="clear" w:color="auto" w:fill="FFFFFF"/>
              </w:rPr>
            </w:pPr>
            <w:r>
              <w:rPr>
                <w:shd w:val="clear" w:color="auto" w:fill="FFFFFF"/>
              </w:rPr>
              <w:t>M</w:t>
            </w:r>
            <w:r w:rsidRPr="00512242" w:rsidR="006F404A">
              <w:rPr>
                <w:shd w:val="clear" w:color="auto" w:fill="FFFFFF"/>
              </w:rPr>
              <w:t>.</w:t>
            </w:r>
            <w:r w:rsidR="00626DB1">
              <w:rPr>
                <w:shd w:val="clear" w:color="auto" w:fill="FFFFFF"/>
              </w:rPr>
              <w:t xml:space="preserve"> </w:t>
            </w:r>
            <w:r w:rsidR="00626DB1">
              <w:rPr>
                <w:shd w:val="clear" w:color="auto" w:fill="FFFFFF"/>
              </w:rPr>
              <w:tab/>
            </w:r>
            <w:r w:rsidRPr="00512242" w:rsidR="006F404A">
              <w:rPr>
                <w:shd w:val="clear" w:color="auto" w:fill="FFFFFF"/>
              </w:rPr>
              <w:t>Guidance from Review of 2023 EM&amp;V Reports</w:t>
            </w:r>
          </w:p>
        </w:tc>
        <w:tc>
          <w:tcPr>
            <w:tcW w:w="358" w:type="dxa"/>
            <w:tcBorders>
              <w:top w:val="single" w:color="auto" w:sz="4" w:space="0"/>
              <w:left w:val="nil"/>
              <w:bottom w:val="single" w:color="auto" w:sz="4" w:space="0"/>
              <w:right w:val="single" w:color="auto" w:sz="4" w:space="0"/>
            </w:tcBorders>
            <w:shd w:val="clear" w:color="auto" w:fill="auto"/>
            <w:noWrap/>
            <w:vAlign w:val="center"/>
          </w:tcPr>
          <w:p w:rsidRPr="00730611" w:rsidR="006F404A" w:rsidP="00E635D5" w:rsidRDefault="00E32FD6" w14:paraId="71337662" w14:textId="374122B5">
            <w:pPr>
              <w:pStyle w:val="Table"/>
              <w:jc w:val="center"/>
            </w:pPr>
            <w:r>
              <w:t>X</w:t>
            </w:r>
          </w:p>
        </w:tc>
        <w:tc>
          <w:tcPr>
            <w:tcW w:w="362" w:type="dxa"/>
            <w:tcBorders>
              <w:top w:val="single" w:color="auto" w:sz="4" w:space="0"/>
              <w:left w:val="nil"/>
              <w:bottom w:val="single" w:color="auto" w:sz="4" w:space="0"/>
              <w:right w:val="single" w:color="auto" w:sz="4" w:space="0"/>
            </w:tcBorders>
            <w:shd w:val="clear" w:color="auto" w:fill="auto"/>
            <w:noWrap/>
            <w:vAlign w:val="center"/>
          </w:tcPr>
          <w:p w:rsidRPr="00730611" w:rsidR="006F404A" w:rsidP="00E635D5" w:rsidRDefault="00E32FD6" w14:paraId="5E5185C9" w14:textId="47F38941">
            <w:pPr>
              <w:pStyle w:val="Table"/>
              <w:jc w:val="center"/>
            </w:pPr>
            <w:r>
              <w:t>X</w:t>
            </w:r>
          </w:p>
        </w:tc>
        <w:tc>
          <w:tcPr>
            <w:tcW w:w="35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730611" w:rsidR="006F404A" w:rsidP="00E635D5" w:rsidRDefault="00E32FD6" w14:paraId="78865758" w14:textId="36409D41">
            <w:pPr>
              <w:pStyle w:val="Table"/>
              <w:jc w:val="center"/>
            </w:pPr>
            <w:r>
              <w:t>X</w:t>
            </w:r>
          </w:p>
        </w:tc>
        <w:tc>
          <w:tcPr>
            <w:tcW w:w="35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730611" w:rsidR="006F404A" w:rsidP="00E635D5" w:rsidRDefault="00E32FD6" w14:paraId="54D1B750" w14:textId="05FBCE1A">
            <w:pPr>
              <w:pStyle w:val="Table"/>
              <w:jc w:val="center"/>
            </w:pPr>
            <w:r>
              <w:t>X</w:t>
            </w:r>
          </w:p>
        </w:tc>
        <w:tc>
          <w:tcPr>
            <w:tcW w:w="35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730611" w:rsidR="006F404A" w:rsidP="00E635D5" w:rsidRDefault="00E32FD6" w14:paraId="0C726B15" w14:textId="0AD664C1">
            <w:pPr>
              <w:pStyle w:val="Table"/>
              <w:jc w:val="center"/>
            </w:pPr>
            <w:r>
              <w:t>X</w:t>
            </w:r>
          </w:p>
        </w:tc>
        <w:tc>
          <w:tcPr>
            <w:tcW w:w="359"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730611" w:rsidR="006F404A" w:rsidP="00E635D5" w:rsidRDefault="00E32FD6" w14:paraId="1C82B124" w14:textId="1151F105">
            <w:pPr>
              <w:pStyle w:val="Table"/>
              <w:jc w:val="center"/>
            </w:pPr>
            <w:r>
              <w:t>X</w:t>
            </w:r>
          </w:p>
        </w:tc>
        <w:tc>
          <w:tcPr>
            <w:tcW w:w="364"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730611" w:rsidR="006F404A" w:rsidP="00E635D5" w:rsidRDefault="00E32FD6" w14:paraId="5CD26182" w14:textId="130F6823">
            <w:pPr>
              <w:pStyle w:val="Table"/>
              <w:jc w:val="center"/>
            </w:pPr>
            <w:r>
              <w:t>X</w:t>
            </w:r>
          </w:p>
        </w:tc>
        <w:tc>
          <w:tcPr>
            <w:tcW w:w="359" w:type="dxa"/>
            <w:tcBorders>
              <w:top w:val="single" w:color="auto" w:sz="4" w:space="0"/>
              <w:left w:val="nil"/>
              <w:bottom w:val="single" w:color="auto" w:sz="4" w:space="0"/>
              <w:right w:val="single" w:color="auto" w:sz="4" w:space="0"/>
            </w:tcBorders>
            <w:shd w:val="clear" w:color="auto" w:fill="auto"/>
            <w:noWrap/>
            <w:vAlign w:val="center"/>
          </w:tcPr>
          <w:p w:rsidRPr="00730611" w:rsidR="006F404A" w:rsidP="00E635D5" w:rsidRDefault="00E32FD6" w14:paraId="0DF3913F" w14:textId="68215FB8">
            <w:pPr>
              <w:pStyle w:val="Table"/>
              <w:jc w:val="center"/>
            </w:pPr>
            <w:r>
              <w:t>X</w:t>
            </w:r>
          </w:p>
        </w:tc>
        <w:tc>
          <w:tcPr>
            <w:tcW w:w="359" w:type="dxa"/>
            <w:tcBorders>
              <w:top w:val="single" w:color="auto" w:sz="4" w:space="0"/>
              <w:left w:val="nil"/>
              <w:bottom w:val="single" w:color="auto" w:sz="4" w:space="0"/>
              <w:right w:val="single" w:color="000000" w:themeColor="text1" w:sz="4" w:space="0"/>
            </w:tcBorders>
            <w:vAlign w:val="center"/>
          </w:tcPr>
          <w:p w:rsidRPr="00730611" w:rsidR="006F404A" w:rsidP="00E635D5" w:rsidRDefault="00E32FD6" w14:paraId="5417C945" w14:textId="6F13EAEA">
            <w:pPr>
              <w:pStyle w:val="Table"/>
              <w:jc w:val="center"/>
            </w:pPr>
            <w:r>
              <w:t>X</w:t>
            </w:r>
          </w:p>
        </w:tc>
        <w:tc>
          <w:tcPr>
            <w:tcW w:w="359" w:type="dxa"/>
            <w:tcBorders>
              <w:top w:val="single" w:color="auto" w:sz="4" w:space="0"/>
              <w:left w:val="single" w:color="000000" w:themeColor="text1" w:sz="4" w:space="0"/>
              <w:bottom w:val="single" w:color="auto" w:sz="4" w:space="0"/>
              <w:right w:val="single" w:color="auto" w:sz="4" w:space="0"/>
            </w:tcBorders>
            <w:shd w:val="clear" w:color="auto" w:fill="auto"/>
            <w:noWrap/>
            <w:vAlign w:val="center"/>
          </w:tcPr>
          <w:p w:rsidRPr="00730611" w:rsidR="006F404A" w:rsidP="00E635D5" w:rsidRDefault="006F404A" w14:paraId="2F913C6D" w14:textId="77777777">
            <w:pPr>
              <w:pStyle w:val="Table"/>
              <w:jc w:val="center"/>
            </w:pPr>
          </w:p>
        </w:tc>
        <w:tc>
          <w:tcPr>
            <w:tcW w:w="359" w:type="dxa"/>
            <w:tcBorders>
              <w:top w:val="single" w:color="auto" w:sz="4" w:space="0"/>
              <w:left w:val="nil"/>
              <w:bottom w:val="single" w:color="auto" w:sz="4" w:space="0"/>
              <w:right w:val="single" w:color="000000" w:themeColor="text1" w:sz="4" w:space="0"/>
            </w:tcBorders>
            <w:vAlign w:val="center"/>
          </w:tcPr>
          <w:p w:rsidRPr="00730611" w:rsidR="006F404A" w:rsidP="00E635D5" w:rsidRDefault="006F404A" w14:paraId="71C7EBB3" w14:textId="77777777">
            <w:pPr>
              <w:pStyle w:val="Table"/>
              <w:jc w:val="center"/>
            </w:pPr>
          </w:p>
        </w:tc>
        <w:tc>
          <w:tcPr>
            <w:tcW w:w="359" w:type="dxa"/>
            <w:tcBorders>
              <w:top w:val="single" w:color="auto" w:sz="4" w:space="0"/>
              <w:left w:val="single" w:color="000000" w:themeColor="text1" w:sz="4" w:space="0"/>
              <w:bottom w:val="single" w:color="auto" w:sz="4" w:space="0"/>
              <w:right w:val="single" w:color="auto" w:sz="4" w:space="0"/>
            </w:tcBorders>
            <w:vAlign w:val="center"/>
          </w:tcPr>
          <w:p w:rsidRPr="00730611" w:rsidR="006F404A" w:rsidP="00E635D5" w:rsidRDefault="006F404A" w14:paraId="1DAA2485" w14:textId="77777777">
            <w:pPr>
              <w:pStyle w:val="Table"/>
              <w:jc w:val="center"/>
            </w:pPr>
          </w:p>
        </w:tc>
      </w:tr>
    </w:tbl>
    <w:p w:rsidRPr="00F34278" w:rsidR="001B384F" w:rsidP="00B40D38" w:rsidRDefault="00B40D38" w14:paraId="5F032F20" w14:textId="38CDB5A5">
      <w:pPr>
        <w:rPr>
          <w:sz w:val="18"/>
          <w:szCs w:val="16"/>
        </w:rPr>
      </w:pPr>
      <w:r w:rsidRPr="00F34278">
        <w:rPr>
          <w:sz w:val="18"/>
          <w:szCs w:val="16"/>
        </w:rPr>
        <w:t>*</w:t>
      </w:r>
      <w:r w:rsidRPr="00F34278" w:rsidR="00373C1D">
        <w:rPr>
          <w:sz w:val="18"/>
          <w:szCs w:val="16"/>
        </w:rPr>
        <w:t>HVAC</w:t>
      </w:r>
      <w:r w:rsidRPr="00F34278" w:rsidR="008E6FFC">
        <w:rPr>
          <w:sz w:val="18"/>
          <w:szCs w:val="16"/>
        </w:rPr>
        <w:t>=</w:t>
      </w:r>
      <w:r w:rsidRPr="00F34278" w:rsidR="00F34278">
        <w:rPr>
          <w:sz w:val="18"/>
          <w:szCs w:val="16"/>
        </w:rPr>
        <w:t>H</w:t>
      </w:r>
      <w:r w:rsidRPr="00F34278" w:rsidR="008E6FFC">
        <w:rPr>
          <w:sz w:val="18"/>
          <w:szCs w:val="16"/>
        </w:rPr>
        <w:t xml:space="preserve">eating, </w:t>
      </w:r>
      <w:r w:rsidRPr="00F34278" w:rsidR="00F34278">
        <w:rPr>
          <w:sz w:val="18"/>
          <w:szCs w:val="16"/>
        </w:rPr>
        <w:t>V</w:t>
      </w:r>
      <w:r w:rsidRPr="00F34278" w:rsidR="008E6FFC">
        <w:rPr>
          <w:sz w:val="18"/>
          <w:szCs w:val="16"/>
        </w:rPr>
        <w:t>entilation</w:t>
      </w:r>
      <w:r w:rsidRPr="00F34278" w:rsidR="00E67BC0">
        <w:rPr>
          <w:sz w:val="18"/>
          <w:szCs w:val="16"/>
        </w:rPr>
        <w:t xml:space="preserve">, </w:t>
      </w:r>
      <w:r w:rsidRPr="00F34278" w:rsidR="00F34278">
        <w:rPr>
          <w:sz w:val="18"/>
          <w:szCs w:val="16"/>
        </w:rPr>
        <w:t>A</w:t>
      </w:r>
      <w:r w:rsidRPr="00F34278" w:rsidR="00E67BC0">
        <w:rPr>
          <w:sz w:val="18"/>
          <w:szCs w:val="16"/>
        </w:rPr>
        <w:t xml:space="preserve">ir </w:t>
      </w:r>
      <w:r w:rsidRPr="00F34278" w:rsidR="00F34278">
        <w:rPr>
          <w:sz w:val="18"/>
          <w:szCs w:val="16"/>
        </w:rPr>
        <w:t>C</w:t>
      </w:r>
      <w:r w:rsidRPr="00F34278" w:rsidR="00E67BC0">
        <w:rPr>
          <w:sz w:val="18"/>
          <w:szCs w:val="16"/>
        </w:rPr>
        <w:t>onditioning; DWH</w:t>
      </w:r>
      <w:r w:rsidRPr="00F34278" w:rsidR="008C1DEC">
        <w:rPr>
          <w:sz w:val="18"/>
          <w:szCs w:val="16"/>
        </w:rPr>
        <w:t>=</w:t>
      </w:r>
      <w:r w:rsidRPr="00F34278" w:rsidR="00F34278">
        <w:rPr>
          <w:sz w:val="18"/>
          <w:szCs w:val="16"/>
        </w:rPr>
        <w:t>D</w:t>
      </w:r>
      <w:r w:rsidRPr="00F34278" w:rsidR="008C1DEC">
        <w:rPr>
          <w:sz w:val="18"/>
          <w:szCs w:val="16"/>
        </w:rPr>
        <w:t xml:space="preserve">omestic </w:t>
      </w:r>
      <w:r w:rsidRPr="00F34278" w:rsidR="00F34278">
        <w:rPr>
          <w:sz w:val="18"/>
          <w:szCs w:val="16"/>
        </w:rPr>
        <w:t>W</w:t>
      </w:r>
      <w:r w:rsidRPr="00F34278" w:rsidR="008C1DEC">
        <w:rPr>
          <w:sz w:val="18"/>
          <w:szCs w:val="16"/>
        </w:rPr>
        <w:t xml:space="preserve">ater </w:t>
      </w:r>
      <w:r w:rsidRPr="00F34278" w:rsidR="00F34278">
        <w:rPr>
          <w:sz w:val="18"/>
          <w:szCs w:val="16"/>
        </w:rPr>
        <w:t>H</w:t>
      </w:r>
      <w:r w:rsidRPr="00F34278" w:rsidR="008C1DEC">
        <w:rPr>
          <w:sz w:val="18"/>
          <w:szCs w:val="16"/>
        </w:rPr>
        <w:t>eating</w:t>
      </w:r>
      <w:r w:rsidRPr="00F34278" w:rsidR="00611746">
        <w:rPr>
          <w:sz w:val="18"/>
          <w:szCs w:val="16"/>
        </w:rPr>
        <w:t>;</w:t>
      </w:r>
      <w:r w:rsidRPr="00F34278" w:rsidR="001D233C">
        <w:rPr>
          <w:sz w:val="18"/>
          <w:szCs w:val="16"/>
        </w:rPr>
        <w:t xml:space="preserve"> NTG=</w:t>
      </w:r>
      <w:r w:rsidRPr="00F34278" w:rsidR="00F34278">
        <w:rPr>
          <w:sz w:val="18"/>
          <w:szCs w:val="16"/>
        </w:rPr>
        <w:t>N</w:t>
      </w:r>
      <w:r w:rsidRPr="00F34278" w:rsidR="001D233C">
        <w:rPr>
          <w:sz w:val="18"/>
          <w:szCs w:val="16"/>
        </w:rPr>
        <w:t>et-to-</w:t>
      </w:r>
      <w:r w:rsidRPr="00F34278" w:rsidR="00F34278">
        <w:rPr>
          <w:sz w:val="18"/>
          <w:szCs w:val="16"/>
        </w:rPr>
        <w:t>G</w:t>
      </w:r>
      <w:r w:rsidRPr="00F34278" w:rsidR="001D233C">
        <w:rPr>
          <w:sz w:val="18"/>
          <w:szCs w:val="16"/>
        </w:rPr>
        <w:t>ross;</w:t>
      </w:r>
      <w:r w:rsidRPr="00F34278" w:rsidR="00E67BC0">
        <w:rPr>
          <w:sz w:val="18"/>
          <w:szCs w:val="16"/>
        </w:rPr>
        <w:t xml:space="preserve"> </w:t>
      </w:r>
      <w:r w:rsidRPr="00F34278">
        <w:rPr>
          <w:sz w:val="18"/>
          <w:szCs w:val="16"/>
        </w:rPr>
        <w:t>UES</w:t>
      </w:r>
      <w:r w:rsidRPr="00F34278" w:rsidR="00F1110D">
        <w:rPr>
          <w:sz w:val="18"/>
          <w:szCs w:val="16"/>
        </w:rPr>
        <w:t>=Unit Energy Savings</w:t>
      </w:r>
      <w:r w:rsidRPr="00F34278" w:rsidR="001D233C">
        <w:rPr>
          <w:sz w:val="18"/>
          <w:szCs w:val="16"/>
        </w:rPr>
        <w:t>;</w:t>
      </w:r>
      <w:r w:rsidRPr="00F34278" w:rsidR="00F1110D">
        <w:rPr>
          <w:sz w:val="18"/>
          <w:szCs w:val="16"/>
        </w:rPr>
        <w:t xml:space="preserve"> EUL=</w:t>
      </w:r>
      <w:r w:rsidRPr="00F34278" w:rsidR="003A1A99">
        <w:rPr>
          <w:sz w:val="18"/>
          <w:szCs w:val="16"/>
        </w:rPr>
        <w:t>E</w:t>
      </w:r>
      <w:r w:rsidRPr="00F34278" w:rsidR="00DB48BF">
        <w:rPr>
          <w:sz w:val="18"/>
          <w:szCs w:val="16"/>
        </w:rPr>
        <w:t>ffective</w:t>
      </w:r>
      <w:r w:rsidRPr="00F34278" w:rsidR="00F1110D">
        <w:rPr>
          <w:sz w:val="18"/>
          <w:szCs w:val="16"/>
        </w:rPr>
        <w:t xml:space="preserve"> Useful Life</w:t>
      </w:r>
      <w:r w:rsidRPr="00F34278" w:rsidR="00DB48BF">
        <w:rPr>
          <w:sz w:val="18"/>
          <w:szCs w:val="16"/>
        </w:rPr>
        <w:t xml:space="preserve"> </w:t>
      </w:r>
    </w:p>
    <w:p w:rsidRPr="00D8759A" w:rsidR="00C95F27" w:rsidP="008E2F07" w:rsidRDefault="00C95F27" w14:paraId="270CAEA1" w14:textId="49ABCDCE">
      <w:pPr>
        <w:pStyle w:val="Heading1"/>
      </w:pPr>
      <w:bookmarkStart w:name="_Toc48835511" w:id="29"/>
      <w:bookmarkStart w:name="_Toc48843027" w:id="30"/>
      <w:bookmarkStart w:name="_Toc48845843" w:id="31"/>
      <w:bookmarkStart w:name="_Toc48900738" w:id="32"/>
      <w:r w:rsidRPr="00D8759A">
        <w:t>DISCUSSION</w:t>
      </w:r>
      <w:bookmarkEnd w:id="29"/>
      <w:bookmarkEnd w:id="30"/>
      <w:bookmarkEnd w:id="31"/>
      <w:bookmarkEnd w:id="32"/>
    </w:p>
    <w:p w:rsidRPr="009E404E" w:rsidR="009E404E" w:rsidP="009E404E" w:rsidRDefault="00B66F4A" w14:paraId="708359BD" w14:textId="56DB4004">
      <w:r w:rsidRPr="00D8759A">
        <w:t xml:space="preserve">Pursuant to D.15-10-028, the Energy Division published a </w:t>
      </w:r>
      <w:r w:rsidRPr="00D8759A" w:rsidR="0035348C">
        <w:t xml:space="preserve">DEER Update </w:t>
      </w:r>
      <w:r w:rsidR="00FA4413">
        <w:t xml:space="preserve">Scoping </w:t>
      </w:r>
      <w:r w:rsidR="00B4750A">
        <w:t>Document</w:t>
      </w:r>
      <w:r w:rsidRPr="00D8759A">
        <w:t xml:space="preserve"> on the proposed list of updates for DEER202</w:t>
      </w:r>
      <w:r w:rsidR="007F7CFA">
        <w:t>6</w:t>
      </w:r>
      <w:r w:rsidRPr="00D8759A">
        <w:t xml:space="preserve"> and revised DEER202</w:t>
      </w:r>
      <w:r w:rsidR="007F7CFA">
        <w:t>5</w:t>
      </w:r>
      <w:r w:rsidRPr="00D8759A">
        <w:t xml:space="preserve"> and DEER20</w:t>
      </w:r>
      <w:r w:rsidRPr="00D8759A" w:rsidR="004F1CD2">
        <w:t>2</w:t>
      </w:r>
      <w:r w:rsidR="007F7CFA">
        <w:t>4</w:t>
      </w:r>
      <w:r w:rsidRPr="00D8759A">
        <w:t xml:space="preserve"> </w:t>
      </w:r>
      <w:r w:rsidRPr="00D8759A" w:rsidR="004F1CD2">
        <w:t xml:space="preserve">items </w:t>
      </w:r>
      <w:r w:rsidRPr="00D8759A">
        <w:t xml:space="preserve">on </w:t>
      </w:r>
      <w:r w:rsidR="00C0378C">
        <w:t>August 1</w:t>
      </w:r>
      <w:r w:rsidRPr="00755DA2" w:rsidR="00B4750A">
        <w:t>, 202</w:t>
      </w:r>
      <w:r w:rsidR="001A519E">
        <w:t>4</w:t>
      </w:r>
      <w:r w:rsidRPr="00D8759A">
        <w:t xml:space="preserve">. </w:t>
      </w:r>
      <w:r w:rsidRPr="00D8759A" w:rsidR="00A75C2D">
        <w:t>The</w:t>
      </w:r>
      <w:r w:rsidRPr="00D8759A">
        <w:t xml:space="preserve"> </w:t>
      </w:r>
      <w:r w:rsidRPr="00D8759A" w:rsidR="00A75C2D">
        <w:t xml:space="preserve">list of topic areas that this Resolution will incorporate </w:t>
      </w:r>
      <w:r w:rsidRPr="00D8759A" w:rsidR="00903623">
        <w:t>are</w:t>
      </w:r>
      <w:r w:rsidRPr="00D8759A" w:rsidR="0090300E">
        <w:t xml:space="preserve"> summarized below </w:t>
      </w:r>
      <w:r w:rsidRPr="00D8759A" w:rsidR="007732B1">
        <w:t xml:space="preserve">and </w:t>
      </w:r>
      <w:r w:rsidRPr="00D8759A" w:rsidR="0090300E">
        <w:t>described in detail in Attachment</w:t>
      </w:r>
      <w:r w:rsidRPr="00D8759A" w:rsidR="007E546E">
        <w:t xml:space="preserve"> </w:t>
      </w:r>
      <w:r w:rsidRPr="00D8759A" w:rsidR="005B4A7B">
        <w:t>A</w:t>
      </w:r>
      <w:r w:rsidRPr="00D8759A" w:rsidR="00395A32">
        <w:t>,</w:t>
      </w:r>
      <w:r w:rsidR="00B4750A">
        <w:t xml:space="preserve"> DEER202</w:t>
      </w:r>
      <w:r w:rsidR="001A519E">
        <w:t>6</w:t>
      </w:r>
      <w:r w:rsidR="00B4750A">
        <w:t xml:space="preserve"> Update Summary</w:t>
      </w:r>
      <w:r w:rsidR="009E404E">
        <w:t>.</w:t>
      </w:r>
    </w:p>
    <w:p w:rsidR="0013764C" w:rsidP="00064073" w:rsidRDefault="0013764C" w14:paraId="28BF4DD9" w14:textId="7E9C1F37">
      <w:pPr>
        <w:pStyle w:val="Heading2"/>
      </w:pPr>
      <w:r>
        <w:lastRenderedPageBreak/>
        <w:t>Management of DEER Processes</w:t>
      </w:r>
    </w:p>
    <w:p w:rsidR="00C97F26" w:rsidP="003660BC" w:rsidRDefault="0013764C" w14:paraId="0D4FE12E" w14:textId="1B4510E8">
      <w:pPr>
        <w:pStyle w:val="Heading3"/>
      </w:pPr>
      <w:bookmarkStart w:name="_Toc48835513" w:id="33"/>
      <w:bookmarkStart w:name="_Toc48843029" w:id="34"/>
      <w:bookmarkStart w:name="_Toc48845845" w:id="35"/>
      <w:bookmarkStart w:name="_Toc48900740" w:id="36"/>
      <w:r>
        <w:t xml:space="preserve">Updates to </w:t>
      </w:r>
      <w:proofErr w:type="spellStart"/>
      <w:r>
        <w:t>eTRM</w:t>
      </w:r>
      <w:proofErr w:type="spellEnd"/>
    </w:p>
    <w:p w:rsidRPr="00A320E4" w:rsidR="0013764C" w:rsidP="006057AE" w:rsidRDefault="0013764C" w14:paraId="31E0CB32" w14:textId="0D84007A">
      <w:r w:rsidRPr="001238A2">
        <w:rPr>
          <w:u w:val="single"/>
        </w:rPr>
        <w:t>Effective Program Year: 20</w:t>
      </w:r>
      <w:r w:rsidR="00C03578">
        <w:rPr>
          <w:u w:val="single"/>
        </w:rPr>
        <w:t>2</w:t>
      </w:r>
      <w:r w:rsidR="00C72724">
        <w:rPr>
          <w:u w:val="single"/>
        </w:rPr>
        <w:t>4</w:t>
      </w:r>
      <w:r w:rsidR="00E61F9A">
        <w:rPr>
          <w:u w:val="single"/>
        </w:rPr>
        <w:t>-2026</w:t>
      </w:r>
      <w:r w:rsidR="00EC149B">
        <w:t xml:space="preserve">. </w:t>
      </w:r>
      <w:r>
        <w:t>California’s statewide electronic Technical Reference Manual (</w:t>
      </w:r>
      <w:proofErr w:type="spellStart"/>
      <w:r>
        <w:t>eTRM</w:t>
      </w:r>
      <w:proofErr w:type="spellEnd"/>
      <w:r>
        <w:t xml:space="preserve">) is the </w:t>
      </w:r>
      <w:r w:rsidRPr="4AD93EB3">
        <w:rPr>
          <w:i/>
          <w:iCs/>
        </w:rPr>
        <w:t>Official Source of California Energy Efficiency Measure Data</w:t>
      </w:r>
      <w:r w:rsidRPr="000A52F0">
        <w:t>,</w:t>
      </w:r>
      <w:r w:rsidRPr="000A52F0">
        <w:rPr>
          <w:rStyle w:val="FootnoteReference"/>
        </w:rPr>
        <w:footnoteReference w:id="12"/>
      </w:r>
      <w:r>
        <w:t xml:space="preserve"> and the sole source for energy efficiency measure package development, submittal, review, and publishing</w:t>
      </w:r>
      <w:r w:rsidR="00EC149B">
        <w:t xml:space="preserve">. </w:t>
      </w:r>
      <w:r w:rsidR="00793445">
        <w:t>M</w:t>
      </w:r>
      <w:r>
        <w:t xml:space="preserve">easure developers shall follow the </w:t>
      </w:r>
      <w:r w:rsidR="44151AA3">
        <w:t>CPUC</w:t>
      </w:r>
      <w:r w:rsidR="4B92C06C">
        <w:t xml:space="preserve"> and </w:t>
      </w:r>
      <w:proofErr w:type="spellStart"/>
      <w:r w:rsidR="4B92C06C">
        <w:t>eTRM</w:t>
      </w:r>
      <w:proofErr w:type="spellEnd"/>
      <w:r w:rsidR="4B92C06C">
        <w:t xml:space="preserve"> </w:t>
      </w:r>
      <w:r>
        <w:t xml:space="preserve">rules and procedures  </w:t>
      </w:r>
      <w:r w:rsidR="27B854D6">
        <w:t>collected</w:t>
      </w:r>
      <w:r>
        <w:t xml:space="preserve"> in the documents provided by </w:t>
      </w:r>
      <w:r w:rsidR="00B66233">
        <w:t>the California Technical Forum (</w:t>
      </w:r>
      <w:proofErr w:type="spellStart"/>
      <w:r>
        <w:t>CalTF</w:t>
      </w:r>
      <w:proofErr w:type="spellEnd"/>
      <w:r w:rsidR="00B66233">
        <w:t>)</w:t>
      </w:r>
      <w:r>
        <w:t xml:space="preserve"> as they move measures through the development phase prior to submittal</w:t>
      </w:r>
      <w:r w:rsidR="00EC149B">
        <w:t xml:space="preserve">. </w:t>
      </w:r>
    </w:p>
    <w:p w:rsidR="00B64012" w:rsidP="003E75D1" w:rsidRDefault="00631DB1" w14:paraId="74D929A5" w14:textId="505E7EE1">
      <w:pPr>
        <w:pStyle w:val="Heading4"/>
      </w:pPr>
      <w:bookmarkStart w:name="_Toc104200037" w:id="37"/>
      <w:proofErr w:type="spellStart"/>
      <w:r>
        <w:t>CalTF</w:t>
      </w:r>
      <w:proofErr w:type="spellEnd"/>
      <w:r>
        <w:t xml:space="preserve"> and </w:t>
      </w:r>
      <w:proofErr w:type="spellStart"/>
      <w:r w:rsidR="0065076F">
        <w:t>eTRM</w:t>
      </w:r>
      <w:proofErr w:type="spellEnd"/>
      <w:r w:rsidR="0065076F">
        <w:t xml:space="preserve"> Funding</w:t>
      </w:r>
    </w:p>
    <w:p w:rsidRPr="0065076F" w:rsidR="0065076F" w:rsidP="006057AE" w:rsidRDefault="00172C73" w14:paraId="199BDCAD" w14:textId="54AA26A1">
      <w:r w:rsidRPr="00AB6256">
        <w:rPr>
          <w:u w:val="single"/>
        </w:rPr>
        <w:t>Effective Program Year: 202</w:t>
      </w:r>
      <w:r w:rsidR="006A1A6B">
        <w:rPr>
          <w:u w:val="single"/>
        </w:rPr>
        <w:t>4</w:t>
      </w:r>
      <w:r w:rsidRPr="00AB6256">
        <w:t>.</w:t>
      </w:r>
      <w:r w:rsidRPr="00AB6256" w:rsidDel="001B6379">
        <w:t xml:space="preserve"> </w:t>
      </w:r>
      <w:r w:rsidR="006A1A6B">
        <w:t xml:space="preserve">Per D.23-02-002, </w:t>
      </w:r>
      <w:r w:rsidR="00B95E3D">
        <w:t xml:space="preserve">IOUs may fund the </w:t>
      </w:r>
      <w:proofErr w:type="spellStart"/>
      <w:r w:rsidR="00B95E3D">
        <w:t>CalTF</w:t>
      </w:r>
      <w:proofErr w:type="spellEnd"/>
      <w:r w:rsidR="00B95E3D">
        <w:t xml:space="preserve"> and </w:t>
      </w:r>
      <w:proofErr w:type="spellStart"/>
      <w:r w:rsidR="00B95E3D">
        <w:t>eTRM</w:t>
      </w:r>
      <w:proofErr w:type="spellEnd"/>
      <w:r w:rsidR="00B95E3D">
        <w:t xml:space="preserve"> from their program budgets and/or evaluation budgets</w:t>
      </w:r>
      <w:r w:rsidR="00CB13AE">
        <w:t>.</w:t>
      </w:r>
      <w:r w:rsidR="0055750F">
        <w:t xml:space="preserve"> </w:t>
      </w:r>
      <w:r w:rsidR="00470997">
        <w:rPr>
          <w:rFonts w:eastAsia="Calibri"/>
        </w:rPr>
        <w:t>Consistent with E-5082 direction, t</w:t>
      </w:r>
      <w:r w:rsidRPr="28FBA7CC" w:rsidR="00470997">
        <w:rPr>
          <w:rFonts w:eastAsia="Calibri"/>
        </w:rPr>
        <w:t>he IOU fund</w:t>
      </w:r>
      <w:r w:rsidR="00A0190E">
        <w:rPr>
          <w:rFonts w:eastAsia="Calibri"/>
        </w:rPr>
        <w:t>ing</w:t>
      </w:r>
      <w:r w:rsidRPr="28FBA7CC" w:rsidR="00470997">
        <w:rPr>
          <w:rFonts w:eastAsia="Calibri"/>
        </w:rPr>
        <w:t xml:space="preserve"> </w:t>
      </w:r>
      <w:r w:rsidR="007F2423">
        <w:rPr>
          <w:rFonts w:eastAsia="Calibri"/>
        </w:rPr>
        <w:t xml:space="preserve">shall </w:t>
      </w:r>
      <w:r w:rsidR="00470997">
        <w:rPr>
          <w:rFonts w:eastAsia="Calibri"/>
        </w:rPr>
        <w:t xml:space="preserve">not exceed </w:t>
      </w:r>
      <w:r w:rsidR="00470997">
        <w:t xml:space="preserve">EE portfolio budget caps as ordered in </w:t>
      </w:r>
      <w:r w:rsidR="00470997">
        <w:br/>
        <w:t xml:space="preserve">D. 18-05-041 to fund the </w:t>
      </w:r>
      <w:proofErr w:type="spellStart"/>
      <w:r w:rsidR="00470997">
        <w:t>eTRM</w:t>
      </w:r>
      <w:proofErr w:type="spellEnd"/>
      <w:r w:rsidR="00470997">
        <w:t xml:space="preserve"> development</w:t>
      </w:r>
      <w:r w:rsidR="00470997">
        <w:rPr>
          <w:rFonts w:eastAsia="Calibri"/>
        </w:rPr>
        <w:t>.</w:t>
      </w:r>
      <w:r w:rsidR="00470997">
        <w:rPr>
          <w:rStyle w:val="FootnoteReference"/>
          <w:rFonts w:eastAsia="Calibri"/>
        </w:rPr>
        <w:footnoteReference w:id="13"/>
      </w:r>
      <w:r w:rsidRPr="28FBA7CC" w:rsidR="00470997">
        <w:rPr>
          <w:rFonts w:eastAsia="Calibri"/>
        </w:rPr>
        <w:t xml:space="preserve"> </w:t>
      </w:r>
      <w:r w:rsidR="00470997">
        <w:rPr>
          <w:rFonts w:eastAsia="Calibri"/>
        </w:rPr>
        <w:t>IOUs</w:t>
      </w:r>
      <w:r w:rsidRPr="28FBA7CC" w:rsidR="00470997">
        <w:rPr>
          <w:rFonts w:eastAsia="Calibri"/>
        </w:rPr>
        <w:t xml:space="preserve"> shall identify the funding sources for </w:t>
      </w:r>
      <w:proofErr w:type="spellStart"/>
      <w:r w:rsidRPr="28FBA7CC" w:rsidR="00470997">
        <w:rPr>
          <w:rFonts w:eastAsia="Calibri"/>
        </w:rPr>
        <w:t>eTRM</w:t>
      </w:r>
      <w:proofErr w:type="spellEnd"/>
      <w:r w:rsidRPr="28FBA7CC" w:rsidR="00470997">
        <w:rPr>
          <w:rFonts w:eastAsia="Calibri"/>
        </w:rPr>
        <w:t xml:space="preserve"> and </w:t>
      </w:r>
      <w:proofErr w:type="spellStart"/>
      <w:r w:rsidRPr="28FBA7CC" w:rsidR="00470997">
        <w:rPr>
          <w:rFonts w:eastAsia="Calibri"/>
        </w:rPr>
        <w:t>CalTF</w:t>
      </w:r>
      <w:proofErr w:type="spellEnd"/>
      <w:r w:rsidRPr="28FBA7CC" w:rsidR="00470997">
        <w:rPr>
          <w:rFonts w:eastAsia="Calibri"/>
        </w:rPr>
        <w:t xml:space="preserve"> in their </w:t>
      </w:r>
      <w:r w:rsidR="00A109B2">
        <w:rPr>
          <w:rFonts w:eastAsia="Calibri"/>
        </w:rPr>
        <w:t>Mid Cycle</w:t>
      </w:r>
      <w:r w:rsidR="00344798">
        <w:rPr>
          <w:rFonts w:eastAsia="Calibri"/>
        </w:rPr>
        <w:t xml:space="preserve"> Advice Letter (MCAL)</w:t>
      </w:r>
      <w:r w:rsidRPr="28FBA7CC" w:rsidR="00470997">
        <w:rPr>
          <w:rFonts w:eastAsia="Calibri"/>
        </w:rPr>
        <w:t xml:space="preserve"> filings.</w:t>
      </w:r>
    </w:p>
    <w:p w:rsidR="00084AF9" w:rsidP="002B281F" w:rsidRDefault="00084AF9" w14:paraId="561F1FB2" w14:textId="40FA2ADD">
      <w:pPr>
        <w:pStyle w:val="Heading4"/>
      </w:pPr>
      <w:proofErr w:type="spellStart"/>
      <w:r>
        <w:t>eTRM</w:t>
      </w:r>
      <w:proofErr w:type="spellEnd"/>
      <w:r>
        <w:t xml:space="preserve"> Source Code </w:t>
      </w:r>
      <w:r w:rsidR="00A94A13">
        <w:t>Documentation</w:t>
      </w:r>
    </w:p>
    <w:p w:rsidRPr="00084AF9" w:rsidR="00084AF9" w:rsidP="006057AE" w:rsidRDefault="007C09DA" w14:paraId="0B368322" w14:textId="3447B264">
      <w:r>
        <w:rPr>
          <w:u w:val="single"/>
        </w:rPr>
        <w:t>Effective Program Year: 2026.</w:t>
      </w:r>
      <w:r>
        <w:t xml:space="preserve"> The </w:t>
      </w:r>
      <w:proofErr w:type="spellStart"/>
      <w:r>
        <w:t>eTRM</w:t>
      </w:r>
      <w:proofErr w:type="spellEnd"/>
      <w:r>
        <w:t xml:space="preserve"> has been providing monthly files to the CPUC of the source code, but the industry standard is for code to be documented and version-controlled using a Git</w:t>
      </w:r>
      <w:r>
        <w:rPr>
          <w:rStyle w:val="FootnoteReference"/>
        </w:rPr>
        <w:footnoteReference w:id="14"/>
      </w:r>
      <w:r>
        <w:t xml:space="preserve"> platform (e.g., GitHub). This is expected to improve transparency and </w:t>
      </w:r>
      <w:r w:rsidR="005F697E">
        <w:t>traceability</w:t>
      </w:r>
      <w:r>
        <w:t xml:space="preserve"> and allow stakeholders to have a better understanding of the changes that occur.</w:t>
      </w:r>
      <w:r w:rsidR="005F697E">
        <w:t xml:space="preserve"> </w:t>
      </w:r>
      <w:r w:rsidRPr="005F697E" w:rsidR="005F697E">
        <w:t>SDG&amp;E is currently the Program Administrator (PA) lead that oversee</w:t>
      </w:r>
      <w:r w:rsidR="005F697E">
        <w:t>s</w:t>
      </w:r>
      <w:r w:rsidRPr="005F697E" w:rsidR="005F697E">
        <w:t xml:space="preserve"> and manages </w:t>
      </w:r>
      <w:proofErr w:type="spellStart"/>
      <w:r w:rsidRPr="005F697E" w:rsidR="005F697E">
        <w:t>eTRM</w:t>
      </w:r>
      <w:proofErr w:type="spellEnd"/>
      <w:r w:rsidRPr="005F697E" w:rsidR="005F697E">
        <w:t xml:space="preserve"> and the responsible party for initiating and managing this task</w:t>
      </w:r>
      <w:r w:rsidR="005F697E">
        <w:t>.</w:t>
      </w:r>
      <w:r w:rsidR="00AE3F42">
        <w:t xml:space="preserve"> </w:t>
      </w:r>
      <w:r w:rsidR="00B85D2A">
        <w:t xml:space="preserve">There may be portions of the code that </w:t>
      </w:r>
      <w:r w:rsidR="00AD2975">
        <w:t>will need to be password</w:t>
      </w:r>
      <w:r w:rsidR="004B60A6">
        <w:t>-</w:t>
      </w:r>
      <w:r w:rsidR="00AD2975">
        <w:t>protected</w:t>
      </w:r>
      <w:r w:rsidR="00F2776B">
        <w:t xml:space="preserve"> </w:t>
      </w:r>
      <w:r w:rsidR="007679EF">
        <w:t xml:space="preserve">and hidden from public view </w:t>
      </w:r>
      <w:r w:rsidR="004B60A6">
        <w:t xml:space="preserve">for security </w:t>
      </w:r>
      <w:r w:rsidR="00CD3F3E">
        <w:t>purposes</w:t>
      </w:r>
      <w:r w:rsidR="004A3946">
        <w:t>.</w:t>
      </w:r>
      <w:r w:rsidR="00AB118A">
        <w:t xml:space="preserve"> A risk assessment </w:t>
      </w:r>
      <w:r w:rsidR="00080BFF">
        <w:t>shall be performed</w:t>
      </w:r>
      <w:r w:rsidR="008931F0">
        <w:t xml:space="preserve"> that </w:t>
      </w:r>
      <w:r w:rsidR="003B4E32">
        <w:t>balances</w:t>
      </w:r>
      <w:r w:rsidR="00452236">
        <w:t xml:space="preserve"> </w:t>
      </w:r>
      <w:r w:rsidR="00B7681E">
        <w:t xml:space="preserve">the competing </w:t>
      </w:r>
      <w:r w:rsidR="007905E0">
        <w:t xml:space="preserve">needs for </w:t>
      </w:r>
      <w:r w:rsidR="00321743">
        <w:t>transparency and security</w:t>
      </w:r>
      <w:r w:rsidR="00B7681E">
        <w:t>.</w:t>
      </w:r>
    </w:p>
    <w:bookmarkEnd w:id="37"/>
    <w:p w:rsidR="001C19D7" w:rsidP="002B281F" w:rsidRDefault="00D438BE" w14:paraId="7E49346D" w14:textId="206CABED">
      <w:pPr>
        <w:pStyle w:val="Heading4"/>
      </w:pPr>
      <w:r>
        <w:t>Measure Lifecycle Management (MLM) in DEER</w:t>
      </w:r>
    </w:p>
    <w:p w:rsidR="00206472" w:rsidP="006057AE" w:rsidRDefault="00CA2A4B" w14:paraId="56D2ED22" w14:textId="712499F5">
      <w:r w:rsidRPr="00390BCA">
        <w:rPr>
          <w:u w:val="single"/>
        </w:rPr>
        <w:t>Effective Program Year</w:t>
      </w:r>
      <w:r w:rsidR="002A6AE3">
        <w:rPr>
          <w:u w:val="single"/>
        </w:rPr>
        <w:t>:</w:t>
      </w:r>
      <w:r w:rsidRPr="00390BCA">
        <w:rPr>
          <w:u w:val="single"/>
        </w:rPr>
        <w:t xml:space="preserve"> 202</w:t>
      </w:r>
      <w:r w:rsidR="005D51BF">
        <w:rPr>
          <w:u w:val="single"/>
        </w:rPr>
        <w:t>5</w:t>
      </w:r>
      <w:r w:rsidRPr="00390BCA">
        <w:rPr>
          <w:u w:val="single"/>
        </w:rPr>
        <w:t>.</w:t>
      </w:r>
      <w:r>
        <w:t xml:space="preserve"> In Resolution E-5221, staff proposed to establish a DEER database table to track existing and planned updates to current and future measure packages. This Measure Lifecycle Management (MLM) table will help manage measure package updates in a more strategic manner, including the identification of new research to inform planned updates and manage measure package review timelines to avoid highly compressed review and comment periods. The MLM is currently in draft </w:t>
      </w:r>
      <w:r>
        <w:lastRenderedPageBreak/>
        <w:t xml:space="preserve">form and will be shared for CPUC review and approval before the next round of measure package updates </w:t>
      </w:r>
      <w:r w:rsidR="00CE184A">
        <w:t>for</w:t>
      </w:r>
      <w:r>
        <w:t xml:space="preserve"> PY2028</w:t>
      </w:r>
      <w:r w:rsidR="00CE184A">
        <w:t xml:space="preserve"> that will be planned for in 2025</w:t>
      </w:r>
      <w:r>
        <w:t>.</w:t>
      </w:r>
      <w:r w:rsidR="0081269F">
        <w:t xml:space="preserve"> CPUC Staff and stakeholders will target MLM completion </w:t>
      </w:r>
      <w:r w:rsidR="00D23EFD">
        <w:t xml:space="preserve">to review alongside the DEER2028 </w:t>
      </w:r>
      <w:r w:rsidR="006435CF">
        <w:t>Measure Package Update Schedule to aid in the scoping of DEER2028 measure package updates.</w:t>
      </w:r>
    </w:p>
    <w:p w:rsidR="00663B14" w:rsidP="002B281F" w:rsidRDefault="007736F6" w14:paraId="08CA865E" w14:textId="3D59A09F">
      <w:pPr>
        <w:pStyle w:val="Heading4"/>
      </w:pPr>
      <w:bookmarkStart w:name="_Ref98076549" w:id="38"/>
      <w:bookmarkStart w:name="_Toc104200038" w:id="39"/>
      <w:r>
        <w:t xml:space="preserve">Assess </w:t>
      </w:r>
      <w:r w:rsidR="00663B14">
        <w:t>Enabl</w:t>
      </w:r>
      <w:r>
        <w:t>ing</w:t>
      </w:r>
      <w:r w:rsidR="00663B14">
        <w:t xml:space="preserve"> Filtering on CPUC Support Tables</w:t>
      </w:r>
    </w:p>
    <w:p w:rsidRPr="00663B14" w:rsidR="00663B14" w:rsidP="006057AE" w:rsidRDefault="00437D2A" w14:paraId="416606DF" w14:textId="03AEF0CB">
      <w:r w:rsidRPr="00532598">
        <w:rPr>
          <w:u w:val="single"/>
        </w:rPr>
        <w:t>Effective Program Year: 2026.</w:t>
      </w:r>
      <w:r>
        <w:t xml:space="preserve"> </w:t>
      </w:r>
      <w:r w:rsidR="007122D0">
        <w:t xml:space="preserve">For CPUC Support Tables, </w:t>
      </w:r>
      <w:proofErr w:type="spellStart"/>
      <w:r>
        <w:t>CalTF</w:t>
      </w:r>
      <w:proofErr w:type="spellEnd"/>
      <w:r>
        <w:t xml:space="preserve"> shall </w:t>
      </w:r>
      <w:r w:rsidR="00270F33">
        <w:t>identify</w:t>
      </w:r>
      <w:r w:rsidR="00470C26">
        <w:t xml:space="preserve"> </w:t>
      </w:r>
      <w:r w:rsidR="00FC1B68">
        <w:t xml:space="preserve">and assess options to </w:t>
      </w:r>
      <w:r w:rsidR="00270F33">
        <w:t>mimic</w:t>
      </w:r>
      <w:r w:rsidR="00FC1B68">
        <w:t xml:space="preserve"> </w:t>
      </w:r>
      <w:r>
        <w:t xml:space="preserve">the “Add a filter” functionality that </w:t>
      </w:r>
      <w:r w:rsidR="00E725F0">
        <w:t xml:space="preserve">is currently </w:t>
      </w:r>
      <w:r>
        <w:t>provided for the “Advanced Full Screen View” of all Shared Values Tables.</w:t>
      </w:r>
      <w:r w:rsidR="00385CDA">
        <w:t xml:space="preserve"> </w:t>
      </w:r>
      <w:r w:rsidR="00F94A52">
        <w:t xml:space="preserve">The most </w:t>
      </w:r>
      <w:r w:rsidR="00DF04AD">
        <w:t xml:space="preserve">needed </w:t>
      </w:r>
      <w:r w:rsidR="003B75FA">
        <w:t>feature</w:t>
      </w:r>
      <w:r w:rsidR="00F90269">
        <w:t xml:space="preserve">—involving the ability to </w:t>
      </w:r>
      <w:r w:rsidR="00613539">
        <w:t xml:space="preserve">show </w:t>
      </w:r>
      <w:r w:rsidR="00D84CF3">
        <w:t>records</w:t>
      </w:r>
      <w:r w:rsidR="000526E2">
        <w:t xml:space="preserve"> </w:t>
      </w:r>
      <w:r w:rsidR="00194947">
        <w:t>based on their status—</w:t>
      </w:r>
      <w:r w:rsidR="000526E2">
        <w:t xml:space="preserve">might be achieved by </w:t>
      </w:r>
      <w:r w:rsidR="00151881">
        <w:t xml:space="preserve">creating </w:t>
      </w:r>
      <w:r w:rsidR="00D4237B">
        <w:t>radio buttons</w:t>
      </w:r>
      <w:r w:rsidR="00FE4C11">
        <w:t xml:space="preserve"> (e.g., </w:t>
      </w:r>
      <w:r w:rsidR="005D3BB4">
        <w:t xml:space="preserve">expired records, </w:t>
      </w:r>
      <w:r w:rsidR="0021578A">
        <w:t>currently active, future</w:t>
      </w:r>
      <w:r w:rsidR="00B00A47">
        <w:t>, or a combination</w:t>
      </w:r>
      <w:r w:rsidR="0075527C">
        <w:t>).</w:t>
      </w:r>
    </w:p>
    <w:bookmarkEnd w:id="38"/>
    <w:bookmarkEnd w:id="39"/>
    <w:p w:rsidRPr="000816F1" w:rsidR="000816F1" w:rsidP="002B281F" w:rsidRDefault="000816F1" w14:paraId="74D5B75B" w14:textId="12F6D113">
      <w:pPr>
        <w:pStyle w:val="Heading4"/>
      </w:pPr>
      <w:proofErr w:type="spellStart"/>
      <w:r>
        <w:t>eTRM</w:t>
      </w:r>
      <w:proofErr w:type="spellEnd"/>
      <w:r>
        <w:t xml:space="preserve"> Table Structure Changes</w:t>
      </w:r>
    </w:p>
    <w:p w:rsidR="0080682F" w:rsidP="00682F26" w:rsidRDefault="0080682F" w14:paraId="1D21AB99" w14:textId="0B135366">
      <w:r>
        <w:t xml:space="preserve">The fields contained in the permutations table </w:t>
      </w:r>
      <w:r w:rsidR="00D20894">
        <w:t xml:space="preserve">and the CPUC Support Tables within the </w:t>
      </w:r>
      <w:proofErr w:type="spellStart"/>
      <w:r w:rsidR="00D20894">
        <w:t>eTRM</w:t>
      </w:r>
      <w:proofErr w:type="spellEnd"/>
      <w:r w:rsidR="00D20894">
        <w:t xml:space="preserve"> </w:t>
      </w:r>
      <w:r>
        <w:t xml:space="preserve">shall be updated as needed to support evolving policies and measure development. </w:t>
      </w:r>
      <w:r w:rsidR="00D87C71">
        <w:t>Updates to</w:t>
      </w:r>
      <w:r>
        <w:t xml:space="preserve"> fields may result from fields added to the DEER support tables </w:t>
      </w:r>
      <w:r w:rsidR="007B44AA">
        <w:t xml:space="preserve">in the DEER </w:t>
      </w:r>
      <w:r w:rsidR="00FB01DE">
        <w:t>d</w:t>
      </w:r>
      <w:r w:rsidR="007B44AA">
        <w:t xml:space="preserve">atabase </w:t>
      </w:r>
      <w:r>
        <w:t xml:space="preserve">or they may be </w:t>
      </w:r>
      <w:r w:rsidR="008F5AD9">
        <w:t>required in the permutations</w:t>
      </w:r>
      <w:r w:rsidR="00DA0E38">
        <w:t xml:space="preserve"> (</w:t>
      </w:r>
      <w:r w:rsidR="007B44AA">
        <w:t>e</w:t>
      </w:r>
      <w:r w:rsidR="006F3973">
        <w:t>.g</w:t>
      </w:r>
      <w:r w:rsidR="007B44AA">
        <w:t xml:space="preserve">. </w:t>
      </w:r>
      <w:r w:rsidR="00DA0E38">
        <w:t>Restricted Permutation Flag)</w:t>
      </w:r>
      <w:r>
        <w:t>.</w:t>
      </w:r>
      <w:r w:rsidDel="005626B7">
        <w:t xml:space="preserve"> </w:t>
      </w:r>
      <w:r>
        <w:t>Measure developers</w:t>
      </w:r>
      <w:r w:rsidDel="00BC646B">
        <w:t xml:space="preserve"> </w:t>
      </w:r>
      <w:r>
        <w:t xml:space="preserve">may work with </w:t>
      </w:r>
      <w:proofErr w:type="spellStart"/>
      <w:r>
        <w:t>CalTF</w:t>
      </w:r>
      <w:proofErr w:type="spellEnd"/>
      <w:r>
        <w:t xml:space="preserve"> to identify those fields and communicate a process whereby the permutation tables will be changed to accommodate the new data.</w:t>
      </w:r>
      <w:r w:rsidRPr="00957FA1">
        <w:t xml:space="preserve"> </w:t>
      </w:r>
      <w:r>
        <w:t>Where the new fields and associated data impact DEER, California Energy Data and Reporting System (CEDARS</w:t>
      </w:r>
      <w:r w:rsidRPr="000A4672">
        <w:t>), or the Cost Effectiveness Tool (CET), CPUC staff will review and approve necessary changes to meet these needs.</w:t>
      </w:r>
    </w:p>
    <w:p w:rsidRPr="00CE7C87" w:rsidR="00682F26" w:rsidP="00682F26" w:rsidRDefault="00682F26" w14:paraId="33AA0C9E" w14:textId="79E52BFB">
      <w:r>
        <w:rPr>
          <w:u w:val="single"/>
        </w:rPr>
        <w:t>Effective Program Year: 2024.</w:t>
      </w:r>
      <w:r>
        <w:t xml:space="preserve"> The source status table in DEER is no longer maintained as the </w:t>
      </w:r>
      <w:proofErr w:type="spellStart"/>
      <w:r>
        <w:t>eTRM</w:t>
      </w:r>
      <w:proofErr w:type="spellEnd"/>
      <w:r>
        <w:t xml:space="preserve"> is the data source of record for active measure packages, using the Measure Detail ID. The </w:t>
      </w:r>
      <w:proofErr w:type="spellStart"/>
      <w:r>
        <w:t>eTRM</w:t>
      </w:r>
      <w:proofErr w:type="spellEnd"/>
      <w:r>
        <w:t xml:space="preserve"> may discontinue synchronizing with this table nightly and remove it from the CPUC Support Table page.</w:t>
      </w:r>
      <w:r w:rsidR="00371BFE">
        <w:t xml:space="preserve"> </w:t>
      </w:r>
      <w:r w:rsidR="004076BF">
        <w:t>Th</w:t>
      </w:r>
      <w:r w:rsidR="003B3164">
        <w:t>e</w:t>
      </w:r>
      <w:r w:rsidR="002446C9">
        <w:t xml:space="preserve"> source status table will remain </w:t>
      </w:r>
      <w:r w:rsidR="00BB1B5D">
        <w:t>in DEER</w:t>
      </w:r>
      <w:r w:rsidR="00475536">
        <w:t xml:space="preserve"> for a minimum of five years</w:t>
      </w:r>
      <w:r w:rsidR="00BB1B5D">
        <w:t xml:space="preserve"> but will no longer be updated</w:t>
      </w:r>
      <w:r w:rsidR="00B67C93">
        <w:t xml:space="preserve"> by </w:t>
      </w:r>
      <w:r w:rsidR="006755B2">
        <w:t>Ex Ante Review</w:t>
      </w:r>
      <w:r w:rsidR="00BB1B5D">
        <w:t>.</w:t>
      </w:r>
    </w:p>
    <w:p w:rsidRPr="000A4672" w:rsidR="00682F26" w:rsidP="006057AE" w:rsidRDefault="00B467CF" w14:paraId="62500A5A" w14:textId="0FAC2BB0">
      <w:r w:rsidRPr="001238A2">
        <w:rPr>
          <w:u w:val="single"/>
        </w:rPr>
        <w:t>Effective Program Year: 202</w:t>
      </w:r>
      <w:r>
        <w:rPr>
          <w:u w:val="single"/>
        </w:rPr>
        <w:t>6</w:t>
      </w:r>
      <w:r w:rsidRPr="00E2675B">
        <w:rPr>
          <w:u w:val="single"/>
        </w:rPr>
        <w:t>.</w:t>
      </w:r>
      <w:r w:rsidRPr="001238A2">
        <w:t xml:space="preserve"> </w:t>
      </w:r>
      <w:r w:rsidRPr="00E2675B" w:rsidR="00E2675B">
        <w:t xml:space="preserve">Replace the </w:t>
      </w:r>
      <w:proofErr w:type="spellStart"/>
      <w:r w:rsidRPr="00E2675B" w:rsidR="00E2675B">
        <w:t>FuelSubID</w:t>
      </w:r>
      <w:proofErr w:type="spellEnd"/>
      <w:r w:rsidRPr="00E2675B" w:rsidR="00E2675B">
        <w:t xml:space="preserve"> field with the </w:t>
      </w:r>
      <w:proofErr w:type="spellStart"/>
      <w:r w:rsidRPr="00E2675B" w:rsidR="00E2675B">
        <w:t>FuelID</w:t>
      </w:r>
      <w:proofErr w:type="spellEnd"/>
      <w:r w:rsidRPr="00E2675B" w:rsidR="00E2675B">
        <w:t xml:space="preserve"> field to reflect the replacement of the </w:t>
      </w:r>
      <w:proofErr w:type="spellStart"/>
      <w:r w:rsidRPr="00E2675B" w:rsidR="00E2675B">
        <w:t>FuelSub</w:t>
      </w:r>
      <w:proofErr w:type="spellEnd"/>
      <w:r w:rsidRPr="00E2675B" w:rsidR="00E2675B">
        <w:t xml:space="preserve"> table with the Fuel table in DEER.</w:t>
      </w:r>
      <w:r w:rsidR="004161C6">
        <w:t xml:space="preserve"> More details</w:t>
      </w:r>
      <w:r w:rsidR="00504430">
        <w:t xml:space="preserve"> are</w:t>
      </w:r>
      <w:r w:rsidR="004161C6">
        <w:t xml:space="preserve"> provided in Attachment A.</w:t>
      </w:r>
    </w:p>
    <w:p w:rsidRPr="006F38B2" w:rsidR="00E2675B" w:rsidP="006057AE" w:rsidRDefault="00E2675B" w14:paraId="1D8C16D2" w14:textId="38A7CA79">
      <w:r w:rsidRPr="00E2675B">
        <w:rPr>
          <w:u w:val="single"/>
        </w:rPr>
        <w:t>Effective Program Year: 2028.</w:t>
      </w:r>
      <w:r w:rsidRPr="00B85413">
        <w:t xml:space="preserve"> </w:t>
      </w:r>
      <w:r w:rsidR="008241E7">
        <w:t xml:space="preserve">Refrigerant related fields will need to be added to the </w:t>
      </w:r>
      <w:proofErr w:type="spellStart"/>
      <w:r w:rsidR="008241E7">
        <w:t>eTRM</w:t>
      </w:r>
      <w:proofErr w:type="spellEnd"/>
      <w:r w:rsidR="008241E7">
        <w:t xml:space="preserve"> permutations</w:t>
      </w:r>
      <w:r w:rsidR="00B85413">
        <w:t xml:space="preserve"> to </w:t>
      </w:r>
      <w:r w:rsidR="003F350B">
        <w:t xml:space="preserve">enable tracking </w:t>
      </w:r>
      <w:r w:rsidR="00101582">
        <w:t xml:space="preserve">the </w:t>
      </w:r>
      <w:r w:rsidR="003F350B">
        <w:t xml:space="preserve">refrigerant effects </w:t>
      </w:r>
      <w:r w:rsidR="00101582">
        <w:t xml:space="preserve">of </w:t>
      </w:r>
      <w:r w:rsidR="00BA05E0">
        <w:t xml:space="preserve">energy efficiency measures that contain refrigerants. </w:t>
      </w:r>
      <w:r w:rsidR="00340132">
        <w:t xml:space="preserve">The </w:t>
      </w:r>
      <w:proofErr w:type="spellStart"/>
      <w:r w:rsidR="00340132">
        <w:t>DEERMeasureID</w:t>
      </w:r>
      <w:proofErr w:type="spellEnd"/>
      <w:r w:rsidR="00340132">
        <w:t xml:space="preserve"> field in the permutations </w:t>
      </w:r>
      <w:r w:rsidR="00F66B05">
        <w:t>may</w:t>
      </w:r>
      <w:r w:rsidR="00A95715">
        <w:t xml:space="preserve"> go unused as the DEER Measure table is longer maintained by Ex Ante Review.</w:t>
      </w:r>
    </w:p>
    <w:p w:rsidRPr="000A4672" w:rsidR="001C19D7" w:rsidP="00064073" w:rsidRDefault="007214D1" w14:paraId="700897DE" w14:textId="6D511483">
      <w:pPr>
        <w:pStyle w:val="Heading3"/>
      </w:pPr>
      <w:bookmarkStart w:name="_Hlk98926038" w:id="40"/>
      <w:r w:rsidRPr="000A4672">
        <w:lastRenderedPageBreak/>
        <w:t>DEER System and Measure Package Updates</w:t>
      </w:r>
    </w:p>
    <w:p w:rsidR="00655CC3" w:rsidP="00655CC3" w:rsidRDefault="00325EF5" w14:paraId="4457FEA2" w14:textId="350EE6B7">
      <w:r w:rsidRPr="00850922">
        <w:rPr>
          <w:u w:val="single"/>
        </w:rPr>
        <w:t>Effective Program Year</w:t>
      </w:r>
      <w:r>
        <w:rPr>
          <w:u w:val="single"/>
        </w:rPr>
        <w:t>: 2024-</w:t>
      </w:r>
      <w:r w:rsidRPr="00850922">
        <w:rPr>
          <w:u w:val="single"/>
        </w:rPr>
        <w:t>2028.</w:t>
      </w:r>
      <w:r>
        <w:t xml:space="preserve"> </w:t>
      </w:r>
      <w:r w:rsidR="00655CC3">
        <w:t xml:space="preserve">This section describes updates to the DEER system encompassing any changes to policies that affect the </w:t>
      </w:r>
      <w:proofErr w:type="spellStart"/>
      <w:r w:rsidR="00655CC3">
        <w:t>eTRM</w:t>
      </w:r>
      <w:proofErr w:type="spellEnd"/>
      <w:r w:rsidR="00655CC3">
        <w:t xml:space="preserve"> and measure packages.</w:t>
      </w:r>
    </w:p>
    <w:p w:rsidR="00655CC3" w:rsidP="002B281F" w:rsidRDefault="00451AB9" w14:paraId="41BCAA54" w14:textId="6F8C9D3F">
      <w:pPr>
        <w:pStyle w:val="Heading4"/>
      </w:pPr>
      <w:r>
        <w:t>Refrigerant Leakage Impacts</w:t>
      </w:r>
    </w:p>
    <w:p w:rsidR="00071A19" w:rsidP="00071A19" w:rsidRDefault="56093099" w14:paraId="140C23BA" w14:textId="03A70017">
      <w:r w:rsidRPr="001238A2">
        <w:rPr>
          <w:u w:val="single"/>
        </w:rPr>
        <w:t xml:space="preserve">Effective Program Year: </w:t>
      </w:r>
      <w:r>
        <w:rPr>
          <w:u w:val="single"/>
        </w:rPr>
        <w:t>2024-</w:t>
      </w:r>
      <w:r w:rsidRPr="001238A2">
        <w:rPr>
          <w:u w:val="single"/>
        </w:rPr>
        <w:t>202</w:t>
      </w:r>
      <w:r>
        <w:rPr>
          <w:u w:val="single"/>
        </w:rPr>
        <w:t>6</w:t>
      </w:r>
      <w:r w:rsidRPr="001238A2">
        <w:t>.</w:t>
      </w:r>
      <w:r>
        <w:t xml:space="preserve"> For mid-cycle new offerings added to existing measure packages or mid-cycle updates to existing measure packages</w:t>
      </w:r>
      <w:r w:rsidR="3FBFBDA6">
        <w:t xml:space="preserve"> (e.g. code or standard change)</w:t>
      </w:r>
      <w:r>
        <w:t>, measure package developers shall use</w:t>
      </w:r>
      <w:r w:rsidRPr="005D0755">
        <w:t xml:space="preserve"> the CPUC’s </w:t>
      </w:r>
      <w:bookmarkStart w:name="_Hlk168321853" w:id="41"/>
      <w:r>
        <w:t>R</w:t>
      </w:r>
      <w:r w:rsidRPr="005D0755">
        <w:t xml:space="preserve">efrigerant </w:t>
      </w:r>
      <w:r>
        <w:t>A</w:t>
      </w:r>
      <w:r w:rsidRPr="005D0755">
        <w:t xml:space="preserve">voided </w:t>
      </w:r>
      <w:r>
        <w:t>C</w:t>
      </w:r>
      <w:r w:rsidRPr="005D0755">
        <w:t xml:space="preserve">ost </w:t>
      </w:r>
      <w:r>
        <w:t>C</w:t>
      </w:r>
      <w:r w:rsidRPr="005D0755">
        <w:t xml:space="preserve">alculator </w:t>
      </w:r>
      <w:r w:rsidRPr="005D0755" w:rsidR="58101910">
        <w:t xml:space="preserve">(RACC) </w:t>
      </w:r>
      <w:bookmarkEnd w:id="41"/>
      <w:r>
        <w:t xml:space="preserve">and Fuel Substitution Calculator </w:t>
      </w:r>
      <w:r w:rsidRPr="005D0755">
        <w:t>(RACC</w:t>
      </w:r>
      <w:r>
        <w:t>-FSC_v3.0</w:t>
      </w:r>
      <w:r w:rsidR="001329F9">
        <w:t xml:space="preserve"> and RACC-FSC_v3.1</w:t>
      </w:r>
      <w:r w:rsidRPr="005D0755">
        <w:t>)</w:t>
      </w:r>
      <w:r>
        <w:t xml:space="preserve"> that was released on April </w:t>
      </w:r>
      <w:r w:rsidRPr="00E14A3A">
        <w:t>22</w:t>
      </w:r>
      <w:r>
        <w:t>, 2024</w:t>
      </w:r>
      <w:r w:rsidR="00BE0E1F">
        <w:t xml:space="preserve"> and November 1, 2024, respectively</w:t>
      </w:r>
      <w:r>
        <w:t>.</w:t>
      </w:r>
      <w:r w:rsidR="00B60A33">
        <w:rPr>
          <w:rStyle w:val="FootnoteReference"/>
        </w:rPr>
        <w:footnoteReference w:id="15"/>
      </w:r>
      <w:r>
        <w:t xml:space="preserve"> </w:t>
      </w:r>
      <w:r w:rsidR="00672CB9">
        <w:t xml:space="preserve">Either version of the </w:t>
      </w:r>
      <w:r w:rsidRPr="00BF4918">
        <w:t xml:space="preserve">workbook shall also be used for 2026 </w:t>
      </w:r>
      <w:r w:rsidRPr="00BF4918" w:rsidR="5B287A8A">
        <w:t xml:space="preserve">measure package updates. </w:t>
      </w:r>
      <w:r w:rsidR="0F302EC3">
        <w:t>Future</w:t>
      </w:r>
      <w:r w:rsidRPr="00BF4918" w:rsidR="5B287A8A">
        <w:t xml:space="preserve"> updates to the </w:t>
      </w:r>
      <w:r w:rsidRPr="00BF4918" w:rsidR="2DB1776D">
        <w:t>RACC-FSC_v3.</w:t>
      </w:r>
      <w:r w:rsidR="0093539A">
        <w:t>1</w:t>
      </w:r>
      <w:r w:rsidRPr="00BF4918" w:rsidR="2DB1776D">
        <w:t xml:space="preserve"> </w:t>
      </w:r>
      <w:r w:rsidRPr="00BF4918" w:rsidR="53B4E3E5">
        <w:t>will</w:t>
      </w:r>
      <w:r w:rsidRPr="00BF4918" w:rsidR="5B287A8A">
        <w:t xml:space="preserve"> occur in the DEER Update Resolution.</w:t>
      </w:r>
      <w:r w:rsidRPr="00BF4918" w:rsidR="00071A19">
        <w:rPr>
          <w:rStyle w:val="FootnoteReference"/>
        </w:rPr>
        <w:footnoteReference w:id="16"/>
      </w:r>
    </w:p>
    <w:p w:rsidRPr="004B059B" w:rsidR="00823678" w:rsidP="002B281F" w:rsidRDefault="002E523B" w14:paraId="4F3EAD54" w14:textId="1BE38CE0">
      <w:pPr>
        <w:pStyle w:val="Heading4"/>
      </w:pPr>
      <w:r w:rsidRPr="004B059B">
        <w:t>Refrigerant Benefits</w:t>
      </w:r>
      <w:r w:rsidRPr="004B059B" w:rsidR="00716BB3">
        <w:t>/Costs for EULs Exceeding 20 Years</w:t>
      </w:r>
    </w:p>
    <w:p w:rsidR="0090749D" w:rsidP="0090749D" w:rsidRDefault="0FA4AAA8" w14:paraId="686FD666" w14:textId="205815B0">
      <w:r w:rsidRPr="1BEEFBBC">
        <w:rPr>
          <w:u w:val="single"/>
        </w:rPr>
        <w:t>Effective Program Year: 2024-2026</w:t>
      </w:r>
      <w:r>
        <w:t>. The avoided refrigerant leakage emissions for accelerated replacement (AR) measure application types sometimes consider an end-of-life (EOL) refrigerant leakage event for the counterfactual standard practice equipment that occurs beyond the life of the measure</w:t>
      </w:r>
      <w:r w:rsidR="22CABD00">
        <w:t>,</w:t>
      </w:r>
      <w:r w:rsidR="5287E564">
        <w:t xml:space="preserve"> requiring avoided costs</w:t>
      </w:r>
      <w:r w:rsidR="75C3E323">
        <w:t xml:space="preserve"> </w:t>
      </w:r>
      <w:r w:rsidR="7FDE6581">
        <w:t>40 years from the present date</w:t>
      </w:r>
      <w:r>
        <w:t xml:space="preserve">. </w:t>
      </w:r>
      <w:r w:rsidR="118EA2AE">
        <w:t>T</w:t>
      </w:r>
      <w:r w:rsidR="5CF0B9E5">
        <w:t xml:space="preserve">he </w:t>
      </w:r>
      <w:proofErr w:type="spellStart"/>
      <w:r w:rsidR="5CF0B9E5">
        <w:t>RefrigerantACC</w:t>
      </w:r>
      <w:proofErr w:type="spellEnd"/>
      <w:r w:rsidR="5CF0B9E5">
        <w:t xml:space="preserve"> </w:t>
      </w:r>
      <w:r w:rsidR="52847F53">
        <w:t xml:space="preserve">(RACC) </w:t>
      </w:r>
      <w:r w:rsidR="5CF0B9E5">
        <w:t xml:space="preserve">table in the DEER database </w:t>
      </w:r>
      <w:r w:rsidR="118EA2AE">
        <w:t xml:space="preserve">will be updated with new values each time </w:t>
      </w:r>
      <w:r w:rsidR="41F0773D">
        <w:t xml:space="preserve">a set of new </w:t>
      </w:r>
      <w:r w:rsidR="2E5F5600">
        <w:t>set of avoided cost calculators (</w:t>
      </w:r>
      <w:r w:rsidR="118EA2AE">
        <w:t>ACC</w:t>
      </w:r>
      <w:r w:rsidR="2E5F5600">
        <w:t>s) are</w:t>
      </w:r>
      <w:r w:rsidR="118EA2AE">
        <w:t xml:space="preserve"> </w:t>
      </w:r>
      <w:r w:rsidR="2E5F5600">
        <w:t>adopted</w:t>
      </w:r>
      <w:r w:rsidR="7FDE6581">
        <w:t xml:space="preserve"> and </w:t>
      </w:r>
      <w:r w:rsidR="7D09209A">
        <w:t xml:space="preserve">data will be extrapolated as necessary to </w:t>
      </w:r>
      <w:r w:rsidR="3A0C951B">
        <w:t>yield</w:t>
      </w:r>
      <w:r w:rsidR="7D09209A">
        <w:t xml:space="preserve"> 40 years</w:t>
      </w:r>
      <w:r w:rsidR="3A0C951B">
        <w:t xml:space="preserve"> of forecasts</w:t>
      </w:r>
      <w:r w:rsidR="118EA2AE">
        <w:t xml:space="preserve">. </w:t>
      </w:r>
    </w:p>
    <w:p w:rsidRPr="004B059B" w:rsidR="00CA33EF" w:rsidP="002B281F" w:rsidRDefault="00CA33EF" w14:paraId="3300BAF7" w14:textId="05AFAC5F">
      <w:pPr>
        <w:pStyle w:val="Heading4"/>
      </w:pPr>
      <w:r>
        <w:t>Water-Energy Nexus (WEN) Impacts</w:t>
      </w:r>
    </w:p>
    <w:p w:rsidR="00CA33EF" w:rsidP="00CA33EF" w:rsidRDefault="00CA33EF" w14:paraId="4D0589AC" w14:textId="7C55652B">
      <w:r w:rsidRPr="004B059B">
        <w:rPr>
          <w:u w:val="single"/>
        </w:rPr>
        <w:t>Effective Program Year: 2024</w:t>
      </w:r>
      <w:r w:rsidRPr="004B059B">
        <w:t xml:space="preserve">. </w:t>
      </w:r>
      <w:r w:rsidRPr="00141BE0" w:rsidR="00BB1CB1">
        <w:t xml:space="preserve">The embedded-water-energy savings </w:t>
      </w:r>
      <w:r w:rsidR="00BB1CB1">
        <w:t>are</w:t>
      </w:r>
      <w:r w:rsidRPr="00141BE0" w:rsidR="00BB1CB1">
        <w:t xml:space="preserve"> stored independently of the direct energy savings within the </w:t>
      </w:r>
      <w:proofErr w:type="spellStart"/>
      <w:r w:rsidRPr="00141BE0" w:rsidR="00BB1CB1">
        <w:t>eTRM</w:t>
      </w:r>
      <w:proofErr w:type="spellEnd"/>
      <w:r w:rsidRPr="00141BE0" w:rsidR="00BB1CB1">
        <w:t xml:space="preserve"> to facilitate reporting and cost-effectiveness calculations.</w:t>
      </w:r>
    </w:p>
    <w:p w:rsidRPr="004B059B" w:rsidR="0011699F" w:rsidP="002B281F" w:rsidRDefault="0011699F" w14:paraId="2385A05F" w14:textId="09DBF418">
      <w:pPr>
        <w:pStyle w:val="Heading4"/>
      </w:pPr>
      <w:r>
        <w:t>Lighting Baseline Updates</w:t>
      </w:r>
    </w:p>
    <w:p w:rsidR="000C18DE" w:rsidP="00031711" w:rsidRDefault="38911034" w14:paraId="67ED7AAE" w14:textId="4B9614D5">
      <w:r w:rsidRPr="1BEEFBBC">
        <w:rPr>
          <w:u w:val="single"/>
        </w:rPr>
        <w:t xml:space="preserve">Effective Program Year: </w:t>
      </w:r>
      <w:r w:rsidRPr="1BEEFBBC" w:rsidR="58841307">
        <w:rPr>
          <w:u w:val="single"/>
        </w:rPr>
        <w:t>2024-</w:t>
      </w:r>
      <w:r w:rsidRPr="1BEEFBBC">
        <w:rPr>
          <w:u w:val="single"/>
        </w:rPr>
        <w:t>2026</w:t>
      </w:r>
      <w:r>
        <w:t xml:space="preserve">. </w:t>
      </w:r>
      <w:r w:rsidR="00B13C4C">
        <w:t xml:space="preserve">The </w:t>
      </w:r>
      <w:r w:rsidR="00AD0DA5">
        <w:t xml:space="preserve">standard practice baseline in measure packages will conform to the updated values in the </w:t>
      </w:r>
      <w:r w:rsidR="00BF4E8B">
        <w:t>Modified Lighting Calculator (MLC).</w:t>
      </w:r>
      <w:r w:rsidR="350F3047">
        <w:t xml:space="preserve"> </w:t>
      </w:r>
      <w:r w:rsidR="000A1C5C">
        <w:t xml:space="preserve"> </w:t>
      </w:r>
      <w:r w:rsidR="7B6A3B51">
        <w:t xml:space="preserve">The new MLC update and corresponding standard practice efficacy will be effective upon </w:t>
      </w:r>
      <w:r w:rsidR="7B6A3B51">
        <w:lastRenderedPageBreak/>
        <w:t>approval. Any new mid-cycle measure package submissions should use the most up-to-date baseline values</w:t>
      </w:r>
      <w:r w:rsidR="28BBCA3C">
        <w:t>.</w:t>
      </w:r>
      <w:r w:rsidR="7B6A3B51">
        <w:t xml:space="preserve"> </w:t>
      </w:r>
      <w:r w:rsidR="69826D58">
        <w:t>E</w:t>
      </w:r>
      <w:r w:rsidR="7B6A3B51">
        <w:t xml:space="preserve">xisting measure packages using the MLC methodology will be updated to reflect the latest MLC methodology in the DEER2026 version of the measure package. </w:t>
      </w:r>
    </w:p>
    <w:p w:rsidR="00ED32CB" w:rsidP="002B281F" w:rsidRDefault="1D2987A1" w14:paraId="731D682F" w14:textId="3C267337">
      <w:pPr>
        <w:pStyle w:val="Heading4"/>
      </w:pPr>
      <w:r>
        <w:t>Definition of Incentive and Rebate</w:t>
      </w:r>
    </w:p>
    <w:p w:rsidR="002A6AEA" w:rsidP="002A6AEA" w:rsidRDefault="002A6AEA" w14:paraId="5BEE44FD" w14:textId="1C938C5F">
      <w:r w:rsidRPr="004B059B">
        <w:rPr>
          <w:u w:val="single"/>
        </w:rPr>
        <w:t>Effective Program Year: 202</w:t>
      </w:r>
      <w:r w:rsidR="000011D8">
        <w:rPr>
          <w:u w:val="single"/>
        </w:rPr>
        <w:t>6</w:t>
      </w:r>
      <w:r w:rsidRPr="004B059B">
        <w:t>.</w:t>
      </w:r>
      <w:r>
        <w:t xml:space="preserve"> Per </w:t>
      </w:r>
      <w:r w:rsidRPr="002E2784">
        <w:t>D.08-07-006</w:t>
      </w:r>
      <w:r>
        <w:t>:</w:t>
      </w:r>
    </w:p>
    <w:p w:rsidR="002A6AEA" w:rsidP="002A6AEA" w:rsidRDefault="002A6AEA" w14:paraId="5ED99053" w14:textId="77777777">
      <w:pPr>
        <w:pStyle w:val="Quote"/>
        <w:jc w:val="both"/>
      </w:pPr>
      <w:r>
        <w:t>T</w:t>
      </w:r>
      <w:r w:rsidRPr="00A8755F">
        <w:t>he SPM</w:t>
      </w:r>
      <w:r>
        <w:t xml:space="preserve"> [standard practice manual]</w:t>
      </w:r>
      <w:r w:rsidRPr="00A8755F">
        <w:t xml:space="preserve"> defines the</w:t>
      </w:r>
      <w:r>
        <w:t xml:space="preserve"> incentive (INC)</w:t>
      </w:r>
      <w:r w:rsidRPr="00A8755F">
        <w:t xml:space="preserve"> term very narrowly as the type of incentive that can be treated as a transfer payment in the SPM TRC</w:t>
      </w:r>
      <w:r>
        <w:t xml:space="preserve"> [Total Resource Cost]</w:t>
      </w:r>
      <w:r w:rsidRPr="00A8755F">
        <w:t xml:space="preserve"> formulation. The definition of the INC term, as set forth in the SPM, is restricted to "dollar benefits" such as rebates or rate incentives (monthly bill credits) paid by the sponsoring utility to the customers participating in the program</w:t>
      </w:r>
      <w:r>
        <w:t>.</w:t>
      </w:r>
      <w:r w:rsidRPr="00A8755F">
        <w:t xml:space="preserve"> Moreover, the SPM is very clear that the term "participant" refers to the customer participating in the program, and that this transfer incentive (INC) is one that is paid directly to the participating customer</w:t>
      </w:r>
      <w:r>
        <w:t xml:space="preserve">. </w:t>
      </w:r>
    </w:p>
    <w:p w:rsidR="002A6AEA" w:rsidP="002A6AEA" w:rsidRDefault="002A6AEA" w14:paraId="5B82A800" w14:textId="77777777">
      <w:r>
        <w:t>In the CET Input Guide, the values that are input to the INC term are referred to as rebates, i.e., “</w:t>
      </w:r>
      <w:proofErr w:type="spellStart"/>
      <w:r>
        <w:t>UnitEndUserRebate</w:t>
      </w:r>
      <w:proofErr w:type="spellEnd"/>
      <w:r>
        <w:t>.”</w:t>
      </w:r>
      <w:r>
        <w:rPr>
          <w:rStyle w:val="FootnoteReference"/>
        </w:rPr>
        <w:footnoteReference w:id="17"/>
      </w:r>
    </w:p>
    <w:p w:rsidRPr="005463CC" w:rsidR="002A6AEA" w:rsidP="002A6AEA" w:rsidRDefault="002A6AEA" w14:paraId="3E73FEC3" w14:textId="5FB11AC4">
      <w:r>
        <w:t>All other program expenses such as payments to manufacturers, distributors, contractors, builders</w:t>
      </w:r>
      <w:r w:rsidR="00371A9E">
        <w:t>,</w:t>
      </w:r>
      <w:r>
        <w:t xml:space="preserve"> or energy service companies are referred to as costs or </w:t>
      </w:r>
      <w:r w:rsidR="00116ABA">
        <w:t xml:space="preserve">non-rebate </w:t>
      </w:r>
      <w:r>
        <w:t xml:space="preserve">incentives and should not be confused with the narrow definition of a rebate described above. </w:t>
      </w:r>
    </w:p>
    <w:p w:rsidRPr="005463CC" w:rsidR="002A6AEA" w:rsidP="002A6AEA" w:rsidRDefault="002A6AEA" w14:paraId="030154DD" w14:textId="77777777">
      <w:r>
        <w:t>This is not a change to policy, but a re-statement and clarification of existing policy.</w:t>
      </w:r>
    </w:p>
    <w:p w:rsidR="00993205" w:rsidP="002B281F" w:rsidRDefault="00993205" w14:paraId="6C023D4C" w14:textId="178A525E">
      <w:pPr>
        <w:pStyle w:val="Heading4"/>
      </w:pPr>
      <w:r>
        <w:t xml:space="preserve">Clarification of Deemed Measure Cost </w:t>
      </w:r>
      <w:r w:rsidR="00534665">
        <w:t xml:space="preserve">and Incentive </w:t>
      </w:r>
      <w:r>
        <w:t>Reporting to CEDARS</w:t>
      </w:r>
    </w:p>
    <w:p w:rsidRPr="00993205" w:rsidR="003A62B5" w:rsidP="003A62B5" w:rsidRDefault="003A62B5" w14:paraId="53F28490" w14:textId="06A46CCA">
      <w:r w:rsidRPr="004B059B">
        <w:rPr>
          <w:u w:val="single"/>
        </w:rPr>
        <w:t xml:space="preserve">Effective Program Year: </w:t>
      </w:r>
      <w:r w:rsidRPr="004B059B" w:rsidR="00DC60CC">
        <w:rPr>
          <w:u w:val="single"/>
        </w:rPr>
        <w:t>202</w:t>
      </w:r>
      <w:r w:rsidR="00DC60CC">
        <w:rPr>
          <w:u w:val="single"/>
        </w:rPr>
        <w:t>6</w:t>
      </w:r>
      <w:r w:rsidRPr="004B059B">
        <w:t>.</w:t>
      </w:r>
      <w:r>
        <w:t xml:space="preserve"> Measure level incentives reported to the Cost Effectiveness Tool (CET) for inclusion in the cost effectiveness tests must be only the portion of the incentive that reduces the customer cost of the measure. Incentives that do not reduce the customer measure cost must be reported as program level costs. Any p</w:t>
      </w:r>
      <w:r w:rsidRPr="006964D1">
        <w:t>rogram costs that cannot be assigned at a measure level should be entered into one, or distributed among several</w:t>
      </w:r>
      <w:r>
        <w:t>,</w:t>
      </w:r>
      <w:r w:rsidRPr="006964D1">
        <w:t xml:space="preserve"> of the Program Administration cost fields</w:t>
      </w:r>
      <w:r>
        <w:t>.</w:t>
      </w:r>
      <w:r w:rsidR="000E3276">
        <w:t xml:space="preserve"> These program costs will not reduce the participant measure costs in the CET calculation.</w:t>
      </w:r>
    </w:p>
    <w:p w:rsidR="007449DB" w:rsidP="002B281F" w:rsidRDefault="007449DB" w14:paraId="37AC4F6E" w14:textId="0AC7AFD2">
      <w:pPr>
        <w:pStyle w:val="Heading4"/>
      </w:pPr>
      <w:r>
        <w:lastRenderedPageBreak/>
        <w:t>Peak Load Definition</w:t>
      </w:r>
    </w:p>
    <w:p w:rsidR="00E95560" w:rsidP="00E95560" w:rsidRDefault="00E95560" w14:paraId="1D878686" w14:textId="4B7D24FF">
      <w:bookmarkStart w:name="_Ref98073946" w:id="42"/>
      <w:bookmarkStart w:name="_Toc104200046" w:id="43"/>
      <w:bookmarkEnd w:id="40"/>
      <w:r w:rsidRPr="00550D96">
        <w:rPr>
          <w:u w:val="single"/>
        </w:rPr>
        <w:t xml:space="preserve">Effective Program Year: </w:t>
      </w:r>
      <w:r w:rsidRPr="00550D96" w:rsidR="0031330D">
        <w:rPr>
          <w:u w:val="single"/>
        </w:rPr>
        <w:t>202</w:t>
      </w:r>
      <w:r w:rsidR="0031330D">
        <w:rPr>
          <w:u w:val="single"/>
        </w:rPr>
        <w:t>8</w:t>
      </w:r>
      <w:r w:rsidRPr="00550D96">
        <w:t>.</w:t>
      </w:r>
      <w:r>
        <w:t xml:space="preserve"> </w:t>
      </w:r>
      <w:r w:rsidRPr="00140EB7">
        <w:t xml:space="preserve">Resolution E-5152 DEER2023 Update </w:t>
      </w:r>
      <w:r>
        <w:t>made an error in the definition of a heat wave, originally defined in D.06-06-063</w:t>
      </w:r>
      <w:r w:rsidRPr="00140EB7">
        <w:t>.</w:t>
      </w:r>
      <w:r>
        <w:rPr>
          <w:rStyle w:val="FootnoteReference"/>
        </w:rPr>
        <w:footnoteReference w:id="18"/>
      </w:r>
      <w:r>
        <w:t xml:space="preserve"> This change to DEER was ordered in Resolution E-4952 OP</w:t>
      </w:r>
      <w:r w:rsidR="7D368E8D">
        <w:t xml:space="preserve"> </w:t>
      </w:r>
      <w:r>
        <w:t>1.</w:t>
      </w:r>
      <w:r>
        <w:rPr>
          <w:rStyle w:val="FootnoteReference"/>
        </w:rPr>
        <w:footnoteReference w:id="19"/>
      </w:r>
      <w:r>
        <w:t xml:space="preserve"> The error was made in the Attachment on page A-12 </w:t>
      </w:r>
      <w:r w:rsidR="002B4D60">
        <w:t xml:space="preserve">and A-13 in </w:t>
      </w:r>
      <w:r>
        <w:t>Section A3-3 “Peak demand period definition update</w:t>
      </w:r>
      <w:r w:rsidR="00914B73">
        <w:t>.</w:t>
      </w:r>
      <w:r>
        <w:t xml:space="preserve">” </w:t>
      </w:r>
      <w:r w:rsidR="00CC433F">
        <w:t xml:space="preserve">The text </w:t>
      </w:r>
      <w:r>
        <w:t>is corrected as follows with red text added:</w:t>
      </w:r>
    </w:p>
    <w:p w:rsidR="00E95560" w:rsidP="00E95560" w:rsidRDefault="00E95560" w14:paraId="7340915A" w14:textId="77777777">
      <w:r>
        <w:t>The heat wave has the highest index value computed by adding and giving equal weight to each of these values:</w:t>
      </w:r>
    </w:p>
    <w:p w:rsidR="00E95560" w:rsidP="007063BA" w:rsidRDefault="00E95560" w14:paraId="0F151F43" w14:textId="48F37B08">
      <w:pPr>
        <w:pStyle w:val="ListParagraph"/>
        <w:numPr>
          <w:ilvl w:val="0"/>
          <w:numId w:val="11"/>
        </w:numPr>
      </w:pPr>
      <w:r>
        <w:t>The peak temperature over the three</w:t>
      </w:r>
      <w:r w:rsidR="009C6E3D">
        <w:t>-</w:t>
      </w:r>
      <w:r>
        <w:t>day period</w:t>
      </w:r>
    </w:p>
    <w:p w:rsidR="00E95560" w:rsidP="007063BA" w:rsidRDefault="00E95560" w14:paraId="385D00AB" w14:textId="54C10C24">
      <w:pPr>
        <w:pStyle w:val="ListParagraph"/>
        <w:numPr>
          <w:ilvl w:val="0"/>
          <w:numId w:val="11"/>
        </w:numPr>
      </w:pPr>
      <w:r>
        <w:t>Average temperature over the three</w:t>
      </w:r>
      <w:r w:rsidR="009C6E3D">
        <w:t>-</w:t>
      </w:r>
      <w:r>
        <w:t>day period</w:t>
      </w:r>
    </w:p>
    <w:p w:rsidR="00E95560" w:rsidP="00B41824" w:rsidRDefault="00E95560" w14:paraId="14D6AA31" w14:textId="2BCBFD75">
      <w:pPr>
        <w:pStyle w:val="ListParagraph"/>
      </w:pPr>
      <w:r>
        <w:t xml:space="preserve">The average temperature from </w:t>
      </w:r>
      <w:r w:rsidRPr="001F6F8E">
        <w:rPr>
          <w:strike/>
        </w:rPr>
        <w:t>4 p.m.</w:t>
      </w:r>
      <w:r>
        <w:t xml:space="preserve"> </w:t>
      </w:r>
      <w:r w:rsidRPr="00907252">
        <w:rPr>
          <w:color w:val="FF0000"/>
        </w:rPr>
        <w:t>noon</w:t>
      </w:r>
      <w:r>
        <w:t xml:space="preserve"> to </w:t>
      </w:r>
      <w:r w:rsidRPr="001F6F8E">
        <w:rPr>
          <w:strike/>
        </w:rPr>
        <w:t>9 p.m.</w:t>
      </w:r>
      <w:r>
        <w:t xml:space="preserve"> </w:t>
      </w:r>
      <w:r w:rsidRPr="00907252">
        <w:rPr>
          <w:color w:val="FF0000"/>
        </w:rPr>
        <w:t xml:space="preserve">6 p.m. </w:t>
      </w:r>
      <w:r>
        <w:t>over the three-day period</w:t>
      </w:r>
    </w:p>
    <w:p w:rsidR="00E95560" w:rsidP="00E95560" w:rsidRDefault="00E95560" w14:paraId="0A4BE748" w14:textId="5ED2D768">
      <w:r>
        <w:t xml:space="preserve">The criteria above are used to determine which days to use for determining the peak demand. </w:t>
      </w:r>
      <w:r w:rsidR="00BB047A">
        <w:t>Using the corrected definition</w:t>
      </w:r>
      <w:r w:rsidR="00797827">
        <w:t>,</w:t>
      </w:r>
      <w:r w:rsidR="00BB047A">
        <w:t xml:space="preserve"> </w:t>
      </w:r>
      <w:r w:rsidR="005E7E8F">
        <w:t xml:space="preserve">the </w:t>
      </w:r>
      <w:r w:rsidR="00CC433F">
        <w:t>heat wave start</w:t>
      </w:r>
      <w:r w:rsidR="005E7E8F">
        <w:t xml:space="preserve"> day changes for </w:t>
      </w:r>
      <w:r w:rsidR="00435F55">
        <w:t>CZ06</w:t>
      </w:r>
      <w:r w:rsidR="00290260">
        <w:t xml:space="preserve"> from 9/2 to 6/29</w:t>
      </w:r>
      <w:r w:rsidR="00435F55">
        <w:t xml:space="preserve">, </w:t>
      </w:r>
      <w:r w:rsidR="00797827">
        <w:t xml:space="preserve">for </w:t>
      </w:r>
      <w:r w:rsidR="00435F55">
        <w:t xml:space="preserve">CZ09 </w:t>
      </w:r>
      <w:r w:rsidR="00290260">
        <w:t>from 9/</w:t>
      </w:r>
      <w:r w:rsidR="001E7F47">
        <w:t>1</w:t>
      </w:r>
      <w:r w:rsidR="00290260">
        <w:t xml:space="preserve"> to </w:t>
      </w:r>
      <w:r w:rsidR="001E7F47">
        <w:t>9</w:t>
      </w:r>
      <w:r w:rsidR="00290260">
        <w:t>/2</w:t>
      </w:r>
      <w:r w:rsidR="00A35215">
        <w:t>,</w:t>
      </w:r>
      <w:r w:rsidR="00290260">
        <w:t xml:space="preserve"> </w:t>
      </w:r>
      <w:r w:rsidR="00435F55">
        <w:t xml:space="preserve">and </w:t>
      </w:r>
      <w:r w:rsidR="00797827">
        <w:t xml:space="preserve">for </w:t>
      </w:r>
      <w:r w:rsidR="00435F55">
        <w:t>CZ11</w:t>
      </w:r>
      <w:r w:rsidR="00290260">
        <w:t xml:space="preserve"> from 6/29</w:t>
      </w:r>
      <w:r w:rsidR="00BE075C">
        <w:t xml:space="preserve"> to 8/12</w:t>
      </w:r>
      <w:r w:rsidR="001E7F47">
        <w:t>.</w:t>
      </w:r>
      <w:r w:rsidR="00874766">
        <w:t xml:space="preserve"> </w:t>
      </w:r>
      <w:r>
        <w:t>The peak demand window is still from 4 p.m. to 9 p.m.</w:t>
      </w:r>
    </w:p>
    <w:p w:rsidR="00A26624" w:rsidP="002B281F" w:rsidRDefault="00A26624" w14:paraId="4DBE287E" w14:textId="540DDC9C">
      <w:pPr>
        <w:pStyle w:val="Heading4"/>
      </w:pPr>
      <w:r>
        <w:t>Vintage and Era Definitions</w:t>
      </w:r>
    </w:p>
    <w:p w:rsidR="00E95560" w:rsidP="00E95560" w:rsidRDefault="005C0F0E" w14:paraId="2C849A97" w14:textId="30FF1134">
      <w:r w:rsidRPr="00550D96">
        <w:rPr>
          <w:u w:val="single"/>
        </w:rPr>
        <w:t>Effective Program Year: 202</w:t>
      </w:r>
      <w:r>
        <w:rPr>
          <w:u w:val="single"/>
        </w:rPr>
        <w:t>6</w:t>
      </w:r>
      <w:r w:rsidRPr="00550D96">
        <w:t>.</w:t>
      </w:r>
      <w:r>
        <w:t xml:space="preserve"> </w:t>
      </w:r>
      <w:r w:rsidR="00FE0D28">
        <w:t>Starting in PY2026</w:t>
      </w:r>
      <w:r w:rsidR="00244B07">
        <w:t>,</w:t>
      </w:r>
      <w:r w:rsidR="00FE0D28">
        <w:t xml:space="preserve"> the recent and old building eras are removed, and the existing era represents all existing buildings.</w:t>
      </w:r>
      <w:r w:rsidR="00D54E3C">
        <w:t xml:space="preserve"> Exi</w:t>
      </w:r>
      <w:r w:rsidR="00AD4B68">
        <w:t xml:space="preserve">sting shall refer to any building built </w:t>
      </w:r>
      <w:r w:rsidR="00204A1B">
        <w:t xml:space="preserve">or permitted </w:t>
      </w:r>
      <w:r w:rsidR="00AD4B68">
        <w:t xml:space="preserve">before 2026. New shall refer to any building </w:t>
      </w:r>
      <w:r w:rsidR="00D3443A">
        <w:t xml:space="preserve">permitted and </w:t>
      </w:r>
      <w:r w:rsidR="00AD4B68">
        <w:t xml:space="preserve">built </w:t>
      </w:r>
      <w:r w:rsidR="00E4552D">
        <w:t>in 2026 and beyond.</w:t>
      </w:r>
      <w:r w:rsidR="00412149">
        <w:t xml:space="preserve"> </w:t>
      </w:r>
      <w:r w:rsidR="00B66B90">
        <w:t xml:space="preserve">The guidance on vintage and era definitions through the Residential and Commercial </w:t>
      </w:r>
      <w:proofErr w:type="spellStart"/>
      <w:r w:rsidR="00B66B90">
        <w:t>EnergyPlus</w:t>
      </w:r>
      <w:proofErr w:type="spellEnd"/>
      <w:r w:rsidR="00B66B90">
        <w:t xml:space="preserve"> prototypes extends to in</w:t>
      </w:r>
      <w:r w:rsidR="001052A8">
        <w:t xml:space="preserve">clude agricultural and industrial sectors. </w:t>
      </w:r>
    </w:p>
    <w:p w:rsidR="00E4552D" w:rsidP="002B281F" w:rsidRDefault="00E4552D" w14:paraId="234DAE43" w14:textId="671522A1">
      <w:pPr>
        <w:pStyle w:val="Heading4"/>
      </w:pPr>
      <w:proofErr w:type="spellStart"/>
      <w:r>
        <w:t>EnergyPlus</w:t>
      </w:r>
      <w:proofErr w:type="spellEnd"/>
      <w:r>
        <w:t xml:space="preserve"> Prototypes</w:t>
      </w:r>
    </w:p>
    <w:p w:rsidRPr="00E4552D" w:rsidR="00E4552D" w:rsidP="00E4552D" w:rsidRDefault="00B33123" w14:paraId="5F1BEC3E" w14:textId="7C38861A">
      <w:r w:rsidRPr="00550D96">
        <w:rPr>
          <w:u w:val="single"/>
        </w:rPr>
        <w:t>Effective Program Year: 202</w:t>
      </w:r>
      <w:r>
        <w:rPr>
          <w:u w:val="single"/>
        </w:rPr>
        <w:t>6</w:t>
      </w:r>
      <w:r w:rsidRPr="00550D96">
        <w:t>.</w:t>
      </w:r>
      <w:r>
        <w:t xml:space="preserve"> </w:t>
      </w:r>
      <w:r w:rsidR="00945B24">
        <w:t xml:space="preserve">The DEER prototypes (residential and commercial) have transitioned from a DOE2 based system to </w:t>
      </w:r>
      <w:proofErr w:type="spellStart"/>
      <w:r w:rsidR="00945B24">
        <w:t>EnergyPlus</w:t>
      </w:r>
      <w:proofErr w:type="spellEnd"/>
      <w:r w:rsidR="00945B24">
        <w:t xml:space="preserve"> building simulation models.</w:t>
      </w:r>
      <w:r w:rsidR="00945B24">
        <w:rPr>
          <w:rStyle w:val="FootnoteReference"/>
        </w:rPr>
        <w:footnoteReference w:id="20"/>
      </w:r>
      <w:r w:rsidR="00945B24">
        <w:t xml:space="preserve"> </w:t>
      </w:r>
      <w:r w:rsidRPr="001015BB" w:rsidR="00945B24">
        <w:lastRenderedPageBreak/>
        <w:t xml:space="preserve">The new prototypes </w:t>
      </w:r>
      <w:r w:rsidR="00945B24">
        <w:t xml:space="preserve">use </w:t>
      </w:r>
      <w:proofErr w:type="spellStart"/>
      <w:r w:rsidRPr="00C72E15" w:rsidR="00945B24">
        <w:t>Modelkit</w:t>
      </w:r>
      <w:proofErr w:type="spellEnd"/>
      <w:r w:rsidRPr="00353FA7" w:rsidR="00945B24">
        <w:rPr>
          <w:rStyle w:val="FootnoteReference"/>
        </w:rPr>
        <w:footnoteReference w:id="21"/>
      </w:r>
      <w:r w:rsidRPr="00C72E15" w:rsidR="00945B24">
        <w:t xml:space="preserve"> to facilitate </w:t>
      </w:r>
      <w:r w:rsidR="00945B24">
        <w:t xml:space="preserve">the building of input files and running batch simulation models. The entire system including post processing scripts </w:t>
      </w:r>
      <w:r w:rsidRPr="001015BB" w:rsidR="00945B24">
        <w:t>are available on GitHub</w:t>
      </w:r>
      <w:r w:rsidR="00945B24">
        <w:rPr>
          <w:rStyle w:val="FootnoteReference"/>
        </w:rPr>
        <w:footnoteReference w:id="22"/>
      </w:r>
      <w:r w:rsidRPr="001015BB" w:rsidR="00945B24">
        <w:t xml:space="preserve"> for use in PY2026-27 measure updates.</w:t>
      </w:r>
      <w:r w:rsidR="00945B24">
        <w:t xml:space="preserve"> A new </w:t>
      </w:r>
      <w:r w:rsidR="009207E1">
        <w:t>final</w:t>
      </w:r>
      <w:r w:rsidR="00945B24">
        <w:t xml:space="preserve"> version of California Energy Efficiency code, 2025 Title-24, w</w:t>
      </w:r>
      <w:r w:rsidR="00816037">
        <w:t>as enacted in</w:t>
      </w:r>
      <w:r w:rsidR="009207E1">
        <w:t xml:space="preserve"> September 202</w:t>
      </w:r>
      <w:r w:rsidR="00EC3F01">
        <w:t>4</w:t>
      </w:r>
      <w:r w:rsidR="00A56654">
        <w:t>.</w:t>
      </w:r>
      <w:r w:rsidR="00945B24">
        <w:t xml:space="preserve"> This new code should be used as the baseline for all modeled measures effective PY2026. </w:t>
      </w:r>
      <w:r w:rsidR="00E16979">
        <w:t>Because measure packages were submitted prior to September</w:t>
      </w:r>
      <w:r w:rsidR="006808B3">
        <w:t xml:space="preserve"> 2024, measures were based on draft versions of the 2025 Title-24. </w:t>
      </w:r>
      <w:r w:rsidR="00CB0F0B">
        <w:t>If the final 2025 Title-24 code results in changes from the draft version, CPUC will update the building prototype code files and measure package developers will update any affected measure packages</w:t>
      </w:r>
      <w:r w:rsidR="51513A51">
        <w:t>.</w:t>
      </w:r>
      <w:r w:rsidR="00CB0F0B">
        <w:t xml:space="preserve">  </w:t>
      </w:r>
    </w:p>
    <w:p w:rsidRPr="00842774" w:rsidR="00A20F6B" w:rsidP="002B281F" w:rsidRDefault="001C72F2" w14:paraId="3F0F074B" w14:textId="7A9C0089">
      <w:pPr>
        <w:pStyle w:val="Heading4"/>
      </w:pPr>
      <w:r w:rsidRPr="001C72F2">
        <w:t>Data Requirements for Distributor/Contractor-</w:t>
      </w:r>
      <w:r w:rsidRPr="001C72F2" w:rsidR="00F54113">
        <w:t>D</w:t>
      </w:r>
      <w:r w:rsidRPr="001C72F2">
        <w:t>elivered Measures</w:t>
      </w:r>
    </w:p>
    <w:p w:rsidR="007048BC" w:rsidP="007048BC" w:rsidRDefault="007048BC" w14:paraId="23D32836" w14:textId="1D24FAA6">
      <w:r>
        <w:rPr>
          <w:u w:val="single"/>
        </w:rPr>
        <w:t>Effective Program Year</w:t>
      </w:r>
      <w:r w:rsidR="00377A07">
        <w:rPr>
          <w:u w:val="single"/>
        </w:rPr>
        <w:t>:</w:t>
      </w:r>
      <w:r>
        <w:rPr>
          <w:u w:val="single"/>
        </w:rPr>
        <w:t xml:space="preserve"> 2024.</w:t>
      </w:r>
      <w:r>
        <w:t xml:space="preserve"> The data collection requirements outlined in Resolution E-5221 should continue to be listed in measure packages moving forward. </w:t>
      </w:r>
      <w:proofErr w:type="spellStart"/>
      <w:r>
        <w:rPr>
          <w:i/>
          <w:iCs/>
        </w:rPr>
        <w:t>SiteID</w:t>
      </w:r>
      <w:proofErr w:type="spellEnd"/>
      <w:r>
        <w:t xml:space="preserve"> is not a replacement for end</w:t>
      </w:r>
      <w:r w:rsidR="00C4145F">
        <w:t>-</w:t>
      </w:r>
      <w:r>
        <w:t>use</w:t>
      </w:r>
      <w:r w:rsidR="009A61B7">
        <w:t>r</w:t>
      </w:r>
      <w:r>
        <w:t xml:space="preserve"> or customer tracking data for evaluation purposes. </w:t>
      </w:r>
    </w:p>
    <w:p w:rsidRPr="00291E6E" w:rsidR="001C19D7" w:rsidP="00064073" w:rsidRDefault="001C19D7" w14:paraId="4DE0DBE0" w14:textId="7144EA88">
      <w:pPr>
        <w:pStyle w:val="Heading3"/>
      </w:pPr>
      <w:r w:rsidRPr="00291E6E">
        <w:t>DEER 202</w:t>
      </w:r>
      <w:r w:rsidRPr="00291E6E" w:rsidR="00C94CC7">
        <w:t>8</w:t>
      </w:r>
      <w:r w:rsidRPr="00291E6E">
        <w:t xml:space="preserve"> Update and Measure Package Submission/Review Timeline</w:t>
      </w:r>
      <w:bookmarkEnd w:id="42"/>
      <w:bookmarkEnd w:id="43"/>
    </w:p>
    <w:p w:rsidR="001C19D7" w:rsidP="001C19D7" w:rsidRDefault="004E432E" w14:paraId="46600886" w14:textId="14C382F9">
      <w:r>
        <w:rPr>
          <w:u w:val="single"/>
        </w:rPr>
        <w:t>Effective Program Year</w:t>
      </w:r>
      <w:r w:rsidR="00377A07">
        <w:rPr>
          <w:u w:val="single"/>
        </w:rPr>
        <w:t>:</w:t>
      </w:r>
      <w:r>
        <w:rPr>
          <w:u w:val="single"/>
        </w:rPr>
        <w:t xml:space="preserve"> 2024.</w:t>
      </w:r>
      <w:r>
        <w:t xml:space="preserve"> </w:t>
      </w:r>
      <w:r w:rsidRPr="00291E6E" w:rsidR="001C19D7">
        <w:t xml:space="preserve">This </w:t>
      </w:r>
      <w:r w:rsidRPr="00291E6E" w:rsidR="5DE7AC22">
        <w:t xml:space="preserve">resolution </w:t>
      </w:r>
      <w:r w:rsidRPr="00291E6E" w:rsidR="001C19D7">
        <w:t xml:space="preserve">sets forth the </w:t>
      </w:r>
      <w:r w:rsidRPr="00291E6E" w:rsidR="00A27D27">
        <w:t>s</w:t>
      </w:r>
      <w:r w:rsidRPr="00291E6E" w:rsidR="001C19D7">
        <w:t>chedule for DEER Update and for submission of measure packages for CPUC staff approval for PY202</w:t>
      </w:r>
      <w:r w:rsidRPr="00291E6E" w:rsidR="00312797">
        <w:t>8</w:t>
      </w:r>
      <w:r w:rsidRPr="00291E6E" w:rsidR="001C19D7">
        <w:t>-2</w:t>
      </w:r>
      <w:r w:rsidRPr="00291E6E" w:rsidR="00312797">
        <w:t>9</w:t>
      </w:r>
      <w:r w:rsidRPr="00291E6E" w:rsidR="00EC149B">
        <w:t xml:space="preserve">. </w:t>
      </w:r>
      <w:r w:rsidRPr="00291E6E" w:rsidR="001C19D7">
        <w:t xml:space="preserve">The timeline and schedule are provided in </w:t>
      </w:r>
      <w:r w:rsidRPr="00291E6E" w:rsidR="001C19D7">
        <w:fldChar w:fldCharType="begin"/>
      </w:r>
      <w:r w:rsidRPr="00291E6E" w:rsidR="001C19D7">
        <w:instrText xml:space="preserve"> REF _Ref98096329 \h </w:instrText>
      </w:r>
      <w:r w:rsidRPr="00291E6E" w:rsidR="00746AF5">
        <w:instrText xml:space="preserve"> \* MERGEFORMAT </w:instrText>
      </w:r>
      <w:r w:rsidRPr="00291E6E" w:rsidR="001C19D7">
        <w:fldChar w:fldCharType="separate"/>
      </w:r>
      <w:r w:rsidRPr="00445878" w:rsidR="00787722">
        <w:rPr>
          <w:szCs w:val="24"/>
        </w:rPr>
        <w:t xml:space="preserve">Table </w:t>
      </w:r>
      <w:r w:rsidR="00787722">
        <w:rPr>
          <w:noProof/>
          <w:szCs w:val="24"/>
        </w:rPr>
        <w:t>2</w:t>
      </w:r>
      <w:r w:rsidRPr="00291E6E" w:rsidR="001C19D7">
        <w:fldChar w:fldCharType="end"/>
      </w:r>
      <w:r w:rsidRPr="00291E6E" w:rsidR="001C19D7">
        <w:t>.</w:t>
      </w:r>
    </w:p>
    <w:p w:rsidRPr="00445878" w:rsidR="001C19D7" w:rsidP="008C2149" w:rsidRDefault="001C19D7" w14:paraId="6D33E8F3" w14:textId="48DEABEE">
      <w:pPr>
        <w:pStyle w:val="Caption"/>
        <w:rPr>
          <w:szCs w:val="24"/>
        </w:rPr>
      </w:pPr>
      <w:bookmarkStart w:name="_Ref98096329" w:id="44"/>
      <w:bookmarkStart w:name="_Toc104200203" w:id="45"/>
      <w:bookmarkStart w:name="_Hlk99353205" w:id="46"/>
      <w:r w:rsidRPr="00445878">
        <w:rPr>
          <w:szCs w:val="24"/>
        </w:rPr>
        <w:lastRenderedPageBreak/>
        <w:t xml:space="preserve">Table </w:t>
      </w:r>
      <w:r w:rsidR="003A59A0">
        <w:rPr>
          <w:szCs w:val="24"/>
        </w:rPr>
        <w:fldChar w:fldCharType="begin"/>
      </w:r>
      <w:r w:rsidR="003A59A0">
        <w:rPr>
          <w:szCs w:val="24"/>
        </w:rPr>
        <w:instrText xml:space="preserve"> SEQ Table \* ARABIC </w:instrText>
      </w:r>
      <w:r w:rsidR="003A59A0">
        <w:rPr>
          <w:szCs w:val="24"/>
        </w:rPr>
        <w:fldChar w:fldCharType="separate"/>
      </w:r>
      <w:r w:rsidR="00787722">
        <w:rPr>
          <w:noProof/>
          <w:szCs w:val="24"/>
        </w:rPr>
        <w:t>2</w:t>
      </w:r>
      <w:r w:rsidR="003A59A0">
        <w:rPr>
          <w:szCs w:val="24"/>
        </w:rPr>
        <w:fldChar w:fldCharType="end"/>
      </w:r>
      <w:bookmarkEnd w:id="44"/>
      <w:r w:rsidR="00EC149B">
        <w:t xml:space="preserve">. </w:t>
      </w:r>
      <w:bookmarkEnd w:id="45"/>
      <w:r w:rsidR="008C2149">
        <w:rPr>
          <w:szCs w:val="24"/>
        </w:rPr>
        <w:t>Tentative PY202</w:t>
      </w:r>
      <w:r w:rsidR="00375090">
        <w:rPr>
          <w:szCs w:val="24"/>
        </w:rPr>
        <w:t>8</w:t>
      </w:r>
      <w:r w:rsidR="008C2149">
        <w:rPr>
          <w:szCs w:val="24"/>
        </w:rPr>
        <w:t>-202</w:t>
      </w:r>
      <w:r w:rsidR="00375090">
        <w:rPr>
          <w:szCs w:val="24"/>
        </w:rPr>
        <w:t>9</w:t>
      </w:r>
      <w:r w:rsidR="008C2149">
        <w:rPr>
          <w:szCs w:val="24"/>
        </w:rPr>
        <w:t xml:space="preserve"> </w:t>
      </w:r>
      <w:r w:rsidR="008C2149">
        <w:t>DEER Update Cycle Timeline</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right w:w="158" w:type="dxa"/>
        </w:tblCellMar>
        <w:tblLook w:val="04A0" w:firstRow="1" w:lastRow="0" w:firstColumn="1" w:lastColumn="0" w:noHBand="0" w:noVBand="1"/>
      </w:tblPr>
      <w:tblGrid>
        <w:gridCol w:w="2785"/>
        <w:gridCol w:w="1710"/>
        <w:gridCol w:w="1650"/>
        <w:gridCol w:w="1650"/>
        <w:gridCol w:w="1650"/>
      </w:tblGrid>
      <w:tr w:rsidRPr="00445878" w:rsidR="007D3EC5" w:rsidTr="00731185" w14:paraId="1ACB6B54" w14:textId="77777777">
        <w:trPr>
          <w:trHeight w:val="335"/>
          <w:tblHeader/>
        </w:trPr>
        <w:tc>
          <w:tcPr>
            <w:tcW w:w="2785" w:type="dxa"/>
            <w:tcBorders>
              <w:top w:val="single" w:color="auto" w:sz="4" w:space="0"/>
              <w:left w:val="single" w:color="auto" w:sz="4" w:space="0"/>
              <w:bottom w:val="single" w:color="auto" w:sz="4" w:space="0"/>
              <w:right w:val="single" w:color="auto" w:sz="4" w:space="0"/>
            </w:tcBorders>
            <w:vAlign w:val="bottom"/>
          </w:tcPr>
          <w:p w:rsidRPr="00E3238A" w:rsidR="007D3EC5" w:rsidP="000011A7" w:rsidRDefault="007D3EC5" w14:paraId="7B7C9E2C" w14:textId="18F2ED29">
            <w:pPr>
              <w:pStyle w:val="NormalinTable"/>
              <w:keepNext/>
              <w:rPr>
                <w:rFonts w:cs="Calibri"/>
                <w:color w:val="000000"/>
              </w:rPr>
            </w:pPr>
            <w:r w:rsidRPr="00A11195">
              <w:t>Description</w:t>
            </w:r>
          </w:p>
        </w:tc>
        <w:tc>
          <w:tcPr>
            <w:tcW w:w="1710" w:type="dxa"/>
            <w:tcBorders>
              <w:top w:val="single" w:color="auto" w:sz="4" w:space="0"/>
              <w:left w:val="single" w:color="auto" w:sz="4" w:space="0"/>
              <w:bottom w:val="single" w:color="auto" w:sz="4" w:space="0"/>
              <w:right w:val="single" w:color="auto" w:sz="4" w:space="0"/>
            </w:tcBorders>
            <w:vAlign w:val="bottom"/>
          </w:tcPr>
          <w:p w:rsidRPr="00E3238A" w:rsidR="007D3EC5" w:rsidP="000011A7" w:rsidRDefault="007D3EC5" w14:paraId="76CCED66" w14:textId="02A6D96F">
            <w:pPr>
              <w:pStyle w:val="NormalinTable"/>
              <w:keepNext/>
              <w:rPr>
                <w:rFonts w:cs="Calibri"/>
                <w:color w:val="000000"/>
              </w:rPr>
            </w:pPr>
            <w:r w:rsidRPr="00A11195">
              <w:t>Responsible Party</w:t>
            </w:r>
          </w:p>
        </w:tc>
        <w:tc>
          <w:tcPr>
            <w:tcW w:w="1650" w:type="dxa"/>
            <w:tcBorders>
              <w:top w:val="single" w:color="auto" w:sz="4" w:space="0"/>
              <w:left w:val="single" w:color="auto" w:sz="4" w:space="0"/>
              <w:bottom w:val="single" w:color="auto" w:sz="4" w:space="0"/>
              <w:right w:val="single" w:color="auto" w:sz="4" w:space="0"/>
            </w:tcBorders>
            <w:vAlign w:val="bottom"/>
          </w:tcPr>
          <w:p w:rsidRPr="00E3238A" w:rsidR="007D3EC5" w:rsidP="000011A7" w:rsidRDefault="007D3EC5" w14:paraId="2EBC6628" w14:textId="795EEF60">
            <w:pPr>
              <w:pStyle w:val="NormalinTable"/>
              <w:keepNext/>
              <w:rPr>
                <w:rFonts w:cs="Calibri"/>
                <w:color w:val="000000"/>
              </w:rPr>
            </w:pPr>
            <w:r w:rsidRPr="00A11195">
              <w:t>Due Date</w:t>
            </w:r>
          </w:p>
        </w:tc>
        <w:tc>
          <w:tcPr>
            <w:tcW w:w="1650" w:type="dxa"/>
            <w:tcBorders>
              <w:top w:val="single" w:color="auto" w:sz="4" w:space="0"/>
              <w:left w:val="single" w:color="auto" w:sz="4" w:space="0"/>
              <w:bottom w:val="single" w:color="auto" w:sz="4" w:space="0"/>
              <w:right w:val="single" w:color="auto" w:sz="4" w:space="0"/>
            </w:tcBorders>
            <w:vAlign w:val="bottom"/>
          </w:tcPr>
          <w:p w:rsidRPr="00E3238A" w:rsidR="007D3EC5" w:rsidP="000011A7" w:rsidRDefault="007D3EC5" w14:paraId="0CA7C900" w14:textId="3943DCE8">
            <w:pPr>
              <w:pStyle w:val="NormalinTable"/>
              <w:keepNext/>
              <w:rPr>
                <w:rFonts w:cs="Calibri"/>
                <w:color w:val="000000"/>
              </w:rPr>
            </w:pPr>
            <w:r w:rsidRPr="00A11195">
              <w:t>Approval Date</w:t>
            </w:r>
          </w:p>
        </w:tc>
        <w:tc>
          <w:tcPr>
            <w:tcW w:w="1650" w:type="dxa"/>
            <w:tcBorders>
              <w:top w:val="single" w:color="auto" w:sz="4" w:space="0"/>
              <w:left w:val="single" w:color="auto" w:sz="4" w:space="0"/>
              <w:bottom w:val="single" w:color="auto" w:sz="4" w:space="0"/>
              <w:right w:val="single" w:color="auto" w:sz="4" w:space="0"/>
            </w:tcBorders>
            <w:vAlign w:val="bottom"/>
          </w:tcPr>
          <w:p w:rsidRPr="00E3238A" w:rsidR="007D3EC5" w:rsidP="000011A7" w:rsidRDefault="007D3EC5" w14:paraId="1BD6CEE2" w14:textId="41463045">
            <w:pPr>
              <w:pStyle w:val="NormalinTable"/>
              <w:keepNext/>
            </w:pPr>
            <w:r w:rsidRPr="00A11195">
              <w:t>Effective Date</w:t>
            </w:r>
          </w:p>
        </w:tc>
      </w:tr>
      <w:tr w:rsidRPr="00445878" w:rsidR="007D3EC5" w14:paraId="2516C4B5" w14:textId="77777777">
        <w:trPr>
          <w:trHeight w:val="20"/>
        </w:trPr>
        <w:tc>
          <w:tcPr>
            <w:tcW w:w="2785"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12CE9083" w14:textId="441703A9">
            <w:pPr>
              <w:pStyle w:val="NormalinTable"/>
              <w:keepNext/>
              <w:rPr>
                <w:rFonts w:cs="Calibri"/>
                <w:color w:val="000000"/>
              </w:rPr>
            </w:pPr>
            <w:r w:rsidRPr="00A11195">
              <w:t>Draft DEER202</w:t>
            </w:r>
            <w:r>
              <w:t>8</w:t>
            </w:r>
            <w:r w:rsidRPr="00A11195">
              <w:t xml:space="preserve"> Update Resolution</w:t>
            </w:r>
          </w:p>
        </w:tc>
        <w:tc>
          <w:tcPr>
            <w:tcW w:w="1710"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198AAB36" w14:textId="55126AA3">
            <w:pPr>
              <w:pStyle w:val="NormalinTable"/>
              <w:keepNext/>
              <w:rPr>
                <w:rFonts w:cs="Calibri"/>
                <w:color w:val="000000"/>
              </w:rPr>
            </w:pPr>
            <w:r w:rsidRPr="00A11195">
              <w:t>CPUC</w:t>
            </w:r>
          </w:p>
        </w:tc>
        <w:tc>
          <w:tcPr>
            <w:tcW w:w="1650"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77D7043D" w14:textId="7BF197B3">
            <w:pPr>
              <w:pStyle w:val="NormalinTable"/>
              <w:keepNext/>
              <w:jc w:val="right"/>
              <w:rPr>
                <w:rFonts w:cs="Calibri"/>
                <w:color w:val="000000"/>
              </w:rPr>
            </w:pPr>
            <w:r w:rsidRPr="00557F68">
              <w:t>2026-0</w:t>
            </w:r>
            <w:r>
              <w:t>7</w:t>
            </w:r>
            <w:r w:rsidRPr="00557F68">
              <w:t>-</w:t>
            </w:r>
            <w:r>
              <w:t>3</w:t>
            </w:r>
            <w:r w:rsidRPr="00557F68">
              <w:t>1</w:t>
            </w:r>
          </w:p>
        </w:tc>
        <w:tc>
          <w:tcPr>
            <w:tcW w:w="1650"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0ECA9F42" w14:textId="38155EAA">
            <w:pPr>
              <w:pStyle w:val="NormalinTable"/>
              <w:keepNext/>
              <w:jc w:val="right"/>
              <w:rPr>
                <w:rFonts w:cs="Calibri"/>
                <w:color w:val="000000"/>
              </w:rPr>
            </w:pPr>
            <w:r w:rsidRPr="00557F68">
              <w:t>-</w:t>
            </w:r>
          </w:p>
        </w:tc>
        <w:tc>
          <w:tcPr>
            <w:tcW w:w="1650"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0E4C6DA3" w14:textId="18134554">
            <w:pPr>
              <w:pStyle w:val="NormalinTable"/>
              <w:keepNext/>
              <w:jc w:val="right"/>
            </w:pPr>
            <w:r w:rsidRPr="00557F68">
              <w:t>-</w:t>
            </w:r>
          </w:p>
        </w:tc>
      </w:tr>
      <w:tr w:rsidRPr="00445878" w:rsidR="007D3EC5" w14:paraId="73CA513C" w14:textId="77777777">
        <w:trPr>
          <w:trHeight w:val="20"/>
        </w:trPr>
        <w:tc>
          <w:tcPr>
            <w:tcW w:w="2785"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758519F5" w14:textId="5141C8D3">
            <w:pPr>
              <w:pStyle w:val="NormalinTable"/>
              <w:keepNext/>
              <w:rPr>
                <w:rFonts w:cs="Calibri"/>
                <w:color w:val="000000"/>
              </w:rPr>
            </w:pPr>
            <w:r w:rsidRPr="00A11195">
              <w:t>DEER202</w:t>
            </w:r>
            <w:r>
              <w:t>8</w:t>
            </w:r>
            <w:r w:rsidRPr="00A11195">
              <w:t xml:space="preserve"> Update Resolution</w:t>
            </w:r>
          </w:p>
        </w:tc>
        <w:tc>
          <w:tcPr>
            <w:tcW w:w="1710"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0E41D3C7" w14:textId="27F56400">
            <w:pPr>
              <w:pStyle w:val="NormalinTable"/>
              <w:keepNext/>
              <w:rPr>
                <w:rFonts w:cs="Calibri"/>
                <w:color w:val="000000"/>
              </w:rPr>
            </w:pPr>
            <w:r w:rsidRPr="00A11195">
              <w:t>CPUC</w:t>
            </w:r>
          </w:p>
        </w:tc>
        <w:tc>
          <w:tcPr>
            <w:tcW w:w="1650"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0E6631DE" w14:textId="7C0C341B">
            <w:pPr>
              <w:pStyle w:val="NormalinTable"/>
              <w:keepNext/>
              <w:rPr>
                <w:rFonts w:cs="Calibri"/>
                <w:color w:val="000000"/>
              </w:rPr>
            </w:pPr>
            <w:r w:rsidRPr="00557F68">
              <w:t>-</w:t>
            </w:r>
          </w:p>
        </w:tc>
        <w:tc>
          <w:tcPr>
            <w:tcW w:w="1650"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0193CA73" w14:textId="28731DB5">
            <w:pPr>
              <w:pStyle w:val="NormalinTable"/>
              <w:keepNext/>
              <w:jc w:val="right"/>
              <w:rPr>
                <w:rFonts w:cs="Calibri"/>
                <w:color w:val="000000"/>
              </w:rPr>
            </w:pPr>
            <w:r w:rsidRPr="00557F68">
              <w:t>2026-1</w:t>
            </w:r>
            <w:r>
              <w:t>0-30</w:t>
            </w:r>
            <w:r w:rsidRPr="00557F68">
              <w:t xml:space="preserve"> </w:t>
            </w:r>
          </w:p>
        </w:tc>
        <w:tc>
          <w:tcPr>
            <w:tcW w:w="1650"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1DCA451E" w14:textId="44568D59">
            <w:pPr>
              <w:pStyle w:val="NormalinTable"/>
              <w:keepNext/>
              <w:jc w:val="right"/>
            </w:pPr>
            <w:r w:rsidRPr="00557F68">
              <w:t>2028-01-01*</w:t>
            </w:r>
          </w:p>
        </w:tc>
      </w:tr>
      <w:tr w:rsidRPr="00445878" w:rsidR="007D3EC5" w:rsidTr="00731185" w14:paraId="57C9ED6C" w14:textId="77777777">
        <w:trPr>
          <w:trHeight w:val="534"/>
        </w:trPr>
        <w:tc>
          <w:tcPr>
            <w:tcW w:w="2785"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08E123FA" w14:textId="1523ECEC">
            <w:pPr>
              <w:pStyle w:val="NormalinTable"/>
              <w:keepNext/>
              <w:rPr>
                <w:rFonts w:cs="Calibri"/>
                <w:color w:val="000000"/>
              </w:rPr>
            </w:pPr>
            <w:r w:rsidRPr="00A11195">
              <w:t>Measure Package Update Schedule</w:t>
            </w:r>
          </w:p>
        </w:tc>
        <w:tc>
          <w:tcPr>
            <w:tcW w:w="1710"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402DD29C" w14:textId="51395A03">
            <w:pPr>
              <w:pStyle w:val="NormalinTable"/>
              <w:keepNext/>
              <w:rPr>
                <w:rFonts w:cs="Calibri"/>
                <w:color w:val="000000"/>
              </w:rPr>
            </w:pPr>
            <w:r w:rsidRPr="00A11195">
              <w:t>PAs/ Stakeholders</w:t>
            </w:r>
          </w:p>
        </w:tc>
        <w:tc>
          <w:tcPr>
            <w:tcW w:w="1650"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38F58BA1" w14:textId="2C6D7AA2">
            <w:pPr>
              <w:pStyle w:val="NormalinTable"/>
              <w:keepNext/>
              <w:jc w:val="right"/>
              <w:rPr>
                <w:rFonts w:cs="Calibri"/>
                <w:color w:val="000000"/>
              </w:rPr>
            </w:pPr>
            <w:r w:rsidRPr="00557F68">
              <w:t>2025-08-01**</w:t>
            </w:r>
          </w:p>
        </w:tc>
        <w:tc>
          <w:tcPr>
            <w:tcW w:w="1650"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3EFA7AFA" w14:textId="34065203">
            <w:pPr>
              <w:pStyle w:val="NormalinTable"/>
              <w:keepNext/>
              <w:jc w:val="right"/>
              <w:rPr>
                <w:rFonts w:cs="Calibri"/>
                <w:color w:val="000000"/>
              </w:rPr>
            </w:pPr>
            <w:r w:rsidRPr="00557F68">
              <w:t>-</w:t>
            </w:r>
          </w:p>
        </w:tc>
        <w:tc>
          <w:tcPr>
            <w:tcW w:w="1650"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2A4C9A58" w14:textId="15D9A7A9">
            <w:pPr>
              <w:pStyle w:val="NormalinTable"/>
              <w:keepNext/>
              <w:jc w:val="right"/>
            </w:pPr>
            <w:r w:rsidRPr="00557F68">
              <w:t>-</w:t>
            </w:r>
          </w:p>
        </w:tc>
      </w:tr>
      <w:tr w:rsidRPr="00445878" w:rsidR="007D3EC5" w:rsidTr="00731185" w14:paraId="556C0202" w14:textId="77777777">
        <w:trPr>
          <w:trHeight w:val="20"/>
        </w:trPr>
        <w:tc>
          <w:tcPr>
            <w:tcW w:w="2785"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78A61EB3" w14:textId="0CF2169F">
            <w:pPr>
              <w:pStyle w:val="NormalinTable"/>
              <w:keepNext/>
              <w:rPr>
                <w:rFonts w:cs="Calibri"/>
                <w:color w:val="000000"/>
              </w:rPr>
            </w:pPr>
            <w:r w:rsidRPr="00A11195">
              <w:t>Measure Package Submittals</w:t>
            </w:r>
          </w:p>
        </w:tc>
        <w:tc>
          <w:tcPr>
            <w:tcW w:w="1710"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17F4AA66" w14:textId="302998AE">
            <w:pPr>
              <w:pStyle w:val="NormalinTable"/>
              <w:keepNext/>
              <w:rPr>
                <w:rFonts w:cs="Calibri"/>
                <w:color w:val="000000"/>
              </w:rPr>
            </w:pPr>
            <w:r w:rsidRPr="00A11195">
              <w:t>PAs</w:t>
            </w:r>
          </w:p>
        </w:tc>
        <w:tc>
          <w:tcPr>
            <w:tcW w:w="1650" w:type="dxa"/>
            <w:tcBorders>
              <w:top w:val="single" w:color="auto" w:sz="4" w:space="0"/>
              <w:left w:val="single" w:color="auto" w:sz="4" w:space="0"/>
              <w:bottom w:val="single" w:color="auto" w:sz="4" w:space="0"/>
              <w:right w:val="single" w:color="auto" w:sz="4" w:space="0"/>
            </w:tcBorders>
          </w:tcPr>
          <w:p w:rsidRPr="00E3238A" w:rsidR="007D3EC5" w:rsidP="000011A7" w:rsidRDefault="00C65CBC" w14:paraId="2039B7CA" w14:textId="7434BCD9">
            <w:pPr>
              <w:pStyle w:val="NormalinTable"/>
              <w:keepNext/>
              <w:jc w:val="right"/>
              <w:rPr>
                <w:rFonts w:cs="Calibri"/>
                <w:color w:val="000000"/>
              </w:rPr>
            </w:pPr>
            <w:r>
              <w:rPr>
                <w:rFonts w:cs="Calibri"/>
                <w:color w:val="000000"/>
              </w:rPr>
              <w:t>2026-03-31</w:t>
            </w:r>
            <w:r w:rsidR="00041C51">
              <w:rPr>
                <w:rFonts w:cs="Calibri"/>
                <w:color w:val="000000"/>
              </w:rPr>
              <w:t>**</w:t>
            </w:r>
          </w:p>
        </w:tc>
        <w:tc>
          <w:tcPr>
            <w:tcW w:w="1650"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614C84B7" w14:textId="16580964">
            <w:pPr>
              <w:pStyle w:val="NormalinTable"/>
              <w:keepNext/>
              <w:jc w:val="right"/>
              <w:rPr>
                <w:rFonts w:cs="Calibri"/>
                <w:color w:val="000000"/>
              </w:rPr>
            </w:pPr>
            <w:r w:rsidRPr="00557F68">
              <w:t>2026-0</w:t>
            </w:r>
            <w:r>
              <w:t>7</w:t>
            </w:r>
            <w:r w:rsidRPr="00557F68">
              <w:t>-</w:t>
            </w:r>
            <w:r>
              <w:t>3</w:t>
            </w:r>
            <w:r w:rsidRPr="00557F68">
              <w:t>1</w:t>
            </w:r>
            <w:r w:rsidRPr="009D1F19">
              <w:rPr>
                <w:sz w:val="28"/>
                <w:szCs w:val="24"/>
                <w:vertAlign w:val="superscript"/>
              </w:rPr>
              <w:t>+</w:t>
            </w:r>
          </w:p>
        </w:tc>
        <w:tc>
          <w:tcPr>
            <w:tcW w:w="1650" w:type="dxa"/>
            <w:tcBorders>
              <w:top w:val="single" w:color="auto" w:sz="4" w:space="0"/>
              <w:left w:val="single" w:color="auto" w:sz="4" w:space="0"/>
              <w:bottom w:val="single" w:color="auto" w:sz="4" w:space="0"/>
              <w:right w:val="single" w:color="auto" w:sz="4" w:space="0"/>
            </w:tcBorders>
          </w:tcPr>
          <w:p w:rsidRPr="00E3238A" w:rsidR="007D3EC5" w:rsidP="000011A7" w:rsidRDefault="007D3EC5" w14:paraId="4F8C537F" w14:textId="5387B705">
            <w:pPr>
              <w:pStyle w:val="NormalinTable"/>
              <w:keepNext/>
              <w:jc w:val="right"/>
            </w:pPr>
            <w:r w:rsidRPr="00557F68">
              <w:t>2028-01-01*</w:t>
            </w:r>
          </w:p>
        </w:tc>
      </w:tr>
    </w:tbl>
    <w:bookmarkEnd w:id="46"/>
    <w:p w:rsidRPr="000040D2" w:rsidR="002B1230" w:rsidP="002B1230" w:rsidRDefault="002B1230" w14:paraId="1DC19DD0" w14:textId="77777777">
      <w:pPr>
        <w:pStyle w:val="Tablenote"/>
      </w:pPr>
      <w:r>
        <w:t xml:space="preserve">* </w:t>
      </w:r>
      <w:r w:rsidRPr="000040D2">
        <w:t xml:space="preserve">There may be exceptions when updates become effective </w:t>
      </w:r>
      <w:r>
        <w:t>mid-cycle</w:t>
      </w:r>
      <w:r w:rsidRPr="000040D2">
        <w:t>.</w:t>
      </w:r>
    </w:p>
    <w:p w:rsidRPr="000040D2" w:rsidR="002B1230" w:rsidP="002B1230" w:rsidRDefault="002B1230" w14:paraId="27CFF8C0" w14:textId="148943EB">
      <w:pPr>
        <w:pStyle w:val="Tablenote"/>
      </w:pPr>
      <w:r w:rsidRPr="000040D2">
        <w:t>** D</w:t>
      </w:r>
      <w:r>
        <w:t>raft for workflow scheduling; updates to the schedule may be made if needed.</w:t>
      </w:r>
      <w:r w:rsidR="00D24AE0">
        <w:t xml:space="preserve"> Future updates </w:t>
      </w:r>
      <w:r w:rsidR="004278DC">
        <w:t>such as</w:t>
      </w:r>
      <w:r w:rsidR="00AB3E55">
        <w:t xml:space="preserve"> </w:t>
      </w:r>
      <w:proofErr w:type="spellStart"/>
      <w:r w:rsidR="00AB3E55">
        <w:t>EnergyPlus</w:t>
      </w:r>
      <w:proofErr w:type="spellEnd"/>
      <w:r w:rsidR="00AB3E55">
        <w:t xml:space="preserve"> prototypes</w:t>
      </w:r>
      <w:r w:rsidR="00C21BC3">
        <w:t>, EM&amp;V evaluations</w:t>
      </w:r>
      <w:r w:rsidR="00C16362">
        <w:t>,</w:t>
      </w:r>
      <w:r w:rsidR="00AB3E55">
        <w:t xml:space="preserve"> and</w:t>
      </w:r>
      <w:r w:rsidR="00D24AE0">
        <w:t xml:space="preserve"> CPUC </w:t>
      </w:r>
      <w:r w:rsidR="007A3B70">
        <w:t>guidance</w:t>
      </w:r>
      <w:r w:rsidR="00D24AE0">
        <w:t xml:space="preserve"> </w:t>
      </w:r>
      <w:r w:rsidR="008A0E93">
        <w:t xml:space="preserve">will be incorporated into </w:t>
      </w:r>
      <w:r w:rsidR="00CB03A2">
        <w:t xml:space="preserve">the </w:t>
      </w:r>
      <w:r w:rsidR="00536350">
        <w:t>review of the Measure Package Update Schedule to properly stagger measure package submissions and reviews.</w:t>
      </w:r>
    </w:p>
    <w:p w:rsidRPr="000040D2" w:rsidR="002B1230" w:rsidP="002B1230" w:rsidRDefault="002B1230" w14:paraId="70869C76" w14:textId="77777777">
      <w:pPr>
        <w:pStyle w:val="Tablenote"/>
      </w:pPr>
      <w:r w:rsidRPr="000040D2">
        <w:t xml:space="preserve">+ Per </w:t>
      </w:r>
      <w:r>
        <w:t>D</w:t>
      </w:r>
      <w:r w:rsidRPr="000040D2">
        <w:t xml:space="preserve">raft Resolution release, </w:t>
      </w:r>
      <w:r>
        <w:t>adoption in Final</w:t>
      </w:r>
      <w:r w:rsidRPr="000040D2">
        <w:t xml:space="preserve"> Resolution</w:t>
      </w:r>
      <w:r>
        <w:t>.</w:t>
      </w:r>
    </w:p>
    <w:p w:rsidR="001C19D7" w:rsidP="001C19D7" w:rsidRDefault="001C19D7" w14:paraId="7D141F75" w14:textId="77777777"/>
    <w:p w:rsidR="00406398" w:rsidP="00406398" w:rsidRDefault="12CC8B83" w14:paraId="76E0EAD7" w14:textId="52ACFFC0">
      <w:r>
        <w:t>CPUC s</w:t>
      </w:r>
      <w:r w:rsidR="3B6369EB">
        <w:t>taff will work with PAs to set a prioritized schedule of updates for all PY2028</w:t>
      </w:r>
      <w:r w:rsidR="6DB7D793">
        <w:t>-</w:t>
      </w:r>
      <w:r w:rsidR="3B6369EB">
        <w:t xml:space="preserve">29 measure packages resulting from updates directed in Sections </w:t>
      </w:r>
      <w:r w:rsidR="00D67B12">
        <w:fldChar w:fldCharType="begin"/>
      </w:r>
      <w:r w:rsidR="00D67B12">
        <w:instrText xml:space="preserve"> REF _Ref175729811 \r \h </w:instrText>
      </w:r>
      <w:r w:rsidR="00D67B12">
        <w:fldChar w:fldCharType="separate"/>
      </w:r>
      <w:r w:rsidR="00787722">
        <w:t>E</w:t>
      </w:r>
      <w:r w:rsidR="00D67B12">
        <w:fldChar w:fldCharType="end"/>
      </w:r>
      <w:r w:rsidR="3B6369EB">
        <w:t xml:space="preserve"> and </w:t>
      </w:r>
      <w:r w:rsidR="00D67B12">
        <w:fldChar w:fldCharType="begin"/>
      </w:r>
      <w:r w:rsidR="00D67B12">
        <w:instrText xml:space="preserve"> REF _Ref175729818 \r \h </w:instrText>
      </w:r>
      <w:r w:rsidR="00D67B12">
        <w:fldChar w:fldCharType="separate"/>
      </w:r>
      <w:r w:rsidR="00787722">
        <w:t>F</w:t>
      </w:r>
      <w:r w:rsidR="00D67B12">
        <w:fldChar w:fldCharType="end"/>
      </w:r>
      <w:r w:rsidR="3B6369EB">
        <w:t xml:space="preserve">. PAs may submit additional updates to measure packages beyond what is directed and may include additional measure packages for update during that time. Examples of such updates may include, but are not limited to costs, new study data, and </w:t>
      </w:r>
      <w:r w:rsidR="00160A0E">
        <w:t>Evaluation, Measurement, and Verification (</w:t>
      </w:r>
      <w:r w:rsidR="3B6369EB">
        <w:t>EM&amp;V</w:t>
      </w:r>
      <w:r w:rsidR="00160A0E">
        <w:t>)</w:t>
      </w:r>
      <w:r w:rsidR="3B6369EB">
        <w:t xml:space="preserve"> results. Only measure packages adopted in the DEER2028 will be included in the set of deemed measures for the PY2028</w:t>
      </w:r>
      <w:r w:rsidR="1E9712BF">
        <w:t>-</w:t>
      </w:r>
      <w:r w:rsidR="3B6369EB">
        <w:t xml:space="preserve">29 program cycle. </w:t>
      </w:r>
    </w:p>
    <w:p w:rsidRPr="00837CF0" w:rsidR="00406398" w:rsidP="004E7A69" w:rsidRDefault="3B6369EB" w14:paraId="2D9E38BC" w14:textId="575761BF">
      <w:pPr>
        <w:rPr>
          <w:b/>
          <w:bCs/>
        </w:rPr>
      </w:pPr>
      <w:r w:rsidRPr="00837CF0">
        <w:t xml:space="preserve">Staff will work with the PAs to develop a schedule of submissions so measure packages </w:t>
      </w:r>
      <w:r w:rsidRPr="00837CF0" w:rsidR="00D94CB8">
        <w:t xml:space="preserve">requiring more time to develop </w:t>
      </w:r>
      <w:r w:rsidR="00C5694B">
        <w:t xml:space="preserve">and review </w:t>
      </w:r>
      <w:r w:rsidRPr="00837CF0">
        <w:t>can be submitted well before the standard three-month timeframe for review and approval to avoid delays. It is the responsibility of the PAs to follow the agreed schedule for submissions or risk measure packages not being included in the DEER resolution and therefore not receiving approval.</w:t>
      </w:r>
    </w:p>
    <w:p w:rsidR="00064073" w:rsidP="00064073" w:rsidRDefault="002571B3" w14:paraId="38413CD6" w14:textId="48F6CB5F">
      <w:pPr>
        <w:pStyle w:val="Heading3"/>
      </w:pPr>
      <w:bookmarkStart w:name="_Toc104200048" w:id="47"/>
      <w:r>
        <w:t>Mid</w:t>
      </w:r>
      <w:r w:rsidR="00064073">
        <w:t>-Cycle Adjustments to the Locked Ex-Ante Values</w:t>
      </w:r>
      <w:bookmarkEnd w:id="47"/>
    </w:p>
    <w:p w:rsidR="00064073" w:rsidP="00064073" w:rsidRDefault="00377A07" w14:paraId="39C7A274" w14:textId="28CEF92B">
      <w:r>
        <w:rPr>
          <w:u w:val="single"/>
        </w:rPr>
        <w:t>Effective Program Ye</w:t>
      </w:r>
      <w:r w:rsidRPr="0084168E">
        <w:rPr>
          <w:u w:val="single"/>
        </w:rPr>
        <w:t>ar: 20</w:t>
      </w:r>
      <w:r w:rsidRPr="0084168E" w:rsidR="0084168E">
        <w:rPr>
          <w:u w:val="single"/>
        </w:rPr>
        <w:t>24</w:t>
      </w:r>
      <w:r>
        <w:rPr>
          <w:u w:val="single"/>
        </w:rPr>
        <w:t>.</w:t>
      </w:r>
      <w:r>
        <w:t xml:space="preserve"> </w:t>
      </w:r>
      <w:r w:rsidR="00064073">
        <w:t>D. 21-05-031 (p. 39) locks ex-ante values used in Potential &amp; Goals as well as claims for the two-year DEER cycle</w:t>
      </w:r>
      <w:r w:rsidR="00EC149B">
        <w:t xml:space="preserve">. </w:t>
      </w:r>
      <w:r w:rsidR="00064073">
        <w:t xml:space="preserve">It further notes that there may be </w:t>
      </w:r>
      <w:r w:rsidR="00A015C8">
        <w:t>mid</w:t>
      </w:r>
      <w:r w:rsidR="00064073">
        <w:t>-cycle adjustments that will account for reasonable corrections to the existing locked values and allow new measures to be added to the portfolio</w:t>
      </w:r>
      <w:r w:rsidR="00EC149B">
        <w:t xml:space="preserve">. </w:t>
      </w:r>
      <w:r w:rsidR="008318E0">
        <w:t xml:space="preserve">Mid-cycle reasonable correction measure package updates will be reviewed on a </w:t>
      </w:r>
      <w:r w:rsidR="008F7306">
        <w:t>case-by-case</w:t>
      </w:r>
      <w:r w:rsidR="008318E0">
        <w:t xml:space="preserve"> basis </w:t>
      </w:r>
      <w:r w:rsidR="00457611">
        <w:t xml:space="preserve">to determine </w:t>
      </w:r>
      <w:r w:rsidR="0029228E">
        <w:t xml:space="preserve">measure package effectiveness </w:t>
      </w:r>
      <w:r w:rsidR="00E5387E">
        <w:t>as stipulated by D. 21-05-031.</w:t>
      </w:r>
      <w:r w:rsidR="0006258D">
        <w:t xml:space="preserve"> Mid-cycle</w:t>
      </w:r>
      <w:r w:rsidR="00F200A5">
        <w:t xml:space="preserve"> corrections to existing locked values will be communicated to the lead IOU for </w:t>
      </w:r>
      <w:r w:rsidR="00F200A5">
        <w:lastRenderedPageBreak/>
        <w:t>stakeholder awareness.</w:t>
      </w:r>
      <w:r w:rsidR="00EC149B">
        <w:t xml:space="preserve"> </w:t>
      </w:r>
      <w:r w:rsidR="00064073">
        <w:t>PAs may still submit new measures during the cycle, but ex ante values adopted in DEER202</w:t>
      </w:r>
      <w:r w:rsidR="00C17D6B">
        <w:t>6</w:t>
      </w:r>
      <w:r w:rsidR="00064073">
        <w:t xml:space="preserve"> will remain locked</w:t>
      </w:r>
      <w:r w:rsidR="00EC149B">
        <w:t xml:space="preserve">. </w:t>
      </w:r>
      <w:r w:rsidRPr="000F4613" w:rsidR="000F4613">
        <w:t>New measures or offerings are effective upon approval. Changes to existing measures are effective 90 days after approval.</w:t>
      </w:r>
    </w:p>
    <w:p w:rsidR="00FE3460" w:rsidP="002B281F" w:rsidRDefault="00064073" w14:paraId="77E8C16C" w14:textId="4251A974">
      <w:pPr>
        <w:pStyle w:val="Heading4"/>
      </w:pPr>
      <w:bookmarkStart w:name="_Toc104200051" w:id="48"/>
      <w:r>
        <w:t>Codes and Standards</w:t>
      </w:r>
      <w:bookmarkEnd w:id="48"/>
    </w:p>
    <w:p w:rsidR="00F24A44" w:rsidP="00F24A44" w:rsidRDefault="00345CFD" w14:paraId="49D9EC8B" w14:textId="2739B7D8">
      <w:r w:rsidRPr="0084168E">
        <w:rPr>
          <w:u w:val="single"/>
        </w:rPr>
        <w:t>Effective Program Year</w:t>
      </w:r>
      <w:r w:rsidR="00E20782">
        <w:rPr>
          <w:u w:val="single"/>
        </w:rPr>
        <w:t>:</w:t>
      </w:r>
      <w:r w:rsidRPr="0084168E">
        <w:rPr>
          <w:u w:val="single"/>
        </w:rPr>
        <w:t xml:space="preserve"> 2024.</w:t>
      </w:r>
      <w:r w:rsidRPr="0084168E">
        <w:t xml:space="preserve"> </w:t>
      </w:r>
      <w:r w:rsidRPr="0084168E" w:rsidR="00FE3460">
        <w:t>As discussed in Resolution E-5221, anticipated changes to codes and standards that occur mid-cycle shall be planned for by Portfolio Administrators (PAs). ENERGY STAR</w:t>
      </w:r>
      <w:r w:rsidRPr="0084168E" w:rsidR="00FE3460">
        <w:rPr>
          <w:vertAlign w:val="superscript"/>
        </w:rPr>
        <w:t>®</w:t>
      </w:r>
      <w:r w:rsidRPr="0084168E" w:rsidR="00FE3460">
        <w:t xml:space="preserve"> standards will be updated in 2025</w:t>
      </w:r>
      <w:r w:rsidRPr="0084168E" w:rsidR="00CF43CA">
        <w:t>.</w:t>
      </w:r>
      <w:r w:rsidRPr="0084168E" w:rsidR="000472C9">
        <w:t xml:space="preserve"> In addition, EPA finalized the American Innovation and Manufacturing Act, AIM in October 2023 and as of January 2, 2025, all manufactured HVAC systems and products shall use refrigerants having a global warming potential (GWP) of no more than 700. This update to the code will result in reduced CO</w:t>
      </w:r>
      <w:r w:rsidRPr="0084168E" w:rsidR="000472C9">
        <w:rPr>
          <w:vertAlign w:val="subscript"/>
        </w:rPr>
        <w:t>2e</w:t>
      </w:r>
      <w:r w:rsidRPr="0084168E" w:rsidR="000472C9">
        <w:t xml:space="preserve"> emissions stemming from refrigerant leakage and the benefits of those avoided emissions. This will also mean that more fuel substitution measure package permutations are expected to pass Part 2 (to pass the fuel substitution requirement of not increasing CO</w:t>
      </w:r>
      <w:r w:rsidRPr="0084168E" w:rsidR="000472C9">
        <w:rPr>
          <w:vertAlign w:val="subscript"/>
        </w:rPr>
        <w:t>2e</w:t>
      </w:r>
      <w:r w:rsidRPr="0084168E" w:rsidR="000472C9">
        <w:t xml:space="preserve"> emissions) of the fuel substitution test</w:t>
      </w:r>
      <w:r w:rsidR="000472C9">
        <w:t>.</w:t>
      </w:r>
      <w:r w:rsidDel="002C5242" w:rsidR="000472C9">
        <w:t xml:space="preserve"> </w:t>
      </w:r>
    </w:p>
    <w:p w:rsidR="009235DD" w:rsidP="002B281F" w:rsidRDefault="009235DD" w14:paraId="0A66593C" w14:textId="2185CA8E">
      <w:pPr>
        <w:pStyle w:val="Heading4"/>
      </w:pPr>
      <w:r>
        <w:t>Policy Updates</w:t>
      </w:r>
    </w:p>
    <w:p w:rsidR="00FE3460" w:rsidP="009235DD" w:rsidRDefault="00345CFD" w14:paraId="671471F8" w14:textId="65584FC0">
      <w:r w:rsidRPr="23A56DEC">
        <w:rPr>
          <w:u w:val="single"/>
        </w:rPr>
        <w:t>Effective Program Year 2024.</w:t>
      </w:r>
      <w:r>
        <w:t xml:space="preserve"> </w:t>
      </w:r>
      <w:r w:rsidR="00941FE7">
        <w:t xml:space="preserve">In addition to codes and standards updates that </w:t>
      </w:r>
      <w:r w:rsidR="003205EF">
        <w:t xml:space="preserve">trigger mid-cycle measure package updates, </w:t>
      </w:r>
      <w:r w:rsidR="00967FF4">
        <w:t xml:space="preserve">PAs </w:t>
      </w:r>
      <w:r w:rsidR="00123B1E">
        <w:t xml:space="preserve">shall plan for </w:t>
      </w:r>
      <w:r w:rsidR="0068645E">
        <w:t>mid-cycle updates that are triggered by a Decision</w:t>
      </w:r>
      <w:r w:rsidDel="00653B0A" w:rsidR="0068645E">
        <w:t xml:space="preserve"> </w:t>
      </w:r>
      <w:r w:rsidR="00747C89">
        <w:t xml:space="preserve">that either sunsets or modifies </w:t>
      </w:r>
      <w:r w:rsidR="00D0001D">
        <w:t>a parameter</w:t>
      </w:r>
      <w:r w:rsidR="000C5C7D">
        <w:t xml:space="preserve"> used by </w:t>
      </w:r>
      <w:r w:rsidR="00894183">
        <w:t>a measure package.</w:t>
      </w:r>
    </w:p>
    <w:p w:rsidR="00B96808" w:rsidP="00B96808" w:rsidRDefault="00B96808" w14:paraId="2E87670A" w14:textId="77777777">
      <w:pPr>
        <w:pStyle w:val="Heading3"/>
      </w:pPr>
      <w:bookmarkStart w:name="_Ref175729811" w:id="49"/>
      <w:bookmarkStart w:name="_Toc104200052" w:id="50"/>
      <w:r>
        <w:t>Structural Changes to DEER Tables</w:t>
      </w:r>
      <w:bookmarkEnd w:id="49"/>
    </w:p>
    <w:p w:rsidRPr="00B2718D" w:rsidR="00B96808" w:rsidP="00B96808" w:rsidRDefault="00CC6C71" w14:paraId="1B88A6BA" w14:textId="561558F6">
      <w:r w:rsidRPr="007F570B">
        <w:rPr>
          <w:u w:val="single"/>
        </w:rPr>
        <w:t>Effective Program Year</w:t>
      </w:r>
      <w:r w:rsidRPr="00CC6C71">
        <w:rPr>
          <w:u w:val="single"/>
        </w:rPr>
        <w:t>: 2</w:t>
      </w:r>
      <w:r>
        <w:rPr>
          <w:u w:val="single"/>
        </w:rPr>
        <w:t>024-2026.</w:t>
      </w:r>
      <w:r>
        <w:t xml:space="preserve"> </w:t>
      </w:r>
      <w:r w:rsidR="00B96808">
        <w:t>The changes listed in the subsections to follow will be made to the structures of some new and existing DEER database tables.</w:t>
      </w:r>
    </w:p>
    <w:p w:rsidRPr="007F570B" w:rsidR="00B96808" w:rsidP="002B281F" w:rsidRDefault="00B96808" w14:paraId="6470FAF8" w14:textId="77777777">
      <w:pPr>
        <w:pStyle w:val="Heading4"/>
      </w:pPr>
      <w:r w:rsidRPr="007F570B">
        <w:t>Retiring Table for Fuel Substitution Measures</w:t>
      </w:r>
    </w:p>
    <w:p w:rsidRPr="007F570B" w:rsidR="00B96808" w:rsidP="00B96808" w:rsidRDefault="00B96808" w14:paraId="5D58EE48" w14:textId="0AF620E4">
      <w:r w:rsidRPr="007F570B">
        <w:rPr>
          <w:u w:val="single"/>
        </w:rPr>
        <w:t>Effective Program Year</w:t>
      </w:r>
      <w:r w:rsidRPr="00CC6C71">
        <w:rPr>
          <w:u w:val="single"/>
        </w:rPr>
        <w:t>: 2024.</w:t>
      </w:r>
      <w:r w:rsidRPr="007F570B">
        <w:t xml:space="preserve"> CPUC staff is retiring the recently added “</w:t>
      </w:r>
      <w:proofErr w:type="spellStart"/>
      <w:r w:rsidRPr="007F570B">
        <w:t>FuelSub</w:t>
      </w:r>
      <w:proofErr w:type="spellEnd"/>
      <w:r w:rsidRPr="007F570B">
        <w:t>” table that was added to DEER’s “</w:t>
      </w:r>
      <w:proofErr w:type="spellStart"/>
      <w:r w:rsidRPr="007F570B">
        <w:t>costeff</w:t>
      </w:r>
      <w:proofErr w:type="spellEnd"/>
      <w:r w:rsidRPr="007F570B">
        <w:t xml:space="preserve">” schema. </w:t>
      </w:r>
      <w:r>
        <w:t>In its place, the “</w:t>
      </w:r>
      <w:proofErr w:type="spellStart"/>
      <w:r>
        <w:t>FuelID</w:t>
      </w:r>
      <w:proofErr w:type="spellEnd"/>
      <w:r>
        <w:t xml:space="preserve">” table described in Section </w:t>
      </w:r>
      <w:r w:rsidR="0015419E">
        <w:fldChar w:fldCharType="begin"/>
      </w:r>
      <w:r w:rsidR="0015419E">
        <w:instrText xml:space="preserve"> REF _Ref160800366 \r \h </w:instrText>
      </w:r>
      <w:r w:rsidR="0015419E">
        <w:fldChar w:fldCharType="separate"/>
      </w:r>
      <w:r w:rsidR="00787722">
        <w:t>E.2</w:t>
      </w:r>
      <w:r w:rsidR="0015419E">
        <w:fldChar w:fldCharType="end"/>
      </w:r>
      <w:r>
        <w:t xml:space="preserve"> was added.</w:t>
      </w:r>
    </w:p>
    <w:p w:rsidRPr="004C42E0" w:rsidR="00B96808" w:rsidP="002B281F" w:rsidRDefault="00B96808" w14:paraId="37BA3977" w14:textId="77777777">
      <w:pPr>
        <w:pStyle w:val="Heading4"/>
      </w:pPr>
      <w:bookmarkStart w:name="_Ref160800366" w:id="51"/>
      <w:r w:rsidRPr="004C42E0">
        <w:t xml:space="preserve">Adding </w:t>
      </w:r>
      <w:proofErr w:type="spellStart"/>
      <w:r w:rsidRPr="004C42E0">
        <w:t>FuelID</w:t>
      </w:r>
      <w:proofErr w:type="spellEnd"/>
      <w:r w:rsidRPr="004C42E0">
        <w:t xml:space="preserve"> Table</w:t>
      </w:r>
      <w:bookmarkEnd w:id="51"/>
    </w:p>
    <w:p w:rsidRPr="007F570B" w:rsidR="00252E50" w:rsidP="00252E50" w:rsidRDefault="00B96808" w14:paraId="6EC84F61" w14:textId="494BA51B">
      <w:r w:rsidRPr="00B3569D">
        <w:rPr>
          <w:u w:val="single"/>
        </w:rPr>
        <w:t>Effective Program Year: 2026.</w:t>
      </w:r>
      <w:r w:rsidRPr="004C42E0">
        <w:t xml:space="preserve"> In response to D.23-04-035, the need for a more </w:t>
      </w:r>
      <w:r>
        <w:t>detailed set of descriptors</w:t>
      </w:r>
      <w:r w:rsidRPr="004C42E0">
        <w:t xml:space="preserve"> became necessary as a means to </w:t>
      </w:r>
      <w:r w:rsidR="00742E1C">
        <w:t xml:space="preserve">distinguish between exempt and non-exempt </w:t>
      </w:r>
      <w:r w:rsidR="00E31D03">
        <w:t>measure package offerings</w:t>
      </w:r>
      <w:r w:rsidR="00252E50">
        <w:t>.</w:t>
      </w:r>
      <w:r w:rsidR="00D2653F">
        <w:t xml:space="preserve"> </w:t>
      </w:r>
      <w:r w:rsidR="00F240C6">
        <w:t xml:space="preserve">This table shall be added to the </w:t>
      </w:r>
      <w:proofErr w:type="spellStart"/>
      <w:r w:rsidR="00EB0F51">
        <w:t>eTRM’s</w:t>
      </w:r>
      <w:proofErr w:type="spellEnd"/>
      <w:r w:rsidR="00EB0F51">
        <w:t xml:space="preserve"> CPUC Support Table </w:t>
      </w:r>
      <w:r w:rsidR="00F0436A">
        <w:t xml:space="preserve">repository. </w:t>
      </w:r>
      <w:r w:rsidR="006C38CE">
        <w:t>This field</w:t>
      </w:r>
      <w:r w:rsidR="00EE0B56">
        <w:t xml:space="preserve"> shall be added to the </w:t>
      </w:r>
      <w:proofErr w:type="spellStart"/>
      <w:r w:rsidR="00EE0B56">
        <w:t>eTRM’s</w:t>
      </w:r>
      <w:proofErr w:type="spellEnd"/>
      <w:r w:rsidR="00EE0B56">
        <w:t xml:space="preserve"> permutations table </w:t>
      </w:r>
      <w:r w:rsidR="00B8371E">
        <w:t xml:space="preserve">for </w:t>
      </w:r>
      <w:r w:rsidR="00844732">
        <w:t>2026 measure</w:t>
      </w:r>
      <w:r w:rsidR="00220275">
        <w:t xml:space="preserve"> offerings</w:t>
      </w:r>
      <w:r w:rsidR="00865E1C">
        <w:t xml:space="preserve"> </w:t>
      </w:r>
      <w:r w:rsidR="00EE0B56">
        <w:t xml:space="preserve">and </w:t>
      </w:r>
      <w:r w:rsidR="00A0573E">
        <w:t xml:space="preserve">populated by </w:t>
      </w:r>
      <w:proofErr w:type="spellStart"/>
      <w:r w:rsidR="00A0573E">
        <w:t>Cal</w:t>
      </w:r>
      <w:r w:rsidR="0073385D">
        <w:t>TF</w:t>
      </w:r>
      <w:proofErr w:type="spellEnd"/>
      <w:r w:rsidR="0073385D">
        <w:t xml:space="preserve"> on the back end.</w:t>
      </w:r>
    </w:p>
    <w:p w:rsidRPr="005C2ACB" w:rsidR="00B96808" w:rsidP="002B281F" w:rsidRDefault="000B2A56" w14:paraId="3E847F87" w14:textId="5CDE4BCE">
      <w:pPr>
        <w:pStyle w:val="Heading4"/>
      </w:pPr>
      <w:r>
        <w:lastRenderedPageBreak/>
        <w:t>Locking</w:t>
      </w:r>
      <w:r w:rsidR="00B96808">
        <w:t xml:space="preserve"> </w:t>
      </w:r>
      <w:r w:rsidRPr="005C2ACB" w:rsidR="00B96808">
        <w:t>Measure</w:t>
      </w:r>
      <w:r w:rsidR="00B96808">
        <w:t xml:space="preserve"> and Energy Impact Table</w:t>
      </w:r>
      <w:r>
        <w:t>s</w:t>
      </w:r>
    </w:p>
    <w:p w:rsidRPr="005C2ACB" w:rsidR="00B96808" w:rsidP="00B96808" w:rsidRDefault="00B96808" w14:paraId="7C1D30C3" w14:textId="05E8C158">
      <w:r w:rsidRPr="005C2ACB">
        <w:rPr>
          <w:u w:val="single"/>
        </w:rPr>
        <w:t xml:space="preserve">Effective Program </w:t>
      </w:r>
      <w:r w:rsidRPr="00B3569D">
        <w:rPr>
          <w:u w:val="single"/>
        </w:rPr>
        <w:t>Year: 2026.</w:t>
      </w:r>
      <w:r w:rsidRPr="005C2ACB">
        <w:t xml:space="preserve"> New records will no longer be added to </w:t>
      </w:r>
      <w:r>
        <w:t>either the “Measure” table or the “</w:t>
      </w:r>
      <w:proofErr w:type="spellStart"/>
      <w:r>
        <w:t>EnergyImpact</w:t>
      </w:r>
      <w:proofErr w:type="spellEnd"/>
      <w:r>
        <w:t>” table</w:t>
      </w:r>
      <w:r w:rsidRPr="005C2ACB">
        <w:t>.</w:t>
      </w:r>
      <w:r>
        <w:t xml:space="preserve"> The </w:t>
      </w:r>
      <w:proofErr w:type="spellStart"/>
      <w:r>
        <w:t>eTRM</w:t>
      </w:r>
      <w:proofErr w:type="spellEnd"/>
      <w:r>
        <w:t xml:space="preserve"> will be the only repository for deemed measure package offering permutations and their respective unit energy savings values and their unit energy consumption values (both end-use, only, and whole building). CEDARS Reporting no longer test the Measure IDs in the DEER database </w:t>
      </w:r>
      <w:r w:rsidR="00A5067E">
        <w:t>and</w:t>
      </w:r>
      <w:r>
        <w:t xml:space="preserve"> rely solely on the </w:t>
      </w:r>
      <w:proofErr w:type="spellStart"/>
      <w:r>
        <w:t>eTRM’s</w:t>
      </w:r>
      <w:proofErr w:type="spellEnd"/>
      <w:r>
        <w:t xml:space="preserve"> Measure Detail ID to validate claims.</w:t>
      </w:r>
    </w:p>
    <w:p w:rsidR="00B96808" w:rsidP="002B281F" w:rsidRDefault="00B96808" w14:paraId="06E49710" w14:textId="36339EFD">
      <w:pPr>
        <w:pStyle w:val="Heading4"/>
      </w:pPr>
      <w:r>
        <w:t>Field</w:t>
      </w:r>
      <w:r w:rsidR="00537D33">
        <w:t xml:space="preserve"> Changes to the</w:t>
      </w:r>
      <w:r>
        <w:t xml:space="preserve"> </w:t>
      </w:r>
      <w:proofErr w:type="spellStart"/>
      <w:r>
        <w:t>TechType</w:t>
      </w:r>
      <w:proofErr w:type="spellEnd"/>
      <w:r>
        <w:t xml:space="preserve"> Table</w:t>
      </w:r>
    </w:p>
    <w:p w:rsidR="00B96808" w:rsidP="00B96808" w:rsidRDefault="00B96808" w14:paraId="0A83FBC9" w14:textId="7C9B2152">
      <w:r w:rsidRPr="005C2ACB">
        <w:rPr>
          <w:u w:val="single"/>
        </w:rPr>
        <w:t xml:space="preserve">Effective Program </w:t>
      </w:r>
      <w:r w:rsidRPr="00B3569D">
        <w:rPr>
          <w:u w:val="single"/>
        </w:rPr>
        <w:t>Year: 202</w:t>
      </w:r>
      <w:r>
        <w:rPr>
          <w:u w:val="single"/>
        </w:rPr>
        <w:t>4</w:t>
      </w:r>
      <w:r w:rsidRPr="00B3569D">
        <w:rPr>
          <w:u w:val="single"/>
        </w:rPr>
        <w:t>.</w:t>
      </w:r>
      <w:r w:rsidRPr="005C2ACB">
        <w:t xml:space="preserve"> </w:t>
      </w:r>
      <w:r>
        <w:t xml:space="preserve">Several fields were added to the </w:t>
      </w:r>
      <w:proofErr w:type="spellStart"/>
      <w:r>
        <w:t>TechType</w:t>
      </w:r>
      <w:proofErr w:type="spellEnd"/>
      <w:r>
        <w:t xml:space="preserve"> table to support D.23-04-035 </w:t>
      </w:r>
      <w:r w:rsidR="008B35B7">
        <w:t xml:space="preserve">and </w:t>
      </w:r>
      <w:r w:rsidR="00BF640A">
        <w:t xml:space="preserve">enable </w:t>
      </w:r>
      <w:r w:rsidR="00154153">
        <w:t>enhanced</w:t>
      </w:r>
      <w:r w:rsidR="00707E2B">
        <w:t xml:space="preserve"> analysis</w:t>
      </w:r>
      <w:r>
        <w:t xml:space="preserve"> </w:t>
      </w:r>
      <w:r w:rsidR="00B668A5">
        <w:t>(</w:t>
      </w:r>
      <w:proofErr w:type="spellStart"/>
      <w:r w:rsidR="006D3258">
        <w:t>IsExempt</w:t>
      </w:r>
      <w:proofErr w:type="spellEnd"/>
      <w:r w:rsidR="006D3258">
        <w:t xml:space="preserve">, HasElectric Alt, </w:t>
      </w:r>
      <w:proofErr w:type="spellStart"/>
      <w:r w:rsidR="00506D7E">
        <w:t>HasRefrig</w:t>
      </w:r>
      <w:proofErr w:type="spellEnd"/>
      <w:r w:rsidR="00506D7E">
        <w:t xml:space="preserve">, </w:t>
      </w:r>
      <w:proofErr w:type="spellStart"/>
      <w:r w:rsidR="00506D7E">
        <w:t>HasRefrigAlt</w:t>
      </w:r>
      <w:proofErr w:type="spellEnd"/>
      <w:r w:rsidR="00506D7E">
        <w:t xml:space="preserve">, </w:t>
      </w:r>
      <w:proofErr w:type="spellStart"/>
      <w:r w:rsidR="00506D7E">
        <w:t>UsesElec</w:t>
      </w:r>
      <w:proofErr w:type="spellEnd"/>
      <w:r w:rsidR="00506D7E">
        <w:t xml:space="preserve">, </w:t>
      </w:r>
      <w:r w:rsidR="00B668A5">
        <w:t xml:space="preserve">and </w:t>
      </w:r>
      <w:proofErr w:type="spellStart"/>
      <w:r w:rsidR="00506D7E">
        <w:t>Use</w:t>
      </w:r>
      <w:r w:rsidR="00B668A5">
        <w:t>sGas</w:t>
      </w:r>
      <w:proofErr w:type="spellEnd"/>
      <w:r w:rsidR="00B668A5">
        <w:t xml:space="preserve">). </w:t>
      </w:r>
      <w:r w:rsidR="00EB38B9">
        <w:t>Two</w:t>
      </w:r>
      <w:r w:rsidR="00E9315A">
        <w:t xml:space="preserve"> fields </w:t>
      </w:r>
      <w:r w:rsidR="00EB38B9">
        <w:t>are also proposed for</w:t>
      </w:r>
      <w:r w:rsidR="00E9315A">
        <w:t xml:space="preserve"> remov</w:t>
      </w:r>
      <w:r w:rsidR="00EB38B9">
        <w:t>al</w:t>
      </w:r>
      <w:r w:rsidR="00E9315A">
        <w:t xml:space="preserve"> from the </w:t>
      </w:r>
      <w:proofErr w:type="spellStart"/>
      <w:r w:rsidR="00E9315A">
        <w:t>TechType</w:t>
      </w:r>
      <w:proofErr w:type="spellEnd"/>
      <w:r w:rsidR="00E9315A">
        <w:t xml:space="preserve"> table to </w:t>
      </w:r>
      <w:r w:rsidR="00D802DF">
        <w:t>increase measure package flexibility</w:t>
      </w:r>
      <w:r w:rsidR="00B668A5">
        <w:t xml:space="preserve"> (</w:t>
      </w:r>
      <w:proofErr w:type="spellStart"/>
      <w:r w:rsidR="007330CD">
        <w:t>NormUnit</w:t>
      </w:r>
      <w:proofErr w:type="spellEnd"/>
      <w:r w:rsidR="007330CD">
        <w:t xml:space="preserve"> and </w:t>
      </w:r>
      <w:proofErr w:type="spellStart"/>
      <w:r w:rsidR="007330CD">
        <w:t>defEUL</w:t>
      </w:r>
      <w:r w:rsidR="00817AC6">
        <w:t>Code</w:t>
      </w:r>
      <w:proofErr w:type="spellEnd"/>
      <w:r w:rsidR="007330CD">
        <w:t>)</w:t>
      </w:r>
      <w:r w:rsidR="00E9315A">
        <w:t>.</w:t>
      </w:r>
    </w:p>
    <w:p w:rsidRPr="00063FE2" w:rsidR="00B96808" w:rsidP="002B281F" w:rsidRDefault="00B96808" w14:paraId="275857E8" w14:textId="77777777">
      <w:pPr>
        <w:pStyle w:val="Heading4"/>
      </w:pPr>
      <w:r>
        <w:t>Building Weights Table Created</w:t>
      </w:r>
    </w:p>
    <w:p w:rsidRPr="00A06B07" w:rsidR="00B96808" w:rsidP="00B96808" w:rsidRDefault="00B96808" w14:paraId="03311F46" w14:textId="77777777">
      <w:r w:rsidRPr="005C2ACB">
        <w:rPr>
          <w:u w:val="single"/>
        </w:rPr>
        <w:t xml:space="preserve">Effective Program </w:t>
      </w:r>
      <w:r w:rsidRPr="00B3569D">
        <w:rPr>
          <w:u w:val="single"/>
        </w:rPr>
        <w:t>Year: 202</w:t>
      </w:r>
      <w:r>
        <w:rPr>
          <w:u w:val="single"/>
        </w:rPr>
        <w:t>4</w:t>
      </w:r>
      <w:r>
        <w:t>. For transparency and ease of access, the “</w:t>
      </w:r>
      <w:proofErr w:type="spellStart"/>
      <w:r>
        <w:t>BldgWts</w:t>
      </w:r>
      <w:proofErr w:type="spellEnd"/>
      <w:r>
        <w:t>” table was added to the “</w:t>
      </w:r>
      <w:proofErr w:type="spellStart"/>
      <w:r>
        <w:t>applic</w:t>
      </w:r>
      <w:proofErr w:type="spellEnd"/>
      <w:r>
        <w:t xml:space="preserve">” schema of the DEER database that contains building weights and HVAC weights to be used for post-processing of energy impacts. These are also available for use by the </w:t>
      </w:r>
      <w:proofErr w:type="spellStart"/>
      <w:r>
        <w:t>eTRM</w:t>
      </w:r>
      <w:proofErr w:type="spellEnd"/>
      <w:r>
        <w:t xml:space="preserve"> to calculate the percent change in savings between a new measure package version and its prior version.</w:t>
      </w:r>
    </w:p>
    <w:p w:rsidR="00D6200C" w:rsidP="00D6200C" w:rsidRDefault="001159C3" w14:paraId="6C4EBF37" w14:textId="779485B4">
      <w:pPr>
        <w:pStyle w:val="Heading3"/>
      </w:pPr>
      <w:bookmarkStart w:name="_Toc104200062" w:id="52"/>
      <w:bookmarkStart w:name="_Ref104996528" w:id="53"/>
      <w:bookmarkStart w:name="_Ref175729818" w:id="54"/>
      <w:bookmarkEnd w:id="50"/>
      <w:r>
        <w:t>Updates to DEER Support Table Values</w:t>
      </w:r>
      <w:bookmarkEnd w:id="52"/>
      <w:bookmarkEnd w:id="53"/>
      <w:bookmarkEnd w:id="54"/>
    </w:p>
    <w:p w:rsidRPr="005C2ACB" w:rsidR="005658DC" w:rsidP="005658DC" w:rsidRDefault="001A4752" w14:paraId="22F6C349" w14:textId="3B9DAFD0">
      <w:r w:rsidRPr="007F570B">
        <w:rPr>
          <w:u w:val="single"/>
        </w:rPr>
        <w:t>Effective Program Year</w:t>
      </w:r>
      <w:r w:rsidRPr="00CC6C71">
        <w:rPr>
          <w:u w:val="single"/>
        </w:rPr>
        <w:t>: 2</w:t>
      </w:r>
      <w:r>
        <w:rPr>
          <w:u w:val="single"/>
        </w:rPr>
        <w:t>02</w:t>
      </w:r>
      <w:r w:rsidR="00E9053D">
        <w:rPr>
          <w:u w:val="single"/>
        </w:rPr>
        <w:t>3-2028</w:t>
      </w:r>
      <w:r>
        <w:rPr>
          <w:u w:val="single"/>
        </w:rPr>
        <w:t>.</w:t>
      </w:r>
      <w:r>
        <w:t xml:space="preserve"> </w:t>
      </w:r>
      <w:r w:rsidRPr="005C2ACB" w:rsidR="005658DC">
        <w:t>The following changes to the DEER support table values are planned.</w:t>
      </w:r>
    </w:p>
    <w:p w:rsidR="005658DC" w:rsidP="002B281F" w:rsidRDefault="005658DC" w14:paraId="6FAE924C" w14:textId="77777777">
      <w:pPr>
        <w:pStyle w:val="Heading4"/>
      </w:pPr>
      <w:bookmarkStart w:name="_Ref98073083" w:id="55"/>
      <w:r>
        <w:t>Updates to Net-to-Gross Table</w:t>
      </w:r>
    </w:p>
    <w:p w:rsidR="005658DC" w:rsidP="005658DC" w:rsidRDefault="005658DC" w14:paraId="172F5D98" w14:textId="39CF7498">
      <w:r>
        <w:rPr>
          <w:u w:val="single"/>
        </w:rPr>
        <w:t>Effective Program Year: 2024.</w:t>
      </w:r>
      <w:r>
        <w:t xml:space="preserve"> </w:t>
      </w:r>
      <w:r w:rsidR="00AF4375">
        <w:t>Four</w:t>
      </w:r>
      <w:r>
        <w:t xml:space="preserve"> NTG IDs are expired and no longer available for use</w:t>
      </w:r>
      <w:r w:rsidR="00632B25">
        <w:t xml:space="preserve"> as of</w:t>
      </w:r>
      <w:r w:rsidR="00BE30C6">
        <w:t xml:space="preserve"> October 1</w:t>
      </w:r>
      <w:r w:rsidR="00632B25">
        <w:t>6</w:t>
      </w:r>
      <w:r w:rsidR="00BE30C6">
        <w:t>, 2024</w:t>
      </w:r>
      <w:r w:rsidDel="00D640A0" w:rsidR="00BE30C6">
        <w:t xml:space="preserve"> </w:t>
      </w:r>
      <w:r w:rsidR="0031427A">
        <w:t>(All-</w:t>
      </w:r>
      <w:proofErr w:type="spellStart"/>
      <w:r w:rsidR="0031427A">
        <w:t>Ltg</w:t>
      </w:r>
      <w:proofErr w:type="spellEnd"/>
      <w:r w:rsidR="0031427A">
        <w:t xml:space="preserve">-LED-WRR, </w:t>
      </w:r>
      <w:proofErr w:type="spellStart"/>
      <w:r w:rsidR="008C01AF">
        <w:t>NonRes</w:t>
      </w:r>
      <w:proofErr w:type="spellEnd"/>
      <w:r w:rsidR="008C01AF">
        <w:t>-Out-</w:t>
      </w:r>
      <w:proofErr w:type="spellStart"/>
      <w:r w:rsidR="008C01AF">
        <w:t>Ltg</w:t>
      </w:r>
      <w:proofErr w:type="spellEnd"/>
      <w:r w:rsidR="008C01AF">
        <w:t>-</w:t>
      </w:r>
      <w:proofErr w:type="spellStart"/>
      <w:r w:rsidR="008C01AF">
        <w:t>LEDFixt</w:t>
      </w:r>
      <w:proofErr w:type="spellEnd"/>
      <w:r w:rsidR="008C01AF">
        <w:t>, Res-</w:t>
      </w:r>
      <w:proofErr w:type="spellStart"/>
      <w:r w:rsidR="008C01AF">
        <w:t>InCmn</w:t>
      </w:r>
      <w:proofErr w:type="spellEnd"/>
      <w:r w:rsidR="008C01AF">
        <w:t>-</w:t>
      </w:r>
      <w:proofErr w:type="spellStart"/>
      <w:r w:rsidR="008C01AF">
        <w:t>Ltg-LEDFixt</w:t>
      </w:r>
      <w:proofErr w:type="spellEnd"/>
      <w:r w:rsidR="008C01AF">
        <w:t>, and Res-</w:t>
      </w:r>
      <w:proofErr w:type="spellStart"/>
      <w:r w:rsidR="008C01AF">
        <w:t>OutCmn</w:t>
      </w:r>
      <w:proofErr w:type="spellEnd"/>
      <w:r w:rsidR="008C01AF">
        <w:t>-</w:t>
      </w:r>
      <w:proofErr w:type="spellStart"/>
      <w:r w:rsidR="008C01AF">
        <w:t>Ltg-LEDFixt</w:t>
      </w:r>
      <w:proofErr w:type="spellEnd"/>
      <w:r w:rsidR="008C01AF">
        <w:t>)</w:t>
      </w:r>
      <w:r w:rsidR="007231A2">
        <w:t>.</w:t>
      </w:r>
      <w:r w:rsidR="00AE6F19">
        <w:t xml:space="preserve"> These were established when</w:t>
      </w:r>
      <w:r w:rsidR="001463BB">
        <w:t xml:space="preserve">, per </w:t>
      </w:r>
      <w:r w:rsidR="00F7083A">
        <w:t xml:space="preserve">Resolution E-4952, </w:t>
      </w:r>
      <w:r w:rsidR="00B752BE">
        <w:t>NTG</w:t>
      </w:r>
      <w:r w:rsidR="0006150E">
        <w:t xml:space="preserve"> ratios were </w:t>
      </w:r>
      <w:r w:rsidR="00BE5FAB">
        <w:t>going to have above</w:t>
      </w:r>
      <w:r w:rsidR="009645A8">
        <w:t>-code and below-code components</w:t>
      </w:r>
      <w:r w:rsidR="00FA1B92">
        <w:t>.</w:t>
      </w:r>
      <w:r w:rsidR="00FB445A">
        <w:t xml:space="preserve"> </w:t>
      </w:r>
      <w:r w:rsidR="003F4093">
        <w:t xml:space="preserve">Until </w:t>
      </w:r>
      <w:r w:rsidR="00C41D65">
        <w:t xml:space="preserve">new </w:t>
      </w:r>
      <w:r w:rsidR="000B1C73">
        <w:t>EM&amp;V results</w:t>
      </w:r>
      <w:r w:rsidR="00C41D65">
        <w:t xml:space="preserve"> become available, </w:t>
      </w:r>
      <w:r w:rsidR="00681169">
        <w:t>the default NTG</w:t>
      </w:r>
      <w:r w:rsidR="00C5557F">
        <w:t xml:space="preserve"> IDs shall be used</w:t>
      </w:r>
      <w:r w:rsidR="00CD4CFA">
        <w:t>.</w:t>
      </w:r>
      <w:r w:rsidR="003F3BC3">
        <w:t xml:space="preserve">  In addition, CPUC staff has the authority </w:t>
      </w:r>
      <w:r w:rsidR="00027D50">
        <w:t>to change the Custom project NTG values based on current</w:t>
      </w:r>
      <w:r w:rsidR="00474C74">
        <w:t xml:space="preserve"> studies or evaluation results.</w:t>
      </w:r>
    </w:p>
    <w:p w:rsidRPr="00452339" w:rsidR="005658DC" w:rsidP="002B281F" w:rsidRDefault="005658DC" w14:paraId="1B4AA48E" w14:textId="77777777">
      <w:pPr>
        <w:pStyle w:val="Heading4"/>
      </w:pPr>
      <w:r w:rsidRPr="00452339">
        <w:t xml:space="preserve">Updates to Delivery </w:t>
      </w:r>
      <w:bookmarkEnd w:id="55"/>
      <w:r w:rsidRPr="00452339">
        <w:t>Types</w:t>
      </w:r>
    </w:p>
    <w:p w:rsidR="004748E6" w:rsidP="005658DC" w:rsidRDefault="005658DC" w14:paraId="2CC35BFE" w14:textId="715DCE5A">
      <w:r w:rsidRPr="00B3569D">
        <w:rPr>
          <w:u w:val="single"/>
        </w:rPr>
        <w:t>Effective Program Year: 2026.</w:t>
      </w:r>
      <w:r w:rsidRPr="00452339">
        <w:t xml:space="preserve"> </w:t>
      </w:r>
      <w:r>
        <w:t>As indicated in Resolution E-5221</w:t>
      </w:r>
      <w:r w:rsidRPr="00452339">
        <w:t xml:space="preserve">, the </w:t>
      </w:r>
      <w:r w:rsidR="00917F54">
        <w:t>selection of d</w:t>
      </w:r>
      <w:r w:rsidRPr="00452339">
        <w:t xml:space="preserve">elivery </w:t>
      </w:r>
      <w:r w:rsidR="00917F54">
        <w:t>t</w:t>
      </w:r>
      <w:r w:rsidRPr="00452339">
        <w:t xml:space="preserve">ypes </w:t>
      </w:r>
      <w:r w:rsidR="006E1182">
        <w:t>are updated</w:t>
      </w:r>
      <w:r w:rsidR="00A54AF7">
        <w:t xml:space="preserve"> to</w:t>
      </w:r>
      <w:r w:rsidR="004748E6">
        <w:t>:</w:t>
      </w:r>
    </w:p>
    <w:p w:rsidR="00F50B95" w:rsidP="00B41824" w:rsidRDefault="003B79DF" w14:paraId="3333CAC5" w14:textId="5E7B5060">
      <w:pPr>
        <w:pStyle w:val="ListParagraph"/>
      </w:pPr>
      <w:r>
        <w:lastRenderedPageBreak/>
        <w:t>D</w:t>
      </w:r>
      <w:r w:rsidRPr="003B79DF" w:rsidR="00A54AF7">
        <w:t>isaggregate the upstream</w:t>
      </w:r>
      <w:r w:rsidRPr="003B79DF" w:rsidR="001B18C6">
        <w:t xml:space="preserve"> channel </w:t>
      </w:r>
      <w:r w:rsidR="00F01AEB">
        <w:t xml:space="preserve">(currently </w:t>
      </w:r>
      <w:proofErr w:type="spellStart"/>
      <w:r w:rsidR="00F01AEB">
        <w:t>UpDeemed</w:t>
      </w:r>
      <w:proofErr w:type="spellEnd"/>
      <w:r w:rsidR="00F01AEB">
        <w:t>)</w:t>
      </w:r>
      <w:r w:rsidR="007973F4">
        <w:t xml:space="preserve"> </w:t>
      </w:r>
      <w:r w:rsidRPr="003B79DF" w:rsidR="001B18C6">
        <w:t>into</w:t>
      </w:r>
      <w:r w:rsidRPr="003B79DF" w:rsidR="0047354D">
        <w:t xml:space="preserve"> </w:t>
      </w:r>
      <w:r w:rsidRPr="003B79DF" w:rsidR="00B566CF">
        <w:t xml:space="preserve">ones </w:t>
      </w:r>
      <w:r w:rsidRPr="003B79DF" w:rsidR="00BA1CCF">
        <w:t>where the p</w:t>
      </w:r>
      <w:r w:rsidRPr="003B79DF" w:rsidR="00A54E50">
        <w:t>arty receiving the incentives is either a manufacturer, a distributor, or a retailer</w:t>
      </w:r>
      <w:r w:rsidR="006C6205">
        <w:t xml:space="preserve"> (Up-</w:t>
      </w:r>
      <w:proofErr w:type="spellStart"/>
      <w:r w:rsidR="006C6205">
        <w:t>Manuf</w:t>
      </w:r>
      <w:proofErr w:type="spellEnd"/>
      <w:r w:rsidR="006C6205">
        <w:t>, Mid-</w:t>
      </w:r>
      <w:proofErr w:type="spellStart"/>
      <w:r w:rsidR="006C6205">
        <w:t>Distr</w:t>
      </w:r>
      <w:proofErr w:type="spellEnd"/>
      <w:r w:rsidR="006C6205">
        <w:t>, and Mid-Retail)</w:t>
      </w:r>
      <w:r w:rsidR="00F839C0">
        <w:t>.</w:t>
      </w:r>
    </w:p>
    <w:p w:rsidR="00AC0C02" w:rsidP="00B41824" w:rsidRDefault="00471208" w14:paraId="5A50CB0E" w14:textId="0963E172">
      <w:pPr>
        <w:pStyle w:val="ListParagraph"/>
      </w:pPr>
      <w:r>
        <w:t xml:space="preserve">Aggregate the deemed and custom </w:t>
      </w:r>
      <w:r w:rsidR="00E217DB">
        <w:t>options for both downstream and direct install</w:t>
      </w:r>
      <w:r w:rsidR="00D60008">
        <w:t xml:space="preserve"> option</w:t>
      </w:r>
      <w:r>
        <w:t xml:space="preserve"> (</w:t>
      </w:r>
      <w:r w:rsidR="00712E92">
        <w:t>currently</w:t>
      </w:r>
      <w:r w:rsidR="0073101C">
        <w:t xml:space="preserve"> </w:t>
      </w:r>
      <w:proofErr w:type="spellStart"/>
      <w:r w:rsidR="009F26D9">
        <w:t>DnDeemed</w:t>
      </w:r>
      <w:proofErr w:type="spellEnd"/>
      <w:r w:rsidR="009F26D9">
        <w:t xml:space="preserve">, </w:t>
      </w:r>
      <w:proofErr w:type="spellStart"/>
      <w:r w:rsidR="009F26D9">
        <w:t>DnCust</w:t>
      </w:r>
      <w:proofErr w:type="spellEnd"/>
      <w:r w:rsidR="009F26D9">
        <w:t xml:space="preserve">, </w:t>
      </w:r>
      <w:proofErr w:type="spellStart"/>
      <w:r w:rsidR="009F26D9">
        <w:t>DnDeemDI</w:t>
      </w:r>
      <w:proofErr w:type="spellEnd"/>
      <w:r w:rsidR="009F26D9">
        <w:t xml:space="preserve">, </w:t>
      </w:r>
      <w:r w:rsidR="006B349F">
        <w:t xml:space="preserve">and </w:t>
      </w:r>
      <w:proofErr w:type="spellStart"/>
      <w:r w:rsidR="006B349F">
        <w:t>DnCustDI</w:t>
      </w:r>
      <w:proofErr w:type="spellEnd"/>
      <w:r>
        <w:t>)</w:t>
      </w:r>
      <w:r w:rsidR="00BC5C26">
        <w:t xml:space="preserve"> s</w:t>
      </w:r>
      <w:r w:rsidR="00AC43DE">
        <w:t>ince the Measure</w:t>
      </w:r>
      <w:r w:rsidR="008022C8">
        <w:t xml:space="preserve"> Impact Type already indicates whether a measure </w:t>
      </w:r>
      <w:r w:rsidR="00463FC8">
        <w:t xml:space="preserve">was </w:t>
      </w:r>
      <w:r w:rsidR="001614C6">
        <w:t>deemed or custom</w:t>
      </w:r>
      <w:r w:rsidR="00712E92">
        <w:t xml:space="preserve"> (Down and DI)</w:t>
      </w:r>
      <w:r w:rsidR="00C8140B">
        <w:t>.</w:t>
      </w:r>
    </w:p>
    <w:p w:rsidRPr="00452339" w:rsidR="005658DC" w:rsidP="00B1173B" w:rsidRDefault="005658DC" w14:paraId="6926CA27" w14:textId="65F8ABAB">
      <w:pPr>
        <w:pStyle w:val="ListParagraph"/>
        <w:numPr>
          <w:ilvl w:val="0"/>
          <w:numId w:val="0"/>
        </w:numPr>
        <w:ind w:left="720"/>
      </w:pPr>
    </w:p>
    <w:p w:rsidRPr="00452339" w:rsidR="005658DC" w:rsidP="005658DC" w:rsidRDefault="005658DC" w14:paraId="348D9E9D" w14:textId="08807E55">
      <w:r>
        <w:t>In 2026, the</w:t>
      </w:r>
      <w:r w:rsidRPr="00452339">
        <w:t xml:space="preserve"> Upstream Flag used by CEDARS </w:t>
      </w:r>
      <w:r w:rsidR="00247D34">
        <w:t>is</w:t>
      </w:r>
      <w:r>
        <w:t xml:space="preserve"> no longer </w:t>
      </w:r>
      <w:r w:rsidR="00247D34">
        <w:t xml:space="preserve">expected to </w:t>
      </w:r>
      <w:r>
        <w:t>be needed. Until that time, the Upstream Flag will be set to “true” for the upstream delivery type and “null” for either of the midstream delivery types</w:t>
      </w:r>
      <w:r w:rsidRPr="00452339">
        <w:t>.</w:t>
      </w:r>
    </w:p>
    <w:p w:rsidRPr="00452339" w:rsidR="005658DC" w:rsidP="002B281F" w:rsidRDefault="005658DC" w14:paraId="380ABF3B" w14:textId="77777777">
      <w:pPr>
        <w:pStyle w:val="Heading4"/>
      </w:pPr>
      <w:r w:rsidRPr="00452339">
        <w:t>Updates to Measure Impact Types</w:t>
      </w:r>
    </w:p>
    <w:p w:rsidRPr="00D8685E" w:rsidR="005658DC" w:rsidP="005658DC" w:rsidRDefault="005658DC" w14:paraId="0F571E3E" w14:textId="2B3E2BB3">
      <w:r w:rsidRPr="00D8685E">
        <w:rPr>
          <w:u w:val="single"/>
        </w:rPr>
        <w:t>Effective Program Year: 2026</w:t>
      </w:r>
      <w:r w:rsidRPr="00D8685E">
        <w:t xml:space="preserve">. Since there is no longer a distinction between DEER and non-DEER measures and the </w:t>
      </w:r>
      <w:proofErr w:type="spellStart"/>
      <w:r w:rsidRPr="00D8685E">
        <w:rPr>
          <w:i/>
          <w:iCs/>
        </w:rPr>
        <w:t>FuelID</w:t>
      </w:r>
      <w:proofErr w:type="spellEnd"/>
      <w:r w:rsidRPr="00D8685E">
        <w:t xml:space="preserve"> will be added to </w:t>
      </w:r>
      <w:proofErr w:type="spellStart"/>
      <w:r w:rsidRPr="00D8685E">
        <w:t>eTRM</w:t>
      </w:r>
      <w:proofErr w:type="spellEnd"/>
      <w:r w:rsidRPr="00D8685E">
        <w:t xml:space="preserve"> permutations for program year 2025, the </w:t>
      </w:r>
      <w:r w:rsidR="00DA147B">
        <w:t xml:space="preserve">list of available </w:t>
      </w:r>
      <w:r w:rsidRPr="00D8685E">
        <w:t xml:space="preserve">Measure Impact Types </w:t>
      </w:r>
      <w:r w:rsidR="000B5470">
        <w:t>are</w:t>
      </w:r>
      <w:r w:rsidRPr="00D8685E">
        <w:t xml:space="preserve"> consolidated.</w:t>
      </w:r>
    </w:p>
    <w:p w:rsidRPr="00452339" w:rsidR="005658DC" w:rsidP="002B281F" w:rsidRDefault="005658DC" w14:paraId="647909E4" w14:textId="77777777">
      <w:pPr>
        <w:pStyle w:val="Heading4"/>
      </w:pPr>
      <w:r w:rsidRPr="00452339">
        <w:t xml:space="preserve">Updates to </w:t>
      </w:r>
      <w:r>
        <w:t>EULs</w:t>
      </w:r>
    </w:p>
    <w:p w:rsidR="005658DC" w:rsidP="0074479C" w:rsidRDefault="005658DC" w14:paraId="127D4CF8" w14:textId="114F330B">
      <w:pPr>
        <w:pStyle w:val="Heading5"/>
      </w:pPr>
      <w:bookmarkStart w:name="_Hlk162978794" w:id="56"/>
      <w:bookmarkStart w:name="_Hlk162968486" w:id="57"/>
      <w:r>
        <w:t>EUL for Residential Behavioral NMEC Programs</w:t>
      </w:r>
    </w:p>
    <w:p w:rsidR="005D2091" w:rsidP="005D2091" w:rsidRDefault="005658DC" w14:paraId="6B8378BB" w14:textId="42F04866">
      <w:r w:rsidRPr="00B3569D">
        <w:rPr>
          <w:u w:val="single"/>
        </w:rPr>
        <w:t xml:space="preserve">Effective Program Year: </w:t>
      </w:r>
      <w:r>
        <w:rPr>
          <w:u w:val="single"/>
        </w:rPr>
        <w:t>202</w:t>
      </w:r>
      <w:r w:rsidR="00F81525">
        <w:rPr>
          <w:u w:val="single"/>
        </w:rPr>
        <w:t>5</w:t>
      </w:r>
      <w:r>
        <w:rPr>
          <w:u w:val="single"/>
        </w:rPr>
        <w:t>.</w:t>
      </w:r>
      <w:r w:rsidRPr="00836E94">
        <w:t xml:space="preserve"> </w:t>
      </w:r>
      <w:r w:rsidR="00782960">
        <w:t xml:space="preserve">Since </w:t>
      </w:r>
      <w:r>
        <w:t>data w</w:t>
      </w:r>
      <w:r w:rsidR="00782960">
        <w:t>ere</w:t>
      </w:r>
      <w:r>
        <w:t xml:space="preserve"> </w:t>
      </w:r>
      <w:r w:rsidR="00CE6813">
        <w:t>submitted</w:t>
      </w:r>
      <w:r>
        <w:t xml:space="preserve"> </w:t>
      </w:r>
      <w:r w:rsidR="00A10AD5">
        <w:t>by Pacific Gas &amp; Electric</w:t>
      </w:r>
      <w:r>
        <w:t xml:space="preserve"> that showed evidence of a p</w:t>
      </w:r>
      <w:r w:rsidRPr="00AA29BF">
        <w:t>opulation</w:t>
      </w:r>
      <w:r>
        <w:t>-level</w:t>
      </w:r>
      <w:r w:rsidRPr="00AA29BF">
        <w:t xml:space="preserve"> </w:t>
      </w:r>
      <w:r w:rsidR="00D514A5">
        <w:t>Normalized Metered Energy Consumption (</w:t>
      </w:r>
      <w:r w:rsidRPr="00AA29BF">
        <w:t>NMEC</w:t>
      </w:r>
      <w:r w:rsidR="00D514A5">
        <w:t>)</w:t>
      </w:r>
      <w:r w:rsidRPr="00AA29BF">
        <w:t xml:space="preserve"> Residential Behavioral </w:t>
      </w:r>
      <w:r>
        <w:t>Program delivering measurable savings for two years</w:t>
      </w:r>
      <w:r w:rsidR="00CE6813">
        <w:t xml:space="preserve">, a request </w:t>
      </w:r>
      <w:r w:rsidR="005C6AD3">
        <w:t xml:space="preserve">was received </w:t>
      </w:r>
      <w:r w:rsidR="00CE6813">
        <w:t xml:space="preserve">to extend the </w:t>
      </w:r>
      <w:r w:rsidR="005B6E34">
        <w:t>EUL</w:t>
      </w:r>
      <w:r w:rsidR="006347E4">
        <w:t xml:space="preserve"> from one to two years</w:t>
      </w:r>
      <w:r>
        <w:t>.</w:t>
      </w:r>
      <w:r w:rsidDel="0051063D">
        <w:t xml:space="preserve"> </w:t>
      </w:r>
      <w:r w:rsidR="0051063D">
        <w:t>A new EUL ID has been created</w:t>
      </w:r>
      <w:r w:rsidR="00816FDC">
        <w:t xml:space="preserve"> (Res-Behavioral-NMEC) </w:t>
      </w:r>
      <w:r w:rsidRPr="00FB7177" w:rsidR="00FB7177">
        <w:t xml:space="preserve">where each year's energy savings </w:t>
      </w:r>
      <w:r w:rsidR="00386305">
        <w:t>will be</w:t>
      </w:r>
      <w:r w:rsidRPr="00FB7177" w:rsidR="00FB7177">
        <w:t xml:space="preserve"> empirically derived </w:t>
      </w:r>
      <w:r w:rsidRPr="0046545B" w:rsidR="0046545B">
        <w:t xml:space="preserve">in accordance with </w:t>
      </w:r>
      <w:r w:rsidR="00C0626E">
        <w:t xml:space="preserve">NMEC </w:t>
      </w:r>
      <w:r w:rsidR="00F62422">
        <w:t>rules</w:t>
      </w:r>
      <w:r w:rsidR="00183BBE">
        <w:t>.</w:t>
      </w:r>
      <w:bookmarkStart w:name="_Hlk163819517" w:id="58"/>
    </w:p>
    <w:bookmarkEnd w:id="56"/>
    <w:bookmarkEnd w:id="57"/>
    <w:bookmarkEnd w:id="58"/>
    <w:p w:rsidR="005658DC" w:rsidP="0074479C" w:rsidRDefault="005658DC" w14:paraId="613C0CEF" w14:textId="77777777">
      <w:pPr>
        <w:pStyle w:val="Heading5"/>
      </w:pPr>
      <w:r>
        <w:t>Residential Weatherization Measures</w:t>
      </w:r>
    </w:p>
    <w:p w:rsidR="005658DC" w:rsidP="005658DC" w:rsidRDefault="005658DC" w14:paraId="57C92469" w14:textId="7B77052D">
      <w:r w:rsidRPr="00B3569D">
        <w:rPr>
          <w:u w:val="single"/>
        </w:rPr>
        <w:t xml:space="preserve">Effective Program Year: </w:t>
      </w:r>
      <w:r>
        <w:rPr>
          <w:u w:val="single"/>
        </w:rPr>
        <w:t>2024.</w:t>
      </w:r>
      <w:r w:rsidRPr="00836E94">
        <w:t xml:space="preserve"> </w:t>
      </w:r>
      <w:r>
        <w:t xml:space="preserve">Documentation was submitted to Ex Ante Review to support the addition of </w:t>
      </w:r>
      <w:r w:rsidR="0039099C">
        <w:t xml:space="preserve">three building weatherization </w:t>
      </w:r>
      <w:r>
        <w:t>EUL_IDs and EULs</w:t>
      </w:r>
      <w:r w:rsidR="004048D4">
        <w:t>.</w:t>
      </w:r>
    </w:p>
    <w:p w:rsidR="005658DC" w:rsidP="0074479C" w:rsidRDefault="005658DC" w14:paraId="700D7F0F" w14:textId="77777777">
      <w:pPr>
        <w:pStyle w:val="Heading5"/>
      </w:pPr>
      <w:r>
        <w:t>Other Mid-cycle EUL Additions</w:t>
      </w:r>
    </w:p>
    <w:p w:rsidRPr="004048D4" w:rsidR="005658DC" w:rsidP="009D571B" w:rsidRDefault="005658DC" w14:paraId="62DBCFA4" w14:textId="750E4C3B">
      <w:pPr>
        <w:rPr>
          <w:b/>
          <w:szCs w:val="24"/>
        </w:rPr>
      </w:pPr>
      <w:r w:rsidRPr="004048D4">
        <w:rPr>
          <w:u w:val="single"/>
        </w:rPr>
        <w:t>Effective Program Year: 2023-2024.</w:t>
      </w:r>
      <w:r w:rsidRPr="004048D4">
        <w:t xml:space="preserve"> Documentation was submitted to Ex Ante Review to support the addition of </w:t>
      </w:r>
      <w:r w:rsidRPr="004048D4" w:rsidR="006B1513">
        <w:t xml:space="preserve">11 </w:t>
      </w:r>
      <w:r w:rsidRPr="004048D4">
        <w:t xml:space="preserve">EUL_IDs and EULs </w:t>
      </w:r>
      <w:r w:rsidRPr="004048D4" w:rsidR="007D3BFE">
        <w:t xml:space="preserve">for </w:t>
      </w:r>
      <w:r w:rsidRPr="004048D4" w:rsidR="008402CF">
        <w:t>water-energy nexus measures</w:t>
      </w:r>
      <w:r w:rsidRPr="004048D4" w:rsidR="005D1AD6">
        <w:t xml:space="preserve">, </w:t>
      </w:r>
      <w:r w:rsidRPr="004048D4" w:rsidR="00C148A0">
        <w:t xml:space="preserve">commercial </w:t>
      </w:r>
      <w:r w:rsidRPr="004048D4" w:rsidR="00244F7E">
        <w:t xml:space="preserve">gas </w:t>
      </w:r>
      <w:r w:rsidRPr="004048D4" w:rsidR="00C148A0">
        <w:t xml:space="preserve">patio heaters, </w:t>
      </w:r>
      <w:r w:rsidRPr="004048D4" w:rsidR="00244F7E">
        <w:t xml:space="preserve">and </w:t>
      </w:r>
      <w:r w:rsidRPr="004048D4" w:rsidR="006224F0">
        <w:t xml:space="preserve">residential fan controllers for HVAC systems. </w:t>
      </w:r>
    </w:p>
    <w:p w:rsidR="00077D1C" w:rsidP="002B281F" w:rsidRDefault="00077D1C" w14:paraId="6ABC9F38" w14:textId="1E7A77BA">
      <w:pPr>
        <w:pStyle w:val="Heading4"/>
      </w:pPr>
      <w:r>
        <w:lastRenderedPageBreak/>
        <w:t xml:space="preserve">Updates to Building Weights </w:t>
      </w:r>
      <w:r w:rsidR="00C07172">
        <w:t>Using</w:t>
      </w:r>
      <w:r>
        <w:t xml:space="preserve"> 2022 Commercial End Use Study</w:t>
      </w:r>
      <w:r w:rsidR="00C07172">
        <w:t xml:space="preserve"> (CEUS)</w:t>
      </w:r>
    </w:p>
    <w:p w:rsidRPr="000C7DF8" w:rsidR="00077D1C" w:rsidP="00077D1C" w:rsidRDefault="00077D1C" w14:paraId="613512CA" w14:textId="4A2472F3">
      <w:pPr>
        <w:rPr>
          <w:i/>
          <w:iCs/>
        </w:rPr>
      </w:pPr>
      <w:r>
        <w:rPr>
          <w:u w:val="single"/>
        </w:rPr>
        <w:t>Effective Program Year</w:t>
      </w:r>
      <w:r w:rsidR="008019AF">
        <w:rPr>
          <w:u w:val="single"/>
        </w:rPr>
        <w:t>:</w:t>
      </w:r>
      <w:r>
        <w:rPr>
          <w:u w:val="single"/>
        </w:rPr>
        <w:t xml:space="preserve"> 202</w:t>
      </w:r>
      <w:r w:rsidR="001D211A">
        <w:rPr>
          <w:u w:val="single"/>
        </w:rPr>
        <w:t>8</w:t>
      </w:r>
      <w:r>
        <w:rPr>
          <w:u w:val="single"/>
        </w:rPr>
        <w:t>.</w:t>
      </w:r>
      <w:r>
        <w:t xml:space="preserve"> Using the data provided by the 2022 Commercial End Use Study (CEUS), </w:t>
      </w:r>
      <w:r w:rsidR="001D211A">
        <w:t xml:space="preserve">updated building weights for the </w:t>
      </w:r>
      <w:r w:rsidR="001C1525">
        <w:t xml:space="preserve">“Com” </w:t>
      </w:r>
      <w:r w:rsidR="00755F27">
        <w:t xml:space="preserve">sector-level </w:t>
      </w:r>
      <w:r w:rsidR="000C7DF8">
        <w:t xml:space="preserve">commercial building type </w:t>
      </w:r>
      <w:r w:rsidR="00A40E8A">
        <w:t>will be</w:t>
      </w:r>
      <w:r w:rsidR="006B1B62">
        <w:t xml:space="preserve"> added to </w:t>
      </w:r>
      <w:r w:rsidR="00F21373">
        <w:t xml:space="preserve">the </w:t>
      </w:r>
      <w:r w:rsidR="00C7245A">
        <w:t xml:space="preserve">Building Weights </w:t>
      </w:r>
      <w:r w:rsidR="00F21373">
        <w:t xml:space="preserve">table. </w:t>
      </w:r>
      <w:r w:rsidR="000C7DF8">
        <w:t xml:space="preserve"> </w:t>
      </w:r>
    </w:p>
    <w:p w:rsidR="00063404" w:rsidP="002B281F" w:rsidRDefault="00C67061" w14:paraId="51A7E800" w14:textId="2F2FE8FC">
      <w:pPr>
        <w:pStyle w:val="Heading4"/>
      </w:pPr>
      <w:r>
        <w:t xml:space="preserve">New </w:t>
      </w:r>
      <w:proofErr w:type="spellStart"/>
      <w:r>
        <w:t>Gas</w:t>
      </w:r>
      <w:r w:rsidR="00D3021C">
        <w:t>ImpactProfileIDs</w:t>
      </w:r>
      <w:proofErr w:type="spellEnd"/>
    </w:p>
    <w:p w:rsidRPr="006E1799" w:rsidR="00063404" w:rsidP="00063404" w:rsidRDefault="00063404" w14:paraId="317C2A02" w14:textId="0A89B6B5">
      <w:r>
        <w:rPr>
          <w:u w:val="single"/>
        </w:rPr>
        <w:t>Effective Program Year</w:t>
      </w:r>
      <w:r w:rsidR="00763CB1">
        <w:rPr>
          <w:u w:val="single"/>
        </w:rPr>
        <w:t>:</w:t>
      </w:r>
      <w:r>
        <w:rPr>
          <w:u w:val="single"/>
        </w:rPr>
        <w:t xml:space="preserve"> </w:t>
      </w:r>
      <w:r w:rsidR="00CA2088">
        <w:rPr>
          <w:u w:val="single"/>
        </w:rPr>
        <w:t>2026</w:t>
      </w:r>
      <w:r>
        <w:rPr>
          <w:u w:val="single"/>
        </w:rPr>
        <w:t>.</w:t>
      </w:r>
      <w:r>
        <w:t xml:space="preserve"> </w:t>
      </w:r>
      <w:r w:rsidR="00F026F1">
        <w:t xml:space="preserve">Three new gas impact profile IDs were added </w:t>
      </w:r>
      <w:r w:rsidR="00481798">
        <w:t xml:space="preserve">for use with fuel substitution measures that </w:t>
      </w:r>
      <w:r w:rsidR="00341719">
        <w:t xml:space="preserve">substitute gas appliances with electric ones. </w:t>
      </w:r>
      <w:r w:rsidR="00495217">
        <w:t xml:space="preserve">These were needed </w:t>
      </w:r>
      <w:r w:rsidR="008036C8">
        <w:t xml:space="preserve">so that new avoided cost combinations could be generated that included </w:t>
      </w:r>
      <w:r w:rsidR="00082B22">
        <w:t xml:space="preserve">the </w:t>
      </w:r>
      <w:r w:rsidR="008E719A">
        <w:t xml:space="preserve">methane leakage adders </w:t>
      </w:r>
      <w:r w:rsidR="00D834E2">
        <w:t>included in</w:t>
      </w:r>
      <w:r w:rsidR="00D6215A">
        <w:t xml:space="preserve"> the </w:t>
      </w:r>
      <w:r w:rsidR="00CA2088">
        <w:t xml:space="preserve">2024 </w:t>
      </w:r>
      <w:r w:rsidR="00401159">
        <w:t>avoided cost updates.</w:t>
      </w:r>
    </w:p>
    <w:p w:rsidR="00A86F01" w:rsidP="002B281F" w:rsidRDefault="00A86F01" w14:paraId="186EC7DF" w14:textId="77777777">
      <w:pPr>
        <w:pStyle w:val="Heading4"/>
      </w:pPr>
      <w:r>
        <w:t xml:space="preserve">New </w:t>
      </w:r>
      <w:proofErr w:type="spellStart"/>
      <w:r>
        <w:t>TechTypes</w:t>
      </w:r>
      <w:proofErr w:type="spellEnd"/>
    </w:p>
    <w:p w:rsidRPr="00B7795F" w:rsidR="00A86F01" w:rsidP="00A86F01" w:rsidRDefault="00A86F01" w14:paraId="6CF68253" w14:textId="77777777">
      <w:r>
        <w:rPr>
          <w:u w:val="single"/>
        </w:rPr>
        <w:t>Effective Program Year: 2026.</w:t>
      </w:r>
      <w:r>
        <w:t xml:space="preserve"> Many of the food service technologies and some pool/spa technologies are either gas-burning or all electric. In these instances, existing </w:t>
      </w:r>
      <w:proofErr w:type="spellStart"/>
      <w:r>
        <w:t>TechTypes</w:t>
      </w:r>
      <w:proofErr w:type="spellEnd"/>
      <w:r>
        <w:t xml:space="preserve"> were split into two distinct </w:t>
      </w:r>
      <w:proofErr w:type="spellStart"/>
      <w:r>
        <w:t>TechTypes</w:t>
      </w:r>
      <w:proofErr w:type="spellEnd"/>
      <w:r>
        <w:t xml:space="preserve"> (e.g., the “Fryer” </w:t>
      </w:r>
      <w:proofErr w:type="spellStart"/>
      <w:r>
        <w:t>TechType</w:t>
      </w:r>
      <w:proofErr w:type="spellEnd"/>
      <w:r>
        <w:t xml:space="preserve"> is replaced with “Fryer-Elec” and “Fryer-Gas” </w:t>
      </w:r>
      <w:proofErr w:type="spellStart"/>
      <w:r>
        <w:t>TechTypes</w:t>
      </w:r>
      <w:proofErr w:type="spellEnd"/>
      <w:r>
        <w:t>).</w:t>
      </w:r>
    </w:p>
    <w:p w:rsidR="00427597" w:rsidP="00427597" w:rsidRDefault="00427597" w14:paraId="74613609" w14:textId="4DE70016">
      <w:pPr>
        <w:pStyle w:val="Heading2"/>
      </w:pPr>
      <w:r>
        <w:t xml:space="preserve">Research </w:t>
      </w:r>
      <w:r w:rsidR="00594AE7">
        <w:t xml:space="preserve">Needs </w:t>
      </w:r>
      <w:r>
        <w:t>for PY202</w:t>
      </w:r>
      <w:r w:rsidR="00822CE5">
        <w:t>8</w:t>
      </w:r>
      <w:r>
        <w:t>-2</w:t>
      </w:r>
      <w:r w:rsidR="00822CE5">
        <w:t>9</w:t>
      </w:r>
    </w:p>
    <w:p w:rsidR="00427597" w:rsidP="00427597" w:rsidRDefault="2F07D01D" w14:paraId="2DA3F6D2" w14:textId="38ADDD78">
      <w:pPr>
        <w:rPr>
          <w:rFonts w:eastAsia="Calibri" w:cs="Arial"/>
        </w:rPr>
      </w:pPr>
      <w:r w:rsidRPr="23A56DEC">
        <w:rPr>
          <w:u w:val="single"/>
        </w:rPr>
        <w:t>Effective Program Year: 2028</w:t>
      </w:r>
      <w:r w:rsidRPr="23A56DEC" w:rsidR="6299AE19">
        <w:rPr>
          <w:u w:val="single"/>
        </w:rPr>
        <w:t>.</w:t>
      </w:r>
      <w:r w:rsidR="6299AE19">
        <w:t xml:space="preserve"> </w:t>
      </w:r>
      <w:r w:rsidRPr="23A56DEC" w:rsidR="1BB0C83A">
        <w:rPr>
          <w:rFonts w:eastAsia="Calibri" w:cs="Arial"/>
        </w:rPr>
        <w:t>The</w:t>
      </w:r>
      <w:r w:rsidRPr="23A56DEC" w:rsidR="6DC2CCE8">
        <w:rPr>
          <w:rFonts w:eastAsia="Calibri" w:cs="Arial"/>
        </w:rPr>
        <w:t xml:space="preserve"> </w:t>
      </w:r>
      <w:r w:rsidRPr="23A56DEC" w:rsidR="164FEEB5">
        <w:rPr>
          <w:rFonts w:eastAsia="Calibri" w:cs="Arial"/>
        </w:rPr>
        <w:t xml:space="preserve">focus of </w:t>
      </w:r>
      <w:r w:rsidRPr="23A56DEC" w:rsidR="1BB0C83A">
        <w:rPr>
          <w:rFonts w:eastAsia="Calibri" w:cs="Arial"/>
        </w:rPr>
        <w:t xml:space="preserve">future research </w:t>
      </w:r>
      <w:r w:rsidRPr="23A56DEC" w:rsidR="6DC2CCE8">
        <w:rPr>
          <w:rFonts w:eastAsia="Calibri" w:cs="Arial"/>
        </w:rPr>
        <w:t>plans</w:t>
      </w:r>
      <w:r w:rsidRPr="23A56DEC" w:rsidR="1582C5BB">
        <w:rPr>
          <w:rFonts w:eastAsia="Calibri" w:cs="Arial"/>
        </w:rPr>
        <w:t xml:space="preserve"> needs to</w:t>
      </w:r>
      <w:r w:rsidRPr="23A56DEC" w:rsidR="6DC2CCE8">
        <w:rPr>
          <w:rFonts w:eastAsia="Calibri" w:cs="Arial"/>
        </w:rPr>
        <w:t xml:space="preserve"> </w:t>
      </w:r>
      <w:r w:rsidRPr="23A56DEC" w:rsidR="1BB0C83A">
        <w:rPr>
          <w:rFonts w:eastAsia="Calibri" w:cs="Arial"/>
        </w:rPr>
        <w:t>center around forecasting important updates that will have significant impact on deemed measure savings</w:t>
      </w:r>
      <w:r w:rsidRPr="23A56DEC" w:rsidR="55DFAFED">
        <w:rPr>
          <w:rFonts w:eastAsia="Calibri" w:cs="Arial"/>
        </w:rPr>
        <w:t xml:space="preserve">. </w:t>
      </w:r>
      <w:r w:rsidRPr="23A56DEC" w:rsidR="269B1C58">
        <w:rPr>
          <w:rFonts w:eastAsia="Calibri" w:cs="Arial"/>
        </w:rPr>
        <w:t>Future codes and standards and emerging technologies are two broad categories that influence how measure baseline definitions evolve resulting from new codes and standards. Additional research may be needed to bridge</w:t>
      </w:r>
      <w:r w:rsidRPr="23A56DEC" w:rsidDel="269B1C58">
        <w:rPr>
          <w:rFonts w:eastAsia="Calibri" w:cs="Arial"/>
        </w:rPr>
        <w:t xml:space="preserve"> </w:t>
      </w:r>
      <w:r w:rsidRPr="23A56DEC" w:rsidR="269B1C58">
        <w:rPr>
          <w:rFonts w:eastAsia="Calibri" w:cs="Arial"/>
        </w:rPr>
        <w:t xml:space="preserve">case studies to a reliable sample or pilot evaluation that can be used to create a new measure. Beyond baseline research and </w:t>
      </w:r>
      <w:r w:rsidRPr="23A56DEC" w:rsidR="2B34567C">
        <w:rPr>
          <w:rFonts w:eastAsia="Calibri" w:cs="Arial"/>
        </w:rPr>
        <w:t>in</w:t>
      </w:r>
      <w:r w:rsidRPr="23A56DEC" w:rsidR="269B1C58">
        <w:rPr>
          <w:rFonts w:eastAsia="Calibri" w:cs="Arial"/>
        </w:rPr>
        <w:t xml:space="preserve"> support </w:t>
      </w:r>
      <w:r w:rsidRPr="23A56DEC" w:rsidR="2B34567C">
        <w:rPr>
          <w:rFonts w:eastAsia="Calibri" w:cs="Arial"/>
        </w:rPr>
        <w:t xml:space="preserve">of </w:t>
      </w:r>
      <w:r w:rsidRPr="23A56DEC" w:rsidR="269B1C58">
        <w:rPr>
          <w:rFonts w:eastAsia="Calibri" w:cs="Arial"/>
        </w:rPr>
        <w:t>new measures, further research could support new policies and use assumptions that could be updated with research. These items may not be measure specific and could affect default parameters such as NTG or EUL.</w:t>
      </w:r>
    </w:p>
    <w:p w:rsidR="002B2EA9" w:rsidP="002B2EA9" w:rsidRDefault="00103682" w14:paraId="2E29EFE9" w14:textId="0FA793D7">
      <w:pPr>
        <w:pStyle w:val="Heading3"/>
      </w:pPr>
      <w:bookmarkStart w:name="_Ref100591188" w:id="59"/>
      <w:bookmarkStart w:name="_Toc104200069" w:id="60"/>
      <w:bookmarkStart w:name="_Hlk97593013" w:id="61"/>
      <w:bookmarkStart w:name="_Hlk98433383" w:id="62"/>
      <w:r>
        <w:t xml:space="preserve">Research to </w:t>
      </w:r>
      <w:r w:rsidR="002B2EA9">
        <w:t>Improve HVAC Refrigerant Charge Values</w:t>
      </w:r>
    </w:p>
    <w:p w:rsidRPr="002B2EA9" w:rsidR="003B2B27" w:rsidP="002B2EA9" w:rsidRDefault="001B403C" w14:paraId="54D9609F" w14:textId="0871AFB2">
      <w:r>
        <w:rPr>
          <w:u w:val="single"/>
        </w:rPr>
        <w:t>Effective Program Year: 20</w:t>
      </w:r>
      <w:r w:rsidR="0058502C">
        <w:rPr>
          <w:u w:val="single"/>
        </w:rPr>
        <w:t>28</w:t>
      </w:r>
      <w:r>
        <w:rPr>
          <w:u w:val="single"/>
        </w:rPr>
        <w:t>.</w:t>
      </w:r>
      <w:r>
        <w:t xml:space="preserve"> </w:t>
      </w:r>
      <w:r w:rsidR="003B2B27">
        <w:t xml:space="preserve">Since the emissions due to refrigerant leakage have a direct effect on both the cost effectiveness of a given measure offering and—for fuel substitution measures—whether a given measure offering permutation </w:t>
      </w:r>
      <w:r w:rsidR="00F57DA5">
        <w:t xml:space="preserve">does not increase </w:t>
      </w:r>
      <w:r w:rsidR="007977B8">
        <w:t xml:space="preserve">net </w:t>
      </w:r>
      <w:r w:rsidR="007F50EC">
        <w:t>CO</w:t>
      </w:r>
      <w:r w:rsidRPr="00B32EF4" w:rsidR="007F50EC">
        <w:rPr>
          <w:vertAlign w:val="subscript"/>
        </w:rPr>
        <w:t>2e</w:t>
      </w:r>
      <w:r w:rsidR="007F50EC">
        <w:t xml:space="preserve"> emissions</w:t>
      </w:r>
      <w:r w:rsidR="00B32EF4">
        <w:t xml:space="preserve"> per</w:t>
      </w:r>
      <w:r w:rsidR="003B2B27">
        <w:t xml:space="preserve"> part two of the fuel substitution test, it is important to have a better understanding of the refrigerant charge (lb./</w:t>
      </w:r>
      <w:proofErr w:type="spellStart"/>
      <w:r w:rsidR="003B2B27">
        <w:t>NormUnit</w:t>
      </w:r>
      <w:proofErr w:type="spellEnd"/>
      <w:r w:rsidR="003B2B27">
        <w:t xml:space="preserve">) for HVAC systems and products. </w:t>
      </w:r>
    </w:p>
    <w:p w:rsidR="00BE1F81" w:rsidP="00BE1F81" w:rsidRDefault="7CF66E87" w14:paraId="00ADFB55" w14:textId="1CA94D60">
      <w:pPr>
        <w:pStyle w:val="Heading3"/>
      </w:pPr>
      <w:r>
        <w:t>Variable Refrigerant Flow (</w:t>
      </w:r>
      <w:r w:rsidR="1D962AB9">
        <w:t>VRF</w:t>
      </w:r>
      <w:r w:rsidR="3BB9A4F2">
        <w:t>)</w:t>
      </w:r>
      <w:r w:rsidR="1D962AB9">
        <w:t xml:space="preserve"> Heat Pump and AC Performance Curves</w:t>
      </w:r>
    </w:p>
    <w:p w:rsidRPr="00BE1F81" w:rsidR="00BE1F81" w:rsidP="00BE1F81" w:rsidRDefault="001B403C" w14:paraId="7B2EA8BA" w14:textId="22C9B2CD">
      <w:r>
        <w:rPr>
          <w:u w:val="single"/>
        </w:rPr>
        <w:t>Effective Program Year: 20</w:t>
      </w:r>
      <w:r w:rsidR="0058502C">
        <w:rPr>
          <w:u w:val="single"/>
        </w:rPr>
        <w:t>28</w:t>
      </w:r>
      <w:r>
        <w:rPr>
          <w:u w:val="single"/>
        </w:rPr>
        <w:t>.</w:t>
      </w:r>
      <w:r>
        <w:t xml:space="preserve"> </w:t>
      </w:r>
      <w:r w:rsidRPr="003A77FC" w:rsidR="003A77FC">
        <w:t xml:space="preserve">SDG&amp;E has funded additional research in high efficiency equipment using inverter-driven compressors with variable refrigerant flow to further </w:t>
      </w:r>
      <w:r w:rsidRPr="003A77FC" w:rsidR="003A77FC">
        <w:lastRenderedPageBreak/>
        <w:t xml:space="preserve">address data gaps in the study that SDG&amp;E performed in 2023. </w:t>
      </w:r>
      <w:r w:rsidR="00796407">
        <w:t xml:space="preserve">This is phase 2 of research that began with the scope presented in </w:t>
      </w:r>
      <w:r w:rsidR="0037357D">
        <w:t>S</w:t>
      </w:r>
      <w:r w:rsidR="00796407">
        <w:t>ection</w:t>
      </w:r>
      <w:r w:rsidR="00DD280E">
        <w:t xml:space="preserve"> </w:t>
      </w:r>
      <w:r w:rsidR="00A039BA">
        <w:fldChar w:fldCharType="begin"/>
      </w:r>
      <w:r w:rsidR="00A039BA">
        <w:instrText xml:space="preserve"> REF _Ref175760015 \r \h </w:instrText>
      </w:r>
      <w:r w:rsidR="00A039BA">
        <w:fldChar w:fldCharType="separate"/>
      </w:r>
      <w:r w:rsidR="00787722">
        <w:t>M</w:t>
      </w:r>
      <w:r w:rsidR="00A039BA">
        <w:fldChar w:fldCharType="end"/>
      </w:r>
      <w:r w:rsidR="00796407">
        <w:t xml:space="preserve">. </w:t>
      </w:r>
      <w:r w:rsidRPr="003A77FC" w:rsidR="003A77FC">
        <w:t xml:space="preserve">We support this research and recommend relying on </w:t>
      </w:r>
      <w:r w:rsidR="00E91456">
        <w:t xml:space="preserve">published </w:t>
      </w:r>
      <w:r w:rsidRPr="003A77FC" w:rsidR="003A77FC">
        <w:t>independent lab-test data rather than manufacturer data to inform performance curves.</w:t>
      </w:r>
    </w:p>
    <w:p w:rsidR="003A77FC" w:rsidP="00D879CD" w:rsidRDefault="00D879CD" w14:paraId="46BA0E22" w14:textId="4DF96200">
      <w:pPr>
        <w:pStyle w:val="Heading3"/>
      </w:pPr>
      <w:r w:rsidRPr="00D879CD">
        <w:t>Improvements for Commercial Water Heater and Hot Water Measures</w:t>
      </w:r>
    </w:p>
    <w:p w:rsidRPr="00D879CD" w:rsidR="00D879CD" w:rsidP="00D879CD" w:rsidRDefault="7DBFA8C6" w14:paraId="08072A28" w14:textId="3B1DFC8A">
      <w:r w:rsidRPr="1BEEFBBC">
        <w:rPr>
          <w:u w:val="single"/>
        </w:rPr>
        <w:t>Effective Program Year: 20</w:t>
      </w:r>
      <w:r w:rsidRPr="1BEEFBBC" w:rsidR="0DE6511D">
        <w:rPr>
          <w:u w:val="single"/>
        </w:rPr>
        <w:t>28</w:t>
      </w:r>
      <w:r w:rsidRPr="1BEEFBBC">
        <w:rPr>
          <w:u w:val="single"/>
        </w:rPr>
        <w:t>.</w:t>
      </w:r>
      <w:r>
        <w:t xml:space="preserve"> </w:t>
      </w:r>
      <w:r w:rsidR="3587D536">
        <w:t>Although</w:t>
      </w:r>
      <w:r w:rsidR="694C0633">
        <w:t xml:space="preserve"> </w:t>
      </w:r>
      <w:r w:rsidR="41738E94">
        <w:t>a</w:t>
      </w:r>
      <w:r w:rsidR="69AF0222">
        <w:t xml:space="preserve"> literature and internet research </w:t>
      </w:r>
      <w:r w:rsidR="41738E94">
        <w:t xml:space="preserve">effort </w:t>
      </w:r>
      <w:r w:rsidR="69AF0222">
        <w:t>to identify recent hot water load profiles for commercial buildings</w:t>
      </w:r>
      <w:r w:rsidR="6505D5E7">
        <w:t xml:space="preserve"> </w:t>
      </w:r>
      <w:r w:rsidR="2730623A">
        <w:t xml:space="preserve">found </w:t>
      </w:r>
      <w:r w:rsidR="3C0F3228">
        <w:t>no</w:t>
      </w:r>
      <w:r w:rsidR="69AF0222">
        <w:t xml:space="preserve"> better</w:t>
      </w:r>
      <w:r w:rsidR="00D8397D">
        <w:t xml:space="preserve"> </w:t>
      </w:r>
      <w:r w:rsidR="3C0F3228">
        <w:t>available data, t</w:t>
      </w:r>
      <w:r w:rsidR="69AF0222">
        <w:t>he Ex</w:t>
      </w:r>
      <w:r w:rsidR="25790C74">
        <w:t xml:space="preserve"> </w:t>
      </w:r>
      <w:r w:rsidR="69AF0222">
        <w:t xml:space="preserve">Ante Review Team will revisit this effort </w:t>
      </w:r>
      <w:r w:rsidR="334E3DEE">
        <w:t>now that</w:t>
      </w:r>
      <w:r w:rsidR="69AF0222">
        <w:t xml:space="preserve"> the last of the data gathered during the 2019 Commercial End Use Study (CEUS) has been published. Additional activity-level load shapes (e.g., gyms, laundromats) will </w:t>
      </w:r>
      <w:r w:rsidR="38311C21">
        <w:t xml:space="preserve">also </w:t>
      </w:r>
      <w:r w:rsidR="69AF0222">
        <w:t xml:space="preserve">be pursued for development. </w:t>
      </w:r>
      <w:r w:rsidR="07554766">
        <w:t>CPUC staff and staff consultants</w:t>
      </w:r>
      <w:r w:rsidR="69AF0222">
        <w:t xml:space="preserve"> will also explore pathways to migrating commercial measures currently modeled using the DEER Water Heater Calculator</w:t>
      </w:r>
      <w:r w:rsidR="3889FF9A">
        <w:t xml:space="preserve"> to </w:t>
      </w:r>
      <w:proofErr w:type="spellStart"/>
      <w:r w:rsidR="3889FF9A">
        <w:t>EnergyPlus</w:t>
      </w:r>
      <w:proofErr w:type="spellEnd"/>
      <w:r w:rsidR="69AF0222">
        <w:t xml:space="preserve">. </w:t>
      </w:r>
    </w:p>
    <w:bookmarkEnd w:id="59"/>
    <w:bookmarkEnd w:id="60"/>
    <w:bookmarkEnd w:id="61"/>
    <w:bookmarkEnd w:id="62"/>
    <w:p w:rsidR="00427597" w:rsidP="00075FA3" w:rsidRDefault="00075FA3" w14:paraId="4E97437D" w14:textId="5C78F1CF">
      <w:pPr>
        <w:pStyle w:val="Heading2"/>
      </w:pPr>
      <w:r>
        <w:t>Measure Adoption</w:t>
      </w:r>
    </w:p>
    <w:p w:rsidR="00075FA3" w:rsidP="00075FA3" w:rsidRDefault="0009165F" w14:paraId="7F50C587" w14:textId="38B0EC69">
      <w:r>
        <w:rPr>
          <w:u w:val="single"/>
        </w:rPr>
        <w:t>Effective Program Year: 20</w:t>
      </w:r>
      <w:r w:rsidR="003D66FA">
        <w:rPr>
          <w:u w:val="single"/>
        </w:rPr>
        <w:t>24</w:t>
      </w:r>
      <w:r w:rsidR="003E7566">
        <w:rPr>
          <w:u w:val="single"/>
        </w:rPr>
        <w:t>-2025 and</w:t>
      </w:r>
      <w:r w:rsidR="002553FD">
        <w:rPr>
          <w:u w:val="single"/>
        </w:rPr>
        <w:t xml:space="preserve"> 2026</w:t>
      </w:r>
      <w:r w:rsidR="003E7566">
        <w:rPr>
          <w:u w:val="single"/>
        </w:rPr>
        <w:t>-2027</w:t>
      </w:r>
      <w:r>
        <w:rPr>
          <w:u w:val="single"/>
        </w:rPr>
        <w:t>.</w:t>
      </w:r>
      <w:r>
        <w:t xml:space="preserve"> </w:t>
      </w:r>
      <w:r w:rsidR="00223F7E">
        <w:t>Per D.21-05-031</w:t>
      </w:r>
      <w:r w:rsidR="009B0B33">
        <w:t>,</w:t>
      </w:r>
      <w:r w:rsidR="00223F7E">
        <w:t xml:space="preserve"> t</w:t>
      </w:r>
      <w:r w:rsidR="00075FA3">
        <w:t xml:space="preserve">his resolution </w:t>
      </w:r>
      <w:r w:rsidR="0E73531B">
        <w:t>adopts</w:t>
      </w:r>
      <w:r w:rsidRPr="004C4DA6" w:rsidR="00075FA3">
        <w:t xml:space="preserve"> and </w:t>
      </w:r>
      <w:r w:rsidR="0E73531B">
        <w:t>locks</w:t>
      </w:r>
      <w:r w:rsidRPr="00851444" w:rsidR="00075FA3">
        <w:t xml:space="preserve"> approved </w:t>
      </w:r>
      <w:r w:rsidR="00075FA3">
        <w:t>e</w:t>
      </w:r>
      <w:r w:rsidRPr="00851444" w:rsidR="00075FA3">
        <w:t>x</w:t>
      </w:r>
      <w:r w:rsidR="00075FA3">
        <w:t xml:space="preserve"> a</w:t>
      </w:r>
      <w:r w:rsidRPr="00851444" w:rsidR="00075FA3">
        <w:t>nte values</w:t>
      </w:r>
      <w:r w:rsidR="00075FA3">
        <w:t xml:space="preserve"> contained in the measure packages for </w:t>
      </w:r>
      <w:r w:rsidRPr="0053439D" w:rsidR="0053439D">
        <w:t>PY2026-2027 and mid-cycle change from PY2024-25</w:t>
      </w:r>
      <w:r w:rsidR="00EC149B">
        <w:t xml:space="preserve">. </w:t>
      </w:r>
      <w:r w:rsidR="00075FA3">
        <w:t>The list of measure packages adopted and locked for PY202</w:t>
      </w:r>
      <w:r w:rsidR="00C869D1">
        <w:t>4-25</w:t>
      </w:r>
      <w:r w:rsidR="00075FA3">
        <w:t xml:space="preserve"> is listed in Appendix A1 and the list of measure packages adopted and locked for PY202</w:t>
      </w:r>
      <w:r w:rsidR="00F76F9F">
        <w:t>6</w:t>
      </w:r>
      <w:r w:rsidR="00075FA3">
        <w:t>-2</w:t>
      </w:r>
      <w:r w:rsidR="00F76F9F">
        <w:t>7</w:t>
      </w:r>
      <w:r w:rsidR="00075FA3">
        <w:t xml:space="preserve"> is in Appendix A2</w:t>
      </w:r>
      <w:r w:rsidR="00EC149B">
        <w:t xml:space="preserve">. </w:t>
      </w:r>
      <w:r w:rsidRPr="00851444" w:rsidR="00075FA3">
        <w:t>A</w:t>
      </w:r>
      <w:r w:rsidR="00075FA3">
        <w:t>ll</w:t>
      </w:r>
      <w:r w:rsidRPr="00851444" w:rsidR="00075FA3">
        <w:t xml:space="preserve"> measure</w:t>
      </w:r>
      <w:r w:rsidR="00075FA3">
        <w:t>s</w:t>
      </w:r>
      <w:r w:rsidRPr="00851444" w:rsidR="00075FA3">
        <w:t xml:space="preserve"> that will be active in that program year</w:t>
      </w:r>
      <w:r w:rsidR="00075FA3">
        <w:t xml:space="preserve"> will be adopted and locked, not just those with updates</w:t>
      </w:r>
      <w:r w:rsidR="00EC149B">
        <w:t xml:space="preserve">. </w:t>
      </w:r>
      <w:r w:rsidRPr="00851444" w:rsidR="00075FA3">
        <w:t xml:space="preserve">New measures </w:t>
      </w:r>
      <w:r w:rsidR="00075FA3">
        <w:t>can be added</w:t>
      </w:r>
      <w:r w:rsidRPr="00851444" w:rsidR="00075FA3">
        <w:t xml:space="preserve"> </w:t>
      </w:r>
      <w:r w:rsidR="00305460">
        <w:t>mid</w:t>
      </w:r>
      <w:r w:rsidRPr="00851444" w:rsidR="00075FA3">
        <w:t>-cycle</w:t>
      </w:r>
      <w:r w:rsidR="00075FA3">
        <w:t xml:space="preserve"> and will be tracked with start and </w:t>
      </w:r>
      <w:r w:rsidR="009A7BAA">
        <w:t xml:space="preserve">end </w:t>
      </w:r>
      <w:r w:rsidR="00075FA3">
        <w:t xml:space="preserve">dates of those measures in the </w:t>
      </w:r>
      <w:proofErr w:type="spellStart"/>
      <w:r w:rsidR="00075FA3">
        <w:t>eTRM</w:t>
      </w:r>
      <w:proofErr w:type="spellEnd"/>
      <w:r w:rsidRPr="00851444" w:rsidR="00075FA3">
        <w:t>.</w:t>
      </w:r>
    </w:p>
    <w:p w:rsidRPr="00445878" w:rsidR="00075FA3" w:rsidP="00075FA3" w:rsidRDefault="00075FA3" w14:paraId="58B6C9C5" w14:textId="1D66C5BD">
      <w:r>
        <w:t xml:space="preserve">The dispositions and guidance </w:t>
      </w:r>
      <w:r w:rsidR="001F0759">
        <w:t xml:space="preserve">documents </w:t>
      </w:r>
      <w:r>
        <w:t xml:space="preserve">used to inform the measure updates for </w:t>
      </w:r>
      <w:r w:rsidR="004A101E">
        <w:t>PY2026-27</w:t>
      </w:r>
      <w:r>
        <w:t xml:space="preserve"> are provided </w:t>
      </w:r>
      <w:r w:rsidR="0E73531B">
        <w:t xml:space="preserve">for reference </w:t>
      </w:r>
      <w:r>
        <w:t>in Appendices A3 and A4 respectively</w:t>
      </w:r>
      <w:r w:rsidR="00EC149B">
        <w:t xml:space="preserve">. </w:t>
      </w:r>
      <w:r>
        <w:t xml:space="preserve">New guidance that has not been previously issued is provided in the sections </w:t>
      </w:r>
      <w:r w:rsidR="00460E6D">
        <w:t>that follow</w:t>
      </w:r>
      <w:r>
        <w:t>.</w:t>
      </w:r>
    </w:p>
    <w:p w:rsidR="00F81466" w:rsidP="00F81466" w:rsidRDefault="00820B50" w14:paraId="5DB89B67" w14:textId="7B771792">
      <w:pPr>
        <w:pStyle w:val="Heading3"/>
      </w:pPr>
      <w:bookmarkStart w:name="_Toc104200073" w:id="63"/>
      <w:r>
        <w:t xml:space="preserve">Guidance from </w:t>
      </w:r>
      <w:r w:rsidR="00F81466">
        <w:t xml:space="preserve">2021 </w:t>
      </w:r>
      <w:r w:rsidRPr="00F81466" w:rsidR="00F81466">
        <w:t>Custom Industrial, Agricultural, and Commercial (CIAC) Impact Evaluation</w:t>
      </w:r>
    </w:p>
    <w:p w:rsidRPr="00F81466" w:rsidR="00B36C75" w:rsidP="00F81466" w:rsidRDefault="05D740DE" w14:paraId="61C89E92" w14:textId="138D701A">
      <w:r>
        <w:rPr>
          <w:u w:val="single"/>
        </w:rPr>
        <w:t>Effective Program Year: 20</w:t>
      </w:r>
      <w:r w:rsidR="48BE267F">
        <w:rPr>
          <w:u w:val="single"/>
        </w:rPr>
        <w:t>26</w:t>
      </w:r>
      <w:r>
        <w:rPr>
          <w:u w:val="single"/>
        </w:rPr>
        <w:t>.</w:t>
      </w:r>
      <w:r>
        <w:t xml:space="preserve"> </w:t>
      </w:r>
      <w:r w:rsidR="056E5CBC">
        <w:t xml:space="preserve">The </w:t>
      </w:r>
      <w:r w:rsidRPr="009779A1" w:rsidR="056E5CBC">
        <w:t>2020-2021</w:t>
      </w:r>
      <w:r w:rsidR="056E5CBC">
        <w:t xml:space="preserve"> CIAC study</w:t>
      </w:r>
      <w:r w:rsidR="00B36C75">
        <w:rPr>
          <w:rStyle w:val="FootnoteReference"/>
        </w:rPr>
        <w:footnoteReference w:id="23"/>
      </w:r>
      <w:r w:rsidR="056E5CBC">
        <w:t xml:space="preserve"> evaluated electric and gas energy reductions by the CIAC program</w:t>
      </w:r>
      <w:r w:rsidR="0A925866">
        <w:t>s</w:t>
      </w:r>
      <w:r w:rsidR="056E5CBC">
        <w:t xml:space="preserve">, which includes Savings by Design (SBD) and custom programs. </w:t>
      </w:r>
      <w:r w:rsidR="50464721">
        <w:t xml:space="preserve">While there are no changes to current DEER values resulting from this study, </w:t>
      </w:r>
      <w:r w:rsidR="514B9E18">
        <w:t xml:space="preserve">CPUC staff agrees with the </w:t>
      </w:r>
      <w:r w:rsidR="2D0E8F38">
        <w:t xml:space="preserve">relevant </w:t>
      </w:r>
      <w:r w:rsidR="12986B28">
        <w:t>recommendations</w:t>
      </w:r>
      <w:r w:rsidR="2C8C34C4">
        <w:t xml:space="preserve">. First, </w:t>
      </w:r>
      <w:r w:rsidR="1549FB48">
        <w:t xml:space="preserve">lighting </w:t>
      </w:r>
      <w:r w:rsidR="108D2F06">
        <w:t xml:space="preserve">applications should use </w:t>
      </w:r>
      <w:r w:rsidR="17B34E33">
        <w:t xml:space="preserve">area-specific </w:t>
      </w:r>
      <w:r w:rsidR="614EC185">
        <w:t>hour</w:t>
      </w:r>
      <w:r w:rsidR="24888808">
        <w:t xml:space="preserve">s of use </w:t>
      </w:r>
      <w:r w:rsidR="7287EA05">
        <w:t xml:space="preserve">(HOU) </w:t>
      </w:r>
      <w:r w:rsidR="24888808">
        <w:t xml:space="preserve">categories when </w:t>
      </w:r>
      <w:r w:rsidR="207219B5">
        <w:t xml:space="preserve">the </w:t>
      </w:r>
      <w:r w:rsidR="49821C0A">
        <w:t xml:space="preserve">DEER </w:t>
      </w:r>
      <w:r w:rsidR="207219B5">
        <w:t>building</w:t>
      </w:r>
      <w:r w:rsidR="372F5869">
        <w:t xml:space="preserve">-specific </w:t>
      </w:r>
      <w:r w:rsidR="2627CAC6">
        <w:t>hours of use are found to be inappropriate for a given site</w:t>
      </w:r>
      <w:r w:rsidR="7F7ABBA7">
        <w:t>.</w:t>
      </w:r>
      <w:r w:rsidR="0366E8B0">
        <w:t xml:space="preserve"> </w:t>
      </w:r>
      <w:r w:rsidR="0C877E22">
        <w:t>Further</w:t>
      </w:r>
      <w:r w:rsidR="0366E8B0">
        <w:t>—</w:t>
      </w:r>
      <w:r w:rsidR="7F7ABBA7">
        <w:t>p</w:t>
      </w:r>
      <w:r w:rsidR="056E5CBC">
        <w:t>er D.12.05.015</w:t>
      </w:r>
      <w:r w:rsidR="0366E8B0">
        <w:t>—</w:t>
      </w:r>
      <w:r w:rsidR="056E5CBC">
        <w:t>PAs</w:t>
      </w:r>
      <w:r w:rsidDel="00073578" w:rsidR="056E5CBC">
        <w:t xml:space="preserve"> </w:t>
      </w:r>
      <w:r w:rsidR="404C7E85">
        <w:t>may</w:t>
      </w:r>
      <w:r w:rsidR="056E5CBC">
        <w:t xml:space="preserve"> conduct a study to develop HOUs if DEER values are </w:t>
      </w:r>
      <w:r w:rsidR="3A99E693">
        <w:t>neither</w:t>
      </w:r>
      <w:r w:rsidR="056E5CBC">
        <w:t xml:space="preserve"> </w:t>
      </w:r>
      <w:r w:rsidR="056E5CBC">
        <w:lastRenderedPageBreak/>
        <w:t xml:space="preserve">available </w:t>
      </w:r>
      <w:r w:rsidR="3A99E693">
        <w:t>nor</w:t>
      </w:r>
      <w:r w:rsidR="056E5CBC">
        <w:t xml:space="preserve"> applicable. </w:t>
      </w:r>
      <w:r w:rsidR="3966135B">
        <w:t>Second</w:t>
      </w:r>
      <w:r w:rsidR="056E5CBC">
        <w:t xml:space="preserve">, </w:t>
      </w:r>
      <w:r w:rsidR="4C1F259C">
        <w:t xml:space="preserve">it is </w:t>
      </w:r>
      <w:r w:rsidR="50FA7763">
        <w:t>recommended that</w:t>
      </w:r>
      <w:r w:rsidR="4C1F259C">
        <w:t xml:space="preserve"> </w:t>
      </w:r>
      <w:r w:rsidR="056E5CBC">
        <w:t>deemed portion</w:t>
      </w:r>
      <w:r w:rsidR="40A9B0F5">
        <w:t>s</w:t>
      </w:r>
      <w:r w:rsidR="056E5CBC">
        <w:t xml:space="preserve"> of custom project</w:t>
      </w:r>
      <w:r w:rsidR="50FA7763">
        <w:t>s</w:t>
      </w:r>
      <w:r w:rsidR="056E5CBC">
        <w:t xml:space="preserve"> </w:t>
      </w:r>
      <w:r w:rsidR="4C1F259C">
        <w:t>are</w:t>
      </w:r>
      <w:r w:rsidR="056E5CBC">
        <w:t xml:space="preserve"> filed as separate deemed </w:t>
      </w:r>
      <w:r w:rsidR="4C1F259C">
        <w:t xml:space="preserve">claims </w:t>
      </w:r>
      <w:r w:rsidR="226F8F16">
        <w:t>and clearly identified</w:t>
      </w:r>
      <w:r w:rsidR="45CFC11E">
        <w:t xml:space="preserve"> in </w:t>
      </w:r>
      <w:r w:rsidR="50FA7763">
        <w:t>the</w:t>
      </w:r>
      <w:r w:rsidR="45CFC11E">
        <w:t xml:space="preserve"> custom application</w:t>
      </w:r>
      <w:r w:rsidR="056E5CBC">
        <w:t>.</w:t>
      </w:r>
    </w:p>
    <w:p w:rsidR="00262F2B" w:rsidP="00075FA3" w:rsidRDefault="00A322A6" w14:paraId="1AA15480" w14:textId="18F2FDC6">
      <w:pPr>
        <w:pStyle w:val="Heading3"/>
      </w:pPr>
      <w:r>
        <w:t>Guidance from</w:t>
      </w:r>
      <w:r w:rsidR="00266CF6">
        <w:t xml:space="preserve"> </w:t>
      </w:r>
      <w:r w:rsidR="00DA26BD">
        <w:t>Effective Useful Life</w:t>
      </w:r>
      <w:r w:rsidR="00266CF6">
        <w:t xml:space="preserve"> (EUL)</w:t>
      </w:r>
      <w:r w:rsidR="00DA26BD">
        <w:t xml:space="preserve"> </w:t>
      </w:r>
      <w:r>
        <w:t>Studies</w:t>
      </w:r>
    </w:p>
    <w:p w:rsidR="00A322A6" w:rsidP="00A322A6" w:rsidRDefault="0009165F" w14:paraId="136DF159" w14:textId="3611CFF4">
      <w:r>
        <w:rPr>
          <w:u w:val="single"/>
        </w:rPr>
        <w:t>Effective Program Year: 2024-202</w:t>
      </w:r>
      <w:r w:rsidR="00617716">
        <w:rPr>
          <w:u w:val="single"/>
        </w:rPr>
        <w:t>5</w:t>
      </w:r>
      <w:r>
        <w:rPr>
          <w:u w:val="single"/>
        </w:rPr>
        <w:t>.</w:t>
      </w:r>
      <w:r>
        <w:t xml:space="preserve"> </w:t>
      </w:r>
      <w:r w:rsidR="001F3598">
        <w:t>This section summarizes CPUC guidance for measure packages related to three recent effective useful life (EUL) studies.</w:t>
      </w:r>
    </w:p>
    <w:p w:rsidR="00202C10" w:rsidP="002B281F" w:rsidRDefault="00202C10" w14:paraId="059646C9" w14:textId="21A4CC05">
      <w:pPr>
        <w:pStyle w:val="Heading4"/>
      </w:pPr>
      <w:r w:rsidRPr="008C15C6">
        <w:t xml:space="preserve">2023 Residential Insulation EUL Study </w:t>
      </w:r>
      <w:r w:rsidR="006B0215">
        <w:t>U</w:t>
      </w:r>
      <w:r>
        <w:t>pdates</w:t>
      </w:r>
    </w:p>
    <w:p w:rsidRPr="00352FDD" w:rsidR="00202C10" w:rsidP="00E75A21" w:rsidRDefault="00202C10" w14:paraId="62996469" w14:textId="1E9780E8">
      <w:pPr>
        <w:rPr>
          <w:szCs w:val="24"/>
        </w:rPr>
      </w:pPr>
      <w:r w:rsidRPr="00B3569D">
        <w:rPr>
          <w:u w:val="single"/>
        </w:rPr>
        <w:t xml:space="preserve">Effective Program Year: </w:t>
      </w:r>
      <w:r>
        <w:rPr>
          <w:u w:val="single"/>
        </w:rPr>
        <w:t>2024.</w:t>
      </w:r>
      <w:r w:rsidRPr="00836E94">
        <w:t xml:space="preserve"> </w:t>
      </w:r>
      <w:r>
        <w:t xml:space="preserve">The </w:t>
      </w:r>
      <w:r w:rsidRPr="008C15C6">
        <w:t>CPUC Group A 2023 Residential Insulation EUL Study FINAL Report</w:t>
      </w:r>
      <w:r>
        <w:rPr>
          <w:rStyle w:val="FootnoteReference"/>
        </w:rPr>
        <w:footnoteReference w:id="24"/>
      </w:r>
      <w:r>
        <w:t xml:space="preserve"> published in December 2023 presents the report findings of a 30-year EUL for ceiling and wall insulation measures. The findings of this study updated the insulation measures for program years 2024-25 with the new EULs per O.P. 5 in D.23-04-035. </w:t>
      </w:r>
    </w:p>
    <w:p w:rsidR="00202C10" w:rsidP="002B281F" w:rsidRDefault="00202C10" w14:paraId="44D39413" w14:textId="72AFE571">
      <w:pPr>
        <w:pStyle w:val="Heading4"/>
      </w:pPr>
      <w:r w:rsidRPr="008C15C6">
        <w:t xml:space="preserve">2023 </w:t>
      </w:r>
      <w:r w:rsidRPr="00EC1436">
        <w:t xml:space="preserve">Residential HVAC and Water Heating EUL </w:t>
      </w:r>
      <w:r w:rsidRPr="008C15C6">
        <w:t xml:space="preserve">Study </w:t>
      </w:r>
      <w:r w:rsidR="006B0215">
        <w:t>U</w:t>
      </w:r>
      <w:r>
        <w:t>pdates</w:t>
      </w:r>
    </w:p>
    <w:p w:rsidRPr="00352FDD" w:rsidR="00202C10" w:rsidP="008D1970" w:rsidRDefault="00202C10" w14:paraId="6DA97455" w14:textId="1D5FB16E">
      <w:r w:rsidRPr="00B3569D">
        <w:rPr>
          <w:u w:val="single"/>
        </w:rPr>
        <w:t xml:space="preserve">Effective Program Year: </w:t>
      </w:r>
      <w:r>
        <w:rPr>
          <w:u w:val="single"/>
        </w:rPr>
        <w:t>202</w:t>
      </w:r>
      <w:r w:rsidR="00617716">
        <w:rPr>
          <w:u w:val="single"/>
        </w:rPr>
        <w:t>5</w:t>
      </w:r>
      <w:r>
        <w:rPr>
          <w:u w:val="single"/>
        </w:rPr>
        <w:t>.</w:t>
      </w:r>
      <w:r w:rsidRPr="00836E94">
        <w:t xml:space="preserve"> </w:t>
      </w:r>
      <w:r>
        <w:t xml:space="preserve">The 2023 Residential HVAC and Water Heating EUL Study </w:t>
      </w:r>
      <w:r w:rsidR="0022546F">
        <w:t xml:space="preserve">set </w:t>
      </w:r>
      <w:r w:rsidR="00F91AAE">
        <w:t>updated</w:t>
      </w:r>
      <w:r w:rsidRPr="00D3752B">
        <w:t xml:space="preserve"> the EUL</w:t>
      </w:r>
      <w:r w:rsidR="00D708FD">
        <w:t>s</w:t>
      </w:r>
      <w:r w:rsidRPr="00D3752B">
        <w:t xml:space="preserve"> for fuel substitution HVAC and water heating measures. The study focuse</w:t>
      </w:r>
      <w:r w:rsidR="009004B4">
        <w:t>d</w:t>
      </w:r>
      <w:r w:rsidRPr="00D3752B">
        <w:t xml:space="preserve"> on both measure case and baseline equipment EULs</w:t>
      </w:r>
      <w:r>
        <w:t xml:space="preserve"> </w:t>
      </w:r>
      <w:r w:rsidR="00BF4431">
        <w:t xml:space="preserve">and the </w:t>
      </w:r>
      <w:r w:rsidR="00684A3D">
        <w:t xml:space="preserve">results </w:t>
      </w:r>
      <w:r w:rsidR="00951CEE">
        <w:t>led to an increase to</w:t>
      </w:r>
      <w:r w:rsidR="009458F1">
        <w:t xml:space="preserve"> the </w:t>
      </w:r>
      <w:r w:rsidR="00951CEE">
        <w:t xml:space="preserve">residential </w:t>
      </w:r>
      <w:r w:rsidR="009458F1">
        <w:t xml:space="preserve">EULs </w:t>
      </w:r>
      <w:r w:rsidR="00AF24AB">
        <w:t xml:space="preserve">for </w:t>
      </w:r>
      <w:r w:rsidR="00C82DA4">
        <w:t>heat pump</w:t>
      </w:r>
      <w:r w:rsidR="00D64D26">
        <w:t xml:space="preserve">s </w:t>
      </w:r>
      <w:r w:rsidR="009B1197">
        <w:t xml:space="preserve">and </w:t>
      </w:r>
      <w:r w:rsidR="001862EB">
        <w:t xml:space="preserve">air conditioners (except room/window units), </w:t>
      </w:r>
      <w:r w:rsidR="00C65097">
        <w:t>gas furnaces, heat pump water heaters</w:t>
      </w:r>
      <w:r w:rsidR="00F34E22">
        <w:t xml:space="preserve">, gas storage water heaters, and </w:t>
      </w:r>
      <w:r w:rsidR="008D1970">
        <w:t>gas tankless water heaters</w:t>
      </w:r>
      <w:r w:rsidRPr="00D3752B">
        <w:t xml:space="preserve">. </w:t>
      </w:r>
      <w:r w:rsidR="003A2796">
        <w:t>We direct that t</w:t>
      </w:r>
      <w:r w:rsidRPr="00D3752B">
        <w:t xml:space="preserve">he EULs established in this study </w:t>
      </w:r>
      <w:r w:rsidR="0071139C">
        <w:t>shall</w:t>
      </w:r>
      <w:r w:rsidRPr="00D3752B">
        <w:t xml:space="preserve"> be </w:t>
      </w:r>
      <w:r w:rsidR="00BF2078">
        <w:t>used for</w:t>
      </w:r>
      <w:r w:rsidRPr="00D3752B">
        <w:t xml:space="preserve"> the DEER2026 cycle</w:t>
      </w:r>
      <w:r w:rsidR="00BF2977">
        <w:t xml:space="preserve"> but also allow program administrators to utilize the updated </w:t>
      </w:r>
      <w:r w:rsidR="00BF22CE">
        <w:t>values for their 2025 programs</w:t>
      </w:r>
      <w:r w:rsidR="003203AC">
        <w:t>.</w:t>
      </w:r>
      <w:r w:rsidR="00BF22CE">
        <w:t xml:space="preserve">  Th</w:t>
      </w:r>
      <w:r w:rsidR="0024766B">
        <w:t xml:space="preserve">is allows the programs to utilize the most current </w:t>
      </w:r>
      <w:r w:rsidR="00D701C2">
        <w:t>EUL</w:t>
      </w:r>
      <w:r w:rsidR="0024766B">
        <w:t xml:space="preserve"> </w:t>
      </w:r>
      <w:r w:rsidR="00261EBC">
        <w:t xml:space="preserve">to best </w:t>
      </w:r>
      <w:r w:rsidR="00420CA1">
        <w:t xml:space="preserve">capture the true values of these </w:t>
      </w:r>
      <w:r w:rsidR="0067057C">
        <w:t xml:space="preserve">technologies and not miss opportunities to increase installations during the 2025 </w:t>
      </w:r>
      <w:r w:rsidR="003131D9">
        <w:t>program</w:t>
      </w:r>
      <w:r w:rsidR="000718C6">
        <w:t xml:space="preserve"> year</w:t>
      </w:r>
      <w:r w:rsidR="0067057C">
        <w:t xml:space="preserve">. </w:t>
      </w:r>
      <w:r>
        <w:rPr>
          <w:rStyle w:val="FootnoteReference"/>
        </w:rPr>
        <w:footnoteReference w:id="25"/>
      </w:r>
      <w:r w:rsidRPr="00D3752B">
        <w:t xml:space="preserve"> </w:t>
      </w:r>
      <w:r w:rsidR="002C652C">
        <w:t>Although residential central air conditioning was not part of this EUL</w:t>
      </w:r>
      <w:r w:rsidR="00266CF6">
        <w:t xml:space="preserve"> study</w:t>
      </w:r>
      <w:r w:rsidR="004B092D">
        <w:t xml:space="preserve">, the EUL </w:t>
      </w:r>
      <w:r w:rsidR="00C70A8F">
        <w:t>(ID: HV-</w:t>
      </w:r>
      <w:proofErr w:type="spellStart"/>
      <w:r w:rsidR="00C70A8F">
        <w:t>ResAC</w:t>
      </w:r>
      <w:proofErr w:type="spellEnd"/>
      <w:r w:rsidR="00C70A8F">
        <w:t xml:space="preserve">) </w:t>
      </w:r>
      <w:r w:rsidR="004B092D">
        <w:t>was increased from 15 years to 23 years so that it was equal to the EUL of heat pumps.</w:t>
      </w:r>
      <w:r w:rsidR="00F22083">
        <w:t xml:space="preserve">  This is consistent with the commercial EUL, in that the air conditioner EUL w</w:t>
      </w:r>
      <w:r w:rsidR="002C4E15">
        <w:t>as</w:t>
      </w:r>
      <w:r w:rsidR="00F22083">
        <w:t xml:space="preserve"> consistent with heat pump EUL.</w:t>
      </w:r>
    </w:p>
    <w:p w:rsidRPr="00447B0C" w:rsidR="00202C10" w:rsidP="002B281F" w:rsidRDefault="00202C10" w14:paraId="227F5D6A" w14:textId="75ECCC00">
      <w:pPr>
        <w:pStyle w:val="Heading4"/>
      </w:pPr>
      <w:r w:rsidRPr="00153ADA">
        <w:t xml:space="preserve">2023 Commercial Measure EUL Study </w:t>
      </w:r>
      <w:r w:rsidR="006B0215">
        <w:t>U</w:t>
      </w:r>
      <w:r w:rsidRPr="00153ADA">
        <w:t>pdates</w:t>
      </w:r>
    </w:p>
    <w:p w:rsidRPr="00C0367C" w:rsidR="00202C10" w:rsidP="0050245E" w:rsidRDefault="00202C10" w14:paraId="38CDDC7F" w14:textId="28B35434">
      <w:r w:rsidRPr="00B3569D">
        <w:rPr>
          <w:u w:val="single"/>
        </w:rPr>
        <w:t xml:space="preserve">Effective Program Year: </w:t>
      </w:r>
      <w:r>
        <w:rPr>
          <w:u w:val="single"/>
        </w:rPr>
        <w:t>202</w:t>
      </w:r>
      <w:r w:rsidR="00617716">
        <w:rPr>
          <w:u w:val="single"/>
        </w:rPr>
        <w:t>5</w:t>
      </w:r>
      <w:r>
        <w:rPr>
          <w:u w:val="single"/>
        </w:rPr>
        <w:t>.</w:t>
      </w:r>
      <w:r w:rsidRPr="00836E94">
        <w:t xml:space="preserve"> </w:t>
      </w:r>
      <w:r>
        <w:t xml:space="preserve">The 2023 Commercial Measure EUL Study </w:t>
      </w:r>
      <w:r w:rsidR="00D708FD">
        <w:t>set out</w:t>
      </w:r>
      <w:r w:rsidRPr="00D3752B">
        <w:t xml:space="preserve"> to update the EUL</w:t>
      </w:r>
      <w:r w:rsidR="00D708FD">
        <w:t>s</w:t>
      </w:r>
      <w:r w:rsidRPr="00D3752B">
        <w:t xml:space="preserve"> for fuel substitution HVAC and water heating measures. The study focuse</w:t>
      </w:r>
      <w:r w:rsidR="00D708FD">
        <w:t>d</w:t>
      </w:r>
      <w:r w:rsidRPr="00D3752B">
        <w:t xml:space="preserve"> on both measure case and baseline equipment EULs</w:t>
      </w:r>
      <w:r>
        <w:t xml:space="preserve"> </w:t>
      </w:r>
      <w:r w:rsidR="00D708FD">
        <w:t xml:space="preserve">and the results led to an </w:t>
      </w:r>
      <w:r w:rsidR="00D708FD">
        <w:lastRenderedPageBreak/>
        <w:t xml:space="preserve">increase to the commercial EULS </w:t>
      </w:r>
      <w:r w:rsidR="005A49AF">
        <w:t xml:space="preserve">for </w:t>
      </w:r>
      <w:r w:rsidR="0016574B">
        <w:t xml:space="preserve">heat pumps and air conditioners (except room/window units), </w:t>
      </w:r>
      <w:r w:rsidR="00943556">
        <w:t xml:space="preserve">heat pump water heaters and gas tankless water heaters. </w:t>
      </w:r>
      <w:r w:rsidR="0050245E">
        <w:t>The EUL for gas storage water heaters was decreased from 15 to 13 years</w:t>
      </w:r>
      <w:r w:rsidRPr="00D3752B">
        <w:t xml:space="preserve">. </w:t>
      </w:r>
      <w:r w:rsidRPr="006A1087">
        <w:t>The EULs established in this study should be formally adopted into the DEER2026 cycle</w:t>
      </w:r>
      <w:r w:rsidR="001C6631">
        <w:t xml:space="preserve">, but </w:t>
      </w:r>
      <w:r w:rsidR="00030AFC">
        <w:t>for these EULs we allow the values to be used in 2025</w:t>
      </w:r>
      <w:r w:rsidR="00C3711B">
        <w:t xml:space="preserve"> for reasons stated earlier</w:t>
      </w:r>
      <w:r w:rsidR="006C5C2F">
        <w:t>.</w:t>
      </w:r>
      <w:r w:rsidR="006C5C2F">
        <w:rPr>
          <w:rStyle w:val="FootnoteReference"/>
        </w:rPr>
        <w:footnoteReference w:id="26"/>
      </w:r>
    </w:p>
    <w:p w:rsidR="00E30B63" w:rsidP="00075FA3" w:rsidRDefault="00E30B63" w14:paraId="7F3A0E57" w14:textId="77777777">
      <w:pPr>
        <w:pStyle w:val="Heading3"/>
      </w:pPr>
      <w:r>
        <w:t>Guidance Based on Other Studies</w:t>
      </w:r>
    </w:p>
    <w:p w:rsidR="00E30B63" w:rsidP="00E30B63" w:rsidRDefault="006256DD" w14:paraId="0197B455" w14:textId="6C397862">
      <w:r>
        <w:rPr>
          <w:u w:val="single"/>
        </w:rPr>
        <w:t>Effective Program Year: 2026.</w:t>
      </w:r>
      <w:r>
        <w:t xml:space="preserve"> </w:t>
      </w:r>
      <w:r w:rsidR="00E937B7">
        <w:t xml:space="preserve">This section summarizes CPUC guidance for measure packages related to three other </w:t>
      </w:r>
      <w:r w:rsidR="00470D3A">
        <w:t xml:space="preserve">recent </w:t>
      </w:r>
      <w:r w:rsidR="00E937B7">
        <w:t>studies</w:t>
      </w:r>
      <w:r w:rsidR="00470D3A">
        <w:t>.</w:t>
      </w:r>
    </w:p>
    <w:p w:rsidR="001A4E08" w:rsidP="002B281F" w:rsidRDefault="001A4E08" w14:paraId="037C9D97" w14:textId="7AC76D29">
      <w:pPr>
        <w:pStyle w:val="Heading4"/>
      </w:pPr>
      <w:r>
        <w:t>Hard-to-Reach (HTR) Net-to-Gross Ratios</w:t>
      </w:r>
      <w:r w:rsidR="00993D50">
        <w:t xml:space="preserve"> for Direct Install Delivery Type</w:t>
      </w:r>
    </w:p>
    <w:p w:rsidR="00922281" w:rsidP="00FE2061" w:rsidRDefault="00322ECF" w14:paraId="08512B95" w14:textId="3F8269FE">
      <w:r w:rsidRPr="00B3569D">
        <w:rPr>
          <w:u w:val="single"/>
        </w:rPr>
        <w:t xml:space="preserve">Effective Program Year: </w:t>
      </w:r>
      <w:r>
        <w:rPr>
          <w:u w:val="single"/>
        </w:rPr>
        <w:t>2026.</w:t>
      </w:r>
      <w:r w:rsidRPr="00836E94">
        <w:t xml:space="preserve"> </w:t>
      </w:r>
      <w:r w:rsidRPr="00B41358">
        <w:t xml:space="preserve">Resolution E-5221 required research to </w:t>
      </w:r>
      <w:r>
        <w:t>determine whether there was evidence for having different</w:t>
      </w:r>
      <w:r w:rsidRPr="00B41358">
        <w:t xml:space="preserve"> default </w:t>
      </w:r>
      <w:r>
        <w:t>net-to-gross</w:t>
      </w:r>
      <w:r w:rsidRPr="00B41358">
        <w:t xml:space="preserve"> ratio</w:t>
      </w:r>
      <w:r>
        <w:t>s (NTGRs) for HTR and non-HTR customers</w:t>
      </w:r>
      <w:r w:rsidRPr="00B41358">
        <w:t xml:space="preserve"> participating in direct install and downstream programs. </w:t>
      </w:r>
      <w:r>
        <w:t>The results of th</w:t>
      </w:r>
      <w:r w:rsidR="00885EA8">
        <w:t>e</w:t>
      </w:r>
      <w:r w:rsidRPr="00885EA8" w:rsidR="00885EA8">
        <w:t xml:space="preserve"> </w:t>
      </w:r>
      <w:r w:rsidR="00463CDD">
        <w:t>“</w:t>
      </w:r>
      <w:r w:rsidR="000106A1">
        <w:t xml:space="preserve">Group A </w:t>
      </w:r>
      <w:r w:rsidR="00E5124C">
        <w:t>Forward-Looking</w:t>
      </w:r>
      <w:r w:rsidR="000106A1">
        <w:t xml:space="preserve"> </w:t>
      </w:r>
      <w:r w:rsidR="00E231D9">
        <w:t xml:space="preserve">Research: </w:t>
      </w:r>
      <w:r w:rsidRPr="00885EA8" w:rsidR="00885EA8">
        <w:t>Cross-Program Net-to-Gross Ratios for Hard-to-Reach Customers</w:t>
      </w:r>
      <w:r w:rsidR="00463CDD">
        <w:t>”</w:t>
      </w:r>
      <w:r>
        <w:rPr>
          <w:rStyle w:val="FootnoteReference"/>
        </w:rPr>
        <w:footnoteReference w:id="27"/>
      </w:r>
      <w:r>
        <w:t xml:space="preserve"> found </w:t>
      </w:r>
      <w:r w:rsidR="0063796F">
        <w:t xml:space="preserve">no </w:t>
      </w:r>
      <w:r w:rsidR="007028BE">
        <w:t>statistically significant</w:t>
      </w:r>
      <w:r w:rsidR="0063796F">
        <w:t xml:space="preserve"> </w:t>
      </w:r>
      <w:r>
        <w:t xml:space="preserve">evidence to support having different NTGRs for participants in </w:t>
      </w:r>
      <w:r w:rsidR="00837A1B">
        <w:t xml:space="preserve">either residential or commercial </w:t>
      </w:r>
      <w:r>
        <w:t xml:space="preserve">direct install programs. </w:t>
      </w:r>
      <w:r w:rsidR="00E26ED9">
        <w:t xml:space="preserve">We direct </w:t>
      </w:r>
      <w:r w:rsidR="00722ABE">
        <w:t>that</w:t>
      </w:r>
      <w:r w:rsidR="00C96ED2">
        <w:t xml:space="preserve"> the</w:t>
      </w:r>
      <w:r w:rsidR="005A37FD">
        <w:t xml:space="preserve"> default NTGR</w:t>
      </w:r>
      <w:r w:rsidR="00D6375D">
        <w:t>s</w:t>
      </w:r>
      <w:r w:rsidR="005A37FD">
        <w:t xml:space="preserve"> </w:t>
      </w:r>
      <w:r w:rsidR="00740EF4">
        <w:t xml:space="preserve">for direct install programs </w:t>
      </w:r>
      <w:r w:rsidR="00176726">
        <w:t>are</w:t>
      </w:r>
      <w:r w:rsidR="00740EF4">
        <w:t xml:space="preserve"> modified </w:t>
      </w:r>
      <w:r w:rsidR="00CA747E">
        <w:t>to 0.90</w:t>
      </w:r>
      <w:r w:rsidR="008A0E97">
        <w:t xml:space="preserve"> </w:t>
      </w:r>
      <w:r w:rsidR="00D6375D">
        <w:t>for residential programs and 0.70 for commercial ones.</w:t>
      </w:r>
      <w:r w:rsidR="006A51F1">
        <w:t xml:space="preserve"> </w:t>
      </w:r>
      <w:r w:rsidR="00134B1B">
        <w:t>Th</w:t>
      </w:r>
      <w:r w:rsidR="006A51F1">
        <w:t>ese</w:t>
      </w:r>
      <w:r w:rsidR="00593F41">
        <w:t xml:space="preserve"> change</w:t>
      </w:r>
      <w:r w:rsidR="006A51F1">
        <w:t>s</w:t>
      </w:r>
      <w:bookmarkStart w:name="_Hlk175747632" w:id="64"/>
      <w:r w:rsidR="00593F41">
        <w:t xml:space="preserve"> do not</w:t>
      </w:r>
      <w:r w:rsidR="00B95BD5">
        <w:t>, however,</w:t>
      </w:r>
      <w:r w:rsidR="00593F41">
        <w:t xml:space="preserve"> </w:t>
      </w:r>
      <w:r w:rsidR="00B262D6">
        <w:t>modify the expectation that programs will continu</w:t>
      </w:r>
      <w:r w:rsidR="00071D03">
        <w:t xml:space="preserve">e to serve </w:t>
      </w:r>
      <w:r w:rsidR="00B95BD5">
        <w:t>HTR custom</w:t>
      </w:r>
      <w:r w:rsidR="00372BC9">
        <w:t>er</w:t>
      </w:r>
      <w:r w:rsidR="00B95BD5">
        <w:t xml:space="preserve">s </w:t>
      </w:r>
      <w:r w:rsidR="00071D03">
        <w:t xml:space="preserve">and track which </w:t>
      </w:r>
      <w:r w:rsidR="00411381">
        <w:t>are categorized as HTR</w:t>
      </w:r>
      <w:r w:rsidR="00B23FD9">
        <w:t xml:space="preserve"> and by which criteria</w:t>
      </w:r>
      <w:r w:rsidR="00411381">
        <w:t>.</w:t>
      </w:r>
      <w:bookmarkEnd w:id="64"/>
    </w:p>
    <w:p w:rsidR="00847681" w:rsidP="002B281F" w:rsidRDefault="0084590A" w14:paraId="2A718F16" w14:textId="258C0965">
      <w:pPr>
        <w:pStyle w:val="Heading4"/>
      </w:pPr>
      <w:bookmarkStart w:name="_Ref175583119" w:id="65"/>
      <w:r>
        <w:t>High-SEER Heat Pump</w:t>
      </w:r>
      <w:r w:rsidR="00847681">
        <w:t xml:space="preserve"> and AC Performance Curves</w:t>
      </w:r>
      <w:bookmarkEnd w:id="65"/>
    </w:p>
    <w:p w:rsidR="008A7FD0" w:rsidP="008A7FD0" w:rsidRDefault="0009165F" w14:paraId="41A428CC" w14:textId="136B2C68">
      <w:r>
        <w:rPr>
          <w:u w:val="single"/>
        </w:rPr>
        <w:t>Effective Program Year: 20</w:t>
      </w:r>
      <w:r w:rsidR="00770AFC">
        <w:rPr>
          <w:u w:val="single"/>
        </w:rPr>
        <w:t>26</w:t>
      </w:r>
      <w:r>
        <w:rPr>
          <w:u w:val="single"/>
        </w:rPr>
        <w:t>.</w:t>
      </w:r>
      <w:r>
        <w:t xml:space="preserve"> </w:t>
      </w:r>
      <w:r w:rsidR="00EB5B67">
        <w:t>The study “Adding SEER2 VCHP Offerings to DEER,” funded by SDG&amp;E tried to obtain manufacturer performance data from a wide range of systems but only succeeded at getting sufficient information from two manufacturers</w:t>
      </w:r>
      <w:r w:rsidR="00175FFB">
        <w:t>,</w:t>
      </w:r>
      <w:r w:rsidR="00EB5B67">
        <w:t xml:space="preserve"> one product line from each. </w:t>
      </w:r>
      <w:r w:rsidR="008A7FD0">
        <w:t>Although we do</w:t>
      </w:r>
      <w:r w:rsidR="004302AA">
        <w:t xml:space="preserve"> not</w:t>
      </w:r>
      <w:r w:rsidR="008A7FD0">
        <w:t xml:space="preserve"> recommend updating the performance curves at this time, we do agree with the study’s other recommendations</w:t>
      </w:r>
      <w:r w:rsidR="001C5EDB">
        <w:t xml:space="preserve"> </w:t>
      </w:r>
      <w:r w:rsidR="00C75680">
        <w:t>and therefore order that</w:t>
      </w:r>
      <w:r w:rsidR="001C5EDB">
        <w:t xml:space="preserve"> v</w:t>
      </w:r>
      <w:r w:rsidR="008A7FD0">
        <w:t xml:space="preserve">ariable compressor systems </w:t>
      </w:r>
      <w:r w:rsidR="00C75680">
        <w:t>are</w:t>
      </w:r>
      <w:r w:rsidR="008A7FD0">
        <w:t xml:space="preserve"> modeled using the MULTISPEED function in </w:t>
      </w:r>
      <w:proofErr w:type="spellStart"/>
      <w:r w:rsidR="008A7FD0">
        <w:t>EnergyPlus</w:t>
      </w:r>
      <w:proofErr w:type="spellEnd"/>
      <w:r w:rsidR="008A7FD0">
        <w:t xml:space="preserve">, setting the number of compressor speeds to </w:t>
      </w:r>
      <w:r w:rsidR="00FA40DE">
        <w:t>four</w:t>
      </w:r>
      <w:r w:rsidR="008A7FD0">
        <w:t xml:space="preserve">, and using no cycling losses for speeds </w:t>
      </w:r>
      <w:r w:rsidR="00FA40DE">
        <w:t>two through four</w:t>
      </w:r>
      <w:r w:rsidR="008A7FD0">
        <w:t xml:space="preserve">. The study also recommends, and we </w:t>
      </w:r>
      <w:r w:rsidR="00C75680">
        <w:t>order</w:t>
      </w:r>
      <w:r w:rsidR="008A7FD0">
        <w:t>, that measure packages include program requirements intended to ensure that the new offerings function correctly.</w:t>
      </w:r>
    </w:p>
    <w:p w:rsidR="008A7FD0" w:rsidP="23A56DEC" w:rsidRDefault="00664A83" w14:paraId="51BDFEE3" w14:textId="6E92E2F2">
      <w:pPr>
        <w:pStyle w:val="ListParagraph"/>
      </w:pPr>
      <w:r>
        <w:t>IOU</w:t>
      </w:r>
      <w:r w:rsidR="005D02F5">
        <w:t>s</w:t>
      </w:r>
      <w:r w:rsidR="0003619A">
        <w:t xml:space="preserve"> </w:t>
      </w:r>
      <w:r w:rsidR="79ECF052">
        <w:t>shall</w:t>
      </w:r>
      <w:r w:rsidR="0003619A">
        <w:t xml:space="preserve"> r</w:t>
      </w:r>
      <w:r w:rsidR="008A7FD0">
        <w:t xml:space="preserve">equire the </w:t>
      </w:r>
      <w:r w:rsidR="005A0444">
        <w:t xml:space="preserve">use of </w:t>
      </w:r>
      <w:r w:rsidR="00720115">
        <w:t xml:space="preserve">controls and thermostats recommended by the </w:t>
      </w:r>
      <w:r w:rsidR="005A0444">
        <w:t>original equipment manufacturer</w:t>
      </w:r>
      <w:r w:rsidR="008A7FD0">
        <w:t>.</w:t>
      </w:r>
    </w:p>
    <w:p w:rsidR="008A7FD0" w:rsidP="23A56DEC" w:rsidRDefault="00F8374E" w14:paraId="00E83012" w14:textId="1A85B01D">
      <w:pPr>
        <w:pStyle w:val="ListParagraph"/>
      </w:pPr>
      <w:r>
        <w:lastRenderedPageBreak/>
        <w:t>IOU</w:t>
      </w:r>
      <w:r w:rsidR="0045842E">
        <w:t>s</w:t>
      </w:r>
      <w:r w:rsidR="00B161C0">
        <w:t xml:space="preserve"> </w:t>
      </w:r>
      <w:r w:rsidR="0045842E">
        <w:t>shall</w:t>
      </w:r>
      <w:r w:rsidR="00B161C0">
        <w:t xml:space="preserve"> require that o</w:t>
      </w:r>
      <w:r w:rsidR="008A7FD0">
        <w:t>utdoor units must be capable of “variable capacity” performance (reference the definition we provided in the “Introduction to VCHP Technology” section of this report, based on AHRI 210/240 definitions).</w:t>
      </w:r>
    </w:p>
    <w:p w:rsidR="00EB5B67" w:rsidP="007063BA" w:rsidRDefault="008A7FD0" w14:paraId="7C3D52EE" w14:textId="780D29F7">
      <w:pPr>
        <w:pStyle w:val="ListParagraph"/>
        <w:numPr>
          <w:ilvl w:val="0"/>
          <w:numId w:val="14"/>
        </w:numPr>
      </w:pPr>
      <w:r>
        <w:t xml:space="preserve">If high efficiency </w:t>
      </w:r>
      <w:r w:rsidR="00795EF4">
        <w:t>air handling unit</w:t>
      </w:r>
      <w:r>
        <w:t xml:space="preserve"> offerings are pursued, consider performance requirements such as an </w:t>
      </w:r>
      <w:r w:rsidR="00D86D19">
        <w:t xml:space="preserve">electronically </w:t>
      </w:r>
      <w:r w:rsidR="00D61574">
        <w:t>co</w:t>
      </w:r>
      <w:r w:rsidR="00265DD6">
        <w:t>mmutated motor (</w:t>
      </w:r>
      <w:r>
        <w:t>ECM</w:t>
      </w:r>
      <w:r w:rsidR="00265DD6">
        <w:t>)</w:t>
      </w:r>
      <w:r>
        <w:t xml:space="preserve"> or </w:t>
      </w:r>
      <w:r w:rsidR="00635A64">
        <w:t>a minimum of three</w:t>
      </w:r>
      <w:r>
        <w:t xml:space="preserve"> fan speed settings.</w:t>
      </w:r>
    </w:p>
    <w:p w:rsidR="005E45C0" w:rsidP="005E45C0" w:rsidRDefault="005E45C0" w14:paraId="39C86C27" w14:textId="77777777">
      <w:pPr>
        <w:pStyle w:val="ListParagraph"/>
        <w:numPr>
          <w:ilvl w:val="0"/>
          <w:numId w:val="0"/>
        </w:numPr>
        <w:ind w:left="720"/>
      </w:pPr>
    </w:p>
    <w:p w:rsidR="00473171" w:rsidP="002B281F" w:rsidRDefault="00473171" w14:paraId="11DD788B" w14:textId="49B281B6">
      <w:pPr>
        <w:pStyle w:val="Heading4"/>
      </w:pPr>
      <w:r w:rsidRPr="00473171">
        <w:t xml:space="preserve">Boiler Compliance with Condensation of Exhaust Gases and </w:t>
      </w:r>
      <w:r w:rsidR="002A3C0F">
        <w:t>e</w:t>
      </w:r>
      <w:r w:rsidRPr="00473171">
        <w:t xml:space="preserve">nergy </w:t>
      </w:r>
      <w:r w:rsidR="002A3C0F">
        <w:t>e</w:t>
      </w:r>
      <w:r w:rsidRPr="00473171">
        <w:t>fficiency</w:t>
      </w:r>
    </w:p>
    <w:p w:rsidR="00132DB8" w:rsidP="00132DB8" w:rsidRDefault="0009165F" w14:paraId="19BFD478" w14:textId="3D34B2D7">
      <w:r>
        <w:rPr>
          <w:u w:val="single"/>
        </w:rPr>
        <w:t>Effective Program Year: 20</w:t>
      </w:r>
      <w:r w:rsidR="00CE4E26">
        <w:rPr>
          <w:u w:val="single"/>
        </w:rPr>
        <w:t>26</w:t>
      </w:r>
      <w:r>
        <w:rPr>
          <w:u w:val="single"/>
        </w:rPr>
        <w:t>.</w:t>
      </w:r>
      <w:r>
        <w:t xml:space="preserve"> </w:t>
      </w:r>
      <w:r w:rsidR="00132DB8">
        <w:t xml:space="preserve">CPUC staff has approved measures for condensing boilers, but it is necessary to verify that they operate in a mode where the return water temperatures are low enough to allow for condensing of water vapor in the exhaust gases. </w:t>
      </w:r>
      <w:r w:rsidR="00783893">
        <w:t>Based on</w:t>
      </w:r>
      <w:r w:rsidR="00132DB8">
        <w:t xml:space="preserve"> </w:t>
      </w:r>
      <w:r w:rsidR="00783893">
        <w:t xml:space="preserve">the </w:t>
      </w:r>
      <w:r w:rsidR="00132DB8">
        <w:t>study</w:t>
      </w:r>
      <w:r w:rsidR="00783893">
        <w:t>’s</w:t>
      </w:r>
      <w:r w:rsidR="00132DB8">
        <w:t xml:space="preserve"> key findings</w:t>
      </w:r>
      <w:r w:rsidR="00783893">
        <w:t xml:space="preserve"> </w:t>
      </w:r>
      <w:r w:rsidR="001D1AC4">
        <w:t>we order that measure package developers revise impacts estimates for condensing boilers so that</w:t>
      </w:r>
      <w:r w:rsidR="000D2B38">
        <w:t xml:space="preserve"> </w:t>
      </w:r>
      <w:r w:rsidR="001D1AC4">
        <w:t xml:space="preserve">in retrofit applications </w:t>
      </w:r>
      <w:r w:rsidR="00341BEB">
        <w:t xml:space="preserve">the boilers are expected to </w:t>
      </w:r>
      <w:r w:rsidR="001D1AC4">
        <w:t>operate in condensing mode less than 50% of the time</w:t>
      </w:r>
      <w:r w:rsidR="00341BEB">
        <w:t xml:space="preserve"> and </w:t>
      </w:r>
      <w:r w:rsidR="001D1AC4">
        <w:t>the expectation for condensing operation in new construction applications should be greater than 90%</w:t>
      </w:r>
      <w:r w:rsidR="00341BEB">
        <w:t>. Furthermore, we order</w:t>
      </w:r>
      <w:r w:rsidR="00783893">
        <w:t xml:space="preserve"> programs claiming the</w:t>
      </w:r>
      <w:r w:rsidR="00341BEB">
        <w:t>se</w:t>
      </w:r>
      <w:r w:rsidR="00783893">
        <w:t xml:space="preserve"> measure</w:t>
      </w:r>
      <w:r w:rsidR="00341BEB">
        <w:t>s</w:t>
      </w:r>
      <w:r w:rsidR="00783893">
        <w:t xml:space="preserve"> ensure the following conditions are met</w:t>
      </w:r>
      <w:r w:rsidR="00132DB8">
        <w:t>:</w:t>
      </w:r>
    </w:p>
    <w:p w:rsidR="00132DB8" w:rsidP="007063BA" w:rsidRDefault="00132DB8" w14:paraId="0719CDAA" w14:textId="5A18CBA4">
      <w:pPr>
        <w:pStyle w:val="ListParagraph"/>
        <w:numPr>
          <w:ilvl w:val="0"/>
          <w:numId w:val="12"/>
        </w:numPr>
      </w:pPr>
      <w:r>
        <w:t xml:space="preserve">The hot water return temperature must be below 130 °F </w:t>
      </w:r>
      <w:r w:rsidR="00783893">
        <w:t>and</w:t>
      </w:r>
      <w:r>
        <w:t xml:space="preserve"> the </w:t>
      </w:r>
      <w:r w:rsidR="00783893">
        <w:t>s</w:t>
      </w:r>
      <w:r>
        <w:t>upply hot-water temperatures should not exceed 140 °F</w:t>
      </w:r>
      <w:r w:rsidR="00732598">
        <w:t>.</w:t>
      </w:r>
    </w:p>
    <w:p w:rsidR="00132DB8" w:rsidP="007063BA" w:rsidRDefault="00132DB8" w14:paraId="03F3A08B" w14:textId="709CE585">
      <w:pPr>
        <w:pStyle w:val="ListParagraph"/>
        <w:numPr>
          <w:ilvl w:val="0"/>
          <w:numId w:val="12"/>
        </w:numPr>
      </w:pPr>
      <w:r>
        <w:t xml:space="preserve">For retrofit projects (replacing boilers only), </w:t>
      </w:r>
      <w:r w:rsidR="00783893">
        <w:t>ensure</w:t>
      </w:r>
      <w:r>
        <w:t xml:space="preserve"> the existing end use equipment (e.g., heating coils, radiators, etc.) </w:t>
      </w:r>
      <w:r w:rsidR="00783893">
        <w:t xml:space="preserve">and recommissioning </w:t>
      </w:r>
      <w:r>
        <w:t xml:space="preserve">is designed for </w:t>
      </w:r>
      <w:r w:rsidR="00783893">
        <w:t>these lower</w:t>
      </w:r>
      <w:r>
        <w:t xml:space="preserve"> supply temperatures</w:t>
      </w:r>
      <w:r w:rsidR="00341BEB">
        <w:t>.</w:t>
      </w:r>
      <w:r>
        <w:t xml:space="preserve"> </w:t>
      </w:r>
    </w:p>
    <w:p w:rsidRPr="00431F5E" w:rsidR="007B39EE" w:rsidP="00341BEB" w:rsidRDefault="007B39EE" w14:paraId="43C44604" w14:textId="77777777">
      <w:pPr>
        <w:ind w:left="360"/>
      </w:pPr>
    </w:p>
    <w:p w:rsidR="00A7679C" w:rsidP="00075FA3" w:rsidRDefault="00A7679C" w14:paraId="3F6CCD1A" w14:textId="1D7D6DA6">
      <w:pPr>
        <w:pStyle w:val="Heading3"/>
      </w:pPr>
      <w:bookmarkStart w:name="_Ref175760015" w:id="66"/>
      <w:bookmarkStart w:name="_Ref100590860" w:id="67"/>
      <w:bookmarkStart w:name="_Toc104200080" w:id="68"/>
      <w:bookmarkEnd w:id="63"/>
      <w:r>
        <w:t xml:space="preserve">Guidance from </w:t>
      </w:r>
      <w:r w:rsidR="001E5855">
        <w:t xml:space="preserve">Review of </w:t>
      </w:r>
      <w:r w:rsidR="00DF474B">
        <w:t>PY2021 and PY2022</w:t>
      </w:r>
      <w:r w:rsidR="001E5855">
        <w:t xml:space="preserve"> EM&amp;V Reports</w:t>
      </w:r>
      <w:r w:rsidR="00DF474B">
        <w:t xml:space="preserve"> for Deemed Measure Claims</w:t>
      </w:r>
      <w:bookmarkEnd w:id="66"/>
    </w:p>
    <w:p w:rsidR="005465AA" w:rsidP="005465AA" w:rsidRDefault="005465AA" w14:paraId="3881662C" w14:textId="262360A8">
      <w:r w:rsidRPr="001238A2">
        <w:rPr>
          <w:u w:val="single"/>
        </w:rPr>
        <w:t>Effective Program Year: 202</w:t>
      </w:r>
      <w:r>
        <w:rPr>
          <w:u w:val="single"/>
        </w:rPr>
        <w:t>6</w:t>
      </w:r>
      <w:r w:rsidRPr="001238A2">
        <w:t>.</w:t>
      </w:r>
      <w:r>
        <w:t xml:space="preserve"> EM&amp;V market sector evaluation results and/or special studies will continue to be some of the primary sources for DEER measure and measure package updates. Evaluation results with sufficient rigor and precision will be used to update DEER and measure package assumptions. Parameters in need of data to reduce uncertainty or increase accuracy will also be identified and fed back into the next EM&amp;V cycle. </w:t>
      </w:r>
      <w:r w:rsidRPr="004471F7" w:rsidR="00DF474B">
        <w:t>Th</w:t>
      </w:r>
      <w:r w:rsidR="00DF474B">
        <w:t xml:space="preserve">is review </w:t>
      </w:r>
      <w:r>
        <w:t xml:space="preserve">is focused on </w:t>
      </w:r>
      <w:r w:rsidR="00DF474B">
        <w:t xml:space="preserve">evaluations of </w:t>
      </w:r>
      <w:r w:rsidRPr="00AA29BF">
        <w:t xml:space="preserve">PY2021 and PY2022 claims. </w:t>
      </w:r>
      <w:r w:rsidR="00DF474B">
        <w:t>These final evaluation study results informed updates to deemed measures that are hereby adopted as follows:</w:t>
      </w:r>
    </w:p>
    <w:p w:rsidR="00A4365A" w:rsidP="00A4365A" w:rsidRDefault="00A4365A" w14:paraId="5ECD5E4D" w14:textId="77777777">
      <w:pPr>
        <w:pStyle w:val="ListParagraph"/>
        <w:numPr>
          <w:ilvl w:val="0"/>
          <w:numId w:val="42"/>
        </w:numPr>
      </w:pPr>
      <w:r>
        <w:rPr>
          <w:u w:val="single"/>
        </w:rPr>
        <w:lastRenderedPageBreak/>
        <w:t>Increase r</w:t>
      </w:r>
      <w:r w:rsidRPr="009C3855">
        <w:rPr>
          <w:u w:val="single"/>
        </w:rPr>
        <w:t>esidential faucet aerator NTG:</w:t>
      </w:r>
      <w:r>
        <w:t xml:space="preserve"> We direct that the NTG ratio for the residential faucet aerator (all residential building types except multi-family) is increased from 0.59 to 0.85 based on the Residential Direct Install Program EM&amp;V report for PY2021.</w:t>
      </w:r>
      <w:r>
        <w:rPr>
          <w:rStyle w:val="FootnoteReference"/>
        </w:rPr>
        <w:footnoteReference w:id="28"/>
      </w:r>
    </w:p>
    <w:p w:rsidR="00A4365A" w:rsidP="00A4365A" w:rsidRDefault="00A4365A" w14:paraId="07A7A5B0" w14:textId="77777777">
      <w:pPr>
        <w:pStyle w:val="ListParagraph"/>
        <w:numPr>
          <w:ilvl w:val="0"/>
          <w:numId w:val="42"/>
        </w:numPr>
      </w:pPr>
      <w:r>
        <w:rPr>
          <w:u w:val="single"/>
        </w:rPr>
        <w:t>Increase r</w:t>
      </w:r>
      <w:r w:rsidRPr="009C3855">
        <w:rPr>
          <w:u w:val="single"/>
        </w:rPr>
        <w:t>esidential low-flow showerhead NTG:</w:t>
      </w:r>
      <w:r>
        <w:t xml:space="preserve"> We direct that the NTG ratio for the residential low-flow showerhead is increased from 0.70 to 0.85 based on the Residential Direct Install Program EM&amp;V report for PY2021.</w:t>
      </w:r>
      <w:r>
        <w:rPr>
          <w:rStyle w:val="FootnoteReference"/>
        </w:rPr>
        <w:footnoteReference w:id="29"/>
      </w:r>
    </w:p>
    <w:p w:rsidR="00AF0638" w:rsidP="00AF0638" w:rsidRDefault="00AF0638" w14:paraId="33ABE6EB" w14:textId="77777777">
      <w:pPr>
        <w:pStyle w:val="ListParagraph"/>
        <w:numPr>
          <w:ilvl w:val="0"/>
          <w:numId w:val="42"/>
        </w:numPr>
      </w:pPr>
      <w:r>
        <w:rPr>
          <w:u w:val="single"/>
        </w:rPr>
        <w:t>Increase n</w:t>
      </w:r>
      <w:r w:rsidRPr="009C3855">
        <w:rPr>
          <w:u w:val="single"/>
        </w:rPr>
        <w:t>onresidential/multifamily hot-water pipe insulation NTG:</w:t>
      </w:r>
      <w:r>
        <w:t xml:space="preserve"> </w:t>
      </w:r>
      <w:r w:rsidRPr="00D56651">
        <w:t>We direct that the NTG ratio for the</w:t>
      </w:r>
      <w:r>
        <w:t xml:space="preserve"> nonresidential and multifamily hot water pipe insulation (direct install and multi-family only) </w:t>
      </w:r>
      <w:r w:rsidRPr="00D56651">
        <w:t>is increased from 0.</w:t>
      </w:r>
      <w:r>
        <w:t>55</w:t>
      </w:r>
      <w:r w:rsidRPr="00D56651">
        <w:t xml:space="preserve"> to 0.</w:t>
      </w:r>
      <w:r>
        <w:t>65</w:t>
      </w:r>
      <w:r w:rsidRPr="00D56651">
        <w:t xml:space="preserve"> based on the </w:t>
      </w:r>
      <w:r>
        <w:t>Local Third-party Program EM&amp;V report for PY2021</w:t>
      </w:r>
      <w:r w:rsidRPr="00D56651">
        <w:t>.</w:t>
      </w:r>
      <w:r>
        <w:rPr>
          <w:rStyle w:val="FootnoteReference"/>
        </w:rPr>
        <w:footnoteReference w:id="30"/>
      </w:r>
    </w:p>
    <w:p w:rsidR="00AF0638" w:rsidP="00AF0638" w:rsidRDefault="00AF0638" w14:paraId="2EF717B0" w14:textId="77777777">
      <w:pPr>
        <w:pStyle w:val="ListParagraph"/>
        <w:numPr>
          <w:ilvl w:val="0"/>
          <w:numId w:val="42"/>
        </w:numPr>
      </w:pPr>
      <w:r>
        <w:rPr>
          <w:u w:val="single"/>
        </w:rPr>
        <w:t>Decrease r</w:t>
      </w:r>
      <w:r w:rsidRPr="00A62AC1">
        <w:rPr>
          <w:u w:val="single"/>
        </w:rPr>
        <w:t>esidential smart fan controller NTG:</w:t>
      </w:r>
      <w:r>
        <w:t xml:space="preserve"> We direct that the NTG ratio for the residential smart fan controller for air conditioners is decreased from 0.88 to 0.80 based on the Residential Direct Install Program EM&amp;V report for PY2021.</w:t>
      </w:r>
      <w:r>
        <w:rPr>
          <w:rStyle w:val="FootnoteReference"/>
        </w:rPr>
        <w:footnoteReference w:id="31"/>
      </w:r>
    </w:p>
    <w:p w:rsidR="00AF0638" w:rsidP="00AF0638" w:rsidRDefault="00AF0638" w14:paraId="5854759B" w14:textId="77777777">
      <w:pPr>
        <w:pStyle w:val="ListParagraph"/>
        <w:numPr>
          <w:ilvl w:val="0"/>
          <w:numId w:val="42"/>
        </w:numPr>
      </w:pPr>
      <w:r>
        <w:rPr>
          <w:u w:val="single"/>
        </w:rPr>
        <w:t>Decrease r</w:t>
      </w:r>
      <w:r w:rsidRPr="00A62AC1">
        <w:rPr>
          <w:u w:val="single"/>
        </w:rPr>
        <w:t>esidential smart thermostat NTG:</w:t>
      </w:r>
      <w:r>
        <w:t xml:space="preserve"> We direct that the NTG ratio for the residential smart thermostat (direct install) is decreased from 0.95 to 0.85 based on the Residential Direct Install Program EM&amp;V report for PY2021.</w:t>
      </w:r>
      <w:r>
        <w:rPr>
          <w:rStyle w:val="FootnoteReference"/>
        </w:rPr>
        <w:footnoteReference w:id="32"/>
      </w:r>
    </w:p>
    <w:p w:rsidR="00AF0638" w:rsidP="00AF0638" w:rsidRDefault="00AF0638" w14:paraId="3B309DC4" w14:textId="3BA28697">
      <w:pPr>
        <w:pStyle w:val="ListParagraph"/>
        <w:numPr>
          <w:ilvl w:val="0"/>
          <w:numId w:val="42"/>
        </w:numPr>
      </w:pPr>
      <w:r>
        <w:rPr>
          <w:u w:val="single"/>
        </w:rPr>
        <w:t>Establish c</w:t>
      </w:r>
      <w:r w:rsidRPr="009C3855">
        <w:rPr>
          <w:u w:val="single"/>
        </w:rPr>
        <w:t>ommercial/</w:t>
      </w:r>
      <w:r>
        <w:rPr>
          <w:u w:val="single"/>
        </w:rPr>
        <w:t>m</w:t>
      </w:r>
      <w:r w:rsidRPr="009C3855">
        <w:rPr>
          <w:u w:val="single"/>
        </w:rPr>
        <w:t>ultifamily gas dryer modulating valve NTG:</w:t>
      </w:r>
      <w:r>
        <w:t xml:space="preserve"> We direct that a new NTG ID is generated for the commercial and multifamily gas dryer modulating valve (</w:t>
      </w:r>
      <w:r w:rsidR="00CC6C70">
        <w:t>downstream</w:t>
      </w:r>
      <w:r>
        <w:t xml:space="preserve"> </w:t>
      </w:r>
      <w:r w:rsidDel="00516E02">
        <w:t xml:space="preserve">and </w:t>
      </w:r>
      <w:r w:rsidR="00516E02">
        <w:t>excluding</w:t>
      </w:r>
      <w:r w:rsidR="00C8533D">
        <w:t xml:space="preserve"> dwelling</w:t>
      </w:r>
      <w:r w:rsidR="00516E02">
        <w:t>s</w:t>
      </w:r>
      <w:r>
        <w:t>) with a ratio of 0.85 based on the Local Third-party Program EM&amp;V report for PY2021.</w:t>
      </w:r>
      <w:r>
        <w:rPr>
          <w:rStyle w:val="FootnoteReference"/>
        </w:rPr>
        <w:footnoteReference w:id="33"/>
      </w:r>
    </w:p>
    <w:p w:rsidR="00AF0638" w:rsidP="00AF0638" w:rsidRDefault="00AF0638" w14:paraId="5321359A" w14:textId="77777777">
      <w:pPr>
        <w:pStyle w:val="ListParagraph"/>
        <w:numPr>
          <w:ilvl w:val="0"/>
          <w:numId w:val="42"/>
        </w:numPr>
      </w:pPr>
      <w:r>
        <w:rPr>
          <w:u w:val="single"/>
        </w:rPr>
        <w:lastRenderedPageBreak/>
        <w:t>Establish r</w:t>
      </w:r>
      <w:r w:rsidRPr="009C3855">
        <w:rPr>
          <w:u w:val="single"/>
        </w:rPr>
        <w:t>esidential water-heater pipe wrap NTG:</w:t>
      </w:r>
      <w:r>
        <w:t xml:space="preserve"> We direct that a new NTG ID is generated for residential water heater pipe wrap (direct install only) with a ratio of 0.90 based on the Local Third-party Program EM&amp;V report for PY2021.</w:t>
      </w:r>
      <w:r>
        <w:rPr>
          <w:rStyle w:val="FootnoteReference"/>
        </w:rPr>
        <w:footnoteReference w:id="34"/>
      </w:r>
    </w:p>
    <w:p w:rsidR="00083889" w:rsidRDefault="001B2D99" w14:paraId="368407C9" w14:textId="70AAE84D">
      <w:pPr>
        <w:pStyle w:val="ListParagraph"/>
        <w:numPr>
          <w:ilvl w:val="0"/>
          <w:numId w:val="42"/>
        </w:numPr>
      </w:pPr>
      <w:r>
        <w:rPr>
          <w:u w:val="single"/>
        </w:rPr>
        <w:t>Investigate r</w:t>
      </w:r>
      <w:r w:rsidRPr="00D53C73" w:rsidR="003261F8">
        <w:rPr>
          <w:u w:val="single"/>
        </w:rPr>
        <w:t>esidential s</w:t>
      </w:r>
      <w:r w:rsidRPr="00D53C73" w:rsidR="00C248B3">
        <w:rPr>
          <w:u w:val="single"/>
        </w:rPr>
        <w:t xml:space="preserve">mart </w:t>
      </w:r>
      <w:r w:rsidRPr="00D53C73" w:rsidR="003261F8">
        <w:rPr>
          <w:u w:val="single"/>
        </w:rPr>
        <w:t>t</w:t>
      </w:r>
      <w:r w:rsidRPr="00D53C73" w:rsidR="00C248B3">
        <w:rPr>
          <w:u w:val="single"/>
        </w:rPr>
        <w:t>hermostat</w:t>
      </w:r>
      <w:r w:rsidRPr="00D53C73" w:rsidR="00B07B17">
        <w:rPr>
          <w:u w:val="single"/>
        </w:rPr>
        <w:t xml:space="preserve"> UES</w:t>
      </w:r>
      <w:r w:rsidRPr="00D07A36" w:rsidR="00D53C73">
        <w:rPr>
          <w:u w:val="single"/>
        </w:rPr>
        <w:t>:</w:t>
      </w:r>
      <w:r w:rsidRPr="00D07A36" w:rsidR="00D53C73">
        <w:t xml:space="preserve"> </w:t>
      </w:r>
      <w:r w:rsidR="00913082">
        <w:t>The</w:t>
      </w:r>
      <w:r w:rsidR="00083889">
        <w:t xml:space="preserve"> low gross realization rates for the residential smart thermostat</w:t>
      </w:r>
      <w:r w:rsidR="00913082">
        <w:t xml:space="preserve"> measures</w:t>
      </w:r>
      <w:r w:rsidR="00083889">
        <w:t xml:space="preserve"> </w:t>
      </w:r>
      <w:r w:rsidR="00913082">
        <w:t>found in the Residential Direct Install Program EM&amp;V report for PY2021</w:t>
      </w:r>
      <w:r w:rsidR="00556D2E">
        <w:rPr>
          <w:rStyle w:val="FootnoteReference"/>
        </w:rPr>
        <w:footnoteReference w:id="35"/>
      </w:r>
      <w:r w:rsidR="00913082">
        <w:t xml:space="preserve"> </w:t>
      </w:r>
      <w:r w:rsidR="00083889">
        <w:t xml:space="preserve">indicate further </w:t>
      </w:r>
      <w:r w:rsidR="00913082">
        <w:t>reductions</w:t>
      </w:r>
      <w:r w:rsidR="00083889">
        <w:t xml:space="preserve"> of the </w:t>
      </w:r>
      <w:r w:rsidR="00883157">
        <w:t xml:space="preserve">electric and gas </w:t>
      </w:r>
      <w:r w:rsidR="00C2250A">
        <w:t>unit energy savings values</w:t>
      </w:r>
      <w:r w:rsidR="00083889">
        <w:t xml:space="preserve"> </w:t>
      </w:r>
      <w:r w:rsidR="00913082">
        <w:t xml:space="preserve">are </w:t>
      </w:r>
      <w:r w:rsidR="006857BF">
        <w:t>needed</w:t>
      </w:r>
      <w:r w:rsidR="00913082">
        <w:t xml:space="preserve">. We direct </w:t>
      </w:r>
      <w:r w:rsidR="00883157">
        <w:t xml:space="preserve">the measure package developer to investigate the means by which </w:t>
      </w:r>
      <w:r w:rsidR="0009239D">
        <w:t xml:space="preserve">the </w:t>
      </w:r>
      <w:r w:rsidR="00883157">
        <w:t>smart thermostat realize savings and adjust the UES methodology and estimates</w:t>
      </w:r>
      <w:r w:rsidR="00913082">
        <w:t>.</w:t>
      </w:r>
    </w:p>
    <w:p w:rsidR="00083889" w:rsidRDefault="00864C81" w14:paraId="07A2E285" w14:textId="386A68CD">
      <w:pPr>
        <w:pStyle w:val="ListParagraph"/>
        <w:numPr>
          <w:ilvl w:val="0"/>
          <w:numId w:val="42"/>
        </w:numPr>
      </w:pPr>
      <w:r>
        <w:rPr>
          <w:u w:val="single"/>
        </w:rPr>
        <w:t>Update methodology for</w:t>
      </w:r>
      <w:r w:rsidR="00185F82">
        <w:rPr>
          <w:u w:val="single"/>
        </w:rPr>
        <w:t xml:space="preserve"> r</w:t>
      </w:r>
      <w:r w:rsidRPr="00D07A36" w:rsidR="0052688D">
        <w:rPr>
          <w:u w:val="single"/>
        </w:rPr>
        <w:t>esidential smart fan controller</w:t>
      </w:r>
      <w:r w:rsidRPr="00D07A36" w:rsidR="00B07B17">
        <w:rPr>
          <w:u w:val="single"/>
        </w:rPr>
        <w:t xml:space="preserve"> UES</w:t>
      </w:r>
      <w:r w:rsidRPr="00D07A36" w:rsidR="00D07A36">
        <w:rPr>
          <w:u w:val="single"/>
        </w:rPr>
        <w:t>:</w:t>
      </w:r>
      <w:r w:rsidR="00D07A36">
        <w:t xml:space="preserve"> </w:t>
      </w:r>
      <w:r w:rsidR="00913082">
        <w:t>Findings from the</w:t>
      </w:r>
      <w:r w:rsidRPr="00913082" w:rsidR="00913082">
        <w:t xml:space="preserve"> </w:t>
      </w:r>
      <w:r w:rsidR="00913082">
        <w:t>Residential Direct Install Program EM&amp;V report for PY2021</w:t>
      </w:r>
      <w:r w:rsidR="00DE3D15">
        <w:rPr>
          <w:rStyle w:val="FootnoteReference"/>
        </w:rPr>
        <w:footnoteReference w:id="36"/>
      </w:r>
      <w:r w:rsidR="00913082">
        <w:t xml:space="preserve"> on the r</w:t>
      </w:r>
      <w:r w:rsidR="00083889">
        <w:t xml:space="preserve">esidential </w:t>
      </w:r>
      <w:r w:rsidR="00064E99">
        <w:t>smart fan controller</w:t>
      </w:r>
      <w:r w:rsidR="00913082">
        <w:t xml:space="preserve"> measures indicate a need for a revised </w:t>
      </w:r>
      <w:r w:rsidR="00EC56E6">
        <w:t>savings methodology estimate</w:t>
      </w:r>
      <w:r w:rsidR="00913082">
        <w:t xml:space="preserve">. </w:t>
      </w:r>
      <w:r w:rsidRPr="00EC56E6" w:rsidR="00EC56E6">
        <w:t>The low realization rate for this measure in multiple evaluation cycles and the high uncertainty in the deemed savings methodology indicate the need for an updated laboratory or field study of fan controllers</w:t>
      </w:r>
      <w:r w:rsidR="00EC56E6">
        <w:t>.</w:t>
      </w:r>
      <w:r w:rsidR="00913082">
        <w:t xml:space="preserve"> We direct</w:t>
      </w:r>
      <w:r w:rsidR="00EC56E6">
        <w:t xml:space="preserve"> the measure package developer to generate an updated methodology </w:t>
      </w:r>
      <w:r w:rsidR="00C06856">
        <w:t xml:space="preserve">as it is applied to contemporary HVAC systems </w:t>
      </w:r>
      <w:r w:rsidR="00EC56E6">
        <w:t xml:space="preserve">for relating the part-load ratio </w:t>
      </w:r>
      <w:r w:rsidR="0009239D">
        <w:t>to</w:t>
      </w:r>
      <w:r w:rsidR="00EC56E6">
        <w:t xml:space="preserve"> savings impacts for</w:t>
      </w:r>
      <w:r w:rsidR="004D772B">
        <w:t xml:space="preserve"> smart fan controllers</w:t>
      </w:r>
      <w:r w:rsidR="00582B4A">
        <w:t xml:space="preserve"> </w:t>
      </w:r>
      <w:r w:rsidR="00B90B5A">
        <w:t xml:space="preserve">which use the same methodology as </w:t>
      </w:r>
      <w:r w:rsidR="00EC56E6">
        <w:t>this measure</w:t>
      </w:r>
      <w:r w:rsidR="00034E92">
        <w:t xml:space="preserve"> (</w:t>
      </w:r>
      <w:r w:rsidR="00AA100D">
        <w:t>that will be</w:t>
      </w:r>
      <w:r w:rsidR="00034E92">
        <w:t xml:space="preserve"> retired</w:t>
      </w:r>
      <w:r w:rsidR="00EC56E6">
        <w:t>.</w:t>
      </w:r>
      <w:r w:rsidR="00034E92">
        <w:t>)</w:t>
      </w:r>
    </w:p>
    <w:p w:rsidR="00083889" w:rsidRDefault="00F41F9B" w14:paraId="2A70F8D1" w14:textId="09AB54C5">
      <w:pPr>
        <w:pStyle w:val="ListParagraph"/>
        <w:numPr>
          <w:ilvl w:val="0"/>
          <w:numId w:val="42"/>
        </w:numPr>
      </w:pPr>
      <w:r>
        <w:rPr>
          <w:u w:val="single"/>
        </w:rPr>
        <w:t>Update r</w:t>
      </w:r>
      <w:r w:rsidRPr="00A62AC1" w:rsidR="0052688D">
        <w:rPr>
          <w:u w:val="single"/>
        </w:rPr>
        <w:t>esidential brushless fan motor</w:t>
      </w:r>
      <w:r w:rsidRPr="00A62AC1" w:rsidR="00B07B17">
        <w:rPr>
          <w:u w:val="single"/>
        </w:rPr>
        <w:t xml:space="preserve"> UES</w:t>
      </w:r>
      <w:r w:rsidRPr="00A62AC1" w:rsidR="00B20AF5">
        <w:rPr>
          <w:u w:val="single"/>
        </w:rPr>
        <w:t>:</w:t>
      </w:r>
      <w:r w:rsidRPr="00A62AC1" w:rsidR="00165552">
        <w:t xml:space="preserve"> </w:t>
      </w:r>
      <w:r w:rsidR="00913082">
        <w:t>Findings from the Residential Direct Install Program EM&amp;V report for PY2021</w:t>
      </w:r>
      <w:r w:rsidR="00865D89">
        <w:rPr>
          <w:rStyle w:val="FootnoteReference"/>
        </w:rPr>
        <w:footnoteReference w:id="37"/>
      </w:r>
      <w:r w:rsidR="00913082">
        <w:t xml:space="preserve"> on the r</w:t>
      </w:r>
      <w:r w:rsidR="00083889">
        <w:t>esidential brushless fan motor replacement</w:t>
      </w:r>
      <w:r w:rsidR="00913082">
        <w:t xml:space="preserve"> measures recommend </w:t>
      </w:r>
      <w:r w:rsidR="00E8743C">
        <w:t>revising</w:t>
      </w:r>
      <w:r w:rsidR="00913082">
        <w:t xml:space="preserve"> </w:t>
      </w:r>
      <w:r w:rsidR="00EC565A">
        <w:t>tw</w:t>
      </w:r>
      <w:r w:rsidR="005A0CBD">
        <w:t>o</w:t>
      </w:r>
      <w:r w:rsidR="00913082">
        <w:t xml:space="preserve"> </w:t>
      </w:r>
      <w:r w:rsidR="00471045">
        <w:t>key input</w:t>
      </w:r>
      <w:r w:rsidR="00EC565A">
        <w:t>s</w:t>
      </w:r>
      <w:r w:rsidR="00B54F7F">
        <w:t xml:space="preserve"> </w:t>
      </w:r>
      <w:r w:rsidR="00F85D4B">
        <w:t xml:space="preserve">since they are </w:t>
      </w:r>
      <w:r w:rsidR="00A6330A">
        <w:t>affected by system capacity</w:t>
      </w:r>
      <w:r w:rsidR="00A905C6">
        <w:t>:</w:t>
      </w:r>
      <w:r w:rsidR="00471045">
        <w:t xml:space="preserve"> existing fan power draw and HVAC system run-hours</w:t>
      </w:r>
      <w:r w:rsidR="00913082">
        <w:t xml:space="preserve">. We direct </w:t>
      </w:r>
      <w:r w:rsidR="00471045">
        <w:t>the measure package developer to update the measure</w:t>
      </w:r>
      <w:r w:rsidR="00C65FB6">
        <w:t>’</w:t>
      </w:r>
      <w:r w:rsidR="00471045">
        <w:t xml:space="preserve">s assumed existing power draw </w:t>
      </w:r>
      <w:r w:rsidR="007F467B">
        <w:t xml:space="preserve">based on newer fan motor power draw data </w:t>
      </w:r>
      <w:r w:rsidR="00471045">
        <w:t xml:space="preserve">and to </w:t>
      </w:r>
      <w:r w:rsidR="007F467B">
        <w:t xml:space="preserve">correct the modeled equipment sizing with AC capacity </w:t>
      </w:r>
      <w:r w:rsidR="005D2ACE">
        <w:t xml:space="preserve">using </w:t>
      </w:r>
      <w:r w:rsidR="007F467B">
        <w:t xml:space="preserve">data collected through the Quality </w:t>
      </w:r>
      <w:r w:rsidR="005D2ACE">
        <w:t>Residential HVAC Services P</w:t>
      </w:r>
      <w:r w:rsidR="007F467B">
        <w:t>rogram</w:t>
      </w:r>
      <w:r w:rsidR="00913082">
        <w:t>.</w:t>
      </w:r>
    </w:p>
    <w:p w:rsidR="00083889" w:rsidRDefault="00F05A2F" w14:paraId="164D4922" w14:textId="528AEE1B">
      <w:pPr>
        <w:pStyle w:val="ListParagraph"/>
        <w:numPr>
          <w:ilvl w:val="0"/>
          <w:numId w:val="42"/>
        </w:numPr>
      </w:pPr>
      <w:r>
        <w:rPr>
          <w:u w:val="single"/>
        </w:rPr>
        <w:lastRenderedPageBreak/>
        <w:t>Update r</w:t>
      </w:r>
      <w:r w:rsidRPr="00A62AC1" w:rsidR="00293EFE">
        <w:rPr>
          <w:u w:val="single"/>
        </w:rPr>
        <w:t>esidential faucet aerator</w:t>
      </w:r>
      <w:r w:rsidRPr="00A62AC1" w:rsidR="00AD0DF6">
        <w:rPr>
          <w:u w:val="single"/>
        </w:rPr>
        <w:t xml:space="preserve"> UES</w:t>
      </w:r>
      <w:r w:rsidRPr="00A62AC1" w:rsidR="00A62AC1">
        <w:rPr>
          <w:u w:val="single"/>
        </w:rPr>
        <w:t>:</w:t>
      </w:r>
      <w:r w:rsidR="00A62AC1">
        <w:t xml:space="preserve"> </w:t>
      </w:r>
      <w:r w:rsidR="00913082">
        <w:t>Findings from the Residential Direct Install Program EM&amp;V report for PY2021</w:t>
      </w:r>
      <w:r w:rsidR="00857720">
        <w:rPr>
          <w:rStyle w:val="FootnoteReference"/>
        </w:rPr>
        <w:footnoteReference w:id="38"/>
      </w:r>
      <w:r w:rsidR="00913082">
        <w:t xml:space="preserve"> </w:t>
      </w:r>
      <w:r w:rsidR="00613009">
        <w:t>regarding</w:t>
      </w:r>
      <w:r w:rsidR="00913082">
        <w:t xml:space="preserve"> the r</w:t>
      </w:r>
      <w:r w:rsidR="00083889">
        <w:t>esidential faucet aerator</w:t>
      </w:r>
      <w:r w:rsidR="00913082">
        <w:t xml:space="preserve"> measures indicate </w:t>
      </w:r>
      <w:r w:rsidR="0021697E">
        <w:t>a need to update</w:t>
      </w:r>
      <w:r w:rsidR="00913082">
        <w:t xml:space="preserve"> assumptions </w:t>
      </w:r>
      <w:r w:rsidR="00741BC6">
        <w:t>used by</w:t>
      </w:r>
      <w:r w:rsidR="00913082">
        <w:t xml:space="preserve"> the </w:t>
      </w:r>
      <w:r w:rsidR="00B32919">
        <w:t>Unit Energy Savings (</w:t>
      </w:r>
      <w:r w:rsidR="00913082">
        <w:t>UES</w:t>
      </w:r>
      <w:r w:rsidR="00B32919">
        <w:t>)</w:t>
      </w:r>
      <w:r w:rsidR="00913082">
        <w:t xml:space="preserve"> calculation </w:t>
      </w:r>
      <w:r w:rsidR="00741BC6">
        <w:t>methodology</w:t>
      </w:r>
      <w:r w:rsidR="00913082">
        <w:t xml:space="preserve">. </w:t>
      </w:r>
      <w:r w:rsidR="0023171B">
        <w:t>The evaluation found very low gross realization rates for these measures</w:t>
      </w:r>
      <w:r w:rsidR="0009239D">
        <w:t xml:space="preserve"> </w:t>
      </w:r>
      <w:r w:rsidR="0023171B">
        <w:t xml:space="preserve">and </w:t>
      </w:r>
      <w:r w:rsidR="0009239D">
        <w:t xml:space="preserve">recommended reducing uncertainty in assumptions of hot water consumption and changes to fixture flow rates. </w:t>
      </w:r>
      <w:r w:rsidR="00913082">
        <w:t xml:space="preserve">We direct </w:t>
      </w:r>
      <w:r w:rsidR="0009239D">
        <w:t xml:space="preserve">the measure package developer to update the UES savings methodology with updated hot water </w:t>
      </w:r>
      <w:r w:rsidR="00D722D7">
        <w:t>usage</w:t>
      </w:r>
      <w:r w:rsidR="00F900B6">
        <w:t xml:space="preserve"> rates</w:t>
      </w:r>
      <w:r w:rsidR="005D2ACE">
        <w:t>, electric water heater saturation,</w:t>
      </w:r>
      <w:r w:rsidR="0009239D">
        <w:t xml:space="preserve"> and changes to fixture flow rate values based on </w:t>
      </w:r>
      <w:r w:rsidR="005D2ACE">
        <w:t>new research or the best available data</w:t>
      </w:r>
      <w:r w:rsidR="00913082">
        <w:t>.</w:t>
      </w:r>
    </w:p>
    <w:p w:rsidR="00623985" w:rsidP="00623985" w:rsidRDefault="00623985" w14:paraId="674EC4B4" w14:textId="77777777"/>
    <w:p w:rsidRPr="001B4236" w:rsidR="00623985" w:rsidP="00623985" w:rsidRDefault="00623985" w14:paraId="4F8E2A8D" w14:textId="77777777">
      <w:pPr>
        <w:pStyle w:val="Heading1"/>
      </w:pPr>
      <w:bookmarkStart w:name="_Toc518983879" w:id="69"/>
      <w:bookmarkStart w:name="_Toc519764447" w:id="70"/>
      <w:bookmarkStart w:name="_Toc48835519" w:id="71"/>
      <w:bookmarkStart w:name="_Toc48843035" w:id="72"/>
      <w:bookmarkStart w:name="_Toc48845851" w:id="73"/>
      <w:bookmarkStart w:name="_Toc48900746" w:id="74"/>
      <w:r w:rsidRPr="001B4236">
        <w:t>COMMENTS</w:t>
      </w:r>
      <w:bookmarkEnd w:id="69"/>
      <w:bookmarkEnd w:id="70"/>
      <w:bookmarkEnd w:id="71"/>
      <w:bookmarkEnd w:id="72"/>
      <w:bookmarkEnd w:id="73"/>
      <w:bookmarkEnd w:id="74"/>
    </w:p>
    <w:p w:rsidRPr="00F33A49" w:rsidR="00DD1FCB" w:rsidP="00DD1FCB" w:rsidRDefault="00DD1FCB" w14:paraId="45AB4B1F" w14:textId="77777777">
      <w:pPr>
        <w:rPr>
          <w:color w:val="000000" w:themeColor="text1"/>
          <w:szCs w:val="24"/>
        </w:rPr>
      </w:pPr>
      <w:r w:rsidRPr="00F33A49">
        <w:t>Public Utilities Code section 311(g)(1) provides that this resolution must be served on all parties and subject to at least 30 days public review.</w:t>
      </w:r>
      <w:r>
        <w:t xml:space="preserve"> </w:t>
      </w:r>
      <w:r w:rsidRPr="00F33A49">
        <w:t>Please note that comments are due 20 days from the mailing date of this resolution. Section 311(g)(2) provides that this 30-day review period and 20-day comment period may be reduced or waived upon the stipulation of all parties in the proceeding</w:t>
      </w:r>
      <w:r>
        <w:rPr>
          <w:rFonts w:eastAsia="Palatino Linotype" w:cs="Palatino Linotype"/>
          <w:color w:val="000000" w:themeColor="text1"/>
          <w:szCs w:val="24"/>
        </w:rPr>
        <w:t>. I</w:t>
      </w:r>
      <w:r w:rsidRPr="4AF02B37">
        <w:rPr>
          <w:rFonts w:eastAsia="Palatino Linotype" w:cs="Palatino Linotype"/>
          <w:color w:val="000000" w:themeColor="text1"/>
          <w:szCs w:val="24"/>
        </w:rPr>
        <w:t>nterested stakeholders do not need to have party status in order to submit comments on the resolution</w:t>
      </w:r>
      <w:r>
        <w:rPr>
          <w:rFonts w:eastAsia="Palatino Linotype" w:cs="Palatino Linotype"/>
          <w:color w:val="000000" w:themeColor="text1"/>
          <w:szCs w:val="24"/>
        </w:rPr>
        <w:t xml:space="preserve">. </w:t>
      </w:r>
    </w:p>
    <w:p w:rsidR="00623985" w:rsidP="00DD1FCB" w:rsidRDefault="00DD1FCB" w14:paraId="118FB991" w14:textId="59463F46">
      <w:r>
        <w:t xml:space="preserve">The 30-day review and 20-day comment period for the draft of this resolution was neither waived nor reduced. Accordingly, this draft resolution was mailed for comments on </w:t>
      </w:r>
      <w:r w:rsidR="00EC67F4">
        <w:t>November 15, 2024</w:t>
      </w:r>
      <w:r>
        <w:t>.</w:t>
      </w:r>
    </w:p>
    <w:p w:rsidR="005E33E7" w:rsidP="005E33E7" w:rsidRDefault="005E33E7" w14:paraId="1F59E94D" w14:textId="65D1BF7A">
      <w:r>
        <w:t xml:space="preserve">On December 4, </w:t>
      </w:r>
      <w:r w:rsidR="006A6311">
        <w:t>2024,</w:t>
      </w:r>
      <w:r>
        <w:t xml:space="preserve"> comments on the draft resolution were submitted by </w:t>
      </w:r>
      <w:r w:rsidR="00923690">
        <w:t xml:space="preserve">Renew Home, </w:t>
      </w:r>
      <w:r w:rsidR="00D04829">
        <w:t>Local Government Sustainable Energy Coalition (LGSEC)</w:t>
      </w:r>
      <w:r>
        <w:t xml:space="preserve">, </w:t>
      </w:r>
      <w:proofErr w:type="spellStart"/>
      <w:r w:rsidR="000F28D5">
        <w:t>Willdan</w:t>
      </w:r>
      <w:proofErr w:type="spellEnd"/>
      <w:r w:rsidR="000F28D5">
        <w:t xml:space="preserve">, </w:t>
      </w:r>
      <w:r w:rsidR="00BF0912">
        <w:t>Southern California Regional Energy Network (</w:t>
      </w:r>
      <w:proofErr w:type="spellStart"/>
      <w:r w:rsidR="00BF0912">
        <w:t>SoCalREN</w:t>
      </w:r>
      <w:proofErr w:type="spellEnd"/>
      <w:r w:rsidR="00BF0912">
        <w:t xml:space="preserve">), </w:t>
      </w:r>
      <w:r>
        <w:t xml:space="preserve">Pacific Gas and Electric Company, (PG&amp;E), San Diego Gas &amp; Electric Company (SDG&amp;E), Southern California Edison Company (SCE), </w:t>
      </w:r>
      <w:r w:rsidR="000F28D5">
        <w:t xml:space="preserve">and </w:t>
      </w:r>
      <w:r>
        <w:t>Southern California Gas Company (SCG</w:t>
      </w:r>
      <w:r w:rsidR="004A7F6A">
        <w:t>)</w:t>
      </w:r>
      <w:r>
        <w:t>. A summary of the comments requesting changes and updates to this Resolution and the CPUC</w:t>
      </w:r>
      <w:r w:rsidR="4EC14F67">
        <w:t xml:space="preserve"> staff</w:t>
      </w:r>
      <w:r>
        <w:t xml:space="preserve"> response to those comments is provided below. Comments and responses are presented using the same headings in the preceding Discussion section. Comments involving typos have been omitted and all typos have been corrected in this document. Some comments were deemed out of scope and not addressed.</w:t>
      </w:r>
    </w:p>
    <w:p w:rsidR="00E71DE3" w:rsidP="003E75D1" w:rsidRDefault="00E71DE3" w14:paraId="4D3BA21A" w14:textId="77777777">
      <w:pPr>
        <w:pStyle w:val="Heading6"/>
      </w:pPr>
      <w:r>
        <w:lastRenderedPageBreak/>
        <w:t xml:space="preserve">Updates to </w:t>
      </w:r>
      <w:proofErr w:type="spellStart"/>
      <w:r>
        <w:t>eTRM</w:t>
      </w:r>
      <w:proofErr w:type="spellEnd"/>
    </w:p>
    <w:p w:rsidR="002154A8" w:rsidP="00E7138E" w:rsidRDefault="002154A8" w14:paraId="5D7A8CEC" w14:textId="77777777">
      <w:pPr>
        <w:pStyle w:val="Heading7"/>
      </w:pPr>
      <w:proofErr w:type="spellStart"/>
      <w:r>
        <w:t>CalTF</w:t>
      </w:r>
      <w:proofErr w:type="spellEnd"/>
      <w:r>
        <w:t xml:space="preserve"> and </w:t>
      </w:r>
      <w:proofErr w:type="spellStart"/>
      <w:r>
        <w:t>eTRM</w:t>
      </w:r>
      <w:proofErr w:type="spellEnd"/>
      <w:r>
        <w:t xml:space="preserve"> Funding</w:t>
      </w:r>
    </w:p>
    <w:p w:rsidR="005E33E7" w:rsidP="00DD1FCB" w:rsidRDefault="00D67141" w14:paraId="3EFB6BFB" w14:textId="668FE49A">
      <w:r w:rsidRPr="00D67141">
        <w:rPr>
          <w:u w:val="single"/>
        </w:rPr>
        <w:t xml:space="preserve">Comment </w:t>
      </w:r>
      <w:r w:rsidR="00FE58D4">
        <w:rPr>
          <w:u w:val="single"/>
        </w:rPr>
        <w:t>summary</w:t>
      </w:r>
      <w:r w:rsidRPr="00D67141">
        <w:rPr>
          <w:u w:val="single"/>
        </w:rPr>
        <w:t>:</w:t>
      </w:r>
      <w:r w:rsidRPr="005D25AE">
        <w:t xml:space="preserve"> </w:t>
      </w:r>
      <w:r w:rsidR="002154A8">
        <w:t xml:space="preserve">SCG requested updating the section heading to include </w:t>
      </w:r>
      <w:proofErr w:type="spellStart"/>
      <w:r w:rsidR="00D2526D">
        <w:t>CalTF</w:t>
      </w:r>
      <w:proofErr w:type="spellEnd"/>
      <w:r w:rsidR="002154A8">
        <w:t xml:space="preserve"> in the heading </w:t>
      </w:r>
      <w:r w:rsidR="00D36F8A">
        <w:t xml:space="preserve">since the text references both </w:t>
      </w:r>
      <w:proofErr w:type="spellStart"/>
      <w:r w:rsidR="00D36F8A">
        <w:t>eTRM</w:t>
      </w:r>
      <w:proofErr w:type="spellEnd"/>
      <w:r w:rsidR="00D36F8A">
        <w:t xml:space="preserve"> and </w:t>
      </w:r>
      <w:proofErr w:type="spellStart"/>
      <w:r w:rsidR="00D36F8A">
        <w:t>CalTF</w:t>
      </w:r>
      <w:proofErr w:type="spellEnd"/>
      <w:r w:rsidR="00D36F8A">
        <w:t>.</w:t>
      </w:r>
    </w:p>
    <w:p w:rsidR="00AC4512" w:rsidP="00DD1FCB" w:rsidRDefault="00371E11" w14:paraId="092E4D41" w14:textId="5C28D4F4">
      <w:r>
        <w:rPr>
          <w:u w:val="single"/>
        </w:rPr>
        <w:t xml:space="preserve">CPUC </w:t>
      </w:r>
      <w:r w:rsidR="005433CC">
        <w:rPr>
          <w:u w:val="single"/>
        </w:rPr>
        <w:t xml:space="preserve">staff </w:t>
      </w:r>
      <w:r>
        <w:rPr>
          <w:u w:val="single"/>
        </w:rPr>
        <w:t>response</w:t>
      </w:r>
      <w:r w:rsidRPr="00D67141" w:rsidR="00BC0077">
        <w:rPr>
          <w:u w:val="single"/>
        </w:rPr>
        <w:t>:</w:t>
      </w:r>
      <w:r w:rsidR="00BC0077">
        <w:t xml:space="preserve"> </w:t>
      </w:r>
      <w:r w:rsidR="00AC4512">
        <w:t xml:space="preserve">We have updated the section heading to include </w:t>
      </w:r>
      <w:proofErr w:type="spellStart"/>
      <w:r w:rsidR="00AC4512">
        <w:t>CalTF</w:t>
      </w:r>
      <w:proofErr w:type="spellEnd"/>
      <w:r w:rsidR="00AC4512">
        <w:t>.</w:t>
      </w:r>
    </w:p>
    <w:p w:rsidR="0010063F" w:rsidP="003E75D1" w:rsidRDefault="0010063F" w14:paraId="513F0DAD" w14:textId="77777777">
      <w:pPr>
        <w:pStyle w:val="Heading7"/>
        <w:numPr>
          <w:ilvl w:val="5"/>
          <w:numId w:val="31"/>
        </w:numPr>
      </w:pPr>
      <w:bookmarkStart w:name="_Toc48835520" w:id="75"/>
      <w:bookmarkStart w:name="_Toc48843036" w:id="76"/>
      <w:bookmarkStart w:name="_Toc48845852" w:id="77"/>
      <w:bookmarkStart w:name="_Toc48900747" w:id="78"/>
      <w:bookmarkEnd w:id="33"/>
      <w:bookmarkEnd w:id="34"/>
      <w:bookmarkEnd w:id="35"/>
      <w:bookmarkEnd w:id="36"/>
      <w:bookmarkEnd w:id="67"/>
      <w:bookmarkEnd w:id="68"/>
      <w:r>
        <w:t>Measure Lifecycle Management (MLM) in DEER</w:t>
      </w:r>
    </w:p>
    <w:p w:rsidR="00E71DE3" w:rsidP="00FC0A9E" w:rsidRDefault="00D67141" w14:paraId="05DD3956" w14:textId="1F7F7651">
      <w:pPr>
        <w:rPr>
          <w:b/>
          <w:bCs/>
        </w:rPr>
      </w:pPr>
      <w:r w:rsidRPr="00D67141">
        <w:rPr>
          <w:u w:val="single"/>
        </w:rPr>
        <w:t xml:space="preserve">Comment </w:t>
      </w:r>
      <w:r w:rsidR="00FE58D4">
        <w:rPr>
          <w:u w:val="single"/>
        </w:rPr>
        <w:t>summary</w:t>
      </w:r>
      <w:r w:rsidRPr="00D67141">
        <w:rPr>
          <w:u w:val="single"/>
        </w:rPr>
        <w:t>:</w:t>
      </w:r>
      <w:r w:rsidRPr="005D25AE">
        <w:t xml:space="preserve"> </w:t>
      </w:r>
      <w:r w:rsidR="0010063F">
        <w:t>SCG requested clarification on operationalizing the MLM</w:t>
      </w:r>
      <w:r w:rsidR="0039741C">
        <w:rPr>
          <w:b/>
          <w:bCs/>
        </w:rPr>
        <w:t xml:space="preserve">, </w:t>
      </w:r>
      <w:r w:rsidRPr="009D4A1E" w:rsidR="0039741C">
        <w:t xml:space="preserve">specifically focused on the required synchronization between the DEER database and </w:t>
      </w:r>
      <w:proofErr w:type="spellStart"/>
      <w:r w:rsidRPr="009D4A1E" w:rsidR="0039741C">
        <w:t>eTRM</w:t>
      </w:r>
      <w:proofErr w:type="spellEnd"/>
      <w:r w:rsidRPr="009D4A1E" w:rsidR="0039741C">
        <w:t xml:space="preserve"> website</w:t>
      </w:r>
      <w:r w:rsidRPr="009D4A1E" w:rsidR="004745D9">
        <w:t xml:space="preserve"> to aid in the automated functionality.</w:t>
      </w:r>
    </w:p>
    <w:p w:rsidR="009E53AB" w:rsidP="009E53AB" w:rsidRDefault="00371E11" w14:paraId="7CD8A356" w14:textId="0E68E87A">
      <w:r>
        <w:rPr>
          <w:u w:val="single"/>
        </w:rPr>
        <w:t xml:space="preserve">CPUC </w:t>
      </w:r>
      <w:r w:rsidR="005433CC">
        <w:rPr>
          <w:u w:val="single"/>
        </w:rPr>
        <w:t xml:space="preserve">staff </w:t>
      </w:r>
      <w:r>
        <w:rPr>
          <w:u w:val="single"/>
        </w:rPr>
        <w:t>response</w:t>
      </w:r>
      <w:r w:rsidRPr="00D67141">
        <w:rPr>
          <w:u w:val="single"/>
        </w:rPr>
        <w:t>:</w:t>
      </w:r>
      <w:r>
        <w:t xml:space="preserve"> </w:t>
      </w:r>
      <w:r w:rsidR="00487A1E">
        <w:t xml:space="preserve">The details of operationalizing the MLM between </w:t>
      </w:r>
      <w:proofErr w:type="spellStart"/>
      <w:r w:rsidR="00487A1E">
        <w:t>eTRM</w:t>
      </w:r>
      <w:proofErr w:type="spellEnd"/>
      <w:r w:rsidR="00487A1E">
        <w:t xml:space="preserve"> and DEER </w:t>
      </w:r>
      <w:r w:rsidR="00A57405">
        <w:t xml:space="preserve">will be discussed </w:t>
      </w:r>
      <w:r w:rsidR="00E5320D">
        <w:t xml:space="preserve">in future </w:t>
      </w:r>
      <w:r w:rsidR="001C015D">
        <w:t>mee</w:t>
      </w:r>
      <w:r w:rsidR="00D85C4B">
        <w:t>tings</w:t>
      </w:r>
      <w:r w:rsidR="0027530C">
        <w:t xml:space="preserve">. </w:t>
      </w:r>
      <w:r w:rsidR="006E6F15">
        <w:t>At t</w:t>
      </w:r>
      <w:r w:rsidR="00AE5BCD">
        <w:t>he time of Resolution E-5350</w:t>
      </w:r>
      <w:r w:rsidR="00740797">
        <w:t>, keeping details and scope open-ended allows for flexibility in operationalizing the best procedure for the ex-ante team, IOUs, and measure developers.</w:t>
      </w:r>
    </w:p>
    <w:p w:rsidR="002D314E" w:rsidP="00FF505A" w:rsidRDefault="002D314E" w14:paraId="02AD0352" w14:textId="77777777">
      <w:pPr>
        <w:pStyle w:val="Heading7"/>
      </w:pPr>
      <w:r>
        <w:t>Assess Enabling Filtering on CPUC Support Tables</w:t>
      </w:r>
    </w:p>
    <w:p w:rsidR="00740797" w:rsidP="009E53AB" w:rsidRDefault="00D67141" w14:paraId="77B76619" w14:textId="7B62E309">
      <w:r w:rsidRPr="00D67141">
        <w:rPr>
          <w:u w:val="single"/>
        </w:rPr>
        <w:t xml:space="preserve">Comment </w:t>
      </w:r>
      <w:r w:rsidR="00FE58D4">
        <w:rPr>
          <w:u w:val="single"/>
        </w:rPr>
        <w:t>summary</w:t>
      </w:r>
      <w:r w:rsidRPr="00D67141">
        <w:rPr>
          <w:u w:val="single"/>
        </w:rPr>
        <w:t>:</w:t>
      </w:r>
      <w:r w:rsidRPr="005049FF">
        <w:t xml:space="preserve"> </w:t>
      </w:r>
      <w:r w:rsidR="002D314E">
        <w:t xml:space="preserve">SCG </w:t>
      </w:r>
      <w:r w:rsidR="002B637D">
        <w:t>both questioned the premise of and</w:t>
      </w:r>
      <w:r w:rsidR="002D314E">
        <w:t xml:space="preserve"> requested clarification </w:t>
      </w:r>
      <w:r w:rsidR="002B637D">
        <w:t>regarding</w:t>
      </w:r>
      <w:r w:rsidR="002D314E">
        <w:t xml:space="preserve"> </w:t>
      </w:r>
      <w:r w:rsidR="00281DDA">
        <w:t xml:space="preserve">assessing scope and budget needed to accomplish the benefit of </w:t>
      </w:r>
      <w:r w:rsidR="00EC464E">
        <w:t xml:space="preserve">enabling </w:t>
      </w:r>
      <w:r w:rsidR="00EE0AF9">
        <w:t xml:space="preserve">filtering to CPUC Support Tables in </w:t>
      </w:r>
      <w:proofErr w:type="spellStart"/>
      <w:r w:rsidR="00EE0AF9">
        <w:t>eTRM</w:t>
      </w:r>
      <w:proofErr w:type="spellEnd"/>
      <w:r w:rsidR="00EE0AF9">
        <w:t>.</w:t>
      </w:r>
    </w:p>
    <w:p w:rsidR="00EE0AF9" w:rsidP="009E53AB" w:rsidRDefault="003B7BCC" w14:paraId="25000721" w14:textId="7C40DEC6">
      <w:r>
        <w:rPr>
          <w:u w:val="single"/>
        </w:rPr>
        <w:t xml:space="preserve">CPUC </w:t>
      </w:r>
      <w:r w:rsidR="003329A2">
        <w:rPr>
          <w:u w:val="single"/>
        </w:rPr>
        <w:t>staff</w:t>
      </w:r>
      <w:r>
        <w:rPr>
          <w:u w:val="single"/>
        </w:rPr>
        <w:t xml:space="preserve"> response</w:t>
      </w:r>
      <w:r w:rsidRPr="00D67141">
        <w:rPr>
          <w:u w:val="single"/>
        </w:rPr>
        <w:t>:</w:t>
      </w:r>
      <w:r>
        <w:t xml:space="preserve"> </w:t>
      </w:r>
      <w:r w:rsidR="64F950D7">
        <w:t>CPUC staff</w:t>
      </w:r>
      <w:r w:rsidR="00EE0AF9">
        <w:t xml:space="preserve"> </w:t>
      </w:r>
      <w:r w:rsidR="00B52062">
        <w:t>have considered SCG’s request</w:t>
      </w:r>
      <w:r w:rsidR="006429EE">
        <w:t xml:space="preserve"> and maintain </w:t>
      </w:r>
      <w:r w:rsidR="00121D46">
        <w:t>that an</w:t>
      </w:r>
      <w:r w:rsidR="006429EE">
        <w:t xml:space="preserve"> assessment </w:t>
      </w:r>
      <w:r w:rsidR="00B52062">
        <w:t>should be conducted</w:t>
      </w:r>
      <w:r w:rsidR="00EC6DC7">
        <w:t xml:space="preserve"> in 202</w:t>
      </w:r>
      <w:r w:rsidR="005946B7">
        <w:t xml:space="preserve">5 </w:t>
      </w:r>
      <w:r w:rsidR="00BF2375">
        <w:t>that</w:t>
      </w:r>
      <w:r w:rsidR="00E0396E">
        <w:t xml:space="preserve"> will improve the useability of the CPUC </w:t>
      </w:r>
      <w:r w:rsidR="7F87F63F">
        <w:t>S</w:t>
      </w:r>
      <w:r w:rsidR="00E0396E">
        <w:t xml:space="preserve">upport </w:t>
      </w:r>
      <w:r w:rsidR="075511A1">
        <w:t>T</w:t>
      </w:r>
      <w:r w:rsidR="00E0396E">
        <w:t xml:space="preserve">ables. </w:t>
      </w:r>
      <w:r w:rsidR="0056261F">
        <w:t>It is expected that this will be</w:t>
      </w:r>
      <w:r w:rsidR="005946B7">
        <w:t xml:space="preserve"> a collaborative process between </w:t>
      </w:r>
      <w:r w:rsidR="009D0221">
        <w:t xml:space="preserve">CPUC staff, </w:t>
      </w:r>
      <w:r w:rsidR="000115F2">
        <w:t xml:space="preserve">the </w:t>
      </w:r>
      <w:r w:rsidR="009D0221">
        <w:t xml:space="preserve">IOUs, and </w:t>
      </w:r>
      <w:proofErr w:type="spellStart"/>
      <w:r w:rsidR="009D0221">
        <w:t>CalTF</w:t>
      </w:r>
      <w:proofErr w:type="spellEnd"/>
      <w:r w:rsidR="009D0221">
        <w:t>.</w:t>
      </w:r>
    </w:p>
    <w:p w:rsidRPr="000A4672" w:rsidR="00604DA1" w:rsidP="00D74D40" w:rsidRDefault="00604DA1" w14:paraId="34E06D56" w14:textId="77777777">
      <w:pPr>
        <w:pStyle w:val="Heading6"/>
      </w:pPr>
      <w:r w:rsidRPr="000A4672">
        <w:t>DEER System and Measure Package Updates</w:t>
      </w:r>
    </w:p>
    <w:p w:rsidR="00604DA1" w:rsidP="0023399C" w:rsidRDefault="00604DA1" w14:paraId="20D512A4" w14:textId="77777777">
      <w:pPr>
        <w:pStyle w:val="Heading7"/>
      </w:pPr>
      <w:r>
        <w:t>Refrigerant Leakage Impacts</w:t>
      </w:r>
    </w:p>
    <w:p w:rsidR="00481AB9" w:rsidP="00481AB9" w:rsidRDefault="00D67141" w14:paraId="0517BE74" w14:textId="560CD3C6">
      <w:r w:rsidRPr="00D67141">
        <w:rPr>
          <w:u w:val="single"/>
        </w:rPr>
        <w:t xml:space="preserve">Comment </w:t>
      </w:r>
      <w:r w:rsidR="00FE58D4">
        <w:rPr>
          <w:u w:val="single"/>
        </w:rPr>
        <w:t>summary</w:t>
      </w:r>
      <w:r w:rsidRPr="00D67141">
        <w:rPr>
          <w:u w:val="single"/>
        </w:rPr>
        <w:t>:</w:t>
      </w:r>
      <w:r w:rsidRPr="005049FF">
        <w:t xml:space="preserve"> </w:t>
      </w:r>
      <w:r w:rsidR="00E97DE4">
        <w:t xml:space="preserve">SCE </w:t>
      </w:r>
      <w:r w:rsidR="00D005AE">
        <w:t xml:space="preserve">requested </w:t>
      </w:r>
      <w:r w:rsidR="007B4279">
        <w:t xml:space="preserve">clarification on </w:t>
      </w:r>
      <w:r w:rsidR="002B0B9E">
        <w:t xml:space="preserve">how future approvals will be provided for claiming avoided emissions when refrigerant in existing equipment is recovered and documentation is provided. </w:t>
      </w:r>
    </w:p>
    <w:p w:rsidR="002B0B9E" w:rsidP="00481AB9" w:rsidRDefault="003B7BCC" w14:paraId="4CF75550" w14:textId="57827031">
      <w:r>
        <w:rPr>
          <w:u w:val="single"/>
        </w:rPr>
        <w:t xml:space="preserve">CPUC </w:t>
      </w:r>
      <w:r w:rsidR="003329A2">
        <w:rPr>
          <w:u w:val="single"/>
        </w:rPr>
        <w:t>staff</w:t>
      </w:r>
      <w:r>
        <w:rPr>
          <w:u w:val="single"/>
        </w:rPr>
        <w:t xml:space="preserve"> response</w:t>
      </w:r>
      <w:r w:rsidRPr="00D67141">
        <w:rPr>
          <w:u w:val="single"/>
        </w:rPr>
        <w:t>:</w:t>
      </w:r>
      <w:r>
        <w:t xml:space="preserve"> </w:t>
      </w:r>
      <w:r w:rsidR="00F07A87">
        <w:t xml:space="preserve">Functionality </w:t>
      </w:r>
      <w:r w:rsidR="00E54969">
        <w:t xml:space="preserve">to claim </w:t>
      </w:r>
      <w:r w:rsidR="0056279F">
        <w:t xml:space="preserve">recovered </w:t>
      </w:r>
      <w:r w:rsidR="00E54969">
        <w:t xml:space="preserve">avoided emissions </w:t>
      </w:r>
      <w:r w:rsidR="00C523F2">
        <w:t xml:space="preserve">will require CPUC Staff </w:t>
      </w:r>
      <w:r w:rsidR="00310CB8">
        <w:t>review and approval</w:t>
      </w:r>
      <w:r w:rsidR="008112F4">
        <w:t xml:space="preserve">. This resolution cannot </w:t>
      </w:r>
      <w:r w:rsidR="00D6303E">
        <w:t>approve</w:t>
      </w:r>
      <w:r w:rsidR="008112F4">
        <w:t xml:space="preserve"> giving credit for refrigerant re</w:t>
      </w:r>
      <w:r w:rsidR="00356CE5">
        <w:t>covery</w:t>
      </w:r>
      <w:r w:rsidR="008112F4">
        <w:t xml:space="preserve"> at existing equipment</w:t>
      </w:r>
      <w:r w:rsidR="00747A25">
        <w:t xml:space="preserve"> and cannot </w:t>
      </w:r>
      <w:r w:rsidR="00D817C5">
        <w:t>anticipate</w:t>
      </w:r>
      <w:r w:rsidR="00747A25">
        <w:t xml:space="preserve"> the timeline nor the </w:t>
      </w:r>
      <w:r w:rsidR="000723F9">
        <w:t>mechanism for said approval</w:t>
      </w:r>
      <w:r w:rsidR="00E521B0">
        <w:t>.</w:t>
      </w:r>
    </w:p>
    <w:p w:rsidRPr="004B059B" w:rsidR="00F923BB" w:rsidP="003E75D1" w:rsidRDefault="00F923BB" w14:paraId="2D491021" w14:textId="77777777">
      <w:pPr>
        <w:pStyle w:val="Heading7"/>
        <w:numPr>
          <w:ilvl w:val="5"/>
          <w:numId w:val="32"/>
        </w:numPr>
      </w:pPr>
      <w:r>
        <w:t>Lighting Baseline Updates</w:t>
      </w:r>
    </w:p>
    <w:p w:rsidR="00C27BEB" w:rsidP="00481AB9" w:rsidRDefault="00D67141" w14:paraId="05B83F12" w14:textId="77A56F0B">
      <w:r w:rsidRPr="00D67141">
        <w:rPr>
          <w:u w:val="single"/>
        </w:rPr>
        <w:t xml:space="preserve">Comment </w:t>
      </w:r>
      <w:r w:rsidR="00FE58D4">
        <w:rPr>
          <w:u w:val="single"/>
        </w:rPr>
        <w:t>summary</w:t>
      </w:r>
      <w:r w:rsidRPr="00D67141">
        <w:rPr>
          <w:u w:val="single"/>
        </w:rPr>
        <w:t>:</w:t>
      </w:r>
      <w:r w:rsidRPr="005049FF">
        <w:t xml:space="preserve"> </w:t>
      </w:r>
      <w:r w:rsidR="00044544">
        <w:t>SCE has concerns about the MLC update process proposed in this Resolution</w:t>
      </w:r>
      <w:r w:rsidR="006505E3">
        <w:t xml:space="preserve"> and the timelines between deemed and custom applications of future MLC </w:t>
      </w:r>
      <w:r w:rsidR="006505E3">
        <w:lastRenderedPageBreak/>
        <w:t>updates. Additionally, SCE would like confirmation on their understanding of the biennial update schedule relative to the deemed lighting measure packages and their respective baselines.</w:t>
      </w:r>
    </w:p>
    <w:p w:rsidR="006505E3" w:rsidP="00481AB9" w:rsidRDefault="003B7BCC" w14:paraId="29B34D0A" w14:textId="49806B51">
      <w:r>
        <w:rPr>
          <w:u w:val="single"/>
        </w:rPr>
        <w:t xml:space="preserve">CPUC </w:t>
      </w:r>
      <w:r w:rsidR="00F01110">
        <w:rPr>
          <w:u w:val="single"/>
        </w:rPr>
        <w:t>staff</w:t>
      </w:r>
      <w:r>
        <w:rPr>
          <w:u w:val="single"/>
        </w:rPr>
        <w:t xml:space="preserve"> response</w:t>
      </w:r>
      <w:r w:rsidRPr="00D67141">
        <w:rPr>
          <w:u w:val="single"/>
        </w:rPr>
        <w:t>:</w:t>
      </w:r>
      <w:r>
        <w:t xml:space="preserve"> </w:t>
      </w:r>
      <w:r w:rsidR="006D114A">
        <w:t xml:space="preserve">We confirm here the removal of language </w:t>
      </w:r>
      <w:r w:rsidR="00B83074">
        <w:t xml:space="preserve">referring to an updated MLC every two years to align with the Resolution. </w:t>
      </w:r>
      <w:r w:rsidR="00EA215F">
        <w:t xml:space="preserve">Any new </w:t>
      </w:r>
      <w:r w:rsidR="004939D2">
        <w:t>lighting</w:t>
      </w:r>
      <w:r w:rsidR="00EA215F">
        <w:t xml:space="preserve"> measure package should use the most </w:t>
      </w:r>
      <w:r w:rsidR="00EB5DEA">
        <w:t>up-to-date</w:t>
      </w:r>
      <w:r w:rsidR="00EA215F">
        <w:t xml:space="preserve"> </w:t>
      </w:r>
      <w:r w:rsidR="004E3390">
        <w:t xml:space="preserve">MLC and </w:t>
      </w:r>
      <w:r w:rsidR="00EA215F">
        <w:t xml:space="preserve">standard practice baselines. </w:t>
      </w:r>
      <w:r w:rsidR="00EB5DEA">
        <w:t xml:space="preserve">Deemed lighting measure packages should follow the biennial update resolution schedule and update measure packages every two years using the most up-to-date </w:t>
      </w:r>
      <w:r w:rsidR="004939D2">
        <w:t>MLC and standard practice baselines at the time of measure package development.</w:t>
      </w:r>
    </w:p>
    <w:p w:rsidR="005E1E00" w:rsidP="0023399C" w:rsidRDefault="00470C12" w14:paraId="5C9A2B04" w14:textId="2B2D0FFC">
      <w:pPr>
        <w:pStyle w:val="Heading7"/>
      </w:pPr>
      <w:r>
        <w:t>Definition of Incentive and Rebate</w:t>
      </w:r>
    </w:p>
    <w:p w:rsidR="00FC02C4" w:rsidP="001138DF" w:rsidRDefault="00D67141" w14:paraId="6191DBF0" w14:textId="7A33FC5D">
      <w:r w:rsidRPr="00D67141">
        <w:rPr>
          <w:u w:val="single"/>
        </w:rPr>
        <w:t xml:space="preserve">Comment </w:t>
      </w:r>
      <w:r w:rsidR="00FE58D4">
        <w:rPr>
          <w:u w:val="single"/>
        </w:rPr>
        <w:t>summary</w:t>
      </w:r>
      <w:r w:rsidRPr="00D67141">
        <w:rPr>
          <w:u w:val="single"/>
        </w:rPr>
        <w:t>:</w:t>
      </w:r>
      <w:r w:rsidRPr="005049FF">
        <w:t xml:space="preserve"> </w:t>
      </w:r>
      <w:r w:rsidR="00D85479">
        <w:t>P</w:t>
      </w:r>
      <w:r w:rsidR="00AE53FB">
        <w:t>G&amp;E</w:t>
      </w:r>
      <w:r w:rsidR="00A03B76">
        <w:t xml:space="preserve"> </w:t>
      </w:r>
      <w:r w:rsidR="00292EBB">
        <w:t xml:space="preserve">requested that the </w:t>
      </w:r>
      <w:r w:rsidR="00934F2C">
        <w:t>“</w:t>
      </w:r>
      <w:r w:rsidR="00292EBB">
        <w:t xml:space="preserve">final resolution </w:t>
      </w:r>
      <w:r w:rsidR="00F9641D">
        <w:t>explicitly</w:t>
      </w:r>
      <w:r w:rsidR="00292EBB">
        <w:t xml:space="preserve"> clarify that any program incentive amounts that reduce the customer’s cost of an energy efficiency measure</w:t>
      </w:r>
      <w:r w:rsidR="00A2563C">
        <w:t xml:space="preserve"> </w:t>
      </w:r>
      <w:r w:rsidR="007A3DE9">
        <w:t xml:space="preserve">-- </w:t>
      </w:r>
      <w:r w:rsidR="00B5212B">
        <w:t>…</w:t>
      </w:r>
      <w:r w:rsidR="00A018FE">
        <w:t xml:space="preserve"> </w:t>
      </w:r>
      <w:r w:rsidR="00A2563C">
        <w:t xml:space="preserve">that </w:t>
      </w:r>
      <w:r w:rsidR="003A4EF6">
        <w:t>‘</w:t>
      </w:r>
      <w:r w:rsidR="00A2563C">
        <w:t>buy down</w:t>
      </w:r>
      <w:r w:rsidR="003A4EF6">
        <w:t>’</w:t>
      </w:r>
      <w:r w:rsidR="00A2563C">
        <w:t xml:space="preserve"> the cost of the EE measure for the customer</w:t>
      </w:r>
      <w:r w:rsidR="00C04B0E">
        <w:t xml:space="preserve"> </w:t>
      </w:r>
      <w:r w:rsidR="00530D7D">
        <w:t xml:space="preserve">-- </w:t>
      </w:r>
      <w:r w:rsidR="00C04B0E">
        <w:t>should result in the same Total Resource Cost calculation outcome.</w:t>
      </w:r>
      <w:r w:rsidR="00BF71D1">
        <w:t>”</w:t>
      </w:r>
      <w:r w:rsidR="00AE53FB">
        <w:t xml:space="preserve"> </w:t>
      </w:r>
      <w:r w:rsidR="00937BF4">
        <w:t xml:space="preserve">PG&amp;E also </w:t>
      </w:r>
      <w:r w:rsidR="00701CD5">
        <w:t>“</w:t>
      </w:r>
      <w:r w:rsidR="00937BF4">
        <w:t xml:space="preserve">suggests that it is reasonable to conclude that the intent of the </w:t>
      </w:r>
      <w:r w:rsidR="008D4E7B">
        <w:t>Standard Practice Manual (</w:t>
      </w:r>
      <w:r w:rsidR="00937BF4">
        <w:t>SPM</w:t>
      </w:r>
      <w:r w:rsidR="008D4E7B">
        <w:t>)</w:t>
      </w:r>
      <w:r w:rsidR="00937BF4">
        <w:t xml:space="preserve"> incentive definition is for </w:t>
      </w:r>
      <w:r w:rsidR="00701CD5">
        <w:t>‘</w:t>
      </w:r>
      <w:r w:rsidR="00937BF4">
        <w:t>incentives</w:t>
      </w:r>
      <w:r w:rsidR="00701CD5">
        <w:t>’</w:t>
      </w:r>
      <w:r w:rsidR="00BB4AF6">
        <w:t xml:space="preserve"> to include </w:t>
      </w:r>
      <w:r w:rsidR="007014C4">
        <w:t>only those expendi</w:t>
      </w:r>
      <w:r w:rsidR="00F368DB">
        <w:t xml:space="preserve">tures that </w:t>
      </w:r>
      <w:r w:rsidR="00C10A6B">
        <w:t xml:space="preserve">directly </w:t>
      </w:r>
      <w:r w:rsidR="00F50CFD">
        <w:t>offset the cost of an EE intervention to a participant, in contrast with expend</w:t>
      </w:r>
      <w:r w:rsidR="00347ABF">
        <w:t>itures that provide information or auditing services and not measure cost offset benefits</w:t>
      </w:r>
      <w:r w:rsidR="005619FD">
        <w:t xml:space="preserve">, and thus incentives </w:t>
      </w:r>
      <w:r w:rsidR="00026881">
        <w:t>need not be limited to rebates paid directly to a participant.</w:t>
      </w:r>
      <w:r w:rsidR="00701CD5">
        <w:t>”</w:t>
      </w:r>
      <w:r w:rsidR="00026881">
        <w:t xml:space="preserve"> </w:t>
      </w:r>
      <w:r w:rsidR="004C21B4">
        <w:t xml:space="preserve">Finally, PG&amp;E requested that 2026 be the effective </w:t>
      </w:r>
      <w:r w:rsidR="00FB51DC">
        <w:t>program year</w:t>
      </w:r>
      <w:r w:rsidR="0005498E">
        <w:t xml:space="preserve"> to allow changes to be made to the CET.</w:t>
      </w:r>
      <w:r w:rsidR="000A675C">
        <w:t xml:space="preserve"> </w:t>
      </w:r>
      <w:r w:rsidR="00FF1C89">
        <w:t>SCG pointed out a phrasing that could cause confusion</w:t>
      </w:r>
      <w:r w:rsidR="00E07B6A">
        <w:t>.</w:t>
      </w:r>
    </w:p>
    <w:p w:rsidR="00210FC5" w:rsidP="001138DF" w:rsidRDefault="003B7BCC" w14:paraId="47FE3EA3" w14:textId="090D73C6">
      <w:r>
        <w:rPr>
          <w:u w:val="single"/>
        </w:rPr>
        <w:t xml:space="preserve">CPUC </w:t>
      </w:r>
      <w:r w:rsidR="00F01110">
        <w:rPr>
          <w:u w:val="single"/>
        </w:rPr>
        <w:t>staff</w:t>
      </w:r>
      <w:r>
        <w:rPr>
          <w:u w:val="single"/>
        </w:rPr>
        <w:t xml:space="preserve"> response</w:t>
      </w:r>
      <w:r w:rsidRPr="00D67141">
        <w:rPr>
          <w:u w:val="single"/>
        </w:rPr>
        <w:t>:</w:t>
      </w:r>
      <w:r>
        <w:t xml:space="preserve"> </w:t>
      </w:r>
      <w:r w:rsidR="00E07B6A">
        <w:t xml:space="preserve">The confusing phrasing has been modified in the resolution. </w:t>
      </w:r>
      <w:r w:rsidR="00487485">
        <w:t>CPUC staff a</w:t>
      </w:r>
      <w:r w:rsidRPr="00646149" w:rsidR="00646149">
        <w:t>gree</w:t>
      </w:r>
      <w:r w:rsidR="00487485">
        <w:t>s</w:t>
      </w:r>
      <w:r w:rsidRPr="00646149" w:rsidR="00646149">
        <w:t xml:space="preserve"> that </w:t>
      </w:r>
      <w:r w:rsidR="004D0F62">
        <w:t>incentive or rebate dollars</w:t>
      </w:r>
      <w:r w:rsidRPr="00646149" w:rsidR="00646149">
        <w:t xml:space="preserve"> that "buy down" the cost of the measure result in same TRC</w:t>
      </w:r>
      <w:r w:rsidR="00684264">
        <w:t xml:space="preserve"> if the </w:t>
      </w:r>
      <w:r w:rsidR="00A27596">
        <w:t xml:space="preserve">incentive or </w:t>
      </w:r>
      <w:r w:rsidR="00684264">
        <w:t>rebate is less than the measure cost</w:t>
      </w:r>
      <w:r w:rsidRPr="00646149" w:rsidR="00646149">
        <w:t xml:space="preserve">. </w:t>
      </w:r>
      <w:r w:rsidR="00DF32F9">
        <w:t xml:space="preserve">The examples in </w:t>
      </w:r>
      <w:r w:rsidR="003E7AB3">
        <w:t xml:space="preserve">Attachment 9 of </w:t>
      </w:r>
      <w:r w:rsidR="00DF32F9">
        <w:t>D</w:t>
      </w:r>
      <w:r w:rsidR="008F60DD">
        <w:t>.07-09-043</w:t>
      </w:r>
      <w:r w:rsidR="003E7AB3">
        <w:t xml:space="preserve"> only deal with cases where the </w:t>
      </w:r>
      <w:r w:rsidR="003556C1">
        <w:t>rebate and incentive are less than the measure cost.</w:t>
      </w:r>
      <w:r w:rsidR="008F60DD">
        <w:t xml:space="preserve"> </w:t>
      </w:r>
      <w:r w:rsidR="00FA0025">
        <w:t>However,</w:t>
      </w:r>
      <w:r w:rsidRPr="00646149" w:rsidR="00646149">
        <w:t xml:space="preserve"> </w:t>
      </w:r>
      <w:r w:rsidR="00C248D7">
        <w:t>the</w:t>
      </w:r>
      <w:r w:rsidRPr="00646149" w:rsidR="00646149">
        <w:t xml:space="preserve"> TRC </w:t>
      </w:r>
      <w:r w:rsidR="00BB446F">
        <w:t>is not the same</w:t>
      </w:r>
      <w:r w:rsidRPr="00646149" w:rsidR="00646149">
        <w:t xml:space="preserve"> when the "buy down" is larger than the measure cost. </w:t>
      </w:r>
      <w:r w:rsidR="00074549">
        <w:t>D.07-09-043 addresses this directl</w:t>
      </w:r>
      <w:r w:rsidR="00014879">
        <w:t xml:space="preserve">y </w:t>
      </w:r>
      <w:r w:rsidR="00BD7A4B">
        <w:t xml:space="preserve">on pg. 157 </w:t>
      </w:r>
      <w:r w:rsidR="002A259B">
        <w:t xml:space="preserve">in footnote </w:t>
      </w:r>
      <w:r w:rsidR="00D6086F">
        <w:t>239</w:t>
      </w:r>
      <w:r w:rsidR="00175666">
        <w:t xml:space="preserve"> where they state “</w:t>
      </w:r>
      <w:r w:rsidRPr="00E868EF" w:rsidR="00E868EF">
        <w:t>As discussed in D.06-06-063, the TRC will fail to capture all costs only in the limited instance when the dollar rebate incentive to a participating customer exceeds the participants’ cost of purchasing and installing the measure. This “excess” rebate cost will not currently be captured by the TRC cost formulations, due to the treatment of these costs as a transfer payment in the SPM formulation. For this reason, we use the “dual test” of cost-effectiveness (PAC and TRC tests) in evaluating the cost</w:t>
      </w:r>
      <w:r w:rsidR="000C1482">
        <w:t xml:space="preserve"> </w:t>
      </w:r>
      <w:r w:rsidRPr="00E868EF" w:rsidR="00E868EF">
        <w:t>effectiveness of energy efficiency and utilize a weighted average of the PAC and TRC tests in calculating the PEB</w:t>
      </w:r>
      <w:r w:rsidR="00F810A1">
        <w:t xml:space="preserve"> [Performance Earnings Basis</w:t>
      </w:r>
      <w:r w:rsidR="007B4390">
        <w:t>]</w:t>
      </w:r>
      <w:r w:rsidRPr="00E868EF" w:rsidR="00E868EF">
        <w:t>.</w:t>
      </w:r>
      <w:r w:rsidR="000C1482">
        <w:t>”</w:t>
      </w:r>
      <w:r w:rsidRPr="00646149" w:rsidR="00646149">
        <w:t xml:space="preserve"> </w:t>
      </w:r>
    </w:p>
    <w:p w:rsidRPr="001138DF" w:rsidR="001138DF" w:rsidP="001138DF" w:rsidRDefault="1688ACDB" w14:paraId="17EC7306" w14:textId="779D3A12">
      <w:r>
        <w:t xml:space="preserve">CPUC </w:t>
      </w:r>
      <w:r w:rsidR="55973223">
        <w:t>s</w:t>
      </w:r>
      <w:r w:rsidR="00060115">
        <w:t>taff d</w:t>
      </w:r>
      <w:r w:rsidR="00646149">
        <w:t>isagree</w:t>
      </w:r>
      <w:r w:rsidR="00060115">
        <w:t>s</w:t>
      </w:r>
      <w:r w:rsidR="00646149">
        <w:t xml:space="preserve"> with PGE's interpretation of </w:t>
      </w:r>
      <w:r w:rsidR="009F268C">
        <w:t xml:space="preserve">the </w:t>
      </w:r>
      <w:r w:rsidR="00646149">
        <w:t>S</w:t>
      </w:r>
      <w:r w:rsidR="009E396E">
        <w:t>PM</w:t>
      </w:r>
      <w:r w:rsidR="00646149">
        <w:t xml:space="preserve"> and CPUC Decisions</w:t>
      </w:r>
      <w:r w:rsidR="00D246ED">
        <w:t xml:space="preserve"> and</w:t>
      </w:r>
      <w:r w:rsidR="00646149">
        <w:t xml:space="preserve"> maintain</w:t>
      </w:r>
      <w:r w:rsidR="009153A3">
        <w:t>s</w:t>
      </w:r>
      <w:r w:rsidR="00646149">
        <w:t xml:space="preserve"> that Rebate and Incentive have specifically different definitions from each other</w:t>
      </w:r>
      <w:r w:rsidR="00BC1130">
        <w:t xml:space="preserve"> to distinguish </w:t>
      </w:r>
      <w:r w:rsidR="00F7180B">
        <w:t xml:space="preserve">a cash </w:t>
      </w:r>
      <w:r w:rsidR="007B1929">
        <w:t>transfer</w:t>
      </w:r>
      <w:r w:rsidR="00F7180B">
        <w:t xml:space="preserve"> from a non-cash </w:t>
      </w:r>
      <w:r w:rsidR="007B1929">
        <w:t>transfer</w:t>
      </w:r>
      <w:r w:rsidR="00646149">
        <w:t xml:space="preserve">. </w:t>
      </w:r>
      <w:r w:rsidR="002C49A3">
        <w:t xml:space="preserve">Only a cash transfer is </w:t>
      </w:r>
      <w:r w:rsidR="002C49A3">
        <w:lastRenderedPageBreak/>
        <w:t xml:space="preserve">considered a transfer payment. </w:t>
      </w:r>
      <w:r w:rsidR="005C0E42">
        <w:t>On page 68</w:t>
      </w:r>
      <w:r w:rsidR="00144AD7">
        <w:t>,</w:t>
      </w:r>
      <w:r w:rsidR="005C0E42">
        <w:t xml:space="preserve"> </w:t>
      </w:r>
      <w:r w:rsidR="00D81860">
        <w:t>D</w:t>
      </w:r>
      <w:r w:rsidR="00D4723B">
        <w:t>.06</w:t>
      </w:r>
      <w:r w:rsidR="00393248">
        <w:t>-</w:t>
      </w:r>
      <w:r w:rsidR="00D4723B">
        <w:t>06</w:t>
      </w:r>
      <w:r w:rsidR="00393248">
        <w:t>-</w:t>
      </w:r>
      <w:r w:rsidR="00D4723B">
        <w:t>063</w:t>
      </w:r>
      <w:r w:rsidR="00393248">
        <w:t xml:space="preserve"> </w:t>
      </w:r>
      <w:r w:rsidR="00690611">
        <w:t xml:space="preserve">explains </w:t>
      </w:r>
      <w:r w:rsidR="006422CC">
        <w:t xml:space="preserve">the </w:t>
      </w:r>
      <w:r w:rsidR="00B262FE">
        <w:t>conceptual</w:t>
      </w:r>
      <w:r w:rsidR="006422CC">
        <w:t xml:space="preserve"> basis for ignoring transfer payments in the development of the TRC</w:t>
      </w:r>
      <w:r w:rsidR="00B262FE">
        <w:t xml:space="preserve">. </w:t>
      </w:r>
      <w:r w:rsidR="003568B6">
        <w:t>When some parties</w:t>
      </w:r>
      <w:r w:rsidR="00C7413D">
        <w:t xml:space="preserve"> (participants)</w:t>
      </w:r>
      <w:r w:rsidR="003568B6">
        <w:t xml:space="preserve"> receive cash transfers from other parties</w:t>
      </w:r>
      <w:r w:rsidR="00C7413D">
        <w:t xml:space="preserve"> (ratepayers)</w:t>
      </w:r>
      <w:r w:rsidR="003568B6">
        <w:t xml:space="preserve">, and both parties are encompassed in the scope of the test, those cash transfers are </w:t>
      </w:r>
      <w:r w:rsidR="003C0222">
        <w:t xml:space="preserve">excluded from the test. </w:t>
      </w:r>
      <w:r w:rsidR="003C1D4A">
        <w:t>D</w:t>
      </w:r>
      <w:r w:rsidR="005B3E40">
        <w:t xml:space="preserve">ecision language </w:t>
      </w:r>
      <w:r w:rsidR="003C1D4A">
        <w:t>cannot be altered</w:t>
      </w:r>
      <w:r w:rsidR="007561F9">
        <w:t xml:space="preserve"> </w:t>
      </w:r>
      <w:r w:rsidR="00646149">
        <w:t xml:space="preserve">in a </w:t>
      </w:r>
      <w:r w:rsidR="00013C4B">
        <w:t>r</w:t>
      </w:r>
      <w:r w:rsidR="00646149">
        <w:t>esolution.</w:t>
      </w:r>
    </w:p>
    <w:p w:rsidR="005E1E00" w:rsidP="0023399C" w:rsidRDefault="005E1E00" w14:paraId="27D6114B" w14:textId="77777777">
      <w:pPr>
        <w:pStyle w:val="Heading7"/>
      </w:pPr>
      <w:r>
        <w:t>Clarification of Deemed Measure Cost and Incentive Reporting to CEDARS</w:t>
      </w:r>
    </w:p>
    <w:p w:rsidR="000B018B" w:rsidP="000B018B" w:rsidRDefault="00A73FAD" w14:paraId="4BDEE222" w14:textId="6D68AB60">
      <w:r w:rsidRPr="00D67141">
        <w:rPr>
          <w:u w:val="single"/>
        </w:rPr>
        <w:t xml:space="preserve">Comment </w:t>
      </w:r>
      <w:r w:rsidR="00FE58D4">
        <w:rPr>
          <w:u w:val="single"/>
        </w:rPr>
        <w:t>summary</w:t>
      </w:r>
      <w:r w:rsidRPr="00D67141">
        <w:rPr>
          <w:u w:val="single"/>
        </w:rPr>
        <w:t>:</w:t>
      </w:r>
      <w:r w:rsidRPr="005049FF">
        <w:t xml:space="preserve"> </w:t>
      </w:r>
      <w:r w:rsidR="000B018B">
        <w:t>Four stakeholders commented on this section. SCG pointed out that this resolution conflicts with the definition of the “</w:t>
      </w:r>
      <w:proofErr w:type="spellStart"/>
      <w:r w:rsidR="000B018B">
        <w:t>UnitIncentiveToOthers</w:t>
      </w:r>
      <w:proofErr w:type="spellEnd"/>
      <w:r w:rsidR="000B018B">
        <w:t xml:space="preserve">” field provided in the CET Input Guide. </w:t>
      </w:r>
      <w:proofErr w:type="spellStart"/>
      <w:r w:rsidR="000B018B">
        <w:t>SoCalREN</w:t>
      </w:r>
      <w:proofErr w:type="spellEnd"/>
      <w:r w:rsidR="000B018B">
        <w:t xml:space="preserve"> requested additional examples of incentives that reduce the customer cost versus those that do not reduce the customer cost. </w:t>
      </w:r>
    </w:p>
    <w:p w:rsidR="000B018B" w:rsidP="000B018B" w:rsidRDefault="000B018B" w14:paraId="40961AF4" w14:textId="58F4C721">
      <w:r>
        <w:t xml:space="preserve">SCE requested “clearer definitions and instructions regarding labor and material cost calculations, customer copays, and related measure inputs to avoid ambiguities.” They also requested clarity around the decision language “paid by the sponsoring utility” and wanted to confirm that the actual payment to the customer could be made by a </w:t>
      </w:r>
      <w:r w:rsidR="00E41F49">
        <w:t>third-party implementer (</w:t>
      </w:r>
      <w:r>
        <w:t>3P</w:t>
      </w:r>
      <w:r w:rsidR="00E41F49">
        <w:t>)</w:t>
      </w:r>
      <w:r>
        <w:t xml:space="preserve"> or </w:t>
      </w:r>
      <w:r w:rsidR="00661F79">
        <w:t>regional energy network (</w:t>
      </w:r>
      <w:r>
        <w:t>REN</w:t>
      </w:r>
      <w:r w:rsidR="00661F79">
        <w:t>)</w:t>
      </w:r>
      <w:r>
        <w:t>. SCE incorrectly interpreted the resolution paragraphs describing how the direct install incentive fields would be determined when there is a customer co-pay. In addition, SCE believes that deemed measures delivered through all pathways should use deemed measure cost values in the cost effectiveness calculations.</w:t>
      </w:r>
    </w:p>
    <w:p w:rsidRPr="000B018B" w:rsidR="000B018B" w:rsidP="000B018B" w:rsidRDefault="003161EB" w14:paraId="46437E35" w14:textId="3F62DA28">
      <w:r>
        <w:t>Lastly, PG&amp;E requested that the resolution “explicitly delegate responsibility to the Cost Effectiveness Tool (CET) subgroup of the Reporting Project Coordination Group (PCG) to determine any appropriate CET modifications that may be needed to ensure the CET calculations are consistent with the Resolution and other CPUC cost-effectiveness policy.”</w:t>
      </w:r>
    </w:p>
    <w:p w:rsidRPr="000B018B" w:rsidR="00A54236" w:rsidP="000B018B" w:rsidRDefault="00851DCD" w14:paraId="3EA0DC67" w14:textId="36BCEEBF">
      <w:r>
        <w:rPr>
          <w:u w:val="single"/>
        </w:rPr>
        <w:t xml:space="preserve">CPUC </w:t>
      </w:r>
      <w:r w:rsidR="00F01110">
        <w:rPr>
          <w:u w:val="single"/>
        </w:rPr>
        <w:t>staff</w:t>
      </w:r>
      <w:r>
        <w:rPr>
          <w:u w:val="single"/>
        </w:rPr>
        <w:t xml:space="preserve"> response</w:t>
      </w:r>
      <w:r w:rsidRPr="00D67141">
        <w:rPr>
          <w:u w:val="single"/>
        </w:rPr>
        <w:t>:</w:t>
      </w:r>
      <w:r>
        <w:t xml:space="preserve"> </w:t>
      </w:r>
      <w:r w:rsidR="267FF0E3">
        <w:t>CPUC staff states t</w:t>
      </w:r>
      <w:r w:rsidR="008E127D">
        <w:t>he definition of the</w:t>
      </w:r>
      <w:r w:rsidR="002D703F">
        <w:t xml:space="preserve"> “</w:t>
      </w:r>
      <w:proofErr w:type="spellStart"/>
      <w:r w:rsidR="002D703F">
        <w:t>UnitIncentiveToOthers</w:t>
      </w:r>
      <w:proofErr w:type="spellEnd"/>
      <w:r w:rsidR="002D703F">
        <w:t xml:space="preserve">” field provided in the CET Input Guide must be modified to be consistent with this resolution. </w:t>
      </w:r>
      <w:r w:rsidR="00CD562A">
        <w:t xml:space="preserve">The attachment to this resolution has been modified to provide </w:t>
      </w:r>
      <w:r w:rsidR="007151E0">
        <w:t xml:space="preserve">additional examples </w:t>
      </w:r>
      <w:r w:rsidR="009D68BC">
        <w:t xml:space="preserve">of incentives that </w:t>
      </w:r>
      <w:r w:rsidR="000C41D3">
        <w:t xml:space="preserve">do not </w:t>
      </w:r>
      <w:r w:rsidR="009D68BC">
        <w:t>reduce</w:t>
      </w:r>
      <w:r w:rsidR="003F40D5">
        <w:t xml:space="preserve"> the customer cost</w:t>
      </w:r>
      <w:r w:rsidR="00AC7560">
        <w:t xml:space="preserve"> and to provide </w:t>
      </w:r>
      <w:r w:rsidR="00240454">
        <w:t>more clarity around customer co</w:t>
      </w:r>
      <w:r w:rsidR="002723B0">
        <w:t>-pays</w:t>
      </w:r>
      <w:r w:rsidR="008804AD">
        <w:t xml:space="preserve"> and related measure inputs</w:t>
      </w:r>
      <w:r w:rsidR="003F40D5">
        <w:t>.</w:t>
      </w:r>
      <w:r w:rsidR="008E127D">
        <w:t xml:space="preserve"> </w:t>
      </w:r>
      <w:r w:rsidR="00625FBC">
        <w:t xml:space="preserve">The new language </w:t>
      </w:r>
      <w:r w:rsidR="00CD0BC0">
        <w:t xml:space="preserve">directs that </w:t>
      </w:r>
      <w:r w:rsidR="00051592">
        <w:t xml:space="preserve">deemed measures, regardless of </w:t>
      </w:r>
      <w:r w:rsidR="00CD0BC0">
        <w:t>delivery type</w:t>
      </w:r>
      <w:r w:rsidR="00051592">
        <w:t>,</w:t>
      </w:r>
      <w:r w:rsidR="00CD0BC0">
        <w:t xml:space="preserve"> use</w:t>
      </w:r>
      <w:r w:rsidR="00852B73">
        <w:t xml:space="preserve"> measure costs from </w:t>
      </w:r>
      <w:r w:rsidR="00E03AE6">
        <w:t xml:space="preserve">deemed </w:t>
      </w:r>
      <w:r w:rsidR="00852B73">
        <w:t xml:space="preserve">measure packages. </w:t>
      </w:r>
      <w:r w:rsidR="00A54236">
        <w:t>CPUC staff agrees that a rebate can be paid by</w:t>
      </w:r>
      <w:r w:rsidR="003B03E7">
        <w:t xml:space="preserve"> either</w:t>
      </w:r>
      <w:r w:rsidR="00A54236">
        <w:t xml:space="preserve"> the IOU</w:t>
      </w:r>
      <w:r w:rsidR="00555F56">
        <w:t>,</w:t>
      </w:r>
      <w:r w:rsidR="00A54236">
        <w:t xml:space="preserve"> a REN</w:t>
      </w:r>
      <w:r w:rsidR="00555F56">
        <w:t>,</w:t>
      </w:r>
      <w:r w:rsidR="00A54236">
        <w:t xml:space="preserve"> or </w:t>
      </w:r>
      <w:r w:rsidR="00555F56">
        <w:t xml:space="preserve">a </w:t>
      </w:r>
      <w:r w:rsidR="00A54236">
        <w:t xml:space="preserve">3P using </w:t>
      </w:r>
      <w:r w:rsidR="626F194F">
        <w:t xml:space="preserve">funds </w:t>
      </w:r>
      <w:r w:rsidR="00A54236">
        <w:t>that come from the IOUs Electric Public Purpose Program charges.</w:t>
      </w:r>
      <w:r w:rsidR="004560CB">
        <w:t xml:space="preserve"> </w:t>
      </w:r>
      <w:r w:rsidR="0093716F">
        <w:t xml:space="preserve">The CET subgroup of the PCG is an appropriate group to make modifications to the </w:t>
      </w:r>
      <w:r w:rsidR="002D13DA">
        <w:t>CET</w:t>
      </w:r>
      <w:r w:rsidR="00946454">
        <w:t xml:space="preserve">, and to ensure that </w:t>
      </w:r>
      <w:r w:rsidR="009963D8">
        <w:t xml:space="preserve">the equations therein are consistent with </w:t>
      </w:r>
      <w:r w:rsidR="003023EA">
        <w:t xml:space="preserve">CPUC </w:t>
      </w:r>
      <w:r w:rsidR="003715E9">
        <w:t>policies.</w:t>
      </w:r>
    </w:p>
    <w:p w:rsidR="007716F7" w:rsidP="0023399C" w:rsidRDefault="007716F7" w14:paraId="58560980" w14:textId="77777777">
      <w:pPr>
        <w:pStyle w:val="Heading7"/>
      </w:pPr>
      <w:r>
        <w:lastRenderedPageBreak/>
        <w:t>Peak Load Definition</w:t>
      </w:r>
    </w:p>
    <w:p w:rsidR="00564E6D" w:rsidP="00481AB9" w:rsidRDefault="00004A3F" w14:paraId="31271D30" w14:textId="50B4596B">
      <w:r w:rsidRPr="00D67141">
        <w:rPr>
          <w:u w:val="single"/>
        </w:rPr>
        <w:t xml:space="preserve">Comment </w:t>
      </w:r>
      <w:r w:rsidR="00FE58D4">
        <w:rPr>
          <w:u w:val="single"/>
        </w:rPr>
        <w:t>summary</w:t>
      </w:r>
      <w:r w:rsidRPr="00D67141">
        <w:rPr>
          <w:u w:val="single"/>
        </w:rPr>
        <w:t>:</w:t>
      </w:r>
      <w:r w:rsidRPr="005049FF">
        <w:t xml:space="preserve"> </w:t>
      </w:r>
      <w:r w:rsidR="00616F1C">
        <w:t xml:space="preserve">SCE </w:t>
      </w:r>
      <w:r w:rsidR="00EF424B">
        <w:t>requested c</w:t>
      </w:r>
      <w:r w:rsidR="00755FD8">
        <w:t xml:space="preserve">onfirmation that the peak </w:t>
      </w:r>
      <w:r w:rsidR="00AA5B5F">
        <w:t xml:space="preserve">load definition is adequate for the corrected hour window to now include hours outside of the DEER peak demand hours and the proposed correction is consistent with the California Independent </w:t>
      </w:r>
      <w:r w:rsidR="00E33E57">
        <w:t>System Operator’s (CAISO’s) peak day and typical peak average distribution per hour of day.</w:t>
      </w:r>
    </w:p>
    <w:p w:rsidR="00E33E57" w:rsidP="00481AB9" w:rsidRDefault="000B11EB" w14:paraId="584AB872" w14:textId="3F9F7FB7">
      <w:r>
        <w:rPr>
          <w:u w:val="single"/>
        </w:rPr>
        <w:t xml:space="preserve">CPUC </w:t>
      </w:r>
      <w:r w:rsidR="00F01110">
        <w:rPr>
          <w:u w:val="single"/>
        </w:rPr>
        <w:t>staff</w:t>
      </w:r>
      <w:r>
        <w:rPr>
          <w:u w:val="single"/>
        </w:rPr>
        <w:t xml:space="preserve"> response</w:t>
      </w:r>
      <w:r w:rsidRPr="00D67141">
        <w:rPr>
          <w:u w:val="single"/>
        </w:rPr>
        <w:t>:</w:t>
      </w:r>
      <w:r>
        <w:t xml:space="preserve"> </w:t>
      </w:r>
      <w:r w:rsidR="3D4F5468">
        <w:t xml:space="preserve">Per CPUC staff, </w:t>
      </w:r>
      <w:r w:rsidR="00F85B4B">
        <w:t>D.06-06-</w:t>
      </w:r>
      <w:r w:rsidR="00215199">
        <w:t xml:space="preserve">063 does not address whether the peak period must coincide with the hours used to identify the heat wave period. </w:t>
      </w:r>
      <w:r w:rsidR="002475E3">
        <w:t xml:space="preserve">It makes sense that </w:t>
      </w:r>
      <w:r w:rsidR="00215199">
        <w:t xml:space="preserve">the heat wave is defined </w:t>
      </w:r>
      <w:r w:rsidR="00DE33E0">
        <w:t>by</w:t>
      </w:r>
      <w:r w:rsidR="00215199">
        <w:t xml:space="preserve"> a longer window </w:t>
      </w:r>
      <w:r w:rsidR="006A06E6">
        <w:t xml:space="preserve">that begins earlier </w:t>
      </w:r>
      <w:r w:rsidR="00215199">
        <w:t>than the peak electric period</w:t>
      </w:r>
      <w:r w:rsidR="006D1E91">
        <w:t xml:space="preserve"> since it can take several hours for </w:t>
      </w:r>
      <w:r w:rsidR="0022453C">
        <w:t xml:space="preserve">outdoor heat to </w:t>
      </w:r>
      <w:r w:rsidR="00BB23F8">
        <w:t>penetrate and accumulate inside buildings</w:t>
      </w:r>
      <w:r w:rsidR="00215199">
        <w:t>.</w:t>
      </w:r>
    </w:p>
    <w:p w:rsidR="007B13AC" w:rsidP="00481AB9" w:rsidRDefault="00476C96" w14:paraId="41EFDA78" w14:textId="2A498BDE">
      <w:r w:rsidRPr="00D67141">
        <w:rPr>
          <w:u w:val="single"/>
        </w:rPr>
        <w:t xml:space="preserve">Comment </w:t>
      </w:r>
      <w:r w:rsidR="00FE58D4">
        <w:rPr>
          <w:u w:val="single"/>
        </w:rPr>
        <w:t>summary</w:t>
      </w:r>
      <w:r w:rsidRPr="00D67141">
        <w:rPr>
          <w:u w:val="single"/>
        </w:rPr>
        <w:t>:</w:t>
      </w:r>
      <w:r w:rsidRPr="005049FF">
        <w:t xml:space="preserve"> </w:t>
      </w:r>
      <w:r w:rsidR="00861136">
        <w:t xml:space="preserve">PG&amp;E </w:t>
      </w:r>
      <w:r w:rsidR="000A605F">
        <w:t xml:space="preserve">proposed a </w:t>
      </w:r>
      <w:r w:rsidR="00B638E9">
        <w:t>modification</w:t>
      </w:r>
      <w:r w:rsidR="000A605F">
        <w:t xml:space="preserve"> to the days to use for calculating peak demand </w:t>
      </w:r>
      <w:r w:rsidR="00870F4C">
        <w:t xml:space="preserve">and recommends the Resolution be updated </w:t>
      </w:r>
      <w:r w:rsidR="001F205D">
        <w:t>and</w:t>
      </w:r>
      <w:r w:rsidR="00DC118A">
        <w:t xml:space="preserve"> </w:t>
      </w:r>
      <w:r w:rsidR="00A11C94">
        <w:t>present a corrected</w:t>
      </w:r>
      <w:r w:rsidR="007B13AC">
        <w:t xml:space="preserve"> table</w:t>
      </w:r>
      <w:r w:rsidR="008B1BDE">
        <w:t xml:space="preserve"> since the peak days</w:t>
      </w:r>
      <w:r w:rsidR="00072735">
        <w:t xml:space="preserve"> were incorrectly reported in Resolution E-5221.</w:t>
      </w:r>
    </w:p>
    <w:p w:rsidR="00861136" w:rsidP="00481AB9" w:rsidRDefault="000B11EB" w14:paraId="38549847" w14:textId="0638A429">
      <w:r>
        <w:rPr>
          <w:u w:val="single"/>
        </w:rPr>
        <w:t xml:space="preserve">CPUC </w:t>
      </w:r>
      <w:r w:rsidR="00F01110">
        <w:rPr>
          <w:u w:val="single"/>
        </w:rPr>
        <w:t>staff</w:t>
      </w:r>
      <w:r>
        <w:rPr>
          <w:u w:val="single"/>
        </w:rPr>
        <w:t xml:space="preserve"> response</w:t>
      </w:r>
      <w:r w:rsidRPr="00D67141">
        <w:rPr>
          <w:u w:val="single"/>
        </w:rPr>
        <w:t>:</w:t>
      </w:r>
      <w:r>
        <w:t xml:space="preserve"> </w:t>
      </w:r>
      <w:r w:rsidR="12F9C5DB">
        <w:t xml:space="preserve">Per CPUC staff, </w:t>
      </w:r>
      <w:r w:rsidR="007826A3">
        <w:t xml:space="preserve">Section B.7 has been revised. Additionally, the effective date </w:t>
      </w:r>
      <w:r w:rsidR="00D06CF8">
        <w:t>is set for</w:t>
      </w:r>
      <w:r w:rsidR="007826A3">
        <w:t xml:space="preserve"> 2028 to allow for changes to be made </w:t>
      </w:r>
      <w:r w:rsidR="00C63921">
        <w:t>to</w:t>
      </w:r>
      <w:r w:rsidR="007826A3">
        <w:t xml:space="preserve"> DEER models and measure packages</w:t>
      </w:r>
      <w:r w:rsidR="00E31731">
        <w:t xml:space="preserve"> for the affected climate zones</w:t>
      </w:r>
      <w:r w:rsidR="007826A3">
        <w:t xml:space="preserve">. </w:t>
      </w:r>
      <w:r w:rsidR="00FB1985">
        <w:t xml:space="preserve">CPUC staff </w:t>
      </w:r>
      <w:r w:rsidR="006F42F0">
        <w:t>has not determined</w:t>
      </w:r>
      <w:r w:rsidR="00D86596">
        <w:t xml:space="preserve"> how th</w:t>
      </w:r>
      <w:r w:rsidR="009D13B6">
        <w:t xml:space="preserve">eir definition of the </w:t>
      </w:r>
      <w:r w:rsidR="004A25C8">
        <w:t>peak period compares with CAISO’s peak day and typical peak aver</w:t>
      </w:r>
      <w:r w:rsidR="001F0099">
        <w:t>age distributions per hour of day</w:t>
      </w:r>
      <w:r w:rsidR="006F42F0">
        <w:t>.</w:t>
      </w:r>
    </w:p>
    <w:p w:rsidR="00D01C9F" w:rsidP="0023399C" w:rsidRDefault="00D01C9F" w14:paraId="2BAFB647" w14:textId="77777777">
      <w:pPr>
        <w:pStyle w:val="Heading7"/>
      </w:pPr>
      <w:r>
        <w:t>Vintage and Era Definitions</w:t>
      </w:r>
    </w:p>
    <w:p w:rsidR="00564E6D" w:rsidP="00481AB9" w:rsidRDefault="00476C96" w14:paraId="38123613" w14:textId="4A356AA0">
      <w:r w:rsidRPr="00D67141">
        <w:rPr>
          <w:u w:val="single"/>
        </w:rPr>
        <w:t xml:space="preserve">Comment </w:t>
      </w:r>
      <w:r w:rsidR="00FE58D4">
        <w:rPr>
          <w:u w:val="single"/>
        </w:rPr>
        <w:t>summary</w:t>
      </w:r>
      <w:r w:rsidRPr="00D67141">
        <w:rPr>
          <w:u w:val="single"/>
        </w:rPr>
        <w:t>:</w:t>
      </w:r>
      <w:r w:rsidRPr="005049FF">
        <w:t xml:space="preserve"> </w:t>
      </w:r>
      <w:r w:rsidR="00A775CD">
        <w:t>SCE and SCG requested clarification on the status of building vintage measure package language and the DEER definitions of the building vintages</w:t>
      </w:r>
      <w:r w:rsidR="00F710A3">
        <w:t>, respectively.</w:t>
      </w:r>
    </w:p>
    <w:p w:rsidR="001E2EDD" w:rsidP="00481AB9" w:rsidRDefault="000B11EB" w14:paraId="5E784CC9" w14:textId="4419E85A">
      <w:r>
        <w:rPr>
          <w:u w:val="single"/>
        </w:rPr>
        <w:t xml:space="preserve">CPUC </w:t>
      </w:r>
      <w:r w:rsidR="00F01110">
        <w:rPr>
          <w:u w:val="single"/>
        </w:rPr>
        <w:t>staff</w:t>
      </w:r>
      <w:r>
        <w:rPr>
          <w:u w:val="single"/>
        </w:rPr>
        <w:t xml:space="preserve"> response</w:t>
      </w:r>
      <w:r w:rsidRPr="00D67141">
        <w:rPr>
          <w:u w:val="single"/>
        </w:rPr>
        <w:t>:</w:t>
      </w:r>
      <w:r>
        <w:t xml:space="preserve"> </w:t>
      </w:r>
      <w:r w:rsidR="001E2EDD">
        <w:t xml:space="preserve">There are no changes needed to measure packages at this time to update </w:t>
      </w:r>
      <w:r w:rsidR="00653923">
        <w:t xml:space="preserve">building vintage eligibility </w:t>
      </w:r>
      <w:r w:rsidR="00F9196D">
        <w:t>language</w:t>
      </w:r>
      <w:r w:rsidR="00653923">
        <w:t>. In the future, the measure package template should be updated</w:t>
      </w:r>
      <w:r w:rsidR="006228FA">
        <w:t xml:space="preserve"> to </w:t>
      </w:r>
      <w:r w:rsidR="00653923">
        <w:t xml:space="preserve">standardize language. </w:t>
      </w:r>
      <w:r w:rsidR="009F7C19">
        <w:t>The DEER database definition</w:t>
      </w:r>
      <w:r w:rsidR="0080775D">
        <w:t>s</w:t>
      </w:r>
      <w:r w:rsidR="009F7C19">
        <w:t xml:space="preserve"> for Ex </w:t>
      </w:r>
      <w:r w:rsidR="0080775D">
        <w:t xml:space="preserve">and New building </w:t>
      </w:r>
      <w:r w:rsidR="009F7C19">
        <w:t>vintage</w:t>
      </w:r>
      <w:r w:rsidR="0080775D">
        <w:t>s</w:t>
      </w:r>
      <w:r w:rsidR="009F7C19">
        <w:t xml:space="preserve"> ha</w:t>
      </w:r>
      <w:r w:rsidR="0080775D">
        <w:t>ve</w:t>
      </w:r>
      <w:r w:rsidR="009F7C19">
        <w:t xml:space="preserve"> been updated </w:t>
      </w:r>
      <w:r w:rsidR="00B768E3">
        <w:t>in DEER</w:t>
      </w:r>
      <w:r w:rsidR="00B96FCB">
        <w:t xml:space="preserve"> </w:t>
      </w:r>
      <w:r w:rsidR="000155B9">
        <w:t xml:space="preserve">to </w:t>
      </w:r>
      <w:r w:rsidR="003767B3">
        <w:t xml:space="preserve">clarify the </w:t>
      </w:r>
      <w:r w:rsidR="00E04AC9">
        <w:t>coalescing of existing building vintages described in Section B.8.</w:t>
      </w:r>
    </w:p>
    <w:p w:rsidR="00E04AC9" w:rsidP="00505EF4" w:rsidRDefault="00E04AC9" w14:paraId="3C18DB44" w14:textId="77777777">
      <w:pPr>
        <w:pStyle w:val="Heading7"/>
      </w:pPr>
      <w:proofErr w:type="spellStart"/>
      <w:r>
        <w:t>EnergyPlus</w:t>
      </w:r>
      <w:proofErr w:type="spellEnd"/>
      <w:r>
        <w:t xml:space="preserve"> Prototypes</w:t>
      </w:r>
    </w:p>
    <w:p w:rsidR="00E04AC9" w:rsidP="00481AB9" w:rsidRDefault="00476C96" w14:paraId="682B5D31" w14:textId="2CEE51D8">
      <w:r w:rsidRPr="00D67141">
        <w:rPr>
          <w:u w:val="single"/>
        </w:rPr>
        <w:t xml:space="preserve">Comment </w:t>
      </w:r>
      <w:r w:rsidR="00FE58D4">
        <w:rPr>
          <w:u w:val="single"/>
        </w:rPr>
        <w:t>summary</w:t>
      </w:r>
      <w:r w:rsidRPr="00D67141">
        <w:rPr>
          <w:u w:val="single"/>
        </w:rPr>
        <w:t>:</w:t>
      </w:r>
      <w:r w:rsidRPr="005049FF">
        <w:t xml:space="preserve"> </w:t>
      </w:r>
      <w:r w:rsidR="00CA42D1">
        <w:t xml:space="preserve">SCE </w:t>
      </w:r>
      <w:r w:rsidR="00A51EAF">
        <w:t xml:space="preserve">proposed </w:t>
      </w:r>
      <w:r w:rsidR="006805DA">
        <w:t xml:space="preserve">enhanced stakeholder engagement, training, and technical guidance on modeling tools like </w:t>
      </w:r>
      <w:proofErr w:type="spellStart"/>
      <w:r w:rsidR="006805DA">
        <w:t>EnergyPlus</w:t>
      </w:r>
      <w:proofErr w:type="spellEnd"/>
      <w:r w:rsidR="006805DA">
        <w:t xml:space="preserve">. They </w:t>
      </w:r>
      <w:r w:rsidR="00843C03">
        <w:t>also call for updates and validation efforts to improve assumptions and methodolog</w:t>
      </w:r>
      <w:r w:rsidR="00C320B3">
        <w:t xml:space="preserve">ies for </w:t>
      </w:r>
      <w:r w:rsidR="00BD63AE">
        <w:t xml:space="preserve">program measures. </w:t>
      </w:r>
      <w:r w:rsidR="00E33ACD">
        <w:t xml:space="preserve">They also recommend </w:t>
      </w:r>
      <w:r w:rsidR="00E27D0E">
        <w:t>the Commission continue supporting research and evaluation on DEER prototype assumptions to improve accuracy of energy models</w:t>
      </w:r>
      <w:r w:rsidR="004C6D9F">
        <w:t>.</w:t>
      </w:r>
      <w:r w:rsidR="00140671">
        <w:t xml:space="preserve"> They also ask that the </w:t>
      </w:r>
      <w:r w:rsidR="00FE45D8">
        <w:t>Resolution clarify</w:t>
      </w:r>
      <w:r w:rsidR="00FC1E06">
        <w:t xml:space="preserve"> which measure packages will be affected by </w:t>
      </w:r>
      <w:r w:rsidR="00FB5226">
        <w:t>2025</w:t>
      </w:r>
      <w:r w:rsidR="00321AB3">
        <w:t xml:space="preserve"> CA</w:t>
      </w:r>
      <w:r w:rsidR="00FB5226">
        <w:t xml:space="preserve"> Title 24 updates.</w:t>
      </w:r>
    </w:p>
    <w:p w:rsidR="004C6D9F" w:rsidP="00481AB9" w:rsidRDefault="000B11EB" w14:paraId="7B46B413" w14:textId="5BF2E56C">
      <w:r>
        <w:rPr>
          <w:u w:val="single"/>
        </w:rPr>
        <w:lastRenderedPageBreak/>
        <w:t xml:space="preserve">CPUC </w:t>
      </w:r>
      <w:r w:rsidR="00F01110">
        <w:rPr>
          <w:u w:val="single"/>
        </w:rPr>
        <w:t>staff</w:t>
      </w:r>
      <w:r>
        <w:rPr>
          <w:u w:val="single"/>
        </w:rPr>
        <w:t xml:space="preserve"> response</w:t>
      </w:r>
      <w:r w:rsidRPr="00D67141">
        <w:rPr>
          <w:u w:val="single"/>
        </w:rPr>
        <w:t>:</w:t>
      </w:r>
      <w:r>
        <w:t xml:space="preserve"> </w:t>
      </w:r>
      <w:r w:rsidR="00803CE2">
        <w:t xml:space="preserve">CPUC staff agrees that </w:t>
      </w:r>
      <w:r w:rsidR="00D2026E">
        <w:t xml:space="preserve">enhanced stakeholder engagement and </w:t>
      </w:r>
      <w:r w:rsidR="004066D7">
        <w:t>further research and evaluation on DEER prototype assumptions</w:t>
      </w:r>
      <w:r w:rsidR="00803CE2">
        <w:t xml:space="preserve"> are good things to consider in 2025</w:t>
      </w:r>
      <w:r w:rsidR="000A46E3">
        <w:t>.</w:t>
      </w:r>
      <w:r w:rsidR="00B17972">
        <w:t xml:space="preserve"> T</w:t>
      </w:r>
      <w:r w:rsidR="00A9061F">
        <w:t xml:space="preserve">he </w:t>
      </w:r>
      <w:r w:rsidR="00321AB3">
        <w:t xml:space="preserve">2025 CA Title 24 </w:t>
      </w:r>
      <w:r w:rsidR="001D1ECE">
        <w:t>revisions to measure packages</w:t>
      </w:r>
      <w:r w:rsidR="00B17972">
        <w:t xml:space="preserve"> </w:t>
      </w:r>
      <w:r w:rsidR="001D1ECE">
        <w:t>are</w:t>
      </w:r>
      <w:r w:rsidR="00B17972">
        <w:t xml:space="preserve"> effectively mid-cycle update</w:t>
      </w:r>
      <w:r w:rsidR="001D1ECE">
        <w:t>s</w:t>
      </w:r>
      <w:r w:rsidR="00B17972">
        <w:t xml:space="preserve"> since the final 2025 </w:t>
      </w:r>
      <w:r w:rsidR="001D1ECE">
        <w:t xml:space="preserve">CA </w:t>
      </w:r>
      <w:r w:rsidR="00B17972">
        <w:t xml:space="preserve">Title 24 code was published after measure package submissions. The CPUC </w:t>
      </w:r>
      <w:r w:rsidR="78F7D551">
        <w:t xml:space="preserve">staff </w:t>
      </w:r>
      <w:r w:rsidR="00B17972">
        <w:t xml:space="preserve">and IOUs can collaborate outside of the Resolution to verify any PY2026 measure package updates </w:t>
      </w:r>
      <w:r w:rsidR="003E5C6C">
        <w:t xml:space="preserve">required by </w:t>
      </w:r>
      <w:r w:rsidR="00B17972">
        <w:t xml:space="preserve">differences between the draft and final 2025 </w:t>
      </w:r>
      <w:r w:rsidR="003E5C6C">
        <w:t xml:space="preserve">CA </w:t>
      </w:r>
      <w:r w:rsidR="00B17972">
        <w:t>Title 24 code.</w:t>
      </w:r>
    </w:p>
    <w:p w:rsidRPr="00564E6D" w:rsidR="00564E6D" w:rsidP="00505EF4" w:rsidRDefault="00575718" w14:paraId="682DBAB7" w14:textId="21D26289">
      <w:pPr>
        <w:pStyle w:val="Heading7"/>
      </w:pPr>
      <w:r>
        <w:t>Load Shape Updates</w:t>
      </w:r>
    </w:p>
    <w:p w:rsidRPr="001F4901" w:rsidR="001F4901" w:rsidP="001F4901" w:rsidRDefault="00476C96" w14:paraId="67872D71" w14:textId="3B185D00">
      <w:r w:rsidRPr="00D67141">
        <w:rPr>
          <w:u w:val="single"/>
        </w:rPr>
        <w:t xml:space="preserve">Comment </w:t>
      </w:r>
      <w:r w:rsidR="00FE58D4">
        <w:rPr>
          <w:u w:val="single"/>
        </w:rPr>
        <w:t>summary</w:t>
      </w:r>
      <w:r w:rsidRPr="00D67141">
        <w:rPr>
          <w:u w:val="single"/>
        </w:rPr>
        <w:t>:</w:t>
      </w:r>
      <w:r w:rsidRPr="005049FF">
        <w:t xml:space="preserve"> </w:t>
      </w:r>
      <w:r w:rsidR="009C137F">
        <w:t xml:space="preserve">SCG </w:t>
      </w:r>
      <w:r w:rsidR="00380E9B">
        <w:t>pointed out that th</w:t>
      </w:r>
      <w:r w:rsidR="00DF42DD">
        <w:t xml:space="preserve">e language </w:t>
      </w:r>
      <w:r w:rsidR="004F72B2">
        <w:t>in this section suggested that gas load shapes would also be stored as 8,760s</w:t>
      </w:r>
      <w:r w:rsidR="00346844">
        <w:t xml:space="preserve"> </w:t>
      </w:r>
      <w:r w:rsidR="002F40A7">
        <w:t xml:space="preserve">and that </w:t>
      </w:r>
      <w:r w:rsidR="00D376CB">
        <w:t xml:space="preserve">it made little sense to increase </w:t>
      </w:r>
      <w:r w:rsidR="00BE1576">
        <w:t xml:space="preserve">to do so given that </w:t>
      </w:r>
      <w:r w:rsidR="00E35D52">
        <w:t xml:space="preserve">avoided </w:t>
      </w:r>
      <w:r w:rsidR="006E55C6">
        <w:t xml:space="preserve">costs for gas are </w:t>
      </w:r>
      <w:r w:rsidR="00E607AE">
        <w:t>provided on a monthly basis.</w:t>
      </w:r>
    </w:p>
    <w:p w:rsidRPr="001F4901" w:rsidR="00F8219C" w:rsidP="001F4901" w:rsidRDefault="000B11EB" w14:paraId="08443261" w14:textId="1338E711">
      <w:r>
        <w:rPr>
          <w:u w:val="single"/>
        </w:rPr>
        <w:t xml:space="preserve">CPUC </w:t>
      </w:r>
      <w:r w:rsidR="00F01110">
        <w:rPr>
          <w:u w:val="single"/>
        </w:rPr>
        <w:t>staff</w:t>
      </w:r>
      <w:r>
        <w:rPr>
          <w:u w:val="single"/>
        </w:rPr>
        <w:t xml:space="preserve"> response</w:t>
      </w:r>
      <w:r w:rsidRPr="00D67141">
        <w:rPr>
          <w:u w:val="single"/>
        </w:rPr>
        <w:t>:</w:t>
      </w:r>
      <w:r>
        <w:t xml:space="preserve"> </w:t>
      </w:r>
      <w:r w:rsidR="00CE32D6">
        <w:t xml:space="preserve">CPUC staff agrees that </w:t>
      </w:r>
      <w:r w:rsidR="00362E86">
        <w:t xml:space="preserve">8,760s </w:t>
      </w:r>
      <w:r w:rsidR="007A6532">
        <w:t>are unnecessary</w:t>
      </w:r>
      <w:r w:rsidR="00362E86">
        <w:t xml:space="preserve"> for gas load shapes. </w:t>
      </w:r>
      <w:r w:rsidR="00065993">
        <w:t>That said</w:t>
      </w:r>
      <w:r w:rsidR="00892FDA">
        <w:t xml:space="preserve">, </w:t>
      </w:r>
      <w:r w:rsidR="008F45B5">
        <w:t xml:space="preserve">storing their GLSPs </w:t>
      </w:r>
      <w:r w:rsidR="00455443">
        <w:t xml:space="preserve">offers the benefit of enabling a future assessment of the extent to which they might both benefit from updates and </w:t>
      </w:r>
      <w:r w:rsidR="00CE664E">
        <w:t>coalesc</w:t>
      </w:r>
      <w:r w:rsidR="00D21C66">
        <w:t>ing</w:t>
      </w:r>
      <w:r w:rsidR="00CE664E">
        <w:t xml:space="preserve"> those updates.</w:t>
      </w:r>
      <w:r w:rsidR="00F90091">
        <w:t xml:space="preserve"> Given the uncertainty of the timing of th</w:t>
      </w:r>
      <w:r w:rsidR="008C6DF6">
        <w:t>e</w:t>
      </w:r>
      <w:r w:rsidR="00FD2C28">
        <w:t xml:space="preserve"> load shape update work, however, </w:t>
      </w:r>
      <w:r w:rsidR="008C6DF6">
        <w:t>this section has been removed from the resolution altogether.</w:t>
      </w:r>
    </w:p>
    <w:p w:rsidRPr="001F4901" w:rsidR="006C1FF3" w:rsidP="00D74D40" w:rsidRDefault="00E5498C" w14:paraId="572F5090" w14:textId="1D76C4F8">
      <w:pPr>
        <w:pStyle w:val="Heading6"/>
      </w:pPr>
      <w:r>
        <w:t>DEER 2028 Update and Measure Package Submission/Review</w:t>
      </w:r>
      <w:r w:rsidR="00E84E1F">
        <w:t xml:space="preserve"> </w:t>
      </w:r>
      <w:r w:rsidR="00471243">
        <w:t>Timeline</w:t>
      </w:r>
    </w:p>
    <w:p w:rsidR="00471243" w:rsidP="00471243" w:rsidRDefault="00D24B89" w14:paraId="4AAAA69F" w14:textId="7BB1D82F">
      <w:r w:rsidRPr="00D67141">
        <w:rPr>
          <w:u w:val="single"/>
        </w:rPr>
        <w:t xml:space="preserve">Comment </w:t>
      </w:r>
      <w:r w:rsidR="00FE58D4">
        <w:rPr>
          <w:u w:val="single"/>
        </w:rPr>
        <w:t>summary</w:t>
      </w:r>
      <w:r w:rsidRPr="00D67141">
        <w:rPr>
          <w:u w:val="single"/>
        </w:rPr>
        <w:t>:</w:t>
      </w:r>
      <w:r w:rsidRPr="005049FF">
        <w:t xml:space="preserve"> </w:t>
      </w:r>
      <w:r w:rsidR="00A56B2F">
        <w:t xml:space="preserve">SCE and SCG commented on </w:t>
      </w:r>
      <w:r w:rsidR="00800653">
        <w:t xml:space="preserve">the DEER 2028 </w:t>
      </w:r>
      <w:r w:rsidR="00437275">
        <w:t xml:space="preserve">Update Resolution timelines in Table 2. </w:t>
      </w:r>
    </w:p>
    <w:p w:rsidRPr="00471243" w:rsidR="008800E0" w:rsidP="00471243" w:rsidRDefault="000B11EB" w14:paraId="054EF2DC" w14:textId="4382B173">
      <w:r>
        <w:rPr>
          <w:u w:val="single"/>
        </w:rPr>
        <w:t xml:space="preserve">CPUC </w:t>
      </w:r>
      <w:r w:rsidR="00F01110">
        <w:rPr>
          <w:u w:val="single"/>
        </w:rPr>
        <w:t>staff</w:t>
      </w:r>
      <w:r>
        <w:rPr>
          <w:u w:val="single"/>
        </w:rPr>
        <w:t xml:space="preserve"> response</w:t>
      </w:r>
      <w:r w:rsidRPr="00D67141">
        <w:rPr>
          <w:u w:val="single"/>
        </w:rPr>
        <w:t>:</w:t>
      </w:r>
      <w:r>
        <w:t xml:space="preserve"> </w:t>
      </w:r>
      <w:r w:rsidR="008800E0">
        <w:t>A tentative measure package submittal date of 2026-03-31 was added for PY2028 measure packages</w:t>
      </w:r>
      <w:r w:rsidR="00335A99">
        <w:t xml:space="preserve">. </w:t>
      </w:r>
      <w:r w:rsidR="00D34DD6">
        <w:t>Table 2 includes the term tentative to allow for improvements to the future schedule.</w:t>
      </w:r>
    </w:p>
    <w:p w:rsidR="00A30159" w:rsidP="00D74D40" w:rsidRDefault="00CA0BC8" w14:paraId="0DAAD2C7" w14:textId="5607C7FE">
      <w:pPr>
        <w:pStyle w:val="Heading6"/>
      </w:pPr>
      <w:r>
        <w:t>Mid-Cycle Adjustments to the Locked Ex-Ante Values</w:t>
      </w:r>
    </w:p>
    <w:p w:rsidR="00424559" w:rsidP="00424559" w:rsidRDefault="00D24B89" w14:paraId="14BD7F60" w14:textId="07A7B125">
      <w:r w:rsidRPr="00D67141">
        <w:rPr>
          <w:u w:val="single"/>
        </w:rPr>
        <w:t xml:space="preserve">Comment </w:t>
      </w:r>
      <w:r w:rsidR="00FE58D4">
        <w:rPr>
          <w:u w:val="single"/>
        </w:rPr>
        <w:t>summary</w:t>
      </w:r>
      <w:r w:rsidRPr="00D67141">
        <w:rPr>
          <w:u w:val="single"/>
        </w:rPr>
        <w:t>:</w:t>
      </w:r>
      <w:r w:rsidRPr="005049FF">
        <w:t xml:space="preserve"> </w:t>
      </w:r>
      <w:r w:rsidR="00F556AD">
        <w:t xml:space="preserve">SDG&amp;E suggested including language to specify </w:t>
      </w:r>
      <w:r w:rsidR="005443B1">
        <w:t xml:space="preserve">the locked ex-ante values section of </w:t>
      </w:r>
      <w:r w:rsidR="00F556AD">
        <w:t>D.21-05-031</w:t>
      </w:r>
      <w:r w:rsidR="005443B1">
        <w:t xml:space="preserve"> includes forecasting and portfolio budget planning. </w:t>
      </w:r>
    </w:p>
    <w:p w:rsidR="005443B1" w:rsidP="00424559" w:rsidRDefault="000B11EB" w14:paraId="47B098F9" w14:textId="19D0A11C">
      <w:r>
        <w:rPr>
          <w:u w:val="single"/>
        </w:rPr>
        <w:t xml:space="preserve">CPUC </w:t>
      </w:r>
      <w:r w:rsidR="00F01110">
        <w:rPr>
          <w:u w:val="single"/>
        </w:rPr>
        <w:t xml:space="preserve">staff </w:t>
      </w:r>
      <w:r>
        <w:rPr>
          <w:u w:val="single"/>
        </w:rPr>
        <w:t>response</w:t>
      </w:r>
      <w:r w:rsidRPr="00D67141">
        <w:rPr>
          <w:u w:val="single"/>
        </w:rPr>
        <w:t>:</w:t>
      </w:r>
      <w:r>
        <w:t xml:space="preserve"> </w:t>
      </w:r>
      <w:r w:rsidR="005443B1">
        <w:t xml:space="preserve">CPUC </w:t>
      </w:r>
      <w:r w:rsidR="750D4264">
        <w:t xml:space="preserve">staff </w:t>
      </w:r>
      <w:r w:rsidR="005443B1">
        <w:t>agrees and has added in this language in the Attachment.</w:t>
      </w:r>
    </w:p>
    <w:p w:rsidR="005443B1" w:rsidP="00424559" w:rsidRDefault="00D24B89" w14:paraId="66DF0B0D" w14:textId="33327C53">
      <w:r w:rsidRPr="00D67141">
        <w:rPr>
          <w:u w:val="single"/>
        </w:rPr>
        <w:t xml:space="preserve">Comment </w:t>
      </w:r>
      <w:r w:rsidR="00FE58D4">
        <w:rPr>
          <w:u w:val="single"/>
        </w:rPr>
        <w:t>summary</w:t>
      </w:r>
      <w:r w:rsidRPr="00D67141">
        <w:rPr>
          <w:u w:val="single"/>
        </w:rPr>
        <w:t>:</w:t>
      </w:r>
      <w:r w:rsidRPr="005049FF">
        <w:t xml:space="preserve"> </w:t>
      </w:r>
      <w:proofErr w:type="spellStart"/>
      <w:r w:rsidR="005443B1">
        <w:t>SoCalREN</w:t>
      </w:r>
      <w:proofErr w:type="spellEnd"/>
      <w:r w:rsidR="00A87B59">
        <w:t xml:space="preserve"> is concerned about what constitutes as reasonable corrections to the existing locked ex-ante values.</w:t>
      </w:r>
    </w:p>
    <w:p w:rsidRPr="00424559" w:rsidR="00A87B59" w:rsidP="00424559" w:rsidRDefault="000B11EB" w14:paraId="6D1E9788" w14:textId="4C4FC398">
      <w:r>
        <w:rPr>
          <w:u w:val="single"/>
        </w:rPr>
        <w:t xml:space="preserve">CPUC </w:t>
      </w:r>
      <w:r w:rsidR="00F01110">
        <w:rPr>
          <w:u w:val="single"/>
        </w:rPr>
        <w:t>staff</w:t>
      </w:r>
      <w:r>
        <w:rPr>
          <w:u w:val="single"/>
        </w:rPr>
        <w:t xml:space="preserve"> response</w:t>
      </w:r>
      <w:r w:rsidRPr="00D67141">
        <w:rPr>
          <w:u w:val="single"/>
        </w:rPr>
        <w:t>:</w:t>
      </w:r>
      <w:r>
        <w:t xml:space="preserve"> </w:t>
      </w:r>
      <w:r w:rsidR="68AFDC26">
        <w:t>CPUC agrees</w:t>
      </w:r>
      <w:r w:rsidR="00CE47C2">
        <w:t xml:space="preserve"> and</w:t>
      </w:r>
      <w:r w:rsidR="68AFDC26">
        <w:t xml:space="preserve"> i</w:t>
      </w:r>
      <w:r w:rsidR="0017337E">
        <w:t>mprovements to the process are always welcome and are best executed through future decisions and proceedings.</w:t>
      </w:r>
    </w:p>
    <w:p w:rsidRPr="002139D3" w:rsidR="002139D3" w:rsidP="00FA77C6" w:rsidRDefault="00180260" w14:paraId="7F08D7EA" w14:textId="484B3757">
      <w:pPr>
        <w:pStyle w:val="Heading7"/>
      </w:pPr>
      <w:r>
        <w:t>Codes and Standards</w:t>
      </w:r>
    </w:p>
    <w:p w:rsidR="00180260" w:rsidP="00180260" w:rsidRDefault="00D24B89" w14:paraId="6A054FEA" w14:textId="218E62F2">
      <w:r w:rsidRPr="00D67141">
        <w:rPr>
          <w:u w:val="single"/>
        </w:rPr>
        <w:t xml:space="preserve">Comment </w:t>
      </w:r>
      <w:r w:rsidR="00FE58D4">
        <w:rPr>
          <w:u w:val="single"/>
        </w:rPr>
        <w:t>summary</w:t>
      </w:r>
      <w:r w:rsidRPr="00D67141">
        <w:rPr>
          <w:u w:val="single"/>
        </w:rPr>
        <w:t>:</w:t>
      </w:r>
      <w:r w:rsidRPr="005049FF">
        <w:t xml:space="preserve"> </w:t>
      </w:r>
      <w:r w:rsidRPr="00E425C8" w:rsidR="00E425C8">
        <w:t xml:space="preserve">SDG&amp;E suggests clarifying and modifying the CEC CA Title 24 change requirement for </w:t>
      </w:r>
      <w:proofErr w:type="spellStart"/>
      <w:r w:rsidRPr="00E425C8" w:rsidR="00E425C8">
        <w:t>eTRM</w:t>
      </w:r>
      <w:proofErr w:type="spellEnd"/>
      <w:r w:rsidRPr="00E425C8" w:rsidR="00E425C8">
        <w:t xml:space="preserve"> model measure</w:t>
      </w:r>
      <w:r w:rsidR="00C437D3">
        <w:t>s</w:t>
      </w:r>
      <w:r w:rsidRPr="00E425C8" w:rsidR="00E425C8">
        <w:t xml:space="preserve"> that use the "New" building type.</w:t>
      </w:r>
    </w:p>
    <w:p w:rsidR="00602B1C" w:rsidP="00180260" w:rsidRDefault="000B11EB" w14:paraId="6E96DD01" w14:textId="3D0FD930">
      <w:r>
        <w:rPr>
          <w:u w:val="single"/>
        </w:rPr>
        <w:lastRenderedPageBreak/>
        <w:t xml:space="preserve">CPUC </w:t>
      </w:r>
      <w:r w:rsidR="00F01110">
        <w:rPr>
          <w:u w:val="single"/>
        </w:rPr>
        <w:t>staff</w:t>
      </w:r>
      <w:r>
        <w:rPr>
          <w:u w:val="single"/>
        </w:rPr>
        <w:t xml:space="preserve"> response</w:t>
      </w:r>
      <w:r w:rsidRPr="00D67141">
        <w:rPr>
          <w:u w:val="single"/>
        </w:rPr>
        <w:t>:</w:t>
      </w:r>
      <w:r>
        <w:t xml:space="preserve"> </w:t>
      </w:r>
      <w:r w:rsidR="0C61604F">
        <w:t xml:space="preserve">CPUC </w:t>
      </w:r>
      <w:r w:rsidR="00FD1978">
        <w:t xml:space="preserve">staff </w:t>
      </w:r>
      <w:r w:rsidR="0C61604F">
        <w:t xml:space="preserve">acknowledges </w:t>
      </w:r>
      <w:r w:rsidR="7E826C02">
        <w:t>n</w:t>
      </w:r>
      <w:r w:rsidR="000823F4">
        <w:t xml:space="preserve">ew baselines may be needed for NR, NC, and AR </w:t>
      </w:r>
      <w:r w:rsidR="00971360">
        <w:t>measure application types (</w:t>
      </w:r>
      <w:r w:rsidR="000823F4">
        <w:t>MATs.</w:t>
      </w:r>
      <w:r w:rsidR="005646B5">
        <w:t>)</w:t>
      </w:r>
      <w:r w:rsidR="000823F4">
        <w:t xml:space="preserve"> Measures with none of those MATs would not need to be revised.</w:t>
      </w:r>
    </w:p>
    <w:p w:rsidR="005A43D0" w:rsidP="00AB21F0" w:rsidRDefault="005A43D0" w14:paraId="2BA5DDB4" w14:textId="582867F4">
      <w:pPr>
        <w:pStyle w:val="Heading6"/>
      </w:pPr>
      <w:r>
        <w:t>Structural Changes to DEER Tables</w:t>
      </w:r>
    </w:p>
    <w:p w:rsidR="00F5266A" w:rsidP="003E75D1" w:rsidRDefault="00513006" w14:paraId="73B55CC8" w14:textId="117E8B1B">
      <w:pPr>
        <w:pStyle w:val="Heading7"/>
        <w:numPr>
          <w:ilvl w:val="5"/>
          <w:numId w:val="33"/>
        </w:numPr>
      </w:pPr>
      <w:r>
        <w:t xml:space="preserve">Adding </w:t>
      </w:r>
      <w:proofErr w:type="spellStart"/>
      <w:r>
        <w:t>FuelID</w:t>
      </w:r>
      <w:proofErr w:type="spellEnd"/>
      <w:r>
        <w:t xml:space="preserve"> Table</w:t>
      </w:r>
    </w:p>
    <w:p w:rsidR="00D70EE1" w:rsidP="00513006" w:rsidRDefault="00D24B89" w14:paraId="02BDB76C" w14:textId="01702D90">
      <w:r w:rsidRPr="00D67141">
        <w:rPr>
          <w:u w:val="single"/>
        </w:rPr>
        <w:t xml:space="preserve">Comment </w:t>
      </w:r>
      <w:r w:rsidR="00FE58D4">
        <w:rPr>
          <w:u w:val="single"/>
        </w:rPr>
        <w:t>summary</w:t>
      </w:r>
      <w:r w:rsidRPr="00D67141">
        <w:rPr>
          <w:u w:val="single"/>
        </w:rPr>
        <w:t>:</w:t>
      </w:r>
      <w:r w:rsidRPr="005049FF">
        <w:t xml:space="preserve"> </w:t>
      </w:r>
      <w:r w:rsidR="00D70EE1">
        <w:t>PGE pointed out that the description for the “Exempt-NC-</w:t>
      </w:r>
      <w:proofErr w:type="spellStart"/>
      <w:r w:rsidR="00D70EE1">
        <w:t>AllElec</w:t>
      </w:r>
      <w:proofErr w:type="spellEnd"/>
      <w:r w:rsidR="00D70EE1">
        <w:t xml:space="preserve">” </w:t>
      </w:r>
      <w:proofErr w:type="spellStart"/>
      <w:r w:rsidR="00D70EE1">
        <w:t>Fuel</w:t>
      </w:r>
      <w:r w:rsidR="003D06B0">
        <w:t>ID</w:t>
      </w:r>
      <w:proofErr w:type="spellEnd"/>
      <w:r w:rsidR="003D06B0">
        <w:t xml:space="preserve"> is likely incorrect and may cause confusion as written. </w:t>
      </w:r>
    </w:p>
    <w:p w:rsidR="00B86FC5" w:rsidP="00513006" w:rsidRDefault="000B11EB" w14:paraId="798FF9D9" w14:textId="188EA916">
      <w:r>
        <w:rPr>
          <w:u w:val="single"/>
        </w:rPr>
        <w:t xml:space="preserve">CPUC </w:t>
      </w:r>
      <w:r w:rsidR="00CE47C2">
        <w:rPr>
          <w:u w:val="single"/>
        </w:rPr>
        <w:t>staff</w:t>
      </w:r>
      <w:r>
        <w:rPr>
          <w:u w:val="single"/>
        </w:rPr>
        <w:t xml:space="preserve"> response</w:t>
      </w:r>
      <w:r w:rsidRPr="00D67141">
        <w:rPr>
          <w:u w:val="single"/>
        </w:rPr>
        <w:t>:</w:t>
      </w:r>
      <w:r>
        <w:t xml:space="preserve"> </w:t>
      </w:r>
      <w:r w:rsidR="00B86FC5">
        <w:t xml:space="preserve">The description has been corrected </w:t>
      </w:r>
      <w:r w:rsidR="00AA2C5D">
        <w:t xml:space="preserve">in the DEER database and </w:t>
      </w:r>
      <w:r w:rsidR="00D514EF">
        <w:t>in Attachment A</w:t>
      </w:r>
      <w:r w:rsidR="00DB174D">
        <w:t>.</w:t>
      </w:r>
    </w:p>
    <w:p w:rsidR="00513006" w:rsidP="00513006" w:rsidRDefault="00D24B89" w14:paraId="2F274A2E" w14:textId="2A83BDAA">
      <w:r w:rsidRPr="00D67141">
        <w:rPr>
          <w:u w:val="single"/>
        </w:rPr>
        <w:t xml:space="preserve">Comment </w:t>
      </w:r>
      <w:r w:rsidR="00FE58D4">
        <w:rPr>
          <w:u w:val="single"/>
        </w:rPr>
        <w:t>summary</w:t>
      </w:r>
      <w:r w:rsidRPr="00D67141">
        <w:rPr>
          <w:u w:val="single"/>
        </w:rPr>
        <w:t>:</w:t>
      </w:r>
      <w:r w:rsidRPr="005049FF">
        <w:t xml:space="preserve"> </w:t>
      </w:r>
      <w:r w:rsidR="000A75EC">
        <w:t xml:space="preserve">SCE asked whether the addition of the </w:t>
      </w:r>
      <w:proofErr w:type="spellStart"/>
      <w:r w:rsidR="000A75EC">
        <w:t>FuelID</w:t>
      </w:r>
      <w:proofErr w:type="spellEnd"/>
      <w:r w:rsidR="000A75EC">
        <w:t xml:space="preserve"> </w:t>
      </w:r>
      <w:r w:rsidR="00BE2007">
        <w:t xml:space="preserve">to each </w:t>
      </w:r>
      <w:r w:rsidR="000B2C13">
        <w:t xml:space="preserve">measure package </w:t>
      </w:r>
      <w:r w:rsidR="00BE2007">
        <w:t xml:space="preserve">permutation </w:t>
      </w:r>
      <w:r w:rsidR="008E61D9">
        <w:t>will require a mid-cycle update</w:t>
      </w:r>
      <w:r w:rsidR="007071BD">
        <w:t xml:space="preserve"> and </w:t>
      </w:r>
      <w:r w:rsidR="00604EF1">
        <w:t>s</w:t>
      </w:r>
      <w:r w:rsidR="000F042C">
        <w:t xml:space="preserve">ought an update on the </w:t>
      </w:r>
      <w:r w:rsidR="004D7321">
        <w:t xml:space="preserve">status of the </w:t>
      </w:r>
      <w:r w:rsidR="00D5246D">
        <w:t xml:space="preserve">preparation of the Technical Guidance Document </w:t>
      </w:r>
      <w:r w:rsidR="00A44E88">
        <w:t>defini</w:t>
      </w:r>
      <w:r w:rsidR="003F5E95">
        <w:t xml:space="preserve">ng </w:t>
      </w:r>
      <w:r w:rsidR="00197189">
        <w:t>a</w:t>
      </w:r>
      <w:r w:rsidR="003F5E95">
        <w:t xml:space="preserve"> </w:t>
      </w:r>
      <w:r w:rsidR="00F02F77">
        <w:t>Viable Electric Alternative (VEA).</w:t>
      </w:r>
    </w:p>
    <w:p w:rsidR="001C539A" w:rsidP="00513006" w:rsidRDefault="000B11EB" w14:paraId="506D668B" w14:textId="60E872DA">
      <w:r>
        <w:rPr>
          <w:u w:val="single"/>
        </w:rPr>
        <w:t xml:space="preserve">CPUC </w:t>
      </w:r>
      <w:r w:rsidR="00CE47C2">
        <w:rPr>
          <w:u w:val="single"/>
        </w:rPr>
        <w:t>staff</w:t>
      </w:r>
      <w:r>
        <w:rPr>
          <w:u w:val="single"/>
        </w:rPr>
        <w:t xml:space="preserve"> response</w:t>
      </w:r>
      <w:r w:rsidRPr="00D67141">
        <w:rPr>
          <w:u w:val="single"/>
        </w:rPr>
        <w:t>:</w:t>
      </w:r>
      <w:r>
        <w:t xml:space="preserve"> </w:t>
      </w:r>
      <w:r w:rsidR="001C539A">
        <w:t xml:space="preserve">CPUC staff expect that </w:t>
      </w:r>
      <w:r w:rsidR="0090174F">
        <w:t xml:space="preserve">populating the </w:t>
      </w:r>
      <w:r w:rsidR="0078365F">
        <w:t xml:space="preserve">new </w:t>
      </w:r>
      <w:proofErr w:type="spellStart"/>
      <w:r w:rsidR="0078365F">
        <w:t>FuelID</w:t>
      </w:r>
      <w:proofErr w:type="spellEnd"/>
      <w:r w:rsidR="0078365F">
        <w:t xml:space="preserve"> field in the </w:t>
      </w:r>
      <w:proofErr w:type="spellStart"/>
      <w:r w:rsidR="0078365F">
        <w:t>eTRM</w:t>
      </w:r>
      <w:proofErr w:type="spellEnd"/>
      <w:r w:rsidR="0078365F">
        <w:t xml:space="preserve"> can be done on the </w:t>
      </w:r>
      <w:r w:rsidR="00387950">
        <w:t>back end</w:t>
      </w:r>
      <w:r w:rsidR="0078365F">
        <w:t xml:space="preserve"> without requiring </w:t>
      </w:r>
      <w:r w:rsidR="00D25272">
        <w:t>advancing the measure package versions</w:t>
      </w:r>
      <w:r w:rsidR="00854DD8">
        <w:t xml:space="preserve"> for PY2026</w:t>
      </w:r>
      <w:r w:rsidR="00D25272">
        <w:t xml:space="preserve">. </w:t>
      </w:r>
      <w:r w:rsidR="001F018F">
        <w:t xml:space="preserve">New </w:t>
      </w:r>
      <w:r w:rsidR="009739EA">
        <w:t xml:space="preserve">mid-cycle </w:t>
      </w:r>
      <w:r w:rsidR="001F018F">
        <w:t xml:space="preserve">measure packages or </w:t>
      </w:r>
      <w:r w:rsidR="008B080E">
        <w:t>offering</w:t>
      </w:r>
      <w:r w:rsidR="009739EA">
        <w:t xml:space="preserve">s </w:t>
      </w:r>
      <w:r w:rsidR="00496CE9">
        <w:t xml:space="preserve">will not require the </w:t>
      </w:r>
      <w:proofErr w:type="spellStart"/>
      <w:r w:rsidR="00496CE9">
        <w:t>FuelID</w:t>
      </w:r>
      <w:proofErr w:type="spellEnd"/>
      <w:r w:rsidR="00496CE9">
        <w:t xml:space="preserve"> field.</w:t>
      </w:r>
    </w:p>
    <w:p w:rsidR="00496CE9" w:rsidP="00513006" w:rsidRDefault="00CB0704" w14:paraId="303A8FAF" w14:textId="67FDA653">
      <w:r w:rsidRPr="00D67141">
        <w:rPr>
          <w:u w:val="single"/>
        </w:rPr>
        <w:t xml:space="preserve">Comment </w:t>
      </w:r>
      <w:r w:rsidR="00FE58D4">
        <w:rPr>
          <w:u w:val="single"/>
        </w:rPr>
        <w:t>summary</w:t>
      </w:r>
      <w:r w:rsidRPr="00D67141">
        <w:rPr>
          <w:u w:val="single"/>
        </w:rPr>
        <w:t>:</w:t>
      </w:r>
      <w:r w:rsidRPr="005049FF">
        <w:t xml:space="preserve"> </w:t>
      </w:r>
      <w:r w:rsidR="00227A11">
        <w:t xml:space="preserve">SCG pointed out that the </w:t>
      </w:r>
      <w:r w:rsidR="00840A38">
        <w:t>table that t</w:t>
      </w:r>
      <w:r w:rsidR="00EC4D5A">
        <w:t xml:space="preserve">he </w:t>
      </w:r>
      <w:proofErr w:type="spellStart"/>
      <w:r w:rsidR="00EC4D5A">
        <w:t>FuelID</w:t>
      </w:r>
      <w:proofErr w:type="spellEnd"/>
      <w:r w:rsidR="00EC4D5A">
        <w:t xml:space="preserve"> table is replacing—the </w:t>
      </w:r>
      <w:proofErr w:type="spellStart"/>
      <w:r w:rsidR="00EC4D5A">
        <w:t>FuelSub</w:t>
      </w:r>
      <w:r w:rsidR="00F800A3">
        <w:t>ID</w:t>
      </w:r>
      <w:proofErr w:type="spellEnd"/>
      <w:r w:rsidR="00F800A3">
        <w:t xml:space="preserve"> table—was never </w:t>
      </w:r>
      <w:r w:rsidR="003C426B">
        <w:t xml:space="preserve">added to the </w:t>
      </w:r>
      <w:proofErr w:type="spellStart"/>
      <w:r w:rsidR="003C426B">
        <w:t>eTRM’s</w:t>
      </w:r>
      <w:proofErr w:type="spellEnd"/>
      <w:r w:rsidR="003C426B">
        <w:t xml:space="preserve"> </w:t>
      </w:r>
      <w:r w:rsidR="00993BAE">
        <w:t>repository of CPUC Support Tables.</w:t>
      </w:r>
      <w:r w:rsidR="007B005A">
        <w:t xml:space="preserve"> Furthermore, they requested clarification of some descriptions and </w:t>
      </w:r>
      <w:r w:rsidR="006910C4">
        <w:t xml:space="preserve">questioned the need for some of the </w:t>
      </w:r>
      <w:proofErr w:type="spellStart"/>
      <w:r w:rsidR="006910C4">
        <w:t>FuelIDs</w:t>
      </w:r>
      <w:proofErr w:type="spellEnd"/>
      <w:r w:rsidR="0046733E">
        <w:t>.</w:t>
      </w:r>
    </w:p>
    <w:p w:rsidR="003A21D8" w:rsidP="00513006" w:rsidRDefault="004078D6" w14:paraId="62B12DED" w14:textId="7B142905">
      <w:r>
        <w:rPr>
          <w:u w:val="single"/>
        </w:rPr>
        <w:t xml:space="preserve">CPUC </w:t>
      </w:r>
      <w:r w:rsidR="00CE47C2">
        <w:rPr>
          <w:u w:val="single"/>
        </w:rPr>
        <w:t>staff</w:t>
      </w:r>
      <w:r>
        <w:rPr>
          <w:u w:val="single"/>
        </w:rPr>
        <w:t xml:space="preserve"> response</w:t>
      </w:r>
      <w:r w:rsidRPr="00D67141">
        <w:rPr>
          <w:u w:val="single"/>
        </w:rPr>
        <w:t>:</w:t>
      </w:r>
      <w:r>
        <w:t xml:space="preserve"> </w:t>
      </w:r>
      <w:r w:rsidR="003A21D8">
        <w:t xml:space="preserve">CPUC staff does not believe that it is necessary to move the section, but has clarified that the </w:t>
      </w:r>
      <w:proofErr w:type="spellStart"/>
      <w:r w:rsidR="003A21D8">
        <w:t>FuelID</w:t>
      </w:r>
      <w:proofErr w:type="spellEnd"/>
      <w:r w:rsidR="003A21D8">
        <w:t xml:space="preserve"> table is to be added to the </w:t>
      </w:r>
      <w:proofErr w:type="spellStart"/>
      <w:r w:rsidR="003A21D8">
        <w:t>eTRM’s</w:t>
      </w:r>
      <w:proofErr w:type="spellEnd"/>
      <w:r w:rsidR="003A21D8">
        <w:t xml:space="preserve"> </w:t>
      </w:r>
      <w:r w:rsidR="00D70EE1">
        <w:t>repository of CPUC Support Tables.</w:t>
      </w:r>
      <w:r w:rsidR="0046733E">
        <w:t xml:space="preserve"> In response to their comments, changes were made to the </w:t>
      </w:r>
      <w:proofErr w:type="spellStart"/>
      <w:r w:rsidR="0046733E">
        <w:t>FuelIDs</w:t>
      </w:r>
      <w:proofErr w:type="spellEnd"/>
      <w:r w:rsidR="0046733E">
        <w:t xml:space="preserve"> and their descriptions as indicated in Attachment A and in the DEER database.</w:t>
      </w:r>
    </w:p>
    <w:p w:rsidR="006A3A78" w:rsidP="003E75D1" w:rsidRDefault="006A3A78" w14:paraId="67473D57" w14:textId="13851A37">
      <w:pPr>
        <w:pStyle w:val="Heading7"/>
        <w:numPr>
          <w:ilvl w:val="5"/>
          <w:numId w:val="34"/>
        </w:numPr>
      </w:pPr>
      <w:r>
        <w:t xml:space="preserve">Field Changes to the </w:t>
      </w:r>
      <w:proofErr w:type="spellStart"/>
      <w:r>
        <w:t>TechType</w:t>
      </w:r>
      <w:proofErr w:type="spellEnd"/>
      <w:r>
        <w:t xml:space="preserve"> Table</w:t>
      </w:r>
    </w:p>
    <w:p w:rsidR="006A3A78" w:rsidP="006A3A78" w:rsidRDefault="009E79BB" w14:paraId="1BF3BEDA" w14:textId="2552EDE8">
      <w:r w:rsidRPr="00D67141">
        <w:rPr>
          <w:u w:val="single"/>
        </w:rPr>
        <w:t xml:space="preserve">Comment </w:t>
      </w:r>
      <w:r w:rsidR="00FE58D4">
        <w:rPr>
          <w:u w:val="single"/>
        </w:rPr>
        <w:t>summary</w:t>
      </w:r>
      <w:r w:rsidRPr="00D67141">
        <w:rPr>
          <w:u w:val="single"/>
        </w:rPr>
        <w:t>:</w:t>
      </w:r>
      <w:r w:rsidRPr="005049FF">
        <w:t xml:space="preserve"> </w:t>
      </w:r>
      <w:r w:rsidR="00524291">
        <w:t xml:space="preserve">SCG pointed out that </w:t>
      </w:r>
      <w:r w:rsidR="006A6DB1">
        <w:t xml:space="preserve">some of the </w:t>
      </w:r>
      <w:proofErr w:type="spellStart"/>
      <w:r w:rsidR="006A6DB1">
        <w:t>TechTypes</w:t>
      </w:r>
      <w:proofErr w:type="spellEnd"/>
      <w:r w:rsidR="00A24EB7">
        <w:t xml:space="preserve"> </w:t>
      </w:r>
      <w:r w:rsidR="0014220B">
        <w:t xml:space="preserve">are missing flags in either the </w:t>
      </w:r>
      <w:proofErr w:type="spellStart"/>
      <w:r w:rsidR="0014220B">
        <w:t>UsesGas</w:t>
      </w:r>
      <w:proofErr w:type="spellEnd"/>
      <w:r w:rsidR="0014220B">
        <w:t xml:space="preserve"> </w:t>
      </w:r>
      <w:r w:rsidR="00DD0381">
        <w:t xml:space="preserve">or the </w:t>
      </w:r>
      <w:proofErr w:type="spellStart"/>
      <w:r w:rsidR="00DD0381">
        <w:t>UsesElec</w:t>
      </w:r>
      <w:proofErr w:type="spellEnd"/>
      <w:r w:rsidR="00DD0381">
        <w:t xml:space="preserve"> field.</w:t>
      </w:r>
      <w:r w:rsidR="005A2EF7">
        <w:t xml:space="preserve"> They also re</w:t>
      </w:r>
      <w:r w:rsidR="003A37BC">
        <w:t>commend</w:t>
      </w:r>
      <w:r w:rsidR="005A2EF7">
        <w:t xml:space="preserve">ed </w:t>
      </w:r>
      <w:r w:rsidR="00A20DB6">
        <w:t xml:space="preserve">consistency in </w:t>
      </w:r>
      <w:r w:rsidR="00F203E5">
        <w:t>name suffixes</w:t>
      </w:r>
      <w:r w:rsidR="003D5806">
        <w:t xml:space="preserve"> (e.g.</w:t>
      </w:r>
      <w:r w:rsidR="00007C8A">
        <w:t>, “-Gas”</w:t>
      </w:r>
      <w:r w:rsidR="003A37BC">
        <w:t>).</w:t>
      </w:r>
      <w:r w:rsidR="009F7F12">
        <w:t xml:space="preserve"> </w:t>
      </w:r>
    </w:p>
    <w:p w:rsidR="002C7F58" w:rsidP="006A3A78" w:rsidRDefault="008A5E0B" w14:paraId="21F51036" w14:textId="775E2386">
      <w:r>
        <w:rPr>
          <w:u w:val="single"/>
        </w:rPr>
        <w:t xml:space="preserve">CPUC </w:t>
      </w:r>
      <w:r w:rsidR="00CE47C2">
        <w:rPr>
          <w:u w:val="single"/>
        </w:rPr>
        <w:t>staff</w:t>
      </w:r>
      <w:r>
        <w:rPr>
          <w:u w:val="single"/>
        </w:rPr>
        <w:t xml:space="preserve"> response</w:t>
      </w:r>
      <w:r w:rsidRPr="00D67141">
        <w:rPr>
          <w:u w:val="single"/>
        </w:rPr>
        <w:t>:</w:t>
      </w:r>
      <w:r>
        <w:t xml:space="preserve"> </w:t>
      </w:r>
      <w:r w:rsidR="002C7F58">
        <w:t>Both comments have been addressed in</w:t>
      </w:r>
      <w:r w:rsidR="00CB18D3">
        <w:t xml:space="preserve"> this resolution and in the DEER database.</w:t>
      </w:r>
    </w:p>
    <w:p w:rsidR="00DA6A40" w:rsidP="00AB21F0" w:rsidRDefault="00DA6A40" w14:paraId="3E4A1B55" w14:textId="5BE1A1DC">
      <w:pPr>
        <w:pStyle w:val="Heading6"/>
      </w:pPr>
      <w:r>
        <w:lastRenderedPageBreak/>
        <w:t>Updates to DEER Support Table Values</w:t>
      </w:r>
    </w:p>
    <w:p w:rsidR="00DA6A40" w:rsidP="00FA77C6" w:rsidRDefault="00DA6A40" w14:paraId="2973ED66" w14:textId="10268345">
      <w:pPr>
        <w:pStyle w:val="Heading7"/>
      </w:pPr>
      <w:r>
        <w:t>Updates to Net-to-Gross Table</w:t>
      </w:r>
    </w:p>
    <w:p w:rsidR="00DA6A40" w:rsidP="00DA6A40" w:rsidRDefault="009E79BB" w14:paraId="3CF0EC08" w14:textId="3F278B2C">
      <w:r w:rsidRPr="00D67141">
        <w:rPr>
          <w:u w:val="single"/>
        </w:rPr>
        <w:t xml:space="preserve">Comment </w:t>
      </w:r>
      <w:r w:rsidR="00FE58D4">
        <w:rPr>
          <w:u w:val="single"/>
        </w:rPr>
        <w:t>summary</w:t>
      </w:r>
      <w:r w:rsidRPr="00D67141">
        <w:rPr>
          <w:u w:val="single"/>
        </w:rPr>
        <w:t>:</w:t>
      </w:r>
      <w:r w:rsidRPr="005049FF">
        <w:t xml:space="preserve"> </w:t>
      </w:r>
      <w:r w:rsidR="00A5295A">
        <w:t xml:space="preserve">SCE </w:t>
      </w:r>
      <w:r w:rsidR="007E0356">
        <w:t xml:space="preserve">commented </w:t>
      </w:r>
      <w:r w:rsidR="001A29AE">
        <w:t>that third-party implementers designing and implementing new programs should not be subject to the low NTGs that were determined by</w:t>
      </w:r>
      <w:r w:rsidR="007E0356">
        <w:t xml:space="preserve"> </w:t>
      </w:r>
      <w:r w:rsidR="002A0E00">
        <w:t>l</w:t>
      </w:r>
      <w:r w:rsidR="00A00F88">
        <w:t>e</w:t>
      </w:r>
      <w:r w:rsidR="002A0E00">
        <w:t xml:space="preserve">gacy non-third- party programs. SCE suggests </w:t>
      </w:r>
      <w:r w:rsidR="007E0356">
        <w:t xml:space="preserve">the Commission Staff to engage with stakeholders through workshops or other similar forums </w:t>
      </w:r>
      <w:r w:rsidR="00C86778">
        <w:t xml:space="preserve">to increase participation in the third-party EE market. </w:t>
      </w:r>
    </w:p>
    <w:p w:rsidR="009E4126" w:rsidP="00DA6A40" w:rsidRDefault="008A5E0B" w14:paraId="65D54AFC" w14:textId="6BA1BAC0">
      <w:r>
        <w:rPr>
          <w:u w:val="single"/>
        </w:rPr>
        <w:t xml:space="preserve">CPUC </w:t>
      </w:r>
      <w:r w:rsidR="00CE47C2">
        <w:rPr>
          <w:u w:val="single"/>
        </w:rPr>
        <w:t xml:space="preserve">staff </w:t>
      </w:r>
      <w:r>
        <w:rPr>
          <w:u w:val="single"/>
        </w:rPr>
        <w:t>response</w:t>
      </w:r>
      <w:r w:rsidRPr="00D67141">
        <w:rPr>
          <w:u w:val="single"/>
        </w:rPr>
        <w:t>:</w:t>
      </w:r>
      <w:r>
        <w:t xml:space="preserve"> </w:t>
      </w:r>
      <w:r w:rsidR="009E4126">
        <w:t xml:space="preserve">CPUC </w:t>
      </w:r>
      <w:r w:rsidR="6D455716">
        <w:t xml:space="preserve">staff </w:t>
      </w:r>
      <w:r w:rsidR="009E4126">
        <w:t>promote using the best available and most accurate data</w:t>
      </w:r>
      <w:r w:rsidR="00A00F88">
        <w:t>-based values available. This is best served through scoping the next round of impact evaluations</w:t>
      </w:r>
      <w:r w:rsidR="00A41BBF">
        <w:t>.</w:t>
      </w:r>
    </w:p>
    <w:p w:rsidR="00A41BBF" w:rsidP="00DA6A40" w:rsidRDefault="009E79BB" w14:paraId="294A97D8" w14:textId="7ABFA749">
      <w:r w:rsidRPr="00D67141">
        <w:rPr>
          <w:u w:val="single"/>
        </w:rPr>
        <w:t xml:space="preserve">Comment </w:t>
      </w:r>
      <w:r w:rsidR="00FE58D4">
        <w:rPr>
          <w:u w:val="single"/>
        </w:rPr>
        <w:t>summary</w:t>
      </w:r>
      <w:r w:rsidRPr="00D67141">
        <w:rPr>
          <w:u w:val="single"/>
        </w:rPr>
        <w:t>:</w:t>
      </w:r>
      <w:r w:rsidRPr="005049FF">
        <w:t xml:space="preserve"> </w:t>
      </w:r>
      <w:proofErr w:type="spellStart"/>
      <w:r w:rsidR="00A41BBF">
        <w:t>SoCalREN</w:t>
      </w:r>
      <w:proofErr w:type="spellEnd"/>
      <w:r w:rsidR="00A41BBF">
        <w:t xml:space="preserve"> highlighted the significant impact on public sector programs relating to the expir</w:t>
      </w:r>
      <w:r w:rsidR="00F15946">
        <w:t>ation</w:t>
      </w:r>
      <w:r w:rsidR="007B180F">
        <w:t xml:space="preserve"> of the </w:t>
      </w:r>
      <w:proofErr w:type="spellStart"/>
      <w:r w:rsidR="007B180F">
        <w:t>NonRes</w:t>
      </w:r>
      <w:proofErr w:type="spellEnd"/>
      <w:r w:rsidR="007B180F">
        <w:t>-Out-</w:t>
      </w:r>
      <w:proofErr w:type="spellStart"/>
      <w:r w:rsidR="007B180F">
        <w:t>Ltg</w:t>
      </w:r>
      <w:proofErr w:type="spellEnd"/>
      <w:r w:rsidR="007B180F">
        <w:t>-</w:t>
      </w:r>
      <w:proofErr w:type="spellStart"/>
      <w:r w:rsidR="007B180F">
        <w:t>LEDFixt</w:t>
      </w:r>
      <w:proofErr w:type="spellEnd"/>
      <w:r w:rsidR="007B180F">
        <w:t xml:space="preserve"> NTG ID.</w:t>
      </w:r>
    </w:p>
    <w:p w:rsidR="007B180F" w:rsidP="00DA6A40" w:rsidRDefault="008A5E0B" w14:paraId="09D064FC" w14:textId="059BC60A">
      <w:r>
        <w:rPr>
          <w:u w:val="single"/>
        </w:rPr>
        <w:t xml:space="preserve">CPUC </w:t>
      </w:r>
      <w:r w:rsidR="00CE47C2">
        <w:rPr>
          <w:u w:val="single"/>
        </w:rPr>
        <w:t>staff</w:t>
      </w:r>
      <w:r>
        <w:rPr>
          <w:u w:val="single"/>
        </w:rPr>
        <w:t xml:space="preserve"> response</w:t>
      </w:r>
      <w:r w:rsidRPr="00D67141">
        <w:rPr>
          <w:u w:val="single"/>
        </w:rPr>
        <w:t>:</w:t>
      </w:r>
      <w:r>
        <w:t xml:space="preserve"> </w:t>
      </w:r>
      <w:r w:rsidR="00D94D80">
        <w:t xml:space="preserve">The decision to expire the </w:t>
      </w:r>
      <w:proofErr w:type="spellStart"/>
      <w:r w:rsidR="00D94D80">
        <w:t>NonRES</w:t>
      </w:r>
      <w:proofErr w:type="spellEnd"/>
      <w:r w:rsidR="00D94D80">
        <w:t>-Out-</w:t>
      </w:r>
      <w:proofErr w:type="spellStart"/>
      <w:r w:rsidR="00D94D80">
        <w:t>Ltg</w:t>
      </w:r>
      <w:proofErr w:type="spellEnd"/>
      <w:r w:rsidR="00D94D80">
        <w:t>-</w:t>
      </w:r>
      <w:proofErr w:type="spellStart"/>
      <w:r w:rsidR="00D94D80">
        <w:t>LEDFixt</w:t>
      </w:r>
      <w:proofErr w:type="spellEnd"/>
      <w:r w:rsidR="00D94D80">
        <w:t xml:space="preserve"> NTG ID was after careful review and collaboration with the ex-ante custom review team. Changes were communicated in the </w:t>
      </w:r>
      <w:r w:rsidR="009B7AE3">
        <w:t>D</w:t>
      </w:r>
      <w:r w:rsidR="00D94D80">
        <w:t>raft Resolution and distributed to the Service List</w:t>
      </w:r>
      <w:r w:rsidR="009B7AE3">
        <w:t>. This NTG ID will remain expired and can be updated if included in future EM&amp;V.</w:t>
      </w:r>
    </w:p>
    <w:p w:rsidRPr="00705068" w:rsidR="00705068" w:rsidP="002E154E" w:rsidRDefault="00D37B6D" w14:paraId="66FF702D" w14:textId="090A8461">
      <w:pPr>
        <w:pStyle w:val="Heading7"/>
        <w:numPr>
          <w:ilvl w:val="5"/>
          <w:numId w:val="35"/>
        </w:numPr>
      </w:pPr>
      <w:r>
        <w:t>Updates to Building Weights Using 2022 Commercial End-Use Study</w:t>
      </w:r>
      <w:r w:rsidR="003C57DE">
        <w:t xml:space="preserve"> (CEUS)</w:t>
      </w:r>
    </w:p>
    <w:p w:rsidR="009760AE" w:rsidP="009760AE" w:rsidRDefault="006061ED" w14:paraId="6D38ABF1" w14:textId="05A8F545">
      <w:r w:rsidRPr="00D67141">
        <w:rPr>
          <w:u w:val="single"/>
        </w:rPr>
        <w:t xml:space="preserve">Comment </w:t>
      </w:r>
      <w:r w:rsidR="00FE58D4">
        <w:rPr>
          <w:u w:val="single"/>
        </w:rPr>
        <w:t>summary</w:t>
      </w:r>
      <w:r w:rsidRPr="00D67141">
        <w:rPr>
          <w:u w:val="single"/>
        </w:rPr>
        <w:t>:</w:t>
      </w:r>
      <w:r w:rsidRPr="005049FF">
        <w:t xml:space="preserve"> </w:t>
      </w:r>
      <w:r w:rsidR="00B22DE3">
        <w:t xml:space="preserve">SCE </w:t>
      </w:r>
      <w:r w:rsidR="00DE7B7E">
        <w:t>recommended providing supporting documentation</w:t>
      </w:r>
      <w:r w:rsidR="00A62A1E">
        <w:t>, including all data sources, methods, and assumptions used for the development of both building and HV</w:t>
      </w:r>
      <w:r w:rsidR="00232AF7">
        <w:t xml:space="preserve">AC </w:t>
      </w:r>
      <w:r w:rsidR="007248BA">
        <w:t>system weights</w:t>
      </w:r>
      <w:r w:rsidR="00061B88">
        <w:t xml:space="preserve"> and for these to be made available in CEDARS</w:t>
      </w:r>
      <w:r w:rsidR="00B21483">
        <w:t xml:space="preserve"> for improved transparency</w:t>
      </w:r>
      <w:r w:rsidR="00061B88">
        <w:t>.</w:t>
      </w:r>
    </w:p>
    <w:p w:rsidR="00061B88" w:rsidP="009760AE" w:rsidRDefault="008A5E0B" w14:paraId="6B8D9E80" w14:textId="70123BE8">
      <w:r>
        <w:rPr>
          <w:u w:val="single"/>
        </w:rPr>
        <w:t xml:space="preserve">CPUC </w:t>
      </w:r>
      <w:r w:rsidR="00CE47C2">
        <w:rPr>
          <w:u w:val="single"/>
        </w:rPr>
        <w:t>staff</w:t>
      </w:r>
      <w:r>
        <w:rPr>
          <w:u w:val="single"/>
        </w:rPr>
        <w:t xml:space="preserve"> response</w:t>
      </w:r>
      <w:r w:rsidRPr="00D67141">
        <w:rPr>
          <w:u w:val="single"/>
        </w:rPr>
        <w:t>:</w:t>
      </w:r>
      <w:r>
        <w:t xml:space="preserve"> </w:t>
      </w:r>
      <w:r w:rsidR="00B21483">
        <w:t xml:space="preserve">CPUC staff created the </w:t>
      </w:r>
      <w:r w:rsidR="00EF6DDE">
        <w:t>Building Weights table with this very objective in mind.</w:t>
      </w:r>
      <w:r w:rsidR="000D66FC">
        <w:t xml:space="preserve"> </w:t>
      </w:r>
      <w:r w:rsidR="0086227C">
        <w:t xml:space="preserve">Each weight that is added </w:t>
      </w:r>
      <w:r w:rsidR="00957B4C">
        <w:t xml:space="preserve">to the table </w:t>
      </w:r>
      <w:r w:rsidR="0086227C">
        <w:t>includes a citation</w:t>
      </w:r>
      <w:r w:rsidR="003567E7">
        <w:t xml:space="preserve"> to its source </w:t>
      </w:r>
      <w:r w:rsidR="00957B4C">
        <w:t>for improved transparency</w:t>
      </w:r>
      <w:r w:rsidR="00317030">
        <w:t xml:space="preserve">. </w:t>
      </w:r>
      <w:r w:rsidR="001D4DF6">
        <w:t xml:space="preserve">There are, however, no plans to </w:t>
      </w:r>
      <w:r w:rsidR="00141B2A">
        <w:t xml:space="preserve">post these to </w:t>
      </w:r>
      <w:r w:rsidR="000967C2">
        <w:t xml:space="preserve">weights to CEDARS since they are available </w:t>
      </w:r>
      <w:r w:rsidR="0001304F">
        <w:t xml:space="preserve">at the </w:t>
      </w:r>
      <w:proofErr w:type="spellStart"/>
      <w:r w:rsidR="0001304F">
        <w:t>eTRM</w:t>
      </w:r>
      <w:proofErr w:type="spellEnd"/>
      <w:r w:rsidR="0001304F">
        <w:t>.</w:t>
      </w:r>
      <w:r w:rsidR="00A96851">
        <w:t xml:space="preserve"> </w:t>
      </w:r>
    </w:p>
    <w:p w:rsidR="009760AE" w:rsidP="00C03731" w:rsidRDefault="007C18B2" w14:paraId="35A026D7" w14:textId="707B3649">
      <w:pPr>
        <w:pStyle w:val="Heading7"/>
      </w:pPr>
      <w:r>
        <w:t xml:space="preserve">New </w:t>
      </w:r>
      <w:proofErr w:type="spellStart"/>
      <w:r>
        <w:t>GasImpactProfileIDs</w:t>
      </w:r>
      <w:proofErr w:type="spellEnd"/>
    </w:p>
    <w:p w:rsidR="00BA5F13" w:rsidP="00BA5F13" w:rsidRDefault="006061ED" w14:paraId="17665001" w14:textId="7F571042">
      <w:r w:rsidRPr="00D67141">
        <w:rPr>
          <w:u w:val="single"/>
        </w:rPr>
        <w:t xml:space="preserve">Comment </w:t>
      </w:r>
      <w:r w:rsidR="00FE58D4">
        <w:rPr>
          <w:u w:val="single"/>
        </w:rPr>
        <w:t>summary</w:t>
      </w:r>
      <w:r w:rsidRPr="00D67141">
        <w:rPr>
          <w:u w:val="single"/>
        </w:rPr>
        <w:t>:</w:t>
      </w:r>
      <w:r w:rsidRPr="005049FF">
        <w:t xml:space="preserve"> </w:t>
      </w:r>
      <w:r w:rsidR="00A32F6B">
        <w:t xml:space="preserve">SCG pointed out that the </w:t>
      </w:r>
      <w:r w:rsidR="0005677D">
        <w:t xml:space="preserve">draft resolution </w:t>
      </w:r>
      <w:r w:rsidR="0013521B">
        <w:t xml:space="preserve">indicated that the new </w:t>
      </w:r>
      <w:proofErr w:type="spellStart"/>
      <w:r w:rsidR="0013521B">
        <w:t>GasImpactProfileIDs</w:t>
      </w:r>
      <w:proofErr w:type="spellEnd"/>
      <w:r w:rsidR="0013521B">
        <w:t xml:space="preserve"> </w:t>
      </w:r>
      <w:r w:rsidR="006E7BCF">
        <w:t xml:space="preserve">are effective </w:t>
      </w:r>
      <w:r w:rsidR="001C36E5">
        <w:t>PY2024</w:t>
      </w:r>
      <w:r w:rsidR="003064E4">
        <w:t>.</w:t>
      </w:r>
      <w:r w:rsidR="00D12560">
        <w:t xml:space="preserve"> </w:t>
      </w:r>
      <w:r w:rsidR="009E3E40">
        <w:t xml:space="preserve">SCE requested that  </w:t>
      </w:r>
      <w:r w:rsidR="00A32F68">
        <w:t xml:space="preserve">these updates are delayed until 2028. </w:t>
      </w:r>
    </w:p>
    <w:p w:rsidR="003064E4" w:rsidP="00BA5F13" w:rsidRDefault="008A5E0B" w14:paraId="25C299FE" w14:textId="19107DE9">
      <w:r>
        <w:rPr>
          <w:u w:val="single"/>
        </w:rPr>
        <w:t xml:space="preserve">CPUC </w:t>
      </w:r>
      <w:r w:rsidR="00CE47C2">
        <w:rPr>
          <w:u w:val="single"/>
        </w:rPr>
        <w:t>staff</w:t>
      </w:r>
      <w:r>
        <w:rPr>
          <w:u w:val="single"/>
        </w:rPr>
        <w:t xml:space="preserve"> response</w:t>
      </w:r>
      <w:r w:rsidRPr="00D67141">
        <w:rPr>
          <w:u w:val="single"/>
        </w:rPr>
        <w:t>:</w:t>
      </w:r>
      <w:r>
        <w:t xml:space="preserve"> </w:t>
      </w:r>
      <w:r w:rsidR="71CE1402">
        <w:t xml:space="preserve">CPUC staff clarifies </w:t>
      </w:r>
      <w:r w:rsidR="2B425CB6">
        <w:t>that t</w:t>
      </w:r>
      <w:r w:rsidR="00C255DD">
        <w:t>hese go into effect in 2026 and the res</w:t>
      </w:r>
      <w:r w:rsidR="004F6DAD">
        <w:t>olution has</w:t>
      </w:r>
      <w:r w:rsidR="00714971">
        <w:t xml:space="preserve"> been corrected.</w:t>
      </w:r>
      <w:r w:rsidR="008E1C76">
        <w:t xml:space="preserve"> The new gas impact profiles are necessary for use in 2026 to accurately calculate the cost effectiveness of residential fuel substitution measures. </w:t>
      </w:r>
      <w:r w:rsidR="00283CA3">
        <w:t>It is expected that these updates can be made on the back</w:t>
      </w:r>
      <w:r w:rsidR="00387950">
        <w:t xml:space="preserve"> </w:t>
      </w:r>
      <w:r w:rsidR="00283CA3">
        <w:t xml:space="preserve">end in the </w:t>
      </w:r>
      <w:proofErr w:type="spellStart"/>
      <w:r w:rsidR="00283CA3">
        <w:t>eTRM</w:t>
      </w:r>
      <w:proofErr w:type="spellEnd"/>
      <w:r w:rsidR="00283CA3">
        <w:t xml:space="preserve"> without needing to advance the affected measure package versions.</w:t>
      </w:r>
    </w:p>
    <w:p w:rsidRPr="00BA5F13" w:rsidR="00BA5F13" w:rsidP="00C129B6" w:rsidRDefault="001D48FB" w14:paraId="4BD0EF1A" w14:textId="13A1F959">
      <w:pPr>
        <w:pStyle w:val="Heading7"/>
      </w:pPr>
      <w:r>
        <w:lastRenderedPageBreak/>
        <w:t xml:space="preserve">New </w:t>
      </w:r>
      <w:proofErr w:type="spellStart"/>
      <w:r>
        <w:t>TechTypes</w:t>
      </w:r>
      <w:proofErr w:type="spellEnd"/>
    </w:p>
    <w:p w:rsidR="001D48FB" w:rsidP="001D48FB" w:rsidRDefault="006061ED" w14:paraId="60DDC117" w14:textId="02012117">
      <w:r w:rsidRPr="00D67141">
        <w:rPr>
          <w:u w:val="single"/>
        </w:rPr>
        <w:t xml:space="preserve">Comment </w:t>
      </w:r>
      <w:r w:rsidR="00FE58D4">
        <w:rPr>
          <w:u w:val="single"/>
        </w:rPr>
        <w:t>summary</w:t>
      </w:r>
      <w:r w:rsidRPr="00D67141">
        <w:rPr>
          <w:u w:val="single"/>
        </w:rPr>
        <w:t>:</w:t>
      </w:r>
      <w:r w:rsidRPr="005049FF">
        <w:t xml:space="preserve"> </w:t>
      </w:r>
      <w:r w:rsidR="00F13913">
        <w:t xml:space="preserve">SCE requested that the use of the new </w:t>
      </w:r>
      <w:proofErr w:type="spellStart"/>
      <w:r w:rsidR="00F13913">
        <w:t>TechTypes</w:t>
      </w:r>
      <w:proofErr w:type="spellEnd"/>
      <w:r w:rsidR="00F13913">
        <w:t xml:space="preserve"> be delayed until PY2028</w:t>
      </w:r>
      <w:r w:rsidR="00373628">
        <w:t xml:space="preserve"> to minimize the updates needed </w:t>
      </w:r>
      <w:r w:rsidR="00386E32">
        <w:t xml:space="preserve">to finalize the </w:t>
      </w:r>
      <w:r w:rsidR="00211E72">
        <w:t xml:space="preserve">measure packages for PY2026. </w:t>
      </w:r>
    </w:p>
    <w:p w:rsidR="00211E72" w:rsidP="001D48FB" w:rsidRDefault="008A5E0B" w14:paraId="68A8E163" w14:textId="38C88142">
      <w:r>
        <w:rPr>
          <w:u w:val="single"/>
        </w:rPr>
        <w:t xml:space="preserve">CPUC </w:t>
      </w:r>
      <w:r w:rsidR="00CE47C2">
        <w:rPr>
          <w:u w:val="single"/>
        </w:rPr>
        <w:t>staff</w:t>
      </w:r>
      <w:r>
        <w:rPr>
          <w:u w:val="single"/>
        </w:rPr>
        <w:t xml:space="preserve"> response</w:t>
      </w:r>
      <w:r w:rsidRPr="00D67141">
        <w:rPr>
          <w:u w:val="single"/>
        </w:rPr>
        <w:t>:</w:t>
      </w:r>
      <w:r>
        <w:t xml:space="preserve"> </w:t>
      </w:r>
      <w:r w:rsidR="003C4F56">
        <w:t xml:space="preserve">Given the importance of understanding the fuel used by each </w:t>
      </w:r>
      <w:proofErr w:type="spellStart"/>
      <w:r w:rsidR="003C4F56">
        <w:t>TechType</w:t>
      </w:r>
      <w:proofErr w:type="spellEnd"/>
      <w:r w:rsidR="003C4F56">
        <w:t xml:space="preserve">, </w:t>
      </w:r>
      <w:r w:rsidR="00130747">
        <w:t xml:space="preserve">CPUC staff has decided that these updates need to occur for the 2026 measure packages. </w:t>
      </w:r>
      <w:r w:rsidR="00671C77">
        <w:t>It is expected that t</w:t>
      </w:r>
      <w:r w:rsidR="00130747">
        <w:t>hese updates can be made on the back</w:t>
      </w:r>
      <w:r w:rsidR="00387950">
        <w:t xml:space="preserve"> </w:t>
      </w:r>
      <w:r w:rsidR="00130747">
        <w:t xml:space="preserve">end in the </w:t>
      </w:r>
      <w:proofErr w:type="spellStart"/>
      <w:r w:rsidR="00130747">
        <w:t>eTRM</w:t>
      </w:r>
      <w:proofErr w:type="spellEnd"/>
      <w:r w:rsidR="00130747">
        <w:t xml:space="preserve"> without </w:t>
      </w:r>
      <w:r w:rsidR="00B266BB">
        <w:t>nee</w:t>
      </w:r>
      <w:r w:rsidR="00FB11EE">
        <w:t xml:space="preserve">ding to </w:t>
      </w:r>
      <w:r w:rsidR="006A79CC">
        <w:t>advance</w:t>
      </w:r>
      <w:r w:rsidR="00FB11EE">
        <w:t xml:space="preserve"> the affected measure package versions.</w:t>
      </w:r>
    </w:p>
    <w:p w:rsidRPr="001D48FB" w:rsidR="001D48FB" w:rsidP="002E154E" w:rsidRDefault="000A7C46" w14:paraId="330BFFEE" w14:textId="4427D6F8">
      <w:pPr>
        <w:pStyle w:val="Heading6"/>
        <w:numPr>
          <w:ilvl w:val="4"/>
          <w:numId w:val="36"/>
        </w:numPr>
      </w:pPr>
      <w:r>
        <w:t>Improvements for Commercial Water Heater and Hot Water Measures</w:t>
      </w:r>
    </w:p>
    <w:p w:rsidR="00B360AB" w:rsidP="00B360AB" w:rsidRDefault="00AC2E7E" w14:paraId="4EE3AFAB" w14:textId="10B7B4C6">
      <w:r w:rsidRPr="00D67141">
        <w:rPr>
          <w:u w:val="single"/>
        </w:rPr>
        <w:t xml:space="preserve">Comment </w:t>
      </w:r>
      <w:r w:rsidR="00FE58D4">
        <w:rPr>
          <w:u w:val="single"/>
        </w:rPr>
        <w:t>summary</w:t>
      </w:r>
      <w:r w:rsidRPr="00D67141">
        <w:rPr>
          <w:u w:val="single"/>
        </w:rPr>
        <w:t>:</w:t>
      </w:r>
      <w:r w:rsidRPr="005049FF">
        <w:t xml:space="preserve"> </w:t>
      </w:r>
      <w:r w:rsidR="0050598B">
        <w:t>SCE comment</w:t>
      </w:r>
      <w:r w:rsidR="00886545">
        <w:t xml:space="preserve">ed that </w:t>
      </w:r>
      <w:r w:rsidR="00E274BA">
        <w:t xml:space="preserve">improvements </w:t>
      </w:r>
      <w:r w:rsidR="00DF1697">
        <w:t xml:space="preserve">to water </w:t>
      </w:r>
      <w:r w:rsidR="008D5F51">
        <w:t>heating</w:t>
      </w:r>
      <w:r w:rsidR="00DF1697">
        <w:t xml:space="preserve"> measure estimation methods are </w:t>
      </w:r>
      <w:r w:rsidR="00EE474C">
        <w:t xml:space="preserve">needed. </w:t>
      </w:r>
      <w:r w:rsidR="00350CC7">
        <w:t xml:space="preserve">They promote </w:t>
      </w:r>
      <w:r w:rsidR="008C5DAA">
        <w:t xml:space="preserve">migrating all </w:t>
      </w:r>
      <w:r w:rsidR="008D5F51">
        <w:t xml:space="preserve">water heating </w:t>
      </w:r>
      <w:r w:rsidR="00CA27A8">
        <w:t xml:space="preserve">savings estimates </w:t>
      </w:r>
      <w:r w:rsidR="003F2F86">
        <w:t xml:space="preserve">from the DEER Water Heater Calculator </w:t>
      </w:r>
      <w:r w:rsidR="00CA27A8">
        <w:t xml:space="preserve">to </w:t>
      </w:r>
      <w:proofErr w:type="spellStart"/>
      <w:r w:rsidR="00C95D52">
        <w:t>EnergyPlus</w:t>
      </w:r>
      <w:proofErr w:type="spellEnd"/>
      <w:r w:rsidR="00C95D52">
        <w:t xml:space="preserve"> models. </w:t>
      </w:r>
      <w:r w:rsidR="00E51C44">
        <w:t xml:space="preserve">Further, they recommend </w:t>
      </w:r>
      <w:r w:rsidR="00C7463F">
        <w:t xml:space="preserve">creating a working group to support research and development </w:t>
      </w:r>
      <w:r w:rsidR="00DA459E">
        <w:t>for water heating</w:t>
      </w:r>
      <w:r w:rsidR="0020009D">
        <w:t xml:space="preserve"> an</w:t>
      </w:r>
      <w:r w:rsidR="00B101C4">
        <w:t xml:space="preserve">d/or supporting the transition to </w:t>
      </w:r>
      <w:proofErr w:type="spellStart"/>
      <w:r w:rsidR="00B101C4">
        <w:t>EnergyPlus</w:t>
      </w:r>
      <w:proofErr w:type="spellEnd"/>
      <w:r w:rsidR="00B101C4">
        <w:t>.</w:t>
      </w:r>
    </w:p>
    <w:p w:rsidR="00B101C4" w:rsidP="00B360AB" w:rsidRDefault="008A5E0B" w14:paraId="0F61FF2D" w14:textId="5FC023FF">
      <w:r>
        <w:rPr>
          <w:u w:val="single"/>
        </w:rPr>
        <w:t xml:space="preserve">CPUC </w:t>
      </w:r>
      <w:r w:rsidR="00CE47C2">
        <w:rPr>
          <w:u w:val="single"/>
        </w:rPr>
        <w:t>staff</w:t>
      </w:r>
      <w:r>
        <w:rPr>
          <w:u w:val="single"/>
        </w:rPr>
        <w:t xml:space="preserve"> response</w:t>
      </w:r>
      <w:r w:rsidRPr="00D67141">
        <w:rPr>
          <w:u w:val="single"/>
        </w:rPr>
        <w:t>:</w:t>
      </w:r>
      <w:r>
        <w:t xml:space="preserve"> </w:t>
      </w:r>
      <w:r w:rsidR="00F1417F">
        <w:t xml:space="preserve">CPUC staff </w:t>
      </w:r>
      <w:r w:rsidR="00C13555">
        <w:t xml:space="preserve">concur that more of the </w:t>
      </w:r>
      <w:r w:rsidR="00366975">
        <w:t>water heating measure</w:t>
      </w:r>
      <w:r w:rsidR="003D3E41">
        <w:t xml:space="preserve"> savings </w:t>
      </w:r>
      <w:r w:rsidR="00FE7998">
        <w:t xml:space="preserve">estimates should </w:t>
      </w:r>
      <w:r w:rsidR="006B7419">
        <w:t xml:space="preserve">be determined using </w:t>
      </w:r>
      <w:proofErr w:type="spellStart"/>
      <w:r w:rsidR="006B7419">
        <w:t>EnergyPlus</w:t>
      </w:r>
      <w:proofErr w:type="spellEnd"/>
      <w:r w:rsidR="006B7419">
        <w:t xml:space="preserve">, but </w:t>
      </w:r>
      <w:r w:rsidR="004D320A">
        <w:t xml:space="preserve">cannot commit to a schedule for these updates at this time. </w:t>
      </w:r>
    </w:p>
    <w:p w:rsidRPr="00B360AB" w:rsidR="00B360AB" w:rsidP="00603B7B" w:rsidRDefault="00395B84" w14:paraId="7D18811C" w14:textId="2FAC3391">
      <w:pPr>
        <w:pStyle w:val="Heading6"/>
      </w:pPr>
      <w:r>
        <w:t>Guidance from 2021 Custom Industrial, Agricultural, and Commercial (CIAC) Impact Evaluation</w:t>
      </w:r>
    </w:p>
    <w:p w:rsidR="00395B84" w:rsidP="00395B84" w:rsidRDefault="00AC2E7E" w14:paraId="0EA9F452" w14:textId="438626D0">
      <w:r w:rsidRPr="00D67141">
        <w:rPr>
          <w:u w:val="single"/>
        </w:rPr>
        <w:t xml:space="preserve">Comment </w:t>
      </w:r>
      <w:r w:rsidR="00FE58D4">
        <w:rPr>
          <w:u w:val="single"/>
        </w:rPr>
        <w:t>summary</w:t>
      </w:r>
      <w:r w:rsidRPr="00D67141">
        <w:rPr>
          <w:u w:val="single"/>
        </w:rPr>
        <w:t>:</w:t>
      </w:r>
      <w:r w:rsidRPr="005049FF">
        <w:t xml:space="preserve"> </w:t>
      </w:r>
      <w:r w:rsidR="00E464BB">
        <w:t xml:space="preserve">SCE </w:t>
      </w:r>
      <w:r w:rsidR="00D02855">
        <w:t xml:space="preserve">requested more clarification </w:t>
      </w:r>
      <w:r w:rsidR="00FE7EB1">
        <w:t>and a communication process to ensure newly adopted NTG ratios in the NTG table are properly adopted downstream.</w:t>
      </w:r>
      <w:r w:rsidR="00E80FC0">
        <w:t xml:space="preserve"> SCE requests clear directions on when the NTG ratios should be claimed in custom projects.</w:t>
      </w:r>
    </w:p>
    <w:p w:rsidRPr="00395B84" w:rsidR="00E80FC0" w:rsidP="00395B84" w:rsidRDefault="008A5E0B" w14:paraId="188A7519" w14:textId="25DDEB4D">
      <w:r>
        <w:rPr>
          <w:u w:val="single"/>
        </w:rPr>
        <w:t xml:space="preserve">CPUC </w:t>
      </w:r>
      <w:r w:rsidR="00CE47C2">
        <w:rPr>
          <w:u w:val="single"/>
        </w:rPr>
        <w:t>staff</w:t>
      </w:r>
      <w:r>
        <w:rPr>
          <w:u w:val="single"/>
        </w:rPr>
        <w:t xml:space="preserve"> response</w:t>
      </w:r>
      <w:r w:rsidRPr="00D67141">
        <w:rPr>
          <w:u w:val="single"/>
        </w:rPr>
        <w:t>:</w:t>
      </w:r>
      <w:r>
        <w:t xml:space="preserve"> </w:t>
      </w:r>
      <w:r w:rsidR="00E80FC0">
        <w:t xml:space="preserve">CPUC </w:t>
      </w:r>
      <w:r w:rsidR="007D58F8">
        <w:t xml:space="preserve">staff </w:t>
      </w:r>
      <w:r w:rsidR="000170EC">
        <w:t xml:space="preserve">will </w:t>
      </w:r>
      <w:r w:rsidR="00441AF3">
        <w:t xml:space="preserve">provide guidance in the future to help document </w:t>
      </w:r>
      <w:r w:rsidR="00705752">
        <w:t>the communication process and direction on adopting these NTG ratios.</w:t>
      </w:r>
    </w:p>
    <w:p w:rsidRPr="00395B84" w:rsidR="00FD23F6" w:rsidP="00603B7B" w:rsidRDefault="008F015F" w14:paraId="3FD1BE72" w14:textId="5F4A6D80">
      <w:pPr>
        <w:pStyle w:val="Heading6"/>
      </w:pPr>
      <w:r>
        <w:t xml:space="preserve">Guidance from </w:t>
      </w:r>
      <w:r w:rsidR="003F6F89">
        <w:t>Effective Useful Life (EUL) Studies</w:t>
      </w:r>
    </w:p>
    <w:p w:rsidRPr="003F6F89" w:rsidR="003F6F89" w:rsidP="002E154E" w:rsidRDefault="001974D1" w14:paraId="2A9E8193" w14:textId="600E773F">
      <w:pPr>
        <w:pStyle w:val="Heading7"/>
        <w:numPr>
          <w:ilvl w:val="5"/>
          <w:numId w:val="37"/>
        </w:numPr>
      </w:pPr>
      <w:r>
        <w:t xml:space="preserve">2023 Residential HVAC and Water Heating EUL Study </w:t>
      </w:r>
      <w:r w:rsidR="007D2880">
        <w:t>Updates</w:t>
      </w:r>
    </w:p>
    <w:p w:rsidR="00625BDE" w:rsidP="00625BDE" w:rsidRDefault="00AC2E7E" w14:paraId="3389D79B" w14:textId="6490208A">
      <w:r w:rsidRPr="00D67141">
        <w:rPr>
          <w:u w:val="single"/>
        </w:rPr>
        <w:t xml:space="preserve">Comment </w:t>
      </w:r>
      <w:r w:rsidR="00FE58D4">
        <w:rPr>
          <w:u w:val="single"/>
        </w:rPr>
        <w:t>summary</w:t>
      </w:r>
      <w:r w:rsidRPr="00D67141">
        <w:rPr>
          <w:u w:val="single"/>
        </w:rPr>
        <w:t>:</w:t>
      </w:r>
      <w:r w:rsidRPr="005049FF">
        <w:t xml:space="preserve"> </w:t>
      </w:r>
      <w:r w:rsidR="000A061E">
        <w:t>SCE</w:t>
      </w:r>
      <w:r w:rsidR="00973A9B">
        <w:t xml:space="preserve">, </w:t>
      </w:r>
      <w:r w:rsidR="000A061E">
        <w:t>SDG&amp;E</w:t>
      </w:r>
      <w:r w:rsidR="00973A9B">
        <w:t>, and SCG</w:t>
      </w:r>
      <w:r w:rsidR="000A061E">
        <w:t xml:space="preserve"> </w:t>
      </w:r>
      <w:r w:rsidR="00E3196E">
        <w:t xml:space="preserve">raised questions on the adoption of the </w:t>
      </w:r>
      <w:r w:rsidR="00B84D89">
        <w:t xml:space="preserve">EUL values in DEER </w:t>
      </w:r>
      <w:r w:rsidR="008927BB">
        <w:t>because of</w:t>
      </w:r>
      <w:r w:rsidR="00B84D89">
        <w:t xml:space="preserve"> the 2023 Residential HVAC and Water Heating EUL Study</w:t>
      </w:r>
      <w:r w:rsidR="0036028D">
        <w:t xml:space="preserve">. </w:t>
      </w:r>
    </w:p>
    <w:p w:rsidRPr="00625BDE" w:rsidR="00FE063A" w:rsidP="00625BDE" w:rsidRDefault="008A5E0B" w14:paraId="5CAEACD6" w14:textId="712AC8F3">
      <w:r>
        <w:rPr>
          <w:u w:val="single"/>
        </w:rPr>
        <w:t xml:space="preserve">CPUC </w:t>
      </w:r>
      <w:r w:rsidR="00CE47C2">
        <w:rPr>
          <w:u w:val="single"/>
        </w:rPr>
        <w:t>staff</w:t>
      </w:r>
      <w:r>
        <w:rPr>
          <w:u w:val="single"/>
        </w:rPr>
        <w:t xml:space="preserve"> response</w:t>
      </w:r>
      <w:r w:rsidRPr="00D67141">
        <w:rPr>
          <w:u w:val="single"/>
        </w:rPr>
        <w:t>:</w:t>
      </w:r>
      <w:r>
        <w:t xml:space="preserve"> </w:t>
      </w:r>
      <w:r w:rsidR="009A06E0">
        <w:t xml:space="preserve">The DEER database is updated </w:t>
      </w:r>
      <w:r w:rsidR="00710C6F">
        <w:t xml:space="preserve">in accordance with this Resolution with new </w:t>
      </w:r>
      <w:r w:rsidR="00063A27">
        <w:t xml:space="preserve">EUL ID records </w:t>
      </w:r>
      <w:r w:rsidR="00027EF0">
        <w:t xml:space="preserve">for </w:t>
      </w:r>
      <w:r w:rsidR="00AB5DD7">
        <w:t>the DEER2025 adoption of the EUL IDs in this study.</w:t>
      </w:r>
      <w:r w:rsidR="00027EF0">
        <w:t xml:space="preserve"> Instead of overwriting the existing DEER2026 EUL IDs, new records </w:t>
      </w:r>
      <w:r w:rsidR="00AB5DD7">
        <w:t>were made as</w:t>
      </w:r>
      <w:r w:rsidR="00027EF0">
        <w:t xml:space="preserve"> DEER2025 version </w:t>
      </w:r>
      <w:r w:rsidR="007C75D0">
        <w:t>records to</w:t>
      </w:r>
      <w:r w:rsidR="00027EF0">
        <w:t xml:space="preserve"> </w:t>
      </w:r>
      <w:r w:rsidR="00AB5DD7">
        <w:t xml:space="preserve">ensure PY2026 measure packages do not need additional </w:t>
      </w:r>
      <w:r w:rsidR="00FE063A">
        <w:t xml:space="preserve">updates. The EUL IDs in this study </w:t>
      </w:r>
      <w:r w:rsidR="008927BB">
        <w:t>are</w:t>
      </w:r>
      <w:r w:rsidR="00FE063A">
        <w:t xml:space="preserve"> effective on January 1, 2025</w:t>
      </w:r>
      <w:r w:rsidR="00616F13">
        <w:t xml:space="preserve">. The measure </w:t>
      </w:r>
      <w:r w:rsidR="00616F13">
        <w:lastRenderedPageBreak/>
        <w:t>packages impacted by the new EUL IDs should also be effective January 1, 2025</w:t>
      </w:r>
      <w:r w:rsidR="00721634">
        <w:t>.</w:t>
      </w:r>
      <w:r w:rsidR="00856EE4">
        <w:t xml:space="preserve"> CPUC </w:t>
      </w:r>
      <w:r w:rsidR="003B56BB">
        <w:t>s</w:t>
      </w:r>
      <w:r w:rsidR="00856EE4">
        <w:t>taff is using best available data to implement the EUL IDs studied.</w:t>
      </w:r>
    </w:p>
    <w:p w:rsidRPr="00625BDE" w:rsidR="00D35754" w:rsidP="008A59DE" w:rsidRDefault="009248B9" w14:paraId="3E9CFA9A" w14:textId="274CBFE3">
      <w:pPr>
        <w:pStyle w:val="Heading7"/>
      </w:pPr>
      <w:r>
        <w:t>2023 Commercial Measure EUL Study Updates</w:t>
      </w:r>
    </w:p>
    <w:p w:rsidR="00562B5F" w:rsidP="00562B5F" w:rsidRDefault="00AC2E7E" w14:paraId="449E117F" w14:textId="1D752F55">
      <w:r w:rsidRPr="00D67141">
        <w:rPr>
          <w:u w:val="single"/>
        </w:rPr>
        <w:t xml:space="preserve">Comment </w:t>
      </w:r>
      <w:r w:rsidR="00FE58D4">
        <w:rPr>
          <w:u w:val="single"/>
        </w:rPr>
        <w:t>summary</w:t>
      </w:r>
      <w:r w:rsidRPr="00D67141">
        <w:rPr>
          <w:u w:val="single"/>
        </w:rPr>
        <w:t>:</w:t>
      </w:r>
      <w:r w:rsidRPr="005049FF">
        <w:t xml:space="preserve"> </w:t>
      </w:r>
      <w:r w:rsidR="00F72FC7">
        <w:t xml:space="preserve">SDG&amp;E </w:t>
      </w:r>
      <w:r w:rsidR="007B6F26">
        <w:t xml:space="preserve">and SCG </w:t>
      </w:r>
      <w:r w:rsidR="00F72FC7">
        <w:t xml:space="preserve">raised </w:t>
      </w:r>
      <w:r w:rsidR="0073258A">
        <w:t>a</w:t>
      </w:r>
      <w:r w:rsidR="00C519F4">
        <w:t xml:space="preserve"> question on the adoption of the EUL values in DEER </w:t>
      </w:r>
      <w:r w:rsidR="008927BB">
        <w:t>because of</w:t>
      </w:r>
      <w:r w:rsidR="00C519F4">
        <w:t xml:space="preserve"> the </w:t>
      </w:r>
      <w:r w:rsidR="0073258A">
        <w:t>2023 Commercial HVAC and Water Heating EUL Study.</w:t>
      </w:r>
    </w:p>
    <w:p w:rsidR="0073258A" w:rsidP="00562B5F" w:rsidRDefault="008A5E0B" w14:paraId="46F15939" w14:textId="3F42F855">
      <w:r>
        <w:rPr>
          <w:u w:val="single"/>
        </w:rPr>
        <w:t xml:space="preserve">CPUC </w:t>
      </w:r>
      <w:r w:rsidR="00FE58D4">
        <w:rPr>
          <w:u w:val="single"/>
        </w:rPr>
        <w:t>staff</w:t>
      </w:r>
      <w:r>
        <w:rPr>
          <w:u w:val="single"/>
        </w:rPr>
        <w:t xml:space="preserve"> response</w:t>
      </w:r>
      <w:r w:rsidRPr="00D67141">
        <w:rPr>
          <w:u w:val="single"/>
        </w:rPr>
        <w:t>:</w:t>
      </w:r>
      <w:r>
        <w:t xml:space="preserve"> </w:t>
      </w:r>
      <w:r w:rsidR="0073258A">
        <w:t xml:space="preserve">The DEER database is updated </w:t>
      </w:r>
      <w:r w:rsidR="00BC656D">
        <w:t xml:space="preserve">in accordance with this Resolution with new EUL ID records for the DEER2025 adoption of the EUL IDs in this study. The EUL IDs in this study are effective on January 1, 2025. The measure packages impacted by the new </w:t>
      </w:r>
      <w:r w:rsidR="008927BB">
        <w:t>E</w:t>
      </w:r>
      <w:r w:rsidR="00BC656D">
        <w:t xml:space="preserve">UL IDs </w:t>
      </w:r>
      <w:r w:rsidR="007B1A2C">
        <w:t>will</w:t>
      </w:r>
      <w:r w:rsidR="00BC656D">
        <w:t xml:space="preserve"> also be effective January 1, 2025</w:t>
      </w:r>
      <w:r w:rsidR="008927BB">
        <w:t>.</w:t>
      </w:r>
      <w:r w:rsidR="004E7C34">
        <w:t xml:space="preserve"> CPUC </w:t>
      </w:r>
      <w:r w:rsidR="008E3524">
        <w:t>s</w:t>
      </w:r>
      <w:r w:rsidR="004E7C34">
        <w:t xml:space="preserve">taff is using best available data to </w:t>
      </w:r>
      <w:r w:rsidR="005B2BF4">
        <w:t>implement the EUL IDs studied.</w:t>
      </w:r>
    </w:p>
    <w:p w:rsidR="00D54DF0" w:rsidP="00603B7B" w:rsidRDefault="00AF7D93" w14:paraId="288BCF9E" w14:textId="6A88574C">
      <w:pPr>
        <w:pStyle w:val="Heading6"/>
      </w:pPr>
      <w:r>
        <w:t>Guidance Based on Other Studies</w:t>
      </w:r>
    </w:p>
    <w:p w:rsidRPr="00AF7D93" w:rsidR="00AF7D93" w:rsidP="008A59DE" w:rsidRDefault="00B46341" w14:paraId="3D64CBBB" w14:textId="38B6D6D5">
      <w:pPr>
        <w:pStyle w:val="Heading7"/>
      </w:pPr>
      <w:r>
        <w:t xml:space="preserve">Hard-to-Reach (HTR) Net-to-Gross Ratios for Direct Install </w:t>
      </w:r>
      <w:r w:rsidR="00D109C3">
        <w:t>Delivery Type</w:t>
      </w:r>
    </w:p>
    <w:p w:rsidR="00D12197" w:rsidP="00D109C3" w:rsidRDefault="00AC2E7E" w14:paraId="70703363" w14:textId="50267FFA">
      <w:r w:rsidRPr="00D67141">
        <w:rPr>
          <w:u w:val="single"/>
        </w:rPr>
        <w:t xml:space="preserve">Comment </w:t>
      </w:r>
      <w:r w:rsidR="00FE58D4">
        <w:rPr>
          <w:u w:val="single"/>
        </w:rPr>
        <w:t>summary</w:t>
      </w:r>
      <w:r w:rsidRPr="00D67141">
        <w:rPr>
          <w:u w:val="single"/>
        </w:rPr>
        <w:t>:</w:t>
      </w:r>
      <w:r w:rsidRPr="005049FF">
        <w:t xml:space="preserve"> </w:t>
      </w:r>
      <w:r w:rsidR="00090DB7">
        <w:t xml:space="preserve">SCE, </w:t>
      </w:r>
      <w:r w:rsidR="00DC2AED">
        <w:t xml:space="preserve">LGSEC, </w:t>
      </w:r>
      <w:r w:rsidR="002F42F9">
        <w:t xml:space="preserve">and </w:t>
      </w:r>
      <w:proofErr w:type="spellStart"/>
      <w:r w:rsidR="002F42F9">
        <w:t>Willdan</w:t>
      </w:r>
      <w:proofErr w:type="spellEnd"/>
      <w:r w:rsidR="002F42F9">
        <w:t xml:space="preserve"> </w:t>
      </w:r>
      <w:r w:rsidR="00702DF8">
        <w:t>raised concerns regarding</w:t>
      </w:r>
      <w:r w:rsidR="00C81957">
        <w:t xml:space="preserve"> the </w:t>
      </w:r>
      <w:r w:rsidR="00702DF8">
        <w:t xml:space="preserve">statistical </w:t>
      </w:r>
      <w:r w:rsidR="002963DE">
        <w:t xml:space="preserve">validity of the findings used to modify the </w:t>
      </w:r>
      <w:r w:rsidR="008D4D06">
        <w:t xml:space="preserve">NTG ratio for </w:t>
      </w:r>
      <w:r w:rsidR="00717C0D">
        <w:t>commercial direct install programs.</w:t>
      </w:r>
    </w:p>
    <w:p w:rsidR="00D109C3" w:rsidP="00D109C3" w:rsidRDefault="008A5E0B" w14:paraId="2E7D9041" w14:textId="1F12EB4B">
      <w:r>
        <w:rPr>
          <w:u w:val="single"/>
        </w:rPr>
        <w:t xml:space="preserve">CPUC </w:t>
      </w:r>
      <w:r w:rsidR="00FE58D4">
        <w:rPr>
          <w:u w:val="single"/>
        </w:rPr>
        <w:t>staff</w:t>
      </w:r>
      <w:r>
        <w:rPr>
          <w:u w:val="single"/>
        </w:rPr>
        <w:t xml:space="preserve"> response</w:t>
      </w:r>
      <w:r w:rsidRPr="00D67141">
        <w:rPr>
          <w:u w:val="single"/>
        </w:rPr>
        <w:t>:</w:t>
      </w:r>
      <w:r>
        <w:t xml:space="preserve"> </w:t>
      </w:r>
      <w:r w:rsidR="00D12197">
        <w:t xml:space="preserve">Although CPUC staff concur that the same size was </w:t>
      </w:r>
      <w:r w:rsidR="00553FA1">
        <w:t>rather small, the study showed that direct-install programs serving commercial customers had a high NTGR (0.70) than the standing default NTGR (0.60) for commercial measures.</w:t>
      </w:r>
      <w:r w:rsidR="008D5A4D">
        <w:t xml:space="preserve"> </w:t>
      </w:r>
      <w:r w:rsidR="00050FC6">
        <w:t xml:space="preserve">This was an important </w:t>
      </w:r>
      <w:r w:rsidR="0047173B">
        <w:t>finding</w:t>
      </w:r>
      <w:r w:rsidR="00F30F60">
        <w:t xml:space="preserve">. </w:t>
      </w:r>
      <w:r w:rsidR="00287D48">
        <w:t xml:space="preserve">CPUC </w:t>
      </w:r>
      <w:r w:rsidR="652261AA">
        <w:t xml:space="preserve">staff </w:t>
      </w:r>
      <w:r w:rsidR="00287D48">
        <w:t xml:space="preserve">uses </w:t>
      </w:r>
      <w:r w:rsidR="00003298">
        <w:t>NTG values that are supported by the best available data</w:t>
      </w:r>
      <w:r w:rsidR="00F83AFD">
        <w:t xml:space="preserve">. When better data becomes available, CPUC staff may consider </w:t>
      </w:r>
      <w:r w:rsidR="001C7CC4">
        <w:t>further changes.</w:t>
      </w:r>
    </w:p>
    <w:p w:rsidRPr="00D109C3" w:rsidR="00D109C3" w:rsidP="00603B7B" w:rsidRDefault="00392E67" w14:paraId="12B9D07A" w14:textId="3F4EFB09">
      <w:pPr>
        <w:pStyle w:val="Heading6"/>
      </w:pPr>
      <w:r>
        <w:t>Guidance from Review of PY2021 and PY2022 EM&amp;V Reports</w:t>
      </w:r>
    </w:p>
    <w:p w:rsidRPr="0009525C" w:rsidR="0009525C" w:rsidP="0009525C" w:rsidRDefault="00922F03" w14:paraId="4C1F97B3" w14:textId="4D424748">
      <w:r>
        <w:t xml:space="preserve">Numbered items </w:t>
      </w:r>
      <w:r w:rsidR="00370E45">
        <w:t>that received no stakeholder comments</w:t>
      </w:r>
      <w:r w:rsidR="000E3133">
        <w:t xml:space="preserve"> are skipped in the list that follows.</w:t>
      </w:r>
    </w:p>
    <w:p w:rsidR="00633FBA" w:rsidP="003A18DC" w:rsidRDefault="007054D4" w14:paraId="70FA572D" w14:textId="54DAA8A8">
      <w:pPr>
        <w:pStyle w:val="ListParagraph"/>
        <w:numPr>
          <w:ilvl w:val="0"/>
          <w:numId w:val="47"/>
        </w:numPr>
      </w:pPr>
      <w:r w:rsidRPr="00D67141">
        <w:rPr>
          <w:u w:val="single"/>
        </w:rPr>
        <w:t xml:space="preserve">Comment </w:t>
      </w:r>
      <w:r w:rsidR="00FE58D4">
        <w:rPr>
          <w:u w:val="single"/>
        </w:rPr>
        <w:t>summary</w:t>
      </w:r>
      <w:r w:rsidRPr="00D67141">
        <w:rPr>
          <w:u w:val="single"/>
        </w:rPr>
        <w:t>:</w:t>
      </w:r>
      <w:r w:rsidRPr="005049FF">
        <w:t xml:space="preserve"> </w:t>
      </w:r>
      <w:r w:rsidR="00633FBA">
        <w:t xml:space="preserve">SCG suggested changes to the description, sector, and delivery type for the NTG ID for pipe insulation. </w:t>
      </w:r>
    </w:p>
    <w:p w:rsidR="00633FBA" w:rsidP="00633FBA" w:rsidRDefault="00633FBA" w14:paraId="4EEF5A26" w14:textId="77777777">
      <w:pPr>
        <w:pStyle w:val="ListParagraph"/>
        <w:numPr>
          <w:ilvl w:val="0"/>
          <w:numId w:val="0"/>
        </w:numPr>
        <w:ind w:left="720"/>
      </w:pPr>
    </w:p>
    <w:p w:rsidRPr="00F01BE1" w:rsidR="00633FBA" w:rsidP="00633FBA" w:rsidRDefault="008A5E0B" w14:paraId="4F6246EF" w14:textId="7A50D97B">
      <w:pPr>
        <w:pStyle w:val="ListParagraph"/>
        <w:numPr>
          <w:ilvl w:val="0"/>
          <w:numId w:val="0"/>
        </w:numPr>
        <w:ind w:left="720"/>
      </w:pPr>
      <w:r>
        <w:rPr>
          <w:u w:val="single"/>
        </w:rPr>
        <w:t xml:space="preserve">CPUC </w:t>
      </w:r>
      <w:r w:rsidR="00FE58D4">
        <w:rPr>
          <w:u w:val="single"/>
        </w:rPr>
        <w:t>staff</w:t>
      </w:r>
      <w:r>
        <w:rPr>
          <w:u w:val="single"/>
        </w:rPr>
        <w:t xml:space="preserve"> response</w:t>
      </w:r>
      <w:r w:rsidRPr="00D67141">
        <w:rPr>
          <w:u w:val="single"/>
        </w:rPr>
        <w:t>:</w:t>
      </w:r>
      <w:r>
        <w:t xml:space="preserve"> </w:t>
      </w:r>
      <w:r w:rsidR="00633FBA">
        <w:t>These changes were made in DEER and in Attachment A.</w:t>
      </w:r>
    </w:p>
    <w:p w:rsidR="002E154E" w:rsidP="00822967" w:rsidRDefault="002E154E" w14:paraId="08482495" w14:textId="77777777">
      <w:pPr>
        <w:pStyle w:val="ListParagraph"/>
        <w:numPr>
          <w:ilvl w:val="0"/>
          <w:numId w:val="0"/>
        </w:numPr>
        <w:ind w:left="720"/>
      </w:pPr>
    </w:p>
    <w:p w:rsidR="002E154E" w:rsidP="005A61FA" w:rsidRDefault="00BC0077" w14:paraId="528645CD" w14:textId="74E68A45">
      <w:pPr>
        <w:pStyle w:val="ListParagraph"/>
        <w:numPr>
          <w:ilvl w:val="0"/>
          <w:numId w:val="43"/>
        </w:numPr>
      </w:pPr>
      <w:r w:rsidRPr="00D67141">
        <w:rPr>
          <w:u w:val="single"/>
        </w:rPr>
        <w:t xml:space="preserve">Comment </w:t>
      </w:r>
      <w:r w:rsidR="00FE58D4">
        <w:rPr>
          <w:u w:val="single"/>
        </w:rPr>
        <w:t>summary</w:t>
      </w:r>
      <w:r w:rsidRPr="00D67141">
        <w:rPr>
          <w:u w:val="single"/>
        </w:rPr>
        <w:t>:</w:t>
      </w:r>
      <w:r w:rsidRPr="005049FF">
        <w:t xml:space="preserve"> </w:t>
      </w:r>
      <w:r w:rsidRPr="00F01BE1" w:rsidR="00B65D10">
        <w:t xml:space="preserve">SCG suggested </w:t>
      </w:r>
      <w:r w:rsidR="00870877">
        <w:rPr>
          <w:bCs/>
        </w:rPr>
        <w:t xml:space="preserve">changes to the </w:t>
      </w:r>
      <w:r w:rsidRPr="00F01BE1" w:rsidR="00870877">
        <w:t>description</w:t>
      </w:r>
      <w:r w:rsidR="009E5398">
        <w:t>, sector, and delivery type</w:t>
      </w:r>
      <w:r w:rsidR="00870877">
        <w:rPr>
          <w:bCs/>
        </w:rPr>
        <w:t xml:space="preserve"> for </w:t>
      </w:r>
      <w:r w:rsidR="0067538D">
        <w:t xml:space="preserve">the </w:t>
      </w:r>
      <w:r w:rsidR="00B9492A">
        <w:rPr>
          <w:bCs/>
        </w:rPr>
        <w:t xml:space="preserve">NTG </w:t>
      </w:r>
      <w:r w:rsidRPr="00F01BE1" w:rsidR="00B9492A">
        <w:t>ID</w:t>
      </w:r>
      <w:r w:rsidR="0067538D">
        <w:t xml:space="preserve"> for </w:t>
      </w:r>
      <w:r w:rsidR="00572C06">
        <w:t>gas dryer modulating valves</w:t>
      </w:r>
      <w:r w:rsidR="00CD5BFA">
        <w:t xml:space="preserve">. </w:t>
      </w:r>
    </w:p>
    <w:p w:rsidR="002E154E" w:rsidP="002E154E" w:rsidRDefault="002E154E" w14:paraId="27CE7CF8" w14:textId="77777777">
      <w:pPr>
        <w:pStyle w:val="ListParagraph"/>
        <w:numPr>
          <w:ilvl w:val="0"/>
          <w:numId w:val="0"/>
        </w:numPr>
        <w:ind w:left="720"/>
      </w:pPr>
    </w:p>
    <w:p w:rsidRPr="0061439A" w:rsidR="00822967" w:rsidP="002E154E" w:rsidRDefault="008A5E0B" w14:paraId="34FA9757" w14:textId="73C65F09">
      <w:pPr>
        <w:pStyle w:val="ListParagraph"/>
        <w:numPr>
          <w:ilvl w:val="0"/>
          <w:numId w:val="0"/>
        </w:numPr>
        <w:ind w:left="720"/>
      </w:pPr>
      <w:r>
        <w:rPr>
          <w:u w:val="single"/>
        </w:rPr>
        <w:t xml:space="preserve">CPUC </w:t>
      </w:r>
      <w:r w:rsidR="00FE58D4">
        <w:rPr>
          <w:u w:val="single"/>
        </w:rPr>
        <w:t>staff</w:t>
      </w:r>
      <w:r>
        <w:rPr>
          <w:u w:val="single"/>
        </w:rPr>
        <w:t xml:space="preserve"> response</w:t>
      </w:r>
      <w:r w:rsidRPr="00D67141">
        <w:rPr>
          <w:u w:val="single"/>
        </w:rPr>
        <w:t>:</w:t>
      </w:r>
      <w:r>
        <w:t xml:space="preserve"> </w:t>
      </w:r>
      <w:r w:rsidR="7CD99FFE">
        <w:t>A</w:t>
      </w:r>
      <w:r w:rsidR="00DA3878">
        <w:t xml:space="preserve">fter reviewing the </w:t>
      </w:r>
      <w:r w:rsidR="00535022">
        <w:t>tracking data used for this program evaluation</w:t>
      </w:r>
      <w:r w:rsidR="00EE6758">
        <w:t xml:space="preserve">, </w:t>
      </w:r>
      <w:r w:rsidR="00535022">
        <w:t xml:space="preserve">the </w:t>
      </w:r>
      <w:r w:rsidR="00C54064">
        <w:t xml:space="preserve">NTG </w:t>
      </w:r>
      <w:r w:rsidR="00535022">
        <w:t xml:space="preserve">update pertains to </w:t>
      </w:r>
      <w:r w:rsidR="00151165">
        <w:t xml:space="preserve">only downstream </w:t>
      </w:r>
      <w:r w:rsidR="006F7034">
        <w:t>delivery type</w:t>
      </w:r>
      <w:r w:rsidR="00D373F9">
        <w:t>. A</w:t>
      </w:r>
      <w:r w:rsidR="003B240F">
        <w:t xml:space="preserve"> </w:t>
      </w:r>
      <w:r w:rsidR="003B240F">
        <w:lastRenderedPageBreak/>
        <w:t xml:space="preserve">change was made in </w:t>
      </w:r>
      <w:r w:rsidR="00CC3B32">
        <w:t xml:space="preserve">DEER and in Attachment A to clarify this </w:t>
      </w:r>
      <w:r w:rsidR="00EC75FC">
        <w:t>includes</w:t>
      </w:r>
      <w:r w:rsidR="00CC3B32">
        <w:t xml:space="preserve"> multifamily</w:t>
      </w:r>
      <w:r w:rsidR="003C5B2A">
        <w:t xml:space="preserve"> </w:t>
      </w:r>
      <w:r w:rsidR="00EC75FC">
        <w:t xml:space="preserve">common area </w:t>
      </w:r>
      <w:r w:rsidR="003C5B2A">
        <w:t>applications</w:t>
      </w:r>
      <w:r w:rsidR="00151165">
        <w:t>.</w:t>
      </w:r>
    </w:p>
    <w:p w:rsidR="002E154E" w:rsidP="002E154E" w:rsidRDefault="002E154E" w14:paraId="7356E39D" w14:textId="77777777">
      <w:pPr>
        <w:pStyle w:val="ListParagraph"/>
        <w:numPr>
          <w:ilvl w:val="0"/>
          <w:numId w:val="0"/>
        </w:numPr>
        <w:ind w:left="720"/>
      </w:pPr>
    </w:p>
    <w:p w:rsidR="002E154E" w:rsidP="00C8350F" w:rsidRDefault="00BC0077" w14:paraId="0F062708" w14:textId="007B825B">
      <w:pPr>
        <w:pStyle w:val="ListParagraph"/>
        <w:numPr>
          <w:ilvl w:val="0"/>
          <w:numId w:val="24"/>
        </w:numPr>
      </w:pPr>
      <w:r w:rsidRPr="00D67141">
        <w:rPr>
          <w:u w:val="single"/>
        </w:rPr>
        <w:t xml:space="preserve">Comment </w:t>
      </w:r>
      <w:r w:rsidR="00FE58D4">
        <w:rPr>
          <w:u w:val="single"/>
        </w:rPr>
        <w:t>summary</w:t>
      </w:r>
      <w:r w:rsidRPr="00D67141">
        <w:rPr>
          <w:u w:val="single"/>
        </w:rPr>
        <w:t>:</w:t>
      </w:r>
      <w:r>
        <w:rPr>
          <w:u w:val="single"/>
        </w:rPr>
        <w:t xml:space="preserve"> </w:t>
      </w:r>
      <w:r w:rsidR="000A7841">
        <w:t xml:space="preserve">SCG </w:t>
      </w:r>
      <w:r w:rsidR="005C409E">
        <w:t xml:space="preserve">suggested a change to the delivery type for the NTG ID for </w:t>
      </w:r>
      <w:r w:rsidR="00974641">
        <w:t>pipe wrap</w:t>
      </w:r>
      <w:r w:rsidR="00804832">
        <w:t xml:space="preserve">. </w:t>
      </w:r>
    </w:p>
    <w:p w:rsidR="002E154E" w:rsidP="002E154E" w:rsidRDefault="002E154E" w14:paraId="67B8C2E4" w14:textId="77777777">
      <w:pPr>
        <w:pStyle w:val="ListParagraph"/>
        <w:numPr>
          <w:ilvl w:val="0"/>
          <w:numId w:val="0"/>
        </w:numPr>
        <w:ind w:left="720"/>
      </w:pPr>
    </w:p>
    <w:p w:rsidRPr="00F01BE1" w:rsidR="000A7841" w:rsidP="002E154E" w:rsidRDefault="008A5E0B" w14:paraId="0C9F266C" w14:textId="05529201">
      <w:pPr>
        <w:pStyle w:val="ListParagraph"/>
        <w:numPr>
          <w:ilvl w:val="0"/>
          <w:numId w:val="0"/>
        </w:numPr>
        <w:ind w:left="720"/>
      </w:pPr>
      <w:r>
        <w:rPr>
          <w:u w:val="single"/>
        </w:rPr>
        <w:t xml:space="preserve">CPUC </w:t>
      </w:r>
      <w:r w:rsidR="00FE58D4">
        <w:rPr>
          <w:u w:val="single"/>
        </w:rPr>
        <w:t>staff</w:t>
      </w:r>
      <w:r>
        <w:rPr>
          <w:u w:val="single"/>
        </w:rPr>
        <w:t xml:space="preserve"> response</w:t>
      </w:r>
      <w:r w:rsidRPr="00D67141">
        <w:rPr>
          <w:u w:val="single"/>
        </w:rPr>
        <w:t>:</w:t>
      </w:r>
      <w:r>
        <w:t xml:space="preserve"> </w:t>
      </w:r>
      <w:r w:rsidR="00804832">
        <w:t>This change was made in DEER and in Attachment A.</w:t>
      </w:r>
    </w:p>
    <w:p w:rsidR="00C21B50" w:rsidP="00C21B50" w:rsidRDefault="00C21B50" w14:paraId="0FFA73AB" w14:textId="77777777">
      <w:pPr>
        <w:pStyle w:val="ListParagraph"/>
        <w:numPr>
          <w:ilvl w:val="0"/>
          <w:numId w:val="0"/>
        </w:numPr>
        <w:ind w:left="720"/>
      </w:pPr>
    </w:p>
    <w:p w:rsidR="007A1452" w:rsidP="00C21B50" w:rsidRDefault="00BC0077" w14:paraId="013529AE" w14:textId="70ED8F17">
      <w:pPr>
        <w:pStyle w:val="ListParagraph"/>
        <w:numPr>
          <w:ilvl w:val="0"/>
          <w:numId w:val="24"/>
        </w:numPr>
      </w:pPr>
      <w:r w:rsidRPr="00D67141">
        <w:rPr>
          <w:u w:val="single"/>
        </w:rPr>
        <w:t xml:space="preserve">Comment </w:t>
      </w:r>
      <w:r w:rsidR="00FE58D4">
        <w:rPr>
          <w:u w:val="single"/>
        </w:rPr>
        <w:t>summary</w:t>
      </w:r>
      <w:r w:rsidRPr="00D67141">
        <w:rPr>
          <w:u w:val="single"/>
        </w:rPr>
        <w:t>:</w:t>
      </w:r>
      <w:r>
        <w:rPr>
          <w:u w:val="single"/>
        </w:rPr>
        <w:t xml:space="preserve"> </w:t>
      </w:r>
      <w:r w:rsidR="007A1452">
        <w:t>Renew Home commented that—since customer surveys revealed potentially suboptimal program designs—findings from that evaluation should not be extrapolated to smart thermostat savings statewide. SCE commented that the quote from the impact evaluation report contained errors.</w:t>
      </w:r>
    </w:p>
    <w:p w:rsidR="007A1452" w:rsidP="007A1452" w:rsidRDefault="007A1452" w14:paraId="6F8C9907" w14:textId="77777777">
      <w:pPr>
        <w:pStyle w:val="ListParagraph"/>
        <w:numPr>
          <w:ilvl w:val="0"/>
          <w:numId w:val="0"/>
        </w:numPr>
        <w:ind w:left="720"/>
      </w:pPr>
    </w:p>
    <w:p w:rsidR="007A1452" w:rsidP="007A1452" w:rsidRDefault="008A5E0B" w14:paraId="7FD790CF" w14:textId="1E8DECE8">
      <w:pPr>
        <w:pStyle w:val="ListParagraph"/>
        <w:numPr>
          <w:ilvl w:val="0"/>
          <w:numId w:val="0"/>
        </w:numPr>
        <w:ind w:left="720"/>
      </w:pPr>
      <w:r>
        <w:rPr>
          <w:u w:val="single"/>
        </w:rPr>
        <w:t xml:space="preserve">CPUC </w:t>
      </w:r>
      <w:r w:rsidR="00FE58D4">
        <w:rPr>
          <w:u w:val="single"/>
        </w:rPr>
        <w:t>staff</w:t>
      </w:r>
      <w:r>
        <w:rPr>
          <w:u w:val="single"/>
        </w:rPr>
        <w:t xml:space="preserve"> response</w:t>
      </w:r>
      <w:r w:rsidRPr="00D67141">
        <w:rPr>
          <w:u w:val="single"/>
        </w:rPr>
        <w:t>:</w:t>
      </w:r>
      <w:r>
        <w:t xml:space="preserve"> </w:t>
      </w:r>
      <w:r w:rsidRPr="00E279F8" w:rsidR="007A1452">
        <w:t>While the Resolution called out for an update to the savings, after detailed SME review of the measure package, we found the EM&amp;V findings from this study were too vague to implement savings changes at the statewide level. The savings were re-evaluated, but ultimately not changed.</w:t>
      </w:r>
      <w:r w:rsidR="007A1452">
        <w:t xml:space="preserve"> Furthermore, the errors in the quotation were corrected.</w:t>
      </w:r>
    </w:p>
    <w:p w:rsidRPr="006A1C1D" w:rsidR="006A1C1D" w:rsidP="006A1C1D" w:rsidRDefault="006A1C1D" w14:paraId="5F8EFE2F" w14:textId="77777777"/>
    <w:p w:rsidRPr="00DA03A0" w:rsidR="0092773C" w:rsidP="0092773C" w:rsidRDefault="000B317B" w14:paraId="7B9C5E52" w14:textId="2A05EA43">
      <w:pPr>
        <w:pStyle w:val="Heading1"/>
      </w:pPr>
      <w:r w:rsidRPr="00DA03A0">
        <w:t>FINDINGS</w:t>
      </w:r>
    </w:p>
    <w:bookmarkEnd w:id="75"/>
    <w:bookmarkEnd w:id="76"/>
    <w:bookmarkEnd w:id="77"/>
    <w:bookmarkEnd w:id="78"/>
    <w:p w:rsidRPr="00BA49DF" w:rsidR="00A00EA0" w:rsidP="005B70B2" w:rsidRDefault="00A00EA0" w14:paraId="70CC851A" w14:textId="79005711">
      <w:pPr>
        <w:pStyle w:val="ListParagraph"/>
        <w:numPr>
          <w:ilvl w:val="0"/>
          <w:numId w:val="1"/>
        </w:numPr>
      </w:pPr>
      <w:r w:rsidRPr="00BA49DF">
        <w:t xml:space="preserve">We find it reasonable for the </w:t>
      </w:r>
      <w:proofErr w:type="spellStart"/>
      <w:r w:rsidRPr="00BA49DF">
        <w:t>eTRM</w:t>
      </w:r>
      <w:proofErr w:type="spellEnd"/>
      <w:r w:rsidRPr="00BA49DF">
        <w:t xml:space="preserve"> to continue to be administered by the PAs</w:t>
      </w:r>
      <w:r>
        <w:t>.</w:t>
      </w:r>
    </w:p>
    <w:p w:rsidRPr="00BA49DF" w:rsidR="00A00EA0" w:rsidP="005B70B2" w:rsidRDefault="00A00EA0" w14:paraId="3E007523" w14:textId="68530A38">
      <w:pPr>
        <w:pStyle w:val="ListParagraph"/>
        <w:numPr>
          <w:ilvl w:val="0"/>
          <w:numId w:val="1"/>
        </w:numPr>
      </w:pPr>
      <w:r w:rsidRPr="00BA49DF">
        <w:t>Decision D.15-10-028 retains the direction from D.12-05-015 that DEER values be updated to be consistent with existing and updated state and federal codes and standards.</w:t>
      </w:r>
    </w:p>
    <w:p w:rsidRPr="00BA49DF" w:rsidR="00EF6CE0" w:rsidP="005B70B2" w:rsidRDefault="005504FB" w14:paraId="0263EBB6" w14:textId="3CB0289B">
      <w:pPr>
        <w:pStyle w:val="ListParagraph"/>
        <w:numPr>
          <w:ilvl w:val="0"/>
          <w:numId w:val="1"/>
        </w:numPr>
      </w:pPr>
      <w:r w:rsidRPr="00BA49DF">
        <w:t>Decision D.15-10-028 also states that</w:t>
      </w:r>
      <w:r w:rsidRPr="00BA49DF" w:rsidR="00BF7136">
        <w:t xml:space="preserve"> </w:t>
      </w:r>
      <w:r w:rsidRPr="00BA49DF" w:rsidR="00F87B61">
        <w:t xml:space="preserve">CPUC </w:t>
      </w:r>
      <w:r w:rsidRPr="00BA49DF" w:rsidR="00813B21">
        <w:t>s</w:t>
      </w:r>
      <w:r w:rsidRPr="00BA49DF" w:rsidR="00F87B61">
        <w:t>taff</w:t>
      </w:r>
      <w:r w:rsidRPr="00BA49DF">
        <w:t xml:space="preserve"> may make changes at any time without a Resolution to fix errors or to change documentation.</w:t>
      </w:r>
    </w:p>
    <w:p w:rsidRPr="00BA49DF" w:rsidR="009D4206" w:rsidP="005B70B2" w:rsidRDefault="77AAEE5A" w14:paraId="4E564F9A" w14:textId="0134D4B3">
      <w:pPr>
        <w:pStyle w:val="ListParagraph"/>
        <w:numPr>
          <w:ilvl w:val="0"/>
          <w:numId w:val="1"/>
        </w:numPr>
      </w:pPr>
      <w:r>
        <w:t>It is appropriate</w:t>
      </w:r>
      <w:r w:rsidRPr="00BA49DF" w:rsidR="00EF6CE0">
        <w:t xml:space="preserve"> </w:t>
      </w:r>
      <w:r w:rsidRPr="00BA49DF" w:rsidR="00E609AF">
        <w:t xml:space="preserve">to </w:t>
      </w:r>
      <w:r w:rsidRPr="00BA49DF" w:rsidR="00EF6CE0">
        <w:t>update</w:t>
      </w:r>
      <w:r w:rsidR="00A80E3B">
        <w:t xml:space="preserve"> </w:t>
      </w:r>
      <w:r w:rsidRPr="00BA49DF" w:rsidR="00E609AF">
        <w:t>the DEER values</w:t>
      </w:r>
      <w:r w:rsidRPr="00BA49DF" w:rsidR="00EF6CE0">
        <w:t xml:space="preserve"> a</w:t>
      </w:r>
      <w:r w:rsidR="007B050E">
        <w:t>s</w:t>
      </w:r>
      <w:r w:rsidRPr="00BA49DF" w:rsidR="00EF6CE0">
        <w:t xml:space="preserve"> result of </w:t>
      </w:r>
      <w:r w:rsidRPr="00BA49DF" w:rsidR="00016016">
        <w:t xml:space="preserve">a) </w:t>
      </w:r>
      <w:r w:rsidRPr="00BA49DF" w:rsidR="006A181B">
        <w:t xml:space="preserve">updates </w:t>
      </w:r>
      <w:r w:rsidRPr="00BA49DF" w:rsidR="00016016">
        <w:t xml:space="preserve">to </w:t>
      </w:r>
      <w:r w:rsidRPr="00BA49DF" w:rsidR="006A181B">
        <w:t>underlying methodology</w:t>
      </w:r>
      <w:r w:rsidRPr="00BA49DF" w:rsidR="00016016">
        <w:t>, b</w:t>
      </w:r>
      <w:r w:rsidRPr="00BA49DF" w:rsidR="00EF6CE0">
        <w:t xml:space="preserve">) </w:t>
      </w:r>
      <w:r w:rsidRPr="00BA49DF" w:rsidR="006A181B">
        <w:t xml:space="preserve">updates </w:t>
      </w:r>
      <w:r w:rsidRPr="00BA49DF" w:rsidR="005133CC">
        <w:t>for corrections</w:t>
      </w:r>
      <w:r w:rsidRPr="00BA49DF" w:rsidR="00613551">
        <w:t xml:space="preserve"> and cla</w:t>
      </w:r>
      <w:r w:rsidRPr="00BA49DF" w:rsidR="00016016">
        <w:t xml:space="preserve">rifications, c) </w:t>
      </w:r>
      <w:r w:rsidRPr="00BA49DF" w:rsidR="006A181B">
        <w:t xml:space="preserve">updates based </w:t>
      </w:r>
      <w:r w:rsidRPr="00BA49DF" w:rsidR="00016016">
        <w:t xml:space="preserve">on </w:t>
      </w:r>
      <w:r w:rsidRPr="00BA49DF" w:rsidR="006A181B">
        <w:t>evaluation study results</w:t>
      </w:r>
      <w:r w:rsidRPr="00BA49DF" w:rsidR="00EF6CE0">
        <w:t xml:space="preserve">, </w:t>
      </w:r>
      <w:r w:rsidRPr="00BA49DF" w:rsidR="00016016">
        <w:t>d</w:t>
      </w:r>
      <w:r w:rsidRPr="00BA49DF" w:rsidR="00EF6CE0">
        <w:t xml:space="preserve">) </w:t>
      </w:r>
      <w:r w:rsidRPr="00BA49DF" w:rsidR="006A181B">
        <w:t>new code updates</w:t>
      </w:r>
      <w:r w:rsidRPr="00BA49DF" w:rsidR="00613551">
        <w:t xml:space="preserve">, e) </w:t>
      </w:r>
      <w:r w:rsidRPr="00BA49DF" w:rsidR="006A181B">
        <w:t xml:space="preserve">review </w:t>
      </w:r>
      <w:r w:rsidRPr="00BA49DF" w:rsidR="00613551">
        <w:t xml:space="preserve">of </w:t>
      </w:r>
      <w:r w:rsidRPr="00BA49DF" w:rsidR="006A181B">
        <w:t xml:space="preserve">market </w:t>
      </w:r>
      <w:r w:rsidRPr="00BA49DF" w:rsidR="00613551">
        <w:t xml:space="preserve">and </w:t>
      </w:r>
      <w:r w:rsidRPr="00BA49DF" w:rsidR="006A181B">
        <w:t>research studies</w:t>
      </w:r>
      <w:r w:rsidRPr="00BA49DF" w:rsidR="009D4206">
        <w:t>,</w:t>
      </w:r>
      <w:r w:rsidRPr="00BA49DF" w:rsidR="00353F5D">
        <w:t xml:space="preserve"> </w:t>
      </w:r>
      <w:r w:rsidRPr="00BA49DF" w:rsidR="00EA6E45">
        <w:t xml:space="preserve">and </w:t>
      </w:r>
      <w:r w:rsidRPr="00BA49DF" w:rsidR="00353F5D">
        <w:t>f</w:t>
      </w:r>
      <w:r w:rsidRPr="00BA49DF" w:rsidR="00EF6CE0">
        <w:t xml:space="preserve">) </w:t>
      </w:r>
      <w:r w:rsidRPr="00BA49DF" w:rsidR="006A181B">
        <w:t xml:space="preserve">addition </w:t>
      </w:r>
      <w:r w:rsidRPr="00BA49DF" w:rsidR="009D4206">
        <w:t xml:space="preserve">of </w:t>
      </w:r>
      <w:r w:rsidRPr="00BA49DF" w:rsidR="006A181B">
        <w:t>new measures</w:t>
      </w:r>
      <w:r w:rsidRPr="00BA49DF" w:rsidR="00156B07">
        <w:t>.</w:t>
      </w:r>
    </w:p>
    <w:p w:rsidRPr="00BA49DF" w:rsidR="013F9ADF" w:rsidP="005B70B2" w:rsidRDefault="00B003D5" w14:paraId="013F9ADF" w14:textId="688D74F3">
      <w:pPr>
        <w:pStyle w:val="ListParagraph"/>
        <w:numPr>
          <w:ilvl w:val="0"/>
          <w:numId w:val="1"/>
        </w:numPr>
      </w:pPr>
      <w:r w:rsidRPr="00BA49DF">
        <w:t>Decision D.</w:t>
      </w:r>
      <w:r w:rsidRPr="00BA49DF" w:rsidR="00DC0427">
        <w:t>05-01-055</w:t>
      </w:r>
      <w:r w:rsidRPr="00BA49DF">
        <w:t xml:space="preserve"> establishes the </w:t>
      </w:r>
      <w:r w:rsidRPr="00BA49DF" w:rsidR="006336C3">
        <w:t xml:space="preserve">CPUC </w:t>
      </w:r>
      <w:r w:rsidRPr="00BA49DF">
        <w:t>Energy Division</w:t>
      </w:r>
      <w:r w:rsidRPr="00BA49DF" w:rsidR="003E565D">
        <w:t xml:space="preserve"> </w:t>
      </w:r>
      <w:r w:rsidRPr="00BA49DF">
        <w:t xml:space="preserve">authority to review and approve </w:t>
      </w:r>
      <w:r w:rsidRPr="00BA49DF" w:rsidR="00912D10">
        <w:t>measure</w:t>
      </w:r>
      <w:r w:rsidRPr="00BA49DF">
        <w:t xml:space="preserve">s, including authority to designate a set of values as the </w:t>
      </w:r>
      <w:r w:rsidRPr="00BA49DF" w:rsidR="00A61E81">
        <w:t xml:space="preserve">deemed </w:t>
      </w:r>
      <w:r w:rsidRPr="00BA49DF">
        <w:t>data source of record.</w:t>
      </w:r>
    </w:p>
    <w:p w:rsidRPr="00BA49DF" w:rsidR="00EF6CE0" w:rsidP="008E2F07" w:rsidRDefault="00045799" w14:paraId="5136C783" w14:textId="282BF6C0">
      <w:pPr>
        <w:pStyle w:val="Heading1"/>
      </w:pPr>
      <w:bookmarkStart w:name="_Toc518983881" w:id="79"/>
      <w:bookmarkStart w:name="_Toc519764457" w:id="80"/>
      <w:bookmarkStart w:name="_Toc48835521" w:id="81"/>
      <w:bookmarkStart w:name="_Toc48843038" w:id="82"/>
      <w:bookmarkStart w:name="_Toc48845854" w:id="83"/>
      <w:bookmarkStart w:name="_Toc48900748" w:id="84"/>
      <w:bookmarkStart w:name="_Hlk107577183" w:id="85"/>
      <w:r w:rsidRPr="00DA03A0">
        <w:lastRenderedPageBreak/>
        <w:t>THEREFORE,</w:t>
      </w:r>
      <w:r w:rsidRPr="00DA03A0" w:rsidR="000B317B">
        <w:t xml:space="preserve"> IT IS ORDERED THAT:</w:t>
      </w:r>
      <w:bookmarkEnd w:id="79"/>
      <w:bookmarkEnd w:id="80"/>
      <w:bookmarkEnd w:id="81"/>
      <w:bookmarkEnd w:id="82"/>
      <w:bookmarkEnd w:id="83"/>
      <w:bookmarkEnd w:id="84"/>
    </w:p>
    <w:p w:rsidRPr="00BA49DF" w:rsidR="00EF6CE0" w:rsidP="00F81998" w:rsidRDefault="00451098" w14:paraId="77414E4F" w14:textId="0618895E">
      <w:pPr>
        <w:pStyle w:val="ListParagraph"/>
        <w:numPr>
          <w:ilvl w:val="0"/>
          <w:numId w:val="4"/>
        </w:numPr>
      </w:pPr>
      <w:r w:rsidRPr="00BA49DF">
        <w:t>The</w:t>
      </w:r>
      <w:r w:rsidR="00BB374F">
        <w:t xml:space="preserve"> </w:t>
      </w:r>
      <w:bookmarkEnd w:id="85"/>
      <w:r w:rsidRPr="00BA49DF" w:rsidR="009620E6">
        <w:t>DEER202</w:t>
      </w:r>
      <w:r w:rsidR="009620E6">
        <w:t>6</w:t>
      </w:r>
      <w:r w:rsidRPr="00BA49DF" w:rsidR="009620E6">
        <w:t xml:space="preserve"> </w:t>
      </w:r>
      <w:r w:rsidRPr="00BA49DF" w:rsidR="00EF6CE0">
        <w:t xml:space="preserve">and </w:t>
      </w:r>
      <w:r w:rsidRPr="00BA49DF" w:rsidR="009D4206">
        <w:t xml:space="preserve">Revised </w:t>
      </w:r>
      <w:bookmarkStart w:name="_Hlk115365864" w:id="86"/>
      <w:r w:rsidRPr="00BA49DF" w:rsidR="00EF6CE0">
        <w:t>DEER20</w:t>
      </w:r>
      <w:r w:rsidRPr="00BA49DF" w:rsidR="00D278D6">
        <w:t>2</w:t>
      </w:r>
      <w:r w:rsidRPr="00BA49DF" w:rsidR="006931F2">
        <w:t>4</w:t>
      </w:r>
      <w:r w:rsidRPr="00BA49DF" w:rsidR="00EF6CE0">
        <w:t xml:space="preserve"> and </w:t>
      </w:r>
      <w:r w:rsidRPr="00BA49DF" w:rsidR="00774635">
        <w:t>DEER202</w:t>
      </w:r>
      <w:r w:rsidR="00646DBE">
        <w:t>5</w:t>
      </w:r>
      <w:r w:rsidRPr="00BA49DF" w:rsidR="009D4206">
        <w:t xml:space="preserve"> </w:t>
      </w:r>
      <w:r w:rsidRPr="00BA49DF" w:rsidR="00EF6CE0">
        <w:t>Updates, listed in</w:t>
      </w:r>
      <w:r w:rsidRPr="00BA49DF" w:rsidR="0075320D">
        <w:t xml:space="preserve"> </w:t>
      </w:r>
      <w:r w:rsidRPr="00BA49DF" w:rsidR="006A681F">
        <w:t>Table 1</w:t>
      </w:r>
      <w:r w:rsidRPr="00BA49DF" w:rsidR="00EF6CE0">
        <w:t xml:space="preserve">, </w:t>
      </w:r>
      <w:r w:rsidRPr="00BA49DF" w:rsidR="003022DE">
        <w:t xml:space="preserve">as </w:t>
      </w:r>
      <w:r w:rsidRPr="00BA49DF" w:rsidR="00EF6CE0">
        <w:t xml:space="preserve">described in </w:t>
      </w:r>
      <w:r w:rsidRPr="00BA49DF" w:rsidR="001F485B">
        <w:t>Attachment</w:t>
      </w:r>
      <w:r w:rsidRPr="00BA49DF" w:rsidR="009E46CD">
        <w:t xml:space="preserve"> </w:t>
      </w:r>
      <w:r w:rsidRPr="00BA49DF" w:rsidR="001710EA">
        <w:t>A</w:t>
      </w:r>
      <w:r w:rsidRPr="00BA49DF" w:rsidR="00EA6E45">
        <w:t>,</w:t>
      </w:r>
      <w:r w:rsidRPr="00BA49DF" w:rsidR="001710EA">
        <w:t xml:space="preserve"> </w:t>
      </w:r>
      <w:r w:rsidRPr="00BA49DF" w:rsidR="005A12BE">
        <w:t xml:space="preserve">and </w:t>
      </w:r>
      <w:r w:rsidRPr="00BA49DF" w:rsidR="00EA6E45">
        <w:t xml:space="preserve">per </w:t>
      </w:r>
      <w:r w:rsidRPr="00BA49DF" w:rsidR="005A12BE">
        <w:t>supporting documentation</w:t>
      </w:r>
      <w:r w:rsidRPr="00BA49DF" w:rsidR="00EF6CE0">
        <w:t xml:space="preserve"> available on </w:t>
      </w:r>
      <w:r w:rsidRPr="00BA49DF" w:rsidR="00DE7697">
        <w:t xml:space="preserve">the </w:t>
      </w:r>
      <w:r w:rsidRPr="00BA49DF" w:rsidR="00524137">
        <w:t>DEER Module at the CEDARS</w:t>
      </w:r>
      <w:r w:rsidRPr="00BA49DF" w:rsidR="00DE7697">
        <w:t xml:space="preserve"> website</w:t>
      </w:r>
      <w:r w:rsidRPr="00BA49DF" w:rsidR="00EF6CE0">
        <w:t>, are approved</w:t>
      </w:r>
      <w:r w:rsidRPr="00BA49DF" w:rsidR="00DE7697">
        <w:t xml:space="preserve"> with effective dates as listed</w:t>
      </w:r>
      <w:r w:rsidRPr="00BA49DF" w:rsidR="00EF6CE0">
        <w:t>.</w:t>
      </w:r>
      <w:r w:rsidRPr="00BA49DF" w:rsidR="008B2D4A">
        <w:t xml:space="preserve"> The Appendices and the Attachment to this resolution </w:t>
      </w:r>
      <w:r w:rsidR="0AB96168">
        <w:t xml:space="preserve">may be updated by staff as needed. </w:t>
      </w:r>
    </w:p>
    <w:bookmarkEnd w:id="86"/>
    <w:p w:rsidRPr="006931F2" w:rsidR="00C463B9" w:rsidP="00F81998" w:rsidRDefault="00EF6CE0" w14:paraId="4D66E3D3" w14:textId="49E82EB8">
      <w:pPr>
        <w:pStyle w:val="ListParagraph"/>
        <w:numPr>
          <w:ilvl w:val="0"/>
          <w:numId w:val="4"/>
        </w:numPr>
      </w:pPr>
      <w:r w:rsidRPr="006931F2">
        <w:t>Pacific Gas and Electric Company (PG&amp;E), Southern California Electric Company (SCE), Southern California Gas Company (</w:t>
      </w:r>
      <w:r w:rsidR="006D5663">
        <w:t>SCG</w:t>
      </w:r>
      <w:r w:rsidRPr="006931F2">
        <w:t xml:space="preserve">), and San Diego Gas &amp; Electric (SDG&amp;E), the </w:t>
      </w:r>
      <w:r w:rsidRPr="006931F2" w:rsidR="00F5217B">
        <w:t>San Francisco Bay Area Regional Energy Network (</w:t>
      </w:r>
      <w:proofErr w:type="spellStart"/>
      <w:r w:rsidRPr="006931F2" w:rsidR="00F5217B">
        <w:t>BayREN</w:t>
      </w:r>
      <w:proofErr w:type="spellEnd"/>
      <w:r w:rsidRPr="006931F2" w:rsidR="00F5217B">
        <w:t>), Southern California Regional Energy Network (</w:t>
      </w:r>
      <w:proofErr w:type="spellStart"/>
      <w:r w:rsidRPr="006931F2" w:rsidR="00F5217B">
        <w:t>SoCalREN</w:t>
      </w:r>
      <w:proofErr w:type="spellEnd"/>
      <w:r w:rsidRPr="006931F2" w:rsidR="00F5217B">
        <w:t>)</w:t>
      </w:r>
      <w:r w:rsidRPr="006931F2" w:rsidR="00197F0B">
        <w:t>,</w:t>
      </w:r>
      <w:r w:rsidRPr="006931F2" w:rsidR="00F5217B">
        <w:t xml:space="preserve"> Tri-County Regional Energy Network (3CREN)</w:t>
      </w:r>
      <w:r w:rsidRPr="006931F2" w:rsidR="000D49DD">
        <w:t xml:space="preserve">, </w:t>
      </w:r>
      <w:r w:rsidRPr="006931F2" w:rsidR="005504FB">
        <w:t>Lancaster Choice Energy (LCE),</w:t>
      </w:r>
      <w:r w:rsidRPr="006931F2" w:rsidR="00F5217B">
        <w:t xml:space="preserve"> </w:t>
      </w:r>
      <w:r w:rsidRPr="006931F2">
        <w:t xml:space="preserve">and Marin Clean Energy (MCE) </w:t>
      </w:r>
      <w:r w:rsidRPr="006931F2" w:rsidR="005504FB">
        <w:t>must use</w:t>
      </w:r>
      <w:r w:rsidRPr="006931F2">
        <w:t xml:space="preserve"> the updated assumptions, methods and values for</w:t>
      </w:r>
      <w:r w:rsidRPr="006931F2" w:rsidR="00FE728D">
        <w:t xml:space="preserve"> </w:t>
      </w:r>
      <w:r w:rsidR="430EA339">
        <w:t xml:space="preserve">Program Years </w:t>
      </w:r>
      <w:r w:rsidRPr="006931F2" w:rsidR="00FE728D">
        <w:t>202</w:t>
      </w:r>
      <w:r w:rsidR="007759BA">
        <w:t>4</w:t>
      </w:r>
      <w:r w:rsidRPr="006931F2" w:rsidR="00FE728D">
        <w:t xml:space="preserve"> and</w:t>
      </w:r>
      <w:r w:rsidRPr="006931F2">
        <w:t xml:space="preserve"> </w:t>
      </w:r>
      <w:r w:rsidRPr="006931F2" w:rsidR="000D49DD">
        <w:t>20</w:t>
      </w:r>
      <w:r w:rsidRPr="006931F2" w:rsidR="00EC658E">
        <w:t>2</w:t>
      </w:r>
      <w:r w:rsidR="007759BA">
        <w:t>5</w:t>
      </w:r>
      <w:r w:rsidRPr="006931F2">
        <w:t xml:space="preserve"> </w:t>
      </w:r>
      <w:r w:rsidRPr="006931F2" w:rsidR="006D09BA">
        <w:t xml:space="preserve">planning and </w:t>
      </w:r>
      <w:r w:rsidRPr="006931F2" w:rsidR="00156B07">
        <w:t>savings claims</w:t>
      </w:r>
      <w:r w:rsidRPr="006931F2" w:rsidR="006D09BA">
        <w:t>,</w:t>
      </w:r>
      <w:r w:rsidRPr="006931F2" w:rsidR="00156B07">
        <w:t xml:space="preserve"> </w:t>
      </w:r>
      <w:r w:rsidRPr="006931F2">
        <w:t>and</w:t>
      </w:r>
      <w:r w:rsidR="17BDE1E8">
        <w:t xml:space="preserve"> Program Years</w:t>
      </w:r>
      <w:r w:rsidRPr="006931F2">
        <w:t xml:space="preserve"> 20</w:t>
      </w:r>
      <w:r w:rsidRPr="006931F2" w:rsidR="00D278D6">
        <w:t>2</w:t>
      </w:r>
      <w:r w:rsidR="007759BA">
        <w:t>6</w:t>
      </w:r>
      <w:r w:rsidRPr="006931F2" w:rsidR="006931F2">
        <w:t>-2</w:t>
      </w:r>
      <w:r w:rsidR="007759BA">
        <w:t>7</w:t>
      </w:r>
      <w:r w:rsidRPr="006931F2">
        <w:t xml:space="preserve"> planning, implementation and reporting.</w:t>
      </w:r>
    </w:p>
    <w:p w:rsidRPr="004267F1" w:rsidR="00FF4D5D" w:rsidP="00F81998" w:rsidRDefault="00FF4D5D" w14:paraId="581BC38B" w14:textId="6B553470">
      <w:pPr>
        <w:pStyle w:val="ListParagraph"/>
        <w:numPr>
          <w:ilvl w:val="0"/>
          <w:numId w:val="4"/>
        </w:numPr>
      </w:pPr>
      <w:r w:rsidRPr="004267F1">
        <w:t>Pacific Gas and Electric Company (PG&amp;E), Southern California Electric Company (SCE), Southern California Gas Company (</w:t>
      </w:r>
      <w:r w:rsidR="006D5663">
        <w:t>SCG</w:t>
      </w:r>
      <w:r w:rsidRPr="004267F1">
        <w:t>), and San Diego Gas &amp; Electric (SDG&amp;E), the San Francisco Bay Area Regional Energy Network (</w:t>
      </w:r>
      <w:proofErr w:type="spellStart"/>
      <w:r w:rsidRPr="004267F1">
        <w:t>BayREN</w:t>
      </w:r>
      <w:proofErr w:type="spellEnd"/>
      <w:r w:rsidRPr="004267F1">
        <w:t>), Southern California Regional Energy Network (</w:t>
      </w:r>
      <w:proofErr w:type="spellStart"/>
      <w:r w:rsidRPr="004267F1">
        <w:t>SoCalREN</w:t>
      </w:r>
      <w:proofErr w:type="spellEnd"/>
      <w:r w:rsidRPr="004267F1">
        <w:t>), Tri-County Regional Energy Network (3CREN), Lancaster Choice Energy (LCE), and Marin Clean Energy (MCE) must follow the updated process adopted in this resolution for deemed ex</w:t>
      </w:r>
      <w:r w:rsidRPr="004267F1" w:rsidR="00842958">
        <w:t xml:space="preserve"> </w:t>
      </w:r>
      <w:r w:rsidRPr="004267F1">
        <w:t xml:space="preserve">ante activities as directed in this resolution. </w:t>
      </w:r>
    </w:p>
    <w:p w:rsidRPr="004267F1" w:rsidR="00FF4D5D" w:rsidP="00F81998" w:rsidRDefault="00FF4D5D" w14:paraId="3C2980B1" w14:textId="2A438F51">
      <w:pPr>
        <w:pStyle w:val="ListParagraph"/>
        <w:numPr>
          <w:ilvl w:val="0"/>
          <w:numId w:val="4"/>
        </w:numPr>
      </w:pPr>
      <w:r w:rsidRPr="004267F1">
        <w:t>Pacific Gas and Electric Company (PG&amp;E), Southern California Electric Company (SCE), Southern California Gas Company (</w:t>
      </w:r>
      <w:r w:rsidR="006D5663">
        <w:t>SCG</w:t>
      </w:r>
      <w:r w:rsidRPr="004267F1">
        <w:t>), and San Diego Gas &amp; Electric (SDG&amp;E), the San Francisco Bay Area Regional Energy Network (</w:t>
      </w:r>
      <w:proofErr w:type="spellStart"/>
      <w:r w:rsidRPr="004267F1">
        <w:t>BayREN</w:t>
      </w:r>
      <w:proofErr w:type="spellEnd"/>
      <w:r w:rsidRPr="004267F1">
        <w:t>), Southern California Regional Energy Network (</w:t>
      </w:r>
      <w:proofErr w:type="spellStart"/>
      <w:r w:rsidRPr="004267F1">
        <w:t>SoCalREN</w:t>
      </w:r>
      <w:proofErr w:type="spellEnd"/>
      <w:r w:rsidRPr="004267F1">
        <w:t>), Tri-County Regional Energy Network (3CREN), Lancaster Choice Energy (LCE), and Marin Clean Energy (MCE) must comply with the updated schedule for activities adopted in this resolution unless expressly authorized by CPUC staff.</w:t>
      </w:r>
    </w:p>
    <w:p w:rsidR="00EA6E45" w:rsidP="008E2F07" w:rsidRDefault="00EA6E45" w14:paraId="1445BBBF" w14:textId="77777777"/>
    <w:p w:rsidR="00872548" w:rsidP="008E2F07" w:rsidRDefault="00872548" w14:paraId="7BE63A90" w14:textId="77777777"/>
    <w:p w:rsidR="00872548" w:rsidP="008E2F07" w:rsidRDefault="00872548" w14:paraId="3FC1F6D5" w14:textId="77777777"/>
    <w:p w:rsidR="00872548" w:rsidP="008E2F07" w:rsidRDefault="00872548" w14:paraId="6AEC539C" w14:textId="77777777"/>
    <w:p w:rsidR="00872548" w:rsidP="008E2F07" w:rsidRDefault="00872548" w14:paraId="3468B181" w14:textId="77777777"/>
    <w:p w:rsidR="00872548" w:rsidP="008E2F07" w:rsidRDefault="00872548" w14:paraId="1BD9CEC2" w14:textId="77777777"/>
    <w:p w:rsidR="00872548" w:rsidP="00872548" w:rsidRDefault="00EF6CE0" w14:paraId="098B774C" w14:textId="77777777">
      <w:r w:rsidRPr="00F33A49">
        <w:t>This Resolution is effective today.</w:t>
      </w:r>
    </w:p>
    <w:p w:rsidRPr="00F33A49" w:rsidR="00EF6CE0" w:rsidP="00872548" w:rsidRDefault="004C10BF" w14:paraId="14AF18E6" w14:textId="4385F1BB">
      <w:r>
        <w:t xml:space="preserve">I </w:t>
      </w:r>
      <w:r w:rsidRPr="00F33A49" w:rsidR="00EF6CE0">
        <w:t xml:space="preserve">certify that the foregoing </w:t>
      </w:r>
      <w:r w:rsidR="000D10EF">
        <w:t>r</w:t>
      </w:r>
      <w:r w:rsidRPr="00F33A49" w:rsidR="0083651E">
        <w:t xml:space="preserve">esolution </w:t>
      </w:r>
      <w:r w:rsidRPr="00F33A49" w:rsidR="00EF6CE0">
        <w:t xml:space="preserve">was duly introduced, passed and adopted at a conference of the Public Utilities Commission of the State of California held on </w:t>
      </w:r>
      <w:r w:rsidR="00741780">
        <w:t xml:space="preserve">December </w:t>
      </w:r>
      <w:r w:rsidR="004A067A">
        <w:t>19,</w:t>
      </w:r>
      <w:r w:rsidRPr="00693CB7" w:rsidR="004A067A">
        <w:t xml:space="preserve"> </w:t>
      </w:r>
      <w:r w:rsidRPr="00693CB7" w:rsidR="0083651E">
        <w:t>20</w:t>
      </w:r>
      <w:r w:rsidRPr="00693CB7" w:rsidR="00351E67">
        <w:t>2</w:t>
      </w:r>
      <w:r w:rsidR="00233737">
        <w:t>4</w:t>
      </w:r>
      <w:r w:rsidRPr="00693CB7" w:rsidR="00EF6CE0">
        <w:t>;</w:t>
      </w:r>
      <w:r w:rsidRPr="00F33A49" w:rsidR="00EF6CE0">
        <w:t xml:space="preserve"> the following Commissioners voting favorably thereon:</w:t>
      </w:r>
    </w:p>
    <w:p w:rsidR="00C302A5" w:rsidP="007472F2" w:rsidRDefault="00C302A5" w14:paraId="2554E8AE" w14:textId="77777777">
      <w:pPr>
        <w:tabs>
          <w:tab w:val="left" w:pos="3420"/>
        </w:tabs>
      </w:pPr>
    </w:p>
    <w:p w:rsidRPr="0059337D" w:rsidR="000C4028" w:rsidP="007472F2" w:rsidRDefault="007472F2" w14:paraId="4B066BBA" w14:textId="557FDD2D">
      <w:pPr>
        <w:tabs>
          <w:tab w:val="left" w:pos="3420"/>
        </w:tabs>
      </w:pPr>
      <w:r>
        <w:tab/>
      </w:r>
    </w:p>
    <w:p w:rsidRPr="00C302A5" w:rsidR="00C302A5" w:rsidP="00C302A5" w:rsidRDefault="00C302A5" w14:paraId="3BD4E0E0" w14:textId="77777777">
      <w:pPr>
        <w:tabs>
          <w:tab w:val="left" w:pos="5400"/>
        </w:tabs>
        <w:spacing w:after="0"/>
        <w:ind w:left="5760"/>
        <w:rPr>
          <w:u w:val="single"/>
        </w:rPr>
      </w:pPr>
      <w:r w:rsidRPr="00C302A5">
        <w:rPr>
          <w:u w:val="single"/>
        </w:rPr>
        <w:t>/s/ RACHEL PETERSON</w:t>
      </w:r>
    </w:p>
    <w:p w:rsidR="00C302A5" w:rsidP="00C302A5" w:rsidRDefault="00C302A5" w14:paraId="70C3BE8C" w14:textId="77777777">
      <w:pPr>
        <w:tabs>
          <w:tab w:val="left" w:pos="5400"/>
        </w:tabs>
        <w:spacing w:after="0"/>
        <w:ind w:left="5760"/>
      </w:pPr>
      <w:r>
        <w:t xml:space="preserve">    Rachel Peterson</w:t>
      </w:r>
    </w:p>
    <w:p w:rsidR="00C302A5" w:rsidP="00C302A5" w:rsidRDefault="00C302A5" w14:paraId="20720483" w14:textId="77777777">
      <w:pPr>
        <w:tabs>
          <w:tab w:val="left" w:pos="5400"/>
        </w:tabs>
        <w:spacing w:after="0"/>
        <w:ind w:left="5760"/>
      </w:pPr>
      <w:r>
        <w:t xml:space="preserve">  Executive Director</w:t>
      </w:r>
    </w:p>
    <w:p w:rsidR="00C302A5" w:rsidP="00C302A5" w:rsidRDefault="00C302A5" w14:paraId="5123CE9C" w14:textId="77777777">
      <w:pPr>
        <w:tabs>
          <w:tab w:val="left" w:pos="5400"/>
        </w:tabs>
        <w:ind w:left="5760"/>
      </w:pPr>
    </w:p>
    <w:p w:rsidR="00C302A5" w:rsidP="00C302A5" w:rsidRDefault="00C302A5" w14:paraId="65BA1947" w14:textId="77777777">
      <w:pPr>
        <w:tabs>
          <w:tab w:val="left" w:pos="5400"/>
        </w:tabs>
        <w:ind w:left="5760"/>
      </w:pPr>
    </w:p>
    <w:p w:rsidR="00C302A5" w:rsidP="00C302A5" w:rsidRDefault="00C302A5" w14:paraId="2F689422" w14:textId="77777777">
      <w:pPr>
        <w:tabs>
          <w:tab w:val="left" w:pos="5400"/>
        </w:tabs>
        <w:spacing w:after="0"/>
        <w:ind w:left="5760"/>
      </w:pPr>
      <w:r>
        <w:t>ALICE REYNOLDS</w:t>
      </w:r>
    </w:p>
    <w:p w:rsidR="00C302A5" w:rsidP="00C302A5" w:rsidRDefault="00C302A5" w14:paraId="5A079FF0" w14:textId="77777777">
      <w:pPr>
        <w:tabs>
          <w:tab w:val="left" w:pos="5400"/>
        </w:tabs>
        <w:ind w:left="5760"/>
      </w:pPr>
      <w:r>
        <w:t xml:space="preserve">       President</w:t>
      </w:r>
    </w:p>
    <w:p w:rsidR="00C302A5" w:rsidP="00C302A5" w:rsidRDefault="00C302A5" w14:paraId="718F8DE1" w14:textId="77777777">
      <w:pPr>
        <w:tabs>
          <w:tab w:val="left" w:pos="5400"/>
        </w:tabs>
        <w:spacing w:after="0"/>
        <w:ind w:left="5760"/>
      </w:pPr>
    </w:p>
    <w:p w:rsidR="00C302A5" w:rsidP="00C302A5" w:rsidRDefault="00C302A5" w14:paraId="2B42ECD2" w14:textId="77777777">
      <w:pPr>
        <w:tabs>
          <w:tab w:val="left" w:pos="5400"/>
        </w:tabs>
        <w:spacing w:after="0"/>
        <w:ind w:left="5760"/>
      </w:pPr>
      <w:r>
        <w:t>DARCIE HOUCK</w:t>
      </w:r>
    </w:p>
    <w:p w:rsidR="00C302A5" w:rsidP="00C302A5" w:rsidRDefault="00C302A5" w14:paraId="41840656" w14:textId="77777777">
      <w:pPr>
        <w:tabs>
          <w:tab w:val="left" w:pos="5400"/>
        </w:tabs>
        <w:spacing w:after="0"/>
        <w:ind w:left="5760"/>
      </w:pPr>
      <w:r>
        <w:t>JOHN REYNOLDS</w:t>
      </w:r>
    </w:p>
    <w:p w:rsidR="00C302A5" w:rsidP="00C302A5" w:rsidRDefault="00C302A5" w14:paraId="00F3E71D" w14:textId="77777777">
      <w:pPr>
        <w:tabs>
          <w:tab w:val="left" w:pos="5400"/>
        </w:tabs>
        <w:spacing w:after="0"/>
        <w:ind w:left="5760"/>
      </w:pPr>
      <w:r>
        <w:t>KAREN DOUGLAS</w:t>
      </w:r>
    </w:p>
    <w:p w:rsidR="00C302A5" w:rsidP="00C302A5" w:rsidRDefault="00C302A5" w14:paraId="27F5FD28" w14:textId="77777777">
      <w:pPr>
        <w:tabs>
          <w:tab w:val="left" w:pos="5400"/>
        </w:tabs>
        <w:spacing w:after="0"/>
        <w:ind w:left="5760"/>
      </w:pPr>
      <w:r>
        <w:t>MATTHEW BAKER</w:t>
      </w:r>
    </w:p>
    <w:p w:rsidR="001F1121" w:rsidP="00C302A5" w:rsidRDefault="00C302A5" w14:paraId="1597BBB0" w14:textId="22FDB529">
      <w:pPr>
        <w:tabs>
          <w:tab w:val="left" w:pos="5400"/>
        </w:tabs>
        <w:spacing w:after="0"/>
        <w:ind w:left="5760"/>
      </w:pPr>
      <w:r>
        <w:t xml:space="preserve">       Commissioners</w:t>
      </w:r>
    </w:p>
    <w:p w:rsidR="001F1121" w:rsidP="00C302A5" w:rsidRDefault="001F1121" w14:paraId="4304ABD9" w14:textId="77777777">
      <w:pPr>
        <w:tabs>
          <w:tab w:val="left" w:pos="5400"/>
        </w:tabs>
        <w:spacing w:after="0"/>
        <w:ind w:left="5760"/>
        <w:sectPr w:rsidR="001F1121" w:rsidSect="00A8360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008" w:left="1440" w:header="720" w:footer="288" w:gutter="0"/>
          <w:cols w:space="720"/>
          <w:titlePg/>
          <w:docGrid w:linePitch="360"/>
        </w:sectPr>
      </w:pPr>
    </w:p>
    <w:p w:rsidR="006B03CB" w:rsidP="006F1D80" w:rsidRDefault="006F1D80" w14:paraId="461B843B" w14:textId="740C2308">
      <w:pPr>
        <w:pStyle w:val="AppendixHeading1"/>
      </w:pPr>
      <w:r>
        <w:lastRenderedPageBreak/>
        <w:t>A</w:t>
      </w:r>
      <w:r w:rsidR="00973F3D">
        <w:t>ppendi</w:t>
      </w:r>
      <w:r w:rsidR="00506647">
        <w:t>ces</w:t>
      </w:r>
    </w:p>
    <w:p w:rsidR="006931F2" w:rsidP="00B223B7" w:rsidRDefault="006931F2" w14:paraId="2CDEB142" w14:textId="7E7B1032">
      <w:pPr>
        <w:pStyle w:val="AppendixHeading2"/>
      </w:pPr>
      <w:bookmarkStart w:name="_Toc100839944" w:id="87"/>
      <w:bookmarkStart w:name="_Toc104200087" w:id="88"/>
      <w:r>
        <w:t>A1. PY202</w:t>
      </w:r>
      <w:r w:rsidR="002E2CD8">
        <w:t>4-25 Mid-Cycle</w:t>
      </w:r>
      <w:r>
        <w:t xml:space="preserve"> Measure</w:t>
      </w:r>
      <w:r w:rsidR="00A82DB7">
        <w:t xml:space="preserve"> Package </w:t>
      </w:r>
      <w:bookmarkEnd w:id="87"/>
      <w:bookmarkEnd w:id="88"/>
      <w:r w:rsidR="00A82DB7">
        <w:t>Updates</w:t>
      </w:r>
    </w:p>
    <w:p w:rsidR="008D5247" w:rsidP="008D5247" w:rsidRDefault="00850945" w14:paraId="0DC3A722" w14:textId="0D2C3299">
      <w:pPr>
        <w:rPr>
          <w:rFonts w:ascii="Century Gothic" w:hAnsi="Century Gothic"/>
          <w:i/>
          <w:iCs/>
          <w:sz w:val="22"/>
        </w:rPr>
      </w:pPr>
      <w:r>
        <w:t xml:space="preserve">Expected mid-cycle updates </w:t>
      </w:r>
      <w:r w:rsidR="00C974F7">
        <w:t>for PY202</w:t>
      </w:r>
      <w:r w:rsidR="002E2CD8">
        <w:t>4-25</w:t>
      </w:r>
      <w:r w:rsidR="00C974F7">
        <w:t xml:space="preserve"> in </w:t>
      </w:r>
      <w:r w:rsidR="00C974F7">
        <w:fldChar w:fldCharType="begin"/>
      </w:r>
      <w:r w:rsidR="00C974F7">
        <w:instrText xml:space="preserve"> REF _Ref98159679 \h </w:instrText>
      </w:r>
      <w:r w:rsidR="00C974F7">
        <w:fldChar w:fldCharType="separate"/>
      </w:r>
      <w:r w:rsidR="00787722">
        <w:t xml:space="preserve">Table </w:t>
      </w:r>
      <w:r w:rsidRPr="00E917C3" w:rsidR="00787722">
        <w:t>A1.</w:t>
      </w:r>
      <w:r w:rsidR="00787722">
        <w:rPr>
          <w:noProof/>
        </w:rPr>
        <w:t>1</w:t>
      </w:r>
      <w:r w:rsidR="00C974F7">
        <w:fldChar w:fldCharType="end"/>
      </w:r>
      <w:r w:rsidR="004566FB">
        <w:t xml:space="preserve"> are</w:t>
      </w:r>
      <w:r w:rsidR="00C974F7">
        <w:t xml:space="preserve"> </w:t>
      </w:r>
      <w:r w:rsidR="00A033F8">
        <w:t xml:space="preserve">current as of the adoption of </w:t>
      </w:r>
      <w:r w:rsidR="000876A4">
        <w:t>the final resolution</w:t>
      </w:r>
      <w:r>
        <w:t xml:space="preserve">. These measure packages are measures that have planned code or standard updates that go into effect in 2025, before the DEER2026 measure package version update. </w:t>
      </w:r>
      <w:r w:rsidR="00D21D29">
        <w:t xml:space="preserve">The </w:t>
      </w:r>
      <w:proofErr w:type="spellStart"/>
      <w:r w:rsidR="00D21D29">
        <w:t>eTRM</w:t>
      </w:r>
      <w:proofErr w:type="spellEnd"/>
      <w:r w:rsidR="00550E40">
        <w:t xml:space="preserve"> </w:t>
      </w:r>
      <w:r w:rsidR="00A66E1D">
        <w:t>version numbers may differ from this table based on other mid-cycle version</w:t>
      </w:r>
      <w:r w:rsidR="009C12E9">
        <w:t>s and approvals.</w:t>
      </w:r>
      <w:r w:rsidR="008D5247">
        <w:t xml:space="preserve"> </w:t>
      </w:r>
      <w:r w:rsidR="008A0FEF">
        <w:t xml:space="preserve">See </w:t>
      </w:r>
      <w:r w:rsidR="0023594D">
        <w:t xml:space="preserve">the </w:t>
      </w:r>
      <w:proofErr w:type="spellStart"/>
      <w:r w:rsidR="008A0FEF">
        <w:t>eTRM</w:t>
      </w:r>
      <w:proofErr w:type="spellEnd"/>
      <w:r w:rsidR="008A0FEF">
        <w:t xml:space="preserve"> for the most current version numbers.</w:t>
      </w:r>
      <w:r w:rsidR="008D5247">
        <w:t xml:space="preserve">  </w:t>
      </w:r>
    </w:p>
    <w:p w:rsidR="006931F2" w:rsidP="006931F2" w:rsidRDefault="005D2470" w14:paraId="0364D839" w14:textId="2A87F6CF">
      <w:pPr>
        <w:pStyle w:val="Caption"/>
      </w:pPr>
      <w:bookmarkStart w:name="_Ref98159679" w:id="89"/>
      <w:r>
        <w:t xml:space="preserve">Table </w:t>
      </w:r>
      <w:r w:rsidRPr="00E917C3" w:rsidR="006931F2">
        <w:t>A1.</w:t>
      </w:r>
      <w:r w:rsidR="006931F2">
        <w:fldChar w:fldCharType="begin"/>
      </w:r>
      <w:r w:rsidR="006931F2">
        <w:instrText>SEQ A1. \* ARABIC</w:instrText>
      </w:r>
      <w:r w:rsidR="006931F2">
        <w:fldChar w:fldCharType="separate"/>
      </w:r>
      <w:r w:rsidR="00787722">
        <w:rPr>
          <w:noProof/>
        </w:rPr>
        <w:t>1</w:t>
      </w:r>
      <w:r w:rsidR="006931F2">
        <w:fldChar w:fldCharType="end"/>
      </w:r>
      <w:bookmarkEnd w:id="89"/>
      <w:r w:rsidR="00EC149B">
        <w:t xml:space="preserve">. </w:t>
      </w:r>
      <w:r w:rsidRPr="007335A5" w:rsidR="007335A5">
        <w:t xml:space="preserve">PY2024-25 Mid-Cycle Measure Package Updates </w:t>
      </w:r>
    </w:p>
    <w:tbl>
      <w:tblPr>
        <w:tblStyle w:val="TableGrid"/>
        <w:tblW w:w="10165" w:type="dxa"/>
        <w:tblLayout w:type="fixed"/>
        <w:tblLook w:val="06A0" w:firstRow="1" w:lastRow="0" w:firstColumn="1" w:lastColumn="0" w:noHBand="1" w:noVBand="1"/>
      </w:tblPr>
      <w:tblGrid>
        <w:gridCol w:w="1795"/>
        <w:gridCol w:w="3060"/>
        <w:gridCol w:w="2250"/>
        <w:gridCol w:w="1980"/>
        <w:gridCol w:w="1080"/>
      </w:tblGrid>
      <w:tr w:rsidR="002D0423" w:rsidTr="00B270DF" w14:paraId="2A333B23" w14:textId="77777777">
        <w:trPr>
          <w:cantSplit/>
          <w:trHeight w:val="300"/>
          <w:tblHeader/>
        </w:trPr>
        <w:tc>
          <w:tcPr>
            <w:tcW w:w="1795" w:type="dxa"/>
            <w:tcBorders>
              <w:top w:val="single" w:color="auto" w:sz="4" w:space="0"/>
              <w:left w:val="single" w:color="auto" w:sz="4" w:space="0"/>
              <w:bottom w:val="single" w:color="auto" w:sz="4" w:space="0"/>
              <w:right w:val="single" w:color="auto" w:sz="4" w:space="0"/>
            </w:tcBorders>
            <w:vAlign w:val="bottom"/>
          </w:tcPr>
          <w:p w:rsidR="002D0423" w:rsidP="00046DF5" w:rsidRDefault="002D0423" w14:paraId="28FE6775" w14:textId="77777777">
            <w:pPr>
              <w:pStyle w:val="NormalinTable"/>
              <w:ind w:left="0" w:firstLine="0"/>
            </w:pPr>
            <w:r w:rsidRPr="1D6DE100">
              <w:t>Measure Package ID</w:t>
            </w:r>
          </w:p>
        </w:tc>
        <w:tc>
          <w:tcPr>
            <w:tcW w:w="3060" w:type="dxa"/>
            <w:tcBorders>
              <w:top w:val="single" w:color="auto" w:sz="4" w:space="0"/>
              <w:left w:val="single" w:color="auto" w:sz="4" w:space="0"/>
              <w:bottom w:val="single" w:color="auto" w:sz="4" w:space="0"/>
              <w:right w:val="single" w:color="auto" w:sz="4" w:space="0"/>
            </w:tcBorders>
          </w:tcPr>
          <w:p w:rsidR="002D0423" w:rsidP="00046DF5" w:rsidRDefault="002D0423" w14:paraId="42D3CF4B" w14:textId="77777777">
            <w:pPr>
              <w:pStyle w:val="NormalinTable"/>
              <w:ind w:left="0" w:firstLine="0"/>
            </w:pPr>
            <w:r w:rsidRPr="1D6DE100">
              <w:t>Measure Name</w:t>
            </w:r>
          </w:p>
        </w:tc>
        <w:tc>
          <w:tcPr>
            <w:tcW w:w="2250" w:type="dxa"/>
            <w:tcBorders>
              <w:top w:val="single" w:color="auto" w:sz="4" w:space="0"/>
              <w:left w:val="single" w:color="auto" w:sz="4" w:space="0"/>
              <w:bottom w:val="single" w:color="auto" w:sz="4" w:space="0"/>
              <w:right w:val="single" w:color="auto" w:sz="4" w:space="0"/>
            </w:tcBorders>
          </w:tcPr>
          <w:p w:rsidRPr="1D6DE100" w:rsidR="002D0423" w:rsidP="00046DF5" w:rsidRDefault="002D0423" w14:paraId="52C43747" w14:textId="77777777">
            <w:pPr>
              <w:pStyle w:val="NormalinTable"/>
              <w:ind w:left="0" w:firstLine="0"/>
            </w:pPr>
            <w:r>
              <w:t>Mid-Cycle Update Reason</w:t>
            </w:r>
          </w:p>
        </w:tc>
        <w:tc>
          <w:tcPr>
            <w:tcW w:w="1980" w:type="dxa"/>
            <w:tcBorders>
              <w:top w:val="single" w:color="auto" w:sz="4" w:space="0"/>
              <w:left w:val="single" w:color="auto" w:sz="4" w:space="0"/>
              <w:bottom w:val="single" w:color="auto" w:sz="4" w:space="0"/>
              <w:right w:val="single" w:color="auto" w:sz="4" w:space="0"/>
            </w:tcBorders>
            <w:vAlign w:val="bottom"/>
          </w:tcPr>
          <w:p w:rsidR="002D0423" w:rsidP="00046DF5" w:rsidRDefault="002D0423" w14:paraId="4C898020" w14:textId="77777777">
            <w:pPr>
              <w:pStyle w:val="NormalinTable"/>
              <w:ind w:left="0" w:firstLine="0"/>
            </w:pPr>
            <w:r w:rsidRPr="1D6DE100">
              <w:t>Program Year</w:t>
            </w:r>
          </w:p>
        </w:tc>
        <w:tc>
          <w:tcPr>
            <w:tcW w:w="1080" w:type="dxa"/>
            <w:tcBorders>
              <w:top w:val="single" w:color="auto" w:sz="4" w:space="0"/>
              <w:left w:val="single" w:color="auto" w:sz="4" w:space="0"/>
              <w:bottom w:val="single" w:color="auto" w:sz="4" w:space="0"/>
              <w:right w:val="single" w:color="auto" w:sz="4" w:space="0"/>
            </w:tcBorders>
            <w:vAlign w:val="bottom"/>
          </w:tcPr>
          <w:p w:rsidR="002D0423" w:rsidP="00046DF5" w:rsidRDefault="002D0423" w14:paraId="52052397" w14:textId="77777777">
            <w:pPr>
              <w:pStyle w:val="NormalinTable"/>
              <w:ind w:left="0" w:firstLine="0"/>
            </w:pPr>
            <w:r w:rsidRPr="1D6DE100">
              <w:t>Lead IOU</w:t>
            </w:r>
          </w:p>
        </w:tc>
      </w:tr>
      <w:tr w:rsidR="0050425B" w:rsidTr="00B270DF" w14:paraId="60D58982"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Pr="000F6E0E" w:rsidR="0050425B" w:rsidP="00354B7F" w:rsidRDefault="0050425B" w14:paraId="35BC4419" w14:textId="7731607E">
            <w:pPr>
              <w:pStyle w:val="NormalinTableHanging"/>
            </w:pPr>
            <w:r>
              <w:t>SWFS030-01</w:t>
            </w:r>
          </w:p>
        </w:tc>
        <w:tc>
          <w:tcPr>
            <w:tcW w:w="3060" w:type="dxa"/>
            <w:tcBorders>
              <w:top w:val="single" w:color="auto" w:sz="4" w:space="0"/>
              <w:left w:val="single" w:color="auto" w:sz="4" w:space="0"/>
              <w:bottom w:val="single" w:color="auto" w:sz="4" w:space="0"/>
              <w:right w:val="single" w:color="auto" w:sz="4" w:space="0"/>
            </w:tcBorders>
          </w:tcPr>
          <w:p w:rsidRPr="1D6DE100" w:rsidR="0050425B" w:rsidP="00354B7F" w:rsidRDefault="0050425B" w14:paraId="128D516B" w14:textId="477CAEBC">
            <w:pPr>
              <w:pStyle w:val="NormalinTableHanging"/>
            </w:pPr>
            <w:r>
              <w:t>Pressure Fryer, Commercial</w:t>
            </w:r>
          </w:p>
        </w:tc>
        <w:tc>
          <w:tcPr>
            <w:tcW w:w="2250" w:type="dxa"/>
            <w:tcBorders>
              <w:top w:val="single" w:color="auto" w:sz="4" w:space="0"/>
              <w:left w:val="single" w:color="auto" w:sz="4" w:space="0"/>
              <w:bottom w:val="single" w:color="auto" w:sz="4" w:space="0"/>
              <w:right w:val="single" w:color="auto" w:sz="4" w:space="0"/>
            </w:tcBorders>
          </w:tcPr>
          <w:p w:rsidR="0050425B" w:rsidDel="002D2E3A" w:rsidP="00354B7F" w:rsidRDefault="0050425B" w14:paraId="527943A5" w14:textId="2A7D3D54">
            <w:pPr>
              <w:pStyle w:val="NormalinTableHanging"/>
            </w:pPr>
            <w:r>
              <w:t>New measure package</w:t>
            </w:r>
          </w:p>
        </w:tc>
        <w:tc>
          <w:tcPr>
            <w:tcW w:w="1980" w:type="dxa"/>
            <w:tcBorders>
              <w:top w:val="single" w:color="auto" w:sz="4" w:space="0"/>
              <w:left w:val="single" w:color="auto" w:sz="4" w:space="0"/>
              <w:bottom w:val="single" w:color="auto" w:sz="4" w:space="0"/>
              <w:right w:val="single" w:color="auto" w:sz="4" w:space="0"/>
            </w:tcBorders>
          </w:tcPr>
          <w:p w:rsidRPr="1D6DE100" w:rsidR="0050425B" w:rsidP="00354B7F" w:rsidRDefault="0050425B" w14:paraId="1124FF9D" w14:textId="03633BFC">
            <w:pPr>
              <w:pStyle w:val="NormalinTableHanging"/>
            </w:pPr>
            <w:r>
              <w:t>2024, effective upon approval</w:t>
            </w:r>
          </w:p>
        </w:tc>
        <w:tc>
          <w:tcPr>
            <w:tcW w:w="1080" w:type="dxa"/>
            <w:tcBorders>
              <w:top w:val="single" w:color="auto" w:sz="4" w:space="0"/>
              <w:left w:val="single" w:color="auto" w:sz="4" w:space="0"/>
              <w:bottom w:val="single" w:color="auto" w:sz="4" w:space="0"/>
              <w:right w:val="single" w:color="auto" w:sz="4" w:space="0"/>
            </w:tcBorders>
          </w:tcPr>
          <w:p w:rsidRPr="1D6DE100" w:rsidR="0050425B" w:rsidP="00354B7F" w:rsidRDefault="0050425B" w14:paraId="536EE860" w14:textId="3210E7A1">
            <w:pPr>
              <w:pStyle w:val="NormalinTableHanging"/>
            </w:pPr>
            <w:r>
              <w:t>SCG</w:t>
            </w:r>
          </w:p>
        </w:tc>
      </w:tr>
      <w:tr w:rsidR="003F5FB4" w:rsidTr="00B270DF" w14:paraId="269595A3"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3F5FB4" w:rsidP="00354B7F" w:rsidRDefault="003F5FB4" w14:paraId="5866B996" w14:textId="4522F12B">
            <w:pPr>
              <w:pStyle w:val="NormalinTableHanging"/>
            </w:pPr>
            <w:r>
              <w:t>SWHC001-06</w:t>
            </w:r>
          </w:p>
        </w:tc>
        <w:tc>
          <w:tcPr>
            <w:tcW w:w="3060" w:type="dxa"/>
            <w:tcBorders>
              <w:top w:val="single" w:color="auto" w:sz="4" w:space="0"/>
              <w:left w:val="single" w:color="auto" w:sz="4" w:space="0"/>
              <w:bottom w:val="single" w:color="auto" w:sz="4" w:space="0"/>
              <w:right w:val="single" w:color="auto" w:sz="4" w:space="0"/>
            </w:tcBorders>
          </w:tcPr>
          <w:p w:rsidR="003F5FB4" w:rsidP="00354B7F" w:rsidRDefault="003F5FB4" w14:paraId="77EAA341" w14:textId="5D87DA18">
            <w:pPr>
              <w:pStyle w:val="NormalinTableHanging"/>
            </w:pPr>
            <w:r>
              <w:t>Wall Furnace, Residential</w:t>
            </w:r>
          </w:p>
        </w:tc>
        <w:tc>
          <w:tcPr>
            <w:tcW w:w="2250" w:type="dxa"/>
            <w:tcBorders>
              <w:top w:val="single" w:color="auto" w:sz="4" w:space="0"/>
              <w:left w:val="single" w:color="auto" w:sz="4" w:space="0"/>
              <w:bottom w:val="single" w:color="auto" w:sz="4" w:space="0"/>
              <w:right w:val="single" w:color="auto" w:sz="4" w:space="0"/>
            </w:tcBorders>
          </w:tcPr>
          <w:p w:rsidR="003F5FB4" w:rsidP="00354B7F" w:rsidRDefault="003F5FB4" w14:paraId="7F85E6CD" w14:textId="2636A46F">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3F5FB4" w:rsidP="00354B7F" w:rsidRDefault="003F5FB4" w14:paraId="4EF43FC8" w14:textId="498C1709">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3F5FB4" w:rsidP="00354B7F" w:rsidRDefault="003F5FB4" w14:paraId="0B3FB87F" w14:textId="4ADCF4F6">
            <w:pPr>
              <w:pStyle w:val="NormalinTableHanging"/>
            </w:pPr>
            <w:r>
              <w:t>SCG</w:t>
            </w:r>
          </w:p>
        </w:tc>
      </w:tr>
      <w:tr w:rsidR="00EB6770" w:rsidTr="00B270DF" w14:paraId="771123DE"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EB6770" w:rsidP="00354B7F" w:rsidRDefault="00EB6770" w14:paraId="695A7CE9" w14:textId="6761EE24">
            <w:pPr>
              <w:pStyle w:val="NormalinTableHanging"/>
            </w:pPr>
            <w:r>
              <w:t>SWHC002-05</w:t>
            </w:r>
          </w:p>
        </w:tc>
        <w:tc>
          <w:tcPr>
            <w:tcW w:w="3060" w:type="dxa"/>
            <w:tcBorders>
              <w:top w:val="single" w:color="auto" w:sz="4" w:space="0"/>
              <w:left w:val="single" w:color="auto" w:sz="4" w:space="0"/>
              <w:bottom w:val="single" w:color="auto" w:sz="4" w:space="0"/>
              <w:right w:val="single" w:color="auto" w:sz="4" w:space="0"/>
            </w:tcBorders>
          </w:tcPr>
          <w:p w:rsidR="00EB6770" w:rsidP="00354B7F" w:rsidRDefault="00EB6770" w14:paraId="4F76E3F7" w14:textId="589CF7DB">
            <w:pPr>
              <w:pStyle w:val="NormalinTableHanging"/>
            </w:pPr>
            <w:r>
              <w:t>Intermittent Pilot Light, Residential</w:t>
            </w:r>
          </w:p>
        </w:tc>
        <w:tc>
          <w:tcPr>
            <w:tcW w:w="2250" w:type="dxa"/>
            <w:tcBorders>
              <w:top w:val="single" w:color="auto" w:sz="4" w:space="0"/>
              <w:left w:val="single" w:color="auto" w:sz="4" w:space="0"/>
              <w:bottom w:val="single" w:color="auto" w:sz="4" w:space="0"/>
              <w:right w:val="single" w:color="auto" w:sz="4" w:space="0"/>
            </w:tcBorders>
          </w:tcPr>
          <w:p w:rsidR="00EB6770" w:rsidP="00354B7F" w:rsidRDefault="00EB6770" w14:paraId="1F145519" w14:textId="670B0B2B">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EB6770" w:rsidP="00354B7F" w:rsidRDefault="00EB6770" w14:paraId="6A1155CE" w14:textId="131E584E">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EB6770" w:rsidP="00354B7F" w:rsidRDefault="00EB6770" w14:paraId="3615A2BE" w14:textId="537A4404">
            <w:pPr>
              <w:pStyle w:val="NormalinTableHanging"/>
            </w:pPr>
            <w:r>
              <w:t>SCG</w:t>
            </w:r>
          </w:p>
        </w:tc>
      </w:tr>
      <w:tr w:rsidR="00951510" w:rsidTr="00B270DF" w14:paraId="05A35949"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Pr="000F6E0E" w:rsidR="00951510" w:rsidP="00354B7F" w:rsidRDefault="00274B48" w14:paraId="2C63AF8E" w14:textId="2D50457D">
            <w:pPr>
              <w:pStyle w:val="NormalinTableHanging"/>
            </w:pPr>
            <w:r>
              <w:t>SWHC005</w:t>
            </w:r>
            <w:r w:rsidR="00E17D6A">
              <w:t>-04</w:t>
            </w:r>
          </w:p>
        </w:tc>
        <w:tc>
          <w:tcPr>
            <w:tcW w:w="3060" w:type="dxa"/>
            <w:tcBorders>
              <w:top w:val="single" w:color="auto" w:sz="4" w:space="0"/>
              <w:left w:val="single" w:color="auto" w:sz="4" w:space="0"/>
              <w:bottom w:val="single" w:color="auto" w:sz="4" w:space="0"/>
              <w:right w:val="single" w:color="auto" w:sz="4" w:space="0"/>
            </w:tcBorders>
          </w:tcPr>
          <w:p w:rsidRPr="1D6DE100" w:rsidR="00951510" w:rsidP="00354B7F" w:rsidRDefault="00E17D6A" w14:paraId="0752A212" w14:textId="4BF48B18">
            <w:pPr>
              <w:pStyle w:val="NormalinTableHanging"/>
            </w:pPr>
            <w:r>
              <w:t>Water-Cooled Chiller</w:t>
            </w:r>
          </w:p>
        </w:tc>
        <w:tc>
          <w:tcPr>
            <w:tcW w:w="2250" w:type="dxa"/>
            <w:tcBorders>
              <w:top w:val="single" w:color="auto" w:sz="4" w:space="0"/>
              <w:left w:val="single" w:color="auto" w:sz="4" w:space="0"/>
              <w:bottom w:val="single" w:color="auto" w:sz="4" w:space="0"/>
              <w:right w:val="single" w:color="auto" w:sz="4" w:space="0"/>
            </w:tcBorders>
          </w:tcPr>
          <w:p w:rsidR="00951510" w:rsidDel="002D2E3A" w:rsidP="00354B7F" w:rsidRDefault="00E17D6A" w14:paraId="08204AF5" w14:textId="3387C394">
            <w:pPr>
              <w:pStyle w:val="NormalinTableHanging"/>
            </w:pPr>
            <w:r>
              <w:t>CARB Refrigerant Standard</w:t>
            </w:r>
          </w:p>
        </w:tc>
        <w:tc>
          <w:tcPr>
            <w:tcW w:w="1980" w:type="dxa"/>
            <w:tcBorders>
              <w:top w:val="single" w:color="auto" w:sz="4" w:space="0"/>
              <w:left w:val="single" w:color="auto" w:sz="4" w:space="0"/>
              <w:bottom w:val="single" w:color="auto" w:sz="4" w:space="0"/>
              <w:right w:val="single" w:color="auto" w:sz="4" w:space="0"/>
            </w:tcBorders>
          </w:tcPr>
          <w:p w:rsidRPr="1D6DE100" w:rsidR="00951510" w:rsidP="00354B7F" w:rsidRDefault="00E17D6A" w14:paraId="59E8583E" w14:textId="4885CE04">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Pr="1D6DE100" w:rsidR="00951510" w:rsidP="00354B7F" w:rsidRDefault="00E17D6A" w14:paraId="418E280D" w14:textId="6DE08E90">
            <w:pPr>
              <w:pStyle w:val="NormalinTableHanging"/>
            </w:pPr>
            <w:r>
              <w:t>SDGE</w:t>
            </w:r>
          </w:p>
        </w:tc>
      </w:tr>
      <w:tr w:rsidR="00A60AEF" w:rsidTr="00B270DF" w14:paraId="3A2B43C2"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A60AEF" w:rsidP="00354B7F" w:rsidRDefault="00A60AEF" w14:paraId="0FEBAC16" w14:textId="2C9A4DA1">
            <w:pPr>
              <w:pStyle w:val="NormalinTableHanging"/>
            </w:pPr>
            <w:r>
              <w:t>SWHC006</w:t>
            </w:r>
            <w:r w:rsidR="00B64AC5">
              <w:t>-05*</w:t>
            </w:r>
          </w:p>
        </w:tc>
        <w:tc>
          <w:tcPr>
            <w:tcW w:w="3060" w:type="dxa"/>
            <w:tcBorders>
              <w:top w:val="single" w:color="auto" w:sz="4" w:space="0"/>
              <w:left w:val="single" w:color="auto" w:sz="4" w:space="0"/>
              <w:bottom w:val="single" w:color="auto" w:sz="4" w:space="0"/>
              <w:right w:val="single" w:color="auto" w:sz="4" w:space="0"/>
            </w:tcBorders>
          </w:tcPr>
          <w:p w:rsidR="00A60AEF" w:rsidP="00354B7F" w:rsidRDefault="00D25169" w14:paraId="5F3586DB" w14:textId="291DB9BD">
            <w:pPr>
              <w:pStyle w:val="NormalinTableHanging"/>
            </w:pPr>
            <w:r>
              <w:t>Demand Control Ventilation for Single Zone HVAC</w:t>
            </w:r>
          </w:p>
        </w:tc>
        <w:tc>
          <w:tcPr>
            <w:tcW w:w="2250" w:type="dxa"/>
            <w:tcBorders>
              <w:top w:val="single" w:color="auto" w:sz="4" w:space="0"/>
              <w:left w:val="single" w:color="auto" w:sz="4" w:space="0"/>
              <w:bottom w:val="single" w:color="auto" w:sz="4" w:space="0"/>
              <w:right w:val="single" w:color="auto" w:sz="4" w:space="0"/>
            </w:tcBorders>
          </w:tcPr>
          <w:p w:rsidR="00A60AEF" w:rsidP="00354B7F" w:rsidRDefault="00D25169" w14:paraId="2383689C" w14:textId="07AE6621">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A60AEF" w:rsidP="00354B7F" w:rsidRDefault="00D25169" w14:paraId="0350F57A" w14:textId="2E323B0D">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A60AEF" w:rsidP="00354B7F" w:rsidRDefault="00D25169" w14:paraId="53E603C3" w14:textId="240B7356">
            <w:pPr>
              <w:pStyle w:val="NormalinTableHanging"/>
            </w:pPr>
            <w:r>
              <w:t>PG&amp;E</w:t>
            </w:r>
          </w:p>
        </w:tc>
      </w:tr>
      <w:tr w:rsidR="00577955" w:rsidTr="00B270DF" w14:paraId="6971E406"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Pr="000F6E0E" w:rsidR="00577955" w:rsidP="00354B7F" w:rsidRDefault="00577955" w14:paraId="1E549FA7" w14:textId="4750AF53">
            <w:pPr>
              <w:pStyle w:val="NormalinTableHanging"/>
            </w:pPr>
            <w:r>
              <w:t>SWHC013-05</w:t>
            </w:r>
            <w:r w:rsidR="00707615">
              <w:t>*</w:t>
            </w:r>
          </w:p>
        </w:tc>
        <w:tc>
          <w:tcPr>
            <w:tcW w:w="3060" w:type="dxa"/>
            <w:tcBorders>
              <w:top w:val="single" w:color="auto" w:sz="4" w:space="0"/>
              <w:left w:val="single" w:color="auto" w:sz="4" w:space="0"/>
              <w:bottom w:val="single" w:color="auto" w:sz="4" w:space="0"/>
              <w:right w:val="single" w:color="auto" w:sz="4" w:space="0"/>
            </w:tcBorders>
          </w:tcPr>
          <w:p w:rsidRPr="1D6DE100" w:rsidR="00577955" w:rsidP="00354B7F" w:rsidRDefault="00766725" w14:paraId="2F7D9DF7" w14:textId="209438AF">
            <w:pPr>
              <w:pStyle w:val="NormalinTableHanging"/>
            </w:pPr>
            <w:r>
              <w:t xml:space="preserve">Unitary Air-Cooled Air Conditioner, Over 65 </w:t>
            </w:r>
            <w:proofErr w:type="spellStart"/>
            <w:r>
              <w:t>kBtu</w:t>
            </w:r>
            <w:proofErr w:type="spellEnd"/>
            <w:r>
              <w:t>/</w:t>
            </w:r>
            <w:proofErr w:type="spellStart"/>
            <w:r>
              <w:t>hr</w:t>
            </w:r>
            <w:proofErr w:type="spellEnd"/>
            <w:r>
              <w:t>, Commercial</w:t>
            </w:r>
          </w:p>
        </w:tc>
        <w:tc>
          <w:tcPr>
            <w:tcW w:w="2250" w:type="dxa"/>
            <w:tcBorders>
              <w:top w:val="single" w:color="auto" w:sz="4" w:space="0"/>
              <w:left w:val="single" w:color="auto" w:sz="4" w:space="0"/>
              <w:bottom w:val="single" w:color="auto" w:sz="4" w:space="0"/>
              <w:right w:val="single" w:color="auto" w:sz="4" w:space="0"/>
            </w:tcBorders>
          </w:tcPr>
          <w:p w:rsidR="00577955" w:rsidDel="002D2E3A" w:rsidP="00354B7F" w:rsidRDefault="00766725" w14:paraId="0121CD79" w14:textId="348D7A18">
            <w:pPr>
              <w:pStyle w:val="NormalinTableHanging"/>
            </w:pPr>
            <w:r>
              <w:t>CARB Refrigerant Standard</w:t>
            </w:r>
            <w:r w:rsidR="002B2441">
              <w:t xml:space="preserve"> and EUL </w:t>
            </w:r>
            <w:r w:rsidR="008C22C9">
              <w:t>Update</w:t>
            </w:r>
          </w:p>
        </w:tc>
        <w:tc>
          <w:tcPr>
            <w:tcW w:w="1980" w:type="dxa"/>
            <w:tcBorders>
              <w:top w:val="single" w:color="auto" w:sz="4" w:space="0"/>
              <w:left w:val="single" w:color="auto" w:sz="4" w:space="0"/>
              <w:bottom w:val="single" w:color="auto" w:sz="4" w:space="0"/>
              <w:right w:val="single" w:color="auto" w:sz="4" w:space="0"/>
            </w:tcBorders>
          </w:tcPr>
          <w:p w:rsidRPr="1D6DE100" w:rsidR="00577955" w:rsidP="00354B7F" w:rsidRDefault="00766725" w14:paraId="08D44C0A" w14:textId="132378B8">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Pr="1D6DE100" w:rsidR="00577955" w:rsidP="00354B7F" w:rsidRDefault="00766725" w14:paraId="5375CE23" w14:textId="7EE0F68B">
            <w:pPr>
              <w:pStyle w:val="NormalinTableHanging"/>
            </w:pPr>
            <w:r>
              <w:t>SDGE</w:t>
            </w:r>
          </w:p>
        </w:tc>
      </w:tr>
      <w:tr w:rsidR="002D0423" w:rsidTr="00B270DF" w14:paraId="3813A656"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Pr="000F6E0E" w:rsidR="002D0423" w:rsidP="00354B7F" w:rsidRDefault="002D0423" w14:paraId="48042972" w14:textId="74B51F90">
            <w:pPr>
              <w:pStyle w:val="NormalinTableHanging"/>
            </w:pPr>
            <w:r>
              <w:t>SWHC014-05</w:t>
            </w:r>
            <w:r w:rsidR="00346532">
              <w:t>*</w:t>
            </w:r>
          </w:p>
        </w:tc>
        <w:tc>
          <w:tcPr>
            <w:tcW w:w="3060" w:type="dxa"/>
            <w:tcBorders>
              <w:top w:val="single" w:color="auto" w:sz="4" w:space="0"/>
              <w:left w:val="single" w:color="auto" w:sz="4" w:space="0"/>
              <w:bottom w:val="single" w:color="auto" w:sz="4" w:space="0"/>
              <w:right w:val="single" w:color="auto" w:sz="4" w:space="0"/>
            </w:tcBorders>
          </w:tcPr>
          <w:p w:rsidRPr="1D6DE100" w:rsidR="002D0423" w:rsidP="00354B7F" w:rsidRDefault="002D0423" w14:paraId="62B6D35A" w14:textId="77777777">
            <w:pPr>
              <w:pStyle w:val="NormalinTableHanging"/>
            </w:pPr>
            <w:r>
              <w:t xml:space="preserve">Unitary Air-Cooled Air Conditioner or Heat Pump, Under 65 </w:t>
            </w:r>
            <w:proofErr w:type="spellStart"/>
            <w:r>
              <w:t>kBtu</w:t>
            </w:r>
            <w:proofErr w:type="spellEnd"/>
            <w:r>
              <w:t>/</w:t>
            </w:r>
            <w:proofErr w:type="spellStart"/>
            <w:r>
              <w:t>hr</w:t>
            </w:r>
            <w:proofErr w:type="spellEnd"/>
            <w:r>
              <w:t>, Commercial</w:t>
            </w:r>
          </w:p>
        </w:tc>
        <w:tc>
          <w:tcPr>
            <w:tcW w:w="2250" w:type="dxa"/>
            <w:tcBorders>
              <w:top w:val="single" w:color="auto" w:sz="4" w:space="0"/>
              <w:left w:val="single" w:color="auto" w:sz="4" w:space="0"/>
              <w:bottom w:val="single" w:color="auto" w:sz="4" w:space="0"/>
              <w:right w:val="single" w:color="auto" w:sz="4" w:space="0"/>
            </w:tcBorders>
          </w:tcPr>
          <w:p w:rsidRPr="1D6DE100" w:rsidR="002D0423" w:rsidP="00354B7F" w:rsidRDefault="0063454C" w14:paraId="1AD714D7" w14:textId="7AC839A1">
            <w:pPr>
              <w:pStyle w:val="NormalinTableHanging"/>
            </w:pPr>
            <w:r>
              <w:t>EPA AIM</w:t>
            </w:r>
            <w:r w:rsidR="002D0423">
              <w:t xml:space="preserve"> </w:t>
            </w:r>
            <w:r w:rsidR="00436A56">
              <w:t>Act</w:t>
            </w:r>
            <w:r w:rsidR="00FC3E06">
              <w:t xml:space="preserve"> and CARB Refrigerant Standard</w:t>
            </w:r>
            <w:r w:rsidR="00436A56">
              <w:t>s</w:t>
            </w:r>
            <w:r w:rsidR="009F018A">
              <w:t xml:space="preserve"> and EUL Update</w:t>
            </w:r>
          </w:p>
        </w:tc>
        <w:tc>
          <w:tcPr>
            <w:tcW w:w="1980" w:type="dxa"/>
            <w:tcBorders>
              <w:top w:val="single" w:color="auto" w:sz="4" w:space="0"/>
              <w:left w:val="single" w:color="auto" w:sz="4" w:space="0"/>
              <w:bottom w:val="single" w:color="auto" w:sz="4" w:space="0"/>
              <w:right w:val="single" w:color="auto" w:sz="4" w:space="0"/>
            </w:tcBorders>
          </w:tcPr>
          <w:p w:rsidRPr="1D6DE100" w:rsidR="002D0423" w:rsidP="00354B7F" w:rsidRDefault="002D0423" w14:paraId="48473A39" w14:textId="77777777">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Pr="1D6DE100" w:rsidR="002D0423" w:rsidP="00354B7F" w:rsidRDefault="002D0423" w14:paraId="6F91666F" w14:textId="034649CF">
            <w:pPr>
              <w:pStyle w:val="NormalinTableHanging"/>
            </w:pPr>
            <w:r>
              <w:t>SDGE</w:t>
            </w:r>
          </w:p>
        </w:tc>
      </w:tr>
      <w:tr w:rsidR="00766725" w:rsidTr="00B270DF" w14:paraId="6521BCA1"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766725" w:rsidP="00354B7F" w:rsidRDefault="005F7BD7" w14:paraId="5C04A1E8" w14:textId="322A3770">
            <w:pPr>
              <w:pStyle w:val="NormalinTableHanging"/>
            </w:pPr>
            <w:r>
              <w:t>SWHC020-04</w:t>
            </w:r>
          </w:p>
        </w:tc>
        <w:tc>
          <w:tcPr>
            <w:tcW w:w="3060" w:type="dxa"/>
            <w:tcBorders>
              <w:top w:val="single" w:color="auto" w:sz="4" w:space="0"/>
              <w:left w:val="single" w:color="auto" w:sz="4" w:space="0"/>
              <w:bottom w:val="single" w:color="auto" w:sz="4" w:space="0"/>
              <w:right w:val="single" w:color="auto" w:sz="4" w:space="0"/>
            </w:tcBorders>
          </w:tcPr>
          <w:p w:rsidR="00766725" w:rsidP="00354B7F" w:rsidRDefault="005F7BD7" w14:paraId="38C435A5" w14:textId="3FF886E6">
            <w:pPr>
              <w:pStyle w:val="NormalinTableHanging"/>
            </w:pPr>
            <w:r>
              <w:t xml:space="preserve">Air-Cooled </w:t>
            </w:r>
            <w:r w:rsidR="009D2EEB">
              <w:t>Screw Chiller, Path A</w:t>
            </w:r>
          </w:p>
        </w:tc>
        <w:tc>
          <w:tcPr>
            <w:tcW w:w="2250" w:type="dxa"/>
            <w:tcBorders>
              <w:top w:val="single" w:color="auto" w:sz="4" w:space="0"/>
              <w:left w:val="single" w:color="auto" w:sz="4" w:space="0"/>
              <w:bottom w:val="single" w:color="auto" w:sz="4" w:space="0"/>
              <w:right w:val="single" w:color="auto" w:sz="4" w:space="0"/>
            </w:tcBorders>
          </w:tcPr>
          <w:p w:rsidR="00766725" w:rsidP="00354B7F" w:rsidRDefault="009D2EEB" w14:paraId="5A4AD827" w14:textId="7585E2A9">
            <w:pPr>
              <w:pStyle w:val="NormalinTableHanging"/>
            </w:pPr>
            <w:r>
              <w:t>CARB Refrigerant Standard</w:t>
            </w:r>
          </w:p>
        </w:tc>
        <w:tc>
          <w:tcPr>
            <w:tcW w:w="1980" w:type="dxa"/>
            <w:tcBorders>
              <w:top w:val="single" w:color="auto" w:sz="4" w:space="0"/>
              <w:left w:val="single" w:color="auto" w:sz="4" w:space="0"/>
              <w:bottom w:val="single" w:color="auto" w:sz="4" w:space="0"/>
              <w:right w:val="single" w:color="auto" w:sz="4" w:space="0"/>
            </w:tcBorders>
          </w:tcPr>
          <w:p w:rsidR="00766725" w:rsidP="00354B7F" w:rsidRDefault="009D2EEB" w14:paraId="04532883" w14:textId="03F843D1">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766725" w:rsidP="00354B7F" w:rsidRDefault="009D2EEB" w14:paraId="0545E2FD" w14:textId="129E0F29">
            <w:pPr>
              <w:pStyle w:val="NormalinTableHanging"/>
            </w:pPr>
            <w:r>
              <w:t>SDGE</w:t>
            </w:r>
          </w:p>
        </w:tc>
      </w:tr>
      <w:tr w:rsidR="00924068" w:rsidTr="00B270DF" w14:paraId="03D92A2B"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924068" w:rsidP="00354B7F" w:rsidRDefault="00924068" w14:paraId="6FD09901" w14:textId="342652C1">
            <w:pPr>
              <w:pStyle w:val="NormalinTableHanging"/>
            </w:pPr>
            <w:r>
              <w:t>SWHC023-</w:t>
            </w:r>
            <w:r w:rsidR="00290922">
              <w:t>06*</w:t>
            </w:r>
          </w:p>
        </w:tc>
        <w:tc>
          <w:tcPr>
            <w:tcW w:w="3060" w:type="dxa"/>
            <w:tcBorders>
              <w:top w:val="single" w:color="auto" w:sz="4" w:space="0"/>
              <w:left w:val="single" w:color="auto" w:sz="4" w:space="0"/>
              <w:bottom w:val="single" w:color="auto" w:sz="4" w:space="0"/>
              <w:right w:val="single" w:color="auto" w:sz="4" w:space="0"/>
            </w:tcBorders>
          </w:tcPr>
          <w:p w:rsidR="00924068" w:rsidP="00354B7F" w:rsidRDefault="00290922" w14:paraId="308AB499" w14:textId="586A155A">
            <w:pPr>
              <w:pStyle w:val="NormalinTableHanging"/>
            </w:pPr>
            <w:r>
              <w:t>VFDs for Unitary HVAC Systems, Commercial</w:t>
            </w:r>
          </w:p>
        </w:tc>
        <w:tc>
          <w:tcPr>
            <w:tcW w:w="2250" w:type="dxa"/>
            <w:tcBorders>
              <w:top w:val="single" w:color="auto" w:sz="4" w:space="0"/>
              <w:left w:val="single" w:color="auto" w:sz="4" w:space="0"/>
              <w:bottom w:val="single" w:color="auto" w:sz="4" w:space="0"/>
              <w:right w:val="single" w:color="auto" w:sz="4" w:space="0"/>
            </w:tcBorders>
          </w:tcPr>
          <w:p w:rsidR="00924068" w:rsidP="00354B7F" w:rsidRDefault="00290922" w14:paraId="543F2786" w14:textId="7CEC9FFB">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924068" w:rsidP="00354B7F" w:rsidRDefault="00290922" w14:paraId="15DC26A2" w14:textId="5280BEF2">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924068" w:rsidP="00354B7F" w:rsidRDefault="00290922" w14:paraId="39C2DE5B" w14:textId="4480E2B7">
            <w:pPr>
              <w:pStyle w:val="NormalinTableHanging"/>
            </w:pPr>
            <w:r>
              <w:t>PG&amp;E</w:t>
            </w:r>
          </w:p>
        </w:tc>
      </w:tr>
      <w:tr w:rsidR="00E22C8A" w:rsidTr="00B270DF" w14:paraId="77F07FAC"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E22C8A" w:rsidP="00354B7F" w:rsidRDefault="00E22C8A" w14:paraId="22503628" w14:textId="248143FB">
            <w:pPr>
              <w:pStyle w:val="NormalinTableHanging"/>
            </w:pPr>
            <w:r>
              <w:t>SWHC027-05</w:t>
            </w:r>
            <w:r w:rsidR="008323AC">
              <w:t>*</w:t>
            </w:r>
          </w:p>
        </w:tc>
        <w:tc>
          <w:tcPr>
            <w:tcW w:w="3060" w:type="dxa"/>
            <w:tcBorders>
              <w:top w:val="single" w:color="auto" w:sz="4" w:space="0"/>
              <w:left w:val="single" w:color="auto" w:sz="4" w:space="0"/>
              <w:bottom w:val="single" w:color="auto" w:sz="4" w:space="0"/>
              <w:right w:val="single" w:color="auto" w:sz="4" w:space="0"/>
            </w:tcBorders>
          </w:tcPr>
          <w:p w:rsidR="00E22C8A" w:rsidP="00354B7F" w:rsidRDefault="00E22C8A" w14:paraId="7A3A5BB1" w14:textId="36C5F90B">
            <w:pPr>
              <w:pStyle w:val="NormalinTableHanging"/>
            </w:pPr>
            <w:r>
              <w:t xml:space="preserve">Package Terminal Air Conditioner or Heat Pump, Under 24 </w:t>
            </w:r>
            <w:proofErr w:type="spellStart"/>
            <w:r>
              <w:t>kBtu</w:t>
            </w:r>
            <w:proofErr w:type="spellEnd"/>
            <w:r>
              <w:t>/</w:t>
            </w:r>
            <w:proofErr w:type="spellStart"/>
            <w:r>
              <w:t>hr</w:t>
            </w:r>
            <w:proofErr w:type="spellEnd"/>
          </w:p>
        </w:tc>
        <w:tc>
          <w:tcPr>
            <w:tcW w:w="2250" w:type="dxa"/>
            <w:tcBorders>
              <w:top w:val="single" w:color="auto" w:sz="4" w:space="0"/>
              <w:left w:val="single" w:color="auto" w:sz="4" w:space="0"/>
              <w:bottom w:val="single" w:color="auto" w:sz="4" w:space="0"/>
              <w:right w:val="single" w:color="auto" w:sz="4" w:space="0"/>
            </w:tcBorders>
          </w:tcPr>
          <w:p w:rsidR="00E22C8A" w:rsidP="00354B7F" w:rsidRDefault="00E22C8A" w14:paraId="2BDC9A3A" w14:textId="2AD8705E">
            <w:pPr>
              <w:pStyle w:val="NormalinTableHanging"/>
            </w:pPr>
            <w:r>
              <w:t>CARB Refrigerant Standard</w:t>
            </w:r>
            <w:r w:rsidR="00CC3BBE">
              <w:t xml:space="preserve"> and EUL Update</w:t>
            </w:r>
          </w:p>
        </w:tc>
        <w:tc>
          <w:tcPr>
            <w:tcW w:w="1980" w:type="dxa"/>
            <w:tcBorders>
              <w:top w:val="single" w:color="auto" w:sz="4" w:space="0"/>
              <w:left w:val="single" w:color="auto" w:sz="4" w:space="0"/>
              <w:bottom w:val="single" w:color="auto" w:sz="4" w:space="0"/>
              <w:right w:val="single" w:color="auto" w:sz="4" w:space="0"/>
            </w:tcBorders>
          </w:tcPr>
          <w:p w:rsidR="00E22C8A" w:rsidP="00354B7F" w:rsidRDefault="00E22C8A" w14:paraId="49155F8A" w14:textId="16F6B461">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E22C8A" w:rsidP="00354B7F" w:rsidRDefault="00E22C8A" w14:paraId="53FEFB03" w14:textId="1A55CD18">
            <w:pPr>
              <w:pStyle w:val="NormalinTableHanging"/>
            </w:pPr>
            <w:r>
              <w:t>SDGE</w:t>
            </w:r>
          </w:p>
        </w:tc>
      </w:tr>
      <w:tr w:rsidR="004E1F1E" w:rsidTr="00B270DF" w14:paraId="364B009E"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4E1F1E" w:rsidP="00354B7F" w:rsidRDefault="004E1F1E" w14:paraId="255D7353" w14:textId="21A1882B">
            <w:pPr>
              <w:pStyle w:val="NormalinTableHanging"/>
            </w:pPr>
            <w:r>
              <w:t>SWHC039</w:t>
            </w:r>
            <w:r w:rsidR="00A5643B">
              <w:t>-0</w:t>
            </w:r>
            <w:r w:rsidR="008C5716">
              <w:t>8</w:t>
            </w:r>
          </w:p>
        </w:tc>
        <w:tc>
          <w:tcPr>
            <w:tcW w:w="3060" w:type="dxa"/>
            <w:tcBorders>
              <w:top w:val="single" w:color="auto" w:sz="4" w:space="0"/>
              <w:left w:val="single" w:color="auto" w:sz="4" w:space="0"/>
              <w:bottom w:val="single" w:color="auto" w:sz="4" w:space="0"/>
              <w:right w:val="single" w:color="auto" w:sz="4" w:space="0"/>
            </w:tcBorders>
          </w:tcPr>
          <w:p w:rsidR="004E1F1E" w:rsidP="00354B7F" w:rsidRDefault="008C5716" w14:paraId="0D1DEAEE" w14:textId="6C2545A2">
            <w:pPr>
              <w:pStyle w:val="NormalinTableHanging"/>
            </w:pPr>
            <w:r>
              <w:t>Smart Thermostat, Residential</w:t>
            </w:r>
          </w:p>
        </w:tc>
        <w:tc>
          <w:tcPr>
            <w:tcW w:w="2250" w:type="dxa"/>
            <w:tcBorders>
              <w:top w:val="single" w:color="auto" w:sz="4" w:space="0"/>
              <w:left w:val="single" w:color="auto" w:sz="4" w:space="0"/>
              <w:bottom w:val="single" w:color="auto" w:sz="4" w:space="0"/>
              <w:right w:val="single" w:color="auto" w:sz="4" w:space="0"/>
            </w:tcBorders>
          </w:tcPr>
          <w:p w:rsidR="004E1F1E" w:rsidP="00354B7F" w:rsidRDefault="0050425B" w14:paraId="4FCA73A4" w14:textId="101EE6F0">
            <w:pPr>
              <w:pStyle w:val="NormalinTableHanging"/>
            </w:pPr>
            <w:r>
              <w:t>New measure offerings</w:t>
            </w:r>
          </w:p>
        </w:tc>
        <w:tc>
          <w:tcPr>
            <w:tcW w:w="1980" w:type="dxa"/>
            <w:tcBorders>
              <w:top w:val="single" w:color="auto" w:sz="4" w:space="0"/>
              <w:left w:val="single" w:color="auto" w:sz="4" w:space="0"/>
              <w:bottom w:val="single" w:color="auto" w:sz="4" w:space="0"/>
              <w:right w:val="single" w:color="auto" w:sz="4" w:space="0"/>
            </w:tcBorders>
          </w:tcPr>
          <w:p w:rsidR="004E1F1E" w:rsidP="00354B7F" w:rsidRDefault="0050425B" w14:paraId="24C349D9" w14:textId="1DB3FA79">
            <w:pPr>
              <w:pStyle w:val="NormalinTableHanging"/>
            </w:pPr>
            <w:r>
              <w:t>2024, effective upon approval</w:t>
            </w:r>
          </w:p>
        </w:tc>
        <w:tc>
          <w:tcPr>
            <w:tcW w:w="1080" w:type="dxa"/>
            <w:tcBorders>
              <w:top w:val="single" w:color="auto" w:sz="4" w:space="0"/>
              <w:left w:val="single" w:color="auto" w:sz="4" w:space="0"/>
              <w:bottom w:val="single" w:color="auto" w:sz="4" w:space="0"/>
              <w:right w:val="single" w:color="auto" w:sz="4" w:space="0"/>
            </w:tcBorders>
          </w:tcPr>
          <w:p w:rsidR="004E1F1E" w:rsidP="00354B7F" w:rsidRDefault="0050425B" w14:paraId="72F4D98E" w14:textId="49FDF959">
            <w:pPr>
              <w:pStyle w:val="NormalinTableHanging"/>
            </w:pPr>
            <w:r>
              <w:t>SCE</w:t>
            </w:r>
          </w:p>
        </w:tc>
      </w:tr>
      <w:tr w:rsidR="00446D64" w:rsidTr="00B270DF" w14:paraId="2EF05859"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446D64" w:rsidP="00354B7F" w:rsidRDefault="00446D64" w14:paraId="4E3D4726" w14:textId="55930FB2">
            <w:pPr>
              <w:pStyle w:val="NormalinTableHanging"/>
            </w:pPr>
            <w:r>
              <w:t>SWHC041</w:t>
            </w:r>
            <w:r w:rsidR="008773E9">
              <w:t>-07</w:t>
            </w:r>
            <w:r w:rsidR="000702B4">
              <w:t>*</w:t>
            </w:r>
          </w:p>
        </w:tc>
        <w:tc>
          <w:tcPr>
            <w:tcW w:w="3060" w:type="dxa"/>
            <w:tcBorders>
              <w:top w:val="single" w:color="auto" w:sz="4" w:space="0"/>
              <w:left w:val="single" w:color="auto" w:sz="4" w:space="0"/>
              <w:bottom w:val="single" w:color="auto" w:sz="4" w:space="0"/>
              <w:right w:val="single" w:color="auto" w:sz="4" w:space="0"/>
            </w:tcBorders>
          </w:tcPr>
          <w:p w:rsidR="00446D64" w:rsidP="00354B7F" w:rsidRDefault="008773E9" w14:paraId="1FDF6569" w14:textId="0BCBD1DB">
            <w:pPr>
              <w:pStyle w:val="NormalinTableHanging"/>
            </w:pPr>
            <w:r>
              <w:t>Software-Controlled Switch Reluctance Motor</w:t>
            </w:r>
          </w:p>
        </w:tc>
        <w:tc>
          <w:tcPr>
            <w:tcW w:w="2250" w:type="dxa"/>
            <w:tcBorders>
              <w:top w:val="single" w:color="auto" w:sz="4" w:space="0"/>
              <w:left w:val="single" w:color="auto" w:sz="4" w:space="0"/>
              <w:bottom w:val="single" w:color="auto" w:sz="4" w:space="0"/>
              <w:right w:val="single" w:color="auto" w:sz="4" w:space="0"/>
            </w:tcBorders>
          </w:tcPr>
          <w:p w:rsidR="00446D64" w:rsidP="00354B7F" w:rsidRDefault="008773E9" w14:paraId="58422723" w14:textId="4DAAEEB9">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446D64" w:rsidP="00354B7F" w:rsidRDefault="008773E9" w14:paraId="7CE45A2E" w14:textId="1C998C50">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446D64" w:rsidP="00354B7F" w:rsidRDefault="008773E9" w14:paraId="5F648933" w14:textId="449C2ED4">
            <w:pPr>
              <w:pStyle w:val="NormalinTableHanging"/>
            </w:pPr>
            <w:r>
              <w:t>SCE</w:t>
            </w:r>
          </w:p>
        </w:tc>
      </w:tr>
      <w:tr w:rsidR="00EB58CF" w:rsidTr="00B270DF" w14:paraId="6DA36C1C"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EB58CF" w:rsidP="00354B7F" w:rsidRDefault="00EB58CF" w14:paraId="082E03BC" w14:textId="7927C956">
            <w:pPr>
              <w:pStyle w:val="NormalinTableHanging"/>
            </w:pPr>
            <w:r>
              <w:lastRenderedPageBreak/>
              <w:t>SWHC043-04</w:t>
            </w:r>
          </w:p>
        </w:tc>
        <w:tc>
          <w:tcPr>
            <w:tcW w:w="3060" w:type="dxa"/>
            <w:tcBorders>
              <w:top w:val="single" w:color="auto" w:sz="4" w:space="0"/>
              <w:left w:val="single" w:color="auto" w:sz="4" w:space="0"/>
              <w:bottom w:val="single" w:color="auto" w:sz="4" w:space="0"/>
              <w:right w:val="single" w:color="auto" w:sz="4" w:space="0"/>
            </w:tcBorders>
          </w:tcPr>
          <w:p w:rsidR="00EB58CF" w:rsidP="00354B7F" w:rsidRDefault="00EB58CF" w14:paraId="6851F379" w14:textId="68FF781F">
            <w:pPr>
              <w:pStyle w:val="NormalinTableHanging"/>
            </w:pPr>
            <w:r>
              <w:t xml:space="preserve">Multiple Capacity Unitary Air-Cooled Commercial Air Conditioners Between 65 and 240 </w:t>
            </w:r>
            <w:proofErr w:type="spellStart"/>
            <w:r>
              <w:t>kBtu</w:t>
            </w:r>
            <w:proofErr w:type="spellEnd"/>
            <w:r>
              <w:t>/</w:t>
            </w:r>
            <w:proofErr w:type="spellStart"/>
            <w:r>
              <w:t>hr</w:t>
            </w:r>
            <w:proofErr w:type="spellEnd"/>
          </w:p>
        </w:tc>
        <w:tc>
          <w:tcPr>
            <w:tcW w:w="2250" w:type="dxa"/>
            <w:tcBorders>
              <w:top w:val="single" w:color="auto" w:sz="4" w:space="0"/>
              <w:left w:val="single" w:color="auto" w:sz="4" w:space="0"/>
              <w:bottom w:val="single" w:color="auto" w:sz="4" w:space="0"/>
              <w:right w:val="single" w:color="auto" w:sz="4" w:space="0"/>
            </w:tcBorders>
          </w:tcPr>
          <w:p w:rsidR="00EB58CF" w:rsidP="00354B7F" w:rsidRDefault="00EB58CF" w14:paraId="2AF6614B" w14:textId="28A99FF9">
            <w:pPr>
              <w:pStyle w:val="NormalinTableHanging"/>
            </w:pPr>
            <w:r>
              <w:t xml:space="preserve">New </w:t>
            </w:r>
            <w:r w:rsidR="0050425B">
              <w:t>measure</w:t>
            </w:r>
            <w:r>
              <w:t xml:space="preserve"> offerings</w:t>
            </w:r>
          </w:p>
        </w:tc>
        <w:tc>
          <w:tcPr>
            <w:tcW w:w="1980" w:type="dxa"/>
            <w:tcBorders>
              <w:top w:val="single" w:color="auto" w:sz="4" w:space="0"/>
              <w:left w:val="single" w:color="auto" w:sz="4" w:space="0"/>
              <w:bottom w:val="single" w:color="auto" w:sz="4" w:space="0"/>
              <w:right w:val="single" w:color="auto" w:sz="4" w:space="0"/>
            </w:tcBorders>
          </w:tcPr>
          <w:p w:rsidR="00EB58CF" w:rsidP="00354B7F" w:rsidRDefault="00C91FCA" w14:paraId="48FF4925" w14:textId="3B31D96E">
            <w:pPr>
              <w:pStyle w:val="NormalinTableHanging"/>
            </w:pPr>
            <w:r>
              <w:t>2024, effective upon approval</w:t>
            </w:r>
          </w:p>
        </w:tc>
        <w:tc>
          <w:tcPr>
            <w:tcW w:w="1080" w:type="dxa"/>
            <w:tcBorders>
              <w:top w:val="single" w:color="auto" w:sz="4" w:space="0"/>
              <w:left w:val="single" w:color="auto" w:sz="4" w:space="0"/>
              <w:bottom w:val="single" w:color="auto" w:sz="4" w:space="0"/>
              <w:right w:val="single" w:color="auto" w:sz="4" w:space="0"/>
            </w:tcBorders>
          </w:tcPr>
          <w:p w:rsidR="00EB58CF" w:rsidP="00354B7F" w:rsidRDefault="00C91FCA" w14:paraId="04A5F48D" w14:textId="7552AF31">
            <w:pPr>
              <w:pStyle w:val="NormalinTableHanging"/>
            </w:pPr>
            <w:r>
              <w:t>SDGE</w:t>
            </w:r>
          </w:p>
        </w:tc>
      </w:tr>
      <w:tr w:rsidR="00BD3C20" w:rsidTr="00B270DF" w14:paraId="3310BD76"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BD3C20" w:rsidP="00354B7F" w:rsidRDefault="00275093" w14:paraId="1F260983" w14:textId="2D116E58">
            <w:pPr>
              <w:pStyle w:val="NormalinTableHanging"/>
            </w:pPr>
            <w:r>
              <w:t>SWHC043-0</w:t>
            </w:r>
            <w:r w:rsidR="00877302">
              <w:t>5</w:t>
            </w:r>
            <w:r w:rsidR="008A61E3">
              <w:t>*</w:t>
            </w:r>
          </w:p>
        </w:tc>
        <w:tc>
          <w:tcPr>
            <w:tcW w:w="3060" w:type="dxa"/>
            <w:tcBorders>
              <w:top w:val="single" w:color="auto" w:sz="4" w:space="0"/>
              <w:left w:val="single" w:color="auto" w:sz="4" w:space="0"/>
              <w:bottom w:val="single" w:color="auto" w:sz="4" w:space="0"/>
              <w:right w:val="single" w:color="auto" w:sz="4" w:space="0"/>
            </w:tcBorders>
          </w:tcPr>
          <w:p w:rsidR="00BD3C20" w:rsidP="00354B7F" w:rsidRDefault="00877302" w14:paraId="1147A66F" w14:textId="140B60EE">
            <w:pPr>
              <w:pStyle w:val="NormalinTableHanging"/>
            </w:pPr>
            <w:r>
              <w:t xml:space="preserve">Multiple Capacity Unitary Air-Cooled Commercial Air Conditioners Between </w:t>
            </w:r>
            <w:r w:rsidR="00B568AE">
              <w:t xml:space="preserve">65 and 240 </w:t>
            </w:r>
            <w:proofErr w:type="spellStart"/>
            <w:r w:rsidR="00B568AE">
              <w:t>kBtu</w:t>
            </w:r>
            <w:proofErr w:type="spellEnd"/>
            <w:r w:rsidR="00B568AE">
              <w:t>/</w:t>
            </w:r>
            <w:proofErr w:type="spellStart"/>
            <w:r w:rsidR="00B568AE">
              <w:t>hr</w:t>
            </w:r>
            <w:proofErr w:type="spellEnd"/>
          </w:p>
        </w:tc>
        <w:tc>
          <w:tcPr>
            <w:tcW w:w="2250" w:type="dxa"/>
            <w:tcBorders>
              <w:top w:val="single" w:color="auto" w:sz="4" w:space="0"/>
              <w:left w:val="single" w:color="auto" w:sz="4" w:space="0"/>
              <w:bottom w:val="single" w:color="auto" w:sz="4" w:space="0"/>
              <w:right w:val="single" w:color="auto" w:sz="4" w:space="0"/>
            </w:tcBorders>
          </w:tcPr>
          <w:p w:rsidR="00BD3C20" w:rsidP="00354B7F" w:rsidRDefault="00B568AE" w14:paraId="04C89A83" w14:textId="03501483">
            <w:pPr>
              <w:pStyle w:val="NormalinTableHanging"/>
            </w:pPr>
            <w:r>
              <w:t>CARB Refrigerant Standard</w:t>
            </w:r>
            <w:r w:rsidR="00600F7C">
              <w:t xml:space="preserve"> and EUL Update</w:t>
            </w:r>
          </w:p>
        </w:tc>
        <w:tc>
          <w:tcPr>
            <w:tcW w:w="1980" w:type="dxa"/>
            <w:tcBorders>
              <w:top w:val="single" w:color="auto" w:sz="4" w:space="0"/>
              <w:left w:val="single" w:color="auto" w:sz="4" w:space="0"/>
              <w:bottom w:val="single" w:color="auto" w:sz="4" w:space="0"/>
              <w:right w:val="single" w:color="auto" w:sz="4" w:space="0"/>
            </w:tcBorders>
          </w:tcPr>
          <w:p w:rsidR="00BD3C20" w:rsidP="00354B7F" w:rsidRDefault="00B568AE" w14:paraId="1EDC512F" w14:textId="46D9F787">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BD3C20" w:rsidP="00354B7F" w:rsidRDefault="00B568AE" w14:paraId="05233764" w14:textId="74581760">
            <w:pPr>
              <w:pStyle w:val="NormalinTableHanging"/>
            </w:pPr>
            <w:r>
              <w:t>SDGE</w:t>
            </w:r>
          </w:p>
        </w:tc>
      </w:tr>
      <w:tr w:rsidR="00BA264D" w:rsidTr="00B270DF" w14:paraId="011D5C65"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BA264D" w:rsidP="00354B7F" w:rsidRDefault="00BA264D" w14:paraId="7ACF8BD2" w14:textId="72594033">
            <w:pPr>
              <w:pStyle w:val="NormalinTableHanging"/>
            </w:pPr>
            <w:r>
              <w:t>SWHC044</w:t>
            </w:r>
            <w:r w:rsidR="00775E52">
              <w:t>-06*</w:t>
            </w:r>
          </w:p>
        </w:tc>
        <w:tc>
          <w:tcPr>
            <w:tcW w:w="3060" w:type="dxa"/>
            <w:tcBorders>
              <w:top w:val="single" w:color="auto" w:sz="4" w:space="0"/>
              <w:left w:val="single" w:color="auto" w:sz="4" w:space="0"/>
              <w:bottom w:val="single" w:color="auto" w:sz="4" w:space="0"/>
              <w:right w:val="single" w:color="auto" w:sz="4" w:space="0"/>
            </w:tcBorders>
          </w:tcPr>
          <w:p w:rsidR="00BA264D" w:rsidP="00354B7F" w:rsidRDefault="00775E52" w14:paraId="0733F4DF" w14:textId="67413CDE">
            <w:pPr>
              <w:pStyle w:val="NormalinTableHanging"/>
            </w:pPr>
            <w:r>
              <w:t>Ductless HVAC, Residential, Fuel Substitution</w:t>
            </w:r>
          </w:p>
        </w:tc>
        <w:tc>
          <w:tcPr>
            <w:tcW w:w="2250" w:type="dxa"/>
            <w:tcBorders>
              <w:top w:val="single" w:color="auto" w:sz="4" w:space="0"/>
              <w:left w:val="single" w:color="auto" w:sz="4" w:space="0"/>
              <w:bottom w:val="single" w:color="auto" w:sz="4" w:space="0"/>
              <w:right w:val="single" w:color="auto" w:sz="4" w:space="0"/>
            </w:tcBorders>
          </w:tcPr>
          <w:p w:rsidR="00BA264D" w:rsidP="00354B7F" w:rsidRDefault="00775E52" w14:paraId="6F45D2F8" w14:textId="080BC590">
            <w:pPr>
              <w:pStyle w:val="NormalinTableHanging"/>
            </w:pPr>
            <w:r>
              <w:t>CARB Refrigerant Standard</w:t>
            </w:r>
            <w:r w:rsidR="00600F7C">
              <w:t xml:space="preserve"> and EUL Update</w:t>
            </w:r>
          </w:p>
        </w:tc>
        <w:tc>
          <w:tcPr>
            <w:tcW w:w="1980" w:type="dxa"/>
            <w:tcBorders>
              <w:top w:val="single" w:color="auto" w:sz="4" w:space="0"/>
              <w:left w:val="single" w:color="auto" w:sz="4" w:space="0"/>
              <w:bottom w:val="single" w:color="auto" w:sz="4" w:space="0"/>
              <w:right w:val="single" w:color="auto" w:sz="4" w:space="0"/>
            </w:tcBorders>
          </w:tcPr>
          <w:p w:rsidR="00BA264D" w:rsidP="00354B7F" w:rsidRDefault="00775E52" w14:paraId="64BB6AA1" w14:textId="42AEB33A">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BA264D" w:rsidP="00354B7F" w:rsidRDefault="00775E52" w14:paraId="04F68A1E" w14:textId="30B268BC">
            <w:pPr>
              <w:pStyle w:val="NormalinTableHanging"/>
            </w:pPr>
            <w:r>
              <w:t>SCE</w:t>
            </w:r>
          </w:p>
        </w:tc>
      </w:tr>
      <w:tr w:rsidR="00BA264D" w:rsidTr="00B270DF" w14:paraId="78225AE7"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BA264D" w:rsidP="00354B7F" w:rsidRDefault="00BA264D" w14:paraId="12D28294" w14:textId="6E27A6EF">
            <w:pPr>
              <w:pStyle w:val="NormalinTableHanging"/>
            </w:pPr>
            <w:r>
              <w:t>SWHC045</w:t>
            </w:r>
            <w:r w:rsidR="00775E52">
              <w:t>-05*</w:t>
            </w:r>
          </w:p>
        </w:tc>
        <w:tc>
          <w:tcPr>
            <w:tcW w:w="3060" w:type="dxa"/>
            <w:tcBorders>
              <w:top w:val="single" w:color="auto" w:sz="4" w:space="0"/>
              <w:left w:val="single" w:color="auto" w:sz="4" w:space="0"/>
              <w:bottom w:val="single" w:color="auto" w:sz="4" w:space="0"/>
              <w:right w:val="single" w:color="auto" w:sz="4" w:space="0"/>
            </w:tcBorders>
          </w:tcPr>
          <w:p w:rsidR="00BA264D" w:rsidP="00354B7F" w:rsidRDefault="00B912BF" w14:paraId="30E8317F" w14:textId="62972873">
            <w:pPr>
              <w:pStyle w:val="NormalinTableHanging"/>
            </w:pPr>
            <w:r>
              <w:t>Heat Pump HVAC, Residential, Fuel Substitution</w:t>
            </w:r>
          </w:p>
        </w:tc>
        <w:tc>
          <w:tcPr>
            <w:tcW w:w="2250" w:type="dxa"/>
            <w:tcBorders>
              <w:top w:val="single" w:color="auto" w:sz="4" w:space="0"/>
              <w:left w:val="single" w:color="auto" w:sz="4" w:space="0"/>
              <w:bottom w:val="single" w:color="auto" w:sz="4" w:space="0"/>
              <w:right w:val="single" w:color="auto" w:sz="4" w:space="0"/>
            </w:tcBorders>
          </w:tcPr>
          <w:p w:rsidR="00BA264D" w:rsidP="00354B7F" w:rsidRDefault="00B912BF" w14:paraId="56BFA4C9" w14:textId="75366E64">
            <w:pPr>
              <w:pStyle w:val="NormalinTableHanging"/>
            </w:pPr>
            <w:r>
              <w:t>CARB Refrigerant Standard</w:t>
            </w:r>
            <w:r w:rsidR="00600F7C">
              <w:t xml:space="preserve"> and EUL Update</w:t>
            </w:r>
          </w:p>
        </w:tc>
        <w:tc>
          <w:tcPr>
            <w:tcW w:w="1980" w:type="dxa"/>
            <w:tcBorders>
              <w:top w:val="single" w:color="auto" w:sz="4" w:space="0"/>
              <w:left w:val="single" w:color="auto" w:sz="4" w:space="0"/>
              <w:bottom w:val="single" w:color="auto" w:sz="4" w:space="0"/>
              <w:right w:val="single" w:color="auto" w:sz="4" w:space="0"/>
            </w:tcBorders>
          </w:tcPr>
          <w:p w:rsidR="00BA264D" w:rsidP="00354B7F" w:rsidRDefault="00B912BF" w14:paraId="11219015" w14:textId="0A5D0E11">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BA264D" w:rsidP="00354B7F" w:rsidRDefault="00B912BF" w14:paraId="4FA14008" w14:textId="1D0B9C5D">
            <w:pPr>
              <w:pStyle w:val="NormalinTableHanging"/>
            </w:pPr>
            <w:r>
              <w:t>SCE</w:t>
            </w:r>
          </w:p>
        </w:tc>
      </w:tr>
      <w:tr w:rsidR="009B0E91" w:rsidTr="00B270DF" w14:paraId="03DDF4B0"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9B0E91" w:rsidP="00354B7F" w:rsidRDefault="009B0E91" w14:paraId="618FB9A9" w14:textId="6728307B">
            <w:pPr>
              <w:pStyle w:val="NormalinTableHanging"/>
            </w:pPr>
            <w:r>
              <w:t>SWHC046-0</w:t>
            </w:r>
            <w:r w:rsidR="00F04390">
              <w:t>5*</w:t>
            </w:r>
          </w:p>
        </w:tc>
        <w:tc>
          <w:tcPr>
            <w:tcW w:w="3060" w:type="dxa"/>
            <w:tcBorders>
              <w:top w:val="single" w:color="auto" w:sz="4" w:space="0"/>
              <w:left w:val="single" w:color="auto" w:sz="4" w:space="0"/>
              <w:bottom w:val="single" w:color="auto" w:sz="4" w:space="0"/>
              <w:right w:val="single" w:color="auto" w:sz="4" w:space="0"/>
            </w:tcBorders>
          </w:tcPr>
          <w:p w:rsidR="009B0E91" w:rsidP="00354B7F" w:rsidRDefault="00F04390" w14:paraId="61D2848D" w14:textId="301F285F">
            <w:pPr>
              <w:pStyle w:val="NormalinTableHanging"/>
            </w:pPr>
            <w:r>
              <w:t>Packaged Heat Pump Air Conditioner</w:t>
            </w:r>
            <w:r w:rsidR="00AD51ED">
              <w:t xml:space="preserve"> Commercial, Fuel Substitution</w:t>
            </w:r>
          </w:p>
        </w:tc>
        <w:tc>
          <w:tcPr>
            <w:tcW w:w="2250" w:type="dxa"/>
            <w:tcBorders>
              <w:top w:val="single" w:color="auto" w:sz="4" w:space="0"/>
              <w:left w:val="single" w:color="auto" w:sz="4" w:space="0"/>
              <w:bottom w:val="single" w:color="auto" w:sz="4" w:space="0"/>
              <w:right w:val="single" w:color="auto" w:sz="4" w:space="0"/>
            </w:tcBorders>
          </w:tcPr>
          <w:p w:rsidR="009B0E91" w:rsidP="00354B7F" w:rsidRDefault="00AD51ED" w14:paraId="6433EE3C" w14:textId="6AD205B9">
            <w:pPr>
              <w:pStyle w:val="NormalinTableHanging"/>
            </w:pPr>
            <w:r>
              <w:t>CARB Refrigerant Standard</w:t>
            </w:r>
            <w:r w:rsidR="00600F7C">
              <w:t xml:space="preserve"> and EUL Update</w:t>
            </w:r>
          </w:p>
        </w:tc>
        <w:tc>
          <w:tcPr>
            <w:tcW w:w="1980" w:type="dxa"/>
            <w:tcBorders>
              <w:top w:val="single" w:color="auto" w:sz="4" w:space="0"/>
              <w:left w:val="single" w:color="auto" w:sz="4" w:space="0"/>
              <w:bottom w:val="single" w:color="auto" w:sz="4" w:space="0"/>
              <w:right w:val="single" w:color="auto" w:sz="4" w:space="0"/>
            </w:tcBorders>
          </w:tcPr>
          <w:p w:rsidR="009B0E91" w:rsidP="00354B7F" w:rsidRDefault="00AD51ED" w14:paraId="37476BE8" w14:textId="1D623CC7">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9B0E91" w:rsidP="00354B7F" w:rsidRDefault="00AD51ED" w14:paraId="4A0383A4" w14:textId="0745F8A4">
            <w:pPr>
              <w:pStyle w:val="NormalinTableHanging"/>
            </w:pPr>
            <w:r>
              <w:t>SCE</w:t>
            </w:r>
          </w:p>
        </w:tc>
      </w:tr>
      <w:tr w:rsidR="00325AAD" w:rsidTr="00B270DF" w14:paraId="14FA3022"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325AAD" w:rsidP="00354B7F" w:rsidRDefault="00325AAD" w14:paraId="179D21B5" w14:textId="19F4E69F">
            <w:pPr>
              <w:pStyle w:val="NormalinTableHanging"/>
            </w:pPr>
            <w:r>
              <w:t>SWHC047</w:t>
            </w:r>
            <w:r w:rsidR="005134F0">
              <w:t>-06</w:t>
            </w:r>
            <w:r w:rsidR="00CB4D78">
              <w:t>*</w:t>
            </w:r>
          </w:p>
        </w:tc>
        <w:tc>
          <w:tcPr>
            <w:tcW w:w="3060" w:type="dxa"/>
            <w:tcBorders>
              <w:top w:val="single" w:color="auto" w:sz="4" w:space="0"/>
              <w:left w:val="single" w:color="auto" w:sz="4" w:space="0"/>
              <w:bottom w:val="single" w:color="auto" w:sz="4" w:space="0"/>
              <w:right w:val="single" w:color="auto" w:sz="4" w:space="0"/>
            </w:tcBorders>
          </w:tcPr>
          <w:p w:rsidR="00325AAD" w:rsidP="00354B7F" w:rsidRDefault="005134F0" w14:paraId="0222CD63" w14:textId="39A6A4B1">
            <w:pPr>
              <w:pStyle w:val="NormalinTableHanging"/>
            </w:pPr>
            <w:r>
              <w:t>Gas Fireplace, Residential</w:t>
            </w:r>
          </w:p>
        </w:tc>
        <w:tc>
          <w:tcPr>
            <w:tcW w:w="2250" w:type="dxa"/>
            <w:tcBorders>
              <w:top w:val="single" w:color="auto" w:sz="4" w:space="0"/>
              <w:left w:val="single" w:color="auto" w:sz="4" w:space="0"/>
              <w:bottom w:val="single" w:color="auto" w:sz="4" w:space="0"/>
              <w:right w:val="single" w:color="auto" w:sz="4" w:space="0"/>
            </w:tcBorders>
          </w:tcPr>
          <w:p w:rsidR="00325AAD" w:rsidP="00354B7F" w:rsidRDefault="005134F0" w14:paraId="0C2DFE06" w14:textId="29E9D57C">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325AAD" w:rsidP="00354B7F" w:rsidRDefault="005134F0" w14:paraId="5B76E25B" w14:textId="50C4F915">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325AAD" w:rsidP="00354B7F" w:rsidRDefault="005134F0" w14:paraId="7AD6940A" w14:textId="785EA82C">
            <w:pPr>
              <w:pStyle w:val="NormalinTableHanging"/>
            </w:pPr>
            <w:r>
              <w:t>SCG</w:t>
            </w:r>
          </w:p>
        </w:tc>
      </w:tr>
      <w:tr w:rsidR="00B568AE" w:rsidTr="00B270DF" w14:paraId="2028A5CC"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B568AE" w:rsidP="00354B7F" w:rsidRDefault="001054C4" w14:paraId="7A66F18E" w14:textId="673EA421">
            <w:pPr>
              <w:pStyle w:val="NormalinTableHanging"/>
            </w:pPr>
            <w:r>
              <w:t>SWHC049-05</w:t>
            </w:r>
            <w:r w:rsidR="00F42631">
              <w:t>*</w:t>
            </w:r>
          </w:p>
        </w:tc>
        <w:tc>
          <w:tcPr>
            <w:tcW w:w="3060" w:type="dxa"/>
            <w:tcBorders>
              <w:top w:val="single" w:color="auto" w:sz="4" w:space="0"/>
              <w:left w:val="single" w:color="auto" w:sz="4" w:space="0"/>
              <w:bottom w:val="single" w:color="auto" w:sz="4" w:space="0"/>
              <w:right w:val="single" w:color="auto" w:sz="4" w:space="0"/>
            </w:tcBorders>
          </w:tcPr>
          <w:p w:rsidR="00B568AE" w:rsidP="00354B7F" w:rsidRDefault="001054C4" w14:paraId="5A4DD1F1" w14:textId="4227118B">
            <w:pPr>
              <w:pStyle w:val="NormalinTableHanging"/>
            </w:pPr>
            <w:r>
              <w:t>Ducted AC and HP HVAC Equipment, Residential</w:t>
            </w:r>
          </w:p>
        </w:tc>
        <w:tc>
          <w:tcPr>
            <w:tcW w:w="2250" w:type="dxa"/>
            <w:tcBorders>
              <w:top w:val="single" w:color="auto" w:sz="4" w:space="0"/>
              <w:left w:val="single" w:color="auto" w:sz="4" w:space="0"/>
              <w:bottom w:val="single" w:color="auto" w:sz="4" w:space="0"/>
              <w:right w:val="single" w:color="auto" w:sz="4" w:space="0"/>
            </w:tcBorders>
          </w:tcPr>
          <w:p w:rsidR="00B568AE" w:rsidP="00354B7F" w:rsidRDefault="001054C4" w14:paraId="767BE00A" w14:textId="07F76E15">
            <w:pPr>
              <w:pStyle w:val="NormalinTableHanging"/>
            </w:pPr>
            <w:r>
              <w:t>CARB Refrigerant Standard</w:t>
            </w:r>
            <w:r w:rsidR="00600F7C">
              <w:t xml:space="preserve"> and EUL Update</w:t>
            </w:r>
          </w:p>
        </w:tc>
        <w:tc>
          <w:tcPr>
            <w:tcW w:w="1980" w:type="dxa"/>
            <w:tcBorders>
              <w:top w:val="single" w:color="auto" w:sz="4" w:space="0"/>
              <w:left w:val="single" w:color="auto" w:sz="4" w:space="0"/>
              <w:bottom w:val="single" w:color="auto" w:sz="4" w:space="0"/>
              <w:right w:val="single" w:color="auto" w:sz="4" w:space="0"/>
            </w:tcBorders>
          </w:tcPr>
          <w:p w:rsidR="00B568AE" w:rsidP="00354B7F" w:rsidRDefault="001054C4" w14:paraId="094EE981" w14:textId="0D2CF3B2">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B568AE" w:rsidP="00354B7F" w:rsidRDefault="001054C4" w14:paraId="3360B5BB" w14:textId="56D1126A">
            <w:pPr>
              <w:pStyle w:val="NormalinTableHanging"/>
            </w:pPr>
            <w:r>
              <w:t>SDGE</w:t>
            </w:r>
          </w:p>
        </w:tc>
      </w:tr>
      <w:tr w:rsidR="001054C4" w:rsidTr="00B270DF" w14:paraId="20435FD7"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1054C4" w:rsidP="00354B7F" w:rsidRDefault="001054C4" w14:paraId="3254C5C5" w14:textId="692B6CA3">
            <w:pPr>
              <w:pStyle w:val="NormalinTableHanging"/>
            </w:pPr>
            <w:r>
              <w:t>SWHC050-</w:t>
            </w:r>
            <w:r w:rsidR="0007793F">
              <w:t>05</w:t>
            </w:r>
            <w:r w:rsidR="00F42631">
              <w:t>*</w:t>
            </w:r>
          </w:p>
        </w:tc>
        <w:tc>
          <w:tcPr>
            <w:tcW w:w="3060" w:type="dxa"/>
            <w:tcBorders>
              <w:top w:val="single" w:color="auto" w:sz="4" w:space="0"/>
              <w:left w:val="single" w:color="auto" w:sz="4" w:space="0"/>
              <w:bottom w:val="single" w:color="auto" w:sz="4" w:space="0"/>
              <w:right w:val="single" w:color="auto" w:sz="4" w:space="0"/>
            </w:tcBorders>
          </w:tcPr>
          <w:p w:rsidR="001054C4" w:rsidP="00354B7F" w:rsidRDefault="0007793F" w14:paraId="7933F3ED" w14:textId="3353749A">
            <w:pPr>
              <w:pStyle w:val="NormalinTableHanging"/>
            </w:pPr>
            <w:r>
              <w:t>Ductless Heat Pump, Residential</w:t>
            </w:r>
          </w:p>
        </w:tc>
        <w:tc>
          <w:tcPr>
            <w:tcW w:w="2250" w:type="dxa"/>
            <w:tcBorders>
              <w:top w:val="single" w:color="auto" w:sz="4" w:space="0"/>
              <w:left w:val="single" w:color="auto" w:sz="4" w:space="0"/>
              <w:bottom w:val="single" w:color="auto" w:sz="4" w:space="0"/>
              <w:right w:val="single" w:color="auto" w:sz="4" w:space="0"/>
            </w:tcBorders>
          </w:tcPr>
          <w:p w:rsidR="001054C4" w:rsidP="00354B7F" w:rsidRDefault="0007793F" w14:paraId="5921B160" w14:textId="2E897CB4">
            <w:pPr>
              <w:pStyle w:val="NormalinTableHanging"/>
            </w:pPr>
            <w:r>
              <w:t>CARB Refrigerant Standard</w:t>
            </w:r>
            <w:r w:rsidR="00600F7C">
              <w:t xml:space="preserve"> and EUL Update</w:t>
            </w:r>
          </w:p>
        </w:tc>
        <w:tc>
          <w:tcPr>
            <w:tcW w:w="1980" w:type="dxa"/>
            <w:tcBorders>
              <w:top w:val="single" w:color="auto" w:sz="4" w:space="0"/>
              <w:left w:val="single" w:color="auto" w:sz="4" w:space="0"/>
              <w:bottom w:val="single" w:color="auto" w:sz="4" w:space="0"/>
              <w:right w:val="single" w:color="auto" w:sz="4" w:space="0"/>
            </w:tcBorders>
          </w:tcPr>
          <w:p w:rsidR="001054C4" w:rsidP="00354B7F" w:rsidRDefault="0007793F" w14:paraId="7C9E8776" w14:textId="44BCFFF5">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1054C4" w:rsidP="00354B7F" w:rsidRDefault="0007793F" w14:paraId="68BFC708" w14:textId="7D6130E7">
            <w:pPr>
              <w:pStyle w:val="NormalinTableHanging"/>
            </w:pPr>
            <w:r>
              <w:t>SDGE</w:t>
            </w:r>
          </w:p>
        </w:tc>
      </w:tr>
      <w:tr w:rsidR="00CB4D78" w:rsidTr="00B270DF" w14:paraId="1D638F12"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CB4D78" w:rsidP="00354B7F" w:rsidRDefault="00296A7D" w14:paraId="092AAAB7" w14:textId="49EDE46F">
            <w:pPr>
              <w:pStyle w:val="NormalinTableHanging"/>
            </w:pPr>
            <w:r>
              <w:t>SWHC059</w:t>
            </w:r>
            <w:r w:rsidR="00DD1D07">
              <w:t>-04</w:t>
            </w:r>
          </w:p>
        </w:tc>
        <w:tc>
          <w:tcPr>
            <w:tcW w:w="3060" w:type="dxa"/>
            <w:tcBorders>
              <w:top w:val="single" w:color="auto" w:sz="4" w:space="0"/>
              <w:left w:val="single" w:color="auto" w:sz="4" w:space="0"/>
              <w:bottom w:val="single" w:color="auto" w:sz="4" w:space="0"/>
              <w:right w:val="single" w:color="auto" w:sz="4" w:space="0"/>
            </w:tcBorders>
          </w:tcPr>
          <w:p w:rsidR="00CB4D78" w:rsidP="00354B7F" w:rsidRDefault="00DD1D07" w14:paraId="44E3D8E4" w14:textId="6A840C5B">
            <w:pPr>
              <w:pStyle w:val="NormalinTableHanging"/>
            </w:pPr>
            <w:r>
              <w:t>Smart Fan Controller, Residential</w:t>
            </w:r>
          </w:p>
        </w:tc>
        <w:tc>
          <w:tcPr>
            <w:tcW w:w="2250" w:type="dxa"/>
            <w:tcBorders>
              <w:top w:val="single" w:color="auto" w:sz="4" w:space="0"/>
              <w:left w:val="single" w:color="auto" w:sz="4" w:space="0"/>
              <w:bottom w:val="single" w:color="auto" w:sz="4" w:space="0"/>
              <w:right w:val="single" w:color="auto" w:sz="4" w:space="0"/>
            </w:tcBorders>
          </w:tcPr>
          <w:p w:rsidR="00CB4D78" w:rsidP="00354B7F" w:rsidRDefault="00DD1D07" w14:paraId="74047552" w14:textId="2C6B0A2E">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CB4D78" w:rsidP="00354B7F" w:rsidRDefault="00DD1D07" w14:paraId="6A15CA77" w14:textId="28C63124">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CB4D78" w:rsidP="00354B7F" w:rsidRDefault="00DD1D07" w14:paraId="610524D9" w14:textId="11C1C270">
            <w:pPr>
              <w:pStyle w:val="NormalinTableHanging"/>
            </w:pPr>
            <w:r>
              <w:t>SDGE</w:t>
            </w:r>
          </w:p>
        </w:tc>
      </w:tr>
      <w:tr w:rsidR="00C84872" w:rsidTr="00B270DF" w14:paraId="6C4E7089"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C84872" w:rsidP="00354B7F" w:rsidRDefault="00C84872" w14:paraId="0D87D5EC" w14:textId="395A5E9F">
            <w:pPr>
              <w:pStyle w:val="NormalinTableHanging"/>
            </w:pPr>
            <w:r>
              <w:t>SWHC062-01</w:t>
            </w:r>
          </w:p>
        </w:tc>
        <w:tc>
          <w:tcPr>
            <w:tcW w:w="3060" w:type="dxa"/>
            <w:tcBorders>
              <w:top w:val="single" w:color="auto" w:sz="4" w:space="0"/>
              <w:left w:val="single" w:color="auto" w:sz="4" w:space="0"/>
              <w:bottom w:val="single" w:color="auto" w:sz="4" w:space="0"/>
              <w:right w:val="single" w:color="auto" w:sz="4" w:space="0"/>
            </w:tcBorders>
          </w:tcPr>
          <w:p w:rsidR="00C84872" w:rsidP="00354B7F" w:rsidRDefault="006D59D5" w14:paraId="2F2677AE" w14:textId="21193F27">
            <w:pPr>
              <w:pStyle w:val="NormalinTableHanging"/>
            </w:pPr>
            <w:r>
              <w:t>Occupancy Fan Controller, Commercial</w:t>
            </w:r>
          </w:p>
        </w:tc>
        <w:tc>
          <w:tcPr>
            <w:tcW w:w="2250" w:type="dxa"/>
            <w:tcBorders>
              <w:top w:val="single" w:color="auto" w:sz="4" w:space="0"/>
              <w:left w:val="single" w:color="auto" w:sz="4" w:space="0"/>
              <w:bottom w:val="single" w:color="auto" w:sz="4" w:space="0"/>
              <w:right w:val="single" w:color="auto" w:sz="4" w:space="0"/>
            </w:tcBorders>
          </w:tcPr>
          <w:p w:rsidR="00C84872" w:rsidP="00354B7F" w:rsidRDefault="006D59D5" w14:paraId="71CA29D8" w14:textId="6364B380">
            <w:pPr>
              <w:pStyle w:val="NormalinTableHanging"/>
            </w:pPr>
            <w:r>
              <w:t>New measure package</w:t>
            </w:r>
          </w:p>
        </w:tc>
        <w:tc>
          <w:tcPr>
            <w:tcW w:w="1980" w:type="dxa"/>
            <w:tcBorders>
              <w:top w:val="single" w:color="auto" w:sz="4" w:space="0"/>
              <w:left w:val="single" w:color="auto" w:sz="4" w:space="0"/>
              <w:bottom w:val="single" w:color="auto" w:sz="4" w:space="0"/>
              <w:right w:val="single" w:color="auto" w:sz="4" w:space="0"/>
            </w:tcBorders>
          </w:tcPr>
          <w:p w:rsidR="00C84872" w:rsidP="00354B7F" w:rsidRDefault="006D59D5" w14:paraId="73B4494A" w14:textId="6A73CC13">
            <w:pPr>
              <w:pStyle w:val="NormalinTableHanging"/>
            </w:pPr>
            <w:r>
              <w:t>2024, effective upon approval</w:t>
            </w:r>
          </w:p>
        </w:tc>
        <w:tc>
          <w:tcPr>
            <w:tcW w:w="1080" w:type="dxa"/>
            <w:tcBorders>
              <w:top w:val="single" w:color="auto" w:sz="4" w:space="0"/>
              <w:left w:val="single" w:color="auto" w:sz="4" w:space="0"/>
              <w:bottom w:val="single" w:color="auto" w:sz="4" w:space="0"/>
              <w:right w:val="single" w:color="auto" w:sz="4" w:space="0"/>
            </w:tcBorders>
          </w:tcPr>
          <w:p w:rsidR="00C84872" w:rsidP="00354B7F" w:rsidRDefault="006D59D5" w14:paraId="666C859B" w14:textId="074FDEF9">
            <w:pPr>
              <w:pStyle w:val="NormalinTableHanging"/>
            </w:pPr>
            <w:r>
              <w:t>PG&amp;E</w:t>
            </w:r>
          </w:p>
        </w:tc>
      </w:tr>
      <w:tr w:rsidR="004D2F6A" w:rsidTr="00B270DF" w14:paraId="5E61486A"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4D2F6A" w:rsidP="00354B7F" w:rsidRDefault="004D2F6A" w14:paraId="3FB91A74" w14:textId="3BAF0C28">
            <w:pPr>
              <w:pStyle w:val="NormalinTableHanging"/>
            </w:pPr>
            <w:r>
              <w:t>SWLG019-01</w:t>
            </w:r>
          </w:p>
        </w:tc>
        <w:tc>
          <w:tcPr>
            <w:tcW w:w="3060" w:type="dxa"/>
            <w:tcBorders>
              <w:top w:val="single" w:color="auto" w:sz="4" w:space="0"/>
              <w:left w:val="single" w:color="auto" w:sz="4" w:space="0"/>
              <w:bottom w:val="single" w:color="auto" w:sz="4" w:space="0"/>
              <w:right w:val="single" w:color="auto" w:sz="4" w:space="0"/>
            </w:tcBorders>
          </w:tcPr>
          <w:p w:rsidR="004D2F6A" w:rsidP="00354B7F" w:rsidRDefault="00F73466" w14:paraId="3B389AA6" w14:textId="1181CB3A">
            <w:pPr>
              <w:pStyle w:val="NormalinTableHanging"/>
            </w:pPr>
            <w:r>
              <w:t>LED, Indoor Horticulture</w:t>
            </w:r>
          </w:p>
        </w:tc>
        <w:tc>
          <w:tcPr>
            <w:tcW w:w="2250" w:type="dxa"/>
            <w:tcBorders>
              <w:top w:val="single" w:color="auto" w:sz="4" w:space="0"/>
              <w:left w:val="single" w:color="auto" w:sz="4" w:space="0"/>
              <w:bottom w:val="single" w:color="auto" w:sz="4" w:space="0"/>
              <w:right w:val="single" w:color="auto" w:sz="4" w:space="0"/>
            </w:tcBorders>
          </w:tcPr>
          <w:p w:rsidR="004D2F6A" w:rsidP="00354B7F" w:rsidRDefault="00F73466" w14:paraId="0591A93A" w14:textId="241F3BFE">
            <w:pPr>
              <w:pStyle w:val="NormalinTableHanging"/>
            </w:pPr>
            <w:r>
              <w:t>New measure package</w:t>
            </w:r>
          </w:p>
        </w:tc>
        <w:tc>
          <w:tcPr>
            <w:tcW w:w="1980" w:type="dxa"/>
            <w:tcBorders>
              <w:top w:val="single" w:color="auto" w:sz="4" w:space="0"/>
              <w:left w:val="single" w:color="auto" w:sz="4" w:space="0"/>
              <w:bottom w:val="single" w:color="auto" w:sz="4" w:space="0"/>
              <w:right w:val="single" w:color="auto" w:sz="4" w:space="0"/>
            </w:tcBorders>
          </w:tcPr>
          <w:p w:rsidR="004D2F6A" w:rsidP="00354B7F" w:rsidRDefault="00F73466" w14:paraId="4015BE28" w14:textId="08A7D994">
            <w:pPr>
              <w:pStyle w:val="NormalinTableHanging"/>
            </w:pPr>
            <w:r>
              <w:t>2024, effective upon approval</w:t>
            </w:r>
          </w:p>
        </w:tc>
        <w:tc>
          <w:tcPr>
            <w:tcW w:w="1080" w:type="dxa"/>
            <w:tcBorders>
              <w:top w:val="single" w:color="auto" w:sz="4" w:space="0"/>
              <w:left w:val="single" w:color="auto" w:sz="4" w:space="0"/>
              <w:bottom w:val="single" w:color="auto" w:sz="4" w:space="0"/>
              <w:right w:val="single" w:color="auto" w:sz="4" w:space="0"/>
            </w:tcBorders>
          </w:tcPr>
          <w:p w:rsidR="004D2F6A" w:rsidP="00354B7F" w:rsidRDefault="00F73466" w14:paraId="1D2CE531" w14:textId="1086DB97">
            <w:pPr>
              <w:pStyle w:val="NormalinTableHanging"/>
            </w:pPr>
            <w:r>
              <w:t>SCE</w:t>
            </w:r>
          </w:p>
        </w:tc>
      </w:tr>
      <w:tr w:rsidR="00C55F5C" w:rsidTr="00B270DF" w14:paraId="5EE3C628"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C55F5C" w:rsidP="00354B7F" w:rsidRDefault="00C55F5C" w14:paraId="0E6FF624" w14:textId="71CED002">
            <w:pPr>
              <w:pStyle w:val="NormalinTableHanging"/>
            </w:pPr>
            <w:r>
              <w:t>SWMI00</w:t>
            </w:r>
            <w:r w:rsidR="00DF0220">
              <w:t>3-01</w:t>
            </w:r>
          </w:p>
        </w:tc>
        <w:tc>
          <w:tcPr>
            <w:tcW w:w="3060" w:type="dxa"/>
            <w:tcBorders>
              <w:top w:val="single" w:color="auto" w:sz="4" w:space="0"/>
              <w:left w:val="single" w:color="auto" w:sz="4" w:space="0"/>
              <w:bottom w:val="single" w:color="auto" w:sz="4" w:space="0"/>
              <w:right w:val="single" w:color="auto" w:sz="4" w:space="0"/>
            </w:tcBorders>
          </w:tcPr>
          <w:p w:rsidR="00C55F5C" w:rsidP="00354B7F" w:rsidRDefault="00DF0220" w14:paraId="78428C34" w14:textId="585FBCBD">
            <w:pPr>
              <w:pStyle w:val="NormalinTableHanging"/>
            </w:pPr>
            <w:r>
              <w:t>High-Efficiency Toilets</w:t>
            </w:r>
            <w:r w:rsidR="00680F43">
              <w:t>, Residential and Commercial</w:t>
            </w:r>
          </w:p>
        </w:tc>
        <w:tc>
          <w:tcPr>
            <w:tcW w:w="2250" w:type="dxa"/>
            <w:tcBorders>
              <w:top w:val="single" w:color="auto" w:sz="4" w:space="0"/>
              <w:left w:val="single" w:color="auto" w:sz="4" w:space="0"/>
              <w:bottom w:val="single" w:color="auto" w:sz="4" w:space="0"/>
              <w:right w:val="single" w:color="auto" w:sz="4" w:space="0"/>
            </w:tcBorders>
          </w:tcPr>
          <w:p w:rsidR="00C55F5C" w:rsidP="00354B7F" w:rsidRDefault="00680F43" w14:paraId="2C09B1E2" w14:textId="4B7FF61C">
            <w:pPr>
              <w:pStyle w:val="NormalinTableHanging"/>
            </w:pPr>
            <w:r>
              <w:t>New measure package</w:t>
            </w:r>
          </w:p>
        </w:tc>
        <w:tc>
          <w:tcPr>
            <w:tcW w:w="1980" w:type="dxa"/>
            <w:tcBorders>
              <w:top w:val="single" w:color="auto" w:sz="4" w:space="0"/>
              <w:left w:val="single" w:color="auto" w:sz="4" w:space="0"/>
              <w:bottom w:val="single" w:color="auto" w:sz="4" w:space="0"/>
              <w:right w:val="single" w:color="auto" w:sz="4" w:space="0"/>
            </w:tcBorders>
          </w:tcPr>
          <w:p w:rsidR="00C55F5C" w:rsidP="00354B7F" w:rsidRDefault="00680F43" w14:paraId="0AFA02D9" w14:textId="3A8A4877">
            <w:pPr>
              <w:pStyle w:val="NormalinTableHanging"/>
            </w:pPr>
            <w:r>
              <w:t xml:space="preserve">2024, effective upon </w:t>
            </w:r>
            <w:r w:rsidR="007E0A21">
              <w:t>approval</w:t>
            </w:r>
          </w:p>
        </w:tc>
        <w:tc>
          <w:tcPr>
            <w:tcW w:w="1080" w:type="dxa"/>
            <w:tcBorders>
              <w:top w:val="single" w:color="auto" w:sz="4" w:space="0"/>
              <w:left w:val="single" w:color="auto" w:sz="4" w:space="0"/>
              <w:bottom w:val="single" w:color="auto" w:sz="4" w:space="0"/>
              <w:right w:val="single" w:color="auto" w:sz="4" w:space="0"/>
            </w:tcBorders>
          </w:tcPr>
          <w:p w:rsidR="00C55F5C" w:rsidP="00354B7F" w:rsidRDefault="00680F43" w14:paraId="344BE6D8" w14:textId="7D67DD05">
            <w:pPr>
              <w:pStyle w:val="NormalinTableHanging"/>
            </w:pPr>
            <w:r>
              <w:t>SDGE</w:t>
            </w:r>
          </w:p>
        </w:tc>
      </w:tr>
      <w:tr w:rsidR="00AD51ED" w:rsidTr="00B270DF" w14:paraId="25C2907B"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AD51ED" w:rsidP="00354B7F" w:rsidRDefault="00AD51ED" w14:paraId="7D457A9B" w14:textId="5B819EB1">
            <w:pPr>
              <w:pStyle w:val="NormalinTableHanging"/>
            </w:pPr>
            <w:r>
              <w:t>SWRE005</w:t>
            </w:r>
            <w:r w:rsidR="00AA01FF">
              <w:t>-05*</w:t>
            </w:r>
          </w:p>
        </w:tc>
        <w:tc>
          <w:tcPr>
            <w:tcW w:w="3060" w:type="dxa"/>
            <w:tcBorders>
              <w:top w:val="single" w:color="auto" w:sz="4" w:space="0"/>
              <w:left w:val="single" w:color="auto" w:sz="4" w:space="0"/>
              <w:bottom w:val="single" w:color="auto" w:sz="4" w:space="0"/>
              <w:right w:val="single" w:color="auto" w:sz="4" w:space="0"/>
            </w:tcBorders>
          </w:tcPr>
          <w:p w:rsidR="00AD51ED" w:rsidP="00354B7F" w:rsidRDefault="00AA01FF" w14:paraId="6D7D7881" w14:textId="2BF5E0D3">
            <w:pPr>
              <w:pStyle w:val="NormalinTableHanging"/>
            </w:pPr>
            <w:r>
              <w:t>Heat Pump Pool Heater, Residential, Fuel Substitution</w:t>
            </w:r>
          </w:p>
        </w:tc>
        <w:tc>
          <w:tcPr>
            <w:tcW w:w="2250" w:type="dxa"/>
            <w:tcBorders>
              <w:top w:val="single" w:color="auto" w:sz="4" w:space="0"/>
              <w:left w:val="single" w:color="auto" w:sz="4" w:space="0"/>
              <w:bottom w:val="single" w:color="auto" w:sz="4" w:space="0"/>
              <w:right w:val="single" w:color="auto" w:sz="4" w:space="0"/>
            </w:tcBorders>
          </w:tcPr>
          <w:p w:rsidR="00AD51ED" w:rsidP="00354B7F" w:rsidRDefault="001A1B5C" w14:paraId="0184D1CC" w14:textId="3000B8C6">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AD51ED" w:rsidP="00354B7F" w:rsidRDefault="00AA01FF" w14:paraId="5F7125FF" w14:textId="49D9651F">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AD51ED" w:rsidP="00AA01FF" w:rsidRDefault="00AA01FF" w14:paraId="12CB8BE5" w14:textId="2723E4A9">
            <w:pPr>
              <w:pStyle w:val="NormalinTableHanging"/>
              <w:ind w:left="0" w:firstLine="0"/>
            </w:pPr>
            <w:r>
              <w:t>SCE</w:t>
            </w:r>
          </w:p>
        </w:tc>
      </w:tr>
      <w:tr w:rsidR="009B0975" w:rsidTr="00B270DF" w14:paraId="7805B6D2"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9B0975" w:rsidP="00354B7F" w:rsidRDefault="009B0975" w14:paraId="65097318" w14:textId="3989C4F9">
            <w:pPr>
              <w:pStyle w:val="NormalinTableHanging"/>
            </w:pPr>
            <w:r>
              <w:t>SWSV014-0</w:t>
            </w:r>
            <w:r w:rsidR="008F2207">
              <w:t>4</w:t>
            </w:r>
            <w:r w:rsidR="00012D28">
              <w:t>*</w:t>
            </w:r>
          </w:p>
        </w:tc>
        <w:tc>
          <w:tcPr>
            <w:tcW w:w="3060" w:type="dxa"/>
            <w:tcBorders>
              <w:top w:val="single" w:color="auto" w:sz="4" w:space="0"/>
              <w:left w:val="single" w:color="auto" w:sz="4" w:space="0"/>
              <w:bottom w:val="single" w:color="auto" w:sz="4" w:space="0"/>
              <w:right w:val="single" w:color="auto" w:sz="4" w:space="0"/>
            </w:tcBorders>
          </w:tcPr>
          <w:p w:rsidR="009B0975" w:rsidP="00354B7F" w:rsidRDefault="00012D28" w14:paraId="36914F37" w14:textId="1221D8FC">
            <w:pPr>
              <w:pStyle w:val="NormalinTableHanging"/>
            </w:pPr>
            <w:r>
              <w:t>Lifecycle Refrigerant Management, Residential</w:t>
            </w:r>
          </w:p>
        </w:tc>
        <w:tc>
          <w:tcPr>
            <w:tcW w:w="2250" w:type="dxa"/>
            <w:tcBorders>
              <w:top w:val="single" w:color="auto" w:sz="4" w:space="0"/>
              <w:left w:val="single" w:color="auto" w:sz="4" w:space="0"/>
              <w:bottom w:val="single" w:color="auto" w:sz="4" w:space="0"/>
              <w:right w:val="single" w:color="auto" w:sz="4" w:space="0"/>
            </w:tcBorders>
          </w:tcPr>
          <w:p w:rsidR="009B0975" w:rsidP="00354B7F" w:rsidRDefault="00012D28" w14:paraId="7F98AF3E" w14:textId="699D3147">
            <w:pPr>
              <w:pStyle w:val="NormalinTableHanging"/>
            </w:pPr>
            <w:r>
              <w:t>CARB Refrigerant Standard</w:t>
            </w:r>
          </w:p>
        </w:tc>
        <w:tc>
          <w:tcPr>
            <w:tcW w:w="1980" w:type="dxa"/>
            <w:tcBorders>
              <w:top w:val="single" w:color="auto" w:sz="4" w:space="0"/>
              <w:left w:val="single" w:color="auto" w:sz="4" w:space="0"/>
              <w:bottom w:val="single" w:color="auto" w:sz="4" w:space="0"/>
              <w:right w:val="single" w:color="auto" w:sz="4" w:space="0"/>
            </w:tcBorders>
          </w:tcPr>
          <w:p w:rsidR="009B0975" w:rsidP="00354B7F" w:rsidRDefault="00012D28" w14:paraId="1F87DB8E" w14:textId="3B1C96A6">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9B0975" w:rsidP="00354B7F" w:rsidRDefault="00012D28" w14:paraId="39FE9E25" w14:textId="73D0C4C1">
            <w:pPr>
              <w:pStyle w:val="NormalinTableHanging"/>
            </w:pPr>
            <w:r>
              <w:t>PG&amp;E</w:t>
            </w:r>
          </w:p>
        </w:tc>
      </w:tr>
      <w:tr w:rsidR="00012D28" w:rsidTr="00B270DF" w14:paraId="13BEDFA3"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012D28" w:rsidP="00354B7F" w:rsidRDefault="00012D28" w14:paraId="19E81B5E" w14:textId="5B4079A6">
            <w:pPr>
              <w:pStyle w:val="NormalinTableHanging"/>
            </w:pPr>
            <w:r>
              <w:lastRenderedPageBreak/>
              <w:t>SWWB00</w:t>
            </w:r>
            <w:r w:rsidR="007363CC">
              <w:t>8-0</w:t>
            </w:r>
            <w:r w:rsidR="0071402A">
              <w:t>4</w:t>
            </w:r>
            <w:r w:rsidR="007363CC">
              <w:t>*</w:t>
            </w:r>
          </w:p>
        </w:tc>
        <w:tc>
          <w:tcPr>
            <w:tcW w:w="3060" w:type="dxa"/>
            <w:tcBorders>
              <w:top w:val="single" w:color="auto" w:sz="4" w:space="0"/>
              <w:left w:val="single" w:color="auto" w:sz="4" w:space="0"/>
              <w:bottom w:val="single" w:color="auto" w:sz="4" w:space="0"/>
              <w:right w:val="single" w:color="auto" w:sz="4" w:space="0"/>
            </w:tcBorders>
          </w:tcPr>
          <w:p w:rsidR="00012D28" w:rsidP="00354B7F" w:rsidRDefault="00191F2D" w14:paraId="786E97DF" w14:textId="6150161E">
            <w:pPr>
              <w:pStyle w:val="NormalinTableHanging"/>
            </w:pPr>
            <w:r>
              <w:t>All</w:t>
            </w:r>
            <w:r w:rsidR="00391361">
              <w:t>-Electric Homes, Residential, New Construction</w:t>
            </w:r>
          </w:p>
        </w:tc>
        <w:tc>
          <w:tcPr>
            <w:tcW w:w="2250" w:type="dxa"/>
            <w:tcBorders>
              <w:top w:val="single" w:color="auto" w:sz="4" w:space="0"/>
              <w:left w:val="single" w:color="auto" w:sz="4" w:space="0"/>
              <w:bottom w:val="single" w:color="auto" w:sz="4" w:space="0"/>
              <w:right w:val="single" w:color="auto" w:sz="4" w:space="0"/>
            </w:tcBorders>
          </w:tcPr>
          <w:p w:rsidR="00012D28" w:rsidP="00354B7F" w:rsidRDefault="00391361" w14:paraId="45C54517" w14:textId="303528D0">
            <w:pPr>
              <w:pStyle w:val="NormalinTableHanging"/>
            </w:pPr>
            <w:r>
              <w:t>CARB Refrigerant Standard</w:t>
            </w:r>
            <w:r w:rsidR="001C3270">
              <w:t xml:space="preserve"> and EUL Update</w:t>
            </w:r>
          </w:p>
        </w:tc>
        <w:tc>
          <w:tcPr>
            <w:tcW w:w="1980" w:type="dxa"/>
            <w:tcBorders>
              <w:top w:val="single" w:color="auto" w:sz="4" w:space="0"/>
              <w:left w:val="single" w:color="auto" w:sz="4" w:space="0"/>
              <w:bottom w:val="single" w:color="auto" w:sz="4" w:space="0"/>
              <w:right w:val="single" w:color="auto" w:sz="4" w:space="0"/>
            </w:tcBorders>
          </w:tcPr>
          <w:p w:rsidR="00012D28" w:rsidP="00354B7F" w:rsidRDefault="00391361" w14:paraId="3BF85F98" w14:textId="044F99F0">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012D28" w:rsidP="00354B7F" w:rsidRDefault="00391361" w14:paraId="427814B3" w14:textId="6480E593">
            <w:pPr>
              <w:pStyle w:val="NormalinTableHanging"/>
            </w:pPr>
            <w:r>
              <w:t>PG&amp;E</w:t>
            </w:r>
          </w:p>
        </w:tc>
      </w:tr>
      <w:tr w:rsidR="008A51F9" w:rsidTr="00B270DF" w14:paraId="6C7FD050"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8A51F9" w:rsidP="00354B7F" w:rsidRDefault="008A51F9" w14:paraId="19BD8890" w14:textId="40E04135">
            <w:pPr>
              <w:pStyle w:val="NormalinTableHanging"/>
            </w:pPr>
            <w:r>
              <w:t>SWWH001</w:t>
            </w:r>
            <w:r w:rsidR="00AB4FC4">
              <w:t>-04</w:t>
            </w:r>
          </w:p>
        </w:tc>
        <w:tc>
          <w:tcPr>
            <w:tcW w:w="3060" w:type="dxa"/>
            <w:tcBorders>
              <w:top w:val="single" w:color="auto" w:sz="4" w:space="0"/>
              <w:left w:val="single" w:color="auto" w:sz="4" w:space="0"/>
              <w:bottom w:val="single" w:color="auto" w:sz="4" w:space="0"/>
              <w:right w:val="single" w:color="auto" w:sz="4" w:space="0"/>
            </w:tcBorders>
          </w:tcPr>
          <w:p w:rsidR="008A51F9" w:rsidP="00354B7F" w:rsidRDefault="00AB4FC4" w14:paraId="172CBFFA" w14:textId="6A2DF7FF">
            <w:pPr>
              <w:pStyle w:val="NormalinTableHanging"/>
            </w:pPr>
            <w:r>
              <w:t xml:space="preserve">Faucet Aerator, </w:t>
            </w:r>
            <w:r w:rsidR="00370ACE">
              <w:t>Residential</w:t>
            </w:r>
          </w:p>
        </w:tc>
        <w:tc>
          <w:tcPr>
            <w:tcW w:w="2250" w:type="dxa"/>
            <w:tcBorders>
              <w:top w:val="single" w:color="auto" w:sz="4" w:space="0"/>
              <w:left w:val="single" w:color="auto" w:sz="4" w:space="0"/>
              <w:bottom w:val="single" w:color="auto" w:sz="4" w:space="0"/>
              <w:right w:val="single" w:color="auto" w:sz="4" w:space="0"/>
            </w:tcBorders>
          </w:tcPr>
          <w:p w:rsidR="008A51F9" w:rsidP="00354B7F" w:rsidRDefault="0050425B" w14:paraId="2ACD8E1F" w14:textId="60F7F7D4">
            <w:pPr>
              <w:pStyle w:val="NormalinTableHanging"/>
            </w:pPr>
            <w:r>
              <w:t>New measure</w:t>
            </w:r>
            <w:r w:rsidR="00370ACE">
              <w:t xml:space="preserve"> offerings</w:t>
            </w:r>
          </w:p>
        </w:tc>
        <w:tc>
          <w:tcPr>
            <w:tcW w:w="1980" w:type="dxa"/>
            <w:tcBorders>
              <w:top w:val="single" w:color="auto" w:sz="4" w:space="0"/>
              <w:left w:val="single" w:color="auto" w:sz="4" w:space="0"/>
              <w:bottom w:val="single" w:color="auto" w:sz="4" w:space="0"/>
              <w:right w:val="single" w:color="auto" w:sz="4" w:space="0"/>
            </w:tcBorders>
          </w:tcPr>
          <w:p w:rsidR="008A51F9" w:rsidP="00354B7F" w:rsidRDefault="00370ACE" w14:paraId="2AD20CDC" w14:textId="6D4CB5CD">
            <w:pPr>
              <w:pStyle w:val="NormalinTableHanging"/>
            </w:pPr>
            <w:r>
              <w:t>2024, effective upon approval</w:t>
            </w:r>
          </w:p>
        </w:tc>
        <w:tc>
          <w:tcPr>
            <w:tcW w:w="1080" w:type="dxa"/>
            <w:tcBorders>
              <w:top w:val="single" w:color="auto" w:sz="4" w:space="0"/>
              <w:left w:val="single" w:color="auto" w:sz="4" w:space="0"/>
              <w:bottom w:val="single" w:color="auto" w:sz="4" w:space="0"/>
              <w:right w:val="single" w:color="auto" w:sz="4" w:space="0"/>
            </w:tcBorders>
          </w:tcPr>
          <w:p w:rsidR="008A51F9" w:rsidP="00354B7F" w:rsidRDefault="00370ACE" w14:paraId="57442658" w14:textId="71950634">
            <w:pPr>
              <w:pStyle w:val="NormalinTableHanging"/>
            </w:pPr>
            <w:r>
              <w:t>SCG</w:t>
            </w:r>
          </w:p>
        </w:tc>
      </w:tr>
      <w:tr w:rsidR="00E31F36" w:rsidTr="00B270DF" w14:paraId="3E579EB1"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E31F36" w:rsidP="00354B7F" w:rsidRDefault="00E31F36" w14:paraId="7321F6CE" w14:textId="1A354778">
            <w:pPr>
              <w:pStyle w:val="NormalinTableHanging"/>
            </w:pPr>
            <w:r>
              <w:t>SWWH002-04</w:t>
            </w:r>
          </w:p>
        </w:tc>
        <w:tc>
          <w:tcPr>
            <w:tcW w:w="3060" w:type="dxa"/>
            <w:tcBorders>
              <w:top w:val="single" w:color="auto" w:sz="4" w:space="0"/>
              <w:left w:val="single" w:color="auto" w:sz="4" w:space="0"/>
              <w:bottom w:val="single" w:color="auto" w:sz="4" w:space="0"/>
              <w:right w:val="single" w:color="auto" w:sz="4" w:space="0"/>
            </w:tcBorders>
          </w:tcPr>
          <w:p w:rsidR="00E31F36" w:rsidP="00354B7F" w:rsidRDefault="00E31F36" w14:paraId="7906323F" w14:textId="71607250">
            <w:pPr>
              <w:pStyle w:val="NormalinTableHanging"/>
            </w:pPr>
            <w:r>
              <w:t>Low-Flow Showerhead, Residential</w:t>
            </w:r>
          </w:p>
        </w:tc>
        <w:tc>
          <w:tcPr>
            <w:tcW w:w="2250" w:type="dxa"/>
            <w:tcBorders>
              <w:top w:val="single" w:color="auto" w:sz="4" w:space="0"/>
              <w:left w:val="single" w:color="auto" w:sz="4" w:space="0"/>
              <w:bottom w:val="single" w:color="auto" w:sz="4" w:space="0"/>
              <w:right w:val="single" w:color="auto" w:sz="4" w:space="0"/>
            </w:tcBorders>
          </w:tcPr>
          <w:p w:rsidR="00E31F36" w:rsidP="00354B7F" w:rsidRDefault="0050425B" w14:paraId="7DC28D00" w14:textId="5CECC30A">
            <w:pPr>
              <w:pStyle w:val="NormalinTableHanging"/>
            </w:pPr>
            <w:r>
              <w:t>New measure</w:t>
            </w:r>
            <w:r w:rsidR="00E31F36">
              <w:t xml:space="preserve"> offerings</w:t>
            </w:r>
          </w:p>
        </w:tc>
        <w:tc>
          <w:tcPr>
            <w:tcW w:w="1980" w:type="dxa"/>
            <w:tcBorders>
              <w:top w:val="single" w:color="auto" w:sz="4" w:space="0"/>
              <w:left w:val="single" w:color="auto" w:sz="4" w:space="0"/>
              <w:bottom w:val="single" w:color="auto" w:sz="4" w:space="0"/>
              <w:right w:val="single" w:color="auto" w:sz="4" w:space="0"/>
            </w:tcBorders>
          </w:tcPr>
          <w:p w:rsidR="00E31F36" w:rsidP="00354B7F" w:rsidRDefault="00E31F36" w14:paraId="2BA82B6B" w14:textId="515F7047">
            <w:pPr>
              <w:pStyle w:val="NormalinTableHanging"/>
            </w:pPr>
            <w:r>
              <w:t>2024, effective upon approval</w:t>
            </w:r>
          </w:p>
        </w:tc>
        <w:tc>
          <w:tcPr>
            <w:tcW w:w="1080" w:type="dxa"/>
            <w:tcBorders>
              <w:top w:val="single" w:color="auto" w:sz="4" w:space="0"/>
              <w:left w:val="single" w:color="auto" w:sz="4" w:space="0"/>
              <w:bottom w:val="single" w:color="auto" w:sz="4" w:space="0"/>
              <w:right w:val="single" w:color="auto" w:sz="4" w:space="0"/>
            </w:tcBorders>
          </w:tcPr>
          <w:p w:rsidR="00E31F36" w:rsidP="00354B7F" w:rsidRDefault="00E31F36" w14:paraId="6D96696E" w14:textId="1F21A18C">
            <w:pPr>
              <w:pStyle w:val="NormalinTableHanging"/>
            </w:pPr>
            <w:r>
              <w:t>SCG</w:t>
            </w:r>
          </w:p>
        </w:tc>
      </w:tr>
      <w:tr w:rsidR="00A56DAE" w:rsidTr="00B270DF" w14:paraId="4B73EDAF"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A56DAE" w:rsidP="00354B7F" w:rsidRDefault="00A56DAE" w14:paraId="55307A66" w14:textId="0D0CA2C2">
            <w:pPr>
              <w:pStyle w:val="NormalinTableHanging"/>
            </w:pPr>
            <w:r>
              <w:t>SWWH003-</w:t>
            </w:r>
            <w:r w:rsidR="00CD395B">
              <w:t>03</w:t>
            </w:r>
          </w:p>
        </w:tc>
        <w:tc>
          <w:tcPr>
            <w:tcW w:w="3060" w:type="dxa"/>
            <w:tcBorders>
              <w:top w:val="single" w:color="auto" w:sz="4" w:space="0"/>
              <w:left w:val="single" w:color="auto" w:sz="4" w:space="0"/>
              <w:bottom w:val="single" w:color="auto" w:sz="4" w:space="0"/>
              <w:right w:val="single" w:color="auto" w:sz="4" w:space="0"/>
            </w:tcBorders>
          </w:tcPr>
          <w:p w:rsidR="00A56DAE" w:rsidP="00354B7F" w:rsidRDefault="00CD395B" w14:paraId="3FD48381" w14:textId="57A31134">
            <w:pPr>
              <w:pStyle w:val="NormalinTableHanging"/>
            </w:pPr>
            <w:r>
              <w:t>TSV with and without an Integrated Low-Flow Showerhead, Residential</w:t>
            </w:r>
          </w:p>
        </w:tc>
        <w:tc>
          <w:tcPr>
            <w:tcW w:w="2250" w:type="dxa"/>
            <w:tcBorders>
              <w:top w:val="single" w:color="auto" w:sz="4" w:space="0"/>
              <w:left w:val="single" w:color="auto" w:sz="4" w:space="0"/>
              <w:bottom w:val="single" w:color="auto" w:sz="4" w:space="0"/>
              <w:right w:val="single" w:color="auto" w:sz="4" w:space="0"/>
            </w:tcBorders>
          </w:tcPr>
          <w:p w:rsidR="00A56DAE" w:rsidP="00354B7F" w:rsidRDefault="0050425B" w14:paraId="56C5CDA5" w14:textId="05CF694C">
            <w:pPr>
              <w:pStyle w:val="NormalinTableHanging"/>
            </w:pPr>
            <w:r>
              <w:t>New measure</w:t>
            </w:r>
            <w:r w:rsidR="00CD395B">
              <w:t xml:space="preserve"> offerings</w:t>
            </w:r>
          </w:p>
        </w:tc>
        <w:tc>
          <w:tcPr>
            <w:tcW w:w="1980" w:type="dxa"/>
            <w:tcBorders>
              <w:top w:val="single" w:color="auto" w:sz="4" w:space="0"/>
              <w:left w:val="single" w:color="auto" w:sz="4" w:space="0"/>
              <w:bottom w:val="single" w:color="auto" w:sz="4" w:space="0"/>
              <w:right w:val="single" w:color="auto" w:sz="4" w:space="0"/>
            </w:tcBorders>
          </w:tcPr>
          <w:p w:rsidR="00A56DAE" w:rsidP="00354B7F" w:rsidRDefault="00CD395B" w14:paraId="7D6F0E5A" w14:textId="3F32617D">
            <w:pPr>
              <w:pStyle w:val="NormalinTableHanging"/>
            </w:pPr>
            <w:r>
              <w:t>2024, effective upon approval</w:t>
            </w:r>
          </w:p>
        </w:tc>
        <w:tc>
          <w:tcPr>
            <w:tcW w:w="1080" w:type="dxa"/>
            <w:tcBorders>
              <w:top w:val="single" w:color="auto" w:sz="4" w:space="0"/>
              <w:left w:val="single" w:color="auto" w:sz="4" w:space="0"/>
              <w:bottom w:val="single" w:color="auto" w:sz="4" w:space="0"/>
              <w:right w:val="single" w:color="auto" w:sz="4" w:space="0"/>
            </w:tcBorders>
          </w:tcPr>
          <w:p w:rsidR="00A56DAE" w:rsidP="00354B7F" w:rsidRDefault="00CD395B" w14:paraId="2886839D" w14:textId="09D82EDD">
            <w:pPr>
              <w:pStyle w:val="NormalinTableHanging"/>
            </w:pPr>
            <w:r>
              <w:t>SCG</w:t>
            </w:r>
          </w:p>
        </w:tc>
      </w:tr>
      <w:tr w:rsidR="00780BBB" w:rsidTr="00B270DF" w14:paraId="606BD4C8"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780BBB" w:rsidP="00354B7F" w:rsidRDefault="00780BBB" w14:paraId="42C1680F" w14:textId="0E97F08B">
            <w:pPr>
              <w:pStyle w:val="NormalinTableHanging"/>
            </w:pPr>
            <w:r>
              <w:t>SWWH006-</w:t>
            </w:r>
            <w:r w:rsidR="00C13A42">
              <w:t>09*</w:t>
            </w:r>
          </w:p>
        </w:tc>
        <w:tc>
          <w:tcPr>
            <w:tcW w:w="3060" w:type="dxa"/>
            <w:tcBorders>
              <w:top w:val="single" w:color="auto" w:sz="4" w:space="0"/>
              <w:left w:val="single" w:color="auto" w:sz="4" w:space="0"/>
              <w:bottom w:val="single" w:color="auto" w:sz="4" w:space="0"/>
              <w:right w:val="single" w:color="auto" w:sz="4" w:space="0"/>
            </w:tcBorders>
          </w:tcPr>
          <w:p w:rsidR="00780BBB" w:rsidP="00354B7F" w:rsidRDefault="00C13A42" w14:paraId="10C1CDF6" w14:textId="623CD622">
            <w:pPr>
              <w:pStyle w:val="NormalinTableHanging"/>
            </w:pPr>
            <w:r>
              <w:t>Tankless Water Heater, Commercial</w:t>
            </w:r>
          </w:p>
        </w:tc>
        <w:tc>
          <w:tcPr>
            <w:tcW w:w="2250" w:type="dxa"/>
            <w:tcBorders>
              <w:top w:val="single" w:color="auto" w:sz="4" w:space="0"/>
              <w:left w:val="single" w:color="auto" w:sz="4" w:space="0"/>
              <w:bottom w:val="single" w:color="auto" w:sz="4" w:space="0"/>
              <w:right w:val="single" w:color="auto" w:sz="4" w:space="0"/>
            </w:tcBorders>
          </w:tcPr>
          <w:p w:rsidR="00780BBB" w:rsidP="00354B7F" w:rsidRDefault="00B766A1" w14:paraId="760706EB" w14:textId="1B4EF34C">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780BBB" w:rsidP="00354B7F" w:rsidRDefault="00B766A1" w14:paraId="06A15A30" w14:textId="7796B7A6">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780BBB" w:rsidP="00354B7F" w:rsidRDefault="00B766A1" w14:paraId="770D9DCE" w14:textId="7DFBBD21">
            <w:pPr>
              <w:pStyle w:val="NormalinTableHanging"/>
            </w:pPr>
            <w:r>
              <w:t>SCG</w:t>
            </w:r>
          </w:p>
        </w:tc>
      </w:tr>
      <w:tr w:rsidR="00C426B4" w:rsidTr="00B270DF" w14:paraId="1A3A5522"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C426B4" w:rsidP="00354B7F" w:rsidRDefault="00C426B4" w14:paraId="1FEA2A7B" w14:textId="1CD41627">
            <w:pPr>
              <w:pStyle w:val="NormalinTableHanging"/>
            </w:pPr>
            <w:r>
              <w:t>SWWH007-07*</w:t>
            </w:r>
          </w:p>
        </w:tc>
        <w:tc>
          <w:tcPr>
            <w:tcW w:w="3060" w:type="dxa"/>
            <w:tcBorders>
              <w:top w:val="single" w:color="auto" w:sz="4" w:space="0"/>
              <w:left w:val="single" w:color="auto" w:sz="4" w:space="0"/>
              <w:bottom w:val="single" w:color="auto" w:sz="4" w:space="0"/>
              <w:right w:val="single" w:color="auto" w:sz="4" w:space="0"/>
            </w:tcBorders>
          </w:tcPr>
          <w:p w:rsidR="00C426B4" w:rsidP="00354B7F" w:rsidRDefault="00C426B4" w14:paraId="756C7637" w14:textId="49608000">
            <w:pPr>
              <w:pStyle w:val="NormalinTableHanging"/>
            </w:pPr>
            <w:r>
              <w:t>Storage Water Heater, Commercial</w:t>
            </w:r>
          </w:p>
        </w:tc>
        <w:tc>
          <w:tcPr>
            <w:tcW w:w="2250" w:type="dxa"/>
            <w:tcBorders>
              <w:top w:val="single" w:color="auto" w:sz="4" w:space="0"/>
              <w:left w:val="single" w:color="auto" w:sz="4" w:space="0"/>
              <w:bottom w:val="single" w:color="auto" w:sz="4" w:space="0"/>
              <w:right w:val="single" w:color="auto" w:sz="4" w:space="0"/>
            </w:tcBorders>
          </w:tcPr>
          <w:p w:rsidR="00C426B4" w:rsidP="00354B7F" w:rsidRDefault="00C426B4" w14:paraId="5D002266" w14:textId="1AFFF88C">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C426B4" w:rsidP="00354B7F" w:rsidRDefault="00C426B4" w14:paraId="69349E29" w14:textId="11F7F85C">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C426B4" w:rsidP="00354B7F" w:rsidRDefault="00C426B4" w14:paraId="22A47572" w14:textId="1C7327C0">
            <w:pPr>
              <w:pStyle w:val="NormalinTableHanging"/>
            </w:pPr>
            <w:r>
              <w:t>SCG</w:t>
            </w:r>
          </w:p>
        </w:tc>
      </w:tr>
      <w:tr w:rsidR="00E107E1" w:rsidTr="00B270DF" w14:paraId="43235B66"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E107E1" w:rsidP="00354B7F" w:rsidRDefault="00E107E1" w14:paraId="1DB028B9" w14:textId="4238542B">
            <w:pPr>
              <w:pStyle w:val="NormalinTableHanging"/>
            </w:pPr>
            <w:r>
              <w:t>SWWH012-</w:t>
            </w:r>
            <w:r w:rsidR="009A27C4">
              <w:t>05*</w:t>
            </w:r>
          </w:p>
        </w:tc>
        <w:tc>
          <w:tcPr>
            <w:tcW w:w="3060" w:type="dxa"/>
            <w:tcBorders>
              <w:top w:val="single" w:color="auto" w:sz="4" w:space="0"/>
              <w:left w:val="single" w:color="auto" w:sz="4" w:space="0"/>
              <w:bottom w:val="single" w:color="auto" w:sz="4" w:space="0"/>
              <w:right w:val="single" w:color="auto" w:sz="4" w:space="0"/>
            </w:tcBorders>
          </w:tcPr>
          <w:p w:rsidR="00E107E1" w:rsidP="00354B7F" w:rsidRDefault="007F640A" w14:paraId="0A170E3D" w14:textId="36EB4512">
            <w:pPr>
              <w:pStyle w:val="NormalinTableHanging"/>
            </w:pPr>
            <w:r>
              <w:t>Storage Water Heater, Residential</w:t>
            </w:r>
          </w:p>
        </w:tc>
        <w:tc>
          <w:tcPr>
            <w:tcW w:w="2250" w:type="dxa"/>
            <w:tcBorders>
              <w:top w:val="single" w:color="auto" w:sz="4" w:space="0"/>
              <w:left w:val="single" w:color="auto" w:sz="4" w:space="0"/>
              <w:bottom w:val="single" w:color="auto" w:sz="4" w:space="0"/>
              <w:right w:val="single" w:color="auto" w:sz="4" w:space="0"/>
            </w:tcBorders>
          </w:tcPr>
          <w:p w:rsidR="00E107E1" w:rsidP="00354B7F" w:rsidRDefault="007F640A" w14:paraId="3189E326" w14:textId="41383FCD">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E107E1" w:rsidP="00354B7F" w:rsidRDefault="007F640A" w14:paraId="11DBE9FF" w14:textId="5CC7F4FF">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E107E1" w:rsidP="00354B7F" w:rsidRDefault="007F640A" w14:paraId="3CAC9029" w14:textId="348A1CB4">
            <w:pPr>
              <w:pStyle w:val="NormalinTableHanging"/>
            </w:pPr>
            <w:r>
              <w:t>SCG</w:t>
            </w:r>
          </w:p>
        </w:tc>
      </w:tr>
      <w:tr w:rsidR="00D67AFB" w:rsidTr="00B270DF" w14:paraId="660D83F3"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D67AFB" w:rsidP="00354B7F" w:rsidRDefault="00D67AFB" w14:paraId="662AB5F3" w14:textId="495E65CD">
            <w:pPr>
              <w:pStyle w:val="NormalinTableHanging"/>
            </w:pPr>
            <w:r>
              <w:t>SWWH013-</w:t>
            </w:r>
            <w:r w:rsidR="006B5091">
              <w:t>05*</w:t>
            </w:r>
          </w:p>
        </w:tc>
        <w:tc>
          <w:tcPr>
            <w:tcW w:w="3060" w:type="dxa"/>
            <w:tcBorders>
              <w:top w:val="single" w:color="auto" w:sz="4" w:space="0"/>
              <w:left w:val="single" w:color="auto" w:sz="4" w:space="0"/>
              <w:bottom w:val="single" w:color="auto" w:sz="4" w:space="0"/>
              <w:right w:val="single" w:color="auto" w:sz="4" w:space="0"/>
            </w:tcBorders>
          </w:tcPr>
          <w:p w:rsidR="00D67AFB" w:rsidP="00354B7F" w:rsidRDefault="006B5091" w14:paraId="0F932A6F" w14:textId="6D87BC92">
            <w:pPr>
              <w:pStyle w:val="NormalinTableHanging"/>
            </w:pPr>
            <w:r>
              <w:t>Tankless Water Heater, Residential</w:t>
            </w:r>
          </w:p>
        </w:tc>
        <w:tc>
          <w:tcPr>
            <w:tcW w:w="2250" w:type="dxa"/>
            <w:tcBorders>
              <w:top w:val="single" w:color="auto" w:sz="4" w:space="0"/>
              <w:left w:val="single" w:color="auto" w:sz="4" w:space="0"/>
              <w:bottom w:val="single" w:color="auto" w:sz="4" w:space="0"/>
              <w:right w:val="single" w:color="auto" w:sz="4" w:space="0"/>
            </w:tcBorders>
          </w:tcPr>
          <w:p w:rsidR="00D67AFB" w:rsidP="00354B7F" w:rsidRDefault="006B5091" w14:paraId="1BCFA12B" w14:textId="6455296D">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D67AFB" w:rsidP="00354B7F" w:rsidRDefault="006B5091" w14:paraId="0766B4FC" w14:textId="1173940C">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D67AFB" w:rsidP="00354B7F" w:rsidRDefault="006B5091" w14:paraId="0A39CA2B" w14:textId="308281B0">
            <w:pPr>
              <w:pStyle w:val="NormalinTableHanging"/>
            </w:pPr>
            <w:r>
              <w:t>SCG</w:t>
            </w:r>
          </w:p>
        </w:tc>
      </w:tr>
      <w:tr w:rsidR="006E7D70" w:rsidTr="00B270DF" w14:paraId="376A249E"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6E7D70" w:rsidP="00354B7F" w:rsidRDefault="006E7D70" w14:paraId="46558B04" w14:textId="389D2600">
            <w:pPr>
              <w:pStyle w:val="NormalinTableHanging"/>
            </w:pPr>
            <w:r>
              <w:t>SWWH014</w:t>
            </w:r>
            <w:r w:rsidR="00B10A6A">
              <w:t>-07</w:t>
            </w:r>
            <w:r>
              <w:t>*</w:t>
            </w:r>
          </w:p>
        </w:tc>
        <w:tc>
          <w:tcPr>
            <w:tcW w:w="3060" w:type="dxa"/>
            <w:tcBorders>
              <w:top w:val="single" w:color="auto" w:sz="4" w:space="0"/>
              <w:left w:val="single" w:color="auto" w:sz="4" w:space="0"/>
              <w:bottom w:val="single" w:color="auto" w:sz="4" w:space="0"/>
              <w:right w:val="single" w:color="auto" w:sz="4" w:space="0"/>
            </w:tcBorders>
          </w:tcPr>
          <w:p w:rsidR="006E7D70" w:rsidP="00354B7F" w:rsidRDefault="000C2D9D" w14:paraId="5AC2EB53" w14:textId="3FA524AF">
            <w:pPr>
              <w:pStyle w:val="NormalinTableHanging"/>
            </w:pPr>
            <w:r>
              <w:t>Heat Pump Water Heater, Residential</w:t>
            </w:r>
          </w:p>
        </w:tc>
        <w:tc>
          <w:tcPr>
            <w:tcW w:w="2250" w:type="dxa"/>
            <w:tcBorders>
              <w:top w:val="single" w:color="auto" w:sz="4" w:space="0"/>
              <w:left w:val="single" w:color="auto" w:sz="4" w:space="0"/>
              <w:bottom w:val="single" w:color="auto" w:sz="4" w:space="0"/>
              <w:right w:val="single" w:color="auto" w:sz="4" w:space="0"/>
            </w:tcBorders>
          </w:tcPr>
          <w:p w:rsidR="006E7D70" w:rsidP="00354B7F" w:rsidRDefault="0070777E" w14:paraId="02CAA4F3" w14:textId="5387CDB7">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6E7D70" w:rsidP="00354B7F" w:rsidRDefault="000C2D9D" w14:paraId="3326B0EE" w14:textId="7EC9F573">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6E7D70" w:rsidP="00354B7F" w:rsidRDefault="000C2D9D" w14:paraId="6E5E6C35" w14:textId="599D42A4">
            <w:pPr>
              <w:pStyle w:val="NormalinTableHanging"/>
            </w:pPr>
            <w:r>
              <w:t>SCE</w:t>
            </w:r>
          </w:p>
        </w:tc>
      </w:tr>
      <w:tr w:rsidR="00A15259" w:rsidTr="00B270DF" w14:paraId="7FBD2089"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A15259" w:rsidP="00354B7F" w:rsidRDefault="00A15259" w14:paraId="501ADAD7" w14:textId="49FC2F29">
            <w:pPr>
              <w:pStyle w:val="NormalinTableHanging"/>
            </w:pPr>
            <w:r>
              <w:t>SWWH016-05*</w:t>
            </w:r>
          </w:p>
        </w:tc>
        <w:tc>
          <w:tcPr>
            <w:tcW w:w="3060" w:type="dxa"/>
            <w:tcBorders>
              <w:top w:val="single" w:color="auto" w:sz="4" w:space="0"/>
              <w:left w:val="single" w:color="auto" w:sz="4" w:space="0"/>
              <w:bottom w:val="single" w:color="auto" w:sz="4" w:space="0"/>
              <w:right w:val="single" w:color="auto" w:sz="4" w:space="0"/>
            </w:tcBorders>
          </w:tcPr>
          <w:p w:rsidR="00A15259" w:rsidP="00354B7F" w:rsidRDefault="00A15259" w14:paraId="314A3735" w14:textId="25769E99">
            <w:pPr>
              <w:pStyle w:val="NormalinTableHanging"/>
            </w:pPr>
            <w:r>
              <w:t>Domestic Hot Water Loop</w:t>
            </w:r>
            <w:r w:rsidR="00B30821">
              <w:t xml:space="preserve"> Temperature Controller, Multifamily &amp; Commercial</w:t>
            </w:r>
          </w:p>
        </w:tc>
        <w:tc>
          <w:tcPr>
            <w:tcW w:w="2250" w:type="dxa"/>
            <w:tcBorders>
              <w:top w:val="single" w:color="auto" w:sz="4" w:space="0"/>
              <w:left w:val="single" w:color="auto" w:sz="4" w:space="0"/>
              <w:bottom w:val="single" w:color="auto" w:sz="4" w:space="0"/>
              <w:right w:val="single" w:color="auto" w:sz="4" w:space="0"/>
            </w:tcBorders>
          </w:tcPr>
          <w:p w:rsidR="00A15259" w:rsidDel="0070777E" w:rsidP="00354B7F" w:rsidRDefault="00B30821" w14:paraId="0734C293" w14:textId="32B5858B">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A15259" w:rsidP="00354B7F" w:rsidRDefault="00B30821" w14:paraId="0E193E79" w14:textId="0CA11366">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A15259" w:rsidP="00354B7F" w:rsidRDefault="00B30821" w14:paraId="797E5CDA" w14:textId="5437F346">
            <w:pPr>
              <w:pStyle w:val="NormalinTableHanging"/>
            </w:pPr>
            <w:r>
              <w:t>SCG</w:t>
            </w:r>
          </w:p>
        </w:tc>
      </w:tr>
      <w:tr w:rsidR="00370ACE" w:rsidTr="00B270DF" w14:paraId="3C806BEC"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370ACE" w:rsidP="00354B7F" w:rsidRDefault="00370ACE" w14:paraId="5E70B23F" w14:textId="20E25633">
            <w:pPr>
              <w:pStyle w:val="NormalinTableHanging"/>
            </w:pPr>
            <w:r>
              <w:t>SWWH017-05</w:t>
            </w:r>
          </w:p>
        </w:tc>
        <w:tc>
          <w:tcPr>
            <w:tcW w:w="3060" w:type="dxa"/>
            <w:tcBorders>
              <w:top w:val="single" w:color="auto" w:sz="4" w:space="0"/>
              <w:left w:val="single" w:color="auto" w:sz="4" w:space="0"/>
              <w:bottom w:val="single" w:color="auto" w:sz="4" w:space="0"/>
              <w:right w:val="single" w:color="auto" w:sz="4" w:space="0"/>
            </w:tcBorders>
          </w:tcPr>
          <w:p w:rsidR="00370ACE" w:rsidP="00354B7F" w:rsidRDefault="003C0345" w14:paraId="247310D3" w14:textId="4CE41279">
            <w:pPr>
              <w:pStyle w:val="NormalinTableHanging"/>
            </w:pPr>
            <w:r>
              <w:t xml:space="preserve">Hot Water Pipe </w:t>
            </w:r>
            <w:r w:rsidR="00675620">
              <w:t>Insulation, Nonresidential and Multifamily</w:t>
            </w:r>
          </w:p>
        </w:tc>
        <w:tc>
          <w:tcPr>
            <w:tcW w:w="2250" w:type="dxa"/>
            <w:tcBorders>
              <w:top w:val="single" w:color="auto" w:sz="4" w:space="0"/>
              <w:left w:val="single" w:color="auto" w:sz="4" w:space="0"/>
              <w:bottom w:val="single" w:color="auto" w:sz="4" w:space="0"/>
              <w:right w:val="single" w:color="auto" w:sz="4" w:space="0"/>
            </w:tcBorders>
          </w:tcPr>
          <w:p w:rsidR="00370ACE" w:rsidP="00354B7F" w:rsidRDefault="0050425B" w14:paraId="6D5944BE" w14:textId="75CDB400">
            <w:pPr>
              <w:pStyle w:val="NormalinTableHanging"/>
            </w:pPr>
            <w:r>
              <w:t>New measure</w:t>
            </w:r>
            <w:r w:rsidR="00675620">
              <w:t xml:space="preserve"> offerings</w:t>
            </w:r>
          </w:p>
        </w:tc>
        <w:tc>
          <w:tcPr>
            <w:tcW w:w="1980" w:type="dxa"/>
            <w:tcBorders>
              <w:top w:val="single" w:color="auto" w:sz="4" w:space="0"/>
              <w:left w:val="single" w:color="auto" w:sz="4" w:space="0"/>
              <w:bottom w:val="single" w:color="auto" w:sz="4" w:space="0"/>
              <w:right w:val="single" w:color="auto" w:sz="4" w:space="0"/>
            </w:tcBorders>
          </w:tcPr>
          <w:p w:rsidR="00370ACE" w:rsidP="00354B7F" w:rsidRDefault="00675620" w14:paraId="14AF21EA" w14:textId="51904F46">
            <w:pPr>
              <w:pStyle w:val="NormalinTableHanging"/>
            </w:pPr>
            <w:r>
              <w:t>2024, effective upon approval</w:t>
            </w:r>
          </w:p>
        </w:tc>
        <w:tc>
          <w:tcPr>
            <w:tcW w:w="1080" w:type="dxa"/>
            <w:tcBorders>
              <w:top w:val="single" w:color="auto" w:sz="4" w:space="0"/>
              <w:left w:val="single" w:color="auto" w:sz="4" w:space="0"/>
              <w:bottom w:val="single" w:color="auto" w:sz="4" w:space="0"/>
              <w:right w:val="single" w:color="auto" w:sz="4" w:space="0"/>
            </w:tcBorders>
          </w:tcPr>
          <w:p w:rsidR="00370ACE" w:rsidP="00354B7F" w:rsidRDefault="00675620" w14:paraId="1DB4CF46" w14:textId="06320047">
            <w:pPr>
              <w:pStyle w:val="NormalinTableHanging"/>
            </w:pPr>
            <w:r>
              <w:t>SCG</w:t>
            </w:r>
          </w:p>
        </w:tc>
      </w:tr>
      <w:tr w:rsidR="00762BD1" w:rsidTr="00B270DF" w14:paraId="2026490C"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762BD1" w:rsidP="00354B7F" w:rsidRDefault="00762BD1" w14:paraId="5F9B6D37" w14:textId="72218EE7">
            <w:pPr>
              <w:pStyle w:val="NormalinTableHanging"/>
            </w:pPr>
            <w:r>
              <w:t>SWWH019-0</w:t>
            </w:r>
            <w:r w:rsidR="000774C1">
              <w:t>5</w:t>
            </w:r>
          </w:p>
        </w:tc>
        <w:tc>
          <w:tcPr>
            <w:tcW w:w="3060" w:type="dxa"/>
            <w:tcBorders>
              <w:top w:val="single" w:color="auto" w:sz="4" w:space="0"/>
              <w:left w:val="single" w:color="auto" w:sz="4" w:space="0"/>
              <w:bottom w:val="single" w:color="auto" w:sz="4" w:space="0"/>
              <w:right w:val="single" w:color="auto" w:sz="4" w:space="0"/>
            </w:tcBorders>
          </w:tcPr>
          <w:p w:rsidR="00762BD1" w:rsidP="00354B7F" w:rsidRDefault="000774C1" w14:paraId="68B9B84F" w14:textId="7F040735">
            <w:pPr>
              <w:pStyle w:val="NormalinTableHanging"/>
            </w:pPr>
            <w:r>
              <w:t>Faucet Aerator, Commercial</w:t>
            </w:r>
          </w:p>
        </w:tc>
        <w:tc>
          <w:tcPr>
            <w:tcW w:w="2250" w:type="dxa"/>
            <w:tcBorders>
              <w:top w:val="single" w:color="auto" w:sz="4" w:space="0"/>
              <w:left w:val="single" w:color="auto" w:sz="4" w:space="0"/>
              <w:bottom w:val="single" w:color="auto" w:sz="4" w:space="0"/>
              <w:right w:val="single" w:color="auto" w:sz="4" w:space="0"/>
            </w:tcBorders>
          </w:tcPr>
          <w:p w:rsidR="00762BD1" w:rsidP="00354B7F" w:rsidRDefault="0050425B" w14:paraId="37E0AD07" w14:textId="00B509D2">
            <w:pPr>
              <w:pStyle w:val="NormalinTableHanging"/>
            </w:pPr>
            <w:r>
              <w:t>New measure</w:t>
            </w:r>
            <w:r w:rsidR="000774C1">
              <w:t xml:space="preserve"> offerings</w:t>
            </w:r>
          </w:p>
        </w:tc>
        <w:tc>
          <w:tcPr>
            <w:tcW w:w="1980" w:type="dxa"/>
            <w:tcBorders>
              <w:top w:val="single" w:color="auto" w:sz="4" w:space="0"/>
              <w:left w:val="single" w:color="auto" w:sz="4" w:space="0"/>
              <w:bottom w:val="single" w:color="auto" w:sz="4" w:space="0"/>
              <w:right w:val="single" w:color="auto" w:sz="4" w:space="0"/>
            </w:tcBorders>
          </w:tcPr>
          <w:p w:rsidR="00762BD1" w:rsidP="00354B7F" w:rsidRDefault="000774C1" w14:paraId="415AC8D3" w14:textId="41BD2589">
            <w:pPr>
              <w:pStyle w:val="NormalinTableHanging"/>
            </w:pPr>
            <w:r>
              <w:t>2024, effective upon approval</w:t>
            </w:r>
          </w:p>
        </w:tc>
        <w:tc>
          <w:tcPr>
            <w:tcW w:w="1080" w:type="dxa"/>
            <w:tcBorders>
              <w:top w:val="single" w:color="auto" w:sz="4" w:space="0"/>
              <w:left w:val="single" w:color="auto" w:sz="4" w:space="0"/>
              <w:bottom w:val="single" w:color="auto" w:sz="4" w:space="0"/>
              <w:right w:val="single" w:color="auto" w:sz="4" w:space="0"/>
            </w:tcBorders>
          </w:tcPr>
          <w:p w:rsidR="00762BD1" w:rsidP="00354B7F" w:rsidRDefault="000774C1" w14:paraId="52D713FA" w14:textId="6200A66E">
            <w:pPr>
              <w:pStyle w:val="NormalinTableHanging"/>
            </w:pPr>
            <w:r>
              <w:t>SCG</w:t>
            </w:r>
          </w:p>
        </w:tc>
      </w:tr>
      <w:tr w:rsidR="00CD395B" w:rsidTr="00B270DF" w14:paraId="11FBF6C0"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CD395B" w:rsidP="00354B7F" w:rsidRDefault="00CD395B" w14:paraId="26CB3360" w14:textId="0483645E">
            <w:pPr>
              <w:pStyle w:val="NormalinTableHanging"/>
            </w:pPr>
            <w:r>
              <w:t>SWWH020-05</w:t>
            </w:r>
          </w:p>
        </w:tc>
        <w:tc>
          <w:tcPr>
            <w:tcW w:w="3060" w:type="dxa"/>
            <w:tcBorders>
              <w:top w:val="single" w:color="auto" w:sz="4" w:space="0"/>
              <w:left w:val="single" w:color="auto" w:sz="4" w:space="0"/>
              <w:bottom w:val="single" w:color="auto" w:sz="4" w:space="0"/>
              <w:right w:val="single" w:color="auto" w:sz="4" w:space="0"/>
            </w:tcBorders>
          </w:tcPr>
          <w:p w:rsidR="00CD395B" w:rsidP="00354B7F" w:rsidRDefault="00CD395B" w14:paraId="5C7EB0C1" w14:textId="1BFEF37E">
            <w:pPr>
              <w:pStyle w:val="NormalinTableHanging"/>
            </w:pPr>
            <w:r>
              <w:t>Low-Flow Showerhead, Commercial</w:t>
            </w:r>
          </w:p>
        </w:tc>
        <w:tc>
          <w:tcPr>
            <w:tcW w:w="2250" w:type="dxa"/>
            <w:tcBorders>
              <w:top w:val="single" w:color="auto" w:sz="4" w:space="0"/>
              <w:left w:val="single" w:color="auto" w:sz="4" w:space="0"/>
              <w:bottom w:val="single" w:color="auto" w:sz="4" w:space="0"/>
              <w:right w:val="single" w:color="auto" w:sz="4" w:space="0"/>
            </w:tcBorders>
          </w:tcPr>
          <w:p w:rsidR="00CD395B" w:rsidP="00354B7F" w:rsidRDefault="0050425B" w14:paraId="034FD5E0" w14:textId="517AE958">
            <w:pPr>
              <w:pStyle w:val="NormalinTableHanging"/>
            </w:pPr>
            <w:r>
              <w:t>New measure</w:t>
            </w:r>
            <w:r w:rsidR="00CD395B">
              <w:t xml:space="preserve"> offerings</w:t>
            </w:r>
          </w:p>
        </w:tc>
        <w:tc>
          <w:tcPr>
            <w:tcW w:w="1980" w:type="dxa"/>
            <w:tcBorders>
              <w:top w:val="single" w:color="auto" w:sz="4" w:space="0"/>
              <w:left w:val="single" w:color="auto" w:sz="4" w:space="0"/>
              <w:bottom w:val="single" w:color="auto" w:sz="4" w:space="0"/>
              <w:right w:val="single" w:color="auto" w:sz="4" w:space="0"/>
            </w:tcBorders>
          </w:tcPr>
          <w:p w:rsidR="00CD395B" w:rsidP="00354B7F" w:rsidRDefault="00CD395B" w14:paraId="28CCAC39" w14:textId="1994EE1C">
            <w:pPr>
              <w:pStyle w:val="NormalinTableHanging"/>
            </w:pPr>
            <w:r>
              <w:t>2024, effective upon approval</w:t>
            </w:r>
          </w:p>
        </w:tc>
        <w:tc>
          <w:tcPr>
            <w:tcW w:w="1080" w:type="dxa"/>
            <w:tcBorders>
              <w:top w:val="single" w:color="auto" w:sz="4" w:space="0"/>
              <w:left w:val="single" w:color="auto" w:sz="4" w:space="0"/>
              <w:bottom w:val="single" w:color="auto" w:sz="4" w:space="0"/>
              <w:right w:val="single" w:color="auto" w:sz="4" w:space="0"/>
            </w:tcBorders>
          </w:tcPr>
          <w:p w:rsidR="00CD395B" w:rsidP="00354B7F" w:rsidRDefault="00CD395B" w14:paraId="4EF7C2E0" w14:textId="0CFB74BE">
            <w:pPr>
              <w:pStyle w:val="NormalinTableHanging"/>
            </w:pPr>
            <w:r>
              <w:t>SCG</w:t>
            </w:r>
          </w:p>
        </w:tc>
      </w:tr>
      <w:tr w:rsidR="000C2D9D" w:rsidTr="00B270DF" w14:paraId="5C372526"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0C2D9D" w:rsidP="00354B7F" w:rsidRDefault="000C2D9D" w14:paraId="07800832" w14:textId="2EB5039D">
            <w:pPr>
              <w:pStyle w:val="NormalinTableHanging"/>
            </w:pPr>
            <w:r>
              <w:t>SWWH025</w:t>
            </w:r>
            <w:r w:rsidR="00895F2D">
              <w:t>-09</w:t>
            </w:r>
            <w:r>
              <w:t>*</w:t>
            </w:r>
          </w:p>
        </w:tc>
        <w:tc>
          <w:tcPr>
            <w:tcW w:w="3060" w:type="dxa"/>
            <w:tcBorders>
              <w:top w:val="single" w:color="auto" w:sz="4" w:space="0"/>
              <w:left w:val="single" w:color="auto" w:sz="4" w:space="0"/>
              <w:bottom w:val="single" w:color="auto" w:sz="4" w:space="0"/>
              <w:right w:val="single" w:color="auto" w:sz="4" w:space="0"/>
            </w:tcBorders>
          </w:tcPr>
          <w:p w:rsidR="000C2D9D" w:rsidP="00354B7F" w:rsidRDefault="000C2D9D" w14:paraId="55C71751" w14:textId="3777C585">
            <w:pPr>
              <w:pStyle w:val="NormalinTableHanging"/>
            </w:pPr>
            <w:r>
              <w:t>Heat Pump Water Heater, Residential, Fuel Substitution</w:t>
            </w:r>
          </w:p>
        </w:tc>
        <w:tc>
          <w:tcPr>
            <w:tcW w:w="2250" w:type="dxa"/>
            <w:tcBorders>
              <w:top w:val="single" w:color="auto" w:sz="4" w:space="0"/>
              <w:left w:val="single" w:color="auto" w:sz="4" w:space="0"/>
              <w:bottom w:val="single" w:color="auto" w:sz="4" w:space="0"/>
              <w:right w:val="single" w:color="auto" w:sz="4" w:space="0"/>
            </w:tcBorders>
          </w:tcPr>
          <w:p w:rsidR="000C2D9D" w:rsidP="00354B7F" w:rsidRDefault="00D962FA" w14:paraId="51D65E42" w14:textId="33998F11">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0C2D9D" w:rsidP="00354B7F" w:rsidRDefault="000C2D9D" w14:paraId="27EAF008" w14:textId="476CC54E">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0C2D9D" w:rsidP="00354B7F" w:rsidRDefault="000C2D9D" w14:paraId="7B072584" w14:textId="7BBAA05C">
            <w:pPr>
              <w:pStyle w:val="NormalinTableHanging"/>
            </w:pPr>
            <w:r>
              <w:t>SCE</w:t>
            </w:r>
          </w:p>
        </w:tc>
      </w:tr>
      <w:tr w:rsidR="000774C1" w:rsidTr="00B270DF" w14:paraId="3C3BEADA"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0774C1" w:rsidP="00354B7F" w:rsidRDefault="000774C1" w14:paraId="782318B2" w14:textId="1DE7C41A">
            <w:pPr>
              <w:pStyle w:val="NormalinTableHanging"/>
            </w:pPr>
            <w:r>
              <w:t>SWWH026-0</w:t>
            </w:r>
            <w:r w:rsidR="00E31F36">
              <w:t>3</w:t>
            </w:r>
          </w:p>
        </w:tc>
        <w:tc>
          <w:tcPr>
            <w:tcW w:w="3060" w:type="dxa"/>
            <w:tcBorders>
              <w:top w:val="single" w:color="auto" w:sz="4" w:space="0"/>
              <w:left w:val="single" w:color="auto" w:sz="4" w:space="0"/>
              <w:bottom w:val="single" w:color="auto" w:sz="4" w:space="0"/>
              <w:right w:val="single" w:color="auto" w:sz="4" w:space="0"/>
            </w:tcBorders>
          </w:tcPr>
          <w:p w:rsidR="000774C1" w:rsidP="00354B7F" w:rsidRDefault="00E31F36" w14:paraId="75774A6A" w14:textId="314415FE">
            <w:pPr>
              <w:pStyle w:val="NormalinTableHanging"/>
            </w:pPr>
            <w:r>
              <w:t>Water Heater Pipe Wrap, Residential</w:t>
            </w:r>
          </w:p>
        </w:tc>
        <w:tc>
          <w:tcPr>
            <w:tcW w:w="2250" w:type="dxa"/>
            <w:tcBorders>
              <w:top w:val="single" w:color="auto" w:sz="4" w:space="0"/>
              <w:left w:val="single" w:color="auto" w:sz="4" w:space="0"/>
              <w:bottom w:val="single" w:color="auto" w:sz="4" w:space="0"/>
              <w:right w:val="single" w:color="auto" w:sz="4" w:space="0"/>
            </w:tcBorders>
          </w:tcPr>
          <w:p w:rsidR="000774C1" w:rsidP="00354B7F" w:rsidRDefault="0050425B" w14:paraId="7C6EB81E" w14:textId="466EBBB9">
            <w:pPr>
              <w:pStyle w:val="NormalinTableHanging"/>
            </w:pPr>
            <w:r>
              <w:t>New measure</w:t>
            </w:r>
            <w:r w:rsidR="00E31F36">
              <w:t xml:space="preserve"> offerings</w:t>
            </w:r>
          </w:p>
        </w:tc>
        <w:tc>
          <w:tcPr>
            <w:tcW w:w="1980" w:type="dxa"/>
            <w:tcBorders>
              <w:top w:val="single" w:color="auto" w:sz="4" w:space="0"/>
              <w:left w:val="single" w:color="auto" w:sz="4" w:space="0"/>
              <w:bottom w:val="single" w:color="auto" w:sz="4" w:space="0"/>
              <w:right w:val="single" w:color="auto" w:sz="4" w:space="0"/>
            </w:tcBorders>
          </w:tcPr>
          <w:p w:rsidR="000774C1" w:rsidP="00354B7F" w:rsidRDefault="00E31F36" w14:paraId="3E9A6197" w14:textId="1D48BC97">
            <w:pPr>
              <w:pStyle w:val="NormalinTableHanging"/>
            </w:pPr>
            <w:r>
              <w:t>2024, effective upon approval</w:t>
            </w:r>
          </w:p>
        </w:tc>
        <w:tc>
          <w:tcPr>
            <w:tcW w:w="1080" w:type="dxa"/>
            <w:tcBorders>
              <w:top w:val="single" w:color="auto" w:sz="4" w:space="0"/>
              <w:left w:val="single" w:color="auto" w:sz="4" w:space="0"/>
              <w:bottom w:val="single" w:color="auto" w:sz="4" w:space="0"/>
              <w:right w:val="single" w:color="auto" w:sz="4" w:space="0"/>
            </w:tcBorders>
          </w:tcPr>
          <w:p w:rsidR="000774C1" w:rsidP="00354B7F" w:rsidRDefault="00E31F36" w14:paraId="439EC016" w14:textId="0BCCAACF">
            <w:pPr>
              <w:pStyle w:val="NormalinTableHanging"/>
            </w:pPr>
            <w:r>
              <w:t>SCG</w:t>
            </w:r>
          </w:p>
        </w:tc>
      </w:tr>
      <w:tr w:rsidR="00E21599" w:rsidTr="00B270DF" w14:paraId="5ABF3AD2"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E21599" w:rsidP="00354B7F" w:rsidRDefault="00E21599" w14:paraId="5789C6EF" w14:textId="36B2F7F0">
            <w:pPr>
              <w:pStyle w:val="NormalinTableHanging"/>
            </w:pPr>
            <w:r>
              <w:t>SWWH026-05*</w:t>
            </w:r>
          </w:p>
        </w:tc>
        <w:tc>
          <w:tcPr>
            <w:tcW w:w="3060" w:type="dxa"/>
            <w:tcBorders>
              <w:top w:val="single" w:color="auto" w:sz="4" w:space="0"/>
              <w:left w:val="single" w:color="auto" w:sz="4" w:space="0"/>
              <w:bottom w:val="single" w:color="auto" w:sz="4" w:space="0"/>
              <w:right w:val="single" w:color="auto" w:sz="4" w:space="0"/>
            </w:tcBorders>
          </w:tcPr>
          <w:p w:rsidR="00E21599" w:rsidP="00354B7F" w:rsidRDefault="00E21599" w14:paraId="5BA19477" w14:textId="284CF759">
            <w:pPr>
              <w:pStyle w:val="NormalinTableHanging"/>
            </w:pPr>
            <w:r>
              <w:t>Water Heater Pipe Wrap, Residential</w:t>
            </w:r>
          </w:p>
        </w:tc>
        <w:tc>
          <w:tcPr>
            <w:tcW w:w="2250" w:type="dxa"/>
            <w:tcBorders>
              <w:top w:val="single" w:color="auto" w:sz="4" w:space="0"/>
              <w:left w:val="single" w:color="auto" w:sz="4" w:space="0"/>
              <w:bottom w:val="single" w:color="auto" w:sz="4" w:space="0"/>
              <w:right w:val="single" w:color="auto" w:sz="4" w:space="0"/>
            </w:tcBorders>
          </w:tcPr>
          <w:p w:rsidR="00E21599" w:rsidP="00354B7F" w:rsidRDefault="00E21599" w14:paraId="60C98AAC" w14:textId="1504CA3A">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E21599" w:rsidP="00354B7F" w:rsidRDefault="00E21599" w14:paraId="2ED9C27A" w14:textId="1A377CD5">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E21599" w:rsidP="00354B7F" w:rsidRDefault="00E21599" w14:paraId="73067B90" w14:textId="74701D8E">
            <w:pPr>
              <w:pStyle w:val="NormalinTableHanging"/>
            </w:pPr>
            <w:r>
              <w:t>SCG</w:t>
            </w:r>
          </w:p>
        </w:tc>
      </w:tr>
      <w:tr w:rsidR="00706615" w:rsidTr="00B270DF" w14:paraId="7825D4BE"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706615" w:rsidP="00706615" w:rsidRDefault="00706615" w14:paraId="74D5BC4F" w14:textId="34A6BDD1">
            <w:pPr>
              <w:pStyle w:val="NormalinTableHanging"/>
            </w:pPr>
            <w:r>
              <w:t>SWWH027</w:t>
            </w:r>
            <w:r w:rsidR="00C403E9">
              <w:t>-06</w:t>
            </w:r>
            <w:r>
              <w:t>*</w:t>
            </w:r>
          </w:p>
        </w:tc>
        <w:tc>
          <w:tcPr>
            <w:tcW w:w="3060" w:type="dxa"/>
            <w:tcBorders>
              <w:top w:val="single" w:color="auto" w:sz="4" w:space="0"/>
              <w:left w:val="single" w:color="auto" w:sz="4" w:space="0"/>
              <w:bottom w:val="single" w:color="auto" w:sz="4" w:space="0"/>
              <w:right w:val="single" w:color="auto" w:sz="4" w:space="0"/>
            </w:tcBorders>
          </w:tcPr>
          <w:p w:rsidR="00706615" w:rsidP="00706615" w:rsidRDefault="00706615" w14:paraId="46A61112" w14:textId="0DA0F89E">
            <w:pPr>
              <w:pStyle w:val="NormalinTableHanging"/>
            </w:pPr>
            <w:r>
              <w:t>Heat Pump Water Heater, Commercial, Fuel Substitution</w:t>
            </w:r>
          </w:p>
        </w:tc>
        <w:tc>
          <w:tcPr>
            <w:tcW w:w="2250" w:type="dxa"/>
            <w:tcBorders>
              <w:top w:val="single" w:color="auto" w:sz="4" w:space="0"/>
              <w:left w:val="single" w:color="auto" w:sz="4" w:space="0"/>
              <w:bottom w:val="single" w:color="auto" w:sz="4" w:space="0"/>
              <w:right w:val="single" w:color="auto" w:sz="4" w:space="0"/>
            </w:tcBorders>
          </w:tcPr>
          <w:p w:rsidR="00706615" w:rsidP="00706615" w:rsidRDefault="00D962FA" w14:paraId="6BE9A871" w14:textId="49CD0877">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706615" w:rsidP="00706615" w:rsidRDefault="00706615" w14:paraId="7DEFED22" w14:textId="6E73AE50">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706615" w:rsidP="00706615" w:rsidRDefault="00706615" w14:paraId="78693BBE" w14:textId="66F3331D">
            <w:pPr>
              <w:pStyle w:val="NormalinTableHanging"/>
            </w:pPr>
            <w:r>
              <w:t>SCE</w:t>
            </w:r>
          </w:p>
        </w:tc>
      </w:tr>
      <w:tr w:rsidR="004B3017" w:rsidTr="00B270DF" w14:paraId="463FFEC6"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4B3017" w:rsidP="00354B7F" w:rsidRDefault="004B3017" w14:paraId="0FA3F943" w14:textId="41620BE2">
            <w:pPr>
              <w:pStyle w:val="NormalinTableHanging"/>
            </w:pPr>
            <w:r>
              <w:lastRenderedPageBreak/>
              <w:t>SWWH028-04</w:t>
            </w:r>
          </w:p>
        </w:tc>
        <w:tc>
          <w:tcPr>
            <w:tcW w:w="3060" w:type="dxa"/>
            <w:tcBorders>
              <w:top w:val="single" w:color="auto" w:sz="4" w:space="0"/>
              <w:left w:val="single" w:color="auto" w:sz="4" w:space="0"/>
              <w:bottom w:val="single" w:color="auto" w:sz="4" w:space="0"/>
              <w:right w:val="single" w:color="auto" w:sz="4" w:space="0"/>
            </w:tcBorders>
          </w:tcPr>
          <w:p w:rsidR="004B3017" w:rsidP="00354B7F" w:rsidRDefault="00804687" w14:paraId="209E2BA0" w14:textId="106A7CD0">
            <w:pPr>
              <w:pStyle w:val="NormalinTableHanging"/>
            </w:pPr>
            <w:r>
              <w:t>Large Heat Pump Water Heater</w:t>
            </w:r>
            <w:r w:rsidR="009360CD">
              <w:t>, Commercial and Multifamily, Fuel Substitution</w:t>
            </w:r>
          </w:p>
        </w:tc>
        <w:tc>
          <w:tcPr>
            <w:tcW w:w="2250" w:type="dxa"/>
            <w:tcBorders>
              <w:top w:val="single" w:color="auto" w:sz="4" w:space="0"/>
              <w:left w:val="single" w:color="auto" w:sz="4" w:space="0"/>
              <w:bottom w:val="single" w:color="auto" w:sz="4" w:space="0"/>
              <w:right w:val="single" w:color="auto" w:sz="4" w:space="0"/>
            </w:tcBorders>
          </w:tcPr>
          <w:p w:rsidR="004B3017" w:rsidP="00354B7F" w:rsidRDefault="009360CD" w14:paraId="6EFC5A03" w14:textId="2933392F">
            <w:pPr>
              <w:pStyle w:val="NormalinTableHanging"/>
            </w:pPr>
            <w:r>
              <w:t>Error correction</w:t>
            </w:r>
          </w:p>
        </w:tc>
        <w:tc>
          <w:tcPr>
            <w:tcW w:w="1980" w:type="dxa"/>
            <w:tcBorders>
              <w:top w:val="single" w:color="auto" w:sz="4" w:space="0"/>
              <w:left w:val="single" w:color="auto" w:sz="4" w:space="0"/>
              <w:bottom w:val="single" w:color="auto" w:sz="4" w:space="0"/>
              <w:right w:val="single" w:color="auto" w:sz="4" w:space="0"/>
            </w:tcBorders>
          </w:tcPr>
          <w:p w:rsidR="004B3017" w:rsidP="00354B7F" w:rsidRDefault="009360CD" w14:paraId="62160A77" w14:textId="3654BA31">
            <w:pPr>
              <w:pStyle w:val="NormalinTableHanging"/>
            </w:pPr>
            <w:r>
              <w:t>2024</w:t>
            </w:r>
          </w:p>
        </w:tc>
        <w:tc>
          <w:tcPr>
            <w:tcW w:w="1080" w:type="dxa"/>
            <w:tcBorders>
              <w:top w:val="single" w:color="auto" w:sz="4" w:space="0"/>
              <w:left w:val="single" w:color="auto" w:sz="4" w:space="0"/>
              <w:bottom w:val="single" w:color="auto" w:sz="4" w:space="0"/>
              <w:right w:val="single" w:color="auto" w:sz="4" w:space="0"/>
            </w:tcBorders>
          </w:tcPr>
          <w:p w:rsidR="004B3017" w:rsidP="00354B7F" w:rsidRDefault="009360CD" w14:paraId="029C6E4C" w14:textId="218D9D74">
            <w:pPr>
              <w:pStyle w:val="NormalinTableHanging"/>
            </w:pPr>
            <w:r>
              <w:t>SCE</w:t>
            </w:r>
          </w:p>
        </w:tc>
      </w:tr>
      <w:tr w:rsidR="00706615" w:rsidTr="00B270DF" w14:paraId="5E13ADD8"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706615" w:rsidP="00354B7F" w:rsidRDefault="00706615" w14:paraId="5BDD87B9" w14:textId="1F7D65EE">
            <w:pPr>
              <w:pStyle w:val="NormalinTableHanging"/>
            </w:pPr>
            <w:r>
              <w:t>SWWH028-0</w:t>
            </w:r>
            <w:r w:rsidR="00A61A55">
              <w:t>6*</w:t>
            </w:r>
          </w:p>
        </w:tc>
        <w:tc>
          <w:tcPr>
            <w:tcW w:w="3060" w:type="dxa"/>
            <w:tcBorders>
              <w:top w:val="single" w:color="auto" w:sz="4" w:space="0"/>
              <w:left w:val="single" w:color="auto" w:sz="4" w:space="0"/>
              <w:bottom w:val="single" w:color="auto" w:sz="4" w:space="0"/>
              <w:right w:val="single" w:color="auto" w:sz="4" w:space="0"/>
            </w:tcBorders>
          </w:tcPr>
          <w:p w:rsidR="00706615" w:rsidP="00354B7F" w:rsidRDefault="00706615" w14:paraId="5CACB74C" w14:textId="0EDD0CA6">
            <w:pPr>
              <w:pStyle w:val="NormalinTableHanging"/>
            </w:pPr>
            <w:r>
              <w:t>Large Heat Pump Water Heater, Commercial and Multifamily, Fuel Substitution</w:t>
            </w:r>
          </w:p>
        </w:tc>
        <w:tc>
          <w:tcPr>
            <w:tcW w:w="2250" w:type="dxa"/>
            <w:tcBorders>
              <w:top w:val="single" w:color="auto" w:sz="4" w:space="0"/>
              <w:left w:val="single" w:color="auto" w:sz="4" w:space="0"/>
              <w:bottom w:val="single" w:color="auto" w:sz="4" w:space="0"/>
              <w:right w:val="single" w:color="auto" w:sz="4" w:space="0"/>
            </w:tcBorders>
          </w:tcPr>
          <w:p w:rsidR="00706615" w:rsidP="00354B7F" w:rsidRDefault="00D962FA" w14:paraId="6900B872" w14:textId="5A5B1918">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706615" w:rsidP="00354B7F" w:rsidRDefault="00706615" w14:paraId="5BB0E573" w14:textId="02AE3A1D">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706615" w:rsidP="00354B7F" w:rsidRDefault="00706615" w14:paraId="2C5F462B" w14:textId="1F8F0D9C">
            <w:pPr>
              <w:pStyle w:val="NormalinTableHanging"/>
            </w:pPr>
            <w:r>
              <w:t>SCE</w:t>
            </w:r>
          </w:p>
        </w:tc>
      </w:tr>
      <w:tr w:rsidR="00706615" w:rsidTr="00B270DF" w14:paraId="0BB2F6FF" w14:textId="77777777">
        <w:trPr>
          <w:cantSplit/>
          <w:trHeight w:val="300"/>
        </w:trPr>
        <w:tc>
          <w:tcPr>
            <w:tcW w:w="1795" w:type="dxa"/>
            <w:tcBorders>
              <w:top w:val="single" w:color="auto" w:sz="4" w:space="0"/>
              <w:left w:val="single" w:color="auto" w:sz="4" w:space="0"/>
              <w:bottom w:val="single" w:color="auto" w:sz="4" w:space="0"/>
              <w:right w:val="single" w:color="auto" w:sz="4" w:space="0"/>
            </w:tcBorders>
          </w:tcPr>
          <w:p w:rsidR="00706615" w:rsidP="00354B7F" w:rsidRDefault="00706615" w14:paraId="652FFD43" w14:textId="50DF6F0D">
            <w:pPr>
              <w:pStyle w:val="NormalinTableHanging"/>
            </w:pPr>
            <w:r>
              <w:t>SWWH031</w:t>
            </w:r>
            <w:r w:rsidR="00EB0F68">
              <w:t>-</w:t>
            </w:r>
            <w:r w:rsidR="008A46F4">
              <w:t>0</w:t>
            </w:r>
            <w:r w:rsidR="00F65BE8">
              <w:t>5*</w:t>
            </w:r>
          </w:p>
        </w:tc>
        <w:tc>
          <w:tcPr>
            <w:tcW w:w="3060" w:type="dxa"/>
            <w:tcBorders>
              <w:top w:val="single" w:color="auto" w:sz="4" w:space="0"/>
              <w:left w:val="single" w:color="auto" w:sz="4" w:space="0"/>
              <w:bottom w:val="single" w:color="auto" w:sz="4" w:space="0"/>
              <w:right w:val="single" w:color="auto" w:sz="4" w:space="0"/>
            </w:tcBorders>
          </w:tcPr>
          <w:p w:rsidR="00706615" w:rsidP="00354B7F" w:rsidRDefault="00F65BE8" w14:paraId="7D13D857" w14:textId="5F104CDC">
            <w:pPr>
              <w:pStyle w:val="NormalinTableHanging"/>
            </w:pPr>
            <w:r>
              <w:t>Heat Pump Water Heater, Commercial</w:t>
            </w:r>
          </w:p>
        </w:tc>
        <w:tc>
          <w:tcPr>
            <w:tcW w:w="2250" w:type="dxa"/>
            <w:tcBorders>
              <w:top w:val="single" w:color="auto" w:sz="4" w:space="0"/>
              <w:left w:val="single" w:color="auto" w:sz="4" w:space="0"/>
              <w:bottom w:val="single" w:color="auto" w:sz="4" w:space="0"/>
              <w:right w:val="single" w:color="auto" w:sz="4" w:space="0"/>
            </w:tcBorders>
          </w:tcPr>
          <w:p w:rsidR="00706615" w:rsidP="00354B7F" w:rsidRDefault="00D962FA" w14:paraId="7D5F7C1C" w14:textId="53AA0006">
            <w:pPr>
              <w:pStyle w:val="NormalinTableHanging"/>
            </w:pPr>
            <w:r>
              <w:t>EUL Update</w:t>
            </w:r>
          </w:p>
        </w:tc>
        <w:tc>
          <w:tcPr>
            <w:tcW w:w="1980" w:type="dxa"/>
            <w:tcBorders>
              <w:top w:val="single" w:color="auto" w:sz="4" w:space="0"/>
              <w:left w:val="single" w:color="auto" w:sz="4" w:space="0"/>
              <w:bottom w:val="single" w:color="auto" w:sz="4" w:space="0"/>
              <w:right w:val="single" w:color="auto" w:sz="4" w:space="0"/>
            </w:tcBorders>
          </w:tcPr>
          <w:p w:rsidR="00706615" w:rsidP="00354B7F" w:rsidRDefault="00F65BE8" w14:paraId="53293DC6" w14:textId="6B6F833D">
            <w:pPr>
              <w:pStyle w:val="NormalinTableHanging"/>
            </w:pPr>
            <w:r>
              <w:t>2025</w:t>
            </w:r>
          </w:p>
        </w:tc>
        <w:tc>
          <w:tcPr>
            <w:tcW w:w="1080" w:type="dxa"/>
            <w:tcBorders>
              <w:top w:val="single" w:color="auto" w:sz="4" w:space="0"/>
              <w:left w:val="single" w:color="auto" w:sz="4" w:space="0"/>
              <w:bottom w:val="single" w:color="auto" w:sz="4" w:space="0"/>
              <w:right w:val="single" w:color="auto" w:sz="4" w:space="0"/>
            </w:tcBorders>
          </w:tcPr>
          <w:p w:rsidR="00706615" w:rsidP="00354B7F" w:rsidRDefault="00F65BE8" w14:paraId="7033BBA7" w14:textId="023FEAFE">
            <w:pPr>
              <w:pStyle w:val="NormalinTableHanging"/>
            </w:pPr>
            <w:r>
              <w:t>SCE</w:t>
            </w:r>
          </w:p>
        </w:tc>
      </w:tr>
    </w:tbl>
    <w:p w:rsidRPr="00182B74" w:rsidR="006F1D80" w:rsidP="00182B74" w:rsidRDefault="00391361" w14:paraId="5EEB53FF" w14:textId="17032F29">
      <w:pPr>
        <w:pStyle w:val="Tablenote"/>
        <w:ind w:left="0" w:firstLine="0"/>
        <w:rPr>
          <w:szCs w:val="20"/>
        </w:rPr>
      </w:pPr>
      <w:r w:rsidRPr="00182B74">
        <w:t xml:space="preserve">*PY2025 measure package versions that are </w:t>
      </w:r>
      <w:r w:rsidRPr="00182B74" w:rsidR="00C45949">
        <w:rPr>
          <w:szCs w:val="20"/>
        </w:rPr>
        <w:t>not yet approved.</w:t>
      </w:r>
      <w:r w:rsidRPr="00182B74" w:rsidR="000B179F">
        <w:rPr>
          <w:szCs w:val="20"/>
        </w:rPr>
        <w:br/>
      </w:r>
    </w:p>
    <w:p w:rsidRPr="002D0423" w:rsidR="002D0423" w:rsidP="00BF246A" w:rsidRDefault="002D0423" w14:paraId="47E0833F" w14:textId="77777777">
      <w:pPr>
        <w:pStyle w:val="Tablenote"/>
      </w:pPr>
    </w:p>
    <w:p w:rsidR="006931F2" w:rsidP="006F1D80" w:rsidRDefault="006931F2" w14:paraId="1DF162F4" w14:textId="0D21EDE0">
      <w:pPr>
        <w:pStyle w:val="AppendixHeading2"/>
      </w:pPr>
      <w:bookmarkStart w:name="_Toc100839945" w:id="90"/>
      <w:bookmarkStart w:name="_Toc104200088" w:id="91"/>
      <w:r>
        <w:t>A2. PY202</w:t>
      </w:r>
      <w:r w:rsidR="001E0A63">
        <w:t>6</w:t>
      </w:r>
      <w:r>
        <w:t>-2</w:t>
      </w:r>
      <w:r w:rsidR="001E0A63">
        <w:t>7</w:t>
      </w:r>
      <w:r>
        <w:t xml:space="preserve"> Measures</w:t>
      </w:r>
      <w:bookmarkEnd w:id="90"/>
      <w:bookmarkEnd w:id="91"/>
    </w:p>
    <w:p w:rsidR="008726C8" w:rsidP="008726C8" w:rsidRDefault="006931F2" w14:paraId="2192BC7B" w14:textId="27C4022B">
      <w:pPr>
        <w:rPr>
          <w:rFonts w:ascii="Century Gothic" w:hAnsi="Century Gothic"/>
          <w:i/>
          <w:iCs/>
          <w:sz w:val="22"/>
        </w:rPr>
      </w:pPr>
      <w:r>
        <w:t xml:space="preserve">The list provided in </w:t>
      </w:r>
      <w:r>
        <w:fldChar w:fldCharType="begin"/>
      </w:r>
      <w:r>
        <w:instrText xml:space="preserve"> REF _Ref98159651 \h </w:instrText>
      </w:r>
      <w:r>
        <w:fldChar w:fldCharType="separate"/>
      </w:r>
      <w:r w:rsidR="00787722">
        <w:t>Table A2.</w:t>
      </w:r>
      <w:r w:rsidR="00787722">
        <w:rPr>
          <w:noProof/>
        </w:rPr>
        <w:t>1</w:t>
      </w:r>
      <w:r>
        <w:fldChar w:fldCharType="end"/>
      </w:r>
      <w:r>
        <w:t xml:space="preserve"> </w:t>
      </w:r>
      <w:r w:rsidR="002A65E8">
        <w:t>is current as of the adoption of the final resolution</w:t>
      </w:r>
      <w:r>
        <w:t>.</w:t>
      </w:r>
      <w:r w:rsidR="008726C8">
        <w:t xml:space="preserve"> </w:t>
      </w:r>
      <w:r w:rsidR="00EE3FC1">
        <w:t xml:space="preserve">The </w:t>
      </w:r>
      <w:proofErr w:type="spellStart"/>
      <w:r w:rsidR="00EE3FC1">
        <w:t>eTRM</w:t>
      </w:r>
      <w:proofErr w:type="spellEnd"/>
      <w:r w:rsidR="00EE3FC1">
        <w:t xml:space="preserve"> version numbers may differ from this table based on other mid-cycle versions and approvals.</w:t>
      </w:r>
      <w:r w:rsidR="008726C8">
        <w:t xml:space="preserve"> </w:t>
      </w:r>
      <w:r w:rsidR="0023594D">
        <w:t xml:space="preserve">See the </w:t>
      </w:r>
      <w:proofErr w:type="spellStart"/>
      <w:r w:rsidR="0023594D">
        <w:t>eTRM</w:t>
      </w:r>
      <w:proofErr w:type="spellEnd"/>
      <w:r w:rsidR="0023594D">
        <w:t xml:space="preserve"> for the most current version numbers.  </w:t>
      </w:r>
    </w:p>
    <w:p w:rsidR="006931F2" w:rsidP="006931F2" w:rsidRDefault="008726C8" w14:paraId="5783F739" w14:textId="155574AE">
      <w:r>
        <w:t xml:space="preserve"> </w:t>
      </w:r>
    </w:p>
    <w:p w:rsidR="006931F2" w:rsidP="006931F2" w:rsidRDefault="006931F2" w14:paraId="7CB03858" w14:textId="635A72D0">
      <w:pPr>
        <w:pStyle w:val="Caption"/>
      </w:pPr>
      <w:bookmarkStart w:name="_Ref98159651" w:id="92"/>
      <w:r>
        <w:t>Table A2.</w:t>
      </w:r>
      <w:r>
        <w:fldChar w:fldCharType="begin"/>
      </w:r>
      <w:r>
        <w:instrText>SEQ A2. \* ARABIC</w:instrText>
      </w:r>
      <w:r>
        <w:fldChar w:fldCharType="separate"/>
      </w:r>
      <w:r w:rsidR="00787722">
        <w:rPr>
          <w:noProof/>
        </w:rPr>
        <w:t>1</w:t>
      </w:r>
      <w:r>
        <w:fldChar w:fldCharType="end"/>
      </w:r>
      <w:bookmarkEnd w:id="92"/>
      <w:r w:rsidR="00EC149B">
        <w:t xml:space="preserve">. </w:t>
      </w:r>
      <w:r w:rsidRPr="00AF46A7">
        <w:t>DEER202</w:t>
      </w:r>
      <w:r w:rsidR="0069101B">
        <w:t>6</w:t>
      </w:r>
      <w:r w:rsidRPr="00AF46A7">
        <w:t>-2</w:t>
      </w:r>
      <w:r w:rsidR="0069101B">
        <w:t>7</w:t>
      </w:r>
      <w:r w:rsidRPr="00AF46A7">
        <w:t xml:space="preserve"> Measure Packages to be Updated</w:t>
      </w:r>
    </w:p>
    <w:tbl>
      <w:tblPr>
        <w:tblStyle w:val="TableGrid"/>
        <w:tblW w:w="9445" w:type="dxa"/>
        <w:tblLayout w:type="fixed"/>
        <w:tblLook w:val="06A0" w:firstRow="1" w:lastRow="0" w:firstColumn="1" w:lastColumn="0" w:noHBand="1" w:noVBand="1"/>
      </w:tblPr>
      <w:tblGrid>
        <w:gridCol w:w="1885"/>
        <w:gridCol w:w="5548"/>
        <w:gridCol w:w="1065"/>
        <w:gridCol w:w="947"/>
      </w:tblGrid>
      <w:tr w:rsidR="00953953" w:rsidTr="003A3AA3" w14:paraId="37D94245" w14:textId="77777777">
        <w:trPr>
          <w:cantSplit/>
          <w:trHeight w:val="300"/>
          <w:tblHeader/>
        </w:trPr>
        <w:tc>
          <w:tcPr>
            <w:tcW w:w="1885" w:type="dxa"/>
            <w:tcBorders>
              <w:top w:val="single" w:color="auto" w:sz="4" w:space="0"/>
              <w:left w:val="single" w:color="auto" w:sz="4" w:space="0"/>
              <w:bottom w:val="single" w:color="auto" w:sz="4" w:space="0"/>
              <w:right w:val="single" w:color="auto" w:sz="4" w:space="0"/>
            </w:tcBorders>
            <w:vAlign w:val="bottom"/>
          </w:tcPr>
          <w:p w:rsidR="00953953" w:rsidP="009C23DB" w:rsidRDefault="00953953" w14:paraId="2AF0BD5A" w14:textId="77777777">
            <w:pPr>
              <w:pStyle w:val="NormalinTableHanging"/>
              <w:ind w:left="0" w:firstLine="0"/>
            </w:pPr>
            <w:r w:rsidRPr="426D66E6">
              <w:t>Measure Package ID</w:t>
            </w:r>
          </w:p>
        </w:tc>
        <w:tc>
          <w:tcPr>
            <w:tcW w:w="5548" w:type="dxa"/>
            <w:tcBorders>
              <w:top w:val="single" w:color="auto" w:sz="4" w:space="0"/>
              <w:left w:val="single" w:color="auto" w:sz="4" w:space="0"/>
              <w:bottom w:val="single" w:color="auto" w:sz="4" w:space="0"/>
              <w:right w:val="single" w:color="auto" w:sz="4" w:space="0"/>
            </w:tcBorders>
            <w:vAlign w:val="bottom"/>
          </w:tcPr>
          <w:p w:rsidR="00953953" w:rsidP="009C23DB" w:rsidRDefault="00953953" w14:paraId="709CE262" w14:textId="77777777">
            <w:pPr>
              <w:pStyle w:val="NormalinTableHanging"/>
              <w:ind w:left="0" w:firstLine="0"/>
            </w:pPr>
            <w:r w:rsidRPr="426D66E6">
              <w:t>Measure Name</w:t>
            </w:r>
          </w:p>
        </w:tc>
        <w:tc>
          <w:tcPr>
            <w:tcW w:w="1065" w:type="dxa"/>
            <w:tcBorders>
              <w:top w:val="single" w:color="auto" w:sz="4" w:space="0"/>
              <w:left w:val="single" w:color="auto" w:sz="4" w:space="0"/>
              <w:bottom w:val="single" w:color="auto" w:sz="4" w:space="0"/>
              <w:right w:val="single" w:color="auto" w:sz="4" w:space="0"/>
            </w:tcBorders>
            <w:vAlign w:val="bottom"/>
          </w:tcPr>
          <w:p w:rsidR="00953953" w:rsidP="009C23DB" w:rsidRDefault="00953953" w14:paraId="4DA5CEC0" w14:textId="77777777">
            <w:pPr>
              <w:pStyle w:val="NormalinTableHanging"/>
              <w:ind w:left="0" w:firstLine="0"/>
            </w:pPr>
            <w:r w:rsidRPr="426D66E6">
              <w:t>Program Year</w:t>
            </w:r>
          </w:p>
        </w:tc>
        <w:tc>
          <w:tcPr>
            <w:tcW w:w="947" w:type="dxa"/>
            <w:tcBorders>
              <w:top w:val="single" w:color="auto" w:sz="4" w:space="0"/>
              <w:left w:val="single" w:color="auto" w:sz="4" w:space="0"/>
              <w:bottom w:val="single" w:color="auto" w:sz="4" w:space="0"/>
              <w:right w:val="single" w:color="auto" w:sz="4" w:space="0"/>
            </w:tcBorders>
            <w:vAlign w:val="bottom"/>
          </w:tcPr>
          <w:p w:rsidR="00953953" w:rsidP="009C23DB" w:rsidRDefault="00953953" w14:paraId="6CF96D0B" w14:textId="77777777">
            <w:pPr>
              <w:pStyle w:val="NormalinTableHanging"/>
              <w:ind w:left="0" w:firstLine="0"/>
            </w:pPr>
            <w:r w:rsidRPr="426D66E6">
              <w:t>Lead IOU</w:t>
            </w:r>
          </w:p>
        </w:tc>
      </w:tr>
      <w:tr w:rsidR="00953953" w:rsidTr="003A3AA3" w14:paraId="44DDB860"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53356AA2" w14:textId="2593ED43">
            <w:pPr>
              <w:pStyle w:val="NormalinTableHanging"/>
            </w:pPr>
            <w:r w:rsidRPr="426D66E6">
              <w:t>SWAP003-0</w:t>
            </w:r>
            <w:r w:rsidR="003447BA">
              <w:t>5</w:t>
            </w:r>
            <w:r w:rsidRPr="009D1F19" w:rsidR="00C844D6">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4348AB4F" w14:textId="77777777">
            <w:pPr>
              <w:pStyle w:val="NormalinTableHanging"/>
            </w:pPr>
            <w:r w:rsidRPr="426D66E6">
              <w:t>Clothes Dryer,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5E0C319"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AA98846" w14:textId="77777777">
            <w:pPr>
              <w:pStyle w:val="NormalinTableHanging"/>
            </w:pPr>
            <w:r w:rsidRPr="426D66E6">
              <w:t>SCG</w:t>
            </w:r>
          </w:p>
        </w:tc>
      </w:tr>
      <w:tr w:rsidR="00953953" w:rsidTr="003A3AA3" w14:paraId="7842A87D"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8F717A4" w14:textId="77777777">
            <w:pPr>
              <w:pStyle w:val="NormalinTableHanging"/>
            </w:pPr>
            <w:r w:rsidRPr="426D66E6">
              <w:t>SWAP004-0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A529D1D" w14:textId="77777777">
            <w:pPr>
              <w:pStyle w:val="NormalinTableHanging"/>
            </w:pPr>
            <w:r w:rsidRPr="426D66E6">
              <w:t>Clothes Washer, Residential &amp; Multifamily</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1E620D4C"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32A4D315" w14:textId="77777777">
            <w:pPr>
              <w:pStyle w:val="NormalinTableHanging"/>
            </w:pPr>
            <w:r>
              <w:t>SCG</w:t>
            </w:r>
          </w:p>
        </w:tc>
      </w:tr>
      <w:tr w:rsidR="00953953" w:rsidTr="003A3AA3" w14:paraId="68F590D9"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046B7C6" w14:textId="77777777">
            <w:pPr>
              <w:pStyle w:val="NormalinTableHanging"/>
            </w:pPr>
            <w:r w:rsidRPr="426D66E6">
              <w:t>SWAP005-0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4050438" w14:textId="77777777">
            <w:pPr>
              <w:pStyle w:val="NormalinTableHanging"/>
            </w:pPr>
            <w:r w:rsidRPr="426D66E6">
              <w:t>Ozone Laundry,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6F7F9149"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0BF59F86" w14:textId="77777777">
            <w:pPr>
              <w:pStyle w:val="NormalinTableHanging"/>
            </w:pPr>
            <w:r w:rsidRPr="426D66E6">
              <w:t>SCG</w:t>
            </w:r>
          </w:p>
        </w:tc>
      </w:tr>
      <w:tr w:rsidR="00953953" w:rsidTr="003A3AA3" w14:paraId="166B05EE"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2FC2C560" w14:textId="77777777">
            <w:pPr>
              <w:pStyle w:val="NormalinTableHanging"/>
            </w:pPr>
            <w:r w:rsidRPr="426D66E6">
              <w:t>SWAP006-0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5E1AC6F8" w14:textId="77777777">
            <w:pPr>
              <w:pStyle w:val="NormalinTableHanging"/>
            </w:pPr>
            <w:r w:rsidRPr="426D66E6">
              <w:t>Dishwasher,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45002CB"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4C87F266" w14:textId="77777777">
            <w:pPr>
              <w:pStyle w:val="NormalinTableHanging"/>
            </w:pPr>
            <w:r w:rsidRPr="426D66E6">
              <w:t>SCG</w:t>
            </w:r>
          </w:p>
        </w:tc>
      </w:tr>
      <w:tr w:rsidR="00953953" w:rsidTr="003A3AA3" w14:paraId="576ECE36"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22CF2AE5" w14:textId="77777777">
            <w:pPr>
              <w:pStyle w:val="NormalinTableHanging"/>
            </w:pPr>
            <w:r w:rsidRPr="426D66E6">
              <w:t>SWAP007-0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0AD45D9" w14:textId="77777777">
            <w:pPr>
              <w:pStyle w:val="NormalinTableHanging"/>
            </w:pPr>
            <w:r w:rsidRPr="426D66E6">
              <w:t>Room Air Conditioner,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125D4138"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E9BBB57" w14:textId="77777777">
            <w:pPr>
              <w:pStyle w:val="NormalinTableHanging"/>
            </w:pPr>
            <w:r w:rsidRPr="426D66E6">
              <w:t>SDGE</w:t>
            </w:r>
          </w:p>
        </w:tc>
      </w:tr>
      <w:tr w:rsidR="00953953" w:rsidTr="003A3AA3" w14:paraId="70C49460"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50E9C864" w14:textId="77777777">
            <w:pPr>
              <w:pStyle w:val="NormalinTableHanging"/>
            </w:pPr>
            <w:r w:rsidRPr="426D66E6">
              <w:t>SWAP008-0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3B99386" w14:textId="77777777">
            <w:pPr>
              <w:pStyle w:val="NormalinTableHanging"/>
            </w:pPr>
            <w:r w:rsidRPr="426D66E6">
              <w:t>Room Air Cleaner,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715D446F"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2173E7A" w14:textId="77777777">
            <w:pPr>
              <w:pStyle w:val="NormalinTableHanging"/>
            </w:pPr>
            <w:r w:rsidRPr="426D66E6">
              <w:t>SDGE</w:t>
            </w:r>
          </w:p>
        </w:tc>
      </w:tr>
      <w:tr w:rsidR="00953953" w:rsidTr="003A3AA3" w14:paraId="40EB6011"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407D20B5" w14:textId="77777777">
            <w:pPr>
              <w:pStyle w:val="NormalinTableHanging"/>
            </w:pPr>
            <w:r w:rsidRPr="426D66E6">
              <w:t>SWAP011-0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B5CA715" w14:textId="77777777">
            <w:pPr>
              <w:pStyle w:val="NormalinTableHanging"/>
            </w:pPr>
            <w:r w:rsidRPr="426D66E6">
              <w:t>Vending and Beverage Merchandise Controller</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C82969D"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48D8D189" w14:textId="77777777">
            <w:pPr>
              <w:pStyle w:val="NormalinTableHanging"/>
            </w:pPr>
            <w:r w:rsidRPr="426D66E6">
              <w:t>SCE</w:t>
            </w:r>
          </w:p>
        </w:tc>
      </w:tr>
      <w:tr w:rsidR="00953953" w:rsidTr="003A3AA3" w14:paraId="340930A1"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20D14A37" w14:textId="77777777">
            <w:pPr>
              <w:pStyle w:val="NormalinTableHanging"/>
            </w:pPr>
            <w:r w:rsidRPr="426D66E6">
              <w:t>SWAP012-0</w:t>
            </w:r>
            <w:r>
              <w:t>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818D1E3" w14:textId="77777777">
            <w:pPr>
              <w:pStyle w:val="NormalinTableHanging"/>
            </w:pPr>
            <w:r w:rsidRPr="426D66E6">
              <w:t xml:space="preserve">Gas Dryer Modulating Valve, Commercial </w:t>
            </w:r>
            <w:r>
              <w:t>and</w:t>
            </w:r>
            <w:r w:rsidRPr="426D66E6">
              <w:t xml:space="preserve"> Multifamily</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0B38A3E5"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6F44509" w14:textId="77777777">
            <w:pPr>
              <w:pStyle w:val="NormalinTableHanging"/>
            </w:pPr>
            <w:r w:rsidRPr="426D66E6">
              <w:t>SCG</w:t>
            </w:r>
          </w:p>
        </w:tc>
      </w:tr>
      <w:tr w:rsidR="00953953" w:rsidTr="003A3AA3" w14:paraId="37209F41"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5F9B5978" w14:textId="19594B53">
            <w:pPr>
              <w:pStyle w:val="NormalinTableHanging"/>
            </w:pPr>
            <w:r w:rsidRPr="426D66E6">
              <w:t>SWAP013-0</w:t>
            </w:r>
            <w:r w:rsidR="00503857">
              <w:t>6</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65C42749" w14:textId="1F4A3906">
            <w:pPr>
              <w:pStyle w:val="NormalinTableHanging"/>
            </w:pPr>
            <w:r w:rsidRPr="426D66E6">
              <w:t>Cooking Appliances</w:t>
            </w:r>
            <w:r w:rsidR="00673D0D">
              <w:t>, Residential</w:t>
            </w:r>
            <w:r>
              <w:t xml:space="preserve">, </w:t>
            </w:r>
            <w:r w:rsidRPr="426D66E6">
              <w:t>Fuel Substitution</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123FB6E"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4C71719E" w14:textId="77777777">
            <w:pPr>
              <w:pStyle w:val="NormalinTableHanging"/>
            </w:pPr>
            <w:r w:rsidRPr="426D66E6">
              <w:t>SCE</w:t>
            </w:r>
          </w:p>
        </w:tc>
      </w:tr>
      <w:tr w:rsidR="00953953" w:rsidTr="003A3AA3" w14:paraId="249068BA"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798A46D1" w14:textId="11AB6FAB">
            <w:pPr>
              <w:pStyle w:val="NormalinTableHanging"/>
            </w:pPr>
            <w:r w:rsidRPr="426D66E6">
              <w:t>SWAP014-0</w:t>
            </w:r>
            <w:r>
              <w:t>5</w:t>
            </w:r>
            <w:r w:rsidRPr="009D1F19" w:rsidR="00C844D6">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48CBC7B2" w14:textId="77777777">
            <w:pPr>
              <w:pStyle w:val="NormalinTableHanging"/>
            </w:pPr>
            <w:r w:rsidRPr="426D66E6">
              <w:t>Heat Pump Clothes Dryer, Residential, Fuel Substitution</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CB8D699"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A0D8ABD" w14:textId="77777777">
            <w:pPr>
              <w:pStyle w:val="NormalinTableHanging"/>
            </w:pPr>
            <w:r w:rsidRPr="426D66E6">
              <w:t>SCE</w:t>
            </w:r>
          </w:p>
        </w:tc>
      </w:tr>
      <w:tr w:rsidR="00953953" w:rsidTr="003A3AA3" w14:paraId="076FDA81"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530E68E8" w14:textId="77777777">
            <w:pPr>
              <w:pStyle w:val="NormalinTableHanging"/>
            </w:pPr>
            <w:r w:rsidRPr="426D66E6">
              <w:t>SWAP015-0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E91FEF" w14:paraId="6ADB751B" w14:textId="15B1DDD2">
            <w:pPr>
              <w:pStyle w:val="NormalinTableHanging"/>
            </w:pPr>
            <w:r>
              <w:t>Efficient Electric Cooking Appliances</w:t>
            </w:r>
            <w:r w:rsidRPr="426D66E6" w:rsidR="00953953">
              <w:t>,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00286B13"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9A0587F" w14:textId="77777777">
            <w:pPr>
              <w:pStyle w:val="NormalinTableHanging"/>
            </w:pPr>
            <w:r w:rsidRPr="426D66E6">
              <w:t>SDGE</w:t>
            </w:r>
          </w:p>
        </w:tc>
      </w:tr>
      <w:tr w:rsidR="00953953" w:rsidTr="003A3AA3" w14:paraId="7955B4A4"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91E4AF9" w14:textId="77777777">
            <w:pPr>
              <w:pStyle w:val="NormalinTableHanging"/>
            </w:pPr>
            <w:r w:rsidRPr="426D66E6">
              <w:t>SWAP017-0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4A2F1091" w14:textId="77777777">
            <w:pPr>
              <w:pStyle w:val="NormalinTableHanging"/>
            </w:pPr>
            <w:r w:rsidRPr="426D66E6">
              <w:t>Oven, Gas,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0A9B69EA"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073AE451" w14:textId="77777777">
            <w:pPr>
              <w:pStyle w:val="NormalinTableHanging"/>
            </w:pPr>
            <w:r w:rsidRPr="426D66E6">
              <w:t>SCG</w:t>
            </w:r>
          </w:p>
        </w:tc>
      </w:tr>
      <w:tr w:rsidR="00953953" w:rsidTr="003A3AA3" w14:paraId="2F1CCAC6"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7FFE0C6" w14:textId="77777777">
            <w:pPr>
              <w:pStyle w:val="NormalinTableHanging"/>
            </w:pPr>
            <w:r w:rsidRPr="426D66E6">
              <w:t>SWBE001-0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5E5F0D08" w14:textId="77777777">
            <w:pPr>
              <w:pStyle w:val="NormalinTableHanging"/>
            </w:pPr>
            <w:r w:rsidRPr="426D66E6">
              <w:t>Greenhouse Heat Curtain</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7F83C478"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D152441" w14:textId="77777777">
            <w:pPr>
              <w:pStyle w:val="NormalinTableHanging"/>
            </w:pPr>
            <w:r w:rsidRPr="426D66E6">
              <w:t>SCG</w:t>
            </w:r>
          </w:p>
        </w:tc>
      </w:tr>
      <w:tr w:rsidR="00953953" w:rsidTr="003A3AA3" w14:paraId="4341F5A8"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7E9BDCD3" w14:textId="77777777">
            <w:pPr>
              <w:pStyle w:val="NormalinTableHanging"/>
            </w:pPr>
            <w:r w:rsidRPr="426D66E6">
              <w:lastRenderedPageBreak/>
              <w:t>SWBE002-0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C73951F" w14:textId="77777777">
            <w:pPr>
              <w:pStyle w:val="NormalinTableHanging"/>
            </w:pPr>
            <w:r w:rsidRPr="426D66E6">
              <w:t>Greenhouse Infrared Film</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92C9383"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E23ECD7" w14:textId="77777777">
            <w:pPr>
              <w:pStyle w:val="NormalinTableHanging"/>
            </w:pPr>
            <w:r w:rsidRPr="426D66E6">
              <w:t>SCG</w:t>
            </w:r>
          </w:p>
        </w:tc>
      </w:tr>
      <w:tr w:rsidR="00953953" w:rsidTr="003A3AA3" w14:paraId="4B58B1D3"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547A0A1E" w14:textId="77777777">
            <w:pPr>
              <w:pStyle w:val="NormalinTableHanging"/>
            </w:pPr>
            <w:r w:rsidRPr="426D66E6">
              <w:t>SWBE006-0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68E303CD" w14:textId="77777777">
            <w:pPr>
              <w:pStyle w:val="NormalinTableHanging"/>
            </w:pPr>
            <w:r>
              <w:t>Ceiling Insulation,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6815C6AE"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674010A" w14:textId="77777777">
            <w:pPr>
              <w:pStyle w:val="NormalinTableHanging"/>
            </w:pPr>
            <w:r w:rsidRPr="426D66E6">
              <w:t>SCG</w:t>
            </w:r>
          </w:p>
        </w:tc>
      </w:tr>
      <w:tr w:rsidR="00953953" w:rsidTr="003A3AA3" w14:paraId="7AF78AD2"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24AAD9A6" w14:textId="77777777">
            <w:pPr>
              <w:pStyle w:val="NormalinTableHanging"/>
            </w:pPr>
            <w:r w:rsidRPr="426D66E6">
              <w:t>SWBE007-0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496C81A8" w14:textId="77777777">
            <w:pPr>
              <w:pStyle w:val="NormalinTableHanging"/>
            </w:pPr>
            <w:r>
              <w:t>Wall Insulation,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62B6E764"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DD7CD9C" w14:textId="77777777">
            <w:pPr>
              <w:pStyle w:val="NormalinTableHanging"/>
            </w:pPr>
            <w:r w:rsidRPr="426D66E6">
              <w:t>SCG</w:t>
            </w:r>
          </w:p>
        </w:tc>
      </w:tr>
      <w:tr w:rsidR="00953953" w:rsidTr="003A3AA3" w14:paraId="54EFBF49"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Pr="00631A97" w:rsidR="00953953" w:rsidP="00354B7F" w:rsidRDefault="00953953" w14:paraId="0595A07D" w14:textId="7721A3FD">
            <w:pPr>
              <w:pStyle w:val="NormalinTableHanging"/>
              <w:rPr>
                <w:vertAlign w:val="superscript"/>
              </w:rPr>
            </w:pPr>
            <w:r>
              <w:t>SWBE010-02</w:t>
            </w:r>
            <w:r w:rsidRPr="009D1F19" w:rsidR="00631A97">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583A9B2C" w14:textId="77777777">
            <w:pPr>
              <w:pStyle w:val="NormalinTableHanging"/>
            </w:pPr>
            <w:r>
              <w:t>Deeply Buried Ducts,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B5FD6ED"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Pr="426D66E6" w:rsidR="00953953" w:rsidP="00354B7F" w:rsidRDefault="00953953" w14:paraId="06C52A2D" w14:textId="77777777">
            <w:pPr>
              <w:pStyle w:val="NormalinTableHanging"/>
            </w:pPr>
            <w:r>
              <w:t>MCE</w:t>
            </w:r>
          </w:p>
        </w:tc>
      </w:tr>
      <w:tr w:rsidR="00953953" w:rsidTr="003A3AA3" w14:paraId="18DC6008"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C8A438A" w14:textId="77777777">
            <w:pPr>
              <w:pStyle w:val="NormalinTableHanging"/>
            </w:pPr>
            <w:r w:rsidRPr="426D66E6">
              <w:t>SWCA001-0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F4DCDD1" w14:textId="77777777">
            <w:pPr>
              <w:pStyle w:val="NormalinTableHanging"/>
            </w:pPr>
            <w:r w:rsidRPr="426D66E6">
              <w:t>Air Compressor VFD Retrofit</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6DD85BE"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0B60BA6B" w14:textId="77777777">
            <w:pPr>
              <w:pStyle w:val="NormalinTableHanging"/>
            </w:pPr>
            <w:r w:rsidRPr="426D66E6">
              <w:t>SCE</w:t>
            </w:r>
          </w:p>
        </w:tc>
      </w:tr>
      <w:tr w:rsidR="00953953" w:rsidTr="003A3AA3" w14:paraId="429D8752"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595CDF7B" w14:textId="77777777">
            <w:pPr>
              <w:pStyle w:val="NormalinTableHanging"/>
            </w:pPr>
            <w:r w:rsidRPr="426D66E6">
              <w:t>SWCR001-0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5AF663F3" w14:textId="77777777">
            <w:pPr>
              <w:pStyle w:val="NormalinTableHanging"/>
            </w:pPr>
            <w:r w:rsidRPr="426D66E6">
              <w:t>Anti-Sweat Heat Controls</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9653B31"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B9C9F70" w14:textId="77777777">
            <w:pPr>
              <w:pStyle w:val="NormalinTableHanging"/>
            </w:pPr>
            <w:r w:rsidRPr="426D66E6">
              <w:t>SCE</w:t>
            </w:r>
          </w:p>
        </w:tc>
      </w:tr>
      <w:tr w:rsidR="00953953" w:rsidTr="003A3AA3" w14:paraId="01CDB2EB"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05D238A" w14:textId="77777777">
            <w:pPr>
              <w:pStyle w:val="NormalinTableHanging"/>
            </w:pPr>
            <w:r w:rsidRPr="426D66E6">
              <w:t>SWCR002-0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0293B4E" w14:textId="77777777">
            <w:pPr>
              <w:pStyle w:val="NormalinTableHanging"/>
            </w:pPr>
            <w:r w:rsidRPr="426D66E6">
              <w:t>Low-Temperature Display Case Doors with No Anti-Sweat Heaters</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8D4CE77"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7018EBD" w14:textId="77777777">
            <w:pPr>
              <w:pStyle w:val="NormalinTableHanging"/>
            </w:pPr>
            <w:r w:rsidRPr="426D66E6">
              <w:t>SCE</w:t>
            </w:r>
          </w:p>
        </w:tc>
      </w:tr>
      <w:tr w:rsidR="00953953" w:rsidTr="003A3AA3" w14:paraId="4209A566"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4B559512" w14:textId="5883A3CE">
            <w:pPr>
              <w:pStyle w:val="NormalinTableHanging"/>
            </w:pPr>
            <w:r w:rsidRPr="426D66E6">
              <w:t>SWCR003-0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D44BA1F" w14:textId="77777777">
            <w:pPr>
              <w:pStyle w:val="NormalinTableHanging"/>
            </w:pPr>
            <w:r w:rsidRPr="426D66E6">
              <w:t>High Efficiency Motor Retrofit for Refrigerated Display Case</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0A4F4EE"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35514BF" w14:textId="77777777">
            <w:pPr>
              <w:pStyle w:val="NormalinTableHanging"/>
            </w:pPr>
            <w:r w:rsidRPr="426D66E6">
              <w:t>SCE</w:t>
            </w:r>
          </w:p>
        </w:tc>
      </w:tr>
      <w:tr w:rsidR="00953953" w:rsidTr="003A3AA3" w14:paraId="0FBB9F74"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71B14DF" w14:textId="0CD7E283">
            <w:pPr>
              <w:pStyle w:val="NormalinTableHanging"/>
            </w:pPr>
            <w:r w:rsidRPr="426D66E6">
              <w:t>SWCR007-0</w:t>
            </w:r>
            <w:r>
              <w:t>5</w:t>
            </w:r>
            <w:r w:rsidRPr="009D1F19" w:rsidR="00081B2A">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4FC682F" w14:textId="77777777">
            <w:pPr>
              <w:pStyle w:val="NormalinTableHanging"/>
            </w:pPr>
            <w:r w:rsidRPr="426D66E6">
              <w:t>Floating Head Pressure Controls, Multiplex</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2359D41"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DDE99B5" w14:textId="77777777">
            <w:pPr>
              <w:pStyle w:val="NormalinTableHanging"/>
            </w:pPr>
            <w:r w:rsidRPr="426D66E6">
              <w:t>PG&amp;E</w:t>
            </w:r>
          </w:p>
        </w:tc>
      </w:tr>
      <w:tr w:rsidR="00953953" w:rsidTr="003A3AA3" w14:paraId="4FEA458B"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2BE0F1CB" w14:textId="4D2FEEC6">
            <w:pPr>
              <w:pStyle w:val="NormalinTableHanging"/>
            </w:pPr>
            <w:r w:rsidRPr="426D66E6">
              <w:t>SWCR008-0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6FA8CB9D" w14:textId="77777777">
            <w:pPr>
              <w:pStyle w:val="NormalinTableHanging"/>
            </w:pPr>
            <w:r w:rsidRPr="426D66E6">
              <w:t>Floating Suction Controls, Multiplex</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9984231"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1302AE5" w14:textId="77777777">
            <w:pPr>
              <w:pStyle w:val="NormalinTableHanging"/>
            </w:pPr>
            <w:r w:rsidRPr="426D66E6">
              <w:t>SCE</w:t>
            </w:r>
          </w:p>
        </w:tc>
      </w:tr>
      <w:tr w:rsidR="00953953" w:rsidTr="003A3AA3" w14:paraId="1A6109B8"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97AC1BB" w14:textId="77777777">
            <w:pPr>
              <w:pStyle w:val="NormalinTableHanging"/>
            </w:pPr>
            <w:r w:rsidRPr="426D66E6">
              <w:t>SWCR010-0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56713C7" w14:textId="77777777">
            <w:pPr>
              <w:pStyle w:val="NormalinTableHanging"/>
            </w:pPr>
            <w:r w:rsidRPr="426D66E6">
              <w:t xml:space="preserve">Bare Suction </w:t>
            </w:r>
            <w:r>
              <w:t>Line</w:t>
            </w:r>
            <w:r w:rsidRPr="426D66E6">
              <w:t xml:space="preserve"> Insulation</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7E6E81E5"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07A2EC4" w14:textId="77777777">
            <w:pPr>
              <w:pStyle w:val="NormalinTableHanging"/>
            </w:pPr>
            <w:r w:rsidRPr="426D66E6">
              <w:t>SCE</w:t>
            </w:r>
          </w:p>
        </w:tc>
      </w:tr>
      <w:tr w:rsidR="00953953" w:rsidTr="003A3AA3" w14:paraId="71F5383F"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17BE9CB5" w14:textId="77777777">
            <w:pPr>
              <w:pStyle w:val="NormalinTableHanging"/>
            </w:pPr>
            <w:r w:rsidRPr="426D66E6">
              <w:t>SWCR014-0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68E7C76" w14:textId="77777777">
            <w:pPr>
              <w:pStyle w:val="NormalinTableHanging"/>
            </w:pPr>
            <w:r w:rsidRPr="426D66E6">
              <w:t>Medium or Low-Temperature Display Case</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234970E4"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537CB33E" w14:textId="77777777">
            <w:pPr>
              <w:pStyle w:val="NormalinTableHanging"/>
            </w:pPr>
            <w:r>
              <w:t>SCE</w:t>
            </w:r>
          </w:p>
        </w:tc>
      </w:tr>
      <w:tr w:rsidR="00953953" w:rsidTr="003A3AA3" w14:paraId="2AB0FA7E"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77BCA36" w14:textId="77777777">
            <w:pPr>
              <w:pStyle w:val="NormalinTableHanging"/>
            </w:pPr>
            <w:r w:rsidRPr="426D66E6">
              <w:t>SWCR015-0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309673E" w14:textId="77777777">
            <w:pPr>
              <w:pStyle w:val="NormalinTableHanging"/>
            </w:pPr>
            <w:r w:rsidRPr="426D66E6">
              <w:t>Medium-Temperature Case Doors</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6ACA5F08"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0ACA7DF" w14:textId="77777777">
            <w:pPr>
              <w:pStyle w:val="NormalinTableHanging"/>
            </w:pPr>
            <w:r w:rsidRPr="426D66E6">
              <w:t>PG&amp;E</w:t>
            </w:r>
          </w:p>
        </w:tc>
      </w:tr>
      <w:tr w:rsidR="00953953" w:rsidTr="003A3AA3" w14:paraId="62D40DE8"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2867D93" w14:textId="77777777">
            <w:pPr>
              <w:pStyle w:val="NormalinTableHanging"/>
            </w:pPr>
            <w:r w:rsidRPr="426D66E6">
              <w:t>SWCR017-0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5C8C6D62" w14:textId="77777777">
            <w:pPr>
              <w:pStyle w:val="NormalinTableHanging"/>
            </w:pPr>
            <w:r w:rsidRPr="426D66E6">
              <w:t>Ultra-Low Temperature Freezer</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124D218B"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340C9C47" w14:textId="77777777">
            <w:pPr>
              <w:pStyle w:val="NormalinTableHanging"/>
            </w:pPr>
            <w:r w:rsidRPr="426D66E6">
              <w:t>PG&amp;E</w:t>
            </w:r>
          </w:p>
        </w:tc>
      </w:tr>
      <w:tr w:rsidR="00953953" w:rsidTr="003A3AA3" w14:paraId="62EF2E7D"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7C266D5F" w14:textId="77777777">
            <w:pPr>
              <w:pStyle w:val="NormalinTableHanging"/>
            </w:pPr>
            <w:r w:rsidRPr="426D66E6">
              <w:t>SWCR018-0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693ECB86" w14:textId="77777777">
            <w:pPr>
              <w:pStyle w:val="NormalinTableHanging"/>
            </w:pPr>
            <w:r w:rsidRPr="426D66E6">
              <w:t>Reach-In Refrigerator or Freezer,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2912B0D1"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4D16134C" w14:textId="77777777">
            <w:pPr>
              <w:pStyle w:val="NormalinTableHanging"/>
            </w:pPr>
            <w:r w:rsidRPr="426D66E6">
              <w:t>PG&amp;E</w:t>
            </w:r>
          </w:p>
        </w:tc>
      </w:tr>
      <w:tr w:rsidR="00953953" w:rsidTr="003A3AA3" w14:paraId="72362CEE"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CD7501F" w14:textId="77777777">
            <w:pPr>
              <w:pStyle w:val="NormalinTableHanging"/>
            </w:pPr>
            <w:r w:rsidRPr="426D66E6">
              <w:t>SWCR019-0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B297F84" w14:textId="639790DC">
            <w:pPr>
              <w:pStyle w:val="NormalinTableHanging"/>
            </w:pPr>
            <w:r w:rsidRPr="426D66E6">
              <w:t xml:space="preserve">Low-Temperature Coffin </w:t>
            </w:r>
            <w:r w:rsidR="00504051">
              <w:t>t</w:t>
            </w:r>
            <w:r w:rsidRPr="426D66E6">
              <w:t>o Reach-In Display Case Conversion</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20DC504"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54C1108" w14:textId="77777777">
            <w:pPr>
              <w:pStyle w:val="NormalinTableHanging"/>
            </w:pPr>
            <w:r w:rsidRPr="426D66E6">
              <w:t>PG&amp;E</w:t>
            </w:r>
          </w:p>
        </w:tc>
      </w:tr>
      <w:tr w:rsidR="00953953" w:rsidTr="003A3AA3" w14:paraId="51C74E08"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23669C2D" w14:textId="77777777">
            <w:pPr>
              <w:pStyle w:val="NormalinTableHanging"/>
            </w:pPr>
            <w:r w:rsidRPr="426D66E6">
              <w:t>SWCR020-0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2822B9D" w14:textId="77777777">
            <w:pPr>
              <w:pStyle w:val="NormalinTableHanging"/>
            </w:pPr>
            <w:r w:rsidRPr="426D66E6">
              <w:t>Medium-Temperature Open Display Case Retrofit</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6CFE187"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300BDA6D" w14:textId="77777777">
            <w:pPr>
              <w:pStyle w:val="NormalinTableHanging"/>
            </w:pPr>
            <w:r w:rsidRPr="426D66E6">
              <w:t>PG&amp;E</w:t>
            </w:r>
          </w:p>
        </w:tc>
      </w:tr>
      <w:tr w:rsidR="00953953" w:rsidTr="003A3AA3" w14:paraId="6929B8EC"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60958DA" w14:textId="42E81312">
            <w:pPr>
              <w:pStyle w:val="NormalinTableHanging"/>
            </w:pPr>
            <w:r w:rsidRPr="426D66E6">
              <w:t>SWCR021-0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FA29C22" w14:textId="489D4461">
            <w:pPr>
              <w:pStyle w:val="NormalinTableHanging"/>
            </w:pPr>
            <w:r w:rsidRPr="426D66E6">
              <w:t xml:space="preserve">Medium or Low-Temperature Display Case </w:t>
            </w:r>
            <w:r w:rsidR="00504051">
              <w:t>w</w:t>
            </w:r>
            <w:r w:rsidRPr="426D66E6">
              <w:t>ith Doors</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6C4C7E45"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4D950691" w14:textId="77777777">
            <w:pPr>
              <w:pStyle w:val="NormalinTableHanging"/>
            </w:pPr>
            <w:r w:rsidRPr="426D66E6">
              <w:t>PG&amp;E</w:t>
            </w:r>
          </w:p>
        </w:tc>
      </w:tr>
      <w:tr w:rsidR="00953953" w:rsidTr="003A3AA3" w14:paraId="6C2C5165"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0A8242F" w14:textId="77777777">
            <w:pPr>
              <w:pStyle w:val="NormalinTableHanging"/>
            </w:pPr>
            <w:r w:rsidRPr="426D66E6">
              <w:t>SWFS001-0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EF3514" w14:paraId="4D80C882" w14:textId="5DB11F77">
            <w:pPr>
              <w:pStyle w:val="NormalinTableHanging"/>
            </w:pPr>
            <w:r>
              <w:t>Convection Oven,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60990E39"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AC394B2" w14:textId="77777777">
            <w:pPr>
              <w:pStyle w:val="NormalinTableHanging"/>
            </w:pPr>
            <w:r w:rsidRPr="426D66E6">
              <w:t>SCG</w:t>
            </w:r>
          </w:p>
        </w:tc>
      </w:tr>
      <w:tr w:rsidR="00953953" w:rsidTr="003A3AA3" w14:paraId="6760C01E"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7B3B7CA2" w14:textId="77777777">
            <w:pPr>
              <w:pStyle w:val="NormalinTableHanging"/>
            </w:pPr>
            <w:r w:rsidRPr="426D66E6">
              <w:t>SWFS002-0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4295740" w14:textId="77777777">
            <w:pPr>
              <w:pStyle w:val="NormalinTableHanging"/>
            </w:pPr>
            <w:r w:rsidRPr="426D66E6">
              <w:t>Door Type Dishwasher,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1050A97"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974229E" w14:textId="77777777">
            <w:pPr>
              <w:pStyle w:val="NormalinTableHanging"/>
            </w:pPr>
            <w:r w:rsidRPr="426D66E6">
              <w:t>SCG</w:t>
            </w:r>
          </w:p>
        </w:tc>
      </w:tr>
      <w:tr w:rsidR="00953953" w:rsidTr="003A3AA3" w14:paraId="4B5BC1D5"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5B72BFF" w14:textId="77777777">
            <w:pPr>
              <w:pStyle w:val="NormalinTableHanging"/>
            </w:pPr>
            <w:r w:rsidRPr="426D66E6">
              <w:t>SWFS003-0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5F1F9B18" w14:textId="77777777">
            <w:pPr>
              <w:pStyle w:val="NormalinTableHanging"/>
            </w:pPr>
            <w:r w:rsidRPr="426D66E6">
              <w:t>Combination Oven,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A8DD02B"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0D77E368" w14:textId="77777777">
            <w:pPr>
              <w:pStyle w:val="NormalinTableHanging"/>
            </w:pPr>
            <w:r w:rsidRPr="426D66E6">
              <w:t>SCG</w:t>
            </w:r>
          </w:p>
        </w:tc>
      </w:tr>
      <w:tr w:rsidR="00953953" w:rsidTr="003A3AA3" w14:paraId="61BCE724"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1A27D2EF" w14:textId="00DE084B">
            <w:pPr>
              <w:pStyle w:val="NormalinTableHanging"/>
            </w:pPr>
            <w:r w:rsidRPr="00BA0630">
              <w:t>SWFS004-0</w:t>
            </w:r>
            <w:r w:rsidR="0032770A">
              <w:t>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4D3EA67" w14:textId="77777777">
            <w:pPr>
              <w:pStyle w:val="NormalinTableHanging"/>
            </w:pPr>
            <w:r>
              <w:t>Griddle,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0D42126"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5087D54" w14:textId="77777777">
            <w:pPr>
              <w:pStyle w:val="NormalinTableHanging"/>
            </w:pPr>
            <w:r w:rsidRPr="426D66E6">
              <w:t>SCG</w:t>
            </w:r>
          </w:p>
        </w:tc>
      </w:tr>
      <w:tr w:rsidR="00953953" w:rsidTr="003A3AA3" w14:paraId="6FCAF067"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Pr="426D66E6" w:rsidR="00953953" w:rsidP="00354B7F" w:rsidRDefault="00953953" w14:paraId="26FC3203" w14:textId="78174085">
            <w:pPr>
              <w:pStyle w:val="NormalinTableHanging"/>
            </w:pPr>
            <w:r w:rsidRPr="007A0421">
              <w:t>SWFS005</w:t>
            </w:r>
            <w:r>
              <w:t>-0</w:t>
            </w:r>
            <w:r w:rsidR="001461A0">
              <w:t>5</w:t>
            </w:r>
          </w:p>
        </w:tc>
        <w:tc>
          <w:tcPr>
            <w:tcW w:w="5548" w:type="dxa"/>
            <w:tcBorders>
              <w:top w:val="single" w:color="auto" w:sz="4" w:space="0"/>
              <w:left w:val="single" w:color="auto" w:sz="4" w:space="0"/>
              <w:bottom w:val="single" w:color="auto" w:sz="4" w:space="0"/>
              <w:right w:val="single" w:color="auto" w:sz="4" w:space="0"/>
            </w:tcBorders>
          </w:tcPr>
          <w:p w:rsidRPr="426D66E6" w:rsidR="00953953" w:rsidP="00354B7F" w:rsidRDefault="00953953" w14:paraId="34176014" w14:textId="77777777">
            <w:pPr>
              <w:pStyle w:val="NormalinTableHanging"/>
            </w:pPr>
            <w:r>
              <w:t>Steamer, Commercial</w:t>
            </w:r>
          </w:p>
        </w:tc>
        <w:tc>
          <w:tcPr>
            <w:tcW w:w="1065" w:type="dxa"/>
            <w:tcBorders>
              <w:top w:val="single" w:color="auto" w:sz="4" w:space="0"/>
              <w:left w:val="single" w:color="auto" w:sz="4" w:space="0"/>
              <w:bottom w:val="single" w:color="auto" w:sz="4" w:space="0"/>
              <w:right w:val="single" w:color="auto" w:sz="4" w:space="0"/>
            </w:tcBorders>
          </w:tcPr>
          <w:p w:rsidRPr="426D66E6" w:rsidR="00953953" w:rsidP="00354B7F" w:rsidRDefault="00953953" w14:paraId="7FCDA193"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Pr="426D66E6" w:rsidR="00953953" w:rsidP="00354B7F" w:rsidRDefault="00953953" w14:paraId="0EBC7B18" w14:textId="77777777">
            <w:pPr>
              <w:pStyle w:val="NormalinTableHanging"/>
            </w:pPr>
            <w:r>
              <w:t>SCG</w:t>
            </w:r>
          </w:p>
        </w:tc>
      </w:tr>
      <w:tr w:rsidR="00953953" w:rsidTr="003A3AA3" w14:paraId="27CE382C"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57759175" w14:textId="5FF2E2C0">
            <w:pPr>
              <w:pStyle w:val="NormalinTableHanging"/>
            </w:pPr>
            <w:r w:rsidRPr="007A0421">
              <w:t>SWFS006-0</w:t>
            </w:r>
            <w:r w:rsidR="007851A9">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545A2106" w14:textId="77777777">
            <w:pPr>
              <w:pStyle w:val="NormalinTableHanging"/>
            </w:pPr>
            <w:r w:rsidRPr="426D66E6">
              <w:t>Ice Machine,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20B1D61F"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1702F2A" w14:textId="77777777">
            <w:pPr>
              <w:pStyle w:val="NormalinTableHanging"/>
            </w:pPr>
            <w:r w:rsidRPr="426D66E6">
              <w:t>PG&amp;E</w:t>
            </w:r>
          </w:p>
        </w:tc>
      </w:tr>
      <w:tr w:rsidR="00953953" w:rsidTr="003A3AA3" w14:paraId="6ADC830E"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2D4DC8A0" w14:textId="77777777">
            <w:pPr>
              <w:pStyle w:val="NormalinTableHanging"/>
            </w:pPr>
            <w:r w:rsidRPr="426D66E6">
              <w:t>SWFS007-0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C167765" w14:textId="77777777">
            <w:pPr>
              <w:pStyle w:val="NormalinTableHanging"/>
            </w:pPr>
            <w:r w:rsidRPr="426D66E6">
              <w:t>Insulated Hot Food Holding Cabinet</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24EF2C4B"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0683017B" w14:textId="77777777">
            <w:pPr>
              <w:pStyle w:val="NormalinTableHanging"/>
            </w:pPr>
            <w:r w:rsidRPr="426D66E6">
              <w:t>SCE</w:t>
            </w:r>
          </w:p>
        </w:tc>
      </w:tr>
      <w:tr w:rsidR="00953953" w:rsidTr="003A3AA3" w14:paraId="4B1C0180"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289C92D8" w14:textId="77777777">
            <w:pPr>
              <w:pStyle w:val="NormalinTableHanging"/>
            </w:pPr>
            <w:r w:rsidRPr="426D66E6">
              <w:t>SWFS008-0</w:t>
            </w:r>
            <w:r>
              <w:t>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9BA2B88" w14:textId="77777777">
            <w:pPr>
              <w:pStyle w:val="NormalinTableHanging"/>
            </w:pPr>
            <w:r w:rsidRPr="426D66E6">
              <w:t>Conveyor Oven, Gas,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1624C9B0"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C5A3124" w14:textId="77777777">
            <w:pPr>
              <w:pStyle w:val="NormalinTableHanging"/>
            </w:pPr>
            <w:r w:rsidRPr="426D66E6">
              <w:t>SCG</w:t>
            </w:r>
          </w:p>
        </w:tc>
      </w:tr>
      <w:tr w:rsidR="00953953" w:rsidTr="003A3AA3" w14:paraId="74473D91"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C727A06" w14:textId="77777777">
            <w:pPr>
              <w:pStyle w:val="NormalinTableHanging"/>
            </w:pPr>
            <w:r w:rsidRPr="426D66E6">
              <w:t>SWFS009-0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EBFE896" w14:textId="77777777">
            <w:pPr>
              <w:pStyle w:val="NormalinTableHanging"/>
            </w:pPr>
            <w:r w:rsidRPr="426D66E6">
              <w:t>Commercial Deck Oven, Electric</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34A8301"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C90A644" w14:textId="77777777">
            <w:pPr>
              <w:pStyle w:val="NormalinTableHanging"/>
            </w:pPr>
            <w:r w:rsidRPr="426D66E6">
              <w:t>SCE</w:t>
            </w:r>
          </w:p>
        </w:tc>
      </w:tr>
      <w:tr w:rsidR="00953953" w:rsidTr="003A3AA3" w14:paraId="06FA0CAC"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C11CCB9" w14:textId="77777777">
            <w:pPr>
              <w:pStyle w:val="NormalinTableHanging"/>
            </w:pPr>
            <w:r w:rsidRPr="426D66E6">
              <w:t>SWFS010-0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1E7C887" w14:textId="77777777">
            <w:pPr>
              <w:pStyle w:val="NormalinTableHanging"/>
            </w:pPr>
            <w:r w:rsidRPr="426D66E6">
              <w:t>Commercial Hand Wrap Machine</w:t>
            </w:r>
            <w:r>
              <w:t>, Electric</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4048523"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C745BFF" w14:textId="77777777">
            <w:pPr>
              <w:pStyle w:val="NormalinTableHanging"/>
            </w:pPr>
            <w:r w:rsidRPr="426D66E6">
              <w:t>SCE</w:t>
            </w:r>
          </w:p>
        </w:tc>
      </w:tr>
      <w:tr w:rsidR="00953953" w:rsidTr="003A3AA3" w14:paraId="64B1176E"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41C4DD74" w14:textId="77777777">
            <w:pPr>
              <w:pStyle w:val="NormalinTableHanging"/>
            </w:pPr>
            <w:r w:rsidRPr="426D66E6">
              <w:t>SWFS011-0</w:t>
            </w:r>
            <w:r>
              <w:t>7</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870831B" w14:textId="77777777">
            <w:pPr>
              <w:pStyle w:val="NormalinTableHanging"/>
            </w:pPr>
            <w:r w:rsidRPr="426D66E6">
              <w:t>Fryer,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F628617"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1BEEDAF" w14:textId="77777777">
            <w:pPr>
              <w:pStyle w:val="NormalinTableHanging"/>
            </w:pPr>
            <w:r w:rsidRPr="426D66E6">
              <w:t>SCG</w:t>
            </w:r>
          </w:p>
        </w:tc>
      </w:tr>
      <w:tr w:rsidR="00953953" w:rsidTr="003A3AA3" w14:paraId="0A79273A"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78DCD463" w14:textId="77777777">
            <w:pPr>
              <w:pStyle w:val="NormalinTableHanging"/>
            </w:pPr>
            <w:r w:rsidRPr="426D66E6">
              <w:t>SWFS012-</w:t>
            </w:r>
            <w:r>
              <w:t>04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4ACCDCB7" w14:textId="77777777">
            <w:pPr>
              <w:pStyle w:val="NormalinTableHanging"/>
            </w:pPr>
            <w:r w:rsidRPr="426D66E6">
              <w:t>Exhaust Hood Demand Controlled Ventilation,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03C30F9"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02F87CB" w14:textId="7C5E6B97">
            <w:pPr>
              <w:pStyle w:val="NormalinTableHanging"/>
            </w:pPr>
            <w:r w:rsidRPr="426D66E6">
              <w:t>SC</w:t>
            </w:r>
            <w:r w:rsidR="00F26C67">
              <w:t>E</w:t>
            </w:r>
          </w:p>
        </w:tc>
      </w:tr>
      <w:tr w:rsidR="00953953" w:rsidTr="003A3AA3" w14:paraId="664D7384"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4E2A38D" w14:textId="77777777">
            <w:pPr>
              <w:pStyle w:val="NormalinTableHanging"/>
            </w:pPr>
            <w:r w:rsidRPr="426D66E6">
              <w:t>SWFS013-0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65A93D00" w14:textId="77777777">
            <w:pPr>
              <w:pStyle w:val="NormalinTableHanging"/>
            </w:pPr>
            <w:r w:rsidRPr="426D66E6">
              <w:t>Low-Flow Pre-Rinse Spray Valve</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28960E9B"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FBB0F7A" w14:textId="77777777">
            <w:pPr>
              <w:pStyle w:val="NormalinTableHanging"/>
            </w:pPr>
            <w:r w:rsidRPr="426D66E6">
              <w:t>SCG</w:t>
            </w:r>
          </w:p>
        </w:tc>
      </w:tr>
      <w:tr w:rsidR="00953953" w:rsidTr="003A3AA3" w14:paraId="5C3BCEF8"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445571A2" w14:textId="77777777">
            <w:pPr>
              <w:pStyle w:val="NormalinTableHanging"/>
            </w:pPr>
            <w:r w:rsidRPr="426D66E6">
              <w:t>SWFS014-0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CF53629" w14:textId="0792AE65">
            <w:pPr>
              <w:pStyle w:val="NormalinTableHanging"/>
            </w:pPr>
            <w:r w:rsidRPr="426D66E6">
              <w:t>Rack Oven</w:t>
            </w:r>
            <w:r w:rsidR="00777348">
              <w:t>, Gas,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062B825D"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4E34D77E" w14:textId="77777777">
            <w:pPr>
              <w:pStyle w:val="NormalinTableHanging"/>
            </w:pPr>
            <w:r w:rsidRPr="426D66E6">
              <w:t>SCG</w:t>
            </w:r>
          </w:p>
        </w:tc>
      </w:tr>
      <w:tr w:rsidR="00953953" w:rsidTr="003A3AA3" w14:paraId="039AB1CA"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7D7FE3E5" w14:textId="77777777">
            <w:pPr>
              <w:pStyle w:val="NormalinTableHanging"/>
            </w:pPr>
            <w:r w:rsidRPr="426D66E6">
              <w:t>SWFS016-0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E56C64C" w14:textId="77777777">
            <w:pPr>
              <w:pStyle w:val="NormalinTableHanging"/>
            </w:pPr>
            <w:r w:rsidRPr="426D66E6">
              <w:t>Refrigerated Chef Base</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202200F"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3694C01C" w14:textId="77777777">
            <w:pPr>
              <w:pStyle w:val="NormalinTableHanging"/>
            </w:pPr>
            <w:r w:rsidRPr="426D66E6">
              <w:t>SCE</w:t>
            </w:r>
          </w:p>
        </w:tc>
      </w:tr>
      <w:tr w:rsidR="00953953" w:rsidTr="003A3AA3" w14:paraId="52BD4E45"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0A34E06" w14:textId="77777777">
            <w:pPr>
              <w:pStyle w:val="NormalinTableHanging"/>
            </w:pPr>
            <w:r w:rsidRPr="426D66E6">
              <w:t>SWFS017-0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73F52C7F" w14:textId="77777777">
            <w:pPr>
              <w:pStyle w:val="NormalinTableHanging"/>
            </w:pPr>
            <w:r w:rsidRPr="426D66E6">
              <w:t>Automated Conveyor Broiler,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1FB8E8B1"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3C39F27" w14:textId="77777777">
            <w:pPr>
              <w:pStyle w:val="NormalinTableHanging"/>
            </w:pPr>
            <w:r w:rsidRPr="426D66E6">
              <w:t>SCG</w:t>
            </w:r>
          </w:p>
        </w:tc>
      </w:tr>
      <w:tr w:rsidR="00953953" w:rsidTr="003A3AA3" w14:paraId="6B85A139"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43708243" w14:textId="77777777">
            <w:pPr>
              <w:pStyle w:val="NormalinTableHanging"/>
            </w:pPr>
            <w:r w:rsidRPr="426D66E6">
              <w:lastRenderedPageBreak/>
              <w:t>SWFS018-0</w:t>
            </w:r>
            <w:r>
              <w:t>6</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4E420BF9" w14:textId="77777777">
            <w:pPr>
              <w:pStyle w:val="NormalinTableHanging"/>
            </w:pPr>
            <w:r w:rsidRPr="426D66E6">
              <w:t>Undercounter Dishwasher,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6D21BCF"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5581B18F" w14:textId="77777777">
            <w:pPr>
              <w:pStyle w:val="NormalinTableHanging"/>
            </w:pPr>
            <w:r w:rsidRPr="426D66E6">
              <w:t>SCG</w:t>
            </w:r>
          </w:p>
        </w:tc>
      </w:tr>
      <w:tr w:rsidR="00953953" w:rsidTr="003A3AA3" w14:paraId="609E3AB1"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0870597" w14:textId="77777777">
            <w:pPr>
              <w:pStyle w:val="NormalinTableHanging"/>
            </w:pPr>
            <w:r w:rsidRPr="426D66E6">
              <w:t>SWFS019-0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56EE2B53" w14:textId="77777777">
            <w:pPr>
              <w:pStyle w:val="NormalinTableHanging"/>
            </w:pPr>
            <w:r w:rsidRPr="426D66E6">
              <w:t>Underfired Broiler,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0A00F536"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1CBC054" w14:textId="77777777">
            <w:pPr>
              <w:pStyle w:val="NormalinTableHanging"/>
            </w:pPr>
            <w:r w:rsidRPr="426D66E6">
              <w:t>SCG</w:t>
            </w:r>
          </w:p>
        </w:tc>
      </w:tr>
      <w:tr w:rsidR="00953953" w:rsidTr="003A3AA3" w14:paraId="7B4B9E56"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13E92E2" w14:textId="77777777">
            <w:pPr>
              <w:pStyle w:val="NormalinTableHanging"/>
            </w:pPr>
            <w:r w:rsidRPr="426D66E6">
              <w:t>SWFS021-0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4895C83C" w14:textId="77777777">
            <w:pPr>
              <w:pStyle w:val="NormalinTableHanging"/>
            </w:pPr>
            <w:r w:rsidRPr="426D66E6">
              <w:t>Commercial Fryer, Fuel Substitution</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52F815C"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A827EE9" w14:textId="77777777">
            <w:pPr>
              <w:pStyle w:val="NormalinTableHanging"/>
            </w:pPr>
            <w:r w:rsidRPr="426D66E6">
              <w:t>SCE</w:t>
            </w:r>
          </w:p>
        </w:tc>
      </w:tr>
      <w:tr w:rsidR="00953953" w:rsidTr="003A3AA3" w14:paraId="0D6DCC37"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1F064673" w14:textId="77777777">
            <w:pPr>
              <w:pStyle w:val="NormalinTableHanging"/>
            </w:pPr>
            <w:r w:rsidRPr="426D66E6">
              <w:t>SWFS022-0</w:t>
            </w:r>
            <w:r>
              <w:t>4</w:t>
            </w:r>
          </w:p>
        </w:tc>
        <w:tc>
          <w:tcPr>
            <w:tcW w:w="5548" w:type="dxa"/>
            <w:tcBorders>
              <w:top w:val="single" w:color="auto" w:sz="4" w:space="0"/>
              <w:left w:val="single" w:color="auto" w:sz="4" w:space="0"/>
              <w:bottom w:val="single" w:color="auto" w:sz="4" w:space="0"/>
              <w:right w:val="single" w:color="auto" w:sz="4" w:space="0"/>
            </w:tcBorders>
          </w:tcPr>
          <w:p w:rsidRPr="001C291E" w:rsidR="00953953" w:rsidP="00354B7F" w:rsidRDefault="00953953" w14:paraId="4EC97155" w14:textId="77777777">
            <w:pPr>
              <w:pStyle w:val="NormalinTableHanging"/>
              <w:rPr>
                <w:lang w:val="fr-FR"/>
              </w:rPr>
            </w:pPr>
            <w:r w:rsidRPr="001C291E">
              <w:rPr>
                <w:lang w:val="fr-FR"/>
              </w:rPr>
              <w:t xml:space="preserve">Commercial Convection </w:t>
            </w:r>
            <w:proofErr w:type="spellStart"/>
            <w:r w:rsidRPr="001C291E">
              <w:rPr>
                <w:lang w:val="fr-FR"/>
              </w:rPr>
              <w:t>Oven</w:t>
            </w:r>
            <w:proofErr w:type="spellEnd"/>
            <w:r w:rsidRPr="001C291E">
              <w:rPr>
                <w:lang w:val="fr-FR"/>
              </w:rPr>
              <w:t>, Fuel Substitution</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210DB5A1"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5FD9C9C" w14:textId="77777777">
            <w:pPr>
              <w:pStyle w:val="NormalinTableHanging"/>
            </w:pPr>
            <w:r w:rsidRPr="426D66E6">
              <w:t>SCE</w:t>
            </w:r>
          </w:p>
        </w:tc>
      </w:tr>
      <w:tr w:rsidR="00953953" w:rsidTr="003A3AA3" w14:paraId="2D36D41F"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48400EA8" w14:textId="77777777">
            <w:pPr>
              <w:pStyle w:val="NormalinTableHanging"/>
            </w:pPr>
            <w:r w:rsidRPr="426D66E6">
              <w:t>SWFS023-0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5C7F111B" w14:textId="77777777">
            <w:pPr>
              <w:pStyle w:val="NormalinTableHanging"/>
            </w:pPr>
            <w:r>
              <w:t>Contact Conveyor Toaster,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11C01CFE"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224EA22" w14:textId="77777777">
            <w:pPr>
              <w:pStyle w:val="NormalinTableHanging"/>
            </w:pPr>
            <w:r w:rsidRPr="426D66E6">
              <w:t>SCE</w:t>
            </w:r>
          </w:p>
        </w:tc>
      </w:tr>
      <w:tr w:rsidR="00953953" w:rsidTr="003A3AA3" w14:paraId="73E62669"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Pr="426D66E6" w:rsidR="00953953" w:rsidP="00354B7F" w:rsidRDefault="00953953" w14:paraId="2B7484D3" w14:textId="77777777">
            <w:pPr>
              <w:pStyle w:val="NormalinTableHanging"/>
            </w:pPr>
            <w:r>
              <w:t>SWFS024-03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0186B25" w14:textId="77777777">
            <w:pPr>
              <w:pStyle w:val="NormalinTableHanging"/>
            </w:pPr>
            <w:r>
              <w:t>Hot Food Holding Cabinet</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3D331C6"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Pr="426D66E6" w:rsidR="00953953" w:rsidP="00354B7F" w:rsidRDefault="00953953" w14:paraId="48294FC5" w14:textId="77777777">
            <w:pPr>
              <w:pStyle w:val="NormalinTableHanging"/>
            </w:pPr>
            <w:r>
              <w:t>SCG</w:t>
            </w:r>
          </w:p>
        </w:tc>
      </w:tr>
      <w:tr w:rsidR="00953953" w:rsidTr="003A3AA3" w14:paraId="0F837783"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5F5C6EEC" w14:textId="77777777">
            <w:pPr>
              <w:pStyle w:val="NormalinTableHanging"/>
            </w:pPr>
            <w:r>
              <w:t>SWFS025-03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78183969" w14:textId="77777777">
            <w:pPr>
              <w:pStyle w:val="NormalinTableHanging"/>
            </w:pPr>
            <w:r>
              <w:t>Radiant Conveyor Toaster,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45F5DA4"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9983704" w14:textId="77777777">
            <w:pPr>
              <w:pStyle w:val="NormalinTableHanging"/>
            </w:pPr>
            <w:r>
              <w:t>SCG</w:t>
            </w:r>
          </w:p>
        </w:tc>
      </w:tr>
      <w:tr w:rsidR="00953953" w:rsidTr="003A3AA3" w14:paraId="0A2449EF"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418C9503" w14:textId="77777777">
            <w:pPr>
              <w:pStyle w:val="NormalinTableHanging"/>
            </w:pPr>
            <w:r>
              <w:t>SWFS026-03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493D6550" w14:textId="77777777">
            <w:pPr>
              <w:pStyle w:val="NormalinTableHanging"/>
            </w:pPr>
            <w:r>
              <w:t>Cooktop,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3648401"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52290150" w14:textId="77777777">
            <w:pPr>
              <w:pStyle w:val="NormalinTableHanging"/>
            </w:pPr>
            <w:r>
              <w:t>SCG</w:t>
            </w:r>
          </w:p>
        </w:tc>
      </w:tr>
      <w:tr w:rsidR="00953953" w:rsidTr="003A3AA3" w14:paraId="6A707C5A"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2D351092" w14:textId="77777777">
            <w:pPr>
              <w:pStyle w:val="NormalinTableHanging"/>
            </w:pPr>
            <w:r>
              <w:t>SWFS027-02</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67C97419" w14:textId="77777777">
            <w:pPr>
              <w:pStyle w:val="NormalinTableHanging"/>
            </w:pPr>
            <w:r>
              <w:t>Soup Well, Electric,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677D2BA"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DDBF5C6" w14:textId="77777777">
            <w:pPr>
              <w:pStyle w:val="NormalinTableHanging"/>
            </w:pPr>
            <w:r>
              <w:t>SCG</w:t>
            </w:r>
          </w:p>
        </w:tc>
      </w:tr>
      <w:tr w:rsidR="00953953" w:rsidTr="003A3AA3" w14:paraId="366DF0A2"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785F7736" w14:textId="77777777">
            <w:pPr>
              <w:pStyle w:val="NormalinTableHanging"/>
            </w:pPr>
            <w:r>
              <w:t>SWFS028-02</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16D4FC0" w14:textId="77777777">
            <w:pPr>
              <w:pStyle w:val="NormalinTableHanging"/>
            </w:pPr>
            <w:r>
              <w:t>Steam Table, Electric,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9993969"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63C67FB" w14:textId="77777777">
            <w:pPr>
              <w:pStyle w:val="NormalinTableHanging"/>
            </w:pPr>
            <w:r>
              <w:t>SCG</w:t>
            </w:r>
          </w:p>
        </w:tc>
      </w:tr>
      <w:tr w:rsidR="00953953" w:rsidTr="003A3AA3" w14:paraId="3F0E7330"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2B558A2" w14:textId="77777777">
            <w:pPr>
              <w:pStyle w:val="NormalinTableHanging"/>
            </w:pPr>
            <w:r>
              <w:t>SWFS029-02</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72161A43" w14:textId="77777777">
            <w:pPr>
              <w:pStyle w:val="NormalinTableHanging"/>
            </w:pPr>
            <w:r>
              <w:t>Rotisserie, Gas,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4FA6D41"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63E4CA1" w14:textId="77777777">
            <w:pPr>
              <w:pStyle w:val="NormalinTableHanging"/>
            </w:pPr>
            <w:r>
              <w:t>SCG</w:t>
            </w:r>
          </w:p>
        </w:tc>
      </w:tr>
      <w:tr w:rsidR="00DD1F2A" w:rsidTr="003A3AA3" w14:paraId="57BEC408"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DD1F2A" w:rsidP="00354B7F" w:rsidRDefault="00DD1F2A" w14:paraId="7CF77C14" w14:textId="706BED89">
            <w:pPr>
              <w:pStyle w:val="NormalinTableHanging"/>
            </w:pPr>
            <w:r>
              <w:t>SWFS030-02</w:t>
            </w:r>
          </w:p>
        </w:tc>
        <w:tc>
          <w:tcPr>
            <w:tcW w:w="5548" w:type="dxa"/>
            <w:tcBorders>
              <w:top w:val="single" w:color="auto" w:sz="4" w:space="0"/>
              <w:left w:val="single" w:color="auto" w:sz="4" w:space="0"/>
              <w:bottom w:val="single" w:color="auto" w:sz="4" w:space="0"/>
              <w:right w:val="single" w:color="auto" w:sz="4" w:space="0"/>
            </w:tcBorders>
          </w:tcPr>
          <w:p w:rsidR="00DD1F2A" w:rsidP="00354B7F" w:rsidRDefault="00DD1F2A" w14:paraId="3D5FF5BD" w14:textId="0FF5A872">
            <w:pPr>
              <w:pStyle w:val="NormalinTableHanging"/>
            </w:pPr>
            <w:r>
              <w:t>Pressure Fryer, Commercial</w:t>
            </w:r>
          </w:p>
        </w:tc>
        <w:tc>
          <w:tcPr>
            <w:tcW w:w="1065" w:type="dxa"/>
            <w:tcBorders>
              <w:top w:val="single" w:color="auto" w:sz="4" w:space="0"/>
              <w:left w:val="single" w:color="auto" w:sz="4" w:space="0"/>
              <w:bottom w:val="single" w:color="auto" w:sz="4" w:space="0"/>
              <w:right w:val="single" w:color="auto" w:sz="4" w:space="0"/>
            </w:tcBorders>
          </w:tcPr>
          <w:p w:rsidR="00DD1F2A" w:rsidP="00354B7F" w:rsidRDefault="00DD1F2A" w14:paraId="256331D9" w14:textId="25F5661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DD1F2A" w:rsidP="00354B7F" w:rsidRDefault="00DD1F2A" w14:paraId="697C11AB" w14:textId="45A0023B">
            <w:pPr>
              <w:pStyle w:val="NormalinTableHanging"/>
            </w:pPr>
            <w:r>
              <w:t>SCG</w:t>
            </w:r>
          </w:p>
        </w:tc>
      </w:tr>
      <w:tr w:rsidR="00953953" w:rsidTr="003A3AA3" w14:paraId="52023DA6"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2865C2D8" w14:textId="77777777">
            <w:pPr>
              <w:pStyle w:val="NormalinTableHanging"/>
            </w:pPr>
            <w:r w:rsidRPr="426D66E6">
              <w:t>SWHC001-0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62F09A1B" w14:textId="77777777">
            <w:pPr>
              <w:pStyle w:val="NormalinTableHanging"/>
            </w:pPr>
            <w:r w:rsidRPr="426D66E6">
              <w:t>Wall Furnace,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354DC25"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98E4538" w14:textId="77777777">
            <w:pPr>
              <w:pStyle w:val="NormalinTableHanging"/>
            </w:pPr>
            <w:r w:rsidRPr="426D66E6">
              <w:t>SCG</w:t>
            </w:r>
          </w:p>
        </w:tc>
      </w:tr>
      <w:tr w:rsidR="00953953" w:rsidTr="003A3AA3" w14:paraId="0F1E9F6A"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B03EE02" w14:textId="77777777">
            <w:pPr>
              <w:pStyle w:val="NormalinTableHanging"/>
            </w:pPr>
            <w:r w:rsidRPr="426D66E6">
              <w:t>SWHC002-0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0CEA15D" w14:textId="77777777">
            <w:pPr>
              <w:pStyle w:val="NormalinTableHanging"/>
            </w:pPr>
            <w:r w:rsidRPr="426D66E6">
              <w:t>Intermittent Pilot Light,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2113012"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586E00B9" w14:textId="77777777">
            <w:pPr>
              <w:pStyle w:val="NormalinTableHanging"/>
            </w:pPr>
            <w:r w:rsidRPr="426D66E6">
              <w:t>SCG</w:t>
            </w:r>
          </w:p>
        </w:tc>
      </w:tr>
      <w:tr w:rsidR="00953953" w:rsidTr="003A3AA3" w14:paraId="78B806AC"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24D64FB2" w14:textId="576AE439">
            <w:pPr>
              <w:pStyle w:val="NormalinTableHanging"/>
            </w:pPr>
            <w:r w:rsidRPr="426D66E6">
              <w:t>SWHC004-0</w:t>
            </w:r>
            <w:r>
              <w:t>7</w:t>
            </w:r>
            <w:r w:rsidRPr="009D1F19" w:rsidR="006552A7">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4CBC1D41" w14:textId="77777777">
            <w:pPr>
              <w:pStyle w:val="NormalinTableHanging"/>
            </w:pPr>
            <w:r w:rsidRPr="426D66E6">
              <w:t xml:space="preserve">Space Heating Boiler, </w:t>
            </w:r>
            <w:r>
              <w:t xml:space="preserve">Commercial and </w:t>
            </w:r>
            <w:r w:rsidRPr="426D66E6">
              <w:t>Multifamily</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67BB2C4A"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29EFF62" w14:textId="77777777">
            <w:pPr>
              <w:pStyle w:val="NormalinTableHanging"/>
            </w:pPr>
            <w:r w:rsidRPr="426D66E6">
              <w:t>SCG</w:t>
            </w:r>
          </w:p>
        </w:tc>
      </w:tr>
      <w:tr w:rsidR="00953953" w:rsidTr="003A3AA3" w14:paraId="4392FD2D"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46E4FDE7" w14:textId="4E07713E">
            <w:pPr>
              <w:pStyle w:val="NormalinTableHanging"/>
            </w:pPr>
            <w:r w:rsidRPr="426D66E6">
              <w:t>SWHC005-0</w:t>
            </w:r>
            <w:r w:rsidR="004E6D01">
              <w:t>5</w:t>
            </w:r>
            <w:r w:rsidRPr="009D1F19" w:rsidR="00D947C3">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59ED65DA" w14:textId="77777777">
            <w:pPr>
              <w:pStyle w:val="NormalinTableHanging"/>
            </w:pPr>
            <w:r w:rsidRPr="426D66E6">
              <w:t>Water-Cooled Chiller</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03693B5C"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716DFC2" w14:textId="77777777">
            <w:pPr>
              <w:pStyle w:val="NormalinTableHanging"/>
            </w:pPr>
            <w:r w:rsidRPr="426D66E6">
              <w:t>SDGE</w:t>
            </w:r>
          </w:p>
        </w:tc>
      </w:tr>
      <w:tr w:rsidR="00953953" w:rsidTr="003A3AA3" w14:paraId="3CA42C77"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7907902B" w14:textId="5C307E04">
            <w:pPr>
              <w:pStyle w:val="NormalinTableHanging"/>
            </w:pPr>
            <w:r w:rsidRPr="426D66E6">
              <w:t>SWHC006-0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232C63F" w14:textId="77777777">
            <w:pPr>
              <w:pStyle w:val="NormalinTableHanging"/>
            </w:pPr>
            <w:r w:rsidRPr="426D66E6">
              <w:t>Demand Control Ventilation for Single Zone HVAC</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60EC25D8"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5E74A9D5" w14:textId="77777777">
            <w:pPr>
              <w:pStyle w:val="NormalinTableHanging"/>
            </w:pPr>
            <w:r w:rsidRPr="426D66E6">
              <w:t>PG&amp;E</w:t>
            </w:r>
          </w:p>
        </w:tc>
      </w:tr>
      <w:tr w:rsidR="00953953" w:rsidTr="003A3AA3" w14:paraId="781D3E30"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14AB424" w14:textId="0A65313D">
            <w:pPr>
              <w:pStyle w:val="NormalinTableHanging"/>
            </w:pPr>
            <w:r w:rsidRPr="426D66E6">
              <w:t>SWHC008-0</w:t>
            </w:r>
            <w:r>
              <w:t>3</w:t>
            </w:r>
            <w:r w:rsidRPr="009D1F19" w:rsidR="00D947C3">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9ED7390" w14:textId="77777777">
            <w:pPr>
              <w:pStyle w:val="NormalinTableHanging"/>
            </w:pPr>
            <w:r w:rsidRPr="426D66E6">
              <w:t>V</w:t>
            </w:r>
            <w:r>
              <w:t>SD</w:t>
            </w:r>
            <w:r w:rsidRPr="426D66E6">
              <w:t xml:space="preserve"> For Central Plant System</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157734C8"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93096FE" w14:textId="77777777">
            <w:pPr>
              <w:pStyle w:val="NormalinTableHanging"/>
            </w:pPr>
            <w:r w:rsidRPr="426D66E6">
              <w:t>SCE</w:t>
            </w:r>
          </w:p>
        </w:tc>
      </w:tr>
      <w:tr w:rsidR="00953953" w:rsidTr="003A3AA3" w14:paraId="5333E201"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14E7AA91" w14:textId="4BD51E64">
            <w:pPr>
              <w:pStyle w:val="NormalinTableHanging"/>
            </w:pPr>
            <w:r w:rsidRPr="426D66E6">
              <w:t>SWHC009-0</w:t>
            </w:r>
            <w:r>
              <w:t>5</w:t>
            </w:r>
            <w:r w:rsidRPr="009D1F19" w:rsidR="00D947C3">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68746EF" w14:textId="77777777">
            <w:pPr>
              <w:pStyle w:val="NormalinTableHanging"/>
            </w:pPr>
            <w:r w:rsidRPr="426D66E6">
              <w:t>Supply Fan Controls,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EB8F286"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83CE541" w14:textId="77777777">
            <w:pPr>
              <w:pStyle w:val="NormalinTableHanging"/>
            </w:pPr>
            <w:r w:rsidRPr="426D66E6">
              <w:t>SDGE</w:t>
            </w:r>
          </w:p>
        </w:tc>
      </w:tr>
      <w:tr w:rsidR="00953953" w:rsidTr="003A3AA3" w14:paraId="0E90D77F"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8720FB7" w14:textId="605040F8">
            <w:pPr>
              <w:pStyle w:val="NormalinTableHanging"/>
            </w:pPr>
            <w:r w:rsidRPr="426D66E6">
              <w:t>SWHC012-0</w:t>
            </w:r>
            <w:r>
              <w:t>4</w:t>
            </w:r>
            <w:r w:rsidRPr="009D1F19" w:rsidR="00D947C3">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AD1A0AC" w14:textId="77777777">
            <w:pPr>
              <w:pStyle w:val="NormalinTableHanging"/>
            </w:pPr>
            <w:r w:rsidRPr="426D66E6">
              <w:t>Classroom HVAC Occupancy Sensor</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770D9B02"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000823A" w14:textId="77777777">
            <w:pPr>
              <w:pStyle w:val="NormalinTableHanging"/>
            </w:pPr>
            <w:r w:rsidRPr="426D66E6">
              <w:t>SCE</w:t>
            </w:r>
          </w:p>
        </w:tc>
      </w:tr>
      <w:tr w:rsidR="00953953" w:rsidTr="003A3AA3" w14:paraId="4C6C2D82"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5A7D03E" w14:textId="044CA1CE">
            <w:pPr>
              <w:pStyle w:val="NormalinTableHanging"/>
            </w:pPr>
            <w:r w:rsidRPr="426D66E6">
              <w:t>SWHC013-0</w:t>
            </w:r>
            <w:r w:rsidR="00A60C97">
              <w:t>6</w:t>
            </w:r>
            <w:r w:rsidRPr="009D1F19" w:rsidR="00D947C3">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71ECC1B2" w14:textId="77777777">
            <w:pPr>
              <w:pStyle w:val="NormalinTableHanging"/>
            </w:pPr>
            <w:r w:rsidRPr="426D66E6">
              <w:t xml:space="preserve">Unitary Air-Cooled AC and HP, over 65 </w:t>
            </w:r>
            <w:proofErr w:type="spellStart"/>
            <w:r w:rsidRPr="426D66E6">
              <w:t>kBtu</w:t>
            </w:r>
            <w:proofErr w:type="spellEnd"/>
            <w:r w:rsidRPr="426D66E6">
              <w:t>/</w:t>
            </w:r>
            <w:proofErr w:type="spellStart"/>
            <w:r w:rsidRPr="426D66E6">
              <w:t>hr</w:t>
            </w:r>
            <w:proofErr w:type="spellEnd"/>
            <w:r w:rsidRPr="426D66E6">
              <w:t>,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22CFCE70"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92F736F" w14:textId="77777777">
            <w:pPr>
              <w:pStyle w:val="NormalinTableHanging"/>
            </w:pPr>
            <w:r w:rsidRPr="426D66E6">
              <w:t>SDGE</w:t>
            </w:r>
          </w:p>
        </w:tc>
      </w:tr>
      <w:tr w:rsidR="00953953" w:rsidTr="003A3AA3" w14:paraId="340372EE"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D1AB94D" w14:textId="16B62D57">
            <w:pPr>
              <w:pStyle w:val="NormalinTableHanging"/>
            </w:pPr>
            <w:r w:rsidRPr="426D66E6">
              <w:t>SWHC014-0</w:t>
            </w:r>
            <w:r>
              <w:t>6</w:t>
            </w:r>
            <w:r w:rsidRPr="009D1F19" w:rsidR="00D947C3">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543C073" w14:textId="77777777">
            <w:pPr>
              <w:pStyle w:val="NormalinTableHanging"/>
            </w:pPr>
            <w:r w:rsidRPr="426D66E6">
              <w:t xml:space="preserve">Unitary Air-Cooled AC and HP, below 65 </w:t>
            </w:r>
            <w:proofErr w:type="spellStart"/>
            <w:r w:rsidRPr="426D66E6">
              <w:t>kBtu</w:t>
            </w:r>
            <w:proofErr w:type="spellEnd"/>
            <w:r w:rsidRPr="426D66E6">
              <w:t>/</w:t>
            </w:r>
            <w:proofErr w:type="spellStart"/>
            <w:r w:rsidRPr="426D66E6">
              <w:t>hr</w:t>
            </w:r>
            <w:proofErr w:type="spellEnd"/>
            <w:r w:rsidRPr="426D66E6">
              <w:t>,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033AD0D3"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0269E85A" w14:textId="77777777">
            <w:pPr>
              <w:pStyle w:val="NormalinTableHanging"/>
            </w:pPr>
            <w:r w:rsidRPr="426D66E6">
              <w:t>SDGE</w:t>
            </w:r>
          </w:p>
        </w:tc>
      </w:tr>
      <w:tr w:rsidR="00953953" w:rsidTr="003A3AA3" w14:paraId="289E2439"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35CE1B6" w14:textId="4B5F4F8C">
            <w:pPr>
              <w:pStyle w:val="NormalinTableHanging"/>
            </w:pPr>
            <w:r w:rsidRPr="426D66E6">
              <w:t>SWHC018-0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D4BB95E" w14:textId="77777777">
            <w:pPr>
              <w:pStyle w:val="NormalinTableHanging"/>
            </w:pPr>
            <w:r w:rsidRPr="426D66E6">
              <w:t>VSD for HVAC Fan Controls,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7D13121A"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5FAA702C" w14:textId="77777777">
            <w:pPr>
              <w:pStyle w:val="NormalinTableHanging"/>
            </w:pPr>
            <w:r w:rsidRPr="426D66E6">
              <w:t>PG&amp;E</w:t>
            </w:r>
          </w:p>
        </w:tc>
      </w:tr>
      <w:tr w:rsidR="00953953" w:rsidTr="003A3AA3" w14:paraId="35CA965A"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55E0692F" w14:textId="227B7D83">
            <w:pPr>
              <w:pStyle w:val="NormalinTableHanging"/>
            </w:pPr>
            <w:r w:rsidRPr="426D66E6">
              <w:t>SWHC020-0</w:t>
            </w:r>
            <w:r w:rsidR="00A910AE">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D301F0C" w14:textId="6770D212">
            <w:pPr>
              <w:pStyle w:val="NormalinTableHanging"/>
            </w:pPr>
            <w:r w:rsidRPr="426D66E6">
              <w:t xml:space="preserve">Air Cooled </w:t>
            </w:r>
            <w:r w:rsidR="00A910AE">
              <w:t xml:space="preserve">Screw </w:t>
            </w:r>
            <w:r w:rsidRPr="426D66E6">
              <w:t>Chiller</w:t>
            </w:r>
            <w:r w:rsidR="00A910AE">
              <w:t>, Path A</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A23C335"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904BCC5" w14:textId="77777777">
            <w:pPr>
              <w:pStyle w:val="NormalinTableHanging"/>
            </w:pPr>
            <w:r w:rsidRPr="426D66E6">
              <w:t>SDGE</w:t>
            </w:r>
          </w:p>
        </w:tc>
      </w:tr>
      <w:tr w:rsidR="00953953" w:rsidTr="003A3AA3" w14:paraId="704D9393"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7F6CACB" w14:textId="768AC149">
            <w:pPr>
              <w:pStyle w:val="NormalinTableHanging"/>
            </w:pPr>
            <w:r w:rsidRPr="426D66E6">
              <w:t>SWHC023-0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1CEAE42" w14:textId="77777777">
            <w:pPr>
              <w:pStyle w:val="NormalinTableHanging"/>
            </w:pPr>
            <w:r w:rsidRPr="426D66E6">
              <w:t>Enhanced Ventilation for Packaged HVAC</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0FFCBA7"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3034AFEB" w14:textId="77777777">
            <w:pPr>
              <w:pStyle w:val="NormalinTableHanging"/>
            </w:pPr>
            <w:r w:rsidRPr="426D66E6">
              <w:t>PG&amp;E</w:t>
            </w:r>
          </w:p>
        </w:tc>
      </w:tr>
      <w:tr w:rsidR="00953953" w:rsidTr="003A3AA3" w14:paraId="522107A8"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B2359FF" w14:textId="6A214550">
            <w:pPr>
              <w:pStyle w:val="NormalinTableHanging"/>
            </w:pPr>
            <w:r w:rsidRPr="426D66E6">
              <w:t>SWHC024-0</w:t>
            </w:r>
            <w:r>
              <w:t>5</w:t>
            </w:r>
            <w:r w:rsidRPr="009D1F19" w:rsidR="00150903">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31596" w14:paraId="4640858C" w14:textId="5C8900EA">
            <w:pPr>
              <w:pStyle w:val="NormalinTableHanging"/>
            </w:pPr>
            <w:r>
              <w:t xml:space="preserve">Drive </w:t>
            </w:r>
            <w:r w:rsidRPr="426D66E6" w:rsidR="00953953">
              <w:t>Belt for HVAC Fan,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45013B7"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F1134BC" w14:textId="77777777">
            <w:pPr>
              <w:pStyle w:val="NormalinTableHanging"/>
            </w:pPr>
            <w:r w:rsidRPr="426D66E6">
              <w:t>SCE</w:t>
            </w:r>
          </w:p>
        </w:tc>
      </w:tr>
      <w:tr w:rsidR="00953953" w:rsidTr="003A3AA3" w14:paraId="0C943BEB"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582F9F82" w14:textId="4425FE49">
            <w:pPr>
              <w:pStyle w:val="NormalinTableHanging"/>
            </w:pPr>
            <w:r w:rsidRPr="426D66E6">
              <w:t>SWHC027-0</w:t>
            </w:r>
            <w:r w:rsidR="002D7C20">
              <w:t>6</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6071226" w14:textId="77777777">
            <w:pPr>
              <w:pStyle w:val="NormalinTableHanging"/>
            </w:pPr>
            <w:r w:rsidRPr="426D66E6">
              <w:t xml:space="preserve">Package Terminal Air Conditioner or Heat Pump, Under 24 </w:t>
            </w:r>
            <w:proofErr w:type="spellStart"/>
            <w:r w:rsidRPr="426D66E6">
              <w:t>kBtu</w:t>
            </w:r>
            <w:proofErr w:type="spellEnd"/>
            <w:r w:rsidRPr="426D66E6">
              <w:t>/</w:t>
            </w:r>
            <w:proofErr w:type="spellStart"/>
            <w:r w:rsidRPr="426D66E6">
              <w:t>hr</w:t>
            </w:r>
            <w:proofErr w:type="spellEnd"/>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8500010"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401F51DC" w14:textId="77777777">
            <w:pPr>
              <w:pStyle w:val="NormalinTableHanging"/>
            </w:pPr>
            <w:r w:rsidRPr="426D66E6">
              <w:t>SDGE</w:t>
            </w:r>
          </w:p>
        </w:tc>
      </w:tr>
      <w:tr w:rsidR="00953953" w:rsidTr="003A3AA3" w14:paraId="647E752E"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075F653" w14:textId="77777777">
            <w:pPr>
              <w:pStyle w:val="NormalinTableHanging"/>
            </w:pPr>
            <w:r w:rsidRPr="426D66E6">
              <w:t>SWHC031-0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877A897" w14:textId="77777777">
            <w:pPr>
              <w:pStyle w:val="NormalinTableHanging"/>
            </w:pPr>
            <w:r w:rsidRPr="426D66E6">
              <w:t>Furnace,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618B8BE9"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4183486E" w14:textId="77777777">
            <w:pPr>
              <w:pStyle w:val="NormalinTableHanging"/>
            </w:pPr>
            <w:r w:rsidRPr="426D66E6">
              <w:t>SCG</w:t>
            </w:r>
          </w:p>
        </w:tc>
      </w:tr>
      <w:tr w:rsidR="00953953" w:rsidTr="003A3AA3" w14:paraId="5341C97E"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2626204" w14:textId="77777777">
            <w:pPr>
              <w:pStyle w:val="NormalinTableHanging"/>
            </w:pPr>
            <w:r w:rsidRPr="426D66E6">
              <w:t>SWHC038-0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73571A67" w14:textId="77777777">
            <w:pPr>
              <w:pStyle w:val="NormalinTableHanging"/>
            </w:pPr>
            <w:r w:rsidRPr="426D66E6">
              <w:t>Brushless Fan Motor Replacement,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6F9CD149"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E15BEB3" w14:textId="77777777">
            <w:pPr>
              <w:pStyle w:val="NormalinTableHanging"/>
            </w:pPr>
            <w:r w:rsidRPr="426D66E6">
              <w:t>SCE</w:t>
            </w:r>
          </w:p>
        </w:tc>
      </w:tr>
      <w:tr w:rsidR="00953953" w:rsidTr="003A3AA3" w14:paraId="10B159CC"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1DDBD957" w14:textId="0C345776">
            <w:pPr>
              <w:pStyle w:val="NormalinTableHanging"/>
            </w:pPr>
            <w:r w:rsidRPr="426D66E6">
              <w:t>SWHC039-0</w:t>
            </w:r>
            <w:r w:rsidR="00277B6A">
              <w:t>9</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62DAE08" w14:textId="77777777">
            <w:pPr>
              <w:pStyle w:val="NormalinTableHanging"/>
            </w:pPr>
            <w:r w:rsidRPr="426D66E6">
              <w:t>Smart Thermostat,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717A310F"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7B90994" w14:textId="77777777">
            <w:pPr>
              <w:pStyle w:val="NormalinTableHanging"/>
            </w:pPr>
            <w:r w:rsidRPr="426D66E6">
              <w:t>SCE</w:t>
            </w:r>
          </w:p>
        </w:tc>
      </w:tr>
      <w:tr w:rsidR="00953953" w:rsidTr="003A3AA3" w14:paraId="1B975F30"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7ECE914A" w14:textId="00991E99">
            <w:pPr>
              <w:pStyle w:val="NormalinTableHanging"/>
            </w:pPr>
            <w:r w:rsidRPr="426D66E6">
              <w:t>SWHC041-0</w:t>
            </w:r>
            <w:r>
              <w:t>6</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55A8CE33" w14:textId="77777777">
            <w:pPr>
              <w:pStyle w:val="NormalinTableHanging"/>
            </w:pPr>
            <w:r w:rsidRPr="426D66E6">
              <w:t>Software-Controlled Switch Reluctance Motor</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7FB605B"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1AC5722" w14:textId="77777777">
            <w:pPr>
              <w:pStyle w:val="NormalinTableHanging"/>
            </w:pPr>
            <w:r w:rsidRPr="426D66E6">
              <w:t>SCE</w:t>
            </w:r>
          </w:p>
        </w:tc>
      </w:tr>
      <w:tr w:rsidR="00953953" w:rsidTr="003A3AA3" w14:paraId="77632ECF"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192B71E2" w14:textId="0D379286">
            <w:pPr>
              <w:pStyle w:val="NormalinTableHanging"/>
            </w:pPr>
            <w:r w:rsidRPr="426D66E6">
              <w:t>SWHC043-0</w:t>
            </w:r>
            <w:r w:rsidR="001F35DA">
              <w:t>6</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2BC9C7B" w14:textId="77777777">
            <w:pPr>
              <w:pStyle w:val="NormalinTableHanging"/>
            </w:pPr>
            <w:r w:rsidRPr="426D66E6">
              <w:t xml:space="preserve">Multiple Capacity Unitary Air-Cooled Commercial Air Conditioners Between 65 and 240 </w:t>
            </w:r>
            <w:proofErr w:type="spellStart"/>
            <w:r w:rsidRPr="426D66E6">
              <w:t>kBtu</w:t>
            </w:r>
            <w:proofErr w:type="spellEnd"/>
            <w:r w:rsidRPr="426D66E6">
              <w:t>/</w:t>
            </w:r>
            <w:proofErr w:type="spellStart"/>
            <w:r w:rsidRPr="426D66E6">
              <w:t>hr</w:t>
            </w:r>
            <w:proofErr w:type="spellEnd"/>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08CBE910"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1B8BE24" w14:textId="77777777">
            <w:pPr>
              <w:pStyle w:val="NormalinTableHanging"/>
            </w:pPr>
            <w:r w:rsidRPr="426D66E6">
              <w:t>SDGE</w:t>
            </w:r>
          </w:p>
        </w:tc>
      </w:tr>
      <w:tr w:rsidR="00953953" w:rsidTr="003A3AA3" w14:paraId="630E8D5D"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307C332" w14:textId="39022DA0">
            <w:pPr>
              <w:pStyle w:val="NormalinTableHanging"/>
            </w:pPr>
            <w:r w:rsidRPr="426D66E6">
              <w:t>SWHC044-0</w:t>
            </w:r>
            <w:r w:rsidR="00227384">
              <w:t>5</w:t>
            </w:r>
            <w:r w:rsidRPr="009D1F19" w:rsidR="00B06A1C">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4BD822B7" w14:textId="77777777">
            <w:pPr>
              <w:pStyle w:val="NormalinTableHanging"/>
            </w:pPr>
            <w:r w:rsidRPr="426D66E6">
              <w:t>Ductless HVAC, Residential, Fuel Substitution</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DB8A03F"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EE85B96" w14:textId="77777777">
            <w:pPr>
              <w:pStyle w:val="NormalinTableHanging"/>
            </w:pPr>
            <w:r w:rsidRPr="426D66E6">
              <w:t>SCE</w:t>
            </w:r>
          </w:p>
        </w:tc>
      </w:tr>
      <w:tr w:rsidR="00953953" w:rsidTr="003A3AA3" w14:paraId="637EF535"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40521D00" w14:textId="239D2E9D">
            <w:pPr>
              <w:pStyle w:val="NormalinTableHanging"/>
            </w:pPr>
            <w:r w:rsidRPr="426D66E6">
              <w:lastRenderedPageBreak/>
              <w:t>SWHC045-0</w:t>
            </w:r>
            <w:r w:rsidR="00C64F53">
              <w:t>4</w:t>
            </w:r>
            <w:r w:rsidRPr="009D1F19" w:rsidR="00B06A1C">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92F5847" w14:textId="77777777">
            <w:pPr>
              <w:pStyle w:val="NormalinTableHanging"/>
            </w:pPr>
            <w:r w:rsidRPr="426D66E6">
              <w:t>Heat Pump H</w:t>
            </w:r>
            <w:r>
              <w:t>VAC</w:t>
            </w:r>
            <w:r w:rsidRPr="426D66E6">
              <w:t>, Residentia</w:t>
            </w:r>
            <w:r>
              <w:t>l,</w:t>
            </w:r>
            <w:r w:rsidRPr="426D66E6">
              <w:t xml:space="preserve"> Fuel Substitution</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185A5604"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5CA29019" w14:textId="77777777">
            <w:pPr>
              <w:pStyle w:val="NormalinTableHanging"/>
            </w:pPr>
            <w:r w:rsidRPr="426D66E6">
              <w:t>SCE</w:t>
            </w:r>
          </w:p>
        </w:tc>
      </w:tr>
      <w:tr w:rsidR="00953953" w:rsidTr="003A3AA3" w14:paraId="4AD1C425"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1891E233" w14:textId="25169B94">
            <w:pPr>
              <w:pStyle w:val="NormalinTableHanging"/>
            </w:pPr>
            <w:r w:rsidRPr="426D66E6">
              <w:t>SWHC046-0</w:t>
            </w:r>
            <w:r w:rsidR="006859DD">
              <w:t>4</w:t>
            </w:r>
            <w:r w:rsidRPr="009D1F19" w:rsidR="00645DA7">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F9F803E" w14:textId="77777777">
            <w:pPr>
              <w:pStyle w:val="NormalinTableHanging"/>
            </w:pPr>
            <w:r>
              <w:t>Packaged Heat Pump Air Conditioner, Commercial, Fuel Substitution</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15078977"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5D3163E2" w14:textId="77777777">
            <w:pPr>
              <w:pStyle w:val="NormalinTableHanging"/>
            </w:pPr>
            <w:r w:rsidRPr="426D66E6">
              <w:t>SCE</w:t>
            </w:r>
          </w:p>
        </w:tc>
      </w:tr>
      <w:tr w:rsidR="00953953" w:rsidTr="003A3AA3" w14:paraId="3FCDDCA4"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C5EA09F" w14:textId="77777777">
            <w:pPr>
              <w:pStyle w:val="NormalinTableHanging"/>
            </w:pPr>
            <w:r w:rsidRPr="426D66E6">
              <w:t>SWHC047-0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544E428" w14:textId="77777777">
            <w:pPr>
              <w:pStyle w:val="NormalinTableHanging"/>
            </w:pPr>
            <w:r w:rsidRPr="426D66E6">
              <w:t>Gas Fireplace,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EF197B1"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55552DE0" w14:textId="77777777">
            <w:pPr>
              <w:pStyle w:val="NormalinTableHanging"/>
            </w:pPr>
            <w:r w:rsidRPr="426D66E6">
              <w:t>SCG</w:t>
            </w:r>
          </w:p>
        </w:tc>
      </w:tr>
      <w:tr w:rsidR="00953953" w:rsidTr="003A3AA3" w14:paraId="118E336D"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5796597E" w14:textId="6F5B3DF3">
            <w:pPr>
              <w:pStyle w:val="NormalinTableHanging"/>
            </w:pPr>
            <w:r w:rsidRPr="426D66E6">
              <w:t>SWHC049-0</w:t>
            </w:r>
            <w:r w:rsidR="00B13F49">
              <w:t>6</w:t>
            </w:r>
            <w:r w:rsidRPr="009D1F19" w:rsidR="00645DA7">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1F4EF1" w14:paraId="3DF40F6A" w14:textId="27FCE856">
            <w:pPr>
              <w:pStyle w:val="NormalinTableHanging"/>
            </w:pPr>
            <w:r>
              <w:t>Ducted</w:t>
            </w:r>
            <w:r w:rsidRPr="426D66E6" w:rsidR="00953953">
              <w:t xml:space="preserve"> AC and HP HVAC Equipment,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7002AC6"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3C75E2E5" w14:textId="77777777">
            <w:pPr>
              <w:pStyle w:val="NormalinTableHanging"/>
            </w:pPr>
            <w:r w:rsidRPr="426D66E6">
              <w:t>SDGE</w:t>
            </w:r>
          </w:p>
        </w:tc>
      </w:tr>
      <w:tr w:rsidR="00953953" w:rsidTr="003A3AA3" w14:paraId="16545266"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175793F9" w14:textId="1A649488">
            <w:pPr>
              <w:pStyle w:val="NormalinTableHanging"/>
            </w:pPr>
            <w:r w:rsidRPr="426D66E6">
              <w:t>SWHC050-0</w:t>
            </w:r>
            <w:r w:rsidR="00474E51">
              <w:t>6</w:t>
            </w:r>
            <w:r w:rsidRPr="009D1F19" w:rsidR="00645DA7">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5D473DA" w14:textId="77777777">
            <w:pPr>
              <w:pStyle w:val="NormalinTableHanging"/>
            </w:pPr>
            <w:r w:rsidRPr="426D66E6">
              <w:t>Ductless Heat Pump,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126D351C"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029B2E85" w14:textId="77777777">
            <w:pPr>
              <w:pStyle w:val="NormalinTableHanging"/>
            </w:pPr>
            <w:r w:rsidRPr="426D66E6">
              <w:t>SDGE</w:t>
            </w:r>
          </w:p>
        </w:tc>
      </w:tr>
      <w:tr w:rsidR="00F468AF" w:rsidTr="003A3AA3" w14:paraId="69D0BBF1"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Pr="426D66E6" w:rsidR="00F468AF" w:rsidP="00354B7F" w:rsidRDefault="00F468AF" w14:paraId="604C49B5" w14:textId="6158ECF0">
            <w:pPr>
              <w:pStyle w:val="NormalinTableHanging"/>
            </w:pPr>
            <w:r>
              <w:t>SWHC05</w:t>
            </w:r>
            <w:r w:rsidR="006D4F3D">
              <w:t>4-02</w:t>
            </w:r>
          </w:p>
        </w:tc>
        <w:tc>
          <w:tcPr>
            <w:tcW w:w="5548" w:type="dxa"/>
            <w:tcBorders>
              <w:top w:val="single" w:color="auto" w:sz="4" w:space="0"/>
              <w:left w:val="single" w:color="auto" w:sz="4" w:space="0"/>
              <w:bottom w:val="single" w:color="auto" w:sz="4" w:space="0"/>
              <w:right w:val="single" w:color="auto" w:sz="4" w:space="0"/>
            </w:tcBorders>
          </w:tcPr>
          <w:p w:rsidRPr="426D66E6" w:rsidR="00F468AF" w:rsidP="00354B7F" w:rsidRDefault="00E373CA" w14:paraId="69B498F7" w14:textId="422E1C63">
            <w:pPr>
              <w:pStyle w:val="NormalinTableHanging"/>
            </w:pPr>
            <w:r>
              <w:t>Heat Recovery Ventilation, Residential</w:t>
            </w:r>
          </w:p>
        </w:tc>
        <w:tc>
          <w:tcPr>
            <w:tcW w:w="1065" w:type="dxa"/>
            <w:tcBorders>
              <w:top w:val="single" w:color="auto" w:sz="4" w:space="0"/>
              <w:left w:val="single" w:color="auto" w:sz="4" w:space="0"/>
              <w:bottom w:val="single" w:color="auto" w:sz="4" w:space="0"/>
              <w:right w:val="single" w:color="auto" w:sz="4" w:space="0"/>
            </w:tcBorders>
          </w:tcPr>
          <w:p w:rsidRPr="426D66E6" w:rsidR="00F468AF" w:rsidP="00354B7F" w:rsidRDefault="00E373CA" w14:paraId="505D315E" w14:textId="012B7AA6">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Pr="426D66E6" w:rsidR="00F468AF" w:rsidP="00354B7F" w:rsidRDefault="00E373CA" w14:paraId="223BC3BC" w14:textId="72423A3C">
            <w:pPr>
              <w:pStyle w:val="NormalinTableHanging"/>
            </w:pPr>
            <w:r>
              <w:t>SCG</w:t>
            </w:r>
          </w:p>
        </w:tc>
      </w:tr>
      <w:tr w:rsidR="00E373CA" w:rsidTr="003A3AA3" w14:paraId="7FDBE212"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E373CA" w:rsidP="00354B7F" w:rsidRDefault="003A60C0" w14:paraId="7A6B0190" w14:textId="4263BAA5">
            <w:pPr>
              <w:pStyle w:val="NormalinTableHanging"/>
            </w:pPr>
            <w:r>
              <w:t>SWHC057-02</w:t>
            </w:r>
          </w:p>
        </w:tc>
        <w:tc>
          <w:tcPr>
            <w:tcW w:w="5548" w:type="dxa"/>
            <w:tcBorders>
              <w:top w:val="single" w:color="auto" w:sz="4" w:space="0"/>
              <w:left w:val="single" w:color="auto" w:sz="4" w:space="0"/>
              <w:bottom w:val="single" w:color="auto" w:sz="4" w:space="0"/>
              <w:right w:val="single" w:color="auto" w:sz="4" w:space="0"/>
            </w:tcBorders>
          </w:tcPr>
          <w:p w:rsidR="00E373CA" w:rsidP="00354B7F" w:rsidRDefault="003A60C0" w14:paraId="7627E54C" w14:textId="1BC897D3">
            <w:pPr>
              <w:pStyle w:val="NormalinTableHanging"/>
            </w:pPr>
            <w:r>
              <w:t>Space Heating Gas Absorption Heat Pump, Multifamily</w:t>
            </w:r>
          </w:p>
        </w:tc>
        <w:tc>
          <w:tcPr>
            <w:tcW w:w="1065" w:type="dxa"/>
            <w:tcBorders>
              <w:top w:val="single" w:color="auto" w:sz="4" w:space="0"/>
              <w:left w:val="single" w:color="auto" w:sz="4" w:space="0"/>
              <w:bottom w:val="single" w:color="auto" w:sz="4" w:space="0"/>
              <w:right w:val="single" w:color="auto" w:sz="4" w:space="0"/>
            </w:tcBorders>
          </w:tcPr>
          <w:p w:rsidR="00E373CA" w:rsidP="00354B7F" w:rsidRDefault="003A60C0" w14:paraId="73949BB4" w14:textId="2D0FC0AA">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E373CA" w:rsidP="00354B7F" w:rsidRDefault="003A60C0" w14:paraId="2726356A" w14:textId="4D3553ED">
            <w:pPr>
              <w:pStyle w:val="NormalinTableHanging"/>
            </w:pPr>
            <w:r>
              <w:t>SCG</w:t>
            </w:r>
          </w:p>
        </w:tc>
      </w:tr>
      <w:tr w:rsidR="003A60C0" w:rsidTr="003A3AA3" w14:paraId="5F5DB934"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3A60C0" w:rsidP="00354B7F" w:rsidRDefault="003A60C0" w14:paraId="550150AD" w14:textId="51DA270E">
            <w:pPr>
              <w:pStyle w:val="NormalinTableHanging"/>
            </w:pPr>
            <w:r>
              <w:t>SWHC058-02</w:t>
            </w:r>
          </w:p>
        </w:tc>
        <w:tc>
          <w:tcPr>
            <w:tcW w:w="5548" w:type="dxa"/>
            <w:tcBorders>
              <w:top w:val="single" w:color="auto" w:sz="4" w:space="0"/>
              <w:left w:val="single" w:color="auto" w:sz="4" w:space="0"/>
              <w:bottom w:val="single" w:color="auto" w:sz="4" w:space="0"/>
              <w:right w:val="single" w:color="auto" w:sz="4" w:space="0"/>
            </w:tcBorders>
          </w:tcPr>
          <w:p w:rsidR="003A60C0" w:rsidP="00354B7F" w:rsidRDefault="00CC354D" w14:paraId="2E80DB2F" w14:textId="505A6443">
            <w:pPr>
              <w:pStyle w:val="NormalinTableHanging"/>
            </w:pPr>
            <w:r>
              <w:t>Patio Heater, Gas, Commercial and Residential</w:t>
            </w:r>
          </w:p>
        </w:tc>
        <w:tc>
          <w:tcPr>
            <w:tcW w:w="1065" w:type="dxa"/>
            <w:tcBorders>
              <w:top w:val="single" w:color="auto" w:sz="4" w:space="0"/>
              <w:left w:val="single" w:color="auto" w:sz="4" w:space="0"/>
              <w:bottom w:val="single" w:color="auto" w:sz="4" w:space="0"/>
              <w:right w:val="single" w:color="auto" w:sz="4" w:space="0"/>
            </w:tcBorders>
          </w:tcPr>
          <w:p w:rsidR="003A60C0" w:rsidP="00354B7F" w:rsidRDefault="00CC354D" w14:paraId="206567DA" w14:textId="1EAF4CD8">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3A60C0" w:rsidP="00354B7F" w:rsidRDefault="00CC354D" w14:paraId="6D4DDE80" w14:textId="36D956E6">
            <w:pPr>
              <w:pStyle w:val="NormalinTableHanging"/>
            </w:pPr>
            <w:r>
              <w:t>SCG</w:t>
            </w:r>
          </w:p>
        </w:tc>
      </w:tr>
      <w:tr w:rsidR="00CC354D" w:rsidTr="003A3AA3" w14:paraId="70F65906"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CC354D" w:rsidP="00354B7F" w:rsidRDefault="00CC354D" w14:paraId="1E12EB8A" w14:textId="5E943D8C">
            <w:pPr>
              <w:pStyle w:val="NormalinTableHanging"/>
            </w:pPr>
            <w:r>
              <w:t>SWHC059-0</w:t>
            </w:r>
            <w:r w:rsidR="00671FE1">
              <w:t>3</w:t>
            </w:r>
          </w:p>
        </w:tc>
        <w:tc>
          <w:tcPr>
            <w:tcW w:w="5548" w:type="dxa"/>
            <w:tcBorders>
              <w:top w:val="single" w:color="auto" w:sz="4" w:space="0"/>
              <w:left w:val="single" w:color="auto" w:sz="4" w:space="0"/>
              <w:bottom w:val="single" w:color="auto" w:sz="4" w:space="0"/>
              <w:right w:val="single" w:color="auto" w:sz="4" w:space="0"/>
            </w:tcBorders>
          </w:tcPr>
          <w:p w:rsidR="00CC354D" w:rsidP="00354B7F" w:rsidRDefault="00671FE1" w14:paraId="56E2D044" w14:textId="065647EA">
            <w:pPr>
              <w:pStyle w:val="NormalinTableHanging"/>
            </w:pPr>
            <w:r>
              <w:t>Smart Fan Controller, Residential</w:t>
            </w:r>
          </w:p>
        </w:tc>
        <w:tc>
          <w:tcPr>
            <w:tcW w:w="1065" w:type="dxa"/>
            <w:tcBorders>
              <w:top w:val="single" w:color="auto" w:sz="4" w:space="0"/>
              <w:left w:val="single" w:color="auto" w:sz="4" w:space="0"/>
              <w:bottom w:val="single" w:color="auto" w:sz="4" w:space="0"/>
              <w:right w:val="single" w:color="auto" w:sz="4" w:space="0"/>
            </w:tcBorders>
          </w:tcPr>
          <w:p w:rsidR="00CC354D" w:rsidP="00354B7F" w:rsidRDefault="00671FE1" w14:paraId="565CB750" w14:textId="364B84C3">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CC354D" w:rsidP="00354B7F" w:rsidRDefault="00A0547B" w14:paraId="3DF16682" w14:textId="73EB3F1C">
            <w:pPr>
              <w:pStyle w:val="NormalinTableHanging"/>
            </w:pPr>
            <w:r>
              <w:t>SDGE</w:t>
            </w:r>
          </w:p>
        </w:tc>
      </w:tr>
      <w:tr w:rsidR="00346532" w:rsidTr="003A3AA3" w14:paraId="745E739B"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Pr="426D66E6" w:rsidR="00346532" w:rsidP="00354B7F" w:rsidRDefault="00346532" w14:paraId="4346AE31" w14:textId="26256F57">
            <w:pPr>
              <w:pStyle w:val="NormalinTableHanging"/>
            </w:pPr>
            <w:r>
              <w:t>SWLG020-03</w:t>
            </w:r>
          </w:p>
        </w:tc>
        <w:tc>
          <w:tcPr>
            <w:tcW w:w="5548" w:type="dxa"/>
            <w:tcBorders>
              <w:top w:val="single" w:color="auto" w:sz="4" w:space="0"/>
              <w:left w:val="single" w:color="auto" w:sz="4" w:space="0"/>
              <w:bottom w:val="single" w:color="auto" w:sz="4" w:space="0"/>
              <w:right w:val="single" w:color="auto" w:sz="4" w:space="0"/>
            </w:tcBorders>
          </w:tcPr>
          <w:p w:rsidRPr="426D66E6" w:rsidR="00346532" w:rsidP="00354B7F" w:rsidRDefault="00346532" w14:paraId="09956266" w14:textId="30E31E63">
            <w:pPr>
              <w:pStyle w:val="NormalinTableHanging"/>
            </w:pPr>
            <w:r>
              <w:t>UL Type B LED Mogul Base Lamp HID Retrofits for Outdoor Area/Pole and Decorative Fixtures</w:t>
            </w:r>
          </w:p>
        </w:tc>
        <w:tc>
          <w:tcPr>
            <w:tcW w:w="1065" w:type="dxa"/>
            <w:tcBorders>
              <w:top w:val="single" w:color="auto" w:sz="4" w:space="0"/>
              <w:left w:val="single" w:color="auto" w:sz="4" w:space="0"/>
              <w:bottom w:val="single" w:color="auto" w:sz="4" w:space="0"/>
              <w:right w:val="single" w:color="auto" w:sz="4" w:space="0"/>
            </w:tcBorders>
          </w:tcPr>
          <w:p w:rsidRPr="426D66E6" w:rsidR="00346532" w:rsidP="00354B7F" w:rsidRDefault="00346532" w14:paraId="42EC994E" w14:textId="22853C33">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Pr="426D66E6" w:rsidR="00346532" w:rsidP="00354B7F" w:rsidRDefault="00346532" w14:paraId="09C20C4C" w14:textId="57E43BD2">
            <w:pPr>
              <w:pStyle w:val="NormalinTableHanging"/>
            </w:pPr>
            <w:r>
              <w:t>SCE</w:t>
            </w:r>
          </w:p>
        </w:tc>
      </w:tr>
      <w:tr w:rsidR="00596027" w:rsidTr="003A3AA3" w14:paraId="575F03C2"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596027" w:rsidP="00354B7F" w:rsidRDefault="00596027" w14:paraId="6C9A2579" w14:textId="2C0AEA21">
            <w:pPr>
              <w:pStyle w:val="NormalinTableHanging"/>
            </w:pPr>
            <w:r>
              <w:t>SWMI00</w:t>
            </w:r>
            <w:r w:rsidR="00F044E6">
              <w:t>2-0</w:t>
            </w:r>
            <w:r w:rsidR="00E05B09">
              <w:t>3</w:t>
            </w:r>
          </w:p>
        </w:tc>
        <w:tc>
          <w:tcPr>
            <w:tcW w:w="5548" w:type="dxa"/>
            <w:tcBorders>
              <w:top w:val="single" w:color="auto" w:sz="4" w:space="0"/>
              <w:left w:val="single" w:color="auto" w:sz="4" w:space="0"/>
              <w:bottom w:val="single" w:color="auto" w:sz="4" w:space="0"/>
              <w:right w:val="single" w:color="auto" w:sz="4" w:space="0"/>
            </w:tcBorders>
          </w:tcPr>
          <w:p w:rsidR="00596027" w:rsidP="00354B7F" w:rsidRDefault="00E05B09" w14:paraId="709C7808" w14:textId="450F7FF7">
            <w:pPr>
              <w:pStyle w:val="NormalinTableHanging"/>
            </w:pPr>
            <w:r>
              <w:t>No Savings</w:t>
            </w:r>
          </w:p>
        </w:tc>
        <w:tc>
          <w:tcPr>
            <w:tcW w:w="1065" w:type="dxa"/>
            <w:tcBorders>
              <w:top w:val="single" w:color="auto" w:sz="4" w:space="0"/>
              <w:left w:val="single" w:color="auto" w:sz="4" w:space="0"/>
              <w:bottom w:val="single" w:color="auto" w:sz="4" w:space="0"/>
              <w:right w:val="single" w:color="auto" w:sz="4" w:space="0"/>
            </w:tcBorders>
          </w:tcPr>
          <w:p w:rsidR="00596027" w:rsidP="00354B7F" w:rsidRDefault="00E05B09" w14:paraId="3DB5CC75" w14:textId="0FEFFB1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596027" w:rsidP="00354B7F" w:rsidRDefault="00E05B09" w14:paraId="02718098" w14:textId="0171E3CC">
            <w:pPr>
              <w:pStyle w:val="NormalinTableHanging"/>
            </w:pPr>
            <w:r>
              <w:t>SDGE</w:t>
            </w:r>
          </w:p>
        </w:tc>
      </w:tr>
      <w:tr w:rsidR="00D55879" w:rsidTr="003A3AA3" w14:paraId="3FABC061"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D55879" w:rsidP="00354B7F" w:rsidRDefault="00D55879" w14:paraId="14FEA14A" w14:textId="079C1630">
            <w:pPr>
              <w:pStyle w:val="NormalinTableHanging"/>
            </w:pPr>
            <w:r>
              <w:t>SWMI003-02</w:t>
            </w:r>
          </w:p>
        </w:tc>
        <w:tc>
          <w:tcPr>
            <w:tcW w:w="5548" w:type="dxa"/>
            <w:tcBorders>
              <w:top w:val="single" w:color="auto" w:sz="4" w:space="0"/>
              <w:left w:val="single" w:color="auto" w:sz="4" w:space="0"/>
              <w:bottom w:val="single" w:color="auto" w:sz="4" w:space="0"/>
              <w:right w:val="single" w:color="auto" w:sz="4" w:space="0"/>
            </w:tcBorders>
          </w:tcPr>
          <w:p w:rsidR="00D55879" w:rsidP="00354B7F" w:rsidRDefault="00BC262E" w14:paraId="077E4171" w14:textId="724722A3">
            <w:pPr>
              <w:pStyle w:val="NormalinTableHanging"/>
            </w:pPr>
            <w:r>
              <w:t>High-Efficiency Toilets, Residential and Commercial</w:t>
            </w:r>
          </w:p>
        </w:tc>
        <w:tc>
          <w:tcPr>
            <w:tcW w:w="1065" w:type="dxa"/>
            <w:tcBorders>
              <w:top w:val="single" w:color="auto" w:sz="4" w:space="0"/>
              <w:left w:val="single" w:color="auto" w:sz="4" w:space="0"/>
              <w:bottom w:val="single" w:color="auto" w:sz="4" w:space="0"/>
              <w:right w:val="single" w:color="auto" w:sz="4" w:space="0"/>
            </w:tcBorders>
          </w:tcPr>
          <w:p w:rsidR="00D55879" w:rsidP="00354B7F" w:rsidRDefault="00BC262E" w14:paraId="11A15050" w14:textId="6EE8178A">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D55879" w:rsidP="00354B7F" w:rsidRDefault="00BC262E" w14:paraId="7492D2BE" w14:textId="25A9D069">
            <w:pPr>
              <w:pStyle w:val="NormalinTableHanging"/>
            </w:pPr>
            <w:r>
              <w:t>SDGE</w:t>
            </w:r>
          </w:p>
        </w:tc>
      </w:tr>
      <w:tr w:rsidR="00953953" w:rsidTr="003A3AA3" w14:paraId="48A5ACEC"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BE9E1BB" w14:textId="77777777">
            <w:pPr>
              <w:pStyle w:val="NormalinTableHanging"/>
            </w:pPr>
            <w:r w:rsidRPr="426D66E6">
              <w:t>SWPR001-0</w:t>
            </w:r>
            <w:r>
              <w:t>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685A923" w14:textId="77777777">
            <w:pPr>
              <w:pStyle w:val="NormalinTableHanging"/>
            </w:pPr>
            <w:r w:rsidRPr="426D66E6">
              <w:t>Ventilation Fan, Agricultur</w:t>
            </w:r>
            <w:r>
              <w:t>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20B67444"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297124C" w14:textId="77777777">
            <w:pPr>
              <w:pStyle w:val="NormalinTableHanging"/>
            </w:pPr>
            <w:r w:rsidRPr="426D66E6">
              <w:t>PG&amp;E</w:t>
            </w:r>
          </w:p>
        </w:tc>
      </w:tr>
      <w:tr w:rsidR="00953953" w:rsidTr="003A3AA3" w14:paraId="030F89AB"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16E7C63C" w14:textId="77777777">
            <w:pPr>
              <w:pStyle w:val="NormalinTableHanging"/>
            </w:pPr>
            <w:r w:rsidRPr="426D66E6">
              <w:t>SWPR002-03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54AC9FDF" w14:textId="77777777">
            <w:pPr>
              <w:pStyle w:val="NormalinTableHanging"/>
            </w:pPr>
            <w:r w:rsidRPr="426D66E6">
              <w:t>VFD for Glycol Pump Motor</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7D7E1110"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86197F5" w14:textId="77777777">
            <w:pPr>
              <w:pStyle w:val="NormalinTableHanging"/>
            </w:pPr>
            <w:r w:rsidRPr="426D66E6">
              <w:t>PG&amp;E</w:t>
            </w:r>
          </w:p>
        </w:tc>
      </w:tr>
      <w:tr w:rsidR="00953953" w:rsidTr="003A3AA3" w14:paraId="6A488BFB"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6211BAC" w14:textId="77777777">
            <w:pPr>
              <w:pStyle w:val="NormalinTableHanging"/>
            </w:pPr>
            <w:r w:rsidRPr="426D66E6">
              <w:t>SWPR003-0</w:t>
            </w:r>
            <w:r>
              <w:t>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F2F51F4" w14:textId="77777777">
            <w:pPr>
              <w:pStyle w:val="NormalinTableHanging"/>
            </w:pPr>
            <w:r w:rsidRPr="426D66E6">
              <w:t>Steam Trap,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1567DE84"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4CD03330" w14:textId="77777777">
            <w:pPr>
              <w:pStyle w:val="NormalinTableHanging"/>
            </w:pPr>
            <w:r w:rsidRPr="426D66E6">
              <w:t>SCG</w:t>
            </w:r>
          </w:p>
        </w:tc>
      </w:tr>
      <w:tr w:rsidR="00953953" w:rsidTr="003A3AA3" w14:paraId="2DF1FA7C"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7C2F0A53" w14:textId="77777777">
            <w:pPr>
              <w:pStyle w:val="NormalinTableHanging"/>
            </w:pPr>
            <w:r w:rsidRPr="426D66E6">
              <w:t>SWPR004-0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3AC12CE" w14:textId="77777777">
            <w:pPr>
              <w:pStyle w:val="NormalinTableHanging"/>
            </w:pPr>
            <w:r w:rsidRPr="426D66E6">
              <w:t>Circulating Block Heater</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6B5A3E07"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000A808B" w14:textId="77777777">
            <w:pPr>
              <w:pStyle w:val="NormalinTableHanging"/>
            </w:pPr>
            <w:r w:rsidRPr="426D66E6">
              <w:t>SCE</w:t>
            </w:r>
          </w:p>
        </w:tc>
      </w:tr>
      <w:tr w:rsidR="00953953" w:rsidTr="003A3AA3" w14:paraId="38E02C45"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7234469" w14:textId="77777777">
            <w:pPr>
              <w:pStyle w:val="NormalinTableHanging"/>
            </w:pPr>
            <w:r w:rsidRPr="426D66E6">
              <w:t>SWPR005-0</w:t>
            </w:r>
            <w:r>
              <w:t>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5F043DB2" w14:textId="77777777">
            <w:pPr>
              <w:pStyle w:val="NormalinTableHanging"/>
            </w:pPr>
            <w:r w:rsidRPr="426D66E6">
              <w:t>VFD for Dust Collection Fan</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0BFAF6E"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4B9D9AB" w14:textId="77777777">
            <w:pPr>
              <w:pStyle w:val="NormalinTableHanging"/>
            </w:pPr>
            <w:r w:rsidRPr="426D66E6">
              <w:t>PG&amp;E</w:t>
            </w:r>
          </w:p>
        </w:tc>
      </w:tr>
      <w:tr w:rsidR="00953953" w:rsidTr="003A3AA3" w14:paraId="6F42B510"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B0F20EC" w14:textId="77777777">
            <w:pPr>
              <w:pStyle w:val="NormalinTableHanging"/>
            </w:pPr>
            <w:r w:rsidRPr="426D66E6">
              <w:t>SWPR006-03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5E6EA6A5" w14:textId="77777777">
            <w:pPr>
              <w:pStyle w:val="NormalinTableHanging"/>
            </w:pPr>
            <w:r w:rsidRPr="426D66E6">
              <w:t>V</w:t>
            </w:r>
            <w:r>
              <w:t>SD</w:t>
            </w:r>
            <w:r w:rsidRPr="426D66E6">
              <w:t xml:space="preserve"> For Ventilation Fan</w:t>
            </w:r>
            <w:r>
              <w:t>, Agricultural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5FBE886"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3C143BB0" w14:textId="77777777">
            <w:pPr>
              <w:pStyle w:val="NormalinTableHanging"/>
            </w:pPr>
            <w:r w:rsidRPr="426D66E6">
              <w:t>PG&amp;E</w:t>
            </w:r>
          </w:p>
        </w:tc>
      </w:tr>
      <w:tr w:rsidR="00953953" w:rsidTr="003A3AA3" w14:paraId="66A8402F"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D2916C1" w14:textId="77777777">
            <w:pPr>
              <w:pStyle w:val="NormalinTableHanging"/>
            </w:pPr>
            <w:r w:rsidRPr="426D66E6">
              <w:t>SWPR007-0</w:t>
            </w:r>
            <w:r>
              <w:t>2</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5C5AD256" w14:textId="77777777">
            <w:pPr>
              <w:pStyle w:val="NormalinTableHanging"/>
            </w:pPr>
            <w:r w:rsidRPr="426D66E6">
              <w:t>Steam Boiler Economizer, Industrial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2344208F"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07A1D655" w14:textId="77777777">
            <w:pPr>
              <w:pStyle w:val="NormalinTableHanging"/>
            </w:pPr>
            <w:r w:rsidRPr="426D66E6">
              <w:t>SCG</w:t>
            </w:r>
          </w:p>
        </w:tc>
      </w:tr>
      <w:tr w:rsidR="00953953" w:rsidTr="003A3AA3" w14:paraId="550BA6B9"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Pr="426D66E6" w:rsidR="00953953" w:rsidP="00354B7F" w:rsidRDefault="00953953" w14:paraId="5FB34BF3" w14:textId="77777777">
            <w:pPr>
              <w:pStyle w:val="NormalinTableHanging"/>
            </w:pPr>
            <w:r>
              <w:t>SWPR008-02</w:t>
            </w:r>
          </w:p>
        </w:tc>
        <w:tc>
          <w:tcPr>
            <w:tcW w:w="5548" w:type="dxa"/>
            <w:tcBorders>
              <w:top w:val="single" w:color="auto" w:sz="4" w:space="0"/>
              <w:left w:val="single" w:color="auto" w:sz="4" w:space="0"/>
              <w:bottom w:val="single" w:color="auto" w:sz="4" w:space="0"/>
              <w:right w:val="single" w:color="auto" w:sz="4" w:space="0"/>
            </w:tcBorders>
          </w:tcPr>
          <w:p w:rsidRPr="426D66E6" w:rsidR="00953953" w:rsidP="00354B7F" w:rsidRDefault="00953953" w14:paraId="7C75934C" w14:textId="77777777">
            <w:pPr>
              <w:pStyle w:val="NormalinTableHanging"/>
            </w:pPr>
            <w:r>
              <w:t>VFD on Rod Beam Pump</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5A0CBA3"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Pr="426D66E6" w:rsidR="00953953" w:rsidP="00354B7F" w:rsidRDefault="00953953" w14:paraId="44B0FDF6" w14:textId="77777777">
            <w:pPr>
              <w:pStyle w:val="NormalinTableHanging"/>
            </w:pPr>
            <w:r>
              <w:t>PG&amp;E</w:t>
            </w:r>
          </w:p>
        </w:tc>
      </w:tr>
      <w:tr w:rsidR="00953953" w:rsidTr="003A3AA3" w14:paraId="168CEEEF"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B07F7AD" w14:textId="77777777">
            <w:pPr>
              <w:pStyle w:val="NormalinTableHanging"/>
            </w:pPr>
            <w:r w:rsidRPr="426D66E6">
              <w:t>SWRE001-0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BB573FA" w14:textId="77777777">
            <w:pPr>
              <w:pStyle w:val="NormalinTableHanging"/>
            </w:pPr>
            <w:r w:rsidRPr="426D66E6">
              <w:t>Pool Cover,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B2F0647"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6109E13" w14:textId="77777777">
            <w:pPr>
              <w:pStyle w:val="NormalinTableHanging"/>
            </w:pPr>
            <w:r w:rsidRPr="426D66E6">
              <w:t>SCG</w:t>
            </w:r>
          </w:p>
        </w:tc>
      </w:tr>
      <w:tr w:rsidR="00953953" w:rsidTr="003A3AA3" w14:paraId="1C658F1D"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7B70ADC" w14:textId="77777777">
            <w:pPr>
              <w:pStyle w:val="NormalinTableHanging"/>
            </w:pPr>
            <w:r w:rsidRPr="426D66E6">
              <w:t>SWRE003-0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4287111" w14:textId="05B5024F">
            <w:pPr>
              <w:pStyle w:val="NormalinTableHanging"/>
            </w:pPr>
            <w:r w:rsidRPr="426D66E6" w:rsidDel="00E16747">
              <w:t>Heater</w:t>
            </w:r>
            <w:r w:rsidR="00E16747">
              <w:t xml:space="preserve"> for Pool or Spa, Commercial and </w:t>
            </w:r>
            <w:r w:rsidR="008A2943">
              <w:t>Multifamily</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1E86562B"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2A483EB" w14:textId="77777777">
            <w:pPr>
              <w:pStyle w:val="NormalinTableHanging"/>
            </w:pPr>
            <w:r w:rsidRPr="426D66E6">
              <w:t>SCG</w:t>
            </w:r>
          </w:p>
        </w:tc>
      </w:tr>
      <w:tr w:rsidR="00953953" w:rsidTr="003A3AA3" w14:paraId="78727CFD"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7F2FFC9C" w14:textId="77777777">
            <w:pPr>
              <w:pStyle w:val="NormalinTableHanging"/>
            </w:pPr>
            <w:r w:rsidRPr="426D66E6">
              <w:t>SWRE004-0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6EFAEBE6" w14:textId="3237A926">
            <w:pPr>
              <w:pStyle w:val="NormalinTableHanging"/>
            </w:pPr>
            <w:r w:rsidRPr="426D66E6">
              <w:t>Pool Heater,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2B38C0E1"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3B4C47FD" w14:textId="77777777">
            <w:pPr>
              <w:pStyle w:val="NormalinTableHanging"/>
            </w:pPr>
            <w:r w:rsidRPr="426D66E6">
              <w:t>SCG</w:t>
            </w:r>
          </w:p>
        </w:tc>
      </w:tr>
      <w:tr w:rsidR="00953953" w:rsidTr="003A3AA3" w14:paraId="435F7C22"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5B31EC12" w14:textId="1C60F6B7">
            <w:pPr>
              <w:pStyle w:val="NormalinTableHanging"/>
            </w:pPr>
            <w:r w:rsidRPr="426D66E6">
              <w:t>SWRE005-0</w:t>
            </w:r>
            <w:r w:rsidR="00FD5721">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53A599D" w14:textId="4EE59123">
            <w:pPr>
              <w:pStyle w:val="NormalinTableHanging"/>
            </w:pPr>
            <w:r w:rsidRPr="426D66E6">
              <w:t>Heat Pump Pool Heater, Residential</w:t>
            </w:r>
            <w:r w:rsidR="00FD5721">
              <w:t>,</w:t>
            </w:r>
            <w:r w:rsidRPr="426D66E6">
              <w:t xml:space="preserve"> Fuel Substitution</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A8CA52A"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0A920E4" w14:textId="77777777">
            <w:pPr>
              <w:pStyle w:val="NormalinTableHanging"/>
            </w:pPr>
            <w:r w:rsidRPr="426D66E6">
              <w:t>SCE</w:t>
            </w:r>
          </w:p>
        </w:tc>
      </w:tr>
      <w:tr w:rsidR="00953953" w:rsidTr="003A3AA3" w14:paraId="50F3A550"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4129EBC2" w14:textId="77777777">
            <w:pPr>
              <w:pStyle w:val="NormalinTableHanging"/>
            </w:pPr>
            <w:r w:rsidRPr="426D66E6">
              <w:t>SWSV001-0</w:t>
            </w:r>
            <w:r>
              <w:t>7</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0464F4A" w14:textId="77777777">
            <w:pPr>
              <w:pStyle w:val="NormalinTableHanging"/>
            </w:pPr>
            <w:r w:rsidRPr="426D66E6">
              <w:t>Duct Seal,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245C8D3F"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0DA368AE" w14:textId="77777777">
            <w:pPr>
              <w:pStyle w:val="NormalinTableHanging"/>
            </w:pPr>
            <w:r w:rsidRPr="426D66E6">
              <w:t>SDGE</w:t>
            </w:r>
          </w:p>
        </w:tc>
      </w:tr>
      <w:tr w:rsidR="00953953" w:rsidTr="003A3AA3" w14:paraId="3FE33BC3"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2E19E08E" w14:textId="7B44D379">
            <w:pPr>
              <w:pStyle w:val="NormalinTableHanging"/>
            </w:pPr>
            <w:r w:rsidRPr="426D66E6">
              <w:t>SWSV005-0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1C8700B" w14:textId="77777777">
            <w:pPr>
              <w:pStyle w:val="NormalinTableHanging"/>
            </w:pPr>
            <w:r w:rsidRPr="426D66E6">
              <w:t>Economizer Repair,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717F2245"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3552ADD3" w14:textId="77777777">
            <w:pPr>
              <w:pStyle w:val="NormalinTableHanging"/>
            </w:pPr>
            <w:r w:rsidRPr="426D66E6">
              <w:t>SDGE</w:t>
            </w:r>
          </w:p>
        </w:tc>
      </w:tr>
      <w:tr w:rsidR="00953953" w:rsidTr="003A3AA3" w14:paraId="507323C9"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B7885F4" w14:textId="1A71D30D">
            <w:pPr>
              <w:pStyle w:val="NormalinTableHanging"/>
            </w:pPr>
            <w:r w:rsidRPr="426D66E6">
              <w:t>SWSV010-0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9B79A83" w14:textId="77777777">
            <w:pPr>
              <w:pStyle w:val="NormalinTableHanging"/>
            </w:pPr>
            <w:r w:rsidRPr="426D66E6">
              <w:t>Economizer Controls,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03AF6843"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B3F8F8E" w14:textId="77777777">
            <w:pPr>
              <w:pStyle w:val="NormalinTableHanging"/>
            </w:pPr>
            <w:r w:rsidRPr="426D66E6">
              <w:t>SDGE</w:t>
            </w:r>
          </w:p>
        </w:tc>
      </w:tr>
      <w:tr w:rsidR="00953953" w:rsidTr="003A3AA3" w14:paraId="406C5184"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C30B0C1" w14:textId="77777777">
            <w:pPr>
              <w:pStyle w:val="NormalinTableHanging"/>
            </w:pPr>
            <w:r w:rsidRPr="426D66E6">
              <w:t>SWSV013-0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2F9DB0B" w14:textId="77777777">
            <w:pPr>
              <w:pStyle w:val="NormalinTableHanging"/>
            </w:pPr>
            <w:r w:rsidRPr="426D66E6">
              <w:t>Duct Optimization</w:t>
            </w:r>
            <w:r>
              <w:t>,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66550372"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6720D12" w14:textId="77777777">
            <w:pPr>
              <w:pStyle w:val="NormalinTableHanging"/>
            </w:pPr>
            <w:r w:rsidRPr="426D66E6">
              <w:t>SDGE</w:t>
            </w:r>
          </w:p>
        </w:tc>
      </w:tr>
      <w:tr w:rsidR="00953953" w:rsidTr="003A3AA3" w14:paraId="1E2FC2BA"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Pr="426D66E6" w:rsidR="00953953" w:rsidP="00354B7F" w:rsidRDefault="00953953" w14:paraId="168016F6" w14:textId="40D27356">
            <w:pPr>
              <w:pStyle w:val="NormalinTableHanging"/>
            </w:pPr>
            <w:r>
              <w:t>SWSV014-0</w:t>
            </w:r>
            <w:r w:rsidR="008F2207">
              <w:t>3</w:t>
            </w:r>
          </w:p>
        </w:tc>
        <w:tc>
          <w:tcPr>
            <w:tcW w:w="5548" w:type="dxa"/>
            <w:tcBorders>
              <w:top w:val="single" w:color="auto" w:sz="4" w:space="0"/>
              <w:left w:val="single" w:color="auto" w:sz="4" w:space="0"/>
              <w:bottom w:val="single" w:color="auto" w:sz="4" w:space="0"/>
              <w:right w:val="single" w:color="auto" w:sz="4" w:space="0"/>
            </w:tcBorders>
          </w:tcPr>
          <w:p w:rsidRPr="426D66E6" w:rsidR="00953953" w:rsidP="00354B7F" w:rsidRDefault="00953953" w14:paraId="4AFDA552" w14:textId="77777777">
            <w:pPr>
              <w:pStyle w:val="NormalinTableHanging"/>
            </w:pPr>
            <w:r>
              <w:t>Lifecycle Refrigerant Management,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7FBC1F57"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Pr="426D66E6" w:rsidR="00953953" w:rsidP="00354B7F" w:rsidRDefault="00953953" w14:paraId="6F0B43AA" w14:textId="77777777">
            <w:pPr>
              <w:pStyle w:val="NormalinTableHanging"/>
            </w:pPr>
            <w:r>
              <w:t>PG&amp;E</w:t>
            </w:r>
          </w:p>
        </w:tc>
      </w:tr>
      <w:tr w:rsidR="00953953" w:rsidTr="003A3AA3" w14:paraId="35043FE5"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294E17B0" w14:textId="77777777">
            <w:pPr>
              <w:pStyle w:val="NormalinTableHanging"/>
            </w:pPr>
            <w:r w:rsidRPr="426D66E6">
              <w:t>SWWB002-0</w:t>
            </w:r>
            <w:r>
              <w:t>2</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3EF84AB" w14:textId="77777777">
            <w:pPr>
              <w:pStyle w:val="NormalinTableHanging"/>
            </w:pPr>
            <w:r w:rsidRPr="426D66E6">
              <w:t>Universal Audit Tool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06C163C6"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441D59A1" w14:textId="77777777">
            <w:pPr>
              <w:pStyle w:val="NormalinTableHanging"/>
            </w:pPr>
            <w:r w:rsidRPr="426D66E6">
              <w:t>PG&amp;E</w:t>
            </w:r>
          </w:p>
        </w:tc>
      </w:tr>
      <w:tr w:rsidR="00953953" w:rsidTr="003A3AA3" w14:paraId="07AFA8F0"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7F13F5D3" w14:textId="77777777">
            <w:pPr>
              <w:pStyle w:val="NormalinTableHanging"/>
            </w:pPr>
            <w:r w:rsidRPr="426D66E6">
              <w:t>SWWB004-0</w:t>
            </w:r>
            <w:r>
              <w:t>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BCAA45A" w14:textId="77777777">
            <w:pPr>
              <w:pStyle w:val="NormalinTableHanging"/>
            </w:pPr>
            <w:r w:rsidRPr="426D66E6">
              <w:t>Home Energy Reports</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680FDE8B"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43D97022" w14:textId="77777777">
            <w:pPr>
              <w:pStyle w:val="NormalinTableHanging"/>
            </w:pPr>
            <w:r w:rsidRPr="426D66E6">
              <w:t>PG&amp;E</w:t>
            </w:r>
          </w:p>
        </w:tc>
      </w:tr>
      <w:tr w:rsidR="00953953" w:rsidTr="003A3AA3" w14:paraId="069907D8"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Pr="426D66E6" w:rsidR="00953953" w:rsidP="00354B7F" w:rsidRDefault="00953953" w14:paraId="78F0B7D5" w14:textId="19E7676F">
            <w:pPr>
              <w:pStyle w:val="NormalinTableHanging"/>
            </w:pPr>
            <w:r>
              <w:t>SWWB007-02</w:t>
            </w:r>
            <w:r w:rsidRPr="009D1F19" w:rsidR="004007D8">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Pr="426D66E6" w:rsidR="00953953" w:rsidP="00354B7F" w:rsidRDefault="00953953" w14:paraId="45C94C82" w14:textId="77777777">
            <w:pPr>
              <w:pStyle w:val="NormalinTableHanging"/>
            </w:pPr>
            <w:r>
              <w:t>Business Energy Reports</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688E0E1"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Pr="426D66E6" w:rsidR="00953953" w:rsidP="00354B7F" w:rsidRDefault="00953953" w14:paraId="5C2806C8" w14:textId="77777777">
            <w:pPr>
              <w:pStyle w:val="NormalinTableHanging"/>
            </w:pPr>
            <w:r>
              <w:t>SCE</w:t>
            </w:r>
          </w:p>
        </w:tc>
      </w:tr>
      <w:tr w:rsidR="00953953" w:rsidTr="003A3AA3" w14:paraId="21D64B6A"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7CE8D23" w14:textId="5D77D135">
            <w:pPr>
              <w:pStyle w:val="NormalinTableHanging"/>
            </w:pPr>
            <w:r>
              <w:t>SWWB008-0</w:t>
            </w:r>
            <w:r w:rsidR="00725E28">
              <w:t>3</w:t>
            </w:r>
            <w:r w:rsidRPr="009D1F19" w:rsidR="004007D8">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A093CE1" w14:textId="77777777">
            <w:pPr>
              <w:pStyle w:val="NormalinTableHanging"/>
            </w:pPr>
            <w:r>
              <w:t>All-Electric Homes, Residential, New Construction</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1F7129F4"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5363418B" w14:textId="77777777">
            <w:pPr>
              <w:pStyle w:val="NormalinTableHanging"/>
            </w:pPr>
            <w:r>
              <w:t>PG&amp;E</w:t>
            </w:r>
          </w:p>
        </w:tc>
      </w:tr>
      <w:tr w:rsidR="00953953" w:rsidTr="003A3AA3" w14:paraId="62EFFE66"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517D3C9" w14:textId="77777777">
            <w:pPr>
              <w:pStyle w:val="NormalinTableHanging"/>
            </w:pPr>
            <w:r w:rsidRPr="426D66E6">
              <w:t>SWWH001-0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6E249B49" w14:textId="77777777">
            <w:pPr>
              <w:pStyle w:val="NormalinTableHanging"/>
            </w:pPr>
            <w:r w:rsidRPr="426D66E6">
              <w:t>Faucet Aerator,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0D66347C"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4F8415B" w14:textId="77777777">
            <w:pPr>
              <w:pStyle w:val="NormalinTableHanging"/>
            </w:pPr>
            <w:r w:rsidRPr="426D66E6">
              <w:t>SCG</w:t>
            </w:r>
          </w:p>
        </w:tc>
      </w:tr>
      <w:tr w:rsidR="00953953" w:rsidTr="003A3AA3" w14:paraId="7E62F7BB"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2BFF6DB1" w14:textId="77777777">
            <w:pPr>
              <w:pStyle w:val="NormalinTableHanging"/>
            </w:pPr>
            <w:r w:rsidRPr="426D66E6">
              <w:t>SWWH002-0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11FE297" w14:textId="77777777">
            <w:pPr>
              <w:pStyle w:val="NormalinTableHanging"/>
            </w:pPr>
            <w:r w:rsidRPr="426D66E6">
              <w:t>Low-Flow Showerhead,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F4472AD"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3FF03D0D" w14:textId="77777777">
            <w:pPr>
              <w:pStyle w:val="NormalinTableHanging"/>
            </w:pPr>
            <w:r w:rsidRPr="426D66E6">
              <w:t>SCG</w:t>
            </w:r>
          </w:p>
        </w:tc>
      </w:tr>
      <w:tr w:rsidR="00953953" w:rsidTr="003A3AA3" w14:paraId="3A10EFCF"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5C6C33C" w14:textId="77777777">
            <w:pPr>
              <w:pStyle w:val="NormalinTableHanging"/>
            </w:pPr>
            <w:r w:rsidRPr="426D66E6">
              <w:lastRenderedPageBreak/>
              <w:t>SWWH003-0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53CA9D8" w14:textId="3F37373F">
            <w:pPr>
              <w:pStyle w:val="NormalinTableHanging"/>
            </w:pPr>
            <w:r w:rsidRPr="426D66E6">
              <w:t xml:space="preserve">TSV with </w:t>
            </w:r>
            <w:r w:rsidR="0084563C">
              <w:t xml:space="preserve">and without an Integrated </w:t>
            </w:r>
            <w:r w:rsidRPr="426D66E6">
              <w:t>Low</w:t>
            </w:r>
            <w:r w:rsidR="0084563C">
              <w:t>-</w:t>
            </w:r>
            <w:r w:rsidRPr="426D66E6">
              <w:t>Flow Showerhead</w:t>
            </w:r>
            <w:r w:rsidR="0084563C">
              <w:t>,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234C7D2A"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486A88DA" w14:textId="77777777">
            <w:pPr>
              <w:pStyle w:val="NormalinTableHanging"/>
            </w:pPr>
            <w:r w:rsidRPr="426D66E6">
              <w:t>SCG</w:t>
            </w:r>
          </w:p>
        </w:tc>
      </w:tr>
      <w:tr w:rsidR="00953953" w:rsidTr="003A3AA3" w14:paraId="68FFADDF"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6CC9F28" w14:textId="77777777">
            <w:pPr>
              <w:pStyle w:val="NormalinTableHanging"/>
            </w:pPr>
            <w:r w:rsidRPr="426D66E6">
              <w:t>SWWH004-0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63029BE5" w14:textId="2DE7906A">
            <w:pPr>
              <w:pStyle w:val="NormalinTableHanging"/>
            </w:pPr>
            <w:r w:rsidRPr="426D66E6">
              <w:t>Laminar Flow Restrictor</w:t>
            </w:r>
            <w:r w:rsidR="00D7047C">
              <w:t>,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76237C46"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4A6392B3" w14:textId="77777777">
            <w:pPr>
              <w:pStyle w:val="NormalinTableHanging"/>
            </w:pPr>
            <w:r w:rsidRPr="426D66E6">
              <w:t>SCG</w:t>
            </w:r>
          </w:p>
        </w:tc>
      </w:tr>
      <w:tr w:rsidR="00953953" w:rsidTr="003A3AA3" w14:paraId="1557EBC2"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3BE43D7" w14:textId="77777777">
            <w:pPr>
              <w:pStyle w:val="NormalinTableHanging"/>
            </w:pPr>
            <w:r w:rsidRPr="426D66E6">
              <w:t>SWWH005-0</w:t>
            </w:r>
            <w:r>
              <w:t>7</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53D644D" w14:textId="77777777">
            <w:pPr>
              <w:pStyle w:val="NormalinTableHanging"/>
            </w:pPr>
            <w:r w:rsidRPr="426D66E6">
              <w:t>Boiler,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F3DA59B"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3B06F7A9" w14:textId="77777777">
            <w:pPr>
              <w:pStyle w:val="NormalinTableHanging"/>
            </w:pPr>
            <w:r w:rsidRPr="426D66E6">
              <w:t>SCG</w:t>
            </w:r>
          </w:p>
        </w:tc>
      </w:tr>
      <w:tr w:rsidR="00953953" w:rsidTr="003A3AA3" w14:paraId="0DD84D28"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8FC3163" w14:textId="77777777">
            <w:pPr>
              <w:pStyle w:val="NormalinTableHanging"/>
            </w:pPr>
            <w:r w:rsidRPr="426D66E6">
              <w:t>SWWH006-0</w:t>
            </w:r>
            <w:r>
              <w:t>8</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DFFA0D9" w14:textId="77777777">
            <w:pPr>
              <w:pStyle w:val="NormalinTableHanging"/>
            </w:pPr>
            <w:r w:rsidRPr="426D66E6">
              <w:t>Tankless Water Heater,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2CA5E4D"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8909606" w14:textId="77777777">
            <w:pPr>
              <w:pStyle w:val="NormalinTableHanging"/>
            </w:pPr>
            <w:r w:rsidRPr="426D66E6">
              <w:t>SCG</w:t>
            </w:r>
          </w:p>
        </w:tc>
      </w:tr>
      <w:tr w:rsidR="00953953" w:rsidTr="003A3AA3" w14:paraId="092FD6BD"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E14BD5D" w14:textId="77777777">
            <w:pPr>
              <w:pStyle w:val="NormalinTableHanging"/>
            </w:pPr>
            <w:r w:rsidRPr="426D66E6">
              <w:t>SWWH007-0</w:t>
            </w:r>
            <w:r>
              <w:t>6</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CB17DB7" w14:textId="77777777">
            <w:pPr>
              <w:pStyle w:val="NormalinTableHanging"/>
            </w:pPr>
            <w:r w:rsidRPr="426D66E6">
              <w:t>Storage Water Heater,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0030A2A9"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4DCE451" w14:textId="77777777">
            <w:pPr>
              <w:pStyle w:val="NormalinTableHanging"/>
            </w:pPr>
            <w:r w:rsidRPr="426D66E6">
              <w:t>SCG</w:t>
            </w:r>
          </w:p>
        </w:tc>
      </w:tr>
      <w:tr w:rsidR="00953953" w:rsidTr="003A3AA3" w14:paraId="1A513BFA"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B4DD453" w14:textId="77777777">
            <w:pPr>
              <w:pStyle w:val="NormalinTableHanging"/>
            </w:pPr>
            <w:r w:rsidRPr="426D66E6">
              <w:t>SWWH008-0</w:t>
            </w:r>
            <w:r>
              <w:t>2</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43D72874" w14:textId="77777777">
            <w:pPr>
              <w:pStyle w:val="NormalinTableHanging"/>
            </w:pPr>
            <w:r w:rsidRPr="426D66E6">
              <w:t>Boiler, Process</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037BBBD"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52A1414" w14:textId="77777777">
            <w:pPr>
              <w:pStyle w:val="NormalinTableHanging"/>
            </w:pPr>
            <w:r w:rsidRPr="426D66E6">
              <w:t>PG&amp;E</w:t>
            </w:r>
          </w:p>
        </w:tc>
      </w:tr>
      <w:tr w:rsidR="00953953" w:rsidTr="003A3AA3" w14:paraId="73C16874"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976B133" w14:textId="77777777">
            <w:pPr>
              <w:pStyle w:val="NormalinTableHanging"/>
            </w:pPr>
            <w:r w:rsidRPr="426D66E6">
              <w:t>SWWH010-0</w:t>
            </w:r>
            <w:r>
              <w:t>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978C107" w14:textId="77777777">
            <w:pPr>
              <w:pStyle w:val="NormalinTableHanging"/>
            </w:pPr>
            <w:r w:rsidRPr="426D66E6">
              <w:t>Boiler, Multifamily</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891F8AB"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2FD8AC5" w14:textId="77777777">
            <w:pPr>
              <w:pStyle w:val="NormalinTableHanging"/>
            </w:pPr>
            <w:r w:rsidRPr="426D66E6">
              <w:t>SCG</w:t>
            </w:r>
          </w:p>
        </w:tc>
      </w:tr>
      <w:tr w:rsidR="00953953" w:rsidTr="003A3AA3" w14:paraId="55806AA5"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5DD10F84" w14:textId="77777777">
            <w:pPr>
              <w:pStyle w:val="NormalinTableHanging"/>
            </w:pPr>
            <w:r w:rsidRPr="426D66E6">
              <w:t>SWWH011-0</w:t>
            </w:r>
            <w:r>
              <w:t>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84D3204" w14:textId="77777777">
            <w:pPr>
              <w:pStyle w:val="NormalinTableHanging"/>
            </w:pPr>
            <w:r w:rsidRPr="426D66E6">
              <w:t>Central Storage Water Heater, Multifamily</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04848EFC"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C6E109E" w14:textId="77777777">
            <w:pPr>
              <w:pStyle w:val="NormalinTableHanging"/>
            </w:pPr>
            <w:r>
              <w:t>SCG</w:t>
            </w:r>
          </w:p>
        </w:tc>
      </w:tr>
      <w:tr w:rsidR="00953953" w:rsidTr="003A3AA3" w14:paraId="5A6AE3FB"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A880F7D" w14:textId="58A1CDD2">
            <w:pPr>
              <w:pStyle w:val="NormalinTableHanging"/>
            </w:pPr>
            <w:r w:rsidRPr="426D66E6">
              <w:t>SWWH012-0</w:t>
            </w:r>
            <w:r>
              <w:t>4</w:t>
            </w:r>
            <w:r w:rsidRPr="009D1F19" w:rsidR="004007D8">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10C6F632" w14:textId="77777777">
            <w:pPr>
              <w:pStyle w:val="NormalinTableHanging"/>
            </w:pPr>
            <w:r w:rsidRPr="426D66E6">
              <w:t>Storage Water Heater,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BDF9017"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0AA7977A" w14:textId="77777777">
            <w:pPr>
              <w:pStyle w:val="NormalinTableHanging"/>
            </w:pPr>
            <w:r w:rsidRPr="426D66E6">
              <w:t>SCG</w:t>
            </w:r>
          </w:p>
        </w:tc>
      </w:tr>
      <w:tr w:rsidR="00953953" w:rsidTr="003A3AA3" w14:paraId="18F89F7A"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51B90B05" w14:textId="5261DCE3">
            <w:pPr>
              <w:pStyle w:val="NormalinTableHanging"/>
            </w:pPr>
            <w:r w:rsidRPr="426D66E6">
              <w:t>SWWH013-0</w:t>
            </w:r>
            <w:r>
              <w:t>4</w:t>
            </w:r>
            <w:r w:rsidRPr="009D1F19" w:rsidR="004007D8">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42E89BCD" w14:textId="77777777">
            <w:pPr>
              <w:pStyle w:val="NormalinTableHanging"/>
            </w:pPr>
            <w:r w:rsidRPr="426D66E6">
              <w:t>Tankless Water Heater,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70ADF145"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5C0DD030" w14:textId="77777777">
            <w:pPr>
              <w:pStyle w:val="NormalinTableHanging"/>
            </w:pPr>
            <w:r w:rsidRPr="426D66E6">
              <w:t>SCG</w:t>
            </w:r>
          </w:p>
        </w:tc>
      </w:tr>
      <w:tr w:rsidR="00953953" w:rsidTr="003A3AA3" w14:paraId="752C7C7E"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150ABD3A" w14:textId="0F63C403">
            <w:pPr>
              <w:pStyle w:val="NormalinTableHanging"/>
            </w:pPr>
            <w:r w:rsidRPr="426D66E6">
              <w:t>SWWH014-0</w:t>
            </w:r>
            <w:r w:rsidR="00325E67">
              <w:t>6</w:t>
            </w:r>
            <w:r w:rsidRPr="009D1F19" w:rsidR="004007D8">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580A0C7F" w14:textId="77777777">
            <w:pPr>
              <w:pStyle w:val="NormalinTableHanging"/>
            </w:pPr>
            <w:r w:rsidRPr="426D66E6">
              <w:t>Heat Pump Water Heater,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148E4758"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3153C154" w14:textId="77777777">
            <w:pPr>
              <w:pStyle w:val="NormalinTableHanging"/>
            </w:pPr>
            <w:r w:rsidRPr="426D66E6">
              <w:t>SCE</w:t>
            </w:r>
          </w:p>
        </w:tc>
      </w:tr>
      <w:tr w:rsidR="00953953" w:rsidTr="003A3AA3" w14:paraId="1FAF2882"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46B0EAD4" w14:textId="01636EE0">
            <w:pPr>
              <w:pStyle w:val="NormalinTableHanging"/>
            </w:pPr>
            <w:r w:rsidRPr="426D66E6">
              <w:t>SWWH015-0</w:t>
            </w:r>
            <w:r>
              <w:t>4</w:t>
            </w:r>
            <w:r w:rsidRPr="009D1F19" w:rsidR="004007D8">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C2DA701" w14:textId="77777777">
            <w:pPr>
              <w:pStyle w:val="NormalinTableHanging"/>
            </w:pPr>
            <w:r w:rsidRPr="426D66E6">
              <w:t>Demand Control for Centralized Water Heater Recirculation Pump, Multifamily &amp;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E6C78A0"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325C72DC" w14:textId="77777777">
            <w:pPr>
              <w:pStyle w:val="NormalinTableHanging"/>
            </w:pPr>
            <w:r w:rsidRPr="426D66E6">
              <w:t>SCG</w:t>
            </w:r>
          </w:p>
        </w:tc>
      </w:tr>
      <w:tr w:rsidR="00953953" w:rsidTr="003A3AA3" w14:paraId="555A51BA"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1DB1BAC0" w14:textId="5EA13B4C">
            <w:pPr>
              <w:pStyle w:val="NormalinTableHanging"/>
            </w:pPr>
            <w:r w:rsidRPr="426D66E6">
              <w:t>SWWH016-0</w:t>
            </w:r>
            <w:r>
              <w:t>4</w:t>
            </w:r>
            <w:r w:rsidRPr="009D1F19" w:rsidR="004007D8">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46562214" w14:textId="77777777">
            <w:pPr>
              <w:pStyle w:val="NormalinTableHanging"/>
            </w:pPr>
            <w:r w:rsidRPr="426D66E6">
              <w:t>Domestic Hot Water Loop Temperature Controller, Multifamily &amp;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71663A4C"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9D75810" w14:textId="77777777">
            <w:pPr>
              <w:pStyle w:val="NormalinTableHanging"/>
            </w:pPr>
            <w:r w:rsidRPr="426D66E6">
              <w:t>SCG</w:t>
            </w:r>
          </w:p>
        </w:tc>
      </w:tr>
      <w:tr w:rsidR="00953953" w:rsidTr="003A3AA3" w14:paraId="4EE5E96B"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4FE266A" w14:textId="77777777">
            <w:pPr>
              <w:pStyle w:val="NormalinTableHanging"/>
            </w:pPr>
            <w:r w:rsidRPr="426D66E6">
              <w:t>SWWH017-0</w:t>
            </w:r>
            <w:r>
              <w:t>6</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5145BD1" w14:textId="77777777">
            <w:pPr>
              <w:pStyle w:val="NormalinTableHanging"/>
            </w:pPr>
            <w:r w:rsidRPr="426D66E6">
              <w:t>Hot Water Pipe Insulation, Nonresidential and Multifamily</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19133A51"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1B103A7" w14:textId="77777777">
            <w:pPr>
              <w:pStyle w:val="NormalinTableHanging"/>
            </w:pPr>
            <w:r w:rsidRPr="426D66E6">
              <w:t>SCG</w:t>
            </w:r>
          </w:p>
        </w:tc>
      </w:tr>
      <w:tr w:rsidR="00953953" w:rsidTr="003A3AA3" w14:paraId="5B486DF2"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538A036" w14:textId="77777777">
            <w:pPr>
              <w:pStyle w:val="NormalinTableHanging"/>
            </w:pPr>
            <w:r w:rsidRPr="426D66E6">
              <w:t>SWWH018-0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48671880" w14:textId="77777777">
            <w:pPr>
              <w:pStyle w:val="NormalinTableHanging"/>
            </w:pPr>
            <w:r w:rsidRPr="426D66E6">
              <w:t>Hot Water Tank Insulation, Nonresidential and Multifamily</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623BB05"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13CA8476" w14:textId="77777777">
            <w:pPr>
              <w:pStyle w:val="NormalinTableHanging"/>
            </w:pPr>
            <w:r w:rsidRPr="426D66E6">
              <w:t>SCG</w:t>
            </w:r>
          </w:p>
        </w:tc>
      </w:tr>
      <w:tr w:rsidR="00953953" w:rsidTr="003A3AA3" w14:paraId="1C60D828"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4AEB6E8" w14:textId="77777777">
            <w:pPr>
              <w:pStyle w:val="NormalinTableHanging"/>
            </w:pPr>
            <w:r w:rsidRPr="426D66E6">
              <w:t>SWWH019-0</w:t>
            </w:r>
            <w:r>
              <w:t>6</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DAB9B87" w14:textId="77777777">
            <w:pPr>
              <w:pStyle w:val="NormalinTableHanging"/>
            </w:pPr>
            <w:r w:rsidRPr="426D66E6">
              <w:t>Faucet Aerator,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7B7A5B30"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00935C7" w14:textId="77777777">
            <w:pPr>
              <w:pStyle w:val="NormalinTableHanging"/>
            </w:pPr>
            <w:r w:rsidRPr="426D66E6">
              <w:t>SCG</w:t>
            </w:r>
          </w:p>
        </w:tc>
      </w:tr>
      <w:tr w:rsidR="00953953" w:rsidTr="003A3AA3" w14:paraId="707F47AD"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4A51273C" w14:textId="77777777">
            <w:pPr>
              <w:pStyle w:val="NormalinTableHanging"/>
            </w:pPr>
            <w:r w:rsidRPr="426D66E6">
              <w:t>SWWH020-0</w:t>
            </w:r>
            <w:r>
              <w:t>6</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65B052F" w14:textId="77777777">
            <w:pPr>
              <w:pStyle w:val="NormalinTableHanging"/>
            </w:pPr>
            <w:r w:rsidRPr="426D66E6">
              <w:t>Low-Flow Showerhead,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0CE2B47E"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0330622" w14:textId="77777777">
            <w:pPr>
              <w:pStyle w:val="NormalinTableHanging"/>
            </w:pPr>
            <w:r w:rsidRPr="426D66E6">
              <w:t>SCG</w:t>
            </w:r>
          </w:p>
        </w:tc>
      </w:tr>
      <w:tr w:rsidR="00953953" w:rsidTr="003A3AA3" w14:paraId="4C108477"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5DEDA577" w14:textId="77777777">
            <w:pPr>
              <w:pStyle w:val="NormalinTableHanging"/>
            </w:pPr>
            <w:r w:rsidRPr="426D66E6">
              <w:t>SWWH021-0</w:t>
            </w:r>
            <w:r>
              <w:t>2</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0F1BC8C" w14:textId="77777777">
            <w:pPr>
              <w:pStyle w:val="NormalinTableHanging"/>
            </w:pPr>
            <w:r w:rsidRPr="426D66E6">
              <w:t>Recirculation Pump Timer,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54DAF311"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EABB375" w14:textId="77777777">
            <w:pPr>
              <w:pStyle w:val="NormalinTableHanging"/>
            </w:pPr>
            <w:r w:rsidRPr="426D66E6">
              <w:t>SCG</w:t>
            </w:r>
          </w:p>
        </w:tc>
      </w:tr>
      <w:tr w:rsidR="00953953" w:rsidTr="003A3AA3" w14:paraId="2EF86ED9"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0B6B7E7" w14:textId="77777777">
            <w:pPr>
              <w:pStyle w:val="NormalinTableHanging"/>
            </w:pPr>
            <w:r w:rsidRPr="426D66E6">
              <w:t>SWWH023-0</w:t>
            </w:r>
            <w:r>
              <w:t>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A65144" w14:paraId="6CB9D742" w14:textId="3155152E">
            <w:pPr>
              <w:pStyle w:val="NormalinTableHanging"/>
            </w:pPr>
            <w:r>
              <w:t>Diverting Tub Spout with TSV,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3083DD9D"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4DD99365" w14:textId="77777777">
            <w:pPr>
              <w:pStyle w:val="NormalinTableHanging"/>
            </w:pPr>
            <w:r w:rsidRPr="426D66E6">
              <w:t>SCG</w:t>
            </w:r>
          </w:p>
        </w:tc>
      </w:tr>
      <w:tr w:rsidR="00953953" w:rsidTr="003A3AA3" w14:paraId="252970C9"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0BC1368E" w14:textId="053B2EEE">
            <w:pPr>
              <w:pStyle w:val="NormalinTableHanging"/>
            </w:pPr>
            <w:r w:rsidRPr="426D66E6">
              <w:t>SWWH025-0</w:t>
            </w:r>
            <w:r w:rsidR="00F23AFB">
              <w:t>8</w:t>
            </w:r>
            <w:r w:rsidRPr="009D1F19" w:rsidR="008C0AA8">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E569026" w14:textId="77777777">
            <w:pPr>
              <w:pStyle w:val="NormalinTableHanging"/>
            </w:pPr>
            <w:r w:rsidRPr="426D66E6">
              <w:t xml:space="preserve">Heat Pump Water Heater, </w:t>
            </w:r>
            <w:r>
              <w:t xml:space="preserve">Residential, </w:t>
            </w:r>
            <w:r w:rsidRPr="426D66E6">
              <w:t>Fuel Substitution</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29E4BBE0"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47085173" w14:textId="77777777">
            <w:pPr>
              <w:pStyle w:val="NormalinTableHanging"/>
            </w:pPr>
            <w:r w:rsidRPr="426D66E6">
              <w:t>SCE</w:t>
            </w:r>
          </w:p>
        </w:tc>
      </w:tr>
      <w:tr w:rsidR="00953953" w:rsidTr="003A3AA3" w14:paraId="5707B59E"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41D897DA" w14:textId="77777777">
            <w:pPr>
              <w:pStyle w:val="NormalinTableHanging"/>
            </w:pPr>
            <w:r w:rsidRPr="426D66E6">
              <w:t>SWWH026-0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D464EF4" w14:textId="77777777">
            <w:pPr>
              <w:pStyle w:val="NormalinTableHanging"/>
            </w:pPr>
            <w:r w:rsidRPr="426D66E6">
              <w:t>Water Heater Pipe Wrap,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7D4FA86D"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3FD49DE" w14:textId="77777777">
            <w:pPr>
              <w:pStyle w:val="NormalinTableHanging"/>
            </w:pPr>
            <w:r w:rsidRPr="426D66E6">
              <w:t>SCG</w:t>
            </w:r>
          </w:p>
        </w:tc>
      </w:tr>
      <w:tr w:rsidR="00953953" w:rsidTr="003A3AA3" w14:paraId="5EC31253"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5DCF64DC" w14:textId="179C8CB7">
            <w:pPr>
              <w:pStyle w:val="NormalinTableHanging"/>
            </w:pPr>
            <w:r w:rsidRPr="426D66E6">
              <w:t>SWWH027-0</w:t>
            </w:r>
            <w:r w:rsidR="00A12A2D">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785D2C6D" w14:textId="77777777">
            <w:pPr>
              <w:pStyle w:val="NormalinTableHanging"/>
            </w:pPr>
            <w:r w:rsidRPr="426D66E6">
              <w:t>Heat Pump Water Heater, Commercial, Fuel Substitution</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297E5001"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DCFFA52" w14:textId="77777777">
            <w:pPr>
              <w:pStyle w:val="NormalinTableHanging"/>
            </w:pPr>
            <w:r w:rsidRPr="426D66E6">
              <w:t>SCE</w:t>
            </w:r>
          </w:p>
        </w:tc>
      </w:tr>
      <w:tr w:rsidR="00953953" w:rsidTr="003A3AA3" w14:paraId="537632BE"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7CA2E1C6" w14:textId="77777777">
            <w:pPr>
              <w:pStyle w:val="NormalinTableHanging"/>
            </w:pPr>
            <w:r w:rsidRPr="426D66E6">
              <w:t>SWWH028-0</w:t>
            </w:r>
            <w:r>
              <w:t>5</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FBC7127" w14:textId="77777777">
            <w:pPr>
              <w:pStyle w:val="NormalinTableHanging"/>
            </w:pPr>
            <w:r w:rsidRPr="426D66E6">
              <w:t>Large Heat Pump Water Heater</w:t>
            </w:r>
            <w:r>
              <w:t>, Commercial and Multifamily,</w:t>
            </w:r>
            <w:r w:rsidRPr="426D66E6">
              <w:t xml:space="preserve"> Fuel Substitution</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B4DA156"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C33349C" w14:textId="77777777">
            <w:pPr>
              <w:pStyle w:val="NormalinTableHanging"/>
            </w:pPr>
            <w:r w:rsidRPr="426D66E6">
              <w:t>SCE</w:t>
            </w:r>
          </w:p>
        </w:tc>
      </w:tr>
      <w:tr w:rsidR="00953953" w:rsidTr="003A3AA3" w14:paraId="42A3D08A"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7885766A" w14:textId="6BCF09D1">
            <w:pPr>
              <w:pStyle w:val="NormalinTableHanging"/>
            </w:pPr>
            <w:r w:rsidRPr="426D66E6">
              <w:t>SWWH031-0</w:t>
            </w:r>
            <w:r w:rsidR="00672A8C">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31CC715" w14:textId="77777777">
            <w:pPr>
              <w:pStyle w:val="NormalinTableHanging"/>
            </w:pPr>
            <w:r w:rsidRPr="426D66E6">
              <w:t>Heat Pump Water Heater, Commercial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720E2CCB"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4D9627B" w14:textId="77777777">
            <w:pPr>
              <w:pStyle w:val="NormalinTableHanging"/>
            </w:pPr>
            <w:r w:rsidRPr="426D66E6">
              <w:t>SCE</w:t>
            </w:r>
          </w:p>
        </w:tc>
      </w:tr>
      <w:tr w:rsidR="00953953" w:rsidTr="003A3AA3" w14:paraId="06A45984"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21841F64" w14:textId="77777777">
            <w:pPr>
              <w:pStyle w:val="NormalinTableHanging"/>
            </w:pPr>
            <w:r w:rsidRPr="426D66E6">
              <w:t>SWWH032-0</w:t>
            </w:r>
            <w:r>
              <w:t>2</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64B51053" w14:textId="77777777">
            <w:pPr>
              <w:pStyle w:val="NormalinTableHanging"/>
            </w:pPr>
            <w:r w:rsidRPr="426D66E6">
              <w:t>Solar Thermal Water Heating System, Residential</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1140278E"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653A3F89" w14:textId="77777777">
            <w:pPr>
              <w:pStyle w:val="NormalinTableHanging"/>
            </w:pPr>
            <w:r w:rsidRPr="426D66E6">
              <w:t>SCG</w:t>
            </w:r>
          </w:p>
        </w:tc>
      </w:tr>
      <w:tr w:rsidR="00953953" w:rsidTr="003A3AA3" w14:paraId="4B4CF453"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A0AE242" w14:textId="77777777">
            <w:pPr>
              <w:pStyle w:val="NormalinTableHanging"/>
            </w:pPr>
            <w:r>
              <w:t>SWWH033-03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3E96FEDB" w14:textId="77777777">
            <w:pPr>
              <w:pStyle w:val="NormalinTableHanging"/>
            </w:pPr>
            <w:r>
              <w:t>Gas Heat Pump Water Heater, Multifamily</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1BBDB38"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5ED5CE01" w14:textId="77777777">
            <w:pPr>
              <w:pStyle w:val="NormalinTableHanging"/>
            </w:pPr>
            <w:r>
              <w:t>SCG</w:t>
            </w:r>
          </w:p>
        </w:tc>
      </w:tr>
      <w:tr w:rsidR="00953953" w:rsidTr="003A3AA3" w14:paraId="7CB98388"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6245E692" w14:textId="77777777">
            <w:pPr>
              <w:pStyle w:val="NormalinTableHanging"/>
            </w:pPr>
            <w:r>
              <w:t>SWWH034-03</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EAB67C0" w14:textId="77777777">
            <w:pPr>
              <w:pStyle w:val="NormalinTableHanging"/>
            </w:pPr>
            <w:r>
              <w:t>Solar Thermal Water Heating System, Commercial and Multifamily</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00B7FC22" w14:textId="77777777">
            <w:pPr>
              <w:pStyle w:val="NormalinTableHanging"/>
            </w:pPr>
            <w:r>
              <w:t>2026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2D504D7D" w14:textId="77777777">
            <w:pPr>
              <w:pStyle w:val="NormalinTableHanging"/>
            </w:pPr>
            <w:r>
              <w:t>SCG</w:t>
            </w:r>
          </w:p>
        </w:tc>
      </w:tr>
      <w:tr w:rsidR="00953953" w:rsidTr="003A3AA3" w14:paraId="26FCCBCE"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3ABD47CE" w14:textId="3443C4EF">
            <w:pPr>
              <w:pStyle w:val="NormalinTableHanging"/>
            </w:pPr>
            <w:r w:rsidRPr="426D66E6">
              <w:t>SWWP004-0</w:t>
            </w:r>
            <w:r>
              <w:t>4</w:t>
            </w:r>
            <w:r w:rsidRPr="009D1F19" w:rsidR="00D53E66">
              <w:rPr>
                <w:sz w:val="28"/>
                <w:szCs w:val="24"/>
                <w:vertAlign w:val="superscript"/>
              </w:rPr>
              <w:t>+</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0A787418" w14:textId="458A3BDA">
            <w:pPr>
              <w:pStyle w:val="NormalinTableHanging"/>
            </w:pPr>
            <w:r w:rsidRPr="426D66E6">
              <w:t>Water Pump Upgrade</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4A0A706B"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4A7A55" w14:paraId="0D879F74" w14:textId="078FA336">
            <w:pPr>
              <w:pStyle w:val="NormalinTableHanging"/>
            </w:pPr>
            <w:r>
              <w:t>SCE</w:t>
            </w:r>
          </w:p>
        </w:tc>
      </w:tr>
      <w:tr w:rsidR="00953953" w:rsidTr="003A3AA3" w14:paraId="2199D647" w14:textId="77777777">
        <w:trPr>
          <w:cantSplit/>
          <w:trHeight w:val="300"/>
        </w:trPr>
        <w:tc>
          <w:tcPr>
            <w:tcW w:w="1885" w:type="dxa"/>
            <w:tcBorders>
              <w:top w:val="single" w:color="auto" w:sz="4" w:space="0"/>
              <w:left w:val="single" w:color="auto" w:sz="4" w:space="0"/>
              <w:bottom w:val="single" w:color="auto" w:sz="4" w:space="0"/>
              <w:right w:val="single" w:color="auto" w:sz="4" w:space="0"/>
            </w:tcBorders>
          </w:tcPr>
          <w:p w:rsidR="00953953" w:rsidP="00354B7F" w:rsidRDefault="00953953" w14:paraId="4B236D2F" w14:textId="77777777">
            <w:pPr>
              <w:pStyle w:val="NormalinTableHanging"/>
            </w:pPr>
            <w:r w:rsidRPr="426D66E6">
              <w:t>SWWP005-0</w:t>
            </w:r>
            <w:r>
              <w:t>4</w:t>
            </w:r>
          </w:p>
        </w:tc>
        <w:tc>
          <w:tcPr>
            <w:tcW w:w="5548" w:type="dxa"/>
            <w:tcBorders>
              <w:top w:val="single" w:color="auto" w:sz="4" w:space="0"/>
              <w:left w:val="single" w:color="auto" w:sz="4" w:space="0"/>
              <w:bottom w:val="single" w:color="auto" w:sz="4" w:space="0"/>
              <w:right w:val="single" w:color="auto" w:sz="4" w:space="0"/>
            </w:tcBorders>
          </w:tcPr>
          <w:p w:rsidR="00953953" w:rsidP="00354B7F" w:rsidRDefault="00953953" w14:paraId="29208BA0" w14:textId="77777777">
            <w:pPr>
              <w:pStyle w:val="NormalinTableHanging"/>
            </w:pPr>
            <w:r w:rsidRPr="426D66E6">
              <w:t>Enhanced VFD on Irrigation Pump</w:t>
            </w:r>
          </w:p>
        </w:tc>
        <w:tc>
          <w:tcPr>
            <w:tcW w:w="1065" w:type="dxa"/>
            <w:tcBorders>
              <w:top w:val="single" w:color="auto" w:sz="4" w:space="0"/>
              <w:left w:val="single" w:color="auto" w:sz="4" w:space="0"/>
              <w:bottom w:val="single" w:color="auto" w:sz="4" w:space="0"/>
              <w:right w:val="single" w:color="auto" w:sz="4" w:space="0"/>
            </w:tcBorders>
          </w:tcPr>
          <w:p w:rsidR="00953953" w:rsidP="00354B7F" w:rsidRDefault="00953953" w14:paraId="60995403" w14:textId="77777777">
            <w:pPr>
              <w:pStyle w:val="NormalinTableHanging"/>
            </w:pPr>
            <w:r w:rsidRPr="426D66E6">
              <w:t>202</w:t>
            </w:r>
            <w:r>
              <w:t>6</w:t>
            </w:r>
          </w:p>
        </w:tc>
        <w:tc>
          <w:tcPr>
            <w:tcW w:w="947" w:type="dxa"/>
            <w:tcBorders>
              <w:top w:val="single" w:color="auto" w:sz="4" w:space="0"/>
              <w:left w:val="single" w:color="auto" w:sz="4" w:space="0"/>
              <w:bottom w:val="single" w:color="auto" w:sz="4" w:space="0"/>
              <w:right w:val="single" w:color="auto" w:sz="4" w:space="0"/>
            </w:tcBorders>
          </w:tcPr>
          <w:p w:rsidR="00953953" w:rsidP="00354B7F" w:rsidRDefault="00953953" w14:paraId="7538DD97" w14:textId="77777777">
            <w:pPr>
              <w:pStyle w:val="NormalinTableHanging"/>
            </w:pPr>
            <w:r w:rsidRPr="426D66E6">
              <w:t>PG&amp;E</w:t>
            </w:r>
          </w:p>
        </w:tc>
      </w:tr>
    </w:tbl>
    <w:p w:rsidRPr="000040D2" w:rsidR="002A61E4" w:rsidP="002A61E4" w:rsidRDefault="002A61E4" w14:paraId="296DEBBC" w14:textId="457A09DD">
      <w:pPr>
        <w:pStyle w:val="Tablenote"/>
        <w:ind w:left="0" w:firstLine="0"/>
      </w:pPr>
      <w:r w:rsidRPr="000040D2">
        <w:lastRenderedPageBreak/>
        <w:t xml:space="preserve">+ </w:t>
      </w:r>
      <w:r>
        <w:t xml:space="preserve">PY2026 measure package </w:t>
      </w:r>
      <w:r w:rsidR="00631A97">
        <w:t>under review and not yet approved.</w:t>
      </w:r>
    </w:p>
    <w:p w:rsidRPr="00A55769" w:rsidR="008A08C6" w:rsidP="000E7EC8" w:rsidRDefault="008A08C6" w14:paraId="2ED61EF4" w14:textId="78F952B3">
      <w:pPr>
        <w:rPr>
          <w:rFonts w:ascii="Garamond" w:hAnsi="Garamond" w:eastAsia="Calibri" w:cs="Arial"/>
          <w:sz w:val="20"/>
          <w:szCs w:val="20"/>
        </w:rPr>
      </w:pPr>
    </w:p>
    <w:p w:rsidR="006931F2" w:rsidP="00B223B7" w:rsidRDefault="006931F2" w14:paraId="0A9A8049" w14:textId="77777777">
      <w:pPr>
        <w:pStyle w:val="AppendixHeading2"/>
      </w:pPr>
      <w:bookmarkStart w:name="_Toc100839946" w:id="93"/>
      <w:bookmarkStart w:name="_Toc104200089" w:id="94"/>
      <w:r>
        <w:t>A3. Dispositions</w:t>
      </w:r>
      <w:bookmarkEnd w:id="93"/>
      <w:bookmarkEnd w:id="94"/>
    </w:p>
    <w:p w:rsidRPr="00445878" w:rsidR="006931F2" w:rsidP="006931F2" w:rsidRDefault="006931F2" w14:paraId="6438189B" w14:textId="63B37C27">
      <w:pPr>
        <w:rPr>
          <w:szCs w:val="24"/>
        </w:rPr>
      </w:pPr>
      <w:r>
        <w:t>The list of 202</w:t>
      </w:r>
      <w:r w:rsidR="005A487C">
        <w:t>3-2024</w:t>
      </w:r>
      <w:r>
        <w:t xml:space="preserve"> dispositions that will impact PY 202</w:t>
      </w:r>
      <w:r w:rsidR="00494B60">
        <w:t>6-27</w:t>
      </w:r>
      <w:r>
        <w:t xml:space="preserve"> measure packages is listed in </w:t>
      </w:r>
      <w:r>
        <w:fldChar w:fldCharType="begin"/>
      </w:r>
      <w:r>
        <w:instrText xml:space="preserve"> REF _Ref98159783 \h </w:instrText>
      </w:r>
      <w:r>
        <w:fldChar w:fldCharType="separate"/>
      </w:r>
      <w:r w:rsidR="00787722">
        <w:t>Table A3.</w:t>
      </w:r>
      <w:r w:rsidR="00787722">
        <w:rPr>
          <w:noProof/>
        </w:rPr>
        <w:t>1</w:t>
      </w:r>
      <w:r>
        <w:fldChar w:fldCharType="end"/>
      </w:r>
      <w:r w:rsidR="00EC149B">
        <w:t xml:space="preserve">. </w:t>
      </w:r>
      <w:r>
        <w:t>These documents can be downloaded from the DEER Module on CEDARS.</w:t>
      </w:r>
      <w:r>
        <w:rPr>
          <w:rStyle w:val="FootnoteReference"/>
        </w:rPr>
        <w:footnoteReference w:id="39"/>
      </w:r>
      <w:bookmarkStart w:name="_Hlk98094155" w:id="95"/>
      <w:r w:rsidR="00223A96">
        <w:t xml:space="preserve"> </w:t>
      </w:r>
      <w:r w:rsidR="00E03A85">
        <w:t>In this context</w:t>
      </w:r>
      <w:r w:rsidR="008A1042">
        <w:t>,</w:t>
      </w:r>
      <w:r w:rsidR="00223A96">
        <w:t xml:space="preserve"> </w:t>
      </w:r>
      <w:r w:rsidR="00777838">
        <w:t>a</w:t>
      </w:r>
      <w:r w:rsidR="00223A96">
        <w:t xml:space="preserve"> disposition </w:t>
      </w:r>
      <w:r w:rsidR="004C6B28">
        <w:t xml:space="preserve">refers to </w:t>
      </w:r>
      <w:r w:rsidR="00EA55B1">
        <w:t xml:space="preserve">a </w:t>
      </w:r>
      <w:r w:rsidR="00162DF7">
        <w:t>document</w:t>
      </w:r>
      <w:r w:rsidR="00223A96">
        <w:t xml:space="preserve"> </w:t>
      </w:r>
      <w:r w:rsidR="00EA55B1">
        <w:t xml:space="preserve">that </w:t>
      </w:r>
      <w:r w:rsidR="00223A96">
        <w:t xml:space="preserve">summarizes </w:t>
      </w:r>
      <w:r w:rsidR="0010364D">
        <w:t xml:space="preserve">why a </w:t>
      </w:r>
      <w:r w:rsidR="00223A96">
        <w:t xml:space="preserve">measure </w:t>
      </w:r>
      <w:r w:rsidR="0010364D">
        <w:t xml:space="preserve">was approved or rejected.  </w:t>
      </w:r>
      <w:r w:rsidR="00F97BE8">
        <w:t xml:space="preserve">This is </w:t>
      </w:r>
      <w:r w:rsidR="006408A4">
        <w:t xml:space="preserve">typically </w:t>
      </w:r>
      <w:r w:rsidR="00F97BE8">
        <w:t>use</w:t>
      </w:r>
      <w:r w:rsidR="00AC268D">
        <w:t xml:space="preserve">d for when </w:t>
      </w:r>
      <w:r w:rsidR="00223A96">
        <w:t>measure package</w:t>
      </w:r>
      <w:r w:rsidR="007753AA">
        <w:t>s are</w:t>
      </w:r>
      <w:r w:rsidR="009B18F0">
        <w:t xml:space="preserve"> </w:t>
      </w:r>
      <w:r w:rsidR="00223A96">
        <w:t xml:space="preserve">high-profile </w:t>
      </w:r>
      <w:r w:rsidR="00167B09">
        <w:t>measure packages</w:t>
      </w:r>
      <w:r w:rsidR="00EC0D07">
        <w:t xml:space="preserve"> and/or measure packages that constitute significant </w:t>
      </w:r>
      <w:r w:rsidR="009D2252">
        <w:t>savings</w:t>
      </w:r>
      <w:r w:rsidR="002633BF">
        <w:t xml:space="preserve"> potential or changes as the result of measure package updates</w:t>
      </w:r>
      <w:r w:rsidR="00D53EA3">
        <w:t xml:space="preserve">. </w:t>
      </w:r>
    </w:p>
    <w:p w:rsidR="006931F2" w:rsidP="006931F2" w:rsidRDefault="006931F2" w14:paraId="5714D2F7" w14:textId="79E0B390">
      <w:pPr>
        <w:pStyle w:val="Caption"/>
      </w:pPr>
      <w:bookmarkStart w:name="_Ref98159783" w:id="96"/>
      <w:bookmarkEnd w:id="95"/>
      <w:r>
        <w:t>Table A3.</w:t>
      </w:r>
      <w:r>
        <w:fldChar w:fldCharType="begin"/>
      </w:r>
      <w:r>
        <w:instrText>SEQ A3. \* ARABIC</w:instrText>
      </w:r>
      <w:r>
        <w:fldChar w:fldCharType="separate"/>
      </w:r>
      <w:r w:rsidR="00787722">
        <w:rPr>
          <w:noProof/>
        </w:rPr>
        <w:t>1</w:t>
      </w:r>
      <w:r>
        <w:fldChar w:fldCharType="end"/>
      </w:r>
      <w:bookmarkEnd w:id="96"/>
      <w:r w:rsidR="00EC149B">
        <w:t xml:space="preserve">. </w:t>
      </w:r>
      <w:r w:rsidRPr="00B067E5">
        <w:t>Measure Package Dispositions Directing Updates for PY202</w:t>
      </w:r>
      <w:r w:rsidR="00494B60">
        <w:t>6</w:t>
      </w:r>
      <w:r w:rsidRPr="00B067E5">
        <w:t>-202</w:t>
      </w:r>
      <w:r w:rsidR="00494B60">
        <w:t>7</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tblCellMar>
        <w:tblLook w:val="04A0" w:firstRow="1" w:lastRow="0" w:firstColumn="1" w:lastColumn="0" w:noHBand="0" w:noVBand="1"/>
      </w:tblPr>
      <w:tblGrid>
        <w:gridCol w:w="1705"/>
        <w:gridCol w:w="2250"/>
        <w:gridCol w:w="1350"/>
        <w:gridCol w:w="4320"/>
      </w:tblGrid>
      <w:tr w:rsidRPr="00445878" w:rsidR="0094140C" w:rsidTr="00935664" w14:paraId="4E799F5A" w14:textId="77777777">
        <w:trPr>
          <w:cantSplit/>
          <w:trHeight w:val="288"/>
          <w:tblHeader/>
        </w:trPr>
        <w:tc>
          <w:tcPr>
            <w:tcW w:w="1705" w:type="dxa"/>
            <w:tcBorders>
              <w:top w:val="single" w:color="auto" w:sz="4" w:space="0"/>
              <w:left w:val="single" w:color="auto" w:sz="4" w:space="0"/>
              <w:bottom w:val="single" w:color="auto" w:sz="4" w:space="0"/>
              <w:right w:val="single" w:color="auto" w:sz="4" w:space="0"/>
            </w:tcBorders>
            <w:vAlign w:val="bottom"/>
          </w:tcPr>
          <w:p w:rsidRPr="00CD099C" w:rsidR="0094140C" w:rsidRDefault="0094140C" w14:paraId="4184DEAF" w14:textId="77777777">
            <w:pPr>
              <w:pStyle w:val="NormalinTable"/>
            </w:pPr>
            <w:r w:rsidRPr="00CD099C">
              <w:t>Measure ID</w:t>
            </w:r>
          </w:p>
        </w:tc>
        <w:tc>
          <w:tcPr>
            <w:tcW w:w="2250" w:type="dxa"/>
            <w:tcBorders>
              <w:top w:val="single" w:color="auto" w:sz="4" w:space="0"/>
              <w:left w:val="single" w:color="auto" w:sz="4" w:space="0"/>
              <w:bottom w:val="single" w:color="auto" w:sz="4" w:space="0"/>
              <w:right w:val="single" w:color="auto" w:sz="4" w:space="0"/>
            </w:tcBorders>
            <w:vAlign w:val="bottom"/>
          </w:tcPr>
          <w:p w:rsidRPr="00CD099C" w:rsidR="0094140C" w:rsidRDefault="0094140C" w14:paraId="215FA961" w14:textId="77777777">
            <w:pPr>
              <w:pStyle w:val="NormalinTable"/>
            </w:pPr>
            <w:r w:rsidRPr="00CD099C">
              <w:t>Title</w:t>
            </w:r>
          </w:p>
        </w:tc>
        <w:tc>
          <w:tcPr>
            <w:tcW w:w="1350" w:type="dxa"/>
            <w:tcBorders>
              <w:top w:val="single" w:color="auto" w:sz="4" w:space="0"/>
              <w:left w:val="single" w:color="auto" w:sz="4" w:space="0"/>
              <w:bottom w:val="single" w:color="auto" w:sz="4" w:space="0"/>
              <w:right w:val="single" w:color="auto" w:sz="4" w:space="0"/>
            </w:tcBorders>
            <w:vAlign w:val="bottom"/>
          </w:tcPr>
          <w:p w:rsidRPr="00CD099C" w:rsidR="0094140C" w:rsidRDefault="0094140C" w14:paraId="6DF1C4DA" w14:textId="77777777">
            <w:pPr>
              <w:pStyle w:val="NormalinTable"/>
            </w:pPr>
            <w:r w:rsidRPr="00CD099C">
              <w:t>Date</w:t>
            </w:r>
          </w:p>
        </w:tc>
        <w:tc>
          <w:tcPr>
            <w:tcW w:w="4320" w:type="dxa"/>
            <w:tcBorders>
              <w:top w:val="single" w:color="auto" w:sz="4" w:space="0"/>
              <w:left w:val="single" w:color="auto" w:sz="4" w:space="0"/>
              <w:bottom w:val="single" w:color="auto" w:sz="4" w:space="0"/>
              <w:right w:val="single" w:color="auto" w:sz="4" w:space="0"/>
            </w:tcBorders>
            <w:vAlign w:val="bottom"/>
          </w:tcPr>
          <w:p w:rsidRPr="00CD099C" w:rsidR="0094140C" w:rsidRDefault="0094140C" w14:paraId="6F19DE7F" w14:textId="77777777">
            <w:pPr>
              <w:pStyle w:val="NormalinTable"/>
            </w:pPr>
            <w:r w:rsidRPr="00CD099C">
              <w:t>Summary of Direction</w:t>
            </w:r>
          </w:p>
        </w:tc>
      </w:tr>
      <w:tr w:rsidRPr="00445878" w:rsidR="000754D1" w:rsidTr="00935664" w14:paraId="03B8186C" w14:textId="77777777">
        <w:trPr>
          <w:cantSplit/>
          <w:trHeight w:val="288"/>
        </w:trPr>
        <w:tc>
          <w:tcPr>
            <w:tcW w:w="1705" w:type="dxa"/>
            <w:tcBorders>
              <w:top w:val="single" w:color="auto" w:sz="4" w:space="0"/>
              <w:left w:val="single" w:color="auto" w:sz="4" w:space="0"/>
              <w:bottom w:val="single" w:color="auto" w:sz="4" w:space="0"/>
              <w:right w:val="single" w:color="auto" w:sz="4" w:space="0"/>
            </w:tcBorders>
          </w:tcPr>
          <w:p w:rsidRPr="00CD099C" w:rsidR="000754D1" w:rsidP="00CD6183" w:rsidRDefault="00E84F58" w14:paraId="3E3881E2" w14:textId="2E4FE9D8">
            <w:pPr>
              <w:pStyle w:val="NormalinTable"/>
            </w:pPr>
            <w:r>
              <w:t>SWWH028-04</w:t>
            </w:r>
          </w:p>
        </w:tc>
        <w:tc>
          <w:tcPr>
            <w:tcW w:w="2250" w:type="dxa"/>
            <w:tcBorders>
              <w:top w:val="single" w:color="auto" w:sz="4" w:space="0"/>
              <w:left w:val="single" w:color="auto" w:sz="4" w:space="0"/>
              <w:bottom w:val="single" w:color="auto" w:sz="4" w:space="0"/>
              <w:right w:val="single" w:color="auto" w:sz="4" w:space="0"/>
            </w:tcBorders>
          </w:tcPr>
          <w:p w:rsidRPr="00CD099C" w:rsidR="000754D1" w:rsidP="00CD6183" w:rsidRDefault="00E84F58" w14:paraId="18DB95FE" w14:textId="4D948DE4">
            <w:pPr>
              <w:pStyle w:val="NormalinTable"/>
            </w:pPr>
            <w:r>
              <w:t>Large Heat Pump Water Heater, Commercial and Multifamily, Fuel Substitution</w:t>
            </w:r>
          </w:p>
        </w:tc>
        <w:tc>
          <w:tcPr>
            <w:tcW w:w="1350" w:type="dxa"/>
            <w:tcBorders>
              <w:top w:val="single" w:color="auto" w:sz="4" w:space="0"/>
              <w:left w:val="single" w:color="auto" w:sz="4" w:space="0"/>
              <w:bottom w:val="single" w:color="auto" w:sz="4" w:space="0"/>
              <w:right w:val="single" w:color="auto" w:sz="4" w:space="0"/>
            </w:tcBorders>
          </w:tcPr>
          <w:p w:rsidRPr="00CD099C" w:rsidR="000754D1" w:rsidP="00CD6183" w:rsidRDefault="00540E1A" w14:paraId="3B15FCE0" w14:textId="6831BFBF">
            <w:pPr>
              <w:pStyle w:val="NormalinTable"/>
            </w:pPr>
            <w:r>
              <w:t>2024-</w:t>
            </w:r>
            <w:r w:rsidR="00383AD9">
              <w:t>06-10</w:t>
            </w:r>
          </w:p>
        </w:tc>
        <w:tc>
          <w:tcPr>
            <w:tcW w:w="4320" w:type="dxa"/>
            <w:tcBorders>
              <w:top w:val="single" w:color="auto" w:sz="4" w:space="0"/>
              <w:left w:val="single" w:color="auto" w:sz="4" w:space="0"/>
              <w:bottom w:val="single" w:color="auto" w:sz="4" w:space="0"/>
              <w:right w:val="single" w:color="auto" w:sz="4" w:space="0"/>
            </w:tcBorders>
          </w:tcPr>
          <w:p w:rsidRPr="00CD099C" w:rsidR="000754D1" w:rsidP="00CD6183" w:rsidRDefault="00860DEC" w14:paraId="559301C7" w14:textId="301953E2">
            <w:pPr>
              <w:pStyle w:val="NormalinTable"/>
            </w:pPr>
            <w:r>
              <w:t xml:space="preserve">Disposition approves the statewide measure package Large Heat Pump Water Heater, Commercial and Multifamily, Fuel Substitution: SWWH028-04 to be effective </w:t>
            </w:r>
            <w:r w:rsidR="00053C1F">
              <w:t>retroactively on January 1, 202</w:t>
            </w:r>
            <w:r w:rsidR="00614047">
              <w:t>4</w:t>
            </w:r>
            <w:r w:rsidR="00845366">
              <w:t>,</w:t>
            </w:r>
            <w:r w:rsidR="00614047">
              <w:t xml:space="preserve"> and expire on December 31, 2025. Th</w:t>
            </w:r>
            <w:r w:rsidR="00845366">
              <w:t xml:space="preserve">is disposition summarizes the error correction that necessitated a correction in multifamily savings values </w:t>
            </w:r>
            <w:r w:rsidR="00566E09">
              <w:t>retroactive to PY24.</w:t>
            </w:r>
          </w:p>
        </w:tc>
      </w:tr>
      <w:tr w:rsidRPr="00445878" w:rsidR="0094140C" w:rsidTr="00935664" w14:paraId="6CE8D1A0" w14:textId="77777777">
        <w:trPr>
          <w:cantSplit/>
          <w:trHeight w:val="20"/>
        </w:trPr>
        <w:tc>
          <w:tcPr>
            <w:tcW w:w="1705" w:type="dxa"/>
            <w:tcBorders>
              <w:top w:val="single" w:color="auto" w:sz="4" w:space="0"/>
              <w:left w:val="single" w:color="auto" w:sz="4" w:space="0"/>
              <w:bottom w:val="single" w:color="auto" w:sz="4" w:space="0"/>
              <w:right w:val="single" w:color="auto" w:sz="4" w:space="0"/>
            </w:tcBorders>
          </w:tcPr>
          <w:p w:rsidRPr="00445878" w:rsidR="0094140C" w:rsidRDefault="0094140C" w14:paraId="2AE32B38" w14:textId="77777777">
            <w:pPr>
              <w:pStyle w:val="NormalinTable"/>
            </w:pPr>
            <w:r>
              <w:t>SWHC045-02</w:t>
            </w:r>
          </w:p>
        </w:tc>
        <w:tc>
          <w:tcPr>
            <w:tcW w:w="2250" w:type="dxa"/>
            <w:tcBorders>
              <w:top w:val="single" w:color="auto" w:sz="4" w:space="0"/>
              <w:left w:val="single" w:color="auto" w:sz="4" w:space="0"/>
              <w:bottom w:val="single" w:color="auto" w:sz="4" w:space="0"/>
              <w:right w:val="single" w:color="auto" w:sz="4" w:space="0"/>
            </w:tcBorders>
          </w:tcPr>
          <w:p w:rsidRPr="00445878" w:rsidR="0094140C" w:rsidRDefault="0094140C" w14:paraId="67FDCFEB" w14:textId="77777777">
            <w:pPr>
              <w:pStyle w:val="NormalinTable"/>
            </w:pPr>
            <w:r>
              <w:t>Heat Pump HVAC, Residential, Fuel Substitution</w:t>
            </w:r>
          </w:p>
        </w:tc>
        <w:tc>
          <w:tcPr>
            <w:tcW w:w="1350" w:type="dxa"/>
            <w:tcBorders>
              <w:top w:val="single" w:color="auto" w:sz="4" w:space="0"/>
              <w:left w:val="single" w:color="auto" w:sz="4" w:space="0"/>
              <w:bottom w:val="single" w:color="auto" w:sz="4" w:space="0"/>
              <w:right w:val="single" w:color="auto" w:sz="4" w:space="0"/>
            </w:tcBorders>
          </w:tcPr>
          <w:p w:rsidRPr="00445878" w:rsidR="0094140C" w:rsidRDefault="0094140C" w14:paraId="0F1E5CA4" w14:textId="77777777">
            <w:pPr>
              <w:pStyle w:val="NormalinTable"/>
            </w:pPr>
            <w:r>
              <w:t>2023-08-16</w:t>
            </w:r>
          </w:p>
        </w:tc>
        <w:tc>
          <w:tcPr>
            <w:tcW w:w="4320" w:type="dxa"/>
            <w:tcBorders>
              <w:top w:val="single" w:color="auto" w:sz="4" w:space="0"/>
              <w:left w:val="single" w:color="auto" w:sz="4" w:space="0"/>
              <w:bottom w:val="single" w:color="auto" w:sz="4" w:space="0"/>
              <w:right w:val="single" w:color="auto" w:sz="4" w:space="0"/>
            </w:tcBorders>
          </w:tcPr>
          <w:p w:rsidR="0094140C" w:rsidRDefault="0094140C" w14:paraId="1AD4B322" w14:textId="6DDFEF7F">
            <w:pPr>
              <w:pStyle w:val="NormalinTable"/>
            </w:pPr>
            <w:r>
              <w:t>Disposition a</w:t>
            </w:r>
            <w:r w:rsidRPr="00C8693A">
              <w:t xml:space="preserve">pproves the statewide measure package </w:t>
            </w:r>
            <w:r>
              <w:t>Heat Pump HVAC</w:t>
            </w:r>
            <w:r w:rsidRPr="00C8693A">
              <w:t>, Residential</w:t>
            </w:r>
            <w:r>
              <w:t>, Fuel Substitution: SWHC045-02 to</w:t>
            </w:r>
            <w:r w:rsidRPr="00C8693A">
              <w:t xml:space="preserve"> </w:t>
            </w:r>
            <w:r w:rsidR="00860DEC">
              <w:t xml:space="preserve">be </w:t>
            </w:r>
            <w:r w:rsidRPr="00C8693A">
              <w:t xml:space="preserve">effective on </w:t>
            </w:r>
            <w:r>
              <w:t xml:space="preserve">November 13, 2023, and expire on December 31, 2023. </w:t>
            </w:r>
            <w:r w:rsidRPr="5DFB8212">
              <w:rPr>
                <w:rFonts w:cs="Calibri"/>
                <w:color w:val="000000" w:themeColor="text1"/>
              </w:rPr>
              <w:t xml:space="preserve">The program administrators are directed to revise the measure package for PY 2024-2025 based </w:t>
            </w:r>
            <w:r>
              <w:rPr>
                <w:rFonts w:cs="Calibri"/>
                <w:color w:val="000000" w:themeColor="text1"/>
              </w:rPr>
              <w:t>on NTG eligibility changes</w:t>
            </w:r>
            <w:r>
              <w:t xml:space="preserve"> from the PY2020 HVAC Fuel Substitution Impact Evaluation report. These updates will persist into the PY26-27 version of the measure package.</w:t>
            </w:r>
          </w:p>
        </w:tc>
      </w:tr>
      <w:tr w:rsidRPr="00445878" w:rsidR="0094140C" w:rsidTr="00935664" w14:paraId="4DF58B37" w14:textId="77777777">
        <w:trPr>
          <w:cantSplit/>
          <w:trHeight w:val="20"/>
        </w:trPr>
        <w:tc>
          <w:tcPr>
            <w:tcW w:w="1705" w:type="dxa"/>
            <w:tcBorders>
              <w:top w:val="single" w:color="auto" w:sz="4" w:space="0"/>
              <w:left w:val="single" w:color="auto" w:sz="4" w:space="0"/>
              <w:bottom w:val="single" w:color="auto" w:sz="4" w:space="0"/>
              <w:right w:val="single" w:color="auto" w:sz="4" w:space="0"/>
            </w:tcBorders>
          </w:tcPr>
          <w:p w:rsidRPr="00445878" w:rsidR="0094140C" w:rsidRDefault="0094140C" w14:paraId="3ABEE2C2" w14:textId="77777777">
            <w:pPr>
              <w:pStyle w:val="NormalinTable"/>
            </w:pPr>
            <w:r>
              <w:rPr>
                <w:rFonts w:cs="Calibri"/>
                <w:color w:val="000000" w:themeColor="text1"/>
              </w:rPr>
              <w:lastRenderedPageBreak/>
              <w:t>SWHC044-03</w:t>
            </w:r>
          </w:p>
        </w:tc>
        <w:tc>
          <w:tcPr>
            <w:tcW w:w="2250" w:type="dxa"/>
            <w:tcBorders>
              <w:top w:val="single" w:color="auto" w:sz="4" w:space="0"/>
              <w:left w:val="single" w:color="auto" w:sz="4" w:space="0"/>
              <w:bottom w:val="single" w:color="auto" w:sz="4" w:space="0"/>
              <w:right w:val="single" w:color="auto" w:sz="4" w:space="0"/>
            </w:tcBorders>
          </w:tcPr>
          <w:p w:rsidRPr="00445878" w:rsidR="0094140C" w:rsidRDefault="0094140C" w14:paraId="480DFB3A" w14:textId="77777777">
            <w:pPr>
              <w:pStyle w:val="NormalinTable"/>
              <w:rPr>
                <w:rFonts w:cs="Calibri"/>
                <w:color w:val="000000" w:themeColor="text1"/>
              </w:rPr>
            </w:pPr>
            <w:r>
              <w:rPr>
                <w:rFonts w:cs="Calibri"/>
                <w:color w:val="000000" w:themeColor="text1"/>
              </w:rPr>
              <w:t>Ductless HVAC, Residential, Fuel Substitution</w:t>
            </w:r>
          </w:p>
          <w:p w:rsidRPr="00445878" w:rsidR="0094140C" w:rsidRDefault="0094140C" w14:paraId="5B6BB63D" w14:textId="77777777">
            <w:pPr>
              <w:pStyle w:val="NormalinTable"/>
              <w:rPr>
                <w:rFonts w:eastAsia="Calibri" w:cs="Arial"/>
                <w:szCs w:val="24"/>
              </w:rPr>
            </w:pPr>
          </w:p>
        </w:tc>
        <w:tc>
          <w:tcPr>
            <w:tcW w:w="1350" w:type="dxa"/>
            <w:tcBorders>
              <w:top w:val="single" w:color="auto" w:sz="4" w:space="0"/>
              <w:left w:val="single" w:color="auto" w:sz="4" w:space="0"/>
              <w:bottom w:val="single" w:color="auto" w:sz="4" w:space="0"/>
              <w:right w:val="single" w:color="auto" w:sz="4" w:space="0"/>
            </w:tcBorders>
          </w:tcPr>
          <w:p w:rsidRPr="00445878" w:rsidR="0094140C" w:rsidRDefault="0094140C" w14:paraId="4E3B17A7" w14:textId="77777777">
            <w:pPr>
              <w:pStyle w:val="NormalinTable"/>
            </w:pPr>
            <w:r>
              <w:rPr>
                <w:rFonts w:cs="Calibri"/>
                <w:color w:val="000000" w:themeColor="text1"/>
              </w:rPr>
              <w:t>2023-08-16</w:t>
            </w:r>
          </w:p>
        </w:tc>
        <w:tc>
          <w:tcPr>
            <w:tcW w:w="4320" w:type="dxa"/>
            <w:tcBorders>
              <w:top w:val="single" w:color="auto" w:sz="4" w:space="0"/>
              <w:left w:val="single" w:color="auto" w:sz="4" w:space="0"/>
              <w:bottom w:val="single" w:color="auto" w:sz="4" w:space="0"/>
              <w:right w:val="single" w:color="auto" w:sz="4" w:space="0"/>
            </w:tcBorders>
          </w:tcPr>
          <w:p w:rsidRPr="00445878" w:rsidR="0094140C" w:rsidRDefault="0094140C" w14:paraId="4C07452C" w14:textId="77777777">
            <w:pPr>
              <w:pStyle w:val="NormalinTable"/>
            </w:pPr>
            <w:r w:rsidRPr="5DFB8212">
              <w:rPr>
                <w:rFonts w:cs="Calibri"/>
                <w:color w:val="000000" w:themeColor="text1"/>
              </w:rPr>
              <w:t xml:space="preserve">Disposition approves the statewide measure package </w:t>
            </w:r>
            <w:r>
              <w:rPr>
                <w:rFonts w:cs="Calibri"/>
                <w:color w:val="000000" w:themeColor="text1"/>
              </w:rPr>
              <w:t>Ductless HVAC, Residential, Fuel Substitution: SWHC044-03</w:t>
            </w:r>
            <w:r w:rsidRPr="5DFB8212">
              <w:rPr>
                <w:rFonts w:cs="Calibri"/>
                <w:color w:val="000000" w:themeColor="text1"/>
              </w:rPr>
              <w:t xml:space="preserve"> to be effective on </w:t>
            </w:r>
            <w:r>
              <w:rPr>
                <w:rFonts w:cs="Calibri"/>
                <w:color w:val="000000" w:themeColor="text1"/>
              </w:rPr>
              <w:t xml:space="preserve">November 13, 2023, </w:t>
            </w:r>
            <w:r w:rsidRPr="5DFB8212">
              <w:rPr>
                <w:rFonts w:cs="Calibri"/>
                <w:color w:val="000000" w:themeColor="text1"/>
              </w:rPr>
              <w:t xml:space="preserve">and expire on December 31, 2023. The program administrators are directed to revise the measure package for PY 2024-2025 based </w:t>
            </w:r>
            <w:r>
              <w:rPr>
                <w:rFonts w:cs="Calibri"/>
                <w:color w:val="000000" w:themeColor="text1"/>
              </w:rPr>
              <w:t>on NTG eligibility changes from the PY2020 HVAC Fuel Substitution Impact Evaluation report</w:t>
            </w:r>
            <w:r w:rsidRPr="5DFB8212">
              <w:rPr>
                <w:rFonts w:cs="Calibri"/>
                <w:color w:val="000000" w:themeColor="text1"/>
              </w:rPr>
              <w:t>.</w:t>
            </w:r>
            <w:r>
              <w:t xml:space="preserve"> These updates will persist into the PY26-27 version of the measure package.</w:t>
            </w:r>
          </w:p>
        </w:tc>
      </w:tr>
      <w:tr w:rsidRPr="00445878" w:rsidR="0094140C" w:rsidTr="00935664" w14:paraId="00E04BDF" w14:textId="77777777">
        <w:trPr>
          <w:cantSplit/>
          <w:trHeight w:val="20"/>
        </w:trPr>
        <w:tc>
          <w:tcPr>
            <w:tcW w:w="1705" w:type="dxa"/>
            <w:tcBorders>
              <w:top w:val="single" w:color="auto" w:sz="4" w:space="0"/>
              <w:left w:val="single" w:color="auto" w:sz="4" w:space="0"/>
              <w:bottom w:val="single" w:color="auto" w:sz="4" w:space="0"/>
              <w:right w:val="single" w:color="auto" w:sz="4" w:space="0"/>
            </w:tcBorders>
          </w:tcPr>
          <w:p w:rsidRPr="00445878" w:rsidR="0094140C" w:rsidRDefault="0094140C" w14:paraId="5FEA9BD7" w14:textId="77777777">
            <w:pPr>
              <w:pStyle w:val="NormalinTable"/>
            </w:pPr>
            <w:r>
              <w:rPr>
                <w:rFonts w:cs="Calibri"/>
                <w:color w:val="000000" w:themeColor="text1"/>
              </w:rPr>
              <w:t>SWHC050-03</w:t>
            </w:r>
          </w:p>
        </w:tc>
        <w:tc>
          <w:tcPr>
            <w:tcW w:w="2250" w:type="dxa"/>
            <w:tcBorders>
              <w:top w:val="single" w:color="auto" w:sz="4" w:space="0"/>
              <w:left w:val="single" w:color="auto" w:sz="4" w:space="0"/>
              <w:bottom w:val="single" w:color="auto" w:sz="4" w:space="0"/>
              <w:right w:val="single" w:color="auto" w:sz="4" w:space="0"/>
            </w:tcBorders>
          </w:tcPr>
          <w:p w:rsidRPr="00445878" w:rsidR="0094140C" w:rsidRDefault="0094140C" w14:paraId="46695F4C" w14:textId="77777777">
            <w:pPr>
              <w:pStyle w:val="NormalinTable"/>
            </w:pPr>
            <w:r>
              <w:rPr>
                <w:rFonts w:cs="Calibri"/>
                <w:color w:val="000000" w:themeColor="text1"/>
              </w:rPr>
              <w:t>Ductless Heat Pump, Residential</w:t>
            </w:r>
          </w:p>
        </w:tc>
        <w:tc>
          <w:tcPr>
            <w:tcW w:w="1350" w:type="dxa"/>
            <w:tcBorders>
              <w:top w:val="single" w:color="auto" w:sz="4" w:space="0"/>
              <w:left w:val="single" w:color="auto" w:sz="4" w:space="0"/>
              <w:bottom w:val="single" w:color="auto" w:sz="4" w:space="0"/>
              <w:right w:val="single" w:color="auto" w:sz="4" w:space="0"/>
            </w:tcBorders>
          </w:tcPr>
          <w:p w:rsidRPr="00445878" w:rsidR="0094140C" w:rsidRDefault="0094140C" w14:paraId="5379B86E" w14:textId="77777777">
            <w:pPr>
              <w:pStyle w:val="NormalinTable"/>
            </w:pPr>
            <w:r>
              <w:rPr>
                <w:rFonts w:cs="Calibri"/>
                <w:color w:val="000000" w:themeColor="text1"/>
              </w:rPr>
              <w:t>2023-08-06</w:t>
            </w:r>
          </w:p>
        </w:tc>
        <w:tc>
          <w:tcPr>
            <w:tcW w:w="4320" w:type="dxa"/>
            <w:tcBorders>
              <w:top w:val="single" w:color="auto" w:sz="4" w:space="0"/>
              <w:left w:val="single" w:color="auto" w:sz="4" w:space="0"/>
              <w:bottom w:val="single" w:color="auto" w:sz="4" w:space="0"/>
              <w:right w:val="single" w:color="auto" w:sz="4" w:space="0"/>
            </w:tcBorders>
          </w:tcPr>
          <w:p w:rsidRPr="00C22024" w:rsidR="0094140C" w:rsidRDefault="0094140C" w14:paraId="7FA53B49" w14:textId="77777777">
            <w:pPr>
              <w:pStyle w:val="NormalinTable"/>
              <w:rPr>
                <w:color w:val="000000" w:themeColor="text1"/>
              </w:rPr>
            </w:pPr>
            <w:r w:rsidRPr="5DFB8212">
              <w:rPr>
                <w:rFonts w:cs="Calibri"/>
                <w:color w:val="000000" w:themeColor="text1"/>
              </w:rPr>
              <w:t xml:space="preserve">Disposition approves the statewide measure package </w:t>
            </w:r>
            <w:r>
              <w:rPr>
                <w:rFonts w:cs="Calibri"/>
                <w:color w:val="000000" w:themeColor="text1"/>
              </w:rPr>
              <w:t>Ductless Heat Pump, Residential</w:t>
            </w:r>
            <w:r w:rsidRPr="5DFB8212">
              <w:rPr>
                <w:rFonts w:cs="Calibri"/>
                <w:color w:val="000000" w:themeColor="text1"/>
              </w:rPr>
              <w:t xml:space="preserve">: </w:t>
            </w:r>
            <w:r>
              <w:rPr>
                <w:rFonts w:cs="Calibri"/>
                <w:color w:val="000000" w:themeColor="text1"/>
              </w:rPr>
              <w:t>SWHC050-03</w:t>
            </w:r>
            <w:r w:rsidRPr="5DFB8212">
              <w:rPr>
                <w:rFonts w:cs="Calibri"/>
                <w:color w:val="000000" w:themeColor="text1"/>
              </w:rPr>
              <w:t xml:space="preserve"> to be effective on </w:t>
            </w:r>
            <w:r>
              <w:rPr>
                <w:rFonts w:cs="Calibri"/>
                <w:color w:val="000000" w:themeColor="text1"/>
              </w:rPr>
              <w:t xml:space="preserve">November 8, </w:t>
            </w:r>
            <w:r w:rsidRPr="5DFB8212">
              <w:rPr>
                <w:rFonts w:cs="Calibri"/>
                <w:color w:val="000000" w:themeColor="text1"/>
              </w:rPr>
              <w:t>202</w:t>
            </w:r>
            <w:r>
              <w:rPr>
                <w:rFonts w:cs="Calibri"/>
                <w:color w:val="000000" w:themeColor="text1"/>
              </w:rPr>
              <w:t xml:space="preserve">3. The key updates for this measure package included integrating the </w:t>
            </w:r>
            <w:proofErr w:type="spellStart"/>
            <w:r>
              <w:rPr>
                <w:rFonts w:cs="Calibri"/>
                <w:color w:val="000000" w:themeColor="text1"/>
              </w:rPr>
              <w:t>EnergyPlus</w:t>
            </w:r>
            <w:proofErr w:type="spellEnd"/>
            <w:r>
              <w:rPr>
                <w:rFonts w:cs="Calibri"/>
                <w:color w:val="000000" w:themeColor="text1"/>
              </w:rPr>
              <w:t xml:space="preserve"> modeling update, which will continue to be utilized for PY26-27. </w:t>
            </w:r>
          </w:p>
        </w:tc>
      </w:tr>
      <w:tr w:rsidRPr="00445878" w:rsidR="0094140C" w:rsidTr="00935664" w14:paraId="7F9A2513" w14:textId="77777777">
        <w:trPr>
          <w:cantSplit/>
          <w:trHeight w:val="20"/>
        </w:trPr>
        <w:tc>
          <w:tcPr>
            <w:tcW w:w="1705" w:type="dxa"/>
            <w:tcBorders>
              <w:top w:val="single" w:color="auto" w:sz="4" w:space="0"/>
              <w:left w:val="single" w:color="auto" w:sz="4" w:space="0"/>
              <w:bottom w:val="single" w:color="auto" w:sz="4" w:space="0"/>
              <w:right w:val="single" w:color="auto" w:sz="4" w:space="0"/>
            </w:tcBorders>
          </w:tcPr>
          <w:p w:rsidRPr="00445878" w:rsidR="0094140C" w:rsidRDefault="0094140C" w14:paraId="37CB504D" w14:textId="77777777">
            <w:pPr>
              <w:pStyle w:val="NormalinTable"/>
            </w:pPr>
            <w:r>
              <w:rPr>
                <w:rFonts w:cs="Calibri"/>
                <w:color w:val="000000" w:themeColor="text1"/>
              </w:rPr>
              <w:t>SWHC049-03</w:t>
            </w:r>
          </w:p>
        </w:tc>
        <w:tc>
          <w:tcPr>
            <w:tcW w:w="2250" w:type="dxa"/>
            <w:tcBorders>
              <w:top w:val="single" w:color="auto" w:sz="4" w:space="0"/>
              <w:left w:val="single" w:color="auto" w:sz="4" w:space="0"/>
              <w:bottom w:val="single" w:color="auto" w:sz="4" w:space="0"/>
              <w:right w:val="single" w:color="auto" w:sz="4" w:space="0"/>
            </w:tcBorders>
          </w:tcPr>
          <w:p w:rsidRPr="00445878" w:rsidR="0094140C" w:rsidRDefault="0094140C" w14:paraId="0DD46CD9" w14:textId="77777777">
            <w:pPr>
              <w:pStyle w:val="NormalinTable"/>
            </w:pPr>
            <w:r>
              <w:rPr>
                <w:rFonts w:cs="Calibri"/>
                <w:color w:val="000000" w:themeColor="text1"/>
              </w:rPr>
              <w:t>SEER Rated AC and HP HVAC Equipment, Residential</w:t>
            </w:r>
          </w:p>
        </w:tc>
        <w:tc>
          <w:tcPr>
            <w:tcW w:w="1350" w:type="dxa"/>
            <w:tcBorders>
              <w:top w:val="single" w:color="auto" w:sz="4" w:space="0"/>
              <w:left w:val="single" w:color="auto" w:sz="4" w:space="0"/>
              <w:bottom w:val="single" w:color="auto" w:sz="4" w:space="0"/>
              <w:right w:val="single" w:color="auto" w:sz="4" w:space="0"/>
            </w:tcBorders>
          </w:tcPr>
          <w:p w:rsidRPr="00445878" w:rsidR="0094140C" w:rsidRDefault="0094140C" w14:paraId="29607BBA" w14:textId="77777777">
            <w:pPr>
              <w:pStyle w:val="NormalinTable"/>
            </w:pPr>
            <w:r>
              <w:rPr>
                <w:rFonts w:cs="Calibri"/>
                <w:color w:val="000000" w:themeColor="text1"/>
              </w:rPr>
              <w:t>2023-04-01</w:t>
            </w:r>
          </w:p>
        </w:tc>
        <w:tc>
          <w:tcPr>
            <w:tcW w:w="4320" w:type="dxa"/>
            <w:tcBorders>
              <w:top w:val="single" w:color="auto" w:sz="4" w:space="0"/>
              <w:left w:val="single" w:color="auto" w:sz="4" w:space="0"/>
              <w:bottom w:val="single" w:color="auto" w:sz="4" w:space="0"/>
              <w:right w:val="single" w:color="auto" w:sz="4" w:space="0"/>
            </w:tcBorders>
          </w:tcPr>
          <w:p w:rsidRPr="00445878" w:rsidR="0094140C" w:rsidRDefault="0094140C" w14:paraId="75775F91" w14:textId="77777777">
            <w:pPr>
              <w:pStyle w:val="NormalinTable"/>
            </w:pPr>
            <w:r w:rsidRPr="1BD1C842">
              <w:rPr>
                <w:rFonts w:cs="Calibri"/>
                <w:color w:val="000000" w:themeColor="text1"/>
              </w:rPr>
              <w:t xml:space="preserve">Disposition approves the statewide measure package </w:t>
            </w:r>
            <w:r>
              <w:rPr>
                <w:rFonts w:cs="Calibri"/>
                <w:color w:val="000000" w:themeColor="text1"/>
              </w:rPr>
              <w:t>SEER Rated AC and HP HVAC Equipment</w:t>
            </w:r>
            <w:r w:rsidRPr="1BD1C842">
              <w:rPr>
                <w:rFonts w:cs="Calibri"/>
                <w:color w:val="000000" w:themeColor="text1"/>
              </w:rPr>
              <w:t xml:space="preserve">: </w:t>
            </w:r>
            <w:r>
              <w:rPr>
                <w:rFonts w:cs="Calibri"/>
                <w:color w:val="000000" w:themeColor="text1"/>
              </w:rPr>
              <w:t>SWHC049-03</w:t>
            </w:r>
            <w:r w:rsidRPr="1BD1C842">
              <w:rPr>
                <w:rFonts w:cs="Calibri"/>
                <w:color w:val="000000" w:themeColor="text1"/>
              </w:rPr>
              <w:t xml:space="preserve"> to be effective </w:t>
            </w:r>
            <w:r>
              <w:rPr>
                <w:rFonts w:cs="Calibri"/>
                <w:color w:val="000000" w:themeColor="text1"/>
              </w:rPr>
              <w:t xml:space="preserve">retroactively on January 1, 2023. The key updates for this measure package included integrating the </w:t>
            </w:r>
            <w:proofErr w:type="spellStart"/>
            <w:r>
              <w:rPr>
                <w:rFonts w:cs="Calibri"/>
                <w:color w:val="000000" w:themeColor="text1"/>
              </w:rPr>
              <w:t>EnergyPlus</w:t>
            </w:r>
            <w:proofErr w:type="spellEnd"/>
            <w:r>
              <w:rPr>
                <w:rFonts w:cs="Calibri"/>
                <w:color w:val="000000" w:themeColor="text1"/>
              </w:rPr>
              <w:t xml:space="preserve"> modeling update, which will continue to be utilized for PY26-27. </w:t>
            </w:r>
          </w:p>
        </w:tc>
      </w:tr>
    </w:tbl>
    <w:p w:rsidR="00494B60" w:rsidP="00494B60" w:rsidRDefault="00494B60" w14:paraId="7E63E96B" w14:textId="47F8401E"/>
    <w:p w:rsidR="001F1121" w:rsidRDefault="001F1121" w14:paraId="19C09931" w14:textId="77777777">
      <w:pPr>
        <w:spacing w:after="200" w:line="276" w:lineRule="auto"/>
        <w:sectPr w:rsidR="001F1121" w:rsidSect="001F1121">
          <w:headerReference w:type="default" r:id="rId18"/>
          <w:type w:val="continuous"/>
          <w:pgSz w:w="12240" w:h="15840"/>
          <w:pgMar w:top="1440" w:right="1440" w:bottom="1260" w:left="1440" w:header="720" w:footer="720" w:gutter="0"/>
          <w:cols w:space="720"/>
          <w:docGrid w:linePitch="360"/>
        </w:sectPr>
      </w:pPr>
    </w:p>
    <w:p w:rsidR="001F1121" w:rsidP="006931F2" w:rsidRDefault="001F1121" w14:paraId="1BE0394C" w14:textId="0402D215"/>
    <w:p w:rsidR="006931F2" w:rsidP="002334FE" w:rsidRDefault="006931F2" w14:paraId="2AADAAA4" w14:textId="77777777">
      <w:pPr>
        <w:pStyle w:val="AppendixHeading2"/>
      </w:pPr>
      <w:bookmarkStart w:name="_Toc100839947" w:id="97"/>
      <w:bookmarkStart w:name="_Toc104200090" w:id="98"/>
      <w:r>
        <w:t>A4. Measure Package Guidance</w:t>
      </w:r>
      <w:bookmarkEnd w:id="97"/>
      <w:bookmarkEnd w:id="98"/>
      <w:r>
        <w:t xml:space="preserve"> </w:t>
      </w:r>
    </w:p>
    <w:p w:rsidRPr="00A90739" w:rsidR="006931F2" w:rsidP="006931F2" w:rsidRDefault="006931F2" w14:paraId="637831AA" w14:textId="2AA9AD9C">
      <w:r>
        <w:fldChar w:fldCharType="begin"/>
      </w:r>
      <w:r>
        <w:instrText xml:space="preserve"> REF _Ref98159869 \h </w:instrText>
      </w:r>
      <w:r>
        <w:fldChar w:fldCharType="separate"/>
      </w:r>
      <w:r w:rsidR="00787722">
        <w:t>Table A4.</w:t>
      </w:r>
      <w:r w:rsidR="00787722">
        <w:rPr>
          <w:noProof/>
        </w:rPr>
        <w:t>1</w:t>
      </w:r>
      <w:r>
        <w:fldChar w:fldCharType="end"/>
      </w:r>
      <w:r>
        <w:t xml:space="preserve"> lists the guidance released since the last DEER Resolution that informs PY202</w:t>
      </w:r>
      <w:r w:rsidR="0067159B">
        <w:t>6-27</w:t>
      </w:r>
      <w:r>
        <w:t xml:space="preserve"> Measure Updates. These documents can be downloaded from CEDARS at </w:t>
      </w:r>
      <w:hyperlink w:history="1" r:id="rId19">
        <w:r w:rsidR="00D62A41">
          <w:rPr>
            <w:rStyle w:val="Hyperlink"/>
          </w:rPr>
          <w:t>https://cedars.cpuc.ca.gov/deer-resources/deemed-measure-packages/guidance/</w:t>
        </w:r>
      </w:hyperlink>
      <w:r>
        <w:t>.</w:t>
      </w:r>
    </w:p>
    <w:p w:rsidR="006931F2" w:rsidP="006931F2" w:rsidRDefault="006931F2" w14:paraId="151629AB" w14:textId="5D58A42F">
      <w:pPr>
        <w:pStyle w:val="Caption"/>
      </w:pPr>
      <w:bookmarkStart w:name="_Ref98159869" w:id="99"/>
      <w:r>
        <w:lastRenderedPageBreak/>
        <w:t>Table A4.</w:t>
      </w:r>
      <w:r>
        <w:fldChar w:fldCharType="begin"/>
      </w:r>
      <w:r>
        <w:instrText>SEQ A4. \* ARABIC</w:instrText>
      </w:r>
      <w:r>
        <w:fldChar w:fldCharType="separate"/>
      </w:r>
      <w:r w:rsidR="00787722">
        <w:rPr>
          <w:noProof/>
        </w:rPr>
        <w:t>1</w:t>
      </w:r>
      <w:r>
        <w:fldChar w:fldCharType="end"/>
      </w:r>
      <w:bookmarkEnd w:id="99"/>
      <w:r w:rsidR="00EC149B">
        <w:t xml:space="preserve">. </w:t>
      </w:r>
      <w:r w:rsidRPr="00A90739">
        <w:t>Measure Package Guidance for PY202</w:t>
      </w:r>
      <w:r w:rsidR="004F27E3">
        <w:t>6</w:t>
      </w:r>
      <w:r w:rsidRPr="00A90739">
        <w:t>-202</w:t>
      </w:r>
      <w:r w:rsidR="004F27E3">
        <w:t>7</w:t>
      </w:r>
    </w:p>
    <w:tbl>
      <w:tblPr>
        <w:tblW w:w="50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right w:w="158" w:type="dxa"/>
        </w:tblCellMar>
        <w:tblLook w:val="04A0" w:firstRow="1" w:lastRow="0" w:firstColumn="1" w:lastColumn="0" w:noHBand="0" w:noVBand="1"/>
      </w:tblPr>
      <w:tblGrid>
        <w:gridCol w:w="1584"/>
        <w:gridCol w:w="3332"/>
        <w:gridCol w:w="4619"/>
      </w:tblGrid>
      <w:tr w:rsidRPr="00573F84" w:rsidR="00573F84" w:rsidTr="4AD93EB3" w14:paraId="1982CD3B" w14:textId="77777777">
        <w:trPr>
          <w:tblHeader/>
        </w:trPr>
        <w:tc>
          <w:tcPr>
            <w:tcW w:w="831" w:type="pct"/>
            <w:tcBorders>
              <w:top w:val="single" w:color="auto" w:sz="4" w:space="0"/>
              <w:left w:val="single" w:color="auto" w:sz="4" w:space="0"/>
              <w:bottom w:val="single" w:color="auto" w:sz="4" w:space="0"/>
              <w:right w:val="single" w:color="auto" w:sz="4" w:space="0"/>
            </w:tcBorders>
            <w:vAlign w:val="bottom"/>
          </w:tcPr>
          <w:p w:rsidRPr="00573F84" w:rsidR="00573F84" w:rsidRDefault="00573F84" w14:paraId="59448FE9" w14:textId="77777777">
            <w:pPr>
              <w:pStyle w:val="NormalinTable"/>
              <w:rPr>
                <w:rFonts w:cstheme="minorHAnsi"/>
                <w:szCs w:val="24"/>
              </w:rPr>
            </w:pPr>
            <w:r w:rsidRPr="00573F84">
              <w:rPr>
                <w:rFonts w:cstheme="minorHAnsi"/>
                <w:szCs w:val="24"/>
              </w:rPr>
              <w:t>Date</w:t>
            </w:r>
          </w:p>
        </w:tc>
        <w:tc>
          <w:tcPr>
            <w:tcW w:w="1747" w:type="pct"/>
            <w:tcBorders>
              <w:top w:val="single" w:color="auto" w:sz="4" w:space="0"/>
              <w:left w:val="single" w:color="auto" w:sz="4" w:space="0"/>
              <w:bottom w:val="single" w:color="auto" w:sz="4" w:space="0"/>
              <w:right w:val="single" w:color="auto" w:sz="4" w:space="0"/>
            </w:tcBorders>
            <w:vAlign w:val="bottom"/>
          </w:tcPr>
          <w:p w:rsidRPr="00573F84" w:rsidR="00573F84" w:rsidRDefault="00573F84" w14:paraId="3651CECA" w14:textId="77777777">
            <w:pPr>
              <w:pStyle w:val="NormalinTable"/>
              <w:rPr>
                <w:rFonts w:cstheme="minorHAnsi"/>
                <w:szCs w:val="24"/>
              </w:rPr>
            </w:pPr>
            <w:r w:rsidRPr="00573F84">
              <w:rPr>
                <w:rFonts w:cstheme="minorHAnsi"/>
                <w:szCs w:val="24"/>
              </w:rPr>
              <w:t>Title (linked to full document)</w:t>
            </w:r>
          </w:p>
        </w:tc>
        <w:tc>
          <w:tcPr>
            <w:tcW w:w="2422" w:type="pct"/>
            <w:tcBorders>
              <w:top w:val="single" w:color="auto" w:sz="4" w:space="0"/>
              <w:left w:val="single" w:color="auto" w:sz="4" w:space="0"/>
              <w:bottom w:val="single" w:color="auto" w:sz="4" w:space="0"/>
              <w:right w:val="single" w:color="auto" w:sz="4" w:space="0"/>
            </w:tcBorders>
            <w:vAlign w:val="bottom"/>
          </w:tcPr>
          <w:p w:rsidRPr="00573F84" w:rsidR="00573F84" w:rsidRDefault="00573F84" w14:paraId="7B76D97F" w14:textId="77777777">
            <w:pPr>
              <w:pStyle w:val="NormalinTable"/>
              <w:rPr>
                <w:rFonts w:cstheme="minorHAnsi"/>
                <w:szCs w:val="24"/>
              </w:rPr>
            </w:pPr>
            <w:r w:rsidRPr="00573F84">
              <w:rPr>
                <w:rFonts w:cstheme="minorHAnsi"/>
                <w:szCs w:val="24"/>
              </w:rPr>
              <w:t>Summary</w:t>
            </w:r>
          </w:p>
        </w:tc>
      </w:tr>
      <w:tr w:rsidRPr="00573F84" w:rsidR="00844CE4" w:rsidTr="4AD93EB3" w14:paraId="7630D31E" w14:textId="77777777">
        <w:tc>
          <w:tcPr>
            <w:tcW w:w="831" w:type="pct"/>
            <w:tcBorders>
              <w:top w:val="single" w:color="auto" w:sz="4" w:space="0"/>
              <w:left w:val="single" w:color="auto" w:sz="4" w:space="0"/>
              <w:bottom w:val="single" w:color="auto" w:sz="4" w:space="0"/>
              <w:right w:val="single" w:color="auto" w:sz="4" w:space="0"/>
            </w:tcBorders>
          </w:tcPr>
          <w:p w:rsidRPr="00573F84" w:rsidR="00844CE4" w:rsidP="00CD6183" w:rsidRDefault="00844CE4" w14:paraId="22199E7F" w14:textId="5052559D">
            <w:pPr>
              <w:pStyle w:val="NormalinTable"/>
              <w:rPr>
                <w:rFonts w:cstheme="minorHAnsi"/>
                <w:szCs w:val="24"/>
              </w:rPr>
            </w:pPr>
            <w:r>
              <w:rPr>
                <w:rFonts w:cstheme="minorHAnsi"/>
                <w:szCs w:val="24"/>
              </w:rPr>
              <w:t>2024-0</w:t>
            </w:r>
            <w:r w:rsidR="00A84FB8">
              <w:rPr>
                <w:rFonts w:cstheme="minorHAnsi"/>
                <w:szCs w:val="24"/>
              </w:rPr>
              <w:t>6-28</w:t>
            </w:r>
          </w:p>
        </w:tc>
        <w:tc>
          <w:tcPr>
            <w:tcW w:w="1747" w:type="pct"/>
            <w:tcBorders>
              <w:top w:val="single" w:color="auto" w:sz="4" w:space="0"/>
              <w:left w:val="single" w:color="auto" w:sz="4" w:space="0"/>
              <w:bottom w:val="single" w:color="auto" w:sz="4" w:space="0"/>
              <w:right w:val="single" w:color="auto" w:sz="4" w:space="0"/>
            </w:tcBorders>
          </w:tcPr>
          <w:p w:rsidRPr="00573F84" w:rsidR="00844CE4" w:rsidP="00CD6183" w:rsidRDefault="002828D6" w14:paraId="4BE22EA6" w14:textId="67544B0A">
            <w:pPr>
              <w:pStyle w:val="NormalinTable"/>
              <w:rPr>
                <w:rFonts w:cstheme="minorHAnsi"/>
                <w:szCs w:val="24"/>
              </w:rPr>
            </w:pPr>
            <w:hyperlink w:history="1" r:id="rId20">
              <w:r w:rsidRPr="00F854C9">
                <w:rPr>
                  <w:rStyle w:val="Hyperlink"/>
                  <w:rFonts w:asciiTheme="minorHAnsi" w:hAnsiTheme="minorHAnsi" w:cstheme="minorHAnsi"/>
                  <w:szCs w:val="24"/>
                </w:rPr>
                <w:t>New Construction Measure Application Type Definition and Best Practices (Rev1)</w:t>
              </w:r>
            </w:hyperlink>
          </w:p>
        </w:tc>
        <w:tc>
          <w:tcPr>
            <w:tcW w:w="2422" w:type="pct"/>
            <w:tcBorders>
              <w:top w:val="single" w:color="auto" w:sz="4" w:space="0"/>
              <w:left w:val="single" w:color="auto" w:sz="4" w:space="0"/>
              <w:bottom w:val="single" w:color="auto" w:sz="4" w:space="0"/>
              <w:right w:val="single" w:color="auto" w:sz="4" w:space="0"/>
            </w:tcBorders>
          </w:tcPr>
          <w:p w:rsidRPr="00573F84" w:rsidR="00844CE4" w:rsidP="00CD6183" w:rsidRDefault="002828D6" w14:paraId="3F247F34" w14:textId="66F93B8B">
            <w:pPr>
              <w:pStyle w:val="NormalinTable"/>
              <w:rPr>
                <w:rFonts w:cstheme="minorHAnsi"/>
                <w:szCs w:val="24"/>
              </w:rPr>
            </w:pPr>
            <w:r>
              <w:rPr>
                <w:rFonts w:cstheme="minorHAnsi"/>
                <w:szCs w:val="24"/>
              </w:rPr>
              <w:t xml:space="preserve">This guidance document amendment </w:t>
            </w:r>
            <w:r w:rsidR="00414FE3">
              <w:rPr>
                <w:rFonts w:cstheme="minorHAnsi"/>
                <w:szCs w:val="24"/>
              </w:rPr>
              <w:t xml:space="preserve">provides additional clarification on nuanced applications of measure application types (MATs) across the deemed portfolio in the </w:t>
            </w:r>
            <w:proofErr w:type="spellStart"/>
            <w:r w:rsidR="00414FE3">
              <w:rPr>
                <w:rFonts w:cstheme="minorHAnsi"/>
                <w:szCs w:val="24"/>
              </w:rPr>
              <w:t>eTRM</w:t>
            </w:r>
            <w:proofErr w:type="spellEnd"/>
            <w:r w:rsidR="00414FE3">
              <w:rPr>
                <w:rFonts w:cstheme="minorHAnsi"/>
                <w:szCs w:val="24"/>
              </w:rPr>
              <w:t>.</w:t>
            </w:r>
          </w:p>
        </w:tc>
      </w:tr>
      <w:tr w:rsidRPr="00573F84" w:rsidR="003259A3" w:rsidTr="4AD93EB3" w14:paraId="68673F6E" w14:textId="77777777">
        <w:tc>
          <w:tcPr>
            <w:tcW w:w="831" w:type="pct"/>
            <w:tcBorders>
              <w:top w:val="single" w:color="auto" w:sz="4" w:space="0"/>
              <w:left w:val="single" w:color="auto" w:sz="4" w:space="0"/>
              <w:bottom w:val="single" w:color="auto" w:sz="4" w:space="0"/>
              <w:right w:val="single" w:color="auto" w:sz="4" w:space="0"/>
            </w:tcBorders>
          </w:tcPr>
          <w:p w:rsidRPr="00573F84" w:rsidR="003259A3" w:rsidP="00CD6183" w:rsidRDefault="004F33CF" w14:paraId="523ACB49" w14:textId="13822466">
            <w:pPr>
              <w:pStyle w:val="NormalinTable"/>
              <w:rPr>
                <w:rFonts w:cstheme="minorHAnsi"/>
                <w:szCs w:val="24"/>
              </w:rPr>
            </w:pPr>
            <w:r>
              <w:rPr>
                <w:rFonts w:cstheme="minorHAnsi"/>
                <w:szCs w:val="24"/>
              </w:rPr>
              <w:t>2024-</w:t>
            </w:r>
            <w:r w:rsidR="00AB04CE">
              <w:rPr>
                <w:rFonts w:cstheme="minorHAnsi"/>
                <w:szCs w:val="24"/>
              </w:rPr>
              <w:t>06-06</w:t>
            </w:r>
          </w:p>
        </w:tc>
        <w:tc>
          <w:tcPr>
            <w:tcW w:w="1747" w:type="pct"/>
            <w:tcBorders>
              <w:top w:val="single" w:color="auto" w:sz="4" w:space="0"/>
              <w:left w:val="single" w:color="auto" w:sz="4" w:space="0"/>
              <w:bottom w:val="single" w:color="auto" w:sz="4" w:space="0"/>
              <w:right w:val="single" w:color="auto" w:sz="4" w:space="0"/>
            </w:tcBorders>
          </w:tcPr>
          <w:p w:rsidRPr="00573F84" w:rsidR="003259A3" w:rsidP="00CD6183" w:rsidRDefault="00AB04CE" w14:paraId="34959BA4" w14:textId="1F1A69FD">
            <w:pPr>
              <w:pStyle w:val="NormalinTable"/>
              <w:rPr>
                <w:rFonts w:cstheme="minorHAnsi"/>
                <w:szCs w:val="24"/>
              </w:rPr>
            </w:pPr>
            <w:hyperlink w:history="1" r:id="rId21">
              <w:r w:rsidRPr="00844CE4">
                <w:rPr>
                  <w:rStyle w:val="Hyperlink"/>
                  <w:rFonts w:asciiTheme="minorHAnsi" w:hAnsiTheme="minorHAnsi" w:cstheme="minorHAnsi"/>
                  <w:szCs w:val="24"/>
                </w:rPr>
                <w:t>Direct Install Delivery Type Description</w:t>
              </w:r>
            </w:hyperlink>
          </w:p>
        </w:tc>
        <w:tc>
          <w:tcPr>
            <w:tcW w:w="2422" w:type="pct"/>
            <w:tcBorders>
              <w:top w:val="single" w:color="auto" w:sz="4" w:space="0"/>
              <w:left w:val="single" w:color="auto" w:sz="4" w:space="0"/>
              <w:bottom w:val="single" w:color="auto" w:sz="4" w:space="0"/>
              <w:right w:val="single" w:color="auto" w:sz="4" w:space="0"/>
            </w:tcBorders>
          </w:tcPr>
          <w:p w:rsidRPr="00573F84" w:rsidR="003259A3" w:rsidP="00CD6183" w:rsidRDefault="004C3199" w14:paraId="6A80C089" w14:textId="42289580">
            <w:pPr>
              <w:pStyle w:val="NormalinTable"/>
              <w:rPr>
                <w:rFonts w:cstheme="minorHAnsi"/>
                <w:szCs w:val="24"/>
              </w:rPr>
            </w:pPr>
            <w:r>
              <w:rPr>
                <w:rFonts w:cstheme="minorHAnsi"/>
                <w:szCs w:val="24"/>
              </w:rPr>
              <w:t xml:space="preserve">This guidance document clarifies the definition of the direct install (DI) delivery type. The definition has implications </w:t>
            </w:r>
            <w:r w:rsidR="00E320DD">
              <w:rPr>
                <w:rFonts w:cstheme="minorHAnsi"/>
                <w:szCs w:val="24"/>
              </w:rPr>
              <w:t xml:space="preserve">on how incentive costs are reported </w:t>
            </w:r>
            <w:r w:rsidR="00844CE4">
              <w:rPr>
                <w:rFonts w:cstheme="minorHAnsi"/>
                <w:szCs w:val="24"/>
              </w:rPr>
              <w:t>for making energy savings claims, which can also impact the Total Resource Cost (TRC).</w:t>
            </w:r>
          </w:p>
        </w:tc>
      </w:tr>
      <w:tr w:rsidRPr="00573F84" w:rsidR="00274787" w:rsidTr="4AD93EB3" w14:paraId="08767E76" w14:textId="77777777">
        <w:tc>
          <w:tcPr>
            <w:tcW w:w="831" w:type="pct"/>
            <w:tcBorders>
              <w:top w:val="single" w:color="auto" w:sz="4" w:space="0"/>
              <w:left w:val="single" w:color="auto" w:sz="4" w:space="0"/>
              <w:bottom w:val="single" w:color="auto" w:sz="4" w:space="0"/>
              <w:right w:val="single" w:color="auto" w:sz="4" w:space="0"/>
            </w:tcBorders>
          </w:tcPr>
          <w:p w:rsidR="00274787" w:rsidP="00844CE4" w:rsidRDefault="005C51A9" w14:paraId="3E9DCC0A" w14:textId="50E0A202">
            <w:pPr>
              <w:pStyle w:val="NormalinTable"/>
              <w:rPr>
                <w:rFonts w:cstheme="minorHAnsi"/>
                <w:szCs w:val="24"/>
              </w:rPr>
            </w:pPr>
            <w:r>
              <w:rPr>
                <w:rFonts w:cstheme="minorHAnsi"/>
                <w:szCs w:val="24"/>
              </w:rPr>
              <w:t>2024-05-16</w:t>
            </w:r>
          </w:p>
        </w:tc>
        <w:tc>
          <w:tcPr>
            <w:tcW w:w="1747" w:type="pct"/>
            <w:tcBorders>
              <w:top w:val="single" w:color="auto" w:sz="4" w:space="0"/>
              <w:left w:val="single" w:color="auto" w:sz="4" w:space="0"/>
              <w:bottom w:val="single" w:color="auto" w:sz="4" w:space="0"/>
              <w:right w:val="single" w:color="auto" w:sz="4" w:space="0"/>
            </w:tcBorders>
          </w:tcPr>
          <w:p w:rsidR="00274787" w:rsidP="00844CE4" w:rsidRDefault="005C51A9" w14:paraId="46A97672" w14:textId="46AB1459">
            <w:pPr>
              <w:pStyle w:val="NormalinTable"/>
              <w:rPr>
                <w:rFonts w:cstheme="minorHAnsi"/>
                <w:szCs w:val="24"/>
              </w:rPr>
            </w:pPr>
            <w:hyperlink w:history="1" r:id="rId22">
              <w:r w:rsidRPr="001D4630">
                <w:rPr>
                  <w:rStyle w:val="Hyperlink"/>
                  <w:rFonts w:asciiTheme="minorHAnsi" w:hAnsiTheme="minorHAnsi" w:cstheme="minorHAnsi"/>
                  <w:szCs w:val="24"/>
                </w:rPr>
                <w:t>Rebate Greater than IMC – Revised CPUC Guidance</w:t>
              </w:r>
            </w:hyperlink>
          </w:p>
        </w:tc>
        <w:tc>
          <w:tcPr>
            <w:tcW w:w="2422" w:type="pct"/>
            <w:tcBorders>
              <w:top w:val="single" w:color="auto" w:sz="4" w:space="0"/>
              <w:left w:val="single" w:color="auto" w:sz="4" w:space="0"/>
              <w:bottom w:val="single" w:color="auto" w:sz="4" w:space="0"/>
              <w:right w:val="single" w:color="auto" w:sz="4" w:space="0"/>
            </w:tcBorders>
          </w:tcPr>
          <w:p w:rsidR="00274787" w:rsidP="00844CE4" w:rsidRDefault="005C51A9" w14:paraId="6E31D2F2" w14:textId="23D23BAF">
            <w:pPr>
              <w:pStyle w:val="NormalinTable"/>
              <w:rPr>
                <w:rFonts w:cstheme="minorHAnsi"/>
                <w:szCs w:val="24"/>
              </w:rPr>
            </w:pPr>
            <w:r>
              <w:rPr>
                <w:rFonts w:cstheme="minorHAnsi"/>
                <w:szCs w:val="24"/>
              </w:rPr>
              <w:t>This guidance document clarifies the instances, reasons, and documentation required when the rebate to the customer exceeds the Incremental Measure Cost (IMC).</w:t>
            </w:r>
          </w:p>
        </w:tc>
      </w:tr>
      <w:tr w:rsidRPr="00573F84" w:rsidR="00573F84" w:rsidTr="4AD93EB3" w14:paraId="08842365" w14:textId="77777777">
        <w:trPr>
          <w:cantSplit/>
          <w:trHeight w:val="426"/>
        </w:trPr>
        <w:tc>
          <w:tcPr>
            <w:tcW w:w="831" w:type="pct"/>
            <w:tcBorders>
              <w:top w:val="single" w:color="auto" w:sz="4" w:space="0"/>
              <w:left w:val="single" w:color="auto" w:sz="4" w:space="0"/>
              <w:bottom w:val="single" w:color="auto" w:sz="4" w:space="0"/>
              <w:right w:val="single" w:color="auto" w:sz="4" w:space="0"/>
            </w:tcBorders>
          </w:tcPr>
          <w:p w:rsidRPr="00573F84" w:rsidR="00573F84" w:rsidRDefault="00573F84" w14:paraId="4A082015" w14:textId="77777777">
            <w:pPr>
              <w:pStyle w:val="NormalinTable"/>
              <w:rPr>
                <w:rFonts w:eastAsia="Calibri" w:cstheme="minorHAnsi"/>
                <w:color w:val="000000" w:themeColor="text1"/>
                <w:szCs w:val="24"/>
              </w:rPr>
            </w:pPr>
            <w:r w:rsidRPr="00573F84">
              <w:rPr>
                <w:rFonts w:eastAsia="Calibri" w:cstheme="minorHAnsi"/>
                <w:color w:val="000000" w:themeColor="text1"/>
                <w:szCs w:val="24"/>
              </w:rPr>
              <w:t>2024-05-15</w:t>
            </w:r>
          </w:p>
        </w:tc>
        <w:tc>
          <w:tcPr>
            <w:tcW w:w="1747" w:type="pct"/>
            <w:tcBorders>
              <w:top w:val="single" w:color="auto" w:sz="4" w:space="0"/>
              <w:left w:val="single" w:color="auto" w:sz="4" w:space="0"/>
              <w:bottom w:val="single" w:color="auto" w:sz="4" w:space="0"/>
              <w:right w:val="single" w:color="auto" w:sz="4" w:space="0"/>
            </w:tcBorders>
          </w:tcPr>
          <w:p w:rsidRPr="00573F84" w:rsidR="00573F84" w:rsidRDefault="00573F84" w14:paraId="34C3A2B1" w14:textId="098EF01F">
            <w:pPr>
              <w:pStyle w:val="NormalinTable"/>
              <w:rPr>
                <w:rFonts w:eastAsia="Calibri" w:cstheme="minorHAnsi"/>
                <w:szCs w:val="24"/>
              </w:rPr>
            </w:pPr>
            <w:hyperlink w:history="1" r:id="rId23">
              <w:r w:rsidRPr="00573F84">
                <w:rPr>
                  <w:rStyle w:val="Hyperlink"/>
                  <w:rFonts w:eastAsia="Calibri" w:asciiTheme="minorHAnsi" w:hAnsiTheme="minorHAnsi" w:cstheme="minorHAnsi"/>
                  <w:szCs w:val="24"/>
                </w:rPr>
                <w:t>Documentation Requirements for SB1414, Title 24 and Permitting Compliance</w:t>
              </w:r>
            </w:hyperlink>
          </w:p>
        </w:tc>
        <w:tc>
          <w:tcPr>
            <w:tcW w:w="2422" w:type="pct"/>
            <w:tcBorders>
              <w:top w:val="single" w:color="auto" w:sz="4" w:space="0"/>
              <w:left w:val="single" w:color="auto" w:sz="4" w:space="0"/>
              <w:bottom w:val="single" w:color="auto" w:sz="4" w:space="0"/>
              <w:right w:val="single" w:color="auto" w:sz="4" w:space="0"/>
            </w:tcBorders>
          </w:tcPr>
          <w:p w:rsidRPr="00573F84" w:rsidR="00573F84" w:rsidRDefault="00573F84" w14:paraId="50452AB4" w14:textId="77777777">
            <w:pPr>
              <w:pStyle w:val="NormalinTable"/>
              <w:rPr>
                <w:rFonts w:eastAsia="Calibri" w:cstheme="minorHAnsi"/>
                <w:color w:val="000000" w:themeColor="text1"/>
                <w:szCs w:val="24"/>
              </w:rPr>
            </w:pPr>
            <w:r w:rsidRPr="00573F84">
              <w:rPr>
                <w:rFonts w:eastAsia="Calibri" w:cstheme="minorHAnsi"/>
                <w:color w:val="000000" w:themeColor="text1"/>
                <w:szCs w:val="24"/>
              </w:rPr>
              <w:t>This guidance clarifies the intent of measure package language that specifies the following of local and state laws. In addition, the guidance document lays out how reporting should differ depending on program delivery type.</w:t>
            </w:r>
          </w:p>
        </w:tc>
      </w:tr>
      <w:tr w:rsidRPr="00573F84" w:rsidR="00573F84" w:rsidTr="4AD93EB3" w14:paraId="6A5361AE" w14:textId="77777777">
        <w:tc>
          <w:tcPr>
            <w:tcW w:w="831" w:type="pct"/>
            <w:tcBorders>
              <w:top w:val="single" w:color="auto" w:sz="4" w:space="0"/>
              <w:left w:val="single" w:color="auto" w:sz="4" w:space="0"/>
              <w:bottom w:val="single" w:color="auto" w:sz="4" w:space="0"/>
              <w:right w:val="single" w:color="auto" w:sz="4" w:space="0"/>
            </w:tcBorders>
          </w:tcPr>
          <w:p w:rsidRPr="00573F84" w:rsidR="00573F84" w:rsidRDefault="00573F84" w14:paraId="504E91AA" w14:textId="77777777">
            <w:pPr>
              <w:pStyle w:val="NormalinTable"/>
              <w:rPr>
                <w:rFonts w:cstheme="minorHAnsi"/>
                <w:szCs w:val="24"/>
              </w:rPr>
            </w:pPr>
            <w:r w:rsidRPr="00573F84">
              <w:rPr>
                <w:rFonts w:eastAsia="Calibri" w:cstheme="minorHAnsi"/>
                <w:color w:val="000000" w:themeColor="text1"/>
                <w:szCs w:val="24"/>
              </w:rPr>
              <w:t>2024-04-19</w:t>
            </w:r>
          </w:p>
        </w:tc>
        <w:tc>
          <w:tcPr>
            <w:tcW w:w="1747" w:type="pct"/>
            <w:tcBorders>
              <w:top w:val="single" w:color="auto" w:sz="4" w:space="0"/>
              <w:left w:val="single" w:color="auto" w:sz="4" w:space="0"/>
              <w:bottom w:val="single" w:color="auto" w:sz="4" w:space="0"/>
              <w:right w:val="single" w:color="auto" w:sz="4" w:space="0"/>
            </w:tcBorders>
          </w:tcPr>
          <w:p w:rsidRPr="00573F84" w:rsidR="00573F84" w:rsidRDefault="00573F84" w14:paraId="7136F488" w14:textId="503BFC18">
            <w:pPr>
              <w:pStyle w:val="NormalinTable"/>
              <w:rPr>
                <w:rFonts w:cstheme="minorHAnsi"/>
                <w:szCs w:val="24"/>
              </w:rPr>
            </w:pPr>
            <w:hyperlink w:history="1" r:id="rId24">
              <w:r w:rsidRPr="00573F84">
                <w:rPr>
                  <w:rStyle w:val="Hyperlink"/>
                  <w:rFonts w:eastAsia="Calibri" w:asciiTheme="minorHAnsi" w:hAnsiTheme="minorHAnsi" w:cstheme="minorHAnsi"/>
                  <w:szCs w:val="24"/>
                </w:rPr>
                <w:t>New Construction Measure Application Type Definition and Best Practices</w:t>
              </w:r>
            </w:hyperlink>
          </w:p>
        </w:tc>
        <w:tc>
          <w:tcPr>
            <w:tcW w:w="2422" w:type="pct"/>
            <w:tcBorders>
              <w:top w:val="single" w:color="auto" w:sz="4" w:space="0"/>
              <w:left w:val="single" w:color="auto" w:sz="4" w:space="0"/>
              <w:bottom w:val="single" w:color="auto" w:sz="4" w:space="0"/>
              <w:right w:val="single" w:color="auto" w:sz="4" w:space="0"/>
            </w:tcBorders>
          </w:tcPr>
          <w:p w:rsidRPr="00573F84" w:rsidR="00573F84" w:rsidRDefault="00573F84" w14:paraId="644FF413" w14:textId="77777777">
            <w:pPr>
              <w:pStyle w:val="NormalinTable"/>
              <w:rPr>
                <w:rFonts w:cstheme="minorHAnsi"/>
                <w:szCs w:val="24"/>
              </w:rPr>
            </w:pPr>
            <w:r w:rsidRPr="00573F84">
              <w:rPr>
                <w:rFonts w:eastAsia="Calibri" w:cstheme="minorHAnsi"/>
                <w:color w:val="000000" w:themeColor="text1"/>
                <w:szCs w:val="24"/>
              </w:rPr>
              <w:t>This guidance clarifies the definition of the new construction measure application type and avoid ambiguity with the normal replacement measure application type.</w:t>
            </w:r>
          </w:p>
        </w:tc>
      </w:tr>
      <w:tr w:rsidRPr="00573F84" w:rsidR="00573F84" w:rsidTr="4AD93EB3" w14:paraId="44BF65B0" w14:textId="77777777">
        <w:tc>
          <w:tcPr>
            <w:tcW w:w="831" w:type="pct"/>
            <w:tcBorders>
              <w:top w:val="single" w:color="auto" w:sz="4" w:space="0"/>
              <w:left w:val="single" w:color="auto" w:sz="4" w:space="0"/>
              <w:bottom w:val="single" w:color="auto" w:sz="4" w:space="0"/>
              <w:right w:val="single" w:color="auto" w:sz="4" w:space="0"/>
            </w:tcBorders>
          </w:tcPr>
          <w:p w:rsidRPr="00573F84" w:rsidR="00573F84" w:rsidRDefault="00573F84" w14:paraId="1BD735D1" w14:textId="77777777">
            <w:pPr>
              <w:pStyle w:val="NormalinTable"/>
              <w:rPr>
                <w:rFonts w:cstheme="minorHAnsi"/>
                <w:szCs w:val="24"/>
              </w:rPr>
            </w:pPr>
            <w:r w:rsidRPr="00573F84">
              <w:rPr>
                <w:rFonts w:cstheme="minorHAnsi"/>
                <w:szCs w:val="24"/>
              </w:rPr>
              <w:t>2023-12-14</w:t>
            </w:r>
          </w:p>
        </w:tc>
        <w:tc>
          <w:tcPr>
            <w:tcW w:w="1747" w:type="pct"/>
            <w:tcBorders>
              <w:top w:val="single" w:color="auto" w:sz="4" w:space="0"/>
              <w:left w:val="single" w:color="auto" w:sz="4" w:space="0"/>
              <w:bottom w:val="single" w:color="auto" w:sz="4" w:space="0"/>
              <w:right w:val="single" w:color="auto" w:sz="4" w:space="0"/>
            </w:tcBorders>
          </w:tcPr>
          <w:p w:rsidRPr="00573F84" w:rsidR="00573F84" w:rsidRDefault="00573F84" w14:paraId="2A385218" w14:textId="68D96989">
            <w:pPr>
              <w:pStyle w:val="NormalinTable"/>
              <w:rPr>
                <w:rFonts w:cstheme="minorHAnsi"/>
                <w:szCs w:val="24"/>
              </w:rPr>
            </w:pPr>
            <w:hyperlink w:history="1" r:id="rId25">
              <w:r w:rsidRPr="00573F84">
                <w:rPr>
                  <w:rStyle w:val="Hyperlink"/>
                  <w:rFonts w:asciiTheme="minorHAnsi" w:hAnsiTheme="minorHAnsi" w:cstheme="minorHAnsi"/>
                  <w:szCs w:val="24"/>
                </w:rPr>
                <w:t>Documentation Requirements for Existing Conditions</w:t>
              </w:r>
            </w:hyperlink>
          </w:p>
        </w:tc>
        <w:tc>
          <w:tcPr>
            <w:tcW w:w="2422" w:type="pct"/>
            <w:tcBorders>
              <w:top w:val="single" w:color="auto" w:sz="4" w:space="0"/>
              <w:left w:val="single" w:color="auto" w:sz="4" w:space="0"/>
              <w:bottom w:val="single" w:color="auto" w:sz="4" w:space="0"/>
              <w:right w:val="single" w:color="auto" w:sz="4" w:space="0"/>
            </w:tcBorders>
          </w:tcPr>
          <w:p w:rsidRPr="00573F84" w:rsidR="00573F84" w:rsidRDefault="00573F84" w14:paraId="4DB21AEA" w14:textId="77777777">
            <w:pPr>
              <w:pStyle w:val="NormalinTable"/>
              <w:rPr>
                <w:rFonts w:cstheme="minorHAnsi"/>
                <w:szCs w:val="24"/>
              </w:rPr>
            </w:pPr>
            <w:r w:rsidRPr="00573F84">
              <w:rPr>
                <w:rFonts w:cstheme="minorHAnsi"/>
                <w:szCs w:val="24"/>
              </w:rPr>
              <w:t>This guidance document summarizes specific measure package guidance when existing conditions are required to be known to select a measure package offering. In some midstream or upstream scenarios this information cannot be collected, so the guidance provides assumptions to follow.</w:t>
            </w:r>
          </w:p>
        </w:tc>
      </w:tr>
      <w:tr w:rsidRPr="00573F84" w:rsidR="00573F84" w:rsidTr="4AD93EB3" w14:paraId="2CB09059" w14:textId="77777777">
        <w:tc>
          <w:tcPr>
            <w:tcW w:w="831" w:type="pct"/>
            <w:tcBorders>
              <w:top w:val="single" w:color="auto" w:sz="4" w:space="0"/>
              <w:left w:val="single" w:color="auto" w:sz="4" w:space="0"/>
              <w:bottom w:val="single" w:color="auto" w:sz="4" w:space="0"/>
              <w:right w:val="single" w:color="auto" w:sz="4" w:space="0"/>
            </w:tcBorders>
          </w:tcPr>
          <w:p w:rsidRPr="00573F84" w:rsidR="00573F84" w:rsidRDefault="00573F84" w14:paraId="7DACF33D" w14:textId="77777777">
            <w:pPr>
              <w:pStyle w:val="NormalinTable"/>
              <w:rPr>
                <w:rFonts w:cstheme="minorHAnsi"/>
                <w:szCs w:val="24"/>
              </w:rPr>
            </w:pPr>
            <w:r w:rsidRPr="00573F84">
              <w:rPr>
                <w:rFonts w:cstheme="minorHAnsi"/>
                <w:szCs w:val="24"/>
              </w:rPr>
              <w:t>2023-10-26</w:t>
            </w:r>
          </w:p>
        </w:tc>
        <w:tc>
          <w:tcPr>
            <w:tcW w:w="1747" w:type="pct"/>
            <w:tcBorders>
              <w:top w:val="single" w:color="auto" w:sz="4" w:space="0"/>
              <w:left w:val="single" w:color="auto" w:sz="4" w:space="0"/>
              <w:bottom w:val="single" w:color="auto" w:sz="4" w:space="0"/>
              <w:right w:val="single" w:color="auto" w:sz="4" w:space="0"/>
            </w:tcBorders>
          </w:tcPr>
          <w:p w:rsidRPr="00573F84" w:rsidR="00573F84" w:rsidRDefault="00573F84" w14:paraId="6EFC7759" w14:textId="1CB47E29">
            <w:pPr>
              <w:pStyle w:val="NormalinTable"/>
              <w:rPr>
                <w:rFonts w:cstheme="minorHAnsi"/>
                <w:szCs w:val="24"/>
              </w:rPr>
            </w:pPr>
            <w:hyperlink w:history="1" r:id="rId26">
              <w:r w:rsidRPr="00573F84">
                <w:rPr>
                  <w:rStyle w:val="Hyperlink"/>
                  <w:rFonts w:asciiTheme="minorHAnsi" w:hAnsiTheme="minorHAnsi" w:cstheme="minorHAnsi"/>
                  <w:szCs w:val="24"/>
                </w:rPr>
                <w:t>Preponderance of Evidence Requirements for Accelerated Replacement of Deemed Measures</w:t>
              </w:r>
            </w:hyperlink>
          </w:p>
        </w:tc>
        <w:tc>
          <w:tcPr>
            <w:tcW w:w="2422" w:type="pct"/>
            <w:tcBorders>
              <w:top w:val="single" w:color="auto" w:sz="4" w:space="0"/>
              <w:left w:val="single" w:color="auto" w:sz="4" w:space="0"/>
              <w:bottom w:val="single" w:color="auto" w:sz="4" w:space="0"/>
              <w:right w:val="single" w:color="auto" w:sz="4" w:space="0"/>
            </w:tcBorders>
          </w:tcPr>
          <w:p w:rsidRPr="00573F84" w:rsidR="00573F84" w:rsidRDefault="00573F84" w14:paraId="667B8BD6" w14:textId="77777777">
            <w:pPr>
              <w:pStyle w:val="NormalinTable"/>
              <w:rPr>
                <w:rFonts w:cstheme="minorHAnsi"/>
                <w:szCs w:val="24"/>
              </w:rPr>
            </w:pPr>
            <w:r w:rsidRPr="00573F84">
              <w:rPr>
                <w:rFonts w:cstheme="minorHAnsi"/>
                <w:szCs w:val="24"/>
              </w:rPr>
              <w:t xml:space="preserve">This guidance document summarizes the deemed measure package preponderance of evidence (POE) data collection requirements and is effective on January 1, 2024. </w:t>
            </w:r>
          </w:p>
        </w:tc>
      </w:tr>
      <w:tr w:rsidRPr="00573F84" w:rsidR="00573F84" w:rsidTr="4AD93EB3" w14:paraId="39054751" w14:textId="77777777">
        <w:trPr>
          <w:trHeight w:val="300"/>
        </w:trPr>
        <w:tc>
          <w:tcPr>
            <w:tcW w:w="831" w:type="pct"/>
            <w:tcBorders>
              <w:top w:val="single" w:color="auto" w:sz="4" w:space="0"/>
              <w:left w:val="single" w:color="auto" w:sz="4" w:space="0"/>
              <w:bottom w:val="single" w:color="auto" w:sz="4" w:space="0"/>
              <w:right w:val="single" w:color="auto" w:sz="4" w:space="0"/>
            </w:tcBorders>
          </w:tcPr>
          <w:p w:rsidRPr="00573F84" w:rsidR="00573F84" w:rsidRDefault="00573F84" w14:paraId="0C9E66A0" w14:textId="77777777">
            <w:pPr>
              <w:pStyle w:val="NormalinTable"/>
              <w:rPr>
                <w:rFonts w:cstheme="minorHAnsi"/>
                <w:szCs w:val="24"/>
              </w:rPr>
            </w:pPr>
            <w:r w:rsidRPr="00573F84">
              <w:rPr>
                <w:rFonts w:cstheme="minorHAnsi"/>
                <w:szCs w:val="24"/>
              </w:rPr>
              <w:lastRenderedPageBreak/>
              <w:t>2023-10-20</w:t>
            </w:r>
          </w:p>
        </w:tc>
        <w:tc>
          <w:tcPr>
            <w:tcW w:w="1747" w:type="pct"/>
            <w:tcBorders>
              <w:top w:val="single" w:color="auto" w:sz="4" w:space="0"/>
              <w:left w:val="single" w:color="auto" w:sz="4" w:space="0"/>
              <w:bottom w:val="single" w:color="auto" w:sz="4" w:space="0"/>
              <w:right w:val="single" w:color="auto" w:sz="4" w:space="0"/>
            </w:tcBorders>
          </w:tcPr>
          <w:p w:rsidRPr="00573F84" w:rsidR="00573F84" w:rsidRDefault="00573F84" w14:paraId="33D3B5C2" w14:textId="4348EC12">
            <w:pPr>
              <w:pStyle w:val="NormalinTable"/>
              <w:rPr>
                <w:rFonts w:cstheme="minorHAnsi"/>
                <w:szCs w:val="24"/>
              </w:rPr>
            </w:pPr>
            <w:hyperlink w:history="1" r:id="rId27">
              <w:r w:rsidRPr="00573F84">
                <w:rPr>
                  <w:rStyle w:val="Hyperlink"/>
                  <w:rFonts w:asciiTheme="minorHAnsi" w:hAnsiTheme="minorHAnsi" w:cstheme="minorHAnsi"/>
                  <w:szCs w:val="24"/>
                </w:rPr>
                <w:t>Ex/Any Building Vintage Update Requirements for DEER2024</w:t>
              </w:r>
            </w:hyperlink>
          </w:p>
        </w:tc>
        <w:tc>
          <w:tcPr>
            <w:tcW w:w="2422" w:type="pct"/>
            <w:tcBorders>
              <w:top w:val="single" w:color="auto" w:sz="4" w:space="0"/>
              <w:left w:val="single" w:color="auto" w:sz="4" w:space="0"/>
              <w:bottom w:val="single" w:color="auto" w:sz="4" w:space="0"/>
              <w:right w:val="single" w:color="auto" w:sz="4" w:space="0"/>
            </w:tcBorders>
          </w:tcPr>
          <w:p w:rsidRPr="00573F84" w:rsidR="00573F84" w:rsidRDefault="00573F84" w14:paraId="5BF09EB4" w14:textId="77777777">
            <w:pPr>
              <w:pStyle w:val="NormalinTable"/>
              <w:rPr>
                <w:rFonts w:cstheme="minorHAnsi"/>
                <w:szCs w:val="24"/>
              </w:rPr>
            </w:pPr>
            <w:r w:rsidRPr="00573F84">
              <w:rPr>
                <w:rFonts w:cstheme="minorHAnsi"/>
                <w:szCs w:val="24"/>
              </w:rPr>
              <w:t>This guidance document is to follow up on prior direction confirming the use of ‘Any’ building vintage is not applicable. The guidance document also confirms how this impacts the permutations and claims.</w:t>
            </w:r>
          </w:p>
        </w:tc>
      </w:tr>
      <w:tr w:rsidRPr="00573F84" w:rsidR="00573F84" w:rsidTr="4AD93EB3" w14:paraId="729CEE3C" w14:textId="77777777">
        <w:trPr>
          <w:trHeight w:val="300"/>
        </w:trPr>
        <w:tc>
          <w:tcPr>
            <w:tcW w:w="831" w:type="pct"/>
            <w:tcBorders>
              <w:top w:val="single" w:color="auto" w:sz="4" w:space="0"/>
              <w:left w:val="single" w:color="auto" w:sz="4" w:space="0"/>
              <w:bottom w:val="single" w:color="auto" w:sz="4" w:space="0"/>
              <w:right w:val="single" w:color="auto" w:sz="4" w:space="0"/>
            </w:tcBorders>
          </w:tcPr>
          <w:p w:rsidRPr="00573F84" w:rsidR="00573F84" w:rsidRDefault="00573F84" w14:paraId="1A8DC5CB" w14:textId="77777777">
            <w:pPr>
              <w:pStyle w:val="NormalinTable"/>
              <w:rPr>
                <w:rFonts w:cstheme="minorHAnsi"/>
                <w:szCs w:val="24"/>
              </w:rPr>
            </w:pPr>
            <w:r w:rsidRPr="00573F84">
              <w:rPr>
                <w:rFonts w:cstheme="minorHAnsi"/>
                <w:szCs w:val="24"/>
              </w:rPr>
              <w:t>2023-08-21</w:t>
            </w:r>
          </w:p>
        </w:tc>
        <w:tc>
          <w:tcPr>
            <w:tcW w:w="1747" w:type="pct"/>
            <w:tcBorders>
              <w:top w:val="single" w:color="auto" w:sz="4" w:space="0"/>
              <w:left w:val="single" w:color="auto" w:sz="4" w:space="0"/>
              <w:bottom w:val="single" w:color="auto" w:sz="4" w:space="0"/>
              <w:right w:val="single" w:color="auto" w:sz="4" w:space="0"/>
            </w:tcBorders>
          </w:tcPr>
          <w:p w:rsidRPr="00573F84" w:rsidR="00573F84" w:rsidRDefault="00573F84" w14:paraId="4BE9CEA4" w14:textId="197301C3">
            <w:pPr>
              <w:pStyle w:val="NormalinTable"/>
              <w:rPr>
                <w:rFonts w:cstheme="minorHAnsi"/>
                <w:szCs w:val="24"/>
              </w:rPr>
            </w:pPr>
            <w:hyperlink w:history="1" r:id="rId28">
              <w:r w:rsidRPr="00573F84">
                <w:rPr>
                  <w:rStyle w:val="Hyperlink"/>
                  <w:rFonts w:asciiTheme="minorHAnsi" w:hAnsiTheme="minorHAnsi" w:cstheme="minorHAnsi"/>
                  <w:szCs w:val="24"/>
                </w:rPr>
                <w:t>Acceptance of Deviation from Resolution E-5152, Section C.11</w:t>
              </w:r>
            </w:hyperlink>
          </w:p>
        </w:tc>
        <w:tc>
          <w:tcPr>
            <w:tcW w:w="2422" w:type="pct"/>
            <w:tcBorders>
              <w:top w:val="single" w:color="auto" w:sz="4" w:space="0"/>
              <w:left w:val="single" w:color="auto" w:sz="4" w:space="0"/>
              <w:bottom w:val="single" w:color="auto" w:sz="4" w:space="0"/>
              <w:right w:val="single" w:color="auto" w:sz="4" w:space="0"/>
            </w:tcBorders>
          </w:tcPr>
          <w:p w:rsidRPr="00573F84" w:rsidR="00573F84" w:rsidRDefault="00573F84" w14:paraId="63A957DF" w14:textId="77777777">
            <w:pPr>
              <w:pStyle w:val="NormalinTable"/>
              <w:rPr>
                <w:rFonts w:cstheme="minorHAnsi"/>
                <w:szCs w:val="24"/>
              </w:rPr>
            </w:pPr>
            <w:r w:rsidRPr="00573F84">
              <w:rPr>
                <w:rFonts w:cstheme="minorHAnsi"/>
                <w:szCs w:val="24"/>
              </w:rPr>
              <w:t xml:space="preserve">This guidance document addresses the addition of two new fields in the </w:t>
            </w:r>
            <w:proofErr w:type="spellStart"/>
            <w:r w:rsidRPr="00573F84">
              <w:rPr>
                <w:rFonts w:cstheme="minorHAnsi"/>
                <w:szCs w:val="24"/>
              </w:rPr>
              <w:t>eTRM</w:t>
            </w:r>
            <w:proofErr w:type="spellEnd"/>
            <w:r w:rsidRPr="00573F84">
              <w:rPr>
                <w:rFonts w:cstheme="minorHAnsi"/>
                <w:szCs w:val="24"/>
              </w:rPr>
              <w:t xml:space="preserve"> permutations and CEDARS to provide first and second baseline definitions to avoid errors in the claim data when savings are populated into the incorrect base case column.</w:t>
            </w:r>
          </w:p>
        </w:tc>
      </w:tr>
      <w:tr w:rsidRPr="00573F84" w:rsidR="00573F84" w:rsidTr="4AD93EB3" w14:paraId="7DE6204D" w14:textId="77777777">
        <w:trPr>
          <w:trHeight w:val="300"/>
        </w:trPr>
        <w:tc>
          <w:tcPr>
            <w:tcW w:w="831" w:type="pct"/>
            <w:tcBorders>
              <w:top w:val="single" w:color="auto" w:sz="4" w:space="0"/>
              <w:left w:val="single" w:color="auto" w:sz="4" w:space="0"/>
              <w:bottom w:val="single" w:color="auto" w:sz="4" w:space="0"/>
              <w:right w:val="single" w:color="auto" w:sz="4" w:space="0"/>
            </w:tcBorders>
          </w:tcPr>
          <w:p w:rsidRPr="00573F84" w:rsidR="00573F84" w:rsidRDefault="00573F84" w14:paraId="096C670A" w14:textId="77777777">
            <w:pPr>
              <w:pStyle w:val="NormalinTable"/>
              <w:rPr>
                <w:rFonts w:cstheme="minorHAnsi"/>
                <w:szCs w:val="24"/>
              </w:rPr>
            </w:pPr>
            <w:r w:rsidRPr="00573F84">
              <w:rPr>
                <w:rFonts w:cstheme="minorHAnsi"/>
                <w:szCs w:val="24"/>
              </w:rPr>
              <w:t>2023-06-14</w:t>
            </w:r>
          </w:p>
        </w:tc>
        <w:tc>
          <w:tcPr>
            <w:tcW w:w="1747" w:type="pct"/>
            <w:tcBorders>
              <w:top w:val="single" w:color="auto" w:sz="4" w:space="0"/>
              <w:left w:val="single" w:color="auto" w:sz="4" w:space="0"/>
              <w:bottom w:val="single" w:color="auto" w:sz="4" w:space="0"/>
              <w:right w:val="single" w:color="auto" w:sz="4" w:space="0"/>
            </w:tcBorders>
          </w:tcPr>
          <w:p w:rsidRPr="00573F84" w:rsidR="00573F84" w:rsidRDefault="00573F84" w14:paraId="1EB9AC33" w14:textId="7CF04779">
            <w:pPr>
              <w:pStyle w:val="NormalinTable"/>
              <w:rPr>
                <w:rFonts w:cstheme="minorHAnsi"/>
                <w:szCs w:val="24"/>
              </w:rPr>
            </w:pPr>
            <w:hyperlink w:history="1" r:id="rId29">
              <w:r w:rsidRPr="00573F84">
                <w:rPr>
                  <w:rStyle w:val="Hyperlink"/>
                  <w:rFonts w:asciiTheme="minorHAnsi" w:hAnsiTheme="minorHAnsi" w:cstheme="minorHAnsi"/>
                  <w:szCs w:val="24"/>
                </w:rPr>
                <w:t>CPUC Guidance on Definition of "Gas Measure" in Decision D.23-04-035</w:t>
              </w:r>
            </w:hyperlink>
          </w:p>
        </w:tc>
        <w:tc>
          <w:tcPr>
            <w:tcW w:w="2422" w:type="pct"/>
            <w:tcBorders>
              <w:top w:val="single" w:color="auto" w:sz="4" w:space="0"/>
              <w:left w:val="single" w:color="auto" w:sz="4" w:space="0"/>
              <w:bottom w:val="single" w:color="auto" w:sz="4" w:space="0"/>
              <w:right w:val="single" w:color="auto" w:sz="4" w:space="0"/>
            </w:tcBorders>
          </w:tcPr>
          <w:p w:rsidRPr="00573F84" w:rsidR="00573F84" w:rsidRDefault="00573F84" w14:paraId="540FD188" w14:textId="77777777">
            <w:pPr>
              <w:pStyle w:val="NormalinTable"/>
              <w:rPr>
                <w:rFonts w:cstheme="minorHAnsi"/>
                <w:szCs w:val="24"/>
              </w:rPr>
            </w:pPr>
            <w:r w:rsidRPr="00573F84">
              <w:rPr>
                <w:rFonts w:cstheme="minorHAnsi"/>
                <w:szCs w:val="24"/>
              </w:rPr>
              <w:t>This guidance document clarifies the definition of a gas measure for the purposes of compliance with Ordering Paragraph 3 in Decision D.23-04-035.</w:t>
            </w:r>
          </w:p>
        </w:tc>
      </w:tr>
      <w:tr w:rsidRPr="00573F84" w:rsidR="00573F84" w:rsidTr="4AD93EB3" w14:paraId="54336185" w14:textId="77777777">
        <w:trPr>
          <w:trHeight w:val="300"/>
        </w:trPr>
        <w:tc>
          <w:tcPr>
            <w:tcW w:w="831" w:type="pct"/>
            <w:tcBorders>
              <w:top w:val="single" w:color="auto" w:sz="4" w:space="0"/>
              <w:left w:val="single" w:color="auto" w:sz="4" w:space="0"/>
              <w:bottom w:val="single" w:color="auto" w:sz="4" w:space="0"/>
              <w:right w:val="single" w:color="auto" w:sz="4" w:space="0"/>
            </w:tcBorders>
          </w:tcPr>
          <w:p w:rsidRPr="00573F84" w:rsidR="00573F84" w:rsidRDefault="00573F84" w14:paraId="00721845" w14:textId="77777777">
            <w:pPr>
              <w:pStyle w:val="NormalinTable"/>
              <w:rPr>
                <w:rFonts w:cstheme="minorHAnsi"/>
                <w:szCs w:val="24"/>
              </w:rPr>
            </w:pPr>
            <w:r w:rsidRPr="00573F84">
              <w:rPr>
                <w:rFonts w:cstheme="minorHAnsi"/>
                <w:szCs w:val="24"/>
              </w:rPr>
              <w:t>2023-04-18</w:t>
            </w:r>
          </w:p>
        </w:tc>
        <w:tc>
          <w:tcPr>
            <w:tcW w:w="1747" w:type="pct"/>
            <w:tcBorders>
              <w:top w:val="single" w:color="auto" w:sz="4" w:space="0"/>
              <w:left w:val="single" w:color="auto" w:sz="4" w:space="0"/>
              <w:bottom w:val="single" w:color="auto" w:sz="4" w:space="0"/>
              <w:right w:val="single" w:color="auto" w:sz="4" w:space="0"/>
            </w:tcBorders>
          </w:tcPr>
          <w:p w:rsidRPr="00573F84" w:rsidR="00573F84" w:rsidRDefault="00573F84" w14:paraId="3419D0EE" w14:textId="485F28A2">
            <w:pPr>
              <w:pStyle w:val="NormalinTable"/>
              <w:rPr>
                <w:rFonts w:cstheme="minorHAnsi"/>
                <w:szCs w:val="24"/>
              </w:rPr>
            </w:pPr>
            <w:hyperlink w:history="1" r:id="rId30">
              <w:r w:rsidRPr="00573F84">
                <w:rPr>
                  <w:rStyle w:val="Hyperlink"/>
                  <w:rFonts w:asciiTheme="minorHAnsi" w:hAnsiTheme="minorHAnsi" w:cstheme="minorHAnsi"/>
                  <w:szCs w:val="24"/>
                </w:rPr>
                <w:t>Definition of "In the Marketplace"</w:t>
              </w:r>
            </w:hyperlink>
          </w:p>
        </w:tc>
        <w:tc>
          <w:tcPr>
            <w:tcW w:w="2422" w:type="pct"/>
            <w:tcBorders>
              <w:top w:val="single" w:color="auto" w:sz="4" w:space="0"/>
              <w:left w:val="single" w:color="auto" w:sz="4" w:space="0"/>
              <w:bottom w:val="single" w:color="auto" w:sz="4" w:space="0"/>
              <w:right w:val="single" w:color="auto" w:sz="4" w:space="0"/>
            </w:tcBorders>
          </w:tcPr>
          <w:p w:rsidRPr="00573F84" w:rsidR="00573F84" w:rsidRDefault="00573F84" w14:paraId="5D710756" w14:textId="77777777">
            <w:pPr>
              <w:pStyle w:val="NormalinTable"/>
              <w:rPr>
                <w:rFonts w:cstheme="minorHAnsi"/>
                <w:szCs w:val="24"/>
              </w:rPr>
            </w:pPr>
            <w:r w:rsidRPr="00573F84">
              <w:rPr>
                <w:rFonts w:cstheme="minorHAnsi"/>
                <w:szCs w:val="24"/>
              </w:rPr>
              <w:t>Guidance to provide a more concrete definition for “in the marketplace” to add clarity to the eligibility of the “All-Default&lt;=2yrs” NTG ID.</w:t>
            </w:r>
          </w:p>
        </w:tc>
      </w:tr>
      <w:tr w:rsidRPr="00573F84" w:rsidR="00573F84" w:rsidTr="4AD93EB3" w14:paraId="114660B9" w14:textId="77777777">
        <w:trPr>
          <w:trHeight w:val="300"/>
        </w:trPr>
        <w:tc>
          <w:tcPr>
            <w:tcW w:w="831" w:type="pct"/>
            <w:tcBorders>
              <w:top w:val="single" w:color="auto" w:sz="4" w:space="0"/>
              <w:left w:val="single" w:color="auto" w:sz="4" w:space="0"/>
              <w:bottom w:val="single" w:color="auto" w:sz="4" w:space="0"/>
              <w:right w:val="single" w:color="auto" w:sz="4" w:space="0"/>
            </w:tcBorders>
          </w:tcPr>
          <w:p w:rsidRPr="00573F84" w:rsidR="00573F84" w:rsidRDefault="00573F84" w14:paraId="5231036E" w14:textId="77777777">
            <w:pPr>
              <w:pStyle w:val="NormalinTable"/>
              <w:rPr>
                <w:rFonts w:cstheme="minorHAnsi"/>
                <w:szCs w:val="24"/>
              </w:rPr>
            </w:pPr>
            <w:r w:rsidRPr="00573F84">
              <w:rPr>
                <w:rFonts w:cstheme="minorHAnsi"/>
                <w:szCs w:val="24"/>
              </w:rPr>
              <w:t>2022-10-18</w:t>
            </w:r>
          </w:p>
        </w:tc>
        <w:tc>
          <w:tcPr>
            <w:tcW w:w="1747" w:type="pct"/>
            <w:tcBorders>
              <w:top w:val="single" w:color="auto" w:sz="4" w:space="0"/>
              <w:left w:val="single" w:color="auto" w:sz="4" w:space="0"/>
              <w:bottom w:val="single" w:color="auto" w:sz="4" w:space="0"/>
              <w:right w:val="single" w:color="auto" w:sz="4" w:space="0"/>
            </w:tcBorders>
          </w:tcPr>
          <w:p w:rsidRPr="00573F84" w:rsidR="00573F84" w:rsidRDefault="00573F84" w14:paraId="3D5D842E" w14:textId="17DACF5E">
            <w:pPr>
              <w:pStyle w:val="NormalinTable"/>
              <w:rPr>
                <w:rFonts w:cstheme="minorHAnsi"/>
                <w:szCs w:val="24"/>
              </w:rPr>
            </w:pPr>
            <w:hyperlink w:history="1" r:id="rId31">
              <w:r w:rsidRPr="00573F84">
                <w:rPr>
                  <w:rStyle w:val="Hyperlink"/>
                  <w:rFonts w:asciiTheme="minorHAnsi" w:hAnsiTheme="minorHAnsi" w:cstheme="minorHAnsi"/>
                  <w:szCs w:val="24"/>
                </w:rPr>
                <w:t>Measure Package Plan Template</w:t>
              </w:r>
            </w:hyperlink>
          </w:p>
        </w:tc>
        <w:tc>
          <w:tcPr>
            <w:tcW w:w="2422" w:type="pct"/>
            <w:tcBorders>
              <w:top w:val="single" w:color="auto" w:sz="4" w:space="0"/>
              <w:left w:val="single" w:color="auto" w:sz="4" w:space="0"/>
              <w:bottom w:val="single" w:color="auto" w:sz="4" w:space="0"/>
              <w:right w:val="single" w:color="auto" w:sz="4" w:space="0"/>
            </w:tcBorders>
          </w:tcPr>
          <w:p w:rsidRPr="00573F84" w:rsidR="00573F84" w:rsidRDefault="00573F84" w14:paraId="47A49DCB" w14:textId="77777777">
            <w:pPr>
              <w:pStyle w:val="NormalinTable"/>
              <w:rPr>
                <w:rFonts w:cstheme="minorHAnsi"/>
                <w:szCs w:val="24"/>
              </w:rPr>
            </w:pPr>
            <w:r w:rsidRPr="00573F84">
              <w:rPr>
                <w:rFonts w:cstheme="minorHAnsi"/>
                <w:szCs w:val="24"/>
              </w:rPr>
              <w:t>Measure package plan template for PA use to receive early feedback from CPUC Staff on a measure package prior to its submission.</w:t>
            </w:r>
          </w:p>
        </w:tc>
      </w:tr>
      <w:tr w:rsidRPr="00573F84" w:rsidR="00573F84" w:rsidTr="4AD93EB3" w14:paraId="76246874" w14:textId="77777777">
        <w:trPr>
          <w:trHeight w:val="300"/>
        </w:trPr>
        <w:tc>
          <w:tcPr>
            <w:tcW w:w="831" w:type="pct"/>
            <w:tcBorders>
              <w:top w:val="single" w:color="auto" w:sz="4" w:space="0"/>
              <w:left w:val="single" w:color="auto" w:sz="4" w:space="0"/>
              <w:bottom w:val="single" w:color="auto" w:sz="4" w:space="0"/>
              <w:right w:val="single" w:color="auto" w:sz="4" w:space="0"/>
            </w:tcBorders>
          </w:tcPr>
          <w:p w:rsidRPr="00573F84" w:rsidR="00573F84" w:rsidRDefault="00573F84" w14:paraId="53F942DE" w14:textId="77777777">
            <w:pPr>
              <w:pStyle w:val="NormalinTable"/>
              <w:rPr>
                <w:rFonts w:cstheme="minorHAnsi"/>
                <w:szCs w:val="24"/>
              </w:rPr>
            </w:pPr>
            <w:r w:rsidRPr="00573F84">
              <w:rPr>
                <w:rFonts w:cstheme="minorHAnsi"/>
                <w:szCs w:val="24"/>
              </w:rPr>
              <w:t>2022-09-27</w:t>
            </w:r>
          </w:p>
        </w:tc>
        <w:tc>
          <w:tcPr>
            <w:tcW w:w="1747" w:type="pct"/>
            <w:tcBorders>
              <w:top w:val="single" w:color="auto" w:sz="4" w:space="0"/>
              <w:left w:val="single" w:color="auto" w:sz="4" w:space="0"/>
              <w:bottom w:val="single" w:color="auto" w:sz="4" w:space="0"/>
              <w:right w:val="single" w:color="auto" w:sz="4" w:space="0"/>
            </w:tcBorders>
          </w:tcPr>
          <w:p w:rsidRPr="00573F84" w:rsidR="00573F84" w:rsidRDefault="00573F84" w14:paraId="1C871831" w14:textId="51B7EC3E">
            <w:pPr>
              <w:pStyle w:val="NormalinTable"/>
              <w:rPr>
                <w:rFonts w:cstheme="minorHAnsi"/>
                <w:szCs w:val="24"/>
              </w:rPr>
            </w:pPr>
            <w:hyperlink w:history="1" r:id="rId32">
              <w:r w:rsidRPr="00573F84">
                <w:rPr>
                  <w:rStyle w:val="Hyperlink"/>
                  <w:rFonts w:asciiTheme="minorHAnsi" w:hAnsiTheme="minorHAnsi" w:cstheme="minorHAnsi"/>
                  <w:szCs w:val="24"/>
                </w:rPr>
                <w:t>Guidance RE: NTG_ID for Non-Residential Unitary/Split AC/HP Systems for DEER2023/2024 Measure Packages</w:t>
              </w:r>
            </w:hyperlink>
          </w:p>
        </w:tc>
        <w:tc>
          <w:tcPr>
            <w:tcW w:w="2422" w:type="pct"/>
            <w:tcBorders>
              <w:top w:val="single" w:color="auto" w:sz="4" w:space="0"/>
              <w:left w:val="single" w:color="auto" w:sz="4" w:space="0"/>
              <w:bottom w:val="single" w:color="auto" w:sz="4" w:space="0"/>
              <w:right w:val="single" w:color="auto" w:sz="4" w:space="0"/>
            </w:tcBorders>
          </w:tcPr>
          <w:p w:rsidRPr="00573F84" w:rsidR="00573F84" w:rsidRDefault="00573F84" w14:paraId="05B7C59A" w14:textId="77777777">
            <w:pPr>
              <w:pStyle w:val="NormalinTable"/>
              <w:rPr>
                <w:rFonts w:cstheme="minorHAnsi"/>
                <w:szCs w:val="24"/>
              </w:rPr>
            </w:pPr>
            <w:r w:rsidRPr="00573F84">
              <w:rPr>
                <w:rFonts w:cstheme="minorHAnsi"/>
                <w:szCs w:val="24"/>
              </w:rPr>
              <w:t xml:space="preserve">This guidance clarifies NTG ID revisions for the SWHC013, SWHC014, and SWHC043 measure packages. </w:t>
            </w:r>
          </w:p>
        </w:tc>
      </w:tr>
      <w:tr w:rsidRPr="00573F84" w:rsidR="00573F84" w:rsidTr="4AD93EB3" w14:paraId="218ADBB5" w14:textId="77777777">
        <w:trPr>
          <w:trHeight w:val="300"/>
        </w:trPr>
        <w:tc>
          <w:tcPr>
            <w:tcW w:w="831" w:type="pct"/>
            <w:tcBorders>
              <w:top w:val="single" w:color="auto" w:sz="4" w:space="0"/>
              <w:left w:val="single" w:color="auto" w:sz="4" w:space="0"/>
              <w:bottom w:val="single" w:color="auto" w:sz="4" w:space="0"/>
              <w:right w:val="single" w:color="auto" w:sz="4" w:space="0"/>
            </w:tcBorders>
          </w:tcPr>
          <w:p w:rsidRPr="00573F84" w:rsidR="00573F84" w:rsidRDefault="00573F84" w14:paraId="6DC81D3A" w14:textId="77777777">
            <w:pPr>
              <w:pStyle w:val="NormalinTable"/>
              <w:rPr>
                <w:rFonts w:cstheme="minorHAnsi"/>
                <w:szCs w:val="24"/>
              </w:rPr>
            </w:pPr>
            <w:r w:rsidRPr="00573F84">
              <w:rPr>
                <w:rFonts w:cstheme="minorHAnsi"/>
                <w:szCs w:val="24"/>
              </w:rPr>
              <w:t>2022-08-16</w:t>
            </w:r>
          </w:p>
        </w:tc>
        <w:tc>
          <w:tcPr>
            <w:tcW w:w="1747" w:type="pct"/>
            <w:tcBorders>
              <w:top w:val="single" w:color="auto" w:sz="4" w:space="0"/>
              <w:left w:val="single" w:color="auto" w:sz="4" w:space="0"/>
              <w:bottom w:val="single" w:color="auto" w:sz="4" w:space="0"/>
              <w:right w:val="single" w:color="auto" w:sz="4" w:space="0"/>
            </w:tcBorders>
          </w:tcPr>
          <w:p w:rsidRPr="00573F84" w:rsidR="00573F84" w:rsidRDefault="00573F84" w14:paraId="31163A46" w14:textId="402ACD88">
            <w:pPr>
              <w:pStyle w:val="NormalinTable"/>
              <w:rPr>
                <w:rFonts w:cstheme="minorHAnsi"/>
                <w:szCs w:val="24"/>
              </w:rPr>
            </w:pPr>
            <w:hyperlink w:history="1" r:id="rId33">
              <w:r w:rsidRPr="00573F84">
                <w:rPr>
                  <w:rStyle w:val="Hyperlink"/>
                  <w:rFonts w:asciiTheme="minorHAnsi" w:hAnsiTheme="minorHAnsi" w:cstheme="minorHAnsi"/>
                  <w:szCs w:val="24"/>
                </w:rPr>
                <w:t>CPUC Guidance Clarifying Requirements for Residential Duct Seal and Duct Optimization</w:t>
              </w:r>
            </w:hyperlink>
          </w:p>
        </w:tc>
        <w:tc>
          <w:tcPr>
            <w:tcW w:w="2422" w:type="pct"/>
            <w:tcBorders>
              <w:top w:val="single" w:color="auto" w:sz="4" w:space="0"/>
              <w:left w:val="single" w:color="auto" w:sz="4" w:space="0"/>
              <w:bottom w:val="single" w:color="auto" w:sz="4" w:space="0"/>
              <w:right w:val="single" w:color="auto" w:sz="4" w:space="0"/>
            </w:tcBorders>
          </w:tcPr>
          <w:p w:rsidRPr="00573F84" w:rsidR="00573F84" w:rsidRDefault="00573F84" w14:paraId="3CC6612D" w14:textId="77777777">
            <w:pPr>
              <w:pStyle w:val="NormalinTable"/>
              <w:rPr>
                <w:rFonts w:cstheme="minorHAnsi"/>
                <w:szCs w:val="24"/>
              </w:rPr>
            </w:pPr>
            <w:r w:rsidRPr="00573F84">
              <w:rPr>
                <w:rFonts w:cstheme="minorHAnsi"/>
                <w:szCs w:val="24"/>
              </w:rPr>
              <w:t xml:space="preserve">This guidance memo clarifies the duct sealing test method, required leakage reduction, and savings by building era approaches to develop measure package savings values in the Duct Seal and Duct Optimization measure packages. </w:t>
            </w:r>
          </w:p>
        </w:tc>
      </w:tr>
      <w:tr w:rsidRPr="00573F84" w:rsidR="00573F84" w:rsidTr="4AD93EB3" w14:paraId="5D1BDBFD" w14:textId="77777777">
        <w:trPr>
          <w:trHeight w:val="300"/>
        </w:trPr>
        <w:tc>
          <w:tcPr>
            <w:tcW w:w="831" w:type="pct"/>
            <w:tcBorders>
              <w:top w:val="single" w:color="auto" w:sz="4" w:space="0"/>
              <w:left w:val="single" w:color="auto" w:sz="4" w:space="0"/>
              <w:bottom w:val="single" w:color="auto" w:sz="4" w:space="0"/>
              <w:right w:val="single" w:color="auto" w:sz="4" w:space="0"/>
            </w:tcBorders>
          </w:tcPr>
          <w:p w:rsidRPr="00573F84" w:rsidR="00573F84" w:rsidRDefault="00573F84" w14:paraId="671B78DB" w14:textId="77777777">
            <w:pPr>
              <w:pStyle w:val="NormalinTable"/>
              <w:rPr>
                <w:rFonts w:cstheme="minorHAnsi"/>
                <w:szCs w:val="24"/>
              </w:rPr>
            </w:pPr>
            <w:r w:rsidRPr="00573F84">
              <w:rPr>
                <w:rFonts w:cstheme="minorHAnsi"/>
                <w:szCs w:val="24"/>
              </w:rPr>
              <w:t>2022-07-01</w:t>
            </w:r>
          </w:p>
        </w:tc>
        <w:tc>
          <w:tcPr>
            <w:tcW w:w="1747" w:type="pct"/>
            <w:tcBorders>
              <w:top w:val="single" w:color="auto" w:sz="4" w:space="0"/>
              <w:left w:val="single" w:color="auto" w:sz="4" w:space="0"/>
              <w:bottom w:val="single" w:color="auto" w:sz="4" w:space="0"/>
              <w:right w:val="single" w:color="auto" w:sz="4" w:space="0"/>
            </w:tcBorders>
          </w:tcPr>
          <w:p w:rsidRPr="00573F84" w:rsidR="00573F84" w:rsidRDefault="00573F84" w14:paraId="23F85C0D" w14:textId="49CAAB1F">
            <w:pPr>
              <w:pStyle w:val="NormalinTable"/>
              <w:rPr>
                <w:rFonts w:cstheme="minorHAnsi"/>
                <w:szCs w:val="24"/>
              </w:rPr>
            </w:pPr>
            <w:hyperlink w:history="1" r:id="rId34">
              <w:r w:rsidRPr="00573F84">
                <w:rPr>
                  <w:rStyle w:val="Hyperlink"/>
                  <w:rFonts w:asciiTheme="minorHAnsi" w:hAnsiTheme="minorHAnsi" w:cstheme="minorHAnsi"/>
                  <w:szCs w:val="24"/>
                </w:rPr>
                <w:t>CPUC Guidance on Unitary HVAC Equipment Data Collection Requirements and Eligibility Requirements</w:t>
              </w:r>
            </w:hyperlink>
          </w:p>
        </w:tc>
        <w:tc>
          <w:tcPr>
            <w:tcW w:w="2422" w:type="pct"/>
            <w:tcBorders>
              <w:top w:val="single" w:color="auto" w:sz="4" w:space="0"/>
              <w:left w:val="single" w:color="auto" w:sz="4" w:space="0"/>
              <w:bottom w:val="single" w:color="auto" w:sz="4" w:space="0"/>
              <w:right w:val="single" w:color="auto" w:sz="4" w:space="0"/>
            </w:tcBorders>
          </w:tcPr>
          <w:p w:rsidRPr="00573F84" w:rsidR="00573F84" w:rsidRDefault="00573F84" w14:paraId="09F0272F" w14:textId="77777777">
            <w:pPr>
              <w:pStyle w:val="NormalinTable"/>
              <w:rPr>
                <w:rFonts w:cstheme="minorHAnsi"/>
                <w:szCs w:val="24"/>
              </w:rPr>
            </w:pPr>
            <w:r w:rsidRPr="00573F84">
              <w:rPr>
                <w:rFonts w:cstheme="minorHAnsi"/>
                <w:szCs w:val="24"/>
              </w:rPr>
              <w:t xml:space="preserve">This guidance document outlines requested changes to the measure package language that are no longer applicable. </w:t>
            </w:r>
          </w:p>
        </w:tc>
      </w:tr>
      <w:tr w:rsidRPr="00573F84" w:rsidR="00573F84" w:rsidTr="4AD93EB3" w14:paraId="5F7D7005" w14:textId="77777777">
        <w:trPr>
          <w:cantSplit/>
          <w:trHeight w:val="426"/>
        </w:trPr>
        <w:tc>
          <w:tcPr>
            <w:tcW w:w="831" w:type="pct"/>
            <w:tcBorders>
              <w:top w:val="single" w:color="auto" w:sz="4" w:space="0"/>
              <w:left w:val="single" w:color="auto" w:sz="4" w:space="0"/>
              <w:bottom w:val="single" w:color="auto" w:sz="4" w:space="0"/>
              <w:right w:val="single" w:color="auto" w:sz="4" w:space="0"/>
            </w:tcBorders>
          </w:tcPr>
          <w:p w:rsidRPr="00573F84" w:rsidR="00573F84" w:rsidRDefault="00573F84" w14:paraId="10D34F4E" w14:textId="77777777">
            <w:pPr>
              <w:pStyle w:val="NormalinTable"/>
              <w:rPr>
                <w:rFonts w:cstheme="minorHAnsi"/>
                <w:szCs w:val="24"/>
              </w:rPr>
            </w:pPr>
            <w:r w:rsidRPr="00573F84">
              <w:rPr>
                <w:rFonts w:eastAsia="Calibri" w:cstheme="minorHAnsi"/>
                <w:color w:val="000000" w:themeColor="text1"/>
                <w:szCs w:val="24"/>
              </w:rPr>
              <w:lastRenderedPageBreak/>
              <w:t>2022-06-09</w:t>
            </w:r>
          </w:p>
        </w:tc>
        <w:tc>
          <w:tcPr>
            <w:tcW w:w="1747" w:type="pct"/>
            <w:tcBorders>
              <w:top w:val="single" w:color="auto" w:sz="4" w:space="0"/>
              <w:left w:val="single" w:color="auto" w:sz="4" w:space="0"/>
              <w:bottom w:val="single" w:color="auto" w:sz="4" w:space="0"/>
              <w:right w:val="single" w:color="auto" w:sz="4" w:space="0"/>
            </w:tcBorders>
          </w:tcPr>
          <w:p w:rsidRPr="00573F84" w:rsidR="00573F84" w:rsidRDefault="00573F84" w14:paraId="15962760" w14:textId="2B8AD894">
            <w:pPr>
              <w:pStyle w:val="NormalinTable"/>
              <w:rPr>
                <w:rFonts w:eastAsia="Calibri" w:cstheme="minorHAnsi"/>
                <w:szCs w:val="24"/>
              </w:rPr>
            </w:pPr>
            <w:hyperlink w:history="1" r:id="rId35">
              <w:r w:rsidRPr="00573F84">
                <w:rPr>
                  <w:rStyle w:val="Hyperlink"/>
                  <w:rFonts w:eastAsia="Calibri" w:asciiTheme="minorHAnsi" w:hAnsiTheme="minorHAnsi" w:cstheme="minorHAnsi"/>
                  <w:szCs w:val="24"/>
                </w:rPr>
                <w:t>Measure Package Adoption by PAs</w:t>
              </w:r>
            </w:hyperlink>
          </w:p>
        </w:tc>
        <w:tc>
          <w:tcPr>
            <w:tcW w:w="2422" w:type="pct"/>
            <w:tcBorders>
              <w:top w:val="single" w:color="auto" w:sz="4" w:space="0"/>
              <w:left w:val="single" w:color="auto" w:sz="4" w:space="0"/>
              <w:bottom w:val="single" w:color="auto" w:sz="4" w:space="0"/>
              <w:right w:val="single" w:color="auto" w:sz="4" w:space="0"/>
            </w:tcBorders>
          </w:tcPr>
          <w:p w:rsidRPr="00573F84" w:rsidR="00573F84" w:rsidRDefault="00573F84" w14:paraId="3C713EA7" w14:textId="77777777">
            <w:pPr>
              <w:pStyle w:val="NormalinTable"/>
              <w:rPr>
                <w:rFonts w:eastAsia="Calibri" w:cstheme="minorHAnsi"/>
                <w:color w:val="000000" w:themeColor="text1"/>
                <w:szCs w:val="24"/>
              </w:rPr>
            </w:pPr>
            <w:r w:rsidRPr="00573F84">
              <w:rPr>
                <w:rFonts w:eastAsia="Calibri" w:cstheme="minorHAnsi"/>
                <w:color w:val="000000" w:themeColor="text1"/>
                <w:szCs w:val="24"/>
              </w:rPr>
              <w:t xml:space="preserve">This guidance sets for the process for PAs and third-party implementers to upload and adopt PA implementation codes in </w:t>
            </w:r>
            <w:proofErr w:type="spellStart"/>
            <w:r w:rsidRPr="00573F84">
              <w:rPr>
                <w:rFonts w:eastAsia="Calibri" w:cstheme="minorHAnsi"/>
                <w:color w:val="000000" w:themeColor="text1"/>
                <w:szCs w:val="24"/>
              </w:rPr>
              <w:t>eTRM</w:t>
            </w:r>
            <w:proofErr w:type="spellEnd"/>
            <w:r w:rsidRPr="00573F84">
              <w:rPr>
                <w:rFonts w:eastAsia="Calibri" w:cstheme="minorHAnsi"/>
                <w:color w:val="000000" w:themeColor="text1"/>
                <w:szCs w:val="24"/>
              </w:rPr>
              <w:t xml:space="preserve">. </w:t>
            </w:r>
          </w:p>
        </w:tc>
      </w:tr>
      <w:tr w:rsidRPr="00573F84" w:rsidR="00573F84" w:rsidTr="4AD93EB3" w14:paraId="14FE24B2" w14:textId="77777777">
        <w:trPr>
          <w:cantSplit/>
          <w:trHeight w:val="426"/>
        </w:trPr>
        <w:tc>
          <w:tcPr>
            <w:tcW w:w="831" w:type="pct"/>
            <w:tcBorders>
              <w:top w:val="single" w:color="auto" w:sz="4" w:space="0"/>
              <w:left w:val="single" w:color="auto" w:sz="4" w:space="0"/>
              <w:bottom w:val="single" w:color="auto" w:sz="4" w:space="0"/>
              <w:right w:val="single" w:color="auto" w:sz="4" w:space="0"/>
            </w:tcBorders>
          </w:tcPr>
          <w:p w:rsidRPr="00573F84" w:rsidR="00573F84" w:rsidRDefault="00573F84" w14:paraId="6A3F6A79" w14:textId="77777777">
            <w:pPr>
              <w:pStyle w:val="NormalinTable"/>
              <w:rPr>
                <w:rFonts w:eastAsia="Calibri" w:cstheme="minorHAnsi"/>
                <w:color w:val="000000" w:themeColor="text1"/>
                <w:szCs w:val="24"/>
              </w:rPr>
            </w:pPr>
            <w:r w:rsidRPr="00573F84">
              <w:rPr>
                <w:rFonts w:eastAsia="Calibri" w:cstheme="minorHAnsi"/>
                <w:color w:val="000000" w:themeColor="text1"/>
                <w:szCs w:val="24"/>
              </w:rPr>
              <w:t>2022-06-02</w:t>
            </w:r>
          </w:p>
        </w:tc>
        <w:tc>
          <w:tcPr>
            <w:tcW w:w="1747" w:type="pct"/>
            <w:tcBorders>
              <w:top w:val="single" w:color="auto" w:sz="4" w:space="0"/>
              <w:left w:val="single" w:color="auto" w:sz="4" w:space="0"/>
              <w:bottom w:val="single" w:color="auto" w:sz="4" w:space="0"/>
              <w:right w:val="single" w:color="auto" w:sz="4" w:space="0"/>
            </w:tcBorders>
          </w:tcPr>
          <w:p w:rsidRPr="00573F84" w:rsidR="00573F84" w:rsidRDefault="00573F84" w14:paraId="1DE48B10" w14:textId="39C99E66">
            <w:pPr>
              <w:pStyle w:val="NormalinTable"/>
              <w:rPr>
                <w:rFonts w:eastAsia="Calibri" w:cstheme="minorHAnsi"/>
                <w:szCs w:val="24"/>
              </w:rPr>
            </w:pPr>
            <w:hyperlink w:history="1" r:id="rId36">
              <w:r w:rsidRPr="00573F84">
                <w:rPr>
                  <w:rStyle w:val="Hyperlink"/>
                  <w:rFonts w:eastAsia="Calibri" w:asciiTheme="minorHAnsi" w:hAnsiTheme="minorHAnsi" w:cstheme="minorHAnsi"/>
                  <w:szCs w:val="24"/>
                </w:rPr>
                <w:t>Addendum to Measure Package Documenting Incentive Greater than Incremental Measure Cost</w:t>
              </w:r>
            </w:hyperlink>
          </w:p>
        </w:tc>
        <w:tc>
          <w:tcPr>
            <w:tcW w:w="2422" w:type="pct"/>
            <w:tcBorders>
              <w:top w:val="single" w:color="auto" w:sz="4" w:space="0"/>
              <w:left w:val="single" w:color="auto" w:sz="4" w:space="0"/>
              <w:bottom w:val="single" w:color="auto" w:sz="4" w:space="0"/>
              <w:right w:val="single" w:color="auto" w:sz="4" w:space="0"/>
            </w:tcBorders>
          </w:tcPr>
          <w:p w:rsidRPr="00573F84" w:rsidR="00573F84" w:rsidP="4AD93EB3" w:rsidRDefault="1EAB77B4" w14:paraId="63B795E4" w14:textId="2BF2AC67">
            <w:pPr>
              <w:pStyle w:val="NormalinTable"/>
              <w:rPr>
                <w:rFonts w:eastAsia="Calibri"/>
                <w:color w:val="000000" w:themeColor="text1"/>
              </w:rPr>
            </w:pPr>
            <w:r w:rsidRPr="4AD93EB3">
              <w:rPr>
                <w:rFonts w:eastAsia="Calibri"/>
                <w:color w:val="000000" w:themeColor="text1"/>
              </w:rPr>
              <w:t xml:space="preserve">This guidance sets for the process and documentation required for PAs to submit an addendum to measure packages informing the CPUC </w:t>
            </w:r>
            <w:r w:rsidRPr="4AD93EB3" w:rsidR="702C5876">
              <w:rPr>
                <w:rFonts w:eastAsia="Calibri"/>
                <w:color w:val="000000" w:themeColor="text1"/>
              </w:rPr>
              <w:t xml:space="preserve">Energy Division </w:t>
            </w:r>
            <w:r w:rsidRPr="4AD93EB3">
              <w:rPr>
                <w:rFonts w:eastAsia="Calibri"/>
                <w:color w:val="000000" w:themeColor="text1"/>
              </w:rPr>
              <w:t>as to the need to provide an incentive which is greater than the incremental measure cost.</w:t>
            </w:r>
          </w:p>
        </w:tc>
      </w:tr>
    </w:tbl>
    <w:p w:rsidR="004F27E3" w:rsidP="004F27E3" w:rsidRDefault="004F27E3" w14:paraId="483E6E41" w14:textId="77777777"/>
    <w:p w:rsidR="006931F2" w:rsidP="006931F2" w:rsidRDefault="006931F2" w14:paraId="21560163" w14:textId="77777777"/>
    <w:p w:rsidR="006931F2" w:rsidP="006931F2" w:rsidRDefault="006931F2" w14:paraId="7B7FFFB0" w14:textId="77777777">
      <w:pPr>
        <w:rPr>
          <w:rFonts w:asciiTheme="minorHAnsi" w:hAnsiTheme="minorHAnsi"/>
          <w:sz w:val="22"/>
        </w:rPr>
      </w:pPr>
    </w:p>
    <w:p w:rsidR="00934F77" w:rsidP="008B1F83" w:rsidRDefault="00934F77" w14:paraId="62DD78FC" w14:textId="77777777">
      <w:pPr>
        <w:tabs>
          <w:tab w:val="center" w:pos="7200"/>
        </w:tabs>
        <w:spacing w:after="0"/>
      </w:pPr>
    </w:p>
    <w:sectPr w:rsidR="00934F77" w:rsidSect="001F1121">
      <w:headerReference w:type="default" r:id="rId37"/>
      <w:type w:val="continuous"/>
      <w:pgSz w:w="12240" w:h="15840"/>
      <w:pgMar w:top="1440" w:right="1440" w:bottom="1260" w:left="1440" w:header="720" w:footer="720" w:gutter="0"/>
      <w:cols w:space="720"/>
      <w:docGrid w:linePitch="360"/>
    </w:sectPr>
    <w:p>
      <w:r>
        <w:t xml:space="preserve"/>
      </w:r>
    </w:p>
    <w:p>
      <w:r>
        <w:t xml:space="preserve">Attachment 1: </w:t>
      </w:r>
    </w:p>
    <w:p>
      <w:hyperlink w:history="true" r:id="R4a52423904d24284">
        <w:r w:rsidRPr="00CB1292">
          <w:rPr>
            <w:rStyle w:val="Hyperlink"/>
            <w:color w:val="2E74B5" w:themeColor="accent1" w:themeShade="BF"/>
            <w:u w:val="single"/>
          </w:rPr>
          <w:t>E-5350 DEER2026 Attachment A</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A6ACF" w14:textId="77777777" w:rsidR="0030247A" w:rsidRDefault="0030247A" w:rsidP="008E2F07">
      <w:r>
        <w:separator/>
      </w:r>
    </w:p>
  </w:endnote>
  <w:endnote w:type="continuationSeparator" w:id="0">
    <w:p w14:paraId="548A7894" w14:textId="77777777" w:rsidR="0030247A" w:rsidRDefault="0030247A" w:rsidP="008E2F07">
      <w:r>
        <w:continuationSeparator/>
      </w:r>
    </w:p>
  </w:endnote>
  <w:endnote w:type="continuationNotice" w:id="1">
    <w:p w14:paraId="4CE192DC" w14:textId="77777777" w:rsidR="0030247A" w:rsidRDefault="0030247A" w:rsidP="008E2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2AFF" w:usb1="5000785B"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FFE0E" w14:textId="77777777" w:rsidR="00444CC0" w:rsidRDefault="00444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7170603"/>
      <w:docPartObj>
        <w:docPartGallery w:val="Page Numbers (Bottom of Page)"/>
        <w:docPartUnique/>
      </w:docPartObj>
    </w:sdtPr>
    <w:sdtEndPr>
      <w:rPr>
        <w:noProof/>
      </w:rPr>
    </w:sdtEndPr>
    <w:sdtContent>
      <w:p w14:paraId="4D9CFBB2" w14:textId="77777777" w:rsidR="00BC1738" w:rsidRDefault="00BC1738">
        <w:pPr>
          <w:pStyle w:val="Footer"/>
          <w:jc w:val="center"/>
        </w:pPr>
      </w:p>
      <w:p w14:paraId="3564E8CE" w14:textId="02C5EF62" w:rsidR="008D662F" w:rsidRDefault="00BC1738" w:rsidP="008F2C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29B13" w14:textId="77777777" w:rsidR="009002EC" w:rsidRDefault="009002EC">
    <w:pPr>
      <w:pStyle w:val="Footer"/>
      <w:jc w:val="center"/>
    </w:pPr>
  </w:p>
  <w:p w14:paraId="0173B65A" w14:textId="1C833320" w:rsidR="009002EC" w:rsidRDefault="00EC06E9" w:rsidP="00D72CDA">
    <w:pPr>
      <w:pStyle w:val="Footer"/>
    </w:pPr>
    <w:r w:rsidRPr="00EC06E9">
      <w:rPr>
        <w:rFonts w:ascii="Tahoma" w:hAnsi="Tahoma" w:cs="Tahoma"/>
        <w:sz w:val="18"/>
        <w:szCs w:val="16"/>
      </w:rPr>
      <w:t xml:space="preserve"> 551507101</w:t>
    </w:r>
    <w:r w:rsidRPr="00EC06E9">
      <w:t xml:space="preserve"> </w:t>
    </w:r>
    <w:r>
      <w:tab/>
    </w:r>
    <w:r w:rsidR="009002EC">
      <w:fldChar w:fldCharType="begin"/>
    </w:r>
    <w:r w:rsidR="009002EC">
      <w:instrText xml:space="preserve"> PAGE   \* MERGEFORMAT </w:instrText>
    </w:r>
    <w:r w:rsidR="009002EC">
      <w:fldChar w:fldCharType="separate"/>
    </w:r>
    <w:r w:rsidR="009002EC">
      <w:rPr>
        <w:noProof/>
      </w:rPr>
      <w:t>2</w:t>
    </w:r>
    <w:r w:rsidR="009002EC">
      <w:rPr>
        <w:noProof/>
      </w:rPr>
      <w:fldChar w:fldCharType="end"/>
    </w:r>
  </w:p>
  <w:p w14:paraId="65C924AB" w14:textId="77777777" w:rsidR="009002EC" w:rsidRDefault="00900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CF87E" w14:textId="77777777" w:rsidR="0030247A" w:rsidRDefault="0030247A" w:rsidP="008E2F07">
      <w:r>
        <w:separator/>
      </w:r>
    </w:p>
  </w:footnote>
  <w:footnote w:type="continuationSeparator" w:id="0">
    <w:p w14:paraId="226706D7" w14:textId="77777777" w:rsidR="0030247A" w:rsidRDefault="0030247A" w:rsidP="008E2F07">
      <w:r>
        <w:continuationSeparator/>
      </w:r>
    </w:p>
  </w:footnote>
  <w:footnote w:type="continuationNotice" w:id="1">
    <w:p w14:paraId="320FB625" w14:textId="77777777" w:rsidR="0030247A" w:rsidRDefault="0030247A" w:rsidP="008E2F07"/>
  </w:footnote>
  <w:footnote w:id="2">
    <w:p w14:paraId="4F6850E8" w14:textId="401A8E2A" w:rsidR="00DE17E6" w:rsidRDefault="00DE17E6" w:rsidP="00024FBF">
      <w:pPr>
        <w:pStyle w:val="FootnoteHyperlink"/>
      </w:pPr>
      <w:r>
        <w:rPr>
          <w:rStyle w:val="FootnoteReference"/>
        </w:rPr>
        <w:footnoteRef/>
      </w:r>
      <w:r>
        <w:t xml:space="preserve"> </w:t>
      </w:r>
      <w:hyperlink r:id="rId1" w:history="1">
        <w:r w:rsidRPr="00115EFA">
          <w:rPr>
            <w:rStyle w:val="Hyperlink"/>
            <w:sz w:val="20"/>
          </w:rPr>
          <w:t>https://docs.cpuc.ca.gov/SearchRes.aspx?docformat=ALL&amp;docid=385864616</w:t>
        </w:r>
      </w:hyperlink>
      <w:r w:rsidRPr="00115EFA" w:rsidDel="00267D4D">
        <w:rPr>
          <w:rStyle w:val="Hyperlink"/>
          <w:sz w:val="20"/>
        </w:rPr>
        <w:t xml:space="preserve"> </w:t>
      </w:r>
    </w:p>
  </w:footnote>
  <w:footnote w:id="3">
    <w:p w14:paraId="30E3A397" w14:textId="276A6DA9" w:rsidR="00087872" w:rsidRDefault="00087872" w:rsidP="0019008E">
      <w:pPr>
        <w:pStyle w:val="FootnoteHyperlink"/>
      </w:pPr>
      <w:r>
        <w:rPr>
          <w:rStyle w:val="FootnoteReference"/>
        </w:rPr>
        <w:footnoteRef/>
      </w:r>
      <w:r w:rsidR="005708B7">
        <w:t xml:space="preserve"> </w:t>
      </w:r>
      <w:hyperlink r:id="rId2" w:history="1">
        <w:r w:rsidR="000B449F">
          <w:rPr>
            <w:rStyle w:val="Hyperlink"/>
            <w:sz w:val="20"/>
          </w:rPr>
          <w:t>https://cedars.cpuc.ca.gov/deer-resources/</w:t>
        </w:r>
      </w:hyperlink>
    </w:p>
  </w:footnote>
  <w:footnote w:id="4">
    <w:p w14:paraId="70DBC20B" w14:textId="0C54373E" w:rsidR="00DE17E6" w:rsidRDefault="00DE17E6" w:rsidP="008E2F07">
      <w:pPr>
        <w:pStyle w:val="FootnoteText"/>
      </w:pPr>
      <w:r w:rsidRPr="00FC3810">
        <w:rPr>
          <w:rStyle w:val="FootnoteReference"/>
          <w:szCs w:val="24"/>
        </w:rPr>
        <w:footnoteRef/>
      </w:r>
      <w:r w:rsidRPr="00114885">
        <w:t xml:space="preserve"> D.1</w:t>
      </w:r>
      <w:r>
        <w:t>5</w:t>
      </w:r>
      <w:r w:rsidRPr="00114885">
        <w:t xml:space="preserve">-10-28, at 80, </w:t>
      </w:r>
      <w:r w:rsidRPr="00FC3810">
        <w:t>states</w:t>
      </w:r>
      <w:r w:rsidRPr="00114885">
        <w:t xml:space="preserve"> “D.12-05-015 allowed additional mid-cycle changes if there are new state and federal codes and standards that affect DEER values. Specifically, the decision stated in Conclusion of Law 84: </w:t>
      </w:r>
      <w:r w:rsidR="00834CFA">
        <w:t>‘</w:t>
      </w:r>
      <w:r w:rsidRPr="00114885">
        <w:t>We generally agree with parties’ request that ex ante values should be adopted and held constant throughout the portfolio cycle.</w:t>
      </w:r>
      <w:r>
        <w:t xml:space="preserve"> </w:t>
      </w:r>
      <w:r w:rsidRPr="00114885">
        <w:t>However, mid-cycle updates of ex ante values are warranted if newly adopted codes or standards take effect during the cycle.</w:t>
      </w:r>
      <w:r w:rsidR="00834CFA">
        <w:t>’</w:t>
      </w:r>
      <w:r w:rsidRPr="00114885">
        <w:t>”</w:t>
      </w:r>
    </w:p>
  </w:footnote>
  <w:footnote w:id="5">
    <w:p w14:paraId="39B00154" w14:textId="7F662DDB" w:rsidR="00DE17E6" w:rsidRDefault="00DE17E6" w:rsidP="008E2F07">
      <w:pPr>
        <w:pStyle w:val="FootnoteText"/>
      </w:pPr>
      <w:r w:rsidRPr="00FC3810">
        <w:rPr>
          <w:rStyle w:val="FootnoteReference"/>
          <w:szCs w:val="24"/>
        </w:rPr>
        <w:footnoteRef/>
      </w:r>
      <w:r w:rsidRPr="00FC3810">
        <w:rPr>
          <w:sz w:val="16"/>
        </w:rPr>
        <w:t xml:space="preserve"> </w:t>
      </w:r>
      <w:r w:rsidRPr="00114885">
        <w:t>D.1</w:t>
      </w:r>
      <w:r>
        <w:t>5</w:t>
      </w:r>
      <w:r w:rsidRPr="00114885">
        <w:t xml:space="preserve">-10-28, at 80, quotes from D.12-05-015: “Conclusion of Law 80 states: ‘Our Staff should have significant latitude in performing </w:t>
      </w:r>
      <w:r w:rsidRPr="00FC3810">
        <w:t>DEER</w:t>
      </w:r>
      <w:r w:rsidRPr="00114885">
        <w:t xml:space="preserve"> and other policy oversight functions and, absent specific directives to the contrary, should not be required to consult with or otherwise utilize any other groups to perform this work.</w:t>
      </w:r>
      <w:r w:rsidR="00B37A1F">
        <w:t>’</w:t>
      </w:r>
      <w:r w:rsidRPr="00114885">
        <w:t>”</w:t>
      </w:r>
    </w:p>
  </w:footnote>
  <w:footnote w:id="6">
    <w:p w14:paraId="7B6C5779" w14:textId="2C5D46CC" w:rsidR="00DE17E6" w:rsidRDefault="00DE17E6">
      <w:pPr>
        <w:pStyle w:val="FootnoteText"/>
      </w:pPr>
      <w:r>
        <w:rPr>
          <w:rStyle w:val="FootnoteReference"/>
        </w:rPr>
        <w:footnoteRef/>
      </w:r>
      <w:r>
        <w:t xml:space="preserve"> </w:t>
      </w:r>
      <w:hyperlink r:id="rId3" w:history="1">
        <w:r w:rsidRPr="005974EB">
          <w:rPr>
            <w:rStyle w:val="Hyperlink"/>
            <w:sz w:val="20"/>
          </w:rPr>
          <w:t>https://www.caetrm.com</w:t>
        </w:r>
      </w:hyperlink>
    </w:p>
  </w:footnote>
  <w:footnote w:id="7">
    <w:p w14:paraId="5BCBCABB" w14:textId="537BE239" w:rsidR="00DE17E6" w:rsidRDefault="00DE17E6">
      <w:pPr>
        <w:pStyle w:val="FootnoteText"/>
      </w:pPr>
      <w:r>
        <w:rPr>
          <w:rStyle w:val="FootnoteReference"/>
        </w:rPr>
        <w:footnoteRef/>
      </w:r>
      <w:r>
        <w:t xml:space="preserve"> </w:t>
      </w:r>
      <w:hyperlink r:id="rId4" w:history="1">
        <w:r w:rsidRPr="005974EB">
          <w:rPr>
            <w:rStyle w:val="Hyperlink"/>
            <w:sz w:val="20"/>
          </w:rPr>
          <w:t>https://docs.cpuc.ca.gov/PublishedDocs/Published/G000/M346/K161/346161639.PDF</w:t>
        </w:r>
      </w:hyperlink>
      <w:r w:rsidRPr="006D6215" w:rsidDel="006D6215">
        <w:t xml:space="preserve"> </w:t>
      </w:r>
    </w:p>
  </w:footnote>
  <w:footnote w:id="8">
    <w:p w14:paraId="6F6021BD" w14:textId="3E61F818" w:rsidR="00DE17E6" w:rsidRPr="007E44BC" w:rsidRDefault="00DE17E6" w:rsidP="008E2F07">
      <w:pPr>
        <w:pStyle w:val="FootnoteText"/>
      </w:pPr>
      <w:r>
        <w:rPr>
          <w:rStyle w:val="FootnoteReference"/>
        </w:rPr>
        <w:footnoteRef/>
      </w:r>
      <w:r>
        <w:t xml:space="preserve"> </w:t>
      </w:r>
      <w:bookmarkStart w:id="19" w:name="_Hlk13573288"/>
      <w:r w:rsidRPr="005974EB">
        <w:rPr>
          <w:rStyle w:val="Hyperlink"/>
          <w:sz w:val="20"/>
        </w:rPr>
        <w:fldChar w:fldCharType="begin"/>
      </w:r>
      <w:r w:rsidRPr="005974EB">
        <w:rPr>
          <w:rStyle w:val="Hyperlink"/>
          <w:sz w:val="20"/>
        </w:rPr>
        <w:instrText xml:space="preserve"> HYPERLINK "https://docs.cpuc.ca.gov/PublishedDocs/Published/G000/M232/K459/232459122.PDF" </w:instrText>
      </w:r>
      <w:r w:rsidRPr="005974EB">
        <w:rPr>
          <w:rStyle w:val="Hyperlink"/>
          <w:sz w:val="20"/>
        </w:rPr>
      </w:r>
      <w:r w:rsidRPr="005974EB">
        <w:rPr>
          <w:rStyle w:val="Hyperlink"/>
          <w:sz w:val="20"/>
        </w:rPr>
        <w:fldChar w:fldCharType="separate"/>
      </w:r>
      <w:r w:rsidRPr="005974EB">
        <w:rPr>
          <w:rStyle w:val="Hyperlink"/>
          <w:sz w:val="20"/>
        </w:rPr>
        <w:t>https://docs.cpuc.ca.gov/PublishedDocs/Published/G000/M232/K459/232459122.PDF</w:t>
      </w:r>
      <w:r w:rsidRPr="005974EB">
        <w:rPr>
          <w:rStyle w:val="Hyperlink"/>
          <w:sz w:val="20"/>
        </w:rPr>
        <w:fldChar w:fldCharType="end"/>
      </w:r>
      <w:bookmarkEnd w:id="19"/>
    </w:p>
  </w:footnote>
  <w:footnote w:id="9">
    <w:p w14:paraId="75292DE9" w14:textId="35C99B9E" w:rsidR="00DE17E6" w:rsidRPr="007E44BC" w:rsidRDefault="00DE17E6" w:rsidP="008E2F07">
      <w:pPr>
        <w:pStyle w:val="FootnoteText"/>
      </w:pPr>
      <w:r>
        <w:rPr>
          <w:rStyle w:val="FootnoteReference"/>
        </w:rPr>
        <w:footnoteRef/>
      </w:r>
      <w:r>
        <w:t xml:space="preserve"> </w:t>
      </w:r>
      <w:hyperlink r:id="rId5" w:history="1">
        <w:r w:rsidR="003F7BB0" w:rsidRPr="0095449F">
          <w:rPr>
            <w:rStyle w:val="Hyperlink"/>
            <w:sz w:val="20"/>
          </w:rPr>
          <w:t>https://docs.cpuc.ca.gov/PublishedDocs/Published/G000/M179/K264/179264220.PDF</w:t>
        </w:r>
      </w:hyperlink>
      <w:r w:rsidRPr="007E44BC">
        <w:t xml:space="preserve"> </w:t>
      </w:r>
    </w:p>
  </w:footnote>
  <w:footnote w:id="10">
    <w:p w14:paraId="4DF915F8" w14:textId="18B4AFA4" w:rsidR="00A73AA1" w:rsidRDefault="00A73AA1" w:rsidP="00FD33AE">
      <w:pPr>
        <w:pStyle w:val="FootnoteHyperlink"/>
      </w:pPr>
      <w:r>
        <w:rPr>
          <w:rStyle w:val="FootnoteReference"/>
        </w:rPr>
        <w:footnoteRef/>
      </w:r>
      <w:r>
        <w:t xml:space="preserve"> The Scoping Document for DEER202</w:t>
      </w:r>
      <w:r w:rsidR="00F76C11">
        <w:t>6</w:t>
      </w:r>
      <w:r>
        <w:t xml:space="preserve"> Update was posted on </w:t>
      </w:r>
      <w:r w:rsidR="00F76C11">
        <w:t>August</w:t>
      </w:r>
      <w:r>
        <w:t xml:space="preserve"> </w:t>
      </w:r>
      <w:r w:rsidR="00F76C11">
        <w:t>1</w:t>
      </w:r>
      <w:r>
        <w:t xml:space="preserve">, </w:t>
      </w:r>
      <w:r w:rsidR="008326C6">
        <w:t>2024,</w:t>
      </w:r>
      <w:r>
        <w:t xml:space="preserve"> and </w:t>
      </w:r>
      <w:r w:rsidR="0019470D">
        <w:t xml:space="preserve">is </w:t>
      </w:r>
      <w:r>
        <w:t xml:space="preserve">located at: </w:t>
      </w:r>
      <w:hyperlink r:id="rId6" w:anchor="!/documents/4015/view" w:history="1">
        <w:r w:rsidR="00F76C11" w:rsidRPr="008232FB">
          <w:rPr>
            <w:rStyle w:val="Hyperlink"/>
            <w:sz w:val="20"/>
          </w:rPr>
          <w:t>https://pda.energydataweb.com/#!/documents/4015/view</w:t>
        </w:r>
      </w:hyperlink>
      <w:r w:rsidR="006555FC" w:rsidRPr="006555FC">
        <w:t>.</w:t>
      </w:r>
      <w:r w:rsidR="00F76C11">
        <w:t xml:space="preserve"> </w:t>
      </w:r>
    </w:p>
  </w:footnote>
  <w:footnote w:id="11">
    <w:p w14:paraId="13D6351A" w14:textId="23F9BF2E" w:rsidR="00DE17E6" w:rsidRDefault="00DE17E6" w:rsidP="008200B4">
      <w:pPr>
        <w:pStyle w:val="FootnoteHyperlink"/>
      </w:pPr>
      <w:r w:rsidRPr="002B6A92">
        <w:rPr>
          <w:rStyle w:val="FootnoteReference"/>
        </w:rPr>
        <w:footnoteRef/>
      </w:r>
      <w:r w:rsidRPr="002B6A92">
        <w:rPr>
          <w:rStyle w:val="FootnoteReference"/>
          <w:vertAlign w:val="baseline"/>
        </w:rPr>
        <w:tab/>
      </w:r>
      <w:r w:rsidRPr="00A61E4E">
        <w:t xml:space="preserve">Supporting material is </w:t>
      </w:r>
      <w:r>
        <w:t xml:space="preserve">at </w:t>
      </w:r>
      <w:hyperlink r:id="rId7" w:history="1">
        <w:r w:rsidR="005D1B89">
          <w:rPr>
            <w:rStyle w:val="Hyperlink"/>
            <w:sz w:val="20"/>
          </w:rPr>
          <w:t>https://cedars.cpuc.ca.gov/deer-resources/tools/supporting-files/resource/2/history/</w:t>
        </w:r>
      </w:hyperlink>
    </w:p>
  </w:footnote>
  <w:footnote w:id="12">
    <w:p w14:paraId="17E01BBA" w14:textId="5CAFB732" w:rsidR="0013764C" w:rsidRDefault="0013764C" w:rsidP="00FD33AE">
      <w:pPr>
        <w:pStyle w:val="FootnoteHyperlink"/>
      </w:pPr>
      <w:r>
        <w:rPr>
          <w:rStyle w:val="FootnoteReference"/>
        </w:rPr>
        <w:footnoteRef/>
      </w:r>
      <w:r w:rsidRPr="005708B7">
        <w:t xml:space="preserve"> </w:t>
      </w:r>
      <w:hyperlink r:id="rId8" w:history="1">
        <w:r w:rsidRPr="005708B7">
          <w:rPr>
            <w:rStyle w:val="Hyperlink"/>
            <w:sz w:val="20"/>
          </w:rPr>
          <w:t>https://www.caetrm.com/</w:t>
        </w:r>
      </w:hyperlink>
    </w:p>
  </w:footnote>
  <w:footnote w:id="13">
    <w:p w14:paraId="23494608" w14:textId="01B1E699" w:rsidR="00470997" w:rsidRDefault="00470997" w:rsidP="00470997">
      <w:pPr>
        <w:pStyle w:val="FootnoteText"/>
      </w:pPr>
      <w:r w:rsidRPr="00166893">
        <w:rPr>
          <w:rStyle w:val="FootnoteReference"/>
        </w:rPr>
        <w:footnoteRef/>
      </w:r>
      <w:r>
        <w:t xml:space="preserve"> </w:t>
      </w:r>
      <w:hyperlink r:id="rId9" w:history="1">
        <w:r w:rsidRPr="00CC1DF9">
          <w:rPr>
            <w:rStyle w:val="Hyperlink"/>
            <w:sz w:val="20"/>
          </w:rPr>
          <w:t>https://docs.cpuc.ca.gov/PublishedDocs/Published/G000/M346/K161/346161639.PDF</w:t>
        </w:r>
      </w:hyperlink>
      <w:r>
        <w:rPr>
          <w:rStyle w:val="Hyperlink"/>
          <w:color w:val="auto"/>
        </w:rPr>
        <w:t>,</w:t>
      </w:r>
      <w:r>
        <w:t xml:space="preserve"> </w:t>
      </w:r>
      <w:r w:rsidR="001A1E01">
        <w:t>p.</w:t>
      </w:r>
      <w:r>
        <w:t xml:space="preserve"> 11.</w:t>
      </w:r>
    </w:p>
  </w:footnote>
  <w:footnote w:id="14">
    <w:p w14:paraId="539DA37D" w14:textId="77777777" w:rsidR="007C09DA" w:rsidRDefault="007C09DA" w:rsidP="007C09DA">
      <w:pPr>
        <w:pStyle w:val="FootnoteText"/>
      </w:pPr>
      <w:r>
        <w:rPr>
          <w:rStyle w:val="FootnoteReference"/>
        </w:rPr>
        <w:footnoteRef/>
      </w:r>
      <w:r>
        <w:t xml:space="preserve"> Git is a distributed version control system that tracks changes in any set of computer files, usually used for computer programming.</w:t>
      </w:r>
    </w:p>
  </w:footnote>
  <w:footnote w:id="15">
    <w:p w14:paraId="47F94528" w14:textId="53BD0231" w:rsidR="00B60A33" w:rsidRDefault="00B60A33" w:rsidP="00B60A33">
      <w:pPr>
        <w:pStyle w:val="FootnoteText"/>
      </w:pPr>
      <w:r>
        <w:rPr>
          <w:rStyle w:val="FootnoteReference"/>
        </w:rPr>
        <w:footnoteRef/>
      </w:r>
      <w:r w:rsidRPr="002502F3">
        <w:t xml:space="preserve"> </w:t>
      </w:r>
      <w:hyperlink r:id="rId10" w:history="1">
        <w:r w:rsidR="005D1B89">
          <w:rPr>
            <w:color w:val="0000FF"/>
            <w:u w:val="single"/>
          </w:rPr>
          <w:t>https://cedars.cpuc.ca.gov/deer-resources/tools/supporting-files/file/3105/download</w:t>
        </w:r>
      </w:hyperlink>
      <w:r w:rsidR="006B31D4" w:rsidRPr="00913552">
        <w:t xml:space="preserve">. </w:t>
      </w:r>
      <w:r w:rsidR="007E2832" w:rsidRPr="001A22CB">
        <w:t>On November 1, 2024</w:t>
      </w:r>
      <w:r w:rsidR="00DB59C3" w:rsidRPr="001A22CB">
        <w:t xml:space="preserve">, </w:t>
      </w:r>
      <w:r w:rsidR="00D21D8D" w:rsidRPr="001A22CB">
        <w:t>RACC-FSC</w:t>
      </w:r>
      <w:r w:rsidR="005944C7" w:rsidRPr="001A22CB">
        <w:t>_v3.1</w:t>
      </w:r>
      <w:r w:rsidR="00E310C7" w:rsidRPr="001A22CB">
        <w:t xml:space="preserve"> was released</w:t>
      </w:r>
      <w:r w:rsidR="003B7FE0" w:rsidRPr="001A22CB">
        <w:t xml:space="preserve"> to </w:t>
      </w:r>
      <w:r w:rsidR="00813400">
        <w:t xml:space="preserve">formulaically </w:t>
      </w:r>
      <w:r w:rsidR="00154AAD">
        <w:t>distinguish</w:t>
      </w:r>
      <w:r w:rsidR="008E1D54" w:rsidRPr="001A22CB">
        <w:t xml:space="preserve"> between </w:t>
      </w:r>
      <w:r w:rsidR="00154AAD">
        <w:t>different DEER</w:t>
      </w:r>
      <w:r w:rsidR="00D04516">
        <w:t xml:space="preserve"> Versions of</w:t>
      </w:r>
      <w:r w:rsidR="001A22CB" w:rsidRPr="001A22CB">
        <w:t xml:space="preserve"> EUL values.</w:t>
      </w:r>
    </w:p>
  </w:footnote>
  <w:footnote w:id="16">
    <w:p w14:paraId="15ED1DAC" w14:textId="049358F3" w:rsidR="00071A19" w:rsidRDefault="00071A19" w:rsidP="00071A19">
      <w:pPr>
        <w:pStyle w:val="FootnoteText"/>
      </w:pPr>
      <w:r>
        <w:rPr>
          <w:rStyle w:val="FootnoteReference"/>
        </w:rPr>
        <w:footnoteRef/>
      </w:r>
      <w:r>
        <w:t xml:space="preserve"> “</w:t>
      </w:r>
      <w:r w:rsidRPr="00103073">
        <w:t xml:space="preserve">The staff proposal </w:t>
      </w:r>
      <w:r w:rsidR="00A46E0D">
        <w:t>recommends</w:t>
      </w:r>
      <w:r w:rsidRPr="00103073">
        <w:t>, among other things, that consideration of the Refrigerant Avoided Cost Calculator be transferred from R.22-11-013 to the</w:t>
      </w:r>
      <w:r>
        <w:t xml:space="preserve"> </w:t>
      </w:r>
      <w:r w:rsidRPr="00103073">
        <w:t>resolution process for biennial updates to the Database for Energy Efficiency Resources.</w:t>
      </w:r>
      <w:r>
        <w:t>” (</w:t>
      </w:r>
      <w:r w:rsidR="003451EF">
        <w:t>See</w:t>
      </w:r>
      <w:r>
        <w:t xml:space="preserve"> </w:t>
      </w:r>
      <w:hyperlink r:id="rId11" w:history="1">
        <w:r w:rsidRPr="000D7C92">
          <w:rPr>
            <w:rStyle w:val="Hyperlink"/>
            <w:sz w:val="20"/>
          </w:rPr>
          <w:t>https://docs.cpuc.ca.gov/PublishedDocs/Efile/G000/M516/K988/516988077.PDF</w:t>
        </w:r>
      </w:hyperlink>
      <w:r>
        <w:t>.)</w:t>
      </w:r>
    </w:p>
  </w:footnote>
  <w:footnote w:id="17">
    <w:p w14:paraId="6521437A" w14:textId="4D4AE68B" w:rsidR="002A6AEA" w:rsidRDefault="002A6AEA" w:rsidP="002A6AEA">
      <w:pPr>
        <w:pStyle w:val="FootnoteText"/>
      </w:pPr>
      <w:r>
        <w:rPr>
          <w:rStyle w:val="FootnoteReference"/>
        </w:rPr>
        <w:footnoteRef/>
      </w:r>
      <w:r>
        <w:t xml:space="preserve"> </w:t>
      </w:r>
      <w:hyperlink r:id="rId12" w:history="1">
        <w:r w:rsidRPr="00235953">
          <w:rPr>
            <w:rStyle w:val="Hyperlink"/>
            <w:sz w:val="20"/>
          </w:rPr>
          <w:t>https://edcentralserver.files.com/preview/f/f7b564868ffdc879/CET_Input_Guide_10132022.xlsx</w:t>
        </w:r>
      </w:hyperlink>
    </w:p>
  </w:footnote>
  <w:footnote w:id="18">
    <w:p w14:paraId="1CF46197" w14:textId="77777777" w:rsidR="00E95560" w:rsidRDefault="00E95560" w:rsidP="00E95560">
      <w:pPr>
        <w:pStyle w:val="FootnoteText"/>
      </w:pPr>
      <w:r>
        <w:rPr>
          <w:rStyle w:val="FootnoteReference"/>
        </w:rPr>
        <w:footnoteRef/>
      </w:r>
      <w:r>
        <w:t xml:space="preserve"> </w:t>
      </w:r>
      <w:r w:rsidRPr="00140EB7">
        <w:t>D.06-06-063 OP 1. The DEER version adopted in D.12-05-015 utilizes a 3-day “heat wave” that occurs on consecutive days in June through September such that the three consecutive days do not include weekends or holidays, and where the heat wave is ranked by giving equal weight to the peak temperature during the 72-hour period, the average temperature during the 72-hour period and the average temperature from noon – 6 pm over the three days.</w:t>
      </w:r>
    </w:p>
  </w:footnote>
  <w:footnote w:id="19">
    <w:p w14:paraId="6650ACAE" w14:textId="0E44A435" w:rsidR="00E95560" w:rsidRDefault="00E95560" w:rsidP="00830E2E">
      <w:pPr>
        <w:pStyle w:val="FootnoteHyperlink"/>
      </w:pPr>
      <w:r>
        <w:rPr>
          <w:rStyle w:val="FootnoteReference"/>
        </w:rPr>
        <w:footnoteRef/>
      </w:r>
      <w:r>
        <w:t xml:space="preserve"> </w:t>
      </w:r>
      <w:hyperlink r:id="rId13" w:history="1">
        <w:r w:rsidR="00815852" w:rsidRPr="000B21D9">
          <w:rPr>
            <w:rStyle w:val="Hyperlink"/>
            <w:sz w:val="20"/>
          </w:rPr>
          <w:t>https://docs.cpuc.ca.gov/PublishedDocs/Published/G000/M232/K459/232459122.PDF</w:t>
        </w:r>
      </w:hyperlink>
    </w:p>
  </w:footnote>
  <w:footnote w:id="20">
    <w:p w14:paraId="12ADAF35" w14:textId="1F5047CC" w:rsidR="00945B24" w:rsidRDefault="00945B24" w:rsidP="00945B24">
      <w:pPr>
        <w:pStyle w:val="FootnoteText"/>
      </w:pPr>
      <w:r>
        <w:rPr>
          <w:rStyle w:val="FootnoteReference"/>
        </w:rPr>
        <w:footnoteRef/>
      </w:r>
      <w:r>
        <w:t xml:space="preserve"> Commercial water heating measures, however, continue to use the DEER Water Heater Calculator to determine energy usage and savings.</w:t>
      </w:r>
    </w:p>
  </w:footnote>
  <w:footnote w:id="21">
    <w:p w14:paraId="2C2750FB" w14:textId="77777777" w:rsidR="00945B24" w:rsidRPr="008D45F5" w:rsidRDefault="00945B24" w:rsidP="00945B24">
      <w:pPr>
        <w:pStyle w:val="FootnoteText"/>
      </w:pPr>
      <w:r w:rsidRPr="008D45F5">
        <w:rPr>
          <w:rStyle w:val="FootnoteReference"/>
        </w:rPr>
        <w:footnoteRef/>
      </w:r>
      <w:r w:rsidRPr="008D45F5">
        <w:t xml:space="preserve"> </w:t>
      </w:r>
      <w:proofErr w:type="spellStart"/>
      <w:r w:rsidRPr="008D45F5">
        <w:rPr>
          <w:i/>
          <w:iCs/>
        </w:rPr>
        <w:t>Modelkit</w:t>
      </w:r>
      <w:proofErr w:type="spellEnd"/>
      <w:r w:rsidRPr="008D45F5">
        <w:t xml:space="preserve"> is a free and open-source, cross-platform framework for parametric building energy modeling. </w:t>
      </w:r>
    </w:p>
    <w:p w14:paraId="7B5A8705" w14:textId="3FC8264B" w:rsidR="00945B24" w:rsidRPr="00DD2CBA" w:rsidRDefault="00945B24" w:rsidP="00945B24">
      <w:pPr>
        <w:pStyle w:val="FootnoteText"/>
      </w:pPr>
      <w:hyperlink r:id="rId14" w:history="1">
        <w:r w:rsidRPr="00F54113">
          <w:rPr>
            <w:rStyle w:val="Hyperlink"/>
            <w:sz w:val="20"/>
          </w:rPr>
          <w:t>https://bigladdersoftware.com/projects/modelkit/</w:t>
        </w:r>
      </w:hyperlink>
    </w:p>
  </w:footnote>
  <w:footnote w:id="22">
    <w:p w14:paraId="5AFAC2DA" w14:textId="39E9BD98" w:rsidR="00945B24" w:rsidRDefault="00945B24" w:rsidP="00945B24">
      <w:pPr>
        <w:pStyle w:val="FootnoteText"/>
        <w:tabs>
          <w:tab w:val="left" w:pos="6972"/>
        </w:tabs>
      </w:pPr>
      <w:r>
        <w:rPr>
          <w:rStyle w:val="FootnoteReference"/>
        </w:rPr>
        <w:footnoteRef/>
      </w:r>
      <w:r>
        <w:t xml:space="preserve"> </w:t>
      </w:r>
      <w:hyperlink r:id="rId15" w:history="1">
        <w:r w:rsidRPr="00F54113">
          <w:rPr>
            <w:rStyle w:val="Hyperlink"/>
            <w:sz w:val="20"/>
          </w:rPr>
          <w:t>https://github.com/sound-data/DEER-Prototypes-EnergyPlus</w:t>
        </w:r>
      </w:hyperlink>
    </w:p>
  </w:footnote>
  <w:footnote w:id="23">
    <w:p w14:paraId="5025B817" w14:textId="4BE0FF89" w:rsidR="00B36C75" w:rsidRDefault="00B36C75" w:rsidP="00B36C75">
      <w:pPr>
        <w:pStyle w:val="FootnoteText"/>
      </w:pPr>
      <w:r>
        <w:rPr>
          <w:rStyle w:val="FootnoteReference"/>
        </w:rPr>
        <w:footnoteRef/>
      </w:r>
      <w:r>
        <w:t xml:space="preserve"> </w:t>
      </w:r>
      <w:hyperlink r:id="rId16" w:history="1">
        <w:r w:rsidRPr="00CA0CEF">
          <w:rPr>
            <w:rStyle w:val="Hyperlink"/>
            <w:sz w:val="20"/>
          </w:rPr>
          <w:t>https://pda.energydataweb.com/api/downloads/2816/CIAC 2020-2021 Evaluation Final Report - Revised.pdf</w:t>
        </w:r>
      </w:hyperlink>
    </w:p>
  </w:footnote>
  <w:footnote w:id="24">
    <w:p w14:paraId="4E9BDF4F" w14:textId="5D50526D" w:rsidR="00202C10" w:rsidRDefault="00202C10" w:rsidP="00202C10">
      <w:pPr>
        <w:pStyle w:val="FootnoteText"/>
      </w:pPr>
      <w:r>
        <w:rPr>
          <w:rStyle w:val="FootnoteReference"/>
        </w:rPr>
        <w:footnoteRef/>
      </w:r>
      <w:r>
        <w:t xml:space="preserve"> </w:t>
      </w:r>
      <w:hyperlink r:id="rId17" w:history="1">
        <w:r w:rsidRPr="00CA0CEF">
          <w:rPr>
            <w:rStyle w:val="Hyperlink"/>
            <w:sz w:val="20"/>
          </w:rPr>
          <w:t>https://pda.energydataweb.com/api/downloads/3903/CPUC Group A 2023 Residential Insulation EUL Study Final Report.pdf</w:t>
        </w:r>
      </w:hyperlink>
    </w:p>
  </w:footnote>
  <w:footnote w:id="25">
    <w:p w14:paraId="4CD2B051" w14:textId="0ADB71E0" w:rsidR="00202C10" w:rsidRDefault="00202C10" w:rsidP="00202C10">
      <w:pPr>
        <w:pStyle w:val="FootnoteText"/>
      </w:pPr>
      <w:r>
        <w:rPr>
          <w:rStyle w:val="FootnoteReference"/>
        </w:rPr>
        <w:footnoteRef/>
      </w:r>
      <w:r>
        <w:t xml:space="preserve"> </w:t>
      </w:r>
      <w:hyperlink r:id="rId18" w:history="1">
        <w:r w:rsidRPr="00CA0CEF">
          <w:rPr>
            <w:rStyle w:val="Hyperlink"/>
            <w:sz w:val="20"/>
          </w:rPr>
          <w:t>https://pda.energydataweb.com/api/downloads/3952/CPUC Group A 2023 Res HVAC and DHW EUL Study Final Report.pdf</w:t>
        </w:r>
      </w:hyperlink>
    </w:p>
  </w:footnote>
  <w:footnote w:id="26">
    <w:p w14:paraId="34DBF97B" w14:textId="33ACC8C3" w:rsidR="006C5C2F" w:rsidRDefault="006C5C2F" w:rsidP="00CA0CEF">
      <w:pPr>
        <w:pStyle w:val="FootnoteHyperlink"/>
      </w:pPr>
      <w:r>
        <w:rPr>
          <w:rStyle w:val="FootnoteReference"/>
        </w:rPr>
        <w:footnoteRef/>
      </w:r>
      <w:r w:rsidR="00F37A72" w:rsidRPr="00CA0CEF">
        <w:t xml:space="preserve"> </w:t>
      </w:r>
      <w:hyperlink r:id="rId19" w:history="1">
        <w:r w:rsidR="009C4B93" w:rsidRPr="00CA0CEF">
          <w:rPr>
            <w:rStyle w:val="Hyperlink"/>
            <w:sz w:val="20"/>
          </w:rPr>
          <w:t>https://pda.energydataweb.com/api/view/3980/CPUC%20Group%20A%202023%20Commercial%</w:t>
        </w:r>
        <w:r w:rsidR="003D48D4">
          <w:rPr>
            <w:rStyle w:val="Hyperlink"/>
            <w:sz w:val="20"/>
          </w:rPr>
          <w:t>20 HVAC</w:t>
        </w:r>
        <w:r w:rsidR="009C4B93" w:rsidRPr="00CA0CEF">
          <w:rPr>
            <w:rStyle w:val="Hyperlink"/>
            <w:sz w:val="20"/>
          </w:rPr>
          <w:t>%20and%20Water%20Heating%20EUL%20Study%20Final%20Report.pdf</w:t>
        </w:r>
      </w:hyperlink>
    </w:p>
  </w:footnote>
  <w:footnote w:id="27">
    <w:p w14:paraId="76576008" w14:textId="0F7B58C5" w:rsidR="00322ECF" w:rsidRPr="00CA0CEF" w:rsidRDefault="00322ECF" w:rsidP="00322ECF">
      <w:pPr>
        <w:pStyle w:val="FootnoteText"/>
      </w:pPr>
      <w:r>
        <w:rPr>
          <w:rStyle w:val="FootnoteReference"/>
        </w:rPr>
        <w:footnoteRef/>
      </w:r>
      <w:r>
        <w:t xml:space="preserve"> </w:t>
      </w:r>
      <w:hyperlink r:id="rId20" w:anchor="!/documents/4023/view" w:history="1">
        <w:r w:rsidR="00E45746" w:rsidRPr="00CA0CEF">
          <w:rPr>
            <w:rStyle w:val="Hyperlink"/>
            <w:sz w:val="20"/>
          </w:rPr>
          <w:t>https://pda.energydataweb.com/#!/documents/4023/view</w:t>
        </w:r>
      </w:hyperlink>
    </w:p>
  </w:footnote>
  <w:footnote w:id="28">
    <w:p w14:paraId="458C1220" w14:textId="4A16DCA8" w:rsidR="00A4365A" w:rsidRDefault="00A4365A" w:rsidP="00A4365A">
      <w:pPr>
        <w:pStyle w:val="FootnoteText"/>
      </w:pPr>
      <w:r>
        <w:rPr>
          <w:rStyle w:val="FootnoteReference"/>
        </w:rPr>
        <w:footnoteRef/>
      </w:r>
      <w:r w:rsidR="007512D5">
        <w:t>“</w:t>
      </w:r>
      <w:r w:rsidR="007512D5" w:rsidRPr="00DF474B">
        <w:t xml:space="preserve">CPUC Group A </w:t>
      </w:r>
      <w:r w:rsidR="007512D5">
        <w:t>R</w:t>
      </w:r>
      <w:r w:rsidR="007512D5" w:rsidRPr="00DF474B">
        <w:t xml:space="preserve">esidential </w:t>
      </w:r>
      <w:r w:rsidR="007512D5">
        <w:t>D</w:t>
      </w:r>
      <w:r w:rsidR="007512D5" w:rsidRPr="00DF474B">
        <w:t xml:space="preserve">irect </w:t>
      </w:r>
      <w:r w:rsidR="007512D5">
        <w:t>I</w:t>
      </w:r>
      <w:r w:rsidR="007512D5" w:rsidRPr="00DF474B">
        <w:t>nstall Program Impact Evaluation - Program Year 2021</w:t>
      </w:r>
      <w:r w:rsidR="007512D5">
        <w:t>,” DNV, April 26, 2023</w:t>
      </w:r>
      <w:r w:rsidR="007512D5" w:rsidRPr="002240DB">
        <w:t>.</w:t>
      </w:r>
      <w:r w:rsidR="007512D5">
        <w:t xml:space="preserve"> (</w:t>
      </w:r>
      <w:hyperlink r:id="rId21" w:history="1">
        <w:r w:rsidR="007512D5" w:rsidRPr="00BD5F3B">
          <w:rPr>
            <w:rStyle w:val="Hyperlink"/>
            <w:sz w:val="20"/>
          </w:rPr>
          <w:t>www.calmac.org/publications/CPUC_Group_A_PY2021_Residential_Install_Program_Impact_Evaluation_-_Final_Report_CALMAC.pdf</w:t>
        </w:r>
      </w:hyperlink>
      <w:r w:rsidR="007512D5">
        <w:t>)</w:t>
      </w:r>
    </w:p>
  </w:footnote>
  <w:footnote w:id="29">
    <w:p w14:paraId="29A03084" w14:textId="77777777" w:rsidR="00A4365A" w:rsidRDefault="00A4365A" w:rsidP="00A4365A">
      <w:pPr>
        <w:pStyle w:val="FootnoteText"/>
      </w:pPr>
      <w:r>
        <w:rPr>
          <w:rStyle w:val="FootnoteReference"/>
        </w:rPr>
        <w:footnoteRef/>
      </w:r>
      <w:r>
        <w:t xml:space="preserve"> Ibid.</w:t>
      </w:r>
    </w:p>
  </w:footnote>
  <w:footnote w:id="30">
    <w:p w14:paraId="64C69671" w14:textId="6E505616" w:rsidR="00AF0638" w:rsidRDefault="00AF0638" w:rsidP="006842DF">
      <w:pPr>
        <w:pStyle w:val="FootnoteText"/>
      </w:pPr>
      <w:r>
        <w:rPr>
          <w:rStyle w:val="FootnoteReference"/>
        </w:rPr>
        <w:footnoteRef/>
      </w:r>
      <w:r>
        <w:t xml:space="preserve"> </w:t>
      </w:r>
      <w:r w:rsidR="006842DF">
        <w:t>“EM&amp;V Group A – Final Impact Evaluation Report Local Third-Party Programs – Program Year 2021,” DNV, April 24, 2023</w:t>
      </w:r>
      <w:r w:rsidR="006842DF" w:rsidRPr="002240DB">
        <w:t>.</w:t>
      </w:r>
      <w:r w:rsidR="006842DF">
        <w:t xml:space="preserve"> (</w:t>
      </w:r>
      <w:hyperlink r:id="rId22" w:history="1">
        <w:r w:rsidR="006842DF" w:rsidRPr="00BD5F3B">
          <w:rPr>
            <w:rStyle w:val="Hyperlink"/>
            <w:sz w:val="20"/>
          </w:rPr>
          <w:t>www.calmac.org/publications/Group_A_PY2021_Local_Third-Party_Impact_Evaluation_-_Final_Report_CALMAC.pdf</w:t>
        </w:r>
      </w:hyperlink>
      <w:r w:rsidR="006842DF">
        <w:t>)</w:t>
      </w:r>
    </w:p>
  </w:footnote>
  <w:footnote w:id="31">
    <w:p w14:paraId="3C124723" w14:textId="77777777" w:rsidR="00AF0638" w:rsidRDefault="00AF0638" w:rsidP="00AF0638">
      <w:pPr>
        <w:pStyle w:val="FootnoteText"/>
      </w:pPr>
      <w:r>
        <w:rPr>
          <w:rStyle w:val="FootnoteReference"/>
        </w:rPr>
        <w:footnoteRef/>
      </w:r>
      <w:r>
        <w:t xml:space="preserve"> “</w:t>
      </w:r>
      <w:r w:rsidRPr="00DF474B">
        <w:t xml:space="preserve">CPUC Group A </w:t>
      </w:r>
      <w:r>
        <w:t>R</w:t>
      </w:r>
      <w:r w:rsidRPr="00DF474B">
        <w:t xml:space="preserve">esidential </w:t>
      </w:r>
      <w:r>
        <w:t>D</w:t>
      </w:r>
      <w:r w:rsidRPr="00DF474B">
        <w:t xml:space="preserve">irect </w:t>
      </w:r>
      <w:r>
        <w:t>I</w:t>
      </w:r>
      <w:r w:rsidRPr="00DF474B">
        <w:t>nstall Program Impact Evaluation - Program Year 2021</w:t>
      </w:r>
      <w:r>
        <w:t>,” DNV, April 26, 2023</w:t>
      </w:r>
      <w:r w:rsidRPr="002240DB">
        <w:t>.</w:t>
      </w:r>
      <w:r>
        <w:t xml:space="preserve"> (</w:t>
      </w:r>
      <w:hyperlink r:id="rId23" w:history="1">
        <w:r w:rsidRPr="00BD5F3B">
          <w:rPr>
            <w:rStyle w:val="Hyperlink"/>
            <w:sz w:val="20"/>
          </w:rPr>
          <w:t>www.calmac.org/publications/CPUC_Group_A_PY2021_Residential_Install_Program_Impact_Evaluation_-_Final_Report_CALMAC.pdf</w:t>
        </w:r>
      </w:hyperlink>
      <w:r>
        <w:t>)</w:t>
      </w:r>
    </w:p>
  </w:footnote>
  <w:footnote w:id="32">
    <w:p w14:paraId="243FDCAA" w14:textId="77777777" w:rsidR="00AF0638" w:rsidRDefault="00AF0638" w:rsidP="00AF0638">
      <w:pPr>
        <w:pStyle w:val="FootnoteText"/>
      </w:pPr>
      <w:r>
        <w:rPr>
          <w:rStyle w:val="FootnoteReference"/>
        </w:rPr>
        <w:footnoteRef/>
      </w:r>
      <w:r>
        <w:t xml:space="preserve"> Ibid.</w:t>
      </w:r>
    </w:p>
  </w:footnote>
  <w:footnote w:id="33">
    <w:p w14:paraId="41011C28" w14:textId="77777777" w:rsidR="00AF0638" w:rsidRDefault="00AF0638" w:rsidP="00AF0638">
      <w:pPr>
        <w:pStyle w:val="FootnoteText"/>
      </w:pPr>
      <w:r>
        <w:rPr>
          <w:rStyle w:val="FootnoteReference"/>
        </w:rPr>
        <w:footnoteRef/>
      </w:r>
      <w:r>
        <w:t xml:space="preserve"> “EM&amp;V Group A – Final Impact Evaluation Report Local Third-Party Programs – Program Year 2021,” DNV, April 24, 2023</w:t>
      </w:r>
      <w:r w:rsidRPr="002240DB">
        <w:t>.</w:t>
      </w:r>
      <w:r>
        <w:t xml:space="preserve"> (</w:t>
      </w:r>
      <w:hyperlink r:id="rId24" w:history="1">
        <w:r w:rsidRPr="00BD5F3B">
          <w:rPr>
            <w:rStyle w:val="Hyperlink"/>
            <w:sz w:val="20"/>
          </w:rPr>
          <w:t>www.calmac.org/publications/Group_A_PY2021_Local_Third-Party_Impact_Evaluation_-_Final_Report_CALMAC.pdf</w:t>
        </w:r>
      </w:hyperlink>
      <w:r>
        <w:t>)</w:t>
      </w:r>
    </w:p>
  </w:footnote>
  <w:footnote w:id="34">
    <w:p w14:paraId="62A1FF6C" w14:textId="77777777" w:rsidR="00AF0638" w:rsidRDefault="00AF0638" w:rsidP="00AF0638">
      <w:pPr>
        <w:pStyle w:val="FootnoteText"/>
      </w:pPr>
      <w:r>
        <w:rPr>
          <w:rStyle w:val="FootnoteReference"/>
        </w:rPr>
        <w:footnoteRef/>
      </w:r>
      <w:r>
        <w:t xml:space="preserve"> Ibid.</w:t>
      </w:r>
    </w:p>
  </w:footnote>
  <w:footnote w:id="35">
    <w:p w14:paraId="2A8AC9D1" w14:textId="1E6EBBE0" w:rsidR="00556D2E" w:rsidRDefault="00556D2E">
      <w:pPr>
        <w:pStyle w:val="FootnoteText"/>
      </w:pPr>
      <w:r>
        <w:rPr>
          <w:rStyle w:val="FootnoteReference"/>
        </w:rPr>
        <w:footnoteRef/>
      </w:r>
      <w:r>
        <w:t xml:space="preserve"> </w:t>
      </w:r>
      <w:r w:rsidR="0020185F">
        <w:t>“</w:t>
      </w:r>
      <w:r w:rsidR="0020185F" w:rsidRPr="00DF474B">
        <w:t xml:space="preserve">CPUC Group A </w:t>
      </w:r>
      <w:r w:rsidR="0020185F">
        <w:t>R</w:t>
      </w:r>
      <w:r w:rsidR="0020185F" w:rsidRPr="00DF474B">
        <w:t xml:space="preserve">esidential </w:t>
      </w:r>
      <w:r w:rsidR="0020185F">
        <w:t>D</w:t>
      </w:r>
      <w:r w:rsidR="0020185F" w:rsidRPr="00DF474B">
        <w:t xml:space="preserve">irect </w:t>
      </w:r>
      <w:r w:rsidR="0020185F">
        <w:t>I</w:t>
      </w:r>
      <w:r w:rsidR="0020185F" w:rsidRPr="00DF474B">
        <w:t>nstall Program Impact Evaluation - Program Year 2021</w:t>
      </w:r>
      <w:r w:rsidR="0020185F">
        <w:t>,” DNV, April 26, 2023</w:t>
      </w:r>
      <w:r w:rsidR="00A04314">
        <w:t>.</w:t>
      </w:r>
      <w:r w:rsidR="00E314E1">
        <w:t xml:space="preserve"> </w:t>
      </w:r>
      <w:r w:rsidR="0020185F">
        <w:t>(</w:t>
      </w:r>
      <w:hyperlink r:id="rId25" w:history="1">
        <w:r w:rsidR="0057786A" w:rsidRPr="00AC267E">
          <w:rPr>
            <w:rStyle w:val="Hyperlink"/>
            <w:sz w:val="20"/>
          </w:rPr>
          <w:t>www.calmac.org/publications/CPUC_Group_A_PY2021_Residential_Install_Program_Impact_ Evaluation_-_Final_Report_CALMAC.pdf</w:t>
        </w:r>
      </w:hyperlink>
      <w:r w:rsidR="0020185F">
        <w:t>)</w:t>
      </w:r>
    </w:p>
  </w:footnote>
  <w:footnote w:id="36">
    <w:p w14:paraId="50E26CA3" w14:textId="131EC542" w:rsidR="00DE3D15" w:rsidRDefault="00DE3D15">
      <w:pPr>
        <w:pStyle w:val="FootnoteText"/>
      </w:pPr>
      <w:r>
        <w:rPr>
          <w:rStyle w:val="FootnoteReference"/>
        </w:rPr>
        <w:footnoteRef/>
      </w:r>
      <w:r>
        <w:t xml:space="preserve"> </w:t>
      </w:r>
      <w:r w:rsidR="008F5E15">
        <w:t>Ibid.</w:t>
      </w:r>
    </w:p>
  </w:footnote>
  <w:footnote w:id="37">
    <w:p w14:paraId="1FC508D6" w14:textId="3A7F3C0E" w:rsidR="00865D89" w:rsidRDefault="00865D89">
      <w:pPr>
        <w:pStyle w:val="FootnoteText"/>
      </w:pPr>
      <w:r>
        <w:rPr>
          <w:rStyle w:val="FootnoteReference"/>
        </w:rPr>
        <w:footnoteRef/>
      </w:r>
      <w:r>
        <w:t xml:space="preserve"> Ibid</w:t>
      </w:r>
      <w:r w:rsidR="00CB72D3">
        <w:t>.</w:t>
      </w:r>
    </w:p>
  </w:footnote>
  <w:footnote w:id="38">
    <w:p w14:paraId="06EF7DA9" w14:textId="5C6BD7AF" w:rsidR="00857720" w:rsidRDefault="00857720">
      <w:pPr>
        <w:pStyle w:val="FootnoteText"/>
      </w:pPr>
      <w:r>
        <w:rPr>
          <w:rStyle w:val="FootnoteReference"/>
        </w:rPr>
        <w:footnoteRef/>
      </w:r>
      <w:r>
        <w:t xml:space="preserve"> </w:t>
      </w:r>
      <w:r w:rsidR="00661BA8">
        <w:t>Ibid</w:t>
      </w:r>
      <w:r w:rsidR="00E540E4">
        <w:t>.</w:t>
      </w:r>
    </w:p>
  </w:footnote>
  <w:footnote w:id="39">
    <w:p w14:paraId="08624DD4" w14:textId="177AD96D" w:rsidR="006931F2" w:rsidRDefault="006931F2" w:rsidP="006931F2">
      <w:pPr>
        <w:pStyle w:val="FootnoteText"/>
      </w:pPr>
      <w:r>
        <w:rPr>
          <w:rStyle w:val="FootnoteReference"/>
        </w:rPr>
        <w:footnoteRef/>
      </w:r>
      <w:r>
        <w:t xml:space="preserve"> </w:t>
      </w:r>
      <w:hyperlink r:id="rId26" w:history="1">
        <w:r w:rsidR="00565737">
          <w:rPr>
            <w:color w:val="4F81BD" w:themeColor="accent1"/>
            <w:u w:val="single"/>
          </w:rPr>
          <w:t>https://cedars.cpuc.ca.gov/deer-resources/deemed-measure-packages/dispositions/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8CA20" w14:textId="77777777" w:rsidR="00444CC0" w:rsidRDefault="00444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BF2D6" w14:textId="77777777" w:rsidR="00F81525" w:rsidRDefault="001F1121" w:rsidP="00AE1D5F">
    <w:pPr>
      <w:pStyle w:val="Header"/>
      <w:spacing w:after="0"/>
    </w:pPr>
    <w:r w:rsidRPr="006432F6">
      <w:t>Resolution E-</w:t>
    </w:r>
    <w:r w:rsidR="00601D7F">
      <w:t>5</w:t>
    </w:r>
    <w:r w:rsidR="00C07BEC">
      <w:t>350</w:t>
    </w:r>
  </w:p>
  <w:p w14:paraId="653B17C4" w14:textId="18B45248" w:rsidR="001F1121" w:rsidRDefault="00F81525" w:rsidP="00AE1D5F">
    <w:pPr>
      <w:pStyle w:val="Header"/>
      <w:spacing w:after="0"/>
    </w:pPr>
    <w:r>
      <w:t>DEER</w:t>
    </w:r>
    <w:r w:rsidR="0029146C">
      <w:t>/PB3</w:t>
    </w:r>
    <w:r w:rsidR="001F1121">
      <w:tab/>
    </w:r>
    <w:r w:rsidR="001F1121">
      <w:tab/>
    </w:r>
    <w:r w:rsidR="006C1F08">
      <w:t>December 19,</w:t>
    </w:r>
    <w:r w:rsidR="001F1121" w:rsidRPr="006C1F08">
      <w:t xml:space="preserve"> 202</w:t>
    </w:r>
    <w:r w:rsidR="00773477" w:rsidRPr="006C1F08">
      <w:t>4</w:t>
    </w:r>
  </w:p>
  <w:p w14:paraId="04C7BE51" w14:textId="77777777" w:rsidR="001F1121" w:rsidRDefault="001F1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F9A26" w14:textId="2E94B996" w:rsidR="009002EC" w:rsidRDefault="009002EC" w:rsidP="00872548">
    <w:pPr>
      <w:pStyle w:val="Header"/>
    </w:pPr>
    <w:r>
      <w:tab/>
    </w:r>
    <w:r w:rsidR="004C2A2C">
      <w:tab/>
      <w:t>Date of Issuance: December 26,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792B1" w14:textId="2EBC592F" w:rsidR="000415D1" w:rsidRDefault="000415D1" w:rsidP="000415D1">
    <w:pPr>
      <w:pStyle w:val="Header"/>
      <w:spacing w:after="0"/>
    </w:pPr>
    <w:r w:rsidRPr="006432F6">
      <w:t>Resolution E-</w:t>
    </w:r>
    <w:r>
      <w:t>5350</w:t>
    </w:r>
    <w:r>
      <w:tab/>
    </w:r>
    <w:r w:rsidRPr="006C1F08">
      <w:tab/>
    </w:r>
    <w:r>
      <w:t>December 19,</w:t>
    </w:r>
    <w:r w:rsidRPr="006C1F08">
      <w:t xml:space="preserve"> 2024</w:t>
    </w:r>
  </w:p>
  <w:p w14:paraId="6B9FCC74" w14:textId="77777777" w:rsidR="000415D1" w:rsidRDefault="000415D1" w:rsidP="000415D1">
    <w:pPr>
      <w:pStyle w:val="Header"/>
    </w:pPr>
    <w:r>
      <w:t>Appendix A</w:t>
    </w:r>
  </w:p>
  <w:p w14:paraId="3ACF334D" w14:textId="77777777" w:rsidR="001F1121" w:rsidRDefault="001F11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8D95E" w14:textId="0B3F0A63" w:rsidR="000415D1" w:rsidRDefault="000415D1" w:rsidP="000415D1">
    <w:pPr>
      <w:pStyle w:val="Header"/>
      <w:spacing w:after="0"/>
    </w:pPr>
    <w:r w:rsidRPr="006432F6">
      <w:t>Resolution E-</w:t>
    </w:r>
    <w:r>
      <w:t>5350</w:t>
    </w:r>
    <w:r>
      <w:tab/>
    </w:r>
    <w:r w:rsidRPr="006C1F08">
      <w:tab/>
    </w:r>
    <w:r>
      <w:t>December 19,</w:t>
    </w:r>
    <w:r w:rsidRPr="006C1F08">
      <w:t xml:space="preserve"> 2024</w:t>
    </w:r>
  </w:p>
  <w:p w14:paraId="4A8BC710" w14:textId="77777777" w:rsidR="000415D1" w:rsidRDefault="000415D1" w:rsidP="000415D1">
    <w:pPr>
      <w:pStyle w:val="Header"/>
    </w:pPr>
    <w:r>
      <w:t>Appendix A</w:t>
    </w:r>
  </w:p>
  <w:p w14:paraId="69B824D2" w14:textId="77777777" w:rsidR="001F1121" w:rsidRDefault="001F1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03D92"/>
    <w:multiLevelType w:val="hybridMultilevel"/>
    <w:tmpl w:val="80EA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C082D"/>
    <w:multiLevelType w:val="hybridMultilevel"/>
    <w:tmpl w:val="B704B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D131E"/>
    <w:multiLevelType w:val="hybridMultilevel"/>
    <w:tmpl w:val="FFFFFFFF"/>
    <w:lvl w:ilvl="0" w:tplc="3594F1A0">
      <w:start w:val="1"/>
      <w:numFmt w:val="decimal"/>
      <w:lvlText w:val="%1."/>
      <w:lvlJc w:val="left"/>
      <w:pPr>
        <w:ind w:left="360" w:hanging="360"/>
      </w:pPr>
    </w:lvl>
    <w:lvl w:ilvl="1" w:tplc="0DF017A2">
      <w:start w:val="1"/>
      <w:numFmt w:val="lowerLetter"/>
      <w:lvlText w:val="%2."/>
      <w:lvlJc w:val="left"/>
      <w:pPr>
        <w:ind w:left="1080" w:hanging="360"/>
      </w:pPr>
    </w:lvl>
    <w:lvl w:ilvl="2" w:tplc="078854D6">
      <w:start w:val="1"/>
      <w:numFmt w:val="lowerRoman"/>
      <w:lvlText w:val="%3."/>
      <w:lvlJc w:val="right"/>
      <w:pPr>
        <w:ind w:left="1800" w:hanging="180"/>
      </w:pPr>
    </w:lvl>
    <w:lvl w:ilvl="3" w:tplc="2F204F9C">
      <w:start w:val="1"/>
      <w:numFmt w:val="decimal"/>
      <w:lvlText w:val="%4."/>
      <w:lvlJc w:val="left"/>
      <w:pPr>
        <w:ind w:left="2520" w:hanging="360"/>
      </w:pPr>
    </w:lvl>
    <w:lvl w:ilvl="4" w:tplc="A6F69662">
      <w:start w:val="1"/>
      <w:numFmt w:val="lowerLetter"/>
      <w:lvlText w:val="%5."/>
      <w:lvlJc w:val="left"/>
      <w:pPr>
        <w:ind w:left="3240" w:hanging="360"/>
      </w:pPr>
    </w:lvl>
    <w:lvl w:ilvl="5" w:tplc="CD3605DC">
      <w:start w:val="1"/>
      <w:numFmt w:val="lowerRoman"/>
      <w:lvlText w:val="%6."/>
      <w:lvlJc w:val="right"/>
      <w:pPr>
        <w:ind w:left="3960" w:hanging="180"/>
      </w:pPr>
    </w:lvl>
    <w:lvl w:ilvl="6" w:tplc="4BCAFEE4">
      <w:start w:val="1"/>
      <w:numFmt w:val="decimal"/>
      <w:lvlText w:val="%7."/>
      <w:lvlJc w:val="left"/>
      <w:pPr>
        <w:ind w:left="4680" w:hanging="360"/>
      </w:pPr>
    </w:lvl>
    <w:lvl w:ilvl="7" w:tplc="1F4CFDB0">
      <w:start w:val="1"/>
      <w:numFmt w:val="lowerLetter"/>
      <w:lvlText w:val="%8."/>
      <w:lvlJc w:val="left"/>
      <w:pPr>
        <w:ind w:left="5400" w:hanging="360"/>
      </w:pPr>
    </w:lvl>
    <w:lvl w:ilvl="8" w:tplc="15828FD4">
      <w:start w:val="1"/>
      <w:numFmt w:val="lowerRoman"/>
      <w:lvlText w:val="%9."/>
      <w:lvlJc w:val="right"/>
      <w:pPr>
        <w:ind w:left="6120" w:hanging="180"/>
      </w:pPr>
    </w:lvl>
  </w:abstractNum>
  <w:abstractNum w:abstractNumId="3" w15:restartNumberingAfterBreak="0">
    <w:nsid w:val="10461213"/>
    <w:multiLevelType w:val="hybridMultilevel"/>
    <w:tmpl w:val="1E40DA22"/>
    <w:lvl w:ilvl="0" w:tplc="F24A9D7E">
      <w:start w:val="1"/>
      <w:numFmt w:val="decimal"/>
      <w:lvlText w:val="%1."/>
      <w:lvlJc w:val="left"/>
      <w:pPr>
        <w:ind w:left="360" w:hanging="360"/>
      </w:pPr>
      <w:rPr>
        <w:rFonts w:cs="Times New Roman"/>
        <w:i w:val="0"/>
        <w:sz w:val="24"/>
        <w:szCs w:val="24"/>
      </w:rPr>
    </w:lvl>
    <w:lvl w:ilvl="1" w:tplc="BBAE7110">
      <w:numFmt w:val="bullet"/>
      <w:lvlText w:val=""/>
      <w:lvlJc w:val="left"/>
      <w:pPr>
        <w:ind w:left="1080" w:hanging="360"/>
      </w:pPr>
      <w:rPr>
        <w:rFonts w:ascii="Palatino Linotype" w:eastAsia="Times New Roman" w:hAnsi="Palatino Linotype"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23E18C4"/>
    <w:multiLevelType w:val="hybridMultilevel"/>
    <w:tmpl w:val="8674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F2F00"/>
    <w:multiLevelType w:val="hybridMultilevel"/>
    <w:tmpl w:val="C4C6698A"/>
    <w:lvl w:ilvl="0" w:tplc="3952776A">
      <w:start w:val="4"/>
      <w:numFmt w:val="decimal"/>
      <w:lvlText w:val="%1."/>
      <w:lvlJc w:val="left"/>
      <w:pPr>
        <w:ind w:left="720" w:hanging="360"/>
      </w:pPr>
      <w:rPr>
        <w:rFonts w:hint="default"/>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F31F3"/>
    <w:multiLevelType w:val="hybridMultilevel"/>
    <w:tmpl w:val="0096FAA2"/>
    <w:lvl w:ilvl="0" w:tplc="01DA3FAC">
      <w:numFmt w:val="bullet"/>
      <w:lvlText w:val="•"/>
      <w:lvlJc w:val="left"/>
      <w:pPr>
        <w:ind w:left="1440" w:hanging="360"/>
      </w:pPr>
      <w:rPr>
        <w:rFonts w:hint="default"/>
        <w:b w:val="0"/>
        <w:bCs w:val="0"/>
        <w:i w:val="0"/>
        <w:iCs w:val="0"/>
        <w:w w:val="99"/>
        <w:sz w:val="20"/>
        <w:szCs w:val="2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BE7B1C"/>
    <w:multiLevelType w:val="hybridMultilevel"/>
    <w:tmpl w:val="D61EED78"/>
    <w:lvl w:ilvl="0" w:tplc="01DA3FAC">
      <w:numFmt w:val="bullet"/>
      <w:lvlText w:val="•"/>
      <w:lvlJc w:val="left"/>
      <w:pPr>
        <w:ind w:left="720" w:hanging="360"/>
      </w:pPr>
      <w:rPr>
        <w:rFonts w:hint="default"/>
        <w:b w:val="0"/>
        <w:bCs w:val="0"/>
        <w:i w:val="0"/>
        <w:iCs w:val="0"/>
        <w:w w:val="99"/>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2B68D4"/>
    <w:multiLevelType w:val="hybridMultilevel"/>
    <w:tmpl w:val="C96A84DC"/>
    <w:lvl w:ilvl="0" w:tplc="6C625FEA">
      <w:start w:val="1"/>
      <w:numFmt w:val="bullet"/>
      <w:pStyle w:val="ListBullet2"/>
      <w:lvlText w:val="-"/>
      <w:lvlJc w:val="left"/>
      <w:pPr>
        <w:ind w:left="1800" w:hanging="360"/>
      </w:pPr>
      <w:rPr>
        <w:rFonts w:ascii="Courier New" w:hAnsi="Courier New" w:hint="default"/>
        <w:color w:val="8064A2" w:themeColor="accent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58D16B1"/>
    <w:multiLevelType w:val="hybridMultilevel"/>
    <w:tmpl w:val="4C56D276"/>
    <w:lvl w:ilvl="0" w:tplc="872C0712">
      <w:start w:val="9"/>
      <w:numFmt w:val="decimal"/>
      <w:lvlText w:val="%1."/>
      <w:lvlJc w:val="left"/>
      <w:pPr>
        <w:ind w:left="720" w:hanging="360"/>
      </w:pPr>
      <w:rPr>
        <w:rFonts w:hint="default"/>
        <w:sz w:val="24"/>
        <w:szCs w:val="3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3465C"/>
    <w:multiLevelType w:val="hybridMultilevel"/>
    <w:tmpl w:val="0AA6F9E8"/>
    <w:lvl w:ilvl="0" w:tplc="82B84EF4">
      <w:start w:val="3"/>
      <w:numFmt w:val="decimal"/>
      <w:lvlText w:val="%1."/>
      <w:lvlJc w:val="left"/>
      <w:pPr>
        <w:ind w:left="720" w:hanging="360"/>
      </w:pPr>
      <w:rPr>
        <w:rFonts w:hint="default"/>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97A24"/>
    <w:multiLevelType w:val="hybridMultilevel"/>
    <w:tmpl w:val="F8A0CC24"/>
    <w:lvl w:ilvl="0" w:tplc="71C068E6">
      <w:start w:val="1"/>
      <w:numFmt w:val="bullet"/>
      <w:pStyle w:val="DNVGLBulletLevel1"/>
      <w:lvlText w:val=""/>
      <w:lvlJc w:val="left"/>
      <w:pPr>
        <w:ind w:left="720" w:hanging="360"/>
      </w:pPr>
      <w:rPr>
        <w:rFonts w:ascii="Wingdings" w:hAnsi="Wingdings" w:hint="default"/>
        <w:color w:val="4BACC6" w:themeColor="accent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31296"/>
    <w:multiLevelType w:val="multilevel"/>
    <w:tmpl w:val="36EEB3D8"/>
    <w:lvl w:ilvl="0">
      <w:start w:val="1"/>
      <w:numFmt w:val="decimal"/>
      <w:lvlText w:val="%1."/>
      <w:lvlJc w:val="left"/>
      <w:pPr>
        <w:ind w:left="720" w:hanging="360"/>
      </w:pPr>
      <w:rPr>
        <w:rFonts w:cs="Times New Roman" w:hint="default"/>
      </w:rPr>
    </w:lvl>
    <w:lvl w:ilvl="1">
      <w:start w:val="1"/>
      <w:numFmt w:val="upperLetter"/>
      <w:pStyle w:val="Heading3"/>
      <w:lvlText w:val="%2."/>
      <w:lvlJc w:val="left"/>
      <w:pPr>
        <w:ind w:left="360" w:hanging="360"/>
      </w:pPr>
      <w:rPr>
        <w:rFonts w:ascii="Palatino Linotype" w:hAnsi="Palatino Linotype" w:cs="Times New Roman" w:hint="default"/>
      </w:rPr>
    </w:lvl>
    <w:lvl w:ilvl="2">
      <w:start w:val="1"/>
      <w:numFmt w:val="decimal"/>
      <w:pStyle w:val="Heading4"/>
      <w:lvlText w:val="%2.%3"/>
      <w:lvlJc w:val="left"/>
      <w:pPr>
        <w:ind w:left="792" w:hanging="792"/>
      </w:pPr>
      <w:rPr>
        <w:rFonts w:ascii="Palatino Linotype" w:hAnsi="Palatino Linotype" w:cs="Times New Roman" w:hint="default"/>
        <w:i/>
        <w:iCs/>
      </w:rPr>
    </w:lvl>
    <w:lvl w:ilvl="3">
      <w:start w:val="1"/>
      <w:numFmt w:val="decimal"/>
      <w:pStyle w:val="Heading5"/>
      <w:lvlText w:val="%2.%3.%4"/>
      <w:lvlJc w:val="left"/>
      <w:pPr>
        <w:ind w:left="1152" w:hanging="1152"/>
      </w:pPr>
      <w:rPr>
        <w:rFonts w:ascii="Palatino Linotype" w:hAnsi="Palatino Linotype" w:cs="Times New Roman" w:hint="default"/>
      </w:rPr>
    </w:lvl>
    <w:lvl w:ilvl="4">
      <w:start w:val="1"/>
      <w:numFmt w:val="upperLetter"/>
      <w:lvlRestart w:val="1"/>
      <w:pStyle w:val="Heading6"/>
      <w:lvlText w:val="%5."/>
      <w:lvlJc w:val="left"/>
      <w:pPr>
        <w:ind w:left="360" w:hanging="360"/>
      </w:pPr>
      <w:rPr>
        <w:rFonts w:ascii="Palatino Linotype" w:hAnsi="Palatino Linotype" w:cs="Times New Roman" w:hint="default"/>
      </w:rPr>
    </w:lvl>
    <w:lvl w:ilvl="5">
      <w:start w:val="1"/>
      <w:numFmt w:val="decimal"/>
      <w:pStyle w:val="Heading7"/>
      <w:lvlText w:val="%5.%6"/>
      <w:lvlJc w:val="left"/>
      <w:pPr>
        <w:ind w:left="792" w:hanging="792"/>
      </w:pPr>
      <w:rPr>
        <w:rFonts w:ascii="Palatino Linotype" w:hAnsi="Palatino Linotype" w:cs="Times New Roman" w:hint="default"/>
        <w:b w:val="0"/>
        <w:i/>
      </w:rPr>
    </w:lvl>
    <w:lvl w:ilvl="6">
      <w:start w:val="1"/>
      <w:numFmt w:val="decimal"/>
      <w:lvlText w:val="%5.%6.%7"/>
      <w:lvlJc w:val="left"/>
      <w:pPr>
        <w:ind w:left="1152" w:hanging="1152"/>
      </w:pPr>
      <w:rPr>
        <w:rFonts w:ascii="Palatino Linotype" w:hAnsi="Palatino Linotype" w:cs="Times New Roman" w:hint="default"/>
      </w:rPr>
    </w:lvl>
    <w:lvl w:ilvl="7">
      <w:start w:val="1"/>
      <w:numFmt w:val="lowerLetter"/>
      <w:pStyle w:val="Heading8"/>
      <w:lvlText w:val="%8."/>
      <w:lvlJc w:val="left"/>
      <w:pPr>
        <w:ind w:left="5760" w:hanging="360"/>
      </w:pPr>
      <w:rPr>
        <w:rFonts w:cs="Times New Roman" w:hint="default"/>
      </w:rPr>
    </w:lvl>
    <w:lvl w:ilvl="8">
      <w:start w:val="1"/>
      <w:numFmt w:val="lowerRoman"/>
      <w:pStyle w:val="Heading9"/>
      <w:lvlText w:val="%9."/>
      <w:lvlJc w:val="right"/>
      <w:pPr>
        <w:ind w:left="6480" w:hanging="180"/>
      </w:pPr>
      <w:rPr>
        <w:rFonts w:cs="Times New Roman" w:hint="default"/>
      </w:rPr>
    </w:lvl>
  </w:abstractNum>
  <w:abstractNum w:abstractNumId="13" w15:restartNumberingAfterBreak="0">
    <w:nsid w:val="5602471B"/>
    <w:multiLevelType w:val="hybridMultilevel"/>
    <w:tmpl w:val="D222FF36"/>
    <w:lvl w:ilvl="0" w:tplc="7EF61E40">
      <w:start w:val="1"/>
      <w:numFmt w:val="decimal"/>
      <w:lvlText w:val="%1."/>
      <w:lvlJc w:val="left"/>
      <w:pPr>
        <w:ind w:left="720" w:hanging="360"/>
      </w:pPr>
      <w:rPr>
        <w:rFonts w:hint="default"/>
        <w:sz w:val="24"/>
        <w:szCs w:val="32"/>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A4F436E"/>
    <w:multiLevelType w:val="hybridMultilevel"/>
    <w:tmpl w:val="1FC404C4"/>
    <w:lvl w:ilvl="0" w:tplc="0DC0D180">
      <w:start w:val="1"/>
      <w:numFmt w:val="bullet"/>
      <w:pStyle w:val="DNVGL-Bullet1"/>
      <w:lvlText w:val=""/>
      <w:lvlJc w:val="left"/>
      <w:pPr>
        <w:ind w:left="720" w:hanging="360"/>
      </w:pPr>
      <w:rPr>
        <w:rFonts w:ascii="Wingdings" w:hAnsi="Wingdings"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C525C5"/>
    <w:multiLevelType w:val="hybridMultilevel"/>
    <w:tmpl w:val="6A907ED6"/>
    <w:lvl w:ilvl="0" w:tplc="4440C978">
      <w:start w:val="1"/>
      <w:numFmt w:val="bullet"/>
      <w:pStyle w:val="ListParagraph"/>
      <w:lvlText w:val=""/>
      <w:lvlJc w:val="left"/>
      <w:pPr>
        <w:ind w:left="720" w:hanging="360"/>
      </w:pPr>
      <w:rPr>
        <w:rFonts w:ascii="Symbol" w:hAnsi="Symbol" w:hint="default"/>
        <w:sz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46775A"/>
    <w:multiLevelType w:val="hybridMultilevel"/>
    <w:tmpl w:val="65D65DCA"/>
    <w:lvl w:ilvl="0" w:tplc="653C17F6">
      <w:start w:val="1"/>
      <w:numFmt w:val="bullet"/>
      <w:pStyle w:val="BulletListinTa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C8747B"/>
    <w:multiLevelType w:val="hybridMultilevel"/>
    <w:tmpl w:val="AFC8F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A684C"/>
    <w:multiLevelType w:val="hybridMultilevel"/>
    <w:tmpl w:val="A45E285C"/>
    <w:lvl w:ilvl="0" w:tplc="B476A25A">
      <w:start w:val="1"/>
      <w:numFmt w:val="decimal"/>
      <w:lvlText w:val="%1."/>
      <w:lvlJc w:val="left"/>
      <w:pPr>
        <w:ind w:left="720" w:hanging="360"/>
      </w:pPr>
      <w:rPr>
        <w:rFonts w:hint="default"/>
        <w:sz w:val="22"/>
        <w:szCs w:val="28"/>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42576DE"/>
    <w:multiLevelType w:val="multilevel"/>
    <w:tmpl w:val="D2B293C8"/>
    <w:lvl w:ilvl="0">
      <w:start w:val="1"/>
      <w:numFmt w:val="upperLetter"/>
      <w:pStyle w:val="AppendixHeading1"/>
      <w:lvlText w:val="%1"/>
      <w:lvlJc w:val="left"/>
      <w:pPr>
        <w:ind w:left="720" w:hanging="360"/>
      </w:pPr>
      <w:rPr>
        <w:rFonts w:hint="default"/>
        <w:cap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F801F43"/>
    <w:multiLevelType w:val="multilevel"/>
    <w:tmpl w:val="C5B2D284"/>
    <w:lvl w:ilvl="0">
      <w:start w:val="1"/>
      <w:numFmt w:val="decimal"/>
      <w:pStyle w:val="AttachmentHeading1"/>
      <w:lvlText w:val="%1."/>
      <w:lvlJc w:val="left"/>
      <w:pPr>
        <w:ind w:left="360" w:hanging="360"/>
      </w:pPr>
      <w:rPr>
        <w:rFonts w:cs="Times New Roman"/>
      </w:rPr>
    </w:lvl>
    <w:lvl w:ilvl="1">
      <w:start w:val="1"/>
      <w:numFmt w:val="decimal"/>
      <w:pStyle w:val="AttachmentHeading2"/>
      <w:lvlText w:val="%1.%2."/>
      <w:lvlJc w:val="left"/>
      <w:pPr>
        <w:ind w:left="612" w:hanging="432"/>
      </w:pPr>
      <w:rPr>
        <w:rFonts w:cs="Times New Roman"/>
      </w:rPr>
    </w:lvl>
    <w:lvl w:ilvl="2">
      <w:start w:val="1"/>
      <w:numFmt w:val="decimal"/>
      <w:pStyle w:val="AttachmentHeading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51637669">
    <w:abstractNumId w:val="3"/>
  </w:num>
  <w:num w:numId="2" w16cid:durableId="678579928">
    <w:abstractNumId w:val="20"/>
    <w:lvlOverride w:ilvl="0">
      <w:lvl w:ilvl="0">
        <w:start w:val="1"/>
        <w:numFmt w:val="decimal"/>
        <w:pStyle w:val="AttachmentHeading1"/>
        <w:lvlText w:val="%1."/>
        <w:lvlJc w:val="left"/>
        <w:pPr>
          <w:ind w:left="360" w:hanging="360"/>
        </w:pPr>
        <w:rPr>
          <w:rFonts w:ascii="Century Gothic" w:eastAsia="Times New Roman" w:hAnsi="Century Gothic" w:cs="Times New Roman" w:hint="default"/>
        </w:rPr>
      </w:lvl>
    </w:lvlOverride>
    <w:lvlOverride w:ilvl="1">
      <w:lvl w:ilvl="1">
        <w:start w:val="1"/>
        <w:numFmt w:val="decimal"/>
        <w:pStyle w:val="AttachmentHeading2"/>
        <w:lvlText w:val="%1.%2."/>
        <w:lvlJc w:val="left"/>
        <w:pPr>
          <w:ind w:left="432" w:hanging="432"/>
        </w:pPr>
        <w:rPr>
          <w:rFonts w:cs="Times New Roman" w:hint="default"/>
        </w:rPr>
      </w:lvl>
    </w:lvlOverride>
    <w:lvlOverride w:ilvl="2">
      <w:lvl w:ilvl="2">
        <w:start w:val="1"/>
        <w:numFmt w:val="decimal"/>
        <w:pStyle w:val="AttachmentHeading3"/>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 w16cid:durableId="926184446">
    <w:abstractNumId w:val="11"/>
  </w:num>
  <w:num w:numId="4" w16cid:durableId="383794141">
    <w:abstractNumId w:val="2"/>
  </w:num>
  <w:num w:numId="5" w16cid:durableId="1563832406">
    <w:abstractNumId w:val="15"/>
  </w:num>
  <w:num w:numId="6" w16cid:durableId="1519931113">
    <w:abstractNumId w:val="16"/>
  </w:num>
  <w:num w:numId="7" w16cid:durableId="1898933278">
    <w:abstractNumId w:val="8"/>
  </w:num>
  <w:num w:numId="8" w16cid:durableId="982740054">
    <w:abstractNumId w:val="14"/>
  </w:num>
  <w:num w:numId="9" w16cid:durableId="1118912812">
    <w:abstractNumId w:val="19"/>
  </w:num>
  <w:num w:numId="10" w16cid:durableId="1956214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7615681">
    <w:abstractNumId w:val="7"/>
  </w:num>
  <w:num w:numId="12" w16cid:durableId="1713531487">
    <w:abstractNumId w:val="4"/>
  </w:num>
  <w:num w:numId="13" w16cid:durableId="154424034">
    <w:abstractNumId w:val="17"/>
  </w:num>
  <w:num w:numId="14" w16cid:durableId="1208176371">
    <w:abstractNumId w:val="0"/>
  </w:num>
  <w:num w:numId="15" w16cid:durableId="1258447032">
    <w:abstractNumId w:val="1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2739972">
    <w:abstractNumId w:val="12"/>
  </w:num>
  <w:num w:numId="17" w16cid:durableId="1154490162">
    <w:abstractNumId w:val="12"/>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419982">
    <w:abstractNumId w:val="12"/>
    <w:lvlOverride w:ilvl="0">
      <w:startOverride w:val="1"/>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9510324">
    <w:abstractNumId w:val="12"/>
    <w:lvlOverride w:ilvl="0">
      <w:startOverride w:val="1"/>
    </w:lvlOverride>
    <w:lvlOverride w:ilvl="1">
      <w:startOverride w:val="6"/>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0681169">
    <w:abstractNumId w:val="1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986313">
    <w:abstractNumId w:val="12"/>
    <w:lvlOverride w:ilvl="0">
      <w:startOverride w:val="1"/>
    </w:lvlOverride>
    <w:lvlOverride w:ilvl="1">
      <w:startOverride w:val="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5976475">
    <w:abstractNumId w:val="12"/>
  </w:num>
  <w:num w:numId="23" w16cid:durableId="701518607">
    <w:abstractNumId w:val="13"/>
  </w:num>
  <w:num w:numId="24" w16cid:durableId="301690602">
    <w:abstractNumId w:val="12"/>
  </w:num>
  <w:num w:numId="25" w16cid:durableId="1095127066">
    <w:abstractNumId w:val="9"/>
  </w:num>
  <w:num w:numId="26" w16cid:durableId="246770844">
    <w:abstractNumId w:val="12"/>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7562698">
    <w:abstractNumId w:val="12"/>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0122656">
    <w:abstractNumId w:val="1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3103760">
    <w:abstractNumId w:val="1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5974160">
    <w:abstractNumId w:val="12"/>
    <w:lvlOverride w:ilvl="0">
      <w:lvl w:ilvl="0">
        <w:start w:val="1"/>
        <w:numFmt w:val="decimal"/>
        <w:lvlText w:val="%1."/>
        <w:lvlJc w:val="left"/>
        <w:pPr>
          <w:ind w:left="720" w:hanging="360"/>
        </w:pPr>
        <w:rPr>
          <w:rFonts w:cs="Times New Roman" w:hint="default"/>
        </w:rPr>
      </w:lvl>
    </w:lvlOverride>
    <w:lvlOverride w:ilvl="1">
      <w:lvl w:ilvl="1">
        <w:start w:val="1"/>
        <w:numFmt w:val="upperLetter"/>
        <w:pStyle w:val="Heading3"/>
        <w:lvlText w:val="%2."/>
        <w:lvlJc w:val="left"/>
        <w:pPr>
          <w:ind w:left="360" w:hanging="360"/>
        </w:pPr>
        <w:rPr>
          <w:rFonts w:cs="Times New Roman" w:hint="default"/>
        </w:rPr>
      </w:lvl>
    </w:lvlOverride>
    <w:lvlOverride w:ilvl="2">
      <w:lvl w:ilvl="2">
        <w:start w:val="1"/>
        <w:numFmt w:val="decimal"/>
        <w:pStyle w:val="Heading4"/>
        <w:lvlText w:val="%2.%3"/>
        <w:lvlJc w:val="left"/>
        <w:pPr>
          <w:ind w:left="792" w:hanging="792"/>
        </w:pPr>
        <w:rPr>
          <w:rFonts w:cs="Times New Roman" w:hint="default"/>
          <w:i/>
          <w:iCs/>
        </w:rPr>
      </w:lvl>
    </w:lvlOverride>
    <w:lvlOverride w:ilvl="3">
      <w:lvl w:ilvl="3">
        <w:start w:val="1"/>
        <w:numFmt w:val="decimal"/>
        <w:pStyle w:val="Heading5"/>
        <w:lvlText w:val="%2.%3.%4"/>
        <w:lvlJc w:val="left"/>
        <w:pPr>
          <w:ind w:left="1152" w:hanging="1152"/>
        </w:pPr>
        <w:rPr>
          <w:rFonts w:cs="Times New Roman" w:hint="default"/>
        </w:rPr>
      </w:lvl>
    </w:lvlOverride>
    <w:lvlOverride w:ilvl="4">
      <w:lvl w:ilvl="4">
        <w:start w:val="1"/>
        <w:numFmt w:val="lowerLetter"/>
        <w:pStyle w:val="Heading6"/>
        <w:lvlText w:val="%5."/>
        <w:lvlJc w:val="left"/>
        <w:pPr>
          <w:ind w:left="3600" w:hanging="360"/>
        </w:pPr>
        <w:rPr>
          <w:rFonts w:cs="Times New Roman" w:hint="default"/>
        </w:rPr>
      </w:lvl>
    </w:lvlOverride>
    <w:lvlOverride w:ilvl="5">
      <w:lvl w:ilvl="5">
        <w:start w:val="1"/>
        <w:numFmt w:val="upperLetter"/>
        <w:pStyle w:val="Heading7"/>
        <w:lvlText w:val="%6."/>
        <w:lvlJc w:val="right"/>
        <w:pPr>
          <w:ind w:left="0" w:firstLine="432"/>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pStyle w:val="Heading8"/>
        <w:lvlText w:val="%8."/>
        <w:lvlJc w:val="left"/>
        <w:pPr>
          <w:ind w:left="5760" w:hanging="360"/>
        </w:pPr>
        <w:rPr>
          <w:rFonts w:cs="Times New Roman" w:hint="default"/>
        </w:rPr>
      </w:lvl>
    </w:lvlOverride>
    <w:lvlOverride w:ilvl="8">
      <w:lvl w:ilvl="8">
        <w:start w:val="1"/>
        <w:numFmt w:val="lowerRoman"/>
        <w:pStyle w:val="Heading9"/>
        <w:lvlText w:val="%9."/>
        <w:lvlJc w:val="right"/>
        <w:pPr>
          <w:ind w:left="6480" w:hanging="180"/>
        </w:pPr>
        <w:rPr>
          <w:rFonts w:cs="Times New Roman" w:hint="default"/>
        </w:rPr>
      </w:lvl>
    </w:lvlOverride>
  </w:num>
  <w:num w:numId="31" w16cid:durableId="944923784">
    <w:abstractNumId w:val="1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2" w16cid:durableId="72047511">
    <w:abstractNumId w:val="12"/>
    <w:lvlOverride w:ilvl="0">
      <w:startOverride w:val="1"/>
    </w:lvlOverride>
    <w:lvlOverride w:ilvl="1">
      <w:startOverride w:val="13"/>
    </w:lvlOverride>
    <w:lvlOverride w:ilvl="2">
      <w:startOverride w:val="1"/>
    </w:lvlOverride>
    <w:lvlOverride w:ilvl="3">
      <w:startOverride w:val="1"/>
    </w:lvlOverride>
    <w:lvlOverride w:ilvl="4">
      <w:startOverride w:val="2"/>
    </w:lvlOverride>
    <w:lvlOverride w:ilvl="5">
      <w:startOverride w:val="4"/>
    </w:lvlOverride>
    <w:lvlOverride w:ilvl="6">
      <w:startOverride w:val="1"/>
    </w:lvlOverride>
    <w:lvlOverride w:ilvl="7">
      <w:startOverride w:val="1"/>
    </w:lvlOverride>
    <w:lvlOverride w:ilvl="8">
      <w:startOverride w:val="1"/>
    </w:lvlOverride>
  </w:num>
  <w:num w:numId="33" w16cid:durableId="682367123">
    <w:abstractNumId w:val="12"/>
    <w:lvlOverride w:ilvl="0">
      <w:startOverride w:val="1"/>
    </w:lvlOverride>
    <w:lvlOverride w:ilvl="1">
      <w:startOverride w:val="13"/>
    </w:lvlOverride>
    <w:lvlOverride w:ilvl="2">
      <w:startOverride w:val="1"/>
    </w:lvlOverride>
    <w:lvlOverride w:ilvl="3">
      <w:startOverride w:val="1"/>
    </w:lvlOverride>
    <w:lvlOverride w:ilvl="4">
      <w:startOverride w:val="5"/>
    </w:lvlOverride>
    <w:lvlOverride w:ilvl="5">
      <w:startOverride w:val="2"/>
    </w:lvlOverride>
    <w:lvlOverride w:ilvl="6">
      <w:startOverride w:val="1"/>
    </w:lvlOverride>
    <w:lvlOverride w:ilvl="7">
      <w:startOverride w:val="1"/>
    </w:lvlOverride>
    <w:lvlOverride w:ilvl="8">
      <w:startOverride w:val="1"/>
    </w:lvlOverride>
  </w:num>
  <w:num w:numId="34" w16cid:durableId="1806048192">
    <w:abstractNumId w:val="12"/>
    <w:lvlOverride w:ilvl="0">
      <w:startOverride w:val="1"/>
    </w:lvlOverride>
    <w:lvlOverride w:ilvl="1">
      <w:startOverride w:val="13"/>
    </w:lvlOverride>
    <w:lvlOverride w:ilvl="2">
      <w:startOverride w:val="1"/>
    </w:lvlOverride>
    <w:lvlOverride w:ilvl="3">
      <w:startOverride w:val="1"/>
    </w:lvlOverride>
    <w:lvlOverride w:ilvl="4">
      <w:startOverride w:val="5"/>
    </w:lvlOverride>
    <w:lvlOverride w:ilvl="5">
      <w:startOverride w:val="4"/>
    </w:lvlOverride>
    <w:lvlOverride w:ilvl="6">
      <w:startOverride w:val="1"/>
    </w:lvlOverride>
    <w:lvlOverride w:ilvl="7">
      <w:startOverride w:val="1"/>
    </w:lvlOverride>
    <w:lvlOverride w:ilvl="8">
      <w:startOverride w:val="1"/>
    </w:lvlOverride>
  </w:num>
  <w:num w:numId="35" w16cid:durableId="1821995756">
    <w:abstractNumId w:val="12"/>
    <w:lvlOverride w:ilvl="0">
      <w:startOverride w:val="1"/>
    </w:lvlOverride>
    <w:lvlOverride w:ilvl="1">
      <w:startOverride w:val="13"/>
    </w:lvlOverride>
    <w:lvlOverride w:ilvl="2">
      <w:startOverride w:val="1"/>
    </w:lvlOverride>
    <w:lvlOverride w:ilvl="3">
      <w:startOverride w:val="1"/>
    </w:lvlOverride>
    <w:lvlOverride w:ilvl="4">
      <w:startOverride w:val="6"/>
    </w:lvlOverride>
    <w:lvlOverride w:ilvl="5">
      <w:startOverride w:val="5"/>
    </w:lvlOverride>
    <w:lvlOverride w:ilvl="6">
      <w:startOverride w:val="1"/>
    </w:lvlOverride>
    <w:lvlOverride w:ilvl="7">
      <w:startOverride w:val="1"/>
    </w:lvlOverride>
    <w:lvlOverride w:ilvl="8">
      <w:startOverride w:val="1"/>
    </w:lvlOverride>
  </w:num>
  <w:num w:numId="36" w16cid:durableId="1852255022">
    <w:abstractNumId w:val="12"/>
    <w:lvlOverride w:ilvl="0">
      <w:startOverride w:val="1"/>
    </w:lvlOverride>
    <w:lvlOverride w:ilvl="1">
      <w:startOverride w:val="13"/>
    </w:lvlOverride>
    <w:lvlOverride w:ilvl="2">
      <w:startOverride w:val="1"/>
    </w:lvlOverride>
    <w:lvlOverride w:ilvl="3">
      <w:startOverride w:val="1"/>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37" w16cid:durableId="569312370">
    <w:abstractNumId w:val="12"/>
    <w:lvlOverride w:ilvl="0">
      <w:startOverride w:val="1"/>
    </w:lvlOverride>
    <w:lvlOverride w:ilvl="1">
      <w:startOverride w:val="13"/>
    </w:lvlOverride>
    <w:lvlOverride w:ilvl="2">
      <w:startOverride w:val="1"/>
    </w:lvlOverride>
    <w:lvlOverride w:ilvl="3">
      <w:startOverride w:val="1"/>
    </w:lvlOverride>
    <w:lvlOverride w:ilvl="4">
      <w:startOverride w:val="11"/>
    </w:lvlOverride>
    <w:lvlOverride w:ilvl="5">
      <w:startOverride w:val="2"/>
    </w:lvlOverride>
    <w:lvlOverride w:ilvl="6">
      <w:startOverride w:val="1"/>
    </w:lvlOverride>
    <w:lvlOverride w:ilvl="7">
      <w:startOverride w:val="1"/>
    </w:lvlOverride>
    <w:lvlOverride w:ilvl="8">
      <w:startOverride w:val="1"/>
    </w:lvlOverride>
  </w:num>
  <w:num w:numId="38" w16cid:durableId="1320306930">
    <w:abstractNumId w:val="6"/>
  </w:num>
  <w:num w:numId="39" w16cid:durableId="13689484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77486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31726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0868337">
    <w:abstractNumId w:val="1"/>
  </w:num>
  <w:num w:numId="43" w16cid:durableId="47175092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688347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30444662">
    <w:abstractNumId w:val="18"/>
  </w:num>
  <w:num w:numId="46" w16cid:durableId="938608003">
    <w:abstractNumId w:val="5"/>
  </w:num>
  <w:num w:numId="47" w16cid:durableId="54718394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efaultTableStyle w:val="TableGrid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26"/>
    <w:rsid w:val="000001F6"/>
    <w:rsid w:val="000007A2"/>
    <w:rsid w:val="0000090F"/>
    <w:rsid w:val="00000969"/>
    <w:rsid w:val="000011A7"/>
    <w:rsid w:val="000011D8"/>
    <w:rsid w:val="00001213"/>
    <w:rsid w:val="00001222"/>
    <w:rsid w:val="00001374"/>
    <w:rsid w:val="000015B0"/>
    <w:rsid w:val="000019E7"/>
    <w:rsid w:val="00001AF5"/>
    <w:rsid w:val="00001CF6"/>
    <w:rsid w:val="00001EAE"/>
    <w:rsid w:val="00001ECC"/>
    <w:rsid w:val="00002069"/>
    <w:rsid w:val="000020D9"/>
    <w:rsid w:val="000022F8"/>
    <w:rsid w:val="00002307"/>
    <w:rsid w:val="0000231F"/>
    <w:rsid w:val="00002462"/>
    <w:rsid w:val="00002465"/>
    <w:rsid w:val="000026A8"/>
    <w:rsid w:val="000027C2"/>
    <w:rsid w:val="000027CC"/>
    <w:rsid w:val="000028D9"/>
    <w:rsid w:val="00002913"/>
    <w:rsid w:val="0000291E"/>
    <w:rsid w:val="000029FE"/>
    <w:rsid w:val="00002AFF"/>
    <w:rsid w:val="00002BAF"/>
    <w:rsid w:val="00002D86"/>
    <w:rsid w:val="00002E3A"/>
    <w:rsid w:val="00002EA1"/>
    <w:rsid w:val="00002FB6"/>
    <w:rsid w:val="00003298"/>
    <w:rsid w:val="00003413"/>
    <w:rsid w:val="00003463"/>
    <w:rsid w:val="00003734"/>
    <w:rsid w:val="00003952"/>
    <w:rsid w:val="000043E1"/>
    <w:rsid w:val="000043FD"/>
    <w:rsid w:val="00004772"/>
    <w:rsid w:val="00004A3F"/>
    <w:rsid w:val="0000522C"/>
    <w:rsid w:val="0000579B"/>
    <w:rsid w:val="0000598F"/>
    <w:rsid w:val="00005CD9"/>
    <w:rsid w:val="00005DA9"/>
    <w:rsid w:val="00005DF2"/>
    <w:rsid w:val="00005F24"/>
    <w:rsid w:val="00006295"/>
    <w:rsid w:val="000063A9"/>
    <w:rsid w:val="0000654C"/>
    <w:rsid w:val="000065D1"/>
    <w:rsid w:val="000068A4"/>
    <w:rsid w:val="000071B9"/>
    <w:rsid w:val="00007258"/>
    <w:rsid w:val="00007730"/>
    <w:rsid w:val="00007957"/>
    <w:rsid w:val="00007C79"/>
    <w:rsid w:val="00007C8A"/>
    <w:rsid w:val="000101B0"/>
    <w:rsid w:val="0001020B"/>
    <w:rsid w:val="00010364"/>
    <w:rsid w:val="0001052C"/>
    <w:rsid w:val="000106A1"/>
    <w:rsid w:val="00010711"/>
    <w:rsid w:val="00010841"/>
    <w:rsid w:val="0001084D"/>
    <w:rsid w:val="000108A0"/>
    <w:rsid w:val="00010A88"/>
    <w:rsid w:val="00010AF4"/>
    <w:rsid w:val="00010F69"/>
    <w:rsid w:val="00010FD1"/>
    <w:rsid w:val="00011100"/>
    <w:rsid w:val="0001150C"/>
    <w:rsid w:val="000115F2"/>
    <w:rsid w:val="000115F6"/>
    <w:rsid w:val="000117E2"/>
    <w:rsid w:val="000118F2"/>
    <w:rsid w:val="0001190B"/>
    <w:rsid w:val="00011C9B"/>
    <w:rsid w:val="00011CAF"/>
    <w:rsid w:val="000123DA"/>
    <w:rsid w:val="00012645"/>
    <w:rsid w:val="00012A6A"/>
    <w:rsid w:val="00012D28"/>
    <w:rsid w:val="00012DE1"/>
    <w:rsid w:val="00012E63"/>
    <w:rsid w:val="00012F59"/>
    <w:rsid w:val="00012FA3"/>
    <w:rsid w:val="00013012"/>
    <w:rsid w:val="0001304F"/>
    <w:rsid w:val="000130E6"/>
    <w:rsid w:val="000131E3"/>
    <w:rsid w:val="00013431"/>
    <w:rsid w:val="00013B21"/>
    <w:rsid w:val="00013B5C"/>
    <w:rsid w:val="00013C4B"/>
    <w:rsid w:val="00013D6D"/>
    <w:rsid w:val="00013FFD"/>
    <w:rsid w:val="0001406E"/>
    <w:rsid w:val="000140CF"/>
    <w:rsid w:val="00014689"/>
    <w:rsid w:val="00014858"/>
    <w:rsid w:val="00014879"/>
    <w:rsid w:val="000149E3"/>
    <w:rsid w:val="00014ABD"/>
    <w:rsid w:val="00014C9A"/>
    <w:rsid w:val="00014FE9"/>
    <w:rsid w:val="0001512D"/>
    <w:rsid w:val="0001525B"/>
    <w:rsid w:val="0001544A"/>
    <w:rsid w:val="000154BD"/>
    <w:rsid w:val="000155B9"/>
    <w:rsid w:val="00015754"/>
    <w:rsid w:val="0001582E"/>
    <w:rsid w:val="000158FB"/>
    <w:rsid w:val="00015A89"/>
    <w:rsid w:val="00015A93"/>
    <w:rsid w:val="00015C4B"/>
    <w:rsid w:val="00016008"/>
    <w:rsid w:val="00016016"/>
    <w:rsid w:val="0001619E"/>
    <w:rsid w:val="000168B3"/>
    <w:rsid w:val="00016A9B"/>
    <w:rsid w:val="00016ADA"/>
    <w:rsid w:val="00016B4A"/>
    <w:rsid w:val="00016DC7"/>
    <w:rsid w:val="00016DDA"/>
    <w:rsid w:val="00016E97"/>
    <w:rsid w:val="000170EC"/>
    <w:rsid w:val="000172BD"/>
    <w:rsid w:val="00017477"/>
    <w:rsid w:val="000178E9"/>
    <w:rsid w:val="000179B8"/>
    <w:rsid w:val="000179D8"/>
    <w:rsid w:val="00017AA5"/>
    <w:rsid w:val="00017BCB"/>
    <w:rsid w:val="00017D1E"/>
    <w:rsid w:val="00017D8D"/>
    <w:rsid w:val="00017E14"/>
    <w:rsid w:val="00017E23"/>
    <w:rsid w:val="0002045E"/>
    <w:rsid w:val="000205EC"/>
    <w:rsid w:val="000206A4"/>
    <w:rsid w:val="00020814"/>
    <w:rsid w:val="00020A29"/>
    <w:rsid w:val="00020D90"/>
    <w:rsid w:val="00021781"/>
    <w:rsid w:val="0002183E"/>
    <w:rsid w:val="00021DC4"/>
    <w:rsid w:val="00021F46"/>
    <w:rsid w:val="0002201B"/>
    <w:rsid w:val="000220AF"/>
    <w:rsid w:val="0002221B"/>
    <w:rsid w:val="000224C7"/>
    <w:rsid w:val="0002262B"/>
    <w:rsid w:val="0002265B"/>
    <w:rsid w:val="00022B68"/>
    <w:rsid w:val="00022BFE"/>
    <w:rsid w:val="00022D2B"/>
    <w:rsid w:val="00022E19"/>
    <w:rsid w:val="00022FAE"/>
    <w:rsid w:val="00023104"/>
    <w:rsid w:val="00023206"/>
    <w:rsid w:val="00023462"/>
    <w:rsid w:val="0002356E"/>
    <w:rsid w:val="000236B8"/>
    <w:rsid w:val="00023769"/>
    <w:rsid w:val="00023951"/>
    <w:rsid w:val="00023977"/>
    <w:rsid w:val="00023B72"/>
    <w:rsid w:val="00023C62"/>
    <w:rsid w:val="0002401E"/>
    <w:rsid w:val="00024099"/>
    <w:rsid w:val="00024395"/>
    <w:rsid w:val="00024396"/>
    <w:rsid w:val="00024452"/>
    <w:rsid w:val="0002488F"/>
    <w:rsid w:val="00024910"/>
    <w:rsid w:val="0002495C"/>
    <w:rsid w:val="00024993"/>
    <w:rsid w:val="00024A4C"/>
    <w:rsid w:val="00024F23"/>
    <w:rsid w:val="00024F8D"/>
    <w:rsid w:val="00024F95"/>
    <w:rsid w:val="00024FBF"/>
    <w:rsid w:val="0002507F"/>
    <w:rsid w:val="00025169"/>
    <w:rsid w:val="000251E3"/>
    <w:rsid w:val="000254C1"/>
    <w:rsid w:val="0002570F"/>
    <w:rsid w:val="000258FC"/>
    <w:rsid w:val="00025A7C"/>
    <w:rsid w:val="00025E7C"/>
    <w:rsid w:val="00026321"/>
    <w:rsid w:val="000263BE"/>
    <w:rsid w:val="00026492"/>
    <w:rsid w:val="00026664"/>
    <w:rsid w:val="000266CD"/>
    <w:rsid w:val="000266DE"/>
    <w:rsid w:val="00026881"/>
    <w:rsid w:val="00026B31"/>
    <w:rsid w:val="00026DF4"/>
    <w:rsid w:val="000275A6"/>
    <w:rsid w:val="000275AE"/>
    <w:rsid w:val="0002767D"/>
    <w:rsid w:val="00027727"/>
    <w:rsid w:val="00027B97"/>
    <w:rsid w:val="00027BE1"/>
    <w:rsid w:val="00027D50"/>
    <w:rsid w:val="00027DFB"/>
    <w:rsid w:val="00027E04"/>
    <w:rsid w:val="00027E0A"/>
    <w:rsid w:val="00027E44"/>
    <w:rsid w:val="00027EF0"/>
    <w:rsid w:val="00027F6D"/>
    <w:rsid w:val="000301BB"/>
    <w:rsid w:val="000306CA"/>
    <w:rsid w:val="0003085C"/>
    <w:rsid w:val="000308EF"/>
    <w:rsid w:val="00030A13"/>
    <w:rsid w:val="00030AFC"/>
    <w:rsid w:val="00030D65"/>
    <w:rsid w:val="00030D79"/>
    <w:rsid w:val="00030F6E"/>
    <w:rsid w:val="00031079"/>
    <w:rsid w:val="0003112A"/>
    <w:rsid w:val="000313C8"/>
    <w:rsid w:val="00031711"/>
    <w:rsid w:val="00031864"/>
    <w:rsid w:val="000318A1"/>
    <w:rsid w:val="000318C9"/>
    <w:rsid w:val="00031947"/>
    <w:rsid w:val="00031987"/>
    <w:rsid w:val="00031D3F"/>
    <w:rsid w:val="00031D4D"/>
    <w:rsid w:val="00031E6F"/>
    <w:rsid w:val="00031E92"/>
    <w:rsid w:val="00031F8D"/>
    <w:rsid w:val="0003223A"/>
    <w:rsid w:val="00032392"/>
    <w:rsid w:val="000324BB"/>
    <w:rsid w:val="0003283A"/>
    <w:rsid w:val="00032ACC"/>
    <w:rsid w:val="00032E62"/>
    <w:rsid w:val="00032E94"/>
    <w:rsid w:val="00032F5F"/>
    <w:rsid w:val="0003317B"/>
    <w:rsid w:val="00033292"/>
    <w:rsid w:val="000333BC"/>
    <w:rsid w:val="0003361B"/>
    <w:rsid w:val="00033BA5"/>
    <w:rsid w:val="00033FFD"/>
    <w:rsid w:val="0003411C"/>
    <w:rsid w:val="0003431B"/>
    <w:rsid w:val="00034331"/>
    <w:rsid w:val="0003446D"/>
    <w:rsid w:val="00034493"/>
    <w:rsid w:val="0003459F"/>
    <w:rsid w:val="00034607"/>
    <w:rsid w:val="00034971"/>
    <w:rsid w:val="00034BF5"/>
    <w:rsid w:val="00034CBB"/>
    <w:rsid w:val="00034E92"/>
    <w:rsid w:val="00034EF0"/>
    <w:rsid w:val="00034FB5"/>
    <w:rsid w:val="00034FE0"/>
    <w:rsid w:val="000351EF"/>
    <w:rsid w:val="000355C8"/>
    <w:rsid w:val="00035900"/>
    <w:rsid w:val="00035A0E"/>
    <w:rsid w:val="00035C4A"/>
    <w:rsid w:val="00035C61"/>
    <w:rsid w:val="00035DED"/>
    <w:rsid w:val="0003619A"/>
    <w:rsid w:val="0003643A"/>
    <w:rsid w:val="0003650D"/>
    <w:rsid w:val="00036771"/>
    <w:rsid w:val="000368D5"/>
    <w:rsid w:val="00036D4B"/>
    <w:rsid w:val="0003700A"/>
    <w:rsid w:val="00037573"/>
    <w:rsid w:val="000375AB"/>
    <w:rsid w:val="000378CA"/>
    <w:rsid w:val="00037965"/>
    <w:rsid w:val="00037A5B"/>
    <w:rsid w:val="0004005B"/>
    <w:rsid w:val="00040175"/>
    <w:rsid w:val="0004048C"/>
    <w:rsid w:val="00040496"/>
    <w:rsid w:val="000405C9"/>
    <w:rsid w:val="0004070A"/>
    <w:rsid w:val="00040760"/>
    <w:rsid w:val="00040A8D"/>
    <w:rsid w:val="00040BDC"/>
    <w:rsid w:val="00040C00"/>
    <w:rsid w:val="00040D5B"/>
    <w:rsid w:val="00040DB5"/>
    <w:rsid w:val="00040E0E"/>
    <w:rsid w:val="00040E40"/>
    <w:rsid w:val="0004102C"/>
    <w:rsid w:val="000410AF"/>
    <w:rsid w:val="000410B4"/>
    <w:rsid w:val="000413C2"/>
    <w:rsid w:val="000415D1"/>
    <w:rsid w:val="00041670"/>
    <w:rsid w:val="000417D5"/>
    <w:rsid w:val="00041C51"/>
    <w:rsid w:val="00041F76"/>
    <w:rsid w:val="000426C5"/>
    <w:rsid w:val="00042D0B"/>
    <w:rsid w:val="00042D6C"/>
    <w:rsid w:val="00042DCD"/>
    <w:rsid w:val="0004339D"/>
    <w:rsid w:val="0004340A"/>
    <w:rsid w:val="000434CA"/>
    <w:rsid w:val="00043721"/>
    <w:rsid w:val="00043793"/>
    <w:rsid w:val="0004387E"/>
    <w:rsid w:val="00043945"/>
    <w:rsid w:val="00043B55"/>
    <w:rsid w:val="00043E92"/>
    <w:rsid w:val="00043FA8"/>
    <w:rsid w:val="0004415E"/>
    <w:rsid w:val="000441EE"/>
    <w:rsid w:val="00044299"/>
    <w:rsid w:val="00044544"/>
    <w:rsid w:val="000445A2"/>
    <w:rsid w:val="000449A6"/>
    <w:rsid w:val="00044D18"/>
    <w:rsid w:val="00044FFD"/>
    <w:rsid w:val="0004517C"/>
    <w:rsid w:val="000451CA"/>
    <w:rsid w:val="000452CC"/>
    <w:rsid w:val="000454F6"/>
    <w:rsid w:val="000455E7"/>
    <w:rsid w:val="0004572F"/>
    <w:rsid w:val="00045799"/>
    <w:rsid w:val="0004581D"/>
    <w:rsid w:val="00045B2D"/>
    <w:rsid w:val="00045E5F"/>
    <w:rsid w:val="00045ECE"/>
    <w:rsid w:val="0004647B"/>
    <w:rsid w:val="0004651B"/>
    <w:rsid w:val="00046527"/>
    <w:rsid w:val="00046888"/>
    <w:rsid w:val="0004699A"/>
    <w:rsid w:val="00046A0A"/>
    <w:rsid w:val="00046D72"/>
    <w:rsid w:val="00046D9F"/>
    <w:rsid w:val="00046DF5"/>
    <w:rsid w:val="00046E27"/>
    <w:rsid w:val="00046F5A"/>
    <w:rsid w:val="00046F6B"/>
    <w:rsid w:val="000472C9"/>
    <w:rsid w:val="000478DE"/>
    <w:rsid w:val="00047C2C"/>
    <w:rsid w:val="00047DE2"/>
    <w:rsid w:val="00047FA3"/>
    <w:rsid w:val="00050118"/>
    <w:rsid w:val="00050354"/>
    <w:rsid w:val="000505AF"/>
    <w:rsid w:val="000508C6"/>
    <w:rsid w:val="000508CA"/>
    <w:rsid w:val="00050A12"/>
    <w:rsid w:val="00050F61"/>
    <w:rsid w:val="00050FA1"/>
    <w:rsid w:val="00050FC6"/>
    <w:rsid w:val="000514BE"/>
    <w:rsid w:val="00051592"/>
    <w:rsid w:val="000516A0"/>
    <w:rsid w:val="00051768"/>
    <w:rsid w:val="000519BD"/>
    <w:rsid w:val="00051F9C"/>
    <w:rsid w:val="00052178"/>
    <w:rsid w:val="000526E2"/>
    <w:rsid w:val="00052799"/>
    <w:rsid w:val="0005282D"/>
    <w:rsid w:val="0005293B"/>
    <w:rsid w:val="00052AB1"/>
    <w:rsid w:val="00052C34"/>
    <w:rsid w:val="00052D24"/>
    <w:rsid w:val="00052D87"/>
    <w:rsid w:val="00052DA7"/>
    <w:rsid w:val="000530FC"/>
    <w:rsid w:val="000532A7"/>
    <w:rsid w:val="00053326"/>
    <w:rsid w:val="0005346A"/>
    <w:rsid w:val="00053691"/>
    <w:rsid w:val="000537F8"/>
    <w:rsid w:val="000539CF"/>
    <w:rsid w:val="00053BBB"/>
    <w:rsid w:val="00053C1F"/>
    <w:rsid w:val="00053EC6"/>
    <w:rsid w:val="00053ECB"/>
    <w:rsid w:val="00054077"/>
    <w:rsid w:val="00054101"/>
    <w:rsid w:val="000541B9"/>
    <w:rsid w:val="000541F4"/>
    <w:rsid w:val="000543ED"/>
    <w:rsid w:val="0005442F"/>
    <w:rsid w:val="00054448"/>
    <w:rsid w:val="0005498E"/>
    <w:rsid w:val="00054A09"/>
    <w:rsid w:val="00054BDC"/>
    <w:rsid w:val="00054E98"/>
    <w:rsid w:val="00054E99"/>
    <w:rsid w:val="00054FA2"/>
    <w:rsid w:val="00055061"/>
    <w:rsid w:val="000551BC"/>
    <w:rsid w:val="000554FB"/>
    <w:rsid w:val="000555A2"/>
    <w:rsid w:val="0005576A"/>
    <w:rsid w:val="000559A2"/>
    <w:rsid w:val="000559A5"/>
    <w:rsid w:val="000559D6"/>
    <w:rsid w:val="00055B40"/>
    <w:rsid w:val="00055CE8"/>
    <w:rsid w:val="00055CF0"/>
    <w:rsid w:val="00056002"/>
    <w:rsid w:val="0005635D"/>
    <w:rsid w:val="00056526"/>
    <w:rsid w:val="00056528"/>
    <w:rsid w:val="0005658F"/>
    <w:rsid w:val="000566ED"/>
    <w:rsid w:val="0005677D"/>
    <w:rsid w:val="00056C92"/>
    <w:rsid w:val="00056E70"/>
    <w:rsid w:val="00056F2B"/>
    <w:rsid w:val="00057167"/>
    <w:rsid w:val="000573CF"/>
    <w:rsid w:val="000578D4"/>
    <w:rsid w:val="000579B7"/>
    <w:rsid w:val="00057B0C"/>
    <w:rsid w:val="00060115"/>
    <w:rsid w:val="0006017C"/>
    <w:rsid w:val="00060562"/>
    <w:rsid w:val="000605B3"/>
    <w:rsid w:val="00060722"/>
    <w:rsid w:val="000609DD"/>
    <w:rsid w:val="00060A95"/>
    <w:rsid w:val="000610D9"/>
    <w:rsid w:val="0006122D"/>
    <w:rsid w:val="00061250"/>
    <w:rsid w:val="0006150E"/>
    <w:rsid w:val="00061530"/>
    <w:rsid w:val="00061AE9"/>
    <w:rsid w:val="00061B17"/>
    <w:rsid w:val="00061B56"/>
    <w:rsid w:val="00061B88"/>
    <w:rsid w:val="00061CD9"/>
    <w:rsid w:val="00061D6C"/>
    <w:rsid w:val="00061D78"/>
    <w:rsid w:val="00061E1A"/>
    <w:rsid w:val="00061E73"/>
    <w:rsid w:val="00062048"/>
    <w:rsid w:val="0006258D"/>
    <w:rsid w:val="00063404"/>
    <w:rsid w:val="00063A27"/>
    <w:rsid w:val="00063E58"/>
    <w:rsid w:val="00064073"/>
    <w:rsid w:val="000640DA"/>
    <w:rsid w:val="00064166"/>
    <w:rsid w:val="0006421F"/>
    <w:rsid w:val="000642D0"/>
    <w:rsid w:val="000643CE"/>
    <w:rsid w:val="00064414"/>
    <w:rsid w:val="000644BB"/>
    <w:rsid w:val="0006465A"/>
    <w:rsid w:val="00064785"/>
    <w:rsid w:val="00064942"/>
    <w:rsid w:val="000649FC"/>
    <w:rsid w:val="00064D44"/>
    <w:rsid w:val="00064E99"/>
    <w:rsid w:val="00065111"/>
    <w:rsid w:val="00065290"/>
    <w:rsid w:val="000652FF"/>
    <w:rsid w:val="00065315"/>
    <w:rsid w:val="00065396"/>
    <w:rsid w:val="000653F7"/>
    <w:rsid w:val="000655E9"/>
    <w:rsid w:val="000655F6"/>
    <w:rsid w:val="000657E3"/>
    <w:rsid w:val="0006582E"/>
    <w:rsid w:val="00065875"/>
    <w:rsid w:val="00065878"/>
    <w:rsid w:val="000658A4"/>
    <w:rsid w:val="00065993"/>
    <w:rsid w:val="00065D6F"/>
    <w:rsid w:val="00066171"/>
    <w:rsid w:val="0006631E"/>
    <w:rsid w:val="000667F6"/>
    <w:rsid w:val="00066B8F"/>
    <w:rsid w:val="00066ED2"/>
    <w:rsid w:val="00067026"/>
    <w:rsid w:val="0006718F"/>
    <w:rsid w:val="0006723F"/>
    <w:rsid w:val="000677DE"/>
    <w:rsid w:val="00067801"/>
    <w:rsid w:val="0006796F"/>
    <w:rsid w:val="00067FC7"/>
    <w:rsid w:val="00070257"/>
    <w:rsid w:val="000702B4"/>
    <w:rsid w:val="000706FF"/>
    <w:rsid w:val="000707D2"/>
    <w:rsid w:val="0007090A"/>
    <w:rsid w:val="00070CF0"/>
    <w:rsid w:val="000711F0"/>
    <w:rsid w:val="00071414"/>
    <w:rsid w:val="00071602"/>
    <w:rsid w:val="000718C6"/>
    <w:rsid w:val="00071A19"/>
    <w:rsid w:val="00071A49"/>
    <w:rsid w:val="00071C96"/>
    <w:rsid w:val="00071CA3"/>
    <w:rsid w:val="00071D03"/>
    <w:rsid w:val="00071D35"/>
    <w:rsid w:val="00071D6E"/>
    <w:rsid w:val="00071DD8"/>
    <w:rsid w:val="000723F9"/>
    <w:rsid w:val="00072406"/>
    <w:rsid w:val="00072630"/>
    <w:rsid w:val="00072735"/>
    <w:rsid w:val="000728E2"/>
    <w:rsid w:val="00072933"/>
    <w:rsid w:val="000729FB"/>
    <w:rsid w:val="00072CE0"/>
    <w:rsid w:val="00072DC5"/>
    <w:rsid w:val="000731CF"/>
    <w:rsid w:val="0007323C"/>
    <w:rsid w:val="000732CA"/>
    <w:rsid w:val="00073578"/>
    <w:rsid w:val="000736A9"/>
    <w:rsid w:val="00073AAF"/>
    <w:rsid w:val="00073CBC"/>
    <w:rsid w:val="00073E04"/>
    <w:rsid w:val="00073F9A"/>
    <w:rsid w:val="00074133"/>
    <w:rsid w:val="00074251"/>
    <w:rsid w:val="00074549"/>
    <w:rsid w:val="0007487D"/>
    <w:rsid w:val="00074A37"/>
    <w:rsid w:val="00074B7D"/>
    <w:rsid w:val="00074C6B"/>
    <w:rsid w:val="00074F35"/>
    <w:rsid w:val="0007520C"/>
    <w:rsid w:val="0007540D"/>
    <w:rsid w:val="0007549E"/>
    <w:rsid w:val="000754D1"/>
    <w:rsid w:val="000759C4"/>
    <w:rsid w:val="00075A5D"/>
    <w:rsid w:val="00075BD3"/>
    <w:rsid w:val="00075EF0"/>
    <w:rsid w:val="00075FA3"/>
    <w:rsid w:val="0007627E"/>
    <w:rsid w:val="00076867"/>
    <w:rsid w:val="00076A19"/>
    <w:rsid w:val="00076A4D"/>
    <w:rsid w:val="00076C29"/>
    <w:rsid w:val="00076CA5"/>
    <w:rsid w:val="00076D66"/>
    <w:rsid w:val="00076D7E"/>
    <w:rsid w:val="00076E92"/>
    <w:rsid w:val="00076F29"/>
    <w:rsid w:val="00076F69"/>
    <w:rsid w:val="0007707B"/>
    <w:rsid w:val="0007712E"/>
    <w:rsid w:val="000773C0"/>
    <w:rsid w:val="000773EA"/>
    <w:rsid w:val="000774C1"/>
    <w:rsid w:val="0007759B"/>
    <w:rsid w:val="000775D2"/>
    <w:rsid w:val="000778EA"/>
    <w:rsid w:val="0007793F"/>
    <w:rsid w:val="00077A6F"/>
    <w:rsid w:val="00077BD4"/>
    <w:rsid w:val="00077D1C"/>
    <w:rsid w:val="0008006B"/>
    <w:rsid w:val="00080398"/>
    <w:rsid w:val="000803B5"/>
    <w:rsid w:val="000803F2"/>
    <w:rsid w:val="0008096F"/>
    <w:rsid w:val="00080BFF"/>
    <w:rsid w:val="00080C20"/>
    <w:rsid w:val="00080D5F"/>
    <w:rsid w:val="0008102A"/>
    <w:rsid w:val="000810A4"/>
    <w:rsid w:val="000814BD"/>
    <w:rsid w:val="000814E9"/>
    <w:rsid w:val="000815A1"/>
    <w:rsid w:val="00081623"/>
    <w:rsid w:val="000816F1"/>
    <w:rsid w:val="000818E7"/>
    <w:rsid w:val="00081B2A"/>
    <w:rsid w:val="00081C94"/>
    <w:rsid w:val="00081F54"/>
    <w:rsid w:val="0008202A"/>
    <w:rsid w:val="000821F1"/>
    <w:rsid w:val="0008230B"/>
    <w:rsid w:val="000823F4"/>
    <w:rsid w:val="000825AA"/>
    <w:rsid w:val="00082742"/>
    <w:rsid w:val="00082A18"/>
    <w:rsid w:val="00082B22"/>
    <w:rsid w:val="00082B23"/>
    <w:rsid w:val="00082B6A"/>
    <w:rsid w:val="00082C3F"/>
    <w:rsid w:val="00082E1D"/>
    <w:rsid w:val="00083183"/>
    <w:rsid w:val="00083262"/>
    <w:rsid w:val="00083428"/>
    <w:rsid w:val="0008351A"/>
    <w:rsid w:val="00083585"/>
    <w:rsid w:val="00083852"/>
    <w:rsid w:val="00083889"/>
    <w:rsid w:val="000838AB"/>
    <w:rsid w:val="00083BDC"/>
    <w:rsid w:val="00083FBB"/>
    <w:rsid w:val="000840A5"/>
    <w:rsid w:val="00084113"/>
    <w:rsid w:val="00084532"/>
    <w:rsid w:val="000845C0"/>
    <w:rsid w:val="000845E4"/>
    <w:rsid w:val="00084695"/>
    <w:rsid w:val="00084816"/>
    <w:rsid w:val="00084A2E"/>
    <w:rsid w:val="00084A8E"/>
    <w:rsid w:val="00084AF9"/>
    <w:rsid w:val="00084D14"/>
    <w:rsid w:val="00084FBD"/>
    <w:rsid w:val="000853BA"/>
    <w:rsid w:val="00085710"/>
    <w:rsid w:val="00085C99"/>
    <w:rsid w:val="00085DA1"/>
    <w:rsid w:val="00085DB1"/>
    <w:rsid w:val="00086244"/>
    <w:rsid w:val="0008677E"/>
    <w:rsid w:val="000868B4"/>
    <w:rsid w:val="000869A0"/>
    <w:rsid w:val="00086A2F"/>
    <w:rsid w:val="00086AA9"/>
    <w:rsid w:val="00086BA6"/>
    <w:rsid w:val="00086CC2"/>
    <w:rsid w:val="00086D46"/>
    <w:rsid w:val="00086F2F"/>
    <w:rsid w:val="00086FC8"/>
    <w:rsid w:val="00087640"/>
    <w:rsid w:val="000876A4"/>
    <w:rsid w:val="00087788"/>
    <w:rsid w:val="00087872"/>
    <w:rsid w:val="00087AEA"/>
    <w:rsid w:val="00087F8A"/>
    <w:rsid w:val="0009017A"/>
    <w:rsid w:val="00090575"/>
    <w:rsid w:val="000905A9"/>
    <w:rsid w:val="00090749"/>
    <w:rsid w:val="00090806"/>
    <w:rsid w:val="00090860"/>
    <w:rsid w:val="000908F5"/>
    <w:rsid w:val="0009095A"/>
    <w:rsid w:val="00090BEC"/>
    <w:rsid w:val="00090D05"/>
    <w:rsid w:val="00090DB7"/>
    <w:rsid w:val="000911B9"/>
    <w:rsid w:val="0009128F"/>
    <w:rsid w:val="000912F4"/>
    <w:rsid w:val="000912FF"/>
    <w:rsid w:val="000913DA"/>
    <w:rsid w:val="0009165F"/>
    <w:rsid w:val="00091C5B"/>
    <w:rsid w:val="00092106"/>
    <w:rsid w:val="00092322"/>
    <w:rsid w:val="0009239D"/>
    <w:rsid w:val="000924FB"/>
    <w:rsid w:val="000925B0"/>
    <w:rsid w:val="000927E0"/>
    <w:rsid w:val="00092A43"/>
    <w:rsid w:val="00092F80"/>
    <w:rsid w:val="0009307E"/>
    <w:rsid w:val="00093209"/>
    <w:rsid w:val="00093534"/>
    <w:rsid w:val="00093634"/>
    <w:rsid w:val="0009385D"/>
    <w:rsid w:val="00093D5E"/>
    <w:rsid w:val="00093F43"/>
    <w:rsid w:val="00094737"/>
    <w:rsid w:val="0009480B"/>
    <w:rsid w:val="00094819"/>
    <w:rsid w:val="000949C1"/>
    <w:rsid w:val="00094D58"/>
    <w:rsid w:val="00094E60"/>
    <w:rsid w:val="000951D4"/>
    <w:rsid w:val="0009525C"/>
    <w:rsid w:val="000953B0"/>
    <w:rsid w:val="00095402"/>
    <w:rsid w:val="000957CD"/>
    <w:rsid w:val="0009590A"/>
    <w:rsid w:val="00095BCF"/>
    <w:rsid w:val="00095C66"/>
    <w:rsid w:val="00095CCA"/>
    <w:rsid w:val="00096108"/>
    <w:rsid w:val="000966EB"/>
    <w:rsid w:val="0009676C"/>
    <w:rsid w:val="00096796"/>
    <w:rsid w:val="000967C2"/>
    <w:rsid w:val="0009690C"/>
    <w:rsid w:val="00096C26"/>
    <w:rsid w:val="00096D4A"/>
    <w:rsid w:val="00096F7F"/>
    <w:rsid w:val="00096F85"/>
    <w:rsid w:val="000973CA"/>
    <w:rsid w:val="000978B2"/>
    <w:rsid w:val="00097A72"/>
    <w:rsid w:val="00097CD9"/>
    <w:rsid w:val="00097CEC"/>
    <w:rsid w:val="000A0147"/>
    <w:rsid w:val="000A05D8"/>
    <w:rsid w:val="000A061E"/>
    <w:rsid w:val="000A073B"/>
    <w:rsid w:val="000A0788"/>
    <w:rsid w:val="000A07DB"/>
    <w:rsid w:val="000A08B8"/>
    <w:rsid w:val="000A0E51"/>
    <w:rsid w:val="000A1340"/>
    <w:rsid w:val="000A134C"/>
    <w:rsid w:val="000A158D"/>
    <w:rsid w:val="000A1847"/>
    <w:rsid w:val="000A1AAB"/>
    <w:rsid w:val="000A1B2A"/>
    <w:rsid w:val="000A1C5C"/>
    <w:rsid w:val="000A22F0"/>
    <w:rsid w:val="000A290A"/>
    <w:rsid w:val="000A2BAC"/>
    <w:rsid w:val="000A2DA5"/>
    <w:rsid w:val="000A2DB8"/>
    <w:rsid w:val="000A2F14"/>
    <w:rsid w:val="000A32DB"/>
    <w:rsid w:val="000A34C7"/>
    <w:rsid w:val="000A370F"/>
    <w:rsid w:val="000A377C"/>
    <w:rsid w:val="000A3865"/>
    <w:rsid w:val="000A3B96"/>
    <w:rsid w:val="000A3DC5"/>
    <w:rsid w:val="000A3DE1"/>
    <w:rsid w:val="000A3E67"/>
    <w:rsid w:val="000A4137"/>
    <w:rsid w:val="000A41BA"/>
    <w:rsid w:val="000A45D5"/>
    <w:rsid w:val="000A4672"/>
    <w:rsid w:val="000A46BE"/>
    <w:rsid w:val="000A46E3"/>
    <w:rsid w:val="000A4705"/>
    <w:rsid w:val="000A4C96"/>
    <w:rsid w:val="000A4C9A"/>
    <w:rsid w:val="000A4CAD"/>
    <w:rsid w:val="000A4DC8"/>
    <w:rsid w:val="000A4E4E"/>
    <w:rsid w:val="000A50E3"/>
    <w:rsid w:val="000A5512"/>
    <w:rsid w:val="000A552F"/>
    <w:rsid w:val="000A55A0"/>
    <w:rsid w:val="000A5805"/>
    <w:rsid w:val="000A5A98"/>
    <w:rsid w:val="000A5C39"/>
    <w:rsid w:val="000A5C5B"/>
    <w:rsid w:val="000A5C6F"/>
    <w:rsid w:val="000A5E7F"/>
    <w:rsid w:val="000A5F43"/>
    <w:rsid w:val="000A5F7A"/>
    <w:rsid w:val="000A605F"/>
    <w:rsid w:val="000A62B9"/>
    <w:rsid w:val="000A63E0"/>
    <w:rsid w:val="000A6428"/>
    <w:rsid w:val="000A6437"/>
    <w:rsid w:val="000A64D5"/>
    <w:rsid w:val="000A65C0"/>
    <w:rsid w:val="000A675C"/>
    <w:rsid w:val="000A69F0"/>
    <w:rsid w:val="000A6B15"/>
    <w:rsid w:val="000A6D56"/>
    <w:rsid w:val="000A6DFF"/>
    <w:rsid w:val="000A7099"/>
    <w:rsid w:val="000A72C3"/>
    <w:rsid w:val="000A75EC"/>
    <w:rsid w:val="000A76D1"/>
    <w:rsid w:val="000A7805"/>
    <w:rsid w:val="000A7841"/>
    <w:rsid w:val="000A7A1B"/>
    <w:rsid w:val="000A7C46"/>
    <w:rsid w:val="000A7C4A"/>
    <w:rsid w:val="000A7CBD"/>
    <w:rsid w:val="000A7D1F"/>
    <w:rsid w:val="000A7E81"/>
    <w:rsid w:val="000A7E96"/>
    <w:rsid w:val="000A7FA7"/>
    <w:rsid w:val="000B0176"/>
    <w:rsid w:val="000B018B"/>
    <w:rsid w:val="000B0206"/>
    <w:rsid w:val="000B0299"/>
    <w:rsid w:val="000B0376"/>
    <w:rsid w:val="000B03D5"/>
    <w:rsid w:val="000B0439"/>
    <w:rsid w:val="000B05EA"/>
    <w:rsid w:val="000B082C"/>
    <w:rsid w:val="000B098C"/>
    <w:rsid w:val="000B0A70"/>
    <w:rsid w:val="000B0CC4"/>
    <w:rsid w:val="000B0F83"/>
    <w:rsid w:val="000B106A"/>
    <w:rsid w:val="000B11EB"/>
    <w:rsid w:val="000B12B3"/>
    <w:rsid w:val="000B1520"/>
    <w:rsid w:val="000B154D"/>
    <w:rsid w:val="000B1636"/>
    <w:rsid w:val="000B1710"/>
    <w:rsid w:val="000B1728"/>
    <w:rsid w:val="000B179F"/>
    <w:rsid w:val="000B1854"/>
    <w:rsid w:val="000B1976"/>
    <w:rsid w:val="000B19FB"/>
    <w:rsid w:val="000B1C73"/>
    <w:rsid w:val="000B1D72"/>
    <w:rsid w:val="000B1E64"/>
    <w:rsid w:val="000B21D9"/>
    <w:rsid w:val="000B22CD"/>
    <w:rsid w:val="000B2385"/>
    <w:rsid w:val="000B2513"/>
    <w:rsid w:val="000B2649"/>
    <w:rsid w:val="000B26C3"/>
    <w:rsid w:val="000B2A56"/>
    <w:rsid w:val="000B2C13"/>
    <w:rsid w:val="000B2C46"/>
    <w:rsid w:val="000B2ECA"/>
    <w:rsid w:val="000B317B"/>
    <w:rsid w:val="000B3226"/>
    <w:rsid w:val="000B328D"/>
    <w:rsid w:val="000B33BE"/>
    <w:rsid w:val="000B3557"/>
    <w:rsid w:val="000B357E"/>
    <w:rsid w:val="000B3701"/>
    <w:rsid w:val="000B380A"/>
    <w:rsid w:val="000B413B"/>
    <w:rsid w:val="000B449F"/>
    <w:rsid w:val="000B4F28"/>
    <w:rsid w:val="000B5470"/>
    <w:rsid w:val="000B5837"/>
    <w:rsid w:val="000B5CD8"/>
    <w:rsid w:val="000B5DCC"/>
    <w:rsid w:val="000B5EB3"/>
    <w:rsid w:val="000B6434"/>
    <w:rsid w:val="000B6626"/>
    <w:rsid w:val="000B6897"/>
    <w:rsid w:val="000B6954"/>
    <w:rsid w:val="000B6B3D"/>
    <w:rsid w:val="000B6C3D"/>
    <w:rsid w:val="000B6CE3"/>
    <w:rsid w:val="000B6E9F"/>
    <w:rsid w:val="000B70FB"/>
    <w:rsid w:val="000B7381"/>
    <w:rsid w:val="000B7398"/>
    <w:rsid w:val="000B76B4"/>
    <w:rsid w:val="000B7838"/>
    <w:rsid w:val="000B7983"/>
    <w:rsid w:val="000C0110"/>
    <w:rsid w:val="000C01D9"/>
    <w:rsid w:val="000C057D"/>
    <w:rsid w:val="000C0644"/>
    <w:rsid w:val="000C090F"/>
    <w:rsid w:val="000C0918"/>
    <w:rsid w:val="000C0AEF"/>
    <w:rsid w:val="000C0DD0"/>
    <w:rsid w:val="000C0F59"/>
    <w:rsid w:val="000C1482"/>
    <w:rsid w:val="000C15C4"/>
    <w:rsid w:val="000C18DE"/>
    <w:rsid w:val="000C1A3A"/>
    <w:rsid w:val="000C1DA0"/>
    <w:rsid w:val="000C1DC8"/>
    <w:rsid w:val="000C20FD"/>
    <w:rsid w:val="000C22AE"/>
    <w:rsid w:val="000C2367"/>
    <w:rsid w:val="000C277E"/>
    <w:rsid w:val="000C27B2"/>
    <w:rsid w:val="000C294B"/>
    <w:rsid w:val="000C2D74"/>
    <w:rsid w:val="000C2D9D"/>
    <w:rsid w:val="000C30EF"/>
    <w:rsid w:val="000C3194"/>
    <w:rsid w:val="000C3838"/>
    <w:rsid w:val="000C3A18"/>
    <w:rsid w:val="000C4028"/>
    <w:rsid w:val="000C41D3"/>
    <w:rsid w:val="000C429E"/>
    <w:rsid w:val="000C48A9"/>
    <w:rsid w:val="000C512C"/>
    <w:rsid w:val="000C5736"/>
    <w:rsid w:val="000C5A4C"/>
    <w:rsid w:val="000C5C7D"/>
    <w:rsid w:val="000C61D0"/>
    <w:rsid w:val="000C6851"/>
    <w:rsid w:val="000C6C4B"/>
    <w:rsid w:val="000C6D54"/>
    <w:rsid w:val="000C7019"/>
    <w:rsid w:val="000C71AE"/>
    <w:rsid w:val="000C7DF8"/>
    <w:rsid w:val="000D029F"/>
    <w:rsid w:val="000D0357"/>
    <w:rsid w:val="000D0859"/>
    <w:rsid w:val="000D08DB"/>
    <w:rsid w:val="000D0ADE"/>
    <w:rsid w:val="000D0B37"/>
    <w:rsid w:val="000D0F3D"/>
    <w:rsid w:val="000D0FEF"/>
    <w:rsid w:val="000D10EF"/>
    <w:rsid w:val="000D110D"/>
    <w:rsid w:val="000D1218"/>
    <w:rsid w:val="000D16A9"/>
    <w:rsid w:val="000D16AA"/>
    <w:rsid w:val="000D18F3"/>
    <w:rsid w:val="000D1944"/>
    <w:rsid w:val="000D1AA8"/>
    <w:rsid w:val="000D1D60"/>
    <w:rsid w:val="000D1DB0"/>
    <w:rsid w:val="000D1F56"/>
    <w:rsid w:val="000D1F66"/>
    <w:rsid w:val="000D1FF9"/>
    <w:rsid w:val="000D25F1"/>
    <w:rsid w:val="000D26CA"/>
    <w:rsid w:val="000D27FC"/>
    <w:rsid w:val="000D28BC"/>
    <w:rsid w:val="000D2A9E"/>
    <w:rsid w:val="000D2B38"/>
    <w:rsid w:val="000D2D6B"/>
    <w:rsid w:val="000D2EC9"/>
    <w:rsid w:val="000D2FA7"/>
    <w:rsid w:val="000D300B"/>
    <w:rsid w:val="000D30BE"/>
    <w:rsid w:val="000D32F0"/>
    <w:rsid w:val="000D33FA"/>
    <w:rsid w:val="000D36ED"/>
    <w:rsid w:val="000D37B9"/>
    <w:rsid w:val="000D3812"/>
    <w:rsid w:val="000D3D54"/>
    <w:rsid w:val="000D3D9E"/>
    <w:rsid w:val="000D3DBA"/>
    <w:rsid w:val="000D3ED1"/>
    <w:rsid w:val="000D4010"/>
    <w:rsid w:val="000D440A"/>
    <w:rsid w:val="000D4451"/>
    <w:rsid w:val="000D445C"/>
    <w:rsid w:val="000D4467"/>
    <w:rsid w:val="000D44B7"/>
    <w:rsid w:val="000D45DA"/>
    <w:rsid w:val="000D46DC"/>
    <w:rsid w:val="000D4728"/>
    <w:rsid w:val="000D4992"/>
    <w:rsid w:val="000D49DD"/>
    <w:rsid w:val="000D53F0"/>
    <w:rsid w:val="000D5490"/>
    <w:rsid w:val="000D5610"/>
    <w:rsid w:val="000D562B"/>
    <w:rsid w:val="000D5920"/>
    <w:rsid w:val="000D5B66"/>
    <w:rsid w:val="000D5CE0"/>
    <w:rsid w:val="000D5FF1"/>
    <w:rsid w:val="000D61A0"/>
    <w:rsid w:val="000D6490"/>
    <w:rsid w:val="000D6494"/>
    <w:rsid w:val="000D66FC"/>
    <w:rsid w:val="000D672C"/>
    <w:rsid w:val="000D677C"/>
    <w:rsid w:val="000D6C89"/>
    <w:rsid w:val="000D717D"/>
    <w:rsid w:val="000D7389"/>
    <w:rsid w:val="000D74D2"/>
    <w:rsid w:val="000D7B82"/>
    <w:rsid w:val="000D7C92"/>
    <w:rsid w:val="000E000B"/>
    <w:rsid w:val="000E0078"/>
    <w:rsid w:val="000E00A8"/>
    <w:rsid w:val="000E0143"/>
    <w:rsid w:val="000E01E9"/>
    <w:rsid w:val="000E01F0"/>
    <w:rsid w:val="000E0312"/>
    <w:rsid w:val="000E0440"/>
    <w:rsid w:val="000E047A"/>
    <w:rsid w:val="000E06DA"/>
    <w:rsid w:val="000E0946"/>
    <w:rsid w:val="000E0B7E"/>
    <w:rsid w:val="000E0C32"/>
    <w:rsid w:val="000E0DC7"/>
    <w:rsid w:val="000E0F50"/>
    <w:rsid w:val="000E1301"/>
    <w:rsid w:val="000E148A"/>
    <w:rsid w:val="000E1523"/>
    <w:rsid w:val="000E1580"/>
    <w:rsid w:val="000E17C9"/>
    <w:rsid w:val="000E199A"/>
    <w:rsid w:val="000E1DA9"/>
    <w:rsid w:val="000E1DDA"/>
    <w:rsid w:val="000E216F"/>
    <w:rsid w:val="000E223A"/>
    <w:rsid w:val="000E2670"/>
    <w:rsid w:val="000E28F7"/>
    <w:rsid w:val="000E2C74"/>
    <w:rsid w:val="000E2D3E"/>
    <w:rsid w:val="000E2E67"/>
    <w:rsid w:val="000E2EBD"/>
    <w:rsid w:val="000E3133"/>
    <w:rsid w:val="000E3276"/>
    <w:rsid w:val="000E3415"/>
    <w:rsid w:val="000E34D6"/>
    <w:rsid w:val="000E3631"/>
    <w:rsid w:val="000E3BE5"/>
    <w:rsid w:val="000E3DDD"/>
    <w:rsid w:val="000E3E19"/>
    <w:rsid w:val="000E3E4E"/>
    <w:rsid w:val="000E400A"/>
    <w:rsid w:val="000E4065"/>
    <w:rsid w:val="000E408B"/>
    <w:rsid w:val="000E4251"/>
    <w:rsid w:val="000E4346"/>
    <w:rsid w:val="000E4542"/>
    <w:rsid w:val="000E4672"/>
    <w:rsid w:val="000E46E4"/>
    <w:rsid w:val="000E471F"/>
    <w:rsid w:val="000E481A"/>
    <w:rsid w:val="000E4975"/>
    <w:rsid w:val="000E4F47"/>
    <w:rsid w:val="000E50FF"/>
    <w:rsid w:val="000E529F"/>
    <w:rsid w:val="000E538D"/>
    <w:rsid w:val="000E572F"/>
    <w:rsid w:val="000E581C"/>
    <w:rsid w:val="000E5DE3"/>
    <w:rsid w:val="000E5F5C"/>
    <w:rsid w:val="000E605A"/>
    <w:rsid w:val="000E64FA"/>
    <w:rsid w:val="000E67D0"/>
    <w:rsid w:val="000E6924"/>
    <w:rsid w:val="000E6959"/>
    <w:rsid w:val="000E699D"/>
    <w:rsid w:val="000E6AE1"/>
    <w:rsid w:val="000E6B57"/>
    <w:rsid w:val="000E6D33"/>
    <w:rsid w:val="000E6EFE"/>
    <w:rsid w:val="000E6F5E"/>
    <w:rsid w:val="000E714D"/>
    <w:rsid w:val="000E71BC"/>
    <w:rsid w:val="000E750A"/>
    <w:rsid w:val="000E75D1"/>
    <w:rsid w:val="000E7606"/>
    <w:rsid w:val="000E76DF"/>
    <w:rsid w:val="000E7925"/>
    <w:rsid w:val="000E7EC8"/>
    <w:rsid w:val="000F0076"/>
    <w:rsid w:val="000F042C"/>
    <w:rsid w:val="000F0476"/>
    <w:rsid w:val="000F0561"/>
    <w:rsid w:val="000F0844"/>
    <w:rsid w:val="000F094A"/>
    <w:rsid w:val="000F0A52"/>
    <w:rsid w:val="000F0BAF"/>
    <w:rsid w:val="000F0F42"/>
    <w:rsid w:val="000F10E0"/>
    <w:rsid w:val="000F112C"/>
    <w:rsid w:val="000F12CA"/>
    <w:rsid w:val="000F1320"/>
    <w:rsid w:val="000F176D"/>
    <w:rsid w:val="000F1CFC"/>
    <w:rsid w:val="000F208B"/>
    <w:rsid w:val="000F23A7"/>
    <w:rsid w:val="000F264C"/>
    <w:rsid w:val="000F2778"/>
    <w:rsid w:val="000F28D5"/>
    <w:rsid w:val="000F2979"/>
    <w:rsid w:val="000F2B87"/>
    <w:rsid w:val="000F2F1E"/>
    <w:rsid w:val="000F330B"/>
    <w:rsid w:val="000F360C"/>
    <w:rsid w:val="000F3670"/>
    <w:rsid w:val="000F375E"/>
    <w:rsid w:val="000F3A25"/>
    <w:rsid w:val="000F3A30"/>
    <w:rsid w:val="000F4165"/>
    <w:rsid w:val="000F41F8"/>
    <w:rsid w:val="000F4375"/>
    <w:rsid w:val="000F44C4"/>
    <w:rsid w:val="000F4613"/>
    <w:rsid w:val="000F4682"/>
    <w:rsid w:val="000F46AF"/>
    <w:rsid w:val="000F46DC"/>
    <w:rsid w:val="000F4815"/>
    <w:rsid w:val="000F4A70"/>
    <w:rsid w:val="000F4AC9"/>
    <w:rsid w:val="000F4C98"/>
    <w:rsid w:val="000F4F47"/>
    <w:rsid w:val="000F50E4"/>
    <w:rsid w:val="000F5505"/>
    <w:rsid w:val="000F55E6"/>
    <w:rsid w:val="000F5725"/>
    <w:rsid w:val="000F58E4"/>
    <w:rsid w:val="000F596C"/>
    <w:rsid w:val="000F5BA1"/>
    <w:rsid w:val="000F5ECD"/>
    <w:rsid w:val="000F62B1"/>
    <w:rsid w:val="000F67D8"/>
    <w:rsid w:val="000F6A11"/>
    <w:rsid w:val="000F6B7F"/>
    <w:rsid w:val="000F759D"/>
    <w:rsid w:val="000F76EC"/>
    <w:rsid w:val="000F796E"/>
    <w:rsid w:val="000F7D0A"/>
    <w:rsid w:val="000F7D42"/>
    <w:rsid w:val="001000F7"/>
    <w:rsid w:val="001002E2"/>
    <w:rsid w:val="00100308"/>
    <w:rsid w:val="001004BB"/>
    <w:rsid w:val="0010063F"/>
    <w:rsid w:val="001006C4"/>
    <w:rsid w:val="00100A14"/>
    <w:rsid w:val="00100C2E"/>
    <w:rsid w:val="00100D60"/>
    <w:rsid w:val="00100DED"/>
    <w:rsid w:val="00101048"/>
    <w:rsid w:val="001010CA"/>
    <w:rsid w:val="00101489"/>
    <w:rsid w:val="00101582"/>
    <w:rsid w:val="001015E7"/>
    <w:rsid w:val="00101695"/>
    <w:rsid w:val="0010180E"/>
    <w:rsid w:val="0010182D"/>
    <w:rsid w:val="00101A28"/>
    <w:rsid w:val="00101AAE"/>
    <w:rsid w:val="00101B30"/>
    <w:rsid w:val="00101D1F"/>
    <w:rsid w:val="00101D64"/>
    <w:rsid w:val="00101F52"/>
    <w:rsid w:val="00102672"/>
    <w:rsid w:val="001026E7"/>
    <w:rsid w:val="00102BF2"/>
    <w:rsid w:val="00102E6D"/>
    <w:rsid w:val="00102F08"/>
    <w:rsid w:val="00103068"/>
    <w:rsid w:val="001034DE"/>
    <w:rsid w:val="0010364D"/>
    <w:rsid w:val="00103682"/>
    <w:rsid w:val="00103784"/>
    <w:rsid w:val="00104495"/>
    <w:rsid w:val="0010449F"/>
    <w:rsid w:val="001044BF"/>
    <w:rsid w:val="0010465F"/>
    <w:rsid w:val="0010472A"/>
    <w:rsid w:val="00104A89"/>
    <w:rsid w:val="00104D0A"/>
    <w:rsid w:val="00104F51"/>
    <w:rsid w:val="001051BD"/>
    <w:rsid w:val="001052A8"/>
    <w:rsid w:val="00105378"/>
    <w:rsid w:val="001054C4"/>
    <w:rsid w:val="0010579D"/>
    <w:rsid w:val="001057B7"/>
    <w:rsid w:val="00105B39"/>
    <w:rsid w:val="00105B95"/>
    <w:rsid w:val="00105CB8"/>
    <w:rsid w:val="00105D5F"/>
    <w:rsid w:val="00105E8F"/>
    <w:rsid w:val="001060CC"/>
    <w:rsid w:val="0010676E"/>
    <w:rsid w:val="00106CAD"/>
    <w:rsid w:val="00106DF8"/>
    <w:rsid w:val="00106E4C"/>
    <w:rsid w:val="00107258"/>
    <w:rsid w:val="0010781E"/>
    <w:rsid w:val="0010788D"/>
    <w:rsid w:val="0010793A"/>
    <w:rsid w:val="00107A58"/>
    <w:rsid w:val="00110339"/>
    <w:rsid w:val="001104AE"/>
    <w:rsid w:val="00110658"/>
    <w:rsid w:val="001108E6"/>
    <w:rsid w:val="0011093D"/>
    <w:rsid w:val="00110BE9"/>
    <w:rsid w:val="00111138"/>
    <w:rsid w:val="001112DF"/>
    <w:rsid w:val="00111599"/>
    <w:rsid w:val="00111B92"/>
    <w:rsid w:val="0011216B"/>
    <w:rsid w:val="001122E1"/>
    <w:rsid w:val="00112A5A"/>
    <w:rsid w:val="00112AAD"/>
    <w:rsid w:val="00112AF7"/>
    <w:rsid w:val="00112B8C"/>
    <w:rsid w:val="00112EA2"/>
    <w:rsid w:val="00112FC2"/>
    <w:rsid w:val="001130BE"/>
    <w:rsid w:val="00113205"/>
    <w:rsid w:val="00113208"/>
    <w:rsid w:val="001138DF"/>
    <w:rsid w:val="00113AEE"/>
    <w:rsid w:val="00113C72"/>
    <w:rsid w:val="00113D21"/>
    <w:rsid w:val="00113D68"/>
    <w:rsid w:val="00113FDF"/>
    <w:rsid w:val="00114159"/>
    <w:rsid w:val="001141EA"/>
    <w:rsid w:val="0011420D"/>
    <w:rsid w:val="001144C1"/>
    <w:rsid w:val="00114504"/>
    <w:rsid w:val="00114581"/>
    <w:rsid w:val="00114885"/>
    <w:rsid w:val="001148BF"/>
    <w:rsid w:val="0011499F"/>
    <w:rsid w:val="001149F8"/>
    <w:rsid w:val="00114CB2"/>
    <w:rsid w:val="00114D78"/>
    <w:rsid w:val="00114E9E"/>
    <w:rsid w:val="0011500F"/>
    <w:rsid w:val="0011540B"/>
    <w:rsid w:val="0011584F"/>
    <w:rsid w:val="00115860"/>
    <w:rsid w:val="001159C3"/>
    <w:rsid w:val="00115C94"/>
    <w:rsid w:val="00115EFA"/>
    <w:rsid w:val="00115F4F"/>
    <w:rsid w:val="0011624A"/>
    <w:rsid w:val="00116655"/>
    <w:rsid w:val="001166EC"/>
    <w:rsid w:val="0011699F"/>
    <w:rsid w:val="00116ABA"/>
    <w:rsid w:val="00116E27"/>
    <w:rsid w:val="001172F5"/>
    <w:rsid w:val="001175AC"/>
    <w:rsid w:val="001178E5"/>
    <w:rsid w:val="00117A3D"/>
    <w:rsid w:val="00117B61"/>
    <w:rsid w:val="00117CB4"/>
    <w:rsid w:val="00120155"/>
    <w:rsid w:val="00120209"/>
    <w:rsid w:val="00120912"/>
    <w:rsid w:val="00120A92"/>
    <w:rsid w:val="00120BBE"/>
    <w:rsid w:val="00120F65"/>
    <w:rsid w:val="00120FBA"/>
    <w:rsid w:val="00121339"/>
    <w:rsid w:val="0012137A"/>
    <w:rsid w:val="00121863"/>
    <w:rsid w:val="001218BF"/>
    <w:rsid w:val="00121B15"/>
    <w:rsid w:val="00121D2C"/>
    <w:rsid w:val="00121D46"/>
    <w:rsid w:val="00121D7F"/>
    <w:rsid w:val="00121E17"/>
    <w:rsid w:val="00121EC8"/>
    <w:rsid w:val="00122142"/>
    <w:rsid w:val="00122259"/>
    <w:rsid w:val="001223A5"/>
    <w:rsid w:val="00122798"/>
    <w:rsid w:val="0012289F"/>
    <w:rsid w:val="00122F46"/>
    <w:rsid w:val="0012386C"/>
    <w:rsid w:val="00123B1E"/>
    <w:rsid w:val="00123C3D"/>
    <w:rsid w:val="00123C3F"/>
    <w:rsid w:val="00123F24"/>
    <w:rsid w:val="001242FF"/>
    <w:rsid w:val="001244D7"/>
    <w:rsid w:val="00124618"/>
    <w:rsid w:val="001248A0"/>
    <w:rsid w:val="00124993"/>
    <w:rsid w:val="00124C5F"/>
    <w:rsid w:val="00124CD9"/>
    <w:rsid w:val="00124D0A"/>
    <w:rsid w:val="001254D1"/>
    <w:rsid w:val="001255D9"/>
    <w:rsid w:val="0012566D"/>
    <w:rsid w:val="001258B5"/>
    <w:rsid w:val="001258C6"/>
    <w:rsid w:val="00125938"/>
    <w:rsid w:val="00125A9C"/>
    <w:rsid w:val="00125AE1"/>
    <w:rsid w:val="00125B98"/>
    <w:rsid w:val="00125E39"/>
    <w:rsid w:val="00125EEA"/>
    <w:rsid w:val="001261C1"/>
    <w:rsid w:val="00126354"/>
    <w:rsid w:val="00126564"/>
    <w:rsid w:val="00126630"/>
    <w:rsid w:val="00126C5E"/>
    <w:rsid w:val="00126E08"/>
    <w:rsid w:val="00126F4B"/>
    <w:rsid w:val="00126F86"/>
    <w:rsid w:val="0012729A"/>
    <w:rsid w:val="0012764C"/>
    <w:rsid w:val="0012775C"/>
    <w:rsid w:val="001278EB"/>
    <w:rsid w:val="00127989"/>
    <w:rsid w:val="00127ACE"/>
    <w:rsid w:val="00127C67"/>
    <w:rsid w:val="00127DE7"/>
    <w:rsid w:val="00130099"/>
    <w:rsid w:val="00130521"/>
    <w:rsid w:val="00130747"/>
    <w:rsid w:val="001307AE"/>
    <w:rsid w:val="00130898"/>
    <w:rsid w:val="00130A14"/>
    <w:rsid w:val="00130D17"/>
    <w:rsid w:val="00130DE9"/>
    <w:rsid w:val="00130EA0"/>
    <w:rsid w:val="0013147A"/>
    <w:rsid w:val="001314D3"/>
    <w:rsid w:val="00131789"/>
    <w:rsid w:val="001318E3"/>
    <w:rsid w:val="00131BA6"/>
    <w:rsid w:val="00131C77"/>
    <w:rsid w:val="00131E92"/>
    <w:rsid w:val="00131F55"/>
    <w:rsid w:val="00131FFE"/>
    <w:rsid w:val="00132217"/>
    <w:rsid w:val="00132594"/>
    <w:rsid w:val="00132762"/>
    <w:rsid w:val="00132817"/>
    <w:rsid w:val="00132939"/>
    <w:rsid w:val="001329F9"/>
    <w:rsid w:val="00132A18"/>
    <w:rsid w:val="00132A4D"/>
    <w:rsid w:val="00132C56"/>
    <w:rsid w:val="00132DB8"/>
    <w:rsid w:val="00132DF3"/>
    <w:rsid w:val="001330D9"/>
    <w:rsid w:val="00133132"/>
    <w:rsid w:val="00133511"/>
    <w:rsid w:val="001335E3"/>
    <w:rsid w:val="001336B2"/>
    <w:rsid w:val="001336E4"/>
    <w:rsid w:val="001339CB"/>
    <w:rsid w:val="00133F86"/>
    <w:rsid w:val="00133FCB"/>
    <w:rsid w:val="0013417D"/>
    <w:rsid w:val="00134263"/>
    <w:rsid w:val="00134415"/>
    <w:rsid w:val="0013461A"/>
    <w:rsid w:val="0013489F"/>
    <w:rsid w:val="00134907"/>
    <w:rsid w:val="00134A59"/>
    <w:rsid w:val="00134B1B"/>
    <w:rsid w:val="00134BDF"/>
    <w:rsid w:val="00134F10"/>
    <w:rsid w:val="00134F20"/>
    <w:rsid w:val="001350AA"/>
    <w:rsid w:val="00135118"/>
    <w:rsid w:val="0013521B"/>
    <w:rsid w:val="00135482"/>
    <w:rsid w:val="001354F1"/>
    <w:rsid w:val="0013565F"/>
    <w:rsid w:val="00135852"/>
    <w:rsid w:val="00135B8E"/>
    <w:rsid w:val="00135CC5"/>
    <w:rsid w:val="00135DBF"/>
    <w:rsid w:val="00135DF2"/>
    <w:rsid w:val="00135E96"/>
    <w:rsid w:val="0013627A"/>
    <w:rsid w:val="001364D6"/>
    <w:rsid w:val="0013651E"/>
    <w:rsid w:val="001368A1"/>
    <w:rsid w:val="001369DB"/>
    <w:rsid w:val="00136DD4"/>
    <w:rsid w:val="0013704F"/>
    <w:rsid w:val="00137236"/>
    <w:rsid w:val="00137247"/>
    <w:rsid w:val="0013764C"/>
    <w:rsid w:val="0013770F"/>
    <w:rsid w:val="001378E4"/>
    <w:rsid w:val="00137A8C"/>
    <w:rsid w:val="00137C68"/>
    <w:rsid w:val="00137E9A"/>
    <w:rsid w:val="00140124"/>
    <w:rsid w:val="001401CB"/>
    <w:rsid w:val="00140671"/>
    <w:rsid w:val="00140AFB"/>
    <w:rsid w:val="00140B88"/>
    <w:rsid w:val="001410E6"/>
    <w:rsid w:val="0014164E"/>
    <w:rsid w:val="00141B2A"/>
    <w:rsid w:val="00141B83"/>
    <w:rsid w:val="00141C2B"/>
    <w:rsid w:val="00141C30"/>
    <w:rsid w:val="00142180"/>
    <w:rsid w:val="0014220B"/>
    <w:rsid w:val="0014224A"/>
    <w:rsid w:val="0014241D"/>
    <w:rsid w:val="0014245D"/>
    <w:rsid w:val="00142473"/>
    <w:rsid w:val="00142480"/>
    <w:rsid w:val="001426C5"/>
    <w:rsid w:val="001428BA"/>
    <w:rsid w:val="00142B08"/>
    <w:rsid w:val="00142BA1"/>
    <w:rsid w:val="00142D3E"/>
    <w:rsid w:val="00142F01"/>
    <w:rsid w:val="00142F4A"/>
    <w:rsid w:val="001431DB"/>
    <w:rsid w:val="00143411"/>
    <w:rsid w:val="00143748"/>
    <w:rsid w:val="001439C0"/>
    <w:rsid w:val="00143AD8"/>
    <w:rsid w:val="00143ADB"/>
    <w:rsid w:val="00143B99"/>
    <w:rsid w:val="00143C64"/>
    <w:rsid w:val="00143DF1"/>
    <w:rsid w:val="00144061"/>
    <w:rsid w:val="0014416D"/>
    <w:rsid w:val="001444BA"/>
    <w:rsid w:val="001444CE"/>
    <w:rsid w:val="0014477D"/>
    <w:rsid w:val="00144AD7"/>
    <w:rsid w:val="00144AF8"/>
    <w:rsid w:val="00144BB4"/>
    <w:rsid w:val="00144BD4"/>
    <w:rsid w:val="00144D63"/>
    <w:rsid w:val="00144E9E"/>
    <w:rsid w:val="00145026"/>
    <w:rsid w:val="001450EE"/>
    <w:rsid w:val="001451D4"/>
    <w:rsid w:val="001454AE"/>
    <w:rsid w:val="001455C7"/>
    <w:rsid w:val="00145ADD"/>
    <w:rsid w:val="00145D06"/>
    <w:rsid w:val="001461A0"/>
    <w:rsid w:val="001463BB"/>
    <w:rsid w:val="0014691F"/>
    <w:rsid w:val="00146A31"/>
    <w:rsid w:val="00146B3A"/>
    <w:rsid w:val="001470A0"/>
    <w:rsid w:val="00147144"/>
    <w:rsid w:val="001476A5"/>
    <w:rsid w:val="00147770"/>
    <w:rsid w:val="00147B09"/>
    <w:rsid w:val="00150310"/>
    <w:rsid w:val="0015033B"/>
    <w:rsid w:val="001503D8"/>
    <w:rsid w:val="001506B0"/>
    <w:rsid w:val="001507EC"/>
    <w:rsid w:val="00150903"/>
    <w:rsid w:val="001509A3"/>
    <w:rsid w:val="001509E9"/>
    <w:rsid w:val="00150A4A"/>
    <w:rsid w:val="00150A82"/>
    <w:rsid w:val="00150BDA"/>
    <w:rsid w:val="00150FD9"/>
    <w:rsid w:val="00151165"/>
    <w:rsid w:val="00151383"/>
    <w:rsid w:val="00151501"/>
    <w:rsid w:val="00151677"/>
    <w:rsid w:val="001517AB"/>
    <w:rsid w:val="00151881"/>
    <w:rsid w:val="001518F3"/>
    <w:rsid w:val="00151956"/>
    <w:rsid w:val="001519C0"/>
    <w:rsid w:val="00151C17"/>
    <w:rsid w:val="00151C64"/>
    <w:rsid w:val="00151DF3"/>
    <w:rsid w:val="00151FF0"/>
    <w:rsid w:val="00152077"/>
    <w:rsid w:val="0015268A"/>
    <w:rsid w:val="00152792"/>
    <w:rsid w:val="00152873"/>
    <w:rsid w:val="00152B5C"/>
    <w:rsid w:val="00152D99"/>
    <w:rsid w:val="00152E47"/>
    <w:rsid w:val="00152F71"/>
    <w:rsid w:val="001531A1"/>
    <w:rsid w:val="001531AC"/>
    <w:rsid w:val="0015357B"/>
    <w:rsid w:val="00153838"/>
    <w:rsid w:val="00153ADA"/>
    <w:rsid w:val="00153F42"/>
    <w:rsid w:val="0015412D"/>
    <w:rsid w:val="00154153"/>
    <w:rsid w:val="0015419E"/>
    <w:rsid w:val="001541E3"/>
    <w:rsid w:val="00154334"/>
    <w:rsid w:val="00154389"/>
    <w:rsid w:val="0015440B"/>
    <w:rsid w:val="00154538"/>
    <w:rsid w:val="00154AAD"/>
    <w:rsid w:val="00154EC2"/>
    <w:rsid w:val="00155066"/>
    <w:rsid w:val="001551B0"/>
    <w:rsid w:val="0015552A"/>
    <w:rsid w:val="00155799"/>
    <w:rsid w:val="001557F7"/>
    <w:rsid w:val="00155E00"/>
    <w:rsid w:val="00155F5F"/>
    <w:rsid w:val="001562EC"/>
    <w:rsid w:val="00156567"/>
    <w:rsid w:val="0015664E"/>
    <w:rsid w:val="0015668F"/>
    <w:rsid w:val="0015675B"/>
    <w:rsid w:val="00156B07"/>
    <w:rsid w:val="00156BC2"/>
    <w:rsid w:val="00156BF1"/>
    <w:rsid w:val="00156CD6"/>
    <w:rsid w:val="0015702A"/>
    <w:rsid w:val="00157135"/>
    <w:rsid w:val="00157232"/>
    <w:rsid w:val="00157341"/>
    <w:rsid w:val="0015758A"/>
    <w:rsid w:val="00157A45"/>
    <w:rsid w:val="00157C9D"/>
    <w:rsid w:val="00157E08"/>
    <w:rsid w:val="00157E52"/>
    <w:rsid w:val="00160144"/>
    <w:rsid w:val="001602D2"/>
    <w:rsid w:val="001603D5"/>
    <w:rsid w:val="00160410"/>
    <w:rsid w:val="001604C8"/>
    <w:rsid w:val="00160568"/>
    <w:rsid w:val="00160614"/>
    <w:rsid w:val="00160718"/>
    <w:rsid w:val="00160A0E"/>
    <w:rsid w:val="00160B67"/>
    <w:rsid w:val="00160B99"/>
    <w:rsid w:val="00160CFA"/>
    <w:rsid w:val="00160F63"/>
    <w:rsid w:val="001614C6"/>
    <w:rsid w:val="0016150E"/>
    <w:rsid w:val="00161A1D"/>
    <w:rsid w:val="00161CE4"/>
    <w:rsid w:val="00161D39"/>
    <w:rsid w:val="001622CF"/>
    <w:rsid w:val="00162447"/>
    <w:rsid w:val="001624BA"/>
    <w:rsid w:val="00162752"/>
    <w:rsid w:val="00162873"/>
    <w:rsid w:val="00162A85"/>
    <w:rsid w:val="00162BA1"/>
    <w:rsid w:val="00162BA2"/>
    <w:rsid w:val="00162DF7"/>
    <w:rsid w:val="001630FF"/>
    <w:rsid w:val="001631E6"/>
    <w:rsid w:val="001633AA"/>
    <w:rsid w:val="00163582"/>
    <w:rsid w:val="001635CC"/>
    <w:rsid w:val="0016360B"/>
    <w:rsid w:val="001636F3"/>
    <w:rsid w:val="00163B4B"/>
    <w:rsid w:val="00163CCA"/>
    <w:rsid w:val="00163CD7"/>
    <w:rsid w:val="00163D07"/>
    <w:rsid w:val="00163E4B"/>
    <w:rsid w:val="00163EDF"/>
    <w:rsid w:val="001640B8"/>
    <w:rsid w:val="00164255"/>
    <w:rsid w:val="001643AB"/>
    <w:rsid w:val="001644AF"/>
    <w:rsid w:val="00164611"/>
    <w:rsid w:val="001646FF"/>
    <w:rsid w:val="0016489E"/>
    <w:rsid w:val="00164A9C"/>
    <w:rsid w:val="00164B1C"/>
    <w:rsid w:val="00164BA6"/>
    <w:rsid w:val="00164DBA"/>
    <w:rsid w:val="00164F45"/>
    <w:rsid w:val="0016518D"/>
    <w:rsid w:val="00165544"/>
    <w:rsid w:val="00165552"/>
    <w:rsid w:val="001655BD"/>
    <w:rsid w:val="00165692"/>
    <w:rsid w:val="0016574B"/>
    <w:rsid w:val="001658EF"/>
    <w:rsid w:val="00165ABC"/>
    <w:rsid w:val="00165AE6"/>
    <w:rsid w:val="00165C0F"/>
    <w:rsid w:val="00165C62"/>
    <w:rsid w:val="00165CF2"/>
    <w:rsid w:val="00165D2E"/>
    <w:rsid w:val="00165DAF"/>
    <w:rsid w:val="00165E27"/>
    <w:rsid w:val="00165F8A"/>
    <w:rsid w:val="00166236"/>
    <w:rsid w:val="0016639E"/>
    <w:rsid w:val="001663EB"/>
    <w:rsid w:val="001665D9"/>
    <w:rsid w:val="0016667C"/>
    <w:rsid w:val="00166893"/>
    <w:rsid w:val="001668C2"/>
    <w:rsid w:val="00166CDB"/>
    <w:rsid w:val="00166EDD"/>
    <w:rsid w:val="001670EB"/>
    <w:rsid w:val="001674CF"/>
    <w:rsid w:val="001678E3"/>
    <w:rsid w:val="00167B09"/>
    <w:rsid w:val="001700F9"/>
    <w:rsid w:val="001703EB"/>
    <w:rsid w:val="00170530"/>
    <w:rsid w:val="00170586"/>
    <w:rsid w:val="001708D7"/>
    <w:rsid w:val="00170B0C"/>
    <w:rsid w:val="001710EA"/>
    <w:rsid w:val="0017117E"/>
    <w:rsid w:val="001718BF"/>
    <w:rsid w:val="00171B70"/>
    <w:rsid w:val="00171D31"/>
    <w:rsid w:val="00171FCE"/>
    <w:rsid w:val="00172165"/>
    <w:rsid w:val="001721C3"/>
    <w:rsid w:val="001722DC"/>
    <w:rsid w:val="00172508"/>
    <w:rsid w:val="0017258F"/>
    <w:rsid w:val="00172598"/>
    <w:rsid w:val="00172821"/>
    <w:rsid w:val="00172871"/>
    <w:rsid w:val="001728F6"/>
    <w:rsid w:val="00172A6E"/>
    <w:rsid w:val="00172AA8"/>
    <w:rsid w:val="00172B7F"/>
    <w:rsid w:val="00172C73"/>
    <w:rsid w:val="00172E9A"/>
    <w:rsid w:val="001730DE"/>
    <w:rsid w:val="00173320"/>
    <w:rsid w:val="0017337E"/>
    <w:rsid w:val="00173396"/>
    <w:rsid w:val="00173423"/>
    <w:rsid w:val="001737A8"/>
    <w:rsid w:val="001737CD"/>
    <w:rsid w:val="001737FF"/>
    <w:rsid w:val="00173D64"/>
    <w:rsid w:val="00173E2E"/>
    <w:rsid w:val="00173E74"/>
    <w:rsid w:val="00173FBA"/>
    <w:rsid w:val="0017417F"/>
    <w:rsid w:val="001746A6"/>
    <w:rsid w:val="00174B05"/>
    <w:rsid w:val="00174B99"/>
    <w:rsid w:val="00174F23"/>
    <w:rsid w:val="0017506B"/>
    <w:rsid w:val="0017507F"/>
    <w:rsid w:val="001754ED"/>
    <w:rsid w:val="00175666"/>
    <w:rsid w:val="00175AD9"/>
    <w:rsid w:val="00175ADA"/>
    <w:rsid w:val="00175D2B"/>
    <w:rsid w:val="00175D43"/>
    <w:rsid w:val="00175FFB"/>
    <w:rsid w:val="0017623F"/>
    <w:rsid w:val="0017670F"/>
    <w:rsid w:val="00176726"/>
    <w:rsid w:val="00176B3A"/>
    <w:rsid w:val="00176B6C"/>
    <w:rsid w:val="00176E98"/>
    <w:rsid w:val="001774C7"/>
    <w:rsid w:val="001774DA"/>
    <w:rsid w:val="0017754E"/>
    <w:rsid w:val="00177935"/>
    <w:rsid w:val="00177F46"/>
    <w:rsid w:val="00180260"/>
    <w:rsid w:val="001802BE"/>
    <w:rsid w:val="00180582"/>
    <w:rsid w:val="001806E1"/>
    <w:rsid w:val="00180757"/>
    <w:rsid w:val="00180828"/>
    <w:rsid w:val="00180949"/>
    <w:rsid w:val="00180967"/>
    <w:rsid w:val="00180C4F"/>
    <w:rsid w:val="00180E40"/>
    <w:rsid w:val="001810D2"/>
    <w:rsid w:val="00181146"/>
    <w:rsid w:val="0018119C"/>
    <w:rsid w:val="001814E0"/>
    <w:rsid w:val="001815B2"/>
    <w:rsid w:val="00181C1F"/>
    <w:rsid w:val="00181D93"/>
    <w:rsid w:val="00182125"/>
    <w:rsid w:val="00182155"/>
    <w:rsid w:val="001821F6"/>
    <w:rsid w:val="00182218"/>
    <w:rsid w:val="0018251E"/>
    <w:rsid w:val="001825B1"/>
    <w:rsid w:val="001825F0"/>
    <w:rsid w:val="00182648"/>
    <w:rsid w:val="00182B74"/>
    <w:rsid w:val="00182E6A"/>
    <w:rsid w:val="00182F84"/>
    <w:rsid w:val="0018328E"/>
    <w:rsid w:val="00183335"/>
    <w:rsid w:val="001834A5"/>
    <w:rsid w:val="0018387E"/>
    <w:rsid w:val="00183899"/>
    <w:rsid w:val="00183AAC"/>
    <w:rsid w:val="00183BBE"/>
    <w:rsid w:val="00183F0C"/>
    <w:rsid w:val="0018410A"/>
    <w:rsid w:val="00184248"/>
    <w:rsid w:val="001845CA"/>
    <w:rsid w:val="00184799"/>
    <w:rsid w:val="00184894"/>
    <w:rsid w:val="00184952"/>
    <w:rsid w:val="001849E1"/>
    <w:rsid w:val="00184B2E"/>
    <w:rsid w:val="00184E5D"/>
    <w:rsid w:val="00184F06"/>
    <w:rsid w:val="00185144"/>
    <w:rsid w:val="00185254"/>
    <w:rsid w:val="0018526E"/>
    <w:rsid w:val="00185273"/>
    <w:rsid w:val="001854DA"/>
    <w:rsid w:val="00185698"/>
    <w:rsid w:val="00185BD2"/>
    <w:rsid w:val="00185F82"/>
    <w:rsid w:val="0018607D"/>
    <w:rsid w:val="001862EB"/>
    <w:rsid w:val="0018647B"/>
    <w:rsid w:val="0018652A"/>
    <w:rsid w:val="00186567"/>
    <w:rsid w:val="001869D4"/>
    <w:rsid w:val="00186B51"/>
    <w:rsid w:val="00186BBB"/>
    <w:rsid w:val="00186BF9"/>
    <w:rsid w:val="00186D8E"/>
    <w:rsid w:val="00187090"/>
    <w:rsid w:val="0018726E"/>
    <w:rsid w:val="00187493"/>
    <w:rsid w:val="001875D5"/>
    <w:rsid w:val="001875FA"/>
    <w:rsid w:val="00187960"/>
    <w:rsid w:val="001879E3"/>
    <w:rsid w:val="00187A17"/>
    <w:rsid w:val="00187C27"/>
    <w:rsid w:val="00187EEF"/>
    <w:rsid w:val="0019008E"/>
    <w:rsid w:val="0019051D"/>
    <w:rsid w:val="001908B7"/>
    <w:rsid w:val="00190CDA"/>
    <w:rsid w:val="00190DA2"/>
    <w:rsid w:val="00190E67"/>
    <w:rsid w:val="00190F2B"/>
    <w:rsid w:val="00190FC7"/>
    <w:rsid w:val="00191092"/>
    <w:rsid w:val="001914BF"/>
    <w:rsid w:val="0019183C"/>
    <w:rsid w:val="00191F2D"/>
    <w:rsid w:val="00192030"/>
    <w:rsid w:val="00192056"/>
    <w:rsid w:val="001920A8"/>
    <w:rsid w:val="001920B7"/>
    <w:rsid w:val="0019222E"/>
    <w:rsid w:val="00192B75"/>
    <w:rsid w:val="00192D3E"/>
    <w:rsid w:val="00193118"/>
    <w:rsid w:val="00193240"/>
    <w:rsid w:val="001935A6"/>
    <w:rsid w:val="0019379B"/>
    <w:rsid w:val="001937C8"/>
    <w:rsid w:val="00193977"/>
    <w:rsid w:val="0019397B"/>
    <w:rsid w:val="001939EC"/>
    <w:rsid w:val="00193B77"/>
    <w:rsid w:val="00193E21"/>
    <w:rsid w:val="00193F73"/>
    <w:rsid w:val="00194087"/>
    <w:rsid w:val="00194145"/>
    <w:rsid w:val="00194159"/>
    <w:rsid w:val="001941E2"/>
    <w:rsid w:val="00194353"/>
    <w:rsid w:val="001943FF"/>
    <w:rsid w:val="0019470D"/>
    <w:rsid w:val="0019475C"/>
    <w:rsid w:val="0019478F"/>
    <w:rsid w:val="001947CB"/>
    <w:rsid w:val="00194947"/>
    <w:rsid w:val="001949F4"/>
    <w:rsid w:val="00194A46"/>
    <w:rsid w:val="00194E97"/>
    <w:rsid w:val="00195012"/>
    <w:rsid w:val="0019529D"/>
    <w:rsid w:val="00195387"/>
    <w:rsid w:val="001955A2"/>
    <w:rsid w:val="001956D9"/>
    <w:rsid w:val="00195880"/>
    <w:rsid w:val="00195BC7"/>
    <w:rsid w:val="00195C94"/>
    <w:rsid w:val="00195E25"/>
    <w:rsid w:val="001962E6"/>
    <w:rsid w:val="001964ED"/>
    <w:rsid w:val="00196871"/>
    <w:rsid w:val="00196C52"/>
    <w:rsid w:val="00196DD3"/>
    <w:rsid w:val="00196DEC"/>
    <w:rsid w:val="00196E6B"/>
    <w:rsid w:val="00197075"/>
    <w:rsid w:val="00197189"/>
    <w:rsid w:val="001974D1"/>
    <w:rsid w:val="001975EF"/>
    <w:rsid w:val="001976BD"/>
    <w:rsid w:val="00197A27"/>
    <w:rsid w:val="00197CF0"/>
    <w:rsid w:val="00197F0B"/>
    <w:rsid w:val="001A01D5"/>
    <w:rsid w:val="001A0309"/>
    <w:rsid w:val="001A037C"/>
    <w:rsid w:val="001A05AB"/>
    <w:rsid w:val="001A05B9"/>
    <w:rsid w:val="001A08EA"/>
    <w:rsid w:val="001A0C7C"/>
    <w:rsid w:val="001A0CD1"/>
    <w:rsid w:val="001A0F9D"/>
    <w:rsid w:val="001A17DA"/>
    <w:rsid w:val="001A184E"/>
    <w:rsid w:val="001A188D"/>
    <w:rsid w:val="001A1975"/>
    <w:rsid w:val="001A1B5C"/>
    <w:rsid w:val="001A1E01"/>
    <w:rsid w:val="001A2052"/>
    <w:rsid w:val="001A214A"/>
    <w:rsid w:val="001A21AA"/>
    <w:rsid w:val="001A22CB"/>
    <w:rsid w:val="001A235C"/>
    <w:rsid w:val="001A26BA"/>
    <w:rsid w:val="001A2948"/>
    <w:rsid w:val="001A29AE"/>
    <w:rsid w:val="001A2DFE"/>
    <w:rsid w:val="001A2EBF"/>
    <w:rsid w:val="001A30A5"/>
    <w:rsid w:val="001A314C"/>
    <w:rsid w:val="001A31BA"/>
    <w:rsid w:val="001A3274"/>
    <w:rsid w:val="001A388E"/>
    <w:rsid w:val="001A3A46"/>
    <w:rsid w:val="001A3DA8"/>
    <w:rsid w:val="001A3DF6"/>
    <w:rsid w:val="001A3E87"/>
    <w:rsid w:val="001A405A"/>
    <w:rsid w:val="001A4231"/>
    <w:rsid w:val="001A425B"/>
    <w:rsid w:val="001A4752"/>
    <w:rsid w:val="001A47E1"/>
    <w:rsid w:val="001A484F"/>
    <w:rsid w:val="001A493D"/>
    <w:rsid w:val="001A4A90"/>
    <w:rsid w:val="001A4CC3"/>
    <w:rsid w:val="001A4E08"/>
    <w:rsid w:val="001A4F87"/>
    <w:rsid w:val="001A5049"/>
    <w:rsid w:val="001A50F6"/>
    <w:rsid w:val="001A519E"/>
    <w:rsid w:val="001A531F"/>
    <w:rsid w:val="001A5758"/>
    <w:rsid w:val="001A5849"/>
    <w:rsid w:val="001A5A8E"/>
    <w:rsid w:val="001A5ACE"/>
    <w:rsid w:val="001A5BB2"/>
    <w:rsid w:val="001A5E6B"/>
    <w:rsid w:val="001A6084"/>
    <w:rsid w:val="001A61C3"/>
    <w:rsid w:val="001A61EF"/>
    <w:rsid w:val="001A62BC"/>
    <w:rsid w:val="001A669F"/>
    <w:rsid w:val="001A68EE"/>
    <w:rsid w:val="001A69C8"/>
    <w:rsid w:val="001A6BC3"/>
    <w:rsid w:val="001A6C38"/>
    <w:rsid w:val="001A6E2C"/>
    <w:rsid w:val="001A7014"/>
    <w:rsid w:val="001A736F"/>
    <w:rsid w:val="001A7504"/>
    <w:rsid w:val="001A775D"/>
    <w:rsid w:val="001A79C1"/>
    <w:rsid w:val="001A7B6F"/>
    <w:rsid w:val="001A7D70"/>
    <w:rsid w:val="001A7ED1"/>
    <w:rsid w:val="001A7F12"/>
    <w:rsid w:val="001A7FBA"/>
    <w:rsid w:val="001B0045"/>
    <w:rsid w:val="001B034A"/>
    <w:rsid w:val="001B053B"/>
    <w:rsid w:val="001B0544"/>
    <w:rsid w:val="001B0989"/>
    <w:rsid w:val="001B0A0A"/>
    <w:rsid w:val="001B0ABA"/>
    <w:rsid w:val="001B0C1A"/>
    <w:rsid w:val="001B0D7C"/>
    <w:rsid w:val="001B0F46"/>
    <w:rsid w:val="001B11F5"/>
    <w:rsid w:val="001B1438"/>
    <w:rsid w:val="001B184F"/>
    <w:rsid w:val="001B18C6"/>
    <w:rsid w:val="001B19B5"/>
    <w:rsid w:val="001B1BB7"/>
    <w:rsid w:val="001B1D77"/>
    <w:rsid w:val="001B1E3E"/>
    <w:rsid w:val="001B2038"/>
    <w:rsid w:val="001B21B6"/>
    <w:rsid w:val="001B25A4"/>
    <w:rsid w:val="001B2B86"/>
    <w:rsid w:val="001B2C65"/>
    <w:rsid w:val="001B2D99"/>
    <w:rsid w:val="001B2ECE"/>
    <w:rsid w:val="001B2EDB"/>
    <w:rsid w:val="001B2FAE"/>
    <w:rsid w:val="001B31C5"/>
    <w:rsid w:val="001B3284"/>
    <w:rsid w:val="001B32A4"/>
    <w:rsid w:val="001B3718"/>
    <w:rsid w:val="001B384F"/>
    <w:rsid w:val="001B3AD1"/>
    <w:rsid w:val="001B3DAF"/>
    <w:rsid w:val="001B3EE5"/>
    <w:rsid w:val="001B403C"/>
    <w:rsid w:val="001B4093"/>
    <w:rsid w:val="001B41D3"/>
    <w:rsid w:val="001B4236"/>
    <w:rsid w:val="001B428C"/>
    <w:rsid w:val="001B4632"/>
    <w:rsid w:val="001B49A5"/>
    <w:rsid w:val="001B4D60"/>
    <w:rsid w:val="001B4DE2"/>
    <w:rsid w:val="001B4F09"/>
    <w:rsid w:val="001B4FA5"/>
    <w:rsid w:val="001B5156"/>
    <w:rsid w:val="001B52EB"/>
    <w:rsid w:val="001B53CB"/>
    <w:rsid w:val="001B564D"/>
    <w:rsid w:val="001B58C3"/>
    <w:rsid w:val="001B5BA0"/>
    <w:rsid w:val="001B5C16"/>
    <w:rsid w:val="001B5CEA"/>
    <w:rsid w:val="001B5FBB"/>
    <w:rsid w:val="001B6379"/>
    <w:rsid w:val="001B64C5"/>
    <w:rsid w:val="001B65C6"/>
    <w:rsid w:val="001B670F"/>
    <w:rsid w:val="001B6825"/>
    <w:rsid w:val="001B68B2"/>
    <w:rsid w:val="001B68DC"/>
    <w:rsid w:val="001B690E"/>
    <w:rsid w:val="001B69E3"/>
    <w:rsid w:val="001B6A39"/>
    <w:rsid w:val="001B6AA5"/>
    <w:rsid w:val="001B6D5F"/>
    <w:rsid w:val="001B7093"/>
    <w:rsid w:val="001B7123"/>
    <w:rsid w:val="001B7157"/>
    <w:rsid w:val="001B7554"/>
    <w:rsid w:val="001B7874"/>
    <w:rsid w:val="001B78BA"/>
    <w:rsid w:val="001B7A2B"/>
    <w:rsid w:val="001B7BA5"/>
    <w:rsid w:val="001B7BFA"/>
    <w:rsid w:val="001C015D"/>
    <w:rsid w:val="001C0268"/>
    <w:rsid w:val="001C05F8"/>
    <w:rsid w:val="001C08CE"/>
    <w:rsid w:val="001C0BF8"/>
    <w:rsid w:val="001C0E4F"/>
    <w:rsid w:val="001C0F85"/>
    <w:rsid w:val="001C0F95"/>
    <w:rsid w:val="001C1010"/>
    <w:rsid w:val="001C1055"/>
    <w:rsid w:val="001C11D2"/>
    <w:rsid w:val="001C1525"/>
    <w:rsid w:val="001C157B"/>
    <w:rsid w:val="001C1908"/>
    <w:rsid w:val="001C19D7"/>
    <w:rsid w:val="001C1AA1"/>
    <w:rsid w:val="001C1C15"/>
    <w:rsid w:val="001C213B"/>
    <w:rsid w:val="001C2198"/>
    <w:rsid w:val="001C22BE"/>
    <w:rsid w:val="001C2419"/>
    <w:rsid w:val="001C248D"/>
    <w:rsid w:val="001C2906"/>
    <w:rsid w:val="001C2B47"/>
    <w:rsid w:val="001C2B91"/>
    <w:rsid w:val="001C2C45"/>
    <w:rsid w:val="001C2D2F"/>
    <w:rsid w:val="001C3270"/>
    <w:rsid w:val="001C33A0"/>
    <w:rsid w:val="001C33D6"/>
    <w:rsid w:val="001C35E6"/>
    <w:rsid w:val="001C36A0"/>
    <w:rsid w:val="001C36E5"/>
    <w:rsid w:val="001C3A21"/>
    <w:rsid w:val="001C3A3D"/>
    <w:rsid w:val="001C3B60"/>
    <w:rsid w:val="001C3B71"/>
    <w:rsid w:val="001C3BFB"/>
    <w:rsid w:val="001C3DFB"/>
    <w:rsid w:val="001C3EB5"/>
    <w:rsid w:val="001C3F75"/>
    <w:rsid w:val="001C413D"/>
    <w:rsid w:val="001C4495"/>
    <w:rsid w:val="001C487E"/>
    <w:rsid w:val="001C490E"/>
    <w:rsid w:val="001C4ADD"/>
    <w:rsid w:val="001C4B4C"/>
    <w:rsid w:val="001C4BFC"/>
    <w:rsid w:val="001C4D5D"/>
    <w:rsid w:val="001C4F83"/>
    <w:rsid w:val="001C4F9F"/>
    <w:rsid w:val="001C528D"/>
    <w:rsid w:val="001C5306"/>
    <w:rsid w:val="001C539A"/>
    <w:rsid w:val="001C59D8"/>
    <w:rsid w:val="001C5B49"/>
    <w:rsid w:val="001C5B86"/>
    <w:rsid w:val="001C5B8C"/>
    <w:rsid w:val="001C5DAB"/>
    <w:rsid w:val="001C5DAC"/>
    <w:rsid w:val="001C5EDB"/>
    <w:rsid w:val="001C5FEF"/>
    <w:rsid w:val="001C64B1"/>
    <w:rsid w:val="001C6565"/>
    <w:rsid w:val="001C65BB"/>
    <w:rsid w:val="001C6631"/>
    <w:rsid w:val="001C6CDD"/>
    <w:rsid w:val="001C7087"/>
    <w:rsid w:val="001C7099"/>
    <w:rsid w:val="001C72F2"/>
    <w:rsid w:val="001C739E"/>
    <w:rsid w:val="001C7456"/>
    <w:rsid w:val="001C7649"/>
    <w:rsid w:val="001C7681"/>
    <w:rsid w:val="001C78C5"/>
    <w:rsid w:val="001C7A1B"/>
    <w:rsid w:val="001C7CC4"/>
    <w:rsid w:val="001D00F8"/>
    <w:rsid w:val="001D0255"/>
    <w:rsid w:val="001D03B3"/>
    <w:rsid w:val="001D0554"/>
    <w:rsid w:val="001D07A2"/>
    <w:rsid w:val="001D085B"/>
    <w:rsid w:val="001D0A61"/>
    <w:rsid w:val="001D0C4D"/>
    <w:rsid w:val="001D0ED0"/>
    <w:rsid w:val="001D14C5"/>
    <w:rsid w:val="001D15BE"/>
    <w:rsid w:val="001D1AC4"/>
    <w:rsid w:val="001D1BB1"/>
    <w:rsid w:val="001D1D3F"/>
    <w:rsid w:val="001D1ECE"/>
    <w:rsid w:val="001D211A"/>
    <w:rsid w:val="001D233C"/>
    <w:rsid w:val="001D2532"/>
    <w:rsid w:val="001D2710"/>
    <w:rsid w:val="001D2723"/>
    <w:rsid w:val="001D2B1A"/>
    <w:rsid w:val="001D2CAF"/>
    <w:rsid w:val="001D3020"/>
    <w:rsid w:val="001D31DC"/>
    <w:rsid w:val="001D3328"/>
    <w:rsid w:val="001D359A"/>
    <w:rsid w:val="001D3AB8"/>
    <w:rsid w:val="001D3AE2"/>
    <w:rsid w:val="001D3CA5"/>
    <w:rsid w:val="001D3F92"/>
    <w:rsid w:val="001D414A"/>
    <w:rsid w:val="001D4630"/>
    <w:rsid w:val="001D48FB"/>
    <w:rsid w:val="001D49A7"/>
    <w:rsid w:val="001D4DF6"/>
    <w:rsid w:val="001D4E1D"/>
    <w:rsid w:val="001D4E73"/>
    <w:rsid w:val="001D4FBA"/>
    <w:rsid w:val="001D5011"/>
    <w:rsid w:val="001D5028"/>
    <w:rsid w:val="001D51B4"/>
    <w:rsid w:val="001D53F0"/>
    <w:rsid w:val="001D541D"/>
    <w:rsid w:val="001D57A4"/>
    <w:rsid w:val="001D5CD7"/>
    <w:rsid w:val="001D5D04"/>
    <w:rsid w:val="001D60AC"/>
    <w:rsid w:val="001D61A3"/>
    <w:rsid w:val="001D63C5"/>
    <w:rsid w:val="001D66BA"/>
    <w:rsid w:val="001D6BE2"/>
    <w:rsid w:val="001D6CEC"/>
    <w:rsid w:val="001D6CFF"/>
    <w:rsid w:val="001D6E3D"/>
    <w:rsid w:val="001D6E98"/>
    <w:rsid w:val="001D753C"/>
    <w:rsid w:val="001D76A8"/>
    <w:rsid w:val="001D7817"/>
    <w:rsid w:val="001D7C1A"/>
    <w:rsid w:val="001D7FA0"/>
    <w:rsid w:val="001E0110"/>
    <w:rsid w:val="001E0279"/>
    <w:rsid w:val="001E058A"/>
    <w:rsid w:val="001E070C"/>
    <w:rsid w:val="001E075D"/>
    <w:rsid w:val="001E09F8"/>
    <w:rsid w:val="001E0A63"/>
    <w:rsid w:val="001E0FB3"/>
    <w:rsid w:val="001E0FF8"/>
    <w:rsid w:val="001E12A3"/>
    <w:rsid w:val="001E141C"/>
    <w:rsid w:val="001E15DC"/>
    <w:rsid w:val="001E1656"/>
    <w:rsid w:val="001E18BB"/>
    <w:rsid w:val="001E1AB7"/>
    <w:rsid w:val="001E1AE4"/>
    <w:rsid w:val="001E1C33"/>
    <w:rsid w:val="001E1CDF"/>
    <w:rsid w:val="001E1D33"/>
    <w:rsid w:val="001E1D88"/>
    <w:rsid w:val="001E20D4"/>
    <w:rsid w:val="001E21BF"/>
    <w:rsid w:val="001E223C"/>
    <w:rsid w:val="001E228F"/>
    <w:rsid w:val="001E23FD"/>
    <w:rsid w:val="001E26CE"/>
    <w:rsid w:val="001E26D8"/>
    <w:rsid w:val="001E2847"/>
    <w:rsid w:val="001E2916"/>
    <w:rsid w:val="001E2979"/>
    <w:rsid w:val="001E2A16"/>
    <w:rsid w:val="001E2A9D"/>
    <w:rsid w:val="001E2C14"/>
    <w:rsid w:val="001E2D80"/>
    <w:rsid w:val="001E2EDD"/>
    <w:rsid w:val="001E2F6C"/>
    <w:rsid w:val="001E334B"/>
    <w:rsid w:val="001E334F"/>
    <w:rsid w:val="001E3490"/>
    <w:rsid w:val="001E366C"/>
    <w:rsid w:val="001E3D3D"/>
    <w:rsid w:val="001E3DBA"/>
    <w:rsid w:val="001E3EBB"/>
    <w:rsid w:val="001E4043"/>
    <w:rsid w:val="001E44C5"/>
    <w:rsid w:val="001E472F"/>
    <w:rsid w:val="001E47CF"/>
    <w:rsid w:val="001E4823"/>
    <w:rsid w:val="001E483F"/>
    <w:rsid w:val="001E484A"/>
    <w:rsid w:val="001E48B5"/>
    <w:rsid w:val="001E4D4A"/>
    <w:rsid w:val="001E4D68"/>
    <w:rsid w:val="001E4F5E"/>
    <w:rsid w:val="001E504A"/>
    <w:rsid w:val="001E5095"/>
    <w:rsid w:val="001E5161"/>
    <w:rsid w:val="001E5222"/>
    <w:rsid w:val="001E568D"/>
    <w:rsid w:val="001E5855"/>
    <w:rsid w:val="001E5A0D"/>
    <w:rsid w:val="001E5DB1"/>
    <w:rsid w:val="001E5E7C"/>
    <w:rsid w:val="001E6008"/>
    <w:rsid w:val="001E61C1"/>
    <w:rsid w:val="001E65EF"/>
    <w:rsid w:val="001E699F"/>
    <w:rsid w:val="001E6A94"/>
    <w:rsid w:val="001E6C80"/>
    <w:rsid w:val="001E6D09"/>
    <w:rsid w:val="001E6F01"/>
    <w:rsid w:val="001E7507"/>
    <w:rsid w:val="001E79FC"/>
    <w:rsid w:val="001E7E7E"/>
    <w:rsid w:val="001E7F47"/>
    <w:rsid w:val="001E7FBA"/>
    <w:rsid w:val="001F0099"/>
    <w:rsid w:val="001F00A3"/>
    <w:rsid w:val="001F018F"/>
    <w:rsid w:val="001F0650"/>
    <w:rsid w:val="001F06E1"/>
    <w:rsid w:val="001F0726"/>
    <w:rsid w:val="001F0759"/>
    <w:rsid w:val="001F079D"/>
    <w:rsid w:val="001F0806"/>
    <w:rsid w:val="001F0C34"/>
    <w:rsid w:val="001F0D12"/>
    <w:rsid w:val="001F0D39"/>
    <w:rsid w:val="001F0D55"/>
    <w:rsid w:val="001F1121"/>
    <w:rsid w:val="001F12F3"/>
    <w:rsid w:val="001F16C5"/>
    <w:rsid w:val="001F1819"/>
    <w:rsid w:val="001F1B9D"/>
    <w:rsid w:val="001F1C7A"/>
    <w:rsid w:val="001F1DC5"/>
    <w:rsid w:val="001F205D"/>
    <w:rsid w:val="001F20CC"/>
    <w:rsid w:val="001F216D"/>
    <w:rsid w:val="001F2400"/>
    <w:rsid w:val="001F24A2"/>
    <w:rsid w:val="001F272C"/>
    <w:rsid w:val="001F28F0"/>
    <w:rsid w:val="001F2A06"/>
    <w:rsid w:val="001F2BF0"/>
    <w:rsid w:val="001F2E77"/>
    <w:rsid w:val="001F30E4"/>
    <w:rsid w:val="001F31B0"/>
    <w:rsid w:val="001F348A"/>
    <w:rsid w:val="001F34E8"/>
    <w:rsid w:val="001F3598"/>
    <w:rsid w:val="001F35DA"/>
    <w:rsid w:val="001F3641"/>
    <w:rsid w:val="001F36BE"/>
    <w:rsid w:val="001F3AFE"/>
    <w:rsid w:val="001F3D60"/>
    <w:rsid w:val="001F3F73"/>
    <w:rsid w:val="001F407D"/>
    <w:rsid w:val="001F40C4"/>
    <w:rsid w:val="001F4158"/>
    <w:rsid w:val="001F43E5"/>
    <w:rsid w:val="001F4446"/>
    <w:rsid w:val="001F45F4"/>
    <w:rsid w:val="001F4632"/>
    <w:rsid w:val="001F46F1"/>
    <w:rsid w:val="001F474C"/>
    <w:rsid w:val="001F485B"/>
    <w:rsid w:val="001F4901"/>
    <w:rsid w:val="001F4BD6"/>
    <w:rsid w:val="001F4C40"/>
    <w:rsid w:val="001F4CCC"/>
    <w:rsid w:val="001F4D32"/>
    <w:rsid w:val="001F4EF1"/>
    <w:rsid w:val="001F5072"/>
    <w:rsid w:val="001F5103"/>
    <w:rsid w:val="001F53C3"/>
    <w:rsid w:val="001F5459"/>
    <w:rsid w:val="001F546A"/>
    <w:rsid w:val="001F55D4"/>
    <w:rsid w:val="001F5A03"/>
    <w:rsid w:val="001F5B3E"/>
    <w:rsid w:val="001F5B47"/>
    <w:rsid w:val="001F5BC9"/>
    <w:rsid w:val="001F5D1B"/>
    <w:rsid w:val="001F5DD9"/>
    <w:rsid w:val="001F5E40"/>
    <w:rsid w:val="001F5F02"/>
    <w:rsid w:val="001F60A9"/>
    <w:rsid w:val="001F628C"/>
    <w:rsid w:val="001F65B0"/>
    <w:rsid w:val="001F6751"/>
    <w:rsid w:val="001F6779"/>
    <w:rsid w:val="001F678D"/>
    <w:rsid w:val="001F68DE"/>
    <w:rsid w:val="001F691E"/>
    <w:rsid w:val="001F69B9"/>
    <w:rsid w:val="001F6C2F"/>
    <w:rsid w:val="001F6D54"/>
    <w:rsid w:val="001F6D6E"/>
    <w:rsid w:val="001F7069"/>
    <w:rsid w:val="001F71A8"/>
    <w:rsid w:val="001F73D5"/>
    <w:rsid w:val="001F770F"/>
    <w:rsid w:val="001F7975"/>
    <w:rsid w:val="001F7C51"/>
    <w:rsid w:val="001F7C71"/>
    <w:rsid w:val="001F7CEA"/>
    <w:rsid w:val="001F7F77"/>
    <w:rsid w:val="001F7FCC"/>
    <w:rsid w:val="0020009D"/>
    <w:rsid w:val="002001E0"/>
    <w:rsid w:val="00200348"/>
    <w:rsid w:val="00200599"/>
    <w:rsid w:val="00200645"/>
    <w:rsid w:val="0020065D"/>
    <w:rsid w:val="002007E2"/>
    <w:rsid w:val="0020089E"/>
    <w:rsid w:val="00200D3B"/>
    <w:rsid w:val="00200E03"/>
    <w:rsid w:val="002011C1"/>
    <w:rsid w:val="00201401"/>
    <w:rsid w:val="00201772"/>
    <w:rsid w:val="0020185F"/>
    <w:rsid w:val="00201A53"/>
    <w:rsid w:val="00201A75"/>
    <w:rsid w:val="00201C31"/>
    <w:rsid w:val="00201ED8"/>
    <w:rsid w:val="00202128"/>
    <w:rsid w:val="00202246"/>
    <w:rsid w:val="002022A7"/>
    <w:rsid w:val="002022B5"/>
    <w:rsid w:val="00202428"/>
    <w:rsid w:val="00202573"/>
    <w:rsid w:val="00202C04"/>
    <w:rsid w:val="00202C10"/>
    <w:rsid w:val="00203109"/>
    <w:rsid w:val="0020326F"/>
    <w:rsid w:val="00203667"/>
    <w:rsid w:val="00203785"/>
    <w:rsid w:val="00203A9C"/>
    <w:rsid w:val="00203CA3"/>
    <w:rsid w:val="00203D39"/>
    <w:rsid w:val="00203E89"/>
    <w:rsid w:val="00204025"/>
    <w:rsid w:val="00204067"/>
    <w:rsid w:val="0020438D"/>
    <w:rsid w:val="0020443A"/>
    <w:rsid w:val="00204456"/>
    <w:rsid w:val="0020449D"/>
    <w:rsid w:val="0020488E"/>
    <w:rsid w:val="0020490F"/>
    <w:rsid w:val="00204A1B"/>
    <w:rsid w:val="00204F82"/>
    <w:rsid w:val="002050A5"/>
    <w:rsid w:val="002052AD"/>
    <w:rsid w:val="0020535E"/>
    <w:rsid w:val="002053FB"/>
    <w:rsid w:val="002054ED"/>
    <w:rsid w:val="002057D2"/>
    <w:rsid w:val="00205878"/>
    <w:rsid w:val="00205C9A"/>
    <w:rsid w:val="0020617C"/>
    <w:rsid w:val="00206472"/>
    <w:rsid w:val="002065B5"/>
    <w:rsid w:val="00206649"/>
    <w:rsid w:val="00206717"/>
    <w:rsid w:val="00206A6E"/>
    <w:rsid w:val="00206A96"/>
    <w:rsid w:val="00206B56"/>
    <w:rsid w:val="00206CDB"/>
    <w:rsid w:val="00206D14"/>
    <w:rsid w:val="002070F6"/>
    <w:rsid w:val="0020712F"/>
    <w:rsid w:val="002071DE"/>
    <w:rsid w:val="0020739A"/>
    <w:rsid w:val="00207448"/>
    <w:rsid w:val="0020796D"/>
    <w:rsid w:val="00210207"/>
    <w:rsid w:val="002104AF"/>
    <w:rsid w:val="002106FC"/>
    <w:rsid w:val="0021094A"/>
    <w:rsid w:val="00210B65"/>
    <w:rsid w:val="00210B70"/>
    <w:rsid w:val="00210F73"/>
    <w:rsid w:val="00210FC5"/>
    <w:rsid w:val="0021100D"/>
    <w:rsid w:val="0021103F"/>
    <w:rsid w:val="00211220"/>
    <w:rsid w:val="0021125F"/>
    <w:rsid w:val="002115B9"/>
    <w:rsid w:val="00211829"/>
    <w:rsid w:val="0021185B"/>
    <w:rsid w:val="00211A33"/>
    <w:rsid w:val="00211C79"/>
    <w:rsid w:val="00211D35"/>
    <w:rsid w:val="00211E72"/>
    <w:rsid w:val="002120C1"/>
    <w:rsid w:val="002122FD"/>
    <w:rsid w:val="0021260F"/>
    <w:rsid w:val="00212718"/>
    <w:rsid w:val="00212DE5"/>
    <w:rsid w:val="00212E91"/>
    <w:rsid w:val="00212FA2"/>
    <w:rsid w:val="00213346"/>
    <w:rsid w:val="00213513"/>
    <w:rsid w:val="00213658"/>
    <w:rsid w:val="00213806"/>
    <w:rsid w:val="002139C8"/>
    <w:rsid w:val="002139D3"/>
    <w:rsid w:val="00213A82"/>
    <w:rsid w:val="00213CD4"/>
    <w:rsid w:val="00213F59"/>
    <w:rsid w:val="0021456D"/>
    <w:rsid w:val="00214816"/>
    <w:rsid w:val="00214876"/>
    <w:rsid w:val="002148AF"/>
    <w:rsid w:val="00214933"/>
    <w:rsid w:val="00214E08"/>
    <w:rsid w:val="00215028"/>
    <w:rsid w:val="00215199"/>
    <w:rsid w:val="002151B2"/>
    <w:rsid w:val="002154A8"/>
    <w:rsid w:val="0021578A"/>
    <w:rsid w:val="00215BB6"/>
    <w:rsid w:val="00215C87"/>
    <w:rsid w:val="0021605E"/>
    <w:rsid w:val="002161C9"/>
    <w:rsid w:val="00216292"/>
    <w:rsid w:val="0021697E"/>
    <w:rsid w:val="00216CB2"/>
    <w:rsid w:val="002172EB"/>
    <w:rsid w:val="002176C9"/>
    <w:rsid w:val="002177A5"/>
    <w:rsid w:val="00217877"/>
    <w:rsid w:val="00217CE2"/>
    <w:rsid w:val="00217D90"/>
    <w:rsid w:val="00217E61"/>
    <w:rsid w:val="00217E7F"/>
    <w:rsid w:val="00217FFB"/>
    <w:rsid w:val="0022003C"/>
    <w:rsid w:val="002200DB"/>
    <w:rsid w:val="0022017A"/>
    <w:rsid w:val="00220275"/>
    <w:rsid w:val="00220672"/>
    <w:rsid w:val="002209B3"/>
    <w:rsid w:val="00220AA2"/>
    <w:rsid w:val="00220AAC"/>
    <w:rsid w:val="00220CBA"/>
    <w:rsid w:val="00220D66"/>
    <w:rsid w:val="00220E0A"/>
    <w:rsid w:val="0022125E"/>
    <w:rsid w:val="00221999"/>
    <w:rsid w:val="00221A99"/>
    <w:rsid w:val="00221CAB"/>
    <w:rsid w:val="00221D8C"/>
    <w:rsid w:val="00221DE2"/>
    <w:rsid w:val="00221EB6"/>
    <w:rsid w:val="00221EF0"/>
    <w:rsid w:val="00222034"/>
    <w:rsid w:val="00222085"/>
    <w:rsid w:val="002221DD"/>
    <w:rsid w:val="00222219"/>
    <w:rsid w:val="0022230D"/>
    <w:rsid w:val="0022243F"/>
    <w:rsid w:val="0022247E"/>
    <w:rsid w:val="002224A3"/>
    <w:rsid w:val="002227D1"/>
    <w:rsid w:val="002228F7"/>
    <w:rsid w:val="00222C76"/>
    <w:rsid w:val="00222DFB"/>
    <w:rsid w:val="0022326E"/>
    <w:rsid w:val="0022348E"/>
    <w:rsid w:val="002234F0"/>
    <w:rsid w:val="0022367E"/>
    <w:rsid w:val="002236E6"/>
    <w:rsid w:val="00223A96"/>
    <w:rsid w:val="00223BA5"/>
    <w:rsid w:val="00223CD0"/>
    <w:rsid w:val="00223CFB"/>
    <w:rsid w:val="00223F7E"/>
    <w:rsid w:val="00224099"/>
    <w:rsid w:val="002240DB"/>
    <w:rsid w:val="00224254"/>
    <w:rsid w:val="00224416"/>
    <w:rsid w:val="0022453C"/>
    <w:rsid w:val="00224677"/>
    <w:rsid w:val="00224832"/>
    <w:rsid w:val="00224D3B"/>
    <w:rsid w:val="0022506F"/>
    <w:rsid w:val="00225343"/>
    <w:rsid w:val="0022546F"/>
    <w:rsid w:val="002255C8"/>
    <w:rsid w:val="00225685"/>
    <w:rsid w:val="00225687"/>
    <w:rsid w:val="0022572E"/>
    <w:rsid w:val="002258F2"/>
    <w:rsid w:val="0022592A"/>
    <w:rsid w:val="00225BD8"/>
    <w:rsid w:val="00225D45"/>
    <w:rsid w:val="00225E73"/>
    <w:rsid w:val="00226017"/>
    <w:rsid w:val="00226413"/>
    <w:rsid w:val="002264DC"/>
    <w:rsid w:val="0022699F"/>
    <w:rsid w:val="00226BCA"/>
    <w:rsid w:val="00226CA3"/>
    <w:rsid w:val="00226F9C"/>
    <w:rsid w:val="00226FCB"/>
    <w:rsid w:val="002270AC"/>
    <w:rsid w:val="002270DA"/>
    <w:rsid w:val="00227190"/>
    <w:rsid w:val="00227384"/>
    <w:rsid w:val="002274D9"/>
    <w:rsid w:val="00227589"/>
    <w:rsid w:val="00227652"/>
    <w:rsid w:val="002278A6"/>
    <w:rsid w:val="00227A11"/>
    <w:rsid w:val="00227B49"/>
    <w:rsid w:val="00227D20"/>
    <w:rsid w:val="00227E95"/>
    <w:rsid w:val="0023041F"/>
    <w:rsid w:val="0023046B"/>
    <w:rsid w:val="0023051E"/>
    <w:rsid w:val="00230634"/>
    <w:rsid w:val="00230826"/>
    <w:rsid w:val="00230B02"/>
    <w:rsid w:val="00230B49"/>
    <w:rsid w:val="00230BDD"/>
    <w:rsid w:val="002311BF"/>
    <w:rsid w:val="0023171B"/>
    <w:rsid w:val="00231876"/>
    <w:rsid w:val="00231A66"/>
    <w:rsid w:val="00231ABD"/>
    <w:rsid w:val="00231B38"/>
    <w:rsid w:val="00231BD7"/>
    <w:rsid w:val="00231C90"/>
    <w:rsid w:val="0023209A"/>
    <w:rsid w:val="002321D7"/>
    <w:rsid w:val="00232206"/>
    <w:rsid w:val="002323DE"/>
    <w:rsid w:val="002325C3"/>
    <w:rsid w:val="002329B8"/>
    <w:rsid w:val="00232AF7"/>
    <w:rsid w:val="00232D9C"/>
    <w:rsid w:val="00232DA1"/>
    <w:rsid w:val="00232EA1"/>
    <w:rsid w:val="00232F3D"/>
    <w:rsid w:val="00232FB0"/>
    <w:rsid w:val="0023330D"/>
    <w:rsid w:val="002334FE"/>
    <w:rsid w:val="002335ED"/>
    <w:rsid w:val="00233696"/>
    <w:rsid w:val="00233737"/>
    <w:rsid w:val="0023399C"/>
    <w:rsid w:val="00233BD9"/>
    <w:rsid w:val="002340A9"/>
    <w:rsid w:val="00234801"/>
    <w:rsid w:val="00234958"/>
    <w:rsid w:val="00234B12"/>
    <w:rsid w:val="00234E1B"/>
    <w:rsid w:val="00234E62"/>
    <w:rsid w:val="0023517B"/>
    <w:rsid w:val="0023594D"/>
    <w:rsid w:val="00235953"/>
    <w:rsid w:val="002359E6"/>
    <w:rsid w:val="00235BAD"/>
    <w:rsid w:val="00235CEA"/>
    <w:rsid w:val="00235E93"/>
    <w:rsid w:val="002361E1"/>
    <w:rsid w:val="0023630C"/>
    <w:rsid w:val="002364AB"/>
    <w:rsid w:val="002365D8"/>
    <w:rsid w:val="0023690D"/>
    <w:rsid w:val="00236C5A"/>
    <w:rsid w:val="00236CC5"/>
    <w:rsid w:val="00236D9E"/>
    <w:rsid w:val="00236DA5"/>
    <w:rsid w:val="00236DD9"/>
    <w:rsid w:val="00236E32"/>
    <w:rsid w:val="00236E7C"/>
    <w:rsid w:val="002374A4"/>
    <w:rsid w:val="0023752F"/>
    <w:rsid w:val="00237A7F"/>
    <w:rsid w:val="00237C11"/>
    <w:rsid w:val="00237E9C"/>
    <w:rsid w:val="00240134"/>
    <w:rsid w:val="0024014B"/>
    <w:rsid w:val="00240156"/>
    <w:rsid w:val="002403A7"/>
    <w:rsid w:val="002403F0"/>
    <w:rsid w:val="00240454"/>
    <w:rsid w:val="0024058A"/>
    <w:rsid w:val="00240868"/>
    <w:rsid w:val="0024090E"/>
    <w:rsid w:val="00240E3B"/>
    <w:rsid w:val="00240F2A"/>
    <w:rsid w:val="00241152"/>
    <w:rsid w:val="00241185"/>
    <w:rsid w:val="002413FA"/>
    <w:rsid w:val="00241559"/>
    <w:rsid w:val="002415A7"/>
    <w:rsid w:val="002418F9"/>
    <w:rsid w:val="00241D91"/>
    <w:rsid w:val="00241DBB"/>
    <w:rsid w:val="00241E24"/>
    <w:rsid w:val="00242566"/>
    <w:rsid w:val="00242629"/>
    <w:rsid w:val="0024277C"/>
    <w:rsid w:val="00242AAB"/>
    <w:rsid w:val="00242AEF"/>
    <w:rsid w:val="00242BFC"/>
    <w:rsid w:val="002430C8"/>
    <w:rsid w:val="00243210"/>
    <w:rsid w:val="002433FE"/>
    <w:rsid w:val="0024356A"/>
    <w:rsid w:val="002435A4"/>
    <w:rsid w:val="00243649"/>
    <w:rsid w:val="0024389F"/>
    <w:rsid w:val="00243983"/>
    <w:rsid w:val="002439FF"/>
    <w:rsid w:val="00243F8A"/>
    <w:rsid w:val="0024411D"/>
    <w:rsid w:val="0024445D"/>
    <w:rsid w:val="002446BC"/>
    <w:rsid w:val="002446C9"/>
    <w:rsid w:val="00244B07"/>
    <w:rsid w:val="00244BF9"/>
    <w:rsid w:val="00244D4A"/>
    <w:rsid w:val="00244D9B"/>
    <w:rsid w:val="00244EEC"/>
    <w:rsid w:val="00244F7E"/>
    <w:rsid w:val="00245104"/>
    <w:rsid w:val="00245146"/>
    <w:rsid w:val="002454CD"/>
    <w:rsid w:val="00245885"/>
    <w:rsid w:val="00245A9C"/>
    <w:rsid w:val="002462F5"/>
    <w:rsid w:val="0024648A"/>
    <w:rsid w:val="00246545"/>
    <w:rsid w:val="00246749"/>
    <w:rsid w:val="00246867"/>
    <w:rsid w:val="00246919"/>
    <w:rsid w:val="00246A0B"/>
    <w:rsid w:val="00246AD3"/>
    <w:rsid w:val="00246E1F"/>
    <w:rsid w:val="00246E5B"/>
    <w:rsid w:val="002471AB"/>
    <w:rsid w:val="002472AD"/>
    <w:rsid w:val="00247387"/>
    <w:rsid w:val="0024756F"/>
    <w:rsid w:val="00247588"/>
    <w:rsid w:val="002475E3"/>
    <w:rsid w:val="0024766B"/>
    <w:rsid w:val="0024785B"/>
    <w:rsid w:val="002479BB"/>
    <w:rsid w:val="00247A80"/>
    <w:rsid w:val="00247B08"/>
    <w:rsid w:val="00247B33"/>
    <w:rsid w:val="00247D34"/>
    <w:rsid w:val="00247D6F"/>
    <w:rsid w:val="00247D95"/>
    <w:rsid w:val="00247E43"/>
    <w:rsid w:val="00247EA9"/>
    <w:rsid w:val="0025053B"/>
    <w:rsid w:val="002505DD"/>
    <w:rsid w:val="0025076F"/>
    <w:rsid w:val="002507B8"/>
    <w:rsid w:val="00250843"/>
    <w:rsid w:val="0025087D"/>
    <w:rsid w:val="00250B16"/>
    <w:rsid w:val="00250D0D"/>
    <w:rsid w:val="00250E9F"/>
    <w:rsid w:val="00250F55"/>
    <w:rsid w:val="00251189"/>
    <w:rsid w:val="0025128D"/>
    <w:rsid w:val="00251A82"/>
    <w:rsid w:val="00251B56"/>
    <w:rsid w:val="00251CD0"/>
    <w:rsid w:val="00251CD1"/>
    <w:rsid w:val="00251DC4"/>
    <w:rsid w:val="00251E06"/>
    <w:rsid w:val="00251E3A"/>
    <w:rsid w:val="00252052"/>
    <w:rsid w:val="00252177"/>
    <w:rsid w:val="0025219C"/>
    <w:rsid w:val="002522CC"/>
    <w:rsid w:val="0025233D"/>
    <w:rsid w:val="002524A5"/>
    <w:rsid w:val="0025258B"/>
    <w:rsid w:val="0025262E"/>
    <w:rsid w:val="00252748"/>
    <w:rsid w:val="00252870"/>
    <w:rsid w:val="00252E50"/>
    <w:rsid w:val="002531DB"/>
    <w:rsid w:val="002535FE"/>
    <w:rsid w:val="0025386D"/>
    <w:rsid w:val="0025388D"/>
    <w:rsid w:val="002539DA"/>
    <w:rsid w:val="00253BA5"/>
    <w:rsid w:val="00253C88"/>
    <w:rsid w:val="00253EE9"/>
    <w:rsid w:val="00253F59"/>
    <w:rsid w:val="0025426B"/>
    <w:rsid w:val="002544AB"/>
    <w:rsid w:val="00254526"/>
    <w:rsid w:val="00254839"/>
    <w:rsid w:val="002549D4"/>
    <w:rsid w:val="0025512D"/>
    <w:rsid w:val="00255196"/>
    <w:rsid w:val="002551EB"/>
    <w:rsid w:val="0025534E"/>
    <w:rsid w:val="002553FD"/>
    <w:rsid w:val="0025549B"/>
    <w:rsid w:val="00255591"/>
    <w:rsid w:val="002558C8"/>
    <w:rsid w:val="002559D0"/>
    <w:rsid w:val="00255C79"/>
    <w:rsid w:val="00255D44"/>
    <w:rsid w:val="00255F0A"/>
    <w:rsid w:val="0025632D"/>
    <w:rsid w:val="002563CC"/>
    <w:rsid w:val="0025642C"/>
    <w:rsid w:val="002564B4"/>
    <w:rsid w:val="0025652A"/>
    <w:rsid w:val="00256571"/>
    <w:rsid w:val="002566E5"/>
    <w:rsid w:val="002567F0"/>
    <w:rsid w:val="002567F6"/>
    <w:rsid w:val="00256914"/>
    <w:rsid w:val="00256DD3"/>
    <w:rsid w:val="00256E76"/>
    <w:rsid w:val="002571B3"/>
    <w:rsid w:val="0025779D"/>
    <w:rsid w:val="00257A00"/>
    <w:rsid w:val="00257D29"/>
    <w:rsid w:val="0026003E"/>
    <w:rsid w:val="00260189"/>
    <w:rsid w:val="002601A2"/>
    <w:rsid w:val="002601C4"/>
    <w:rsid w:val="002601E1"/>
    <w:rsid w:val="00260319"/>
    <w:rsid w:val="0026051A"/>
    <w:rsid w:val="00260569"/>
    <w:rsid w:val="002607AA"/>
    <w:rsid w:val="002608BA"/>
    <w:rsid w:val="002608DF"/>
    <w:rsid w:val="00260A98"/>
    <w:rsid w:val="00260BC6"/>
    <w:rsid w:val="00260CBA"/>
    <w:rsid w:val="00260EB0"/>
    <w:rsid w:val="0026123A"/>
    <w:rsid w:val="002612D4"/>
    <w:rsid w:val="0026147E"/>
    <w:rsid w:val="00261510"/>
    <w:rsid w:val="0026158E"/>
    <w:rsid w:val="00261895"/>
    <w:rsid w:val="002619F2"/>
    <w:rsid w:val="00261A58"/>
    <w:rsid w:val="00261ADE"/>
    <w:rsid w:val="00261C63"/>
    <w:rsid w:val="00261DD2"/>
    <w:rsid w:val="00261DD7"/>
    <w:rsid w:val="00261EBC"/>
    <w:rsid w:val="002624FC"/>
    <w:rsid w:val="0026252A"/>
    <w:rsid w:val="00262632"/>
    <w:rsid w:val="00262BBB"/>
    <w:rsid w:val="00262BE4"/>
    <w:rsid w:val="00262C2A"/>
    <w:rsid w:val="00262CDC"/>
    <w:rsid w:val="00262DE4"/>
    <w:rsid w:val="00262F2B"/>
    <w:rsid w:val="002633BF"/>
    <w:rsid w:val="0026351A"/>
    <w:rsid w:val="002637CA"/>
    <w:rsid w:val="00263A97"/>
    <w:rsid w:val="00263F9B"/>
    <w:rsid w:val="00263FD0"/>
    <w:rsid w:val="0026453B"/>
    <w:rsid w:val="00264A8C"/>
    <w:rsid w:val="00264F6A"/>
    <w:rsid w:val="002650DB"/>
    <w:rsid w:val="002651F4"/>
    <w:rsid w:val="0026555A"/>
    <w:rsid w:val="002657D4"/>
    <w:rsid w:val="00265DD6"/>
    <w:rsid w:val="00265E36"/>
    <w:rsid w:val="00265E88"/>
    <w:rsid w:val="00265F05"/>
    <w:rsid w:val="0026608C"/>
    <w:rsid w:val="002662CF"/>
    <w:rsid w:val="002663A4"/>
    <w:rsid w:val="00266539"/>
    <w:rsid w:val="002665F5"/>
    <w:rsid w:val="002666C5"/>
    <w:rsid w:val="00266724"/>
    <w:rsid w:val="00266978"/>
    <w:rsid w:val="00266A6F"/>
    <w:rsid w:val="00266BCB"/>
    <w:rsid w:val="00266CF6"/>
    <w:rsid w:val="00266D8B"/>
    <w:rsid w:val="00267003"/>
    <w:rsid w:val="00267010"/>
    <w:rsid w:val="00267120"/>
    <w:rsid w:val="00267466"/>
    <w:rsid w:val="00267CB6"/>
    <w:rsid w:val="00267D4D"/>
    <w:rsid w:val="00270044"/>
    <w:rsid w:val="00270058"/>
    <w:rsid w:val="0027027B"/>
    <w:rsid w:val="00270321"/>
    <w:rsid w:val="0027033F"/>
    <w:rsid w:val="002705E5"/>
    <w:rsid w:val="00270602"/>
    <w:rsid w:val="00270693"/>
    <w:rsid w:val="0027088A"/>
    <w:rsid w:val="00270897"/>
    <w:rsid w:val="00270952"/>
    <w:rsid w:val="00270CC4"/>
    <w:rsid w:val="00270D58"/>
    <w:rsid w:val="00270F33"/>
    <w:rsid w:val="00271159"/>
    <w:rsid w:val="0027137B"/>
    <w:rsid w:val="0027148A"/>
    <w:rsid w:val="0027163F"/>
    <w:rsid w:val="002716E9"/>
    <w:rsid w:val="00271917"/>
    <w:rsid w:val="00271BCA"/>
    <w:rsid w:val="00271DC1"/>
    <w:rsid w:val="002720BA"/>
    <w:rsid w:val="002722D7"/>
    <w:rsid w:val="00272370"/>
    <w:rsid w:val="002723B0"/>
    <w:rsid w:val="00272652"/>
    <w:rsid w:val="002727FC"/>
    <w:rsid w:val="00272A5B"/>
    <w:rsid w:val="00272B2A"/>
    <w:rsid w:val="00272B74"/>
    <w:rsid w:val="00272BB7"/>
    <w:rsid w:val="00272FAC"/>
    <w:rsid w:val="0027303C"/>
    <w:rsid w:val="00273165"/>
    <w:rsid w:val="0027336D"/>
    <w:rsid w:val="002733D7"/>
    <w:rsid w:val="00273B42"/>
    <w:rsid w:val="00273E10"/>
    <w:rsid w:val="00274787"/>
    <w:rsid w:val="002747C3"/>
    <w:rsid w:val="00274B48"/>
    <w:rsid w:val="00274BEA"/>
    <w:rsid w:val="00274DD3"/>
    <w:rsid w:val="00274F47"/>
    <w:rsid w:val="00275093"/>
    <w:rsid w:val="0027518C"/>
    <w:rsid w:val="0027530C"/>
    <w:rsid w:val="00275431"/>
    <w:rsid w:val="0027593F"/>
    <w:rsid w:val="00275BB5"/>
    <w:rsid w:val="00275CC3"/>
    <w:rsid w:val="00276011"/>
    <w:rsid w:val="0027627C"/>
    <w:rsid w:val="002767CD"/>
    <w:rsid w:val="0027691E"/>
    <w:rsid w:val="00276A41"/>
    <w:rsid w:val="00276AF7"/>
    <w:rsid w:val="00276B14"/>
    <w:rsid w:val="00276C85"/>
    <w:rsid w:val="00276DDB"/>
    <w:rsid w:val="00276FBB"/>
    <w:rsid w:val="00276FD8"/>
    <w:rsid w:val="0027724E"/>
    <w:rsid w:val="002774AF"/>
    <w:rsid w:val="00277590"/>
    <w:rsid w:val="002775AA"/>
    <w:rsid w:val="002776FE"/>
    <w:rsid w:val="00277B6A"/>
    <w:rsid w:val="00277BF1"/>
    <w:rsid w:val="00277F3A"/>
    <w:rsid w:val="0028003A"/>
    <w:rsid w:val="0028003C"/>
    <w:rsid w:val="00280175"/>
    <w:rsid w:val="002804FE"/>
    <w:rsid w:val="00280699"/>
    <w:rsid w:val="0028080B"/>
    <w:rsid w:val="00280B15"/>
    <w:rsid w:val="00280EC8"/>
    <w:rsid w:val="00280F6F"/>
    <w:rsid w:val="00281380"/>
    <w:rsid w:val="002813ED"/>
    <w:rsid w:val="00281538"/>
    <w:rsid w:val="00281829"/>
    <w:rsid w:val="00281925"/>
    <w:rsid w:val="00281AFF"/>
    <w:rsid w:val="00281C15"/>
    <w:rsid w:val="00281DDA"/>
    <w:rsid w:val="00281FA4"/>
    <w:rsid w:val="0028208B"/>
    <w:rsid w:val="0028210E"/>
    <w:rsid w:val="0028271E"/>
    <w:rsid w:val="00282821"/>
    <w:rsid w:val="002828D6"/>
    <w:rsid w:val="002828F4"/>
    <w:rsid w:val="00282B72"/>
    <w:rsid w:val="00282B73"/>
    <w:rsid w:val="00282E78"/>
    <w:rsid w:val="00282EB6"/>
    <w:rsid w:val="00282FB8"/>
    <w:rsid w:val="0028324A"/>
    <w:rsid w:val="002832F1"/>
    <w:rsid w:val="0028365E"/>
    <w:rsid w:val="002837C0"/>
    <w:rsid w:val="0028383B"/>
    <w:rsid w:val="00283912"/>
    <w:rsid w:val="00283962"/>
    <w:rsid w:val="00283BB6"/>
    <w:rsid w:val="00283CA3"/>
    <w:rsid w:val="00283E72"/>
    <w:rsid w:val="002840A0"/>
    <w:rsid w:val="0028411F"/>
    <w:rsid w:val="002842A4"/>
    <w:rsid w:val="00284481"/>
    <w:rsid w:val="0028471E"/>
    <w:rsid w:val="00284892"/>
    <w:rsid w:val="002849CA"/>
    <w:rsid w:val="00284B4D"/>
    <w:rsid w:val="00284C73"/>
    <w:rsid w:val="00284DB4"/>
    <w:rsid w:val="00284EC9"/>
    <w:rsid w:val="00284FBB"/>
    <w:rsid w:val="00285149"/>
    <w:rsid w:val="0028529A"/>
    <w:rsid w:val="0028558C"/>
    <w:rsid w:val="0028566C"/>
    <w:rsid w:val="00285764"/>
    <w:rsid w:val="00285BC7"/>
    <w:rsid w:val="00285D58"/>
    <w:rsid w:val="002860B0"/>
    <w:rsid w:val="0028637A"/>
    <w:rsid w:val="00286416"/>
    <w:rsid w:val="0028657D"/>
    <w:rsid w:val="00286989"/>
    <w:rsid w:val="002869A2"/>
    <w:rsid w:val="002869EB"/>
    <w:rsid w:val="00286A44"/>
    <w:rsid w:val="00286AA8"/>
    <w:rsid w:val="00286B90"/>
    <w:rsid w:val="00286CF2"/>
    <w:rsid w:val="002873E0"/>
    <w:rsid w:val="0028762B"/>
    <w:rsid w:val="00287A9B"/>
    <w:rsid w:val="00287B7D"/>
    <w:rsid w:val="00287D48"/>
    <w:rsid w:val="002901EA"/>
    <w:rsid w:val="00290260"/>
    <w:rsid w:val="00290275"/>
    <w:rsid w:val="00290383"/>
    <w:rsid w:val="002904D4"/>
    <w:rsid w:val="002905D5"/>
    <w:rsid w:val="00290634"/>
    <w:rsid w:val="00290910"/>
    <w:rsid w:val="00290922"/>
    <w:rsid w:val="00290A74"/>
    <w:rsid w:val="00291048"/>
    <w:rsid w:val="002913BB"/>
    <w:rsid w:val="0029146C"/>
    <w:rsid w:val="002914B6"/>
    <w:rsid w:val="00291742"/>
    <w:rsid w:val="0029182F"/>
    <w:rsid w:val="002919A8"/>
    <w:rsid w:val="00291CE7"/>
    <w:rsid w:val="00291E65"/>
    <w:rsid w:val="00291E6E"/>
    <w:rsid w:val="00291FC5"/>
    <w:rsid w:val="00292122"/>
    <w:rsid w:val="00292179"/>
    <w:rsid w:val="0029228E"/>
    <w:rsid w:val="002923BF"/>
    <w:rsid w:val="002923C3"/>
    <w:rsid w:val="00292544"/>
    <w:rsid w:val="00292688"/>
    <w:rsid w:val="0029275C"/>
    <w:rsid w:val="002927B5"/>
    <w:rsid w:val="00292B53"/>
    <w:rsid w:val="00292D6D"/>
    <w:rsid w:val="00292EBB"/>
    <w:rsid w:val="00293181"/>
    <w:rsid w:val="0029336F"/>
    <w:rsid w:val="002934B2"/>
    <w:rsid w:val="00293793"/>
    <w:rsid w:val="0029387F"/>
    <w:rsid w:val="00293C3D"/>
    <w:rsid w:val="00293EBC"/>
    <w:rsid w:val="00293EE4"/>
    <w:rsid w:val="00293EFE"/>
    <w:rsid w:val="002943A4"/>
    <w:rsid w:val="002943DD"/>
    <w:rsid w:val="002944BF"/>
    <w:rsid w:val="00294868"/>
    <w:rsid w:val="00294AC7"/>
    <w:rsid w:val="00294CFD"/>
    <w:rsid w:val="00294D75"/>
    <w:rsid w:val="0029519A"/>
    <w:rsid w:val="002954A3"/>
    <w:rsid w:val="00295741"/>
    <w:rsid w:val="0029588A"/>
    <w:rsid w:val="002958D6"/>
    <w:rsid w:val="002960EE"/>
    <w:rsid w:val="00296293"/>
    <w:rsid w:val="002963DE"/>
    <w:rsid w:val="0029648B"/>
    <w:rsid w:val="0029652C"/>
    <w:rsid w:val="002965E0"/>
    <w:rsid w:val="00296767"/>
    <w:rsid w:val="002967FC"/>
    <w:rsid w:val="00296817"/>
    <w:rsid w:val="00296848"/>
    <w:rsid w:val="002968F8"/>
    <w:rsid w:val="00296A7D"/>
    <w:rsid w:val="00296B37"/>
    <w:rsid w:val="002970FD"/>
    <w:rsid w:val="002973A9"/>
    <w:rsid w:val="00297553"/>
    <w:rsid w:val="0029789A"/>
    <w:rsid w:val="0029790D"/>
    <w:rsid w:val="002979C1"/>
    <w:rsid w:val="00297AA7"/>
    <w:rsid w:val="00297B77"/>
    <w:rsid w:val="002A015A"/>
    <w:rsid w:val="002A03BE"/>
    <w:rsid w:val="002A05EB"/>
    <w:rsid w:val="002A0721"/>
    <w:rsid w:val="002A0780"/>
    <w:rsid w:val="002A0884"/>
    <w:rsid w:val="002A097C"/>
    <w:rsid w:val="002A0B28"/>
    <w:rsid w:val="002A0CD3"/>
    <w:rsid w:val="002A0E00"/>
    <w:rsid w:val="002A1260"/>
    <w:rsid w:val="002A1599"/>
    <w:rsid w:val="002A1644"/>
    <w:rsid w:val="002A18F4"/>
    <w:rsid w:val="002A1ACE"/>
    <w:rsid w:val="002A1C15"/>
    <w:rsid w:val="002A1C4D"/>
    <w:rsid w:val="002A1D18"/>
    <w:rsid w:val="002A1DE6"/>
    <w:rsid w:val="002A2076"/>
    <w:rsid w:val="002A2112"/>
    <w:rsid w:val="002A259B"/>
    <w:rsid w:val="002A27A3"/>
    <w:rsid w:val="002A28D5"/>
    <w:rsid w:val="002A2BD0"/>
    <w:rsid w:val="002A2D73"/>
    <w:rsid w:val="002A3123"/>
    <w:rsid w:val="002A33A5"/>
    <w:rsid w:val="002A3500"/>
    <w:rsid w:val="002A35AE"/>
    <w:rsid w:val="002A35FD"/>
    <w:rsid w:val="002A3811"/>
    <w:rsid w:val="002A3B4E"/>
    <w:rsid w:val="002A3C0F"/>
    <w:rsid w:val="002A3E54"/>
    <w:rsid w:val="002A4241"/>
    <w:rsid w:val="002A4398"/>
    <w:rsid w:val="002A448D"/>
    <w:rsid w:val="002A4524"/>
    <w:rsid w:val="002A45B7"/>
    <w:rsid w:val="002A4622"/>
    <w:rsid w:val="002A46C3"/>
    <w:rsid w:val="002A4CBE"/>
    <w:rsid w:val="002A4DD5"/>
    <w:rsid w:val="002A59E8"/>
    <w:rsid w:val="002A5DA0"/>
    <w:rsid w:val="002A6119"/>
    <w:rsid w:val="002A61E4"/>
    <w:rsid w:val="002A6281"/>
    <w:rsid w:val="002A63C0"/>
    <w:rsid w:val="002A648D"/>
    <w:rsid w:val="002A65E8"/>
    <w:rsid w:val="002A6873"/>
    <w:rsid w:val="002A6965"/>
    <w:rsid w:val="002A6988"/>
    <w:rsid w:val="002A6AE3"/>
    <w:rsid w:val="002A6AEA"/>
    <w:rsid w:val="002A6FD7"/>
    <w:rsid w:val="002A70FC"/>
    <w:rsid w:val="002A73A5"/>
    <w:rsid w:val="002A7751"/>
    <w:rsid w:val="002A788A"/>
    <w:rsid w:val="002B0577"/>
    <w:rsid w:val="002B0951"/>
    <w:rsid w:val="002B0B9E"/>
    <w:rsid w:val="002B0C96"/>
    <w:rsid w:val="002B0CFC"/>
    <w:rsid w:val="002B0D0E"/>
    <w:rsid w:val="002B0F8B"/>
    <w:rsid w:val="002B1230"/>
    <w:rsid w:val="002B1436"/>
    <w:rsid w:val="002B1651"/>
    <w:rsid w:val="002B1B1A"/>
    <w:rsid w:val="002B1B20"/>
    <w:rsid w:val="002B1CA2"/>
    <w:rsid w:val="002B1F12"/>
    <w:rsid w:val="002B20B6"/>
    <w:rsid w:val="002B2203"/>
    <w:rsid w:val="002B2262"/>
    <w:rsid w:val="002B2441"/>
    <w:rsid w:val="002B2659"/>
    <w:rsid w:val="002B2812"/>
    <w:rsid w:val="002B281F"/>
    <w:rsid w:val="002B28BA"/>
    <w:rsid w:val="002B2916"/>
    <w:rsid w:val="002B299D"/>
    <w:rsid w:val="002B2B6B"/>
    <w:rsid w:val="002B2BC3"/>
    <w:rsid w:val="002B2EA9"/>
    <w:rsid w:val="002B3241"/>
    <w:rsid w:val="002B3279"/>
    <w:rsid w:val="002B3598"/>
    <w:rsid w:val="002B3640"/>
    <w:rsid w:val="002B377A"/>
    <w:rsid w:val="002B3814"/>
    <w:rsid w:val="002B3C97"/>
    <w:rsid w:val="002B4065"/>
    <w:rsid w:val="002B40AE"/>
    <w:rsid w:val="002B4102"/>
    <w:rsid w:val="002B412F"/>
    <w:rsid w:val="002B4135"/>
    <w:rsid w:val="002B416B"/>
    <w:rsid w:val="002B46DF"/>
    <w:rsid w:val="002B4784"/>
    <w:rsid w:val="002B4A1D"/>
    <w:rsid w:val="002B4D60"/>
    <w:rsid w:val="002B50CC"/>
    <w:rsid w:val="002B52CA"/>
    <w:rsid w:val="002B5475"/>
    <w:rsid w:val="002B56B8"/>
    <w:rsid w:val="002B57D8"/>
    <w:rsid w:val="002B5B42"/>
    <w:rsid w:val="002B5F0A"/>
    <w:rsid w:val="002B5F11"/>
    <w:rsid w:val="002B637D"/>
    <w:rsid w:val="002B63A9"/>
    <w:rsid w:val="002B6530"/>
    <w:rsid w:val="002B66A4"/>
    <w:rsid w:val="002B6705"/>
    <w:rsid w:val="002B67EA"/>
    <w:rsid w:val="002B6848"/>
    <w:rsid w:val="002B6A92"/>
    <w:rsid w:val="002B6C91"/>
    <w:rsid w:val="002B6C9B"/>
    <w:rsid w:val="002B7739"/>
    <w:rsid w:val="002B78BF"/>
    <w:rsid w:val="002B7970"/>
    <w:rsid w:val="002B7ACC"/>
    <w:rsid w:val="002B7B42"/>
    <w:rsid w:val="002B7C53"/>
    <w:rsid w:val="002B7C73"/>
    <w:rsid w:val="002B7DB5"/>
    <w:rsid w:val="002B7E57"/>
    <w:rsid w:val="002B7EAA"/>
    <w:rsid w:val="002B7EBC"/>
    <w:rsid w:val="002B7F5A"/>
    <w:rsid w:val="002B88EA"/>
    <w:rsid w:val="002C0288"/>
    <w:rsid w:val="002C0356"/>
    <w:rsid w:val="002C0784"/>
    <w:rsid w:val="002C0B68"/>
    <w:rsid w:val="002C0C83"/>
    <w:rsid w:val="002C0E2E"/>
    <w:rsid w:val="002C0FE1"/>
    <w:rsid w:val="002C111B"/>
    <w:rsid w:val="002C16C4"/>
    <w:rsid w:val="002C1769"/>
    <w:rsid w:val="002C1953"/>
    <w:rsid w:val="002C1A81"/>
    <w:rsid w:val="002C1CA7"/>
    <w:rsid w:val="002C1D1C"/>
    <w:rsid w:val="002C1E58"/>
    <w:rsid w:val="002C1FEB"/>
    <w:rsid w:val="002C20D4"/>
    <w:rsid w:val="002C2241"/>
    <w:rsid w:val="002C299E"/>
    <w:rsid w:val="002C2C7F"/>
    <w:rsid w:val="002C32A0"/>
    <w:rsid w:val="002C32E4"/>
    <w:rsid w:val="002C332D"/>
    <w:rsid w:val="002C3502"/>
    <w:rsid w:val="002C35D9"/>
    <w:rsid w:val="002C36B0"/>
    <w:rsid w:val="002C36C4"/>
    <w:rsid w:val="002C37AB"/>
    <w:rsid w:val="002C390E"/>
    <w:rsid w:val="002C39AF"/>
    <w:rsid w:val="002C3A31"/>
    <w:rsid w:val="002C3C42"/>
    <w:rsid w:val="002C3EB4"/>
    <w:rsid w:val="002C41CA"/>
    <w:rsid w:val="002C41D3"/>
    <w:rsid w:val="002C4282"/>
    <w:rsid w:val="002C4473"/>
    <w:rsid w:val="002C44E7"/>
    <w:rsid w:val="002C468F"/>
    <w:rsid w:val="002C49A3"/>
    <w:rsid w:val="002C4AF5"/>
    <w:rsid w:val="002C4B7C"/>
    <w:rsid w:val="002C4B9C"/>
    <w:rsid w:val="002C4C89"/>
    <w:rsid w:val="002C4CA4"/>
    <w:rsid w:val="002C4CFC"/>
    <w:rsid w:val="002C4D29"/>
    <w:rsid w:val="002C4E15"/>
    <w:rsid w:val="002C514D"/>
    <w:rsid w:val="002C5242"/>
    <w:rsid w:val="002C56B2"/>
    <w:rsid w:val="002C5908"/>
    <w:rsid w:val="002C5938"/>
    <w:rsid w:val="002C5985"/>
    <w:rsid w:val="002C5D06"/>
    <w:rsid w:val="002C61F4"/>
    <w:rsid w:val="002C6254"/>
    <w:rsid w:val="002C6311"/>
    <w:rsid w:val="002C6483"/>
    <w:rsid w:val="002C652C"/>
    <w:rsid w:val="002C66A6"/>
    <w:rsid w:val="002C66D4"/>
    <w:rsid w:val="002C6AD4"/>
    <w:rsid w:val="002C6CC8"/>
    <w:rsid w:val="002C6FA4"/>
    <w:rsid w:val="002C72D7"/>
    <w:rsid w:val="002C7423"/>
    <w:rsid w:val="002C7535"/>
    <w:rsid w:val="002C7660"/>
    <w:rsid w:val="002C7F58"/>
    <w:rsid w:val="002D005D"/>
    <w:rsid w:val="002D00C4"/>
    <w:rsid w:val="002D022F"/>
    <w:rsid w:val="002D027E"/>
    <w:rsid w:val="002D03B1"/>
    <w:rsid w:val="002D0423"/>
    <w:rsid w:val="002D043D"/>
    <w:rsid w:val="002D06E2"/>
    <w:rsid w:val="002D09ED"/>
    <w:rsid w:val="002D0C06"/>
    <w:rsid w:val="002D0D92"/>
    <w:rsid w:val="002D0FFA"/>
    <w:rsid w:val="002D1368"/>
    <w:rsid w:val="002D13DA"/>
    <w:rsid w:val="002D143A"/>
    <w:rsid w:val="002D1696"/>
    <w:rsid w:val="002D171B"/>
    <w:rsid w:val="002D180B"/>
    <w:rsid w:val="002D1A6A"/>
    <w:rsid w:val="002D22C4"/>
    <w:rsid w:val="002D268F"/>
    <w:rsid w:val="002D2975"/>
    <w:rsid w:val="002D29BE"/>
    <w:rsid w:val="002D2E1D"/>
    <w:rsid w:val="002D2E3A"/>
    <w:rsid w:val="002D2E66"/>
    <w:rsid w:val="002D2FC5"/>
    <w:rsid w:val="002D308C"/>
    <w:rsid w:val="002D314E"/>
    <w:rsid w:val="002D3259"/>
    <w:rsid w:val="002D3300"/>
    <w:rsid w:val="002D3331"/>
    <w:rsid w:val="002D333C"/>
    <w:rsid w:val="002D366F"/>
    <w:rsid w:val="002D3936"/>
    <w:rsid w:val="002D3CCB"/>
    <w:rsid w:val="002D40EB"/>
    <w:rsid w:val="002D4161"/>
    <w:rsid w:val="002D427D"/>
    <w:rsid w:val="002D430D"/>
    <w:rsid w:val="002D471D"/>
    <w:rsid w:val="002D481A"/>
    <w:rsid w:val="002D48AA"/>
    <w:rsid w:val="002D49F7"/>
    <w:rsid w:val="002D5067"/>
    <w:rsid w:val="002D5244"/>
    <w:rsid w:val="002D52EE"/>
    <w:rsid w:val="002D5340"/>
    <w:rsid w:val="002D554B"/>
    <w:rsid w:val="002D56F1"/>
    <w:rsid w:val="002D5859"/>
    <w:rsid w:val="002D59D5"/>
    <w:rsid w:val="002D5B3E"/>
    <w:rsid w:val="002D5D13"/>
    <w:rsid w:val="002D5DB5"/>
    <w:rsid w:val="002D5DF5"/>
    <w:rsid w:val="002D5E14"/>
    <w:rsid w:val="002D6107"/>
    <w:rsid w:val="002D6146"/>
    <w:rsid w:val="002D6177"/>
    <w:rsid w:val="002D625A"/>
    <w:rsid w:val="002D643E"/>
    <w:rsid w:val="002D671F"/>
    <w:rsid w:val="002D67A8"/>
    <w:rsid w:val="002D6C52"/>
    <w:rsid w:val="002D6DFA"/>
    <w:rsid w:val="002D703F"/>
    <w:rsid w:val="002D7041"/>
    <w:rsid w:val="002D7046"/>
    <w:rsid w:val="002D715A"/>
    <w:rsid w:val="002D71F2"/>
    <w:rsid w:val="002D760C"/>
    <w:rsid w:val="002D7768"/>
    <w:rsid w:val="002D796E"/>
    <w:rsid w:val="002D7C20"/>
    <w:rsid w:val="002D7DDE"/>
    <w:rsid w:val="002D7ED5"/>
    <w:rsid w:val="002E005C"/>
    <w:rsid w:val="002E03BE"/>
    <w:rsid w:val="002E0545"/>
    <w:rsid w:val="002E0568"/>
    <w:rsid w:val="002E07E5"/>
    <w:rsid w:val="002E0827"/>
    <w:rsid w:val="002E0896"/>
    <w:rsid w:val="002E0B69"/>
    <w:rsid w:val="002E0D97"/>
    <w:rsid w:val="002E0DAE"/>
    <w:rsid w:val="002E0FA4"/>
    <w:rsid w:val="002E122E"/>
    <w:rsid w:val="002E12ED"/>
    <w:rsid w:val="002E154E"/>
    <w:rsid w:val="002E1598"/>
    <w:rsid w:val="002E16EC"/>
    <w:rsid w:val="002E179C"/>
    <w:rsid w:val="002E1827"/>
    <w:rsid w:val="002E1B90"/>
    <w:rsid w:val="002E1D56"/>
    <w:rsid w:val="002E1E25"/>
    <w:rsid w:val="002E1F4D"/>
    <w:rsid w:val="002E2230"/>
    <w:rsid w:val="002E2296"/>
    <w:rsid w:val="002E2373"/>
    <w:rsid w:val="002E2784"/>
    <w:rsid w:val="002E2CD8"/>
    <w:rsid w:val="002E2E31"/>
    <w:rsid w:val="002E2FB0"/>
    <w:rsid w:val="002E3730"/>
    <w:rsid w:val="002E38C7"/>
    <w:rsid w:val="002E38E1"/>
    <w:rsid w:val="002E39D1"/>
    <w:rsid w:val="002E3E06"/>
    <w:rsid w:val="002E3ED9"/>
    <w:rsid w:val="002E3F29"/>
    <w:rsid w:val="002E3FF8"/>
    <w:rsid w:val="002E4294"/>
    <w:rsid w:val="002E44AB"/>
    <w:rsid w:val="002E45FC"/>
    <w:rsid w:val="002E473A"/>
    <w:rsid w:val="002E4873"/>
    <w:rsid w:val="002E49DC"/>
    <w:rsid w:val="002E4A8E"/>
    <w:rsid w:val="002E4BAB"/>
    <w:rsid w:val="002E523B"/>
    <w:rsid w:val="002E5571"/>
    <w:rsid w:val="002E5590"/>
    <w:rsid w:val="002E55C0"/>
    <w:rsid w:val="002E5856"/>
    <w:rsid w:val="002E5C49"/>
    <w:rsid w:val="002E5E69"/>
    <w:rsid w:val="002E5FC3"/>
    <w:rsid w:val="002E5FE0"/>
    <w:rsid w:val="002E6069"/>
    <w:rsid w:val="002E60D2"/>
    <w:rsid w:val="002E618D"/>
    <w:rsid w:val="002E62B4"/>
    <w:rsid w:val="002E62C3"/>
    <w:rsid w:val="002E6442"/>
    <w:rsid w:val="002E697B"/>
    <w:rsid w:val="002E6B7C"/>
    <w:rsid w:val="002E6C9C"/>
    <w:rsid w:val="002E7577"/>
    <w:rsid w:val="002E7754"/>
    <w:rsid w:val="002E7914"/>
    <w:rsid w:val="002E79FB"/>
    <w:rsid w:val="002E7A52"/>
    <w:rsid w:val="002E7B5F"/>
    <w:rsid w:val="002E7B7C"/>
    <w:rsid w:val="002E7BA6"/>
    <w:rsid w:val="002E7D40"/>
    <w:rsid w:val="002E7E90"/>
    <w:rsid w:val="002F0262"/>
    <w:rsid w:val="002F0355"/>
    <w:rsid w:val="002F0386"/>
    <w:rsid w:val="002F056B"/>
    <w:rsid w:val="002F077E"/>
    <w:rsid w:val="002F07D5"/>
    <w:rsid w:val="002F0AD8"/>
    <w:rsid w:val="002F0C20"/>
    <w:rsid w:val="002F0C74"/>
    <w:rsid w:val="002F0D99"/>
    <w:rsid w:val="002F0E87"/>
    <w:rsid w:val="002F0F58"/>
    <w:rsid w:val="002F1047"/>
    <w:rsid w:val="002F10E1"/>
    <w:rsid w:val="002F16A8"/>
    <w:rsid w:val="002F1E8A"/>
    <w:rsid w:val="002F208F"/>
    <w:rsid w:val="002F2261"/>
    <w:rsid w:val="002F2355"/>
    <w:rsid w:val="002F2631"/>
    <w:rsid w:val="002F2666"/>
    <w:rsid w:val="002F2804"/>
    <w:rsid w:val="002F2A5F"/>
    <w:rsid w:val="002F2ADC"/>
    <w:rsid w:val="002F2E4A"/>
    <w:rsid w:val="002F2E99"/>
    <w:rsid w:val="002F2F29"/>
    <w:rsid w:val="002F32E0"/>
    <w:rsid w:val="002F335B"/>
    <w:rsid w:val="002F3563"/>
    <w:rsid w:val="002F359F"/>
    <w:rsid w:val="002F39CB"/>
    <w:rsid w:val="002F3B30"/>
    <w:rsid w:val="002F3B83"/>
    <w:rsid w:val="002F3CED"/>
    <w:rsid w:val="002F3DC4"/>
    <w:rsid w:val="002F3DE2"/>
    <w:rsid w:val="002F40A7"/>
    <w:rsid w:val="002F41A7"/>
    <w:rsid w:val="002F42F9"/>
    <w:rsid w:val="002F43A9"/>
    <w:rsid w:val="002F456C"/>
    <w:rsid w:val="002F464F"/>
    <w:rsid w:val="002F46E8"/>
    <w:rsid w:val="002F47C2"/>
    <w:rsid w:val="002F4BFD"/>
    <w:rsid w:val="002F501E"/>
    <w:rsid w:val="002F52A8"/>
    <w:rsid w:val="002F5335"/>
    <w:rsid w:val="002F5E40"/>
    <w:rsid w:val="002F5EB2"/>
    <w:rsid w:val="002F63A4"/>
    <w:rsid w:val="002F65D2"/>
    <w:rsid w:val="002F66F0"/>
    <w:rsid w:val="002F6E99"/>
    <w:rsid w:val="002F7272"/>
    <w:rsid w:val="002F759F"/>
    <w:rsid w:val="002F76C1"/>
    <w:rsid w:val="002F7AC5"/>
    <w:rsid w:val="002F7B53"/>
    <w:rsid w:val="002F7D4D"/>
    <w:rsid w:val="003000C4"/>
    <w:rsid w:val="00300754"/>
    <w:rsid w:val="00300892"/>
    <w:rsid w:val="00300CB3"/>
    <w:rsid w:val="00300E14"/>
    <w:rsid w:val="00300E36"/>
    <w:rsid w:val="003013D2"/>
    <w:rsid w:val="0030186D"/>
    <w:rsid w:val="00301E5D"/>
    <w:rsid w:val="00301EC6"/>
    <w:rsid w:val="00301F8D"/>
    <w:rsid w:val="003022DE"/>
    <w:rsid w:val="003022E8"/>
    <w:rsid w:val="003023DD"/>
    <w:rsid w:val="003023EA"/>
    <w:rsid w:val="0030247A"/>
    <w:rsid w:val="003027B8"/>
    <w:rsid w:val="0030297C"/>
    <w:rsid w:val="00302B22"/>
    <w:rsid w:val="00302D0D"/>
    <w:rsid w:val="00302FEA"/>
    <w:rsid w:val="00303194"/>
    <w:rsid w:val="003031A5"/>
    <w:rsid w:val="00303330"/>
    <w:rsid w:val="00303421"/>
    <w:rsid w:val="003036BD"/>
    <w:rsid w:val="003036D2"/>
    <w:rsid w:val="00303C5B"/>
    <w:rsid w:val="00303FA4"/>
    <w:rsid w:val="00304057"/>
    <w:rsid w:val="0030473A"/>
    <w:rsid w:val="003047F9"/>
    <w:rsid w:val="003049BE"/>
    <w:rsid w:val="00304BF4"/>
    <w:rsid w:val="00304BFF"/>
    <w:rsid w:val="00304E6F"/>
    <w:rsid w:val="00305023"/>
    <w:rsid w:val="00305460"/>
    <w:rsid w:val="003054E7"/>
    <w:rsid w:val="00305592"/>
    <w:rsid w:val="003055AE"/>
    <w:rsid w:val="003056E9"/>
    <w:rsid w:val="00306177"/>
    <w:rsid w:val="00306341"/>
    <w:rsid w:val="003064E4"/>
    <w:rsid w:val="0030677E"/>
    <w:rsid w:val="00306953"/>
    <w:rsid w:val="00306AF0"/>
    <w:rsid w:val="00306C92"/>
    <w:rsid w:val="00306D9A"/>
    <w:rsid w:val="00306ED9"/>
    <w:rsid w:val="003071D2"/>
    <w:rsid w:val="003073E2"/>
    <w:rsid w:val="003074BA"/>
    <w:rsid w:val="0030783A"/>
    <w:rsid w:val="00307AEC"/>
    <w:rsid w:val="00307F75"/>
    <w:rsid w:val="00310070"/>
    <w:rsid w:val="00310125"/>
    <w:rsid w:val="0031013E"/>
    <w:rsid w:val="00310558"/>
    <w:rsid w:val="00310B39"/>
    <w:rsid w:val="00310CB8"/>
    <w:rsid w:val="00310EC7"/>
    <w:rsid w:val="0031102A"/>
    <w:rsid w:val="00311104"/>
    <w:rsid w:val="00311106"/>
    <w:rsid w:val="003116DA"/>
    <w:rsid w:val="00311729"/>
    <w:rsid w:val="003117EE"/>
    <w:rsid w:val="0031191E"/>
    <w:rsid w:val="00311B32"/>
    <w:rsid w:val="00311B72"/>
    <w:rsid w:val="00311CE8"/>
    <w:rsid w:val="00311EA2"/>
    <w:rsid w:val="00312266"/>
    <w:rsid w:val="0031228F"/>
    <w:rsid w:val="0031231B"/>
    <w:rsid w:val="003125C8"/>
    <w:rsid w:val="003125D1"/>
    <w:rsid w:val="003126FF"/>
    <w:rsid w:val="00312797"/>
    <w:rsid w:val="00312990"/>
    <w:rsid w:val="00312B5B"/>
    <w:rsid w:val="00312F0F"/>
    <w:rsid w:val="00312F51"/>
    <w:rsid w:val="00312F79"/>
    <w:rsid w:val="003130CC"/>
    <w:rsid w:val="003131D9"/>
    <w:rsid w:val="0031321A"/>
    <w:rsid w:val="00313261"/>
    <w:rsid w:val="003132F6"/>
    <w:rsid w:val="0031330D"/>
    <w:rsid w:val="00313441"/>
    <w:rsid w:val="00313682"/>
    <w:rsid w:val="00313839"/>
    <w:rsid w:val="003138C8"/>
    <w:rsid w:val="0031390A"/>
    <w:rsid w:val="00313A45"/>
    <w:rsid w:val="0031407A"/>
    <w:rsid w:val="0031427A"/>
    <w:rsid w:val="00314C53"/>
    <w:rsid w:val="00315353"/>
    <w:rsid w:val="003153D8"/>
    <w:rsid w:val="0031554D"/>
    <w:rsid w:val="003155F1"/>
    <w:rsid w:val="003157A1"/>
    <w:rsid w:val="003159BE"/>
    <w:rsid w:val="00315EB5"/>
    <w:rsid w:val="00315ED8"/>
    <w:rsid w:val="00316007"/>
    <w:rsid w:val="003161EB"/>
    <w:rsid w:val="0031687A"/>
    <w:rsid w:val="0031690D"/>
    <w:rsid w:val="00316AF7"/>
    <w:rsid w:val="00316BCC"/>
    <w:rsid w:val="00316DFB"/>
    <w:rsid w:val="00316E71"/>
    <w:rsid w:val="00316E8D"/>
    <w:rsid w:val="00317030"/>
    <w:rsid w:val="00317459"/>
    <w:rsid w:val="003176A0"/>
    <w:rsid w:val="003176A6"/>
    <w:rsid w:val="0031793C"/>
    <w:rsid w:val="00317E4B"/>
    <w:rsid w:val="003203AC"/>
    <w:rsid w:val="0032040A"/>
    <w:rsid w:val="003204A2"/>
    <w:rsid w:val="003205E3"/>
    <w:rsid w:val="003205EF"/>
    <w:rsid w:val="0032096B"/>
    <w:rsid w:val="00320A44"/>
    <w:rsid w:val="00320C7B"/>
    <w:rsid w:val="00320E2C"/>
    <w:rsid w:val="00320E8B"/>
    <w:rsid w:val="00320EAA"/>
    <w:rsid w:val="003210C1"/>
    <w:rsid w:val="00321743"/>
    <w:rsid w:val="00321AB3"/>
    <w:rsid w:val="00321BC4"/>
    <w:rsid w:val="00321BF9"/>
    <w:rsid w:val="00321D0B"/>
    <w:rsid w:val="00321DFF"/>
    <w:rsid w:val="00321F95"/>
    <w:rsid w:val="00321FCD"/>
    <w:rsid w:val="003222AD"/>
    <w:rsid w:val="00322577"/>
    <w:rsid w:val="0032262D"/>
    <w:rsid w:val="00322692"/>
    <w:rsid w:val="00322854"/>
    <w:rsid w:val="00322A5F"/>
    <w:rsid w:val="00322C91"/>
    <w:rsid w:val="00322DE9"/>
    <w:rsid w:val="00322ECF"/>
    <w:rsid w:val="003234D8"/>
    <w:rsid w:val="00323846"/>
    <w:rsid w:val="00323857"/>
    <w:rsid w:val="00323A9E"/>
    <w:rsid w:val="00323B0C"/>
    <w:rsid w:val="00323B51"/>
    <w:rsid w:val="00323BAB"/>
    <w:rsid w:val="00323FAB"/>
    <w:rsid w:val="00324051"/>
    <w:rsid w:val="00324151"/>
    <w:rsid w:val="00324207"/>
    <w:rsid w:val="003243AB"/>
    <w:rsid w:val="0032464C"/>
    <w:rsid w:val="003246DD"/>
    <w:rsid w:val="00324869"/>
    <w:rsid w:val="00324BFB"/>
    <w:rsid w:val="00324D6E"/>
    <w:rsid w:val="00324EF8"/>
    <w:rsid w:val="0032506A"/>
    <w:rsid w:val="00325131"/>
    <w:rsid w:val="00325236"/>
    <w:rsid w:val="00325291"/>
    <w:rsid w:val="003253AB"/>
    <w:rsid w:val="003253E3"/>
    <w:rsid w:val="00325926"/>
    <w:rsid w:val="003259A3"/>
    <w:rsid w:val="003259EB"/>
    <w:rsid w:val="00325A0A"/>
    <w:rsid w:val="00325AAD"/>
    <w:rsid w:val="00325AC9"/>
    <w:rsid w:val="00325E67"/>
    <w:rsid w:val="00325E82"/>
    <w:rsid w:val="00325EF5"/>
    <w:rsid w:val="00326010"/>
    <w:rsid w:val="0032604F"/>
    <w:rsid w:val="003261F8"/>
    <w:rsid w:val="00326459"/>
    <w:rsid w:val="00326522"/>
    <w:rsid w:val="003265A0"/>
    <w:rsid w:val="0032662C"/>
    <w:rsid w:val="003266F6"/>
    <w:rsid w:val="00326714"/>
    <w:rsid w:val="0032693F"/>
    <w:rsid w:val="00326F9F"/>
    <w:rsid w:val="0032727C"/>
    <w:rsid w:val="00327609"/>
    <w:rsid w:val="00327673"/>
    <w:rsid w:val="00327708"/>
    <w:rsid w:val="0032770A"/>
    <w:rsid w:val="00327AEB"/>
    <w:rsid w:val="00327AFB"/>
    <w:rsid w:val="00327C51"/>
    <w:rsid w:val="00327ED2"/>
    <w:rsid w:val="00327FC1"/>
    <w:rsid w:val="003304FC"/>
    <w:rsid w:val="00330835"/>
    <w:rsid w:val="00330937"/>
    <w:rsid w:val="00330F07"/>
    <w:rsid w:val="00330F69"/>
    <w:rsid w:val="00331301"/>
    <w:rsid w:val="0033136A"/>
    <w:rsid w:val="00331525"/>
    <w:rsid w:val="00331617"/>
    <w:rsid w:val="003317AF"/>
    <w:rsid w:val="00331CB3"/>
    <w:rsid w:val="00331D80"/>
    <w:rsid w:val="00331E5B"/>
    <w:rsid w:val="00331F57"/>
    <w:rsid w:val="00332658"/>
    <w:rsid w:val="0033267A"/>
    <w:rsid w:val="00332738"/>
    <w:rsid w:val="003329A2"/>
    <w:rsid w:val="00332CE3"/>
    <w:rsid w:val="00332D83"/>
    <w:rsid w:val="00332D9E"/>
    <w:rsid w:val="00332EB4"/>
    <w:rsid w:val="003332D0"/>
    <w:rsid w:val="00333738"/>
    <w:rsid w:val="00333791"/>
    <w:rsid w:val="003338BD"/>
    <w:rsid w:val="00333B29"/>
    <w:rsid w:val="00333CB0"/>
    <w:rsid w:val="00333F49"/>
    <w:rsid w:val="00333F8A"/>
    <w:rsid w:val="00334209"/>
    <w:rsid w:val="00334283"/>
    <w:rsid w:val="003342CD"/>
    <w:rsid w:val="00334492"/>
    <w:rsid w:val="0033451E"/>
    <w:rsid w:val="0033466A"/>
    <w:rsid w:val="003346C0"/>
    <w:rsid w:val="003347DA"/>
    <w:rsid w:val="00334BA4"/>
    <w:rsid w:val="00334DBE"/>
    <w:rsid w:val="00334E38"/>
    <w:rsid w:val="00334EB2"/>
    <w:rsid w:val="00334F7F"/>
    <w:rsid w:val="00335173"/>
    <w:rsid w:val="003353A1"/>
    <w:rsid w:val="003354C5"/>
    <w:rsid w:val="0033591D"/>
    <w:rsid w:val="00335A99"/>
    <w:rsid w:val="003363EB"/>
    <w:rsid w:val="00336A16"/>
    <w:rsid w:val="00336A70"/>
    <w:rsid w:val="00336B7F"/>
    <w:rsid w:val="00336CE0"/>
    <w:rsid w:val="00336D58"/>
    <w:rsid w:val="00336F9E"/>
    <w:rsid w:val="00337039"/>
    <w:rsid w:val="003376E0"/>
    <w:rsid w:val="0033795A"/>
    <w:rsid w:val="00337B03"/>
    <w:rsid w:val="00337C41"/>
    <w:rsid w:val="00337D22"/>
    <w:rsid w:val="00340083"/>
    <w:rsid w:val="0034011E"/>
    <w:rsid w:val="00340132"/>
    <w:rsid w:val="00340258"/>
    <w:rsid w:val="003402DC"/>
    <w:rsid w:val="0034057C"/>
    <w:rsid w:val="003405E6"/>
    <w:rsid w:val="00340942"/>
    <w:rsid w:val="00340AA6"/>
    <w:rsid w:val="00340B14"/>
    <w:rsid w:val="00340C98"/>
    <w:rsid w:val="00340D21"/>
    <w:rsid w:val="00341226"/>
    <w:rsid w:val="00341389"/>
    <w:rsid w:val="00341535"/>
    <w:rsid w:val="0034168A"/>
    <w:rsid w:val="003416EA"/>
    <w:rsid w:val="00341719"/>
    <w:rsid w:val="00341AAA"/>
    <w:rsid w:val="00341AF5"/>
    <w:rsid w:val="00341BDB"/>
    <w:rsid w:val="00341BEB"/>
    <w:rsid w:val="00341E21"/>
    <w:rsid w:val="00341E3C"/>
    <w:rsid w:val="003426CC"/>
    <w:rsid w:val="003426E6"/>
    <w:rsid w:val="00342B8F"/>
    <w:rsid w:val="00342C17"/>
    <w:rsid w:val="00342C9A"/>
    <w:rsid w:val="00342D2E"/>
    <w:rsid w:val="00342DAA"/>
    <w:rsid w:val="00342DD9"/>
    <w:rsid w:val="00342EEF"/>
    <w:rsid w:val="00342F4E"/>
    <w:rsid w:val="00343090"/>
    <w:rsid w:val="00343448"/>
    <w:rsid w:val="0034350B"/>
    <w:rsid w:val="00343872"/>
    <w:rsid w:val="00343BDD"/>
    <w:rsid w:val="00343CEE"/>
    <w:rsid w:val="00343D3A"/>
    <w:rsid w:val="00343E48"/>
    <w:rsid w:val="0034402C"/>
    <w:rsid w:val="0034421F"/>
    <w:rsid w:val="00344318"/>
    <w:rsid w:val="00344490"/>
    <w:rsid w:val="003445FF"/>
    <w:rsid w:val="0034465D"/>
    <w:rsid w:val="0034476D"/>
    <w:rsid w:val="00344798"/>
    <w:rsid w:val="003447BA"/>
    <w:rsid w:val="0034484D"/>
    <w:rsid w:val="0034485B"/>
    <w:rsid w:val="00344935"/>
    <w:rsid w:val="00344C2D"/>
    <w:rsid w:val="00344D16"/>
    <w:rsid w:val="00344DA0"/>
    <w:rsid w:val="00344E34"/>
    <w:rsid w:val="00344F0B"/>
    <w:rsid w:val="003450C5"/>
    <w:rsid w:val="003451EF"/>
    <w:rsid w:val="00345254"/>
    <w:rsid w:val="003455AB"/>
    <w:rsid w:val="003456CD"/>
    <w:rsid w:val="00345704"/>
    <w:rsid w:val="00345833"/>
    <w:rsid w:val="0034587C"/>
    <w:rsid w:val="00345CFD"/>
    <w:rsid w:val="00345E01"/>
    <w:rsid w:val="00346357"/>
    <w:rsid w:val="00346532"/>
    <w:rsid w:val="00346584"/>
    <w:rsid w:val="00346844"/>
    <w:rsid w:val="00346964"/>
    <w:rsid w:val="00346B89"/>
    <w:rsid w:val="00346D4E"/>
    <w:rsid w:val="0034704A"/>
    <w:rsid w:val="00347224"/>
    <w:rsid w:val="00347259"/>
    <w:rsid w:val="003475E5"/>
    <w:rsid w:val="0034772C"/>
    <w:rsid w:val="003477EC"/>
    <w:rsid w:val="00347900"/>
    <w:rsid w:val="00347ABF"/>
    <w:rsid w:val="00347DBB"/>
    <w:rsid w:val="003500A8"/>
    <w:rsid w:val="003501A4"/>
    <w:rsid w:val="003505B2"/>
    <w:rsid w:val="00350887"/>
    <w:rsid w:val="00350BBD"/>
    <w:rsid w:val="00350CC7"/>
    <w:rsid w:val="00350CF8"/>
    <w:rsid w:val="0035128C"/>
    <w:rsid w:val="00351299"/>
    <w:rsid w:val="0035155C"/>
    <w:rsid w:val="00351757"/>
    <w:rsid w:val="00351ACB"/>
    <w:rsid w:val="00351D39"/>
    <w:rsid w:val="00351DE8"/>
    <w:rsid w:val="00351E67"/>
    <w:rsid w:val="00351E6F"/>
    <w:rsid w:val="00351FC1"/>
    <w:rsid w:val="003521C7"/>
    <w:rsid w:val="00352211"/>
    <w:rsid w:val="00352230"/>
    <w:rsid w:val="00352470"/>
    <w:rsid w:val="00352CA1"/>
    <w:rsid w:val="00352DE4"/>
    <w:rsid w:val="00352F53"/>
    <w:rsid w:val="00353138"/>
    <w:rsid w:val="003532B9"/>
    <w:rsid w:val="0035348C"/>
    <w:rsid w:val="0035364D"/>
    <w:rsid w:val="00353668"/>
    <w:rsid w:val="003536BF"/>
    <w:rsid w:val="003538D7"/>
    <w:rsid w:val="00353B89"/>
    <w:rsid w:val="00353C7F"/>
    <w:rsid w:val="00353DEC"/>
    <w:rsid w:val="00353E44"/>
    <w:rsid w:val="00353F5D"/>
    <w:rsid w:val="00354004"/>
    <w:rsid w:val="003542B7"/>
    <w:rsid w:val="0035439A"/>
    <w:rsid w:val="00354517"/>
    <w:rsid w:val="00354626"/>
    <w:rsid w:val="003547DA"/>
    <w:rsid w:val="00354B64"/>
    <w:rsid w:val="00354B7F"/>
    <w:rsid w:val="00354C9D"/>
    <w:rsid w:val="00354CF5"/>
    <w:rsid w:val="00354DB0"/>
    <w:rsid w:val="00354FAF"/>
    <w:rsid w:val="00355027"/>
    <w:rsid w:val="003556C1"/>
    <w:rsid w:val="00355A94"/>
    <w:rsid w:val="00355DE1"/>
    <w:rsid w:val="0035646E"/>
    <w:rsid w:val="003564B2"/>
    <w:rsid w:val="0035651D"/>
    <w:rsid w:val="00356558"/>
    <w:rsid w:val="00356606"/>
    <w:rsid w:val="003566F6"/>
    <w:rsid w:val="00356790"/>
    <w:rsid w:val="003567E7"/>
    <w:rsid w:val="003567FF"/>
    <w:rsid w:val="003568B6"/>
    <w:rsid w:val="00356904"/>
    <w:rsid w:val="00356C38"/>
    <w:rsid w:val="00356CE5"/>
    <w:rsid w:val="00357108"/>
    <w:rsid w:val="0035778F"/>
    <w:rsid w:val="00357999"/>
    <w:rsid w:val="00357A59"/>
    <w:rsid w:val="00357B03"/>
    <w:rsid w:val="00357E03"/>
    <w:rsid w:val="00357ED0"/>
    <w:rsid w:val="0035F1A4"/>
    <w:rsid w:val="00360068"/>
    <w:rsid w:val="003600D3"/>
    <w:rsid w:val="0036028D"/>
    <w:rsid w:val="0036042A"/>
    <w:rsid w:val="0036068F"/>
    <w:rsid w:val="00360D51"/>
    <w:rsid w:val="00361172"/>
    <w:rsid w:val="003611DC"/>
    <w:rsid w:val="0036150E"/>
    <w:rsid w:val="00361A26"/>
    <w:rsid w:val="00361D2E"/>
    <w:rsid w:val="00362344"/>
    <w:rsid w:val="0036249B"/>
    <w:rsid w:val="00362756"/>
    <w:rsid w:val="0036281D"/>
    <w:rsid w:val="003629DE"/>
    <w:rsid w:val="00362E45"/>
    <w:rsid w:val="00362E86"/>
    <w:rsid w:val="00362FA4"/>
    <w:rsid w:val="003632F3"/>
    <w:rsid w:val="00363346"/>
    <w:rsid w:val="00363946"/>
    <w:rsid w:val="003639E3"/>
    <w:rsid w:val="00363B9D"/>
    <w:rsid w:val="00363C87"/>
    <w:rsid w:val="00364014"/>
    <w:rsid w:val="003640E6"/>
    <w:rsid w:val="003642AD"/>
    <w:rsid w:val="00364342"/>
    <w:rsid w:val="00364362"/>
    <w:rsid w:val="003643D0"/>
    <w:rsid w:val="003644A4"/>
    <w:rsid w:val="00364524"/>
    <w:rsid w:val="0036472E"/>
    <w:rsid w:val="00364C30"/>
    <w:rsid w:val="00364E1C"/>
    <w:rsid w:val="00364ED9"/>
    <w:rsid w:val="00365075"/>
    <w:rsid w:val="003653BC"/>
    <w:rsid w:val="00365694"/>
    <w:rsid w:val="003659EC"/>
    <w:rsid w:val="00365B5C"/>
    <w:rsid w:val="00365DF4"/>
    <w:rsid w:val="00365DFD"/>
    <w:rsid w:val="00365F9F"/>
    <w:rsid w:val="00365FC8"/>
    <w:rsid w:val="003660BC"/>
    <w:rsid w:val="0036611B"/>
    <w:rsid w:val="0036625A"/>
    <w:rsid w:val="0036625C"/>
    <w:rsid w:val="003662ED"/>
    <w:rsid w:val="0036668D"/>
    <w:rsid w:val="00366975"/>
    <w:rsid w:val="003669CA"/>
    <w:rsid w:val="00366AB6"/>
    <w:rsid w:val="00366AD1"/>
    <w:rsid w:val="00366E37"/>
    <w:rsid w:val="00366E47"/>
    <w:rsid w:val="003670A2"/>
    <w:rsid w:val="00367160"/>
    <w:rsid w:val="003671CC"/>
    <w:rsid w:val="0036723D"/>
    <w:rsid w:val="00367287"/>
    <w:rsid w:val="003674A3"/>
    <w:rsid w:val="00367844"/>
    <w:rsid w:val="00367948"/>
    <w:rsid w:val="00367C92"/>
    <w:rsid w:val="00367CB5"/>
    <w:rsid w:val="00367E24"/>
    <w:rsid w:val="0037007A"/>
    <w:rsid w:val="0037045B"/>
    <w:rsid w:val="003705F7"/>
    <w:rsid w:val="003708C4"/>
    <w:rsid w:val="003709D7"/>
    <w:rsid w:val="00370ACE"/>
    <w:rsid w:val="00370ACF"/>
    <w:rsid w:val="00370B1A"/>
    <w:rsid w:val="00370B61"/>
    <w:rsid w:val="00370CDC"/>
    <w:rsid w:val="00370E19"/>
    <w:rsid w:val="00370E45"/>
    <w:rsid w:val="00370F77"/>
    <w:rsid w:val="00371236"/>
    <w:rsid w:val="003715E9"/>
    <w:rsid w:val="00371798"/>
    <w:rsid w:val="00371799"/>
    <w:rsid w:val="003717EB"/>
    <w:rsid w:val="003718AA"/>
    <w:rsid w:val="00371A9E"/>
    <w:rsid w:val="00371B0F"/>
    <w:rsid w:val="00371BFE"/>
    <w:rsid w:val="00371DD6"/>
    <w:rsid w:val="00371E0B"/>
    <w:rsid w:val="00371E11"/>
    <w:rsid w:val="003722DF"/>
    <w:rsid w:val="00372464"/>
    <w:rsid w:val="0037252A"/>
    <w:rsid w:val="00372715"/>
    <w:rsid w:val="0037278F"/>
    <w:rsid w:val="003727BB"/>
    <w:rsid w:val="00372840"/>
    <w:rsid w:val="00372970"/>
    <w:rsid w:val="00372A81"/>
    <w:rsid w:val="00372B8A"/>
    <w:rsid w:val="00372BC9"/>
    <w:rsid w:val="00373111"/>
    <w:rsid w:val="00373174"/>
    <w:rsid w:val="0037347A"/>
    <w:rsid w:val="0037354A"/>
    <w:rsid w:val="0037357D"/>
    <w:rsid w:val="00373599"/>
    <w:rsid w:val="00373628"/>
    <w:rsid w:val="00373731"/>
    <w:rsid w:val="00373A5E"/>
    <w:rsid w:val="00373C1D"/>
    <w:rsid w:val="00373CE4"/>
    <w:rsid w:val="00373D6B"/>
    <w:rsid w:val="003740F7"/>
    <w:rsid w:val="0037418D"/>
    <w:rsid w:val="00374318"/>
    <w:rsid w:val="0037452B"/>
    <w:rsid w:val="003746A1"/>
    <w:rsid w:val="003746F1"/>
    <w:rsid w:val="003747A6"/>
    <w:rsid w:val="003747F7"/>
    <w:rsid w:val="00374A67"/>
    <w:rsid w:val="00374D9D"/>
    <w:rsid w:val="00374DA6"/>
    <w:rsid w:val="00375090"/>
    <w:rsid w:val="0037509B"/>
    <w:rsid w:val="00375272"/>
    <w:rsid w:val="00375B60"/>
    <w:rsid w:val="00375DCA"/>
    <w:rsid w:val="00375FD5"/>
    <w:rsid w:val="00376107"/>
    <w:rsid w:val="003762DE"/>
    <w:rsid w:val="003763D7"/>
    <w:rsid w:val="00376666"/>
    <w:rsid w:val="003767B3"/>
    <w:rsid w:val="00376916"/>
    <w:rsid w:val="00376992"/>
    <w:rsid w:val="00376A3B"/>
    <w:rsid w:val="00376AA2"/>
    <w:rsid w:val="00376BE5"/>
    <w:rsid w:val="00376C72"/>
    <w:rsid w:val="00376E0C"/>
    <w:rsid w:val="003777E5"/>
    <w:rsid w:val="00377A07"/>
    <w:rsid w:val="00377F97"/>
    <w:rsid w:val="003801DD"/>
    <w:rsid w:val="00380314"/>
    <w:rsid w:val="00380438"/>
    <w:rsid w:val="003805B5"/>
    <w:rsid w:val="00380745"/>
    <w:rsid w:val="003807A1"/>
    <w:rsid w:val="00380E9B"/>
    <w:rsid w:val="003811C7"/>
    <w:rsid w:val="00381258"/>
    <w:rsid w:val="003819BD"/>
    <w:rsid w:val="003826B9"/>
    <w:rsid w:val="003829AC"/>
    <w:rsid w:val="00382A12"/>
    <w:rsid w:val="00382DE9"/>
    <w:rsid w:val="003831B7"/>
    <w:rsid w:val="00383340"/>
    <w:rsid w:val="0038337F"/>
    <w:rsid w:val="003837BA"/>
    <w:rsid w:val="00383AD9"/>
    <w:rsid w:val="00383AE9"/>
    <w:rsid w:val="00383B8C"/>
    <w:rsid w:val="00383BDF"/>
    <w:rsid w:val="00384471"/>
    <w:rsid w:val="00384502"/>
    <w:rsid w:val="00384761"/>
    <w:rsid w:val="0038499C"/>
    <w:rsid w:val="003849DF"/>
    <w:rsid w:val="00384A56"/>
    <w:rsid w:val="00385141"/>
    <w:rsid w:val="00385145"/>
    <w:rsid w:val="0038526B"/>
    <w:rsid w:val="003853A4"/>
    <w:rsid w:val="00385468"/>
    <w:rsid w:val="00385629"/>
    <w:rsid w:val="0038562C"/>
    <w:rsid w:val="00385812"/>
    <w:rsid w:val="00385AC7"/>
    <w:rsid w:val="00385CDA"/>
    <w:rsid w:val="00385EB1"/>
    <w:rsid w:val="00386142"/>
    <w:rsid w:val="00386232"/>
    <w:rsid w:val="00386305"/>
    <w:rsid w:val="00386384"/>
    <w:rsid w:val="00386449"/>
    <w:rsid w:val="00386622"/>
    <w:rsid w:val="00386A32"/>
    <w:rsid w:val="00386A35"/>
    <w:rsid w:val="00386D3E"/>
    <w:rsid w:val="00386D63"/>
    <w:rsid w:val="00386E32"/>
    <w:rsid w:val="00386EB6"/>
    <w:rsid w:val="0038741D"/>
    <w:rsid w:val="0038753F"/>
    <w:rsid w:val="00387861"/>
    <w:rsid w:val="00387950"/>
    <w:rsid w:val="00387AD1"/>
    <w:rsid w:val="00387BA7"/>
    <w:rsid w:val="00387D6D"/>
    <w:rsid w:val="00390234"/>
    <w:rsid w:val="0039028A"/>
    <w:rsid w:val="00390389"/>
    <w:rsid w:val="003903EF"/>
    <w:rsid w:val="0039042F"/>
    <w:rsid w:val="003905FC"/>
    <w:rsid w:val="00390868"/>
    <w:rsid w:val="00390888"/>
    <w:rsid w:val="0039099C"/>
    <w:rsid w:val="00390E0B"/>
    <w:rsid w:val="00391361"/>
    <w:rsid w:val="0039139E"/>
    <w:rsid w:val="003913CD"/>
    <w:rsid w:val="0039177D"/>
    <w:rsid w:val="00391856"/>
    <w:rsid w:val="00391877"/>
    <w:rsid w:val="00391A70"/>
    <w:rsid w:val="00391BBB"/>
    <w:rsid w:val="00391E75"/>
    <w:rsid w:val="00391E99"/>
    <w:rsid w:val="003920A5"/>
    <w:rsid w:val="0039225A"/>
    <w:rsid w:val="00392271"/>
    <w:rsid w:val="003924E2"/>
    <w:rsid w:val="00392755"/>
    <w:rsid w:val="00392830"/>
    <w:rsid w:val="00392D22"/>
    <w:rsid w:val="00392DD4"/>
    <w:rsid w:val="00392E67"/>
    <w:rsid w:val="00393036"/>
    <w:rsid w:val="003931A1"/>
    <w:rsid w:val="00393221"/>
    <w:rsid w:val="00393248"/>
    <w:rsid w:val="00393256"/>
    <w:rsid w:val="0039325E"/>
    <w:rsid w:val="00393694"/>
    <w:rsid w:val="00393A82"/>
    <w:rsid w:val="00393E59"/>
    <w:rsid w:val="00393E79"/>
    <w:rsid w:val="00393EF2"/>
    <w:rsid w:val="00394164"/>
    <w:rsid w:val="003943CA"/>
    <w:rsid w:val="003947E9"/>
    <w:rsid w:val="003948BA"/>
    <w:rsid w:val="00394A68"/>
    <w:rsid w:val="00394AD2"/>
    <w:rsid w:val="00394B74"/>
    <w:rsid w:val="00394C71"/>
    <w:rsid w:val="00394C93"/>
    <w:rsid w:val="003952A8"/>
    <w:rsid w:val="00395338"/>
    <w:rsid w:val="00395358"/>
    <w:rsid w:val="00395A32"/>
    <w:rsid w:val="00395B84"/>
    <w:rsid w:val="00395BDE"/>
    <w:rsid w:val="00395D54"/>
    <w:rsid w:val="00395E92"/>
    <w:rsid w:val="00395EFF"/>
    <w:rsid w:val="00396085"/>
    <w:rsid w:val="003962E8"/>
    <w:rsid w:val="003965F7"/>
    <w:rsid w:val="0039661E"/>
    <w:rsid w:val="003966B0"/>
    <w:rsid w:val="0039685F"/>
    <w:rsid w:val="00396CA2"/>
    <w:rsid w:val="00396D15"/>
    <w:rsid w:val="00397206"/>
    <w:rsid w:val="0039741C"/>
    <w:rsid w:val="003976F8"/>
    <w:rsid w:val="00397B51"/>
    <w:rsid w:val="00397B71"/>
    <w:rsid w:val="00397F5B"/>
    <w:rsid w:val="003A01AE"/>
    <w:rsid w:val="003A034E"/>
    <w:rsid w:val="003A043D"/>
    <w:rsid w:val="003A073F"/>
    <w:rsid w:val="003A0804"/>
    <w:rsid w:val="003A08A9"/>
    <w:rsid w:val="003A09DB"/>
    <w:rsid w:val="003A0B47"/>
    <w:rsid w:val="003A0D67"/>
    <w:rsid w:val="003A0EE0"/>
    <w:rsid w:val="003A1154"/>
    <w:rsid w:val="003A1191"/>
    <w:rsid w:val="003A1384"/>
    <w:rsid w:val="003A142B"/>
    <w:rsid w:val="003A1470"/>
    <w:rsid w:val="003A16F4"/>
    <w:rsid w:val="003A18DC"/>
    <w:rsid w:val="003A1A99"/>
    <w:rsid w:val="003A1FCB"/>
    <w:rsid w:val="003A20A4"/>
    <w:rsid w:val="003A21D8"/>
    <w:rsid w:val="003A23CA"/>
    <w:rsid w:val="003A2796"/>
    <w:rsid w:val="003A2A4A"/>
    <w:rsid w:val="003A2A80"/>
    <w:rsid w:val="003A2D36"/>
    <w:rsid w:val="003A2F5B"/>
    <w:rsid w:val="003A3262"/>
    <w:rsid w:val="003A3378"/>
    <w:rsid w:val="003A339D"/>
    <w:rsid w:val="003A37BC"/>
    <w:rsid w:val="003A3867"/>
    <w:rsid w:val="003A38A4"/>
    <w:rsid w:val="003A3997"/>
    <w:rsid w:val="003A39DE"/>
    <w:rsid w:val="003A3AA3"/>
    <w:rsid w:val="003A3B6D"/>
    <w:rsid w:val="003A3C06"/>
    <w:rsid w:val="003A3E77"/>
    <w:rsid w:val="003A3E8D"/>
    <w:rsid w:val="003A3F1E"/>
    <w:rsid w:val="003A3F3F"/>
    <w:rsid w:val="003A417A"/>
    <w:rsid w:val="003A4586"/>
    <w:rsid w:val="003A4863"/>
    <w:rsid w:val="003A4AD6"/>
    <w:rsid w:val="003A4B24"/>
    <w:rsid w:val="003A4C2B"/>
    <w:rsid w:val="003A4EF6"/>
    <w:rsid w:val="003A4FE4"/>
    <w:rsid w:val="003A51BA"/>
    <w:rsid w:val="003A51F6"/>
    <w:rsid w:val="003A56AA"/>
    <w:rsid w:val="003A575B"/>
    <w:rsid w:val="003A59A0"/>
    <w:rsid w:val="003A5AB8"/>
    <w:rsid w:val="003A5D60"/>
    <w:rsid w:val="003A60A3"/>
    <w:rsid w:val="003A60C0"/>
    <w:rsid w:val="003A62B5"/>
    <w:rsid w:val="003A6381"/>
    <w:rsid w:val="003A64BA"/>
    <w:rsid w:val="003A656D"/>
    <w:rsid w:val="003A65D3"/>
    <w:rsid w:val="003A6878"/>
    <w:rsid w:val="003A6B64"/>
    <w:rsid w:val="003A6BDE"/>
    <w:rsid w:val="003A7263"/>
    <w:rsid w:val="003A7386"/>
    <w:rsid w:val="003A77FC"/>
    <w:rsid w:val="003A7A4C"/>
    <w:rsid w:val="003A7AE6"/>
    <w:rsid w:val="003A7BBB"/>
    <w:rsid w:val="003A7CA3"/>
    <w:rsid w:val="003A7CAA"/>
    <w:rsid w:val="003A7F99"/>
    <w:rsid w:val="003B0211"/>
    <w:rsid w:val="003B0364"/>
    <w:rsid w:val="003B03E7"/>
    <w:rsid w:val="003B0D10"/>
    <w:rsid w:val="003B123E"/>
    <w:rsid w:val="003B1383"/>
    <w:rsid w:val="003B1490"/>
    <w:rsid w:val="003B184A"/>
    <w:rsid w:val="003B19ED"/>
    <w:rsid w:val="003B1A4A"/>
    <w:rsid w:val="003B1A57"/>
    <w:rsid w:val="003B1B4C"/>
    <w:rsid w:val="003B1F96"/>
    <w:rsid w:val="003B21A4"/>
    <w:rsid w:val="003B22EC"/>
    <w:rsid w:val="003B2348"/>
    <w:rsid w:val="003B23A7"/>
    <w:rsid w:val="003B23CB"/>
    <w:rsid w:val="003B240F"/>
    <w:rsid w:val="003B2410"/>
    <w:rsid w:val="003B281F"/>
    <w:rsid w:val="003B2B27"/>
    <w:rsid w:val="003B3164"/>
    <w:rsid w:val="003B36AE"/>
    <w:rsid w:val="003B36E8"/>
    <w:rsid w:val="003B3CBB"/>
    <w:rsid w:val="003B3DFA"/>
    <w:rsid w:val="003B3FB5"/>
    <w:rsid w:val="003B3FD4"/>
    <w:rsid w:val="003B42AF"/>
    <w:rsid w:val="003B4412"/>
    <w:rsid w:val="003B458C"/>
    <w:rsid w:val="003B46EF"/>
    <w:rsid w:val="003B4826"/>
    <w:rsid w:val="003B4BB0"/>
    <w:rsid w:val="003B4E32"/>
    <w:rsid w:val="003B4EDE"/>
    <w:rsid w:val="003B4FDC"/>
    <w:rsid w:val="003B542E"/>
    <w:rsid w:val="003B544A"/>
    <w:rsid w:val="003B56BB"/>
    <w:rsid w:val="003B57EF"/>
    <w:rsid w:val="003B595E"/>
    <w:rsid w:val="003B5DFC"/>
    <w:rsid w:val="003B604B"/>
    <w:rsid w:val="003B6270"/>
    <w:rsid w:val="003B6573"/>
    <w:rsid w:val="003B6945"/>
    <w:rsid w:val="003B7360"/>
    <w:rsid w:val="003B73FC"/>
    <w:rsid w:val="003B75FA"/>
    <w:rsid w:val="003B76D0"/>
    <w:rsid w:val="003B79DF"/>
    <w:rsid w:val="003B7B76"/>
    <w:rsid w:val="003B7BCC"/>
    <w:rsid w:val="003B7CC3"/>
    <w:rsid w:val="003B7DAB"/>
    <w:rsid w:val="003B7E7E"/>
    <w:rsid w:val="003B7FE0"/>
    <w:rsid w:val="003C0005"/>
    <w:rsid w:val="003C012A"/>
    <w:rsid w:val="003C0222"/>
    <w:rsid w:val="003C0345"/>
    <w:rsid w:val="003C0347"/>
    <w:rsid w:val="003C0352"/>
    <w:rsid w:val="003C03C0"/>
    <w:rsid w:val="003C043C"/>
    <w:rsid w:val="003C0593"/>
    <w:rsid w:val="003C05FB"/>
    <w:rsid w:val="003C06C8"/>
    <w:rsid w:val="003C07C6"/>
    <w:rsid w:val="003C085B"/>
    <w:rsid w:val="003C089C"/>
    <w:rsid w:val="003C0952"/>
    <w:rsid w:val="003C0A6B"/>
    <w:rsid w:val="003C1262"/>
    <w:rsid w:val="003C1355"/>
    <w:rsid w:val="003C136E"/>
    <w:rsid w:val="003C1585"/>
    <w:rsid w:val="003C16DE"/>
    <w:rsid w:val="003C1761"/>
    <w:rsid w:val="003C1898"/>
    <w:rsid w:val="003C1AB2"/>
    <w:rsid w:val="003C1AB7"/>
    <w:rsid w:val="003C1B0F"/>
    <w:rsid w:val="003C1BED"/>
    <w:rsid w:val="003C1CEB"/>
    <w:rsid w:val="003C1D29"/>
    <w:rsid w:val="003C1D4A"/>
    <w:rsid w:val="003C1F38"/>
    <w:rsid w:val="003C2281"/>
    <w:rsid w:val="003C250A"/>
    <w:rsid w:val="003C2A97"/>
    <w:rsid w:val="003C2BB2"/>
    <w:rsid w:val="003C2BF9"/>
    <w:rsid w:val="003C2D6A"/>
    <w:rsid w:val="003C2D84"/>
    <w:rsid w:val="003C2E0D"/>
    <w:rsid w:val="003C3012"/>
    <w:rsid w:val="003C3294"/>
    <w:rsid w:val="003C336E"/>
    <w:rsid w:val="003C34F4"/>
    <w:rsid w:val="003C3560"/>
    <w:rsid w:val="003C360E"/>
    <w:rsid w:val="003C3A83"/>
    <w:rsid w:val="003C3D73"/>
    <w:rsid w:val="003C3DDD"/>
    <w:rsid w:val="003C3DE9"/>
    <w:rsid w:val="003C426B"/>
    <w:rsid w:val="003C4410"/>
    <w:rsid w:val="003C4746"/>
    <w:rsid w:val="003C4CEA"/>
    <w:rsid w:val="003C4E87"/>
    <w:rsid w:val="003C4F56"/>
    <w:rsid w:val="003C51E3"/>
    <w:rsid w:val="003C53A1"/>
    <w:rsid w:val="003C5490"/>
    <w:rsid w:val="003C5521"/>
    <w:rsid w:val="003C5588"/>
    <w:rsid w:val="003C57DE"/>
    <w:rsid w:val="003C57F5"/>
    <w:rsid w:val="003C5908"/>
    <w:rsid w:val="003C5B2A"/>
    <w:rsid w:val="003C5B51"/>
    <w:rsid w:val="003C5CBE"/>
    <w:rsid w:val="003C5CCC"/>
    <w:rsid w:val="003C5E74"/>
    <w:rsid w:val="003C6122"/>
    <w:rsid w:val="003C65F9"/>
    <w:rsid w:val="003C66E2"/>
    <w:rsid w:val="003C6CE8"/>
    <w:rsid w:val="003C6CEA"/>
    <w:rsid w:val="003C7109"/>
    <w:rsid w:val="003C727A"/>
    <w:rsid w:val="003C79B3"/>
    <w:rsid w:val="003C7A14"/>
    <w:rsid w:val="003C7D60"/>
    <w:rsid w:val="003C7DEB"/>
    <w:rsid w:val="003C7F0D"/>
    <w:rsid w:val="003C7F8B"/>
    <w:rsid w:val="003D00E3"/>
    <w:rsid w:val="003D0478"/>
    <w:rsid w:val="003D063F"/>
    <w:rsid w:val="003D06B0"/>
    <w:rsid w:val="003D08FD"/>
    <w:rsid w:val="003D0937"/>
    <w:rsid w:val="003D0AC8"/>
    <w:rsid w:val="003D0AEB"/>
    <w:rsid w:val="003D0B45"/>
    <w:rsid w:val="003D0B7F"/>
    <w:rsid w:val="003D0C38"/>
    <w:rsid w:val="003D0CB5"/>
    <w:rsid w:val="003D0D5A"/>
    <w:rsid w:val="003D0F4C"/>
    <w:rsid w:val="003D0F5A"/>
    <w:rsid w:val="003D112D"/>
    <w:rsid w:val="003D1464"/>
    <w:rsid w:val="003D15B3"/>
    <w:rsid w:val="003D17AF"/>
    <w:rsid w:val="003D1A12"/>
    <w:rsid w:val="003D1CBD"/>
    <w:rsid w:val="003D1D6F"/>
    <w:rsid w:val="003D1DDF"/>
    <w:rsid w:val="003D223B"/>
    <w:rsid w:val="003D230E"/>
    <w:rsid w:val="003D2799"/>
    <w:rsid w:val="003D2D11"/>
    <w:rsid w:val="003D2E3F"/>
    <w:rsid w:val="003D3059"/>
    <w:rsid w:val="003D3160"/>
    <w:rsid w:val="003D3163"/>
    <w:rsid w:val="003D319E"/>
    <w:rsid w:val="003D31B1"/>
    <w:rsid w:val="003D31C3"/>
    <w:rsid w:val="003D3288"/>
    <w:rsid w:val="003D32AC"/>
    <w:rsid w:val="003D32C7"/>
    <w:rsid w:val="003D3453"/>
    <w:rsid w:val="003D35AB"/>
    <w:rsid w:val="003D361A"/>
    <w:rsid w:val="003D383A"/>
    <w:rsid w:val="003D3A33"/>
    <w:rsid w:val="003D3DBA"/>
    <w:rsid w:val="003D3E31"/>
    <w:rsid w:val="003D3E41"/>
    <w:rsid w:val="003D3FA5"/>
    <w:rsid w:val="003D400A"/>
    <w:rsid w:val="003D42C6"/>
    <w:rsid w:val="003D42EC"/>
    <w:rsid w:val="003D43B9"/>
    <w:rsid w:val="003D43F6"/>
    <w:rsid w:val="003D4579"/>
    <w:rsid w:val="003D45CE"/>
    <w:rsid w:val="003D4794"/>
    <w:rsid w:val="003D48D4"/>
    <w:rsid w:val="003D4A1A"/>
    <w:rsid w:val="003D4B8D"/>
    <w:rsid w:val="003D4FDB"/>
    <w:rsid w:val="003D5084"/>
    <w:rsid w:val="003D51F5"/>
    <w:rsid w:val="003D5254"/>
    <w:rsid w:val="003D52E5"/>
    <w:rsid w:val="003D5542"/>
    <w:rsid w:val="003D56A1"/>
    <w:rsid w:val="003D5806"/>
    <w:rsid w:val="003D5B3D"/>
    <w:rsid w:val="003D5B52"/>
    <w:rsid w:val="003D5D7E"/>
    <w:rsid w:val="003D5E2F"/>
    <w:rsid w:val="003D5E42"/>
    <w:rsid w:val="003D5EE7"/>
    <w:rsid w:val="003D5F8F"/>
    <w:rsid w:val="003D6035"/>
    <w:rsid w:val="003D66FA"/>
    <w:rsid w:val="003D677A"/>
    <w:rsid w:val="003D681D"/>
    <w:rsid w:val="003D698F"/>
    <w:rsid w:val="003D6B04"/>
    <w:rsid w:val="003D6EBD"/>
    <w:rsid w:val="003D706F"/>
    <w:rsid w:val="003D707F"/>
    <w:rsid w:val="003D70E3"/>
    <w:rsid w:val="003D72C6"/>
    <w:rsid w:val="003D736C"/>
    <w:rsid w:val="003D738A"/>
    <w:rsid w:val="003D7484"/>
    <w:rsid w:val="003D7BA8"/>
    <w:rsid w:val="003D7CE3"/>
    <w:rsid w:val="003D7E01"/>
    <w:rsid w:val="003D7F3D"/>
    <w:rsid w:val="003E030B"/>
    <w:rsid w:val="003E03B5"/>
    <w:rsid w:val="003E073E"/>
    <w:rsid w:val="003E09B6"/>
    <w:rsid w:val="003E0A14"/>
    <w:rsid w:val="003E0ABD"/>
    <w:rsid w:val="003E0D61"/>
    <w:rsid w:val="003E1662"/>
    <w:rsid w:val="003E17B0"/>
    <w:rsid w:val="003E183F"/>
    <w:rsid w:val="003E19D9"/>
    <w:rsid w:val="003E1B5B"/>
    <w:rsid w:val="003E1BE9"/>
    <w:rsid w:val="003E1C71"/>
    <w:rsid w:val="003E1D1A"/>
    <w:rsid w:val="003E1D8A"/>
    <w:rsid w:val="003E1E45"/>
    <w:rsid w:val="003E1F09"/>
    <w:rsid w:val="003E2152"/>
    <w:rsid w:val="003E2155"/>
    <w:rsid w:val="003E2197"/>
    <w:rsid w:val="003E22E5"/>
    <w:rsid w:val="003E2387"/>
    <w:rsid w:val="003E26E6"/>
    <w:rsid w:val="003E29B7"/>
    <w:rsid w:val="003E2A44"/>
    <w:rsid w:val="003E2B9A"/>
    <w:rsid w:val="003E2D85"/>
    <w:rsid w:val="003E303D"/>
    <w:rsid w:val="003E3149"/>
    <w:rsid w:val="003E315D"/>
    <w:rsid w:val="003E3201"/>
    <w:rsid w:val="003E3226"/>
    <w:rsid w:val="003E37C1"/>
    <w:rsid w:val="003E3C2B"/>
    <w:rsid w:val="003E4155"/>
    <w:rsid w:val="003E4587"/>
    <w:rsid w:val="003E45CE"/>
    <w:rsid w:val="003E4609"/>
    <w:rsid w:val="003E46DC"/>
    <w:rsid w:val="003E4718"/>
    <w:rsid w:val="003E47F2"/>
    <w:rsid w:val="003E4950"/>
    <w:rsid w:val="003E4B00"/>
    <w:rsid w:val="003E4E84"/>
    <w:rsid w:val="003E4FAD"/>
    <w:rsid w:val="003E5199"/>
    <w:rsid w:val="003E5628"/>
    <w:rsid w:val="003E562E"/>
    <w:rsid w:val="003E565D"/>
    <w:rsid w:val="003E5748"/>
    <w:rsid w:val="003E57DA"/>
    <w:rsid w:val="003E5958"/>
    <w:rsid w:val="003E59AE"/>
    <w:rsid w:val="003E5A82"/>
    <w:rsid w:val="003E5B0D"/>
    <w:rsid w:val="003E5BE0"/>
    <w:rsid w:val="003E5C51"/>
    <w:rsid w:val="003E5C6C"/>
    <w:rsid w:val="003E5E39"/>
    <w:rsid w:val="003E5E6C"/>
    <w:rsid w:val="003E5E8C"/>
    <w:rsid w:val="003E5EE2"/>
    <w:rsid w:val="003E602A"/>
    <w:rsid w:val="003E6105"/>
    <w:rsid w:val="003E6163"/>
    <w:rsid w:val="003E6213"/>
    <w:rsid w:val="003E646D"/>
    <w:rsid w:val="003E673D"/>
    <w:rsid w:val="003E6A44"/>
    <w:rsid w:val="003E6BC7"/>
    <w:rsid w:val="003E6BF2"/>
    <w:rsid w:val="003E6C4B"/>
    <w:rsid w:val="003E6C81"/>
    <w:rsid w:val="003E6E7D"/>
    <w:rsid w:val="003E719A"/>
    <w:rsid w:val="003E71ED"/>
    <w:rsid w:val="003E7400"/>
    <w:rsid w:val="003E7566"/>
    <w:rsid w:val="003E75D1"/>
    <w:rsid w:val="003E7A12"/>
    <w:rsid w:val="003E7AB3"/>
    <w:rsid w:val="003E7C65"/>
    <w:rsid w:val="003E7FAC"/>
    <w:rsid w:val="003F00B9"/>
    <w:rsid w:val="003F020B"/>
    <w:rsid w:val="003F0253"/>
    <w:rsid w:val="003F0769"/>
    <w:rsid w:val="003F07C5"/>
    <w:rsid w:val="003F0950"/>
    <w:rsid w:val="003F13BA"/>
    <w:rsid w:val="003F13E5"/>
    <w:rsid w:val="003F1C52"/>
    <w:rsid w:val="003F1CD1"/>
    <w:rsid w:val="003F2033"/>
    <w:rsid w:val="003F22D0"/>
    <w:rsid w:val="003F282F"/>
    <w:rsid w:val="003F2AA7"/>
    <w:rsid w:val="003F2B8A"/>
    <w:rsid w:val="003F2BAC"/>
    <w:rsid w:val="003F2C28"/>
    <w:rsid w:val="003F2C88"/>
    <w:rsid w:val="003F2DD1"/>
    <w:rsid w:val="003F2F86"/>
    <w:rsid w:val="003F3028"/>
    <w:rsid w:val="003F3467"/>
    <w:rsid w:val="003F350B"/>
    <w:rsid w:val="003F353F"/>
    <w:rsid w:val="003F355D"/>
    <w:rsid w:val="003F37F9"/>
    <w:rsid w:val="003F3BC3"/>
    <w:rsid w:val="003F3BE2"/>
    <w:rsid w:val="003F3EF3"/>
    <w:rsid w:val="003F3F81"/>
    <w:rsid w:val="003F4093"/>
    <w:rsid w:val="003F40D3"/>
    <w:rsid w:val="003F40D5"/>
    <w:rsid w:val="003F427B"/>
    <w:rsid w:val="003F4287"/>
    <w:rsid w:val="003F4451"/>
    <w:rsid w:val="003F44F3"/>
    <w:rsid w:val="003F45D4"/>
    <w:rsid w:val="003F46F9"/>
    <w:rsid w:val="003F47C5"/>
    <w:rsid w:val="003F4813"/>
    <w:rsid w:val="003F4C8D"/>
    <w:rsid w:val="003F4D83"/>
    <w:rsid w:val="003F5318"/>
    <w:rsid w:val="003F5419"/>
    <w:rsid w:val="003F56AE"/>
    <w:rsid w:val="003F5745"/>
    <w:rsid w:val="003F5977"/>
    <w:rsid w:val="003F5D72"/>
    <w:rsid w:val="003F5E95"/>
    <w:rsid w:val="003F5FB4"/>
    <w:rsid w:val="003F601D"/>
    <w:rsid w:val="003F60C6"/>
    <w:rsid w:val="003F61BD"/>
    <w:rsid w:val="003F61FC"/>
    <w:rsid w:val="003F62AB"/>
    <w:rsid w:val="003F6A7C"/>
    <w:rsid w:val="003F6AEA"/>
    <w:rsid w:val="003F6BD4"/>
    <w:rsid w:val="003F6DFB"/>
    <w:rsid w:val="003F6F89"/>
    <w:rsid w:val="003F7128"/>
    <w:rsid w:val="003F7131"/>
    <w:rsid w:val="003F7256"/>
    <w:rsid w:val="003F75ED"/>
    <w:rsid w:val="003F791F"/>
    <w:rsid w:val="003F79A8"/>
    <w:rsid w:val="003F7AA2"/>
    <w:rsid w:val="003F7B8D"/>
    <w:rsid w:val="003F7BB0"/>
    <w:rsid w:val="003F7C6B"/>
    <w:rsid w:val="003F7C7E"/>
    <w:rsid w:val="003F7DC1"/>
    <w:rsid w:val="003F7E72"/>
    <w:rsid w:val="004001BE"/>
    <w:rsid w:val="004002A9"/>
    <w:rsid w:val="00400333"/>
    <w:rsid w:val="00400399"/>
    <w:rsid w:val="004003A4"/>
    <w:rsid w:val="00400495"/>
    <w:rsid w:val="00400642"/>
    <w:rsid w:val="0040067D"/>
    <w:rsid w:val="0040070E"/>
    <w:rsid w:val="004007D8"/>
    <w:rsid w:val="00400A26"/>
    <w:rsid w:val="00400A2E"/>
    <w:rsid w:val="00400A99"/>
    <w:rsid w:val="00400EF7"/>
    <w:rsid w:val="00401110"/>
    <w:rsid w:val="00401159"/>
    <w:rsid w:val="004013A5"/>
    <w:rsid w:val="00401747"/>
    <w:rsid w:val="0040175C"/>
    <w:rsid w:val="00401D39"/>
    <w:rsid w:val="00401E21"/>
    <w:rsid w:val="00401E8C"/>
    <w:rsid w:val="0040201B"/>
    <w:rsid w:val="004022CB"/>
    <w:rsid w:val="00402450"/>
    <w:rsid w:val="004025C4"/>
    <w:rsid w:val="004026A8"/>
    <w:rsid w:val="004026C2"/>
    <w:rsid w:val="004027D6"/>
    <w:rsid w:val="004029C9"/>
    <w:rsid w:val="00402B1C"/>
    <w:rsid w:val="00402C4B"/>
    <w:rsid w:val="00402D8B"/>
    <w:rsid w:val="0040308D"/>
    <w:rsid w:val="00403291"/>
    <w:rsid w:val="00403356"/>
    <w:rsid w:val="00403529"/>
    <w:rsid w:val="0040364F"/>
    <w:rsid w:val="00403A4C"/>
    <w:rsid w:val="00403ED9"/>
    <w:rsid w:val="00403FF5"/>
    <w:rsid w:val="004044C6"/>
    <w:rsid w:val="004048D4"/>
    <w:rsid w:val="00404BC1"/>
    <w:rsid w:val="00404D18"/>
    <w:rsid w:val="00404D54"/>
    <w:rsid w:val="00404F4A"/>
    <w:rsid w:val="0040510A"/>
    <w:rsid w:val="004051FC"/>
    <w:rsid w:val="004052A4"/>
    <w:rsid w:val="004052FC"/>
    <w:rsid w:val="00405307"/>
    <w:rsid w:val="00405319"/>
    <w:rsid w:val="004053F7"/>
    <w:rsid w:val="0040562B"/>
    <w:rsid w:val="004056B7"/>
    <w:rsid w:val="00405746"/>
    <w:rsid w:val="00405FF5"/>
    <w:rsid w:val="004060E0"/>
    <w:rsid w:val="0040634A"/>
    <w:rsid w:val="00406398"/>
    <w:rsid w:val="0040642B"/>
    <w:rsid w:val="00406438"/>
    <w:rsid w:val="00406647"/>
    <w:rsid w:val="004066D7"/>
    <w:rsid w:val="0040676A"/>
    <w:rsid w:val="00406AB3"/>
    <w:rsid w:val="00406B02"/>
    <w:rsid w:val="00406D8F"/>
    <w:rsid w:val="00406DB0"/>
    <w:rsid w:val="00407008"/>
    <w:rsid w:val="0040736F"/>
    <w:rsid w:val="0040743F"/>
    <w:rsid w:val="00407573"/>
    <w:rsid w:val="004076BF"/>
    <w:rsid w:val="004076D7"/>
    <w:rsid w:val="004078D6"/>
    <w:rsid w:val="00407D30"/>
    <w:rsid w:val="00407E67"/>
    <w:rsid w:val="00410054"/>
    <w:rsid w:val="004103DA"/>
    <w:rsid w:val="00410509"/>
    <w:rsid w:val="00410D01"/>
    <w:rsid w:val="00410EAA"/>
    <w:rsid w:val="00410FD1"/>
    <w:rsid w:val="0041110C"/>
    <w:rsid w:val="0041133D"/>
    <w:rsid w:val="00411381"/>
    <w:rsid w:val="004113C6"/>
    <w:rsid w:val="00411B01"/>
    <w:rsid w:val="00411B1E"/>
    <w:rsid w:val="00411BBD"/>
    <w:rsid w:val="00411CC8"/>
    <w:rsid w:val="00411F2E"/>
    <w:rsid w:val="00412149"/>
    <w:rsid w:val="00412223"/>
    <w:rsid w:val="004131E4"/>
    <w:rsid w:val="0041335F"/>
    <w:rsid w:val="00413424"/>
    <w:rsid w:val="004135D9"/>
    <w:rsid w:val="00413C92"/>
    <w:rsid w:val="00413E8F"/>
    <w:rsid w:val="0041404A"/>
    <w:rsid w:val="0041429B"/>
    <w:rsid w:val="00414439"/>
    <w:rsid w:val="0041454F"/>
    <w:rsid w:val="00414855"/>
    <w:rsid w:val="00414E27"/>
    <w:rsid w:val="00414FE3"/>
    <w:rsid w:val="00415240"/>
    <w:rsid w:val="00415380"/>
    <w:rsid w:val="00415600"/>
    <w:rsid w:val="004158AA"/>
    <w:rsid w:val="004158FF"/>
    <w:rsid w:val="00415942"/>
    <w:rsid w:val="004159E9"/>
    <w:rsid w:val="00415B0C"/>
    <w:rsid w:val="00415BE5"/>
    <w:rsid w:val="00415F0A"/>
    <w:rsid w:val="0041601A"/>
    <w:rsid w:val="004161C6"/>
    <w:rsid w:val="0041650D"/>
    <w:rsid w:val="00416666"/>
    <w:rsid w:val="0041683A"/>
    <w:rsid w:val="00417012"/>
    <w:rsid w:val="00417253"/>
    <w:rsid w:val="004173C0"/>
    <w:rsid w:val="00417407"/>
    <w:rsid w:val="004176F4"/>
    <w:rsid w:val="004177DA"/>
    <w:rsid w:val="004178A0"/>
    <w:rsid w:val="004179E8"/>
    <w:rsid w:val="00417BE6"/>
    <w:rsid w:val="00417DB6"/>
    <w:rsid w:val="00417E31"/>
    <w:rsid w:val="00417E99"/>
    <w:rsid w:val="0042000D"/>
    <w:rsid w:val="004200D1"/>
    <w:rsid w:val="00420218"/>
    <w:rsid w:val="0042040C"/>
    <w:rsid w:val="004205FD"/>
    <w:rsid w:val="004206A4"/>
    <w:rsid w:val="0042085F"/>
    <w:rsid w:val="004209D7"/>
    <w:rsid w:val="00420AC5"/>
    <w:rsid w:val="00420CA1"/>
    <w:rsid w:val="00420DA9"/>
    <w:rsid w:val="00420EB8"/>
    <w:rsid w:val="00421141"/>
    <w:rsid w:val="00421164"/>
    <w:rsid w:val="004213A3"/>
    <w:rsid w:val="0042180F"/>
    <w:rsid w:val="00421A01"/>
    <w:rsid w:val="00421AE9"/>
    <w:rsid w:val="00421C6F"/>
    <w:rsid w:val="00421DB8"/>
    <w:rsid w:val="00421E09"/>
    <w:rsid w:val="00421FE9"/>
    <w:rsid w:val="00422068"/>
    <w:rsid w:val="0042221F"/>
    <w:rsid w:val="004222C9"/>
    <w:rsid w:val="004224BD"/>
    <w:rsid w:val="004225BC"/>
    <w:rsid w:val="0042295B"/>
    <w:rsid w:val="00422BB4"/>
    <w:rsid w:val="00422BB5"/>
    <w:rsid w:val="0042313A"/>
    <w:rsid w:val="004232AF"/>
    <w:rsid w:val="004232FA"/>
    <w:rsid w:val="00423384"/>
    <w:rsid w:val="00423C33"/>
    <w:rsid w:val="00423CDA"/>
    <w:rsid w:val="00423EBF"/>
    <w:rsid w:val="00423FCC"/>
    <w:rsid w:val="00424114"/>
    <w:rsid w:val="0042426B"/>
    <w:rsid w:val="00424334"/>
    <w:rsid w:val="004244B3"/>
    <w:rsid w:val="00424559"/>
    <w:rsid w:val="0042469A"/>
    <w:rsid w:val="00424A10"/>
    <w:rsid w:val="00424AD8"/>
    <w:rsid w:val="00424EC9"/>
    <w:rsid w:val="00424F0F"/>
    <w:rsid w:val="00424F6C"/>
    <w:rsid w:val="004250F1"/>
    <w:rsid w:val="0042522F"/>
    <w:rsid w:val="0042539C"/>
    <w:rsid w:val="0042581D"/>
    <w:rsid w:val="0042584D"/>
    <w:rsid w:val="004258D5"/>
    <w:rsid w:val="004258FF"/>
    <w:rsid w:val="004263D6"/>
    <w:rsid w:val="004267F1"/>
    <w:rsid w:val="004268B7"/>
    <w:rsid w:val="004269A0"/>
    <w:rsid w:val="00426A17"/>
    <w:rsid w:val="00426A68"/>
    <w:rsid w:val="00426A86"/>
    <w:rsid w:val="00426B22"/>
    <w:rsid w:val="00426CBE"/>
    <w:rsid w:val="00426CE4"/>
    <w:rsid w:val="00427558"/>
    <w:rsid w:val="00427597"/>
    <w:rsid w:val="00427694"/>
    <w:rsid w:val="00427777"/>
    <w:rsid w:val="00427882"/>
    <w:rsid w:val="004278DC"/>
    <w:rsid w:val="004278F8"/>
    <w:rsid w:val="00427E8F"/>
    <w:rsid w:val="004301BD"/>
    <w:rsid w:val="004302AA"/>
    <w:rsid w:val="004302DA"/>
    <w:rsid w:val="00430302"/>
    <w:rsid w:val="00430317"/>
    <w:rsid w:val="0043042A"/>
    <w:rsid w:val="00430603"/>
    <w:rsid w:val="00430DA1"/>
    <w:rsid w:val="004310AC"/>
    <w:rsid w:val="004310F1"/>
    <w:rsid w:val="004311A6"/>
    <w:rsid w:val="0043151C"/>
    <w:rsid w:val="00431548"/>
    <w:rsid w:val="004317BA"/>
    <w:rsid w:val="00431A33"/>
    <w:rsid w:val="00431A80"/>
    <w:rsid w:val="00431CA5"/>
    <w:rsid w:val="00431CC0"/>
    <w:rsid w:val="00431DA3"/>
    <w:rsid w:val="004320A8"/>
    <w:rsid w:val="00432647"/>
    <w:rsid w:val="0043286C"/>
    <w:rsid w:val="00432D39"/>
    <w:rsid w:val="0043333C"/>
    <w:rsid w:val="00433349"/>
    <w:rsid w:val="004337DB"/>
    <w:rsid w:val="00433D4F"/>
    <w:rsid w:val="00433E4C"/>
    <w:rsid w:val="00434061"/>
    <w:rsid w:val="00434602"/>
    <w:rsid w:val="0043465B"/>
    <w:rsid w:val="00434B0A"/>
    <w:rsid w:val="00434C0E"/>
    <w:rsid w:val="0043502F"/>
    <w:rsid w:val="00435546"/>
    <w:rsid w:val="00435B77"/>
    <w:rsid w:val="00435D34"/>
    <w:rsid w:val="00435F55"/>
    <w:rsid w:val="00435F71"/>
    <w:rsid w:val="0043645F"/>
    <w:rsid w:val="004365D2"/>
    <w:rsid w:val="004369A8"/>
    <w:rsid w:val="00436A56"/>
    <w:rsid w:val="00436EBE"/>
    <w:rsid w:val="00436F28"/>
    <w:rsid w:val="0043701B"/>
    <w:rsid w:val="00437078"/>
    <w:rsid w:val="004370CE"/>
    <w:rsid w:val="00437251"/>
    <w:rsid w:val="00437275"/>
    <w:rsid w:val="004374BE"/>
    <w:rsid w:val="00437514"/>
    <w:rsid w:val="004377C4"/>
    <w:rsid w:val="00437897"/>
    <w:rsid w:val="00437B20"/>
    <w:rsid w:val="00437D2A"/>
    <w:rsid w:val="00437D3F"/>
    <w:rsid w:val="004403AC"/>
    <w:rsid w:val="0044045E"/>
    <w:rsid w:val="004404E8"/>
    <w:rsid w:val="00440638"/>
    <w:rsid w:val="00440728"/>
    <w:rsid w:val="00440B2F"/>
    <w:rsid w:val="00440D4B"/>
    <w:rsid w:val="0044131C"/>
    <w:rsid w:val="0044138D"/>
    <w:rsid w:val="004415D1"/>
    <w:rsid w:val="004415E6"/>
    <w:rsid w:val="004417A1"/>
    <w:rsid w:val="00441AF3"/>
    <w:rsid w:val="00441BF1"/>
    <w:rsid w:val="00441CC5"/>
    <w:rsid w:val="00441DD7"/>
    <w:rsid w:val="00441FD6"/>
    <w:rsid w:val="00442456"/>
    <w:rsid w:val="004425D4"/>
    <w:rsid w:val="0044262F"/>
    <w:rsid w:val="00442F67"/>
    <w:rsid w:val="00443B27"/>
    <w:rsid w:val="00443B91"/>
    <w:rsid w:val="00443BB7"/>
    <w:rsid w:val="00443C12"/>
    <w:rsid w:val="00443FA1"/>
    <w:rsid w:val="0044415E"/>
    <w:rsid w:val="00444329"/>
    <w:rsid w:val="00444771"/>
    <w:rsid w:val="004449B3"/>
    <w:rsid w:val="00444CC0"/>
    <w:rsid w:val="00444E32"/>
    <w:rsid w:val="00445064"/>
    <w:rsid w:val="00445122"/>
    <w:rsid w:val="004451C7"/>
    <w:rsid w:val="004452B7"/>
    <w:rsid w:val="004456B4"/>
    <w:rsid w:val="00445A78"/>
    <w:rsid w:val="00445FED"/>
    <w:rsid w:val="0044655B"/>
    <w:rsid w:val="00446871"/>
    <w:rsid w:val="0044698F"/>
    <w:rsid w:val="00446996"/>
    <w:rsid w:val="004469E8"/>
    <w:rsid w:val="00446CEF"/>
    <w:rsid w:val="00446D64"/>
    <w:rsid w:val="00446F14"/>
    <w:rsid w:val="004471FA"/>
    <w:rsid w:val="00447251"/>
    <w:rsid w:val="00447350"/>
    <w:rsid w:val="00447606"/>
    <w:rsid w:val="0044763A"/>
    <w:rsid w:val="00447893"/>
    <w:rsid w:val="00447B0C"/>
    <w:rsid w:val="00447BE5"/>
    <w:rsid w:val="00447E5B"/>
    <w:rsid w:val="004501DD"/>
    <w:rsid w:val="0045036E"/>
    <w:rsid w:val="004507FA"/>
    <w:rsid w:val="00450C36"/>
    <w:rsid w:val="00450CF2"/>
    <w:rsid w:val="00451098"/>
    <w:rsid w:val="004510AF"/>
    <w:rsid w:val="00451A0D"/>
    <w:rsid w:val="00451AB9"/>
    <w:rsid w:val="00451B3E"/>
    <w:rsid w:val="00451F52"/>
    <w:rsid w:val="00452236"/>
    <w:rsid w:val="00452B55"/>
    <w:rsid w:val="00452EAD"/>
    <w:rsid w:val="004533AA"/>
    <w:rsid w:val="00453615"/>
    <w:rsid w:val="00453694"/>
    <w:rsid w:val="004539D0"/>
    <w:rsid w:val="00453C28"/>
    <w:rsid w:val="00453F6B"/>
    <w:rsid w:val="00453FAD"/>
    <w:rsid w:val="0045405B"/>
    <w:rsid w:val="004544C8"/>
    <w:rsid w:val="00454ABD"/>
    <w:rsid w:val="00454BD8"/>
    <w:rsid w:val="00454E33"/>
    <w:rsid w:val="00454F1F"/>
    <w:rsid w:val="00454FEA"/>
    <w:rsid w:val="00455050"/>
    <w:rsid w:val="00455409"/>
    <w:rsid w:val="00455443"/>
    <w:rsid w:val="0045550D"/>
    <w:rsid w:val="004557EC"/>
    <w:rsid w:val="004559D4"/>
    <w:rsid w:val="00455BC6"/>
    <w:rsid w:val="00455F72"/>
    <w:rsid w:val="004560CB"/>
    <w:rsid w:val="0045639E"/>
    <w:rsid w:val="0045646C"/>
    <w:rsid w:val="004565D5"/>
    <w:rsid w:val="004566FB"/>
    <w:rsid w:val="0045672C"/>
    <w:rsid w:val="00456825"/>
    <w:rsid w:val="00456C30"/>
    <w:rsid w:val="00456C59"/>
    <w:rsid w:val="00456D79"/>
    <w:rsid w:val="00456DDF"/>
    <w:rsid w:val="00456E6C"/>
    <w:rsid w:val="00456FC6"/>
    <w:rsid w:val="0045709D"/>
    <w:rsid w:val="0045712D"/>
    <w:rsid w:val="004573C8"/>
    <w:rsid w:val="00457560"/>
    <w:rsid w:val="00457611"/>
    <w:rsid w:val="004576C1"/>
    <w:rsid w:val="0045772C"/>
    <w:rsid w:val="0045796B"/>
    <w:rsid w:val="00457D06"/>
    <w:rsid w:val="0045842E"/>
    <w:rsid w:val="0046050E"/>
    <w:rsid w:val="0046053A"/>
    <w:rsid w:val="0046070D"/>
    <w:rsid w:val="00460755"/>
    <w:rsid w:val="00460DFB"/>
    <w:rsid w:val="00460E6D"/>
    <w:rsid w:val="00461038"/>
    <w:rsid w:val="00461228"/>
    <w:rsid w:val="004613DB"/>
    <w:rsid w:val="00461481"/>
    <w:rsid w:val="004614E7"/>
    <w:rsid w:val="00461557"/>
    <w:rsid w:val="0046172F"/>
    <w:rsid w:val="00461787"/>
    <w:rsid w:val="004617A3"/>
    <w:rsid w:val="00461CE7"/>
    <w:rsid w:val="00461D3C"/>
    <w:rsid w:val="00461E2F"/>
    <w:rsid w:val="00461F79"/>
    <w:rsid w:val="004622DB"/>
    <w:rsid w:val="00462402"/>
    <w:rsid w:val="00462563"/>
    <w:rsid w:val="004625E2"/>
    <w:rsid w:val="00462878"/>
    <w:rsid w:val="00462B56"/>
    <w:rsid w:val="00462C18"/>
    <w:rsid w:val="00462C96"/>
    <w:rsid w:val="00462D73"/>
    <w:rsid w:val="0046321F"/>
    <w:rsid w:val="00463365"/>
    <w:rsid w:val="004636E6"/>
    <w:rsid w:val="004636F6"/>
    <w:rsid w:val="0046382B"/>
    <w:rsid w:val="004638B2"/>
    <w:rsid w:val="00463CDD"/>
    <w:rsid w:val="00463EE0"/>
    <w:rsid w:val="00463FC8"/>
    <w:rsid w:val="00464548"/>
    <w:rsid w:val="00464B90"/>
    <w:rsid w:val="00464B99"/>
    <w:rsid w:val="00464C42"/>
    <w:rsid w:val="00464C65"/>
    <w:rsid w:val="00464DD9"/>
    <w:rsid w:val="00464EEA"/>
    <w:rsid w:val="00465060"/>
    <w:rsid w:val="004651A2"/>
    <w:rsid w:val="00465288"/>
    <w:rsid w:val="00465375"/>
    <w:rsid w:val="004653B5"/>
    <w:rsid w:val="00465411"/>
    <w:rsid w:val="0046545B"/>
    <w:rsid w:val="004655CB"/>
    <w:rsid w:val="00465916"/>
    <w:rsid w:val="00465B96"/>
    <w:rsid w:val="00465BA2"/>
    <w:rsid w:val="00465CA7"/>
    <w:rsid w:val="00465DBE"/>
    <w:rsid w:val="00466105"/>
    <w:rsid w:val="00466119"/>
    <w:rsid w:val="00466192"/>
    <w:rsid w:val="00466299"/>
    <w:rsid w:val="00466651"/>
    <w:rsid w:val="00466684"/>
    <w:rsid w:val="0046670E"/>
    <w:rsid w:val="00466A15"/>
    <w:rsid w:val="00466BBE"/>
    <w:rsid w:val="00466BD9"/>
    <w:rsid w:val="004670D5"/>
    <w:rsid w:val="0046733E"/>
    <w:rsid w:val="00467351"/>
    <w:rsid w:val="00467962"/>
    <w:rsid w:val="00467A30"/>
    <w:rsid w:val="00467D04"/>
    <w:rsid w:val="00467D5F"/>
    <w:rsid w:val="00467E57"/>
    <w:rsid w:val="00470160"/>
    <w:rsid w:val="0047028C"/>
    <w:rsid w:val="00470592"/>
    <w:rsid w:val="00470686"/>
    <w:rsid w:val="00470997"/>
    <w:rsid w:val="00470AC6"/>
    <w:rsid w:val="00470C12"/>
    <w:rsid w:val="00470C26"/>
    <w:rsid w:val="00470C3A"/>
    <w:rsid w:val="00470CD1"/>
    <w:rsid w:val="00470D3A"/>
    <w:rsid w:val="00470D7A"/>
    <w:rsid w:val="00470F12"/>
    <w:rsid w:val="00471045"/>
    <w:rsid w:val="00471208"/>
    <w:rsid w:val="00471243"/>
    <w:rsid w:val="004712A9"/>
    <w:rsid w:val="004712F5"/>
    <w:rsid w:val="0047145C"/>
    <w:rsid w:val="00471653"/>
    <w:rsid w:val="004716AE"/>
    <w:rsid w:val="004716BC"/>
    <w:rsid w:val="0047173B"/>
    <w:rsid w:val="004717CE"/>
    <w:rsid w:val="004718F2"/>
    <w:rsid w:val="00471AC1"/>
    <w:rsid w:val="00471EE4"/>
    <w:rsid w:val="00471EF0"/>
    <w:rsid w:val="00471FE8"/>
    <w:rsid w:val="0047212A"/>
    <w:rsid w:val="00472208"/>
    <w:rsid w:val="0047257F"/>
    <w:rsid w:val="004725E0"/>
    <w:rsid w:val="004727D3"/>
    <w:rsid w:val="004729E8"/>
    <w:rsid w:val="00472A3C"/>
    <w:rsid w:val="00472A55"/>
    <w:rsid w:val="00472FBF"/>
    <w:rsid w:val="0047309F"/>
    <w:rsid w:val="00473171"/>
    <w:rsid w:val="00473304"/>
    <w:rsid w:val="0047354D"/>
    <w:rsid w:val="004735A6"/>
    <w:rsid w:val="004736DE"/>
    <w:rsid w:val="0047388B"/>
    <w:rsid w:val="00473C24"/>
    <w:rsid w:val="00473C78"/>
    <w:rsid w:val="00473DA0"/>
    <w:rsid w:val="00473E0C"/>
    <w:rsid w:val="004740D8"/>
    <w:rsid w:val="004745A0"/>
    <w:rsid w:val="004745D9"/>
    <w:rsid w:val="00474600"/>
    <w:rsid w:val="004747BF"/>
    <w:rsid w:val="004748E6"/>
    <w:rsid w:val="00474A46"/>
    <w:rsid w:val="00474ABE"/>
    <w:rsid w:val="00474C74"/>
    <w:rsid w:val="00474CCF"/>
    <w:rsid w:val="00474E51"/>
    <w:rsid w:val="00474E8A"/>
    <w:rsid w:val="00475536"/>
    <w:rsid w:val="0047554D"/>
    <w:rsid w:val="004757D5"/>
    <w:rsid w:val="00475D22"/>
    <w:rsid w:val="00475D64"/>
    <w:rsid w:val="00475DDD"/>
    <w:rsid w:val="004760B0"/>
    <w:rsid w:val="004761DF"/>
    <w:rsid w:val="0047620B"/>
    <w:rsid w:val="004765F8"/>
    <w:rsid w:val="00476AB1"/>
    <w:rsid w:val="00476C96"/>
    <w:rsid w:val="00476CBA"/>
    <w:rsid w:val="00476CE1"/>
    <w:rsid w:val="00476DBD"/>
    <w:rsid w:val="0047702C"/>
    <w:rsid w:val="004771A8"/>
    <w:rsid w:val="0047745E"/>
    <w:rsid w:val="004774BC"/>
    <w:rsid w:val="004776AC"/>
    <w:rsid w:val="004779F7"/>
    <w:rsid w:val="00477C61"/>
    <w:rsid w:val="00477C74"/>
    <w:rsid w:val="00477F2D"/>
    <w:rsid w:val="004800BA"/>
    <w:rsid w:val="004801AC"/>
    <w:rsid w:val="00480367"/>
    <w:rsid w:val="004804B9"/>
    <w:rsid w:val="004805B3"/>
    <w:rsid w:val="004807FA"/>
    <w:rsid w:val="00480812"/>
    <w:rsid w:val="00480815"/>
    <w:rsid w:val="0048083D"/>
    <w:rsid w:val="00480A85"/>
    <w:rsid w:val="00480B8B"/>
    <w:rsid w:val="00480DAE"/>
    <w:rsid w:val="004810B1"/>
    <w:rsid w:val="004810DF"/>
    <w:rsid w:val="004814C4"/>
    <w:rsid w:val="004815FB"/>
    <w:rsid w:val="00481798"/>
    <w:rsid w:val="004817FE"/>
    <w:rsid w:val="00481AB9"/>
    <w:rsid w:val="00481E0A"/>
    <w:rsid w:val="0048208D"/>
    <w:rsid w:val="00482433"/>
    <w:rsid w:val="004825A2"/>
    <w:rsid w:val="00482B1C"/>
    <w:rsid w:val="00482B4E"/>
    <w:rsid w:val="004831AB"/>
    <w:rsid w:val="00483285"/>
    <w:rsid w:val="004832F3"/>
    <w:rsid w:val="00483490"/>
    <w:rsid w:val="00483495"/>
    <w:rsid w:val="004834AB"/>
    <w:rsid w:val="004834E9"/>
    <w:rsid w:val="00483558"/>
    <w:rsid w:val="004835B1"/>
    <w:rsid w:val="00483677"/>
    <w:rsid w:val="00483695"/>
    <w:rsid w:val="0048377F"/>
    <w:rsid w:val="0048392B"/>
    <w:rsid w:val="00483930"/>
    <w:rsid w:val="00483969"/>
    <w:rsid w:val="00483A90"/>
    <w:rsid w:val="00483B9D"/>
    <w:rsid w:val="0048409C"/>
    <w:rsid w:val="004842A9"/>
    <w:rsid w:val="004843B6"/>
    <w:rsid w:val="00484476"/>
    <w:rsid w:val="00484491"/>
    <w:rsid w:val="00484607"/>
    <w:rsid w:val="00484751"/>
    <w:rsid w:val="00484863"/>
    <w:rsid w:val="00484DCF"/>
    <w:rsid w:val="00484F97"/>
    <w:rsid w:val="004855EE"/>
    <w:rsid w:val="00485A1C"/>
    <w:rsid w:val="00485ABE"/>
    <w:rsid w:val="00485CF4"/>
    <w:rsid w:val="00485D16"/>
    <w:rsid w:val="00485ED0"/>
    <w:rsid w:val="00485F30"/>
    <w:rsid w:val="00486025"/>
    <w:rsid w:val="00486397"/>
    <w:rsid w:val="0048639B"/>
    <w:rsid w:val="0048653E"/>
    <w:rsid w:val="00486640"/>
    <w:rsid w:val="00486802"/>
    <w:rsid w:val="0048686E"/>
    <w:rsid w:val="00486D3A"/>
    <w:rsid w:val="00487154"/>
    <w:rsid w:val="004872D1"/>
    <w:rsid w:val="00487485"/>
    <w:rsid w:val="00487817"/>
    <w:rsid w:val="0048782A"/>
    <w:rsid w:val="004879F7"/>
    <w:rsid w:val="00487A1E"/>
    <w:rsid w:val="00487AD4"/>
    <w:rsid w:val="00487EF8"/>
    <w:rsid w:val="00487FAE"/>
    <w:rsid w:val="00490006"/>
    <w:rsid w:val="00490038"/>
    <w:rsid w:val="004900AD"/>
    <w:rsid w:val="004903C1"/>
    <w:rsid w:val="004903F7"/>
    <w:rsid w:val="0049070F"/>
    <w:rsid w:val="00490715"/>
    <w:rsid w:val="0049082C"/>
    <w:rsid w:val="0049083F"/>
    <w:rsid w:val="00490D21"/>
    <w:rsid w:val="00490EE1"/>
    <w:rsid w:val="00491134"/>
    <w:rsid w:val="0049139B"/>
    <w:rsid w:val="0049152B"/>
    <w:rsid w:val="004915D5"/>
    <w:rsid w:val="00491713"/>
    <w:rsid w:val="00491AA2"/>
    <w:rsid w:val="00491CA3"/>
    <w:rsid w:val="00491EB3"/>
    <w:rsid w:val="00492068"/>
    <w:rsid w:val="004920A6"/>
    <w:rsid w:val="0049213B"/>
    <w:rsid w:val="0049221A"/>
    <w:rsid w:val="00492235"/>
    <w:rsid w:val="00492553"/>
    <w:rsid w:val="004926CA"/>
    <w:rsid w:val="0049289D"/>
    <w:rsid w:val="00492C7B"/>
    <w:rsid w:val="00492DDC"/>
    <w:rsid w:val="00492DEF"/>
    <w:rsid w:val="004932C4"/>
    <w:rsid w:val="00493343"/>
    <w:rsid w:val="004934F4"/>
    <w:rsid w:val="004936FE"/>
    <w:rsid w:val="004939D2"/>
    <w:rsid w:val="00493C7B"/>
    <w:rsid w:val="00493F80"/>
    <w:rsid w:val="00493F8F"/>
    <w:rsid w:val="00493FC1"/>
    <w:rsid w:val="00493FDB"/>
    <w:rsid w:val="004944F5"/>
    <w:rsid w:val="0049451F"/>
    <w:rsid w:val="004946D9"/>
    <w:rsid w:val="00494708"/>
    <w:rsid w:val="00494B60"/>
    <w:rsid w:val="00494BFE"/>
    <w:rsid w:val="00494EFC"/>
    <w:rsid w:val="0049506A"/>
    <w:rsid w:val="004951DE"/>
    <w:rsid w:val="00495217"/>
    <w:rsid w:val="004952EF"/>
    <w:rsid w:val="004953A1"/>
    <w:rsid w:val="0049555A"/>
    <w:rsid w:val="00495668"/>
    <w:rsid w:val="004956F6"/>
    <w:rsid w:val="00495A0A"/>
    <w:rsid w:val="00495B6F"/>
    <w:rsid w:val="00495DCE"/>
    <w:rsid w:val="00496001"/>
    <w:rsid w:val="004960B9"/>
    <w:rsid w:val="00496279"/>
    <w:rsid w:val="004962F4"/>
    <w:rsid w:val="0049658D"/>
    <w:rsid w:val="004966AE"/>
    <w:rsid w:val="004966E4"/>
    <w:rsid w:val="00496757"/>
    <w:rsid w:val="00496B8F"/>
    <w:rsid w:val="00496C79"/>
    <w:rsid w:val="00496CE9"/>
    <w:rsid w:val="004971C0"/>
    <w:rsid w:val="0049741B"/>
    <w:rsid w:val="0049767B"/>
    <w:rsid w:val="00497706"/>
    <w:rsid w:val="00497BD6"/>
    <w:rsid w:val="00497F13"/>
    <w:rsid w:val="00497F77"/>
    <w:rsid w:val="004A00FF"/>
    <w:rsid w:val="004A022C"/>
    <w:rsid w:val="004A038D"/>
    <w:rsid w:val="004A039F"/>
    <w:rsid w:val="004A067A"/>
    <w:rsid w:val="004A08DB"/>
    <w:rsid w:val="004A0D49"/>
    <w:rsid w:val="004A0E0B"/>
    <w:rsid w:val="004A0F2D"/>
    <w:rsid w:val="004A101E"/>
    <w:rsid w:val="004A11EB"/>
    <w:rsid w:val="004A11FB"/>
    <w:rsid w:val="004A120A"/>
    <w:rsid w:val="004A129C"/>
    <w:rsid w:val="004A12BA"/>
    <w:rsid w:val="004A146A"/>
    <w:rsid w:val="004A15B4"/>
    <w:rsid w:val="004A170D"/>
    <w:rsid w:val="004A18F2"/>
    <w:rsid w:val="004A19EB"/>
    <w:rsid w:val="004A20D7"/>
    <w:rsid w:val="004A2116"/>
    <w:rsid w:val="004A23FE"/>
    <w:rsid w:val="004A249D"/>
    <w:rsid w:val="004A25C8"/>
    <w:rsid w:val="004A2A50"/>
    <w:rsid w:val="004A2CF1"/>
    <w:rsid w:val="004A2D9E"/>
    <w:rsid w:val="004A2EF2"/>
    <w:rsid w:val="004A3004"/>
    <w:rsid w:val="004A30C1"/>
    <w:rsid w:val="004A3505"/>
    <w:rsid w:val="004A3595"/>
    <w:rsid w:val="004A35BF"/>
    <w:rsid w:val="004A3946"/>
    <w:rsid w:val="004A39D8"/>
    <w:rsid w:val="004A3AD5"/>
    <w:rsid w:val="004A3C32"/>
    <w:rsid w:val="004A3CD0"/>
    <w:rsid w:val="004A3CFD"/>
    <w:rsid w:val="004A3FE4"/>
    <w:rsid w:val="004A4172"/>
    <w:rsid w:val="004A4595"/>
    <w:rsid w:val="004A46A3"/>
    <w:rsid w:val="004A4742"/>
    <w:rsid w:val="004A49C6"/>
    <w:rsid w:val="004A49EB"/>
    <w:rsid w:val="004A4D10"/>
    <w:rsid w:val="004A5100"/>
    <w:rsid w:val="004A5242"/>
    <w:rsid w:val="004A53B2"/>
    <w:rsid w:val="004A550E"/>
    <w:rsid w:val="004A5830"/>
    <w:rsid w:val="004A5BFF"/>
    <w:rsid w:val="004A60EC"/>
    <w:rsid w:val="004A61EF"/>
    <w:rsid w:val="004A6339"/>
    <w:rsid w:val="004A6341"/>
    <w:rsid w:val="004A66CC"/>
    <w:rsid w:val="004A690F"/>
    <w:rsid w:val="004A6926"/>
    <w:rsid w:val="004A6A8A"/>
    <w:rsid w:val="004A6A8E"/>
    <w:rsid w:val="004A6F6C"/>
    <w:rsid w:val="004A72B5"/>
    <w:rsid w:val="004A72CD"/>
    <w:rsid w:val="004A72FB"/>
    <w:rsid w:val="004A7352"/>
    <w:rsid w:val="004A73DD"/>
    <w:rsid w:val="004A7534"/>
    <w:rsid w:val="004A7604"/>
    <w:rsid w:val="004A7815"/>
    <w:rsid w:val="004A78CE"/>
    <w:rsid w:val="004A7A41"/>
    <w:rsid w:val="004A7A55"/>
    <w:rsid w:val="004A7F6A"/>
    <w:rsid w:val="004A7FC7"/>
    <w:rsid w:val="004B029C"/>
    <w:rsid w:val="004B02E2"/>
    <w:rsid w:val="004B0572"/>
    <w:rsid w:val="004B059B"/>
    <w:rsid w:val="004B0684"/>
    <w:rsid w:val="004B0756"/>
    <w:rsid w:val="004B092D"/>
    <w:rsid w:val="004B096B"/>
    <w:rsid w:val="004B09F3"/>
    <w:rsid w:val="004B0DFC"/>
    <w:rsid w:val="004B143B"/>
    <w:rsid w:val="004B14FB"/>
    <w:rsid w:val="004B1620"/>
    <w:rsid w:val="004B16FB"/>
    <w:rsid w:val="004B17C5"/>
    <w:rsid w:val="004B1921"/>
    <w:rsid w:val="004B19C1"/>
    <w:rsid w:val="004B1FFA"/>
    <w:rsid w:val="004B2213"/>
    <w:rsid w:val="004B2228"/>
    <w:rsid w:val="004B22E8"/>
    <w:rsid w:val="004B2FD9"/>
    <w:rsid w:val="004B3017"/>
    <w:rsid w:val="004B3357"/>
    <w:rsid w:val="004B338E"/>
    <w:rsid w:val="004B34E9"/>
    <w:rsid w:val="004B3684"/>
    <w:rsid w:val="004B3AB7"/>
    <w:rsid w:val="004B3D0F"/>
    <w:rsid w:val="004B3F3A"/>
    <w:rsid w:val="004B421D"/>
    <w:rsid w:val="004B427E"/>
    <w:rsid w:val="004B4B22"/>
    <w:rsid w:val="004B4C97"/>
    <w:rsid w:val="004B4D0B"/>
    <w:rsid w:val="004B4D80"/>
    <w:rsid w:val="004B4DCA"/>
    <w:rsid w:val="004B54F2"/>
    <w:rsid w:val="004B55E9"/>
    <w:rsid w:val="004B565F"/>
    <w:rsid w:val="004B5906"/>
    <w:rsid w:val="004B5A82"/>
    <w:rsid w:val="004B5AF1"/>
    <w:rsid w:val="004B5B8A"/>
    <w:rsid w:val="004B5CB0"/>
    <w:rsid w:val="004B5FA2"/>
    <w:rsid w:val="004B6004"/>
    <w:rsid w:val="004B60A6"/>
    <w:rsid w:val="004B6249"/>
    <w:rsid w:val="004B630D"/>
    <w:rsid w:val="004B6783"/>
    <w:rsid w:val="004B6A22"/>
    <w:rsid w:val="004B709F"/>
    <w:rsid w:val="004B7374"/>
    <w:rsid w:val="004B73FF"/>
    <w:rsid w:val="004B76D8"/>
    <w:rsid w:val="004B7A74"/>
    <w:rsid w:val="004C0016"/>
    <w:rsid w:val="004C03C2"/>
    <w:rsid w:val="004C071B"/>
    <w:rsid w:val="004C08E3"/>
    <w:rsid w:val="004C095C"/>
    <w:rsid w:val="004C0A24"/>
    <w:rsid w:val="004C0AFD"/>
    <w:rsid w:val="004C0CE9"/>
    <w:rsid w:val="004C0F0D"/>
    <w:rsid w:val="004C1098"/>
    <w:rsid w:val="004C10BF"/>
    <w:rsid w:val="004C10E7"/>
    <w:rsid w:val="004C14AA"/>
    <w:rsid w:val="004C14C1"/>
    <w:rsid w:val="004C1658"/>
    <w:rsid w:val="004C16EB"/>
    <w:rsid w:val="004C1A3F"/>
    <w:rsid w:val="004C1ACC"/>
    <w:rsid w:val="004C1C11"/>
    <w:rsid w:val="004C1D66"/>
    <w:rsid w:val="004C1E3C"/>
    <w:rsid w:val="004C210E"/>
    <w:rsid w:val="004C21B4"/>
    <w:rsid w:val="004C2657"/>
    <w:rsid w:val="004C29D3"/>
    <w:rsid w:val="004C2A2C"/>
    <w:rsid w:val="004C2DE9"/>
    <w:rsid w:val="004C3011"/>
    <w:rsid w:val="004C3027"/>
    <w:rsid w:val="004C3158"/>
    <w:rsid w:val="004C3199"/>
    <w:rsid w:val="004C33D8"/>
    <w:rsid w:val="004C34CB"/>
    <w:rsid w:val="004C35F4"/>
    <w:rsid w:val="004C3889"/>
    <w:rsid w:val="004C3AD9"/>
    <w:rsid w:val="004C3F37"/>
    <w:rsid w:val="004C3FDD"/>
    <w:rsid w:val="004C4231"/>
    <w:rsid w:val="004C42E0"/>
    <w:rsid w:val="004C4743"/>
    <w:rsid w:val="004C4791"/>
    <w:rsid w:val="004C48E0"/>
    <w:rsid w:val="004C4F0A"/>
    <w:rsid w:val="004C51C1"/>
    <w:rsid w:val="004C52FF"/>
    <w:rsid w:val="004C535C"/>
    <w:rsid w:val="004C5595"/>
    <w:rsid w:val="004C56CB"/>
    <w:rsid w:val="004C57AD"/>
    <w:rsid w:val="004C5BE0"/>
    <w:rsid w:val="004C6004"/>
    <w:rsid w:val="004C61B2"/>
    <w:rsid w:val="004C6305"/>
    <w:rsid w:val="004C63A3"/>
    <w:rsid w:val="004C63F1"/>
    <w:rsid w:val="004C659F"/>
    <w:rsid w:val="004C6675"/>
    <w:rsid w:val="004C677D"/>
    <w:rsid w:val="004C6868"/>
    <w:rsid w:val="004C6B28"/>
    <w:rsid w:val="004C6C55"/>
    <w:rsid w:val="004C6D13"/>
    <w:rsid w:val="004C6D9F"/>
    <w:rsid w:val="004C6DA2"/>
    <w:rsid w:val="004C6EA6"/>
    <w:rsid w:val="004C6EEF"/>
    <w:rsid w:val="004C7326"/>
    <w:rsid w:val="004C73FB"/>
    <w:rsid w:val="004C7963"/>
    <w:rsid w:val="004C79C7"/>
    <w:rsid w:val="004C7A76"/>
    <w:rsid w:val="004C7D7A"/>
    <w:rsid w:val="004C7D89"/>
    <w:rsid w:val="004C7F88"/>
    <w:rsid w:val="004C7F9D"/>
    <w:rsid w:val="004C7FBF"/>
    <w:rsid w:val="004D00BA"/>
    <w:rsid w:val="004D030B"/>
    <w:rsid w:val="004D0570"/>
    <w:rsid w:val="004D0604"/>
    <w:rsid w:val="004D07C2"/>
    <w:rsid w:val="004D08C4"/>
    <w:rsid w:val="004D0980"/>
    <w:rsid w:val="004D0B84"/>
    <w:rsid w:val="004D0C25"/>
    <w:rsid w:val="004D0C96"/>
    <w:rsid w:val="004D0D61"/>
    <w:rsid w:val="004D0F62"/>
    <w:rsid w:val="004D11A7"/>
    <w:rsid w:val="004D159A"/>
    <w:rsid w:val="004D15AB"/>
    <w:rsid w:val="004D16FD"/>
    <w:rsid w:val="004D19D4"/>
    <w:rsid w:val="004D1B35"/>
    <w:rsid w:val="004D1CF6"/>
    <w:rsid w:val="004D1D76"/>
    <w:rsid w:val="004D1D97"/>
    <w:rsid w:val="004D2326"/>
    <w:rsid w:val="004D24E5"/>
    <w:rsid w:val="004D2778"/>
    <w:rsid w:val="004D289B"/>
    <w:rsid w:val="004D2ABA"/>
    <w:rsid w:val="004D2BFE"/>
    <w:rsid w:val="004D2C42"/>
    <w:rsid w:val="004D2F6A"/>
    <w:rsid w:val="004D317C"/>
    <w:rsid w:val="004D320A"/>
    <w:rsid w:val="004D349B"/>
    <w:rsid w:val="004D3500"/>
    <w:rsid w:val="004D36B1"/>
    <w:rsid w:val="004D37A0"/>
    <w:rsid w:val="004D381E"/>
    <w:rsid w:val="004D3A5C"/>
    <w:rsid w:val="004D3B92"/>
    <w:rsid w:val="004D3C1A"/>
    <w:rsid w:val="004D3F72"/>
    <w:rsid w:val="004D40C4"/>
    <w:rsid w:val="004D4371"/>
    <w:rsid w:val="004D46AA"/>
    <w:rsid w:val="004D4807"/>
    <w:rsid w:val="004D4D2D"/>
    <w:rsid w:val="004D4FBF"/>
    <w:rsid w:val="004D5069"/>
    <w:rsid w:val="004D5175"/>
    <w:rsid w:val="004D51B3"/>
    <w:rsid w:val="004D521F"/>
    <w:rsid w:val="004D5338"/>
    <w:rsid w:val="004D5403"/>
    <w:rsid w:val="004D5583"/>
    <w:rsid w:val="004D55F0"/>
    <w:rsid w:val="004D5FA9"/>
    <w:rsid w:val="004D608E"/>
    <w:rsid w:val="004D616E"/>
    <w:rsid w:val="004D6980"/>
    <w:rsid w:val="004D6AF4"/>
    <w:rsid w:val="004D6CD4"/>
    <w:rsid w:val="004D6FCF"/>
    <w:rsid w:val="004D70F1"/>
    <w:rsid w:val="004D70F3"/>
    <w:rsid w:val="004D7194"/>
    <w:rsid w:val="004D7321"/>
    <w:rsid w:val="004D7666"/>
    <w:rsid w:val="004D76DA"/>
    <w:rsid w:val="004D772B"/>
    <w:rsid w:val="004D7991"/>
    <w:rsid w:val="004D7A2E"/>
    <w:rsid w:val="004D7B18"/>
    <w:rsid w:val="004D7E4D"/>
    <w:rsid w:val="004D7F84"/>
    <w:rsid w:val="004E007D"/>
    <w:rsid w:val="004E0143"/>
    <w:rsid w:val="004E0257"/>
    <w:rsid w:val="004E0315"/>
    <w:rsid w:val="004E0380"/>
    <w:rsid w:val="004E03A5"/>
    <w:rsid w:val="004E0400"/>
    <w:rsid w:val="004E0464"/>
    <w:rsid w:val="004E0494"/>
    <w:rsid w:val="004E0B0D"/>
    <w:rsid w:val="004E1599"/>
    <w:rsid w:val="004E1719"/>
    <w:rsid w:val="004E1861"/>
    <w:rsid w:val="004E1BF8"/>
    <w:rsid w:val="004E1E0D"/>
    <w:rsid w:val="004E1F1E"/>
    <w:rsid w:val="004E1FE7"/>
    <w:rsid w:val="004E2561"/>
    <w:rsid w:val="004E2572"/>
    <w:rsid w:val="004E27B7"/>
    <w:rsid w:val="004E29EC"/>
    <w:rsid w:val="004E2B41"/>
    <w:rsid w:val="004E2D62"/>
    <w:rsid w:val="004E2DF2"/>
    <w:rsid w:val="004E3019"/>
    <w:rsid w:val="004E30A6"/>
    <w:rsid w:val="004E30C3"/>
    <w:rsid w:val="004E30CA"/>
    <w:rsid w:val="004E30F7"/>
    <w:rsid w:val="004E3192"/>
    <w:rsid w:val="004E3196"/>
    <w:rsid w:val="004E3278"/>
    <w:rsid w:val="004E3325"/>
    <w:rsid w:val="004E3390"/>
    <w:rsid w:val="004E3660"/>
    <w:rsid w:val="004E3A61"/>
    <w:rsid w:val="004E3D21"/>
    <w:rsid w:val="004E3ECE"/>
    <w:rsid w:val="004E4124"/>
    <w:rsid w:val="004E419F"/>
    <w:rsid w:val="004E41B0"/>
    <w:rsid w:val="004E432E"/>
    <w:rsid w:val="004E44BE"/>
    <w:rsid w:val="004E4633"/>
    <w:rsid w:val="004E46A4"/>
    <w:rsid w:val="004E493D"/>
    <w:rsid w:val="004E4993"/>
    <w:rsid w:val="004E49A8"/>
    <w:rsid w:val="004E4B53"/>
    <w:rsid w:val="004E4BC6"/>
    <w:rsid w:val="004E4C72"/>
    <w:rsid w:val="004E4E82"/>
    <w:rsid w:val="004E5030"/>
    <w:rsid w:val="004E50FC"/>
    <w:rsid w:val="004E51AD"/>
    <w:rsid w:val="004E5680"/>
    <w:rsid w:val="004E59BA"/>
    <w:rsid w:val="004E59F3"/>
    <w:rsid w:val="004E5A8A"/>
    <w:rsid w:val="004E5B66"/>
    <w:rsid w:val="004E5D0E"/>
    <w:rsid w:val="004E5D88"/>
    <w:rsid w:val="004E6180"/>
    <w:rsid w:val="004E62F1"/>
    <w:rsid w:val="004E63E3"/>
    <w:rsid w:val="004E63F7"/>
    <w:rsid w:val="004E6D01"/>
    <w:rsid w:val="004E6F80"/>
    <w:rsid w:val="004E7751"/>
    <w:rsid w:val="004E796D"/>
    <w:rsid w:val="004E79ED"/>
    <w:rsid w:val="004E7A3A"/>
    <w:rsid w:val="004E7A69"/>
    <w:rsid w:val="004E7B23"/>
    <w:rsid w:val="004E7C34"/>
    <w:rsid w:val="004E7CBA"/>
    <w:rsid w:val="004E7F28"/>
    <w:rsid w:val="004F0172"/>
    <w:rsid w:val="004F03BE"/>
    <w:rsid w:val="004F0527"/>
    <w:rsid w:val="004F08C6"/>
    <w:rsid w:val="004F0B28"/>
    <w:rsid w:val="004F0C26"/>
    <w:rsid w:val="004F0C76"/>
    <w:rsid w:val="004F1159"/>
    <w:rsid w:val="004F1186"/>
    <w:rsid w:val="004F1614"/>
    <w:rsid w:val="004F1956"/>
    <w:rsid w:val="004F1CD2"/>
    <w:rsid w:val="004F1D00"/>
    <w:rsid w:val="004F1D39"/>
    <w:rsid w:val="004F1F59"/>
    <w:rsid w:val="004F2183"/>
    <w:rsid w:val="004F2208"/>
    <w:rsid w:val="004F221B"/>
    <w:rsid w:val="004F2248"/>
    <w:rsid w:val="004F25D6"/>
    <w:rsid w:val="004F263A"/>
    <w:rsid w:val="004F263E"/>
    <w:rsid w:val="004F268F"/>
    <w:rsid w:val="004F2755"/>
    <w:rsid w:val="004F2786"/>
    <w:rsid w:val="004F27E3"/>
    <w:rsid w:val="004F2B00"/>
    <w:rsid w:val="004F2FAC"/>
    <w:rsid w:val="004F3006"/>
    <w:rsid w:val="004F316A"/>
    <w:rsid w:val="004F3210"/>
    <w:rsid w:val="004F33CF"/>
    <w:rsid w:val="004F34DB"/>
    <w:rsid w:val="004F368B"/>
    <w:rsid w:val="004F36BF"/>
    <w:rsid w:val="004F37A7"/>
    <w:rsid w:val="004F3FA5"/>
    <w:rsid w:val="004F4312"/>
    <w:rsid w:val="004F46A4"/>
    <w:rsid w:val="004F46D7"/>
    <w:rsid w:val="004F474E"/>
    <w:rsid w:val="004F479E"/>
    <w:rsid w:val="004F4885"/>
    <w:rsid w:val="004F4B2B"/>
    <w:rsid w:val="004F4C90"/>
    <w:rsid w:val="004F4DBA"/>
    <w:rsid w:val="004F4EE6"/>
    <w:rsid w:val="004F5109"/>
    <w:rsid w:val="004F5289"/>
    <w:rsid w:val="004F5C89"/>
    <w:rsid w:val="004F6430"/>
    <w:rsid w:val="004F6446"/>
    <w:rsid w:val="004F657D"/>
    <w:rsid w:val="004F66C9"/>
    <w:rsid w:val="004F6915"/>
    <w:rsid w:val="004F6A96"/>
    <w:rsid w:val="004F6CF3"/>
    <w:rsid w:val="004F6DAD"/>
    <w:rsid w:val="004F7240"/>
    <w:rsid w:val="004F72B2"/>
    <w:rsid w:val="004F74FE"/>
    <w:rsid w:val="004F7581"/>
    <w:rsid w:val="004F7982"/>
    <w:rsid w:val="004F7F50"/>
    <w:rsid w:val="00500084"/>
    <w:rsid w:val="00500333"/>
    <w:rsid w:val="00500344"/>
    <w:rsid w:val="00500644"/>
    <w:rsid w:val="0050079C"/>
    <w:rsid w:val="005007D6"/>
    <w:rsid w:val="00500AD1"/>
    <w:rsid w:val="00500C3E"/>
    <w:rsid w:val="00500F3D"/>
    <w:rsid w:val="00500FE6"/>
    <w:rsid w:val="005016D1"/>
    <w:rsid w:val="005016E0"/>
    <w:rsid w:val="00501AE4"/>
    <w:rsid w:val="00501BB2"/>
    <w:rsid w:val="00501C16"/>
    <w:rsid w:val="00501D21"/>
    <w:rsid w:val="00501FC3"/>
    <w:rsid w:val="00502073"/>
    <w:rsid w:val="005020B9"/>
    <w:rsid w:val="005023C4"/>
    <w:rsid w:val="0050245E"/>
    <w:rsid w:val="005024DA"/>
    <w:rsid w:val="005025EA"/>
    <w:rsid w:val="0050281A"/>
    <w:rsid w:val="005029A4"/>
    <w:rsid w:val="00502C8B"/>
    <w:rsid w:val="00502D1F"/>
    <w:rsid w:val="00502D7C"/>
    <w:rsid w:val="00502D80"/>
    <w:rsid w:val="00502E21"/>
    <w:rsid w:val="00502E74"/>
    <w:rsid w:val="00502ED6"/>
    <w:rsid w:val="00502F7D"/>
    <w:rsid w:val="00503188"/>
    <w:rsid w:val="00503193"/>
    <w:rsid w:val="0050323E"/>
    <w:rsid w:val="0050327B"/>
    <w:rsid w:val="005033A0"/>
    <w:rsid w:val="0050343B"/>
    <w:rsid w:val="0050362F"/>
    <w:rsid w:val="00503857"/>
    <w:rsid w:val="005039AC"/>
    <w:rsid w:val="00503FEF"/>
    <w:rsid w:val="00504051"/>
    <w:rsid w:val="0050405B"/>
    <w:rsid w:val="005040C2"/>
    <w:rsid w:val="0050424D"/>
    <w:rsid w:val="0050425B"/>
    <w:rsid w:val="005042C6"/>
    <w:rsid w:val="00504321"/>
    <w:rsid w:val="00504430"/>
    <w:rsid w:val="005045A8"/>
    <w:rsid w:val="0050467B"/>
    <w:rsid w:val="005049FF"/>
    <w:rsid w:val="00504ABD"/>
    <w:rsid w:val="00504F6B"/>
    <w:rsid w:val="0050552E"/>
    <w:rsid w:val="005057A3"/>
    <w:rsid w:val="0050598B"/>
    <w:rsid w:val="00505CA1"/>
    <w:rsid w:val="00505D4F"/>
    <w:rsid w:val="00505EAC"/>
    <w:rsid w:val="00505EF4"/>
    <w:rsid w:val="00505FAA"/>
    <w:rsid w:val="005063BD"/>
    <w:rsid w:val="005064EC"/>
    <w:rsid w:val="00506647"/>
    <w:rsid w:val="0050667F"/>
    <w:rsid w:val="005068A9"/>
    <w:rsid w:val="005069B2"/>
    <w:rsid w:val="00506B50"/>
    <w:rsid w:val="00506C86"/>
    <w:rsid w:val="00506D09"/>
    <w:rsid w:val="00506D7E"/>
    <w:rsid w:val="00506E96"/>
    <w:rsid w:val="00506F1B"/>
    <w:rsid w:val="00506FEA"/>
    <w:rsid w:val="00507074"/>
    <w:rsid w:val="0050718D"/>
    <w:rsid w:val="00507514"/>
    <w:rsid w:val="0050762B"/>
    <w:rsid w:val="00507876"/>
    <w:rsid w:val="0050799A"/>
    <w:rsid w:val="00507C08"/>
    <w:rsid w:val="00507D8D"/>
    <w:rsid w:val="00507E02"/>
    <w:rsid w:val="00507FD4"/>
    <w:rsid w:val="0051021C"/>
    <w:rsid w:val="0051026B"/>
    <w:rsid w:val="0051027B"/>
    <w:rsid w:val="0051056E"/>
    <w:rsid w:val="0051063D"/>
    <w:rsid w:val="005106B5"/>
    <w:rsid w:val="0051072F"/>
    <w:rsid w:val="005109F0"/>
    <w:rsid w:val="00510FC2"/>
    <w:rsid w:val="0051124C"/>
    <w:rsid w:val="0051144A"/>
    <w:rsid w:val="00511752"/>
    <w:rsid w:val="00511886"/>
    <w:rsid w:val="0051191B"/>
    <w:rsid w:val="00511AB3"/>
    <w:rsid w:val="00511CFF"/>
    <w:rsid w:val="00511D20"/>
    <w:rsid w:val="005120C8"/>
    <w:rsid w:val="0051216A"/>
    <w:rsid w:val="00512216"/>
    <w:rsid w:val="00512242"/>
    <w:rsid w:val="0051232C"/>
    <w:rsid w:val="00512A48"/>
    <w:rsid w:val="00512B60"/>
    <w:rsid w:val="00512EDB"/>
    <w:rsid w:val="00513006"/>
    <w:rsid w:val="005130CB"/>
    <w:rsid w:val="005131E9"/>
    <w:rsid w:val="005132B9"/>
    <w:rsid w:val="005133CC"/>
    <w:rsid w:val="005134F0"/>
    <w:rsid w:val="0051363F"/>
    <w:rsid w:val="005136BD"/>
    <w:rsid w:val="0051375B"/>
    <w:rsid w:val="00513990"/>
    <w:rsid w:val="00513A1E"/>
    <w:rsid w:val="00513F94"/>
    <w:rsid w:val="00513FC8"/>
    <w:rsid w:val="00514178"/>
    <w:rsid w:val="00514331"/>
    <w:rsid w:val="00514464"/>
    <w:rsid w:val="005144CC"/>
    <w:rsid w:val="00514696"/>
    <w:rsid w:val="0051475E"/>
    <w:rsid w:val="005147C7"/>
    <w:rsid w:val="00514B33"/>
    <w:rsid w:val="00514E37"/>
    <w:rsid w:val="00514E5E"/>
    <w:rsid w:val="00515093"/>
    <w:rsid w:val="0051517C"/>
    <w:rsid w:val="0051530B"/>
    <w:rsid w:val="00515530"/>
    <w:rsid w:val="0051561F"/>
    <w:rsid w:val="00515644"/>
    <w:rsid w:val="0051569D"/>
    <w:rsid w:val="005156B2"/>
    <w:rsid w:val="005157EA"/>
    <w:rsid w:val="00515AB4"/>
    <w:rsid w:val="00515EEE"/>
    <w:rsid w:val="005160C4"/>
    <w:rsid w:val="005160F7"/>
    <w:rsid w:val="00516392"/>
    <w:rsid w:val="005163AA"/>
    <w:rsid w:val="005164B6"/>
    <w:rsid w:val="00516BE8"/>
    <w:rsid w:val="00516BF1"/>
    <w:rsid w:val="00516DC5"/>
    <w:rsid w:val="00516DEC"/>
    <w:rsid w:val="00516E02"/>
    <w:rsid w:val="00517037"/>
    <w:rsid w:val="005171D9"/>
    <w:rsid w:val="00517443"/>
    <w:rsid w:val="00517640"/>
    <w:rsid w:val="00517753"/>
    <w:rsid w:val="0051784E"/>
    <w:rsid w:val="0051785B"/>
    <w:rsid w:val="00517A6D"/>
    <w:rsid w:val="00517CE8"/>
    <w:rsid w:val="00517D5C"/>
    <w:rsid w:val="00517E77"/>
    <w:rsid w:val="005200B4"/>
    <w:rsid w:val="005203F7"/>
    <w:rsid w:val="00520677"/>
    <w:rsid w:val="005206C4"/>
    <w:rsid w:val="005206E4"/>
    <w:rsid w:val="00520B8B"/>
    <w:rsid w:val="00520FAD"/>
    <w:rsid w:val="005211E4"/>
    <w:rsid w:val="005213DF"/>
    <w:rsid w:val="0052151C"/>
    <w:rsid w:val="00521668"/>
    <w:rsid w:val="005216C2"/>
    <w:rsid w:val="005218DC"/>
    <w:rsid w:val="0052193E"/>
    <w:rsid w:val="00522320"/>
    <w:rsid w:val="00522592"/>
    <w:rsid w:val="005228D0"/>
    <w:rsid w:val="00522998"/>
    <w:rsid w:val="0052299D"/>
    <w:rsid w:val="00522E55"/>
    <w:rsid w:val="00522EF9"/>
    <w:rsid w:val="00522F51"/>
    <w:rsid w:val="00523290"/>
    <w:rsid w:val="005232CB"/>
    <w:rsid w:val="005235D2"/>
    <w:rsid w:val="0052376B"/>
    <w:rsid w:val="005237FF"/>
    <w:rsid w:val="00523A73"/>
    <w:rsid w:val="00523CA9"/>
    <w:rsid w:val="00523E82"/>
    <w:rsid w:val="00524137"/>
    <w:rsid w:val="00524291"/>
    <w:rsid w:val="005242E8"/>
    <w:rsid w:val="00524497"/>
    <w:rsid w:val="005244AD"/>
    <w:rsid w:val="00524584"/>
    <w:rsid w:val="0052465F"/>
    <w:rsid w:val="00524666"/>
    <w:rsid w:val="00524743"/>
    <w:rsid w:val="00524A1A"/>
    <w:rsid w:val="00524A22"/>
    <w:rsid w:val="00524C79"/>
    <w:rsid w:val="0052545B"/>
    <w:rsid w:val="00525475"/>
    <w:rsid w:val="0052566D"/>
    <w:rsid w:val="0052588A"/>
    <w:rsid w:val="005259C0"/>
    <w:rsid w:val="00525B9F"/>
    <w:rsid w:val="00525BD2"/>
    <w:rsid w:val="00525DF8"/>
    <w:rsid w:val="00525FC2"/>
    <w:rsid w:val="00525FD0"/>
    <w:rsid w:val="00526136"/>
    <w:rsid w:val="00526195"/>
    <w:rsid w:val="00526207"/>
    <w:rsid w:val="00526709"/>
    <w:rsid w:val="0052688D"/>
    <w:rsid w:val="00526B51"/>
    <w:rsid w:val="00526B9A"/>
    <w:rsid w:val="00527108"/>
    <w:rsid w:val="005271CF"/>
    <w:rsid w:val="0052737A"/>
    <w:rsid w:val="005273D9"/>
    <w:rsid w:val="00527554"/>
    <w:rsid w:val="00527584"/>
    <w:rsid w:val="00527595"/>
    <w:rsid w:val="0052775A"/>
    <w:rsid w:val="00527830"/>
    <w:rsid w:val="00527B8E"/>
    <w:rsid w:val="00527C42"/>
    <w:rsid w:val="00527FA1"/>
    <w:rsid w:val="0053026E"/>
    <w:rsid w:val="00530486"/>
    <w:rsid w:val="00530524"/>
    <w:rsid w:val="00530AF5"/>
    <w:rsid w:val="00530D7D"/>
    <w:rsid w:val="00530E81"/>
    <w:rsid w:val="0053103D"/>
    <w:rsid w:val="00531059"/>
    <w:rsid w:val="00531351"/>
    <w:rsid w:val="00531358"/>
    <w:rsid w:val="005313AE"/>
    <w:rsid w:val="005313EA"/>
    <w:rsid w:val="00531540"/>
    <w:rsid w:val="00531549"/>
    <w:rsid w:val="005316CE"/>
    <w:rsid w:val="00531D87"/>
    <w:rsid w:val="00531E7A"/>
    <w:rsid w:val="0053213A"/>
    <w:rsid w:val="00532228"/>
    <w:rsid w:val="00532651"/>
    <w:rsid w:val="00532723"/>
    <w:rsid w:val="0053275E"/>
    <w:rsid w:val="00532764"/>
    <w:rsid w:val="0053280C"/>
    <w:rsid w:val="00532960"/>
    <w:rsid w:val="005329DE"/>
    <w:rsid w:val="00532C19"/>
    <w:rsid w:val="00532DB8"/>
    <w:rsid w:val="00532E52"/>
    <w:rsid w:val="00533119"/>
    <w:rsid w:val="0053322F"/>
    <w:rsid w:val="005332DA"/>
    <w:rsid w:val="0053345F"/>
    <w:rsid w:val="0053383B"/>
    <w:rsid w:val="0053391A"/>
    <w:rsid w:val="0053392C"/>
    <w:rsid w:val="00533AD5"/>
    <w:rsid w:val="00533C08"/>
    <w:rsid w:val="00533F0A"/>
    <w:rsid w:val="005342AF"/>
    <w:rsid w:val="00534339"/>
    <w:rsid w:val="0053439D"/>
    <w:rsid w:val="0053443B"/>
    <w:rsid w:val="00534665"/>
    <w:rsid w:val="00534783"/>
    <w:rsid w:val="00534D4A"/>
    <w:rsid w:val="00534DE6"/>
    <w:rsid w:val="00534E7D"/>
    <w:rsid w:val="00534F46"/>
    <w:rsid w:val="00534F64"/>
    <w:rsid w:val="00535022"/>
    <w:rsid w:val="00535196"/>
    <w:rsid w:val="00535509"/>
    <w:rsid w:val="00535547"/>
    <w:rsid w:val="0053565C"/>
    <w:rsid w:val="0053567D"/>
    <w:rsid w:val="00535965"/>
    <w:rsid w:val="00535A25"/>
    <w:rsid w:val="00535A2A"/>
    <w:rsid w:val="00535A5D"/>
    <w:rsid w:val="00535D08"/>
    <w:rsid w:val="00535F59"/>
    <w:rsid w:val="00536140"/>
    <w:rsid w:val="00536350"/>
    <w:rsid w:val="0053691A"/>
    <w:rsid w:val="00536A08"/>
    <w:rsid w:val="00536C0E"/>
    <w:rsid w:val="00536CAB"/>
    <w:rsid w:val="00536D02"/>
    <w:rsid w:val="00536D1D"/>
    <w:rsid w:val="00536EC8"/>
    <w:rsid w:val="00537017"/>
    <w:rsid w:val="005371FA"/>
    <w:rsid w:val="0053736A"/>
    <w:rsid w:val="0053775D"/>
    <w:rsid w:val="005379C3"/>
    <w:rsid w:val="00537C89"/>
    <w:rsid w:val="00537D33"/>
    <w:rsid w:val="00537D96"/>
    <w:rsid w:val="00540246"/>
    <w:rsid w:val="005402EA"/>
    <w:rsid w:val="0054062E"/>
    <w:rsid w:val="00540B85"/>
    <w:rsid w:val="00540C05"/>
    <w:rsid w:val="00540E1A"/>
    <w:rsid w:val="00540E33"/>
    <w:rsid w:val="005411EB"/>
    <w:rsid w:val="0054143A"/>
    <w:rsid w:val="00541468"/>
    <w:rsid w:val="005415E7"/>
    <w:rsid w:val="005417B0"/>
    <w:rsid w:val="00541947"/>
    <w:rsid w:val="00541B4C"/>
    <w:rsid w:val="00541BF7"/>
    <w:rsid w:val="00541CF6"/>
    <w:rsid w:val="00541F54"/>
    <w:rsid w:val="00541F8D"/>
    <w:rsid w:val="005420FA"/>
    <w:rsid w:val="00542574"/>
    <w:rsid w:val="005425E3"/>
    <w:rsid w:val="0054283F"/>
    <w:rsid w:val="00542A60"/>
    <w:rsid w:val="00542B13"/>
    <w:rsid w:val="00542EDC"/>
    <w:rsid w:val="00542FE8"/>
    <w:rsid w:val="00543050"/>
    <w:rsid w:val="00543120"/>
    <w:rsid w:val="005432C9"/>
    <w:rsid w:val="005433CC"/>
    <w:rsid w:val="0054350C"/>
    <w:rsid w:val="0054377B"/>
    <w:rsid w:val="005437FB"/>
    <w:rsid w:val="00543A74"/>
    <w:rsid w:val="00543FDF"/>
    <w:rsid w:val="00543FED"/>
    <w:rsid w:val="00544360"/>
    <w:rsid w:val="005443B1"/>
    <w:rsid w:val="005446CB"/>
    <w:rsid w:val="0054495E"/>
    <w:rsid w:val="00544C33"/>
    <w:rsid w:val="00544C45"/>
    <w:rsid w:val="00544DCB"/>
    <w:rsid w:val="00544ED8"/>
    <w:rsid w:val="00545009"/>
    <w:rsid w:val="00545029"/>
    <w:rsid w:val="0054519B"/>
    <w:rsid w:val="005452A3"/>
    <w:rsid w:val="005454A8"/>
    <w:rsid w:val="0054559C"/>
    <w:rsid w:val="00545D98"/>
    <w:rsid w:val="00545DF7"/>
    <w:rsid w:val="00545ED3"/>
    <w:rsid w:val="00545ED5"/>
    <w:rsid w:val="00546097"/>
    <w:rsid w:val="00546156"/>
    <w:rsid w:val="00546160"/>
    <w:rsid w:val="00546178"/>
    <w:rsid w:val="00546209"/>
    <w:rsid w:val="005464B7"/>
    <w:rsid w:val="005465AA"/>
    <w:rsid w:val="00546878"/>
    <w:rsid w:val="005468AF"/>
    <w:rsid w:val="005468E9"/>
    <w:rsid w:val="00546D2A"/>
    <w:rsid w:val="00546FCA"/>
    <w:rsid w:val="0054701D"/>
    <w:rsid w:val="0054769F"/>
    <w:rsid w:val="005476B4"/>
    <w:rsid w:val="00547832"/>
    <w:rsid w:val="00547834"/>
    <w:rsid w:val="005478F5"/>
    <w:rsid w:val="00550018"/>
    <w:rsid w:val="00550063"/>
    <w:rsid w:val="00550237"/>
    <w:rsid w:val="00550238"/>
    <w:rsid w:val="00550408"/>
    <w:rsid w:val="005504FB"/>
    <w:rsid w:val="005508E0"/>
    <w:rsid w:val="00550901"/>
    <w:rsid w:val="005509E9"/>
    <w:rsid w:val="00550BC5"/>
    <w:rsid w:val="00550E40"/>
    <w:rsid w:val="00551C1F"/>
    <w:rsid w:val="00551D2B"/>
    <w:rsid w:val="00551F23"/>
    <w:rsid w:val="00551FE6"/>
    <w:rsid w:val="00552026"/>
    <w:rsid w:val="005520D2"/>
    <w:rsid w:val="00552265"/>
    <w:rsid w:val="00552459"/>
    <w:rsid w:val="005525C0"/>
    <w:rsid w:val="005528A1"/>
    <w:rsid w:val="0055293A"/>
    <w:rsid w:val="00552AB0"/>
    <w:rsid w:val="00552B83"/>
    <w:rsid w:val="00552D73"/>
    <w:rsid w:val="00552F7F"/>
    <w:rsid w:val="00552F84"/>
    <w:rsid w:val="00553156"/>
    <w:rsid w:val="005533A0"/>
    <w:rsid w:val="00553514"/>
    <w:rsid w:val="00553636"/>
    <w:rsid w:val="00553B52"/>
    <w:rsid w:val="00553C83"/>
    <w:rsid w:val="00553CF7"/>
    <w:rsid w:val="00553ED6"/>
    <w:rsid w:val="00553FA1"/>
    <w:rsid w:val="00554113"/>
    <w:rsid w:val="0055419A"/>
    <w:rsid w:val="0055447E"/>
    <w:rsid w:val="0055448F"/>
    <w:rsid w:val="0055455D"/>
    <w:rsid w:val="005545BA"/>
    <w:rsid w:val="005545D9"/>
    <w:rsid w:val="00554707"/>
    <w:rsid w:val="0055478A"/>
    <w:rsid w:val="00554A22"/>
    <w:rsid w:val="00554C85"/>
    <w:rsid w:val="00554E9E"/>
    <w:rsid w:val="005551F7"/>
    <w:rsid w:val="00555696"/>
    <w:rsid w:val="005556E4"/>
    <w:rsid w:val="00555D7F"/>
    <w:rsid w:val="00555F56"/>
    <w:rsid w:val="00556089"/>
    <w:rsid w:val="00556507"/>
    <w:rsid w:val="005566B9"/>
    <w:rsid w:val="0055683A"/>
    <w:rsid w:val="00556C30"/>
    <w:rsid w:val="00556D2E"/>
    <w:rsid w:val="00556F25"/>
    <w:rsid w:val="00557069"/>
    <w:rsid w:val="005570A9"/>
    <w:rsid w:val="0055726B"/>
    <w:rsid w:val="0055750F"/>
    <w:rsid w:val="0055796B"/>
    <w:rsid w:val="005579D8"/>
    <w:rsid w:val="00557A7E"/>
    <w:rsid w:val="00557C0B"/>
    <w:rsid w:val="00557D5E"/>
    <w:rsid w:val="00557E52"/>
    <w:rsid w:val="00557FBF"/>
    <w:rsid w:val="00560358"/>
    <w:rsid w:val="005603FB"/>
    <w:rsid w:val="005604C0"/>
    <w:rsid w:val="005606F7"/>
    <w:rsid w:val="0056090C"/>
    <w:rsid w:val="00560B2F"/>
    <w:rsid w:val="00560EC2"/>
    <w:rsid w:val="00561160"/>
    <w:rsid w:val="0056122D"/>
    <w:rsid w:val="0056135E"/>
    <w:rsid w:val="0056155D"/>
    <w:rsid w:val="0056166F"/>
    <w:rsid w:val="005619FD"/>
    <w:rsid w:val="00561A6C"/>
    <w:rsid w:val="00562033"/>
    <w:rsid w:val="005622B8"/>
    <w:rsid w:val="00562410"/>
    <w:rsid w:val="00562426"/>
    <w:rsid w:val="005624EE"/>
    <w:rsid w:val="0056261F"/>
    <w:rsid w:val="0056279F"/>
    <w:rsid w:val="00562B5F"/>
    <w:rsid w:val="00562F98"/>
    <w:rsid w:val="0056302C"/>
    <w:rsid w:val="00563131"/>
    <w:rsid w:val="005631DA"/>
    <w:rsid w:val="005632B9"/>
    <w:rsid w:val="0056335A"/>
    <w:rsid w:val="005633C0"/>
    <w:rsid w:val="00563590"/>
    <w:rsid w:val="005635C4"/>
    <w:rsid w:val="0056361F"/>
    <w:rsid w:val="005636E4"/>
    <w:rsid w:val="00563C79"/>
    <w:rsid w:val="00563CDC"/>
    <w:rsid w:val="00563DCF"/>
    <w:rsid w:val="00563FAA"/>
    <w:rsid w:val="005640E2"/>
    <w:rsid w:val="005642DD"/>
    <w:rsid w:val="005643D5"/>
    <w:rsid w:val="00564594"/>
    <w:rsid w:val="005646B5"/>
    <w:rsid w:val="00564AC8"/>
    <w:rsid w:val="00564BFB"/>
    <w:rsid w:val="00564CFE"/>
    <w:rsid w:val="00564E6D"/>
    <w:rsid w:val="00565230"/>
    <w:rsid w:val="0056526C"/>
    <w:rsid w:val="00565317"/>
    <w:rsid w:val="00565588"/>
    <w:rsid w:val="00565737"/>
    <w:rsid w:val="00565810"/>
    <w:rsid w:val="00565891"/>
    <w:rsid w:val="005658DC"/>
    <w:rsid w:val="00565ABD"/>
    <w:rsid w:val="00565ACE"/>
    <w:rsid w:val="00565C7F"/>
    <w:rsid w:val="00565D67"/>
    <w:rsid w:val="00566040"/>
    <w:rsid w:val="00566164"/>
    <w:rsid w:val="0056637A"/>
    <w:rsid w:val="005667FB"/>
    <w:rsid w:val="00566A98"/>
    <w:rsid w:val="00566AAE"/>
    <w:rsid w:val="00566BC7"/>
    <w:rsid w:val="00566E09"/>
    <w:rsid w:val="00567260"/>
    <w:rsid w:val="005673AB"/>
    <w:rsid w:val="005675B3"/>
    <w:rsid w:val="0056774E"/>
    <w:rsid w:val="00567B48"/>
    <w:rsid w:val="00567C33"/>
    <w:rsid w:val="00567E6B"/>
    <w:rsid w:val="00567EA7"/>
    <w:rsid w:val="005701A8"/>
    <w:rsid w:val="005703A0"/>
    <w:rsid w:val="005705F7"/>
    <w:rsid w:val="00570705"/>
    <w:rsid w:val="005708B7"/>
    <w:rsid w:val="00570911"/>
    <w:rsid w:val="00570A70"/>
    <w:rsid w:val="00570AF3"/>
    <w:rsid w:val="00570CC5"/>
    <w:rsid w:val="00571047"/>
    <w:rsid w:val="005712BA"/>
    <w:rsid w:val="005712F1"/>
    <w:rsid w:val="00571403"/>
    <w:rsid w:val="0057148B"/>
    <w:rsid w:val="00571640"/>
    <w:rsid w:val="0057176E"/>
    <w:rsid w:val="0057182D"/>
    <w:rsid w:val="00571B4E"/>
    <w:rsid w:val="00571CA0"/>
    <w:rsid w:val="00572044"/>
    <w:rsid w:val="00572309"/>
    <w:rsid w:val="0057235C"/>
    <w:rsid w:val="005724E4"/>
    <w:rsid w:val="00572550"/>
    <w:rsid w:val="005726AD"/>
    <w:rsid w:val="00572762"/>
    <w:rsid w:val="00572C06"/>
    <w:rsid w:val="00572DFB"/>
    <w:rsid w:val="00572F33"/>
    <w:rsid w:val="00573046"/>
    <w:rsid w:val="005731DA"/>
    <w:rsid w:val="0057348A"/>
    <w:rsid w:val="00573869"/>
    <w:rsid w:val="0057391E"/>
    <w:rsid w:val="00573926"/>
    <w:rsid w:val="00573E51"/>
    <w:rsid w:val="00573EC7"/>
    <w:rsid w:val="00573F84"/>
    <w:rsid w:val="005746D4"/>
    <w:rsid w:val="00574755"/>
    <w:rsid w:val="005747A3"/>
    <w:rsid w:val="005747E9"/>
    <w:rsid w:val="00574AA3"/>
    <w:rsid w:val="00574C15"/>
    <w:rsid w:val="00574D7C"/>
    <w:rsid w:val="0057523A"/>
    <w:rsid w:val="00575718"/>
    <w:rsid w:val="0057586A"/>
    <w:rsid w:val="00575BC3"/>
    <w:rsid w:val="00575DC8"/>
    <w:rsid w:val="005761D9"/>
    <w:rsid w:val="00576890"/>
    <w:rsid w:val="0057699D"/>
    <w:rsid w:val="00576AA5"/>
    <w:rsid w:val="005771AA"/>
    <w:rsid w:val="005772FB"/>
    <w:rsid w:val="0057767F"/>
    <w:rsid w:val="0057786A"/>
    <w:rsid w:val="005778FC"/>
    <w:rsid w:val="00577955"/>
    <w:rsid w:val="00577D20"/>
    <w:rsid w:val="00580250"/>
    <w:rsid w:val="005807AB"/>
    <w:rsid w:val="005807EE"/>
    <w:rsid w:val="005809B9"/>
    <w:rsid w:val="00580ADA"/>
    <w:rsid w:val="00580B69"/>
    <w:rsid w:val="00580E98"/>
    <w:rsid w:val="00580F34"/>
    <w:rsid w:val="005811B8"/>
    <w:rsid w:val="005816B9"/>
    <w:rsid w:val="00581C1B"/>
    <w:rsid w:val="00581CA3"/>
    <w:rsid w:val="00581D60"/>
    <w:rsid w:val="00581FFC"/>
    <w:rsid w:val="00582113"/>
    <w:rsid w:val="00582568"/>
    <w:rsid w:val="00582B4A"/>
    <w:rsid w:val="00582BF6"/>
    <w:rsid w:val="00582DFA"/>
    <w:rsid w:val="005830AA"/>
    <w:rsid w:val="005836E1"/>
    <w:rsid w:val="00583F4C"/>
    <w:rsid w:val="0058404C"/>
    <w:rsid w:val="005840C3"/>
    <w:rsid w:val="0058417F"/>
    <w:rsid w:val="00584247"/>
    <w:rsid w:val="005843F0"/>
    <w:rsid w:val="0058458D"/>
    <w:rsid w:val="00584656"/>
    <w:rsid w:val="00584697"/>
    <w:rsid w:val="005848A1"/>
    <w:rsid w:val="00584A00"/>
    <w:rsid w:val="00584AA4"/>
    <w:rsid w:val="00584CEB"/>
    <w:rsid w:val="00584DDF"/>
    <w:rsid w:val="00584EA7"/>
    <w:rsid w:val="00584EDA"/>
    <w:rsid w:val="0058502C"/>
    <w:rsid w:val="005850BA"/>
    <w:rsid w:val="005850D5"/>
    <w:rsid w:val="005851A1"/>
    <w:rsid w:val="0058524C"/>
    <w:rsid w:val="00585311"/>
    <w:rsid w:val="005855E7"/>
    <w:rsid w:val="00585A34"/>
    <w:rsid w:val="00585A6B"/>
    <w:rsid w:val="00585A85"/>
    <w:rsid w:val="00585D41"/>
    <w:rsid w:val="00585E7E"/>
    <w:rsid w:val="00585FF3"/>
    <w:rsid w:val="0058601D"/>
    <w:rsid w:val="005860D2"/>
    <w:rsid w:val="0058635F"/>
    <w:rsid w:val="00586441"/>
    <w:rsid w:val="00586684"/>
    <w:rsid w:val="00586730"/>
    <w:rsid w:val="005867B5"/>
    <w:rsid w:val="00586CFB"/>
    <w:rsid w:val="00586D3B"/>
    <w:rsid w:val="00586F24"/>
    <w:rsid w:val="00586F51"/>
    <w:rsid w:val="00586FEF"/>
    <w:rsid w:val="00587354"/>
    <w:rsid w:val="0058749F"/>
    <w:rsid w:val="00587770"/>
    <w:rsid w:val="005877F2"/>
    <w:rsid w:val="00587A89"/>
    <w:rsid w:val="00587C03"/>
    <w:rsid w:val="00587C19"/>
    <w:rsid w:val="00587C7C"/>
    <w:rsid w:val="00590024"/>
    <w:rsid w:val="00590158"/>
    <w:rsid w:val="005902FD"/>
    <w:rsid w:val="00590DAC"/>
    <w:rsid w:val="00590F51"/>
    <w:rsid w:val="00590F69"/>
    <w:rsid w:val="005911CE"/>
    <w:rsid w:val="00591274"/>
    <w:rsid w:val="0059141D"/>
    <w:rsid w:val="0059149D"/>
    <w:rsid w:val="005915A1"/>
    <w:rsid w:val="005916B2"/>
    <w:rsid w:val="005916DF"/>
    <w:rsid w:val="00591A22"/>
    <w:rsid w:val="00591B4C"/>
    <w:rsid w:val="00591C17"/>
    <w:rsid w:val="00591CDC"/>
    <w:rsid w:val="00591D7B"/>
    <w:rsid w:val="00591DB5"/>
    <w:rsid w:val="00591DD8"/>
    <w:rsid w:val="00591E13"/>
    <w:rsid w:val="00591E47"/>
    <w:rsid w:val="00591F13"/>
    <w:rsid w:val="005923B4"/>
    <w:rsid w:val="00592567"/>
    <w:rsid w:val="005926BD"/>
    <w:rsid w:val="00592900"/>
    <w:rsid w:val="0059293B"/>
    <w:rsid w:val="00592957"/>
    <w:rsid w:val="00592D37"/>
    <w:rsid w:val="00592DC4"/>
    <w:rsid w:val="005930BF"/>
    <w:rsid w:val="00593115"/>
    <w:rsid w:val="005933BB"/>
    <w:rsid w:val="00593424"/>
    <w:rsid w:val="0059356D"/>
    <w:rsid w:val="00593647"/>
    <w:rsid w:val="005937D1"/>
    <w:rsid w:val="005938EC"/>
    <w:rsid w:val="00593CF0"/>
    <w:rsid w:val="00593F41"/>
    <w:rsid w:val="005942C8"/>
    <w:rsid w:val="0059447D"/>
    <w:rsid w:val="005944C7"/>
    <w:rsid w:val="00594690"/>
    <w:rsid w:val="005946B7"/>
    <w:rsid w:val="0059489D"/>
    <w:rsid w:val="0059499F"/>
    <w:rsid w:val="00594A6F"/>
    <w:rsid w:val="00594AE7"/>
    <w:rsid w:val="00594CC5"/>
    <w:rsid w:val="00595162"/>
    <w:rsid w:val="0059534E"/>
    <w:rsid w:val="005957B8"/>
    <w:rsid w:val="00595BAD"/>
    <w:rsid w:val="00595C8C"/>
    <w:rsid w:val="00595F97"/>
    <w:rsid w:val="00596027"/>
    <w:rsid w:val="005960D6"/>
    <w:rsid w:val="00596436"/>
    <w:rsid w:val="00596496"/>
    <w:rsid w:val="005965C9"/>
    <w:rsid w:val="005969A8"/>
    <w:rsid w:val="00596B72"/>
    <w:rsid w:val="00596F15"/>
    <w:rsid w:val="005974EB"/>
    <w:rsid w:val="0059765E"/>
    <w:rsid w:val="00597712"/>
    <w:rsid w:val="005978F3"/>
    <w:rsid w:val="00597C79"/>
    <w:rsid w:val="00597CF4"/>
    <w:rsid w:val="005A0444"/>
    <w:rsid w:val="005A044E"/>
    <w:rsid w:val="005A0B87"/>
    <w:rsid w:val="005A0CBD"/>
    <w:rsid w:val="005A0E50"/>
    <w:rsid w:val="005A0E66"/>
    <w:rsid w:val="005A10DB"/>
    <w:rsid w:val="005A1106"/>
    <w:rsid w:val="005A118B"/>
    <w:rsid w:val="005A1264"/>
    <w:rsid w:val="005A12BE"/>
    <w:rsid w:val="005A1312"/>
    <w:rsid w:val="005A146E"/>
    <w:rsid w:val="005A1595"/>
    <w:rsid w:val="005A1597"/>
    <w:rsid w:val="005A15F4"/>
    <w:rsid w:val="005A1796"/>
    <w:rsid w:val="005A1838"/>
    <w:rsid w:val="005A2118"/>
    <w:rsid w:val="005A215E"/>
    <w:rsid w:val="005A24F5"/>
    <w:rsid w:val="005A25A3"/>
    <w:rsid w:val="005A27FA"/>
    <w:rsid w:val="005A2E65"/>
    <w:rsid w:val="005A2EF7"/>
    <w:rsid w:val="005A2FC9"/>
    <w:rsid w:val="005A31E3"/>
    <w:rsid w:val="005A3307"/>
    <w:rsid w:val="005A37FD"/>
    <w:rsid w:val="005A3B58"/>
    <w:rsid w:val="005A3CBD"/>
    <w:rsid w:val="005A3EF3"/>
    <w:rsid w:val="005A3F70"/>
    <w:rsid w:val="005A409F"/>
    <w:rsid w:val="005A4366"/>
    <w:rsid w:val="005A43D0"/>
    <w:rsid w:val="005A44DD"/>
    <w:rsid w:val="005A460A"/>
    <w:rsid w:val="005A476D"/>
    <w:rsid w:val="005A47FD"/>
    <w:rsid w:val="005A487C"/>
    <w:rsid w:val="005A48AC"/>
    <w:rsid w:val="005A49AF"/>
    <w:rsid w:val="005A4AA2"/>
    <w:rsid w:val="005A4B60"/>
    <w:rsid w:val="005A4BCA"/>
    <w:rsid w:val="005A4D05"/>
    <w:rsid w:val="005A5012"/>
    <w:rsid w:val="005A541C"/>
    <w:rsid w:val="005A5582"/>
    <w:rsid w:val="005A5659"/>
    <w:rsid w:val="005A5985"/>
    <w:rsid w:val="005A5D58"/>
    <w:rsid w:val="005A5E0A"/>
    <w:rsid w:val="005A5E0F"/>
    <w:rsid w:val="005A6067"/>
    <w:rsid w:val="005A61FA"/>
    <w:rsid w:val="005A6406"/>
    <w:rsid w:val="005A6659"/>
    <w:rsid w:val="005A6703"/>
    <w:rsid w:val="005A68D5"/>
    <w:rsid w:val="005A68EC"/>
    <w:rsid w:val="005A7452"/>
    <w:rsid w:val="005A749D"/>
    <w:rsid w:val="005A75E0"/>
    <w:rsid w:val="005A76E8"/>
    <w:rsid w:val="005A77DC"/>
    <w:rsid w:val="005A7885"/>
    <w:rsid w:val="005A7950"/>
    <w:rsid w:val="005A7ADC"/>
    <w:rsid w:val="005A7E68"/>
    <w:rsid w:val="005B003F"/>
    <w:rsid w:val="005B044C"/>
    <w:rsid w:val="005B09DF"/>
    <w:rsid w:val="005B0B3E"/>
    <w:rsid w:val="005B0B7F"/>
    <w:rsid w:val="005B0C15"/>
    <w:rsid w:val="005B0C5A"/>
    <w:rsid w:val="005B0D12"/>
    <w:rsid w:val="005B0D89"/>
    <w:rsid w:val="005B0DA7"/>
    <w:rsid w:val="005B0F64"/>
    <w:rsid w:val="005B101A"/>
    <w:rsid w:val="005B11E9"/>
    <w:rsid w:val="005B1220"/>
    <w:rsid w:val="005B1451"/>
    <w:rsid w:val="005B1582"/>
    <w:rsid w:val="005B1595"/>
    <w:rsid w:val="005B1605"/>
    <w:rsid w:val="005B17E7"/>
    <w:rsid w:val="005B1836"/>
    <w:rsid w:val="005B1AD2"/>
    <w:rsid w:val="005B1D66"/>
    <w:rsid w:val="005B1EE3"/>
    <w:rsid w:val="005B20AF"/>
    <w:rsid w:val="005B21AE"/>
    <w:rsid w:val="005B2201"/>
    <w:rsid w:val="005B256D"/>
    <w:rsid w:val="005B2670"/>
    <w:rsid w:val="005B2671"/>
    <w:rsid w:val="005B2B55"/>
    <w:rsid w:val="005B2BF4"/>
    <w:rsid w:val="005B2DC6"/>
    <w:rsid w:val="005B2DF8"/>
    <w:rsid w:val="005B2E40"/>
    <w:rsid w:val="005B2FE4"/>
    <w:rsid w:val="005B2FF7"/>
    <w:rsid w:val="005B3144"/>
    <w:rsid w:val="005B32E3"/>
    <w:rsid w:val="005B3414"/>
    <w:rsid w:val="005B34DB"/>
    <w:rsid w:val="005B3508"/>
    <w:rsid w:val="005B35DD"/>
    <w:rsid w:val="005B3A12"/>
    <w:rsid w:val="005B3ADC"/>
    <w:rsid w:val="005B3B7C"/>
    <w:rsid w:val="005B3E40"/>
    <w:rsid w:val="005B3FD3"/>
    <w:rsid w:val="005B40D0"/>
    <w:rsid w:val="005B4103"/>
    <w:rsid w:val="005B4795"/>
    <w:rsid w:val="005B49E9"/>
    <w:rsid w:val="005B4A00"/>
    <w:rsid w:val="005B4A7B"/>
    <w:rsid w:val="005B4CE7"/>
    <w:rsid w:val="005B4DF5"/>
    <w:rsid w:val="005B4E04"/>
    <w:rsid w:val="005B4F4F"/>
    <w:rsid w:val="005B4FEA"/>
    <w:rsid w:val="005B5049"/>
    <w:rsid w:val="005B507D"/>
    <w:rsid w:val="005B50FC"/>
    <w:rsid w:val="005B53F8"/>
    <w:rsid w:val="005B54D2"/>
    <w:rsid w:val="005B5871"/>
    <w:rsid w:val="005B58B1"/>
    <w:rsid w:val="005B61BE"/>
    <w:rsid w:val="005B61CB"/>
    <w:rsid w:val="005B6240"/>
    <w:rsid w:val="005B627B"/>
    <w:rsid w:val="005B6450"/>
    <w:rsid w:val="005B6495"/>
    <w:rsid w:val="005B64B1"/>
    <w:rsid w:val="005B64C0"/>
    <w:rsid w:val="005B65EB"/>
    <w:rsid w:val="005B6894"/>
    <w:rsid w:val="005B691C"/>
    <w:rsid w:val="005B6A3F"/>
    <w:rsid w:val="005B6A68"/>
    <w:rsid w:val="005B6D9F"/>
    <w:rsid w:val="005B6DBF"/>
    <w:rsid w:val="005B6E26"/>
    <w:rsid w:val="005B6E34"/>
    <w:rsid w:val="005B6FF2"/>
    <w:rsid w:val="005B70B2"/>
    <w:rsid w:val="005B72CE"/>
    <w:rsid w:val="005B74E5"/>
    <w:rsid w:val="005B77F4"/>
    <w:rsid w:val="005B7943"/>
    <w:rsid w:val="005B7AE0"/>
    <w:rsid w:val="005B7CE0"/>
    <w:rsid w:val="005B7D1E"/>
    <w:rsid w:val="005C0226"/>
    <w:rsid w:val="005C0267"/>
    <w:rsid w:val="005C057F"/>
    <w:rsid w:val="005C0760"/>
    <w:rsid w:val="005C0913"/>
    <w:rsid w:val="005C0BB4"/>
    <w:rsid w:val="005C0D21"/>
    <w:rsid w:val="005C0DDF"/>
    <w:rsid w:val="005C0E42"/>
    <w:rsid w:val="005C0F0E"/>
    <w:rsid w:val="005C0F7A"/>
    <w:rsid w:val="005C1096"/>
    <w:rsid w:val="005C15A9"/>
    <w:rsid w:val="005C15B3"/>
    <w:rsid w:val="005C18E3"/>
    <w:rsid w:val="005C1B71"/>
    <w:rsid w:val="005C1CCD"/>
    <w:rsid w:val="005C1D88"/>
    <w:rsid w:val="005C216D"/>
    <w:rsid w:val="005C21A1"/>
    <w:rsid w:val="005C22C4"/>
    <w:rsid w:val="005C2489"/>
    <w:rsid w:val="005C27B9"/>
    <w:rsid w:val="005C2BA3"/>
    <w:rsid w:val="005C2DB3"/>
    <w:rsid w:val="005C2FA0"/>
    <w:rsid w:val="005C2FB7"/>
    <w:rsid w:val="005C3222"/>
    <w:rsid w:val="005C3553"/>
    <w:rsid w:val="005C3B20"/>
    <w:rsid w:val="005C402B"/>
    <w:rsid w:val="005C409E"/>
    <w:rsid w:val="005C41D5"/>
    <w:rsid w:val="005C436B"/>
    <w:rsid w:val="005C4514"/>
    <w:rsid w:val="005C4736"/>
    <w:rsid w:val="005C474C"/>
    <w:rsid w:val="005C4943"/>
    <w:rsid w:val="005C4988"/>
    <w:rsid w:val="005C4B11"/>
    <w:rsid w:val="005C5050"/>
    <w:rsid w:val="005C51A9"/>
    <w:rsid w:val="005C5363"/>
    <w:rsid w:val="005C53C4"/>
    <w:rsid w:val="005C54AD"/>
    <w:rsid w:val="005C552B"/>
    <w:rsid w:val="005C5660"/>
    <w:rsid w:val="005C5683"/>
    <w:rsid w:val="005C57CA"/>
    <w:rsid w:val="005C5882"/>
    <w:rsid w:val="005C5A5C"/>
    <w:rsid w:val="005C5B28"/>
    <w:rsid w:val="005C617A"/>
    <w:rsid w:val="005C6270"/>
    <w:rsid w:val="005C639E"/>
    <w:rsid w:val="005C64C5"/>
    <w:rsid w:val="005C66D4"/>
    <w:rsid w:val="005C6834"/>
    <w:rsid w:val="005C689C"/>
    <w:rsid w:val="005C697B"/>
    <w:rsid w:val="005C6AD3"/>
    <w:rsid w:val="005C6E4C"/>
    <w:rsid w:val="005C7064"/>
    <w:rsid w:val="005C7380"/>
    <w:rsid w:val="005C7681"/>
    <w:rsid w:val="005C76DF"/>
    <w:rsid w:val="005C7713"/>
    <w:rsid w:val="005C7788"/>
    <w:rsid w:val="005C7BC8"/>
    <w:rsid w:val="005C7C3E"/>
    <w:rsid w:val="005D0059"/>
    <w:rsid w:val="005D0211"/>
    <w:rsid w:val="005D02F5"/>
    <w:rsid w:val="005D0586"/>
    <w:rsid w:val="005D06EA"/>
    <w:rsid w:val="005D07BC"/>
    <w:rsid w:val="005D0993"/>
    <w:rsid w:val="005D0B5B"/>
    <w:rsid w:val="005D0E7D"/>
    <w:rsid w:val="005D0F30"/>
    <w:rsid w:val="005D1089"/>
    <w:rsid w:val="005D1247"/>
    <w:rsid w:val="005D12F2"/>
    <w:rsid w:val="005D164F"/>
    <w:rsid w:val="005D198A"/>
    <w:rsid w:val="005D1AD6"/>
    <w:rsid w:val="005D1B89"/>
    <w:rsid w:val="005D1C3E"/>
    <w:rsid w:val="005D1D0E"/>
    <w:rsid w:val="005D1EB6"/>
    <w:rsid w:val="005D1FD0"/>
    <w:rsid w:val="005D2091"/>
    <w:rsid w:val="005D22DD"/>
    <w:rsid w:val="005D23C8"/>
    <w:rsid w:val="005D2470"/>
    <w:rsid w:val="005D2514"/>
    <w:rsid w:val="005D25A3"/>
    <w:rsid w:val="005D25AE"/>
    <w:rsid w:val="005D2ACE"/>
    <w:rsid w:val="005D2AE0"/>
    <w:rsid w:val="005D2B4E"/>
    <w:rsid w:val="005D2C7D"/>
    <w:rsid w:val="005D2CBB"/>
    <w:rsid w:val="005D2F29"/>
    <w:rsid w:val="005D302C"/>
    <w:rsid w:val="005D303F"/>
    <w:rsid w:val="005D351A"/>
    <w:rsid w:val="005D3538"/>
    <w:rsid w:val="005D3555"/>
    <w:rsid w:val="005D3711"/>
    <w:rsid w:val="005D3A92"/>
    <w:rsid w:val="005D3BAE"/>
    <w:rsid w:val="005D3BB4"/>
    <w:rsid w:val="005D3F47"/>
    <w:rsid w:val="005D40EC"/>
    <w:rsid w:val="005D484D"/>
    <w:rsid w:val="005D48A1"/>
    <w:rsid w:val="005D4998"/>
    <w:rsid w:val="005D4C71"/>
    <w:rsid w:val="005D4E33"/>
    <w:rsid w:val="005D4E62"/>
    <w:rsid w:val="005D4EE6"/>
    <w:rsid w:val="005D4EF6"/>
    <w:rsid w:val="005D4FB8"/>
    <w:rsid w:val="005D4FE9"/>
    <w:rsid w:val="005D5077"/>
    <w:rsid w:val="005D513C"/>
    <w:rsid w:val="005D51BF"/>
    <w:rsid w:val="005D51EC"/>
    <w:rsid w:val="005D5404"/>
    <w:rsid w:val="005D5666"/>
    <w:rsid w:val="005D59BE"/>
    <w:rsid w:val="005D5A8E"/>
    <w:rsid w:val="005D5C72"/>
    <w:rsid w:val="005D5D96"/>
    <w:rsid w:val="005D65CF"/>
    <w:rsid w:val="005D67A2"/>
    <w:rsid w:val="005D692D"/>
    <w:rsid w:val="005D69CC"/>
    <w:rsid w:val="005D69DE"/>
    <w:rsid w:val="005D6C35"/>
    <w:rsid w:val="005D6CC1"/>
    <w:rsid w:val="005D6E15"/>
    <w:rsid w:val="005D6E2C"/>
    <w:rsid w:val="005D704F"/>
    <w:rsid w:val="005D70E6"/>
    <w:rsid w:val="005D73DA"/>
    <w:rsid w:val="005D7683"/>
    <w:rsid w:val="005D7814"/>
    <w:rsid w:val="005D79DC"/>
    <w:rsid w:val="005D7AD9"/>
    <w:rsid w:val="005D7E17"/>
    <w:rsid w:val="005D7E4D"/>
    <w:rsid w:val="005D7EA4"/>
    <w:rsid w:val="005D7F11"/>
    <w:rsid w:val="005DCF34"/>
    <w:rsid w:val="005E065B"/>
    <w:rsid w:val="005E07D1"/>
    <w:rsid w:val="005E09B1"/>
    <w:rsid w:val="005E0A20"/>
    <w:rsid w:val="005E0B02"/>
    <w:rsid w:val="005E0D26"/>
    <w:rsid w:val="005E0D73"/>
    <w:rsid w:val="005E0EF5"/>
    <w:rsid w:val="005E1042"/>
    <w:rsid w:val="005E1361"/>
    <w:rsid w:val="005E13F0"/>
    <w:rsid w:val="005E143E"/>
    <w:rsid w:val="005E1606"/>
    <w:rsid w:val="005E184C"/>
    <w:rsid w:val="005E19CA"/>
    <w:rsid w:val="005E1B61"/>
    <w:rsid w:val="005E1BE7"/>
    <w:rsid w:val="005E1C38"/>
    <w:rsid w:val="005E1D5B"/>
    <w:rsid w:val="005E1E00"/>
    <w:rsid w:val="005E1EBC"/>
    <w:rsid w:val="005E2083"/>
    <w:rsid w:val="005E20A9"/>
    <w:rsid w:val="005E2383"/>
    <w:rsid w:val="005E26F6"/>
    <w:rsid w:val="005E26FA"/>
    <w:rsid w:val="005E2747"/>
    <w:rsid w:val="005E2774"/>
    <w:rsid w:val="005E2799"/>
    <w:rsid w:val="005E27B3"/>
    <w:rsid w:val="005E297F"/>
    <w:rsid w:val="005E2A31"/>
    <w:rsid w:val="005E2BFE"/>
    <w:rsid w:val="005E2C19"/>
    <w:rsid w:val="005E2D81"/>
    <w:rsid w:val="005E33D4"/>
    <w:rsid w:val="005E33E7"/>
    <w:rsid w:val="005E38E1"/>
    <w:rsid w:val="005E3CF1"/>
    <w:rsid w:val="005E3F16"/>
    <w:rsid w:val="005E400D"/>
    <w:rsid w:val="005E429A"/>
    <w:rsid w:val="005E4358"/>
    <w:rsid w:val="005E4460"/>
    <w:rsid w:val="005E45C0"/>
    <w:rsid w:val="005E4BF8"/>
    <w:rsid w:val="005E4DF8"/>
    <w:rsid w:val="005E4EA3"/>
    <w:rsid w:val="005E51D2"/>
    <w:rsid w:val="005E528B"/>
    <w:rsid w:val="005E55C4"/>
    <w:rsid w:val="005E5610"/>
    <w:rsid w:val="005E56FD"/>
    <w:rsid w:val="005E5763"/>
    <w:rsid w:val="005E5946"/>
    <w:rsid w:val="005E5A1A"/>
    <w:rsid w:val="005E5CDD"/>
    <w:rsid w:val="005E5D4E"/>
    <w:rsid w:val="005E5D5D"/>
    <w:rsid w:val="005E6001"/>
    <w:rsid w:val="005E6109"/>
    <w:rsid w:val="005E638D"/>
    <w:rsid w:val="005E63D6"/>
    <w:rsid w:val="005E65B6"/>
    <w:rsid w:val="005E670D"/>
    <w:rsid w:val="005E682E"/>
    <w:rsid w:val="005E69AD"/>
    <w:rsid w:val="005E6CE3"/>
    <w:rsid w:val="005E6DEC"/>
    <w:rsid w:val="005E6E58"/>
    <w:rsid w:val="005E6EA7"/>
    <w:rsid w:val="005E6EC1"/>
    <w:rsid w:val="005E6F67"/>
    <w:rsid w:val="005E713E"/>
    <w:rsid w:val="005E71DC"/>
    <w:rsid w:val="005E721E"/>
    <w:rsid w:val="005E73FA"/>
    <w:rsid w:val="005E78D9"/>
    <w:rsid w:val="005E7AE9"/>
    <w:rsid w:val="005E7B7E"/>
    <w:rsid w:val="005E7C02"/>
    <w:rsid w:val="005E7CA0"/>
    <w:rsid w:val="005E7E8F"/>
    <w:rsid w:val="005F0203"/>
    <w:rsid w:val="005F022E"/>
    <w:rsid w:val="005F067F"/>
    <w:rsid w:val="005F0AB4"/>
    <w:rsid w:val="005F0BF4"/>
    <w:rsid w:val="005F0D4C"/>
    <w:rsid w:val="005F105C"/>
    <w:rsid w:val="005F1301"/>
    <w:rsid w:val="005F1804"/>
    <w:rsid w:val="005F1CC1"/>
    <w:rsid w:val="005F1CDA"/>
    <w:rsid w:val="005F1D40"/>
    <w:rsid w:val="005F1DE9"/>
    <w:rsid w:val="005F24E6"/>
    <w:rsid w:val="005F2568"/>
    <w:rsid w:val="005F266D"/>
    <w:rsid w:val="005F26A3"/>
    <w:rsid w:val="005F2737"/>
    <w:rsid w:val="005F2B8B"/>
    <w:rsid w:val="005F2BAE"/>
    <w:rsid w:val="005F2DFA"/>
    <w:rsid w:val="005F2FE5"/>
    <w:rsid w:val="005F3101"/>
    <w:rsid w:val="005F31A9"/>
    <w:rsid w:val="005F328D"/>
    <w:rsid w:val="005F3329"/>
    <w:rsid w:val="005F357C"/>
    <w:rsid w:val="005F36D2"/>
    <w:rsid w:val="005F38EE"/>
    <w:rsid w:val="005F392B"/>
    <w:rsid w:val="005F3ACB"/>
    <w:rsid w:val="005F4024"/>
    <w:rsid w:val="005F42A8"/>
    <w:rsid w:val="005F4402"/>
    <w:rsid w:val="005F4550"/>
    <w:rsid w:val="005F4661"/>
    <w:rsid w:val="005F4821"/>
    <w:rsid w:val="005F4920"/>
    <w:rsid w:val="005F4B11"/>
    <w:rsid w:val="005F4E24"/>
    <w:rsid w:val="005F53AE"/>
    <w:rsid w:val="005F5413"/>
    <w:rsid w:val="005F5564"/>
    <w:rsid w:val="005F5723"/>
    <w:rsid w:val="005F5774"/>
    <w:rsid w:val="005F59FC"/>
    <w:rsid w:val="005F5C05"/>
    <w:rsid w:val="005F5CE3"/>
    <w:rsid w:val="005F5E26"/>
    <w:rsid w:val="005F5F72"/>
    <w:rsid w:val="005F6000"/>
    <w:rsid w:val="005F610A"/>
    <w:rsid w:val="005F63A5"/>
    <w:rsid w:val="005F64B9"/>
    <w:rsid w:val="005F64E9"/>
    <w:rsid w:val="005F6589"/>
    <w:rsid w:val="005F6627"/>
    <w:rsid w:val="005F67AC"/>
    <w:rsid w:val="005F6824"/>
    <w:rsid w:val="005F697E"/>
    <w:rsid w:val="005F6B64"/>
    <w:rsid w:val="005F6C22"/>
    <w:rsid w:val="005F6C39"/>
    <w:rsid w:val="005F6D58"/>
    <w:rsid w:val="005F6EED"/>
    <w:rsid w:val="005F72A4"/>
    <w:rsid w:val="005F76DE"/>
    <w:rsid w:val="005F7BD7"/>
    <w:rsid w:val="005F7E35"/>
    <w:rsid w:val="005F7E84"/>
    <w:rsid w:val="005F7F6E"/>
    <w:rsid w:val="006001B1"/>
    <w:rsid w:val="00600292"/>
    <w:rsid w:val="00600301"/>
    <w:rsid w:val="006003D5"/>
    <w:rsid w:val="0060053F"/>
    <w:rsid w:val="00600A09"/>
    <w:rsid w:val="00600A60"/>
    <w:rsid w:val="00600A86"/>
    <w:rsid w:val="00600B81"/>
    <w:rsid w:val="00600C07"/>
    <w:rsid w:val="00600EAC"/>
    <w:rsid w:val="00600F7C"/>
    <w:rsid w:val="006011A9"/>
    <w:rsid w:val="00601273"/>
    <w:rsid w:val="0060135A"/>
    <w:rsid w:val="00601542"/>
    <w:rsid w:val="0060161F"/>
    <w:rsid w:val="00601ADE"/>
    <w:rsid w:val="00601BA2"/>
    <w:rsid w:val="00601C38"/>
    <w:rsid w:val="00601D33"/>
    <w:rsid w:val="00601D7F"/>
    <w:rsid w:val="00601E01"/>
    <w:rsid w:val="00601F60"/>
    <w:rsid w:val="00601FD3"/>
    <w:rsid w:val="0060226D"/>
    <w:rsid w:val="0060232F"/>
    <w:rsid w:val="006024F3"/>
    <w:rsid w:val="0060257F"/>
    <w:rsid w:val="006027D9"/>
    <w:rsid w:val="006028C3"/>
    <w:rsid w:val="00602A03"/>
    <w:rsid w:val="00602B1C"/>
    <w:rsid w:val="00602C76"/>
    <w:rsid w:val="00602F32"/>
    <w:rsid w:val="00603158"/>
    <w:rsid w:val="006031DA"/>
    <w:rsid w:val="0060339D"/>
    <w:rsid w:val="00603511"/>
    <w:rsid w:val="0060396B"/>
    <w:rsid w:val="006039A7"/>
    <w:rsid w:val="00603B7B"/>
    <w:rsid w:val="00603D17"/>
    <w:rsid w:val="00603EB8"/>
    <w:rsid w:val="006042BA"/>
    <w:rsid w:val="00604394"/>
    <w:rsid w:val="006043A7"/>
    <w:rsid w:val="00604781"/>
    <w:rsid w:val="006048B7"/>
    <w:rsid w:val="00604A04"/>
    <w:rsid w:val="00604BA3"/>
    <w:rsid w:val="00604DA1"/>
    <w:rsid w:val="00604EF1"/>
    <w:rsid w:val="006050CE"/>
    <w:rsid w:val="00605205"/>
    <w:rsid w:val="0060520D"/>
    <w:rsid w:val="00605737"/>
    <w:rsid w:val="006057AE"/>
    <w:rsid w:val="0060594E"/>
    <w:rsid w:val="00605957"/>
    <w:rsid w:val="006059E4"/>
    <w:rsid w:val="006059F9"/>
    <w:rsid w:val="00605A97"/>
    <w:rsid w:val="00605B92"/>
    <w:rsid w:val="00605D52"/>
    <w:rsid w:val="00605DCB"/>
    <w:rsid w:val="0060616A"/>
    <w:rsid w:val="0060619F"/>
    <w:rsid w:val="006061ED"/>
    <w:rsid w:val="006064C4"/>
    <w:rsid w:val="00606546"/>
    <w:rsid w:val="0060666E"/>
    <w:rsid w:val="0060673C"/>
    <w:rsid w:val="00606748"/>
    <w:rsid w:val="00606992"/>
    <w:rsid w:val="00606B72"/>
    <w:rsid w:val="00606D2B"/>
    <w:rsid w:val="00607081"/>
    <w:rsid w:val="00607148"/>
    <w:rsid w:val="00607531"/>
    <w:rsid w:val="00607610"/>
    <w:rsid w:val="00607639"/>
    <w:rsid w:val="006077A5"/>
    <w:rsid w:val="006078DA"/>
    <w:rsid w:val="00607904"/>
    <w:rsid w:val="00607C96"/>
    <w:rsid w:val="00607FCD"/>
    <w:rsid w:val="00610019"/>
    <w:rsid w:val="00610127"/>
    <w:rsid w:val="006101CD"/>
    <w:rsid w:val="0061037C"/>
    <w:rsid w:val="00610535"/>
    <w:rsid w:val="00610913"/>
    <w:rsid w:val="00610A27"/>
    <w:rsid w:val="00610A8F"/>
    <w:rsid w:val="00610BD4"/>
    <w:rsid w:val="006112C1"/>
    <w:rsid w:val="006116D4"/>
    <w:rsid w:val="00611746"/>
    <w:rsid w:val="00611DB0"/>
    <w:rsid w:val="00611E87"/>
    <w:rsid w:val="00611FF7"/>
    <w:rsid w:val="006120F6"/>
    <w:rsid w:val="00612403"/>
    <w:rsid w:val="006127D9"/>
    <w:rsid w:val="0061281E"/>
    <w:rsid w:val="00612CFA"/>
    <w:rsid w:val="00612E2C"/>
    <w:rsid w:val="00613009"/>
    <w:rsid w:val="00613299"/>
    <w:rsid w:val="00613453"/>
    <w:rsid w:val="00613539"/>
    <w:rsid w:val="00613551"/>
    <w:rsid w:val="006136B7"/>
    <w:rsid w:val="0061388C"/>
    <w:rsid w:val="006138DC"/>
    <w:rsid w:val="0061397E"/>
    <w:rsid w:val="00613DD1"/>
    <w:rsid w:val="00613EA3"/>
    <w:rsid w:val="00613F26"/>
    <w:rsid w:val="00614047"/>
    <w:rsid w:val="006140F8"/>
    <w:rsid w:val="0061439A"/>
    <w:rsid w:val="006143D6"/>
    <w:rsid w:val="00615149"/>
    <w:rsid w:val="006151F3"/>
    <w:rsid w:val="00615500"/>
    <w:rsid w:val="006159A4"/>
    <w:rsid w:val="00615B4B"/>
    <w:rsid w:val="00615DBA"/>
    <w:rsid w:val="006161E7"/>
    <w:rsid w:val="006162DB"/>
    <w:rsid w:val="006163C2"/>
    <w:rsid w:val="006164F2"/>
    <w:rsid w:val="00616841"/>
    <w:rsid w:val="00616A5D"/>
    <w:rsid w:val="00616C53"/>
    <w:rsid w:val="00616C69"/>
    <w:rsid w:val="00616E3A"/>
    <w:rsid w:val="00616ED7"/>
    <w:rsid w:val="00616EDE"/>
    <w:rsid w:val="00616F13"/>
    <w:rsid w:val="00616F1C"/>
    <w:rsid w:val="00617523"/>
    <w:rsid w:val="00617535"/>
    <w:rsid w:val="006176E6"/>
    <w:rsid w:val="00617716"/>
    <w:rsid w:val="00617B14"/>
    <w:rsid w:val="00617C93"/>
    <w:rsid w:val="00617D26"/>
    <w:rsid w:val="00617DCE"/>
    <w:rsid w:val="00617F64"/>
    <w:rsid w:val="00617FDA"/>
    <w:rsid w:val="00620292"/>
    <w:rsid w:val="0062053C"/>
    <w:rsid w:val="006205F1"/>
    <w:rsid w:val="006208FF"/>
    <w:rsid w:val="00620937"/>
    <w:rsid w:val="00620E05"/>
    <w:rsid w:val="00620EBE"/>
    <w:rsid w:val="00620FE7"/>
    <w:rsid w:val="00621053"/>
    <w:rsid w:val="0062129F"/>
    <w:rsid w:val="006212D3"/>
    <w:rsid w:val="006213D3"/>
    <w:rsid w:val="0062143B"/>
    <w:rsid w:val="006215CC"/>
    <w:rsid w:val="00621722"/>
    <w:rsid w:val="00621BD2"/>
    <w:rsid w:val="00621E2D"/>
    <w:rsid w:val="00621EF7"/>
    <w:rsid w:val="0062202B"/>
    <w:rsid w:val="0062213C"/>
    <w:rsid w:val="006224F0"/>
    <w:rsid w:val="00622853"/>
    <w:rsid w:val="006228FA"/>
    <w:rsid w:val="00622AC4"/>
    <w:rsid w:val="00622C7E"/>
    <w:rsid w:val="00622D01"/>
    <w:rsid w:val="00622D7C"/>
    <w:rsid w:val="0062312C"/>
    <w:rsid w:val="006233AE"/>
    <w:rsid w:val="006233F8"/>
    <w:rsid w:val="00623665"/>
    <w:rsid w:val="00623850"/>
    <w:rsid w:val="00623888"/>
    <w:rsid w:val="00623985"/>
    <w:rsid w:val="00623D38"/>
    <w:rsid w:val="00623D65"/>
    <w:rsid w:val="00623DB8"/>
    <w:rsid w:val="00623DCC"/>
    <w:rsid w:val="00623DD1"/>
    <w:rsid w:val="00623FCF"/>
    <w:rsid w:val="0062429F"/>
    <w:rsid w:val="00624509"/>
    <w:rsid w:val="00624B18"/>
    <w:rsid w:val="00624B49"/>
    <w:rsid w:val="00624C28"/>
    <w:rsid w:val="00624D1B"/>
    <w:rsid w:val="0062501A"/>
    <w:rsid w:val="00625120"/>
    <w:rsid w:val="00625151"/>
    <w:rsid w:val="006256AF"/>
    <w:rsid w:val="006256DD"/>
    <w:rsid w:val="006257A9"/>
    <w:rsid w:val="00625B1D"/>
    <w:rsid w:val="00625BDE"/>
    <w:rsid w:val="00625D6B"/>
    <w:rsid w:val="00625E31"/>
    <w:rsid w:val="00625EB0"/>
    <w:rsid w:val="00625FBC"/>
    <w:rsid w:val="006265A5"/>
    <w:rsid w:val="006265E3"/>
    <w:rsid w:val="00626B36"/>
    <w:rsid w:val="00626DB1"/>
    <w:rsid w:val="00626EC7"/>
    <w:rsid w:val="0062701A"/>
    <w:rsid w:val="00627345"/>
    <w:rsid w:val="00627434"/>
    <w:rsid w:val="00627458"/>
    <w:rsid w:val="00627747"/>
    <w:rsid w:val="0062779C"/>
    <w:rsid w:val="0062797C"/>
    <w:rsid w:val="00627A87"/>
    <w:rsid w:val="00627F6B"/>
    <w:rsid w:val="0063011C"/>
    <w:rsid w:val="00630144"/>
    <w:rsid w:val="006301BF"/>
    <w:rsid w:val="0063024C"/>
    <w:rsid w:val="0063039E"/>
    <w:rsid w:val="006304FC"/>
    <w:rsid w:val="006306CA"/>
    <w:rsid w:val="00631117"/>
    <w:rsid w:val="006312FB"/>
    <w:rsid w:val="00631304"/>
    <w:rsid w:val="00631315"/>
    <w:rsid w:val="006313CC"/>
    <w:rsid w:val="006315E8"/>
    <w:rsid w:val="006316CC"/>
    <w:rsid w:val="00631A97"/>
    <w:rsid w:val="00631C63"/>
    <w:rsid w:val="00631DB1"/>
    <w:rsid w:val="00632267"/>
    <w:rsid w:val="006322DB"/>
    <w:rsid w:val="006324E7"/>
    <w:rsid w:val="0063250E"/>
    <w:rsid w:val="006325B1"/>
    <w:rsid w:val="0063288D"/>
    <w:rsid w:val="00632AA6"/>
    <w:rsid w:val="00632B25"/>
    <w:rsid w:val="00632CA3"/>
    <w:rsid w:val="00633243"/>
    <w:rsid w:val="00633562"/>
    <w:rsid w:val="00633589"/>
    <w:rsid w:val="006336C3"/>
    <w:rsid w:val="0063371E"/>
    <w:rsid w:val="0063395C"/>
    <w:rsid w:val="00633A78"/>
    <w:rsid w:val="00633AEE"/>
    <w:rsid w:val="00633B84"/>
    <w:rsid w:val="00633BF8"/>
    <w:rsid w:val="00633FBA"/>
    <w:rsid w:val="006340BE"/>
    <w:rsid w:val="006340F0"/>
    <w:rsid w:val="0063454C"/>
    <w:rsid w:val="00634663"/>
    <w:rsid w:val="006347E4"/>
    <w:rsid w:val="00634B58"/>
    <w:rsid w:val="00634BE4"/>
    <w:rsid w:val="00634C64"/>
    <w:rsid w:val="00634D1A"/>
    <w:rsid w:val="006352F4"/>
    <w:rsid w:val="006354D8"/>
    <w:rsid w:val="006354FA"/>
    <w:rsid w:val="006356EB"/>
    <w:rsid w:val="00635787"/>
    <w:rsid w:val="00635811"/>
    <w:rsid w:val="00635813"/>
    <w:rsid w:val="0063582D"/>
    <w:rsid w:val="00635A64"/>
    <w:rsid w:val="00635D44"/>
    <w:rsid w:val="00635DFB"/>
    <w:rsid w:val="00635ED6"/>
    <w:rsid w:val="0063647A"/>
    <w:rsid w:val="00636559"/>
    <w:rsid w:val="0063671D"/>
    <w:rsid w:val="00636861"/>
    <w:rsid w:val="00636977"/>
    <w:rsid w:val="00636ADD"/>
    <w:rsid w:val="0063706A"/>
    <w:rsid w:val="00637073"/>
    <w:rsid w:val="006371A2"/>
    <w:rsid w:val="006374B5"/>
    <w:rsid w:val="006375B1"/>
    <w:rsid w:val="0063796F"/>
    <w:rsid w:val="00637980"/>
    <w:rsid w:val="00637A4A"/>
    <w:rsid w:val="00637B5B"/>
    <w:rsid w:val="00637CE7"/>
    <w:rsid w:val="00637F84"/>
    <w:rsid w:val="006400D5"/>
    <w:rsid w:val="006404D0"/>
    <w:rsid w:val="0064061B"/>
    <w:rsid w:val="0064071B"/>
    <w:rsid w:val="00640722"/>
    <w:rsid w:val="006408A4"/>
    <w:rsid w:val="00640945"/>
    <w:rsid w:val="00640F05"/>
    <w:rsid w:val="006413D2"/>
    <w:rsid w:val="00641599"/>
    <w:rsid w:val="006419CA"/>
    <w:rsid w:val="00641A6B"/>
    <w:rsid w:val="00641B80"/>
    <w:rsid w:val="006422CC"/>
    <w:rsid w:val="006422E2"/>
    <w:rsid w:val="006429EE"/>
    <w:rsid w:val="00642B86"/>
    <w:rsid w:val="00642C0F"/>
    <w:rsid w:val="00642D34"/>
    <w:rsid w:val="006430E8"/>
    <w:rsid w:val="00643107"/>
    <w:rsid w:val="006431CF"/>
    <w:rsid w:val="006432F6"/>
    <w:rsid w:val="006435CF"/>
    <w:rsid w:val="006437F0"/>
    <w:rsid w:val="00643823"/>
    <w:rsid w:val="006438D8"/>
    <w:rsid w:val="00643E78"/>
    <w:rsid w:val="00643FA2"/>
    <w:rsid w:val="006440EC"/>
    <w:rsid w:val="0064419F"/>
    <w:rsid w:val="00644412"/>
    <w:rsid w:val="00644680"/>
    <w:rsid w:val="006447DD"/>
    <w:rsid w:val="0064489F"/>
    <w:rsid w:val="00644AE9"/>
    <w:rsid w:val="00644C9E"/>
    <w:rsid w:val="00644CA1"/>
    <w:rsid w:val="00644EDE"/>
    <w:rsid w:val="00645574"/>
    <w:rsid w:val="00645684"/>
    <w:rsid w:val="00645798"/>
    <w:rsid w:val="00645CBE"/>
    <w:rsid w:val="00645DA7"/>
    <w:rsid w:val="00645DF2"/>
    <w:rsid w:val="00646149"/>
    <w:rsid w:val="0064640A"/>
    <w:rsid w:val="006466FC"/>
    <w:rsid w:val="00646890"/>
    <w:rsid w:val="00646BCD"/>
    <w:rsid w:val="00646CA7"/>
    <w:rsid w:val="00646DBE"/>
    <w:rsid w:val="00646E79"/>
    <w:rsid w:val="00646F0C"/>
    <w:rsid w:val="00647068"/>
    <w:rsid w:val="006470FB"/>
    <w:rsid w:val="00647735"/>
    <w:rsid w:val="0064784C"/>
    <w:rsid w:val="00647C72"/>
    <w:rsid w:val="00647E1C"/>
    <w:rsid w:val="0065035E"/>
    <w:rsid w:val="006505E3"/>
    <w:rsid w:val="006506EE"/>
    <w:rsid w:val="0065076F"/>
    <w:rsid w:val="006509E0"/>
    <w:rsid w:val="00650B64"/>
    <w:rsid w:val="00650BBF"/>
    <w:rsid w:val="00650D80"/>
    <w:rsid w:val="00650E18"/>
    <w:rsid w:val="00650F31"/>
    <w:rsid w:val="00650F61"/>
    <w:rsid w:val="00650F7C"/>
    <w:rsid w:val="00650FE6"/>
    <w:rsid w:val="0065102F"/>
    <w:rsid w:val="006514D3"/>
    <w:rsid w:val="00651523"/>
    <w:rsid w:val="00651864"/>
    <w:rsid w:val="0065195A"/>
    <w:rsid w:val="00651B30"/>
    <w:rsid w:val="00651CF8"/>
    <w:rsid w:val="00651D47"/>
    <w:rsid w:val="00651E75"/>
    <w:rsid w:val="00651F3E"/>
    <w:rsid w:val="006521C9"/>
    <w:rsid w:val="0065228D"/>
    <w:rsid w:val="00652A19"/>
    <w:rsid w:val="00652CF3"/>
    <w:rsid w:val="00652DCB"/>
    <w:rsid w:val="006530AF"/>
    <w:rsid w:val="00653169"/>
    <w:rsid w:val="0065340A"/>
    <w:rsid w:val="00653682"/>
    <w:rsid w:val="00653923"/>
    <w:rsid w:val="00653AC8"/>
    <w:rsid w:val="00653B0A"/>
    <w:rsid w:val="00653BF6"/>
    <w:rsid w:val="00653D24"/>
    <w:rsid w:val="00653D55"/>
    <w:rsid w:val="006542D6"/>
    <w:rsid w:val="00654351"/>
    <w:rsid w:val="00654937"/>
    <w:rsid w:val="00654BCA"/>
    <w:rsid w:val="00654DBA"/>
    <w:rsid w:val="00654DF8"/>
    <w:rsid w:val="006552A7"/>
    <w:rsid w:val="00655454"/>
    <w:rsid w:val="0065547F"/>
    <w:rsid w:val="00655480"/>
    <w:rsid w:val="006554B1"/>
    <w:rsid w:val="006555FC"/>
    <w:rsid w:val="00655629"/>
    <w:rsid w:val="00655CC3"/>
    <w:rsid w:val="00655FD1"/>
    <w:rsid w:val="0065651D"/>
    <w:rsid w:val="0065657D"/>
    <w:rsid w:val="00656C89"/>
    <w:rsid w:val="00656CF3"/>
    <w:rsid w:val="00656E4F"/>
    <w:rsid w:val="00657159"/>
    <w:rsid w:val="006572C8"/>
    <w:rsid w:val="00657336"/>
    <w:rsid w:val="00657559"/>
    <w:rsid w:val="00657684"/>
    <w:rsid w:val="0065796D"/>
    <w:rsid w:val="00657B07"/>
    <w:rsid w:val="00657BAC"/>
    <w:rsid w:val="00657F80"/>
    <w:rsid w:val="0066008C"/>
    <w:rsid w:val="00660B3E"/>
    <w:rsid w:val="00660CD0"/>
    <w:rsid w:val="00660E31"/>
    <w:rsid w:val="00660EE6"/>
    <w:rsid w:val="00660EF6"/>
    <w:rsid w:val="00661058"/>
    <w:rsid w:val="0066173B"/>
    <w:rsid w:val="00661A27"/>
    <w:rsid w:val="00661A35"/>
    <w:rsid w:val="00661BA8"/>
    <w:rsid w:val="00661F1A"/>
    <w:rsid w:val="00661F79"/>
    <w:rsid w:val="00661F99"/>
    <w:rsid w:val="006622D0"/>
    <w:rsid w:val="006622F8"/>
    <w:rsid w:val="00662315"/>
    <w:rsid w:val="00662491"/>
    <w:rsid w:val="00662774"/>
    <w:rsid w:val="006627EF"/>
    <w:rsid w:val="00662883"/>
    <w:rsid w:val="006629F1"/>
    <w:rsid w:val="00662B50"/>
    <w:rsid w:val="00662D1F"/>
    <w:rsid w:val="006631CB"/>
    <w:rsid w:val="006631D0"/>
    <w:rsid w:val="006633FF"/>
    <w:rsid w:val="0066363A"/>
    <w:rsid w:val="0066374D"/>
    <w:rsid w:val="006638D5"/>
    <w:rsid w:val="00663B14"/>
    <w:rsid w:val="00663D34"/>
    <w:rsid w:val="00663EBD"/>
    <w:rsid w:val="00663FF2"/>
    <w:rsid w:val="00664239"/>
    <w:rsid w:val="00664313"/>
    <w:rsid w:val="0066451F"/>
    <w:rsid w:val="00664615"/>
    <w:rsid w:val="0066486D"/>
    <w:rsid w:val="0066494F"/>
    <w:rsid w:val="00664A83"/>
    <w:rsid w:val="00664AE6"/>
    <w:rsid w:val="0066537D"/>
    <w:rsid w:val="0066542C"/>
    <w:rsid w:val="00665608"/>
    <w:rsid w:val="00665692"/>
    <w:rsid w:val="006656CC"/>
    <w:rsid w:val="00665A6D"/>
    <w:rsid w:val="00665B0C"/>
    <w:rsid w:val="0066616B"/>
    <w:rsid w:val="0066643A"/>
    <w:rsid w:val="00666559"/>
    <w:rsid w:val="00666B66"/>
    <w:rsid w:val="00666E2E"/>
    <w:rsid w:val="00666F6B"/>
    <w:rsid w:val="00666FCA"/>
    <w:rsid w:val="00666FE8"/>
    <w:rsid w:val="00666FED"/>
    <w:rsid w:val="006672C8"/>
    <w:rsid w:val="00667479"/>
    <w:rsid w:val="0066753C"/>
    <w:rsid w:val="00667865"/>
    <w:rsid w:val="006678B3"/>
    <w:rsid w:val="006678BE"/>
    <w:rsid w:val="00667B34"/>
    <w:rsid w:val="00667D00"/>
    <w:rsid w:val="00667DA4"/>
    <w:rsid w:val="0067057C"/>
    <w:rsid w:val="00670728"/>
    <w:rsid w:val="00670B4F"/>
    <w:rsid w:val="00670C82"/>
    <w:rsid w:val="006713E2"/>
    <w:rsid w:val="0067159B"/>
    <w:rsid w:val="006717A9"/>
    <w:rsid w:val="00671C77"/>
    <w:rsid w:val="00671C7E"/>
    <w:rsid w:val="00671FE1"/>
    <w:rsid w:val="00672174"/>
    <w:rsid w:val="0067218B"/>
    <w:rsid w:val="0067236E"/>
    <w:rsid w:val="006723C9"/>
    <w:rsid w:val="006727CD"/>
    <w:rsid w:val="00672A5C"/>
    <w:rsid w:val="00672A8C"/>
    <w:rsid w:val="00672BBC"/>
    <w:rsid w:val="00672CB9"/>
    <w:rsid w:val="00672FFB"/>
    <w:rsid w:val="006730CA"/>
    <w:rsid w:val="006730D7"/>
    <w:rsid w:val="00673185"/>
    <w:rsid w:val="00673651"/>
    <w:rsid w:val="006736E6"/>
    <w:rsid w:val="006737DB"/>
    <w:rsid w:val="006737F5"/>
    <w:rsid w:val="00673857"/>
    <w:rsid w:val="006738C2"/>
    <w:rsid w:val="00673927"/>
    <w:rsid w:val="00673985"/>
    <w:rsid w:val="00673B02"/>
    <w:rsid w:val="00673BC8"/>
    <w:rsid w:val="00673D0D"/>
    <w:rsid w:val="00673D97"/>
    <w:rsid w:val="00673DD6"/>
    <w:rsid w:val="00673E43"/>
    <w:rsid w:val="00673FB4"/>
    <w:rsid w:val="006745F1"/>
    <w:rsid w:val="00674944"/>
    <w:rsid w:val="00674A8D"/>
    <w:rsid w:val="00674B95"/>
    <w:rsid w:val="00674D1C"/>
    <w:rsid w:val="00674D4B"/>
    <w:rsid w:val="00674D6F"/>
    <w:rsid w:val="0067518A"/>
    <w:rsid w:val="00675229"/>
    <w:rsid w:val="006752C6"/>
    <w:rsid w:val="0067534D"/>
    <w:rsid w:val="0067538D"/>
    <w:rsid w:val="006753D7"/>
    <w:rsid w:val="0067546D"/>
    <w:rsid w:val="00675484"/>
    <w:rsid w:val="006755B2"/>
    <w:rsid w:val="00675620"/>
    <w:rsid w:val="0067563A"/>
    <w:rsid w:val="00675744"/>
    <w:rsid w:val="00675B4F"/>
    <w:rsid w:val="00675BD8"/>
    <w:rsid w:val="00675BFC"/>
    <w:rsid w:val="00675EEA"/>
    <w:rsid w:val="0067603A"/>
    <w:rsid w:val="00676205"/>
    <w:rsid w:val="006764C5"/>
    <w:rsid w:val="006768A7"/>
    <w:rsid w:val="00676BEF"/>
    <w:rsid w:val="00676C05"/>
    <w:rsid w:val="00676C06"/>
    <w:rsid w:val="00676C37"/>
    <w:rsid w:val="00676E33"/>
    <w:rsid w:val="00676EF0"/>
    <w:rsid w:val="006773AF"/>
    <w:rsid w:val="00677770"/>
    <w:rsid w:val="00677CEA"/>
    <w:rsid w:val="00677CEF"/>
    <w:rsid w:val="00677D07"/>
    <w:rsid w:val="00677F35"/>
    <w:rsid w:val="00680064"/>
    <w:rsid w:val="006803E8"/>
    <w:rsid w:val="006805DA"/>
    <w:rsid w:val="006808B3"/>
    <w:rsid w:val="006808BA"/>
    <w:rsid w:val="00680912"/>
    <w:rsid w:val="00680BE0"/>
    <w:rsid w:val="00680CE7"/>
    <w:rsid w:val="00680CF7"/>
    <w:rsid w:val="00680E55"/>
    <w:rsid w:val="00680E85"/>
    <w:rsid w:val="00680F43"/>
    <w:rsid w:val="00681169"/>
    <w:rsid w:val="0068119A"/>
    <w:rsid w:val="0068121A"/>
    <w:rsid w:val="00681605"/>
    <w:rsid w:val="006818B7"/>
    <w:rsid w:val="00681C0D"/>
    <w:rsid w:val="00681C91"/>
    <w:rsid w:val="00681CC9"/>
    <w:rsid w:val="00681D42"/>
    <w:rsid w:val="00681D8E"/>
    <w:rsid w:val="00681EC8"/>
    <w:rsid w:val="00681FF6"/>
    <w:rsid w:val="0068203F"/>
    <w:rsid w:val="00682276"/>
    <w:rsid w:val="006823F6"/>
    <w:rsid w:val="006825B1"/>
    <w:rsid w:val="006829DA"/>
    <w:rsid w:val="00682ADF"/>
    <w:rsid w:val="00682CB3"/>
    <w:rsid w:val="00682F26"/>
    <w:rsid w:val="00682FB5"/>
    <w:rsid w:val="006833F0"/>
    <w:rsid w:val="006837EC"/>
    <w:rsid w:val="00683A3D"/>
    <w:rsid w:val="00683B56"/>
    <w:rsid w:val="00683D67"/>
    <w:rsid w:val="00683E21"/>
    <w:rsid w:val="00683FBB"/>
    <w:rsid w:val="00684050"/>
    <w:rsid w:val="00684103"/>
    <w:rsid w:val="00684264"/>
    <w:rsid w:val="0068427B"/>
    <w:rsid w:val="006842BF"/>
    <w:rsid w:val="006842DF"/>
    <w:rsid w:val="00684349"/>
    <w:rsid w:val="006843A2"/>
    <w:rsid w:val="006844F2"/>
    <w:rsid w:val="00684987"/>
    <w:rsid w:val="00684A3D"/>
    <w:rsid w:val="00684DD2"/>
    <w:rsid w:val="00685041"/>
    <w:rsid w:val="00685258"/>
    <w:rsid w:val="006854AF"/>
    <w:rsid w:val="00685755"/>
    <w:rsid w:val="006857BF"/>
    <w:rsid w:val="006857C1"/>
    <w:rsid w:val="00685939"/>
    <w:rsid w:val="006859DD"/>
    <w:rsid w:val="00685AD1"/>
    <w:rsid w:val="00685AD7"/>
    <w:rsid w:val="00685D21"/>
    <w:rsid w:val="00685DA7"/>
    <w:rsid w:val="006860EE"/>
    <w:rsid w:val="00686145"/>
    <w:rsid w:val="0068634C"/>
    <w:rsid w:val="0068645E"/>
    <w:rsid w:val="00686A2E"/>
    <w:rsid w:val="00686C40"/>
    <w:rsid w:val="00686DA0"/>
    <w:rsid w:val="00686E21"/>
    <w:rsid w:val="00686F5D"/>
    <w:rsid w:val="00686FD9"/>
    <w:rsid w:val="0068710E"/>
    <w:rsid w:val="006871D1"/>
    <w:rsid w:val="006873DA"/>
    <w:rsid w:val="00687407"/>
    <w:rsid w:val="006874F6"/>
    <w:rsid w:val="0068781A"/>
    <w:rsid w:val="00687852"/>
    <w:rsid w:val="006878B2"/>
    <w:rsid w:val="00687E09"/>
    <w:rsid w:val="00690022"/>
    <w:rsid w:val="0069031E"/>
    <w:rsid w:val="00690400"/>
    <w:rsid w:val="00690611"/>
    <w:rsid w:val="0069061C"/>
    <w:rsid w:val="0069072D"/>
    <w:rsid w:val="006907A8"/>
    <w:rsid w:val="00690B56"/>
    <w:rsid w:val="00690D82"/>
    <w:rsid w:val="0069101B"/>
    <w:rsid w:val="006910C4"/>
    <w:rsid w:val="00691260"/>
    <w:rsid w:val="00691AF9"/>
    <w:rsid w:val="00691BE7"/>
    <w:rsid w:val="0069223B"/>
    <w:rsid w:val="006923A8"/>
    <w:rsid w:val="00692596"/>
    <w:rsid w:val="00692980"/>
    <w:rsid w:val="00692C7E"/>
    <w:rsid w:val="006931F2"/>
    <w:rsid w:val="0069343F"/>
    <w:rsid w:val="00693835"/>
    <w:rsid w:val="0069385C"/>
    <w:rsid w:val="00693A52"/>
    <w:rsid w:val="00693CB7"/>
    <w:rsid w:val="00693D0E"/>
    <w:rsid w:val="00693ED9"/>
    <w:rsid w:val="00693F3D"/>
    <w:rsid w:val="006942D7"/>
    <w:rsid w:val="00694392"/>
    <w:rsid w:val="00694566"/>
    <w:rsid w:val="006945CE"/>
    <w:rsid w:val="0069464D"/>
    <w:rsid w:val="00694667"/>
    <w:rsid w:val="0069476F"/>
    <w:rsid w:val="0069493E"/>
    <w:rsid w:val="00694DF1"/>
    <w:rsid w:val="00694EBF"/>
    <w:rsid w:val="00695219"/>
    <w:rsid w:val="0069526C"/>
    <w:rsid w:val="0069569A"/>
    <w:rsid w:val="006956A0"/>
    <w:rsid w:val="0069582A"/>
    <w:rsid w:val="00695865"/>
    <w:rsid w:val="00695914"/>
    <w:rsid w:val="00695C62"/>
    <w:rsid w:val="00695EFC"/>
    <w:rsid w:val="00695F3B"/>
    <w:rsid w:val="00696101"/>
    <w:rsid w:val="006961E0"/>
    <w:rsid w:val="00696287"/>
    <w:rsid w:val="00696676"/>
    <w:rsid w:val="006966AD"/>
    <w:rsid w:val="0069694C"/>
    <w:rsid w:val="00696C21"/>
    <w:rsid w:val="00696CA9"/>
    <w:rsid w:val="00696CC2"/>
    <w:rsid w:val="00696E9F"/>
    <w:rsid w:val="00696ED0"/>
    <w:rsid w:val="00696ED2"/>
    <w:rsid w:val="00696EDC"/>
    <w:rsid w:val="00696EEC"/>
    <w:rsid w:val="00696F99"/>
    <w:rsid w:val="0069724F"/>
    <w:rsid w:val="006972A2"/>
    <w:rsid w:val="006973D6"/>
    <w:rsid w:val="00697509"/>
    <w:rsid w:val="0069751A"/>
    <w:rsid w:val="00697712"/>
    <w:rsid w:val="00697968"/>
    <w:rsid w:val="00697CB3"/>
    <w:rsid w:val="00697D2B"/>
    <w:rsid w:val="00697F76"/>
    <w:rsid w:val="006A034F"/>
    <w:rsid w:val="006A048A"/>
    <w:rsid w:val="006A0531"/>
    <w:rsid w:val="006A054F"/>
    <w:rsid w:val="006A063B"/>
    <w:rsid w:val="006A06E6"/>
    <w:rsid w:val="006A06ED"/>
    <w:rsid w:val="006A0815"/>
    <w:rsid w:val="006A0A33"/>
    <w:rsid w:val="006A0CCA"/>
    <w:rsid w:val="006A0CDA"/>
    <w:rsid w:val="006A0E2F"/>
    <w:rsid w:val="006A11EB"/>
    <w:rsid w:val="006A128D"/>
    <w:rsid w:val="006A167B"/>
    <w:rsid w:val="006A1730"/>
    <w:rsid w:val="006A181B"/>
    <w:rsid w:val="006A1824"/>
    <w:rsid w:val="006A19AB"/>
    <w:rsid w:val="006A1A6B"/>
    <w:rsid w:val="006A1ABF"/>
    <w:rsid w:val="006A1BC8"/>
    <w:rsid w:val="006A1C1D"/>
    <w:rsid w:val="006A1FFC"/>
    <w:rsid w:val="006A20C6"/>
    <w:rsid w:val="006A219F"/>
    <w:rsid w:val="006A2239"/>
    <w:rsid w:val="006A224B"/>
    <w:rsid w:val="006A22BB"/>
    <w:rsid w:val="006A2411"/>
    <w:rsid w:val="006A2863"/>
    <w:rsid w:val="006A2995"/>
    <w:rsid w:val="006A2C67"/>
    <w:rsid w:val="006A2CEC"/>
    <w:rsid w:val="006A2DCB"/>
    <w:rsid w:val="006A2FC0"/>
    <w:rsid w:val="006A31D4"/>
    <w:rsid w:val="006A323B"/>
    <w:rsid w:val="006A339E"/>
    <w:rsid w:val="006A35D5"/>
    <w:rsid w:val="006A3A78"/>
    <w:rsid w:val="006A3AA1"/>
    <w:rsid w:val="006A3F55"/>
    <w:rsid w:val="006A3F6C"/>
    <w:rsid w:val="006A440E"/>
    <w:rsid w:val="006A45E2"/>
    <w:rsid w:val="006A48AF"/>
    <w:rsid w:val="006A49D2"/>
    <w:rsid w:val="006A49F9"/>
    <w:rsid w:val="006A4A77"/>
    <w:rsid w:val="006A4A7C"/>
    <w:rsid w:val="006A4BC8"/>
    <w:rsid w:val="006A4F4C"/>
    <w:rsid w:val="006A51CC"/>
    <w:rsid w:val="006A51F1"/>
    <w:rsid w:val="006A5306"/>
    <w:rsid w:val="006A54D7"/>
    <w:rsid w:val="006A56AA"/>
    <w:rsid w:val="006A5789"/>
    <w:rsid w:val="006A5D78"/>
    <w:rsid w:val="006A5EDD"/>
    <w:rsid w:val="006A6059"/>
    <w:rsid w:val="006A6292"/>
    <w:rsid w:val="006A6311"/>
    <w:rsid w:val="006A6314"/>
    <w:rsid w:val="006A63B8"/>
    <w:rsid w:val="006A681F"/>
    <w:rsid w:val="006A6914"/>
    <w:rsid w:val="006A6DB1"/>
    <w:rsid w:val="006A711F"/>
    <w:rsid w:val="006A71C9"/>
    <w:rsid w:val="006A746D"/>
    <w:rsid w:val="006A7867"/>
    <w:rsid w:val="006A788A"/>
    <w:rsid w:val="006A78A1"/>
    <w:rsid w:val="006A79CC"/>
    <w:rsid w:val="006A7C05"/>
    <w:rsid w:val="006A7E54"/>
    <w:rsid w:val="006B0215"/>
    <w:rsid w:val="006B03CB"/>
    <w:rsid w:val="006B03E7"/>
    <w:rsid w:val="006B04AD"/>
    <w:rsid w:val="006B06BB"/>
    <w:rsid w:val="006B0922"/>
    <w:rsid w:val="006B0A39"/>
    <w:rsid w:val="006B0BF8"/>
    <w:rsid w:val="006B0F9A"/>
    <w:rsid w:val="006B135F"/>
    <w:rsid w:val="006B1419"/>
    <w:rsid w:val="006B1513"/>
    <w:rsid w:val="006B1719"/>
    <w:rsid w:val="006B18A8"/>
    <w:rsid w:val="006B1B62"/>
    <w:rsid w:val="006B2213"/>
    <w:rsid w:val="006B22C5"/>
    <w:rsid w:val="006B2319"/>
    <w:rsid w:val="006B2327"/>
    <w:rsid w:val="006B2394"/>
    <w:rsid w:val="006B2678"/>
    <w:rsid w:val="006B2D1D"/>
    <w:rsid w:val="006B2E6C"/>
    <w:rsid w:val="006B301D"/>
    <w:rsid w:val="006B3026"/>
    <w:rsid w:val="006B31D4"/>
    <w:rsid w:val="006B3276"/>
    <w:rsid w:val="006B32F2"/>
    <w:rsid w:val="006B339B"/>
    <w:rsid w:val="006B349F"/>
    <w:rsid w:val="006B3658"/>
    <w:rsid w:val="006B3E22"/>
    <w:rsid w:val="006B3EB1"/>
    <w:rsid w:val="006B3F4B"/>
    <w:rsid w:val="006B4085"/>
    <w:rsid w:val="006B42EC"/>
    <w:rsid w:val="006B4343"/>
    <w:rsid w:val="006B4505"/>
    <w:rsid w:val="006B4598"/>
    <w:rsid w:val="006B46A9"/>
    <w:rsid w:val="006B4708"/>
    <w:rsid w:val="006B4898"/>
    <w:rsid w:val="006B4A60"/>
    <w:rsid w:val="006B4B87"/>
    <w:rsid w:val="006B4EF6"/>
    <w:rsid w:val="006B4FE8"/>
    <w:rsid w:val="006B5091"/>
    <w:rsid w:val="006B52DE"/>
    <w:rsid w:val="006B5440"/>
    <w:rsid w:val="006B54D9"/>
    <w:rsid w:val="006B569C"/>
    <w:rsid w:val="006B57F4"/>
    <w:rsid w:val="006B581C"/>
    <w:rsid w:val="006B581F"/>
    <w:rsid w:val="006B5875"/>
    <w:rsid w:val="006B5889"/>
    <w:rsid w:val="006B5986"/>
    <w:rsid w:val="006B5A0E"/>
    <w:rsid w:val="006B5F56"/>
    <w:rsid w:val="006B60C8"/>
    <w:rsid w:val="006B61D8"/>
    <w:rsid w:val="006B61E3"/>
    <w:rsid w:val="006B6369"/>
    <w:rsid w:val="006B6617"/>
    <w:rsid w:val="006B674D"/>
    <w:rsid w:val="006B6A4B"/>
    <w:rsid w:val="006B6D3D"/>
    <w:rsid w:val="006B6FD8"/>
    <w:rsid w:val="006B7227"/>
    <w:rsid w:val="006B73AC"/>
    <w:rsid w:val="006B7419"/>
    <w:rsid w:val="006B7499"/>
    <w:rsid w:val="006B775E"/>
    <w:rsid w:val="006B777D"/>
    <w:rsid w:val="006B7880"/>
    <w:rsid w:val="006B79E5"/>
    <w:rsid w:val="006B79F6"/>
    <w:rsid w:val="006B7CDA"/>
    <w:rsid w:val="006B7F0C"/>
    <w:rsid w:val="006C009D"/>
    <w:rsid w:val="006C03A1"/>
    <w:rsid w:val="006C03B1"/>
    <w:rsid w:val="006C047E"/>
    <w:rsid w:val="006C0593"/>
    <w:rsid w:val="006C0896"/>
    <w:rsid w:val="006C08AD"/>
    <w:rsid w:val="006C09D2"/>
    <w:rsid w:val="006C0E74"/>
    <w:rsid w:val="006C11BC"/>
    <w:rsid w:val="006C15DD"/>
    <w:rsid w:val="006C16AF"/>
    <w:rsid w:val="006C1806"/>
    <w:rsid w:val="006C19A5"/>
    <w:rsid w:val="006C1AB5"/>
    <w:rsid w:val="006C1B57"/>
    <w:rsid w:val="006C1C80"/>
    <w:rsid w:val="006C1ED2"/>
    <w:rsid w:val="006C1F08"/>
    <w:rsid w:val="006C1FF3"/>
    <w:rsid w:val="006C208C"/>
    <w:rsid w:val="006C20A2"/>
    <w:rsid w:val="006C24DE"/>
    <w:rsid w:val="006C2582"/>
    <w:rsid w:val="006C2620"/>
    <w:rsid w:val="006C262A"/>
    <w:rsid w:val="006C2B81"/>
    <w:rsid w:val="006C2F7D"/>
    <w:rsid w:val="006C35D1"/>
    <w:rsid w:val="006C37B7"/>
    <w:rsid w:val="006C389E"/>
    <w:rsid w:val="006C38CE"/>
    <w:rsid w:val="006C39C3"/>
    <w:rsid w:val="006C3CCB"/>
    <w:rsid w:val="006C4075"/>
    <w:rsid w:val="006C465B"/>
    <w:rsid w:val="006C480F"/>
    <w:rsid w:val="006C4822"/>
    <w:rsid w:val="006C4C04"/>
    <w:rsid w:val="006C4C4B"/>
    <w:rsid w:val="006C4FE1"/>
    <w:rsid w:val="006C5011"/>
    <w:rsid w:val="006C50EB"/>
    <w:rsid w:val="006C52D3"/>
    <w:rsid w:val="006C54FC"/>
    <w:rsid w:val="006C5723"/>
    <w:rsid w:val="006C5751"/>
    <w:rsid w:val="006C5755"/>
    <w:rsid w:val="006C587B"/>
    <w:rsid w:val="006C5C2F"/>
    <w:rsid w:val="006C5D9C"/>
    <w:rsid w:val="006C5FD9"/>
    <w:rsid w:val="006C60C5"/>
    <w:rsid w:val="006C6123"/>
    <w:rsid w:val="006C6124"/>
    <w:rsid w:val="006C6205"/>
    <w:rsid w:val="006C6343"/>
    <w:rsid w:val="006C67BF"/>
    <w:rsid w:val="006C6D28"/>
    <w:rsid w:val="006C7194"/>
    <w:rsid w:val="006C741A"/>
    <w:rsid w:val="006C7455"/>
    <w:rsid w:val="006C7470"/>
    <w:rsid w:val="006C7F22"/>
    <w:rsid w:val="006C7F99"/>
    <w:rsid w:val="006C7FA1"/>
    <w:rsid w:val="006D005F"/>
    <w:rsid w:val="006D0175"/>
    <w:rsid w:val="006D03DE"/>
    <w:rsid w:val="006D0450"/>
    <w:rsid w:val="006D056D"/>
    <w:rsid w:val="006D0794"/>
    <w:rsid w:val="006D09BA"/>
    <w:rsid w:val="006D0A5A"/>
    <w:rsid w:val="006D0BBE"/>
    <w:rsid w:val="006D0E7F"/>
    <w:rsid w:val="006D114A"/>
    <w:rsid w:val="006D119B"/>
    <w:rsid w:val="006D1249"/>
    <w:rsid w:val="006D1693"/>
    <w:rsid w:val="006D1817"/>
    <w:rsid w:val="006D18DC"/>
    <w:rsid w:val="006D1928"/>
    <w:rsid w:val="006D19F1"/>
    <w:rsid w:val="006D1AFB"/>
    <w:rsid w:val="006D1C58"/>
    <w:rsid w:val="006D1E91"/>
    <w:rsid w:val="006D1EFF"/>
    <w:rsid w:val="006D2130"/>
    <w:rsid w:val="006D21D1"/>
    <w:rsid w:val="006D21ED"/>
    <w:rsid w:val="006D223B"/>
    <w:rsid w:val="006D27FA"/>
    <w:rsid w:val="006D2A3C"/>
    <w:rsid w:val="006D2B72"/>
    <w:rsid w:val="006D2C6D"/>
    <w:rsid w:val="006D2D76"/>
    <w:rsid w:val="006D31DF"/>
    <w:rsid w:val="006D3258"/>
    <w:rsid w:val="006D32AC"/>
    <w:rsid w:val="006D335C"/>
    <w:rsid w:val="006D33F6"/>
    <w:rsid w:val="006D34A9"/>
    <w:rsid w:val="006D3772"/>
    <w:rsid w:val="006D39E4"/>
    <w:rsid w:val="006D3C03"/>
    <w:rsid w:val="006D3E7B"/>
    <w:rsid w:val="006D3FCF"/>
    <w:rsid w:val="006D405D"/>
    <w:rsid w:val="006D40A8"/>
    <w:rsid w:val="006D4738"/>
    <w:rsid w:val="006D4746"/>
    <w:rsid w:val="006D4923"/>
    <w:rsid w:val="006D49E8"/>
    <w:rsid w:val="006D4A36"/>
    <w:rsid w:val="006D4D4D"/>
    <w:rsid w:val="006D4F1D"/>
    <w:rsid w:val="006D4F3D"/>
    <w:rsid w:val="006D51B9"/>
    <w:rsid w:val="006D52E7"/>
    <w:rsid w:val="006D5380"/>
    <w:rsid w:val="006D563E"/>
    <w:rsid w:val="006D5663"/>
    <w:rsid w:val="006D59D5"/>
    <w:rsid w:val="006D59E9"/>
    <w:rsid w:val="006D5BC3"/>
    <w:rsid w:val="006D5CB0"/>
    <w:rsid w:val="006D5CB8"/>
    <w:rsid w:val="006D5CF9"/>
    <w:rsid w:val="006D6028"/>
    <w:rsid w:val="006D6215"/>
    <w:rsid w:val="006D622B"/>
    <w:rsid w:val="006D62D2"/>
    <w:rsid w:val="006D64EF"/>
    <w:rsid w:val="006D6598"/>
    <w:rsid w:val="006D6663"/>
    <w:rsid w:val="006D6889"/>
    <w:rsid w:val="006D6EB1"/>
    <w:rsid w:val="006D7048"/>
    <w:rsid w:val="006D72B0"/>
    <w:rsid w:val="006D7419"/>
    <w:rsid w:val="006D7576"/>
    <w:rsid w:val="006D75CA"/>
    <w:rsid w:val="006D765F"/>
    <w:rsid w:val="006D76A4"/>
    <w:rsid w:val="006D7E90"/>
    <w:rsid w:val="006D7F8D"/>
    <w:rsid w:val="006D7FF7"/>
    <w:rsid w:val="006E01BC"/>
    <w:rsid w:val="006E0A5F"/>
    <w:rsid w:val="006E0B5A"/>
    <w:rsid w:val="006E0E25"/>
    <w:rsid w:val="006E101E"/>
    <w:rsid w:val="006E10CC"/>
    <w:rsid w:val="006E1182"/>
    <w:rsid w:val="006E157C"/>
    <w:rsid w:val="006E1662"/>
    <w:rsid w:val="006E1799"/>
    <w:rsid w:val="006E192D"/>
    <w:rsid w:val="006E1A28"/>
    <w:rsid w:val="006E1A4E"/>
    <w:rsid w:val="006E1B11"/>
    <w:rsid w:val="006E2433"/>
    <w:rsid w:val="006E2638"/>
    <w:rsid w:val="006E270D"/>
    <w:rsid w:val="006E2713"/>
    <w:rsid w:val="006E275B"/>
    <w:rsid w:val="006E286B"/>
    <w:rsid w:val="006E2A5A"/>
    <w:rsid w:val="006E2B6C"/>
    <w:rsid w:val="006E2BA6"/>
    <w:rsid w:val="006E2C89"/>
    <w:rsid w:val="006E2EA4"/>
    <w:rsid w:val="006E3051"/>
    <w:rsid w:val="006E30EE"/>
    <w:rsid w:val="006E31AB"/>
    <w:rsid w:val="006E31AE"/>
    <w:rsid w:val="006E321B"/>
    <w:rsid w:val="006E3259"/>
    <w:rsid w:val="006E32D4"/>
    <w:rsid w:val="006E32FF"/>
    <w:rsid w:val="006E36D2"/>
    <w:rsid w:val="006E3AF9"/>
    <w:rsid w:val="006E3ECE"/>
    <w:rsid w:val="006E4776"/>
    <w:rsid w:val="006E4CAC"/>
    <w:rsid w:val="006E4FFF"/>
    <w:rsid w:val="006E5034"/>
    <w:rsid w:val="006E50C6"/>
    <w:rsid w:val="006E5162"/>
    <w:rsid w:val="006E5559"/>
    <w:rsid w:val="006E55C1"/>
    <w:rsid w:val="006E55C6"/>
    <w:rsid w:val="006E55E7"/>
    <w:rsid w:val="006E5757"/>
    <w:rsid w:val="006E5BBC"/>
    <w:rsid w:val="006E60F3"/>
    <w:rsid w:val="006E61AB"/>
    <w:rsid w:val="006E6462"/>
    <w:rsid w:val="006E653D"/>
    <w:rsid w:val="006E6B1D"/>
    <w:rsid w:val="006E6C4C"/>
    <w:rsid w:val="006E6C58"/>
    <w:rsid w:val="006E6F15"/>
    <w:rsid w:val="006E7597"/>
    <w:rsid w:val="006E775B"/>
    <w:rsid w:val="006E7778"/>
    <w:rsid w:val="006E79B5"/>
    <w:rsid w:val="006E7A78"/>
    <w:rsid w:val="006E7B72"/>
    <w:rsid w:val="006E7BCF"/>
    <w:rsid w:val="006E7D65"/>
    <w:rsid w:val="006E7D70"/>
    <w:rsid w:val="006E7F04"/>
    <w:rsid w:val="006E7F6E"/>
    <w:rsid w:val="006F0124"/>
    <w:rsid w:val="006F0257"/>
    <w:rsid w:val="006F03B8"/>
    <w:rsid w:val="006F0676"/>
    <w:rsid w:val="006F0920"/>
    <w:rsid w:val="006F0B0B"/>
    <w:rsid w:val="006F0BA7"/>
    <w:rsid w:val="006F1057"/>
    <w:rsid w:val="006F10B8"/>
    <w:rsid w:val="006F12C5"/>
    <w:rsid w:val="006F13F3"/>
    <w:rsid w:val="006F1884"/>
    <w:rsid w:val="006F18E9"/>
    <w:rsid w:val="006F191F"/>
    <w:rsid w:val="006F192C"/>
    <w:rsid w:val="006F1989"/>
    <w:rsid w:val="006F1D80"/>
    <w:rsid w:val="006F1E2E"/>
    <w:rsid w:val="006F1E85"/>
    <w:rsid w:val="006F1F20"/>
    <w:rsid w:val="006F1F6D"/>
    <w:rsid w:val="006F2128"/>
    <w:rsid w:val="006F224B"/>
    <w:rsid w:val="006F247D"/>
    <w:rsid w:val="006F2656"/>
    <w:rsid w:val="006F2884"/>
    <w:rsid w:val="006F2CED"/>
    <w:rsid w:val="006F32B0"/>
    <w:rsid w:val="006F34E8"/>
    <w:rsid w:val="006F36E4"/>
    <w:rsid w:val="006F3774"/>
    <w:rsid w:val="006F37AA"/>
    <w:rsid w:val="006F381A"/>
    <w:rsid w:val="006F38B2"/>
    <w:rsid w:val="006F3973"/>
    <w:rsid w:val="006F3A31"/>
    <w:rsid w:val="006F3F3B"/>
    <w:rsid w:val="006F404A"/>
    <w:rsid w:val="006F40F6"/>
    <w:rsid w:val="006F413D"/>
    <w:rsid w:val="006F42F0"/>
    <w:rsid w:val="006F448A"/>
    <w:rsid w:val="006F455F"/>
    <w:rsid w:val="006F4A19"/>
    <w:rsid w:val="006F4A36"/>
    <w:rsid w:val="006F4E86"/>
    <w:rsid w:val="006F4FC7"/>
    <w:rsid w:val="006F5005"/>
    <w:rsid w:val="006F5039"/>
    <w:rsid w:val="006F5446"/>
    <w:rsid w:val="006F553B"/>
    <w:rsid w:val="006F57B9"/>
    <w:rsid w:val="006F59AF"/>
    <w:rsid w:val="006F59FF"/>
    <w:rsid w:val="006F5A3F"/>
    <w:rsid w:val="006F5C14"/>
    <w:rsid w:val="006F6027"/>
    <w:rsid w:val="006F60C4"/>
    <w:rsid w:val="006F6279"/>
    <w:rsid w:val="006F6364"/>
    <w:rsid w:val="006F6484"/>
    <w:rsid w:val="006F669E"/>
    <w:rsid w:val="006F6772"/>
    <w:rsid w:val="006F6898"/>
    <w:rsid w:val="006F6AB9"/>
    <w:rsid w:val="006F6C34"/>
    <w:rsid w:val="006F6C42"/>
    <w:rsid w:val="006F6F34"/>
    <w:rsid w:val="006F7034"/>
    <w:rsid w:val="006F7076"/>
    <w:rsid w:val="006F70F1"/>
    <w:rsid w:val="006F71A2"/>
    <w:rsid w:val="006F7299"/>
    <w:rsid w:val="006F7561"/>
    <w:rsid w:val="006F7C59"/>
    <w:rsid w:val="006F7DE8"/>
    <w:rsid w:val="006F7EB5"/>
    <w:rsid w:val="0070008B"/>
    <w:rsid w:val="00700171"/>
    <w:rsid w:val="0070031B"/>
    <w:rsid w:val="007003C7"/>
    <w:rsid w:val="0070048D"/>
    <w:rsid w:val="007005CF"/>
    <w:rsid w:val="00700727"/>
    <w:rsid w:val="007009F3"/>
    <w:rsid w:val="00700A53"/>
    <w:rsid w:val="00700FDF"/>
    <w:rsid w:val="00701221"/>
    <w:rsid w:val="007014C4"/>
    <w:rsid w:val="00701535"/>
    <w:rsid w:val="007017FF"/>
    <w:rsid w:val="00701986"/>
    <w:rsid w:val="00701A26"/>
    <w:rsid w:val="00701A96"/>
    <w:rsid w:val="00701AFA"/>
    <w:rsid w:val="00701CB4"/>
    <w:rsid w:val="00701CD5"/>
    <w:rsid w:val="00701D0C"/>
    <w:rsid w:val="00701D11"/>
    <w:rsid w:val="00701DF5"/>
    <w:rsid w:val="00701FBC"/>
    <w:rsid w:val="0070212F"/>
    <w:rsid w:val="00702198"/>
    <w:rsid w:val="0070236D"/>
    <w:rsid w:val="007025F7"/>
    <w:rsid w:val="0070273A"/>
    <w:rsid w:val="0070278A"/>
    <w:rsid w:val="007028BE"/>
    <w:rsid w:val="007029E1"/>
    <w:rsid w:val="00702A1E"/>
    <w:rsid w:val="00702DF2"/>
    <w:rsid w:val="00702DF8"/>
    <w:rsid w:val="00702F82"/>
    <w:rsid w:val="00702F9B"/>
    <w:rsid w:val="00703037"/>
    <w:rsid w:val="007036F7"/>
    <w:rsid w:val="00703934"/>
    <w:rsid w:val="0070393E"/>
    <w:rsid w:val="007039C3"/>
    <w:rsid w:val="00703A42"/>
    <w:rsid w:val="00703B7A"/>
    <w:rsid w:val="00703C67"/>
    <w:rsid w:val="00703D4A"/>
    <w:rsid w:val="00703FF7"/>
    <w:rsid w:val="007042D6"/>
    <w:rsid w:val="0070472E"/>
    <w:rsid w:val="007047E0"/>
    <w:rsid w:val="007048BC"/>
    <w:rsid w:val="00704A3F"/>
    <w:rsid w:val="00704BB0"/>
    <w:rsid w:val="00704F35"/>
    <w:rsid w:val="00705018"/>
    <w:rsid w:val="00705068"/>
    <w:rsid w:val="0070507A"/>
    <w:rsid w:val="00705166"/>
    <w:rsid w:val="0070535A"/>
    <w:rsid w:val="007053D4"/>
    <w:rsid w:val="007054D4"/>
    <w:rsid w:val="00705752"/>
    <w:rsid w:val="00705AC5"/>
    <w:rsid w:val="00705BCB"/>
    <w:rsid w:val="00705C85"/>
    <w:rsid w:val="00705DD0"/>
    <w:rsid w:val="00705E3E"/>
    <w:rsid w:val="0070601F"/>
    <w:rsid w:val="00706066"/>
    <w:rsid w:val="00706111"/>
    <w:rsid w:val="0070613D"/>
    <w:rsid w:val="007061D3"/>
    <w:rsid w:val="007063BA"/>
    <w:rsid w:val="00706615"/>
    <w:rsid w:val="007066A1"/>
    <w:rsid w:val="007066A7"/>
    <w:rsid w:val="0070674C"/>
    <w:rsid w:val="00706E1D"/>
    <w:rsid w:val="007070BE"/>
    <w:rsid w:val="007071BD"/>
    <w:rsid w:val="007072B8"/>
    <w:rsid w:val="007072D8"/>
    <w:rsid w:val="007072EB"/>
    <w:rsid w:val="0070733E"/>
    <w:rsid w:val="00707368"/>
    <w:rsid w:val="00707615"/>
    <w:rsid w:val="00707710"/>
    <w:rsid w:val="0070777E"/>
    <w:rsid w:val="00707801"/>
    <w:rsid w:val="0070788B"/>
    <w:rsid w:val="00707E2B"/>
    <w:rsid w:val="00707F07"/>
    <w:rsid w:val="00707F3D"/>
    <w:rsid w:val="007101AA"/>
    <w:rsid w:val="00710390"/>
    <w:rsid w:val="0071040C"/>
    <w:rsid w:val="0071044C"/>
    <w:rsid w:val="0071060D"/>
    <w:rsid w:val="007106C1"/>
    <w:rsid w:val="00710938"/>
    <w:rsid w:val="0071098E"/>
    <w:rsid w:val="00710C6F"/>
    <w:rsid w:val="0071139C"/>
    <w:rsid w:val="007114E3"/>
    <w:rsid w:val="0071154F"/>
    <w:rsid w:val="00711708"/>
    <w:rsid w:val="0071179E"/>
    <w:rsid w:val="00711862"/>
    <w:rsid w:val="00711A43"/>
    <w:rsid w:val="00711AAD"/>
    <w:rsid w:val="00711F1B"/>
    <w:rsid w:val="007122D0"/>
    <w:rsid w:val="007123F5"/>
    <w:rsid w:val="00712436"/>
    <w:rsid w:val="0071297A"/>
    <w:rsid w:val="00712C40"/>
    <w:rsid w:val="00712E92"/>
    <w:rsid w:val="00712E94"/>
    <w:rsid w:val="00712F4F"/>
    <w:rsid w:val="007133A3"/>
    <w:rsid w:val="00713602"/>
    <w:rsid w:val="00713835"/>
    <w:rsid w:val="00713854"/>
    <w:rsid w:val="00713A0A"/>
    <w:rsid w:val="00713A36"/>
    <w:rsid w:val="00713C20"/>
    <w:rsid w:val="00713C4B"/>
    <w:rsid w:val="00714020"/>
    <w:rsid w:val="0071402A"/>
    <w:rsid w:val="00714141"/>
    <w:rsid w:val="007141E5"/>
    <w:rsid w:val="007143B8"/>
    <w:rsid w:val="00714423"/>
    <w:rsid w:val="00714672"/>
    <w:rsid w:val="00714775"/>
    <w:rsid w:val="007147C7"/>
    <w:rsid w:val="0071489F"/>
    <w:rsid w:val="00714971"/>
    <w:rsid w:val="00714A04"/>
    <w:rsid w:val="00714B4D"/>
    <w:rsid w:val="00714D11"/>
    <w:rsid w:val="00714D14"/>
    <w:rsid w:val="00714D63"/>
    <w:rsid w:val="00714E86"/>
    <w:rsid w:val="00714F7E"/>
    <w:rsid w:val="007150A5"/>
    <w:rsid w:val="007150AF"/>
    <w:rsid w:val="007151E0"/>
    <w:rsid w:val="00715449"/>
    <w:rsid w:val="0071576A"/>
    <w:rsid w:val="007157F8"/>
    <w:rsid w:val="007159D7"/>
    <w:rsid w:val="00715F28"/>
    <w:rsid w:val="00716163"/>
    <w:rsid w:val="00716675"/>
    <w:rsid w:val="007167AE"/>
    <w:rsid w:val="00716866"/>
    <w:rsid w:val="00716886"/>
    <w:rsid w:val="00716A6F"/>
    <w:rsid w:val="00716ABD"/>
    <w:rsid w:val="00716BB3"/>
    <w:rsid w:val="00716C8F"/>
    <w:rsid w:val="00716FE6"/>
    <w:rsid w:val="007170EF"/>
    <w:rsid w:val="00717176"/>
    <w:rsid w:val="00717298"/>
    <w:rsid w:val="00717329"/>
    <w:rsid w:val="0071751B"/>
    <w:rsid w:val="00717548"/>
    <w:rsid w:val="00717591"/>
    <w:rsid w:val="007177CA"/>
    <w:rsid w:val="00717903"/>
    <w:rsid w:val="0071790E"/>
    <w:rsid w:val="007179BD"/>
    <w:rsid w:val="007179CF"/>
    <w:rsid w:val="00717C0D"/>
    <w:rsid w:val="00717D34"/>
    <w:rsid w:val="00717F4E"/>
    <w:rsid w:val="00720089"/>
    <w:rsid w:val="00720115"/>
    <w:rsid w:val="00720341"/>
    <w:rsid w:val="0072044C"/>
    <w:rsid w:val="00720584"/>
    <w:rsid w:val="00720AA7"/>
    <w:rsid w:val="00720DC8"/>
    <w:rsid w:val="00721081"/>
    <w:rsid w:val="00721461"/>
    <w:rsid w:val="007214D1"/>
    <w:rsid w:val="00721634"/>
    <w:rsid w:val="0072171B"/>
    <w:rsid w:val="007217F9"/>
    <w:rsid w:val="00721A1C"/>
    <w:rsid w:val="00721A45"/>
    <w:rsid w:val="00721B52"/>
    <w:rsid w:val="00721F9D"/>
    <w:rsid w:val="00722480"/>
    <w:rsid w:val="0072258A"/>
    <w:rsid w:val="00722640"/>
    <w:rsid w:val="007226ED"/>
    <w:rsid w:val="00722ABE"/>
    <w:rsid w:val="00722B7F"/>
    <w:rsid w:val="00723019"/>
    <w:rsid w:val="007231A2"/>
    <w:rsid w:val="007231F8"/>
    <w:rsid w:val="0072332A"/>
    <w:rsid w:val="007233A8"/>
    <w:rsid w:val="007237B1"/>
    <w:rsid w:val="00723E6C"/>
    <w:rsid w:val="00724023"/>
    <w:rsid w:val="007244D6"/>
    <w:rsid w:val="00724700"/>
    <w:rsid w:val="0072478F"/>
    <w:rsid w:val="007247A4"/>
    <w:rsid w:val="007248BA"/>
    <w:rsid w:val="00724A8F"/>
    <w:rsid w:val="00724BAE"/>
    <w:rsid w:val="00724DE8"/>
    <w:rsid w:val="00724FE4"/>
    <w:rsid w:val="007252F9"/>
    <w:rsid w:val="0072599C"/>
    <w:rsid w:val="00725ADA"/>
    <w:rsid w:val="00725C20"/>
    <w:rsid w:val="00725CBA"/>
    <w:rsid w:val="00725D77"/>
    <w:rsid w:val="00725E28"/>
    <w:rsid w:val="00725F87"/>
    <w:rsid w:val="0072605E"/>
    <w:rsid w:val="0072606C"/>
    <w:rsid w:val="007260FB"/>
    <w:rsid w:val="0072647F"/>
    <w:rsid w:val="0072672D"/>
    <w:rsid w:val="00726ADE"/>
    <w:rsid w:val="00726CEB"/>
    <w:rsid w:val="00726F9F"/>
    <w:rsid w:val="00727011"/>
    <w:rsid w:val="007276BB"/>
    <w:rsid w:val="0072771A"/>
    <w:rsid w:val="00727784"/>
    <w:rsid w:val="00727876"/>
    <w:rsid w:val="00727898"/>
    <w:rsid w:val="007279EE"/>
    <w:rsid w:val="00727D7B"/>
    <w:rsid w:val="00727E68"/>
    <w:rsid w:val="007301AD"/>
    <w:rsid w:val="00730323"/>
    <w:rsid w:val="007304C2"/>
    <w:rsid w:val="00730543"/>
    <w:rsid w:val="00730611"/>
    <w:rsid w:val="00730677"/>
    <w:rsid w:val="00730A01"/>
    <w:rsid w:val="00730A0A"/>
    <w:rsid w:val="00730A50"/>
    <w:rsid w:val="00730A59"/>
    <w:rsid w:val="00730B3D"/>
    <w:rsid w:val="00730E68"/>
    <w:rsid w:val="0073101C"/>
    <w:rsid w:val="00731185"/>
    <w:rsid w:val="007311CA"/>
    <w:rsid w:val="00731241"/>
    <w:rsid w:val="0073134C"/>
    <w:rsid w:val="007313E3"/>
    <w:rsid w:val="00731546"/>
    <w:rsid w:val="007315F3"/>
    <w:rsid w:val="00731764"/>
    <w:rsid w:val="007318D6"/>
    <w:rsid w:val="00731925"/>
    <w:rsid w:val="00731B1A"/>
    <w:rsid w:val="00731DE8"/>
    <w:rsid w:val="00731E68"/>
    <w:rsid w:val="00732141"/>
    <w:rsid w:val="0073221D"/>
    <w:rsid w:val="0073237C"/>
    <w:rsid w:val="0073239B"/>
    <w:rsid w:val="0073255A"/>
    <w:rsid w:val="0073258A"/>
    <w:rsid w:val="00732598"/>
    <w:rsid w:val="0073308A"/>
    <w:rsid w:val="007330CD"/>
    <w:rsid w:val="007331B8"/>
    <w:rsid w:val="0073354F"/>
    <w:rsid w:val="007335A5"/>
    <w:rsid w:val="007335AC"/>
    <w:rsid w:val="00733618"/>
    <w:rsid w:val="0073385D"/>
    <w:rsid w:val="00733A08"/>
    <w:rsid w:val="00733A2D"/>
    <w:rsid w:val="00733A49"/>
    <w:rsid w:val="00733BA0"/>
    <w:rsid w:val="00733E3E"/>
    <w:rsid w:val="00733E96"/>
    <w:rsid w:val="00734254"/>
    <w:rsid w:val="0073436F"/>
    <w:rsid w:val="0073440C"/>
    <w:rsid w:val="00734499"/>
    <w:rsid w:val="0073456B"/>
    <w:rsid w:val="00734964"/>
    <w:rsid w:val="00734AC8"/>
    <w:rsid w:val="00734B1F"/>
    <w:rsid w:val="00734CB8"/>
    <w:rsid w:val="00734D5C"/>
    <w:rsid w:val="00734E48"/>
    <w:rsid w:val="00734EFA"/>
    <w:rsid w:val="00734FD9"/>
    <w:rsid w:val="0073518B"/>
    <w:rsid w:val="007352AA"/>
    <w:rsid w:val="00735891"/>
    <w:rsid w:val="0073594B"/>
    <w:rsid w:val="00735963"/>
    <w:rsid w:val="00735CE2"/>
    <w:rsid w:val="00735E07"/>
    <w:rsid w:val="00735E1E"/>
    <w:rsid w:val="00735EA1"/>
    <w:rsid w:val="007360B8"/>
    <w:rsid w:val="0073617F"/>
    <w:rsid w:val="007361D2"/>
    <w:rsid w:val="00736285"/>
    <w:rsid w:val="0073635E"/>
    <w:rsid w:val="007363CC"/>
    <w:rsid w:val="00736722"/>
    <w:rsid w:val="007367A6"/>
    <w:rsid w:val="0073682F"/>
    <w:rsid w:val="00736D74"/>
    <w:rsid w:val="00736F1A"/>
    <w:rsid w:val="00737101"/>
    <w:rsid w:val="007373A9"/>
    <w:rsid w:val="007375B9"/>
    <w:rsid w:val="007375F3"/>
    <w:rsid w:val="00737663"/>
    <w:rsid w:val="007377CC"/>
    <w:rsid w:val="0073783B"/>
    <w:rsid w:val="0073787F"/>
    <w:rsid w:val="00737AB8"/>
    <w:rsid w:val="00737BCC"/>
    <w:rsid w:val="00737C2E"/>
    <w:rsid w:val="00737E70"/>
    <w:rsid w:val="00737E72"/>
    <w:rsid w:val="00737F13"/>
    <w:rsid w:val="007402C5"/>
    <w:rsid w:val="0074068E"/>
    <w:rsid w:val="00740695"/>
    <w:rsid w:val="00740797"/>
    <w:rsid w:val="007408FC"/>
    <w:rsid w:val="0074099A"/>
    <w:rsid w:val="00740A77"/>
    <w:rsid w:val="00740D2C"/>
    <w:rsid w:val="00740EF4"/>
    <w:rsid w:val="007412D8"/>
    <w:rsid w:val="007413EB"/>
    <w:rsid w:val="007414FF"/>
    <w:rsid w:val="00741645"/>
    <w:rsid w:val="00741780"/>
    <w:rsid w:val="00741842"/>
    <w:rsid w:val="007418E8"/>
    <w:rsid w:val="00741BC6"/>
    <w:rsid w:val="0074221F"/>
    <w:rsid w:val="0074258E"/>
    <w:rsid w:val="00742592"/>
    <w:rsid w:val="00742790"/>
    <w:rsid w:val="00742E1A"/>
    <w:rsid w:val="00742E1C"/>
    <w:rsid w:val="00742F52"/>
    <w:rsid w:val="0074322A"/>
    <w:rsid w:val="00743357"/>
    <w:rsid w:val="0074353B"/>
    <w:rsid w:val="007435B4"/>
    <w:rsid w:val="00743A48"/>
    <w:rsid w:val="00743ABC"/>
    <w:rsid w:val="00743B19"/>
    <w:rsid w:val="00743E67"/>
    <w:rsid w:val="00743F94"/>
    <w:rsid w:val="00744047"/>
    <w:rsid w:val="00744119"/>
    <w:rsid w:val="00744700"/>
    <w:rsid w:val="0074479C"/>
    <w:rsid w:val="007449DB"/>
    <w:rsid w:val="00744B29"/>
    <w:rsid w:val="00744C9E"/>
    <w:rsid w:val="00744CCE"/>
    <w:rsid w:val="00744F1A"/>
    <w:rsid w:val="00744F29"/>
    <w:rsid w:val="0074501E"/>
    <w:rsid w:val="007458ED"/>
    <w:rsid w:val="00745916"/>
    <w:rsid w:val="007459FF"/>
    <w:rsid w:val="00745D54"/>
    <w:rsid w:val="00745EB3"/>
    <w:rsid w:val="00745F2D"/>
    <w:rsid w:val="0074601A"/>
    <w:rsid w:val="0074610B"/>
    <w:rsid w:val="007462FB"/>
    <w:rsid w:val="00746315"/>
    <w:rsid w:val="00746359"/>
    <w:rsid w:val="00746AF5"/>
    <w:rsid w:val="00746DA3"/>
    <w:rsid w:val="00746F23"/>
    <w:rsid w:val="00746F3D"/>
    <w:rsid w:val="00746F81"/>
    <w:rsid w:val="00747225"/>
    <w:rsid w:val="00747289"/>
    <w:rsid w:val="007472F2"/>
    <w:rsid w:val="00747412"/>
    <w:rsid w:val="00747A25"/>
    <w:rsid w:val="00747BC0"/>
    <w:rsid w:val="00747C89"/>
    <w:rsid w:val="00747FA5"/>
    <w:rsid w:val="007502C2"/>
    <w:rsid w:val="00750310"/>
    <w:rsid w:val="00750375"/>
    <w:rsid w:val="007504D7"/>
    <w:rsid w:val="00750981"/>
    <w:rsid w:val="007509F6"/>
    <w:rsid w:val="00750C81"/>
    <w:rsid w:val="00750E32"/>
    <w:rsid w:val="00750F05"/>
    <w:rsid w:val="00750F31"/>
    <w:rsid w:val="0075106F"/>
    <w:rsid w:val="0075108B"/>
    <w:rsid w:val="00751158"/>
    <w:rsid w:val="007511E1"/>
    <w:rsid w:val="007512D5"/>
    <w:rsid w:val="007512F2"/>
    <w:rsid w:val="00751864"/>
    <w:rsid w:val="007518DF"/>
    <w:rsid w:val="00751BB0"/>
    <w:rsid w:val="00751BFB"/>
    <w:rsid w:val="00751CFF"/>
    <w:rsid w:val="00751FFA"/>
    <w:rsid w:val="00752010"/>
    <w:rsid w:val="00752140"/>
    <w:rsid w:val="00752419"/>
    <w:rsid w:val="00752943"/>
    <w:rsid w:val="00752D52"/>
    <w:rsid w:val="00752E92"/>
    <w:rsid w:val="00752E9A"/>
    <w:rsid w:val="00753089"/>
    <w:rsid w:val="007530CD"/>
    <w:rsid w:val="007531FF"/>
    <w:rsid w:val="0075320D"/>
    <w:rsid w:val="007532E2"/>
    <w:rsid w:val="007535BE"/>
    <w:rsid w:val="00753619"/>
    <w:rsid w:val="00753693"/>
    <w:rsid w:val="00753CEB"/>
    <w:rsid w:val="00753F44"/>
    <w:rsid w:val="00754137"/>
    <w:rsid w:val="0075430B"/>
    <w:rsid w:val="00754724"/>
    <w:rsid w:val="0075482F"/>
    <w:rsid w:val="00754A00"/>
    <w:rsid w:val="00754DDA"/>
    <w:rsid w:val="00754E06"/>
    <w:rsid w:val="00754EF0"/>
    <w:rsid w:val="007551E2"/>
    <w:rsid w:val="0075527C"/>
    <w:rsid w:val="0075560F"/>
    <w:rsid w:val="00755803"/>
    <w:rsid w:val="00755AE5"/>
    <w:rsid w:val="00755C3E"/>
    <w:rsid w:val="00755DA2"/>
    <w:rsid w:val="00755DB6"/>
    <w:rsid w:val="00755DCC"/>
    <w:rsid w:val="00755DE2"/>
    <w:rsid w:val="00755EF3"/>
    <w:rsid w:val="00755F27"/>
    <w:rsid w:val="00755FD8"/>
    <w:rsid w:val="007561F9"/>
    <w:rsid w:val="00756292"/>
    <w:rsid w:val="007564C2"/>
    <w:rsid w:val="007565C2"/>
    <w:rsid w:val="00756692"/>
    <w:rsid w:val="007567DC"/>
    <w:rsid w:val="00756CDB"/>
    <w:rsid w:val="00756F4D"/>
    <w:rsid w:val="00757156"/>
    <w:rsid w:val="00757579"/>
    <w:rsid w:val="00757737"/>
    <w:rsid w:val="00757741"/>
    <w:rsid w:val="007577B6"/>
    <w:rsid w:val="00757AE5"/>
    <w:rsid w:val="00757BAA"/>
    <w:rsid w:val="007600D2"/>
    <w:rsid w:val="007600F6"/>
    <w:rsid w:val="0076011F"/>
    <w:rsid w:val="0076013C"/>
    <w:rsid w:val="0076016B"/>
    <w:rsid w:val="007601A2"/>
    <w:rsid w:val="007601D3"/>
    <w:rsid w:val="00760386"/>
    <w:rsid w:val="00760549"/>
    <w:rsid w:val="007606B2"/>
    <w:rsid w:val="007606BC"/>
    <w:rsid w:val="0076095A"/>
    <w:rsid w:val="00760A36"/>
    <w:rsid w:val="00760CD4"/>
    <w:rsid w:val="00760DD7"/>
    <w:rsid w:val="0076171E"/>
    <w:rsid w:val="00761724"/>
    <w:rsid w:val="00761C33"/>
    <w:rsid w:val="00761CBB"/>
    <w:rsid w:val="0076214F"/>
    <w:rsid w:val="007622AB"/>
    <w:rsid w:val="007623D7"/>
    <w:rsid w:val="0076255D"/>
    <w:rsid w:val="00762763"/>
    <w:rsid w:val="007629E8"/>
    <w:rsid w:val="00762A83"/>
    <w:rsid w:val="00762B4B"/>
    <w:rsid w:val="00762BD1"/>
    <w:rsid w:val="00762D98"/>
    <w:rsid w:val="00762DD4"/>
    <w:rsid w:val="00763025"/>
    <w:rsid w:val="00763180"/>
    <w:rsid w:val="007631C8"/>
    <w:rsid w:val="007635D2"/>
    <w:rsid w:val="00763ABC"/>
    <w:rsid w:val="00763B9F"/>
    <w:rsid w:val="00763CB1"/>
    <w:rsid w:val="00764070"/>
    <w:rsid w:val="0076422C"/>
    <w:rsid w:val="00764441"/>
    <w:rsid w:val="007644C7"/>
    <w:rsid w:val="00764647"/>
    <w:rsid w:val="007648DB"/>
    <w:rsid w:val="007648FB"/>
    <w:rsid w:val="007649B3"/>
    <w:rsid w:val="00764A4F"/>
    <w:rsid w:val="00764AC9"/>
    <w:rsid w:val="00764B14"/>
    <w:rsid w:val="00764E5C"/>
    <w:rsid w:val="00764FC9"/>
    <w:rsid w:val="00765090"/>
    <w:rsid w:val="007650AC"/>
    <w:rsid w:val="007650E8"/>
    <w:rsid w:val="00765218"/>
    <w:rsid w:val="00765633"/>
    <w:rsid w:val="00765653"/>
    <w:rsid w:val="007657B8"/>
    <w:rsid w:val="00765A33"/>
    <w:rsid w:val="00765C0E"/>
    <w:rsid w:val="007661E2"/>
    <w:rsid w:val="007663A1"/>
    <w:rsid w:val="00766725"/>
    <w:rsid w:val="00766816"/>
    <w:rsid w:val="0076697A"/>
    <w:rsid w:val="00766F1E"/>
    <w:rsid w:val="007679EF"/>
    <w:rsid w:val="00767AE2"/>
    <w:rsid w:val="00767B55"/>
    <w:rsid w:val="00767BAA"/>
    <w:rsid w:val="00767E30"/>
    <w:rsid w:val="00767FC7"/>
    <w:rsid w:val="0076C1CA"/>
    <w:rsid w:val="00770377"/>
    <w:rsid w:val="00770437"/>
    <w:rsid w:val="00770558"/>
    <w:rsid w:val="00770682"/>
    <w:rsid w:val="007706F6"/>
    <w:rsid w:val="00770AFC"/>
    <w:rsid w:val="00770BB3"/>
    <w:rsid w:val="00770BC6"/>
    <w:rsid w:val="00770E00"/>
    <w:rsid w:val="0077137C"/>
    <w:rsid w:val="007714FD"/>
    <w:rsid w:val="00771565"/>
    <w:rsid w:val="00771665"/>
    <w:rsid w:val="007716DD"/>
    <w:rsid w:val="007716F7"/>
    <w:rsid w:val="00771902"/>
    <w:rsid w:val="0077199E"/>
    <w:rsid w:val="00771AAD"/>
    <w:rsid w:val="00771C0B"/>
    <w:rsid w:val="00771D5C"/>
    <w:rsid w:val="007726A5"/>
    <w:rsid w:val="007727CF"/>
    <w:rsid w:val="00772869"/>
    <w:rsid w:val="007728E1"/>
    <w:rsid w:val="007730B4"/>
    <w:rsid w:val="00773247"/>
    <w:rsid w:val="007732B1"/>
    <w:rsid w:val="00773465"/>
    <w:rsid w:val="00773477"/>
    <w:rsid w:val="007735B5"/>
    <w:rsid w:val="00773608"/>
    <w:rsid w:val="007736F6"/>
    <w:rsid w:val="0077385C"/>
    <w:rsid w:val="007739CC"/>
    <w:rsid w:val="007739EF"/>
    <w:rsid w:val="00773A17"/>
    <w:rsid w:val="00774129"/>
    <w:rsid w:val="0077414C"/>
    <w:rsid w:val="00774304"/>
    <w:rsid w:val="00774635"/>
    <w:rsid w:val="00774642"/>
    <w:rsid w:val="007747B2"/>
    <w:rsid w:val="00774825"/>
    <w:rsid w:val="007749F9"/>
    <w:rsid w:val="00774BAB"/>
    <w:rsid w:val="00774DA6"/>
    <w:rsid w:val="00774E7F"/>
    <w:rsid w:val="00774ECC"/>
    <w:rsid w:val="00774F24"/>
    <w:rsid w:val="007750BD"/>
    <w:rsid w:val="007753AA"/>
    <w:rsid w:val="007756F0"/>
    <w:rsid w:val="007758F3"/>
    <w:rsid w:val="00775918"/>
    <w:rsid w:val="007759BA"/>
    <w:rsid w:val="00775AE5"/>
    <w:rsid w:val="00775AF8"/>
    <w:rsid w:val="00775B41"/>
    <w:rsid w:val="00775C91"/>
    <w:rsid w:val="00775CCB"/>
    <w:rsid w:val="00775E52"/>
    <w:rsid w:val="00775F5E"/>
    <w:rsid w:val="00775FA0"/>
    <w:rsid w:val="00776021"/>
    <w:rsid w:val="00776261"/>
    <w:rsid w:val="00776344"/>
    <w:rsid w:val="007765F8"/>
    <w:rsid w:val="007766FC"/>
    <w:rsid w:val="00776822"/>
    <w:rsid w:val="0077683B"/>
    <w:rsid w:val="0077694F"/>
    <w:rsid w:val="00776953"/>
    <w:rsid w:val="00776A21"/>
    <w:rsid w:val="00776B16"/>
    <w:rsid w:val="00776C40"/>
    <w:rsid w:val="00776DEB"/>
    <w:rsid w:val="00776E19"/>
    <w:rsid w:val="00776E3A"/>
    <w:rsid w:val="0077706F"/>
    <w:rsid w:val="00777348"/>
    <w:rsid w:val="0077768E"/>
    <w:rsid w:val="0077779D"/>
    <w:rsid w:val="007777E1"/>
    <w:rsid w:val="00777838"/>
    <w:rsid w:val="007778B7"/>
    <w:rsid w:val="007778EF"/>
    <w:rsid w:val="00777958"/>
    <w:rsid w:val="007779EE"/>
    <w:rsid w:val="007801FF"/>
    <w:rsid w:val="00780282"/>
    <w:rsid w:val="007802EB"/>
    <w:rsid w:val="007805B4"/>
    <w:rsid w:val="00780704"/>
    <w:rsid w:val="007808CE"/>
    <w:rsid w:val="00780BBB"/>
    <w:rsid w:val="00780C66"/>
    <w:rsid w:val="00780E37"/>
    <w:rsid w:val="00780FAC"/>
    <w:rsid w:val="00780FBF"/>
    <w:rsid w:val="00781037"/>
    <w:rsid w:val="0078127E"/>
    <w:rsid w:val="00781D0B"/>
    <w:rsid w:val="00782643"/>
    <w:rsid w:val="007826A3"/>
    <w:rsid w:val="00782787"/>
    <w:rsid w:val="00782852"/>
    <w:rsid w:val="00782901"/>
    <w:rsid w:val="00782960"/>
    <w:rsid w:val="00782D0C"/>
    <w:rsid w:val="00783129"/>
    <w:rsid w:val="0078321A"/>
    <w:rsid w:val="007833F0"/>
    <w:rsid w:val="007834FD"/>
    <w:rsid w:val="0078365F"/>
    <w:rsid w:val="00783763"/>
    <w:rsid w:val="00783893"/>
    <w:rsid w:val="007839F6"/>
    <w:rsid w:val="00783CBF"/>
    <w:rsid w:val="00783E47"/>
    <w:rsid w:val="0078419B"/>
    <w:rsid w:val="00784230"/>
    <w:rsid w:val="007843B5"/>
    <w:rsid w:val="00784952"/>
    <w:rsid w:val="00784991"/>
    <w:rsid w:val="00784ABE"/>
    <w:rsid w:val="00784C26"/>
    <w:rsid w:val="00784E1E"/>
    <w:rsid w:val="00785099"/>
    <w:rsid w:val="007851A9"/>
    <w:rsid w:val="0078520C"/>
    <w:rsid w:val="00785270"/>
    <w:rsid w:val="00785346"/>
    <w:rsid w:val="0078577F"/>
    <w:rsid w:val="00785E60"/>
    <w:rsid w:val="007861B5"/>
    <w:rsid w:val="0078634B"/>
    <w:rsid w:val="00786429"/>
    <w:rsid w:val="0078658D"/>
    <w:rsid w:val="00786668"/>
    <w:rsid w:val="0078675C"/>
    <w:rsid w:val="007868A6"/>
    <w:rsid w:val="00786985"/>
    <w:rsid w:val="007869A5"/>
    <w:rsid w:val="00786C5D"/>
    <w:rsid w:val="00786FB5"/>
    <w:rsid w:val="0078745D"/>
    <w:rsid w:val="00787722"/>
    <w:rsid w:val="0078774B"/>
    <w:rsid w:val="007879D6"/>
    <w:rsid w:val="00787A44"/>
    <w:rsid w:val="00787AA4"/>
    <w:rsid w:val="00787B9F"/>
    <w:rsid w:val="00787CCC"/>
    <w:rsid w:val="00787CED"/>
    <w:rsid w:val="00787E3F"/>
    <w:rsid w:val="0079010E"/>
    <w:rsid w:val="007905B1"/>
    <w:rsid w:val="007905E0"/>
    <w:rsid w:val="00790A39"/>
    <w:rsid w:val="00790F70"/>
    <w:rsid w:val="00790FAC"/>
    <w:rsid w:val="007910CE"/>
    <w:rsid w:val="00791312"/>
    <w:rsid w:val="00791417"/>
    <w:rsid w:val="00791679"/>
    <w:rsid w:val="00791880"/>
    <w:rsid w:val="007919ED"/>
    <w:rsid w:val="00791C8B"/>
    <w:rsid w:val="00791CF2"/>
    <w:rsid w:val="00791F2C"/>
    <w:rsid w:val="0079205E"/>
    <w:rsid w:val="00792507"/>
    <w:rsid w:val="0079259F"/>
    <w:rsid w:val="007926B4"/>
    <w:rsid w:val="00792730"/>
    <w:rsid w:val="00792921"/>
    <w:rsid w:val="00792C80"/>
    <w:rsid w:val="00792D2B"/>
    <w:rsid w:val="00792E29"/>
    <w:rsid w:val="00792F83"/>
    <w:rsid w:val="0079304D"/>
    <w:rsid w:val="00793203"/>
    <w:rsid w:val="0079330D"/>
    <w:rsid w:val="00793381"/>
    <w:rsid w:val="007933CD"/>
    <w:rsid w:val="00793445"/>
    <w:rsid w:val="0079360E"/>
    <w:rsid w:val="00793729"/>
    <w:rsid w:val="00793906"/>
    <w:rsid w:val="00793B70"/>
    <w:rsid w:val="00793F1D"/>
    <w:rsid w:val="00793F9B"/>
    <w:rsid w:val="00794440"/>
    <w:rsid w:val="007946A6"/>
    <w:rsid w:val="00794882"/>
    <w:rsid w:val="00794894"/>
    <w:rsid w:val="007949ED"/>
    <w:rsid w:val="00795092"/>
    <w:rsid w:val="007957D2"/>
    <w:rsid w:val="00795D21"/>
    <w:rsid w:val="00795EF4"/>
    <w:rsid w:val="00796076"/>
    <w:rsid w:val="00796130"/>
    <w:rsid w:val="007961D1"/>
    <w:rsid w:val="00796407"/>
    <w:rsid w:val="00796928"/>
    <w:rsid w:val="007969B7"/>
    <w:rsid w:val="00796BC1"/>
    <w:rsid w:val="00796CB2"/>
    <w:rsid w:val="00796DCD"/>
    <w:rsid w:val="00796DE1"/>
    <w:rsid w:val="00797255"/>
    <w:rsid w:val="007973F4"/>
    <w:rsid w:val="00797485"/>
    <w:rsid w:val="007974C9"/>
    <w:rsid w:val="007977B8"/>
    <w:rsid w:val="00797827"/>
    <w:rsid w:val="00797906"/>
    <w:rsid w:val="00797A09"/>
    <w:rsid w:val="00797CF8"/>
    <w:rsid w:val="00797ED0"/>
    <w:rsid w:val="00797F18"/>
    <w:rsid w:val="007A049B"/>
    <w:rsid w:val="007A07B9"/>
    <w:rsid w:val="007A0804"/>
    <w:rsid w:val="007A0BB2"/>
    <w:rsid w:val="007A0BE0"/>
    <w:rsid w:val="007A0CA9"/>
    <w:rsid w:val="007A0DB3"/>
    <w:rsid w:val="007A1452"/>
    <w:rsid w:val="007A1B00"/>
    <w:rsid w:val="007A1B46"/>
    <w:rsid w:val="007A1B5E"/>
    <w:rsid w:val="007A1C52"/>
    <w:rsid w:val="007A1D50"/>
    <w:rsid w:val="007A207E"/>
    <w:rsid w:val="007A20F7"/>
    <w:rsid w:val="007A2200"/>
    <w:rsid w:val="007A223F"/>
    <w:rsid w:val="007A23FF"/>
    <w:rsid w:val="007A241D"/>
    <w:rsid w:val="007A2562"/>
    <w:rsid w:val="007A25B0"/>
    <w:rsid w:val="007A2695"/>
    <w:rsid w:val="007A2798"/>
    <w:rsid w:val="007A27CF"/>
    <w:rsid w:val="007A2EEC"/>
    <w:rsid w:val="007A2F35"/>
    <w:rsid w:val="007A2F63"/>
    <w:rsid w:val="007A3145"/>
    <w:rsid w:val="007A3169"/>
    <w:rsid w:val="007A332D"/>
    <w:rsid w:val="007A35ED"/>
    <w:rsid w:val="007A3628"/>
    <w:rsid w:val="007A3788"/>
    <w:rsid w:val="007A3846"/>
    <w:rsid w:val="007A3B70"/>
    <w:rsid w:val="007A3C90"/>
    <w:rsid w:val="007A3DE9"/>
    <w:rsid w:val="007A3F08"/>
    <w:rsid w:val="007A4043"/>
    <w:rsid w:val="007A46EA"/>
    <w:rsid w:val="007A494B"/>
    <w:rsid w:val="007A4B03"/>
    <w:rsid w:val="007A4DD6"/>
    <w:rsid w:val="007A4E08"/>
    <w:rsid w:val="007A4E94"/>
    <w:rsid w:val="007A529C"/>
    <w:rsid w:val="007A529E"/>
    <w:rsid w:val="007A5377"/>
    <w:rsid w:val="007A5685"/>
    <w:rsid w:val="007A5722"/>
    <w:rsid w:val="007A5865"/>
    <w:rsid w:val="007A5E3D"/>
    <w:rsid w:val="007A5ED2"/>
    <w:rsid w:val="007A60B3"/>
    <w:rsid w:val="007A6315"/>
    <w:rsid w:val="007A6532"/>
    <w:rsid w:val="007A6800"/>
    <w:rsid w:val="007A69A4"/>
    <w:rsid w:val="007A6CC6"/>
    <w:rsid w:val="007A6F22"/>
    <w:rsid w:val="007A6FD3"/>
    <w:rsid w:val="007A7057"/>
    <w:rsid w:val="007A7197"/>
    <w:rsid w:val="007A74FC"/>
    <w:rsid w:val="007A762A"/>
    <w:rsid w:val="007A7731"/>
    <w:rsid w:val="007A787D"/>
    <w:rsid w:val="007A78D2"/>
    <w:rsid w:val="007A7941"/>
    <w:rsid w:val="007A7A09"/>
    <w:rsid w:val="007A7A81"/>
    <w:rsid w:val="007A7B88"/>
    <w:rsid w:val="007A7C72"/>
    <w:rsid w:val="007A7DBF"/>
    <w:rsid w:val="007B005A"/>
    <w:rsid w:val="007B02D3"/>
    <w:rsid w:val="007B03E5"/>
    <w:rsid w:val="007B0448"/>
    <w:rsid w:val="007B04FF"/>
    <w:rsid w:val="007B050E"/>
    <w:rsid w:val="007B06D6"/>
    <w:rsid w:val="007B07C4"/>
    <w:rsid w:val="007B084D"/>
    <w:rsid w:val="007B0C77"/>
    <w:rsid w:val="007B0EBF"/>
    <w:rsid w:val="007B1098"/>
    <w:rsid w:val="007B1303"/>
    <w:rsid w:val="007B13AC"/>
    <w:rsid w:val="007B1452"/>
    <w:rsid w:val="007B14CB"/>
    <w:rsid w:val="007B1650"/>
    <w:rsid w:val="007B180F"/>
    <w:rsid w:val="007B1929"/>
    <w:rsid w:val="007B1993"/>
    <w:rsid w:val="007B1A25"/>
    <w:rsid w:val="007B1A2C"/>
    <w:rsid w:val="007B1A94"/>
    <w:rsid w:val="007B1FB8"/>
    <w:rsid w:val="007B1FB9"/>
    <w:rsid w:val="007B2177"/>
    <w:rsid w:val="007B22A3"/>
    <w:rsid w:val="007B2502"/>
    <w:rsid w:val="007B26DD"/>
    <w:rsid w:val="007B2A6C"/>
    <w:rsid w:val="007B2AA6"/>
    <w:rsid w:val="007B2B9C"/>
    <w:rsid w:val="007B2E4F"/>
    <w:rsid w:val="007B2E72"/>
    <w:rsid w:val="007B2EFD"/>
    <w:rsid w:val="007B33B1"/>
    <w:rsid w:val="007B34DB"/>
    <w:rsid w:val="007B3530"/>
    <w:rsid w:val="007B3558"/>
    <w:rsid w:val="007B358B"/>
    <w:rsid w:val="007B37B9"/>
    <w:rsid w:val="007B3879"/>
    <w:rsid w:val="007B39EE"/>
    <w:rsid w:val="007B3ADA"/>
    <w:rsid w:val="007B3B6F"/>
    <w:rsid w:val="007B3E0E"/>
    <w:rsid w:val="007B3FBF"/>
    <w:rsid w:val="007B4279"/>
    <w:rsid w:val="007B4390"/>
    <w:rsid w:val="007B43AE"/>
    <w:rsid w:val="007B4434"/>
    <w:rsid w:val="007B44AA"/>
    <w:rsid w:val="007B4507"/>
    <w:rsid w:val="007B45C8"/>
    <w:rsid w:val="007B4605"/>
    <w:rsid w:val="007B469D"/>
    <w:rsid w:val="007B4727"/>
    <w:rsid w:val="007B4868"/>
    <w:rsid w:val="007B490A"/>
    <w:rsid w:val="007B4A48"/>
    <w:rsid w:val="007B4C6E"/>
    <w:rsid w:val="007B5097"/>
    <w:rsid w:val="007B5554"/>
    <w:rsid w:val="007B5685"/>
    <w:rsid w:val="007B5876"/>
    <w:rsid w:val="007B5A1D"/>
    <w:rsid w:val="007B5F01"/>
    <w:rsid w:val="007B5F18"/>
    <w:rsid w:val="007B633B"/>
    <w:rsid w:val="007B6466"/>
    <w:rsid w:val="007B64CD"/>
    <w:rsid w:val="007B660B"/>
    <w:rsid w:val="007B6F26"/>
    <w:rsid w:val="007B7101"/>
    <w:rsid w:val="007B712F"/>
    <w:rsid w:val="007B73DF"/>
    <w:rsid w:val="007B7532"/>
    <w:rsid w:val="007B7903"/>
    <w:rsid w:val="007B7EDE"/>
    <w:rsid w:val="007B7F7D"/>
    <w:rsid w:val="007C017C"/>
    <w:rsid w:val="007C0287"/>
    <w:rsid w:val="007C02A7"/>
    <w:rsid w:val="007C071D"/>
    <w:rsid w:val="007C0904"/>
    <w:rsid w:val="007C09DA"/>
    <w:rsid w:val="007C0C76"/>
    <w:rsid w:val="007C0E80"/>
    <w:rsid w:val="007C125A"/>
    <w:rsid w:val="007C1296"/>
    <w:rsid w:val="007C135E"/>
    <w:rsid w:val="007C18B2"/>
    <w:rsid w:val="007C19B0"/>
    <w:rsid w:val="007C19F2"/>
    <w:rsid w:val="007C1B7B"/>
    <w:rsid w:val="007C1B99"/>
    <w:rsid w:val="007C1D53"/>
    <w:rsid w:val="007C2651"/>
    <w:rsid w:val="007C277B"/>
    <w:rsid w:val="007C2815"/>
    <w:rsid w:val="007C2969"/>
    <w:rsid w:val="007C29E4"/>
    <w:rsid w:val="007C2C10"/>
    <w:rsid w:val="007C2D90"/>
    <w:rsid w:val="007C2DB7"/>
    <w:rsid w:val="007C34FF"/>
    <w:rsid w:val="007C3656"/>
    <w:rsid w:val="007C389A"/>
    <w:rsid w:val="007C38CA"/>
    <w:rsid w:val="007C3A22"/>
    <w:rsid w:val="007C3D69"/>
    <w:rsid w:val="007C3FA7"/>
    <w:rsid w:val="007C40AF"/>
    <w:rsid w:val="007C42FC"/>
    <w:rsid w:val="007C455A"/>
    <w:rsid w:val="007C4A72"/>
    <w:rsid w:val="007C4ACB"/>
    <w:rsid w:val="007C4C28"/>
    <w:rsid w:val="007C4DC2"/>
    <w:rsid w:val="007C50BB"/>
    <w:rsid w:val="007C53E1"/>
    <w:rsid w:val="007C543C"/>
    <w:rsid w:val="007C5CB4"/>
    <w:rsid w:val="007C5F92"/>
    <w:rsid w:val="007C6373"/>
    <w:rsid w:val="007C64A0"/>
    <w:rsid w:val="007C68C6"/>
    <w:rsid w:val="007C6BA8"/>
    <w:rsid w:val="007C6C19"/>
    <w:rsid w:val="007C6DCD"/>
    <w:rsid w:val="007C6E1B"/>
    <w:rsid w:val="007C6EBD"/>
    <w:rsid w:val="007C7181"/>
    <w:rsid w:val="007C71F1"/>
    <w:rsid w:val="007C71FF"/>
    <w:rsid w:val="007C75D0"/>
    <w:rsid w:val="007C7608"/>
    <w:rsid w:val="007C79FC"/>
    <w:rsid w:val="007C7B83"/>
    <w:rsid w:val="007C7B9C"/>
    <w:rsid w:val="007C7D5A"/>
    <w:rsid w:val="007D0073"/>
    <w:rsid w:val="007D01DD"/>
    <w:rsid w:val="007D0389"/>
    <w:rsid w:val="007D03D5"/>
    <w:rsid w:val="007D042F"/>
    <w:rsid w:val="007D076D"/>
    <w:rsid w:val="007D0901"/>
    <w:rsid w:val="007D0A74"/>
    <w:rsid w:val="007D0D85"/>
    <w:rsid w:val="007D0F12"/>
    <w:rsid w:val="007D0F91"/>
    <w:rsid w:val="007D136D"/>
    <w:rsid w:val="007D13A5"/>
    <w:rsid w:val="007D13BF"/>
    <w:rsid w:val="007D1462"/>
    <w:rsid w:val="007D1817"/>
    <w:rsid w:val="007D1BE6"/>
    <w:rsid w:val="007D1C40"/>
    <w:rsid w:val="007D1E1C"/>
    <w:rsid w:val="007D1F4C"/>
    <w:rsid w:val="007D1F85"/>
    <w:rsid w:val="007D1FB9"/>
    <w:rsid w:val="007D2082"/>
    <w:rsid w:val="007D22B2"/>
    <w:rsid w:val="007D2475"/>
    <w:rsid w:val="007D24A2"/>
    <w:rsid w:val="007D2537"/>
    <w:rsid w:val="007D25DA"/>
    <w:rsid w:val="007D2880"/>
    <w:rsid w:val="007D2BC8"/>
    <w:rsid w:val="007D2BCA"/>
    <w:rsid w:val="007D2DBD"/>
    <w:rsid w:val="007D2DD0"/>
    <w:rsid w:val="007D3032"/>
    <w:rsid w:val="007D308E"/>
    <w:rsid w:val="007D3185"/>
    <w:rsid w:val="007D328D"/>
    <w:rsid w:val="007D3551"/>
    <w:rsid w:val="007D3703"/>
    <w:rsid w:val="007D377E"/>
    <w:rsid w:val="007D380D"/>
    <w:rsid w:val="007D3870"/>
    <w:rsid w:val="007D3BFE"/>
    <w:rsid w:val="007D3BFF"/>
    <w:rsid w:val="007D3C2D"/>
    <w:rsid w:val="007D3D94"/>
    <w:rsid w:val="007D3EC5"/>
    <w:rsid w:val="007D3FA5"/>
    <w:rsid w:val="007D4036"/>
    <w:rsid w:val="007D415A"/>
    <w:rsid w:val="007D43B0"/>
    <w:rsid w:val="007D447A"/>
    <w:rsid w:val="007D4606"/>
    <w:rsid w:val="007D460A"/>
    <w:rsid w:val="007D4B7D"/>
    <w:rsid w:val="007D4CA6"/>
    <w:rsid w:val="007D4DB3"/>
    <w:rsid w:val="007D4E59"/>
    <w:rsid w:val="007D50EF"/>
    <w:rsid w:val="007D5147"/>
    <w:rsid w:val="007D51EF"/>
    <w:rsid w:val="007D52B9"/>
    <w:rsid w:val="007D5369"/>
    <w:rsid w:val="007D55A0"/>
    <w:rsid w:val="007D58F8"/>
    <w:rsid w:val="007D598A"/>
    <w:rsid w:val="007D5CAD"/>
    <w:rsid w:val="007D5DC9"/>
    <w:rsid w:val="007D5F90"/>
    <w:rsid w:val="007D62B5"/>
    <w:rsid w:val="007D639E"/>
    <w:rsid w:val="007D6784"/>
    <w:rsid w:val="007D69A3"/>
    <w:rsid w:val="007D6A71"/>
    <w:rsid w:val="007D70E4"/>
    <w:rsid w:val="007D7679"/>
    <w:rsid w:val="007D7AFF"/>
    <w:rsid w:val="007D7C52"/>
    <w:rsid w:val="007D7D9B"/>
    <w:rsid w:val="007D7E93"/>
    <w:rsid w:val="007D7F1E"/>
    <w:rsid w:val="007E0107"/>
    <w:rsid w:val="007E0203"/>
    <w:rsid w:val="007E027B"/>
    <w:rsid w:val="007E02B2"/>
    <w:rsid w:val="007E0356"/>
    <w:rsid w:val="007E03B4"/>
    <w:rsid w:val="007E0657"/>
    <w:rsid w:val="007E0669"/>
    <w:rsid w:val="007E0A21"/>
    <w:rsid w:val="007E0AA5"/>
    <w:rsid w:val="007E0B1F"/>
    <w:rsid w:val="007E0DE8"/>
    <w:rsid w:val="007E1249"/>
    <w:rsid w:val="007E1364"/>
    <w:rsid w:val="007E1376"/>
    <w:rsid w:val="007E145F"/>
    <w:rsid w:val="007E17BB"/>
    <w:rsid w:val="007E1AE1"/>
    <w:rsid w:val="007E1F24"/>
    <w:rsid w:val="007E241B"/>
    <w:rsid w:val="007E24FD"/>
    <w:rsid w:val="007E253F"/>
    <w:rsid w:val="007E2784"/>
    <w:rsid w:val="007E2832"/>
    <w:rsid w:val="007E2D88"/>
    <w:rsid w:val="007E2DCA"/>
    <w:rsid w:val="007E2DF3"/>
    <w:rsid w:val="007E2EB2"/>
    <w:rsid w:val="007E2FBE"/>
    <w:rsid w:val="007E303D"/>
    <w:rsid w:val="007E31A6"/>
    <w:rsid w:val="007E3530"/>
    <w:rsid w:val="007E3593"/>
    <w:rsid w:val="007E384E"/>
    <w:rsid w:val="007E3AE1"/>
    <w:rsid w:val="007E3C08"/>
    <w:rsid w:val="007E3E63"/>
    <w:rsid w:val="007E43A9"/>
    <w:rsid w:val="007E44BC"/>
    <w:rsid w:val="007E4697"/>
    <w:rsid w:val="007E476A"/>
    <w:rsid w:val="007E4BA1"/>
    <w:rsid w:val="007E4CA7"/>
    <w:rsid w:val="007E4D55"/>
    <w:rsid w:val="007E4FE0"/>
    <w:rsid w:val="007E5153"/>
    <w:rsid w:val="007E546E"/>
    <w:rsid w:val="007E55B3"/>
    <w:rsid w:val="007E57E1"/>
    <w:rsid w:val="007E5A37"/>
    <w:rsid w:val="007E5B61"/>
    <w:rsid w:val="007E5D12"/>
    <w:rsid w:val="007E6306"/>
    <w:rsid w:val="007E63D6"/>
    <w:rsid w:val="007E6D8C"/>
    <w:rsid w:val="007E6D99"/>
    <w:rsid w:val="007E736E"/>
    <w:rsid w:val="007E7628"/>
    <w:rsid w:val="007E7755"/>
    <w:rsid w:val="007E7A9B"/>
    <w:rsid w:val="007E7B17"/>
    <w:rsid w:val="007E7BBF"/>
    <w:rsid w:val="007E7C0F"/>
    <w:rsid w:val="007E7C90"/>
    <w:rsid w:val="007E7D99"/>
    <w:rsid w:val="007F02E8"/>
    <w:rsid w:val="007F035E"/>
    <w:rsid w:val="007F03AB"/>
    <w:rsid w:val="007F04BB"/>
    <w:rsid w:val="007F0580"/>
    <w:rsid w:val="007F06E3"/>
    <w:rsid w:val="007F07AD"/>
    <w:rsid w:val="007F0E47"/>
    <w:rsid w:val="007F0FA0"/>
    <w:rsid w:val="007F1827"/>
    <w:rsid w:val="007F1DDC"/>
    <w:rsid w:val="007F1E2C"/>
    <w:rsid w:val="007F202B"/>
    <w:rsid w:val="007F20ED"/>
    <w:rsid w:val="007F2417"/>
    <w:rsid w:val="007F2423"/>
    <w:rsid w:val="007F257A"/>
    <w:rsid w:val="007F2A62"/>
    <w:rsid w:val="007F30D0"/>
    <w:rsid w:val="007F347F"/>
    <w:rsid w:val="007F350C"/>
    <w:rsid w:val="007F352A"/>
    <w:rsid w:val="007F36D0"/>
    <w:rsid w:val="007F3757"/>
    <w:rsid w:val="007F3793"/>
    <w:rsid w:val="007F38A4"/>
    <w:rsid w:val="007F3D04"/>
    <w:rsid w:val="007F3DD3"/>
    <w:rsid w:val="007F3FC8"/>
    <w:rsid w:val="007F4334"/>
    <w:rsid w:val="007F467B"/>
    <w:rsid w:val="007F47FC"/>
    <w:rsid w:val="007F4855"/>
    <w:rsid w:val="007F48DC"/>
    <w:rsid w:val="007F4969"/>
    <w:rsid w:val="007F4989"/>
    <w:rsid w:val="007F4A11"/>
    <w:rsid w:val="007F4A69"/>
    <w:rsid w:val="007F4C22"/>
    <w:rsid w:val="007F50EC"/>
    <w:rsid w:val="007F5213"/>
    <w:rsid w:val="007F5258"/>
    <w:rsid w:val="007F527C"/>
    <w:rsid w:val="007F56AB"/>
    <w:rsid w:val="007F58F3"/>
    <w:rsid w:val="007F5A2E"/>
    <w:rsid w:val="007F5AC9"/>
    <w:rsid w:val="007F619A"/>
    <w:rsid w:val="007F62C2"/>
    <w:rsid w:val="007F62FB"/>
    <w:rsid w:val="007F640A"/>
    <w:rsid w:val="007F642F"/>
    <w:rsid w:val="007F6451"/>
    <w:rsid w:val="007F65EC"/>
    <w:rsid w:val="007F6733"/>
    <w:rsid w:val="007F6856"/>
    <w:rsid w:val="007F7097"/>
    <w:rsid w:val="007F70ED"/>
    <w:rsid w:val="007F7499"/>
    <w:rsid w:val="007F782B"/>
    <w:rsid w:val="007F78BA"/>
    <w:rsid w:val="007F7CAC"/>
    <w:rsid w:val="007F7CDC"/>
    <w:rsid w:val="007F7CFA"/>
    <w:rsid w:val="007F7D9D"/>
    <w:rsid w:val="007F7DC9"/>
    <w:rsid w:val="008003A2"/>
    <w:rsid w:val="008003AC"/>
    <w:rsid w:val="008003B9"/>
    <w:rsid w:val="00800446"/>
    <w:rsid w:val="008005FF"/>
    <w:rsid w:val="00800645"/>
    <w:rsid w:val="00800653"/>
    <w:rsid w:val="0080066D"/>
    <w:rsid w:val="00800C4D"/>
    <w:rsid w:val="00800E54"/>
    <w:rsid w:val="0080113E"/>
    <w:rsid w:val="0080147D"/>
    <w:rsid w:val="008014A3"/>
    <w:rsid w:val="00801817"/>
    <w:rsid w:val="008019AF"/>
    <w:rsid w:val="00801A98"/>
    <w:rsid w:val="00801BC7"/>
    <w:rsid w:val="00801C4E"/>
    <w:rsid w:val="00801D0F"/>
    <w:rsid w:val="0080211F"/>
    <w:rsid w:val="00802270"/>
    <w:rsid w:val="00802296"/>
    <w:rsid w:val="008022C8"/>
    <w:rsid w:val="00802317"/>
    <w:rsid w:val="008027B9"/>
    <w:rsid w:val="00802845"/>
    <w:rsid w:val="00802EC3"/>
    <w:rsid w:val="00802EE8"/>
    <w:rsid w:val="008031C1"/>
    <w:rsid w:val="00803245"/>
    <w:rsid w:val="008034DA"/>
    <w:rsid w:val="00803699"/>
    <w:rsid w:val="008036C8"/>
    <w:rsid w:val="008037AC"/>
    <w:rsid w:val="0080396E"/>
    <w:rsid w:val="00803A1B"/>
    <w:rsid w:val="00803CE2"/>
    <w:rsid w:val="00803EFF"/>
    <w:rsid w:val="008040F9"/>
    <w:rsid w:val="008041D6"/>
    <w:rsid w:val="008042B9"/>
    <w:rsid w:val="008042CA"/>
    <w:rsid w:val="008043B2"/>
    <w:rsid w:val="008044DF"/>
    <w:rsid w:val="008045C4"/>
    <w:rsid w:val="0080463B"/>
    <w:rsid w:val="00804687"/>
    <w:rsid w:val="00804832"/>
    <w:rsid w:val="00804A39"/>
    <w:rsid w:val="00804AD2"/>
    <w:rsid w:val="00804BEA"/>
    <w:rsid w:val="00804BFE"/>
    <w:rsid w:val="00804EC2"/>
    <w:rsid w:val="008051CD"/>
    <w:rsid w:val="00805D81"/>
    <w:rsid w:val="00806346"/>
    <w:rsid w:val="00806730"/>
    <w:rsid w:val="0080682F"/>
    <w:rsid w:val="0080683A"/>
    <w:rsid w:val="00806E68"/>
    <w:rsid w:val="008071C6"/>
    <w:rsid w:val="00807289"/>
    <w:rsid w:val="00807513"/>
    <w:rsid w:val="0080775D"/>
    <w:rsid w:val="00807770"/>
    <w:rsid w:val="0080791A"/>
    <w:rsid w:val="00807B23"/>
    <w:rsid w:val="00807B4E"/>
    <w:rsid w:val="00810049"/>
    <w:rsid w:val="008103B7"/>
    <w:rsid w:val="0081045A"/>
    <w:rsid w:val="0081070F"/>
    <w:rsid w:val="00810990"/>
    <w:rsid w:val="00810A36"/>
    <w:rsid w:val="00810B11"/>
    <w:rsid w:val="00810B25"/>
    <w:rsid w:val="00810BBE"/>
    <w:rsid w:val="00810D94"/>
    <w:rsid w:val="00810DFF"/>
    <w:rsid w:val="00810FD9"/>
    <w:rsid w:val="00811067"/>
    <w:rsid w:val="00811188"/>
    <w:rsid w:val="00811269"/>
    <w:rsid w:val="008112F4"/>
    <w:rsid w:val="008114EE"/>
    <w:rsid w:val="00811530"/>
    <w:rsid w:val="008115D1"/>
    <w:rsid w:val="0081191B"/>
    <w:rsid w:val="00811A09"/>
    <w:rsid w:val="00811F7D"/>
    <w:rsid w:val="008122EA"/>
    <w:rsid w:val="0081269F"/>
    <w:rsid w:val="00812E52"/>
    <w:rsid w:val="00813364"/>
    <w:rsid w:val="00813400"/>
    <w:rsid w:val="008134AD"/>
    <w:rsid w:val="0081365A"/>
    <w:rsid w:val="008138A2"/>
    <w:rsid w:val="008138C8"/>
    <w:rsid w:val="00813B21"/>
    <w:rsid w:val="00813D8B"/>
    <w:rsid w:val="00813FBF"/>
    <w:rsid w:val="0081461A"/>
    <w:rsid w:val="00814893"/>
    <w:rsid w:val="008149B1"/>
    <w:rsid w:val="00814D6B"/>
    <w:rsid w:val="00814EBE"/>
    <w:rsid w:val="00814EFE"/>
    <w:rsid w:val="00814F15"/>
    <w:rsid w:val="00814F22"/>
    <w:rsid w:val="008150FF"/>
    <w:rsid w:val="008155FA"/>
    <w:rsid w:val="00815852"/>
    <w:rsid w:val="00815AD1"/>
    <w:rsid w:val="00816037"/>
    <w:rsid w:val="00816058"/>
    <w:rsid w:val="008161E4"/>
    <w:rsid w:val="008162BE"/>
    <w:rsid w:val="0081648E"/>
    <w:rsid w:val="0081649D"/>
    <w:rsid w:val="008164E1"/>
    <w:rsid w:val="00816641"/>
    <w:rsid w:val="00816893"/>
    <w:rsid w:val="00816B23"/>
    <w:rsid w:val="00816C36"/>
    <w:rsid w:val="00816E32"/>
    <w:rsid w:val="00816FDC"/>
    <w:rsid w:val="008171D1"/>
    <w:rsid w:val="00817301"/>
    <w:rsid w:val="00817326"/>
    <w:rsid w:val="0081753E"/>
    <w:rsid w:val="00817815"/>
    <w:rsid w:val="008178C2"/>
    <w:rsid w:val="008179C1"/>
    <w:rsid w:val="00817AC6"/>
    <w:rsid w:val="00817BF0"/>
    <w:rsid w:val="00817ECA"/>
    <w:rsid w:val="00820071"/>
    <w:rsid w:val="008200B4"/>
    <w:rsid w:val="00820586"/>
    <w:rsid w:val="008207E1"/>
    <w:rsid w:val="00820B50"/>
    <w:rsid w:val="00820C33"/>
    <w:rsid w:val="00820EC6"/>
    <w:rsid w:val="0082109B"/>
    <w:rsid w:val="00821179"/>
    <w:rsid w:val="00821358"/>
    <w:rsid w:val="008213AE"/>
    <w:rsid w:val="008214B5"/>
    <w:rsid w:val="008215E3"/>
    <w:rsid w:val="008215E5"/>
    <w:rsid w:val="0082164F"/>
    <w:rsid w:val="00821843"/>
    <w:rsid w:val="008218BA"/>
    <w:rsid w:val="00821A08"/>
    <w:rsid w:val="00821E5C"/>
    <w:rsid w:val="00821F0A"/>
    <w:rsid w:val="00821F0B"/>
    <w:rsid w:val="00821F75"/>
    <w:rsid w:val="0082205B"/>
    <w:rsid w:val="0082247E"/>
    <w:rsid w:val="008228D2"/>
    <w:rsid w:val="008228D7"/>
    <w:rsid w:val="00822967"/>
    <w:rsid w:val="00822CE5"/>
    <w:rsid w:val="00822D03"/>
    <w:rsid w:val="00822D1A"/>
    <w:rsid w:val="00822D7D"/>
    <w:rsid w:val="00822F45"/>
    <w:rsid w:val="0082348A"/>
    <w:rsid w:val="00823678"/>
    <w:rsid w:val="008239F0"/>
    <w:rsid w:val="00823B00"/>
    <w:rsid w:val="0082413A"/>
    <w:rsid w:val="008241E7"/>
    <w:rsid w:val="008243CD"/>
    <w:rsid w:val="00824568"/>
    <w:rsid w:val="00824574"/>
    <w:rsid w:val="00824626"/>
    <w:rsid w:val="00824633"/>
    <w:rsid w:val="00824910"/>
    <w:rsid w:val="00824955"/>
    <w:rsid w:val="00824B79"/>
    <w:rsid w:val="00824C15"/>
    <w:rsid w:val="00824CE4"/>
    <w:rsid w:val="00824F52"/>
    <w:rsid w:val="008253C6"/>
    <w:rsid w:val="0082556A"/>
    <w:rsid w:val="0082582D"/>
    <w:rsid w:val="00825A28"/>
    <w:rsid w:val="00825C2B"/>
    <w:rsid w:val="00825ECA"/>
    <w:rsid w:val="00825F8C"/>
    <w:rsid w:val="0082645E"/>
    <w:rsid w:val="0082660B"/>
    <w:rsid w:val="008266CF"/>
    <w:rsid w:val="0082689F"/>
    <w:rsid w:val="008268C1"/>
    <w:rsid w:val="00826AC6"/>
    <w:rsid w:val="00826B5F"/>
    <w:rsid w:val="00826D7E"/>
    <w:rsid w:val="00826D8A"/>
    <w:rsid w:val="00826DBB"/>
    <w:rsid w:val="00826FE5"/>
    <w:rsid w:val="008271CD"/>
    <w:rsid w:val="008272C2"/>
    <w:rsid w:val="008274A2"/>
    <w:rsid w:val="00827509"/>
    <w:rsid w:val="0082785D"/>
    <w:rsid w:val="00827924"/>
    <w:rsid w:val="00827BEC"/>
    <w:rsid w:val="00827C1C"/>
    <w:rsid w:val="00827C5C"/>
    <w:rsid w:val="00827D5A"/>
    <w:rsid w:val="00827DA9"/>
    <w:rsid w:val="00830474"/>
    <w:rsid w:val="008305F1"/>
    <w:rsid w:val="00830686"/>
    <w:rsid w:val="00830954"/>
    <w:rsid w:val="00830E2E"/>
    <w:rsid w:val="00830F49"/>
    <w:rsid w:val="00830F84"/>
    <w:rsid w:val="00830F9E"/>
    <w:rsid w:val="0083121F"/>
    <w:rsid w:val="008312F7"/>
    <w:rsid w:val="0083153B"/>
    <w:rsid w:val="008315F0"/>
    <w:rsid w:val="00831848"/>
    <w:rsid w:val="0083185E"/>
    <w:rsid w:val="008318E0"/>
    <w:rsid w:val="00831A1D"/>
    <w:rsid w:val="00831C0C"/>
    <w:rsid w:val="00831E72"/>
    <w:rsid w:val="00832026"/>
    <w:rsid w:val="0083220D"/>
    <w:rsid w:val="008323A0"/>
    <w:rsid w:val="008323AC"/>
    <w:rsid w:val="008326C6"/>
    <w:rsid w:val="008327DF"/>
    <w:rsid w:val="008328E7"/>
    <w:rsid w:val="00832AC4"/>
    <w:rsid w:val="00832D20"/>
    <w:rsid w:val="00832D5F"/>
    <w:rsid w:val="00832DB7"/>
    <w:rsid w:val="008335A2"/>
    <w:rsid w:val="00833AEE"/>
    <w:rsid w:val="00834701"/>
    <w:rsid w:val="00834961"/>
    <w:rsid w:val="00834BF7"/>
    <w:rsid w:val="00834CFA"/>
    <w:rsid w:val="008350C3"/>
    <w:rsid w:val="008354B8"/>
    <w:rsid w:val="0083554C"/>
    <w:rsid w:val="008355D4"/>
    <w:rsid w:val="00835744"/>
    <w:rsid w:val="00835BE4"/>
    <w:rsid w:val="00835E10"/>
    <w:rsid w:val="00835F22"/>
    <w:rsid w:val="0083610E"/>
    <w:rsid w:val="008361A9"/>
    <w:rsid w:val="008361DC"/>
    <w:rsid w:val="008363F5"/>
    <w:rsid w:val="008364EE"/>
    <w:rsid w:val="0083651E"/>
    <w:rsid w:val="0083664E"/>
    <w:rsid w:val="00836A4B"/>
    <w:rsid w:val="00836A54"/>
    <w:rsid w:val="00836DCA"/>
    <w:rsid w:val="00836DFF"/>
    <w:rsid w:val="00836E81"/>
    <w:rsid w:val="0083710F"/>
    <w:rsid w:val="008372F7"/>
    <w:rsid w:val="008372FA"/>
    <w:rsid w:val="008375D5"/>
    <w:rsid w:val="00837A1B"/>
    <w:rsid w:val="00837CD8"/>
    <w:rsid w:val="00837CF0"/>
    <w:rsid w:val="00837FB0"/>
    <w:rsid w:val="008402CF"/>
    <w:rsid w:val="00840541"/>
    <w:rsid w:val="00840722"/>
    <w:rsid w:val="00840770"/>
    <w:rsid w:val="008407C8"/>
    <w:rsid w:val="00840A38"/>
    <w:rsid w:val="00840B8A"/>
    <w:rsid w:val="00840D48"/>
    <w:rsid w:val="00841079"/>
    <w:rsid w:val="008412F6"/>
    <w:rsid w:val="00841338"/>
    <w:rsid w:val="0084140C"/>
    <w:rsid w:val="00841513"/>
    <w:rsid w:val="0084168E"/>
    <w:rsid w:val="0084193F"/>
    <w:rsid w:val="00841B8F"/>
    <w:rsid w:val="00841CDB"/>
    <w:rsid w:val="00841D26"/>
    <w:rsid w:val="00841F2F"/>
    <w:rsid w:val="00841F97"/>
    <w:rsid w:val="00842270"/>
    <w:rsid w:val="008424F7"/>
    <w:rsid w:val="00842862"/>
    <w:rsid w:val="00842958"/>
    <w:rsid w:val="00842A77"/>
    <w:rsid w:val="00842AD5"/>
    <w:rsid w:val="00842EC2"/>
    <w:rsid w:val="00842FED"/>
    <w:rsid w:val="00843134"/>
    <w:rsid w:val="008431AA"/>
    <w:rsid w:val="008431CE"/>
    <w:rsid w:val="0084321C"/>
    <w:rsid w:val="00843294"/>
    <w:rsid w:val="008437ED"/>
    <w:rsid w:val="00843827"/>
    <w:rsid w:val="00843890"/>
    <w:rsid w:val="00843C03"/>
    <w:rsid w:val="00843DFE"/>
    <w:rsid w:val="008440AC"/>
    <w:rsid w:val="00844180"/>
    <w:rsid w:val="0084425D"/>
    <w:rsid w:val="00844269"/>
    <w:rsid w:val="00844319"/>
    <w:rsid w:val="00844378"/>
    <w:rsid w:val="00844508"/>
    <w:rsid w:val="0084464A"/>
    <w:rsid w:val="00844732"/>
    <w:rsid w:val="00844CE4"/>
    <w:rsid w:val="00844D39"/>
    <w:rsid w:val="00844D98"/>
    <w:rsid w:val="00845366"/>
    <w:rsid w:val="008455E8"/>
    <w:rsid w:val="0084563C"/>
    <w:rsid w:val="0084575D"/>
    <w:rsid w:val="00845778"/>
    <w:rsid w:val="0084590A"/>
    <w:rsid w:val="00845CEE"/>
    <w:rsid w:val="00845E1D"/>
    <w:rsid w:val="00845F1B"/>
    <w:rsid w:val="00845FD4"/>
    <w:rsid w:val="00846395"/>
    <w:rsid w:val="008466D9"/>
    <w:rsid w:val="00846705"/>
    <w:rsid w:val="0084695F"/>
    <w:rsid w:val="00846A3B"/>
    <w:rsid w:val="00846AA8"/>
    <w:rsid w:val="00846B1D"/>
    <w:rsid w:val="00846E4B"/>
    <w:rsid w:val="00846E6F"/>
    <w:rsid w:val="00846F3D"/>
    <w:rsid w:val="008471B8"/>
    <w:rsid w:val="00847232"/>
    <w:rsid w:val="0084743B"/>
    <w:rsid w:val="00847681"/>
    <w:rsid w:val="008477B3"/>
    <w:rsid w:val="00847BA7"/>
    <w:rsid w:val="00847CA0"/>
    <w:rsid w:val="00847CC8"/>
    <w:rsid w:val="00847CD3"/>
    <w:rsid w:val="00847DB4"/>
    <w:rsid w:val="0085012B"/>
    <w:rsid w:val="008502A8"/>
    <w:rsid w:val="00850489"/>
    <w:rsid w:val="00850945"/>
    <w:rsid w:val="00850A51"/>
    <w:rsid w:val="00850B1A"/>
    <w:rsid w:val="00850B93"/>
    <w:rsid w:val="00850ECF"/>
    <w:rsid w:val="00851123"/>
    <w:rsid w:val="00851350"/>
    <w:rsid w:val="00851691"/>
    <w:rsid w:val="008517EB"/>
    <w:rsid w:val="00851DCD"/>
    <w:rsid w:val="00851EE7"/>
    <w:rsid w:val="00851F16"/>
    <w:rsid w:val="008524F2"/>
    <w:rsid w:val="00852786"/>
    <w:rsid w:val="008527EA"/>
    <w:rsid w:val="00852802"/>
    <w:rsid w:val="00852988"/>
    <w:rsid w:val="00852A2C"/>
    <w:rsid w:val="00852AAB"/>
    <w:rsid w:val="00852AF2"/>
    <w:rsid w:val="00852B73"/>
    <w:rsid w:val="0085316C"/>
    <w:rsid w:val="008532B4"/>
    <w:rsid w:val="008535A5"/>
    <w:rsid w:val="008535E6"/>
    <w:rsid w:val="00853629"/>
    <w:rsid w:val="008538E9"/>
    <w:rsid w:val="00853B26"/>
    <w:rsid w:val="00853C18"/>
    <w:rsid w:val="00853D2E"/>
    <w:rsid w:val="00853FA7"/>
    <w:rsid w:val="0085405D"/>
    <w:rsid w:val="008541E2"/>
    <w:rsid w:val="008543C6"/>
    <w:rsid w:val="00854439"/>
    <w:rsid w:val="00854B37"/>
    <w:rsid w:val="00854DD8"/>
    <w:rsid w:val="00854FD1"/>
    <w:rsid w:val="008550F0"/>
    <w:rsid w:val="008552D9"/>
    <w:rsid w:val="0085545C"/>
    <w:rsid w:val="00855748"/>
    <w:rsid w:val="008557F2"/>
    <w:rsid w:val="008559A7"/>
    <w:rsid w:val="00855A01"/>
    <w:rsid w:val="00855A82"/>
    <w:rsid w:val="00855D04"/>
    <w:rsid w:val="00855EF4"/>
    <w:rsid w:val="00855F55"/>
    <w:rsid w:val="00856194"/>
    <w:rsid w:val="008564A4"/>
    <w:rsid w:val="008566B1"/>
    <w:rsid w:val="008567A9"/>
    <w:rsid w:val="008567D5"/>
    <w:rsid w:val="0085688A"/>
    <w:rsid w:val="00856911"/>
    <w:rsid w:val="00856EE4"/>
    <w:rsid w:val="00856F77"/>
    <w:rsid w:val="00856F8F"/>
    <w:rsid w:val="0085700F"/>
    <w:rsid w:val="00857334"/>
    <w:rsid w:val="00857473"/>
    <w:rsid w:val="008574B3"/>
    <w:rsid w:val="00857720"/>
    <w:rsid w:val="00857A83"/>
    <w:rsid w:val="00857AB6"/>
    <w:rsid w:val="00857ACD"/>
    <w:rsid w:val="00857ECD"/>
    <w:rsid w:val="008600C9"/>
    <w:rsid w:val="008601EF"/>
    <w:rsid w:val="008603B3"/>
    <w:rsid w:val="0086077D"/>
    <w:rsid w:val="00860781"/>
    <w:rsid w:val="00860914"/>
    <w:rsid w:val="00860DEC"/>
    <w:rsid w:val="00861136"/>
    <w:rsid w:val="0086134D"/>
    <w:rsid w:val="008613FF"/>
    <w:rsid w:val="00861414"/>
    <w:rsid w:val="0086167D"/>
    <w:rsid w:val="00861980"/>
    <w:rsid w:val="0086199C"/>
    <w:rsid w:val="00861AB4"/>
    <w:rsid w:val="00861C1A"/>
    <w:rsid w:val="00861F0B"/>
    <w:rsid w:val="00862092"/>
    <w:rsid w:val="00862159"/>
    <w:rsid w:val="0086227C"/>
    <w:rsid w:val="00862387"/>
    <w:rsid w:val="008626A5"/>
    <w:rsid w:val="008627D4"/>
    <w:rsid w:val="00862B0D"/>
    <w:rsid w:val="00862BAE"/>
    <w:rsid w:val="00862C73"/>
    <w:rsid w:val="00862D62"/>
    <w:rsid w:val="008632A2"/>
    <w:rsid w:val="008632D0"/>
    <w:rsid w:val="008640A7"/>
    <w:rsid w:val="0086499A"/>
    <w:rsid w:val="00864C81"/>
    <w:rsid w:val="00864EAF"/>
    <w:rsid w:val="00864EFE"/>
    <w:rsid w:val="00864F1F"/>
    <w:rsid w:val="008651BC"/>
    <w:rsid w:val="0086537A"/>
    <w:rsid w:val="008654BC"/>
    <w:rsid w:val="008656F3"/>
    <w:rsid w:val="0086580A"/>
    <w:rsid w:val="00865D89"/>
    <w:rsid w:val="00865E1C"/>
    <w:rsid w:val="00866139"/>
    <w:rsid w:val="008661CE"/>
    <w:rsid w:val="00866443"/>
    <w:rsid w:val="00866452"/>
    <w:rsid w:val="008669CA"/>
    <w:rsid w:val="00866B2D"/>
    <w:rsid w:val="00866CA3"/>
    <w:rsid w:val="00866CEC"/>
    <w:rsid w:val="00867052"/>
    <w:rsid w:val="0086712E"/>
    <w:rsid w:val="0086729B"/>
    <w:rsid w:val="008672D9"/>
    <w:rsid w:val="00867320"/>
    <w:rsid w:val="0086740B"/>
    <w:rsid w:val="0086759E"/>
    <w:rsid w:val="008677D0"/>
    <w:rsid w:val="00867C4B"/>
    <w:rsid w:val="00867CA3"/>
    <w:rsid w:val="00867E04"/>
    <w:rsid w:val="00867EBA"/>
    <w:rsid w:val="00870297"/>
    <w:rsid w:val="0087064E"/>
    <w:rsid w:val="00870725"/>
    <w:rsid w:val="00870877"/>
    <w:rsid w:val="00870952"/>
    <w:rsid w:val="00870B71"/>
    <w:rsid w:val="00870B7B"/>
    <w:rsid w:val="00870E83"/>
    <w:rsid w:val="00870F4C"/>
    <w:rsid w:val="00871208"/>
    <w:rsid w:val="00871395"/>
    <w:rsid w:val="00871B0E"/>
    <w:rsid w:val="00871FDE"/>
    <w:rsid w:val="00872014"/>
    <w:rsid w:val="008720F7"/>
    <w:rsid w:val="00872130"/>
    <w:rsid w:val="008721B7"/>
    <w:rsid w:val="00872238"/>
    <w:rsid w:val="00872548"/>
    <w:rsid w:val="008725AF"/>
    <w:rsid w:val="00872619"/>
    <w:rsid w:val="008726C8"/>
    <w:rsid w:val="00872785"/>
    <w:rsid w:val="00872B3D"/>
    <w:rsid w:val="00872D8E"/>
    <w:rsid w:val="00872DEE"/>
    <w:rsid w:val="00872E26"/>
    <w:rsid w:val="00872EE8"/>
    <w:rsid w:val="00873142"/>
    <w:rsid w:val="00873361"/>
    <w:rsid w:val="00873448"/>
    <w:rsid w:val="008736C6"/>
    <w:rsid w:val="00873872"/>
    <w:rsid w:val="008738A6"/>
    <w:rsid w:val="00873B29"/>
    <w:rsid w:val="00873B60"/>
    <w:rsid w:val="00873BC0"/>
    <w:rsid w:val="00873E05"/>
    <w:rsid w:val="00874029"/>
    <w:rsid w:val="00874064"/>
    <w:rsid w:val="00874270"/>
    <w:rsid w:val="00874766"/>
    <w:rsid w:val="00874892"/>
    <w:rsid w:val="008749CF"/>
    <w:rsid w:val="00874C13"/>
    <w:rsid w:val="00874C5C"/>
    <w:rsid w:val="00874C9D"/>
    <w:rsid w:val="0087537F"/>
    <w:rsid w:val="008753EA"/>
    <w:rsid w:val="008758BB"/>
    <w:rsid w:val="00875AD8"/>
    <w:rsid w:val="00875B55"/>
    <w:rsid w:val="00875BFA"/>
    <w:rsid w:val="00875D1A"/>
    <w:rsid w:val="00875D25"/>
    <w:rsid w:val="00875EC5"/>
    <w:rsid w:val="0087600D"/>
    <w:rsid w:val="0087616A"/>
    <w:rsid w:val="00876320"/>
    <w:rsid w:val="00876476"/>
    <w:rsid w:val="008764D4"/>
    <w:rsid w:val="00876848"/>
    <w:rsid w:val="008768AD"/>
    <w:rsid w:val="00876B64"/>
    <w:rsid w:val="00876D45"/>
    <w:rsid w:val="00876F40"/>
    <w:rsid w:val="00876F4C"/>
    <w:rsid w:val="008770A4"/>
    <w:rsid w:val="00877302"/>
    <w:rsid w:val="008773E9"/>
    <w:rsid w:val="00877778"/>
    <w:rsid w:val="00877804"/>
    <w:rsid w:val="00877A31"/>
    <w:rsid w:val="00877CD9"/>
    <w:rsid w:val="00877D31"/>
    <w:rsid w:val="00877EC4"/>
    <w:rsid w:val="00877F41"/>
    <w:rsid w:val="008800E0"/>
    <w:rsid w:val="0088037E"/>
    <w:rsid w:val="008804AD"/>
    <w:rsid w:val="008808FA"/>
    <w:rsid w:val="00880BE5"/>
    <w:rsid w:val="00880F25"/>
    <w:rsid w:val="00880F89"/>
    <w:rsid w:val="0088104B"/>
    <w:rsid w:val="0088111F"/>
    <w:rsid w:val="0088112C"/>
    <w:rsid w:val="0088120F"/>
    <w:rsid w:val="00881213"/>
    <w:rsid w:val="00881730"/>
    <w:rsid w:val="00881A41"/>
    <w:rsid w:val="00881C6D"/>
    <w:rsid w:val="00881D25"/>
    <w:rsid w:val="00881F2B"/>
    <w:rsid w:val="00881FA6"/>
    <w:rsid w:val="008825C9"/>
    <w:rsid w:val="00882919"/>
    <w:rsid w:val="0088296D"/>
    <w:rsid w:val="00882B81"/>
    <w:rsid w:val="00882B8B"/>
    <w:rsid w:val="00882B9B"/>
    <w:rsid w:val="00882D4D"/>
    <w:rsid w:val="00882E01"/>
    <w:rsid w:val="00882E04"/>
    <w:rsid w:val="00882F4E"/>
    <w:rsid w:val="00883157"/>
    <w:rsid w:val="0088390C"/>
    <w:rsid w:val="00883E01"/>
    <w:rsid w:val="00883ECD"/>
    <w:rsid w:val="00884D2C"/>
    <w:rsid w:val="00884E3F"/>
    <w:rsid w:val="008850CD"/>
    <w:rsid w:val="008850F2"/>
    <w:rsid w:val="008853E0"/>
    <w:rsid w:val="00885C24"/>
    <w:rsid w:val="00885C62"/>
    <w:rsid w:val="00885C9C"/>
    <w:rsid w:val="00885EA8"/>
    <w:rsid w:val="00885F40"/>
    <w:rsid w:val="00885F4D"/>
    <w:rsid w:val="00885FAA"/>
    <w:rsid w:val="008860C7"/>
    <w:rsid w:val="008861B1"/>
    <w:rsid w:val="0088648C"/>
    <w:rsid w:val="00886545"/>
    <w:rsid w:val="008867D5"/>
    <w:rsid w:val="00886939"/>
    <w:rsid w:val="00886AF1"/>
    <w:rsid w:val="00886B4B"/>
    <w:rsid w:val="00886C24"/>
    <w:rsid w:val="00886DC7"/>
    <w:rsid w:val="0088766C"/>
    <w:rsid w:val="0088773E"/>
    <w:rsid w:val="00887820"/>
    <w:rsid w:val="00890257"/>
    <w:rsid w:val="0089072E"/>
    <w:rsid w:val="008908CF"/>
    <w:rsid w:val="00890979"/>
    <w:rsid w:val="008909B0"/>
    <w:rsid w:val="00890B2E"/>
    <w:rsid w:val="00890D65"/>
    <w:rsid w:val="00890EB5"/>
    <w:rsid w:val="0089115A"/>
    <w:rsid w:val="0089116C"/>
    <w:rsid w:val="0089117A"/>
    <w:rsid w:val="00891282"/>
    <w:rsid w:val="008914BD"/>
    <w:rsid w:val="0089156A"/>
    <w:rsid w:val="008916EC"/>
    <w:rsid w:val="00891FEE"/>
    <w:rsid w:val="008924C8"/>
    <w:rsid w:val="008927BB"/>
    <w:rsid w:val="00892B0F"/>
    <w:rsid w:val="00892FDA"/>
    <w:rsid w:val="008931F0"/>
    <w:rsid w:val="008934E9"/>
    <w:rsid w:val="0089367D"/>
    <w:rsid w:val="0089376C"/>
    <w:rsid w:val="008937A0"/>
    <w:rsid w:val="00893AF6"/>
    <w:rsid w:val="00893BEA"/>
    <w:rsid w:val="00893F04"/>
    <w:rsid w:val="00894044"/>
    <w:rsid w:val="00894183"/>
    <w:rsid w:val="008945E2"/>
    <w:rsid w:val="008945ED"/>
    <w:rsid w:val="00894799"/>
    <w:rsid w:val="0089484B"/>
    <w:rsid w:val="0089489D"/>
    <w:rsid w:val="00894A73"/>
    <w:rsid w:val="00894A96"/>
    <w:rsid w:val="00894DEF"/>
    <w:rsid w:val="00895020"/>
    <w:rsid w:val="00895284"/>
    <w:rsid w:val="00895374"/>
    <w:rsid w:val="00895748"/>
    <w:rsid w:val="0089585C"/>
    <w:rsid w:val="008958E0"/>
    <w:rsid w:val="00895D25"/>
    <w:rsid w:val="00895D6E"/>
    <w:rsid w:val="00895F2D"/>
    <w:rsid w:val="00896152"/>
    <w:rsid w:val="008961FE"/>
    <w:rsid w:val="00896395"/>
    <w:rsid w:val="00896423"/>
    <w:rsid w:val="0089642D"/>
    <w:rsid w:val="00896572"/>
    <w:rsid w:val="008968D0"/>
    <w:rsid w:val="00896A7E"/>
    <w:rsid w:val="00896C27"/>
    <w:rsid w:val="00896C32"/>
    <w:rsid w:val="00896E02"/>
    <w:rsid w:val="00896FAE"/>
    <w:rsid w:val="0089714D"/>
    <w:rsid w:val="008973FE"/>
    <w:rsid w:val="00897461"/>
    <w:rsid w:val="0089759A"/>
    <w:rsid w:val="008975C1"/>
    <w:rsid w:val="008975C4"/>
    <w:rsid w:val="008976F9"/>
    <w:rsid w:val="0089792E"/>
    <w:rsid w:val="00897C77"/>
    <w:rsid w:val="00897EC5"/>
    <w:rsid w:val="008A00B2"/>
    <w:rsid w:val="008A02E4"/>
    <w:rsid w:val="008A0450"/>
    <w:rsid w:val="008A08C6"/>
    <w:rsid w:val="008A08E0"/>
    <w:rsid w:val="008A0A2E"/>
    <w:rsid w:val="008A0C1F"/>
    <w:rsid w:val="008A0CB9"/>
    <w:rsid w:val="008A0D54"/>
    <w:rsid w:val="008A0E93"/>
    <w:rsid w:val="008A0E97"/>
    <w:rsid w:val="008A0FEF"/>
    <w:rsid w:val="008A1042"/>
    <w:rsid w:val="008A10D8"/>
    <w:rsid w:val="008A18C6"/>
    <w:rsid w:val="008A1EFA"/>
    <w:rsid w:val="008A2123"/>
    <w:rsid w:val="008A214D"/>
    <w:rsid w:val="008A22D2"/>
    <w:rsid w:val="008A24CA"/>
    <w:rsid w:val="008A2870"/>
    <w:rsid w:val="008A28CD"/>
    <w:rsid w:val="008A2943"/>
    <w:rsid w:val="008A2A9A"/>
    <w:rsid w:val="008A2F2F"/>
    <w:rsid w:val="008A2F47"/>
    <w:rsid w:val="008A30E0"/>
    <w:rsid w:val="008A3159"/>
    <w:rsid w:val="008A3587"/>
    <w:rsid w:val="008A3752"/>
    <w:rsid w:val="008A3887"/>
    <w:rsid w:val="008A3979"/>
    <w:rsid w:val="008A3F45"/>
    <w:rsid w:val="008A43DB"/>
    <w:rsid w:val="008A4432"/>
    <w:rsid w:val="008A4443"/>
    <w:rsid w:val="008A4569"/>
    <w:rsid w:val="008A464B"/>
    <w:rsid w:val="008A46F4"/>
    <w:rsid w:val="008A47D0"/>
    <w:rsid w:val="008A4BE4"/>
    <w:rsid w:val="008A4E08"/>
    <w:rsid w:val="008A4E80"/>
    <w:rsid w:val="008A4F3A"/>
    <w:rsid w:val="008A4FCF"/>
    <w:rsid w:val="008A4FDA"/>
    <w:rsid w:val="008A50CA"/>
    <w:rsid w:val="008A51F9"/>
    <w:rsid w:val="008A5518"/>
    <w:rsid w:val="008A5645"/>
    <w:rsid w:val="008A58A9"/>
    <w:rsid w:val="008A594F"/>
    <w:rsid w:val="008A59DE"/>
    <w:rsid w:val="008A5E0B"/>
    <w:rsid w:val="008A5EC4"/>
    <w:rsid w:val="008A5F74"/>
    <w:rsid w:val="008A608B"/>
    <w:rsid w:val="008A6178"/>
    <w:rsid w:val="008A61E3"/>
    <w:rsid w:val="008A63CB"/>
    <w:rsid w:val="008A6717"/>
    <w:rsid w:val="008A671F"/>
    <w:rsid w:val="008A6B84"/>
    <w:rsid w:val="008A6F4D"/>
    <w:rsid w:val="008A6FBF"/>
    <w:rsid w:val="008A7014"/>
    <w:rsid w:val="008A7201"/>
    <w:rsid w:val="008A729F"/>
    <w:rsid w:val="008A74D2"/>
    <w:rsid w:val="008A7667"/>
    <w:rsid w:val="008A777E"/>
    <w:rsid w:val="008A7A1D"/>
    <w:rsid w:val="008A7A35"/>
    <w:rsid w:val="008A7C72"/>
    <w:rsid w:val="008A7DF1"/>
    <w:rsid w:val="008A7F09"/>
    <w:rsid w:val="008A7FD0"/>
    <w:rsid w:val="008B03BC"/>
    <w:rsid w:val="008B080E"/>
    <w:rsid w:val="008B0B9D"/>
    <w:rsid w:val="008B0E4A"/>
    <w:rsid w:val="008B0F6C"/>
    <w:rsid w:val="008B129E"/>
    <w:rsid w:val="008B14BC"/>
    <w:rsid w:val="008B181B"/>
    <w:rsid w:val="008B1B76"/>
    <w:rsid w:val="008B1BDE"/>
    <w:rsid w:val="008B1E5B"/>
    <w:rsid w:val="008B1F83"/>
    <w:rsid w:val="008B2033"/>
    <w:rsid w:val="008B22B0"/>
    <w:rsid w:val="008B2402"/>
    <w:rsid w:val="008B241A"/>
    <w:rsid w:val="008B2765"/>
    <w:rsid w:val="008B2A33"/>
    <w:rsid w:val="008B2AB4"/>
    <w:rsid w:val="008B2CC3"/>
    <w:rsid w:val="008B2D4A"/>
    <w:rsid w:val="008B2DC4"/>
    <w:rsid w:val="008B2DF7"/>
    <w:rsid w:val="008B2E40"/>
    <w:rsid w:val="008B2ED7"/>
    <w:rsid w:val="008B2FE7"/>
    <w:rsid w:val="008B35B7"/>
    <w:rsid w:val="008B3631"/>
    <w:rsid w:val="008B364E"/>
    <w:rsid w:val="008B373D"/>
    <w:rsid w:val="008B3976"/>
    <w:rsid w:val="008B3C26"/>
    <w:rsid w:val="008B4099"/>
    <w:rsid w:val="008B438F"/>
    <w:rsid w:val="008B4484"/>
    <w:rsid w:val="008B455E"/>
    <w:rsid w:val="008B45FB"/>
    <w:rsid w:val="008B4676"/>
    <w:rsid w:val="008B4853"/>
    <w:rsid w:val="008B514A"/>
    <w:rsid w:val="008B553D"/>
    <w:rsid w:val="008B56FE"/>
    <w:rsid w:val="008B574D"/>
    <w:rsid w:val="008B587A"/>
    <w:rsid w:val="008B58B3"/>
    <w:rsid w:val="008B58DC"/>
    <w:rsid w:val="008B5A3E"/>
    <w:rsid w:val="008B5BC1"/>
    <w:rsid w:val="008B5CF8"/>
    <w:rsid w:val="008B5D3D"/>
    <w:rsid w:val="008B692D"/>
    <w:rsid w:val="008B6932"/>
    <w:rsid w:val="008B6A7C"/>
    <w:rsid w:val="008B6D3D"/>
    <w:rsid w:val="008B71C8"/>
    <w:rsid w:val="008B72C4"/>
    <w:rsid w:val="008B73E2"/>
    <w:rsid w:val="008B7734"/>
    <w:rsid w:val="008B7883"/>
    <w:rsid w:val="008B79A7"/>
    <w:rsid w:val="008B7AAF"/>
    <w:rsid w:val="008B7F6E"/>
    <w:rsid w:val="008C0034"/>
    <w:rsid w:val="008C00E8"/>
    <w:rsid w:val="008C0119"/>
    <w:rsid w:val="008C01AF"/>
    <w:rsid w:val="008C01BF"/>
    <w:rsid w:val="008C0351"/>
    <w:rsid w:val="008C0472"/>
    <w:rsid w:val="008C0567"/>
    <w:rsid w:val="008C057E"/>
    <w:rsid w:val="008C08CA"/>
    <w:rsid w:val="008C0968"/>
    <w:rsid w:val="008C0AA8"/>
    <w:rsid w:val="008C0B53"/>
    <w:rsid w:val="008C1AEA"/>
    <w:rsid w:val="008C1B64"/>
    <w:rsid w:val="008C1DEC"/>
    <w:rsid w:val="008C2149"/>
    <w:rsid w:val="008C22C9"/>
    <w:rsid w:val="008C23C5"/>
    <w:rsid w:val="008C24F7"/>
    <w:rsid w:val="008C24FF"/>
    <w:rsid w:val="008C25B4"/>
    <w:rsid w:val="008C2B34"/>
    <w:rsid w:val="008C2B6B"/>
    <w:rsid w:val="008C2D68"/>
    <w:rsid w:val="008C2FCE"/>
    <w:rsid w:val="008C325A"/>
    <w:rsid w:val="008C392E"/>
    <w:rsid w:val="008C3A53"/>
    <w:rsid w:val="008C4295"/>
    <w:rsid w:val="008C4452"/>
    <w:rsid w:val="008C4570"/>
    <w:rsid w:val="008C48FB"/>
    <w:rsid w:val="008C49FE"/>
    <w:rsid w:val="008C4C96"/>
    <w:rsid w:val="008C4D3A"/>
    <w:rsid w:val="008C4E6C"/>
    <w:rsid w:val="008C5032"/>
    <w:rsid w:val="008C5298"/>
    <w:rsid w:val="008C5307"/>
    <w:rsid w:val="008C54FC"/>
    <w:rsid w:val="008C5507"/>
    <w:rsid w:val="008C55CB"/>
    <w:rsid w:val="008C5716"/>
    <w:rsid w:val="008C57AC"/>
    <w:rsid w:val="008C57CE"/>
    <w:rsid w:val="008C5B20"/>
    <w:rsid w:val="008C5B72"/>
    <w:rsid w:val="008C5DAA"/>
    <w:rsid w:val="008C5E0B"/>
    <w:rsid w:val="008C5F7F"/>
    <w:rsid w:val="008C5FAC"/>
    <w:rsid w:val="008C624C"/>
    <w:rsid w:val="008C62E5"/>
    <w:rsid w:val="008C6564"/>
    <w:rsid w:val="008C661F"/>
    <w:rsid w:val="008C6785"/>
    <w:rsid w:val="008C6A52"/>
    <w:rsid w:val="008C6BD0"/>
    <w:rsid w:val="008C6C60"/>
    <w:rsid w:val="008C6CC6"/>
    <w:rsid w:val="008C6D9A"/>
    <w:rsid w:val="008C6DEB"/>
    <w:rsid w:val="008C6DF3"/>
    <w:rsid w:val="008C6DF6"/>
    <w:rsid w:val="008C74D3"/>
    <w:rsid w:val="008C74FA"/>
    <w:rsid w:val="008C77F3"/>
    <w:rsid w:val="008C7EBC"/>
    <w:rsid w:val="008D0006"/>
    <w:rsid w:val="008D00B9"/>
    <w:rsid w:val="008D02A0"/>
    <w:rsid w:val="008D04C8"/>
    <w:rsid w:val="008D0663"/>
    <w:rsid w:val="008D0720"/>
    <w:rsid w:val="008D0909"/>
    <w:rsid w:val="008D093C"/>
    <w:rsid w:val="008D0A5F"/>
    <w:rsid w:val="008D0A6C"/>
    <w:rsid w:val="008D0B52"/>
    <w:rsid w:val="008D0CAC"/>
    <w:rsid w:val="008D11AE"/>
    <w:rsid w:val="008D1625"/>
    <w:rsid w:val="008D16B4"/>
    <w:rsid w:val="008D16F3"/>
    <w:rsid w:val="008D186D"/>
    <w:rsid w:val="008D1970"/>
    <w:rsid w:val="008D1978"/>
    <w:rsid w:val="008D1980"/>
    <w:rsid w:val="008D1E18"/>
    <w:rsid w:val="008D1E2D"/>
    <w:rsid w:val="008D1EA0"/>
    <w:rsid w:val="008D1F84"/>
    <w:rsid w:val="008D2199"/>
    <w:rsid w:val="008D2571"/>
    <w:rsid w:val="008D273E"/>
    <w:rsid w:val="008D2838"/>
    <w:rsid w:val="008D292F"/>
    <w:rsid w:val="008D2C58"/>
    <w:rsid w:val="008D2DA4"/>
    <w:rsid w:val="008D2E9C"/>
    <w:rsid w:val="008D3617"/>
    <w:rsid w:val="008D365F"/>
    <w:rsid w:val="008D36F2"/>
    <w:rsid w:val="008D396B"/>
    <w:rsid w:val="008D3BF5"/>
    <w:rsid w:val="008D3C6A"/>
    <w:rsid w:val="008D3DAB"/>
    <w:rsid w:val="008D3EC5"/>
    <w:rsid w:val="008D402D"/>
    <w:rsid w:val="008D40F7"/>
    <w:rsid w:val="008D41D7"/>
    <w:rsid w:val="008D46CF"/>
    <w:rsid w:val="008D46D1"/>
    <w:rsid w:val="008D494A"/>
    <w:rsid w:val="008D49BC"/>
    <w:rsid w:val="008D4D06"/>
    <w:rsid w:val="008D4E7B"/>
    <w:rsid w:val="008D5099"/>
    <w:rsid w:val="008D5247"/>
    <w:rsid w:val="008D53F6"/>
    <w:rsid w:val="008D5727"/>
    <w:rsid w:val="008D5A39"/>
    <w:rsid w:val="008D5A4D"/>
    <w:rsid w:val="008D5B45"/>
    <w:rsid w:val="008D5C05"/>
    <w:rsid w:val="008D5D1F"/>
    <w:rsid w:val="008D5F0E"/>
    <w:rsid w:val="008D5F51"/>
    <w:rsid w:val="008D60EE"/>
    <w:rsid w:val="008D61F1"/>
    <w:rsid w:val="008D662F"/>
    <w:rsid w:val="008D6976"/>
    <w:rsid w:val="008D6B19"/>
    <w:rsid w:val="008D6B2C"/>
    <w:rsid w:val="008D6BE4"/>
    <w:rsid w:val="008D6CC7"/>
    <w:rsid w:val="008D6DB9"/>
    <w:rsid w:val="008D6EF0"/>
    <w:rsid w:val="008D7081"/>
    <w:rsid w:val="008D7446"/>
    <w:rsid w:val="008D7584"/>
    <w:rsid w:val="008D7702"/>
    <w:rsid w:val="008D7E34"/>
    <w:rsid w:val="008D7F3E"/>
    <w:rsid w:val="008D7FE1"/>
    <w:rsid w:val="008E0231"/>
    <w:rsid w:val="008E028C"/>
    <w:rsid w:val="008E05EE"/>
    <w:rsid w:val="008E0876"/>
    <w:rsid w:val="008E08A7"/>
    <w:rsid w:val="008E0AE8"/>
    <w:rsid w:val="008E0C3E"/>
    <w:rsid w:val="008E127D"/>
    <w:rsid w:val="008E12FC"/>
    <w:rsid w:val="008E16A6"/>
    <w:rsid w:val="008E170B"/>
    <w:rsid w:val="008E1922"/>
    <w:rsid w:val="008E1988"/>
    <w:rsid w:val="008E1C76"/>
    <w:rsid w:val="008E1D54"/>
    <w:rsid w:val="008E1D58"/>
    <w:rsid w:val="008E1D97"/>
    <w:rsid w:val="008E1DE4"/>
    <w:rsid w:val="008E1EF4"/>
    <w:rsid w:val="008E1FF2"/>
    <w:rsid w:val="008E22D6"/>
    <w:rsid w:val="008E2312"/>
    <w:rsid w:val="008E248A"/>
    <w:rsid w:val="008E2563"/>
    <w:rsid w:val="008E257F"/>
    <w:rsid w:val="008E27FF"/>
    <w:rsid w:val="008E281D"/>
    <w:rsid w:val="008E2980"/>
    <w:rsid w:val="008E299C"/>
    <w:rsid w:val="008E2B07"/>
    <w:rsid w:val="008E2C7F"/>
    <w:rsid w:val="008E2CFB"/>
    <w:rsid w:val="008E2ECB"/>
    <w:rsid w:val="008E2F07"/>
    <w:rsid w:val="008E2F8C"/>
    <w:rsid w:val="008E2F8E"/>
    <w:rsid w:val="008E3002"/>
    <w:rsid w:val="008E3153"/>
    <w:rsid w:val="008E3524"/>
    <w:rsid w:val="008E3765"/>
    <w:rsid w:val="008E37DE"/>
    <w:rsid w:val="008E39D2"/>
    <w:rsid w:val="008E3B80"/>
    <w:rsid w:val="008E3CC8"/>
    <w:rsid w:val="008E3D9F"/>
    <w:rsid w:val="008E3E72"/>
    <w:rsid w:val="008E3FF8"/>
    <w:rsid w:val="008E4113"/>
    <w:rsid w:val="008E4157"/>
    <w:rsid w:val="008E42DE"/>
    <w:rsid w:val="008E46D7"/>
    <w:rsid w:val="008E4B45"/>
    <w:rsid w:val="008E4EF8"/>
    <w:rsid w:val="008E5200"/>
    <w:rsid w:val="008E5263"/>
    <w:rsid w:val="008E52D3"/>
    <w:rsid w:val="008E554F"/>
    <w:rsid w:val="008E555E"/>
    <w:rsid w:val="008E57AD"/>
    <w:rsid w:val="008E5BBB"/>
    <w:rsid w:val="008E5CEC"/>
    <w:rsid w:val="008E5DCC"/>
    <w:rsid w:val="008E5E72"/>
    <w:rsid w:val="008E5F0C"/>
    <w:rsid w:val="008E5F1F"/>
    <w:rsid w:val="008E61C2"/>
    <w:rsid w:val="008E61D9"/>
    <w:rsid w:val="008E61FC"/>
    <w:rsid w:val="008E62ED"/>
    <w:rsid w:val="008E6444"/>
    <w:rsid w:val="008E64A7"/>
    <w:rsid w:val="008E663B"/>
    <w:rsid w:val="008E6890"/>
    <w:rsid w:val="008E6A79"/>
    <w:rsid w:val="008E6B5F"/>
    <w:rsid w:val="008E6D0A"/>
    <w:rsid w:val="008E6DFD"/>
    <w:rsid w:val="008E6FFC"/>
    <w:rsid w:val="008E701B"/>
    <w:rsid w:val="008E719A"/>
    <w:rsid w:val="008E7370"/>
    <w:rsid w:val="008E7414"/>
    <w:rsid w:val="008E7486"/>
    <w:rsid w:val="008E7541"/>
    <w:rsid w:val="008E75FE"/>
    <w:rsid w:val="008E7A33"/>
    <w:rsid w:val="008E7A96"/>
    <w:rsid w:val="008E7AE2"/>
    <w:rsid w:val="008E7B47"/>
    <w:rsid w:val="008E7EED"/>
    <w:rsid w:val="008E7FDB"/>
    <w:rsid w:val="008F015F"/>
    <w:rsid w:val="008F01E1"/>
    <w:rsid w:val="008F026A"/>
    <w:rsid w:val="008F0405"/>
    <w:rsid w:val="008F0882"/>
    <w:rsid w:val="008F09ED"/>
    <w:rsid w:val="008F0A79"/>
    <w:rsid w:val="008F0A86"/>
    <w:rsid w:val="008F0AB6"/>
    <w:rsid w:val="008F0C93"/>
    <w:rsid w:val="008F0F34"/>
    <w:rsid w:val="008F11B1"/>
    <w:rsid w:val="008F131C"/>
    <w:rsid w:val="008F133D"/>
    <w:rsid w:val="008F16EC"/>
    <w:rsid w:val="008F176A"/>
    <w:rsid w:val="008F1B1B"/>
    <w:rsid w:val="008F1C38"/>
    <w:rsid w:val="008F1F15"/>
    <w:rsid w:val="008F2055"/>
    <w:rsid w:val="008F21AF"/>
    <w:rsid w:val="008F2207"/>
    <w:rsid w:val="008F24BC"/>
    <w:rsid w:val="008F26A3"/>
    <w:rsid w:val="008F27BC"/>
    <w:rsid w:val="008F2828"/>
    <w:rsid w:val="008F28A6"/>
    <w:rsid w:val="008F2BE9"/>
    <w:rsid w:val="008F2C27"/>
    <w:rsid w:val="008F2C59"/>
    <w:rsid w:val="008F309C"/>
    <w:rsid w:val="008F327B"/>
    <w:rsid w:val="008F33FF"/>
    <w:rsid w:val="008F3487"/>
    <w:rsid w:val="008F3550"/>
    <w:rsid w:val="008F36E0"/>
    <w:rsid w:val="008F37BA"/>
    <w:rsid w:val="008F3C1E"/>
    <w:rsid w:val="008F3D64"/>
    <w:rsid w:val="008F3DC0"/>
    <w:rsid w:val="008F3E57"/>
    <w:rsid w:val="008F40CA"/>
    <w:rsid w:val="008F4113"/>
    <w:rsid w:val="008F4493"/>
    <w:rsid w:val="008F45B5"/>
    <w:rsid w:val="008F45D9"/>
    <w:rsid w:val="008F4630"/>
    <w:rsid w:val="008F4665"/>
    <w:rsid w:val="008F4831"/>
    <w:rsid w:val="008F4868"/>
    <w:rsid w:val="008F4921"/>
    <w:rsid w:val="008F4B0E"/>
    <w:rsid w:val="008F4CB6"/>
    <w:rsid w:val="008F4D9C"/>
    <w:rsid w:val="008F4F13"/>
    <w:rsid w:val="008F532B"/>
    <w:rsid w:val="008F584A"/>
    <w:rsid w:val="008F5AD9"/>
    <w:rsid w:val="008F5D35"/>
    <w:rsid w:val="008F5E15"/>
    <w:rsid w:val="008F5E92"/>
    <w:rsid w:val="008F605B"/>
    <w:rsid w:val="008F60DD"/>
    <w:rsid w:val="008F6268"/>
    <w:rsid w:val="008F6473"/>
    <w:rsid w:val="008F64B0"/>
    <w:rsid w:val="008F69B8"/>
    <w:rsid w:val="008F69D2"/>
    <w:rsid w:val="008F6C43"/>
    <w:rsid w:val="008F6C71"/>
    <w:rsid w:val="008F6F79"/>
    <w:rsid w:val="008F705A"/>
    <w:rsid w:val="008F70AA"/>
    <w:rsid w:val="008F7154"/>
    <w:rsid w:val="008F723E"/>
    <w:rsid w:val="008F7306"/>
    <w:rsid w:val="008F7429"/>
    <w:rsid w:val="008F747F"/>
    <w:rsid w:val="008F7664"/>
    <w:rsid w:val="008F767F"/>
    <w:rsid w:val="008F7A96"/>
    <w:rsid w:val="008F7DC3"/>
    <w:rsid w:val="008F7EA2"/>
    <w:rsid w:val="009000E5"/>
    <w:rsid w:val="0090012A"/>
    <w:rsid w:val="009002EC"/>
    <w:rsid w:val="009004B4"/>
    <w:rsid w:val="009005CF"/>
    <w:rsid w:val="00900838"/>
    <w:rsid w:val="0090089E"/>
    <w:rsid w:val="00900A11"/>
    <w:rsid w:val="00900BC5"/>
    <w:rsid w:val="00900E8A"/>
    <w:rsid w:val="00900FC9"/>
    <w:rsid w:val="00900FF8"/>
    <w:rsid w:val="0090116B"/>
    <w:rsid w:val="009012DC"/>
    <w:rsid w:val="0090137B"/>
    <w:rsid w:val="00901449"/>
    <w:rsid w:val="009014DB"/>
    <w:rsid w:val="009016DF"/>
    <w:rsid w:val="00901719"/>
    <w:rsid w:val="0090174F"/>
    <w:rsid w:val="00901902"/>
    <w:rsid w:val="00901A7E"/>
    <w:rsid w:val="00901BD8"/>
    <w:rsid w:val="00901C4B"/>
    <w:rsid w:val="00901E42"/>
    <w:rsid w:val="009020E1"/>
    <w:rsid w:val="0090224D"/>
    <w:rsid w:val="00902535"/>
    <w:rsid w:val="00902785"/>
    <w:rsid w:val="009027A3"/>
    <w:rsid w:val="00902982"/>
    <w:rsid w:val="009029CF"/>
    <w:rsid w:val="00902B40"/>
    <w:rsid w:val="0090300E"/>
    <w:rsid w:val="00903368"/>
    <w:rsid w:val="00903623"/>
    <w:rsid w:val="009039D0"/>
    <w:rsid w:val="00903AE1"/>
    <w:rsid w:val="00903B72"/>
    <w:rsid w:val="00903C11"/>
    <w:rsid w:val="00903C74"/>
    <w:rsid w:val="00903D1F"/>
    <w:rsid w:val="0090408E"/>
    <w:rsid w:val="009041DF"/>
    <w:rsid w:val="0090424B"/>
    <w:rsid w:val="0090433C"/>
    <w:rsid w:val="009046C6"/>
    <w:rsid w:val="009047F4"/>
    <w:rsid w:val="0090487A"/>
    <w:rsid w:val="00904A26"/>
    <w:rsid w:val="00904AF0"/>
    <w:rsid w:val="00904B2B"/>
    <w:rsid w:val="00904D43"/>
    <w:rsid w:val="00904DE1"/>
    <w:rsid w:val="0090533F"/>
    <w:rsid w:val="00905518"/>
    <w:rsid w:val="00905577"/>
    <w:rsid w:val="0090596E"/>
    <w:rsid w:val="009059B6"/>
    <w:rsid w:val="0090604C"/>
    <w:rsid w:val="00906279"/>
    <w:rsid w:val="009068DF"/>
    <w:rsid w:val="00906BC4"/>
    <w:rsid w:val="00906C7B"/>
    <w:rsid w:val="00906E38"/>
    <w:rsid w:val="00906F62"/>
    <w:rsid w:val="009072EE"/>
    <w:rsid w:val="0090749D"/>
    <w:rsid w:val="0090777D"/>
    <w:rsid w:val="0091004E"/>
    <w:rsid w:val="009104A6"/>
    <w:rsid w:val="00910525"/>
    <w:rsid w:val="0091071A"/>
    <w:rsid w:val="009107C1"/>
    <w:rsid w:val="00910F70"/>
    <w:rsid w:val="009112D4"/>
    <w:rsid w:val="0091140C"/>
    <w:rsid w:val="00911424"/>
    <w:rsid w:val="0091171C"/>
    <w:rsid w:val="0091187A"/>
    <w:rsid w:val="00911982"/>
    <w:rsid w:val="00911A3C"/>
    <w:rsid w:val="00911A4B"/>
    <w:rsid w:val="00911AEC"/>
    <w:rsid w:val="00911D5D"/>
    <w:rsid w:val="00912268"/>
    <w:rsid w:val="00912391"/>
    <w:rsid w:val="0091242F"/>
    <w:rsid w:val="00912570"/>
    <w:rsid w:val="009125DE"/>
    <w:rsid w:val="009125E9"/>
    <w:rsid w:val="009128E0"/>
    <w:rsid w:val="00912956"/>
    <w:rsid w:val="00912D10"/>
    <w:rsid w:val="00912D55"/>
    <w:rsid w:val="00912D76"/>
    <w:rsid w:val="00913082"/>
    <w:rsid w:val="00913552"/>
    <w:rsid w:val="009135CB"/>
    <w:rsid w:val="00913910"/>
    <w:rsid w:val="00913EAB"/>
    <w:rsid w:val="00913EC1"/>
    <w:rsid w:val="00914070"/>
    <w:rsid w:val="00914173"/>
    <w:rsid w:val="00914775"/>
    <w:rsid w:val="00914A0A"/>
    <w:rsid w:val="00914B73"/>
    <w:rsid w:val="00914CD0"/>
    <w:rsid w:val="00914EB8"/>
    <w:rsid w:val="00914FC0"/>
    <w:rsid w:val="009150A2"/>
    <w:rsid w:val="00915298"/>
    <w:rsid w:val="0091538A"/>
    <w:rsid w:val="009153A3"/>
    <w:rsid w:val="0091569F"/>
    <w:rsid w:val="009156AC"/>
    <w:rsid w:val="00915ACD"/>
    <w:rsid w:val="00915B32"/>
    <w:rsid w:val="00915E1B"/>
    <w:rsid w:val="00916082"/>
    <w:rsid w:val="0091608E"/>
    <w:rsid w:val="00916125"/>
    <w:rsid w:val="00916182"/>
    <w:rsid w:val="009161A4"/>
    <w:rsid w:val="009161D4"/>
    <w:rsid w:val="0091630C"/>
    <w:rsid w:val="009163B5"/>
    <w:rsid w:val="0091654E"/>
    <w:rsid w:val="00916672"/>
    <w:rsid w:val="0091668E"/>
    <w:rsid w:val="0091669C"/>
    <w:rsid w:val="009167A6"/>
    <w:rsid w:val="00916897"/>
    <w:rsid w:val="00916EC0"/>
    <w:rsid w:val="00917039"/>
    <w:rsid w:val="009171DA"/>
    <w:rsid w:val="009172CA"/>
    <w:rsid w:val="00917370"/>
    <w:rsid w:val="00917695"/>
    <w:rsid w:val="009177FC"/>
    <w:rsid w:val="00917B43"/>
    <w:rsid w:val="00917BFE"/>
    <w:rsid w:val="00917CA1"/>
    <w:rsid w:val="00917F54"/>
    <w:rsid w:val="009201B9"/>
    <w:rsid w:val="009201E8"/>
    <w:rsid w:val="009202A0"/>
    <w:rsid w:val="009202F0"/>
    <w:rsid w:val="00920452"/>
    <w:rsid w:val="00920707"/>
    <w:rsid w:val="009207E1"/>
    <w:rsid w:val="00920913"/>
    <w:rsid w:val="009209E3"/>
    <w:rsid w:val="00920AAD"/>
    <w:rsid w:val="00920EB0"/>
    <w:rsid w:val="00920EE0"/>
    <w:rsid w:val="00920F4E"/>
    <w:rsid w:val="00921136"/>
    <w:rsid w:val="009211A7"/>
    <w:rsid w:val="0092140D"/>
    <w:rsid w:val="00921621"/>
    <w:rsid w:val="00921BA6"/>
    <w:rsid w:val="00921C1D"/>
    <w:rsid w:val="00921C8F"/>
    <w:rsid w:val="00921D09"/>
    <w:rsid w:val="00921EB0"/>
    <w:rsid w:val="00921EDC"/>
    <w:rsid w:val="009220B9"/>
    <w:rsid w:val="00922112"/>
    <w:rsid w:val="00922281"/>
    <w:rsid w:val="009224BE"/>
    <w:rsid w:val="009226BB"/>
    <w:rsid w:val="0092279D"/>
    <w:rsid w:val="009229C0"/>
    <w:rsid w:val="00922A2A"/>
    <w:rsid w:val="00922ADA"/>
    <w:rsid w:val="00922F03"/>
    <w:rsid w:val="0092309F"/>
    <w:rsid w:val="0092327E"/>
    <w:rsid w:val="00923535"/>
    <w:rsid w:val="009235DD"/>
    <w:rsid w:val="00923690"/>
    <w:rsid w:val="00923862"/>
    <w:rsid w:val="00923BE7"/>
    <w:rsid w:val="00923C8B"/>
    <w:rsid w:val="00923F10"/>
    <w:rsid w:val="00923F9D"/>
    <w:rsid w:val="00924068"/>
    <w:rsid w:val="009242FD"/>
    <w:rsid w:val="0092431D"/>
    <w:rsid w:val="009246E6"/>
    <w:rsid w:val="009248B9"/>
    <w:rsid w:val="00924A32"/>
    <w:rsid w:val="00924A64"/>
    <w:rsid w:val="0092516E"/>
    <w:rsid w:val="009251FD"/>
    <w:rsid w:val="00925539"/>
    <w:rsid w:val="0092593E"/>
    <w:rsid w:val="00925B8E"/>
    <w:rsid w:val="00925F22"/>
    <w:rsid w:val="0092629A"/>
    <w:rsid w:val="00926519"/>
    <w:rsid w:val="00926536"/>
    <w:rsid w:val="009267A7"/>
    <w:rsid w:val="0092680B"/>
    <w:rsid w:val="00926898"/>
    <w:rsid w:val="0092694D"/>
    <w:rsid w:val="00926BB6"/>
    <w:rsid w:val="00926C5B"/>
    <w:rsid w:val="00926CE3"/>
    <w:rsid w:val="00926F40"/>
    <w:rsid w:val="00926F4E"/>
    <w:rsid w:val="00926F71"/>
    <w:rsid w:val="00927302"/>
    <w:rsid w:val="009273B5"/>
    <w:rsid w:val="00927442"/>
    <w:rsid w:val="009276A0"/>
    <w:rsid w:val="0092773C"/>
    <w:rsid w:val="00927765"/>
    <w:rsid w:val="00927A50"/>
    <w:rsid w:val="00927A86"/>
    <w:rsid w:val="00930025"/>
    <w:rsid w:val="00930123"/>
    <w:rsid w:val="0093041E"/>
    <w:rsid w:val="00930969"/>
    <w:rsid w:val="00930BFD"/>
    <w:rsid w:val="00930C22"/>
    <w:rsid w:val="00930CF2"/>
    <w:rsid w:val="00930FEC"/>
    <w:rsid w:val="009310C9"/>
    <w:rsid w:val="009311D0"/>
    <w:rsid w:val="0093139C"/>
    <w:rsid w:val="00931596"/>
    <w:rsid w:val="00931677"/>
    <w:rsid w:val="009319C7"/>
    <w:rsid w:val="00931B05"/>
    <w:rsid w:val="00931B22"/>
    <w:rsid w:val="00931B54"/>
    <w:rsid w:val="00931BAE"/>
    <w:rsid w:val="00931FAF"/>
    <w:rsid w:val="00932315"/>
    <w:rsid w:val="00932386"/>
    <w:rsid w:val="009323EE"/>
    <w:rsid w:val="0093275B"/>
    <w:rsid w:val="00932974"/>
    <w:rsid w:val="00932BCC"/>
    <w:rsid w:val="00932DE4"/>
    <w:rsid w:val="00932E89"/>
    <w:rsid w:val="00932ED1"/>
    <w:rsid w:val="00932F0B"/>
    <w:rsid w:val="00932F29"/>
    <w:rsid w:val="009330DE"/>
    <w:rsid w:val="009336DB"/>
    <w:rsid w:val="009338A9"/>
    <w:rsid w:val="00933A0F"/>
    <w:rsid w:val="00933BFA"/>
    <w:rsid w:val="00933D07"/>
    <w:rsid w:val="009341EE"/>
    <w:rsid w:val="0093427E"/>
    <w:rsid w:val="0093429A"/>
    <w:rsid w:val="00934366"/>
    <w:rsid w:val="00934575"/>
    <w:rsid w:val="00934581"/>
    <w:rsid w:val="00934593"/>
    <w:rsid w:val="0093475E"/>
    <w:rsid w:val="00934947"/>
    <w:rsid w:val="00934977"/>
    <w:rsid w:val="00934AAF"/>
    <w:rsid w:val="00934AB6"/>
    <w:rsid w:val="00934AF1"/>
    <w:rsid w:val="00934B7D"/>
    <w:rsid w:val="00934DD5"/>
    <w:rsid w:val="00934F2C"/>
    <w:rsid w:val="00934F77"/>
    <w:rsid w:val="00935050"/>
    <w:rsid w:val="0093539A"/>
    <w:rsid w:val="00935422"/>
    <w:rsid w:val="00935482"/>
    <w:rsid w:val="009354D4"/>
    <w:rsid w:val="009355C2"/>
    <w:rsid w:val="00935661"/>
    <w:rsid w:val="00935664"/>
    <w:rsid w:val="00935676"/>
    <w:rsid w:val="00935A23"/>
    <w:rsid w:val="00935C32"/>
    <w:rsid w:val="00935C84"/>
    <w:rsid w:val="00935DE8"/>
    <w:rsid w:val="00935E10"/>
    <w:rsid w:val="009360CD"/>
    <w:rsid w:val="00936614"/>
    <w:rsid w:val="009366B8"/>
    <w:rsid w:val="0093681C"/>
    <w:rsid w:val="009369C3"/>
    <w:rsid w:val="00936D70"/>
    <w:rsid w:val="0093704E"/>
    <w:rsid w:val="00937165"/>
    <w:rsid w:val="0093716F"/>
    <w:rsid w:val="009372F7"/>
    <w:rsid w:val="009373A5"/>
    <w:rsid w:val="00937696"/>
    <w:rsid w:val="00937805"/>
    <w:rsid w:val="00937BF4"/>
    <w:rsid w:val="00937DB8"/>
    <w:rsid w:val="009400E6"/>
    <w:rsid w:val="009405D1"/>
    <w:rsid w:val="009407BF"/>
    <w:rsid w:val="009409F9"/>
    <w:rsid w:val="00940BA7"/>
    <w:rsid w:val="00940C1F"/>
    <w:rsid w:val="00940F37"/>
    <w:rsid w:val="00941126"/>
    <w:rsid w:val="00941172"/>
    <w:rsid w:val="009411B8"/>
    <w:rsid w:val="0094126F"/>
    <w:rsid w:val="0094140C"/>
    <w:rsid w:val="00941484"/>
    <w:rsid w:val="0094168B"/>
    <w:rsid w:val="009418D8"/>
    <w:rsid w:val="009419D1"/>
    <w:rsid w:val="00941AA4"/>
    <w:rsid w:val="00941B75"/>
    <w:rsid w:val="00941D3C"/>
    <w:rsid w:val="00941F9A"/>
    <w:rsid w:val="00941FE7"/>
    <w:rsid w:val="00942D03"/>
    <w:rsid w:val="00942EFD"/>
    <w:rsid w:val="00943076"/>
    <w:rsid w:val="00943191"/>
    <w:rsid w:val="0094344E"/>
    <w:rsid w:val="00943556"/>
    <w:rsid w:val="0094375B"/>
    <w:rsid w:val="00943953"/>
    <w:rsid w:val="00943B96"/>
    <w:rsid w:val="00943C68"/>
    <w:rsid w:val="00943CEF"/>
    <w:rsid w:val="00943CF1"/>
    <w:rsid w:val="00944048"/>
    <w:rsid w:val="009440DB"/>
    <w:rsid w:val="009441BC"/>
    <w:rsid w:val="00944284"/>
    <w:rsid w:val="009445C2"/>
    <w:rsid w:val="00944883"/>
    <w:rsid w:val="00944E2F"/>
    <w:rsid w:val="00944E6F"/>
    <w:rsid w:val="0094509A"/>
    <w:rsid w:val="00945572"/>
    <w:rsid w:val="0094560B"/>
    <w:rsid w:val="009458F1"/>
    <w:rsid w:val="00945A42"/>
    <w:rsid w:val="00945B24"/>
    <w:rsid w:val="00945E73"/>
    <w:rsid w:val="00945F7A"/>
    <w:rsid w:val="0094628E"/>
    <w:rsid w:val="00946391"/>
    <w:rsid w:val="009463A4"/>
    <w:rsid w:val="009463E4"/>
    <w:rsid w:val="00946454"/>
    <w:rsid w:val="0094659C"/>
    <w:rsid w:val="0094660E"/>
    <w:rsid w:val="00946721"/>
    <w:rsid w:val="00946722"/>
    <w:rsid w:val="009468D5"/>
    <w:rsid w:val="00946B9C"/>
    <w:rsid w:val="00946E34"/>
    <w:rsid w:val="00946FD8"/>
    <w:rsid w:val="00947373"/>
    <w:rsid w:val="009473D5"/>
    <w:rsid w:val="00947602"/>
    <w:rsid w:val="009476DB"/>
    <w:rsid w:val="0094772F"/>
    <w:rsid w:val="00947B54"/>
    <w:rsid w:val="00947ED3"/>
    <w:rsid w:val="009500C5"/>
    <w:rsid w:val="0095039C"/>
    <w:rsid w:val="009504E0"/>
    <w:rsid w:val="00950B2C"/>
    <w:rsid w:val="00950E6D"/>
    <w:rsid w:val="00950ED6"/>
    <w:rsid w:val="00951510"/>
    <w:rsid w:val="00951686"/>
    <w:rsid w:val="00951702"/>
    <w:rsid w:val="0095170B"/>
    <w:rsid w:val="00951710"/>
    <w:rsid w:val="0095173F"/>
    <w:rsid w:val="00951AF4"/>
    <w:rsid w:val="00951B93"/>
    <w:rsid w:val="00951B9D"/>
    <w:rsid w:val="00951CEE"/>
    <w:rsid w:val="00951F9E"/>
    <w:rsid w:val="009521AA"/>
    <w:rsid w:val="009524ED"/>
    <w:rsid w:val="0095291F"/>
    <w:rsid w:val="00952B1B"/>
    <w:rsid w:val="00952E6B"/>
    <w:rsid w:val="00952F64"/>
    <w:rsid w:val="00952F95"/>
    <w:rsid w:val="00952FBE"/>
    <w:rsid w:val="0095309E"/>
    <w:rsid w:val="00953123"/>
    <w:rsid w:val="00953316"/>
    <w:rsid w:val="009533FA"/>
    <w:rsid w:val="009536B2"/>
    <w:rsid w:val="009538E9"/>
    <w:rsid w:val="00953953"/>
    <w:rsid w:val="00953C22"/>
    <w:rsid w:val="00953F36"/>
    <w:rsid w:val="00953F6E"/>
    <w:rsid w:val="00953FD2"/>
    <w:rsid w:val="009542BD"/>
    <w:rsid w:val="0095435E"/>
    <w:rsid w:val="009543C1"/>
    <w:rsid w:val="00954727"/>
    <w:rsid w:val="0095472E"/>
    <w:rsid w:val="009547DA"/>
    <w:rsid w:val="00954ADE"/>
    <w:rsid w:val="0095508E"/>
    <w:rsid w:val="0095515C"/>
    <w:rsid w:val="00955758"/>
    <w:rsid w:val="00955807"/>
    <w:rsid w:val="00955826"/>
    <w:rsid w:val="009558B9"/>
    <w:rsid w:val="00955A11"/>
    <w:rsid w:val="00955A17"/>
    <w:rsid w:val="00955C57"/>
    <w:rsid w:val="00955CC1"/>
    <w:rsid w:val="00955E76"/>
    <w:rsid w:val="009560ED"/>
    <w:rsid w:val="009561CF"/>
    <w:rsid w:val="00956652"/>
    <w:rsid w:val="009567A8"/>
    <w:rsid w:val="00956824"/>
    <w:rsid w:val="00956DEE"/>
    <w:rsid w:val="00957030"/>
    <w:rsid w:val="0095707D"/>
    <w:rsid w:val="009570DB"/>
    <w:rsid w:val="009571F9"/>
    <w:rsid w:val="00957A54"/>
    <w:rsid w:val="00957B4C"/>
    <w:rsid w:val="00957BF4"/>
    <w:rsid w:val="00957BFB"/>
    <w:rsid w:val="00957C0C"/>
    <w:rsid w:val="00957D19"/>
    <w:rsid w:val="00957E12"/>
    <w:rsid w:val="009600B2"/>
    <w:rsid w:val="0096013E"/>
    <w:rsid w:val="0096017D"/>
    <w:rsid w:val="0096026F"/>
    <w:rsid w:val="0096036F"/>
    <w:rsid w:val="009604BE"/>
    <w:rsid w:val="00960515"/>
    <w:rsid w:val="00960608"/>
    <w:rsid w:val="00960823"/>
    <w:rsid w:val="00960853"/>
    <w:rsid w:val="00960975"/>
    <w:rsid w:val="009609DB"/>
    <w:rsid w:val="00960B0F"/>
    <w:rsid w:val="00960D3E"/>
    <w:rsid w:val="00960DDF"/>
    <w:rsid w:val="00960E22"/>
    <w:rsid w:val="00960FCF"/>
    <w:rsid w:val="00961414"/>
    <w:rsid w:val="0096187E"/>
    <w:rsid w:val="009618F0"/>
    <w:rsid w:val="00961AD0"/>
    <w:rsid w:val="00961C05"/>
    <w:rsid w:val="00961CC0"/>
    <w:rsid w:val="00961CF3"/>
    <w:rsid w:val="00961D09"/>
    <w:rsid w:val="00961D2B"/>
    <w:rsid w:val="00961EF5"/>
    <w:rsid w:val="009620E6"/>
    <w:rsid w:val="009625DF"/>
    <w:rsid w:val="00962623"/>
    <w:rsid w:val="009628A3"/>
    <w:rsid w:val="00962949"/>
    <w:rsid w:val="00962B28"/>
    <w:rsid w:val="00962E1D"/>
    <w:rsid w:val="00962EEE"/>
    <w:rsid w:val="00963215"/>
    <w:rsid w:val="0096337C"/>
    <w:rsid w:val="009633AC"/>
    <w:rsid w:val="0096350B"/>
    <w:rsid w:val="009635FC"/>
    <w:rsid w:val="009636EC"/>
    <w:rsid w:val="00963789"/>
    <w:rsid w:val="00963E2D"/>
    <w:rsid w:val="00963F35"/>
    <w:rsid w:val="009640A5"/>
    <w:rsid w:val="009645A8"/>
    <w:rsid w:val="009645D4"/>
    <w:rsid w:val="00964664"/>
    <w:rsid w:val="009648A5"/>
    <w:rsid w:val="009648FA"/>
    <w:rsid w:val="009649E5"/>
    <w:rsid w:val="00964B75"/>
    <w:rsid w:val="00964C0A"/>
    <w:rsid w:val="00964D55"/>
    <w:rsid w:val="00964D69"/>
    <w:rsid w:val="00964D9D"/>
    <w:rsid w:val="00964E1E"/>
    <w:rsid w:val="00964EE3"/>
    <w:rsid w:val="009652E2"/>
    <w:rsid w:val="00965BB1"/>
    <w:rsid w:val="00965C0D"/>
    <w:rsid w:val="00965C47"/>
    <w:rsid w:val="00965CBE"/>
    <w:rsid w:val="00965D6D"/>
    <w:rsid w:val="00966060"/>
    <w:rsid w:val="00966292"/>
    <w:rsid w:val="009664F9"/>
    <w:rsid w:val="009668CA"/>
    <w:rsid w:val="009668D4"/>
    <w:rsid w:val="0096696E"/>
    <w:rsid w:val="009669A7"/>
    <w:rsid w:val="00966D8C"/>
    <w:rsid w:val="00966DF4"/>
    <w:rsid w:val="00966E5D"/>
    <w:rsid w:val="00967042"/>
    <w:rsid w:val="00967447"/>
    <w:rsid w:val="009675F6"/>
    <w:rsid w:val="00967990"/>
    <w:rsid w:val="00967EED"/>
    <w:rsid w:val="00967F48"/>
    <w:rsid w:val="00967FD3"/>
    <w:rsid w:val="00967FF4"/>
    <w:rsid w:val="00970417"/>
    <w:rsid w:val="009706AA"/>
    <w:rsid w:val="009706EC"/>
    <w:rsid w:val="00970FE7"/>
    <w:rsid w:val="00971116"/>
    <w:rsid w:val="00971360"/>
    <w:rsid w:val="00971448"/>
    <w:rsid w:val="009715C7"/>
    <w:rsid w:val="00971743"/>
    <w:rsid w:val="0097180F"/>
    <w:rsid w:val="00971D51"/>
    <w:rsid w:val="009720F8"/>
    <w:rsid w:val="009722B2"/>
    <w:rsid w:val="00972417"/>
    <w:rsid w:val="00972584"/>
    <w:rsid w:val="00972696"/>
    <w:rsid w:val="0097275D"/>
    <w:rsid w:val="0097297D"/>
    <w:rsid w:val="00972C2B"/>
    <w:rsid w:val="00972C62"/>
    <w:rsid w:val="00972CE4"/>
    <w:rsid w:val="00972E2A"/>
    <w:rsid w:val="00972FA8"/>
    <w:rsid w:val="009730A4"/>
    <w:rsid w:val="00973398"/>
    <w:rsid w:val="0097348F"/>
    <w:rsid w:val="009734B9"/>
    <w:rsid w:val="00973530"/>
    <w:rsid w:val="00973544"/>
    <w:rsid w:val="00973648"/>
    <w:rsid w:val="009737BB"/>
    <w:rsid w:val="009739EA"/>
    <w:rsid w:val="00973A43"/>
    <w:rsid w:val="00973A67"/>
    <w:rsid w:val="00973A9B"/>
    <w:rsid w:val="00973BF1"/>
    <w:rsid w:val="00973C9D"/>
    <w:rsid w:val="00973D18"/>
    <w:rsid w:val="00973E68"/>
    <w:rsid w:val="00973F18"/>
    <w:rsid w:val="00973F3D"/>
    <w:rsid w:val="00973FCE"/>
    <w:rsid w:val="009740EF"/>
    <w:rsid w:val="0097416F"/>
    <w:rsid w:val="00974531"/>
    <w:rsid w:val="00974641"/>
    <w:rsid w:val="00974A62"/>
    <w:rsid w:val="00974A9B"/>
    <w:rsid w:val="00974E95"/>
    <w:rsid w:val="00974FFE"/>
    <w:rsid w:val="009753D4"/>
    <w:rsid w:val="009754BF"/>
    <w:rsid w:val="0097573B"/>
    <w:rsid w:val="009759EA"/>
    <w:rsid w:val="009759F4"/>
    <w:rsid w:val="00975A3F"/>
    <w:rsid w:val="00975A7F"/>
    <w:rsid w:val="00975DC9"/>
    <w:rsid w:val="00975FA2"/>
    <w:rsid w:val="009760AE"/>
    <w:rsid w:val="0097646D"/>
    <w:rsid w:val="009767C2"/>
    <w:rsid w:val="00976805"/>
    <w:rsid w:val="00976B6D"/>
    <w:rsid w:val="00976D15"/>
    <w:rsid w:val="00976F57"/>
    <w:rsid w:val="009771B0"/>
    <w:rsid w:val="00977768"/>
    <w:rsid w:val="00977C58"/>
    <w:rsid w:val="00977C84"/>
    <w:rsid w:val="00977F4A"/>
    <w:rsid w:val="00977FEA"/>
    <w:rsid w:val="00980163"/>
    <w:rsid w:val="00980399"/>
    <w:rsid w:val="00980432"/>
    <w:rsid w:val="009804C7"/>
    <w:rsid w:val="00980831"/>
    <w:rsid w:val="0098093C"/>
    <w:rsid w:val="00980A7F"/>
    <w:rsid w:val="00980B2E"/>
    <w:rsid w:val="009810CD"/>
    <w:rsid w:val="0098119F"/>
    <w:rsid w:val="00981202"/>
    <w:rsid w:val="0098124B"/>
    <w:rsid w:val="0098161B"/>
    <w:rsid w:val="009818C7"/>
    <w:rsid w:val="009818E3"/>
    <w:rsid w:val="0098191D"/>
    <w:rsid w:val="00981DED"/>
    <w:rsid w:val="00981F00"/>
    <w:rsid w:val="0098278A"/>
    <w:rsid w:val="009829F3"/>
    <w:rsid w:val="00982AB4"/>
    <w:rsid w:val="00982DA9"/>
    <w:rsid w:val="0098314F"/>
    <w:rsid w:val="009833A0"/>
    <w:rsid w:val="00983481"/>
    <w:rsid w:val="0098382A"/>
    <w:rsid w:val="00983A15"/>
    <w:rsid w:val="00983A70"/>
    <w:rsid w:val="00983EAA"/>
    <w:rsid w:val="009840F1"/>
    <w:rsid w:val="009845D8"/>
    <w:rsid w:val="0098472F"/>
    <w:rsid w:val="00984A4C"/>
    <w:rsid w:val="00984AC4"/>
    <w:rsid w:val="00984B3F"/>
    <w:rsid w:val="00984B7F"/>
    <w:rsid w:val="00984BD9"/>
    <w:rsid w:val="00984CEE"/>
    <w:rsid w:val="0098509F"/>
    <w:rsid w:val="009851AA"/>
    <w:rsid w:val="009851B0"/>
    <w:rsid w:val="00985232"/>
    <w:rsid w:val="00985310"/>
    <w:rsid w:val="0098547D"/>
    <w:rsid w:val="0098577A"/>
    <w:rsid w:val="009859C3"/>
    <w:rsid w:val="00985A05"/>
    <w:rsid w:val="00985A59"/>
    <w:rsid w:val="00985C31"/>
    <w:rsid w:val="00985C40"/>
    <w:rsid w:val="00985DED"/>
    <w:rsid w:val="00986335"/>
    <w:rsid w:val="00986349"/>
    <w:rsid w:val="009866EF"/>
    <w:rsid w:val="0098686E"/>
    <w:rsid w:val="009869D1"/>
    <w:rsid w:val="00986C51"/>
    <w:rsid w:val="00986C9E"/>
    <w:rsid w:val="00986ED8"/>
    <w:rsid w:val="00986FD7"/>
    <w:rsid w:val="00987002"/>
    <w:rsid w:val="009877D8"/>
    <w:rsid w:val="00987CBF"/>
    <w:rsid w:val="00987F93"/>
    <w:rsid w:val="00990024"/>
    <w:rsid w:val="00990594"/>
    <w:rsid w:val="0099063A"/>
    <w:rsid w:val="009906F8"/>
    <w:rsid w:val="00990904"/>
    <w:rsid w:val="00990A1E"/>
    <w:rsid w:val="00990D8B"/>
    <w:rsid w:val="00990EAC"/>
    <w:rsid w:val="00990EC0"/>
    <w:rsid w:val="0099100C"/>
    <w:rsid w:val="00991162"/>
    <w:rsid w:val="009917F0"/>
    <w:rsid w:val="00991868"/>
    <w:rsid w:val="009919E2"/>
    <w:rsid w:val="00991A4F"/>
    <w:rsid w:val="00991AEA"/>
    <w:rsid w:val="009920AD"/>
    <w:rsid w:val="0099269A"/>
    <w:rsid w:val="009926CA"/>
    <w:rsid w:val="009927D1"/>
    <w:rsid w:val="00992909"/>
    <w:rsid w:val="00992ABA"/>
    <w:rsid w:val="00992BBE"/>
    <w:rsid w:val="00992C94"/>
    <w:rsid w:val="00993059"/>
    <w:rsid w:val="00993065"/>
    <w:rsid w:val="00993205"/>
    <w:rsid w:val="00993405"/>
    <w:rsid w:val="00993540"/>
    <w:rsid w:val="009937EF"/>
    <w:rsid w:val="0099391B"/>
    <w:rsid w:val="00993BAE"/>
    <w:rsid w:val="00993C92"/>
    <w:rsid w:val="00993D50"/>
    <w:rsid w:val="009942B1"/>
    <w:rsid w:val="009949FC"/>
    <w:rsid w:val="00994E5B"/>
    <w:rsid w:val="00994F04"/>
    <w:rsid w:val="00994F30"/>
    <w:rsid w:val="009950E4"/>
    <w:rsid w:val="00995119"/>
    <w:rsid w:val="009953BE"/>
    <w:rsid w:val="00995646"/>
    <w:rsid w:val="00995B8F"/>
    <w:rsid w:val="00995BFA"/>
    <w:rsid w:val="00995D55"/>
    <w:rsid w:val="00995EC8"/>
    <w:rsid w:val="009963D8"/>
    <w:rsid w:val="00996404"/>
    <w:rsid w:val="009964C7"/>
    <w:rsid w:val="00996A64"/>
    <w:rsid w:val="00996B4D"/>
    <w:rsid w:val="00996C0A"/>
    <w:rsid w:val="00996CF7"/>
    <w:rsid w:val="00996E8B"/>
    <w:rsid w:val="00996EB8"/>
    <w:rsid w:val="00997018"/>
    <w:rsid w:val="00997466"/>
    <w:rsid w:val="00997773"/>
    <w:rsid w:val="0099797A"/>
    <w:rsid w:val="00997A03"/>
    <w:rsid w:val="00997A62"/>
    <w:rsid w:val="00997B8B"/>
    <w:rsid w:val="00997BC8"/>
    <w:rsid w:val="00997BD8"/>
    <w:rsid w:val="00997EE9"/>
    <w:rsid w:val="00997EF0"/>
    <w:rsid w:val="00997FF0"/>
    <w:rsid w:val="009A03C8"/>
    <w:rsid w:val="009A06E0"/>
    <w:rsid w:val="009A0B06"/>
    <w:rsid w:val="009A0BB1"/>
    <w:rsid w:val="009A0E6B"/>
    <w:rsid w:val="009A0E99"/>
    <w:rsid w:val="009A0ECE"/>
    <w:rsid w:val="009A0F1C"/>
    <w:rsid w:val="009A1138"/>
    <w:rsid w:val="009A12CA"/>
    <w:rsid w:val="009A132D"/>
    <w:rsid w:val="009A1354"/>
    <w:rsid w:val="009A1650"/>
    <w:rsid w:val="009A1933"/>
    <w:rsid w:val="009A1B17"/>
    <w:rsid w:val="009A1CB1"/>
    <w:rsid w:val="009A1EBF"/>
    <w:rsid w:val="009A2013"/>
    <w:rsid w:val="009A201C"/>
    <w:rsid w:val="009A205F"/>
    <w:rsid w:val="009A20C5"/>
    <w:rsid w:val="009A228E"/>
    <w:rsid w:val="009A2414"/>
    <w:rsid w:val="009A250E"/>
    <w:rsid w:val="009A2609"/>
    <w:rsid w:val="009A26AB"/>
    <w:rsid w:val="009A26FB"/>
    <w:rsid w:val="009A27C4"/>
    <w:rsid w:val="009A29CC"/>
    <w:rsid w:val="009A2C9E"/>
    <w:rsid w:val="009A2E73"/>
    <w:rsid w:val="009A33CB"/>
    <w:rsid w:val="009A36BE"/>
    <w:rsid w:val="009A3803"/>
    <w:rsid w:val="009A3898"/>
    <w:rsid w:val="009A3BA5"/>
    <w:rsid w:val="009A3D65"/>
    <w:rsid w:val="009A3E0A"/>
    <w:rsid w:val="009A40EC"/>
    <w:rsid w:val="009A4180"/>
    <w:rsid w:val="009A41BB"/>
    <w:rsid w:val="009A41CC"/>
    <w:rsid w:val="009A4390"/>
    <w:rsid w:val="009A46DC"/>
    <w:rsid w:val="009A46EE"/>
    <w:rsid w:val="009A4AE7"/>
    <w:rsid w:val="009A4B76"/>
    <w:rsid w:val="009A4DD3"/>
    <w:rsid w:val="009A4E3E"/>
    <w:rsid w:val="009A4E68"/>
    <w:rsid w:val="009A4F68"/>
    <w:rsid w:val="009A52F4"/>
    <w:rsid w:val="009A55E7"/>
    <w:rsid w:val="009A5818"/>
    <w:rsid w:val="009A5AB2"/>
    <w:rsid w:val="009A5B51"/>
    <w:rsid w:val="009A6132"/>
    <w:rsid w:val="009A61B7"/>
    <w:rsid w:val="009A62CD"/>
    <w:rsid w:val="009A643A"/>
    <w:rsid w:val="009A6508"/>
    <w:rsid w:val="009A66B5"/>
    <w:rsid w:val="009A681A"/>
    <w:rsid w:val="009A695B"/>
    <w:rsid w:val="009A6C8F"/>
    <w:rsid w:val="009A6DA2"/>
    <w:rsid w:val="009A6F52"/>
    <w:rsid w:val="009A74DE"/>
    <w:rsid w:val="009A74E8"/>
    <w:rsid w:val="009A7505"/>
    <w:rsid w:val="009A7724"/>
    <w:rsid w:val="009A7897"/>
    <w:rsid w:val="009A7947"/>
    <w:rsid w:val="009A7B2A"/>
    <w:rsid w:val="009A7BAA"/>
    <w:rsid w:val="009B00B2"/>
    <w:rsid w:val="009B020F"/>
    <w:rsid w:val="009B02D4"/>
    <w:rsid w:val="009B055E"/>
    <w:rsid w:val="009B0975"/>
    <w:rsid w:val="009B0AD4"/>
    <w:rsid w:val="009B0B33"/>
    <w:rsid w:val="009B0E91"/>
    <w:rsid w:val="009B1127"/>
    <w:rsid w:val="009B1197"/>
    <w:rsid w:val="009B126F"/>
    <w:rsid w:val="009B1386"/>
    <w:rsid w:val="009B1454"/>
    <w:rsid w:val="009B18F0"/>
    <w:rsid w:val="009B1DA6"/>
    <w:rsid w:val="009B1FE6"/>
    <w:rsid w:val="009B2798"/>
    <w:rsid w:val="009B27A2"/>
    <w:rsid w:val="009B298D"/>
    <w:rsid w:val="009B2C70"/>
    <w:rsid w:val="009B2C9C"/>
    <w:rsid w:val="009B2D66"/>
    <w:rsid w:val="009B2E56"/>
    <w:rsid w:val="009B32FE"/>
    <w:rsid w:val="009B3445"/>
    <w:rsid w:val="009B3506"/>
    <w:rsid w:val="009B374C"/>
    <w:rsid w:val="009B3A16"/>
    <w:rsid w:val="009B3BB5"/>
    <w:rsid w:val="009B3BFF"/>
    <w:rsid w:val="009B3D20"/>
    <w:rsid w:val="009B3DB3"/>
    <w:rsid w:val="009B3E93"/>
    <w:rsid w:val="009B3F06"/>
    <w:rsid w:val="009B4030"/>
    <w:rsid w:val="009B40B2"/>
    <w:rsid w:val="009B4165"/>
    <w:rsid w:val="009B43D2"/>
    <w:rsid w:val="009B461D"/>
    <w:rsid w:val="009B49EE"/>
    <w:rsid w:val="009B4B7C"/>
    <w:rsid w:val="009B4D64"/>
    <w:rsid w:val="009B4F4D"/>
    <w:rsid w:val="009B55EA"/>
    <w:rsid w:val="009B5987"/>
    <w:rsid w:val="009B59E5"/>
    <w:rsid w:val="009B5A2F"/>
    <w:rsid w:val="009B5BD7"/>
    <w:rsid w:val="009B6139"/>
    <w:rsid w:val="009B6147"/>
    <w:rsid w:val="009B6248"/>
    <w:rsid w:val="009B6386"/>
    <w:rsid w:val="009B63B3"/>
    <w:rsid w:val="009B64A9"/>
    <w:rsid w:val="009B6745"/>
    <w:rsid w:val="009B6765"/>
    <w:rsid w:val="009B6892"/>
    <w:rsid w:val="009B6ACA"/>
    <w:rsid w:val="009B6F0D"/>
    <w:rsid w:val="009B768E"/>
    <w:rsid w:val="009B7805"/>
    <w:rsid w:val="009B7A0B"/>
    <w:rsid w:val="009B7AB9"/>
    <w:rsid w:val="009B7AE3"/>
    <w:rsid w:val="009C0055"/>
    <w:rsid w:val="009C01B1"/>
    <w:rsid w:val="009C0203"/>
    <w:rsid w:val="009C024D"/>
    <w:rsid w:val="009C04DF"/>
    <w:rsid w:val="009C04FF"/>
    <w:rsid w:val="009C05AD"/>
    <w:rsid w:val="009C05CD"/>
    <w:rsid w:val="009C07CC"/>
    <w:rsid w:val="009C07D5"/>
    <w:rsid w:val="009C0872"/>
    <w:rsid w:val="009C0993"/>
    <w:rsid w:val="009C09F4"/>
    <w:rsid w:val="009C0E57"/>
    <w:rsid w:val="009C0FD1"/>
    <w:rsid w:val="009C1073"/>
    <w:rsid w:val="009C110B"/>
    <w:rsid w:val="009C1159"/>
    <w:rsid w:val="009C12E9"/>
    <w:rsid w:val="009C137F"/>
    <w:rsid w:val="009C154B"/>
    <w:rsid w:val="009C154F"/>
    <w:rsid w:val="009C1E51"/>
    <w:rsid w:val="009C1EE8"/>
    <w:rsid w:val="009C2250"/>
    <w:rsid w:val="009C225D"/>
    <w:rsid w:val="009C230A"/>
    <w:rsid w:val="009C23DB"/>
    <w:rsid w:val="009C243F"/>
    <w:rsid w:val="009C2544"/>
    <w:rsid w:val="009C275F"/>
    <w:rsid w:val="009C28AE"/>
    <w:rsid w:val="009C296B"/>
    <w:rsid w:val="009C2B5A"/>
    <w:rsid w:val="009C2F1D"/>
    <w:rsid w:val="009C2FD7"/>
    <w:rsid w:val="009C3060"/>
    <w:rsid w:val="009C30ED"/>
    <w:rsid w:val="009C312E"/>
    <w:rsid w:val="009C3442"/>
    <w:rsid w:val="009C36C7"/>
    <w:rsid w:val="009C3855"/>
    <w:rsid w:val="009C3A87"/>
    <w:rsid w:val="009C3A8A"/>
    <w:rsid w:val="009C3AA6"/>
    <w:rsid w:val="009C3B85"/>
    <w:rsid w:val="009C3DDC"/>
    <w:rsid w:val="009C3ECB"/>
    <w:rsid w:val="009C41AD"/>
    <w:rsid w:val="009C4B4D"/>
    <w:rsid w:val="009C4B93"/>
    <w:rsid w:val="009C4C6E"/>
    <w:rsid w:val="009C4D56"/>
    <w:rsid w:val="009C4E2C"/>
    <w:rsid w:val="009C4F0C"/>
    <w:rsid w:val="009C4F5F"/>
    <w:rsid w:val="009C5146"/>
    <w:rsid w:val="009C5223"/>
    <w:rsid w:val="009C59BE"/>
    <w:rsid w:val="009C5A35"/>
    <w:rsid w:val="009C5CC3"/>
    <w:rsid w:val="009C5F39"/>
    <w:rsid w:val="009C60EB"/>
    <w:rsid w:val="009C63EC"/>
    <w:rsid w:val="009C66C4"/>
    <w:rsid w:val="009C6754"/>
    <w:rsid w:val="009C6AF7"/>
    <w:rsid w:val="009C6C05"/>
    <w:rsid w:val="009C6E3D"/>
    <w:rsid w:val="009C6F73"/>
    <w:rsid w:val="009C7108"/>
    <w:rsid w:val="009C7111"/>
    <w:rsid w:val="009C7219"/>
    <w:rsid w:val="009C7290"/>
    <w:rsid w:val="009C79EB"/>
    <w:rsid w:val="009C7AA9"/>
    <w:rsid w:val="009C7EF5"/>
    <w:rsid w:val="009D0221"/>
    <w:rsid w:val="009D03CB"/>
    <w:rsid w:val="009D05F5"/>
    <w:rsid w:val="009D077D"/>
    <w:rsid w:val="009D08CA"/>
    <w:rsid w:val="009D0A9E"/>
    <w:rsid w:val="009D0B42"/>
    <w:rsid w:val="009D0E3D"/>
    <w:rsid w:val="009D10FF"/>
    <w:rsid w:val="009D1177"/>
    <w:rsid w:val="009D1269"/>
    <w:rsid w:val="009D131A"/>
    <w:rsid w:val="009D13B6"/>
    <w:rsid w:val="009D1A31"/>
    <w:rsid w:val="009D1A68"/>
    <w:rsid w:val="009D1BCF"/>
    <w:rsid w:val="009D1E1A"/>
    <w:rsid w:val="009D1E65"/>
    <w:rsid w:val="009D1F19"/>
    <w:rsid w:val="009D2148"/>
    <w:rsid w:val="009D2252"/>
    <w:rsid w:val="009D2354"/>
    <w:rsid w:val="009D258D"/>
    <w:rsid w:val="009D28C0"/>
    <w:rsid w:val="009D291A"/>
    <w:rsid w:val="009D2B72"/>
    <w:rsid w:val="009D2BBD"/>
    <w:rsid w:val="009D2EEB"/>
    <w:rsid w:val="009D330D"/>
    <w:rsid w:val="009D368A"/>
    <w:rsid w:val="009D368D"/>
    <w:rsid w:val="009D3EDE"/>
    <w:rsid w:val="009D4206"/>
    <w:rsid w:val="009D4259"/>
    <w:rsid w:val="009D45B4"/>
    <w:rsid w:val="009D4A1E"/>
    <w:rsid w:val="009D4A60"/>
    <w:rsid w:val="009D4AF8"/>
    <w:rsid w:val="009D505A"/>
    <w:rsid w:val="009D53E7"/>
    <w:rsid w:val="009D55B0"/>
    <w:rsid w:val="009D55D6"/>
    <w:rsid w:val="009D571B"/>
    <w:rsid w:val="009D5753"/>
    <w:rsid w:val="009D5B17"/>
    <w:rsid w:val="009D5DAF"/>
    <w:rsid w:val="009D5FBE"/>
    <w:rsid w:val="009D6290"/>
    <w:rsid w:val="009D6341"/>
    <w:rsid w:val="009D634C"/>
    <w:rsid w:val="009D64FE"/>
    <w:rsid w:val="009D6581"/>
    <w:rsid w:val="009D684F"/>
    <w:rsid w:val="009D68BC"/>
    <w:rsid w:val="009D6AD1"/>
    <w:rsid w:val="009D6B1E"/>
    <w:rsid w:val="009D6BB2"/>
    <w:rsid w:val="009D6D26"/>
    <w:rsid w:val="009D6E1F"/>
    <w:rsid w:val="009D701B"/>
    <w:rsid w:val="009D7233"/>
    <w:rsid w:val="009D794C"/>
    <w:rsid w:val="009D79A2"/>
    <w:rsid w:val="009D7C21"/>
    <w:rsid w:val="009D7DC0"/>
    <w:rsid w:val="009D7F4F"/>
    <w:rsid w:val="009E00E9"/>
    <w:rsid w:val="009E01A7"/>
    <w:rsid w:val="009E026B"/>
    <w:rsid w:val="009E03D4"/>
    <w:rsid w:val="009E070C"/>
    <w:rsid w:val="009E0850"/>
    <w:rsid w:val="009E094D"/>
    <w:rsid w:val="009E0B7B"/>
    <w:rsid w:val="009E0F3C"/>
    <w:rsid w:val="009E12DC"/>
    <w:rsid w:val="009E1302"/>
    <w:rsid w:val="009E13CB"/>
    <w:rsid w:val="009E16BD"/>
    <w:rsid w:val="009E17D0"/>
    <w:rsid w:val="009E1AE1"/>
    <w:rsid w:val="009E1B5C"/>
    <w:rsid w:val="009E1B81"/>
    <w:rsid w:val="009E1E4F"/>
    <w:rsid w:val="009E1F0B"/>
    <w:rsid w:val="009E1F68"/>
    <w:rsid w:val="009E1FC5"/>
    <w:rsid w:val="009E208C"/>
    <w:rsid w:val="009E220F"/>
    <w:rsid w:val="009E22A3"/>
    <w:rsid w:val="009E2649"/>
    <w:rsid w:val="009E26D9"/>
    <w:rsid w:val="009E2C61"/>
    <w:rsid w:val="009E2E2C"/>
    <w:rsid w:val="009E30F1"/>
    <w:rsid w:val="009E3210"/>
    <w:rsid w:val="009E340E"/>
    <w:rsid w:val="009E348F"/>
    <w:rsid w:val="009E37FE"/>
    <w:rsid w:val="009E396E"/>
    <w:rsid w:val="009E3A60"/>
    <w:rsid w:val="009E3E40"/>
    <w:rsid w:val="009E404E"/>
    <w:rsid w:val="009E4126"/>
    <w:rsid w:val="009E4297"/>
    <w:rsid w:val="009E46CD"/>
    <w:rsid w:val="009E47B5"/>
    <w:rsid w:val="009E494F"/>
    <w:rsid w:val="009E49FC"/>
    <w:rsid w:val="009E4F11"/>
    <w:rsid w:val="009E4FFF"/>
    <w:rsid w:val="009E5031"/>
    <w:rsid w:val="009E5072"/>
    <w:rsid w:val="009E5305"/>
    <w:rsid w:val="009E5398"/>
    <w:rsid w:val="009E53AB"/>
    <w:rsid w:val="009E53ED"/>
    <w:rsid w:val="009E56A9"/>
    <w:rsid w:val="009E58AC"/>
    <w:rsid w:val="009E5A4F"/>
    <w:rsid w:val="009E5A7F"/>
    <w:rsid w:val="009E5E68"/>
    <w:rsid w:val="009E60B8"/>
    <w:rsid w:val="009E6405"/>
    <w:rsid w:val="009E6624"/>
    <w:rsid w:val="009E6672"/>
    <w:rsid w:val="009E66E7"/>
    <w:rsid w:val="009E6710"/>
    <w:rsid w:val="009E67BB"/>
    <w:rsid w:val="009E67D1"/>
    <w:rsid w:val="009E6915"/>
    <w:rsid w:val="009E7130"/>
    <w:rsid w:val="009E72C5"/>
    <w:rsid w:val="009E73BA"/>
    <w:rsid w:val="009E73D5"/>
    <w:rsid w:val="009E7402"/>
    <w:rsid w:val="009E7559"/>
    <w:rsid w:val="009E79BB"/>
    <w:rsid w:val="009E7A86"/>
    <w:rsid w:val="009E7BA7"/>
    <w:rsid w:val="009E7C9F"/>
    <w:rsid w:val="009F0038"/>
    <w:rsid w:val="009F018A"/>
    <w:rsid w:val="009F01E5"/>
    <w:rsid w:val="009F023C"/>
    <w:rsid w:val="009F03A7"/>
    <w:rsid w:val="009F08CE"/>
    <w:rsid w:val="009F08FD"/>
    <w:rsid w:val="009F099A"/>
    <w:rsid w:val="009F09E0"/>
    <w:rsid w:val="009F0A0B"/>
    <w:rsid w:val="009F0A34"/>
    <w:rsid w:val="009F1077"/>
    <w:rsid w:val="009F1194"/>
    <w:rsid w:val="009F141A"/>
    <w:rsid w:val="009F173F"/>
    <w:rsid w:val="009F17A7"/>
    <w:rsid w:val="009F18B4"/>
    <w:rsid w:val="009F18C2"/>
    <w:rsid w:val="009F1DCA"/>
    <w:rsid w:val="009F1F7F"/>
    <w:rsid w:val="009F214E"/>
    <w:rsid w:val="009F23C6"/>
    <w:rsid w:val="009F2461"/>
    <w:rsid w:val="009F24EB"/>
    <w:rsid w:val="009F268C"/>
    <w:rsid w:val="009F26D9"/>
    <w:rsid w:val="009F2743"/>
    <w:rsid w:val="009F27A6"/>
    <w:rsid w:val="009F28E3"/>
    <w:rsid w:val="009F2C98"/>
    <w:rsid w:val="009F2E02"/>
    <w:rsid w:val="009F3248"/>
    <w:rsid w:val="009F36DE"/>
    <w:rsid w:val="009F381E"/>
    <w:rsid w:val="009F39DE"/>
    <w:rsid w:val="009F3B63"/>
    <w:rsid w:val="009F3CA5"/>
    <w:rsid w:val="009F3E29"/>
    <w:rsid w:val="009F4361"/>
    <w:rsid w:val="009F446A"/>
    <w:rsid w:val="009F4566"/>
    <w:rsid w:val="009F465F"/>
    <w:rsid w:val="009F4765"/>
    <w:rsid w:val="009F4863"/>
    <w:rsid w:val="009F48ED"/>
    <w:rsid w:val="009F4A13"/>
    <w:rsid w:val="009F4DA9"/>
    <w:rsid w:val="009F4F78"/>
    <w:rsid w:val="009F50A0"/>
    <w:rsid w:val="009F52D3"/>
    <w:rsid w:val="009F52FF"/>
    <w:rsid w:val="009F55D5"/>
    <w:rsid w:val="009F55FD"/>
    <w:rsid w:val="009F577C"/>
    <w:rsid w:val="009F5843"/>
    <w:rsid w:val="009F5A1A"/>
    <w:rsid w:val="009F5C62"/>
    <w:rsid w:val="009F5EC0"/>
    <w:rsid w:val="009F5FE2"/>
    <w:rsid w:val="009F603D"/>
    <w:rsid w:val="009F6101"/>
    <w:rsid w:val="009F619A"/>
    <w:rsid w:val="009F629A"/>
    <w:rsid w:val="009F6320"/>
    <w:rsid w:val="009F6458"/>
    <w:rsid w:val="009F6570"/>
    <w:rsid w:val="009F67DD"/>
    <w:rsid w:val="009F6889"/>
    <w:rsid w:val="009F6CCD"/>
    <w:rsid w:val="009F6D5A"/>
    <w:rsid w:val="009F6EBC"/>
    <w:rsid w:val="009F6F19"/>
    <w:rsid w:val="009F7191"/>
    <w:rsid w:val="009F74FC"/>
    <w:rsid w:val="009F7532"/>
    <w:rsid w:val="009F7548"/>
    <w:rsid w:val="009F755B"/>
    <w:rsid w:val="009F7B93"/>
    <w:rsid w:val="009F7C19"/>
    <w:rsid w:val="009F7D18"/>
    <w:rsid w:val="009F7F12"/>
    <w:rsid w:val="009F7F39"/>
    <w:rsid w:val="009F7FA8"/>
    <w:rsid w:val="009F7FF7"/>
    <w:rsid w:val="00A0023D"/>
    <w:rsid w:val="00A00454"/>
    <w:rsid w:val="00A006CE"/>
    <w:rsid w:val="00A00704"/>
    <w:rsid w:val="00A0074E"/>
    <w:rsid w:val="00A00813"/>
    <w:rsid w:val="00A00966"/>
    <w:rsid w:val="00A009CB"/>
    <w:rsid w:val="00A00E2A"/>
    <w:rsid w:val="00A00EA0"/>
    <w:rsid w:val="00A00F88"/>
    <w:rsid w:val="00A00FEF"/>
    <w:rsid w:val="00A0111B"/>
    <w:rsid w:val="00A0117A"/>
    <w:rsid w:val="00A01235"/>
    <w:rsid w:val="00A01597"/>
    <w:rsid w:val="00A015C8"/>
    <w:rsid w:val="00A015DB"/>
    <w:rsid w:val="00A018FE"/>
    <w:rsid w:val="00A0190E"/>
    <w:rsid w:val="00A01B27"/>
    <w:rsid w:val="00A01E45"/>
    <w:rsid w:val="00A01EC6"/>
    <w:rsid w:val="00A01EE7"/>
    <w:rsid w:val="00A02258"/>
    <w:rsid w:val="00A028F8"/>
    <w:rsid w:val="00A029CF"/>
    <w:rsid w:val="00A02B07"/>
    <w:rsid w:val="00A02C47"/>
    <w:rsid w:val="00A02C8A"/>
    <w:rsid w:val="00A02DD9"/>
    <w:rsid w:val="00A02EE2"/>
    <w:rsid w:val="00A02EF6"/>
    <w:rsid w:val="00A03109"/>
    <w:rsid w:val="00A033D5"/>
    <w:rsid w:val="00A033F8"/>
    <w:rsid w:val="00A0348F"/>
    <w:rsid w:val="00A03920"/>
    <w:rsid w:val="00A039BA"/>
    <w:rsid w:val="00A03B76"/>
    <w:rsid w:val="00A03C49"/>
    <w:rsid w:val="00A03D8B"/>
    <w:rsid w:val="00A03EBA"/>
    <w:rsid w:val="00A03ED1"/>
    <w:rsid w:val="00A03F1B"/>
    <w:rsid w:val="00A04004"/>
    <w:rsid w:val="00A04314"/>
    <w:rsid w:val="00A04446"/>
    <w:rsid w:val="00A0452A"/>
    <w:rsid w:val="00A048FF"/>
    <w:rsid w:val="00A04D11"/>
    <w:rsid w:val="00A04E10"/>
    <w:rsid w:val="00A05240"/>
    <w:rsid w:val="00A053F9"/>
    <w:rsid w:val="00A0547B"/>
    <w:rsid w:val="00A0573E"/>
    <w:rsid w:val="00A057BF"/>
    <w:rsid w:val="00A0583F"/>
    <w:rsid w:val="00A05952"/>
    <w:rsid w:val="00A05982"/>
    <w:rsid w:val="00A05DDF"/>
    <w:rsid w:val="00A06002"/>
    <w:rsid w:val="00A06022"/>
    <w:rsid w:val="00A06075"/>
    <w:rsid w:val="00A06438"/>
    <w:rsid w:val="00A0662B"/>
    <w:rsid w:val="00A06795"/>
    <w:rsid w:val="00A067B0"/>
    <w:rsid w:val="00A06C9F"/>
    <w:rsid w:val="00A06DB5"/>
    <w:rsid w:val="00A06E77"/>
    <w:rsid w:val="00A07174"/>
    <w:rsid w:val="00A07204"/>
    <w:rsid w:val="00A07513"/>
    <w:rsid w:val="00A0768C"/>
    <w:rsid w:val="00A076F3"/>
    <w:rsid w:val="00A07890"/>
    <w:rsid w:val="00A078CF"/>
    <w:rsid w:val="00A07A44"/>
    <w:rsid w:val="00A07CF8"/>
    <w:rsid w:val="00A07DBA"/>
    <w:rsid w:val="00A10294"/>
    <w:rsid w:val="00A10401"/>
    <w:rsid w:val="00A10462"/>
    <w:rsid w:val="00A10625"/>
    <w:rsid w:val="00A1087C"/>
    <w:rsid w:val="00A1092D"/>
    <w:rsid w:val="00A109B2"/>
    <w:rsid w:val="00A10AD5"/>
    <w:rsid w:val="00A1165B"/>
    <w:rsid w:val="00A116C3"/>
    <w:rsid w:val="00A11910"/>
    <w:rsid w:val="00A11B28"/>
    <w:rsid w:val="00A11C94"/>
    <w:rsid w:val="00A11D43"/>
    <w:rsid w:val="00A11E7C"/>
    <w:rsid w:val="00A123FD"/>
    <w:rsid w:val="00A12685"/>
    <w:rsid w:val="00A126FF"/>
    <w:rsid w:val="00A12771"/>
    <w:rsid w:val="00A127D5"/>
    <w:rsid w:val="00A12926"/>
    <w:rsid w:val="00A12A2D"/>
    <w:rsid w:val="00A12CA0"/>
    <w:rsid w:val="00A13113"/>
    <w:rsid w:val="00A131B2"/>
    <w:rsid w:val="00A131E5"/>
    <w:rsid w:val="00A1330A"/>
    <w:rsid w:val="00A1337B"/>
    <w:rsid w:val="00A13842"/>
    <w:rsid w:val="00A13A55"/>
    <w:rsid w:val="00A13AC1"/>
    <w:rsid w:val="00A13C61"/>
    <w:rsid w:val="00A13EEF"/>
    <w:rsid w:val="00A14034"/>
    <w:rsid w:val="00A14468"/>
    <w:rsid w:val="00A14943"/>
    <w:rsid w:val="00A1498B"/>
    <w:rsid w:val="00A149A4"/>
    <w:rsid w:val="00A14DF6"/>
    <w:rsid w:val="00A14FBA"/>
    <w:rsid w:val="00A15259"/>
    <w:rsid w:val="00A1561F"/>
    <w:rsid w:val="00A15640"/>
    <w:rsid w:val="00A1567F"/>
    <w:rsid w:val="00A15817"/>
    <w:rsid w:val="00A15F3E"/>
    <w:rsid w:val="00A15FC6"/>
    <w:rsid w:val="00A16085"/>
    <w:rsid w:val="00A16271"/>
    <w:rsid w:val="00A1634D"/>
    <w:rsid w:val="00A16565"/>
    <w:rsid w:val="00A166C6"/>
    <w:rsid w:val="00A166C8"/>
    <w:rsid w:val="00A16899"/>
    <w:rsid w:val="00A16BF2"/>
    <w:rsid w:val="00A16C62"/>
    <w:rsid w:val="00A16CCA"/>
    <w:rsid w:val="00A16D62"/>
    <w:rsid w:val="00A1703B"/>
    <w:rsid w:val="00A17309"/>
    <w:rsid w:val="00A173C4"/>
    <w:rsid w:val="00A1745B"/>
    <w:rsid w:val="00A17708"/>
    <w:rsid w:val="00A179AB"/>
    <w:rsid w:val="00A17A7B"/>
    <w:rsid w:val="00A17E29"/>
    <w:rsid w:val="00A17E5A"/>
    <w:rsid w:val="00A201C8"/>
    <w:rsid w:val="00A2036A"/>
    <w:rsid w:val="00A205C1"/>
    <w:rsid w:val="00A205D9"/>
    <w:rsid w:val="00A205E8"/>
    <w:rsid w:val="00A2070E"/>
    <w:rsid w:val="00A20862"/>
    <w:rsid w:val="00A20C51"/>
    <w:rsid w:val="00A20D0C"/>
    <w:rsid w:val="00A20DB6"/>
    <w:rsid w:val="00A20EC4"/>
    <w:rsid w:val="00A20F6B"/>
    <w:rsid w:val="00A2112F"/>
    <w:rsid w:val="00A2119D"/>
    <w:rsid w:val="00A211A9"/>
    <w:rsid w:val="00A21321"/>
    <w:rsid w:val="00A21446"/>
    <w:rsid w:val="00A21C84"/>
    <w:rsid w:val="00A21D72"/>
    <w:rsid w:val="00A21E79"/>
    <w:rsid w:val="00A21F6B"/>
    <w:rsid w:val="00A220B0"/>
    <w:rsid w:val="00A22145"/>
    <w:rsid w:val="00A2273F"/>
    <w:rsid w:val="00A22B50"/>
    <w:rsid w:val="00A22D05"/>
    <w:rsid w:val="00A22D1E"/>
    <w:rsid w:val="00A22D9C"/>
    <w:rsid w:val="00A22FFA"/>
    <w:rsid w:val="00A23461"/>
    <w:rsid w:val="00A237A6"/>
    <w:rsid w:val="00A23832"/>
    <w:rsid w:val="00A23B04"/>
    <w:rsid w:val="00A23BEA"/>
    <w:rsid w:val="00A23D05"/>
    <w:rsid w:val="00A23D8B"/>
    <w:rsid w:val="00A23E1C"/>
    <w:rsid w:val="00A23E44"/>
    <w:rsid w:val="00A24189"/>
    <w:rsid w:val="00A24288"/>
    <w:rsid w:val="00A2482C"/>
    <w:rsid w:val="00A24EB7"/>
    <w:rsid w:val="00A25199"/>
    <w:rsid w:val="00A252DF"/>
    <w:rsid w:val="00A25357"/>
    <w:rsid w:val="00A25428"/>
    <w:rsid w:val="00A25468"/>
    <w:rsid w:val="00A2563C"/>
    <w:rsid w:val="00A2569D"/>
    <w:rsid w:val="00A25726"/>
    <w:rsid w:val="00A25B71"/>
    <w:rsid w:val="00A25BEC"/>
    <w:rsid w:val="00A25CB1"/>
    <w:rsid w:val="00A26146"/>
    <w:rsid w:val="00A26569"/>
    <w:rsid w:val="00A26624"/>
    <w:rsid w:val="00A26786"/>
    <w:rsid w:val="00A267D6"/>
    <w:rsid w:val="00A26CDB"/>
    <w:rsid w:val="00A26F04"/>
    <w:rsid w:val="00A26F5D"/>
    <w:rsid w:val="00A27010"/>
    <w:rsid w:val="00A27052"/>
    <w:rsid w:val="00A271A8"/>
    <w:rsid w:val="00A2734A"/>
    <w:rsid w:val="00A273F2"/>
    <w:rsid w:val="00A27596"/>
    <w:rsid w:val="00A27614"/>
    <w:rsid w:val="00A2764F"/>
    <w:rsid w:val="00A2766C"/>
    <w:rsid w:val="00A27ACE"/>
    <w:rsid w:val="00A27B84"/>
    <w:rsid w:val="00A27C3F"/>
    <w:rsid w:val="00A27D27"/>
    <w:rsid w:val="00A27D3C"/>
    <w:rsid w:val="00A30159"/>
    <w:rsid w:val="00A30346"/>
    <w:rsid w:val="00A3078D"/>
    <w:rsid w:val="00A30907"/>
    <w:rsid w:val="00A309B3"/>
    <w:rsid w:val="00A30E51"/>
    <w:rsid w:val="00A30FFE"/>
    <w:rsid w:val="00A31029"/>
    <w:rsid w:val="00A312B8"/>
    <w:rsid w:val="00A316DD"/>
    <w:rsid w:val="00A31717"/>
    <w:rsid w:val="00A317BE"/>
    <w:rsid w:val="00A317E5"/>
    <w:rsid w:val="00A31805"/>
    <w:rsid w:val="00A31D7D"/>
    <w:rsid w:val="00A31E9C"/>
    <w:rsid w:val="00A32085"/>
    <w:rsid w:val="00A322A6"/>
    <w:rsid w:val="00A3231F"/>
    <w:rsid w:val="00A325F8"/>
    <w:rsid w:val="00A32662"/>
    <w:rsid w:val="00A3268F"/>
    <w:rsid w:val="00A32C30"/>
    <w:rsid w:val="00A32CFD"/>
    <w:rsid w:val="00A32F68"/>
    <w:rsid w:val="00A32F6B"/>
    <w:rsid w:val="00A33746"/>
    <w:rsid w:val="00A338C5"/>
    <w:rsid w:val="00A33CEA"/>
    <w:rsid w:val="00A33E55"/>
    <w:rsid w:val="00A33F14"/>
    <w:rsid w:val="00A33FD0"/>
    <w:rsid w:val="00A33FD2"/>
    <w:rsid w:val="00A341C0"/>
    <w:rsid w:val="00A3449D"/>
    <w:rsid w:val="00A3460F"/>
    <w:rsid w:val="00A34640"/>
    <w:rsid w:val="00A346B1"/>
    <w:rsid w:val="00A347AE"/>
    <w:rsid w:val="00A34822"/>
    <w:rsid w:val="00A349FD"/>
    <w:rsid w:val="00A34CBF"/>
    <w:rsid w:val="00A34E5C"/>
    <w:rsid w:val="00A35215"/>
    <w:rsid w:val="00A3528E"/>
    <w:rsid w:val="00A3532A"/>
    <w:rsid w:val="00A35395"/>
    <w:rsid w:val="00A35685"/>
    <w:rsid w:val="00A35723"/>
    <w:rsid w:val="00A35874"/>
    <w:rsid w:val="00A35B95"/>
    <w:rsid w:val="00A35FDD"/>
    <w:rsid w:val="00A361A8"/>
    <w:rsid w:val="00A36424"/>
    <w:rsid w:val="00A365A2"/>
    <w:rsid w:val="00A36688"/>
    <w:rsid w:val="00A36C18"/>
    <w:rsid w:val="00A36D08"/>
    <w:rsid w:val="00A36D51"/>
    <w:rsid w:val="00A36DC7"/>
    <w:rsid w:val="00A36F06"/>
    <w:rsid w:val="00A36F91"/>
    <w:rsid w:val="00A370FB"/>
    <w:rsid w:val="00A373D6"/>
    <w:rsid w:val="00A37433"/>
    <w:rsid w:val="00A37458"/>
    <w:rsid w:val="00A37BC0"/>
    <w:rsid w:val="00A37BDD"/>
    <w:rsid w:val="00A37C68"/>
    <w:rsid w:val="00A37D93"/>
    <w:rsid w:val="00A400EA"/>
    <w:rsid w:val="00A40491"/>
    <w:rsid w:val="00A40950"/>
    <w:rsid w:val="00A40A76"/>
    <w:rsid w:val="00A40D3B"/>
    <w:rsid w:val="00A40E8A"/>
    <w:rsid w:val="00A414AA"/>
    <w:rsid w:val="00A41525"/>
    <w:rsid w:val="00A41731"/>
    <w:rsid w:val="00A41795"/>
    <w:rsid w:val="00A41BBF"/>
    <w:rsid w:val="00A41CD2"/>
    <w:rsid w:val="00A41EF7"/>
    <w:rsid w:val="00A41F67"/>
    <w:rsid w:val="00A41FE9"/>
    <w:rsid w:val="00A42147"/>
    <w:rsid w:val="00A42152"/>
    <w:rsid w:val="00A4238F"/>
    <w:rsid w:val="00A4246B"/>
    <w:rsid w:val="00A42475"/>
    <w:rsid w:val="00A426C1"/>
    <w:rsid w:val="00A42737"/>
    <w:rsid w:val="00A429F3"/>
    <w:rsid w:val="00A42A42"/>
    <w:rsid w:val="00A42AE6"/>
    <w:rsid w:val="00A42B90"/>
    <w:rsid w:val="00A42BB4"/>
    <w:rsid w:val="00A42C6E"/>
    <w:rsid w:val="00A42C79"/>
    <w:rsid w:val="00A42E1E"/>
    <w:rsid w:val="00A42F1F"/>
    <w:rsid w:val="00A42F57"/>
    <w:rsid w:val="00A431E1"/>
    <w:rsid w:val="00A4355B"/>
    <w:rsid w:val="00A4365A"/>
    <w:rsid w:val="00A4382C"/>
    <w:rsid w:val="00A439A5"/>
    <w:rsid w:val="00A43AB5"/>
    <w:rsid w:val="00A441C8"/>
    <w:rsid w:val="00A443F2"/>
    <w:rsid w:val="00A445F7"/>
    <w:rsid w:val="00A448BB"/>
    <w:rsid w:val="00A448EF"/>
    <w:rsid w:val="00A4493D"/>
    <w:rsid w:val="00A44AB5"/>
    <w:rsid w:val="00A44CA2"/>
    <w:rsid w:val="00A44DC2"/>
    <w:rsid w:val="00A44E88"/>
    <w:rsid w:val="00A44EFE"/>
    <w:rsid w:val="00A4512D"/>
    <w:rsid w:val="00A45399"/>
    <w:rsid w:val="00A4551B"/>
    <w:rsid w:val="00A455CE"/>
    <w:rsid w:val="00A45781"/>
    <w:rsid w:val="00A45886"/>
    <w:rsid w:val="00A458C4"/>
    <w:rsid w:val="00A45CD1"/>
    <w:rsid w:val="00A45D4A"/>
    <w:rsid w:val="00A45DC7"/>
    <w:rsid w:val="00A45E17"/>
    <w:rsid w:val="00A45E4A"/>
    <w:rsid w:val="00A45E60"/>
    <w:rsid w:val="00A460FF"/>
    <w:rsid w:val="00A4631C"/>
    <w:rsid w:val="00A46380"/>
    <w:rsid w:val="00A4654B"/>
    <w:rsid w:val="00A46911"/>
    <w:rsid w:val="00A46A49"/>
    <w:rsid w:val="00A46BA7"/>
    <w:rsid w:val="00A46E0D"/>
    <w:rsid w:val="00A46E96"/>
    <w:rsid w:val="00A46FAA"/>
    <w:rsid w:val="00A470F5"/>
    <w:rsid w:val="00A4720E"/>
    <w:rsid w:val="00A474D3"/>
    <w:rsid w:val="00A476A5"/>
    <w:rsid w:val="00A477DE"/>
    <w:rsid w:val="00A47A85"/>
    <w:rsid w:val="00A47BC3"/>
    <w:rsid w:val="00A47C63"/>
    <w:rsid w:val="00A47D11"/>
    <w:rsid w:val="00A47EDA"/>
    <w:rsid w:val="00A503DA"/>
    <w:rsid w:val="00A503ED"/>
    <w:rsid w:val="00A5067E"/>
    <w:rsid w:val="00A50FBE"/>
    <w:rsid w:val="00A516DC"/>
    <w:rsid w:val="00A51706"/>
    <w:rsid w:val="00A51722"/>
    <w:rsid w:val="00A51859"/>
    <w:rsid w:val="00A51B04"/>
    <w:rsid w:val="00A51D39"/>
    <w:rsid w:val="00A51E16"/>
    <w:rsid w:val="00A51EAF"/>
    <w:rsid w:val="00A51EBA"/>
    <w:rsid w:val="00A5295A"/>
    <w:rsid w:val="00A52D4A"/>
    <w:rsid w:val="00A533AB"/>
    <w:rsid w:val="00A5364C"/>
    <w:rsid w:val="00A5372C"/>
    <w:rsid w:val="00A53A5A"/>
    <w:rsid w:val="00A53A81"/>
    <w:rsid w:val="00A53B76"/>
    <w:rsid w:val="00A53CDD"/>
    <w:rsid w:val="00A53DE5"/>
    <w:rsid w:val="00A53F4C"/>
    <w:rsid w:val="00A5402E"/>
    <w:rsid w:val="00A540BD"/>
    <w:rsid w:val="00A54236"/>
    <w:rsid w:val="00A543AF"/>
    <w:rsid w:val="00A5494B"/>
    <w:rsid w:val="00A54981"/>
    <w:rsid w:val="00A54AF7"/>
    <w:rsid w:val="00A54DB0"/>
    <w:rsid w:val="00A54DCF"/>
    <w:rsid w:val="00A54DD4"/>
    <w:rsid w:val="00A54DDE"/>
    <w:rsid w:val="00A54E50"/>
    <w:rsid w:val="00A54F43"/>
    <w:rsid w:val="00A55123"/>
    <w:rsid w:val="00A5553F"/>
    <w:rsid w:val="00A55769"/>
    <w:rsid w:val="00A55AAA"/>
    <w:rsid w:val="00A55BC8"/>
    <w:rsid w:val="00A55C01"/>
    <w:rsid w:val="00A55C52"/>
    <w:rsid w:val="00A5613F"/>
    <w:rsid w:val="00A5643B"/>
    <w:rsid w:val="00A56654"/>
    <w:rsid w:val="00A56692"/>
    <w:rsid w:val="00A5699B"/>
    <w:rsid w:val="00A56B2F"/>
    <w:rsid w:val="00A56DAE"/>
    <w:rsid w:val="00A56E83"/>
    <w:rsid w:val="00A570DE"/>
    <w:rsid w:val="00A57154"/>
    <w:rsid w:val="00A573ED"/>
    <w:rsid w:val="00A57405"/>
    <w:rsid w:val="00A5747C"/>
    <w:rsid w:val="00A5760B"/>
    <w:rsid w:val="00A57680"/>
    <w:rsid w:val="00A57730"/>
    <w:rsid w:val="00A57840"/>
    <w:rsid w:val="00A579A2"/>
    <w:rsid w:val="00A579A4"/>
    <w:rsid w:val="00A57AB5"/>
    <w:rsid w:val="00A57BF0"/>
    <w:rsid w:val="00A60592"/>
    <w:rsid w:val="00A60777"/>
    <w:rsid w:val="00A608DE"/>
    <w:rsid w:val="00A60AEF"/>
    <w:rsid w:val="00A60BAB"/>
    <w:rsid w:val="00A60C97"/>
    <w:rsid w:val="00A60D3E"/>
    <w:rsid w:val="00A60D85"/>
    <w:rsid w:val="00A60E75"/>
    <w:rsid w:val="00A61301"/>
    <w:rsid w:val="00A61366"/>
    <w:rsid w:val="00A6179A"/>
    <w:rsid w:val="00A618FA"/>
    <w:rsid w:val="00A61A17"/>
    <w:rsid w:val="00A61A55"/>
    <w:rsid w:val="00A61A81"/>
    <w:rsid w:val="00A61D36"/>
    <w:rsid w:val="00A61E4E"/>
    <w:rsid w:val="00A61E81"/>
    <w:rsid w:val="00A61EA3"/>
    <w:rsid w:val="00A622C2"/>
    <w:rsid w:val="00A6231C"/>
    <w:rsid w:val="00A62449"/>
    <w:rsid w:val="00A62774"/>
    <w:rsid w:val="00A62A1E"/>
    <w:rsid w:val="00A62AC1"/>
    <w:rsid w:val="00A62D3B"/>
    <w:rsid w:val="00A62E27"/>
    <w:rsid w:val="00A62EA6"/>
    <w:rsid w:val="00A62EC2"/>
    <w:rsid w:val="00A63108"/>
    <w:rsid w:val="00A63198"/>
    <w:rsid w:val="00A6330A"/>
    <w:rsid w:val="00A63392"/>
    <w:rsid w:val="00A6350E"/>
    <w:rsid w:val="00A63530"/>
    <w:rsid w:val="00A63769"/>
    <w:rsid w:val="00A63797"/>
    <w:rsid w:val="00A63A74"/>
    <w:rsid w:val="00A63AA9"/>
    <w:rsid w:val="00A63B3D"/>
    <w:rsid w:val="00A640CE"/>
    <w:rsid w:val="00A641F4"/>
    <w:rsid w:val="00A6437E"/>
    <w:rsid w:val="00A64547"/>
    <w:rsid w:val="00A64B52"/>
    <w:rsid w:val="00A64B88"/>
    <w:rsid w:val="00A64EC2"/>
    <w:rsid w:val="00A64EC7"/>
    <w:rsid w:val="00A64F10"/>
    <w:rsid w:val="00A6502A"/>
    <w:rsid w:val="00A65046"/>
    <w:rsid w:val="00A65144"/>
    <w:rsid w:val="00A654EE"/>
    <w:rsid w:val="00A6577C"/>
    <w:rsid w:val="00A657D4"/>
    <w:rsid w:val="00A659A2"/>
    <w:rsid w:val="00A659FC"/>
    <w:rsid w:val="00A65A03"/>
    <w:rsid w:val="00A65E13"/>
    <w:rsid w:val="00A65E83"/>
    <w:rsid w:val="00A6602F"/>
    <w:rsid w:val="00A6609D"/>
    <w:rsid w:val="00A66465"/>
    <w:rsid w:val="00A66555"/>
    <w:rsid w:val="00A665C2"/>
    <w:rsid w:val="00A66756"/>
    <w:rsid w:val="00A667A4"/>
    <w:rsid w:val="00A667D7"/>
    <w:rsid w:val="00A668D5"/>
    <w:rsid w:val="00A66D23"/>
    <w:rsid w:val="00A66E1D"/>
    <w:rsid w:val="00A66E98"/>
    <w:rsid w:val="00A66E9A"/>
    <w:rsid w:val="00A6730E"/>
    <w:rsid w:val="00A673A6"/>
    <w:rsid w:val="00A673D9"/>
    <w:rsid w:val="00A673F2"/>
    <w:rsid w:val="00A6791D"/>
    <w:rsid w:val="00A679BD"/>
    <w:rsid w:val="00A67A5C"/>
    <w:rsid w:val="00A67A61"/>
    <w:rsid w:val="00A67B69"/>
    <w:rsid w:val="00A67B95"/>
    <w:rsid w:val="00A67BE8"/>
    <w:rsid w:val="00A67EEC"/>
    <w:rsid w:val="00A67FA8"/>
    <w:rsid w:val="00A7002D"/>
    <w:rsid w:val="00A7022D"/>
    <w:rsid w:val="00A702A3"/>
    <w:rsid w:val="00A70556"/>
    <w:rsid w:val="00A70943"/>
    <w:rsid w:val="00A70C06"/>
    <w:rsid w:val="00A70C96"/>
    <w:rsid w:val="00A70E74"/>
    <w:rsid w:val="00A71278"/>
    <w:rsid w:val="00A714CD"/>
    <w:rsid w:val="00A71689"/>
    <w:rsid w:val="00A716BF"/>
    <w:rsid w:val="00A71738"/>
    <w:rsid w:val="00A71B0F"/>
    <w:rsid w:val="00A71C44"/>
    <w:rsid w:val="00A71D5D"/>
    <w:rsid w:val="00A71F1F"/>
    <w:rsid w:val="00A71F9A"/>
    <w:rsid w:val="00A7200B"/>
    <w:rsid w:val="00A721E7"/>
    <w:rsid w:val="00A72741"/>
    <w:rsid w:val="00A727DA"/>
    <w:rsid w:val="00A729E9"/>
    <w:rsid w:val="00A72AC8"/>
    <w:rsid w:val="00A72B74"/>
    <w:rsid w:val="00A72C00"/>
    <w:rsid w:val="00A72C16"/>
    <w:rsid w:val="00A72E39"/>
    <w:rsid w:val="00A72F1E"/>
    <w:rsid w:val="00A73111"/>
    <w:rsid w:val="00A73149"/>
    <w:rsid w:val="00A7316D"/>
    <w:rsid w:val="00A7334E"/>
    <w:rsid w:val="00A7352A"/>
    <w:rsid w:val="00A7393F"/>
    <w:rsid w:val="00A73AA1"/>
    <w:rsid w:val="00A73C04"/>
    <w:rsid w:val="00A73E2B"/>
    <w:rsid w:val="00A73E33"/>
    <w:rsid w:val="00A73FAD"/>
    <w:rsid w:val="00A7410F"/>
    <w:rsid w:val="00A74129"/>
    <w:rsid w:val="00A7414D"/>
    <w:rsid w:val="00A74357"/>
    <w:rsid w:val="00A74463"/>
    <w:rsid w:val="00A744E8"/>
    <w:rsid w:val="00A7458A"/>
    <w:rsid w:val="00A747B5"/>
    <w:rsid w:val="00A749D0"/>
    <w:rsid w:val="00A74A38"/>
    <w:rsid w:val="00A75304"/>
    <w:rsid w:val="00A75357"/>
    <w:rsid w:val="00A75ADF"/>
    <w:rsid w:val="00A75C2D"/>
    <w:rsid w:val="00A7667C"/>
    <w:rsid w:val="00A7679C"/>
    <w:rsid w:val="00A76B69"/>
    <w:rsid w:val="00A76CE2"/>
    <w:rsid w:val="00A76D5B"/>
    <w:rsid w:val="00A76D96"/>
    <w:rsid w:val="00A771A8"/>
    <w:rsid w:val="00A771DB"/>
    <w:rsid w:val="00A77215"/>
    <w:rsid w:val="00A7724C"/>
    <w:rsid w:val="00A772A0"/>
    <w:rsid w:val="00A77379"/>
    <w:rsid w:val="00A775CD"/>
    <w:rsid w:val="00A775E6"/>
    <w:rsid w:val="00A77673"/>
    <w:rsid w:val="00A776EB"/>
    <w:rsid w:val="00A77B59"/>
    <w:rsid w:val="00A77BB9"/>
    <w:rsid w:val="00A77E55"/>
    <w:rsid w:val="00A8014A"/>
    <w:rsid w:val="00A8021C"/>
    <w:rsid w:val="00A802F6"/>
    <w:rsid w:val="00A804E8"/>
    <w:rsid w:val="00A806C4"/>
    <w:rsid w:val="00A80B36"/>
    <w:rsid w:val="00A80B42"/>
    <w:rsid w:val="00A80B64"/>
    <w:rsid w:val="00A80B82"/>
    <w:rsid w:val="00A80DAA"/>
    <w:rsid w:val="00A80E3B"/>
    <w:rsid w:val="00A8123A"/>
    <w:rsid w:val="00A814AE"/>
    <w:rsid w:val="00A816DC"/>
    <w:rsid w:val="00A817DD"/>
    <w:rsid w:val="00A81859"/>
    <w:rsid w:val="00A8187C"/>
    <w:rsid w:val="00A81AF1"/>
    <w:rsid w:val="00A81BDA"/>
    <w:rsid w:val="00A81E4F"/>
    <w:rsid w:val="00A81FDB"/>
    <w:rsid w:val="00A82631"/>
    <w:rsid w:val="00A82948"/>
    <w:rsid w:val="00A82A0E"/>
    <w:rsid w:val="00A82D04"/>
    <w:rsid w:val="00A82D7B"/>
    <w:rsid w:val="00A82DB7"/>
    <w:rsid w:val="00A831CE"/>
    <w:rsid w:val="00A83261"/>
    <w:rsid w:val="00A8358A"/>
    <w:rsid w:val="00A8360C"/>
    <w:rsid w:val="00A838A0"/>
    <w:rsid w:val="00A83A7C"/>
    <w:rsid w:val="00A83E75"/>
    <w:rsid w:val="00A840F8"/>
    <w:rsid w:val="00A84316"/>
    <w:rsid w:val="00A84768"/>
    <w:rsid w:val="00A847E2"/>
    <w:rsid w:val="00A84AE0"/>
    <w:rsid w:val="00A84B05"/>
    <w:rsid w:val="00A84C0B"/>
    <w:rsid w:val="00A84E2A"/>
    <w:rsid w:val="00A84E68"/>
    <w:rsid w:val="00A84FB8"/>
    <w:rsid w:val="00A8508A"/>
    <w:rsid w:val="00A85630"/>
    <w:rsid w:val="00A85C4C"/>
    <w:rsid w:val="00A85CA2"/>
    <w:rsid w:val="00A85DD6"/>
    <w:rsid w:val="00A85F92"/>
    <w:rsid w:val="00A86165"/>
    <w:rsid w:val="00A8622A"/>
    <w:rsid w:val="00A8639F"/>
    <w:rsid w:val="00A8651B"/>
    <w:rsid w:val="00A867A8"/>
    <w:rsid w:val="00A867E4"/>
    <w:rsid w:val="00A869E1"/>
    <w:rsid w:val="00A86AA7"/>
    <w:rsid w:val="00A86D92"/>
    <w:rsid w:val="00A86F01"/>
    <w:rsid w:val="00A86F17"/>
    <w:rsid w:val="00A8721A"/>
    <w:rsid w:val="00A874D6"/>
    <w:rsid w:val="00A877F1"/>
    <w:rsid w:val="00A87889"/>
    <w:rsid w:val="00A8798E"/>
    <w:rsid w:val="00A87A9E"/>
    <w:rsid w:val="00A87B59"/>
    <w:rsid w:val="00A87EE5"/>
    <w:rsid w:val="00A87F0D"/>
    <w:rsid w:val="00A90045"/>
    <w:rsid w:val="00A905C6"/>
    <w:rsid w:val="00A9061F"/>
    <w:rsid w:val="00A90B54"/>
    <w:rsid w:val="00A91027"/>
    <w:rsid w:val="00A910AE"/>
    <w:rsid w:val="00A91159"/>
    <w:rsid w:val="00A91356"/>
    <w:rsid w:val="00A917A2"/>
    <w:rsid w:val="00A9188B"/>
    <w:rsid w:val="00A91A78"/>
    <w:rsid w:val="00A91D42"/>
    <w:rsid w:val="00A9213A"/>
    <w:rsid w:val="00A9213E"/>
    <w:rsid w:val="00A921B6"/>
    <w:rsid w:val="00A9240F"/>
    <w:rsid w:val="00A9246B"/>
    <w:rsid w:val="00A9253C"/>
    <w:rsid w:val="00A92797"/>
    <w:rsid w:val="00A93040"/>
    <w:rsid w:val="00A9326B"/>
    <w:rsid w:val="00A932AC"/>
    <w:rsid w:val="00A9371F"/>
    <w:rsid w:val="00A9388B"/>
    <w:rsid w:val="00A93AAC"/>
    <w:rsid w:val="00A93C55"/>
    <w:rsid w:val="00A93C6F"/>
    <w:rsid w:val="00A94145"/>
    <w:rsid w:val="00A942D3"/>
    <w:rsid w:val="00A94434"/>
    <w:rsid w:val="00A9466F"/>
    <w:rsid w:val="00A94A13"/>
    <w:rsid w:val="00A94B06"/>
    <w:rsid w:val="00A94CCF"/>
    <w:rsid w:val="00A94E92"/>
    <w:rsid w:val="00A94FE7"/>
    <w:rsid w:val="00A9508A"/>
    <w:rsid w:val="00A950ED"/>
    <w:rsid w:val="00A955F2"/>
    <w:rsid w:val="00A95685"/>
    <w:rsid w:val="00A95715"/>
    <w:rsid w:val="00A95849"/>
    <w:rsid w:val="00A95994"/>
    <w:rsid w:val="00A95D68"/>
    <w:rsid w:val="00A95DF3"/>
    <w:rsid w:val="00A96089"/>
    <w:rsid w:val="00A962B3"/>
    <w:rsid w:val="00A963A4"/>
    <w:rsid w:val="00A96463"/>
    <w:rsid w:val="00A964AA"/>
    <w:rsid w:val="00A9650E"/>
    <w:rsid w:val="00A96851"/>
    <w:rsid w:val="00A96894"/>
    <w:rsid w:val="00A96940"/>
    <w:rsid w:val="00A96963"/>
    <w:rsid w:val="00A969A3"/>
    <w:rsid w:val="00A969C6"/>
    <w:rsid w:val="00A96B1D"/>
    <w:rsid w:val="00A96B25"/>
    <w:rsid w:val="00A971DD"/>
    <w:rsid w:val="00A9720A"/>
    <w:rsid w:val="00A97391"/>
    <w:rsid w:val="00A97627"/>
    <w:rsid w:val="00A97816"/>
    <w:rsid w:val="00A97943"/>
    <w:rsid w:val="00A9797D"/>
    <w:rsid w:val="00A97CB8"/>
    <w:rsid w:val="00A97D01"/>
    <w:rsid w:val="00A97E27"/>
    <w:rsid w:val="00A97E2F"/>
    <w:rsid w:val="00AA0008"/>
    <w:rsid w:val="00AA00CB"/>
    <w:rsid w:val="00AA01FF"/>
    <w:rsid w:val="00AA029A"/>
    <w:rsid w:val="00AA0352"/>
    <w:rsid w:val="00AA0474"/>
    <w:rsid w:val="00AA061B"/>
    <w:rsid w:val="00AA0663"/>
    <w:rsid w:val="00AA0E1C"/>
    <w:rsid w:val="00AA0FAD"/>
    <w:rsid w:val="00AA100D"/>
    <w:rsid w:val="00AA10FC"/>
    <w:rsid w:val="00AA1288"/>
    <w:rsid w:val="00AA15BC"/>
    <w:rsid w:val="00AA15E5"/>
    <w:rsid w:val="00AA16B3"/>
    <w:rsid w:val="00AA17FD"/>
    <w:rsid w:val="00AA19DF"/>
    <w:rsid w:val="00AA1B27"/>
    <w:rsid w:val="00AA1BFD"/>
    <w:rsid w:val="00AA1D0B"/>
    <w:rsid w:val="00AA1D5E"/>
    <w:rsid w:val="00AA1D66"/>
    <w:rsid w:val="00AA23E9"/>
    <w:rsid w:val="00AA24DB"/>
    <w:rsid w:val="00AA2839"/>
    <w:rsid w:val="00AA2A87"/>
    <w:rsid w:val="00AA2C5D"/>
    <w:rsid w:val="00AA2DCA"/>
    <w:rsid w:val="00AA3062"/>
    <w:rsid w:val="00AA3347"/>
    <w:rsid w:val="00AA3625"/>
    <w:rsid w:val="00AA38A1"/>
    <w:rsid w:val="00AA3966"/>
    <w:rsid w:val="00AA399C"/>
    <w:rsid w:val="00AA3EEB"/>
    <w:rsid w:val="00AA3F79"/>
    <w:rsid w:val="00AA3FC7"/>
    <w:rsid w:val="00AA4358"/>
    <w:rsid w:val="00AA45C1"/>
    <w:rsid w:val="00AA47F0"/>
    <w:rsid w:val="00AA4A33"/>
    <w:rsid w:val="00AA4A52"/>
    <w:rsid w:val="00AA4AA5"/>
    <w:rsid w:val="00AA51E0"/>
    <w:rsid w:val="00AA5445"/>
    <w:rsid w:val="00AA562B"/>
    <w:rsid w:val="00AA57B9"/>
    <w:rsid w:val="00AA581B"/>
    <w:rsid w:val="00AA587A"/>
    <w:rsid w:val="00AA5B5F"/>
    <w:rsid w:val="00AA60BE"/>
    <w:rsid w:val="00AA615E"/>
    <w:rsid w:val="00AA63EF"/>
    <w:rsid w:val="00AA640D"/>
    <w:rsid w:val="00AA674E"/>
    <w:rsid w:val="00AA6F03"/>
    <w:rsid w:val="00AA7044"/>
    <w:rsid w:val="00AA7103"/>
    <w:rsid w:val="00AA7350"/>
    <w:rsid w:val="00AA7390"/>
    <w:rsid w:val="00AA73C3"/>
    <w:rsid w:val="00AA73EB"/>
    <w:rsid w:val="00AA74A0"/>
    <w:rsid w:val="00AA7523"/>
    <w:rsid w:val="00AA764B"/>
    <w:rsid w:val="00AA7670"/>
    <w:rsid w:val="00AA76CE"/>
    <w:rsid w:val="00AA7913"/>
    <w:rsid w:val="00AA7ACD"/>
    <w:rsid w:val="00AA7FFB"/>
    <w:rsid w:val="00AB04CE"/>
    <w:rsid w:val="00AB0630"/>
    <w:rsid w:val="00AB0846"/>
    <w:rsid w:val="00AB0C1E"/>
    <w:rsid w:val="00AB0D3A"/>
    <w:rsid w:val="00AB0F13"/>
    <w:rsid w:val="00AB118A"/>
    <w:rsid w:val="00AB11D6"/>
    <w:rsid w:val="00AB158C"/>
    <w:rsid w:val="00AB171C"/>
    <w:rsid w:val="00AB1E09"/>
    <w:rsid w:val="00AB1EBE"/>
    <w:rsid w:val="00AB1F11"/>
    <w:rsid w:val="00AB20A4"/>
    <w:rsid w:val="00AB20F7"/>
    <w:rsid w:val="00AB213E"/>
    <w:rsid w:val="00AB21F0"/>
    <w:rsid w:val="00AB22BB"/>
    <w:rsid w:val="00AB23E3"/>
    <w:rsid w:val="00AB259A"/>
    <w:rsid w:val="00AB25FE"/>
    <w:rsid w:val="00AB267C"/>
    <w:rsid w:val="00AB2722"/>
    <w:rsid w:val="00AB2808"/>
    <w:rsid w:val="00AB2AEE"/>
    <w:rsid w:val="00AB2E8E"/>
    <w:rsid w:val="00AB310D"/>
    <w:rsid w:val="00AB32DD"/>
    <w:rsid w:val="00AB3559"/>
    <w:rsid w:val="00AB356E"/>
    <w:rsid w:val="00AB357A"/>
    <w:rsid w:val="00AB3760"/>
    <w:rsid w:val="00AB3B79"/>
    <w:rsid w:val="00AB3BCE"/>
    <w:rsid w:val="00AB3C0D"/>
    <w:rsid w:val="00AB3C2B"/>
    <w:rsid w:val="00AB3CA9"/>
    <w:rsid w:val="00AB3E55"/>
    <w:rsid w:val="00AB3EBE"/>
    <w:rsid w:val="00AB3F16"/>
    <w:rsid w:val="00AB48F9"/>
    <w:rsid w:val="00AB4D7B"/>
    <w:rsid w:val="00AB4F51"/>
    <w:rsid w:val="00AB4FC4"/>
    <w:rsid w:val="00AB5178"/>
    <w:rsid w:val="00AB5381"/>
    <w:rsid w:val="00AB53FA"/>
    <w:rsid w:val="00AB54CA"/>
    <w:rsid w:val="00AB5684"/>
    <w:rsid w:val="00AB5AAA"/>
    <w:rsid w:val="00AB5BE3"/>
    <w:rsid w:val="00AB5DD7"/>
    <w:rsid w:val="00AB5DF0"/>
    <w:rsid w:val="00AB5EDC"/>
    <w:rsid w:val="00AB6634"/>
    <w:rsid w:val="00AB6798"/>
    <w:rsid w:val="00AB6849"/>
    <w:rsid w:val="00AB6946"/>
    <w:rsid w:val="00AB6A53"/>
    <w:rsid w:val="00AB6B44"/>
    <w:rsid w:val="00AB6DDD"/>
    <w:rsid w:val="00AB6F92"/>
    <w:rsid w:val="00AB7053"/>
    <w:rsid w:val="00AB76E1"/>
    <w:rsid w:val="00AC0042"/>
    <w:rsid w:val="00AC0468"/>
    <w:rsid w:val="00AC061A"/>
    <w:rsid w:val="00AC09CB"/>
    <w:rsid w:val="00AC0A27"/>
    <w:rsid w:val="00AC0A81"/>
    <w:rsid w:val="00AC0ACB"/>
    <w:rsid w:val="00AC0C02"/>
    <w:rsid w:val="00AC0C0E"/>
    <w:rsid w:val="00AC0C2A"/>
    <w:rsid w:val="00AC0DE0"/>
    <w:rsid w:val="00AC0E5F"/>
    <w:rsid w:val="00AC0FD0"/>
    <w:rsid w:val="00AC0FF4"/>
    <w:rsid w:val="00AC11BE"/>
    <w:rsid w:val="00AC12A0"/>
    <w:rsid w:val="00AC13D9"/>
    <w:rsid w:val="00AC1884"/>
    <w:rsid w:val="00AC19D0"/>
    <w:rsid w:val="00AC1A38"/>
    <w:rsid w:val="00AC1A8E"/>
    <w:rsid w:val="00AC1B09"/>
    <w:rsid w:val="00AC1D53"/>
    <w:rsid w:val="00AC1E84"/>
    <w:rsid w:val="00AC21F0"/>
    <w:rsid w:val="00AC222B"/>
    <w:rsid w:val="00AC22DE"/>
    <w:rsid w:val="00AC268D"/>
    <w:rsid w:val="00AC2835"/>
    <w:rsid w:val="00AC287B"/>
    <w:rsid w:val="00AC2C21"/>
    <w:rsid w:val="00AC2DA5"/>
    <w:rsid w:val="00AC2E7E"/>
    <w:rsid w:val="00AC2EBF"/>
    <w:rsid w:val="00AC2EC7"/>
    <w:rsid w:val="00AC3027"/>
    <w:rsid w:val="00AC3070"/>
    <w:rsid w:val="00AC3573"/>
    <w:rsid w:val="00AC35AD"/>
    <w:rsid w:val="00AC3758"/>
    <w:rsid w:val="00AC391F"/>
    <w:rsid w:val="00AC3AC7"/>
    <w:rsid w:val="00AC3B9C"/>
    <w:rsid w:val="00AC3BED"/>
    <w:rsid w:val="00AC3C73"/>
    <w:rsid w:val="00AC3D0C"/>
    <w:rsid w:val="00AC3E61"/>
    <w:rsid w:val="00AC3E6A"/>
    <w:rsid w:val="00AC40AC"/>
    <w:rsid w:val="00AC4153"/>
    <w:rsid w:val="00AC41A9"/>
    <w:rsid w:val="00AC426D"/>
    <w:rsid w:val="00AC438F"/>
    <w:rsid w:val="00AC43DE"/>
    <w:rsid w:val="00AC4512"/>
    <w:rsid w:val="00AC4756"/>
    <w:rsid w:val="00AC48C6"/>
    <w:rsid w:val="00AC48DE"/>
    <w:rsid w:val="00AC4934"/>
    <w:rsid w:val="00AC4ABB"/>
    <w:rsid w:val="00AC4D83"/>
    <w:rsid w:val="00AC4DEE"/>
    <w:rsid w:val="00AC4F6A"/>
    <w:rsid w:val="00AC5154"/>
    <w:rsid w:val="00AC51B7"/>
    <w:rsid w:val="00AC52D8"/>
    <w:rsid w:val="00AC535B"/>
    <w:rsid w:val="00AC53CE"/>
    <w:rsid w:val="00AC55F0"/>
    <w:rsid w:val="00AC56C2"/>
    <w:rsid w:val="00AC5858"/>
    <w:rsid w:val="00AC5B3E"/>
    <w:rsid w:val="00AC5C1E"/>
    <w:rsid w:val="00AC5DF4"/>
    <w:rsid w:val="00AC5F3F"/>
    <w:rsid w:val="00AC6491"/>
    <w:rsid w:val="00AC67AC"/>
    <w:rsid w:val="00AC6ACE"/>
    <w:rsid w:val="00AC6AD8"/>
    <w:rsid w:val="00AC6B56"/>
    <w:rsid w:val="00AC6E4B"/>
    <w:rsid w:val="00AC6F4A"/>
    <w:rsid w:val="00AC7537"/>
    <w:rsid w:val="00AC7560"/>
    <w:rsid w:val="00AC7572"/>
    <w:rsid w:val="00AC790E"/>
    <w:rsid w:val="00AC7945"/>
    <w:rsid w:val="00AC7B53"/>
    <w:rsid w:val="00AC7BCD"/>
    <w:rsid w:val="00AD003E"/>
    <w:rsid w:val="00AD00BC"/>
    <w:rsid w:val="00AD044B"/>
    <w:rsid w:val="00AD048F"/>
    <w:rsid w:val="00AD08AE"/>
    <w:rsid w:val="00AD0A98"/>
    <w:rsid w:val="00AD0B22"/>
    <w:rsid w:val="00AD0C9A"/>
    <w:rsid w:val="00AD0DA5"/>
    <w:rsid w:val="00AD0DF6"/>
    <w:rsid w:val="00AD0E88"/>
    <w:rsid w:val="00AD11A1"/>
    <w:rsid w:val="00AD183C"/>
    <w:rsid w:val="00AD1871"/>
    <w:rsid w:val="00AD1AF5"/>
    <w:rsid w:val="00AD1DC7"/>
    <w:rsid w:val="00AD1F12"/>
    <w:rsid w:val="00AD1F3B"/>
    <w:rsid w:val="00AD22E7"/>
    <w:rsid w:val="00AD23DC"/>
    <w:rsid w:val="00AD2975"/>
    <w:rsid w:val="00AD2FD1"/>
    <w:rsid w:val="00AD310C"/>
    <w:rsid w:val="00AD32E8"/>
    <w:rsid w:val="00AD33EE"/>
    <w:rsid w:val="00AD34A0"/>
    <w:rsid w:val="00AD34D4"/>
    <w:rsid w:val="00AD36CD"/>
    <w:rsid w:val="00AD379B"/>
    <w:rsid w:val="00AD3B59"/>
    <w:rsid w:val="00AD3C62"/>
    <w:rsid w:val="00AD3DE8"/>
    <w:rsid w:val="00AD416A"/>
    <w:rsid w:val="00AD418D"/>
    <w:rsid w:val="00AD42FF"/>
    <w:rsid w:val="00AD44AE"/>
    <w:rsid w:val="00AD4682"/>
    <w:rsid w:val="00AD489F"/>
    <w:rsid w:val="00AD4B68"/>
    <w:rsid w:val="00AD4D41"/>
    <w:rsid w:val="00AD4F6C"/>
    <w:rsid w:val="00AD5106"/>
    <w:rsid w:val="00AD51ED"/>
    <w:rsid w:val="00AD5277"/>
    <w:rsid w:val="00AD5290"/>
    <w:rsid w:val="00AD573F"/>
    <w:rsid w:val="00AD5889"/>
    <w:rsid w:val="00AD5B57"/>
    <w:rsid w:val="00AD61B9"/>
    <w:rsid w:val="00AD6294"/>
    <w:rsid w:val="00AD65CF"/>
    <w:rsid w:val="00AD6B87"/>
    <w:rsid w:val="00AD6BD8"/>
    <w:rsid w:val="00AD6F5B"/>
    <w:rsid w:val="00AD706E"/>
    <w:rsid w:val="00AD70A9"/>
    <w:rsid w:val="00AD7193"/>
    <w:rsid w:val="00AD75F3"/>
    <w:rsid w:val="00AD7995"/>
    <w:rsid w:val="00AD7A4F"/>
    <w:rsid w:val="00AD7AB2"/>
    <w:rsid w:val="00AD7C4B"/>
    <w:rsid w:val="00AD7CD9"/>
    <w:rsid w:val="00AD7FD3"/>
    <w:rsid w:val="00AE043F"/>
    <w:rsid w:val="00AE058E"/>
    <w:rsid w:val="00AE0733"/>
    <w:rsid w:val="00AE0840"/>
    <w:rsid w:val="00AE0A7E"/>
    <w:rsid w:val="00AE0B3E"/>
    <w:rsid w:val="00AE0C30"/>
    <w:rsid w:val="00AE0D39"/>
    <w:rsid w:val="00AE0F78"/>
    <w:rsid w:val="00AE1148"/>
    <w:rsid w:val="00AE11CE"/>
    <w:rsid w:val="00AE1222"/>
    <w:rsid w:val="00AE13E9"/>
    <w:rsid w:val="00AE141B"/>
    <w:rsid w:val="00AE14CF"/>
    <w:rsid w:val="00AE17EA"/>
    <w:rsid w:val="00AE1D5F"/>
    <w:rsid w:val="00AE239C"/>
    <w:rsid w:val="00AE26AE"/>
    <w:rsid w:val="00AE27CF"/>
    <w:rsid w:val="00AE2A38"/>
    <w:rsid w:val="00AE2BBC"/>
    <w:rsid w:val="00AE35EE"/>
    <w:rsid w:val="00AE364F"/>
    <w:rsid w:val="00AE3672"/>
    <w:rsid w:val="00AE36E1"/>
    <w:rsid w:val="00AE3799"/>
    <w:rsid w:val="00AE37F8"/>
    <w:rsid w:val="00AE3839"/>
    <w:rsid w:val="00AE3CF1"/>
    <w:rsid w:val="00AE3DA3"/>
    <w:rsid w:val="00AE3DCF"/>
    <w:rsid w:val="00AE3F42"/>
    <w:rsid w:val="00AE3FEA"/>
    <w:rsid w:val="00AE4090"/>
    <w:rsid w:val="00AE4224"/>
    <w:rsid w:val="00AE4362"/>
    <w:rsid w:val="00AE44A4"/>
    <w:rsid w:val="00AE468C"/>
    <w:rsid w:val="00AE470E"/>
    <w:rsid w:val="00AE4A3F"/>
    <w:rsid w:val="00AE4B6E"/>
    <w:rsid w:val="00AE4C64"/>
    <w:rsid w:val="00AE4E68"/>
    <w:rsid w:val="00AE51C2"/>
    <w:rsid w:val="00AE53FB"/>
    <w:rsid w:val="00AE5522"/>
    <w:rsid w:val="00AE5523"/>
    <w:rsid w:val="00AE589E"/>
    <w:rsid w:val="00AE591E"/>
    <w:rsid w:val="00AE5AEB"/>
    <w:rsid w:val="00AE5BCD"/>
    <w:rsid w:val="00AE5C10"/>
    <w:rsid w:val="00AE602A"/>
    <w:rsid w:val="00AE674E"/>
    <w:rsid w:val="00AE6B6A"/>
    <w:rsid w:val="00AE6E83"/>
    <w:rsid w:val="00AE6F19"/>
    <w:rsid w:val="00AE70D1"/>
    <w:rsid w:val="00AE74C9"/>
    <w:rsid w:val="00AE7610"/>
    <w:rsid w:val="00AE7737"/>
    <w:rsid w:val="00AE7794"/>
    <w:rsid w:val="00AE77CC"/>
    <w:rsid w:val="00AE7995"/>
    <w:rsid w:val="00AE7A92"/>
    <w:rsid w:val="00AE7B52"/>
    <w:rsid w:val="00AE7C69"/>
    <w:rsid w:val="00AE7E2D"/>
    <w:rsid w:val="00AF001D"/>
    <w:rsid w:val="00AF0061"/>
    <w:rsid w:val="00AF00F0"/>
    <w:rsid w:val="00AF0516"/>
    <w:rsid w:val="00AF0540"/>
    <w:rsid w:val="00AF0638"/>
    <w:rsid w:val="00AF07EB"/>
    <w:rsid w:val="00AF0BC7"/>
    <w:rsid w:val="00AF0BE3"/>
    <w:rsid w:val="00AF0DD3"/>
    <w:rsid w:val="00AF10A3"/>
    <w:rsid w:val="00AF11BD"/>
    <w:rsid w:val="00AF125C"/>
    <w:rsid w:val="00AF1A4D"/>
    <w:rsid w:val="00AF1EFF"/>
    <w:rsid w:val="00AF21C8"/>
    <w:rsid w:val="00AF2253"/>
    <w:rsid w:val="00AF24AB"/>
    <w:rsid w:val="00AF24B6"/>
    <w:rsid w:val="00AF2901"/>
    <w:rsid w:val="00AF292B"/>
    <w:rsid w:val="00AF298D"/>
    <w:rsid w:val="00AF2B0E"/>
    <w:rsid w:val="00AF2B9E"/>
    <w:rsid w:val="00AF2C49"/>
    <w:rsid w:val="00AF2CC2"/>
    <w:rsid w:val="00AF2DB0"/>
    <w:rsid w:val="00AF2F11"/>
    <w:rsid w:val="00AF2F50"/>
    <w:rsid w:val="00AF304C"/>
    <w:rsid w:val="00AF3104"/>
    <w:rsid w:val="00AF3209"/>
    <w:rsid w:val="00AF3302"/>
    <w:rsid w:val="00AF3350"/>
    <w:rsid w:val="00AF33EA"/>
    <w:rsid w:val="00AF34A7"/>
    <w:rsid w:val="00AF36EE"/>
    <w:rsid w:val="00AF3B16"/>
    <w:rsid w:val="00AF3DBF"/>
    <w:rsid w:val="00AF4079"/>
    <w:rsid w:val="00AF4375"/>
    <w:rsid w:val="00AF49D0"/>
    <w:rsid w:val="00AF49D9"/>
    <w:rsid w:val="00AF4A0B"/>
    <w:rsid w:val="00AF4AFB"/>
    <w:rsid w:val="00AF4B5F"/>
    <w:rsid w:val="00AF4ED6"/>
    <w:rsid w:val="00AF4F78"/>
    <w:rsid w:val="00AF5317"/>
    <w:rsid w:val="00AF558D"/>
    <w:rsid w:val="00AF5842"/>
    <w:rsid w:val="00AF5A9D"/>
    <w:rsid w:val="00AF5FE7"/>
    <w:rsid w:val="00AF61B2"/>
    <w:rsid w:val="00AF6229"/>
    <w:rsid w:val="00AF654B"/>
    <w:rsid w:val="00AF68BD"/>
    <w:rsid w:val="00AF6B61"/>
    <w:rsid w:val="00AF6D15"/>
    <w:rsid w:val="00AF6DA0"/>
    <w:rsid w:val="00AF6ED5"/>
    <w:rsid w:val="00AF72CC"/>
    <w:rsid w:val="00AF747F"/>
    <w:rsid w:val="00AF748A"/>
    <w:rsid w:val="00AF789B"/>
    <w:rsid w:val="00AF78F2"/>
    <w:rsid w:val="00AF794D"/>
    <w:rsid w:val="00AF7A61"/>
    <w:rsid w:val="00AF7C11"/>
    <w:rsid w:val="00AF7D93"/>
    <w:rsid w:val="00AF7DE4"/>
    <w:rsid w:val="00B000BC"/>
    <w:rsid w:val="00B0034E"/>
    <w:rsid w:val="00B003D5"/>
    <w:rsid w:val="00B0053C"/>
    <w:rsid w:val="00B0060E"/>
    <w:rsid w:val="00B00A15"/>
    <w:rsid w:val="00B00A47"/>
    <w:rsid w:val="00B01073"/>
    <w:rsid w:val="00B011F8"/>
    <w:rsid w:val="00B01760"/>
    <w:rsid w:val="00B0190A"/>
    <w:rsid w:val="00B01BFB"/>
    <w:rsid w:val="00B01C75"/>
    <w:rsid w:val="00B01F91"/>
    <w:rsid w:val="00B0202E"/>
    <w:rsid w:val="00B02169"/>
    <w:rsid w:val="00B022E3"/>
    <w:rsid w:val="00B0240E"/>
    <w:rsid w:val="00B024A2"/>
    <w:rsid w:val="00B02789"/>
    <w:rsid w:val="00B02BDA"/>
    <w:rsid w:val="00B02DC5"/>
    <w:rsid w:val="00B02FF2"/>
    <w:rsid w:val="00B030BD"/>
    <w:rsid w:val="00B03174"/>
    <w:rsid w:val="00B034A5"/>
    <w:rsid w:val="00B03569"/>
    <w:rsid w:val="00B036C0"/>
    <w:rsid w:val="00B037BF"/>
    <w:rsid w:val="00B0390B"/>
    <w:rsid w:val="00B039DD"/>
    <w:rsid w:val="00B03DBC"/>
    <w:rsid w:val="00B041DE"/>
    <w:rsid w:val="00B04248"/>
    <w:rsid w:val="00B044F9"/>
    <w:rsid w:val="00B0475D"/>
    <w:rsid w:val="00B04A5A"/>
    <w:rsid w:val="00B04AB6"/>
    <w:rsid w:val="00B04ABA"/>
    <w:rsid w:val="00B04BE9"/>
    <w:rsid w:val="00B04C21"/>
    <w:rsid w:val="00B04C76"/>
    <w:rsid w:val="00B04DA5"/>
    <w:rsid w:val="00B04EDB"/>
    <w:rsid w:val="00B04FFA"/>
    <w:rsid w:val="00B05050"/>
    <w:rsid w:val="00B051E5"/>
    <w:rsid w:val="00B0543D"/>
    <w:rsid w:val="00B05485"/>
    <w:rsid w:val="00B055E6"/>
    <w:rsid w:val="00B0570C"/>
    <w:rsid w:val="00B05848"/>
    <w:rsid w:val="00B05AAF"/>
    <w:rsid w:val="00B05B37"/>
    <w:rsid w:val="00B05CFA"/>
    <w:rsid w:val="00B05EA4"/>
    <w:rsid w:val="00B05EAF"/>
    <w:rsid w:val="00B0612C"/>
    <w:rsid w:val="00B061A8"/>
    <w:rsid w:val="00B061E6"/>
    <w:rsid w:val="00B062C3"/>
    <w:rsid w:val="00B064C3"/>
    <w:rsid w:val="00B06624"/>
    <w:rsid w:val="00B0671E"/>
    <w:rsid w:val="00B068AB"/>
    <w:rsid w:val="00B06951"/>
    <w:rsid w:val="00B06A1C"/>
    <w:rsid w:val="00B06A7D"/>
    <w:rsid w:val="00B06AEF"/>
    <w:rsid w:val="00B06F24"/>
    <w:rsid w:val="00B07267"/>
    <w:rsid w:val="00B0733E"/>
    <w:rsid w:val="00B07837"/>
    <w:rsid w:val="00B079B6"/>
    <w:rsid w:val="00B079F2"/>
    <w:rsid w:val="00B07B17"/>
    <w:rsid w:val="00B07C9C"/>
    <w:rsid w:val="00B07E22"/>
    <w:rsid w:val="00B07E3D"/>
    <w:rsid w:val="00B07EB6"/>
    <w:rsid w:val="00B07F87"/>
    <w:rsid w:val="00B1008A"/>
    <w:rsid w:val="00B1013A"/>
    <w:rsid w:val="00B101A4"/>
    <w:rsid w:val="00B101C4"/>
    <w:rsid w:val="00B102BB"/>
    <w:rsid w:val="00B10487"/>
    <w:rsid w:val="00B105D1"/>
    <w:rsid w:val="00B10731"/>
    <w:rsid w:val="00B10813"/>
    <w:rsid w:val="00B10A6A"/>
    <w:rsid w:val="00B10E23"/>
    <w:rsid w:val="00B10E27"/>
    <w:rsid w:val="00B112BD"/>
    <w:rsid w:val="00B114A7"/>
    <w:rsid w:val="00B11632"/>
    <w:rsid w:val="00B11673"/>
    <w:rsid w:val="00B1173B"/>
    <w:rsid w:val="00B117CB"/>
    <w:rsid w:val="00B1185B"/>
    <w:rsid w:val="00B1186E"/>
    <w:rsid w:val="00B1190B"/>
    <w:rsid w:val="00B11BC7"/>
    <w:rsid w:val="00B11F8F"/>
    <w:rsid w:val="00B11FD3"/>
    <w:rsid w:val="00B120BE"/>
    <w:rsid w:val="00B12228"/>
    <w:rsid w:val="00B126D6"/>
    <w:rsid w:val="00B12EEE"/>
    <w:rsid w:val="00B12F54"/>
    <w:rsid w:val="00B12FC9"/>
    <w:rsid w:val="00B13312"/>
    <w:rsid w:val="00B13427"/>
    <w:rsid w:val="00B134AE"/>
    <w:rsid w:val="00B13941"/>
    <w:rsid w:val="00B139E4"/>
    <w:rsid w:val="00B13AA2"/>
    <w:rsid w:val="00B13BC8"/>
    <w:rsid w:val="00B13C4C"/>
    <w:rsid w:val="00B13E54"/>
    <w:rsid w:val="00B13F49"/>
    <w:rsid w:val="00B13F69"/>
    <w:rsid w:val="00B1408F"/>
    <w:rsid w:val="00B1411D"/>
    <w:rsid w:val="00B1415F"/>
    <w:rsid w:val="00B143DA"/>
    <w:rsid w:val="00B14456"/>
    <w:rsid w:val="00B14520"/>
    <w:rsid w:val="00B145CA"/>
    <w:rsid w:val="00B14C8B"/>
    <w:rsid w:val="00B14CFA"/>
    <w:rsid w:val="00B14DA8"/>
    <w:rsid w:val="00B14EC4"/>
    <w:rsid w:val="00B14F0B"/>
    <w:rsid w:val="00B14F11"/>
    <w:rsid w:val="00B14F96"/>
    <w:rsid w:val="00B15168"/>
    <w:rsid w:val="00B153E2"/>
    <w:rsid w:val="00B1547D"/>
    <w:rsid w:val="00B154BA"/>
    <w:rsid w:val="00B15572"/>
    <w:rsid w:val="00B155CB"/>
    <w:rsid w:val="00B156A2"/>
    <w:rsid w:val="00B156C0"/>
    <w:rsid w:val="00B15B18"/>
    <w:rsid w:val="00B15C2C"/>
    <w:rsid w:val="00B15CAF"/>
    <w:rsid w:val="00B161C0"/>
    <w:rsid w:val="00B16250"/>
    <w:rsid w:val="00B16251"/>
    <w:rsid w:val="00B163C6"/>
    <w:rsid w:val="00B163D5"/>
    <w:rsid w:val="00B163FE"/>
    <w:rsid w:val="00B1655A"/>
    <w:rsid w:val="00B1664D"/>
    <w:rsid w:val="00B166A3"/>
    <w:rsid w:val="00B167FC"/>
    <w:rsid w:val="00B16835"/>
    <w:rsid w:val="00B16A47"/>
    <w:rsid w:val="00B16DA2"/>
    <w:rsid w:val="00B171E5"/>
    <w:rsid w:val="00B17216"/>
    <w:rsid w:val="00B175D5"/>
    <w:rsid w:val="00B178CF"/>
    <w:rsid w:val="00B17909"/>
    <w:rsid w:val="00B17972"/>
    <w:rsid w:val="00B17E57"/>
    <w:rsid w:val="00B17E96"/>
    <w:rsid w:val="00B17E9D"/>
    <w:rsid w:val="00B2015A"/>
    <w:rsid w:val="00B2022F"/>
    <w:rsid w:val="00B2036E"/>
    <w:rsid w:val="00B2068D"/>
    <w:rsid w:val="00B20AF5"/>
    <w:rsid w:val="00B20BF1"/>
    <w:rsid w:val="00B20F0E"/>
    <w:rsid w:val="00B21175"/>
    <w:rsid w:val="00B2143A"/>
    <w:rsid w:val="00B21446"/>
    <w:rsid w:val="00B21483"/>
    <w:rsid w:val="00B21502"/>
    <w:rsid w:val="00B216E3"/>
    <w:rsid w:val="00B21ABA"/>
    <w:rsid w:val="00B21D16"/>
    <w:rsid w:val="00B21D5B"/>
    <w:rsid w:val="00B21DD4"/>
    <w:rsid w:val="00B21E21"/>
    <w:rsid w:val="00B220E2"/>
    <w:rsid w:val="00B221EB"/>
    <w:rsid w:val="00B223B7"/>
    <w:rsid w:val="00B22586"/>
    <w:rsid w:val="00B225AB"/>
    <w:rsid w:val="00B225E5"/>
    <w:rsid w:val="00B22724"/>
    <w:rsid w:val="00B227B6"/>
    <w:rsid w:val="00B22B2C"/>
    <w:rsid w:val="00B22D27"/>
    <w:rsid w:val="00B22DE3"/>
    <w:rsid w:val="00B22E08"/>
    <w:rsid w:val="00B22F9C"/>
    <w:rsid w:val="00B2307F"/>
    <w:rsid w:val="00B231AF"/>
    <w:rsid w:val="00B234C0"/>
    <w:rsid w:val="00B23742"/>
    <w:rsid w:val="00B23A46"/>
    <w:rsid w:val="00B23BCE"/>
    <w:rsid w:val="00B23D24"/>
    <w:rsid w:val="00B23E6F"/>
    <w:rsid w:val="00B23F23"/>
    <w:rsid w:val="00B23FD9"/>
    <w:rsid w:val="00B2404C"/>
    <w:rsid w:val="00B2461F"/>
    <w:rsid w:val="00B2462B"/>
    <w:rsid w:val="00B2463B"/>
    <w:rsid w:val="00B24668"/>
    <w:rsid w:val="00B247F0"/>
    <w:rsid w:val="00B24824"/>
    <w:rsid w:val="00B24B28"/>
    <w:rsid w:val="00B24B74"/>
    <w:rsid w:val="00B24BB5"/>
    <w:rsid w:val="00B24CD1"/>
    <w:rsid w:val="00B24E12"/>
    <w:rsid w:val="00B24F1D"/>
    <w:rsid w:val="00B24F6E"/>
    <w:rsid w:val="00B25031"/>
    <w:rsid w:val="00B2515E"/>
    <w:rsid w:val="00B252B3"/>
    <w:rsid w:val="00B25448"/>
    <w:rsid w:val="00B255B4"/>
    <w:rsid w:val="00B257AA"/>
    <w:rsid w:val="00B25811"/>
    <w:rsid w:val="00B259FF"/>
    <w:rsid w:val="00B262D6"/>
    <w:rsid w:val="00B262FE"/>
    <w:rsid w:val="00B26480"/>
    <w:rsid w:val="00B26688"/>
    <w:rsid w:val="00B266BB"/>
    <w:rsid w:val="00B266C7"/>
    <w:rsid w:val="00B26FCE"/>
    <w:rsid w:val="00B270DF"/>
    <w:rsid w:val="00B277ED"/>
    <w:rsid w:val="00B279D5"/>
    <w:rsid w:val="00B27FDF"/>
    <w:rsid w:val="00B30008"/>
    <w:rsid w:val="00B303E6"/>
    <w:rsid w:val="00B30420"/>
    <w:rsid w:val="00B307DA"/>
    <w:rsid w:val="00B30821"/>
    <w:rsid w:val="00B308A9"/>
    <w:rsid w:val="00B30A20"/>
    <w:rsid w:val="00B30C88"/>
    <w:rsid w:val="00B30FC1"/>
    <w:rsid w:val="00B31194"/>
    <w:rsid w:val="00B3143D"/>
    <w:rsid w:val="00B31641"/>
    <w:rsid w:val="00B31789"/>
    <w:rsid w:val="00B318FF"/>
    <w:rsid w:val="00B3192F"/>
    <w:rsid w:val="00B31937"/>
    <w:rsid w:val="00B31A9E"/>
    <w:rsid w:val="00B31AC5"/>
    <w:rsid w:val="00B32322"/>
    <w:rsid w:val="00B325A7"/>
    <w:rsid w:val="00B326F8"/>
    <w:rsid w:val="00B32919"/>
    <w:rsid w:val="00B3295E"/>
    <w:rsid w:val="00B32CA7"/>
    <w:rsid w:val="00B32E51"/>
    <w:rsid w:val="00B32EF4"/>
    <w:rsid w:val="00B33084"/>
    <w:rsid w:val="00B33123"/>
    <w:rsid w:val="00B333E7"/>
    <w:rsid w:val="00B33625"/>
    <w:rsid w:val="00B33643"/>
    <w:rsid w:val="00B337C4"/>
    <w:rsid w:val="00B33855"/>
    <w:rsid w:val="00B33E3C"/>
    <w:rsid w:val="00B34073"/>
    <w:rsid w:val="00B342D8"/>
    <w:rsid w:val="00B34509"/>
    <w:rsid w:val="00B347F2"/>
    <w:rsid w:val="00B3489E"/>
    <w:rsid w:val="00B348AD"/>
    <w:rsid w:val="00B34C8B"/>
    <w:rsid w:val="00B34D77"/>
    <w:rsid w:val="00B34EAA"/>
    <w:rsid w:val="00B34F0E"/>
    <w:rsid w:val="00B350DE"/>
    <w:rsid w:val="00B35140"/>
    <w:rsid w:val="00B351F9"/>
    <w:rsid w:val="00B351FC"/>
    <w:rsid w:val="00B35305"/>
    <w:rsid w:val="00B353D1"/>
    <w:rsid w:val="00B35695"/>
    <w:rsid w:val="00B35A84"/>
    <w:rsid w:val="00B35B25"/>
    <w:rsid w:val="00B35B9F"/>
    <w:rsid w:val="00B35CDB"/>
    <w:rsid w:val="00B35F19"/>
    <w:rsid w:val="00B360AB"/>
    <w:rsid w:val="00B36198"/>
    <w:rsid w:val="00B36258"/>
    <w:rsid w:val="00B362BF"/>
    <w:rsid w:val="00B363E7"/>
    <w:rsid w:val="00B365B7"/>
    <w:rsid w:val="00B36747"/>
    <w:rsid w:val="00B36C75"/>
    <w:rsid w:val="00B36D50"/>
    <w:rsid w:val="00B36D5D"/>
    <w:rsid w:val="00B371A2"/>
    <w:rsid w:val="00B372BD"/>
    <w:rsid w:val="00B374B8"/>
    <w:rsid w:val="00B377DD"/>
    <w:rsid w:val="00B377DF"/>
    <w:rsid w:val="00B3799D"/>
    <w:rsid w:val="00B37A1F"/>
    <w:rsid w:val="00B37C8A"/>
    <w:rsid w:val="00B37E35"/>
    <w:rsid w:val="00B37F96"/>
    <w:rsid w:val="00B37FD4"/>
    <w:rsid w:val="00B403E8"/>
    <w:rsid w:val="00B4042D"/>
    <w:rsid w:val="00B4073C"/>
    <w:rsid w:val="00B40799"/>
    <w:rsid w:val="00B4099B"/>
    <w:rsid w:val="00B40AA7"/>
    <w:rsid w:val="00B40D38"/>
    <w:rsid w:val="00B40DC8"/>
    <w:rsid w:val="00B40E32"/>
    <w:rsid w:val="00B413F1"/>
    <w:rsid w:val="00B4161C"/>
    <w:rsid w:val="00B417C4"/>
    <w:rsid w:val="00B41824"/>
    <w:rsid w:val="00B41858"/>
    <w:rsid w:val="00B41B52"/>
    <w:rsid w:val="00B41BA7"/>
    <w:rsid w:val="00B41BFA"/>
    <w:rsid w:val="00B41C7F"/>
    <w:rsid w:val="00B41CFF"/>
    <w:rsid w:val="00B41E9D"/>
    <w:rsid w:val="00B41ECE"/>
    <w:rsid w:val="00B4236D"/>
    <w:rsid w:val="00B42476"/>
    <w:rsid w:val="00B424EC"/>
    <w:rsid w:val="00B42623"/>
    <w:rsid w:val="00B426C2"/>
    <w:rsid w:val="00B428D8"/>
    <w:rsid w:val="00B428E6"/>
    <w:rsid w:val="00B4295E"/>
    <w:rsid w:val="00B42A00"/>
    <w:rsid w:val="00B42A8A"/>
    <w:rsid w:val="00B42E8C"/>
    <w:rsid w:val="00B42F07"/>
    <w:rsid w:val="00B432E7"/>
    <w:rsid w:val="00B43311"/>
    <w:rsid w:val="00B437DF"/>
    <w:rsid w:val="00B43895"/>
    <w:rsid w:val="00B43965"/>
    <w:rsid w:val="00B4407E"/>
    <w:rsid w:val="00B440CA"/>
    <w:rsid w:val="00B440F4"/>
    <w:rsid w:val="00B44163"/>
    <w:rsid w:val="00B441B2"/>
    <w:rsid w:val="00B441ED"/>
    <w:rsid w:val="00B44450"/>
    <w:rsid w:val="00B446A9"/>
    <w:rsid w:val="00B4475D"/>
    <w:rsid w:val="00B4495A"/>
    <w:rsid w:val="00B44AA8"/>
    <w:rsid w:val="00B44B26"/>
    <w:rsid w:val="00B44C73"/>
    <w:rsid w:val="00B44E3E"/>
    <w:rsid w:val="00B44E71"/>
    <w:rsid w:val="00B44EFD"/>
    <w:rsid w:val="00B44F46"/>
    <w:rsid w:val="00B44FEA"/>
    <w:rsid w:val="00B45065"/>
    <w:rsid w:val="00B45819"/>
    <w:rsid w:val="00B459FD"/>
    <w:rsid w:val="00B45C0C"/>
    <w:rsid w:val="00B45C48"/>
    <w:rsid w:val="00B46154"/>
    <w:rsid w:val="00B4626D"/>
    <w:rsid w:val="00B46341"/>
    <w:rsid w:val="00B463C9"/>
    <w:rsid w:val="00B467B3"/>
    <w:rsid w:val="00B467CF"/>
    <w:rsid w:val="00B468ED"/>
    <w:rsid w:val="00B46D10"/>
    <w:rsid w:val="00B46F0F"/>
    <w:rsid w:val="00B4709A"/>
    <w:rsid w:val="00B473A2"/>
    <w:rsid w:val="00B47459"/>
    <w:rsid w:val="00B4750A"/>
    <w:rsid w:val="00B47C79"/>
    <w:rsid w:val="00B47C95"/>
    <w:rsid w:val="00B47EFD"/>
    <w:rsid w:val="00B5048A"/>
    <w:rsid w:val="00B505BB"/>
    <w:rsid w:val="00B50627"/>
    <w:rsid w:val="00B5065D"/>
    <w:rsid w:val="00B506F6"/>
    <w:rsid w:val="00B50B2C"/>
    <w:rsid w:val="00B50B35"/>
    <w:rsid w:val="00B50E98"/>
    <w:rsid w:val="00B50F38"/>
    <w:rsid w:val="00B50F78"/>
    <w:rsid w:val="00B50FE7"/>
    <w:rsid w:val="00B51026"/>
    <w:rsid w:val="00B51201"/>
    <w:rsid w:val="00B51260"/>
    <w:rsid w:val="00B512D5"/>
    <w:rsid w:val="00B51699"/>
    <w:rsid w:val="00B51743"/>
    <w:rsid w:val="00B51758"/>
    <w:rsid w:val="00B51875"/>
    <w:rsid w:val="00B51AF6"/>
    <w:rsid w:val="00B51B42"/>
    <w:rsid w:val="00B51C41"/>
    <w:rsid w:val="00B51C5C"/>
    <w:rsid w:val="00B51D6B"/>
    <w:rsid w:val="00B51E2C"/>
    <w:rsid w:val="00B52062"/>
    <w:rsid w:val="00B52124"/>
    <w:rsid w:val="00B5212B"/>
    <w:rsid w:val="00B523F2"/>
    <w:rsid w:val="00B52646"/>
    <w:rsid w:val="00B5266A"/>
    <w:rsid w:val="00B52974"/>
    <w:rsid w:val="00B52A43"/>
    <w:rsid w:val="00B52AA7"/>
    <w:rsid w:val="00B52AAF"/>
    <w:rsid w:val="00B52D00"/>
    <w:rsid w:val="00B52D01"/>
    <w:rsid w:val="00B52F4C"/>
    <w:rsid w:val="00B5307B"/>
    <w:rsid w:val="00B530F0"/>
    <w:rsid w:val="00B5310F"/>
    <w:rsid w:val="00B53228"/>
    <w:rsid w:val="00B53248"/>
    <w:rsid w:val="00B532C6"/>
    <w:rsid w:val="00B53598"/>
    <w:rsid w:val="00B53AC0"/>
    <w:rsid w:val="00B53B7E"/>
    <w:rsid w:val="00B53E67"/>
    <w:rsid w:val="00B53E8C"/>
    <w:rsid w:val="00B53F6C"/>
    <w:rsid w:val="00B540C6"/>
    <w:rsid w:val="00B546D9"/>
    <w:rsid w:val="00B547C9"/>
    <w:rsid w:val="00B547ED"/>
    <w:rsid w:val="00B54A6A"/>
    <w:rsid w:val="00B54B87"/>
    <w:rsid w:val="00B54D46"/>
    <w:rsid w:val="00B54D49"/>
    <w:rsid w:val="00B54E04"/>
    <w:rsid w:val="00B54F7F"/>
    <w:rsid w:val="00B550F5"/>
    <w:rsid w:val="00B55281"/>
    <w:rsid w:val="00B55BE3"/>
    <w:rsid w:val="00B55C00"/>
    <w:rsid w:val="00B55E05"/>
    <w:rsid w:val="00B55F69"/>
    <w:rsid w:val="00B55FA8"/>
    <w:rsid w:val="00B56038"/>
    <w:rsid w:val="00B56179"/>
    <w:rsid w:val="00B561A9"/>
    <w:rsid w:val="00B5626F"/>
    <w:rsid w:val="00B56434"/>
    <w:rsid w:val="00B566CF"/>
    <w:rsid w:val="00B568AE"/>
    <w:rsid w:val="00B56942"/>
    <w:rsid w:val="00B56AD2"/>
    <w:rsid w:val="00B56E2E"/>
    <w:rsid w:val="00B570D1"/>
    <w:rsid w:val="00B573D4"/>
    <w:rsid w:val="00B575D7"/>
    <w:rsid w:val="00B575F9"/>
    <w:rsid w:val="00B579CE"/>
    <w:rsid w:val="00B57A83"/>
    <w:rsid w:val="00B60309"/>
    <w:rsid w:val="00B6053B"/>
    <w:rsid w:val="00B60730"/>
    <w:rsid w:val="00B60A33"/>
    <w:rsid w:val="00B60A7D"/>
    <w:rsid w:val="00B60AFB"/>
    <w:rsid w:val="00B610A1"/>
    <w:rsid w:val="00B611E9"/>
    <w:rsid w:val="00B61C92"/>
    <w:rsid w:val="00B61E6F"/>
    <w:rsid w:val="00B61E95"/>
    <w:rsid w:val="00B61F6B"/>
    <w:rsid w:val="00B62003"/>
    <w:rsid w:val="00B62063"/>
    <w:rsid w:val="00B621F3"/>
    <w:rsid w:val="00B62499"/>
    <w:rsid w:val="00B627CB"/>
    <w:rsid w:val="00B627FE"/>
    <w:rsid w:val="00B62A83"/>
    <w:rsid w:val="00B62A91"/>
    <w:rsid w:val="00B62BDD"/>
    <w:rsid w:val="00B62C96"/>
    <w:rsid w:val="00B62D44"/>
    <w:rsid w:val="00B631B4"/>
    <w:rsid w:val="00B637E2"/>
    <w:rsid w:val="00B63848"/>
    <w:rsid w:val="00B638D8"/>
    <w:rsid w:val="00B638E9"/>
    <w:rsid w:val="00B63996"/>
    <w:rsid w:val="00B63ACF"/>
    <w:rsid w:val="00B63CED"/>
    <w:rsid w:val="00B63E3D"/>
    <w:rsid w:val="00B63E9D"/>
    <w:rsid w:val="00B64012"/>
    <w:rsid w:val="00B6422D"/>
    <w:rsid w:val="00B6433D"/>
    <w:rsid w:val="00B643A9"/>
    <w:rsid w:val="00B64403"/>
    <w:rsid w:val="00B644B9"/>
    <w:rsid w:val="00B648BF"/>
    <w:rsid w:val="00B64949"/>
    <w:rsid w:val="00B64952"/>
    <w:rsid w:val="00B64AC5"/>
    <w:rsid w:val="00B64BE6"/>
    <w:rsid w:val="00B64EDE"/>
    <w:rsid w:val="00B650F0"/>
    <w:rsid w:val="00B65292"/>
    <w:rsid w:val="00B6557A"/>
    <w:rsid w:val="00B65609"/>
    <w:rsid w:val="00B6571B"/>
    <w:rsid w:val="00B6586A"/>
    <w:rsid w:val="00B65D10"/>
    <w:rsid w:val="00B65F44"/>
    <w:rsid w:val="00B65FC9"/>
    <w:rsid w:val="00B66008"/>
    <w:rsid w:val="00B66233"/>
    <w:rsid w:val="00B6630F"/>
    <w:rsid w:val="00B66584"/>
    <w:rsid w:val="00B6661A"/>
    <w:rsid w:val="00B66706"/>
    <w:rsid w:val="00B668A5"/>
    <w:rsid w:val="00B66B1A"/>
    <w:rsid w:val="00B66B90"/>
    <w:rsid w:val="00B66EB1"/>
    <w:rsid w:val="00B66EFE"/>
    <w:rsid w:val="00B66F0F"/>
    <w:rsid w:val="00B66F4A"/>
    <w:rsid w:val="00B67037"/>
    <w:rsid w:val="00B6711C"/>
    <w:rsid w:val="00B674D9"/>
    <w:rsid w:val="00B677C3"/>
    <w:rsid w:val="00B67981"/>
    <w:rsid w:val="00B67C72"/>
    <w:rsid w:val="00B67C93"/>
    <w:rsid w:val="00B700A7"/>
    <w:rsid w:val="00B70144"/>
    <w:rsid w:val="00B70470"/>
    <w:rsid w:val="00B706DC"/>
    <w:rsid w:val="00B707B4"/>
    <w:rsid w:val="00B70D03"/>
    <w:rsid w:val="00B70D7C"/>
    <w:rsid w:val="00B70D87"/>
    <w:rsid w:val="00B70F92"/>
    <w:rsid w:val="00B710D6"/>
    <w:rsid w:val="00B7114D"/>
    <w:rsid w:val="00B7121B"/>
    <w:rsid w:val="00B716D0"/>
    <w:rsid w:val="00B7171E"/>
    <w:rsid w:val="00B7181D"/>
    <w:rsid w:val="00B71BC0"/>
    <w:rsid w:val="00B71D22"/>
    <w:rsid w:val="00B71D57"/>
    <w:rsid w:val="00B72244"/>
    <w:rsid w:val="00B7224E"/>
    <w:rsid w:val="00B72328"/>
    <w:rsid w:val="00B72586"/>
    <w:rsid w:val="00B72862"/>
    <w:rsid w:val="00B728EA"/>
    <w:rsid w:val="00B7298E"/>
    <w:rsid w:val="00B729A4"/>
    <w:rsid w:val="00B72CE6"/>
    <w:rsid w:val="00B72F21"/>
    <w:rsid w:val="00B72FBD"/>
    <w:rsid w:val="00B732E4"/>
    <w:rsid w:val="00B7330B"/>
    <w:rsid w:val="00B733FA"/>
    <w:rsid w:val="00B7368E"/>
    <w:rsid w:val="00B73798"/>
    <w:rsid w:val="00B73962"/>
    <w:rsid w:val="00B739A3"/>
    <w:rsid w:val="00B73E6D"/>
    <w:rsid w:val="00B74313"/>
    <w:rsid w:val="00B7476B"/>
    <w:rsid w:val="00B7482E"/>
    <w:rsid w:val="00B748DF"/>
    <w:rsid w:val="00B74D33"/>
    <w:rsid w:val="00B74D4E"/>
    <w:rsid w:val="00B750D8"/>
    <w:rsid w:val="00B752BE"/>
    <w:rsid w:val="00B75890"/>
    <w:rsid w:val="00B75A67"/>
    <w:rsid w:val="00B75ACF"/>
    <w:rsid w:val="00B75C10"/>
    <w:rsid w:val="00B75C60"/>
    <w:rsid w:val="00B75EB2"/>
    <w:rsid w:val="00B76156"/>
    <w:rsid w:val="00B7621D"/>
    <w:rsid w:val="00B762C6"/>
    <w:rsid w:val="00B76508"/>
    <w:rsid w:val="00B766A1"/>
    <w:rsid w:val="00B766CD"/>
    <w:rsid w:val="00B7671D"/>
    <w:rsid w:val="00B767FF"/>
    <w:rsid w:val="00B7681E"/>
    <w:rsid w:val="00B768E3"/>
    <w:rsid w:val="00B76DDA"/>
    <w:rsid w:val="00B76F67"/>
    <w:rsid w:val="00B7706D"/>
    <w:rsid w:val="00B77537"/>
    <w:rsid w:val="00B7756F"/>
    <w:rsid w:val="00B777A7"/>
    <w:rsid w:val="00B77A9D"/>
    <w:rsid w:val="00B77AAA"/>
    <w:rsid w:val="00B77AAD"/>
    <w:rsid w:val="00B77CB2"/>
    <w:rsid w:val="00B77DD1"/>
    <w:rsid w:val="00B8021D"/>
    <w:rsid w:val="00B8031B"/>
    <w:rsid w:val="00B806D4"/>
    <w:rsid w:val="00B807DA"/>
    <w:rsid w:val="00B8084B"/>
    <w:rsid w:val="00B808B1"/>
    <w:rsid w:val="00B80C09"/>
    <w:rsid w:val="00B80EB4"/>
    <w:rsid w:val="00B811BC"/>
    <w:rsid w:val="00B81323"/>
    <w:rsid w:val="00B814E8"/>
    <w:rsid w:val="00B81905"/>
    <w:rsid w:val="00B820A4"/>
    <w:rsid w:val="00B82392"/>
    <w:rsid w:val="00B82807"/>
    <w:rsid w:val="00B8286B"/>
    <w:rsid w:val="00B82F3F"/>
    <w:rsid w:val="00B83060"/>
    <w:rsid w:val="00B83074"/>
    <w:rsid w:val="00B83327"/>
    <w:rsid w:val="00B8339D"/>
    <w:rsid w:val="00B83507"/>
    <w:rsid w:val="00B83651"/>
    <w:rsid w:val="00B83669"/>
    <w:rsid w:val="00B8371E"/>
    <w:rsid w:val="00B839A5"/>
    <w:rsid w:val="00B83ACA"/>
    <w:rsid w:val="00B83B76"/>
    <w:rsid w:val="00B84468"/>
    <w:rsid w:val="00B84681"/>
    <w:rsid w:val="00B846DF"/>
    <w:rsid w:val="00B848D8"/>
    <w:rsid w:val="00B84B23"/>
    <w:rsid w:val="00B84BFE"/>
    <w:rsid w:val="00B84D6D"/>
    <w:rsid w:val="00B84D89"/>
    <w:rsid w:val="00B84F8A"/>
    <w:rsid w:val="00B852F6"/>
    <w:rsid w:val="00B85413"/>
    <w:rsid w:val="00B8581F"/>
    <w:rsid w:val="00B858A3"/>
    <w:rsid w:val="00B85928"/>
    <w:rsid w:val="00B85A6C"/>
    <w:rsid w:val="00B85D2A"/>
    <w:rsid w:val="00B85E9D"/>
    <w:rsid w:val="00B85EB8"/>
    <w:rsid w:val="00B85EF5"/>
    <w:rsid w:val="00B8607A"/>
    <w:rsid w:val="00B86211"/>
    <w:rsid w:val="00B866FA"/>
    <w:rsid w:val="00B8678C"/>
    <w:rsid w:val="00B8680F"/>
    <w:rsid w:val="00B8683C"/>
    <w:rsid w:val="00B86E1A"/>
    <w:rsid w:val="00B86FC5"/>
    <w:rsid w:val="00B87002"/>
    <w:rsid w:val="00B87003"/>
    <w:rsid w:val="00B872D0"/>
    <w:rsid w:val="00B87408"/>
    <w:rsid w:val="00B876AE"/>
    <w:rsid w:val="00B87876"/>
    <w:rsid w:val="00B87E8E"/>
    <w:rsid w:val="00B87F4D"/>
    <w:rsid w:val="00B9022F"/>
    <w:rsid w:val="00B90365"/>
    <w:rsid w:val="00B90536"/>
    <w:rsid w:val="00B905B9"/>
    <w:rsid w:val="00B90805"/>
    <w:rsid w:val="00B90A96"/>
    <w:rsid w:val="00B90AA7"/>
    <w:rsid w:val="00B90B5A"/>
    <w:rsid w:val="00B90D0C"/>
    <w:rsid w:val="00B90D17"/>
    <w:rsid w:val="00B90F3B"/>
    <w:rsid w:val="00B91010"/>
    <w:rsid w:val="00B91148"/>
    <w:rsid w:val="00B91277"/>
    <w:rsid w:val="00B912BF"/>
    <w:rsid w:val="00B916FD"/>
    <w:rsid w:val="00B91727"/>
    <w:rsid w:val="00B91750"/>
    <w:rsid w:val="00B91970"/>
    <w:rsid w:val="00B91EB7"/>
    <w:rsid w:val="00B91F45"/>
    <w:rsid w:val="00B92050"/>
    <w:rsid w:val="00B92064"/>
    <w:rsid w:val="00B920CF"/>
    <w:rsid w:val="00B92104"/>
    <w:rsid w:val="00B9277A"/>
    <w:rsid w:val="00B92ADE"/>
    <w:rsid w:val="00B92AE6"/>
    <w:rsid w:val="00B92B1B"/>
    <w:rsid w:val="00B92C55"/>
    <w:rsid w:val="00B92E57"/>
    <w:rsid w:val="00B931B0"/>
    <w:rsid w:val="00B932F5"/>
    <w:rsid w:val="00B936C7"/>
    <w:rsid w:val="00B936E1"/>
    <w:rsid w:val="00B937FA"/>
    <w:rsid w:val="00B93A0D"/>
    <w:rsid w:val="00B93D31"/>
    <w:rsid w:val="00B93E95"/>
    <w:rsid w:val="00B93FB6"/>
    <w:rsid w:val="00B94578"/>
    <w:rsid w:val="00B946E2"/>
    <w:rsid w:val="00B9490C"/>
    <w:rsid w:val="00B9492A"/>
    <w:rsid w:val="00B950EE"/>
    <w:rsid w:val="00B9557D"/>
    <w:rsid w:val="00B959B9"/>
    <w:rsid w:val="00B95BD5"/>
    <w:rsid w:val="00B95E3D"/>
    <w:rsid w:val="00B95E73"/>
    <w:rsid w:val="00B95F69"/>
    <w:rsid w:val="00B95F89"/>
    <w:rsid w:val="00B9610A"/>
    <w:rsid w:val="00B96461"/>
    <w:rsid w:val="00B9649F"/>
    <w:rsid w:val="00B96575"/>
    <w:rsid w:val="00B96808"/>
    <w:rsid w:val="00B96CA1"/>
    <w:rsid w:val="00B96FCB"/>
    <w:rsid w:val="00B9712A"/>
    <w:rsid w:val="00B9721D"/>
    <w:rsid w:val="00B97233"/>
    <w:rsid w:val="00B974E1"/>
    <w:rsid w:val="00B97585"/>
    <w:rsid w:val="00B97596"/>
    <w:rsid w:val="00B9764F"/>
    <w:rsid w:val="00B976BA"/>
    <w:rsid w:val="00B97797"/>
    <w:rsid w:val="00B97875"/>
    <w:rsid w:val="00B97AA0"/>
    <w:rsid w:val="00B97C2B"/>
    <w:rsid w:val="00B97D13"/>
    <w:rsid w:val="00B97D68"/>
    <w:rsid w:val="00BA00CB"/>
    <w:rsid w:val="00BA018B"/>
    <w:rsid w:val="00BA05E0"/>
    <w:rsid w:val="00BA07FD"/>
    <w:rsid w:val="00BA09F1"/>
    <w:rsid w:val="00BA0A58"/>
    <w:rsid w:val="00BA0BA1"/>
    <w:rsid w:val="00BA0BC6"/>
    <w:rsid w:val="00BA0C96"/>
    <w:rsid w:val="00BA0F02"/>
    <w:rsid w:val="00BA1164"/>
    <w:rsid w:val="00BA1236"/>
    <w:rsid w:val="00BA13B8"/>
    <w:rsid w:val="00BA1479"/>
    <w:rsid w:val="00BA1500"/>
    <w:rsid w:val="00BA1545"/>
    <w:rsid w:val="00BA1571"/>
    <w:rsid w:val="00BA162D"/>
    <w:rsid w:val="00BA168D"/>
    <w:rsid w:val="00BA18D8"/>
    <w:rsid w:val="00BA1912"/>
    <w:rsid w:val="00BA1A5A"/>
    <w:rsid w:val="00BA1C48"/>
    <w:rsid w:val="00BA1CCF"/>
    <w:rsid w:val="00BA264D"/>
    <w:rsid w:val="00BA28AD"/>
    <w:rsid w:val="00BA2921"/>
    <w:rsid w:val="00BA2A2E"/>
    <w:rsid w:val="00BA2A9A"/>
    <w:rsid w:val="00BA2D8D"/>
    <w:rsid w:val="00BA2E49"/>
    <w:rsid w:val="00BA2E85"/>
    <w:rsid w:val="00BA3174"/>
    <w:rsid w:val="00BA399D"/>
    <w:rsid w:val="00BA39A3"/>
    <w:rsid w:val="00BA3CBA"/>
    <w:rsid w:val="00BA4168"/>
    <w:rsid w:val="00BA44CD"/>
    <w:rsid w:val="00BA4801"/>
    <w:rsid w:val="00BA49DF"/>
    <w:rsid w:val="00BA4DE3"/>
    <w:rsid w:val="00BA4F38"/>
    <w:rsid w:val="00BA4FB7"/>
    <w:rsid w:val="00BA51A0"/>
    <w:rsid w:val="00BA521A"/>
    <w:rsid w:val="00BA55C8"/>
    <w:rsid w:val="00BA57C6"/>
    <w:rsid w:val="00BA5910"/>
    <w:rsid w:val="00BA59C9"/>
    <w:rsid w:val="00BA5AD1"/>
    <w:rsid w:val="00BA5C84"/>
    <w:rsid w:val="00BA5E74"/>
    <w:rsid w:val="00BA5F13"/>
    <w:rsid w:val="00BA5FB2"/>
    <w:rsid w:val="00BA5FE0"/>
    <w:rsid w:val="00BA605E"/>
    <w:rsid w:val="00BA650A"/>
    <w:rsid w:val="00BA67BB"/>
    <w:rsid w:val="00BA6823"/>
    <w:rsid w:val="00BA6A08"/>
    <w:rsid w:val="00BA6B49"/>
    <w:rsid w:val="00BA6D56"/>
    <w:rsid w:val="00BA6D7E"/>
    <w:rsid w:val="00BA6FEA"/>
    <w:rsid w:val="00BA71EA"/>
    <w:rsid w:val="00BA725E"/>
    <w:rsid w:val="00BA7734"/>
    <w:rsid w:val="00BA778B"/>
    <w:rsid w:val="00BA7920"/>
    <w:rsid w:val="00BA7B03"/>
    <w:rsid w:val="00BA7B4D"/>
    <w:rsid w:val="00BA7B64"/>
    <w:rsid w:val="00BB047A"/>
    <w:rsid w:val="00BB0498"/>
    <w:rsid w:val="00BB04AF"/>
    <w:rsid w:val="00BB0566"/>
    <w:rsid w:val="00BB05B4"/>
    <w:rsid w:val="00BB0A0A"/>
    <w:rsid w:val="00BB0B80"/>
    <w:rsid w:val="00BB0BB2"/>
    <w:rsid w:val="00BB0D0F"/>
    <w:rsid w:val="00BB0DC8"/>
    <w:rsid w:val="00BB0DD8"/>
    <w:rsid w:val="00BB11E1"/>
    <w:rsid w:val="00BB1327"/>
    <w:rsid w:val="00BB160E"/>
    <w:rsid w:val="00BB192D"/>
    <w:rsid w:val="00BB19A9"/>
    <w:rsid w:val="00BB19EE"/>
    <w:rsid w:val="00BB1B5D"/>
    <w:rsid w:val="00BB1CB1"/>
    <w:rsid w:val="00BB1CF0"/>
    <w:rsid w:val="00BB1EF7"/>
    <w:rsid w:val="00BB1F77"/>
    <w:rsid w:val="00BB2195"/>
    <w:rsid w:val="00BB229E"/>
    <w:rsid w:val="00BB23F8"/>
    <w:rsid w:val="00BB243A"/>
    <w:rsid w:val="00BB253E"/>
    <w:rsid w:val="00BB25D1"/>
    <w:rsid w:val="00BB2BD3"/>
    <w:rsid w:val="00BB2DFF"/>
    <w:rsid w:val="00BB2FF3"/>
    <w:rsid w:val="00BB30B1"/>
    <w:rsid w:val="00BB329D"/>
    <w:rsid w:val="00BB32AD"/>
    <w:rsid w:val="00BB33CC"/>
    <w:rsid w:val="00BB33DE"/>
    <w:rsid w:val="00BB33ED"/>
    <w:rsid w:val="00BB360A"/>
    <w:rsid w:val="00BB366A"/>
    <w:rsid w:val="00BB374F"/>
    <w:rsid w:val="00BB379E"/>
    <w:rsid w:val="00BB3C1B"/>
    <w:rsid w:val="00BB3D4A"/>
    <w:rsid w:val="00BB3EF5"/>
    <w:rsid w:val="00BB3F2B"/>
    <w:rsid w:val="00BB4233"/>
    <w:rsid w:val="00BB446F"/>
    <w:rsid w:val="00BB4867"/>
    <w:rsid w:val="00BB494A"/>
    <w:rsid w:val="00BB4AF6"/>
    <w:rsid w:val="00BB4F1D"/>
    <w:rsid w:val="00BB507C"/>
    <w:rsid w:val="00BB523D"/>
    <w:rsid w:val="00BB52F2"/>
    <w:rsid w:val="00BB5455"/>
    <w:rsid w:val="00BB5FE7"/>
    <w:rsid w:val="00BB5FFF"/>
    <w:rsid w:val="00BB632E"/>
    <w:rsid w:val="00BB6379"/>
    <w:rsid w:val="00BB68AA"/>
    <w:rsid w:val="00BB6AB0"/>
    <w:rsid w:val="00BB6B7A"/>
    <w:rsid w:val="00BB6B8F"/>
    <w:rsid w:val="00BB6D87"/>
    <w:rsid w:val="00BB6E1F"/>
    <w:rsid w:val="00BB6E94"/>
    <w:rsid w:val="00BB7151"/>
    <w:rsid w:val="00BB7660"/>
    <w:rsid w:val="00BB7895"/>
    <w:rsid w:val="00BB7BEE"/>
    <w:rsid w:val="00BB7D21"/>
    <w:rsid w:val="00BC000E"/>
    <w:rsid w:val="00BC0077"/>
    <w:rsid w:val="00BC04EB"/>
    <w:rsid w:val="00BC0505"/>
    <w:rsid w:val="00BC0569"/>
    <w:rsid w:val="00BC0601"/>
    <w:rsid w:val="00BC0729"/>
    <w:rsid w:val="00BC08A7"/>
    <w:rsid w:val="00BC0907"/>
    <w:rsid w:val="00BC0FAF"/>
    <w:rsid w:val="00BC1062"/>
    <w:rsid w:val="00BC1130"/>
    <w:rsid w:val="00BC16B7"/>
    <w:rsid w:val="00BC1738"/>
    <w:rsid w:val="00BC1791"/>
    <w:rsid w:val="00BC183E"/>
    <w:rsid w:val="00BC18B5"/>
    <w:rsid w:val="00BC19BB"/>
    <w:rsid w:val="00BC1A47"/>
    <w:rsid w:val="00BC1AC4"/>
    <w:rsid w:val="00BC225E"/>
    <w:rsid w:val="00BC2362"/>
    <w:rsid w:val="00BC23B0"/>
    <w:rsid w:val="00BC23FA"/>
    <w:rsid w:val="00BC247C"/>
    <w:rsid w:val="00BC249B"/>
    <w:rsid w:val="00BC262E"/>
    <w:rsid w:val="00BC2634"/>
    <w:rsid w:val="00BC267C"/>
    <w:rsid w:val="00BC283E"/>
    <w:rsid w:val="00BC29EA"/>
    <w:rsid w:val="00BC2DBC"/>
    <w:rsid w:val="00BC2EB6"/>
    <w:rsid w:val="00BC2EF5"/>
    <w:rsid w:val="00BC3076"/>
    <w:rsid w:val="00BC3127"/>
    <w:rsid w:val="00BC34A8"/>
    <w:rsid w:val="00BC38AC"/>
    <w:rsid w:val="00BC39A1"/>
    <w:rsid w:val="00BC3D9D"/>
    <w:rsid w:val="00BC3DE3"/>
    <w:rsid w:val="00BC3E17"/>
    <w:rsid w:val="00BC4048"/>
    <w:rsid w:val="00BC424F"/>
    <w:rsid w:val="00BC4302"/>
    <w:rsid w:val="00BC432C"/>
    <w:rsid w:val="00BC45F4"/>
    <w:rsid w:val="00BC47BB"/>
    <w:rsid w:val="00BC4848"/>
    <w:rsid w:val="00BC4B9B"/>
    <w:rsid w:val="00BC4FB7"/>
    <w:rsid w:val="00BC5074"/>
    <w:rsid w:val="00BC595F"/>
    <w:rsid w:val="00BC5B4C"/>
    <w:rsid w:val="00BC5B76"/>
    <w:rsid w:val="00BC5C26"/>
    <w:rsid w:val="00BC5E1C"/>
    <w:rsid w:val="00BC5E56"/>
    <w:rsid w:val="00BC5F61"/>
    <w:rsid w:val="00BC632F"/>
    <w:rsid w:val="00BC6412"/>
    <w:rsid w:val="00BC643A"/>
    <w:rsid w:val="00BC656D"/>
    <w:rsid w:val="00BC6754"/>
    <w:rsid w:val="00BC6810"/>
    <w:rsid w:val="00BC699E"/>
    <w:rsid w:val="00BC6C3A"/>
    <w:rsid w:val="00BC6D23"/>
    <w:rsid w:val="00BC6D34"/>
    <w:rsid w:val="00BC6DC6"/>
    <w:rsid w:val="00BC6E9A"/>
    <w:rsid w:val="00BC6F5F"/>
    <w:rsid w:val="00BC6FF0"/>
    <w:rsid w:val="00BC7115"/>
    <w:rsid w:val="00BC7174"/>
    <w:rsid w:val="00BC76AF"/>
    <w:rsid w:val="00BC7722"/>
    <w:rsid w:val="00BC7927"/>
    <w:rsid w:val="00BC7AFD"/>
    <w:rsid w:val="00BC7DD7"/>
    <w:rsid w:val="00BD008C"/>
    <w:rsid w:val="00BD0180"/>
    <w:rsid w:val="00BD018F"/>
    <w:rsid w:val="00BD02A8"/>
    <w:rsid w:val="00BD04AB"/>
    <w:rsid w:val="00BD04E5"/>
    <w:rsid w:val="00BD061B"/>
    <w:rsid w:val="00BD062F"/>
    <w:rsid w:val="00BD0712"/>
    <w:rsid w:val="00BD085A"/>
    <w:rsid w:val="00BD0900"/>
    <w:rsid w:val="00BD0936"/>
    <w:rsid w:val="00BD0B65"/>
    <w:rsid w:val="00BD1232"/>
    <w:rsid w:val="00BD17A3"/>
    <w:rsid w:val="00BD18F1"/>
    <w:rsid w:val="00BD1911"/>
    <w:rsid w:val="00BD19E3"/>
    <w:rsid w:val="00BD19F7"/>
    <w:rsid w:val="00BD1A79"/>
    <w:rsid w:val="00BD1CC3"/>
    <w:rsid w:val="00BD1EB5"/>
    <w:rsid w:val="00BD1EFF"/>
    <w:rsid w:val="00BD200C"/>
    <w:rsid w:val="00BD2542"/>
    <w:rsid w:val="00BD2613"/>
    <w:rsid w:val="00BD274E"/>
    <w:rsid w:val="00BD2875"/>
    <w:rsid w:val="00BD2C53"/>
    <w:rsid w:val="00BD2C99"/>
    <w:rsid w:val="00BD2D7F"/>
    <w:rsid w:val="00BD2DD0"/>
    <w:rsid w:val="00BD2F59"/>
    <w:rsid w:val="00BD3142"/>
    <w:rsid w:val="00BD3808"/>
    <w:rsid w:val="00BD3856"/>
    <w:rsid w:val="00BD38CF"/>
    <w:rsid w:val="00BD396C"/>
    <w:rsid w:val="00BD3A19"/>
    <w:rsid w:val="00BD3B57"/>
    <w:rsid w:val="00BD3BE6"/>
    <w:rsid w:val="00BD3C20"/>
    <w:rsid w:val="00BD3F0B"/>
    <w:rsid w:val="00BD4104"/>
    <w:rsid w:val="00BD4197"/>
    <w:rsid w:val="00BD4260"/>
    <w:rsid w:val="00BD44AF"/>
    <w:rsid w:val="00BD4924"/>
    <w:rsid w:val="00BD49CF"/>
    <w:rsid w:val="00BD4A54"/>
    <w:rsid w:val="00BD4A91"/>
    <w:rsid w:val="00BD4AC7"/>
    <w:rsid w:val="00BD4B6F"/>
    <w:rsid w:val="00BD4C69"/>
    <w:rsid w:val="00BD4D1E"/>
    <w:rsid w:val="00BD4DFF"/>
    <w:rsid w:val="00BD4E84"/>
    <w:rsid w:val="00BD5368"/>
    <w:rsid w:val="00BD56B6"/>
    <w:rsid w:val="00BD56D0"/>
    <w:rsid w:val="00BD5983"/>
    <w:rsid w:val="00BD59B3"/>
    <w:rsid w:val="00BD5A45"/>
    <w:rsid w:val="00BD5AEA"/>
    <w:rsid w:val="00BD5B9B"/>
    <w:rsid w:val="00BD5D83"/>
    <w:rsid w:val="00BD60AA"/>
    <w:rsid w:val="00BD6164"/>
    <w:rsid w:val="00BD632B"/>
    <w:rsid w:val="00BD634C"/>
    <w:rsid w:val="00BD63AE"/>
    <w:rsid w:val="00BD6465"/>
    <w:rsid w:val="00BD68CA"/>
    <w:rsid w:val="00BD6BD1"/>
    <w:rsid w:val="00BD7128"/>
    <w:rsid w:val="00BD7245"/>
    <w:rsid w:val="00BD7283"/>
    <w:rsid w:val="00BD73A6"/>
    <w:rsid w:val="00BD796A"/>
    <w:rsid w:val="00BD7A4B"/>
    <w:rsid w:val="00BD7BB6"/>
    <w:rsid w:val="00BD7C95"/>
    <w:rsid w:val="00BE0209"/>
    <w:rsid w:val="00BE0231"/>
    <w:rsid w:val="00BE0305"/>
    <w:rsid w:val="00BE0342"/>
    <w:rsid w:val="00BE059E"/>
    <w:rsid w:val="00BE075C"/>
    <w:rsid w:val="00BE094C"/>
    <w:rsid w:val="00BE0BDB"/>
    <w:rsid w:val="00BE0E05"/>
    <w:rsid w:val="00BE0E1F"/>
    <w:rsid w:val="00BE13B7"/>
    <w:rsid w:val="00BE1576"/>
    <w:rsid w:val="00BE1628"/>
    <w:rsid w:val="00BE164E"/>
    <w:rsid w:val="00BE16D7"/>
    <w:rsid w:val="00BE1726"/>
    <w:rsid w:val="00BE1769"/>
    <w:rsid w:val="00BE176D"/>
    <w:rsid w:val="00BE19F4"/>
    <w:rsid w:val="00BE1F81"/>
    <w:rsid w:val="00BE1F85"/>
    <w:rsid w:val="00BE2007"/>
    <w:rsid w:val="00BE224F"/>
    <w:rsid w:val="00BE25F9"/>
    <w:rsid w:val="00BE2BBE"/>
    <w:rsid w:val="00BE2C38"/>
    <w:rsid w:val="00BE2CDC"/>
    <w:rsid w:val="00BE2EDC"/>
    <w:rsid w:val="00BE30C6"/>
    <w:rsid w:val="00BE32F7"/>
    <w:rsid w:val="00BE35C0"/>
    <w:rsid w:val="00BE3807"/>
    <w:rsid w:val="00BE38BC"/>
    <w:rsid w:val="00BE39A0"/>
    <w:rsid w:val="00BE3AC4"/>
    <w:rsid w:val="00BE3D2F"/>
    <w:rsid w:val="00BE3DA4"/>
    <w:rsid w:val="00BE4153"/>
    <w:rsid w:val="00BE41E0"/>
    <w:rsid w:val="00BE427F"/>
    <w:rsid w:val="00BE437F"/>
    <w:rsid w:val="00BE4980"/>
    <w:rsid w:val="00BE4AB6"/>
    <w:rsid w:val="00BE4FF7"/>
    <w:rsid w:val="00BE5109"/>
    <w:rsid w:val="00BE54C1"/>
    <w:rsid w:val="00BE5654"/>
    <w:rsid w:val="00BE56BF"/>
    <w:rsid w:val="00BE5936"/>
    <w:rsid w:val="00BE5B9A"/>
    <w:rsid w:val="00BE5BF1"/>
    <w:rsid w:val="00BE5F7E"/>
    <w:rsid w:val="00BE5FAB"/>
    <w:rsid w:val="00BE6028"/>
    <w:rsid w:val="00BE6061"/>
    <w:rsid w:val="00BE60F1"/>
    <w:rsid w:val="00BE611A"/>
    <w:rsid w:val="00BE61F6"/>
    <w:rsid w:val="00BE63A3"/>
    <w:rsid w:val="00BE64D7"/>
    <w:rsid w:val="00BE68A5"/>
    <w:rsid w:val="00BE68A9"/>
    <w:rsid w:val="00BE6A51"/>
    <w:rsid w:val="00BE6C1B"/>
    <w:rsid w:val="00BE6DA1"/>
    <w:rsid w:val="00BE6F84"/>
    <w:rsid w:val="00BE7033"/>
    <w:rsid w:val="00BE71B7"/>
    <w:rsid w:val="00BE75EE"/>
    <w:rsid w:val="00BE7743"/>
    <w:rsid w:val="00BE7F0B"/>
    <w:rsid w:val="00BF0284"/>
    <w:rsid w:val="00BF02D9"/>
    <w:rsid w:val="00BF06C7"/>
    <w:rsid w:val="00BF0711"/>
    <w:rsid w:val="00BF0802"/>
    <w:rsid w:val="00BF0912"/>
    <w:rsid w:val="00BF0F09"/>
    <w:rsid w:val="00BF1275"/>
    <w:rsid w:val="00BF139C"/>
    <w:rsid w:val="00BF156D"/>
    <w:rsid w:val="00BF163E"/>
    <w:rsid w:val="00BF1678"/>
    <w:rsid w:val="00BF16FD"/>
    <w:rsid w:val="00BF1CD0"/>
    <w:rsid w:val="00BF1FD1"/>
    <w:rsid w:val="00BF1FE7"/>
    <w:rsid w:val="00BF2078"/>
    <w:rsid w:val="00BF2122"/>
    <w:rsid w:val="00BF22CE"/>
    <w:rsid w:val="00BF2375"/>
    <w:rsid w:val="00BF246A"/>
    <w:rsid w:val="00BF2489"/>
    <w:rsid w:val="00BF24B6"/>
    <w:rsid w:val="00BF2625"/>
    <w:rsid w:val="00BF279E"/>
    <w:rsid w:val="00BF2977"/>
    <w:rsid w:val="00BF2AEB"/>
    <w:rsid w:val="00BF2B12"/>
    <w:rsid w:val="00BF2B5A"/>
    <w:rsid w:val="00BF33A2"/>
    <w:rsid w:val="00BF34D2"/>
    <w:rsid w:val="00BF3617"/>
    <w:rsid w:val="00BF3734"/>
    <w:rsid w:val="00BF3B58"/>
    <w:rsid w:val="00BF4037"/>
    <w:rsid w:val="00BF40F1"/>
    <w:rsid w:val="00BF4431"/>
    <w:rsid w:val="00BF446E"/>
    <w:rsid w:val="00BF44B9"/>
    <w:rsid w:val="00BF45CF"/>
    <w:rsid w:val="00BF48EC"/>
    <w:rsid w:val="00BF4918"/>
    <w:rsid w:val="00BF4E8B"/>
    <w:rsid w:val="00BF4FCC"/>
    <w:rsid w:val="00BF53E7"/>
    <w:rsid w:val="00BF542A"/>
    <w:rsid w:val="00BF545B"/>
    <w:rsid w:val="00BF54C6"/>
    <w:rsid w:val="00BF561F"/>
    <w:rsid w:val="00BF56E0"/>
    <w:rsid w:val="00BF5B53"/>
    <w:rsid w:val="00BF5F4C"/>
    <w:rsid w:val="00BF5F61"/>
    <w:rsid w:val="00BF6061"/>
    <w:rsid w:val="00BF61A1"/>
    <w:rsid w:val="00BF640A"/>
    <w:rsid w:val="00BF64DA"/>
    <w:rsid w:val="00BF6509"/>
    <w:rsid w:val="00BF666D"/>
    <w:rsid w:val="00BF684B"/>
    <w:rsid w:val="00BF6948"/>
    <w:rsid w:val="00BF6B49"/>
    <w:rsid w:val="00BF6CDD"/>
    <w:rsid w:val="00BF6DC2"/>
    <w:rsid w:val="00BF6DD9"/>
    <w:rsid w:val="00BF6E72"/>
    <w:rsid w:val="00BF6F66"/>
    <w:rsid w:val="00BF708D"/>
    <w:rsid w:val="00BF7136"/>
    <w:rsid w:val="00BF71D1"/>
    <w:rsid w:val="00BF753C"/>
    <w:rsid w:val="00BF7637"/>
    <w:rsid w:val="00BF7737"/>
    <w:rsid w:val="00BF780D"/>
    <w:rsid w:val="00BF7AF2"/>
    <w:rsid w:val="00BF7C23"/>
    <w:rsid w:val="00BF7C48"/>
    <w:rsid w:val="00C00111"/>
    <w:rsid w:val="00C001AA"/>
    <w:rsid w:val="00C00302"/>
    <w:rsid w:val="00C004C7"/>
    <w:rsid w:val="00C005BE"/>
    <w:rsid w:val="00C0091E"/>
    <w:rsid w:val="00C00C7F"/>
    <w:rsid w:val="00C00CA8"/>
    <w:rsid w:val="00C00D3B"/>
    <w:rsid w:val="00C00ECB"/>
    <w:rsid w:val="00C01153"/>
    <w:rsid w:val="00C01205"/>
    <w:rsid w:val="00C0128B"/>
    <w:rsid w:val="00C017BD"/>
    <w:rsid w:val="00C01917"/>
    <w:rsid w:val="00C01BAC"/>
    <w:rsid w:val="00C01D14"/>
    <w:rsid w:val="00C01D48"/>
    <w:rsid w:val="00C01E83"/>
    <w:rsid w:val="00C01F1A"/>
    <w:rsid w:val="00C02132"/>
    <w:rsid w:val="00C02227"/>
    <w:rsid w:val="00C0238F"/>
    <w:rsid w:val="00C02450"/>
    <w:rsid w:val="00C025F6"/>
    <w:rsid w:val="00C02668"/>
    <w:rsid w:val="00C027A7"/>
    <w:rsid w:val="00C02A1D"/>
    <w:rsid w:val="00C02DE3"/>
    <w:rsid w:val="00C02DF2"/>
    <w:rsid w:val="00C02E4B"/>
    <w:rsid w:val="00C02F16"/>
    <w:rsid w:val="00C02F64"/>
    <w:rsid w:val="00C030D6"/>
    <w:rsid w:val="00C03343"/>
    <w:rsid w:val="00C03477"/>
    <w:rsid w:val="00C03557"/>
    <w:rsid w:val="00C03578"/>
    <w:rsid w:val="00C0357E"/>
    <w:rsid w:val="00C03600"/>
    <w:rsid w:val="00C03731"/>
    <w:rsid w:val="00C0378C"/>
    <w:rsid w:val="00C0381B"/>
    <w:rsid w:val="00C03823"/>
    <w:rsid w:val="00C038E0"/>
    <w:rsid w:val="00C038EC"/>
    <w:rsid w:val="00C03B1A"/>
    <w:rsid w:val="00C03B86"/>
    <w:rsid w:val="00C03BF0"/>
    <w:rsid w:val="00C03DF5"/>
    <w:rsid w:val="00C04134"/>
    <w:rsid w:val="00C0414B"/>
    <w:rsid w:val="00C041D9"/>
    <w:rsid w:val="00C041EE"/>
    <w:rsid w:val="00C04479"/>
    <w:rsid w:val="00C047D0"/>
    <w:rsid w:val="00C0488B"/>
    <w:rsid w:val="00C04891"/>
    <w:rsid w:val="00C048C2"/>
    <w:rsid w:val="00C04976"/>
    <w:rsid w:val="00C04B0E"/>
    <w:rsid w:val="00C04C1E"/>
    <w:rsid w:val="00C04E17"/>
    <w:rsid w:val="00C04EE5"/>
    <w:rsid w:val="00C04F33"/>
    <w:rsid w:val="00C05290"/>
    <w:rsid w:val="00C052DE"/>
    <w:rsid w:val="00C0537C"/>
    <w:rsid w:val="00C05504"/>
    <w:rsid w:val="00C055BC"/>
    <w:rsid w:val="00C05680"/>
    <w:rsid w:val="00C05AD7"/>
    <w:rsid w:val="00C05EB1"/>
    <w:rsid w:val="00C061C1"/>
    <w:rsid w:val="00C06219"/>
    <w:rsid w:val="00C0626E"/>
    <w:rsid w:val="00C06350"/>
    <w:rsid w:val="00C064F5"/>
    <w:rsid w:val="00C06597"/>
    <w:rsid w:val="00C065F4"/>
    <w:rsid w:val="00C066D6"/>
    <w:rsid w:val="00C06856"/>
    <w:rsid w:val="00C06A4D"/>
    <w:rsid w:val="00C06C73"/>
    <w:rsid w:val="00C06D74"/>
    <w:rsid w:val="00C07172"/>
    <w:rsid w:val="00C0717B"/>
    <w:rsid w:val="00C07260"/>
    <w:rsid w:val="00C07814"/>
    <w:rsid w:val="00C07950"/>
    <w:rsid w:val="00C0797C"/>
    <w:rsid w:val="00C07BEC"/>
    <w:rsid w:val="00C10104"/>
    <w:rsid w:val="00C10109"/>
    <w:rsid w:val="00C101D6"/>
    <w:rsid w:val="00C10276"/>
    <w:rsid w:val="00C10312"/>
    <w:rsid w:val="00C103F0"/>
    <w:rsid w:val="00C105A4"/>
    <w:rsid w:val="00C10691"/>
    <w:rsid w:val="00C10A23"/>
    <w:rsid w:val="00C10A6B"/>
    <w:rsid w:val="00C10C40"/>
    <w:rsid w:val="00C10DA7"/>
    <w:rsid w:val="00C10FB6"/>
    <w:rsid w:val="00C11207"/>
    <w:rsid w:val="00C11327"/>
    <w:rsid w:val="00C11790"/>
    <w:rsid w:val="00C117E4"/>
    <w:rsid w:val="00C1195A"/>
    <w:rsid w:val="00C11BD2"/>
    <w:rsid w:val="00C11BE6"/>
    <w:rsid w:val="00C121BB"/>
    <w:rsid w:val="00C1248F"/>
    <w:rsid w:val="00C128AA"/>
    <w:rsid w:val="00C12911"/>
    <w:rsid w:val="00C129B6"/>
    <w:rsid w:val="00C12A0A"/>
    <w:rsid w:val="00C12ECC"/>
    <w:rsid w:val="00C1305C"/>
    <w:rsid w:val="00C13555"/>
    <w:rsid w:val="00C13A42"/>
    <w:rsid w:val="00C13D60"/>
    <w:rsid w:val="00C13DC0"/>
    <w:rsid w:val="00C141AE"/>
    <w:rsid w:val="00C145DD"/>
    <w:rsid w:val="00C148A0"/>
    <w:rsid w:val="00C14A27"/>
    <w:rsid w:val="00C14D27"/>
    <w:rsid w:val="00C14E1E"/>
    <w:rsid w:val="00C14FF0"/>
    <w:rsid w:val="00C15A7B"/>
    <w:rsid w:val="00C15AF0"/>
    <w:rsid w:val="00C15B61"/>
    <w:rsid w:val="00C15E56"/>
    <w:rsid w:val="00C16001"/>
    <w:rsid w:val="00C16288"/>
    <w:rsid w:val="00C16313"/>
    <w:rsid w:val="00C16362"/>
    <w:rsid w:val="00C163EB"/>
    <w:rsid w:val="00C163EE"/>
    <w:rsid w:val="00C1666D"/>
    <w:rsid w:val="00C167CE"/>
    <w:rsid w:val="00C16A56"/>
    <w:rsid w:val="00C171D3"/>
    <w:rsid w:val="00C17307"/>
    <w:rsid w:val="00C1732B"/>
    <w:rsid w:val="00C176D5"/>
    <w:rsid w:val="00C17D1E"/>
    <w:rsid w:val="00C17D28"/>
    <w:rsid w:val="00C17D6B"/>
    <w:rsid w:val="00C20080"/>
    <w:rsid w:val="00C20230"/>
    <w:rsid w:val="00C205DE"/>
    <w:rsid w:val="00C205EC"/>
    <w:rsid w:val="00C208DA"/>
    <w:rsid w:val="00C20F96"/>
    <w:rsid w:val="00C2107C"/>
    <w:rsid w:val="00C21151"/>
    <w:rsid w:val="00C21341"/>
    <w:rsid w:val="00C214B2"/>
    <w:rsid w:val="00C214BC"/>
    <w:rsid w:val="00C216F5"/>
    <w:rsid w:val="00C21B50"/>
    <w:rsid w:val="00C21BC3"/>
    <w:rsid w:val="00C22118"/>
    <w:rsid w:val="00C221DD"/>
    <w:rsid w:val="00C22398"/>
    <w:rsid w:val="00C224E3"/>
    <w:rsid w:val="00C2250A"/>
    <w:rsid w:val="00C225C9"/>
    <w:rsid w:val="00C226B0"/>
    <w:rsid w:val="00C22BC8"/>
    <w:rsid w:val="00C22CA3"/>
    <w:rsid w:val="00C23319"/>
    <w:rsid w:val="00C2332E"/>
    <w:rsid w:val="00C2394F"/>
    <w:rsid w:val="00C23B6A"/>
    <w:rsid w:val="00C23C36"/>
    <w:rsid w:val="00C23E5E"/>
    <w:rsid w:val="00C240A7"/>
    <w:rsid w:val="00C2443E"/>
    <w:rsid w:val="00C24468"/>
    <w:rsid w:val="00C245FC"/>
    <w:rsid w:val="00C247F2"/>
    <w:rsid w:val="00C248B3"/>
    <w:rsid w:val="00C248D7"/>
    <w:rsid w:val="00C24AF2"/>
    <w:rsid w:val="00C24CA0"/>
    <w:rsid w:val="00C24D15"/>
    <w:rsid w:val="00C2519A"/>
    <w:rsid w:val="00C25382"/>
    <w:rsid w:val="00C2538C"/>
    <w:rsid w:val="00C253DB"/>
    <w:rsid w:val="00C25503"/>
    <w:rsid w:val="00C255BD"/>
    <w:rsid w:val="00C255DD"/>
    <w:rsid w:val="00C2576C"/>
    <w:rsid w:val="00C25911"/>
    <w:rsid w:val="00C25915"/>
    <w:rsid w:val="00C25920"/>
    <w:rsid w:val="00C25D70"/>
    <w:rsid w:val="00C25E78"/>
    <w:rsid w:val="00C264F3"/>
    <w:rsid w:val="00C265AB"/>
    <w:rsid w:val="00C266F7"/>
    <w:rsid w:val="00C26AAF"/>
    <w:rsid w:val="00C26C32"/>
    <w:rsid w:val="00C26EAC"/>
    <w:rsid w:val="00C27376"/>
    <w:rsid w:val="00C2758D"/>
    <w:rsid w:val="00C276FD"/>
    <w:rsid w:val="00C27917"/>
    <w:rsid w:val="00C2792A"/>
    <w:rsid w:val="00C27BEB"/>
    <w:rsid w:val="00C27C41"/>
    <w:rsid w:val="00C27C56"/>
    <w:rsid w:val="00C27C6F"/>
    <w:rsid w:val="00C27D6F"/>
    <w:rsid w:val="00C27F22"/>
    <w:rsid w:val="00C27F60"/>
    <w:rsid w:val="00C300A2"/>
    <w:rsid w:val="00C302A5"/>
    <w:rsid w:val="00C302F0"/>
    <w:rsid w:val="00C303D8"/>
    <w:rsid w:val="00C307A4"/>
    <w:rsid w:val="00C3098E"/>
    <w:rsid w:val="00C30A28"/>
    <w:rsid w:val="00C30AD7"/>
    <w:rsid w:val="00C30AE1"/>
    <w:rsid w:val="00C318A4"/>
    <w:rsid w:val="00C319A4"/>
    <w:rsid w:val="00C319C5"/>
    <w:rsid w:val="00C31A51"/>
    <w:rsid w:val="00C31BA6"/>
    <w:rsid w:val="00C31BA7"/>
    <w:rsid w:val="00C31C2F"/>
    <w:rsid w:val="00C31C53"/>
    <w:rsid w:val="00C31E31"/>
    <w:rsid w:val="00C31EFB"/>
    <w:rsid w:val="00C32062"/>
    <w:rsid w:val="00C32096"/>
    <w:rsid w:val="00C320B3"/>
    <w:rsid w:val="00C32717"/>
    <w:rsid w:val="00C32E39"/>
    <w:rsid w:val="00C32ED8"/>
    <w:rsid w:val="00C32F33"/>
    <w:rsid w:val="00C3300C"/>
    <w:rsid w:val="00C3313C"/>
    <w:rsid w:val="00C33173"/>
    <w:rsid w:val="00C3348A"/>
    <w:rsid w:val="00C33DB2"/>
    <w:rsid w:val="00C33EC5"/>
    <w:rsid w:val="00C33F83"/>
    <w:rsid w:val="00C33FDC"/>
    <w:rsid w:val="00C34298"/>
    <w:rsid w:val="00C342CF"/>
    <w:rsid w:val="00C343DC"/>
    <w:rsid w:val="00C343F1"/>
    <w:rsid w:val="00C345AE"/>
    <w:rsid w:val="00C348B7"/>
    <w:rsid w:val="00C34AF6"/>
    <w:rsid w:val="00C34B2E"/>
    <w:rsid w:val="00C34D23"/>
    <w:rsid w:val="00C34DF2"/>
    <w:rsid w:val="00C34F77"/>
    <w:rsid w:val="00C34FDE"/>
    <w:rsid w:val="00C3505C"/>
    <w:rsid w:val="00C350FF"/>
    <w:rsid w:val="00C35113"/>
    <w:rsid w:val="00C3534E"/>
    <w:rsid w:val="00C357C9"/>
    <w:rsid w:val="00C35844"/>
    <w:rsid w:val="00C35889"/>
    <w:rsid w:val="00C35A0C"/>
    <w:rsid w:val="00C35B27"/>
    <w:rsid w:val="00C35F9F"/>
    <w:rsid w:val="00C35FD3"/>
    <w:rsid w:val="00C36243"/>
    <w:rsid w:val="00C36325"/>
    <w:rsid w:val="00C36590"/>
    <w:rsid w:val="00C369CD"/>
    <w:rsid w:val="00C36B6F"/>
    <w:rsid w:val="00C36E9D"/>
    <w:rsid w:val="00C37042"/>
    <w:rsid w:val="00C3711B"/>
    <w:rsid w:val="00C37478"/>
    <w:rsid w:val="00C3764C"/>
    <w:rsid w:val="00C378B2"/>
    <w:rsid w:val="00C37E87"/>
    <w:rsid w:val="00C37FA4"/>
    <w:rsid w:val="00C40147"/>
    <w:rsid w:val="00C4020B"/>
    <w:rsid w:val="00C403E9"/>
    <w:rsid w:val="00C40424"/>
    <w:rsid w:val="00C40711"/>
    <w:rsid w:val="00C40793"/>
    <w:rsid w:val="00C40AEC"/>
    <w:rsid w:val="00C40BCF"/>
    <w:rsid w:val="00C40BE1"/>
    <w:rsid w:val="00C40DC1"/>
    <w:rsid w:val="00C40DFD"/>
    <w:rsid w:val="00C41065"/>
    <w:rsid w:val="00C41080"/>
    <w:rsid w:val="00C4145F"/>
    <w:rsid w:val="00C414C2"/>
    <w:rsid w:val="00C418BC"/>
    <w:rsid w:val="00C41977"/>
    <w:rsid w:val="00C41D65"/>
    <w:rsid w:val="00C41E26"/>
    <w:rsid w:val="00C425E8"/>
    <w:rsid w:val="00C425F8"/>
    <w:rsid w:val="00C426B4"/>
    <w:rsid w:val="00C42806"/>
    <w:rsid w:val="00C42ABE"/>
    <w:rsid w:val="00C42C2F"/>
    <w:rsid w:val="00C42D1C"/>
    <w:rsid w:val="00C43140"/>
    <w:rsid w:val="00C431D3"/>
    <w:rsid w:val="00C43464"/>
    <w:rsid w:val="00C43545"/>
    <w:rsid w:val="00C43630"/>
    <w:rsid w:val="00C436BC"/>
    <w:rsid w:val="00C437D3"/>
    <w:rsid w:val="00C437EC"/>
    <w:rsid w:val="00C4383C"/>
    <w:rsid w:val="00C43997"/>
    <w:rsid w:val="00C43B67"/>
    <w:rsid w:val="00C43E50"/>
    <w:rsid w:val="00C43F42"/>
    <w:rsid w:val="00C44569"/>
    <w:rsid w:val="00C4477F"/>
    <w:rsid w:val="00C4529D"/>
    <w:rsid w:val="00C4536B"/>
    <w:rsid w:val="00C4557B"/>
    <w:rsid w:val="00C45584"/>
    <w:rsid w:val="00C455AE"/>
    <w:rsid w:val="00C45807"/>
    <w:rsid w:val="00C458E6"/>
    <w:rsid w:val="00C45949"/>
    <w:rsid w:val="00C45950"/>
    <w:rsid w:val="00C45AE3"/>
    <w:rsid w:val="00C45B1F"/>
    <w:rsid w:val="00C463B9"/>
    <w:rsid w:val="00C46649"/>
    <w:rsid w:val="00C466AD"/>
    <w:rsid w:val="00C46769"/>
    <w:rsid w:val="00C46928"/>
    <w:rsid w:val="00C46A40"/>
    <w:rsid w:val="00C46B5C"/>
    <w:rsid w:val="00C46DF9"/>
    <w:rsid w:val="00C46E3B"/>
    <w:rsid w:val="00C46F0B"/>
    <w:rsid w:val="00C470F1"/>
    <w:rsid w:val="00C471F1"/>
    <w:rsid w:val="00C473CA"/>
    <w:rsid w:val="00C47445"/>
    <w:rsid w:val="00C476A7"/>
    <w:rsid w:val="00C477C7"/>
    <w:rsid w:val="00C47A27"/>
    <w:rsid w:val="00C47D6B"/>
    <w:rsid w:val="00C47E4C"/>
    <w:rsid w:val="00C47FAF"/>
    <w:rsid w:val="00C50443"/>
    <w:rsid w:val="00C50772"/>
    <w:rsid w:val="00C508AF"/>
    <w:rsid w:val="00C509C7"/>
    <w:rsid w:val="00C50A15"/>
    <w:rsid w:val="00C50AF4"/>
    <w:rsid w:val="00C50B64"/>
    <w:rsid w:val="00C50D91"/>
    <w:rsid w:val="00C50F28"/>
    <w:rsid w:val="00C51037"/>
    <w:rsid w:val="00C51120"/>
    <w:rsid w:val="00C511B3"/>
    <w:rsid w:val="00C51263"/>
    <w:rsid w:val="00C51392"/>
    <w:rsid w:val="00C513C3"/>
    <w:rsid w:val="00C5140A"/>
    <w:rsid w:val="00C51465"/>
    <w:rsid w:val="00C5157D"/>
    <w:rsid w:val="00C51974"/>
    <w:rsid w:val="00C519EA"/>
    <w:rsid w:val="00C519F4"/>
    <w:rsid w:val="00C51D73"/>
    <w:rsid w:val="00C51ECD"/>
    <w:rsid w:val="00C52005"/>
    <w:rsid w:val="00C521AC"/>
    <w:rsid w:val="00C52390"/>
    <w:rsid w:val="00C523F2"/>
    <w:rsid w:val="00C52C91"/>
    <w:rsid w:val="00C52E17"/>
    <w:rsid w:val="00C52EEE"/>
    <w:rsid w:val="00C532CB"/>
    <w:rsid w:val="00C533D2"/>
    <w:rsid w:val="00C5362F"/>
    <w:rsid w:val="00C53807"/>
    <w:rsid w:val="00C53C60"/>
    <w:rsid w:val="00C53EDF"/>
    <w:rsid w:val="00C53F13"/>
    <w:rsid w:val="00C54064"/>
    <w:rsid w:val="00C54225"/>
    <w:rsid w:val="00C54439"/>
    <w:rsid w:val="00C54647"/>
    <w:rsid w:val="00C54D48"/>
    <w:rsid w:val="00C54E5D"/>
    <w:rsid w:val="00C55299"/>
    <w:rsid w:val="00C552A3"/>
    <w:rsid w:val="00C55417"/>
    <w:rsid w:val="00C5557F"/>
    <w:rsid w:val="00C55707"/>
    <w:rsid w:val="00C557FC"/>
    <w:rsid w:val="00C55A05"/>
    <w:rsid w:val="00C55F03"/>
    <w:rsid w:val="00C55F5C"/>
    <w:rsid w:val="00C560DE"/>
    <w:rsid w:val="00C56341"/>
    <w:rsid w:val="00C5650E"/>
    <w:rsid w:val="00C568EE"/>
    <w:rsid w:val="00C5694B"/>
    <w:rsid w:val="00C56A1E"/>
    <w:rsid w:val="00C56BBD"/>
    <w:rsid w:val="00C56BD3"/>
    <w:rsid w:val="00C571B5"/>
    <w:rsid w:val="00C572A1"/>
    <w:rsid w:val="00C5731B"/>
    <w:rsid w:val="00C574A5"/>
    <w:rsid w:val="00C574D9"/>
    <w:rsid w:val="00C574F4"/>
    <w:rsid w:val="00C57513"/>
    <w:rsid w:val="00C5760E"/>
    <w:rsid w:val="00C576CE"/>
    <w:rsid w:val="00C5799D"/>
    <w:rsid w:val="00C57AA7"/>
    <w:rsid w:val="00C57DD0"/>
    <w:rsid w:val="00C57E9F"/>
    <w:rsid w:val="00C605B5"/>
    <w:rsid w:val="00C60910"/>
    <w:rsid w:val="00C60F86"/>
    <w:rsid w:val="00C613A2"/>
    <w:rsid w:val="00C615DE"/>
    <w:rsid w:val="00C6199C"/>
    <w:rsid w:val="00C61B77"/>
    <w:rsid w:val="00C61BE9"/>
    <w:rsid w:val="00C61C89"/>
    <w:rsid w:val="00C61EBA"/>
    <w:rsid w:val="00C621E0"/>
    <w:rsid w:val="00C62434"/>
    <w:rsid w:val="00C62499"/>
    <w:rsid w:val="00C6257D"/>
    <w:rsid w:val="00C626D7"/>
    <w:rsid w:val="00C629FE"/>
    <w:rsid w:val="00C62BF2"/>
    <w:rsid w:val="00C631D5"/>
    <w:rsid w:val="00C631EE"/>
    <w:rsid w:val="00C6327E"/>
    <w:rsid w:val="00C6352D"/>
    <w:rsid w:val="00C637FC"/>
    <w:rsid w:val="00C63921"/>
    <w:rsid w:val="00C6392F"/>
    <w:rsid w:val="00C6395C"/>
    <w:rsid w:val="00C63AE5"/>
    <w:rsid w:val="00C63E12"/>
    <w:rsid w:val="00C63E34"/>
    <w:rsid w:val="00C63F3A"/>
    <w:rsid w:val="00C63FEF"/>
    <w:rsid w:val="00C64025"/>
    <w:rsid w:val="00C6468D"/>
    <w:rsid w:val="00C64D1A"/>
    <w:rsid w:val="00C64F53"/>
    <w:rsid w:val="00C65097"/>
    <w:rsid w:val="00C652E4"/>
    <w:rsid w:val="00C652F5"/>
    <w:rsid w:val="00C65527"/>
    <w:rsid w:val="00C656B0"/>
    <w:rsid w:val="00C656BF"/>
    <w:rsid w:val="00C65787"/>
    <w:rsid w:val="00C657A1"/>
    <w:rsid w:val="00C6599E"/>
    <w:rsid w:val="00C65CBC"/>
    <w:rsid w:val="00C65FB6"/>
    <w:rsid w:val="00C66137"/>
    <w:rsid w:val="00C6639C"/>
    <w:rsid w:val="00C6647B"/>
    <w:rsid w:val="00C664D3"/>
    <w:rsid w:val="00C6685A"/>
    <w:rsid w:val="00C6688A"/>
    <w:rsid w:val="00C66959"/>
    <w:rsid w:val="00C66DCE"/>
    <w:rsid w:val="00C66E89"/>
    <w:rsid w:val="00C66F70"/>
    <w:rsid w:val="00C67061"/>
    <w:rsid w:val="00C674FE"/>
    <w:rsid w:val="00C6750B"/>
    <w:rsid w:val="00C67775"/>
    <w:rsid w:val="00C6792D"/>
    <w:rsid w:val="00C67B75"/>
    <w:rsid w:val="00C67FD7"/>
    <w:rsid w:val="00C702D8"/>
    <w:rsid w:val="00C7036D"/>
    <w:rsid w:val="00C70574"/>
    <w:rsid w:val="00C70586"/>
    <w:rsid w:val="00C707B7"/>
    <w:rsid w:val="00C708A7"/>
    <w:rsid w:val="00C7096F"/>
    <w:rsid w:val="00C70A5A"/>
    <w:rsid w:val="00C70A8F"/>
    <w:rsid w:val="00C70E1A"/>
    <w:rsid w:val="00C70FE7"/>
    <w:rsid w:val="00C710F5"/>
    <w:rsid w:val="00C7172A"/>
    <w:rsid w:val="00C71807"/>
    <w:rsid w:val="00C718FC"/>
    <w:rsid w:val="00C719F9"/>
    <w:rsid w:val="00C71A91"/>
    <w:rsid w:val="00C71EAB"/>
    <w:rsid w:val="00C71F69"/>
    <w:rsid w:val="00C7245A"/>
    <w:rsid w:val="00C724BD"/>
    <w:rsid w:val="00C724E9"/>
    <w:rsid w:val="00C72535"/>
    <w:rsid w:val="00C726B6"/>
    <w:rsid w:val="00C72724"/>
    <w:rsid w:val="00C727D0"/>
    <w:rsid w:val="00C72E9E"/>
    <w:rsid w:val="00C72FA1"/>
    <w:rsid w:val="00C730D9"/>
    <w:rsid w:val="00C73358"/>
    <w:rsid w:val="00C734AC"/>
    <w:rsid w:val="00C7353B"/>
    <w:rsid w:val="00C73CBB"/>
    <w:rsid w:val="00C73D8D"/>
    <w:rsid w:val="00C73D92"/>
    <w:rsid w:val="00C73F15"/>
    <w:rsid w:val="00C73FB2"/>
    <w:rsid w:val="00C7413D"/>
    <w:rsid w:val="00C743A4"/>
    <w:rsid w:val="00C74473"/>
    <w:rsid w:val="00C7463F"/>
    <w:rsid w:val="00C746F0"/>
    <w:rsid w:val="00C7491A"/>
    <w:rsid w:val="00C74B00"/>
    <w:rsid w:val="00C74D67"/>
    <w:rsid w:val="00C74EAC"/>
    <w:rsid w:val="00C74EE2"/>
    <w:rsid w:val="00C74FC8"/>
    <w:rsid w:val="00C75090"/>
    <w:rsid w:val="00C751EB"/>
    <w:rsid w:val="00C75200"/>
    <w:rsid w:val="00C752BF"/>
    <w:rsid w:val="00C752C2"/>
    <w:rsid w:val="00C752F5"/>
    <w:rsid w:val="00C753C8"/>
    <w:rsid w:val="00C75494"/>
    <w:rsid w:val="00C75680"/>
    <w:rsid w:val="00C75700"/>
    <w:rsid w:val="00C759D6"/>
    <w:rsid w:val="00C75D26"/>
    <w:rsid w:val="00C760D7"/>
    <w:rsid w:val="00C760FB"/>
    <w:rsid w:val="00C7656D"/>
    <w:rsid w:val="00C76E85"/>
    <w:rsid w:val="00C77311"/>
    <w:rsid w:val="00C77373"/>
    <w:rsid w:val="00C77650"/>
    <w:rsid w:val="00C776E7"/>
    <w:rsid w:val="00C77878"/>
    <w:rsid w:val="00C7791B"/>
    <w:rsid w:val="00C7792D"/>
    <w:rsid w:val="00C77B80"/>
    <w:rsid w:val="00C77DE7"/>
    <w:rsid w:val="00C80022"/>
    <w:rsid w:val="00C80056"/>
    <w:rsid w:val="00C80347"/>
    <w:rsid w:val="00C80560"/>
    <w:rsid w:val="00C806DB"/>
    <w:rsid w:val="00C80A3F"/>
    <w:rsid w:val="00C80A97"/>
    <w:rsid w:val="00C80BFB"/>
    <w:rsid w:val="00C812FD"/>
    <w:rsid w:val="00C813AD"/>
    <w:rsid w:val="00C8140B"/>
    <w:rsid w:val="00C816AB"/>
    <w:rsid w:val="00C816D6"/>
    <w:rsid w:val="00C81957"/>
    <w:rsid w:val="00C81A07"/>
    <w:rsid w:val="00C81A67"/>
    <w:rsid w:val="00C81A86"/>
    <w:rsid w:val="00C81AA7"/>
    <w:rsid w:val="00C81B20"/>
    <w:rsid w:val="00C81B2E"/>
    <w:rsid w:val="00C81B75"/>
    <w:rsid w:val="00C81C2D"/>
    <w:rsid w:val="00C81C34"/>
    <w:rsid w:val="00C81C62"/>
    <w:rsid w:val="00C81D49"/>
    <w:rsid w:val="00C82015"/>
    <w:rsid w:val="00C8280A"/>
    <w:rsid w:val="00C82850"/>
    <w:rsid w:val="00C82992"/>
    <w:rsid w:val="00C82A49"/>
    <w:rsid w:val="00C82B00"/>
    <w:rsid w:val="00C82DA4"/>
    <w:rsid w:val="00C830E8"/>
    <w:rsid w:val="00C8350F"/>
    <w:rsid w:val="00C83583"/>
    <w:rsid w:val="00C83812"/>
    <w:rsid w:val="00C838CD"/>
    <w:rsid w:val="00C83BBB"/>
    <w:rsid w:val="00C83BD0"/>
    <w:rsid w:val="00C841C9"/>
    <w:rsid w:val="00C841D5"/>
    <w:rsid w:val="00C844D6"/>
    <w:rsid w:val="00C84872"/>
    <w:rsid w:val="00C84AEF"/>
    <w:rsid w:val="00C84E95"/>
    <w:rsid w:val="00C84F82"/>
    <w:rsid w:val="00C84FED"/>
    <w:rsid w:val="00C8533D"/>
    <w:rsid w:val="00C85411"/>
    <w:rsid w:val="00C8592D"/>
    <w:rsid w:val="00C85A2D"/>
    <w:rsid w:val="00C8624E"/>
    <w:rsid w:val="00C86778"/>
    <w:rsid w:val="00C86807"/>
    <w:rsid w:val="00C86826"/>
    <w:rsid w:val="00C8695D"/>
    <w:rsid w:val="00C869D1"/>
    <w:rsid w:val="00C869D6"/>
    <w:rsid w:val="00C86DA8"/>
    <w:rsid w:val="00C86E6A"/>
    <w:rsid w:val="00C8738B"/>
    <w:rsid w:val="00C87471"/>
    <w:rsid w:val="00C8795F"/>
    <w:rsid w:val="00C8796E"/>
    <w:rsid w:val="00C87B14"/>
    <w:rsid w:val="00C90268"/>
    <w:rsid w:val="00C902A5"/>
    <w:rsid w:val="00C902C0"/>
    <w:rsid w:val="00C902EB"/>
    <w:rsid w:val="00C9031C"/>
    <w:rsid w:val="00C90432"/>
    <w:rsid w:val="00C90581"/>
    <w:rsid w:val="00C9081E"/>
    <w:rsid w:val="00C90C37"/>
    <w:rsid w:val="00C90D4C"/>
    <w:rsid w:val="00C910AF"/>
    <w:rsid w:val="00C91429"/>
    <w:rsid w:val="00C91485"/>
    <w:rsid w:val="00C91747"/>
    <w:rsid w:val="00C917C1"/>
    <w:rsid w:val="00C91874"/>
    <w:rsid w:val="00C9189D"/>
    <w:rsid w:val="00C91977"/>
    <w:rsid w:val="00C91A9B"/>
    <w:rsid w:val="00C91F0F"/>
    <w:rsid w:val="00C91F7E"/>
    <w:rsid w:val="00C91FCA"/>
    <w:rsid w:val="00C92050"/>
    <w:rsid w:val="00C9210E"/>
    <w:rsid w:val="00C921DA"/>
    <w:rsid w:val="00C92296"/>
    <w:rsid w:val="00C922D7"/>
    <w:rsid w:val="00C9279E"/>
    <w:rsid w:val="00C9295E"/>
    <w:rsid w:val="00C92AC7"/>
    <w:rsid w:val="00C92E02"/>
    <w:rsid w:val="00C92E49"/>
    <w:rsid w:val="00C92F74"/>
    <w:rsid w:val="00C92FE5"/>
    <w:rsid w:val="00C9346E"/>
    <w:rsid w:val="00C9355A"/>
    <w:rsid w:val="00C9393F"/>
    <w:rsid w:val="00C939B2"/>
    <w:rsid w:val="00C939C2"/>
    <w:rsid w:val="00C93BE1"/>
    <w:rsid w:val="00C93CF3"/>
    <w:rsid w:val="00C9400E"/>
    <w:rsid w:val="00C94025"/>
    <w:rsid w:val="00C9436D"/>
    <w:rsid w:val="00C94432"/>
    <w:rsid w:val="00C94555"/>
    <w:rsid w:val="00C94804"/>
    <w:rsid w:val="00C949B6"/>
    <w:rsid w:val="00C94B54"/>
    <w:rsid w:val="00C94CC7"/>
    <w:rsid w:val="00C94EFB"/>
    <w:rsid w:val="00C95122"/>
    <w:rsid w:val="00C95478"/>
    <w:rsid w:val="00C954B5"/>
    <w:rsid w:val="00C95821"/>
    <w:rsid w:val="00C95D52"/>
    <w:rsid w:val="00C95D74"/>
    <w:rsid w:val="00C95F27"/>
    <w:rsid w:val="00C96038"/>
    <w:rsid w:val="00C96073"/>
    <w:rsid w:val="00C960EE"/>
    <w:rsid w:val="00C962A6"/>
    <w:rsid w:val="00C96300"/>
    <w:rsid w:val="00C96431"/>
    <w:rsid w:val="00C96996"/>
    <w:rsid w:val="00C96CE2"/>
    <w:rsid w:val="00C96E1C"/>
    <w:rsid w:val="00C96ED2"/>
    <w:rsid w:val="00C96F2F"/>
    <w:rsid w:val="00C97001"/>
    <w:rsid w:val="00C971AE"/>
    <w:rsid w:val="00C97204"/>
    <w:rsid w:val="00C974F7"/>
    <w:rsid w:val="00C975D4"/>
    <w:rsid w:val="00C976F2"/>
    <w:rsid w:val="00C97807"/>
    <w:rsid w:val="00C97A16"/>
    <w:rsid w:val="00C97A99"/>
    <w:rsid w:val="00C97CC5"/>
    <w:rsid w:val="00C97D56"/>
    <w:rsid w:val="00C97E3C"/>
    <w:rsid w:val="00C97F26"/>
    <w:rsid w:val="00CA0073"/>
    <w:rsid w:val="00CA0077"/>
    <w:rsid w:val="00CA00D8"/>
    <w:rsid w:val="00CA0477"/>
    <w:rsid w:val="00CA05C7"/>
    <w:rsid w:val="00CA06E8"/>
    <w:rsid w:val="00CA092B"/>
    <w:rsid w:val="00CA0A56"/>
    <w:rsid w:val="00CA0BC8"/>
    <w:rsid w:val="00CA0C18"/>
    <w:rsid w:val="00CA0CEF"/>
    <w:rsid w:val="00CA0FB3"/>
    <w:rsid w:val="00CA0FEB"/>
    <w:rsid w:val="00CA12E1"/>
    <w:rsid w:val="00CA1389"/>
    <w:rsid w:val="00CA1513"/>
    <w:rsid w:val="00CA155B"/>
    <w:rsid w:val="00CA1E47"/>
    <w:rsid w:val="00CA2088"/>
    <w:rsid w:val="00CA21AF"/>
    <w:rsid w:val="00CA236F"/>
    <w:rsid w:val="00CA2523"/>
    <w:rsid w:val="00CA27A8"/>
    <w:rsid w:val="00CA2A10"/>
    <w:rsid w:val="00CA2A4B"/>
    <w:rsid w:val="00CA2CAA"/>
    <w:rsid w:val="00CA2E66"/>
    <w:rsid w:val="00CA33EF"/>
    <w:rsid w:val="00CA3457"/>
    <w:rsid w:val="00CA3518"/>
    <w:rsid w:val="00CA376C"/>
    <w:rsid w:val="00CA3896"/>
    <w:rsid w:val="00CA3D84"/>
    <w:rsid w:val="00CA3F17"/>
    <w:rsid w:val="00CA40D5"/>
    <w:rsid w:val="00CA4298"/>
    <w:rsid w:val="00CA42D1"/>
    <w:rsid w:val="00CA43CE"/>
    <w:rsid w:val="00CA4461"/>
    <w:rsid w:val="00CA4500"/>
    <w:rsid w:val="00CA451C"/>
    <w:rsid w:val="00CA48FF"/>
    <w:rsid w:val="00CA4956"/>
    <w:rsid w:val="00CA4A02"/>
    <w:rsid w:val="00CA4A69"/>
    <w:rsid w:val="00CA4AC1"/>
    <w:rsid w:val="00CA4CDF"/>
    <w:rsid w:val="00CA4DC3"/>
    <w:rsid w:val="00CA4E1E"/>
    <w:rsid w:val="00CA4E89"/>
    <w:rsid w:val="00CA4EA3"/>
    <w:rsid w:val="00CA4EBA"/>
    <w:rsid w:val="00CA55A1"/>
    <w:rsid w:val="00CA55B2"/>
    <w:rsid w:val="00CA55E2"/>
    <w:rsid w:val="00CA5652"/>
    <w:rsid w:val="00CA56BF"/>
    <w:rsid w:val="00CA5B6F"/>
    <w:rsid w:val="00CA5CBB"/>
    <w:rsid w:val="00CA5E84"/>
    <w:rsid w:val="00CA5E88"/>
    <w:rsid w:val="00CA622B"/>
    <w:rsid w:val="00CA64A0"/>
    <w:rsid w:val="00CA64A9"/>
    <w:rsid w:val="00CA657F"/>
    <w:rsid w:val="00CA659D"/>
    <w:rsid w:val="00CA6A12"/>
    <w:rsid w:val="00CA6B75"/>
    <w:rsid w:val="00CA6CBD"/>
    <w:rsid w:val="00CA6DF4"/>
    <w:rsid w:val="00CA6E1A"/>
    <w:rsid w:val="00CA6ED6"/>
    <w:rsid w:val="00CA6FCA"/>
    <w:rsid w:val="00CA7055"/>
    <w:rsid w:val="00CA7354"/>
    <w:rsid w:val="00CA7379"/>
    <w:rsid w:val="00CA747E"/>
    <w:rsid w:val="00CA7631"/>
    <w:rsid w:val="00CA7D5C"/>
    <w:rsid w:val="00CA7D83"/>
    <w:rsid w:val="00CB00C8"/>
    <w:rsid w:val="00CB0104"/>
    <w:rsid w:val="00CB0301"/>
    <w:rsid w:val="00CB037E"/>
    <w:rsid w:val="00CB03A2"/>
    <w:rsid w:val="00CB04E5"/>
    <w:rsid w:val="00CB0614"/>
    <w:rsid w:val="00CB0704"/>
    <w:rsid w:val="00CB07A2"/>
    <w:rsid w:val="00CB0A70"/>
    <w:rsid w:val="00CB0BA4"/>
    <w:rsid w:val="00CB0EF5"/>
    <w:rsid w:val="00CB0F0B"/>
    <w:rsid w:val="00CB0F55"/>
    <w:rsid w:val="00CB1117"/>
    <w:rsid w:val="00CB1213"/>
    <w:rsid w:val="00CB13AE"/>
    <w:rsid w:val="00CB13D2"/>
    <w:rsid w:val="00CB161E"/>
    <w:rsid w:val="00CB17E8"/>
    <w:rsid w:val="00CB18D3"/>
    <w:rsid w:val="00CB18FB"/>
    <w:rsid w:val="00CB19A5"/>
    <w:rsid w:val="00CB1A8C"/>
    <w:rsid w:val="00CB1F58"/>
    <w:rsid w:val="00CB1F68"/>
    <w:rsid w:val="00CB2321"/>
    <w:rsid w:val="00CB23F3"/>
    <w:rsid w:val="00CB2455"/>
    <w:rsid w:val="00CB24C0"/>
    <w:rsid w:val="00CB24EF"/>
    <w:rsid w:val="00CB2645"/>
    <w:rsid w:val="00CB266D"/>
    <w:rsid w:val="00CB28C6"/>
    <w:rsid w:val="00CB29F4"/>
    <w:rsid w:val="00CB2A83"/>
    <w:rsid w:val="00CB2DC8"/>
    <w:rsid w:val="00CB2E02"/>
    <w:rsid w:val="00CB2FAE"/>
    <w:rsid w:val="00CB318C"/>
    <w:rsid w:val="00CB33EF"/>
    <w:rsid w:val="00CB37AD"/>
    <w:rsid w:val="00CB3936"/>
    <w:rsid w:val="00CB3E04"/>
    <w:rsid w:val="00CB405D"/>
    <w:rsid w:val="00CB41E6"/>
    <w:rsid w:val="00CB44F1"/>
    <w:rsid w:val="00CB4718"/>
    <w:rsid w:val="00CB4AB3"/>
    <w:rsid w:val="00CB4BEC"/>
    <w:rsid w:val="00CB4D5F"/>
    <w:rsid w:val="00CB4D78"/>
    <w:rsid w:val="00CB5211"/>
    <w:rsid w:val="00CB52B4"/>
    <w:rsid w:val="00CB53D3"/>
    <w:rsid w:val="00CB566A"/>
    <w:rsid w:val="00CB5725"/>
    <w:rsid w:val="00CB59BD"/>
    <w:rsid w:val="00CB5A54"/>
    <w:rsid w:val="00CB60F4"/>
    <w:rsid w:val="00CB6373"/>
    <w:rsid w:val="00CB6486"/>
    <w:rsid w:val="00CB6568"/>
    <w:rsid w:val="00CB659B"/>
    <w:rsid w:val="00CB6893"/>
    <w:rsid w:val="00CB6906"/>
    <w:rsid w:val="00CB6DD4"/>
    <w:rsid w:val="00CB6F00"/>
    <w:rsid w:val="00CB6F58"/>
    <w:rsid w:val="00CB72D3"/>
    <w:rsid w:val="00CB7512"/>
    <w:rsid w:val="00CB7519"/>
    <w:rsid w:val="00CB754E"/>
    <w:rsid w:val="00CB75AA"/>
    <w:rsid w:val="00CB75B3"/>
    <w:rsid w:val="00CB7673"/>
    <w:rsid w:val="00CB7828"/>
    <w:rsid w:val="00CB7842"/>
    <w:rsid w:val="00CB7BE8"/>
    <w:rsid w:val="00CB7C3A"/>
    <w:rsid w:val="00CBBEB6"/>
    <w:rsid w:val="00CC01DF"/>
    <w:rsid w:val="00CC02CC"/>
    <w:rsid w:val="00CC0365"/>
    <w:rsid w:val="00CC0691"/>
    <w:rsid w:val="00CC0797"/>
    <w:rsid w:val="00CC0BC7"/>
    <w:rsid w:val="00CC14C4"/>
    <w:rsid w:val="00CC1C05"/>
    <w:rsid w:val="00CC1D24"/>
    <w:rsid w:val="00CC1DF9"/>
    <w:rsid w:val="00CC1F83"/>
    <w:rsid w:val="00CC2267"/>
    <w:rsid w:val="00CC23CA"/>
    <w:rsid w:val="00CC26E8"/>
    <w:rsid w:val="00CC2721"/>
    <w:rsid w:val="00CC2948"/>
    <w:rsid w:val="00CC2B12"/>
    <w:rsid w:val="00CC2D0F"/>
    <w:rsid w:val="00CC2F90"/>
    <w:rsid w:val="00CC3111"/>
    <w:rsid w:val="00CC3412"/>
    <w:rsid w:val="00CC354D"/>
    <w:rsid w:val="00CC3B32"/>
    <w:rsid w:val="00CC3BBE"/>
    <w:rsid w:val="00CC3BCB"/>
    <w:rsid w:val="00CC433F"/>
    <w:rsid w:val="00CC4640"/>
    <w:rsid w:val="00CC47DF"/>
    <w:rsid w:val="00CC4810"/>
    <w:rsid w:val="00CC4859"/>
    <w:rsid w:val="00CC48D9"/>
    <w:rsid w:val="00CC4E67"/>
    <w:rsid w:val="00CC501D"/>
    <w:rsid w:val="00CC5197"/>
    <w:rsid w:val="00CC52D0"/>
    <w:rsid w:val="00CC541B"/>
    <w:rsid w:val="00CC54CD"/>
    <w:rsid w:val="00CC54ED"/>
    <w:rsid w:val="00CC55BA"/>
    <w:rsid w:val="00CC5685"/>
    <w:rsid w:val="00CC5808"/>
    <w:rsid w:val="00CC5BC5"/>
    <w:rsid w:val="00CC5C18"/>
    <w:rsid w:val="00CC5C4C"/>
    <w:rsid w:val="00CC5C76"/>
    <w:rsid w:val="00CC5CA4"/>
    <w:rsid w:val="00CC5E33"/>
    <w:rsid w:val="00CC5E37"/>
    <w:rsid w:val="00CC5ECD"/>
    <w:rsid w:val="00CC5EE9"/>
    <w:rsid w:val="00CC6110"/>
    <w:rsid w:val="00CC614A"/>
    <w:rsid w:val="00CC638B"/>
    <w:rsid w:val="00CC63E9"/>
    <w:rsid w:val="00CC6404"/>
    <w:rsid w:val="00CC643C"/>
    <w:rsid w:val="00CC653D"/>
    <w:rsid w:val="00CC6554"/>
    <w:rsid w:val="00CC6A63"/>
    <w:rsid w:val="00CC6AC1"/>
    <w:rsid w:val="00CC6C70"/>
    <w:rsid w:val="00CC6C71"/>
    <w:rsid w:val="00CC6C92"/>
    <w:rsid w:val="00CC7163"/>
    <w:rsid w:val="00CC71B3"/>
    <w:rsid w:val="00CC7318"/>
    <w:rsid w:val="00CC7335"/>
    <w:rsid w:val="00CC7366"/>
    <w:rsid w:val="00CC7D37"/>
    <w:rsid w:val="00CC7E8A"/>
    <w:rsid w:val="00CC7EB1"/>
    <w:rsid w:val="00CD00B3"/>
    <w:rsid w:val="00CD0766"/>
    <w:rsid w:val="00CD077D"/>
    <w:rsid w:val="00CD08E4"/>
    <w:rsid w:val="00CD0AB3"/>
    <w:rsid w:val="00CD0BC0"/>
    <w:rsid w:val="00CD0FC5"/>
    <w:rsid w:val="00CD114E"/>
    <w:rsid w:val="00CD17E6"/>
    <w:rsid w:val="00CD18B7"/>
    <w:rsid w:val="00CD1A00"/>
    <w:rsid w:val="00CD1A7D"/>
    <w:rsid w:val="00CD23EC"/>
    <w:rsid w:val="00CD256C"/>
    <w:rsid w:val="00CD2807"/>
    <w:rsid w:val="00CD291A"/>
    <w:rsid w:val="00CD2A8F"/>
    <w:rsid w:val="00CD2CE2"/>
    <w:rsid w:val="00CD33BC"/>
    <w:rsid w:val="00CD3618"/>
    <w:rsid w:val="00CD3784"/>
    <w:rsid w:val="00CD37C3"/>
    <w:rsid w:val="00CD395B"/>
    <w:rsid w:val="00CD3B6F"/>
    <w:rsid w:val="00CD3B74"/>
    <w:rsid w:val="00CD3C32"/>
    <w:rsid w:val="00CD3CAA"/>
    <w:rsid w:val="00CD3D77"/>
    <w:rsid w:val="00CD3F3E"/>
    <w:rsid w:val="00CD404D"/>
    <w:rsid w:val="00CD448B"/>
    <w:rsid w:val="00CD4667"/>
    <w:rsid w:val="00CD485B"/>
    <w:rsid w:val="00CD48B9"/>
    <w:rsid w:val="00CD4A84"/>
    <w:rsid w:val="00CD4C66"/>
    <w:rsid w:val="00CD4C9F"/>
    <w:rsid w:val="00CD4CFA"/>
    <w:rsid w:val="00CD4EFC"/>
    <w:rsid w:val="00CD51CA"/>
    <w:rsid w:val="00CD552A"/>
    <w:rsid w:val="00CD55DE"/>
    <w:rsid w:val="00CD562A"/>
    <w:rsid w:val="00CD56A2"/>
    <w:rsid w:val="00CD58D2"/>
    <w:rsid w:val="00CD5B12"/>
    <w:rsid w:val="00CD5BFA"/>
    <w:rsid w:val="00CD5E45"/>
    <w:rsid w:val="00CD5FB2"/>
    <w:rsid w:val="00CD6078"/>
    <w:rsid w:val="00CD6183"/>
    <w:rsid w:val="00CD6261"/>
    <w:rsid w:val="00CD6542"/>
    <w:rsid w:val="00CD674F"/>
    <w:rsid w:val="00CD6861"/>
    <w:rsid w:val="00CD69BB"/>
    <w:rsid w:val="00CD6AA9"/>
    <w:rsid w:val="00CD6B15"/>
    <w:rsid w:val="00CD6BD7"/>
    <w:rsid w:val="00CD6EC2"/>
    <w:rsid w:val="00CD70DA"/>
    <w:rsid w:val="00CD719C"/>
    <w:rsid w:val="00CD728E"/>
    <w:rsid w:val="00CD7489"/>
    <w:rsid w:val="00CD74F4"/>
    <w:rsid w:val="00CD75D0"/>
    <w:rsid w:val="00CD7A75"/>
    <w:rsid w:val="00CD7CEA"/>
    <w:rsid w:val="00CE004F"/>
    <w:rsid w:val="00CE0606"/>
    <w:rsid w:val="00CE0809"/>
    <w:rsid w:val="00CE0C36"/>
    <w:rsid w:val="00CE0C6D"/>
    <w:rsid w:val="00CE12DE"/>
    <w:rsid w:val="00CE184A"/>
    <w:rsid w:val="00CE1A8A"/>
    <w:rsid w:val="00CE1D05"/>
    <w:rsid w:val="00CE1D9D"/>
    <w:rsid w:val="00CE1DFA"/>
    <w:rsid w:val="00CE1F19"/>
    <w:rsid w:val="00CE208F"/>
    <w:rsid w:val="00CE2157"/>
    <w:rsid w:val="00CE219D"/>
    <w:rsid w:val="00CE2213"/>
    <w:rsid w:val="00CE2450"/>
    <w:rsid w:val="00CE24BD"/>
    <w:rsid w:val="00CE288C"/>
    <w:rsid w:val="00CE2AE5"/>
    <w:rsid w:val="00CE2B6C"/>
    <w:rsid w:val="00CE2D13"/>
    <w:rsid w:val="00CE32D6"/>
    <w:rsid w:val="00CE33D8"/>
    <w:rsid w:val="00CE3597"/>
    <w:rsid w:val="00CE3648"/>
    <w:rsid w:val="00CE3DAA"/>
    <w:rsid w:val="00CE400E"/>
    <w:rsid w:val="00CE4052"/>
    <w:rsid w:val="00CE4099"/>
    <w:rsid w:val="00CE437F"/>
    <w:rsid w:val="00CE4550"/>
    <w:rsid w:val="00CE4562"/>
    <w:rsid w:val="00CE4590"/>
    <w:rsid w:val="00CE472E"/>
    <w:rsid w:val="00CE47C2"/>
    <w:rsid w:val="00CE4A71"/>
    <w:rsid w:val="00CE4B21"/>
    <w:rsid w:val="00CE4D61"/>
    <w:rsid w:val="00CE4E26"/>
    <w:rsid w:val="00CE4FCC"/>
    <w:rsid w:val="00CE50FC"/>
    <w:rsid w:val="00CE55D2"/>
    <w:rsid w:val="00CE598D"/>
    <w:rsid w:val="00CE5AE5"/>
    <w:rsid w:val="00CE5B4B"/>
    <w:rsid w:val="00CE5BDB"/>
    <w:rsid w:val="00CE5C73"/>
    <w:rsid w:val="00CE5CA3"/>
    <w:rsid w:val="00CE6190"/>
    <w:rsid w:val="00CE6324"/>
    <w:rsid w:val="00CE63A5"/>
    <w:rsid w:val="00CE6405"/>
    <w:rsid w:val="00CE6412"/>
    <w:rsid w:val="00CE664E"/>
    <w:rsid w:val="00CE675E"/>
    <w:rsid w:val="00CE6760"/>
    <w:rsid w:val="00CE6813"/>
    <w:rsid w:val="00CE6843"/>
    <w:rsid w:val="00CE694D"/>
    <w:rsid w:val="00CE7133"/>
    <w:rsid w:val="00CE71B1"/>
    <w:rsid w:val="00CE7305"/>
    <w:rsid w:val="00CE7A90"/>
    <w:rsid w:val="00CE7B14"/>
    <w:rsid w:val="00CE7BF1"/>
    <w:rsid w:val="00CE7C1C"/>
    <w:rsid w:val="00CE7F63"/>
    <w:rsid w:val="00CF0242"/>
    <w:rsid w:val="00CF088A"/>
    <w:rsid w:val="00CF0C48"/>
    <w:rsid w:val="00CF0C4B"/>
    <w:rsid w:val="00CF1048"/>
    <w:rsid w:val="00CF17D2"/>
    <w:rsid w:val="00CF1889"/>
    <w:rsid w:val="00CF18C7"/>
    <w:rsid w:val="00CF19AB"/>
    <w:rsid w:val="00CF1FC0"/>
    <w:rsid w:val="00CF1FDF"/>
    <w:rsid w:val="00CF1FED"/>
    <w:rsid w:val="00CF21AE"/>
    <w:rsid w:val="00CF2576"/>
    <w:rsid w:val="00CF25A7"/>
    <w:rsid w:val="00CF2821"/>
    <w:rsid w:val="00CF29F5"/>
    <w:rsid w:val="00CF2BCE"/>
    <w:rsid w:val="00CF3456"/>
    <w:rsid w:val="00CF34A9"/>
    <w:rsid w:val="00CF3543"/>
    <w:rsid w:val="00CF3C52"/>
    <w:rsid w:val="00CF3CAC"/>
    <w:rsid w:val="00CF3ED2"/>
    <w:rsid w:val="00CF41F5"/>
    <w:rsid w:val="00CF424D"/>
    <w:rsid w:val="00CF43CA"/>
    <w:rsid w:val="00CF482A"/>
    <w:rsid w:val="00CF48FA"/>
    <w:rsid w:val="00CF49FF"/>
    <w:rsid w:val="00CF4AC2"/>
    <w:rsid w:val="00CF4AE2"/>
    <w:rsid w:val="00CF4E1C"/>
    <w:rsid w:val="00CF4EFF"/>
    <w:rsid w:val="00CF505F"/>
    <w:rsid w:val="00CF540B"/>
    <w:rsid w:val="00CF5422"/>
    <w:rsid w:val="00CF5491"/>
    <w:rsid w:val="00CF55D2"/>
    <w:rsid w:val="00CF57A0"/>
    <w:rsid w:val="00CF57F5"/>
    <w:rsid w:val="00CF5AB5"/>
    <w:rsid w:val="00CF5BEA"/>
    <w:rsid w:val="00CF5CB1"/>
    <w:rsid w:val="00CF5D27"/>
    <w:rsid w:val="00CF5F54"/>
    <w:rsid w:val="00CF6012"/>
    <w:rsid w:val="00CF6303"/>
    <w:rsid w:val="00CF6353"/>
    <w:rsid w:val="00CF6415"/>
    <w:rsid w:val="00CF64ED"/>
    <w:rsid w:val="00CF698F"/>
    <w:rsid w:val="00CF6BFE"/>
    <w:rsid w:val="00CF6F7F"/>
    <w:rsid w:val="00CF7603"/>
    <w:rsid w:val="00CF7713"/>
    <w:rsid w:val="00CF772B"/>
    <w:rsid w:val="00CF7AD4"/>
    <w:rsid w:val="00CF7BE6"/>
    <w:rsid w:val="00CF7C85"/>
    <w:rsid w:val="00CF7D6B"/>
    <w:rsid w:val="00CF7EFC"/>
    <w:rsid w:val="00D0001D"/>
    <w:rsid w:val="00D000B3"/>
    <w:rsid w:val="00D00161"/>
    <w:rsid w:val="00D002FD"/>
    <w:rsid w:val="00D005AE"/>
    <w:rsid w:val="00D005B7"/>
    <w:rsid w:val="00D005B9"/>
    <w:rsid w:val="00D00743"/>
    <w:rsid w:val="00D0080E"/>
    <w:rsid w:val="00D008F7"/>
    <w:rsid w:val="00D00A64"/>
    <w:rsid w:val="00D00C6E"/>
    <w:rsid w:val="00D00E50"/>
    <w:rsid w:val="00D00FC4"/>
    <w:rsid w:val="00D0104A"/>
    <w:rsid w:val="00D010D7"/>
    <w:rsid w:val="00D01169"/>
    <w:rsid w:val="00D01209"/>
    <w:rsid w:val="00D019DD"/>
    <w:rsid w:val="00D01C9F"/>
    <w:rsid w:val="00D01EC4"/>
    <w:rsid w:val="00D0230C"/>
    <w:rsid w:val="00D02450"/>
    <w:rsid w:val="00D024BA"/>
    <w:rsid w:val="00D02855"/>
    <w:rsid w:val="00D02896"/>
    <w:rsid w:val="00D02C81"/>
    <w:rsid w:val="00D02EE1"/>
    <w:rsid w:val="00D02F34"/>
    <w:rsid w:val="00D03068"/>
    <w:rsid w:val="00D03129"/>
    <w:rsid w:val="00D032B8"/>
    <w:rsid w:val="00D032D3"/>
    <w:rsid w:val="00D032DA"/>
    <w:rsid w:val="00D034D1"/>
    <w:rsid w:val="00D03571"/>
    <w:rsid w:val="00D0385D"/>
    <w:rsid w:val="00D03A94"/>
    <w:rsid w:val="00D03F2F"/>
    <w:rsid w:val="00D04026"/>
    <w:rsid w:val="00D04097"/>
    <w:rsid w:val="00D044D3"/>
    <w:rsid w:val="00D04516"/>
    <w:rsid w:val="00D04526"/>
    <w:rsid w:val="00D04549"/>
    <w:rsid w:val="00D046AE"/>
    <w:rsid w:val="00D046CD"/>
    <w:rsid w:val="00D04739"/>
    <w:rsid w:val="00D04829"/>
    <w:rsid w:val="00D04A89"/>
    <w:rsid w:val="00D04C41"/>
    <w:rsid w:val="00D04D4A"/>
    <w:rsid w:val="00D04EB5"/>
    <w:rsid w:val="00D051C6"/>
    <w:rsid w:val="00D051E2"/>
    <w:rsid w:val="00D05267"/>
    <w:rsid w:val="00D056AC"/>
    <w:rsid w:val="00D056CF"/>
    <w:rsid w:val="00D057F5"/>
    <w:rsid w:val="00D05B14"/>
    <w:rsid w:val="00D05C2C"/>
    <w:rsid w:val="00D0618E"/>
    <w:rsid w:val="00D06215"/>
    <w:rsid w:val="00D062B9"/>
    <w:rsid w:val="00D06511"/>
    <w:rsid w:val="00D06550"/>
    <w:rsid w:val="00D06905"/>
    <w:rsid w:val="00D06B73"/>
    <w:rsid w:val="00D06BD4"/>
    <w:rsid w:val="00D06CC4"/>
    <w:rsid w:val="00D06CF8"/>
    <w:rsid w:val="00D06D07"/>
    <w:rsid w:val="00D06E5B"/>
    <w:rsid w:val="00D06FA4"/>
    <w:rsid w:val="00D0705F"/>
    <w:rsid w:val="00D071C9"/>
    <w:rsid w:val="00D072F1"/>
    <w:rsid w:val="00D07332"/>
    <w:rsid w:val="00D076E1"/>
    <w:rsid w:val="00D077F6"/>
    <w:rsid w:val="00D07938"/>
    <w:rsid w:val="00D07A36"/>
    <w:rsid w:val="00D07E16"/>
    <w:rsid w:val="00D105B1"/>
    <w:rsid w:val="00D1096D"/>
    <w:rsid w:val="00D109C3"/>
    <w:rsid w:val="00D10D33"/>
    <w:rsid w:val="00D10E1B"/>
    <w:rsid w:val="00D111BE"/>
    <w:rsid w:val="00D11289"/>
    <w:rsid w:val="00D112F4"/>
    <w:rsid w:val="00D11375"/>
    <w:rsid w:val="00D1137B"/>
    <w:rsid w:val="00D116E4"/>
    <w:rsid w:val="00D1194E"/>
    <w:rsid w:val="00D1196A"/>
    <w:rsid w:val="00D119C7"/>
    <w:rsid w:val="00D11AA8"/>
    <w:rsid w:val="00D11F7A"/>
    <w:rsid w:val="00D120F9"/>
    <w:rsid w:val="00D12197"/>
    <w:rsid w:val="00D12444"/>
    <w:rsid w:val="00D124A6"/>
    <w:rsid w:val="00D12560"/>
    <w:rsid w:val="00D125CB"/>
    <w:rsid w:val="00D1266A"/>
    <w:rsid w:val="00D1291F"/>
    <w:rsid w:val="00D12E7E"/>
    <w:rsid w:val="00D12F02"/>
    <w:rsid w:val="00D1315A"/>
    <w:rsid w:val="00D136C4"/>
    <w:rsid w:val="00D1378D"/>
    <w:rsid w:val="00D13CAF"/>
    <w:rsid w:val="00D13F34"/>
    <w:rsid w:val="00D140CB"/>
    <w:rsid w:val="00D1443A"/>
    <w:rsid w:val="00D14492"/>
    <w:rsid w:val="00D1468A"/>
    <w:rsid w:val="00D1478C"/>
    <w:rsid w:val="00D147F8"/>
    <w:rsid w:val="00D14833"/>
    <w:rsid w:val="00D1483F"/>
    <w:rsid w:val="00D14A43"/>
    <w:rsid w:val="00D14A91"/>
    <w:rsid w:val="00D14CC3"/>
    <w:rsid w:val="00D14DA5"/>
    <w:rsid w:val="00D14DD3"/>
    <w:rsid w:val="00D15138"/>
    <w:rsid w:val="00D15259"/>
    <w:rsid w:val="00D152F5"/>
    <w:rsid w:val="00D153EA"/>
    <w:rsid w:val="00D1580E"/>
    <w:rsid w:val="00D16510"/>
    <w:rsid w:val="00D166C5"/>
    <w:rsid w:val="00D167EB"/>
    <w:rsid w:val="00D169C0"/>
    <w:rsid w:val="00D16C8E"/>
    <w:rsid w:val="00D16CF6"/>
    <w:rsid w:val="00D16DBB"/>
    <w:rsid w:val="00D16E01"/>
    <w:rsid w:val="00D17010"/>
    <w:rsid w:val="00D1720B"/>
    <w:rsid w:val="00D173CB"/>
    <w:rsid w:val="00D17662"/>
    <w:rsid w:val="00D176F4"/>
    <w:rsid w:val="00D177F0"/>
    <w:rsid w:val="00D17C38"/>
    <w:rsid w:val="00D17FB6"/>
    <w:rsid w:val="00D20239"/>
    <w:rsid w:val="00D2026E"/>
    <w:rsid w:val="00D204F6"/>
    <w:rsid w:val="00D207BE"/>
    <w:rsid w:val="00D20894"/>
    <w:rsid w:val="00D20AD6"/>
    <w:rsid w:val="00D20AFA"/>
    <w:rsid w:val="00D20AFC"/>
    <w:rsid w:val="00D20CED"/>
    <w:rsid w:val="00D20EB2"/>
    <w:rsid w:val="00D20F9A"/>
    <w:rsid w:val="00D2150C"/>
    <w:rsid w:val="00D2184E"/>
    <w:rsid w:val="00D21A43"/>
    <w:rsid w:val="00D21BA6"/>
    <w:rsid w:val="00D21C66"/>
    <w:rsid w:val="00D21C99"/>
    <w:rsid w:val="00D21D29"/>
    <w:rsid w:val="00D21D42"/>
    <w:rsid w:val="00D21D8D"/>
    <w:rsid w:val="00D21F45"/>
    <w:rsid w:val="00D21F9D"/>
    <w:rsid w:val="00D22040"/>
    <w:rsid w:val="00D22211"/>
    <w:rsid w:val="00D22214"/>
    <w:rsid w:val="00D22C53"/>
    <w:rsid w:val="00D22DE8"/>
    <w:rsid w:val="00D22FB0"/>
    <w:rsid w:val="00D23027"/>
    <w:rsid w:val="00D230EF"/>
    <w:rsid w:val="00D230FF"/>
    <w:rsid w:val="00D2315C"/>
    <w:rsid w:val="00D23230"/>
    <w:rsid w:val="00D235C7"/>
    <w:rsid w:val="00D2361C"/>
    <w:rsid w:val="00D2364A"/>
    <w:rsid w:val="00D23D92"/>
    <w:rsid w:val="00D23E36"/>
    <w:rsid w:val="00D23EFD"/>
    <w:rsid w:val="00D241BD"/>
    <w:rsid w:val="00D242CF"/>
    <w:rsid w:val="00D244F2"/>
    <w:rsid w:val="00D246CA"/>
    <w:rsid w:val="00D246ED"/>
    <w:rsid w:val="00D249A5"/>
    <w:rsid w:val="00D24A3A"/>
    <w:rsid w:val="00D24AE0"/>
    <w:rsid w:val="00D24B89"/>
    <w:rsid w:val="00D24C7D"/>
    <w:rsid w:val="00D25169"/>
    <w:rsid w:val="00D2526D"/>
    <w:rsid w:val="00D25272"/>
    <w:rsid w:val="00D25873"/>
    <w:rsid w:val="00D25C46"/>
    <w:rsid w:val="00D25D40"/>
    <w:rsid w:val="00D260EF"/>
    <w:rsid w:val="00D26145"/>
    <w:rsid w:val="00D2653F"/>
    <w:rsid w:val="00D26C92"/>
    <w:rsid w:val="00D26EC2"/>
    <w:rsid w:val="00D27014"/>
    <w:rsid w:val="00D270F1"/>
    <w:rsid w:val="00D271BC"/>
    <w:rsid w:val="00D2778B"/>
    <w:rsid w:val="00D277DA"/>
    <w:rsid w:val="00D278D6"/>
    <w:rsid w:val="00D279F9"/>
    <w:rsid w:val="00D27B1E"/>
    <w:rsid w:val="00D27C24"/>
    <w:rsid w:val="00D27CC5"/>
    <w:rsid w:val="00D27E6C"/>
    <w:rsid w:val="00D27F6B"/>
    <w:rsid w:val="00D3003B"/>
    <w:rsid w:val="00D3021C"/>
    <w:rsid w:val="00D30769"/>
    <w:rsid w:val="00D30A9A"/>
    <w:rsid w:val="00D30AB2"/>
    <w:rsid w:val="00D30CAE"/>
    <w:rsid w:val="00D30D32"/>
    <w:rsid w:val="00D3124B"/>
    <w:rsid w:val="00D31281"/>
    <w:rsid w:val="00D3134A"/>
    <w:rsid w:val="00D31377"/>
    <w:rsid w:val="00D316FB"/>
    <w:rsid w:val="00D31FF8"/>
    <w:rsid w:val="00D322FB"/>
    <w:rsid w:val="00D323DB"/>
    <w:rsid w:val="00D32667"/>
    <w:rsid w:val="00D32C3C"/>
    <w:rsid w:val="00D32C8A"/>
    <w:rsid w:val="00D3301C"/>
    <w:rsid w:val="00D33113"/>
    <w:rsid w:val="00D33139"/>
    <w:rsid w:val="00D33270"/>
    <w:rsid w:val="00D338B5"/>
    <w:rsid w:val="00D33A89"/>
    <w:rsid w:val="00D33B25"/>
    <w:rsid w:val="00D33BDA"/>
    <w:rsid w:val="00D34338"/>
    <w:rsid w:val="00D3441C"/>
    <w:rsid w:val="00D3443A"/>
    <w:rsid w:val="00D3467C"/>
    <w:rsid w:val="00D34917"/>
    <w:rsid w:val="00D34A30"/>
    <w:rsid w:val="00D34C33"/>
    <w:rsid w:val="00D34CC9"/>
    <w:rsid w:val="00D34DD6"/>
    <w:rsid w:val="00D350EC"/>
    <w:rsid w:val="00D351CA"/>
    <w:rsid w:val="00D3526C"/>
    <w:rsid w:val="00D35374"/>
    <w:rsid w:val="00D3539B"/>
    <w:rsid w:val="00D353E9"/>
    <w:rsid w:val="00D35754"/>
    <w:rsid w:val="00D3576C"/>
    <w:rsid w:val="00D3599B"/>
    <w:rsid w:val="00D35B49"/>
    <w:rsid w:val="00D35EE1"/>
    <w:rsid w:val="00D36289"/>
    <w:rsid w:val="00D363CF"/>
    <w:rsid w:val="00D36607"/>
    <w:rsid w:val="00D36BA6"/>
    <w:rsid w:val="00D36F8A"/>
    <w:rsid w:val="00D3721D"/>
    <w:rsid w:val="00D372BC"/>
    <w:rsid w:val="00D373F9"/>
    <w:rsid w:val="00D3756B"/>
    <w:rsid w:val="00D3759D"/>
    <w:rsid w:val="00D376CB"/>
    <w:rsid w:val="00D37B6D"/>
    <w:rsid w:val="00D37BC9"/>
    <w:rsid w:val="00D37D54"/>
    <w:rsid w:val="00D4008C"/>
    <w:rsid w:val="00D401B7"/>
    <w:rsid w:val="00D405F5"/>
    <w:rsid w:val="00D40787"/>
    <w:rsid w:val="00D40946"/>
    <w:rsid w:val="00D40979"/>
    <w:rsid w:val="00D413F1"/>
    <w:rsid w:val="00D41511"/>
    <w:rsid w:val="00D41533"/>
    <w:rsid w:val="00D416E2"/>
    <w:rsid w:val="00D41911"/>
    <w:rsid w:val="00D41A89"/>
    <w:rsid w:val="00D41C25"/>
    <w:rsid w:val="00D41CC7"/>
    <w:rsid w:val="00D41E24"/>
    <w:rsid w:val="00D42004"/>
    <w:rsid w:val="00D421F7"/>
    <w:rsid w:val="00D42257"/>
    <w:rsid w:val="00D4237B"/>
    <w:rsid w:val="00D4247E"/>
    <w:rsid w:val="00D424D7"/>
    <w:rsid w:val="00D42526"/>
    <w:rsid w:val="00D425BD"/>
    <w:rsid w:val="00D425EE"/>
    <w:rsid w:val="00D42692"/>
    <w:rsid w:val="00D42DCE"/>
    <w:rsid w:val="00D435C0"/>
    <w:rsid w:val="00D438BE"/>
    <w:rsid w:val="00D43908"/>
    <w:rsid w:val="00D43A81"/>
    <w:rsid w:val="00D43CBB"/>
    <w:rsid w:val="00D43DCB"/>
    <w:rsid w:val="00D4412D"/>
    <w:rsid w:val="00D441E2"/>
    <w:rsid w:val="00D445B0"/>
    <w:rsid w:val="00D44841"/>
    <w:rsid w:val="00D44AAB"/>
    <w:rsid w:val="00D44AB8"/>
    <w:rsid w:val="00D44DE9"/>
    <w:rsid w:val="00D44DEB"/>
    <w:rsid w:val="00D44E21"/>
    <w:rsid w:val="00D44E45"/>
    <w:rsid w:val="00D44E9A"/>
    <w:rsid w:val="00D44F9D"/>
    <w:rsid w:val="00D45080"/>
    <w:rsid w:val="00D4508C"/>
    <w:rsid w:val="00D450B8"/>
    <w:rsid w:val="00D45305"/>
    <w:rsid w:val="00D4560F"/>
    <w:rsid w:val="00D456FB"/>
    <w:rsid w:val="00D45769"/>
    <w:rsid w:val="00D45B20"/>
    <w:rsid w:val="00D45BC3"/>
    <w:rsid w:val="00D45BCA"/>
    <w:rsid w:val="00D45D8F"/>
    <w:rsid w:val="00D45F98"/>
    <w:rsid w:val="00D46026"/>
    <w:rsid w:val="00D460E3"/>
    <w:rsid w:val="00D46516"/>
    <w:rsid w:val="00D46689"/>
    <w:rsid w:val="00D46D2D"/>
    <w:rsid w:val="00D46DD7"/>
    <w:rsid w:val="00D46E63"/>
    <w:rsid w:val="00D46EEC"/>
    <w:rsid w:val="00D46F56"/>
    <w:rsid w:val="00D470FE"/>
    <w:rsid w:val="00D47180"/>
    <w:rsid w:val="00D47195"/>
    <w:rsid w:val="00D47197"/>
    <w:rsid w:val="00D4723B"/>
    <w:rsid w:val="00D47457"/>
    <w:rsid w:val="00D47869"/>
    <w:rsid w:val="00D47B34"/>
    <w:rsid w:val="00D47DC4"/>
    <w:rsid w:val="00D47DF3"/>
    <w:rsid w:val="00D47E90"/>
    <w:rsid w:val="00D47F51"/>
    <w:rsid w:val="00D47FCD"/>
    <w:rsid w:val="00D50033"/>
    <w:rsid w:val="00D5008C"/>
    <w:rsid w:val="00D500D1"/>
    <w:rsid w:val="00D50177"/>
    <w:rsid w:val="00D5019B"/>
    <w:rsid w:val="00D50201"/>
    <w:rsid w:val="00D50321"/>
    <w:rsid w:val="00D50517"/>
    <w:rsid w:val="00D505E8"/>
    <w:rsid w:val="00D50755"/>
    <w:rsid w:val="00D5091C"/>
    <w:rsid w:val="00D509CA"/>
    <w:rsid w:val="00D509CF"/>
    <w:rsid w:val="00D50BE7"/>
    <w:rsid w:val="00D50E1A"/>
    <w:rsid w:val="00D50F80"/>
    <w:rsid w:val="00D5101E"/>
    <w:rsid w:val="00D511C5"/>
    <w:rsid w:val="00D51404"/>
    <w:rsid w:val="00D514A5"/>
    <w:rsid w:val="00D514EF"/>
    <w:rsid w:val="00D51684"/>
    <w:rsid w:val="00D51774"/>
    <w:rsid w:val="00D5179E"/>
    <w:rsid w:val="00D51995"/>
    <w:rsid w:val="00D52039"/>
    <w:rsid w:val="00D52394"/>
    <w:rsid w:val="00D5246D"/>
    <w:rsid w:val="00D52A89"/>
    <w:rsid w:val="00D52ACE"/>
    <w:rsid w:val="00D52CFD"/>
    <w:rsid w:val="00D52E5B"/>
    <w:rsid w:val="00D530DB"/>
    <w:rsid w:val="00D53259"/>
    <w:rsid w:val="00D534B1"/>
    <w:rsid w:val="00D535F5"/>
    <w:rsid w:val="00D53799"/>
    <w:rsid w:val="00D537B8"/>
    <w:rsid w:val="00D53926"/>
    <w:rsid w:val="00D5393B"/>
    <w:rsid w:val="00D53A61"/>
    <w:rsid w:val="00D53C73"/>
    <w:rsid w:val="00D53E40"/>
    <w:rsid w:val="00D53E66"/>
    <w:rsid w:val="00D53EA3"/>
    <w:rsid w:val="00D53FE2"/>
    <w:rsid w:val="00D5401D"/>
    <w:rsid w:val="00D5404F"/>
    <w:rsid w:val="00D54090"/>
    <w:rsid w:val="00D54141"/>
    <w:rsid w:val="00D5415C"/>
    <w:rsid w:val="00D5435E"/>
    <w:rsid w:val="00D548A7"/>
    <w:rsid w:val="00D54999"/>
    <w:rsid w:val="00D549F9"/>
    <w:rsid w:val="00D54DF0"/>
    <w:rsid w:val="00D54E3C"/>
    <w:rsid w:val="00D55229"/>
    <w:rsid w:val="00D55268"/>
    <w:rsid w:val="00D552F6"/>
    <w:rsid w:val="00D555C4"/>
    <w:rsid w:val="00D55879"/>
    <w:rsid w:val="00D55B5F"/>
    <w:rsid w:val="00D55D9D"/>
    <w:rsid w:val="00D55DA6"/>
    <w:rsid w:val="00D55FCD"/>
    <w:rsid w:val="00D56311"/>
    <w:rsid w:val="00D56496"/>
    <w:rsid w:val="00D565CE"/>
    <w:rsid w:val="00D56651"/>
    <w:rsid w:val="00D5697A"/>
    <w:rsid w:val="00D56C90"/>
    <w:rsid w:val="00D5717B"/>
    <w:rsid w:val="00D5737F"/>
    <w:rsid w:val="00D5779D"/>
    <w:rsid w:val="00D577C4"/>
    <w:rsid w:val="00D577F2"/>
    <w:rsid w:val="00D5780F"/>
    <w:rsid w:val="00D578E5"/>
    <w:rsid w:val="00D57D56"/>
    <w:rsid w:val="00D60008"/>
    <w:rsid w:val="00D60291"/>
    <w:rsid w:val="00D602C9"/>
    <w:rsid w:val="00D6030D"/>
    <w:rsid w:val="00D607AB"/>
    <w:rsid w:val="00D60816"/>
    <w:rsid w:val="00D6086F"/>
    <w:rsid w:val="00D60915"/>
    <w:rsid w:val="00D6098E"/>
    <w:rsid w:val="00D609A8"/>
    <w:rsid w:val="00D61040"/>
    <w:rsid w:val="00D6120D"/>
    <w:rsid w:val="00D61371"/>
    <w:rsid w:val="00D61574"/>
    <w:rsid w:val="00D615C7"/>
    <w:rsid w:val="00D61788"/>
    <w:rsid w:val="00D61A5F"/>
    <w:rsid w:val="00D61C37"/>
    <w:rsid w:val="00D61E7B"/>
    <w:rsid w:val="00D6200C"/>
    <w:rsid w:val="00D62027"/>
    <w:rsid w:val="00D6215A"/>
    <w:rsid w:val="00D62235"/>
    <w:rsid w:val="00D62420"/>
    <w:rsid w:val="00D62691"/>
    <w:rsid w:val="00D62A41"/>
    <w:rsid w:val="00D62C08"/>
    <w:rsid w:val="00D6303E"/>
    <w:rsid w:val="00D631B6"/>
    <w:rsid w:val="00D63236"/>
    <w:rsid w:val="00D63439"/>
    <w:rsid w:val="00D6375D"/>
    <w:rsid w:val="00D63926"/>
    <w:rsid w:val="00D639AD"/>
    <w:rsid w:val="00D63A05"/>
    <w:rsid w:val="00D63AD8"/>
    <w:rsid w:val="00D63CC7"/>
    <w:rsid w:val="00D63DF1"/>
    <w:rsid w:val="00D63EAF"/>
    <w:rsid w:val="00D640A0"/>
    <w:rsid w:val="00D6419C"/>
    <w:rsid w:val="00D64475"/>
    <w:rsid w:val="00D645A5"/>
    <w:rsid w:val="00D6473A"/>
    <w:rsid w:val="00D64851"/>
    <w:rsid w:val="00D6489A"/>
    <w:rsid w:val="00D648A2"/>
    <w:rsid w:val="00D64A57"/>
    <w:rsid w:val="00D64D26"/>
    <w:rsid w:val="00D64DEC"/>
    <w:rsid w:val="00D65000"/>
    <w:rsid w:val="00D65108"/>
    <w:rsid w:val="00D651FE"/>
    <w:rsid w:val="00D6555F"/>
    <w:rsid w:val="00D656BA"/>
    <w:rsid w:val="00D65731"/>
    <w:rsid w:val="00D657E4"/>
    <w:rsid w:val="00D65A91"/>
    <w:rsid w:val="00D65B28"/>
    <w:rsid w:val="00D65FB9"/>
    <w:rsid w:val="00D66387"/>
    <w:rsid w:val="00D66561"/>
    <w:rsid w:val="00D66756"/>
    <w:rsid w:val="00D66833"/>
    <w:rsid w:val="00D66947"/>
    <w:rsid w:val="00D66A03"/>
    <w:rsid w:val="00D66A98"/>
    <w:rsid w:val="00D66AB4"/>
    <w:rsid w:val="00D66E20"/>
    <w:rsid w:val="00D66F1F"/>
    <w:rsid w:val="00D66FF0"/>
    <w:rsid w:val="00D67141"/>
    <w:rsid w:val="00D6755B"/>
    <w:rsid w:val="00D6778E"/>
    <w:rsid w:val="00D67AFB"/>
    <w:rsid w:val="00D67B12"/>
    <w:rsid w:val="00D67B5C"/>
    <w:rsid w:val="00D67DB3"/>
    <w:rsid w:val="00D67FE6"/>
    <w:rsid w:val="00D701C2"/>
    <w:rsid w:val="00D70220"/>
    <w:rsid w:val="00D7047C"/>
    <w:rsid w:val="00D704A0"/>
    <w:rsid w:val="00D704F1"/>
    <w:rsid w:val="00D70575"/>
    <w:rsid w:val="00D70675"/>
    <w:rsid w:val="00D708FD"/>
    <w:rsid w:val="00D70BE1"/>
    <w:rsid w:val="00D70BEE"/>
    <w:rsid w:val="00D70DB0"/>
    <w:rsid w:val="00D70ED3"/>
    <w:rsid w:val="00D70EE1"/>
    <w:rsid w:val="00D70F0F"/>
    <w:rsid w:val="00D716F5"/>
    <w:rsid w:val="00D71881"/>
    <w:rsid w:val="00D718BC"/>
    <w:rsid w:val="00D718BE"/>
    <w:rsid w:val="00D71B0B"/>
    <w:rsid w:val="00D71DB9"/>
    <w:rsid w:val="00D71E85"/>
    <w:rsid w:val="00D72018"/>
    <w:rsid w:val="00D722D7"/>
    <w:rsid w:val="00D72401"/>
    <w:rsid w:val="00D7253F"/>
    <w:rsid w:val="00D725BA"/>
    <w:rsid w:val="00D7268B"/>
    <w:rsid w:val="00D72BF2"/>
    <w:rsid w:val="00D72CDA"/>
    <w:rsid w:val="00D731C0"/>
    <w:rsid w:val="00D7329C"/>
    <w:rsid w:val="00D7338D"/>
    <w:rsid w:val="00D7365B"/>
    <w:rsid w:val="00D7367D"/>
    <w:rsid w:val="00D73F87"/>
    <w:rsid w:val="00D740C7"/>
    <w:rsid w:val="00D742CC"/>
    <w:rsid w:val="00D74574"/>
    <w:rsid w:val="00D745B9"/>
    <w:rsid w:val="00D745DF"/>
    <w:rsid w:val="00D745E4"/>
    <w:rsid w:val="00D74D40"/>
    <w:rsid w:val="00D74FBF"/>
    <w:rsid w:val="00D752BA"/>
    <w:rsid w:val="00D7553D"/>
    <w:rsid w:val="00D757CE"/>
    <w:rsid w:val="00D75A3D"/>
    <w:rsid w:val="00D75BA5"/>
    <w:rsid w:val="00D75D60"/>
    <w:rsid w:val="00D75E31"/>
    <w:rsid w:val="00D75EF5"/>
    <w:rsid w:val="00D76307"/>
    <w:rsid w:val="00D767C8"/>
    <w:rsid w:val="00D769D7"/>
    <w:rsid w:val="00D76AB1"/>
    <w:rsid w:val="00D76BFB"/>
    <w:rsid w:val="00D76DA5"/>
    <w:rsid w:val="00D76F9A"/>
    <w:rsid w:val="00D774AD"/>
    <w:rsid w:val="00D774FB"/>
    <w:rsid w:val="00D775B8"/>
    <w:rsid w:val="00D77F76"/>
    <w:rsid w:val="00D77FF1"/>
    <w:rsid w:val="00D800F8"/>
    <w:rsid w:val="00D802DF"/>
    <w:rsid w:val="00D80415"/>
    <w:rsid w:val="00D80FC3"/>
    <w:rsid w:val="00D8100B"/>
    <w:rsid w:val="00D810C4"/>
    <w:rsid w:val="00D81178"/>
    <w:rsid w:val="00D8117D"/>
    <w:rsid w:val="00D81454"/>
    <w:rsid w:val="00D814EF"/>
    <w:rsid w:val="00D814FB"/>
    <w:rsid w:val="00D817C5"/>
    <w:rsid w:val="00D81860"/>
    <w:rsid w:val="00D81BA1"/>
    <w:rsid w:val="00D81D15"/>
    <w:rsid w:val="00D81E5C"/>
    <w:rsid w:val="00D81EA7"/>
    <w:rsid w:val="00D81EF7"/>
    <w:rsid w:val="00D81FBB"/>
    <w:rsid w:val="00D822E2"/>
    <w:rsid w:val="00D8251A"/>
    <w:rsid w:val="00D82587"/>
    <w:rsid w:val="00D828AE"/>
    <w:rsid w:val="00D82A42"/>
    <w:rsid w:val="00D82E2C"/>
    <w:rsid w:val="00D82E63"/>
    <w:rsid w:val="00D82F26"/>
    <w:rsid w:val="00D830AD"/>
    <w:rsid w:val="00D831C1"/>
    <w:rsid w:val="00D834D5"/>
    <w:rsid w:val="00D834E2"/>
    <w:rsid w:val="00D83504"/>
    <w:rsid w:val="00D8354F"/>
    <w:rsid w:val="00D8396F"/>
    <w:rsid w:val="00D8397D"/>
    <w:rsid w:val="00D839E9"/>
    <w:rsid w:val="00D83B0D"/>
    <w:rsid w:val="00D83BBC"/>
    <w:rsid w:val="00D83D1A"/>
    <w:rsid w:val="00D83D76"/>
    <w:rsid w:val="00D83E24"/>
    <w:rsid w:val="00D84118"/>
    <w:rsid w:val="00D84343"/>
    <w:rsid w:val="00D8469A"/>
    <w:rsid w:val="00D847D5"/>
    <w:rsid w:val="00D84988"/>
    <w:rsid w:val="00D84BCE"/>
    <w:rsid w:val="00D84CF3"/>
    <w:rsid w:val="00D84D0D"/>
    <w:rsid w:val="00D84D77"/>
    <w:rsid w:val="00D84DCB"/>
    <w:rsid w:val="00D84EC4"/>
    <w:rsid w:val="00D85479"/>
    <w:rsid w:val="00D8554F"/>
    <w:rsid w:val="00D855AA"/>
    <w:rsid w:val="00D8591F"/>
    <w:rsid w:val="00D85AD8"/>
    <w:rsid w:val="00D85BAF"/>
    <w:rsid w:val="00D85C4B"/>
    <w:rsid w:val="00D85E58"/>
    <w:rsid w:val="00D86192"/>
    <w:rsid w:val="00D86202"/>
    <w:rsid w:val="00D8642B"/>
    <w:rsid w:val="00D8654E"/>
    <w:rsid w:val="00D86596"/>
    <w:rsid w:val="00D865B8"/>
    <w:rsid w:val="00D86758"/>
    <w:rsid w:val="00D86923"/>
    <w:rsid w:val="00D86A4C"/>
    <w:rsid w:val="00D86A9D"/>
    <w:rsid w:val="00D86AD1"/>
    <w:rsid w:val="00D86BA2"/>
    <w:rsid w:val="00D86C43"/>
    <w:rsid w:val="00D86CBB"/>
    <w:rsid w:val="00D86D19"/>
    <w:rsid w:val="00D86ECC"/>
    <w:rsid w:val="00D87061"/>
    <w:rsid w:val="00D870B2"/>
    <w:rsid w:val="00D8759A"/>
    <w:rsid w:val="00D8774A"/>
    <w:rsid w:val="00D879CD"/>
    <w:rsid w:val="00D87C71"/>
    <w:rsid w:val="00D87C7D"/>
    <w:rsid w:val="00D87D14"/>
    <w:rsid w:val="00D87DC6"/>
    <w:rsid w:val="00D87FD6"/>
    <w:rsid w:val="00D900E2"/>
    <w:rsid w:val="00D90217"/>
    <w:rsid w:val="00D902DA"/>
    <w:rsid w:val="00D90547"/>
    <w:rsid w:val="00D9086F"/>
    <w:rsid w:val="00D909A9"/>
    <w:rsid w:val="00D90AF8"/>
    <w:rsid w:val="00D90ED0"/>
    <w:rsid w:val="00D91276"/>
    <w:rsid w:val="00D9128C"/>
    <w:rsid w:val="00D91541"/>
    <w:rsid w:val="00D91596"/>
    <w:rsid w:val="00D917E0"/>
    <w:rsid w:val="00D91865"/>
    <w:rsid w:val="00D918D5"/>
    <w:rsid w:val="00D91A1E"/>
    <w:rsid w:val="00D91B6E"/>
    <w:rsid w:val="00D91B9A"/>
    <w:rsid w:val="00D91BD7"/>
    <w:rsid w:val="00D91ED1"/>
    <w:rsid w:val="00D91F3B"/>
    <w:rsid w:val="00D92082"/>
    <w:rsid w:val="00D922E6"/>
    <w:rsid w:val="00D922F8"/>
    <w:rsid w:val="00D92465"/>
    <w:rsid w:val="00D92467"/>
    <w:rsid w:val="00D924E6"/>
    <w:rsid w:val="00D925A9"/>
    <w:rsid w:val="00D927A1"/>
    <w:rsid w:val="00D92968"/>
    <w:rsid w:val="00D92988"/>
    <w:rsid w:val="00D92999"/>
    <w:rsid w:val="00D92DB4"/>
    <w:rsid w:val="00D92E00"/>
    <w:rsid w:val="00D92E8D"/>
    <w:rsid w:val="00D932D5"/>
    <w:rsid w:val="00D93499"/>
    <w:rsid w:val="00D934D7"/>
    <w:rsid w:val="00D93AB6"/>
    <w:rsid w:val="00D93EC8"/>
    <w:rsid w:val="00D93FDB"/>
    <w:rsid w:val="00D93FED"/>
    <w:rsid w:val="00D9439F"/>
    <w:rsid w:val="00D9454E"/>
    <w:rsid w:val="00D94658"/>
    <w:rsid w:val="00D94698"/>
    <w:rsid w:val="00D947C3"/>
    <w:rsid w:val="00D9484D"/>
    <w:rsid w:val="00D94C1C"/>
    <w:rsid w:val="00D94C5A"/>
    <w:rsid w:val="00D94CB8"/>
    <w:rsid w:val="00D94D80"/>
    <w:rsid w:val="00D94F06"/>
    <w:rsid w:val="00D95087"/>
    <w:rsid w:val="00D95262"/>
    <w:rsid w:val="00D952BE"/>
    <w:rsid w:val="00D952CE"/>
    <w:rsid w:val="00D953B6"/>
    <w:rsid w:val="00D95443"/>
    <w:rsid w:val="00D9574C"/>
    <w:rsid w:val="00D95817"/>
    <w:rsid w:val="00D959E3"/>
    <w:rsid w:val="00D95A7D"/>
    <w:rsid w:val="00D95DD3"/>
    <w:rsid w:val="00D95E10"/>
    <w:rsid w:val="00D95EB7"/>
    <w:rsid w:val="00D95F28"/>
    <w:rsid w:val="00D96216"/>
    <w:rsid w:val="00D962FA"/>
    <w:rsid w:val="00D963DA"/>
    <w:rsid w:val="00D96449"/>
    <w:rsid w:val="00D968F3"/>
    <w:rsid w:val="00D96B97"/>
    <w:rsid w:val="00D96C47"/>
    <w:rsid w:val="00D96D2D"/>
    <w:rsid w:val="00D96D9D"/>
    <w:rsid w:val="00D96E1D"/>
    <w:rsid w:val="00D97202"/>
    <w:rsid w:val="00D97436"/>
    <w:rsid w:val="00D9743E"/>
    <w:rsid w:val="00D97482"/>
    <w:rsid w:val="00D976CF"/>
    <w:rsid w:val="00D97718"/>
    <w:rsid w:val="00D978C9"/>
    <w:rsid w:val="00D97916"/>
    <w:rsid w:val="00D97A27"/>
    <w:rsid w:val="00D97F46"/>
    <w:rsid w:val="00DA0377"/>
    <w:rsid w:val="00DA03A0"/>
    <w:rsid w:val="00DA0628"/>
    <w:rsid w:val="00DA063F"/>
    <w:rsid w:val="00DA0764"/>
    <w:rsid w:val="00DA0A5E"/>
    <w:rsid w:val="00DA0CCA"/>
    <w:rsid w:val="00DA0E38"/>
    <w:rsid w:val="00DA0FC1"/>
    <w:rsid w:val="00DA0FF0"/>
    <w:rsid w:val="00DA1008"/>
    <w:rsid w:val="00DA147B"/>
    <w:rsid w:val="00DA15F3"/>
    <w:rsid w:val="00DA1995"/>
    <w:rsid w:val="00DA1A49"/>
    <w:rsid w:val="00DA1AA8"/>
    <w:rsid w:val="00DA1BC3"/>
    <w:rsid w:val="00DA21B6"/>
    <w:rsid w:val="00DA26BD"/>
    <w:rsid w:val="00DA29F8"/>
    <w:rsid w:val="00DA2BCE"/>
    <w:rsid w:val="00DA2BF5"/>
    <w:rsid w:val="00DA2FF5"/>
    <w:rsid w:val="00DA3053"/>
    <w:rsid w:val="00DA3089"/>
    <w:rsid w:val="00DA30A8"/>
    <w:rsid w:val="00DA314C"/>
    <w:rsid w:val="00DA36CF"/>
    <w:rsid w:val="00DA3878"/>
    <w:rsid w:val="00DA3A9C"/>
    <w:rsid w:val="00DA3B49"/>
    <w:rsid w:val="00DA3B91"/>
    <w:rsid w:val="00DA3D54"/>
    <w:rsid w:val="00DA3FE3"/>
    <w:rsid w:val="00DA4353"/>
    <w:rsid w:val="00DA459E"/>
    <w:rsid w:val="00DA4854"/>
    <w:rsid w:val="00DA4B26"/>
    <w:rsid w:val="00DA4C18"/>
    <w:rsid w:val="00DA4CF3"/>
    <w:rsid w:val="00DA4EBE"/>
    <w:rsid w:val="00DA4F74"/>
    <w:rsid w:val="00DA515E"/>
    <w:rsid w:val="00DA530B"/>
    <w:rsid w:val="00DA533B"/>
    <w:rsid w:val="00DA549F"/>
    <w:rsid w:val="00DA5816"/>
    <w:rsid w:val="00DA5A02"/>
    <w:rsid w:val="00DA5E56"/>
    <w:rsid w:val="00DA60F9"/>
    <w:rsid w:val="00DA61BF"/>
    <w:rsid w:val="00DA6659"/>
    <w:rsid w:val="00DA676F"/>
    <w:rsid w:val="00DA6A07"/>
    <w:rsid w:val="00DA6A40"/>
    <w:rsid w:val="00DA6E45"/>
    <w:rsid w:val="00DA6EF2"/>
    <w:rsid w:val="00DA700D"/>
    <w:rsid w:val="00DA7018"/>
    <w:rsid w:val="00DA7222"/>
    <w:rsid w:val="00DA768F"/>
    <w:rsid w:val="00DA79FA"/>
    <w:rsid w:val="00DA7B6B"/>
    <w:rsid w:val="00DA7C08"/>
    <w:rsid w:val="00DA7C50"/>
    <w:rsid w:val="00DA7ED3"/>
    <w:rsid w:val="00DA7EFF"/>
    <w:rsid w:val="00DA7F43"/>
    <w:rsid w:val="00DB0370"/>
    <w:rsid w:val="00DB0409"/>
    <w:rsid w:val="00DB0829"/>
    <w:rsid w:val="00DB0C51"/>
    <w:rsid w:val="00DB0E6B"/>
    <w:rsid w:val="00DB0E97"/>
    <w:rsid w:val="00DB1256"/>
    <w:rsid w:val="00DB13B3"/>
    <w:rsid w:val="00DB1569"/>
    <w:rsid w:val="00DB174D"/>
    <w:rsid w:val="00DB1A66"/>
    <w:rsid w:val="00DB1D18"/>
    <w:rsid w:val="00DB1ECA"/>
    <w:rsid w:val="00DB2286"/>
    <w:rsid w:val="00DB2813"/>
    <w:rsid w:val="00DB286A"/>
    <w:rsid w:val="00DB29FA"/>
    <w:rsid w:val="00DB2C2F"/>
    <w:rsid w:val="00DB2C31"/>
    <w:rsid w:val="00DB2DE1"/>
    <w:rsid w:val="00DB2DE7"/>
    <w:rsid w:val="00DB338F"/>
    <w:rsid w:val="00DB3774"/>
    <w:rsid w:val="00DB3803"/>
    <w:rsid w:val="00DB4033"/>
    <w:rsid w:val="00DB4833"/>
    <w:rsid w:val="00DB48BF"/>
    <w:rsid w:val="00DB4A4B"/>
    <w:rsid w:val="00DB4AAF"/>
    <w:rsid w:val="00DB4C6F"/>
    <w:rsid w:val="00DB4E0F"/>
    <w:rsid w:val="00DB4E5C"/>
    <w:rsid w:val="00DB4F81"/>
    <w:rsid w:val="00DB4FE2"/>
    <w:rsid w:val="00DB5036"/>
    <w:rsid w:val="00DB514A"/>
    <w:rsid w:val="00DB53A1"/>
    <w:rsid w:val="00DB53BF"/>
    <w:rsid w:val="00DB56AF"/>
    <w:rsid w:val="00DB5797"/>
    <w:rsid w:val="00DB591F"/>
    <w:rsid w:val="00DB59C3"/>
    <w:rsid w:val="00DB59C5"/>
    <w:rsid w:val="00DB5A19"/>
    <w:rsid w:val="00DB5B3E"/>
    <w:rsid w:val="00DB5BF9"/>
    <w:rsid w:val="00DB5C0C"/>
    <w:rsid w:val="00DB5D8C"/>
    <w:rsid w:val="00DB5DF3"/>
    <w:rsid w:val="00DB5F0E"/>
    <w:rsid w:val="00DB5FEA"/>
    <w:rsid w:val="00DB60A0"/>
    <w:rsid w:val="00DB6625"/>
    <w:rsid w:val="00DB668E"/>
    <w:rsid w:val="00DB669A"/>
    <w:rsid w:val="00DB6982"/>
    <w:rsid w:val="00DB69A6"/>
    <w:rsid w:val="00DB6ADF"/>
    <w:rsid w:val="00DB6E6B"/>
    <w:rsid w:val="00DB70C7"/>
    <w:rsid w:val="00DB7174"/>
    <w:rsid w:val="00DB7206"/>
    <w:rsid w:val="00DB7320"/>
    <w:rsid w:val="00DB73E3"/>
    <w:rsid w:val="00DB769F"/>
    <w:rsid w:val="00DB76FC"/>
    <w:rsid w:val="00DB7743"/>
    <w:rsid w:val="00DB788E"/>
    <w:rsid w:val="00DB78A0"/>
    <w:rsid w:val="00DB7989"/>
    <w:rsid w:val="00DB7B45"/>
    <w:rsid w:val="00DB7B71"/>
    <w:rsid w:val="00DB7F0F"/>
    <w:rsid w:val="00DB7F91"/>
    <w:rsid w:val="00DC0052"/>
    <w:rsid w:val="00DC0154"/>
    <w:rsid w:val="00DC0427"/>
    <w:rsid w:val="00DC055F"/>
    <w:rsid w:val="00DC118A"/>
    <w:rsid w:val="00DC16E6"/>
    <w:rsid w:val="00DC195C"/>
    <w:rsid w:val="00DC198F"/>
    <w:rsid w:val="00DC199F"/>
    <w:rsid w:val="00DC1A89"/>
    <w:rsid w:val="00DC1A90"/>
    <w:rsid w:val="00DC1C1E"/>
    <w:rsid w:val="00DC1D33"/>
    <w:rsid w:val="00DC1EA3"/>
    <w:rsid w:val="00DC1F25"/>
    <w:rsid w:val="00DC1F58"/>
    <w:rsid w:val="00DC213A"/>
    <w:rsid w:val="00DC228F"/>
    <w:rsid w:val="00DC23F2"/>
    <w:rsid w:val="00DC23F6"/>
    <w:rsid w:val="00DC2432"/>
    <w:rsid w:val="00DC2731"/>
    <w:rsid w:val="00DC2AED"/>
    <w:rsid w:val="00DC2B0C"/>
    <w:rsid w:val="00DC2BD2"/>
    <w:rsid w:val="00DC2C7D"/>
    <w:rsid w:val="00DC33C7"/>
    <w:rsid w:val="00DC34E0"/>
    <w:rsid w:val="00DC3A99"/>
    <w:rsid w:val="00DC3F06"/>
    <w:rsid w:val="00DC40BF"/>
    <w:rsid w:val="00DC433A"/>
    <w:rsid w:val="00DC4418"/>
    <w:rsid w:val="00DC4670"/>
    <w:rsid w:val="00DC4FCA"/>
    <w:rsid w:val="00DC5323"/>
    <w:rsid w:val="00DC5459"/>
    <w:rsid w:val="00DC545A"/>
    <w:rsid w:val="00DC5BCC"/>
    <w:rsid w:val="00DC5CA4"/>
    <w:rsid w:val="00DC5D9F"/>
    <w:rsid w:val="00DC5FD6"/>
    <w:rsid w:val="00DC60CC"/>
    <w:rsid w:val="00DC6551"/>
    <w:rsid w:val="00DC65CF"/>
    <w:rsid w:val="00DC6A26"/>
    <w:rsid w:val="00DC6C33"/>
    <w:rsid w:val="00DC6D1B"/>
    <w:rsid w:val="00DC705B"/>
    <w:rsid w:val="00DC7240"/>
    <w:rsid w:val="00DC7400"/>
    <w:rsid w:val="00DC771F"/>
    <w:rsid w:val="00DC772A"/>
    <w:rsid w:val="00DC7C38"/>
    <w:rsid w:val="00DC7D27"/>
    <w:rsid w:val="00DC7FB5"/>
    <w:rsid w:val="00DD0173"/>
    <w:rsid w:val="00DD0381"/>
    <w:rsid w:val="00DD03B8"/>
    <w:rsid w:val="00DD05CD"/>
    <w:rsid w:val="00DD073F"/>
    <w:rsid w:val="00DD0A74"/>
    <w:rsid w:val="00DD0ADC"/>
    <w:rsid w:val="00DD0DA8"/>
    <w:rsid w:val="00DD1032"/>
    <w:rsid w:val="00DD1137"/>
    <w:rsid w:val="00DD114B"/>
    <w:rsid w:val="00DD115E"/>
    <w:rsid w:val="00DD12E5"/>
    <w:rsid w:val="00DD150F"/>
    <w:rsid w:val="00DD1BD6"/>
    <w:rsid w:val="00DD1C12"/>
    <w:rsid w:val="00DD1D07"/>
    <w:rsid w:val="00DD1EC3"/>
    <w:rsid w:val="00DD1EFF"/>
    <w:rsid w:val="00DD1F09"/>
    <w:rsid w:val="00DD1F2A"/>
    <w:rsid w:val="00DD1FCB"/>
    <w:rsid w:val="00DD224C"/>
    <w:rsid w:val="00DD24CD"/>
    <w:rsid w:val="00DD2617"/>
    <w:rsid w:val="00DD26BB"/>
    <w:rsid w:val="00DD2728"/>
    <w:rsid w:val="00DD280E"/>
    <w:rsid w:val="00DD2818"/>
    <w:rsid w:val="00DD295A"/>
    <w:rsid w:val="00DD2B84"/>
    <w:rsid w:val="00DD2D4A"/>
    <w:rsid w:val="00DD2E10"/>
    <w:rsid w:val="00DD2ED8"/>
    <w:rsid w:val="00DD3531"/>
    <w:rsid w:val="00DD354A"/>
    <w:rsid w:val="00DD3651"/>
    <w:rsid w:val="00DD375E"/>
    <w:rsid w:val="00DD3D83"/>
    <w:rsid w:val="00DD3DB2"/>
    <w:rsid w:val="00DD4128"/>
    <w:rsid w:val="00DD41BF"/>
    <w:rsid w:val="00DD427C"/>
    <w:rsid w:val="00DD43BE"/>
    <w:rsid w:val="00DD467D"/>
    <w:rsid w:val="00DD4793"/>
    <w:rsid w:val="00DD48A9"/>
    <w:rsid w:val="00DD48AB"/>
    <w:rsid w:val="00DD48AC"/>
    <w:rsid w:val="00DD48F5"/>
    <w:rsid w:val="00DD49A8"/>
    <w:rsid w:val="00DD531E"/>
    <w:rsid w:val="00DD536E"/>
    <w:rsid w:val="00DD54D7"/>
    <w:rsid w:val="00DD5ABE"/>
    <w:rsid w:val="00DD5AD7"/>
    <w:rsid w:val="00DD5B48"/>
    <w:rsid w:val="00DD5BFB"/>
    <w:rsid w:val="00DD5CCE"/>
    <w:rsid w:val="00DD5CE4"/>
    <w:rsid w:val="00DD5EF6"/>
    <w:rsid w:val="00DD5FAA"/>
    <w:rsid w:val="00DD6237"/>
    <w:rsid w:val="00DD6338"/>
    <w:rsid w:val="00DD650A"/>
    <w:rsid w:val="00DD67F5"/>
    <w:rsid w:val="00DD68F8"/>
    <w:rsid w:val="00DD6BB2"/>
    <w:rsid w:val="00DD6CCF"/>
    <w:rsid w:val="00DD6F74"/>
    <w:rsid w:val="00DD6F7D"/>
    <w:rsid w:val="00DD7308"/>
    <w:rsid w:val="00DD73FF"/>
    <w:rsid w:val="00DD77C3"/>
    <w:rsid w:val="00DD78CF"/>
    <w:rsid w:val="00DD7C19"/>
    <w:rsid w:val="00DD7E9E"/>
    <w:rsid w:val="00DD7F68"/>
    <w:rsid w:val="00DE027E"/>
    <w:rsid w:val="00DE04E4"/>
    <w:rsid w:val="00DE0566"/>
    <w:rsid w:val="00DE073E"/>
    <w:rsid w:val="00DE0811"/>
    <w:rsid w:val="00DE0933"/>
    <w:rsid w:val="00DE0C02"/>
    <w:rsid w:val="00DE0C2C"/>
    <w:rsid w:val="00DE10E5"/>
    <w:rsid w:val="00DE10FE"/>
    <w:rsid w:val="00DE1177"/>
    <w:rsid w:val="00DE157D"/>
    <w:rsid w:val="00DE17E6"/>
    <w:rsid w:val="00DE1894"/>
    <w:rsid w:val="00DE192A"/>
    <w:rsid w:val="00DE1A56"/>
    <w:rsid w:val="00DE1B2A"/>
    <w:rsid w:val="00DE1D07"/>
    <w:rsid w:val="00DE1FFF"/>
    <w:rsid w:val="00DE2023"/>
    <w:rsid w:val="00DE26DF"/>
    <w:rsid w:val="00DE27E8"/>
    <w:rsid w:val="00DE27F2"/>
    <w:rsid w:val="00DE287A"/>
    <w:rsid w:val="00DE2A41"/>
    <w:rsid w:val="00DE2A61"/>
    <w:rsid w:val="00DE2E0A"/>
    <w:rsid w:val="00DE30B2"/>
    <w:rsid w:val="00DE30E4"/>
    <w:rsid w:val="00DE33E0"/>
    <w:rsid w:val="00DE35D9"/>
    <w:rsid w:val="00DE391A"/>
    <w:rsid w:val="00DE3964"/>
    <w:rsid w:val="00DE3B9B"/>
    <w:rsid w:val="00DE3D15"/>
    <w:rsid w:val="00DE3EB9"/>
    <w:rsid w:val="00DE4149"/>
    <w:rsid w:val="00DE445E"/>
    <w:rsid w:val="00DE454F"/>
    <w:rsid w:val="00DE473D"/>
    <w:rsid w:val="00DE482C"/>
    <w:rsid w:val="00DE4B74"/>
    <w:rsid w:val="00DE4C0F"/>
    <w:rsid w:val="00DE4FA3"/>
    <w:rsid w:val="00DE515F"/>
    <w:rsid w:val="00DE51F9"/>
    <w:rsid w:val="00DE5220"/>
    <w:rsid w:val="00DE54CD"/>
    <w:rsid w:val="00DE56C9"/>
    <w:rsid w:val="00DE5735"/>
    <w:rsid w:val="00DE5798"/>
    <w:rsid w:val="00DE57D7"/>
    <w:rsid w:val="00DE5876"/>
    <w:rsid w:val="00DE5ECC"/>
    <w:rsid w:val="00DE6042"/>
    <w:rsid w:val="00DE62D3"/>
    <w:rsid w:val="00DE62EA"/>
    <w:rsid w:val="00DE66AA"/>
    <w:rsid w:val="00DE66F9"/>
    <w:rsid w:val="00DE67FD"/>
    <w:rsid w:val="00DE684B"/>
    <w:rsid w:val="00DE68BA"/>
    <w:rsid w:val="00DE68BF"/>
    <w:rsid w:val="00DE6AE7"/>
    <w:rsid w:val="00DE6BD2"/>
    <w:rsid w:val="00DE6D55"/>
    <w:rsid w:val="00DE6DCB"/>
    <w:rsid w:val="00DE71BB"/>
    <w:rsid w:val="00DE735C"/>
    <w:rsid w:val="00DE7697"/>
    <w:rsid w:val="00DE7839"/>
    <w:rsid w:val="00DE7A6C"/>
    <w:rsid w:val="00DE7B7E"/>
    <w:rsid w:val="00DE7C29"/>
    <w:rsid w:val="00DE7D26"/>
    <w:rsid w:val="00DE7DE3"/>
    <w:rsid w:val="00DE7E90"/>
    <w:rsid w:val="00DE7F69"/>
    <w:rsid w:val="00DF0220"/>
    <w:rsid w:val="00DF02C0"/>
    <w:rsid w:val="00DF048E"/>
    <w:rsid w:val="00DF04AD"/>
    <w:rsid w:val="00DF062F"/>
    <w:rsid w:val="00DF0A1F"/>
    <w:rsid w:val="00DF0DB8"/>
    <w:rsid w:val="00DF108E"/>
    <w:rsid w:val="00DF109E"/>
    <w:rsid w:val="00DF10F9"/>
    <w:rsid w:val="00DF1123"/>
    <w:rsid w:val="00DF11C6"/>
    <w:rsid w:val="00DF148F"/>
    <w:rsid w:val="00DF154F"/>
    <w:rsid w:val="00DF1598"/>
    <w:rsid w:val="00DF1656"/>
    <w:rsid w:val="00DF1697"/>
    <w:rsid w:val="00DF1A73"/>
    <w:rsid w:val="00DF1F14"/>
    <w:rsid w:val="00DF20BD"/>
    <w:rsid w:val="00DF250C"/>
    <w:rsid w:val="00DF2666"/>
    <w:rsid w:val="00DF26CE"/>
    <w:rsid w:val="00DF2990"/>
    <w:rsid w:val="00DF29FA"/>
    <w:rsid w:val="00DF29FC"/>
    <w:rsid w:val="00DF2D9E"/>
    <w:rsid w:val="00DF3087"/>
    <w:rsid w:val="00DF32A5"/>
    <w:rsid w:val="00DF32F9"/>
    <w:rsid w:val="00DF3448"/>
    <w:rsid w:val="00DF3843"/>
    <w:rsid w:val="00DF3A4D"/>
    <w:rsid w:val="00DF42DD"/>
    <w:rsid w:val="00DF474B"/>
    <w:rsid w:val="00DF483A"/>
    <w:rsid w:val="00DF483C"/>
    <w:rsid w:val="00DF4E5D"/>
    <w:rsid w:val="00DF536C"/>
    <w:rsid w:val="00DF5C25"/>
    <w:rsid w:val="00DF5C98"/>
    <w:rsid w:val="00DF5FE9"/>
    <w:rsid w:val="00DF6BC6"/>
    <w:rsid w:val="00DF708D"/>
    <w:rsid w:val="00DF70A0"/>
    <w:rsid w:val="00DF70F1"/>
    <w:rsid w:val="00DF7101"/>
    <w:rsid w:val="00DF73FE"/>
    <w:rsid w:val="00DF7841"/>
    <w:rsid w:val="00DF7FA1"/>
    <w:rsid w:val="00E0010F"/>
    <w:rsid w:val="00E004C0"/>
    <w:rsid w:val="00E0076A"/>
    <w:rsid w:val="00E00964"/>
    <w:rsid w:val="00E00A80"/>
    <w:rsid w:val="00E00C90"/>
    <w:rsid w:val="00E010BE"/>
    <w:rsid w:val="00E01335"/>
    <w:rsid w:val="00E0153F"/>
    <w:rsid w:val="00E0166E"/>
    <w:rsid w:val="00E018A0"/>
    <w:rsid w:val="00E01928"/>
    <w:rsid w:val="00E01E32"/>
    <w:rsid w:val="00E01FF5"/>
    <w:rsid w:val="00E02628"/>
    <w:rsid w:val="00E02675"/>
    <w:rsid w:val="00E0271B"/>
    <w:rsid w:val="00E027E7"/>
    <w:rsid w:val="00E02C3D"/>
    <w:rsid w:val="00E02CB0"/>
    <w:rsid w:val="00E02DB6"/>
    <w:rsid w:val="00E02EF1"/>
    <w:rsid w:val="00E02F83"/>
    <w:rsid w:val="00E02FA6"/>
    <w:rsid w:val="00E033A0"/>
    <w:rsid w:val="00E03417"/>
    <w:rsid w:val="00E03496"/>
    <w:rsid w:val="00E0364D"/>
    <w:rsid w:val="00E0396E"/>
    <w:rsid w:val="00E0397F"/>
    <w:rsid w:val="00E03A85"/>
    <w:rsid w:val="00E03AA8"/>
    <w:rsid w:val="00E03AE6"/>
    <w:rsid w:val="00E03BE4"/>
    <w:rsid w:val="00E03CED"/>
    <w:rsid w:val="00E0450A"/>
    <w:rsid w:val="00E0452E"/>
    <w:rsid w:val="00E04549"/>
    <w:rsid w:val="00E04614"/>
    <w:rsid w:val="00E04892"/>
    <w:rsid w:val="00E04AC9"/>
    <w:rsid w:val="00E04FE8"/>
    <w:rsid w:val="00E05085"/>
    <w:rsid w:val="00E05183"/>
    <w:rsid w:val="00E054A6"/>
    <w:rsid w:val="00E054E6"/>
    <w:rsid w:val="00E057E3"/>
    <w:rsid w:val="00E05B09"/>
    <w:rsid w:val="00E05C73"/>
    <w:rsid w:val="00E061BE"/>
    <w:rsid w:val="00E062CE"/>
    <w:rsid w:val="00E06398"/>
    <w:rsid w:val="00E063E3"/>
    <w:rsid w:val="00E063EA"/>
    <w:rsid w:val="00E064B1"/>
    <w:rsid w:val="00E065D2"/>
    <w:rsid w:val="00E06E0E"/>
    <w:rsid w:val="00E06F71"/>
    <w:rsid w:val="00E070D9"/>
    <w:rsid w:val="00E07534"/>
    <w:rsid w:val="00E07608"/>
    <w:rsid w:val="00E07994"/>
    <w:rsid w:val="00E07B6A"/>
    <w:rsid w:val="00E07C58"/>
    <w:rsid w:val="00E07DA0"/>
    <w:rsid w:val="00E10297"/>
    <w:rsid w:val="00E105D4"/>
    <w:rsid w:val="00E10755"/>
    <w:rsid w:val="00E107E1"/>
    <w:rsid w:val="00E107F9"/>
    <w:rsid w:val="00E10DE5"/>
    <w:rsid w:val="00E11666"/>
    <w:rsid w:val="00E116F4"/>
    <w:rsid w:val="00E11767"/>
    <w:rsid w:val="00E118F6"/>
    <w:rsid w:val="00E11D60"/>
    <w:rsid w:val="00E11E1E"/>
    <w:rsid w:val="00E11E72"/>
    <w:rsid w:val="00E12071"/>
    <w:rsid w:val="00E12220"/>
    <w:rsid w:val="00E126C3"/>
    <w:rsid w:val="00E129F6"/>
    <w:rsid w:val="00E12C2C"/>
    <w:rsid w:val="00E12D02"/>
    <w:rsid w:val="00E12D38"/>
    <w:rsid w:val="00E131E0"/>
    <w:rsid w:val="00E13498"/>
    <w:rsid w:val="00E13731"/>
    <w:rsid w:val="00E13871"/>
    <w:rsid w:val="00E139A4"/>
    <w:rsid w:val="00E13A56"/>
    <w:rsid w:val="00E13AF4"/>
    <w:rsid w:val="00E140CE"/>
    <w:rsid w:val="00E14348"/>
    <w:rsid w:val="00E14443"/>
    <w:rsid w:val="00E145A3"/>
    <w:rsid w:val="00E14777"/>
    <w:rsid w:val="00E147B2"/>
    <w:rsid w:val="00E148A2"/>
    <w:rsid w:val="00E1493D"/>
    <w:rsid w:val="00E149C5"/>
    <w:rsid w:val="00E14C30"/>
    <w:rsid w:val="00E14CDF"/>
    <w:rsid w:val="00E14DBA"/>
    <w:rsid w:val="00E14E03"/>
    <w:rsid w:val="00E14E2C"/>
    <w:rsid w:val="00E14EE3"/>
    <w:rsid w:val="00E14FA5"/>
    <w:rsid w:val="00E15089"/>
    <w:rsid w:val="00E15190"/>
    <w:rsid w:val="00E15242"/>
    <w:rsid w:val="00E15260"/>
    <w:rsid w:val="00E15261"/>
    <w:rsid w:val="00E15398"/>
    <w:rsid w:val="00E159DD"/>
    <w:rsid w:val="00E15A14"/>
    <w:rsid w:val="00E15BB7"/>
    <w:rsid w:val="00E15BD8"/>
    <w:rsid w:val="00E15D4E"/>
    <w:rsid w:val="00E15DDE"/>
    <w:rsid w:val="00E15EB7"/>
    <w:rsid w:val="00E15FB7"/>
    <w:rsid w:val="00E16142"/>
    <w:rsid w:val="00E161CD"/>
    <w:rsid w:val="00E161FC"/>
    <w:rsid w:val="00E1624C"/>
    <w:rsid w:val="00E1669E"/>
    <w:rsid w:val="00E16747"/>
    <w:rsid w:val="00E16979"/>
    <w:rsid w:val="00E169A7"/>
    <w:rsid w:val="00E16A86"/>
    <w:rsid w:val="00E16E89"/>
    <w:rsid w:val="00E170EC"/>
    <w:rsid w:val="00E17414"/>
    <w:rsid w:val="00E174A8"/>
    <w:rsid w:val="00E17776"/>
    <w:rsid w:val="00E177F8"/>
    <w:rsid w:val="00E17AA5"/>
    <w:rsid w:val="00E17D6A"/>
    <w:rsid w:val="00E17F10"/>
    <w:rsid w:val="00E201D4"/>
    <w:rsid w:val="00E20428"/>
    <w:rsid w:val="00E205A1"/>
    <w:rsid w:val="00E205AE"/>
    <w:rsid w:val="00E20782"/>
    <w:rsid w:val="00E2078B"/>
    <w:rsid w:val="00E20C69"/>
    <w:rsid w:val="00E20E86"/>
    <w:rsid w:val="00E20F8B"/>
    <w:rsid w:val="00E20FD6"/>
    <w:rsid w:val="00E2104A"/>
    <w:rsid w:val="00E210A6"/>
    <w:rsid w:val="00E211C0"/>
    <w:rsid w:val="00E211F2"/>
    <w:rsid w:val="00E21238"/>
    <w:rsid w:val="00E21306"/>
    <w:rsid w:val="00E21328"/>
    <w:rsid w:val="00E21599"/>
    <w:rsid w:val="00E215CD"/>
    <w:rsid w:val="00E21736"/>
    <w:rsid w:val="00E217DB"/>
    <w:rsid w:val="00E21884"/>
    <w:rsid w:val="00E21925"/>
    <w:rsid w:val="00E21A66"/>
    <w:rsid w:val="00E21E16"/>
    <w:rsid w:val="00E220A5"/>
    <w:rsid w:val="00E220BB"/>
    <w:rsid w:val="00E2210A"/>
    <w:rsid w:val="00E22203"/>
    <w:rsid w:val="00E22524"/>
    <w:rsid w:val="00E2258F"/>
    <w:rsid w:val="00E2291D"/>
    <w:rsid w:val="00E22C8A"/>
    <w:rsid w:val="00E22E3D"/>
    <w:rsid w:val="00E22EC1"/>
    <w:rsid w:val="00E23094"/>
    <w:rsid w:val="00E230EB"/>
    <w:rsid w:val="00E23180"/>
    <w:rsid w:val="00E231D9"/>
    <w:rsid w:val="00E233F3"/>
    <w:rsid w:val="00E235D1"/>
    <w:rsid w:val="00E23998"/>
    <w:rsid w:val="00E23BFF"/>
    <w:rsid w:val="00E23E44"/>
    <w:rsid w:val="00E240A3"/>
    <w:rsid w:val="00E243B7"/>
    <w:rsid w:val="00E24483"/>
    <w:rsid w:val="00E2498B"/>
    <w:rsid w:val="00E24A3C"/>
    <w:rsid w:val="00E24C61"/>
    <w:rsid w:val="00E24C79"/>
    <w:rsid w:val="00E24CD1"/>
    <w:rsid w:val="00E251AF"/>
    <w:rsid w:val="00E25289"/>
    <w:rsid w:val="00E2543C"/>
    <w:rsid w:val="00E25635"/>
    <w:rsid w:val="00E2584F"/>
    <w:rsid w:val="00E2585E"/>
    <w:rsid w:val="00E2597F"/>
    <w:rsid w:val="00E25C87"/>
    <w:rsid w:val="00E25CA4"/>
    <w:rsid w:val="00E25EED"/>
    <w:rsid w:val="00E262BB"/>
    <w:rsid w:val="00E26714"/>
    <w:rsid w:val="00E2675B"/>
    <w:rsid w:val="00E2694E"/>
    <w:rsid w:val="00E26A5E"/>
    <w:rsid w:val="00E26ED9"/>
    <w:rsid w:val="00E27092"/>
    <w:rsid w:val="00E270C8"/>
    <w:rsid w:val="00E27478"/>
    <w:rsid w:val="00E274BA"/>
    <w:rsid w:val="00E276BD"/>
    <w:rsid w:val="00E27737"/>
    <w:rsid w:val="00E277C4"/>
    <w:rsid w:val="00E278DE"/>
    <w:rsid w:val="00E279F8"/>
    <w:rsid w:val="00E27A99"/>
    <w:rsid w:val="00E27D0E"/>
    <w:rsid w:val="00E27D8C"/>
    <w:rsid w:val="00E27F26"/>
    <w:rsid w:val="00E27F7B"/>
    <w:rsid w:val="00E27F9D"/>
    <w:rsid w:val="00E3002C"/>
    <w:rsid w:val="00E305E0"/>
    <w:rsid w:val="00E3097D"/>
    <w:rsid w:val="00E30B63"/>
    <w:rsid w:val="00E30C37"/>
    <w:rsid w:val="00E30E57"/>
    <w:rsid w:val="00E30E9C"/>
    <w:rsid w:val="00E30F6F"/>
    <w:rsid w:val="00E310C7"/>
    <w:rsid w:val="00E3123E"/>
    <w:rsid w:val="00E314E1"/>
    <w:rsid w:val="00E31514"/>
    <w:rsid w:val="00E31532"/>
    <w:rsid w:val="00E31535"/>
    <w:rsid w:val="00E31608"/>
    <w:rsid w:val="00E3168C"/>
    <w:rsid w:val="00E31731"/>
    <w:rsid w:val="00E317C7"/>
    <w:rsid w:val="00E3196E"/>
    <w:rsid w:val="00E319F4"/>
    <w:rsid w:val="00E31ACA"/>
    <w:rsid w:val="00E31D03"/>
    <w:rsid w:val="00E31D36"/>
    <w:rsid w:val="00E31F36"/>
    <w:rsid w:val="00E320DD"/>
    <w:rsid w:val="00E3238A"/>
    <w:rsid w:val="00E32487"/>
    <w:rsid w:val="00E324A8"/>
    <w:rsid w:val="00E326CA"/>
    <w:rsid w:val="00E32706"/>
    <w:rsid w:val="00E32902"/>
    <w:rsid w:val="00E32B89"/>
    <w:rsid w:val="00E32D9C"/>
    <w:rsid w:val="00E32FD6"/>
    <w:rsid w:val="00E33281"/>
    <w:rsid w:val="00E3338A"/>
    <w:rsid w:val="00E33927"/>
    <w:rsid w:val="00E33946"/>
    <w:rsid w:val="00E339D2"/>
    <w:rsid w:val="00E339F4"/>
    <w:rsid w:val="00E33ACD"/>
    <w:rsid w:val="00E33E24"/>
    <w:rsid w:val="00E33E57"/>
    <w:rsid w:val="00E33F12"/>
    <w:rsid w:val="00E33F1E"/>
    <w:rsid w:val="00E340E6"/>
    <w:rsid w:val="00E341A1"/>
    <w:rsid w:val="00E341BC"/>
    <w:rsid w:val="00E3422F"/>
    <w:rsid w:val="00E343D7"/>
    <w:rsid w:val="00E34D5A"/>
    <w:rsid w:val="00E34E34"/>
    <w:rsid w:val="00E350D8"/>
    <w:rsid w:val="00E351D5"/>
    <w:rsid w:val="00E35265"/>
    <w:rsid w:val="00E355F9"/>
    <w:rsid w:val="00E356BC"/>
    <w:rsid w:val="00E35992"/>
    <w:rsid w:val="00E35C3D"/>
    <w:rsid w:val="00E35D52"/>
    <w:rsid w:val="00E3624C"/>
    <w:rsid w:val="00E3634F"/>
    <w:rsid w:val="00E36423"/>
    <w:rsid w:val="00E36658"/>
    <w:rsid w:val="00E366CC"/>
    <w:rsid w:val="00E367CE"/>
    <w:rsid w:val="00E367E7"/>
    <w:rsid w:val="00E36B04"/>
    <w:rsid w:val="00E37171"/>
    <w:rsid w:val="00E373CA"/>
    <w:rsid w:val="00E377D4"/>
    <w:rsid w:val="00E378E5"/>
    <w:rsid w:val="00E37A74"/>
    <w:rsid w:val="00E37A82"/>
    <w:rsid w:val="00E37CAC"/>
    <w:rsid w:val="00E37D86"/>
    <w:rsid w:val="00E37F93"/>
    <w:rsid w:val="00E40003"/>
    <w:rsid w:val="00E402F5"/>
    <w:rsid w:val="00E403AD"/>
    <w:rsid w:val="00E403B6"/>
    <w:rsid w:val="00E40897"/>
    <w:rsid w:val="00E41048"/>
    <w:rsid w:val="00E41204"/>
    <w:rsid w:val="00E415DA"/>
    <w:rsid w:val="00E4168C"/>
    <w:rsid w:val="00E418E7"/>
    <w:rsid w:val="00E4194E"/>
    <w:rsid w:val="00E41969"/>
    <w:rsid w:val="00E41F49"/>
    <w:rsid w:val="00E4242A"/>
    <w:rsid w:val="00E425C8"/>
    <w:rsid w:val="00E42701"/>
    <w:rsid w:val="00E429AE"/>
    <w:rsid w:val="00E42A66"/>
    <w:rsid w:val="00E42BB7"/>
    <w:rsid w:val="00E42EF3"/>
    <w:rsid w:val="00E42F1B"/>
    <w:rsid w:val="00E43067"/>
    <w:rsid w:val="00E4310A"/>
    <w:rsid w:val="00E43160"/>
    <w:rsid w:val="00E431B9"/>
    <w:rsid w:val="00E43950"/>
    <w:rsid w:val="00E4395A"/>
    <w:rsid w:val="00E439B9"/>
    <w:rsid w:val="00E43AF2"/>
    <w:rsid w:val="00E43B10"/>
    <w:rsid w:val="00E43C81"/>
    <w:rsid w:val="00E43F36"/>
    <w:rsid w:val="00E43F95"/>
    <w:rsid w:val="00E442B0"/>
    <w:rsid w:val="00E444D1"/>
    <w:rsid w:val="00E446CB"/>
    <w:rsid w:val="00E44925"/>
    <w:rsid w:val="00E44B48"/>
    <w:rsid w:val="00E44CAC"/>
    <w:rsid w:val="00E44DBF"/>
    <w:rsid w:val="00E44F2B"/>
    <w:rsid w:val="00E45029"/>
    <w:rsid w:val="00E4506D"/>
    <w:rsid w:val="00E450AD"/>
    <w:rsid w:val="00E45494"/>
    <w:rsid w:val="00E4552D"/>
    <w:rsid w:val="00E4569E"/>
    <w:rsid w:val="00E45746"/>
    <w:rsid w:val="00E459B9"/>
    <w:rsid w:val="00E45BB4"/>
    <w:rsid w:val="00E45C41"/>
    <w:rsid w:val="00E45F2F"/>
    <w:rsid w:val="00E460B2"/>
    <w:rsid w:val="00E463C0"/>
    <w:rsid w:val="00E464BB"/>
    <w:rsid w:val="00E4654F"/>
    <w:rsid w:val="00E46579"/>
    <w:rsid w:val="00E467C5"/>
    <w:rsid w:val="00E46AA1"/>
    <w:rsid w:val="00E46CD9"/>
    <w:rsid w:val="00E46D74"/>
    <w:rsid w:val="00E46EFE"/>
    <w:rsid w:val="00E46FDC"/>
    <w:rsid w:val="00E470DB"/>
    <w:rsid w:val="00E4728A"/>
    <w:rsid w:val="00E474ED"/>
    <w:rsid w:val="00E47EC9"/>
    <w:rsid w:val="00E50164"/>
    <w:rsid w:val="00E50276"/>
    <w:rsid w:val="00E5040A"/>
    <w:rsid w:val="00E5082E"/>
    <w:rsid w:val="00E508A3"/>
    <w:rsid w:val="00E508DE"/>
    <w:rsid w:val="00E511B0"/>
    <w:rsid w:val="00E5124C"/>
    <w:rsid w:val="00E512DE"/>
    <w:rsid w:val="00E5130D"/>
    <w:rsid w:val="00E5138B"/>
    <w:rsid w:val="00E51401"/>
    <w:rsid w:val="00E5164A"/>
    <w:rsid w:val="00E517E6"/>
    <w:rsid w:val="00E51892"/>
    <w:rsid w:val="00E51A8C"/>
    <w:rsid w:val="00E51AA0"/>
    <w:rsid w:val="00E51AC4"/>
    <w:rsid w:val="00E51C1C"/>
    <w:rsid w:val="00E51C44"/>
    <w:rsid w:val="00E51FAD"/>
    <w:rsid w:val="00E51FF8"/>
    <w:rsid w:val="00E521B0"/>
    <w:rsid w:val="00E52302"/>
    <w:rsid w:val="00E5248B"/>
    <w:rsid w:val="00E52A09"/>
    <w:rsid w:val="00E52C40"/>
    <w:rsid w:val="00E5320D"/>
    <w:rsid w:val="00E532AC"/>
    <w:rsid w:val="00E5339D"/>
    <w:rsid w:val="00E533BC"/>
    <w:rsid w:val="00E533D7"/>
    <w:rsid w:val="00E534DC"/>
    <w:rsid w:val="00E5373A"/>
    <w:rsid w:val="00E5387E"/>
    <w:rsid w:val="00E53B4B"/>
    <w:rsid w:val="00E53CE4"/>
    <w:rsid w:val="00E540E4"/>
    <w:rsid w:val="00E5461A"/>
    <w:rsid w:val="00E5488D"/>
    <w:rsid w:val="00E54969"/>
    <w:rsid w:val="00E5498C"/>
    <w:rsid w:val="00E549AF"/>
    <w:rsid w:val="00E54A26"/>
    <w:rsid w:val="00E54E39"/>
    <w:rsid w:val="00E551D7"/>
    <w:rsid w:val="00E55305"/>
    <w:rsid w:val="00E55315"/>
    <w:rsid w:val="00E55457"/>
    <w:rsid w:val="00E55AE6"/>
    <w:rsid w:val="00E55D2B"/>
    <w:rsid w:val="00E55D2C"/>
    <w:rsid w:val="00E55DE1"/>
    <w:rsid w:val="00E55E13"/>
    <w:rsid w:val="00E55EDE"/>
    <w:rsid w:val="00E560C7"/>
    <w:rsid w:val="00E564A0"/>
    <w:rsid w:val="00E564B8"/>
    <w:rsid w:val="00E56A41"/>
    <w:rsid w:val="00E572E7"/>
    <w:rsid w:val="00E57434"/>
    <w:rsid w:val="00E575E4"/>
    <w:rsid w:val="00E57849"/>
    <w:rsid w:val="00E57C50"/>
    <w:rsid w:val="00E57D53"/>
    <w:rsid w:val="00E57F1D"/>
    <w:rsid w:val="00E600C2"/>
    <w:rsid w:val="00E60418"/>
    <w:rsid w:val="00E60446"/>
    <w:rsid w:val="00E6046D"/>
    <w:rsid w:val="00E6076A"/>
    <w:rsid w:val="00E607AE"/>
    <w:rsid w:val="00E6090F"/>
    <w:rsid w:val="00E609AF"/>
    <w:rsid w:val="00E60B71"/>
    <w:rsid w:val="00E6123C"/>
    <w:rsid w:val="00E6147F"/>
    <w:rsid w:val="00E615B1"/>
    <w:rsid w:val="00E61B29"/>
    <w:rsid w:val="00E61C3A"/>
    <w:rsid w:val="00E61E7F"/>
    <w:rsid w:val="00E61F9A"/>
    <w:rsid w:val="00E61FB1"/>
    <w:rsid w:val="00E6201B"/>
    <w:rsid w:val="00E62088"/>
    <w:rsid w:val="00E620E3"/>
    <w:rsid w:val="00E621A0"/>
    <w:rsid w:val="00E6223E"/>
    <w:rsid w:val="00E622E9"/>
    <w:rsid w:val="00E62333"/>
    <w:rsid w:val="00E6260D"/>
    <w:rsid w:val="00E627BA"/>
    <w:rsid w:val="00E62833"/>
    <w:rsid w:val="00E62D40"/>
    <w:rsid w:val="00E63031"/>
    <w:rsid w:val="00E63044"/>
    <w:rsid w:val="00E63165"/>
    <w:rsid w:val="00E6317F"/>
    <w:rsid w:val="00E6321D"/>
    <w:rsid w:val="00E6323A"/>
    <w:rsid w:val="00E63584"/>
    <w:rsid w:val="00E635D5"/>
    <w:rsid w:val="00E635EC"/>
    <w:rsid w:val="00E63715"/>
    <w:rsid w:val="00E6377C"/>
    <w:rsid w:val="00E63B53"/>
    <w:rsid w:val="00E63BBF"/>
    <w:rsid w:val="00E63CBF"/>
    <w:rsid w:val="00E63CE7"/>
    <w:rsid w:val="00E63D30"/>
    <w:rsid w:val="00E63D77"/>
    <w:rsid w:val="00E63DE5"/>
    <w:rsid w:val="00E63E5F"/>
    <w:rsid w:val="00E63FA2"/>
    <w:rsid w:val="00E6413D"/>
    <w:rsid w:val="00E64188"/>
    <w:rsid w:val="00E645F5"/>
    <w:rsid w:val="00E646CE"/>
    <w:rsid w:val="00E648AD"/>
    <w:rsid w:val="00E648CA"/>
    <w:rsid w:val="00E64DDD"/>
    <w:rsid w:val="00E64E0E"/>
    <w:rsid w:val="00E6514B"/>
    <w:rsid w:val="00E65184"/>
    <w:rsid w:val="00E65286"/>
    <w:rsid w:val="00E65446"/>
    <w:rsid w:val="00E655D3"/>
    <w:rsid w:val="00E656B4"/>
    <w:rsid w:val="00E65759"/>
    <w:rsid w:val="00E657D2"/>
    <w:rsid w:val="00E65870"/>
    <w:rsid w:val="00E6590F"/>
    <w:rsid w:val="00E65B5B"/>
    <w:rsid w:val="00E65B76"/>
    <w:rsid w:val="00E65C01"/>
    <w:rsid w:val="00E65C93"/>
    <w:rsid w:val="00E65D0C"/>
    <w:rsid w:val="00E66435"/>
    <w:rsid w:val="00E66526"/>
    <w:rsid w:val="00E6694F"/>
    <w:rsid w:val="00E66F14"/>
    <w:rsid w:val="00E66F20"/>
    <w:rsid w:val="00E66F52"/>
    <w:rsid w:val="00E6700C"/>
    <w:rsid w:val="00E670ED"/>
    <w:rsid w:val="00E67427"/>
    <w:rsid w:val="00E674C9"/>
    <w:rsid w:val="00E67770"/>
    <w:rsid w:val="00E679A3"/>
    <w:rsid w:val="00E679FB"/>
    <w:rsid w:val="00E67BC0"/>
    <w:rsid w:val="00E67F35"/>
    <w:rsid w:val="00E67F36"/>
    <w:rsid w:val="00E67F7D"/>
    <w:rsid w:val="00E70200"/>
    <w:rsid w:val="00E70258"/>
    <w:rsid w:val="00E702F0"/>
    <w:rsid w:val="00E70522"/>
    <w:rsid w:val="00E706A6"/>
    <w:rsid w:val="00E706FC"/>
    <w:rsid w:val="00E70824"/>
    <w:rsid w:val="00E70ADB"/>
    <w:rsid w:val="00E70C4B"/>
    <w:rsid w:val="00E70F8D"/>
    <w:rsid w:val="00E7117D"/>
    <w:rsid w:val="00E712E7"/>
    <w:rsid w:val="00E7130A"/>
    <w:rsid w:val="00E7138E"/>
    <w:rsid w:val="00E713FC"/>
    <w:rsid w:val="00E7143A"/>
    <w:rsid w:val="00E7143F"/>
    <w:rsid w:val="00E71962"/>
    <w:rsid w:val="00E71AB0"/>
    <w:rsid w:val="00E71B66"/>
    <w:rsid w:val="00E71BC2"/>
    <w:rsid w:val="00E71C35"/>
    <w:rsid w:val="00E71DE3"/>
    <w:rsid w:val="00E720B9"/>
    <w:rsid w:val="00E7239C"/>
    <w:rsid w:val="00E7258A"/>
    <w:rsid w:val="00E725F0"/>
    <w:rsid w:val="00E726B0"/>
    <w:rsid w:val="00E726B1"/>
    <w:rsid w:val="00E728DA"/>
    <w:rsid w:val="00E72E2B"/>
    <w:rsid w:val="00E72E57"/>
    <w:rsid w:val="00E730C8"/>
    <w:rsid w:val="00E733ED"/>
    <w:rsid w:val="00E7359A"/>
    <w:rsid w:val="00E736EA"/>
    <w:rsid w:val="00E73836"/>
    <w:rsid w:val="00E73858"/>
    <w:rsid w:val="00E73FEB"/>
    <w:rsid w:val="00E7412D"/>
    <w:rsid w:val="00E741B1"/>
    <w:rsid w:val="00E741CC"/>
    <w:rsid w:val="00E7433D"/>
    <w:rsid w:val="00E7437E"/>
    <w:rsid w:val="00E74585"/>
    <w:rsid w:val="00E7475A"/>
    <w:rsid w:val="00E74958"/>
    <w:rsid w:val="00E74BEB"/>
    <w:rsid w:val="00E74D93"/>
    <w:rsid w:val="00E74FA0"/>
    <w:rsid w:val="00E755E5"/>
    <w:rsid w:val="00E7561D"/>
    <w:rsid w:val="00E75878"/>
    <w:rsid w:val="00E758F7"/>
    <w:rsid w:val="00E75A21"/>
    <w:rsid w:val="00E75B96"/>
    <w:rsid w:val="00E75DD2"/>
    <w:rsid w:val="00E760A6"/>
    <w:rsid w:val="00E7629E"/>
    <w:rsid w:val="00E763C3"/>
    <w:rsid w:val="00E765C1"/>
    <w:rsid w:val="00E7667A"/>
    <w:rsid w:val="00E767C4"/>
    <w:rsid w:val="00E7680F"/>
    <w:rsid w:val="00E76C41"/>
    <w:rsid w:val="00E76F38"/>
    <w:rsid w:val="00E76F62"/>
    <w:rsid w:val="00E76F82"/>
    <w:rsid w:val="00E77001"/>
    <w:rsid w:val="00E77068"/>
    <w:rsid w:val="00E770AC"/>
    <w:rsid w:val="00E7724E"/>
    <w:rsid w:val="00E7727F"/>
    <w:rsid w:val="00E7731D"/>
    <w:rsid w:val="00E77603"/>
    <w:rsid w:val="00E77E7F"/>
    <w:rsid w:val="00E801ED"/>
    <w:rsid w:val="00E80367"/>
    <w:rsid w:val="00E803B1"/>
    <w:rsid w:val="00E805E4"/>
    <w:rsid w:val="00E80E3C"/>
    <w:rsid w:val="00E80E7D"/>
    <w:rsid w:val="00E80FC0"/>
    <w:rsid w:val="00E8114C"/>
    <w:rsid w:val="00E816D0"/>
    <w:rsid w:val="00E81998"/>
    <w:rsid w:val="00E81BBA"/>
    <w:rsid w:val="00E81D09"/>
    <w:rsid w:val="00E81F26"/>
    <w:rsid w:val="00E81FC7"/>
    <w:rsid w:val="00E822B3"/>
    <w:rsid w:val="00E827DE"/>
    <w:rsid w:val="00E82AC1"/>
    <w:rsid w:val="00E82BA2"/>
    <w:rsid w:val="00E82E73"/>
    <w:rsid w:val="00E83212"/>
    <w:rsid w:val="00E8323A"/>
    <w:rsid w:val="00E8338E"/>
    <w:rsid w:val="00E83515"/>
    <w:rsid w:val="00E83951"/>
    <w:rsid w:val="00E83987"/>
    <w:rsid w:val="00E83C1D"/>
    <w:rsid w:val="00E83C64"/>
    <w:rsid w:val="00E83E32"/>
    <w:rsid w:val="00E83F5D"/>
    <w:rsid w:val="00E84590"/>
    <w:rsid w:val="00E8465C"/>
    <w:rsid w:val="00E848E5"/>
    <w:rsid w:val="00E84915"/>
    <w:rsid w:val="00E8491A"/>
    <w:rsid w:val="00E84C24"/>
    <w:rsid w:val="00E84D6A"/>
    <w:rsid w:val="00E84DD5"/>
    <w:rsid w:val="00E84E1F"/>
    <w:rsid w:val="00E84EAF"/>
    <w:rsid w:val="00E84F58"/>
    <w:rsid w:val="00E8566A"/>
    <w:rsid w:val="00E85776"/>
    <w:rsid w:val="00E86188"/>
    <w:rsid w:val="00E861FD"/>
    <w:rsid w:val="00E86335"/>
    <w:rsid w:val="00E8634B"/>
    <w:rsid w:val="00E86552"/>
    <w:rsid w:val="00E86583"/>
    <w:rsid w:val="00E86662"/>
    <w:rsid w:val="00E868EF"/>
    <w:rsid w:val="00E86F33"/>
    <w:rsid w:val="00E86F3E"/>
    <w:rsid w:val="00E86F9F"/>
    <w:rsid w:val="00E87004"/>
    <w:rsid w:val="00E8743C"/>
    <w:rsid w:val="00E87481"/>
    <w:rsid w:val="00E87518"/>
    <w:rsid w:val="00E876FB"/>
    <w:rsid w:val="00E877B3"/>
    <w:rsid w:val="00E878DC"/>
    <w:rsid w:val="00E87C92"/>
    <w:rsid w:val="00E87D38"/>
    <w:rsid w:val="00E87DA1"/>
    <w:rsid w:val="00E9032A"/>
    <w:rsid w:val="00E90376"/>
    <w:rsid w:val="00E9053D"/>
    <w:rsid w:val="00E9072D"/>
    <w:rsid w:val="00E909DB"/>
    <w:rsid w:val="00E90DB9"/>
    <w:rsid w:val="00E90EB4"/>
    <w:rsid w:val="00E90EE6"/>
    <w:rsid w:val="00E90F00"/>
    <w:rsid w:val="00E90FF5"/>
    <w:rsid w:val="00E9117C"/>
    <w:rsid w:val="00E9131E"/>
    <w:rsid w:val="00E91456"/>
    <w:rsid w:val="00E91611"/>
    <w:rsid w:val="00E91802"/>
    <w:rsid w:val="00E91BD2"/>
    <w:rsid w:val="00E91C2A"/>
    <w:rsid w:val="00E91C67"/>
    <w:rsid w:val="00E91D3D"/>
    <w:rsid w:val="00E91E62"/>
    <w:rsid w:val="00E91F70"/>
    <w:rsid w:val="00E91FEF"/>
    <w:rsid w:val="00E9208A"/>
    <w:rsid w:val="00E92142"/>
    <w:rsid w:val="00E9224C"/>
    <w:rsid w:val="00E92341"/>
    <w:rsid w:val="00E92431"/>
    <w:rsid w:val="00E92849"/>
    <w:rsid w:val="00E92B01"/>
    <w:rsid w:val="00E92C57"/>
    <w:rsid w:val="00E92D35"/>
    <w:rsid w:val="00E92FAD"/>
    <w:rsid w:val="00E9315A"/>
    <w:rsid w:val="00E935A7"/>
    <w:rsid w:val="00E937B7"/>
    <w:rsid w:val="00E93901"/>
    <w:rsid w:val="00E93B5B"/>
    <w:rsid w:val="00E93F40"/>
    <w:rsid w:val="00E9422B"/>
    <w:rsid w:val="00E94329"/>
    <w:rsid w:val="00E9443D"/>
    <w:rsid w:val="00E9450B"/>
    <w:rsid w:val="00E94555"/>
    <w:rsid w:val="00E94CC1"/>
    <w:rsid w:val="00E94EA4"/>
    <w:rsid w:val="00E94EE6"/>
    <w:rsid w:val="00E94F8B"/>
    <w:rsid w:val="00E94F97"/>
    <w:rsid w:val="00E95091"/>
    <w:rsid w:val="00E953E7"/>
    <w:rsid w:val="00E95560"/>
    <w:rsid w:val="00E95947"/>
    <w:rsid w:val="00E95997"/>
    <w:rsid w:val="00E95A27"/>
    <w:rsid w:val="00E95C7D"/>
    <w:rsid w:val="00E96204"/>
    <w:rsid w:val="00E964DF"/>
    <w:rsid w:val="00E96785"/>
    <w:rsid w:val="00E96B09"/>
    <w:rsid w:val="00E96D74"/>
    <w:rsid w:val="00E970BC"/>
    <w:rsid w:val="00E9752E"/>
    <w:rsid w:val="00E975E4"/>
    <w:rsid w:val="00E9768D"/>
    <w:rsid w:val="00E97D3F"/>
    <w:rsid w:val="00E97DE4"/>
    <w:rsid w:val="00EA0336"/>
    <w:rsid w:val="00EA04BD"/>
    <w:rsid w:val="00EA065C"/>
    <w:rsid w:val="00EA06AF"/>
    <w:rsid w:val="00EA090F"/>
    <w:rsid w:val="00EA09F6"/>
    <w:rsid w:val="00EA0B00"/>
    <w:rsid w:val="00EA0B28"/>
    <w:rsid w:val="00EA0C48"/>
    <w:rsid w:val="00EA0C9C"/>
    <w:rsid w:val="00EA0D43"/>
    <w:rsid w:val="00EA0F3E"/>
    <w:rsid w:val="00EA1084"/>
    <w:rsid w:val="00EA12AA"/>
    <w:rsid w:val="00EA1327"/>
    <w:rsid w:val="00EA1453"/>
    <w:rsid w:val="00EA1627"/>
    <w:rsid w:val="00EA1861"/>
    <w:rsid w:val="00EA18FD"/>
    <w:rsid w:val="00EA1CA3"/>
    <w:rsid w:val="00EA215F"/>
    <w:rsid w:val="00EA22D2"/>
    <w:rsid w:val="00EA2490"/>
    <w:rsid w:val="00EA2621"/>
    <w:rsid w:val="00EA2681"/>
    <w:rsid w:val="00EA27EB"/>
    <w:rsid w:val="00EA2C67"/>
    <w:rsid w:val="00EA3185"/>
    <w:rsid w:val="00EA330A"/>
    <w:rsid w:val="00EA34DE"/>
    <w:rsid w:val="00EA35C8"/>
    <w:rsid w:val="00EA35FB"/>
    <w:rsid w:val="00EA36DA"/>
    <w:rsid w:val="00EA39ED"/>
    <w:rsid w:val="00EA3FFC"/>
    <w:rsid w:val="00EA4662"/>
    <w:rsid w:val="00EA46D3"/>
    <w:rsid w:val="00EA470E"/>
    <w:rsid w:val="00EA4921"/>
    <w:rsid w:val="00EA4A2B"/>
    <w:rsid w:val="00EA4B43"/>
    <w:rsid w:val="00EA4B9A"/>
    <w:rsid w:val="00EA5019"/>
    <w:rsid w:val="00EA50BB"/>
    <w:rsid w:val="00EA5402"/>
    <w:rsid w:val="00EA55B1"/>
    <w:rsid w:val="00EA579F"/>
    <w:rsid w:val="00EA5C56"/>
    <w:rsid w:val="00EA5E0C"/>
    <w:rsid w:val="00EA5E3A"/>
    <w:rsid w:val="00EA5E85"/>
    <w:rsid w:val="00EA5F5C"/>
    <w:rsid w:val="00EA60B2"/>
    <w:rsid w:val="00EA619E"/>
    <w:rsid w:val="00EA6419"/>
    <w:rsid w:val="00EA6490"/>
    <w:rsid w:val="00EA6731"/>
    <w:rsid w:val="00EA6B1F"/>
    <w:rsid w:val="00EA6B72"/>
    <w:rsid w:val="00EA6BBD"/>
    <w:rsid w:val="00EA6BD1"/>
    <w:rsid w:val="00EA6D44"/>
    <w:rsid w:val="00EA6DEF"/>
    <w:rsid w:val="00EA6E45"/>
    <w:rsid w:val="00EA6F20"/>
    <w:rsid w:val="00EA71B9"/>
    <w:rsid w:val="00EA74DF"/>
    <w:rsid w:val="00EA7562"/>
    <w:rsid w:val="00EA7723"/>
    <w:rsid w:val="00EA77D6"/>
    <w:rsid w:val="00EA786C"/>
    <w:rsid w:val="00EA79D5"/>
    <w:rsid w:val="00EA7A71"/>
    <w:rsid w:val="00EA7D40"/>
    <w:rsid w:val="00EB0188"/>
    <w:rsid w:val="00EB01FB"/>
    <w:rsid w:val="00EB023E"/>
    <w:rsid w:val="00EB0297"/>
    <w:rsid w:val="00EB032E"/>
    <w:rsid w:val="00EB0CA4"/>
    <w:rsid w:val="00EB0D4D"/>
    <w:rsid w:val="00EB0F51"/>
    <w:rsid w:val="00EB0F68"/>
    <w:rsid w:val="00EB113A"/>
    <w:rsid w:val="00EB13DD"/>
    <w:rsid w:val="00EB15EE"/>
    <w:rsid w:val="00EB182F"/>
    <w:rsid w:val="00EB1897"/>
    <w:rsid w:val="00EB1DC3"/>
    <w:rsid w:val="00EB20D8"/>
    <w:rsid w:val="00EB22D2"/>
    <w:rsid w:val="00EB2503"/>
    <w:rsid w:val="00EB2574"/>
    <w:rsid w:val="00EB2591"/>
    <w:rsid w:val="00EB29E0"/>
    <w:rsid w:val="00EB3171"/>
    <w:rsid w:val="00EB31D0"/>
    <w:rsid w:val="00EB352B"/>
    <w:rsid w:val="00EB356C"/>
    <w:rsid w:val="00EB35CC"/>
    <w:rsid w:val="00EB38B9"/>
    <w:rsid w:val="00EB38CD"/>
    <w:rsid w:val="00EB38E3"/>
    <w:rsid w:val="00EB3A9C"/>
    <w:rsid w:val="00EB3C4F"/>
    <w:rsid w:val="00EB3D21"/>
    <w:rsid w:val="00EB441B"/>
    <w:rsid w:val="00EB458D"/>
    <w:rsid w:val="00EB4744"/>
    <w:rsid w:val="00EB4909"/>
    <w:rsid w:val="00EB4914"/>
    <w:rsid w:val="00EB4BCD"/>
    <w:rsid w:val="00EB4FD6"/>
    <w:rsid w:val="00EB5048"/>
    <w:rsid w:val="00EB5110"/>
    <w:rsid w:val="00EB5589"/>
    <w:rsid w:val="00EB5873"/>
    <w:rsid w:val="00EB58CF"/>
    <w:rsid w:val="00EB59F7"/>
    <w:rsid w:val="00EB5B67"/>
    <w:rsid w:val="00EB5D78"/>
    <w:rsid w:val="00EB5DEA"/>
    <w:rsid w:val="00EB60CA"/>
    <w:rsid w:val="00EB616E"/>
    <w:rsid w:val="00EB6173"/>
    <w:rsid w:val="00EB6296"/>
    <w:rsid w:val="00EB64C3"/>
    <w:rsid w:val="00EB653C"/>
    <w:rsid w:val="00EB674B"/>
    <w:rsid w:val="00EB6770"/>
    <w:rsid w:val="00EB67DA"/>
    <w:rsid w:val="00EB6A08"/>
    <w:rsid w:val="00EB6CC2"/>
    <w:rsid w:val="00EB6FE2"/>
    <w:rsid w:val="00EB7083"/>
    <w:rsid w:val="00EB76DD"/>
    <w:rsid w:val="00EB7874"/>
    <w:rsid w:val="00EB792E"/>
    <w:rsid w:val="00EB7E41"/>
    <w:rsid w:val="00EB7FC9"/>
    <w:rsid w:val="00EC0035"/>
    <w:rsid w:val="00EC0099"/>
    <w:rsid w:val="00EC0216"/>
    <w:rsid w:val="00EC021D"/>
    <w:rsid w:val="00EC0269"/>
    <w:rsid w:val="00EC060A"/>
    <w:rsid w:val="00EC06E9"/>
    <w:rsid w:val="00EC09CF"/>
    <w:rsid w:val="00EC0C32"/>
    <w:rsid w:val="00EC0D07"/>
    <w:rsid w:val="00EC1280"/>
    <w:rsid w:val="00EC148F"/>
    <w:rsid w:val="00EC149B"/>
    <w:rsid w:val="00EC1614"/>
    <w:rsid w:val="00EC16BA"/>
    <w:rsid w:val="00EC1D7F"/>
    <w:rsid w:val="00EC1F3B"/>
    <w:rsid w:val="00EC1F54"/>
    <w:rsid w:val="00EC1F61"/>
    <w:rsid w:val="00EC1FB9"/>
    <w:rsid w:val="00EC2058"/>
    <w:rsid w:val="00EC23A7"/>
    <w:rsid w:val="00EC2538"/>
    <w:rsid w:val="00EC256C"/>
    <w:rsid w:val="00EC258F"/>
    <w:rsid w:val="00EC260E"/>
    <w:rsid w:val="00EC2635"/>
    <w:rsid w:val="00EC296A"/>
    <w:rsid w:val="00EC2A04"/>
    <w:rsid w:val="00EC33BE"/>
    <w:rsid w:val="00EC349F"/>
    <w:rsid w:val="00EC360E"/>
    <w:rsid w:val="00EC38D7"/>
    <w:rsid w:val="00EC399C"/>
    <w:rsid w:val="00EC3F01"/>
    <w:rsid w:val="00EC401E"/>
    <w:rsid w:val="00EC4039"/>
    <w:rsid w:val="00EC438A"/>
    <w:rsid w:val="00EC451F"/>
    <w:rsid w:val="00EC461C"/>
    <w:rsid w:val="00EC464E"/>
    <w:rsid w:val="00EC4656"/>
    <w:rsid w:val="00EC47A4"/>
    <w:rsid w:val="00EC4A98"/>
    <w:rsid w:val="00EC4B4E"/>
    <w:rsid w:val="00EC4C28"/>
    <w:rsid w:val="00EC4D5A"/>
    <w:rsid w:val="00EC5090"/>
    <w:rsid w:val="00EC50A8"/>
    <w:rsid w:val="00EC50B4"/>
    <w:rsid w:val="00EC51D7"/>
    <w:rsid w:val="00EC5224"/>
    <w:rsid w:val="00EC565A"/>
    <w:rsid w:val="00EC56E6"/>
    <w:rsid w:val="00EC5A7C"/>
    <w:rsid w:val="00EC5BB2"/>
    <w:rsid w:val="00EC5BB3"/>
    <w:rsid w:val="00EC5F50"/>
    <w:rsid w:val="00EC5F6A"/>
    <w:rsid w:val="00EC61FA"/>
    <w:rsid w:val="00EC629C"/>
    <w:rsid w:val="00EC6389"/>
    <w:rsid w:val="00EC647A"/>
    <w:rsid w:val="00EC658E"/>
    <w:rsid w:val="00EC67F4"/>
    <w:rsid w:val="00EC6AAF"/>
    <w:rsid w:val="00EC6BC9"/>
    <w:rsid w:val="00EC6DC7"/>
    <w:rsid w:val="00EC7202"/>
    <w:rsid w:val="00EC73AB"/>
    <w:rsid w:val="00EC73DE"/>
    <w:rsid w:val="00EC75FC"/>
    <w:rsid w:val="00EC770B"/>
    <w:rsid w:val="00EC7A0B"/>
    <w:rsid w:val="00EC7AE0"/>
    <w:rsid w:val="00ED0249"/>
    <w:rsid w:val="00ED03E3"/>
    <w:rsid w:val="00ED0534"/>
    <w:rsid w:val="00ED0767"/>
    <w:rsid w:val="00ED0B1F"/>
    <w:rsid w:val="00ED0B76"/>
    <w:rsid w:val="00ED0D88"/>
    <w:rsid w:val="00ED0EC0"/>
    <w:rsid w:val="00ED111A"/>
    <w:rsid w:val="00ED153C"/>
    <w:rsid w:val="00ED1585"/>
    <w:rsid w:val="00ED15EA"/>
    <w:rsid w:val="00ED17CE"/>
    <w:rsid w:val="00ED17D4"/>
    <w:rsid w:val="00ED1CE1"/>
    <w:rsid w:val="00ED1D0A"/>
    <w:rsid w:val="00ED1D12"/>
    <w:rsid w:val="00ED1DF9"/>
    <w:rsid w:val="00ED1E05"/>
    <w:rsid w:val="00ED1FEF"/>
    <w:rsid w:val="00ED2107"/>
    <w:rsid w:val="00ED212A"/>
    <w:rsid w:val="00ED219E"/>
    <w:rsid w:val="00ED2394"/>
    <w:rsid w:val="00ED2595"/>
    <w:rsid w:val="00ED25D6"/>
    <w:rsid w:val="00ED2618"/>
    <w:rsid w:val="00ED2787"/>
    <w:rsid w:val="00ED29EF"/>
    <w:rsid w:val="00ED2A52"/>
    <w:rsid w:val="00ED2B6D"/>
    <w:rsid w:val="00ED2C87"/>
    <w:rsid w:val="00ED2D24"/>
    <w:rsid w:val="00ED2D7E"/>
    <w:rsid w:val="00ED2E27"/>
    <w:rsid w:val="00ED2EB9"/>
    <w:rsid w:val="00ED30F9"/>
    <w:rsid w:val="00ED329B"/>
    <w:rsid w:val="00ED32CB"/>
    <w:rsid w:val="00ED34AD"/>
    <w:rsid w:val="00ED35C2"/>
    <w:rsid w:val="00ED35CF"/>
    <w:rsid w:val="00ED360B"/>
    <w:rsid w:val="00ED37A6"/>
    <w:rsid w:val="00ED3814"/>
    <w:rsid w:val="00ED3A96"/>
    <w:rsid w:val="00ED3AA2"/>
    <w:rsid w:val="00ED3AC5"/>
    <w:rsid w:val="00ED3D08"/>
    <w:rsid w:val="00ED3E57"/>
    <w:rsid w:val="00ED45E0"/>
    <w:rsid w:val="00ED471B"/>
    <w:rsid w:val="00ED4864"/>
    <w:rsid w:val="00ED48DB"/>
    <w:rsid w:val="00ED4AAC"/>
    <w:rsid w:val="00ED4C65"/>
    <w:rsid w:val="00ED4DA0"/>
    <w:rsid w:val="00ED528B"/>
    <w:rsid w:val="00ED544C"/>
    <w:rsid w:val="00ED546B"/>
    <w:rsid w:val="00ED577A"/>
    <w:rsid w:val="00ED5873"/>
    <w:rsid w:val="00ED596A"/>
    <w:rsid w:val="00ED59CC"/>
    <w:rsid w:val="00ED5EC5"/>
    <w:rsid w:val="00ED61A1"/>
    <w:rsid w:val="00ED656E"/>
    <w:rsid w:val="00ED6661"/>
    <w:rsid w:val="00ED6786"/>
    <w:rsid w:val="00ED6805"/>
    <w:rsid w:val="00ED6D83"/>
    <w:rsid w:val="00ED6E6B"/>
    <w:rsid w:val="00ED6F74"/>
    <w:rsid w:val="00ED719D"/>
    <w:rsid w:val="00ED71DB"/>
    <w:rsid w:val="00ED7226"/>
    <w:rsid w:val="00ED72DB"/>
    <w:rsid w:val="00ED75BC"/>
    <w:rsid w:val="00ED774A"/>
    <w:rsid w:val="00ED782F"/>
    <w:rsid w:val="00ED7D33"/>
    <w:rsid w:val="00ED7D6E"/>
    <w:rsid w:val="00ED7EEC"/>
    <w:rsid w:val="00ED7F51"/>
    <w:rsid w:val="00EE0314"/>
    <w:rsid w:val="00EE035D"/>
    <w:rsid w:val="00EE0487"/>
    <w:rsid w:val="00EE0722"/>
    <w:rsid w:val="00EE0758"/>
    <w:rsid w:val="00EE0785"/>
    <w:rsid w:val="00EE07BF"/>
    <w:rsid w:val="00EE082E"/>
    <w:rsid w:val="00EE0AF9"/>
    <w:rsid w:val="00EE0B56"/>
    <w:rsid w:val="00EE0DCF"/>
    <w:rsid w:val="00EE1005"/>
    <w:rsid w:val="00EE1346"/>
    <w:rsid w:val="00EE13FD"/>
    <w:rsid w:val="00EE163D"/>
    <w:rsid w:val="00EE185A"/>
    <w:rsid w:val="00EE1890"/>
    <w:rsid w:val="00EE1CD1"/>
    <w:rsid w:val="00EE223E"/>
    <w:rsid w:val="00EE24FE"/>
    <w:rsid w:val="00EE25EE"/>
    <w:rsid w:val="00EE2A25"/>
    <w:rsid w:val="00EE2A2D"/>
    <w:rsid w:val="00EE2B74"/>
    <w:rsid w:val="00EE2D08"/>
    <w:rsid w:val="00EE2D88"/>
    <w:rsid w:val="00EE301B"/>
    <w:rsid w:val="00EE336E"/>
    <w:rsid w:val="00EE3610"/>
    <w:rsid w:val="00EE37CA"/>
    <w:rsid w:val="00EE3952"/>
    <w:rsid w:val="00EE3CA8"/>
    <w:rsid w:val="00EE3EE1"/>
    <w:rsid w:val="00EE3FAE"/>
    <w:rsid w:val="00EE3FC1"/>
    <w:rsid w:val="00EE4630"/>
    <w:rsid w:val="00EE474C"/>
    <w:rsid w:val="00EE49EE"/>
    <w:rsid w:val="00EE5466"/>
    <w:rsid w:val="00EE547F"/>
    <w:rsid w:val="00EE55A7"/>
    <w:rsid w:val="00EE5708"/>
    <w:rsid w:val="00EE575B"/>
    <w:rsid w:val="00EE57A9"/>
    <w:rsid w:val="00EE5ADF"/>
    <w:rsid w:val="00EE5CEA"/>
    <w:rsid w:val="00EE5D1D"/>
    <w:rsid w:val="00EE5E58"/>
    <w:rsid w:val="00EE5F32"/>
    <w:rsid w:val="00EE6248"/>
    <w:rsid w:val="00EE6279"/>
    <w:rsid w:val="00EE62A1"/>
    <w:rsid w:val="00EE62D2"/>
    <w:rsid w:val="00EE6426"/>
    <w:rsid w:val="00EE642C"/>
    <w:rsid w:val="00EE6758"/>
    <w:rsid w:val="00EE6B0D"/>
    <w:rsid w:val="00EE6B6C"/>
    <w:rsid w:val="00EE6D68"/>
    <w:rsid w:val="00EE732A"/>
    <w:rsid w:val="00EE742F"/>
    <w:rsid w:val="00EE7655"/>
    <w:rsid w:val="00EE7759"/>
    <w:rsid w:val="00EE77A4"/>
    <w:rsid w:val="00EE7856"/>
    <w:rsid w:val="00EE7ED4"/>
    <w:rsid w:val="00EE7F41"/>
    <w:rsid w:val="00EF06B3"/>
    <w:rsid w:val="00EF0853"/>
    <w:rsid w:val="00EF0A61"/>
    <w:rsid w:val="00EF0C1C"/>
    <w:rsid w:val="00EF0CFD"/>
    <w:rsid w:val="00EF0E5A"/>
    <w:rsid w:val="00EF0F12"/>
    <w:rsid w:val="00EF1106"/>
    <w:rsid w:val="00EF177D"/>
    <w:rsid w:val="00EF17A3"/>
    <w:rsid w:val="00EF1B6B"/>
    <w:rsid w:val="00EF1BC0"/>
    <w:rsid w:val="00EF1CFD"/>
    <w:rsid w:val="00EF1DD3"/>
    <w:rsid w:val="00EF20BF"/>
    <w:rsid w:val="00EF20F4"/>
    <w:rsid w:val="00EF27F6"/>
    <w:rsid w:val="00EF28F6"/>
    <w:rsid w:val="00EF2908"/>
    <w:rsid w:val="00EF2A04"/>
    <w:rsid w:val="00EF2F27"/>
    <w:rsid w:val="00EF3514"/>
    <w:rsid w:val="00EF351D"/>
    <w:rsid w:val="00EF3929"/>
    <w:rsid w:val="00EF39B1"/>
    <w:rsid w:val="00EF3BF6"/>
    <w:rsid w:val="00EF3E2F"/>
    <w:rsid w:val="00EF424B"/>
    <w:rsid w:val="00EF468B"/>
    <w:rsid w:val="00EF4E27"/>
    <w:rsid w:val="00EF527F"/>
    <w:rsid w:val="00EF5448"/>
    <w:rsid w:val="00EF56B1"/>
    <w:rsid w:val="00EF59F2"/>
    <w:rsid w:val="00EF5B8D"/>
    <w:rsid w:val="00EF5DF9"/>
    <w:rsid w:val="00EF60AA"/>
    <w:rsid w:val="00EF61DC"/>
    <w:rsid w:val="00EF64A3"/>
    <w:rsid w:val="00EF6611"/>
    <w:rsid w:val="00EF674D"/>
    <w:rsid w:val="00EF6A54"/>
    <w:rsid w:val="00EF6CE0"/>
    <w:rsid w:val="00EF6DDE"/>
    <w:rsid w:val="00EF6FD3"/>
    <w:rsid w:val="00EF6FEA"/>
    <w:rsid w:val="00EF72C5"/>
    <w:rsid w:val="00EF76BB"/>
    <w:rsid w:val="00EF77F3"/>
    <w:rsid w:val="00EF7821"/>
    <w:rsid w:val="00EF7856"/>
    <w:rsid w:val="00EF78D4"/>
    <w:rsid w:val="00EF7A87"/>
    <w:rsid w:val="00EF7AC5"/>
    <w:rsid w:val="00F00279"/>
    <w:rsid w:val="00F00322"/>
    <w:rsid w:val="00F00448"/>
    <w:rsid w:val="00F0073D"/>
    <w:rsid w:val="00F00BA6"/>
    <w:rsid w:val="00F00DD7"/>
    <w:rsid w:val="00F01110"/>
    <w:rsid w:val="00F01256"/>
    <w:rsid w:val="00F013B1"/>
    <w:rsid w:val="00F013C3"/>
    <w:rsid w:val="00F0151E"/>
    <w:rsid w:val="00F017A0"/>
    <w:rsid w:val="00F01841"/>
    <w:rsid w:val="00F018A3"/>
    <w:rsid w:val="00F0191A"/>
    <w:rsid w:val="00F01975"/>
    <w:rsid w:val="00F019A5"/>
    <w:rsid w:val="00F01AEB"/>
    <w:rsid w:val="00F01BE1"/>
    <w:rsid w:val="00F0255E"/>
    <w:rsid w:val="00F02658"/>
    <w:rsid w:val="00F026F1"/>
    <w:rsid w:val="00F02773"/>
    <w:rsid w:val="00F028CB"/>
    <w:rsid w:val="00F02B52"/>
    <w:rsid w:val="00F02C41"/>
    <w:rsid w:val="00F02F77"/>
    <w:rsid w:val="00F02FC7"/>
    <w:rsid w:val="00F03031"/>
    <w:rsid w:val="00F03085"/>
    <w:rsid w:val="00F032D3"/>
    <w:rsid w:val="00F0331B"/>
    <w:rsid w:val="00F0347E"/>
    <w:rsid w:val="00F03635"/>
    <w:rsid w:val="00F03CF6"/>
    <w:rsid w:val="00F03D33"/>
    <w:rsid w:val="00F03DB5"/>
    <w:rsid w:val="00F03E54"/>
    <w:rsid w:val="00F0424B"/>
    <w:rsid w:val="00F0436A"/>
    <w:rsid w:val="00F04390"/>
    <w:rsid w:val="00F044E6"/>
    <w:rsid w:val="00F04511"/>
    <w:rsid w:val="00F04523"/>
    <w:rsid w:val="00F0454C"/>
    <w:rsid w:val="00F04AD1"/>
    <w:rsid w:val="00F04AF2"/>
    <w:rsid w:val="00F04CAA"/>
    <w:rsid w:val="00F04D4F"/>
    <w:rsid w:val="00F05174"/>
    <w:rsid w:val="00F0540C"/>
    <w:rsid w:val="00F055BC"/>
    <w:rsid w:val="00F055F6"/>
    <w:rsid w:val="00F0590D"/>
    <w:rsid w:val="00F05A2F"/>
    <w:rsid w:val="00F05BA0"/>
    <w:rsid w:val="00F05D37"/>
    <w:rsid w:val="00F05E4F"/>
    <w:rsid w:val="00F060F4"/>
    <w:rsid w:val="00F0619C"/>
    <w:rsid w:val="00F06461"/>
    <w:rsid w:val="00F06836"/>
    <w:rsid w:val="00F069E0"/>
    <w:rsid w:val="00F07287"/>
    <w:rsid w:val="00F073CF"/>
    <w:rsid w:val="00F07864"/>
    <w:rsid w:val="00F0786F"/>
    <w:rsid w:val="00F07A87"/>
    <w:rsid w:val="00F07EEF"/>
    <w:rsid w:val="00F07F07"/>
    <w:rsid w:val="00F1025A"/>
    <w:rsid w:val="00F1039F"/>
    <w:rsid w:val="00F10CDB"/>
    <w:rsid w:val="00F10D7B"/>
    <w:rsid w:val="00F10DAE"/>
    <w:rsid w:val="00F10FFA"/>
    <w:rsid w:val="00F11006"/>
    <w:rsid w:val="00F1110D"/>
    <w:rsid w:val="00F114F4"/>
    <w:rsid w:val="00F11624"/>
    <w:rsid w:val="00F11696"/>
    <w:rsid w:val="00F116D2"/>
    <w:rsid w:val="00F11704"/>
    <w:rsid w:val="00F119C1"/>
    <w:rsid w:val="00F11ABF"/>
    <w:rsid w:val="00F11E6E"/>
    <w:rsid w:val="00F11F17"/>
    <w:rsid w:val="00F125B8"/>
    <w:rsid w:val="00F12778"/>
    <w:rsid w:val="00F128CB"/>
    <w:rsid w:val="00F12AB7"/>
    <w:rsid w:val="00F13214"/>
    <w:rsid w:val="00F132BC"/>
    <w:rsid w:val="00F13300"/>
    <w:rsid w:val="00F13913"/>
    <w:rsid w:val="00F1398A"/>
    <w:rsid w:val="00F13A21"/>
    <w:rsid w:val="00F13AF3"/>
    <w:rsid w:val="00F13BF9"/>
    <w:rsid w:val="00F13E0B"/>
    <w:rsid w:val="00F13FB5"/>
    <w:rsid w:val="00F1417F"/>
    <w:rsid w:val="00F14500"/>
    <w:rsid w:val="00F14DE0"/>
    <w:rsid w:val="00F15946"/>
    <w:rsid w:val="00F15F2A"/>
    <w:rsid w:val="00F15F5E"/>
    <w:rsid w:val="00F1602A"/>
    <w:rsid w:val="00F1617B"/>
    <w:rsid w:val="00F164E7"/>
    <w:rsid w:val="00F165EF"/>
    <w:rsid w:val="00F1678B"/>
    <w:rsid w:val="00F169B1"/>
    <w:rsid w:val="00F16A97"/>
    <w:rsid w:val="00F16CF8"/>
    <w:rsid w:val="00F16D8C"/>
    <w:rsid w:val="00F1709A"/>
    <w:rsid w:val="00F171B1"/>
    <w:rsid w:val="00F172B8"/>
    <w:rsid w:val="00F1730B"/>
    <w:rsid w:val="00F1747A"/>
    <w:rsid w:val="00F17DE0"/>
    <w:rsid w:val="00F200A5"/>
    <w:rsid w:val="00F201A9"/>
    <w:rsid w:val="00F2023C"/>
    <w:rsid w:val="00F202B1"/>
    <w:rsid w:val="00F203D9"/>
    <w:rsid w:val="00F203E5"/>
    <w:rsid w:val="00F2045B"/>
    <w:rsid w:val="00F20557"/>
    <w:rsid w:val="00F2057E"/>
    <w:rsid w:val="00F20698"/>
    <w:rsid w:val="00F2096E"/>
    <w:rsid w:val="00F2099A"/>
    <w:rsid w:val="00F20BCB"/>
    <w:rsid w:val="00F20C6F"/>
    <w:rsid w:val="00F20E50"/>
    <w:rsid w:val="00F21373"/>
    <w:rsid w:val="00F213BC"/>
    <w:rsid w:val="00F217F5"/>
    <w:rsid w:val="00F21837"/>
    <w:rsid w:val="00F21916"/>
    <w:rsid w:val="00F2200F"/>
    <w:rsid w:val="00F22051"/>
    <w:rsid w:val="00F22083"/>
    <w:rsid w:val="00F2222C"/>
    <w:rsid w:val="00F222D0"/>
    <w:rsid w:val="00F22489"/>
    <w:rsid w:val="00F226AE"/>
    <w:rsid w:val="00F228D8"/>
    <w:rsid w:val="00F22A0B"/>
    <w:rsid w:val="00F22ADA"/>
    <w:rsid w:val="00F22C95"/>
    <w:rsid w:val="00F22EA5"/>
    <w:rsid w:val="00F22F0E"/>
    <w:rsid w:val="00F22FB4"/>
    <w:rsid w:val="00F23002"/>
    <w:rsid w:val="00F23273"/>
    <w:rsid w:val="00F23931"/>
    <w:rsid w:val="00F23AFB"/>
    <w:rsid w:val="00F23B02"/>
    <w:rsid w:val="00F23C11"/>
    <w:rsid w:val="00F23FD6"/>
    <w:rsid w:val="00F23FEF"/>
    <w:rsid w:val="00F240C6"/>
    <w:rsid w:val="00F24493"/>
    <w:rsid w:val="00F244BE"/>
    <w:rsid w:val="00F24551"/>
    <w:rsid w:val="00F2490B"/>
    <w:rsid w:val="00F24A04"/>
    <w:rsid w:val="00F24A44"/>
    <w:rsid w:val="00F24AA1"/>
    <w:rsid w:val="00F24CD5"/>
    <w:rsid w:val="00F24CD7"/>
    <w:rsid w:val="00F24CF2"/>
    <w:rsid w:val="00F24E4E"/>
    <w:rsid w:val="00F24FAF"/>
    <w:rsid w:val="00F2500D"/>
    <w:rsid w:val="00F25040"/>
    <w:rsid w:val="00F253B6"/>
    <w:rsid w:val="00F2558D"/>
    <w:rsid w:val="00F25678"/>
    <w:rsid w:val="00F2596F"/>
    <w:rsid w:val="00F25E62"/>
    <w:rsid w:val="00F25ED5"/>
    <w:rsid w:val="00F25F83"/>
    <w:rsid w:val="00F26002"/>
    <w:rsid w:val="00F2601C"/>
    <w:rsid w:val="00F26075"/>
    <w:rsid w:val="00F26121"/>
    <w:rsid w:val="00F26165"/>
    <w:rsid w:val="00F26223"/>
    <w:rsid w:val="00F26423"/>
    <w:rsid w:val="00F26983"/>
    <w:rsid w:val="00F26996"/>
    <w:rsid w:val="00F26AEF"/>
    <w:rsid w:val="00F26BA0"/>
    <w:rsid w:val="00F26C67"/>
    <w:rsid w:val="00F26FA6"/>
    <w:rsid w:val="00F2706A"/>
    <w:rsid w:val="00F271FE"/>
    <w:rsid w:val="00F27323"/>
    <w:rsid w:val="00F27703"/>
    <w:rsid w:val="00F27707"/>
    <w:rsid w:val="00F2776B"/>
    <w:rsid w:val="00F277E5"/>
    <w:rsid w:val="00F27881"/>
    <w:rsid w:val="00F278BF"/>
    <w:rsid w:val="00F27A47"/>
    <w:rsid w:val="00F27E6D"/>
    <w:rsid w:val="00F301F1"/>
    <w:rsid w:val="00F30512"/>
    <w:rsid w:val="00F3051F"/>
    <w:rsid w:val="00F30A3A"/>
    <w:rsid w:val="00F30E85"/>
    <w:rsid w:val="00F30F60"/>
    <w:rsid w:val="00F30FF2"/>
    <w:rsid w:val="00F31132"/>
    <w:rsid w:val="00F3116A"/>
    <w:rsid w:val="00F311E9"/>
    <w:rsid w:val="00F31234"/>
    <w:rsid w:val="00F31818"/>
    <w:rsid w:val="00F3187E"/>
    <w:rsid w:val="00F322E4"/>
    <w:rsid w:val="00F323CD"/>
    <w:rsid w:val="00F323DC"/>
    <w:rsid w:val="00F3260E"/>
    <w:rsid w:val="00F32621"/>
    <w:rsid w:val="00F326F6"/>
    <w:rsid w:val="00F3293A"/>
    <w:rsid w:val="00F329FD"/>
    <w:rsid w:val="00F32A87"/>
    <w:rsid w:val="00F33368"/>
    <w:rsid w:val="00F33386"/>
    <w:rsid w:val="00F33462"/>
    <w:rsid w:val="00F33621"/>
    <w:rsid w:val="00F33884"/>
    <w:rsid w:val="00F3388B"/>
    <w:rsid w:val="00F33A1C"/>
    <w:rsid w:val="00F33A49"/>
    <w:rsid w:val="00F34278"/>
    <w:rsid w:val="00F34592"/>
    <w:rsid w:val="00F3470E"/>
    <w:rsid w:val="00F34736"/>
    <w:rsid w:val="00F34890"/>
    <w:rsid w:val="00F34940"/>
    <w:rsid w:val="00F34AC9"/>
    <w:rsid w:val="00F34AFC"/>
    <w:rsid w:val="00F34C73"/>
    <w:rsid w:val="00F34D44"/>
    <w:rsid w:val="00F34E22"/>
    <w:rsid w:val="00F353D4"/>
    <w:rsid w:val="00F353F3"/>
    <w:rsid w:val="00F3542F"/>
    <w:rsid w:val="00F354FD"/>
    <w:rsid w:val="00F35501"/>
    <w:rsid w:val="00F3551C"/>
    <w:rsid w:val="00F3598A"/>
    <w:rsid w:val="00F359EB"/>
    <w:rsid w:val="00F35BC6"/>
    <w:rsid w:val="00F35D6C"/>
    <w:rsid w:val="00F35F39"/>
    <w:rsid w:val="00F35F91"/>
    <w:rsid w:val="00F35F9E"/>
    <w:rsid w:val="00F36139"/>
    <w:rsid w:val="00F362F9"/>
    <w:rsid w:val="00F3635E"/>
    <w:rsid w:val="00F3665D"/>
    <w:rsid w:val="00F36718"/>
    <w:rsid w:val="00F36870"/>
    <w:rsid w:val="00F368DB"/>
    <w:rsid w:val="00F36ADF"/>
    <w:rsid w:val="00F36D98"/>
    <w:rsid w:val="00F36EEB"/>
    <w:rsid w:val="00F36F34"/>
    <w:rsid w:val="00F3715C"/>
    <w:rsid w:val="00F371DB"/>
    <w:rsid w:val="00F372D0"/>
    <w:rsid w:val="00F37376"/>
    <w:rsid w:val="00F3742A"/>
    <w:rsid w:val="00F377AA"/>
    <w:rsid w:val="00F37A2C"/>
    <w:rsid w:val="00F37A72"/>
    <w:rsid w:val="00F37C6B"/>
    <w:rsid w:val="00F37C7A"/>
    <w:rsid w:val="00F37DC8"/>
    <w:rsid w:val="00F4021B"/>
    <w:rsid w:val="00F4112A"/>
    <w:rsid w:val="00F411FB"/>
    <w:rsid w:val="00F412AE"/>
    <w:rsid w:val="00F412CA"/>
    <w:rsid w:val="00F415F4"/>
    <w:rsid w:val="00F41604"/>
    <w:rsid w:val="00F4173B"/>
    <w:rsid w:val="00F41A29"/>
    <w:rsid w:val="00F41AC4"/>
    <w:rsid w:val="00F41E17"/>
    <w:rsid w:val="00F41E49"/>
    <w:rsid w:val="00F41F37"/>
    <w:rsid w:val="00F41F43"/>
    <w:rsid w:val="00F41F9B"/>
    <w:rsid w:val="00F4208E"/>
    <w:rsid w:val="00F42631"/>
    <w:rsid w:val="00F428EF"/>
    <w:rsid w:val="00F42913"/>
    <w:rsid w:val="00F429BB"/>
    <w:rsid w:val="00F42B79"/>
    <w:rsid w:val="00F4323D"/>
    <w:rsid w:val="00F432E8"/>
    <w:rsid w:val="00F43310"/>
    <w:rsid w:val="00F4333E"/>
    <w:rsid w:val="00F434EA"/>
    <w:rsid w:val="00F43B76"/>
    <w:rsid w:val="00F43CBF"/>
    <w:rsid w:val="00F43E4B"/>
    <w:rsid w:val="00F44045"/>
    <w:rsid w:val="00F44634"/>
    <w:rsid w:val="00F44E72"/>
    <w:rsid w:val="00F4507B"/>
    <w:rsid w:val="00F451A2"/>
    <w:rsid w:val="00F451C5"/>
    <w:rsid w:val="00F451F7"/>
    <w:rsid w:val="00F45C08"/>
    <w:rsid w:val="00F45C4C"/>
    <w:rsid w:val="00F46652"/>
    <w:rsid w:val="00F46825"/>
    <w:rsid w:val="00F4687F"/>
    <w:rsid w:val="00F4688E"/>
    <w:rsid w:val="00F468AF"/>
    <w:rsid w:val="00F46B40"/>
    <w:rsid w:val="00F46D96"/>
    <w:rsid w:val="00F46E0E"/>
    <w:rsid w:val="00F46FC3"/>
    <w:rsid w:val="00F471CA"/>
    <w:rsid w:val="00F472DF"/>
    <w:rsid w:val="00F47841"/>
    <w:rsid w:val="00F50102"/>
    <w:rsid w:val="00F501B8"/>
    <w:rsid w:val="00F50237"/>
    <w:rsid w:val="00F50659"/>
    <w:rsid w:val="00F50738"/>
    <w:rsid w:val="00F50754"/>
    <w:rsid w:val="00F509FC"/>
    <w:rsid w:val="00F50B95"/>
    <w:rsid w:val="00F50CFD"/>
    <w:rsid w:val="00F50EF9"/>
    <w:rsid w:val="00F5137B"/>
    <w:rsid w:val="00F5181E"/>
    <w:rsid w:val="00F51A21"/>
    <w:rsid w:val="00F51C12"/>
    <w:rsid w:val="00F51C32"/>
    <w:rsid w:val="00F51CC1"/>
    <w:rsid w:val="00F51D7D"/>
    <w:rsid w:val="00F51DCE"/>
    <w:rsid w:val="00F51E85"/>
    <w:rsid w:val="00F51EE4"/>
    <w:rsid w:val="00F51FC2"/>
    <w:rsid w:val="00F51FEB"/>
    <w:rsid w:val="00F51FFF"/>
    <w:rsid w:val="00F5217B"/>
    <w:rsid w:val="00F5248B"/>
    <w:rsid w:val="00F5266A"/>
    <w:rsid w:val="00F527D6"/>
    <w:rsid w:val="00F529F2"/>
    <w:rsid w:val="00F52A21"/>
    <w:rsid w:val="00F52AEB"/>
    <w:rsid w:val="00F52D9C"/>
    <w:rsid w:val="00F52E02"/>
    <w:rsid w:val="00F534DB"/>
    <w:rsid w:val="00F534F9"/>
    <w:rsid w:val="00F53A09"/>
    <w:rsid w:val="00F53A3B"/>
    <w:rsid w:val="00F53CD8"/>
    <w:rsid w:val="00F53CF9"/>
    <w:rsid w:val="00F53E17"/>
    <w:rsid w:val="00F53F2A"/>
    <w:rsid w:val="00F54113"/>
    <w:rsid w:val="00F54140"/>
    <w:rsid w:val="00F548BA"/>
    <w:rsid w:val="00F54DE9"/>
    <w:rsid w:val="00F55473"/>
    <w:rsid w:val="00F554B1"/>
    <w:rsid w:val="00F555A7"/>
    <w:rsid w:val="00F556AD"/>
    <w:rsid w:val="00F55728"/>
    <w:rsid w:val="00F558A2"/>
    <w:rsid w:val="00F55A0C"/>
    <w:rsid w:val="00F55EE5"/>
    <w:rsid w:val="00F55F30"/>
    <w:rsid w:val="00F55F6B"/>
    <w:rsid w:val="00F55FD0"/>
    <w:rsid w:val="00F565A8"/>
    <w:rsid w:val="00F56914"/>
    <w:rsid w:val="00F56FE0"/>
    <w:rsid w:val="00F57080"/>
    <w:rsid w:val="00F57244"/>
    <w:rsid w:val="00F573C8"/>
    <w:rsid w:val="00F57437"/>
    <w:rsid w:val="00F578C5"/>
    <w:rsid w:val="00F57B5C"/>
    <w:rsid w:val="00F57B6F"/>
    <w:rsid w:val="00F57C5E"/>
    <w:rsid w:val="00F57DA5"/>
    <w:rsid w:val="00F57E6D"/>
    <w:rsid w:val="00F57F00"/>
    <w:rsid w:val="00F57FD7"/>
    <w:rsid w:val="00F6013A"/>
    <w:rsid w:val="00F60143"/>
    <w:rsid w:val="00F601EE"/>
    <w:rsid w:val="00F60395"/>
    <w:rsid w:val="00F603F6"/>
    <w:rsid w:val="00F604B3"/>
    <w:rsid w:val="00F6053E"/>
    <w:rsid w:val="00F60A9A"/>
    <w:rsid w:val="00F612AB"/>
    <w:rsid w:val="00F613C6"/>
    <w:rsid w:val="00F61562"/>
    <w:rsid w:val="00F6168A"/>
    <w:rsid w:val="00F6194C"/>
    <w:rsid w:val="00F619B7"/>
    <w:rsid w:val="00F61F7C"/>
    <w:rsid w:val="00F62405"/>
    <w:rsid w:val="00F62422"/>
    <w:rsid w:val="00F625E2"/>
    <w:rsid w:val="00F62753"/>
    <w:rsid w:val="00F6299E"/>
    <w:rsid w:val="00F62B88"/>
    <w:rsid w:val="00F62BA5"/>
    <w:rsid w:val="00F62E48"/>
    <w:rsid w:val="00F63358"/>
    <w:rsid w:val="00F634BC"/>
    <w:rsid w:val="00F634D9"/>
    <w:rsid w:val="00F635DA"/>
    <w:rsid w:val="00F6383C"/>
    <w:rsid w:val="00F63957"/>
    <w:rsid w:val="00F63A1E"/>
    <w:rsid w:val="00F63ACF"/>
    <w:rsid w:val="00F63B69"/>
    <w:rsid w:val="00F63DBD"/>
    <w:rsid w:val="00F63FD4"/>
    <w:rsid w:val="00F6470B"/>
    <w:rsid w:val="00F64BD3"/>
    <w:rsid w:val="00F64C7B"/>
    <w:rsid w:val="00F64DB6"/>
    <w:rsid w:val="00F65533"/>
    <w:rsid w:val="00F65560"/>
    <w:rsid w:val="00F65564"/>
    <w:rsid w:val="00F65692"/>
    <w:rsid w:val="00F65714"/>
    <w:rsid w:val="00F659C8"/>
    <w:rsid w:val="00F65A12"/>
    <w:rsid w:val="00F65BE8"/>
    <w:rsid w:val="00F65DA6"/>
    <w:rsid w:val="00F65DAF"/>
    <w:rsid w:val="00F65E67"/>
    <w:rsid w:val="00F66103"/>
    <w:rsid w:val="00F66288"/>
    <w:rsid w:val="00F663AA"/>
    <w:rsid w:val="00F663ED"/>
    <w:rsid w:val="00F664F0"/>
    <w:rsid w:val="00F66948"/>
    <w:rsid w:val="00F669C3"/>
    <w:rsid w:val="00F66B05"/>
    <w:rsid w:val="00F66EB3"/>
    <w:rsid w:val="00F66F9B"/>
    <w:rsid w:val="00F66FD9"/>
    <w:rsid w:val="00F67065"/>
    <w:rsid w:val="00F67113"/>
    <w:rsid w:val="00F671F9"/>
    <w:rsid w:val="00F673E6"/>
    <w:rsid w:val="00F67422"/>
    <w:rsid w:val="00F67613"/>
    <w:rsid w:val="00F67917"/>
    <w:rsid w:val="00F67962"/>
    <w:rsid w:val="00F70237"/>
    <w:rsid w:val="00F703A9"/>
    <w:rsid w:val="00F70614"/>
    <w:rsid w:val="00F7083A"/>
    <w:rsid w:val="00F70A98"/>
    <w:rsid w:val="00F70B9F"/>
    <w:rsid w:val="00F70F60"/>
    <w:rsid w:val="00F7102D"/>
    <w:rsid w:val="00F710A3"/>
    <w:rsid w:val="00F715A8"/>
    <w:rsid w:val="00F716BA"/>
    <w:rsid w:val="00F7180B"/>
    <w:rsid w:val="00F7189E"/>
    <w:rsid w:val="00F719CE"/>
    <w:rsid w:val="00F71B39"/>
    <w:rsid w:val="00F71B83"/>
    <w:rsid w:val="00F71FE2"/>
    <w:rsid w:val="00F723F9"/>
    <w:rsid w:val="00F725EF"/>
    <w:rsid w:val="00F72616"/>
    <w:rsid w:val="00F72691"/>
    <w:rsid w:val="00F72921"/>
    <w:rsid w:val="00F7297F"/>
    <w:rsid w:val="00F72AA4"/>
    <w:rsid w:val="00F72D5F"/>
    <w:rsid w:val="00F72FC7"/>
    <w:rsid w:val="00F73051"/>
    <w:rsid w:val="00F73081"/>
    <w:rsid w:val="00F7318A"/>
    <w:rsid w:val="00F7339A"/>
    <w:rsid w:val="00F733D5"/>
    <w:rsid w:val="00F73466"/>
    <w:rsid w:val="00F735FA"/>
    <w:rsid w:val="00F738CA"/>
    <w:rsid w:val="00F73A88"/>
    <w:rsid w:val="00F73D5B"/>
    <w:rsid w:val="00F73E03"/>
    <w:rsid w:val="00F743BC"/>
    <w:rsid w:val="00F7450D"/>
    <w:rsid w:val="00F7462C"/>
    <w:rsid w:val="00F74883"/>
    <w:rsid w:val="00F748C1"/>
    <w:rsid w:val="00F749C0"/>
    <w:rsid w:val="00F74D63"/>
    <w:rsid w:val="00F74DAA"/>
    <w:rsid w:val="00F7525E"/>
    <w:rsid w:val="00F7528D"/>
    <w:rsid w:val="00F752CA"/>
    <w:rsid w:val="00F75A1E"/>
    <w:rsid w:val="00F75C2D"/>
    <w:rsid w:val="00F76072"/>
    <w:rsid w:val="00F762A8"/>
    <w:rsid w:val="00F766AD"/>
    <w:rsid w:val="00F768C3"/>
    <w:rsid w:val="00F76C04"/>
    <w:rsid w:val="00F76C11"/>
    <w:rsid w:val="00F76F9F"/>
    <w:rsid w:val="00F779B6"/>
    <w:rsid w:val="00F779F6"/>
    <w:rsid w:val="00F77B9A"/>
    <w:rsid w:val="00F77CDC"/>
    <w:rsid w:val="00F77DB8"/>
    <w:rsid w:val="00F77E3F"/>
    <w:rsid w:val="00F77EB1"/>
    <w:rsid w:val="00F800A3"/>
    <w:rsid w:val="00F80993"/>
    <w:rsid w:val="00F80A88"/>
    <w:rsid w:val="00F80CFC"/>
    <w:rsid w:val="00F810A1"/>
    <w:rsid w:val="00F81201"/>
    <w:rsid w:val="00F81466"/>
    <w:rsid w:val="00F814FF"/>
    <w:rsid w:val="00F81525"/>
    <w:rsid w:val="00F815F0"/>
    <w:rsid w:val="00F8168E"/>
    <w:rsid w:val="00F816B5"/>
    <w:rsid w:val="00F81998"/>
    <w:rsid w:val="00F81A30"/>
    <w:rsid w:val="00F81EE0"/>
    <w:rsid w:val="00F8219C"/>
    <w:rsid w:val="00F821D2"/>
    <w:rsid w:val="00F82319"/>
    <w:rsid w:val="00F8235D"/>
    <w:rsid w:val="00F826E4"/>
    <w:rsid w:val="00F827D1"/>
    <w:rsid w:val="00F8284E"/>
    <w:rsid w:val="00F82943"/>
    <w:rsid w:val="00F8298B"/>
    <w:rsid w:val="00F82C23"/>
    <w:rsid w:val="00F82CCA"/>
    <w:rsid w:val="00F82E08"/>
    <w:rsid w:val="00F82E66"/>
    <w:rsid w:val="00F82FE9"/>
    <w:rsid w:val="00F83181"/>
    <w:rsid w:val="00F831E4"/>
    <w:rsid w:val="00F83289"/>
    <w:rsid w:val="00F833A0"/>
    <w:rsid w:val="00F834A4"/>
    <w:rsid w:val="00F83686"/>
    <w:rsid w:val="00F8374E"/>
    <w:rsid w:val="00F837E7"/>
    <w:rsid w:val="00F83887"/>
    <w:rsid w:val="00F83993"/>
    <w:rsid w:val="00F839C0"/>
    <w:rsid w:val="00F83AFD"/>
    <w:rsid w:val="00F83D7C"/>
    <w:rsid w:val="00F84160"/>
    <w:rsid w:val="00F845B7"/>
    <w:rsid w:val="00F848FF"/>
    <w:rsid w:val="00F84945"/>
    <w:rsid w:val="00F84B7F"/>
    <w:rsid w:val="00F84BEF"/>
    <w:rsid w:val="00F85228"/>
    <w:rsid w:val="00F854C9"/>
    <w:rsid w:val="00F859BB"/>
    <w:rsid w:val="00F85A44"/>
    <w:rsid w:val="00F85A88"/>
    <w:rsid w:val="00F85AF6"/>
    <w:rsid w:val="00F85B06"/>
    <w:rsid w:val="00F85B21"/>
    <w:rsid w:val="00F85B4B"/>
    <w:rsid w:val="00F85D1E"/>
    <w:rsid w:val="00F85D4B"/>
    <w:rsid w:val="00F85D9C"/>
    <w:rsid w:val="00F85D9D"/>
    <w:rsid w:val="00F8624A"/>
    <w:rsid w:val="00F865AF"/>
    <w:rsid w:val="00F8664F"/>
    <w:rsid w:val="00F86B35"/>
    <w:rsid w:val="00F86B36"/>
    <w:rsid w:val="00F86BAE"/>
    <w:rsid w:val="00F86C44"/>
    <w:rsid w:val="00F8757C"/>
    <w:rsid w:val="00F8763E"/>
    <w:rsid w:val="00F876D3"/>
    <w:rsid w:val="00F877F7"/>
    <w:rsid w:val="00F87B61"/>
    <w:rsid w:val="00F87CC1"/>
    <w:rsid w:val="00F87D19"/>
    <w:rsid w:val="00F87DD3"/>
    <w:rsid w:val="00F87EBD"/>
    <w:rsid w:val="00F90091"/>
    <w:rsid w:val="00F900B6"/>
    <w:rsid w:val="00F90256"/>
    <w:rsid w:val="00F90269"/>
    <w:rsid w:val="00F90369"/>
    <w:rsid w:val="00F90534"/>
    <w:rsid w:val="00F90573"/>
    <w:rsid w:val="00F905A1"/>
    <w:rsid w:val="00F90CA8"/>
    <w:rsid w:val="00F90E9A"/>
    <w:rsid w:val="00F90FA1"/>
    <w:rsid w:val="00F91338"/>
    <w:rsid w:val="00F9160A"/>
    <w:rsid w:val="00F91623"/>
    <w:rsid w:val="00F9179B"/>
    <w:rsid w:val="00F9196D"/>
    <w:rsid w:val="00F919AE"/>
    <w:rsid w:val="00F91AAE"/>
    <w:rsid w:val="00F91BD1"/>
    <w:rsid w:val="00F91C47"/>
    <w:rsid w:val="00F91C58"/>
    <w:rsid w:val="00F91CEA"/>
    <w:rsid w:val="00F91D5F"/>
    <w:rsid w:val="00F91DCA"/>
    <w:rsid w:val="00F91DCD"/>
    <w:rsid w:val="00F91DFD"/>
    <w:rsid w:val="00F923BB"/>
    <w:rsid w:val="00F92444"/>
    <w:rsid w:val="00F92486"/>
    <w:rsid w:val="00F928BC"/>
    <w:rsid w:val="00F92A7B"/>
    <w:rsid w:val="00F92F12"/>
    <w:rsid w:val="00F92F31"/>
    <w:rsid w:val="00F92F47"/>
    <w:rsid w:val="00F93223"/>
    <w:rsid w:val="00F933D6"/>
    <w:rsid w:val="00F93BBC"/>
    <w:rsid w:val="00F94268"/>
    <w:rsid w:val="00F943F8"/>
    <w:rsid w:val="00F946E1"/>
    <w:rsid w:val="00F94720"/>
    <w:rsid w:val="00F94895"/>
    <w:rsid w:val="00F948FA"/>
    <w:rsid w:val="00F94977"/>
    <w:rsid w:val="00F94A52"/>
    <w:rsid w:val="00F94B24"/>
    <w:rsid w:val="00F94D0A"/>
    <w:rsid w:val="00F94DAF"/>
    <w:rsid w:val="00F94ECA"/>
    <w:rsid w:val="00F95068"/>
    <w:rsid w:val="00F95845"/>
    <w:rsid w:val="00F95DC0"/>
    <w:rsid w:val="00F95F6A"/>
    <w:rsid w:val="00F963AE"/>
    <w:rsid w:val="00F9641D"/>
    <w:rsid w:val="00F96709"/>
    <w:rsid w:val="00F967D2"/>
    <w:rsid w:val="00F967E8"/>
    <w:rsid w:val="00F9687B"/>
    <w:rsid w:val="00F968E6"/>
    <w:rsid w:val="00F96A61"/>
    <w:rsid w:val="00F96E4A"/>
    <w:rsid w:val="00F97007"/>
    <w:rsid w:val="00F974FC"/>
    <w:rsid w:val="00F9775E"/>
    <w:rsid w:val="00F97BA3"/>
    <w:rsid w:val="00F97BD5"/>
    <w:rsid w:val="00F97BE8"/>
    <w:rsid w:val="00F97C14"/>
    <w:rsid w:val="00F97C9B"/>
    <w:rsid w:val="00F97CBC"/>
    <w:rsid w:val="00F97DA5"/>
    <w:rsid w:val="00F97F8D"/>
    <w:rsid w:val="00F97FB0"/>
    <w:rsid w:val="00FA0025"/>
    <w:rsid w:val="00FA021C"/>
    <w:rsid w:val="00FA02ED"/>
    <w:rsid w:val="00FA04C8"/>
    <w:rsid w:val="00FA0E44"/>
    <w:rsid w:val="00FA13DB"/>
    <w:rsid w:val="00FA1907"/>
    <w:rsid w:val="00FA1A07"/>
    <w:rsid w:val="00FA1B89"/>
    <w:rsid w:val="00FA1B92"/>
    <w:rsid w:val="00FA1CCF"/>
    <w:rsid w:val="00FA1DE3"/>
    <w:rsid w:val="00FA2004"/>
    <w:rsid w:val="00FA2037"/>
    <w:rsid w:val="00FA23F3"/>
    <w:rsid w:val="00FA2521"/>
    <w:rsid w:val="00FA259A"/>
    <w:rsid w:val="00FA2648"/>
    <w:rsid w:val="00FA26B1"/>
    <w:rsid w:val="00FA2AE4"/>
    <w:rsid w:val="00FA3035"/>
    <w:rsid w:val="00FA316E"/>
    <w:rsid w:val="00FA339B"/>
    <w:rsid w:val="00FA36A0"/>
    <w:rsid w:val="00FA40DE"/>
    <w:rsid w:val="00FA414D"/>
    <w:rsid w:val="00FA4413"/>
    <w:rsid w:val="00FA4566"/>
    <w:rsid w:val="00FA4700"/>
    <w:rsid w:val="00FA4B64"/>
    <w:rsid w:val="00FA4C3E"/>
    <w:rsid w:val="00FA4E79"/>
    <w:rsid w:val="00FA4F20"/>
    <w:rsid w:val="00FA51B3"/>
    <w:rsid w:val="00FA55C1"/>
    <w:rsid w:val="00FA562B"/>
    <w:rsid w:val="00FA5810"/>
    <w:rsid w:val="00FA58C1"/>
    <w:rsid w:val="00FA597F"/>
    <w:rsid w:val="00FA5B62"/>
    <w:rsid w:val="00FA5D28"/>
    <w:rsid w:val="00FA5E3E"/>
    <w:rsid w:val="00FA5EFB"/>
    <w:rsid w:val="00FA5F26"/>
    <w:rsid w:val="00FA61B7"/>
    <w:rsid w:val="00FA649E"/>
    <w:rsid w:val="00FA6640"/>
    <w:rsid w:val="00FA680A"/>
    <w:rsid w:val="00FA6D2E"/>
    <w:rsid w:val="00FA7014"/>
    <w:rsid w:val="00FA77C6"/>
    <w:rsid w:val="00FA7B9A"/>
    <w:rsid w:val="00FB0058"/>
    <w:rsid w:val="00FB01DE"/>
    <w:rsid w:val="00FB02B1"/>
    <w:rsid w:val="00FB0371"/>
    <w:rsid w:val="00FB0772"/>
    <w:rsid w:val="00FB0832"/>
    <w:rsid w:val="00FB0936"/>
    <w:rsid w:val="00FB0B5C"/>
    <w:rsid w:val="00FB0C24"/>
    <w:rsid w:val="00FB0E9B"/>
    <w:rsid w:val="00FB0F99"/>
    <w:rsid w:val="00FB1121"/>
    <w:rsid w:val="00FB1123"/>
    <w:rsid w:val="00FB1173"/>
    <w:rsid w:val="00FB11EE"/>
    <w:rsid w:val="00FB1434"/>
    <w:rsid w:val="00FB153D"/>
    <w:rsid w:val="00FB1552"/>
    <w:rsid w:val="00FB1585"/>
    <w:rsid w:val="00FB15F3"/>
    <w:rsid w:val="00FB1627"/>
    <w:rsid w:val="00FB1635"/>
    <w:rsid w:val="00FB16A4"/>
    <w:rsid w:val="00FB1985"/>
    <w:rsid w:val="00FB1D3A"/>
    <w:rsid w:val="00FB1FC0"/>
    <w:rsid w:val="00FB231C"/>
    <w:rsid w:val="00FB23BF"/>
    <w:rsid w:val="00FB2500"/>
    <w:rsid w:val="00FB256B"/>
    <w:rsid w:val="00FB261E"/>
    <w:rsid w:val="00FB26AD"/>
    <w:rsid w:val="00FB2760"/>
    <w:rsid w:val="00FB2B02"/>
    <w:rsid w:val="00FB2E7C"/>
    <w:rsid w:val="00FB326E"/>
    <w:rsid w:val="00FB388A"/>
    <w:rsid w:val="00FB3B8E"/>
    <w:rsid w:val="00FB3C30"/>
    <w:rsid w:val="00FB3C40"/>
    <w:rsid w:val="00FB3E25"/>
    <w:rsid w:val="00FB3E7E"/>
    <w:rsid w:val="00FB445A"/>
    <w:rsid w:val="00FB45BE"/>
    <w:rsid w:val="00FB45FC"/>
    <w:rsid w:val="00FB4617"/>
    <w:rsid w:val="00FB46E6"/>
    <w:rsid w:val="00FB4CFE"/>
    <w:rsid w:val="00FB4E3C"/>
    <w:rsid w:val="00FB4F96"/>
    <w:rsid w:val="00FB51DC"/>
    <w:rsid w:val="00FB5226"/>
    <w:rsid w:val="00FB52DC"/>
    <w:rsid w:val="00FB5371"/>
    <w:rsid w:val="00FB547C"/>
    <w:rsid w:val="00FB5850"/>
    <w:rsid w:val="00FB59EA"/>
    <w:rsid w:val="00FB5B4E"/>
    <w:rsid w:val="00FB5B5C"/>
    <w:rsid w:val="00FB5B6B"/>
    <w:rsid w:val="00FB5CC8"/>
    <w:rsid w:val="00FB602F"/>
    <w:rsid w:val="00FB61A0"/>
    <w:rsid w:val="00FB65A6"/>
    <w:rsid w:val="00FB676D"/>
    <w:rsid w:val="00FB679B"/>
    <w:rsid w:val="00FB695E"/>
    <w:rsid w:val="00FB69B0"/>
    <w:rsid w:val="00FB6B7A"/>
    <w:rsid w:val="00FB6FDB"/>
    <w:rsid w:val="00FB7172"/>
    <w:rsid w:val="00FB7177"/>
    <w:rsid w:val="00FB733E"/>
    <w:rsid w:val="00FB736D"/>
    <w:rsid w:val="00FB7491"/>
    <w:rsid w:val="00FB7547"/>
    <w:rsid w:val="00FB76BF"/>
    <w:rsid w:val="00FB7BAD"/>
    <w:rsid w:val="00FB7C8B"/>
    <w:rsid w:val="00FC0241"/>
    <w:rsid w:val="00FC02C4"/>
    <w:rsid w:val="00FC0628"/>
    <w:rsid w:val="00FC09D1"/>
    <w:rsid w:val="00FC0A9E"/>
    <w:rsid w:val="00FC0BCC"/>
    <w:rsid w:val="00FC0CAA"/>
    <w:rsid w:val="00FC0DF3"/>
    <w:rsid w:val="00FC103B"/>
    <w:rsid w:val="00FC10A6"/>
    <w:rsid w:val="00FC14B0"/>
    <w:rsid w:val="00FC14E2"/>
    <w:rsid w:val="00FC1635"/>
    <w:rsid w:val="00FC19D5"/>
    <w:rsid w:val="00FC1A3A"/>
    <w:rsid w:val="00FC1B68"/>
    <w:rsid w:val="00FC1D33"/>
    <w:rsid w:val="00FC1E06"/>
    <w:rsid w:val="00FC1E7F"/>
    <w:rsid w:val="00FC21D1"/>
    <w:rsid w:val="00FC2369"/>
    <w:rsid w:val="00FC259D"/>
    <w:rsid w:val="00FC27CD"/>
    <w:rsid w:val="00FC2814"/>
    <w:rsid w:val="00FC2866"/>
    <w:rsid w:val="00FC2A71"/>
    <w:rsid w:val="00FC2C23"/>
    <w:rsid w:val="00FC2E9D"/>
    <w:rsid w:val="00FC3107"/>
    <w:rsid w:val="00FC3264"/>
    <w:rsid w:val="00FC32D3"/>
    <w:rsid w:val="00FC380C"/>
    <w:rsid w:val="00FC3810"/>
    <w:rsid w:val="00FC3843"/>
    <w:rsid w:val="00FC38F6"/>
    <w:rsid w:val="00FC3E06"/>
    <w:rsid w:val="00FC3E19"/>
    <w:rsid w:val="00FC4052"/>
    <w:rsid w:val="00FC4147"/>
    <w:rsid w:val="00FC42A5"/>
    <w:rsid w:val="00FC4464"/>
    <w:rsid w:val="00FC488D"/>
    <w:rsid w:val="00FC48FC"/>
    <w:rsid w:val="00FC4931"/>
    <w:rsid w:val="00FC496F"/>
    <w:rsid w:val="00FC4B2F"/>
    <w:rsid w:val="00FC4DD7"/>
    <w:rsid w:val="00FC4E22"/>
    <w:rsid w:val="00FC4F4B"/>
    <w:rsid w:val="00FC5405"/>
    <w:rsid w:val="00FC5744"/>
    <w:rsid w:val="00FC574D"/>
    <w:rsid w:val="00FC5956"/>
    <w:rsid w:val="00FC5B4A"/>
    <w:rsid w:val="00FC5C00"/>
    <w:rsid w:val="00FC5D56"/>
    <w:rsid w:val="00FC5F2B"/>
    <w:rsid w:val="00FC6083"/>
    <w:rsid w:val="00FC6199"/>
    <w:rsid w:val="00FC6361"/>
    <w:rsid w:val="00FC63F7"/>
    <w:rsid w:val="00FC65BB"/>
    <w:rsid w:val="00FC67D6"/>
    <w:rsid w:val="00FC6A25"/>
    <w:rsid w:val="00FC6A57"/>
    <w:rsid w:val="00FC6D03"/>
    <w:rsid w:val="00FC6DEB"/>
    <w:rsid w:val="00FC72BB"/>
    <w:rsid w:val="00FC7428"/>
    <w:rsid w:val="00FC7846"/>
    <w:rsid w:val="00FC7C61"/>
    <w:rsid w:val="00FC7D10"/>
    <w:rsid w:val="00FC7DC8"/>
    <w:rsid w:val="00FD00A9"/>
    <w:rsid w:val="00FD017A"/>
    <w:rsid w:val="00FD0221"/>
    <w:rsid w:val="00FD0410"/>
    <w:rsid w:val="00FD06C7"/>
    <w:rsid w:val="00FD070E"/>
    <w:rsid w:val="00FD08E0"/>
    <w:rsid w:val="00FD0981"/>
    <w:rsid w:val="00FD0AB5"/>
    <w:rsid w:val="00FD0C54"/>
    <w:rsid w:val="00FD0E91"/>
    <w:rsid w:val="00FD14D4"/>
    <w:rsid w:val="00FD14DF"/>
    <w:rsid w:val="00FD165B"/>
    <w:rsid w:val="00FD1978"/>
    <w:rsid w:val="00FD1BB9"/>
    <w:rsid w:val="00FD1C32"/>
    <w:rsid w:val="00FD1E58"/>
    <w:rsid w:val="00FD2140"/>
    <w:rsid w:val="00FD216B"/>
    <w:rsid w:val="00FD23F6"/>
    <w:rsid w:val="00FD24D3"/>
    <w:rsid w:val="00FD2537"/>
    <w:rsid w:val="00FD2818"/>
    <w:rsid w:val="00FD2AEF"/>
    <w:rsid w:val="00FD2C28"/>
    <w:rsid w:val="00FD2D9E"/>
    <w:rsid w:val="00FD2F2D"/>
    <w:rsid w:val="00FD2F87"/>
    <w:rsid w:val="00FD3215"/>
    <w:rsid w:val="00FD33AE"/>
    <w:rsid w:val="00FD35D5"/>
    <w:rsid w:val="00FD35EC"/>
    <w:rsid w:val="00FD383F"/>
    <w:rsid w:val="00FD3930"/>
    <w:rsid w:val="00FD3B57"/>
    <w:rsid w:val="00FD3F07"/>
    <w:rsid w:val="00FD40A8"/>
    <w:rsid w:val="00FD411A"/>
    <w:rsid w:val="00FD4165"/>
    <w:rsid w:val="00FD4467"/>
    <w:rsid w:val="00FD465E"/>
    <w:rsid w:val="00FD476C"/>
    <w:rsid w:val="00FD49BF"/>
    <w:rsid w:val="00FD4ABF"/>
    <w:rsid w:val="00FD4B35"/>
    <w:rsid w:val="00FD4F17"/>
    <w:rsid w:val="00FD4F9D"/>
    <w:rsid w:val="00FD571A"/>
    <w:rsid w:val="00FD5721"/>
    <w:rsid w:val="00FD5785"/>
    <w:rsid w:val="00FD5AE2"/>
    <w:rsid w:val="00FD5C58"/>
    <w:rsid w:val="00FD5D17"/>
    <w:rsid w:val="00FD602E"/>
    <w:rsid w:val="00FD6070"/>
    <w:rsid w:val="00FD62B6"/>
    <w:rsid w:val="00FD62FB"/>
    <w:rsid w:val="00FD6402"/>
    <w:rsid w:val="00FD646E"/>
    <w:rsid w:val="00FD66E4"/>
    <w:rsid w:val="00FD680B"/>
    <w:rsid w:val="00FD6B1A"/>
    <w:rsid w:val="00FD6E5D"/>
    <w:rsid w:val="00FD6E73"/>
    <w:rsid w:val="00FD6EA0"/>
    <w:rsid w:val="00FD6F8F"/>
    <w:rsid w:val="00FD7363"/>
    <w:rsid w:val="00FD73C8"/>
    <w:rsid w:val="00FD7673"/>
    <w:rsid w:val="00FD7D34"/>
    <w:rsid w:val="00FD7E91"/>
    <w:rsid w:val="00FE004B"/>
    <w:rsid w:val="00FE02CC"/>
    <w:rsid w:val="00FE0613"/>
    <w:rsid w:val="00FE063A"/>
    <w:rsid w:val="00FE0830"/>
    <w:rsid w:val="00FE0BBA"/>
    <w:rsid w:val="00FE0D28"/>
    <w:rsid w:val="00FE0EDF"/>
    <w:rsid w:val="00FE1276"/>
    <w:rsid w:val="00FE136B"/>
    <w:rsid w:val="00FE14E8"/>
    <w:rsid w:val="00FE18CB"/>
    <w:rsid w:val="00FE19B3"/>
    <w:rsid w:val="00FE1A9C"/>
    <w:rsid w:val="00FE1B69"/>
    <w:rsid w:val="00FE1B99"/>
    <w:rsid w:val="00FE1CEF"/>
    <w:rsid w:val="00FE1D7C"/>
    <w:rsid w:val="00FE1FE8"/>
    <w:rsid w:val="00FE2061"/>
    <w:rsid w:val="00FE21B0"/>
    <w:rsid w:val="00FE248B"/>
    <w:rsid w:val="00FE25B0"/>
    <w:rsid w:val="00FE275B"/>
    <w:rsid w:val="00FE28D8"/>
    <w:rsid w:val="00FE2E74"/>
    <w:rsid w:val="00FE2E87"/>
    <w:rsid w:val="00FE3141"/>
    <w:rsid w:val="00FE3339"/>
    <w:rsid w:val="00FE334C"/>
    <w:rsid w:val="00FE3460"/>
    <w:rsid w:val="00FE3B08"/>
    <w:rsid w:val="00FE3C39"/>
    <w:rsid w:val="00FE3D39"/>
    <w:rsid w:val="00FE3D83"/>
    <w:rsid w:val="00FE417F"/>
    <w:rsid w:val="00FE418B"/>
    <w:rsid w:val="00FE41B1"/>
    <w:rsid w:val="00FE4414"/>
    <w:rsid w:val="00FE45D8"/>
    <w:rsid w:val="00FE475F"/>
    <w:rsid w:val="00FE4A48"/>
    <w:rsid w:val="00FE4C08"/>
    <w:rsid w:val="00FE4C11"/>
    <w:rsid w:val="00FE4D12"/>
    <w:rsid w:val="00FE4F7C"/>
    <w:rsid w:val="00FE5472"/>
    <w:rsid w:val="00FE55A5"/>
    <w:rsid w:val="00FE55AC"/>
    <w:rsid w:val="00FE58D0"/>
    <w:rsid w:val="00FE58D4"/>
    <w:rsid w:val="00FE5AD1"/>
    <w:rsid w:val="00FE62EC"/>
    <w:rsid w:val="00FE63C8"/>
    <w:rsid w:val="00FE6791"/>
    <w:rsid w:val="00FE6973"/>
    <w:rsid w:val="00FE71FB"/>
    <w:rsid w:val="00FE728D"/>
    <w:rsid w:val="00FE7338"/>
    <w:rsid w:val="00FE745C"/>
    <w:rsid w:val="00FE7595"/>
    <w:rsid w:val="00FE764B"/>
    <w:rsid w:val="00FE76FE"/>
    <w:rsid w:val="00FE7729"/>
    <w:rsid w:val="00FE78B4"/>
    <w:rsid w:val="00FE791D"/>
    <w:rsid w:val="00FE7998"/>
    <w:rsid w:val="00FE79F3"/>
    <w:rsid w:val="00FE7C70"/>
    <w:rsid w:val="00FE7D0E"/>
    <w:rsid w:val="00FE7D36"/>
    <w:rsid w:val="00FE7E2A"/>
    <w:rsid w:val="00FE7EB1"/>
    <w:rsid w:val="00FE7FB1"/>
    <w:rsid w:val="00FF0088"/>
    <w:rsid w:val="00FF00D0"/>
    <w:rsid w:val="00FF00F7"/>
    <w:rsid w:val="00FF02BA"/>
    <w:rsid w:val="00FF049E"/>
    <w:rsid w:val="00FF07F0"/>
    <w:rsid w:val="00FF09D8"/>
    <w:rsid w:val="00FF0A6E"/>
    <w:rsid w:val="00FF0C60"/>
    <w:rsid w:val="00FF0F20"/>
    <w:rsid w:val="00FF101B"/>
    <w:rsid w:val="00FF1022"/>
    <w:rsid w:val="00FF1356"/>
    <w:rsid w:val="00FF1BB9"/>
    <w:rsid w:val="00FF1C89"/>
    <w:rsid w:val="00FF1EC7"/>
    <w:rsid w:val="00FF1F07"/>
    <w:rsid w:val="00FF1FB2"/>
    <w:rsid w:val="00FF21C9"/>
    <w:rsid w:val="00FF2282"/>
    <w:rsid w:val="00FF256A"/>
    <w:rsid w:val="00FF25C2"/>
    <w:rsid w:val="00FF2722"/>
    <w:rsid w:val="00FF28C7"/>
    <w:rsid w:val="00FF2AC6"/>
    <w:rsid w:val="00FF2EC0"/>
    <w:rsid w:val="00FF30D3"/>
    <w:rsid w:val="00FF30ED"/>
    <w:rsid w:val="00FF3A4A"/>
    <w:rsid w:val="00FF3B94"/>
    <w:rsid w:val="00FF3CC6"/>
    <w:rsid w:val="00FF3CEC"/>
    <w:rsid w:val="00FF3EBE"/>
    <w:rsid w:val="00FF3F10"/>
    <w:rsid w:val="00FF3F5D"/>
    <w:rsid w:val="00FF4375"/>
    <w:rsid w:val="00FF43D5"/>
    <w:rsid w:val="00FF4619"/>
    <w:rsid w:val="00FF48DB"/>
    <w:rsid w:val="00FF4919"/>
    <w:rsid w:val="00FF4A73"/>
    <w:rsid w:val="00FF4AF8"/>
    <w:rsid w:val="00FF4D5D"/>
    <w:rsid w:val="00FF505A"/>
    <w:rsid w:val="00FF5246"/>
    <w:rsid w:val="00FF5418"/>
    <w:rsid w:val="00FF5474"/>
    <w:rsid w:val="00FF59AC"/>
    <w:rsid w:val="00FF5B02"/>
    <w:rsid w:val="00FF5BC9"/>
    <w:rsid w:val="00FF5DB1"/>
    <w:rsid w:val="00FF5F4B"/>
    <w:rsid w:val="00FF5FD7"/>
    <w:rsid w:val="00FF6187"/>
    <w:rsid w:val="00FF61E2"/>
    <w:rsid w:val="00FF646A"/>
    <w:rsid w:val="00FF664C"/>
    <w:rsid w:val="00FF6728"/>
    <w:rsid w:val="00FF6762"/>
    <w:rsid w:val="00FF67D1"/>
    <w:rsid w:val="00FF6B96"/>
    <w:rsid w:val="00FF6C25"/>
    <w:rsid w:val="00FF6EBA"/>
    <w:rsid w:val="00FF710E"/>
    <w:rsid w:val="00FF7414"/>
    <w:rsid w:val="00FF741A"/>
    <w:rsid w:val="00FF7441"/>
    <w:rsid w:val="00FF746F"/>
    <w:rsid w:val="00FF76A4"/>
    <w:rsid w:val="00FF7956"/>
    <w:rsid w:val="00FF7B7C"/>
    <w:rsid w:val="00FF7BD3"/>
    <w:rsid w:val="00FF7C01"/>
    <w:rsid w:val="00FF7CED"/>
    <w:rsid w:val="010C5F5E"/>
    <w:rsid w:val="0115C3C0"/>
    <w:rsid w:val="0116734E"/>
    <w:rsid w:val="0125CF39"/>
    <w:rsid w:val="01354029"/>
    <w:rsid w:val="013F9ADF"/>
    <w:rsid w:val="0181F54C"/>
    <w:rsid w:val="0185E252"/>
    <w:rsid w:val="01867CBA"/>
    <w:rsid w:val="018AFA99"/>
    <w:rsid w:val="0198EF6E"/>
    <w:rsid w:val="01B63A22"/>
    <w:rsid w:val="01D9191C"/>
    <w:rsid w:val="0217BF8F"/>
    <w:rsid w:val="0228A962"/>
    <w:rsid w:val="025FAD6E"/>
    <w:rsid w:val="0285EEDA"/>
    <w:rsid w:val="02C55ED1"/>
    <w:rsid w:val="02D2C0F5"/>
    <w:rsid w:val="02DD1116"/>
    <w:rsid w:val="02F965AD"/>
    <w:rsid w:val="02FFE05C"/>
    <w:rsid w:val="0312F9C5"/>
    <w:rsid w:val="032A3113"/>
    <w:rsid w:val="0366E8B0"/>
    <w:rsid w:val="03678F70"/>
    <w:rsid w:val="037D770F"/>
    <w:rsid w:val="0380E83D"/>
    <w:rsid w:val="0399928F"/>
    <w:rsid w:val="03C486B3"/>
    <w:rsid w:val="03D77596"/>
    <w:rsid w:val="03E375AD"/>
    <w:rsid w:val="03ED34B4"/>
    <w:rsid w:val="04086104"/>
    <w:rsid w:val="04160E36"/>
    <w:rsid w:val="04162105"/>
    <w:rsid w:val="04181465"/>
    <w:rsid w:val="04355ED4"/>
    <w:rsid w:val="0476ED31"/>
    <w:rsid w:val="0483CE9B"/>
    <w:rsid w:val="0484AE8A"/>
    <w:rsid w:val="048CF6EC"/>
    <w:rsid w:val="048FD3B3"/>
    <w:rsid w:val="04903878"/>
    <w:rsid w:val="0491E7A2"/>
    <w:rsid w:val="04A4F970"/>
    <w:rsid w:val="04BE1D7C"/>
    <w:rsid w:val="04DD9435"/>
    <w:rsid w:val="04E4CB4A"/>
    <w:rsid w:val="05391025"/>
    <w:rsid w:val="053F40ED"/>
    <w:rsid w:val="055C09C1"/>
    <w:rsid w:val="056E5CBC"/>
    <w:rsid w:val="0578E1BC"/>
    <w:rsid w:val="057C8628"/>
    <w:rsid w:val="05A639DF"/>
    <w:rsid w:val="05B51B24"/>
    <w:rsid w:val="05C6089F"/>
    <w:rsid w:val="05C710C1"/>
    <w:rsid w:val="05C80EF8"/>
    <w:rsid w:val="05D740DE"/>
    <w:rsid w:val="05D9349A"/>
    <w:rsid w:val="05E275DF"/>
    <w:rsid w:val="05F176EC"/>
    <w:rsid w:val="05F44A0B"/>
    <w:rsid w:val="05FA5079"/>
    <w:rsid w:val="0618A12A"/>
    <w:rsid w:val="061F9EFC"/>
    <w:rsid w:val="0623F07E"/>
    <w:rsid w:val="064872FC"/>
    <w:rsid w:val="064CAF9B"/>
    <w:rsid w:val="0656596A"/>
    <w:rsid w:val="0662570B"/>
    <w:rsid w:val="069C17AD"/>
    <w:rsid w:val="06CBE2D1"/>
    <w:rsid w:val="06D28351"/>
    <w:rsid w:val="06DA854B"/>
    <w:rsid w:val="06E9EA79"/>
    <w:rsid w:val="06ECCC48"/>
    <w:rsid w:val="06FCE172"/>
    <w:rsid w:val="07030059"/>
    <w:rsid w:val="071F13E6"/>
    <w:rsid w:val="075511A1"/>
    <w:rsid w:val="07554766"/>
    <w:rsid w:val="076B968C"/>
    <w:rsid w:val="076C7759"/>
    <w:rsid w:val="07ADFB39"/>
    <w:rsid w:val="07BD56CE"/>
    <w:rsid w:val="07C56A40"/>
    <w:rsid w:val="081FFABA"/>
    <w:rsid w:val="0821E8E3"/>
    <w:rsid w:val="0826D639"/>
    <w:rsid w:val="08405ED8"/>
    <w:rsid w:val="0851116E"/>
    <w:rsid w:val="0866AD01"/>
    <w:rsid w:val="086813D5"/>
    <w:rsid w:val="086C6E7D"/>
    <w:rsid w:val="08A36D7E"/>
    <w:rsid w:val="08A94CE7"/>
    <w:rsid w:val="08ABAAE7"/>
    <w:rsid w:val="08C994A5"/>
    <w:rsid w:val="08E7D4D8"/>
    <w:rsid w:val="0901BFFB"/>
    <w:rsid w:val="09128944"/>
    <w:rsid w:val="09220B95"/>
    <w:rsid w:val="092F416E"/>
    <w:rsid w:val="0931B949"/>
    <w:rsid w:val="09B82895"/>
    <w:rsid w:val="09F72E68"/>
    <w:rsid w:val="0A101BB3"/>
    <w:rsid w:val="0A233732"/>
    <w:rsid w:val="0A3815F8"/>
    <w:rsid w:val="0A39130C"/>
    <w:rsid w:val="0A464561"/>
    <w:rsid w:val="0A4E8676"/>
    <w:rsid w:val="0A5E6F8C"/>
    <w:rsid w:val="0A66F950"/>
    <w:rsid w:val="0A706714"/>
    <w:rsid w:val="0A7D8C45"/>
    <w:rsid w:val="0A925866"/>
    <w:rsid w:val="0A9643F6"/>
    <w:rsid w:val="0AA5536B"/>
    <w:rsid w:val="0AB73FE1"/>
    <w:rsid w:val="0AB96168"/>
    <w:rsid w:val="0AB967B9"/>
    <w:rsid w:val="0ACB11CF"/>
    <w:rsid w:val="0AFE991C"/>
    <w:rsid w:val="0B0291A5"/>
    <w:rsid w:val="0B120D15"/>
    <w:rsid w:val="0B13FB3E"/>
    <w:rsid w:val="0B448E24"/>
    <w:rsid w:val="0B483F91"/>
    <w:rsid w:val="0B496662"/>
    <w:rsid w:val="0B594D3F"/>
    <w:rsid w:val="0B6CD262"/>
    <w:rsid w:val="0B892362"/>
    <w:rsid w:val="0B99AA2D"/>
    <w:rsid w:val="0BA805C9"/>
    <w:rsid w:val="0BC15AC5"/>
    <w:rsid w:val="0C152AFB"/>
    <w:rsid w:val="0C207FE3"/>
    <w:rsid w:val="0C376016"/>
    <w:rsid w:val="0C543B00"/>
    <w:rsid w:val="0C61604F"/>
    <w:rsid w:val="0C62D6CD"/>
    <w:rsid w:val="0C6601E5"/>
    <w:rsid w:val="0C877E22"/>
    <w:rsid w:val="0C8CAB30"/>
    <w:rsid w:val="0C99FC38"/>
    <w:rsid w:val="0C9CC96A"/>
    <w:rsid w:val="0CB2C98B"/>
    <w:rsid w:val="0CB31F99"/>
    <w:rsid w:val="0CD1F9BC"/>
    <w:rsid w:val="0CED712F"/>
    <w:rsid w:val="0CF237BC"/>
    <w:rsid w:val="0D322B92"/>
    <w:rsid w:val="0D479A55"/>
    <w:rsid w:val="0D718D82"/>
    <w:rsid w:val="0DA7F195"/>
    <w:rsid w:val="0DA8D6BB"/>
    <w:rsid w:val="0DAC3A35"/>
    <w:rsid w:val="0DC1C571"/>
    <w:rsid w:val="0DD1BA09"/>
    <w:rsid w:val="0DD46F48"/>
    <w:rsid w:val="0DD697AC"/>
    <w:rsid w:val="0DE0682D"/>
    <w:rsid w:val="0DE6511D"/>
    <w:rsid w:val="0DF4F577"/>
    <w:rsid w:val="0DFE3BCD"/>
    <w:rsid w:val="0E17D07F"/>
    <w:rsid w:val="0E3E0743"/>
    <w:rsid w:val="0E4C572D"/>
    <w:rsid w:val="0E5858F8"/>
    <w:rsid w:val="0E73531B"/>
    <w:rsid w:val="0E9A3F67"/>
    <w:rsid w:val="0EA19840"/>
    <w:rsid w:val="0EA3DBAC"/>
    <w:rsid w:val="0EAF4C8A"/>
    <w:rsid w:val="0ED278E5"/>
    <w:rsid w:val="0EDA095D"/>
    <w:rsid w:val="0F1D8F98"/>
    <w:rsid w:val="0F302EC3"/>
    <w:rsid w:val="0F553968"/>
    <w:rsid w:val="0F82C150"/>
    <w:rsid w:val="0FA4AAA8"/>
    <w:rsid w:val="0FAB2749"/>
    <w:rsid w:val="0FB0EDC2"/>
    <w:rsid w:val="0FE4101F"/>
    <w:rsid w:val="0FE76CD4"/>
    <w:rsid w:val="101997F6"/>
    <w:rsid w:val="101AA9FD"/>
    <w:rsid w:val="101D06E2"/>
    <w:rsid w:val="102418DA"/>
    <w:rsid w:val="10269B54"/>
    <w:rsid w:val="10316DFC"/>
    <w:rsid w:val="104CB54C"/>
    <w:rsid w:val="104D4B03"/>
    <w:rsid w:val="10787B78"/>
    <w:rsid w:val="108D2F06"/>
    <w:rsid w:val="10D563C9"/>
    <w:rsid w:val="10EE8937"/>
    <w:rsid w:val="10F181CB"/>
    <w:rsid w:val="10F57C8D"/>
    <w:rsid w:val="10F81FF4"/>
    <w:rsid w:val="10FCDBA1"/>
    <w:rsid w:val="11095ACB"/>
    <w:rsid w:val="110B32A5"/>
    <w:rsid w:val="11402B8B"/>
    <w:rsid w:val="1151A6EA"/>
    <w:rsid w:val="11558B15"/>
    <w:rsid w:val="115C0463"/>
    <w:rsid w:val="11721DC5"/>
    <w:rsid w:val="11732E7B"/>
    <w:rsid w:val="117EE2C2"/>
    <w:rsid w:val="1185442B"/>
    <w:rsid w:val="118EA2AE"/>
    <w:rsid w:val="119534D1"/>
    <w:rsid w:val="11ABB04C"/>
    <w:rsid w:val="11B299C7"/>
    <w:rsid w:val="11C2FDD4"/>
    <w:rsid w:val="11D7375D"/>
    <w:rsid w:val="11E8C39F"/>
    <w:rsid w:val="11F5A5DC"/>
    <w:rsid w:val="1202DE1D"/>
    <w:rsid w:val="1223A1F9"/>
    <w:rsid w:val="1226E4AB"/>
    <w:rsid w:val="1247C847"/>
    <w:rsid w:val="125959BC"/>
    <w:rsid w:val="127B664A"/>
    <w:rsid w:val="128DC254"/>
    <w:rsid w:val="1294095E"/>
    <w:rsid w:val="12986B28"/>
    <w:rsid w:val="129FA610"/>
    <w:rsid w:val="12BA319C"/>
    <w:rsid w:val="12BCE0DA"/>
    <w:rsid w:val="12CC8B83"/>
    <w:rsid w:val="12F9C5DB"/>
    <w:rsid w:val="13208FE4"/>
    <w:rsid w:val="132EB35A"/>
    <w:rsid w:val="13362905"/>
    <w:rsid w:val="133ACC24"/>
    <w:rsid w:val="133E5B7C"/>
    <w:rsid w:val="135442A6"/>
    <w:rsid w:val="1354853C"/>
    <w:rsid w:val="136BB790"/>
    <w:rsid w:val="1381BDF2"/>
    <w:rsid w:val="13A2BE28"/>
    <w:rsid w:val="13AD0723"/>
    <w:rsid w:val="13D018E3"/>
    <w:rsid w:val="141BF512"/>
    <w:rsid w:val="14207E1D"/>
    <w:rsid w:val="142D0BDF"/>
    <w:rsid w:val="1431675D"/>
    <w:rsid w:val="1438CEE2"/>
    <w:rsid w:val="1442D367"/>
    <w:rsid w:val="14620233"/>
    <w:rsid w:val="14912B30"/>
    <w:rsid w:val="1494BCD1"/>
    <w:rsid w:val="14987EA0"/>
    <w:rsid w:val="14C1DD54"/>
    <w:rsid w:val="14D2C027"/>
    <w:rsid w:val="14E8D61C"/>
    <w:rsid w:val="150B3805"/>
    <w:rsid w:val="150D7547"/>
    <w:rsid w:val="150DD261"/>
    <w:rsid w:val="1547E700"/>
    <w:rsid w:val="1549FB48"/>
    <w:rsid w:val="1564A8EE"/>
    <w:rsid w:val="1568A66B"/>
    <w:rsid w:val="15781E2E"/>
    <w:rsid w:val="1578D37C"/>
    <w:rsid w:val="1582C5BB"/>
    <w:rsid w:val="15994CAB"/>
    <w:rsid w:val="15DB2B12"/>
    <w:rsid w:val="15DCCBEE"/>
    <w:rsid w:val="15DEA3C8"/>
    <w:rsid w:val="15E21A81"/>
    <w:rsid w:val="15EC8B34"/>
    <w:rsid w:val="15EEE6B6"/>
    <w:rsid w:val="1608BEE5"/>
    <w:rsid w:val="161194E6"/>
    <w:rsid w:val="163D0716"/>
    <w:rsid w:val="1648D2C6"/>
    <w:rsid w:val="164D6750"/>
    <w:rsid w:val="164FEEB5"/>
    <w:rsid w:val="167EA73D"/>
    <w:rsid w:val="167ED90E"/>
    <w:rsid w:val="1688ACDB"/>
    <w:rsid w:val="168C0F17"/>
    <w:rsid w:val="1691F18F"/>
    <w:rsid w:val="16B2B3A5"/>
    <w:rsid w:val="16CB6703"/>
    <w:rsid w:val="16D44BF2"/>
    <w:rsid w:val="16DB2C93"/>
    <w:rsid w:val="16ED41EE"/>
    <w:rsid w:val="173843F7"/>
    <w:rsid w:val="17478638"/>
    <w:rsid w:val="17613951"/>
    <w:rsid w:val="1797CEE4"/>
    <w:rsid w:val="17989321"/>
    <w:rsid w:val="17B34E33"/>
    <w:rsid w:val="17BDE1E8"/>
    <w:rsid w:val="17D15712"/>
    <w:rsid w:val="17D346AE"/>
    <w:rsid w:val="17DBB2C0"/>
    <w:rsid w:val="17DCBFB0"/>
    <w:rsid w:val="17E40B09"/>
    <w:rsid w:val="17E4829B"/>
    <w:rsid w:val="18058914"/>
    <w:rsid w:val="1833292C"/>
    <w:rsid w:val="18371389"/>
    <w:rsid w:val="18438CF6"/>
    <w:rsid w:val="18587BC2"/>
    <w:rsid w:val="18CF79B7"/>
    <w:rsid w:val="18D79913"/>
    <w:rsid w:val="18E9909D"/>
    <w:rsid w:val="190DE6F9"/>
    <w:rsid w:val="1911262A"/>
    <w:rsid w:val="191BBAB1"/>
    <w:rsid w:val="19436B22"/>
    <w:rsid w:val="194F4C05"/>
    <w:rsid w:val="1952177B"/>
    <w:rsid w:val="19B2459E"/>
    <w:rsid w:val="1A1FE622"/>
    <w:rsid w:val="1A348741"/>
    <w:rsid w:val="1A3A0C04"/>
    <w:rsid w:val="1A3C96B9"/>
    <w:rsid w:val="1A3FCF9F"/>
    <w:rsid w:val="1A6F4D41"/>
    <w:rsid w:val="1A70D21E"/>
    <w:rsid w:val="1A72ABA8"/>
    <w:rsid w:val="1A72CB07"/>
    <w:rsid w:val="1A8F19BD"/>
    <w:rsid w:val="1A92D6B2"/>
    <w:rsid w:val="1AA010D7"/>
    <w:rsid w:val="1AB47600"/>
    <w:rsid w:val="1AB82A97"/>
    <w:rsid w:val="1AD91DA1"/>
    <w:rsid w:val="1AE5BE88"/>
    <w:rsid w:val="1AECE1C5"/>
    <w:rsid w:val="1AFE8BDB"/>
    <w:rsid w:val="1B07D288"/>
    <w:rsid w:val="1B2DA63A"/>
    <w:rsid w:val="1B480CC2"/>
    <w:rsid w:val="1B4E31DC"/>
    <w:rsid w:val="1B4E65B6"/>
    <w:rsid w:val="1B4E71E8"/>
    <w:rsid w:val="1B665E1A"/>
    <w:rsid w:val="1B66F69B"/>
    <w:rsid w:val="1B8FE7F1"/>
    <w:rsid w:val="1BB0C83A"/>
    <w:rsid w:val="1BBB953D"/>
    <w:rsid w:val="1BBEB729"/>
    <w:rsid w:val="1BCC8DA2"/>
    <w:rsid w:val="1BCEF706"/>
    <w:rsid w:val="1BE4B901"/>
    <w:rsid w:val="1BEEFBBC"/>
    <w:rsid w:val="1BFFEAAB"/>
    <w:rsid w:val="1C1F41B8"/>
    <w:rsid w:val="1C2C040B"/>
    <w:rsid w:val="1C2D6F27"/>
    <w:rsid w:val="1C7A3B6D"/>
    <w:rsid w:val="1C7B0BE4"/>
    <w:rsid w:val="1C7B6FFF"/>
    <w:rsid w:val="1C84EAB4"/>
    <w:rsid w:val="1C87B50C"/>
    <w:rsid w:val="1C9134EE"/>
    <w:rsid w:val="1C917EB0"/>
    <w:rsid w:val="1C9609A1"/>
    <w:rsid w:val="1CAF4BC0"/>
    <w:rsid w:val="1CCD7644"/>
    <w:rsid w:val="1CD4F763"/>
    <w:rsid w:val="1CE3134D"/>
    <w:rsid w:val="1CE6E728"/>
    <w:rsid w:val="1D10DF92"/>
    <w:rsid w:val="1D140569"/>
    <w:rsid w:val="1D28D244"/>
    <w:rsid w:val="1D2987A1"/>
    <w:rsid w:val="1D3D0CD5"/>
    <w:rsid w:val="1D3FCFDF"/>
    <w:rsid w:val="1D85A64A"/>
    <w:rsid w:val="1D884901"/>
    <w:rsid w:val="1D962AB9"/>
    <w:rsid w:val="1D963E8B"/>
    <w:rsid w:val="1DAA0918"/>
    <w:rsid w:val="1DD3540D"/>
    <w:rsid w:val="1DE6AFDE"/>
    <w:rsid w:val="1DEFCB59"/>
    <w:rsid w:val="1DFE3C84"/>
    <w:rsid w:val="1E3534DE"/>
    <w:rsid w:val="1E48F99A"/>
    <w:rsid w:val="1E51F9B4"/>
    <w:rsid w:val="1E6AC7C4"/>
    <w:rsid w:val="1E6CBEC3"/>
    <w:rsid w:val="1E9712BF"/>
    <w:rsid w:val="1E97CD10"/>
    <w:rsid w:val="1EAB77B4"/>
    <w:rsid w:val="1EC3D441"/>
    <w:rsid w:val="1ECB1DFE"/>
    <w:rsid w:val="1EE0D738"/>
    <w:rsid w:val="1EE565E9"/>
    <w:rsid w:val="1F01155B"/>
    <w:rsid w:val="1F13E5A8"/>
    <w:rsid w:val="1F16346E"/>
    <w:rsid w:val="1F20B91C"/>
    <w:rsid w:val="1F4A1BE0"/>
    <w:rsid w:val="1F4A1D27"/>
    <w:rsid w:val="1F541FF3"/>
    <w:rsid w:val="1F853754"/>
    <w:rsid w:val="1F96DCBA"/>
    <w:rsid w:val="1FA5703C"/>
    <w:rsid w:val="1FC6ABAA"/>
    <w:rsid w:val="1FCBC533"/>
    <w:rsid w:val="1FE79460"/>
    <w:rsid w:val="1FF4BA40"/>
    <w:rsid w:val="1FF9A9C4"/>
    <w:rsid w:val="20092824"/>
    <w:rsid w:val="200B8F36"/>
    <w:rsid w:val="2017B65F"/>
    <w:rsid w:val="201C7046"/>
    <w:rsid w:val="2044A87E"/>
    <w:rsid w:val="204B594F"/>
    <w:rsid w:val="2058219E"/>
    <w:rsid w:val="205AA40C"/>
    <w:rsid w:val="207219B5"/>
    <w:rsid w:val="208428F1"/>
    <w:rsid w:val="2092FFF8"/>
    <w:rsid w:val="2094CDDA"/>
    <w:rsid w:val="2095898C"/>
    <w:rsid w:val="20BCD0B3"/>
    <w:rsid w:val="20C97FA0"/>
    <w:rsid w:val="20DDB110"/>
    <w:rsid w:val="20E013A2"/>
    <w:rsid w:val="20E3EB9A"/>
    <w:rsid w:val="2141CD05"/>
    <w:rsid w:val="21475BA2"/>
    <w:rsid w:val="2148400D"/>
    <w:rsid w:val="2180B5A5"/>
    <w:rsid w:val="21B55404"/>
    <w:rsid w:val="21D552A2"/>
    <w:rsid w:val="21DDA31D"/>
    <w:rsid w:val="21E4E340"/>
    <w:rsid w:val="21EC2A11"/>
    <w:rsid w:val="22259862"/>
    <w:rsid w:val="22409498"/>
    <w:rsid w:val="224624EB"/>
    <w:rsid w:val="225FC9EA"/>
    <w:rsid w:val="226F8F16"/>
    <w:rsid w:val="2298F38B"/>
    <w:rsid w:val="22CABD00"/>
    <w:rsid w:val="22CB461D"/>
    <w:rsid w:val="22D3201C"/>
    <w:rsid w:val="22D7FF7E"/>
    <w:rsid w:val="22F74055"/>
    <w:rsid w:val="230122AC"/>
    <w:rsid w:val="23030AF7"/>
    <w:rsid w:val="230B9D4A"/>
    <w:rsid w:val="2317C393"/>
    <w:rsid w:val="23451C81"/>
    <w:rsid w:val="23910706"/>
    <w:rsid w:val="23A56DEC"/>
    <w:rsid w:val="23B95097"/>
    <w:rsid w:val="23F62CC1"/>
    <w:rsid w:val="2408A039"/>
    <w:rsid w:val="240B051D"/>
    <w:rsid w:val="240CCD01"/>
    <w:rsid w:val="24499A3E"/>
    <w:rsid w:val="244FB888"/>
    <w:rsid w:val="2456EC78"/>
    <w:rsid w:val="245BA49C"/>
    <w:rsid w:val="245BEC66"/>
    <w:rsid w:val="24888808"/>
    <w:rsid w:val="249DA121"/>
    <w:rsid w:val="24AE2430"/>
    <w:rsid w:val="24C2A614"/>
    <w:rsid w:val="24C2ECF8"/>
    <w:rsid w:val="24FC5E78"/>
    <w:rsid w:val="25049114"/>
    <w:rsid w:val="2506A587"/>
    <w:rsid w:val="25163C0E"/>
    <w:rsid w:val="251BEC8A"/>
    <w:rsid w:val="25277768"/>
    <w:rsid w:val="2551E3C5"/>
    <w:rsid w:val="255D0480"/>
    <w:rsid w:val="2561B656"/>
    <w:rsid w:val="2578B76B"/>
    <w:rsid w:val="25790C74"/>
    <w:rsid w:val="2580DE1E"/>
    <w:rsid w:val="25866D80"/>
    <w:rsid w:val="259020B7"/>
    <w:rsid w:val="25D21AB3"/>
    <w:rsid w:val="25E13665"/>
    <w:rsid w:val="26241CEB"/>
    <w:rsid w:val="2627CAC6"/>
    <w:rsid w:val="2650C1C8"/>
    <w:rsid w:val="267B4A72"/>
    <w:rsid w:val="267FF0E3"/>
    <w:rsid w:val="2694F419"/>
    <w:rsid w:val="269B1C58"/>
    <w:rsid w:val="26B3D743"/>
    <w:rsid w:val="26C48FDF"/>
    <w:rsid w:val="26CA0989"/>
    <w:rsid w:val="26DF0A45"/>
    <w:rsid w:val="26EEA031"/>
    <w:rsid w:val="27195110"/>
    <w:rsid w:val="2730623A"/>
    <w:rsid w:val="2741626B"/>
    <w:rsid w:val="277AA9E1"/>
    <w:rsid w:val="2787571F"/>
    <w:rsid w:val="27956F71"/>
    <w:rsid w:val="27AA1D14"/>
    <w:rsid w:val="27B854D6"/>
    <w:rsid w:val="27E7B5BA"/>
    <w:rsid w:val="27EC8F6B"/>
    <w:rsid w:val="27EED3CF"/>
    <w:rsid w:val="27F1A3B9"/>
    <w:rsid w:val="27F6046F"/>
    <w:rsid w:val="27FDFFB4"/>
    <w:rsid w:val="280DFEE5"/>
    <w:rsid w:val="281EEC27"/>
    <w:rsid w:val="282351D8"/>
    <w:rsid w:val="282B4381"/>
    <w:rsid w:val="28763C27"/>
    <w:rsid w:val="288222C4"/>
    <w:rsid w:val="2899DD7D"/>
    <w:rsid w:val="289C548E"/>
    <w:rsid w:val="28AD8EA6"/>
    <w:rsid w:val="28BBCA3C"/>
    <w:rsid w:val="28CC7229"/>
    <w:rsid w:val="28F95AEB"/>
    <w:rsid w:val="28FBA7CC"/>
    <w:rsid w:val="28FDE099"/>
    <w:rsid w:val="28FFE612"/>
    <w:rsid w:val="29315D34"/>
    <w:rsid w:val="2937CC93"/>
    <w:rsid w:val="2948AFFC"/>
    <w:rsid w:val="2974D6E6"/>
    <w:rsid w:val="2975863B"/>
    <w:rsid w:val="297778AC"/>
    <w:rsid w:val="2979B63B"/>
    <w:rsid w:val="29977136"/>
    <w:rsid w:val="29A4A09D"/>
    <w:rsid w:val="29C41CB5"/>
    <w:rsid w:val="29E62B9C"/>
    <w:rsid w:val="29F95793"/>
    <w:rsid w:val="2A101FA8"/>
    <w:rsid w:val="2A30CF54"/>
    <w:rsid w:val="2A31C2E2"/>
    <w:rsid w:val="2A452547"/>
    <w:rsid w:val="2AD02976"/>
    <w:rsid w:val="2AD3775C"/>
    <w:rsid w:val="2AF40853"/>
    <w:rsid w:val="2B0E77EB"/>
    <w:rsid w:val="2B16DED5"/>
    <w:rsid w:val="2B34567C"/>
    <w:rsid w:val="2B3C1B13"/>
    <w:rsid w:val="2B3D17C9"/>
    <w:rsid w:val="2B425CB6"/>
    <w:rsid w:val="2B532A5B"/>
    <w:rsid w:val="2B5C649F"/>
    <w:rsid w:val="2B7210C1"/>
    <w:rsid w:val="2B9305A1"/>
    <w:rsid w:val="2BE4505D"/>
    <w:rsid w:val="2BFB4CE3"/>
    <w:rsid w:val="2BFDEC85"/>
    <w:rsid w:val="2C26CB63"/>
    <w:rsid w:val="2C446D85"/>
    <w:rsid w:val="2C51ED49"/>
    <w:rsid w:val="2C63B9DE"/>
    <w:rsid w:val="2C8773FB"/>
    <w:rsid w:val="2C8C34C4"/>
    <w:rsid w:val="2C9786F9"/>
    <w:rsid w:val="2C991D34"/>
    <w:rsid w:val="2C9EA31F"/>
    <w:rsid w:val="2CA80FF2"/>
    <w:rsid w:val="2CA905ED"/>
    <w:rsid w:val="2CAB2331"/>
    <w:rsid w:val="2CB05E0D"/>
    <w:rsid w:val="2CD81E12"/>
    <w:rsid w:val="2CDC415F"/>
    <w:rsid w:val="2CF4E404"/>
    <w:rsid w:val="2D0E8F38"/>
    <w:rsid w:val="2D26AB4B"/>
    <w:rsid w:val="2D29060E"/>
    <w:rsid w:val="2D5028DC"/>
    <w:rsid w:val="2D83D0A7"/>
    <w:rsid w:val="2D98BF06"/>
    <w:rsid w:val="2D9BCA14"/>
    <w:rsid w:val="2DA6E0CA"/>
    <w:rsid w:val="2DB1776D"/>
    <w:rsid w:val="2DCBB1DE"/>
    <w:rsid w:val="2DCDEA24"/>
    <w:rsid w:val="2E01124E"/>
    <w:rsid w:val="2E063DFB"/>
    <w:rsid w:val="2E080540"/>
    <w:rsid w:val="2E10507E"/>
    <w:rsid w:val="2E2C43B7"/>
    <w:rsid w:val="2E5F5600"/>
    <w:rsid w:val="2E698CFD"/>
    <w:rsid w:val="2E7811C0"/>
    <w:rsid w:val="2E8DFEAB"/>
    <w:rsid w:val="2EA351C6"/>
    <w:rsid w:val="2EC3D47E"/>
    <w:rsid w:val="2EEC6486"/>
    <w:rsid w:val="2EF046E4"/>
    <w:rsid w:val="2EF51D6A"/>
    <w:rsid w:val="2F07D01D"/>
    <w:rsid w:val="2F0AD57F"/>
    <w:rsid w:val="2F29D495"/>
    <w:rsid w:val="2F2AA9A3"/>
    <w:rsid w:val="2F33ADE5"/>
    <w:rsid w:val="2F34BF9C"/>
    <w:rsid w:val="2F824FA5"/>
    <w:rsid w:val="2F917FC3"/>
    <w:rsid w:val="2FC15582"/>
    <w:rsid w:val="2FF5D7B2"/>
    <w:rsid w:val="2FF81F4C"/>
    <w:rsid w:val="30032DAC"/>
    <w:rsid w:val="30087EF2"/>
    <w:rsid w:val="3037CCAF"/>
    <w:rsid w:val="3049FBBE"/>
    <w:rsid w:val="30523C35"/>
    <w:rsid w:val="3064885E"/>
    <w:rsid w:val="30675CF3"/>
    <w:rsid w:val="3079EA79"/>
    <w:rsid w:val="308B9BAA"/>
    <w:rsid w:val="30A6DA64"/>
    <w:rsid w:val="30AA21E5"/>
    <w:rsid w:val="30B9F9F2"/>
    <w:rsid w:val="30BEFD51"/>
    <w:rsid w:val="30C5677D"/>
    <w:rsid w:val="30D22630"/>
    <w:rsid w:val="30EFBE87"/>
    <w:rsid w:val="30F12390"/>
    <w:rsid w:val="310F9FD3"/>
    <w:rsid w:val="311BA27B"/>
    <w:rsid w:val="311E433D"/>
    <w:rsid w:val="312C9F49"/>
    <w:rsid w:val="3142BC63"/>
    <w:rsid w:val="31576669"/>
    <w:rsid w:val="315ACC12"/>
    <w:rsid w:val="315B2A7B"/>
    <w:rsid w:val="3176F8E5"/>
    <w:rsid w:val="31812909"/>
    <w:rsid w:val="31AA9D9A"/>
    <w:rsid w:val="31ADEFB6"/>
    <w:rsid w:val="31B512F3"/>
    <w:rsid w:val="31C7CB32"/>
    <w:rsid w:val="31CA09CF"/>
    <w:rsid w:val="31CAF68C"/>
    <w:rsid w:val="31D5A538"/>
    <w:rsid w:val="31FBB104"/>
    <w:rsid w:val="321B483B"/>
    <w:rsid w:val="3220EADE"/>
    <w:rsid w:val="32691E22"/>
    <w:rsid w:val="3282D4BE"/>
    <w:rsid w:val="3299F8FD"/>
    <w:rsid w:val="329D99D0"/>
    <w:rsid w:val="32A2E59D"/>
    <w:rsid w:val="32BB8FA2"/>
    <w:rsid w:val="32CF1964"/>
    <w:rsid w:val="32D8649A"/>
    <w:rsid w:val="32EAFEAD"/>
    <w:rsid w:val="32EEBFE9"/>
    <w:rsid w:val="32F3F2F8"/>
    <w:rsid w:val="32FAA0FC"/>
    <w:rsid w:val="32FB748B"/>
    <w:rsid w:val="3343A496"/>
    <w:rsid w:val="334C47BC"/>
    <w:rsid w:val="334E3DEE"/>
    <w:rsid w:val="334E82D3"/>
    <w:rsid w:val="3350BB5B"/>
    <w:rsid w:val="33528183"/>
    <w:rsid w:val="33570A80"/>
    <w:rsid w:val="3369BA1E"/>
    <w:rsid w:val="33891F64"/>
    <w:rsid w:val="3398D743"/>
    <w:rsid w:val="339E68DE"/>
    <w:rsid w:val="33B6A03A"/>
    <w:rsid w:val="33E8CA1E"/>
    <w:rsid w:val="34206EEC"/>
    <w:rsid w:val="34493DC5"/>
    <w:rsid w:val="345B86BD"/>
    <w:rsid w:val="34639424"/>
    <w:rsid w:val="347081F9"/>
    <w:rsid w:val="34819325"/>
    <w:rsid w:val="3498F25B"/>
    <w:rsid w:val="34A21D97"/>
    <w:rsid w:val="34A2E935"/>
    <w:rsid w:val="34BE21A1"/>
    <w:rsid w:val="34C76C6C"/>
    <w:rsid w:val="34D3D70D"/>
    <w:rsid w:val="34E1AFF0"/>
    <w:rsid w:val="350C315A"/>
    <w:rsid w:val="350CA445"/>
    <w:rsid w:val="350F3047"/>
    <w:rsid w:val="3519288C"/>
    <w:rsid w:val="351A5A1D"/>
    <w:rsid w:val="3527B8F8"/>
    <w:rsid w:val="352C1AFE"/>
    <w:rsid w:val="353A3272"/>
    <w:rsid w:val="354FCA34"/>
    <w:rsid w:val="354FCB3D"/>
    <w:rsid w:val="35697557"/>
    <w:rsid w:val="35727DC5"/>
    <w:rsid w:val="3587D536"/>
    <w:rsid w:val="358A4F94"/>
    <w:rsid w:val="35CBAC60"/>
    <w:rsid w:val="35DBD4ED"/>
    <w:rsid w:val="35E89EC4"/>
    <w:rsid w:val="35F0BA95"/>
    <w:rsid w:val="35F408DE"/>
    <w:rsid w:val="360367AE"/>
    <w:rsid w:val="360F331C"/>
    <w:rsid w:val="36241C9B"/>
    <w:rsid w:val="3626E17F"/>
    <w:rsid w:val="36463B09"/>
    <w:rsid w:val="364CAE02"/>
    <w:rsid w:val="3651DBC8"/>
    <w:rsid w:val="36767C55"/>
    <w:rsid w:val="367E0EBD"/>
    <w:rsid w:val="36924A90"/>
    <w:rsid w:val="36B955F4"/>
    <w:rsid w:val="3702B652"/>
    <w:rsid w:val="3705C360"/>
    <w:rsid w:val="3709ECF6"/>
    <w:rsid w:val="370FD1A4"/>
    <w:rsid w:val="372F5869"/>
    <w:rsid w:val="37367B0C"/>
    <w:rsid w:val="373FB614"/>
    <w:rsid w:val="37677CC1"/>
    <w:rsid w:val="37804E36"/>
    <w:rsid w:val="37951F7A"/>
    <w:rsid w:val="379B50C8"/>
    <w:rsid w:val="37B0BE3B"/>
    <w:rsid w:val="37C20746"/>
    <w:rsid w:val="37C72CC6"/>
    <w:rsid w:val="37E71946"/>
    <w:rsid w:val="37EF46DB"/>
    <w:rsid w:val="38311C21"/>
    <w:rsid w:val="3837949B"/>
    <w:rsid w:val="3848CCFB"/>
    <w:rsid w:val="3859D5FC"/>
    <w:rsid w:val="38629768"/>
    <w:rsid w:val="386C7D2C"/>
    <w:rsid w:val="3889FF9A"/>
    <w:rsid w:val="38911034"/>
    <w:rsid w:val="38BC9EC8"/>
    <w:rsid w:val="38C672EE"/>
    <w:rsid w:val="38D5B736"/>
    <w:rsid w:val="38D7E337"/>
    <w:rsid w:val="392F1E55"/>
    <w:rsid w:val="3966135B"/>
    <w:rsid w:val="397DC837"/>
    <w:rsid w:val="398003FA"/>
    <w:rsid w:val="3998B601"/>
    <w:rsid w:val="39B2DF7C"/>
    <w:rsid w:val="39CCD7C9"/>
    <w:rsid w:val="39F676C2"/>
    <w:rsid w:val="3A0917E4"/>
    <w:rsid w:val="3A0C951B"/>
    <w:rsid w:val="3A337686"/>
    <w:rsid w:val="3A5F13A9"/>
    <w:rsid w:val="3A5FF95D"/>
    <w:rsid w:val="3A686D2C"/>
    <w:rsid w:val="3A70C9D0"/>
    <w:rsid w:val="3A7B943C"/>
    <w:rsid w:val="3A7D1792"/>
    <w:rsid w:val="3A809559"/>
    <w:rsid w:val="3A81758C"/>
    <w:rsid w:val="3A82488E"/>
    <w:rsid w:val="3A99E693"/>
    <w:rsid w:val="3AC933A8"/>
    <w:rsid w:val="3AE5CC66"/>
    <w:rsid w:val="3B0F11CD"/>
    <w:rsid w:val="3B2D66A8"/>
    <w:rsid w:val="3B484E24"/>
    <w:rsid w:val="3B55740C"/>
    <w:rsid w:val="3B5F64AB"/>
    <w:rsid w:val="3B6369EB"/>
    <w:rsid w:val="3B7CA737"/>
    <w:rsid w:val="3B880C95"/>
    <w:rsid w:val="3B9B849D"/>
    <w:rsid w:val="3B9C423D"/>
    <w:rsid w:val="3BA29575"/>
    <w:rsid w:val="3BB9A4F2"/>
    <w:rsid w:val="3BBDB290"/>
    <w:rsid w:val="3BBDEAE3"/>
    <w:rsid w:val="3BD61EBC"/>
    <w:rsid w:val="3BDB3C23"/>
    <w:rsid w:val="3BF10ACC"/>
    <w:rsid w:val="3BF71A6C"/>
    <w:rsid w:val="3BF83644"/>
    <w:rsid w:val="3BFA3BFD"/>
    <w:rsid w:val="3BFE4BC3"/>
    <w:rsid w:val="3C0F3228"/>
    <w:rsid w:val="3C330F18"/>
    <w:rsid w:val="3CA49BB8"/>
    <w:rsid w:val="3CAAA06B"/>
    <w:rsid w:val="3CD01A8A"/>
    <w:rsid w:val="3CDB905A"/>
    <w:rsid w:val="3CEC4084"/>
    <w:rsid w:val="3CEF5790"/>
    <w:rsid w:val="3CEFEB9B"/>
    <w:rsid w:val="3CF8F93E"/>
    <w:rsid w:val="3CFDD1AC"/>
    <w:rsid w:val="3D052525"/>
    <w:rsid w:val="3D1DB002"/>
    <w:rsid w:val="3D48D802"/>
    <w:rsid w:val="3D4B9980"/>
    <w:rsid w:val="3D4F5468"/>
    <w:rsid w:val="3D6B5CA1"/>
    <w:rsid w:val="3D765DC0"/>
    <w:rsid w:val="3DA03CCE"/>
    <w:rsid w:val="3DA400ED"/>
    <w:rsid w:val="3DB826F0"/>
    <w:rsid w:val="3DD8D673"/>
    <w:rsid w:val="3DE6281C"/>
    <w:rsid w:val="3DF4B5B9"/>
    <w:rsid w:val="3E10FD30"/>
    <w:rsid w:val="3E50238F"/>
    <w:rsid w:val="3E67D8E9"/>
    <w:rsid w:val="3E7B38F0"/>
    <w:rsid w:val="3E7CAD8E"/>
    <w:rsid w:val="3EABA51E"/>
    <w:rsid w:val="3EB2EE57"/>
    <w:rsid w:val="3EB8127F"/>
    <w:rsid w:val="3EC3DE58"/>
    <w:rsid w:val="3EDAA9C5"/>
    <w:rsid w:val="3EE670A2"/>
    <w:rsid w:val="3EE7C74C"/>
    <w:rsid w:val="3EEAA943"/>
    <w:rsid w:val="3F01344E"/>
    <w:rsid w:val="3F11F794"/>
    <w:rsid w:val="3F3CCBD9"/>
    <w:rsid w:val="3F4D1BA9"/>
    <w:rsid w:val="3F6E9FE2"/>
    <w:rsid w:val="3F7229FF"/>
    <w:rsid w:val="3F844FDF"/>
    <w:rsid w:val="3F847D9B"/>
    <w:rsid w:val="3FAD3BF3"/>
    <w:rsid w:val="3FBFBDA6"/>
    <w:rsid w:val="3FCDBB3B"/>
    <w:rsid w:val="3FD5712B"/>
    <w:rsid w:val="3FF8FEB1"/>
    <w:rsid w:val="402DD024"/>
    <w:rsid w:val="4038B8E2"/>
    <w:rsid w:val="404C7E85"/>
    <w:rsid w:val="405F2181"/>
    <w:rsid w:val="4065960A"/>
    <w:rsid w:val="4065FB15"/>
    <w:rsid w:val="4074AC14"/>
    <w:rsid w:val="408A5D7F"/>
    <w:rsid w:val="40A02D59"/>
    <w:rsid w:val="40A9B0F5"/>
    <w:rsid w:val="40AAD268"/>
    <w:rsid w:val="40AFC848"/>
    <w:rsid w:val="40B0E6AA"/>
    <w:rsid w:val="40B1E70F"/>
    <w:rsid w:val="40D644DA"/>
    <w:rsid w:val="40D6A6D2"/>
    <w:rsid w:val="40DD7AAA"/>
    <w:rsid w:val="40FC4C46"/>
    <w:rsid w:val="40FF19F9"/>
    <w:rsid w:val="4111218E"/>
    <w:rsid w:val="411CF31D"/>
    <w:rsid w:val="4134D365"/>
    <w:rsid w:val="41397C52"/>
    <w:rsid w:val="4142D703"/>
    <w:rsid w:val="414E6BE7"/>
    <w:rsid w:val="41738E94"/>
    <w:rsid w:val="4173BD4F"/>
    <w:rsid w:val="417F1C91"/>
    <w:rsid w:val="4180BAC0"/>
    <w:rsid w:val="418C0F65"/>
    <w:rsid w:val="41A9980B"/>
    <w:rsid w:val="41B762E7"/>
    <w:rsid w:val="41C7A1D2"/>
    <w:rsid w:val="41DE6731"/>
    <w:rsid w:val="41E01EF5"/>
    <w:rsid w:val="41F0773D"/>
    <w:rsid w:val="4225F944"/>
    <w:rsid w:val="42558942"/>
    <w:rsid w:val="425CE807"/>
    <w:rsid w:val="428387E2"/>
    <w:rsid w:val="42C4A260"/>
    <w:rsid w:val="42CD6EB7"/>
    <w:rsid w:val="42D5FFEC"/>
    <w:rsid w:val="42DCB781"/>
    <w:rsid w:val="42E89CEE"/>
    <w:rsid w:val="42EAEB04"/>
    <w:rsid w:val="430EA339"/>
    <w:rsid w:val="430F8FFF"/>
    <w:rsid w:val="4351EF92"/>
    <w:rsid w:val="4354B350"/>
    <w:rsid w:val="4358415E"/>
    <w:rsid w:val="43597EBE"/>
    <w:rsid w:val="435C26B7"/>
    <w:rsid w:val="4368CEBE"/>
    <w:rsid w:val="437E31C6"/>
    <w:rsid w:val="439E3A59"/>
    <w:rsid w:val="43C9217E"/>
    <w:rsid w:val="43D1E2EA"/>
    <w:rsid w:val="44008A38"/>
    <w:rsid w:val="4402401D"/>
    <w:rsid w:val="44151AA3"/>
    <w:rsid w:val="44242F95"/>
    <w:rsid w:val="443C1CA6"/>
    <w:rsid w:val="443D40FE"/>
    <w:rsid w:val="444B5F3F"/>
    <w:rsid w:val="4458B4FB"/>
    <w:rsid w:val="445B90BE"/>
    <w:rsid w:val="446CC517"/>
    <w:rsid w:val="44757BEB"/>
    <w:rsid w:val="447E3817"/>
    <w:rsid w:val="44A3823F"/>
    <w:rsid w:val="44AE03A6"/>
    <w:rsid w:val="44AF7DF6"/>
    <w:rsid w:val="44BB2091"/>
    <w:rsid w:val="44BD0274"/>
    <w:rsid w:val="44F27411"/>
    <w:rsid w:val="4510C2EF"/>
    <w:rsid w:val="4514D1CD"/>
    <w:rsid w:val="45185B38"/>
    <w:rsid w:val="4521679B"/>
    <w:rsid w:val="453EFBBD"/>
    <w:rsid w:val="455E70B2"/>
    <w:rsid w:val="456B5D4E"/>
    <w:rsid w:val="457C8AA9"/>
    <w:rsid w:val="458EDBBA"/>
    <w:rsid w:val="459EEF6C"/>
    <w:rsid w:val="45AA7438"/>
    <w:rsid w:val="45BA083C"/>
    <w:rsid w:val="45C5B29E"/>
    <w:rsid w:val="45CFC11E"/>
    <w:rsid w:val="45FA52E8"/>
    <w:rsid w:val="461BBDF5"/>
    <w:rsid w:val="46343BE2"/>
    <w:rsid w:val="46C32268"/>
    <w:rsid w:val="46D5931D"/>
    <w:rsid w:val="46E8A322"/>
    <w:rsid w:val="47038CBE"/>
    <w:rsid w:val="470BF6A9"/>
    <w:rsid w:val="4713637B"/>
    <w:rsid w:val="473BC8B7"/>
    <w:rsid w:val="47560D9D"/>
    <w:rsid w:val="47661531"/>
    <w:rsid w:val="47671127"/>
    <w:rsid w:val="477C04FD"/>
    <w:rsid w:val="47981383"/>
    <w:rsid w:val="479AA7AE"/>
    <w:rsid w:val="47B1BA5C"/>
    <w:rsid w:val="47B3D228"/>
    <w:rsid w:val="47B42CE9"/>
    <w:rsid w:val="47B45EB2"/>
    <w:rsid w:val="47BCF20E"/>
    <w:rsid w:val="47D1F5A0"/>
    <w:rsid w:val="47FBA775"/>
    <w:rsid w:val="47FFAF9D"/>
    <w:rsid w:val="48097591"/>
    <w:rsid w:val="482D3053"/>
    <w:rsid w:val="482ED82E"/>
    <w:rsid w:val="484FACB5"/>
    <w:rsid w:val="4863FE27"/>
    <w:rsid w:val="48662AF6"/>
    <w:rsid w:val="48BE267F"/>
    <w:rsid w:val="48EF62F8"/>
    <w:rsid w:val="48F3DFD0"/>
    <w:rsid w:val="48F8445A"/>
    <w:rsid w:val="48FAF3DD"/>
    <w:rsid w:val="49054948"/>
    <w:rsid w:val="4906DFE4"/>
    <w:rsid w:val="4946E1CF"/>
    <w:rsid w:val="4969E2DC"/>
    <w:rsid w:val="496F27E0"/>
    <w:rsid w:val="4972CC81"/>
    <w:rsid w:val="49821C0A"/>
    <w:rsid w:val="49B0E57F"/>
    <w:rsid w:val="49B613FC"/>
    <w:rsid w:val="49FE4A30"/>
    <w:rsid w:val="4A3015D6"/>
    <w:rsid w:val="4A524E91"/>
    <w:rsid w:val="4A87AEF4"/>
    <w:rsid w:val="4AA6A636"/>
    <w:rsid w:val="4AB33FA5"/>
    <w:rsid w:val="4AD93EB3"/>
    <w:rsid w:val="4AE922C8"/>
    <w:rsid w:val="4AE9B0B1"/>
    <w:rsid w:val="4AF02B37"/>
    <w:rsid w:val="4AF1C1F8"/>
    <w:rsid w:val="4B0201ED"/>
    <w:rsid w:val="4B0B5322"/>
    <w:rsid w:val="4B373E4C"/>
    <w:rsid w:val="4B4BC300"/>
    <w:rsid w:val="4B56D3CE"/>
    <w:rsid w:val="4B60701B"/>
    <w:rsid w:val="4B6875D2"/>
    <w:rsid w:val="4B6F554F"/>
    <w:rsid w:val="4B85AC51"/>
    <w:rsid w:val="4B92C06C"/>
    <w:rsid w:val="4B9BA2F8"/>
    <w:rsid w:val="4BB342B1"/>
    <w:rsid w:val="4BCA08B6"/>
    <w:rsid w:val="4C1F259C"/>
    <w:rsid w:val="4C29A5EE"/>
    <w:rsid w:val="4C5A43DF"/>
    <w:rsid w:val="4C9B0B60"/>
    <w:rsid w:val="4CB47126"/>
    <w:rsid w:val="4CBD21C0"/>
    <w:rsid w:val="4CEC3738"/>
    <w:rsid w:val="4CF0DBA9"/>
    <w:rsid w:val="4D178D43"/>
    <w:rsid w:val="4D2DA57D"/>
    <w:rsid w:val="4D3785E3"/>
    <w:rsid w:val="4D378F18"/>
    <w:rsid w:val="4D38CABA"/>
    <w:rsid w:val="4D46D79F"/>
    <w:rsid w:val="4D57B3CB"/>
    <w:rsid w:val="4D5CB165"/>
    <w:rsid w:val="4D6C49D7"/>
    <w:rsid w:val="4D78F77B"/>
    <w:rsid w:val="4D91DEDA"/>
    <w:rsid w:val="4D99DB94"/>
    <w:rsid w:val="4D9D65ED"/>
    <w:rsid w:val="4DC72521"/>
    <w:rsid w:val="4DF3972A"/>
    <w:rsid w:val="4DFF7CCC"/>
    <w:rsid w:val="4E02D27E"/>
    <w:rsid w:val="4E0DBEE6"/>
    <w:rsid w:val="4E10BC1F"/>
    <w:rsid w:val="4E248611"/>
    <w:rsid w:val="4E41DFCA"/>
    <w:rsid w:val="4E6BADC2"/>
    <w:rsid w:val="4E7A71EA"/>
    <w:rsid w:val="4E8C4763"/>
    <w:rsid w:val="4E9C6F1D"/>
    <w:rsid w:val="4EB1B15F"/>
    <w:rsid w:val="4EB3198E"/>
    <w:rsid w:val="4EB7CEEA"/>
    <w:rsid w:val="4EBA4104"/>
    <w:rsid w:val="4EC14F67"/>
    <w:rsid w:val="4ECD6A28"/>
    <w:rsid w:val="4ED2A781"/>
    <w:rsid w:val="4EE3D2AC"/>
    <w:rsid w:val="4F058B49"/>
    <w:rsid w:val="4F332A62"/>
    <w:rsid w:val="4F4967CC"/>
    <w:rsid w:val="4F5CC69F"/>
    <w:rsid w:val="4FB6706D"/>
    <w:rsid w:val="4FC4C11C"/>
    <w:rsid w:val="4FCEDC6C"/>
    <w:rsid w:val="4FF8FD29"/>
    <w:rsid w:val="501AAA2F"/>
    <w:rsid w:val="501DFF2F"/>
    <w:rsid w:val="501EBF64"/>
    <w:rsid w:val="502CD9F7"/>
    <w:rsid w:val="5038A1D1"/>
    <w:rsid w:val="50445B36"/>
    <w:rsid w:val="50464721"/>
    <w:rsid w:val="50613BF6"/>
    <w:rsid w:val="507F37EA"/>
    <w:rsid w:val="507F5AC6"/>
    <w:rsid w:val="507F8E1A"/>
    <w:rsid w:val="508AAFE0"/>
    <w:rsid w:val="508B031F"/>
    <w:rsid w:val="50B56DBC"/>
    <w:rsid w:val="50E55E47"/>
    <w:rsid w:val="50F04A23"/>
    <w:rsid w:val="50FA7763"/>
    <w:rsid w:val="5109BEE6"/>
    <w:rsid w:val="51168BF8"/>
    <w:rsid w:val="511F5542"/>
    <w:rsid w:val="512EC078"/>
    <w:rsid w:val="514B9E18"/>
    <w:rsid w:val="51513A51"/>
    <w:rsid w:val="51518B30"/>
    <w:rsid w:val="515886E7"/>
    <w:rsid w:val="5173EEE9"/>
    <w:rsid w:val="51833C44"/>
    <w:rsid w:val="51B98CE3"/>
    <w:rsid w:val="51BC0B2C"/>
    <w:rsid w:val="51BC636D"/>
    <w:rsid w:val="51D1CCE5"/>
    <w:rsid w:val="51EDEAF4"/>
    <w:rsid w:val="51F338EA"/>
    <w:rsid w:val="51F7D613"/>
    <w:rsid w:val="521F8437"/>
    <w:rsid w:val="522D1410"/>
    <w:rsid w:val="52309845"/>
    <w:rsid w:val="524F49CC"/>
    <w:rsid w:val="525E34B5"/>
    <w:rsid w:val="525F9F2D"/>
    <w:rsid w:val="52641076"/>
    <w:rsid w:val="5265B61E"/>
    <w:rsid w:val="527B31CA"/>
    <w:rsid w:val="52847F53"/>
    <w:rsid w:val="5287E564"/>
    <w:rsid w:val="52A4EA96"/>
    <w:rsid w:val="52AE8C73"/>
    <w:rsid w:val="52CE749A"/>
    <w:rsid w:val="52DA477E"/>
    <w:rsid w:val="52E83D14"/>
    <w:rsid w:val="534656C9"/>
    <w:rsid w:val="534E66FE"/>
    <w:rsid w:val="53B4E3E5"/>
    <w:rsid w:val="53C3994E"/>
    <w:rsid w:val="53C3B65E"/>
    <w:rsid w:val="53D9FBFA"/>
    <w:rsid w:val="53DD4E86"/>
    <w:rsid w:val="53E38F35"/>
    <w:rsid w:val="53F61885"/>
    <w:rsid w:val="540F9320"/>
    <w:rsid w:val="54316BC7"/>
    <w:rsid w:val="543CD338"/>
    <w:rsid w:val="5452C57E"/>
    <w:rsid w:val="5457E091"/>
    <w:rsid w:val="545FB209"/>
    <w:rsid w:val="545FCA6F"/>
    <w:rsid w:val="54697BDC"/>
    <w:rsid w:val="5470BB0A"/>
    <w:rsid w:val="54745408"/>
    <w:rsid w:val="547474FF"/>
    <w:rsid w:val="547ED94B"/>
    <w:rsid w:val="5496D1BD"/>
    <w:rsid w:val="54AB5CDA"/>
    <w:rsid w:val="54B2CABC"/>
    <w:rsid w:val="54B60F2C"/>
    <w:rsid w:val="54DB5315"/>
    <w:rsid w:val="54EA375F"/>
    <w:rsid w:val="54ED426D"/>
    <w:rsid w:val="550E13ED"/>
    <w:rsid w:val="55165B84"/>
    <w:rsid w:val="551B3473"/>
    <w:rsid w:val="55431F37"/>
    <w:rsid w:val="556B787B"/>
    <w:rsid w:val="556CC434"/>
    <w:rsid w:val="5577D82F"/>
    <w:rsid w:val="55820615"/>
    <w:rsid w:val="558AA0C9"/>
    <w:rsid w:val="55973223"/>
    <w:rsid w:val="55A63DAF"/>
    <w:rsid w:val="55A9CA7F"/>
    <w:rsid w:val="55B6BE4C"/>
    <w:rsid w:val="55B772F9"/>
    <w:rsid w:val="55C63DC7"/>
    <w:rsid w:val="55DFAFED"/>
    <w:rsid w:val="55F606CA"/>
    <w:rsid w:val="56093099"/>
    <w:rsid w:val="56234136"/>
    <w:rsid w:val="562D59CB"/>
    <w:rsid w:val="5638AE56"/>
    <w:rsid w:val="564CC561"/>
    <w:rsid w:val="564FEA47"/>
    <w:rsid w:val="5666EF5E"/>
    <w:rsid w:val="56908F94"/>
    <w:rsid w:val="56986353"/>
    <w:rsid w:val="569EC6C7"/>
    <w:rsid w:val="569F58FB"/>
    <w:rsid w:val="56A6D41A"/>
    <w:rsid w:val="56B5A1F2"/>
    <w:rsid w:val="56BA6AF0"/>
    <w:rsid w:val="56F461FE"/>
    <w:rsid w:val="56FCC18E"/>
    <w:rsid w:val="56FE68AC"/>
    <w:rsid w:val="57018022"/>
    <w:rsid w:val="570D0E61"/>
    <w:rsid w:val="570D53DA"/>
    <w:rsid w:val="572AE984"/>
    <w:rsid w:val="57608344"/>
    <w:rsid w:val="5764098D"/>
    <w:rsid w:val="576E9149"/>
    <w:rsid w:val="5783E45F"/>
    <w:rsid w:val="57981414"/>
    <w:rsid w:val="57AE34F1"/>
    <w:rsid w:val="57B07318"/>
    <w:rsid w:val="57C4EA3C"/>
    <w:rsid w:val="57F1F179"/>
    <w:rsid w:val="580A019B"/>
    <w:rsid w:val="58101910"/>
    <w:rsid w:val="5815C857"/>
    <w:rsid w:val="583433B4"/>
    <w:rsid w:val="5854FC5C"/>
    <w:rsid w:val="58658A3E"/>
    <w:rsid w:val="5871DFFE"/>
    <w:rsid w:val="58841307"/>
    <w:rsid w:val="58877BB5"/>
    <w:rsid w:val="588CC22B"/>
    <w:rsid w:val="5898F2D9"/>
    <w:rsid w:val="58AB6A18"/>
    <w:rsid w:val="58B6E450"/>
    <w:rsid w:val="58CFE3BE"/>
    <w:rsid w:val="58E7C435"/>
    <w:rsid w:val="58EC3508"/>
    <w:rsid w:val="58FD324C"/>
    <w:rsid w:val="59130AC3"/>
    <w:rsid w:val="59187848"/>
    <w:rsid w:val="592B03D0"/>
    <w:rsid w:val="592DC3B6"/>
    <w:rsid w:val="593DD48B"/>
    <w:rsid w:val="593E6BCD"/>
    <w:rsid w:val="594EADA3"/>
    <w:rsid w:val="595C097A"/>
    <w:rsid w:val="597372DD"/>
    <w:rsid w:val="598FF461"/>
    <w:rsid w:val="59ABD73C"/>
    <w:rsid w:val="59C0766C"/>
    <w:rsid w:val="59CA5C6E"/>
    <w:rsid w:val="59DF2DB2"/>
    <w:rsid w:val="5A1D588E"/>
    <w:rsid w:val="5A1EFDF4"/>
    <w:rsid w:val="5A3FB1B9"/>
    <w:rsid w:val="5A46CB95"/>
    <w:rsid w:val="5A90324C"/>
    <w:rsid w:val="5A9152AC"/>
    <w:rsid w:val="5AC55EC0"/>
    <w:rsid w:val="5AD347C7"/>
    <w:rsid w:val="5AE40E96"/>
    <w:rsid w:val="5B05588C"/>
    <w:rsid w:val="5B26408C"/>
    <w:rsid w:val="5B287A8A"/>
    <w:rsid w:val="5B2C2C70"/>
    <w:rsid w:val="5B2D412E"/>
    <w:rsid w:val="5B320C10"/>
    <w:rsid w:val="5B7CE52B"/>
    <w:rsid w:val="5B81A92F"/>
    <w:rsid w:val="5BB83812"/>
    <w:rsid w:val="5BBB548D"/>
    <w:rsid w:val="5BCABD95"/>
    <w:rsid w:val="5BD11593"/>
    <w:rsid w:val="5BDBDEBC"/>
    <w:rsid w:val="5C0A15E7"/>
    <w:rsid w:val="5C0AED20"/>
    <w:rsid w:val="5C362268"/>
    <w:rsid w:val="5C59D2E8"/>
    <w:rsid w:val="5C648C92"/>
    <w:rsid w:val="5C6AA493"/>
    <w:rsid w:val="5C70C656"/>
    <w:rsid w:val="5C9025D5"/>
    <w:rsid w:val="5C98AC5E"/>
    <w:rsid w:val="5C9C796A"/>
    <w:rsid w:val="5CBF85DA"/>
    <w:rsid w:val="5CD08A54"/>
    <w:rsid w:val="5CDE65D8"/>
    <w:rsid w:val="5CF0B9E5"/>
    <w:rsid w:val="5D021A46"/>
    <w:rsid w:val="5D199A8A"/>
    <w:rsid w:val="5D22842F"/>
    <w:rsid w:val="5D2581A8"/>
    <w:rsid w:val="5D4AFA43"/>
    <w:rsid w:val="5D5623A1"/>
    <w:rsid w:val="5D565871"/>
    <w:rsid w:val="5D5AAB2A"/>
    <w:rsid w:val="5D6172F9"/>
    <w:rsid w:val="5D6B086F"/>
    <w:rsid w:val="5D8CF7A4"/>
    <w:rsid w:val="5D921131"/>
    <w:rsid w:val="5D98DBDE"/>
    <w:rsid w:val="5DB88951"/>
    <w:rsid w:val="5DCA2C70"/>
    <w:rsid w:val="5DE6FB87"/>
    <w:rsid w:val="5DE745CF"/>
    <w:rsid w:val="5DE7AC22"/>
    <w:rsid w:val="5E3B2C80"/>
    <w:rsid w:val="5E574F22"/>
    <w:rsid w:val="5E716A82"/>
    <w:rsid w:val="5E80D61A"/>
    <w:rsid w:val="5EA05738"/>
    <w:rsid w:val="5EACDD59"/>
    <w:rsid w:val="5EB56AEB"/>
    <w:rsid w:val="5EBDB280"/>
    <w:rsid w:val="5EDF554F"/>
    <w:rsid w:val="5F0BA8CA"/>
    <w:rsid w:val="5F3D277D"/>
    <w:rsid w:val="5F461557"/>
    <w:rsid w:val="5F70F2C1"/>
    <w:rsid w:val="5F9CE5C7"/>
    <w:rsid w:val="5FE5F349"/>
    <w:rsid w:val="5FED99D9"/>
    <w:rsid w:val="60051993"/>
    <w:rsid w:val="60080DF0"/>
    <w:rsid w:val="607C3357"/>
    <w:rsid w:val="60815E56"/>
    <w:rsid w:val="60A704EA"/>
    <w:rsid w:val="60DFAF78"/>
    <w:rsid w:val="60F92202"/>
    <w:rsid w:val="6122BE7B"/>
    <w:rsid w:val="612E5D04"/>
    <w:rsid w:val="6145FA5E"/>
    <w:rsid w:val="614EC185"/>
    <w:rsid w:val="61512299"/>
    <w:rsid w:val="6169D2D6"/>
    <w:rsid w:val="61A58FAC"/>
    <w:rsid w:val="61C57A5B"/>
    <w:rsid w:val="61CB4B47"/>
    <w:rsid w:val="61DC36A3"/>
    <w:rsid w:val="61DC9A35"/>
    <w:rsid w:val="61E0C75B"/>
    <w:rsid w:val="621245E6"/>
    <w:rsid w:val="621D2EB7"/>
    <w:rsid w:val="626496F8"/>
    <w:rsid w:val="6264DC41"/>
    <w:rsid w:val="626F194F"/>
    <w:rsid w:val="6299AE19"/>
    <w:rsid w:val="62AC1669"/>
    <w:rsid w:val="62B8376E"/>
    <w:rsid w:val="62B92ABF"/>
    <w:rsid w:val="62BFD3EA"/>
    <w:rsid w:val="62D085A3"/>
    <w:rsid w:val="62E02D99"/>
    <w:rsid w:val="62EA03E8"/>
    <w:rsid w:val="62F5C57C"/>
    <w:rsid w:val="631063BB"/>
    <w:rsid w:val="6338907C"/>
    <w:rsid w:val="6372014E"/>
    <w:rsid w:val="63A20F89"/>
    <w:rsid w:val="63A3AD26"/>
    <w:rsid w:val="63A89B4E"/>
    <w:rsid w:val="63A8A955"/>
    <w:rsid w:val="63EBD146"/>
    <w:rsid w:val="63FC0E83"/>
    <w:rsid w:val="63FCD4D6"/>
    <w:rsid w:val="64301596"/>
    <w:rsid w:val="643AF25D"/>
    <w:rsid w:val="64635EA9"/>
    <w:rsid w:val="64649C80"/>
    <w:rsid w:val="647D1320"/>
    <w:rsid w:val="649195DD"/>
    <w:rsid w:val="64A490BA"/>
    <w:rsid w:val="64BFC5F9"/>
    <w:rsid w:val="64C673E4"/>
    <w:rsid w:val="64D2EC99"/>
    <w:rsid w:val="64D3A889"/>
    <w:rsid w:val="64DE264F"/>
    <w:rsid w:val="64E63E9B"/>
    <w:rsid w:val="64F950D7"/>
    <w:rsid w:val="64FE3AB2"/>
    <w:rsid w:val="6505D5E7"/>
    <w:rsid w:val="652261AA"/>
    <w:rsid w:val="65874AF6"/>
    <w:rsid w:val="658F2558"/>
    <w:rsid w:val="65B8FD25"/>
    <w:rsid w:val="65CC5E25"/>
    <w:rsid w:val="65CDBA45"/>
    <w:rsid w:val="65DAC4F2"/>
    <w:rsid w:val="660DE78E"/>
    <w:rsid w:val="66288BCE"/>
    <w:rsid w:val="6628AA99"/>
    <w:rsid w:val="663BDB0D"/>
    <w:rsid w:val="664F1A3E"/>
    <w:rsid w:val="665B29A6"/>
    <w:rsid w:val="666BAFF7"/>
    <w:rsid w:val="667C9B25"/>
    <w:rsid w:val="668981B9"/>
    <w:rsid w:val="66B85D74"/>
    <w:rsid w:val="66DFA498"/>
    <w:rsid w:val="672A4582"/>
    <w:rsid w:val="6745F3BF"/>
    <w:rsid w:val="67B457ED"/>
    <w:rsid w:val="67C7ED8F"/>
    <w:rsid w:val="67F04275"/>
    <w:rsid w:val="67F3BA93"/>
    <w:rsid w:val="68350B92"/>
    <w:rsid w:val="68528FA6"/>
    <w:rsid w:val="6889BD14"/>
    <w:rsid w:val="688D9DEE"/>
    <w:rsid w:val="689038C3"/>
    <w:rsid w:val="68AFDC26"/>
    <w:rsid w:val="68B2D00A"/>
    <w:rsid w:val="68C3119F"/>
    <w:rsid w:val="68C953CB"/>
    <w:rsid w:val="68EE00E2"/>
    <w:rsid w:val="690EA88D"/>
    <w:rsid w:val="69167FCF"/>
    <w:rsid w:val="6929A810"/>
    <w:rsid w:val="694C0633"/>
    <w:rsid w:val="6953D778"/>
    <w:rsid w:val="695D65E0"/>
    <w:rsid w:val="69826D58"/>
    <w:rsid w:val="698D2170"/>
    <w:rsid w:val="6992C6B1"/>
    <w:rsid w:val="69AF0222"/>
    <w:rsid w:val="69BA7DC7"/>
    <w:rsid w:val="69D4DF1C"/>
    <w:rsid w:val="69E069B3"/>
    <w:rsid w:val="6A05F5D6"/>
    <w:rsid w:val="6A0A53A9"/>
    <w:rsid w:val="6A25823C"/>
    <w:rsid w:val="6A75CB4F"/>
    <w:rsid w:val="6A78E55D"/>
    <w:rsid w:val="6A7F2274"/>
    <w:rsid w:val="6A8A08C5"/>
    <w:rsid w:val="6AB6B57A"/>
    <w:rsid w:val="6AE63D78"/>
    <w:rsid w:val="6AF30D1E"/>
    <w:rsid w:val="6B0417E1"/>
    <w:rsid w:val="6B138DEB"/>
    <w:rsid w:val="6B19D10A"/>
    <w:rsid w:val="6B1B3BE7"/>
    <w:rsid w:val="6B247F7F"/>
    <w:rsid w:val="6B2E8901"/>
    <w:rsid w:val="6B485193"/>
    <w:rsid w:val="6B492C6C"/>
    <w:rsid w:val="6B4F67C4"/>
    <w:rsid w:val="6B51F7C8"/>
    <w:rsid w:val="6B5BA76E"/>
    <w:rsid w:val="6B6696E8"/>
    <w:rsid w:val="6B860A7A"/>
    <w:rsid w:val="6B945EB3"/>
    <w:rsid w:val="6BA797BD"/>
    <w:rsid w:val="6BB0621B"/>
    <w:rsid w:val="6BB2C82F"/>
    <w:rsid w:val="6BB38663"/>
    <w:rsid w:val="6BC6E40A"/>
    <w:rsid w:val="6BC81C34"/>
    <w:rsid w:val="6BD5FFF2"/>
    <w:rsid w:val="6BD74152"/>
    <w:rsid w:val="6BD7DE2B"/>
    <w:rsid w:val="6BDC7C31"/>
    <w:rsid w:val="6BEC2612"/>
    <w:rsid w:val="6C19DFC2"/>
    <w:rsid w:val="6C31AC48"/>
    <w:rsid w:val="6C4BDF73"/>
    <w:rsid w:val="6C579797"/>
    <w:rsid w:val="6C6784F1"/>
    <w:rsid w:val="6C7CB732"/>
    <w:rsid w:val="6C98D671"/>
    <w:rsid w:val="6CACEE24"/>
    <w:rsid w:val="6CB5A16B"/>
    <w:rsid w:val="6CF3FC05"/>
    <w:rsid w:val="6D2E30B7"/>
    <w:rsid w:val="6D410F05"/>
    <w:rsid w:val="6D455716"/>
    <w:rsid w:val="6D46B489"/>
    <w:rsid w:val="6D4B1BA3"/>
    <w:rsid w:val="6D6E25FD"/>
    <w:rsid w:val="6D728BDC"/>
    <w:rsid w:val="6D77452B"/>
    <w:rsid w:val="6D914A2B"/>
    <w:rsid w:val="6DB7D793"/>
    <w:rsid w:val="6DC20EC0"/>
    <w:rsid w:val="6DC2CCE8"/>
    <w:rsid w:val="6DD5D707"/>
    <w:rsid w:val="6DF1BEDF"/>
    <w:rsid w:val="6E1F8641"/>
    <w:rsid w:val="6E2C18D1"/>
    <w:rsid w:val="6E31946A"/>
    <w:rsid w:val="6E686D9E"/>
    <w:rsid w:val="6E742470"/>
    <w:rsid w:val="6E753647"/>
    <w:rsid w:val="6E8EDF5B"/>
    <w:rsid w:val="6EB05FE5"/>
    <w:rsid w:val="6EE44DEF"/>
    <w:rsid w:val="6EE6B059"/>
    <w:rsid w:val="6EEB80C6"/>
    <w:rsid w:val="6EF9D43D"/>
    <w:rsid w:val="6F0D7BFB"/>
    <w:rsid w:val="6F0DA0B4"/>
    <w:rsid w:val="6F1405EC"/>
    <w:rsid w:val="6F16864D"/>
    <w:rsid w:val="6F1F87B5"/>
    <w:rsid w:val="6F51B35E"/>
    <w:rsid w:val="6F59E0CC"/>
    <w:rsid w:val="6F69D5B5"/>
    <w:rsid w:val="6F6B560F"/>
    <w:rsid w:val="6F77F241"/>
    <w:rsid w:val="6F8C9600"/>
    <w:rsid w:val="6F926FCA"/>
    <w:rsid w:val="6FC3C8A7"/>
    <w:rsid w:val="6FF9B086"/>
    <w:rsid w:val="702C5876"/>
    <w:rsid w:val="705789E7"/>
    <w:rsid w:val="70AABB25"/>
    <w:rsid w:val="70AB4F4E"/>
    <w:rsid w:val="70AD1315"/>
    <w:rsid w:val="70D0A5A2"/>
    <w:rsid w:val="70E1C3D3"/>
    <w:rsid w:val="70F2028B"/>
    <w:rsid w:val="70FB1D39"/>
    <w:rsid w:val="710B523C"/>
    <w:rsid w:val="711B463F"/>
    <w:rsid w:val="71259170"/>
    <w:rsid w:val="71279DA9"/>
    <w:rsid w:val="712929B8"/>
    <w:rsid w:val="71734E47"/>
    <w:rsid w:val="718B52D2"/>
    <w:rsid w:val="71990B7A"/>
    <w:rsid w:val="719EA4A4"/>
    <w:rsid w:val="71A22A9A"/>
    <w:rsid w:val="71CE1402"/>
    <w:rsid w:val="71D21F91"/>
    <w:rsid w:val="71D3586C"/>
    <w:rsid w:val="71DE5D6A"/>
    <w:rsid w:val="7209E9DC"/>
    <w:rsid w:val="7214712C"/>
    <w:rsid w:val="7253483A"/>
    <w:rsid w:val="725A82F4"/>
    <w:rsid w:val="72688F81"/>
    <w:rsid w:val="727B6CDE"/>
    <w:rsid w:val="7280A748"/>
    <w:rsid w:val="7287EA05"/>
    <w:rsid w:val="72B14F99"/>
    <w:rsid w:val="72B6B640"/>
    <w:rsid w:val="72E71A3A"/>
    <w:rsid w:val="72F8921A"/>
    <w:rsid w:val="730FC13E"/>
    <w:rsid w:val="7313221C"/>
    <w:rsid w:val="73373E01"/>
    <w:rsid w:val="73910FEC"/>
    <w:rsid w:val="73913287"/>
    <w:rsid w:val="7397AAC5"/>
    <w:rsid w:val="739DAADA"/>
    <w:rsid w:val="73B5FA85"/>
    <w:rsid w:val="73B8EC04"/>
    <w:rsid w:val="73BB05C9"/>
    <w:rsid w:val="73BE0F49"/>
    <w:rsid w:val="73C27056"/>
    <w:rsid w:val="73FAF2DC"/>
    <w:rsid w:val="73FD4E8A"/>
    <w:rsid w:val="7400D8B7"/>
    <w:rsid w:val="741DCE6A"/>
    <w:rsid w:val="742F75FA"/>
    <w:rsid w:val="743D4940"/>
    <w:rsid w:val="7459A9DE"/>
    <w:rsid w:val="74817E65"/>
    <w:rsid w:val="7496DFF6"/>
    <w:rsid w:val="74B2DB94"/>
    <w:rsid w:val="74B9E605"/>
    <w:rsid w:val="74EF26CD"/>
    <w:rsid w:val="74F53499"/>
    <w:rsid w:val="7504F52B"/>
    <w:rsid w:val="7507530B"/>
    <w:rsid w:val="750D4264"/>
    <w:rsid w:val="751F0E42"/>
    <w:rsid w:val="7534F5F1"/>
    <w:rsid w:val="7543B73C"/>
    <w:rsid w:val="7559DFAA"/>
    <w:rsid w:val="757BFDEA"/>
    <w:rsid w:val="7589A3F6"/>
    <w:rsid w:val="758B418C"/>
    <w:rsid w:val="758EE309"/>
    <w:rsid w:val="759AA7B9"/>
    <w:rsid w:val="75A1BC52"/>
    <w:rsid w:val="75C3E323"/>
    <w:rsid w:val="75C92856"/>
    <w:rsid w:val="75EED29D"/>
    <w:rsid w:val="76074C8E"/>
    <w:rsid w:val="760E2943"/>
    <w:rsid w:val="7619066A"/>
    <w:rsid w:val="76249D47"/>
    <w:rsid w:val="7655B666"/>
    <w:rsid w:val="7658DD94"/>
    <w:rsid w:val="765C8667"/>
    <w:rsid w:val="76DD12B3"/>
    <w:rsid w:val="76FA4538"/>
    <w:rsid w:val="77027D39"/>
    <w:rsid w:val="7709EF4D"/>
    <w:rsid w:val="7711818A"/>
    <w:rsid w:val="772EBA66"/>
    <w:rsid w:val="775ACE05"/>
    <w:rsid w:val="775D37FC"/>
    <w:rsid w:val="7768B9ED"/>
    <w:rsid w:val="776B78FD"/>
    <w:rsid w:val="77AAEE5A"/>
    <w:rsid w:val="77F7E91A"/>
    <w:rsid w:val="77FC28A2"/>
    <w:rsid w:val="7821927B"/>
    <w:rsid w:val="78244042"/>
    <w:rsid w:val="784995EF"/>
    <w:rsid w:val="7880ACDD"/>
    <w:rsid w:val="7899B164"/>
    <w:rsid w:val="789F5699"/>
    <w:rsid w:val="78B60C3C"/>
    <w:rsid w:val="78F7D551"/>
    <w:rsid w:val="7903FD35"/>
    <w:rsid w:val="7904577D"/>
    <w:rsid w:val="7910BA63"/>
    <w:rsid w:val="794D67A4"/>
    <w:rsid w:val="79557C8A"/>
    <w:rsid w:val="796D6249"/>
    <w:rsid w:val="797BACC7"/>
    <w:rsid w:val="79830B5B"/>
    <w:rsid w:val="79AB32C0"/>
    <w:rsid w:val="79C19BD1"/>
    <w:rsid w:val="79CAB262"/>
    <w:rsid w:val="79D97383"/>
    <w:rsid w:val="79E3172D"/>
    <w:rsid w:val="79EBD2DB"/>
    <w:rsid w:val="79ECF052"/>
    <w:rsid w:val="7A01F524"/>
    <w:rsid w:val="7A028291"/>
    <w:rsid w:val="7A2F90F8"/>
    <w:rsid w:val="7A46CF02"/>
    <w:rsid w:val="7A4A1238"/>
    <w:rsid w:val="7A52217E"/>
    <w:rsid w:val="7A579C84"/>
    <w:rsid w:val="7A59891E"/>
    <w:rsid w:val="7A614709"/>
    <w:rsid w:val="7A6DD4FF"/>
    <w:rsid w:val="7A8D880B"/>
    <w:rsid w:val="7A8E0DE3"/>
    <w:rsid w:val="7A98266B"/>
    <w:rsid w:val="7A9D16B2"/>
    <w:rsid w:val="7AB6C331"/>
    <w:rsid w:val="7AC04CF1"/>
    <w:rsid w:val="7AFC17E5"/>
    <w:rsid w:val="7B17342D"/>
    <w:rsid w:val="7B1970EC"/>
    <w:rsid w:val="7B6A3B51"/>
    <w:rsid w:val="7B7837D7"/>
    <w:rsid w:val="7B837948"/>
    <w:rsid w:val="7B9C9B48"/>
    <w:rsid w:val="7BCB6159"/>
    <w:rsid w:val="7BD0A559"/>
    <w:rsid w:val="7BDDDA31"/>
    <w:rsid w:val="7BDFC46D"/>
    <w:rsid w:val="7BF798F9"/>
    <w:rsid w:val="7C120FE2"/>
    <w:rsid w:val="7C13C01A"/>
    <w:rsid w:val="7C1A8DC6"/>
    <w:rsid w:val="7C284A15"/>
    <w:rsid w:val="7C32BDD4"/>
    <w:rsid w:val="7C33D6A8"/>
    <w:rsid w:val="7CA3A81C"/>
    <w:rsid w:val="7CBB68E1"/>
    <w:rsid w:val="7CD7A628"/>
    <w:rsid w:val="7CD99FFE"/>
    <w:rsid w:val="7CDEEA43"/>
    <w:rsid w:val="7CEBB4F5"/>
    <w:rsid w:val="7CF230AF"/>
    <w:rsid w:val="7CF66E87"/>
    <w:rsid w:val="7CF7FF6F"/>
    <w:rsid w:val="7CFF5083"/>
    <w:rsid w:val="7D09209A"/>
    <w:rsid w:val="7D094975"/>
    <w:rsid w:val="7D0B2B67"/>
    <w:rsid w:val="7D0FFA1A"/>
    <w:rsid w:val="7D255AB0"/>
    <w:rsid w:val="7D368E8D"/>
    <w:rsid w:val="7D52B45A"/>
    <w:rsid w:val="7D56F235"/>
    <w:rsid w:val="7D616760"/>
    <w:rsid w:val="7D6DE86D"/>
    <w:rsid w:val="7D82550A"/>
    <w:rsid w:val="7D8A8812"/>
    <w:rsid w:val="7D90F69C"/>
    <w:rsid w:val="7D91D592"/>
    <w:rsid w:val="7DBE783A"/>
    <w:rsid w:val="7DBFA8C6"/>
    <w:rsid w:val="7DC61D99"/>
    <w:rsid w:val="7DE4E192"/>
    <w:rsid w:val="7E31FDE3"/>
    <w:rsid w:val="7E37361E"/>
    <w:rsid w:val="7E391195"/>
    <w:rsid w:val="7E568973"/>
    <w:rsid w:val="7E5D18E2"/>
    <w:rsid w:val="7E7BFB61"/>
    <w:rsid w:val="7E821A9C"/>
    <w:rsid w:val="7E826C02"/>
    <w:rsid w:val="7E94267A"/>
    <w:rsid w:val="7E96C98A"/>
    <w:rsid w:val="7EC5A7C8"/>
    <w:rsid w:val="7EF1A0C7"/>
    <w:rsid w:val="7EFD37C1"/>
    <w:rsid w:val="7F03021B"/>
    <w:rsid w:val="7F139D97"/>
    <w:rsid w:val="7F22210F"/>
    <w:rsid w:val="7F3E102A"/>
    <w:rsid w:val="7F5F84F2"/>
    <w:rsid w:val="7F76FB85"/>
    <w:rsid w:val="7F7ABBA7"/>
    <w:rsid w:val="7F87F63F"/>
    <w:rsid w:val="7F9F240B"/>
    <w:rsid w:val="7FBAD74F"/>
    <w:rsid w:val="7FC53FA9"/>
    <w:rsid w:val="7FDE6581"/>
  </w:rsids>
  <m:mathPr>
    <m:mathFont m:val="Cambria Math"/>
    <m:brkBin m:val="before"/>
    <m:brkBinSub m:val="--"/>
    <m:smallFrac m:val="0"/>
    <m:dispDef/>
    <m:lMargin m:val="0"/>
    <m:rMargin m:val="0"/>
    <m:defJc m:val="left"/>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5B92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495"/>
    <w:pPr>
      <w:spacing w:after="120" w:line="240" w:lineRule="auto"/>
    </w:pPr>
    <w:rPr>
      <w:rFonts w:ascii="Palatino Linotype" w:hAnsi="Palatino Linotype" w:cs="Times New Roman"/>
      <w:sz w:val="24"/>
    </w:rPr>
  </w:style>
  <w:style w:type="paragraph" w:styleId="Heading1">
    <w:name w:val="heading 1"/>
    <w:basedOn w:val="Normal"/>
    <w:next w:val="Normal"/>
    <w:link w:val="Heading1Char"/>
    <w:uiPriority w:val="9"/>
    <w:qFormat/>
    <w:rsid w:val="00E22203"/>
    <w:pPr>
      <w:keepNext/>
      <w:keepLines/>
      <w:spacing w:before="360" w:after="240"/>
      <w:outlineLvl w:val="0"/>
    </w:pPr>
    <w:rPr>
      <w:rFonts w:eastAsiaTheme="majorEastAsia" w:cs="Helvetica"/>
      <w:b/>
      <w:bCs/>
      <w:szCs w:val="26"/>
      <w:u w:val="single"/>
    </w:rPr>
  </w:style>
  <w:style w:type="paragraph" w:styleId="Heading2">
    <w:name w:val="heading 2"/>
    <w:basedOn w:val="Heading1"/>
    <w:next w:val="Normal"/>
    <w:link w:val="Heading2Char"/>
    <w:uiPriority w:val="9"/>
    <w:unhideWhenUsed/>
    <w:qFormat/>
    <w:rsid w:val="00E22203"/>
    <w:pPr>
      <w:tabs>
        <w:tab w:val="left" w:pos="360"/>
      </w:tabs>
      <w:spacing w:before="120" w:after="120"/>
      <w:outlineLvl w:val="1"/>
    </w:pPr>
    <w:rPr>
      <w:rFonts w:cs="Times New Roman"/>
      <w:szCs w:val="24"/>
    </w:rPr>
  </w:style>
  <w:style w:type="paragraph" w:styleId="Heading3">
    <w:name w:val="heading 3"/>
    <w:basedOn w:val="Heading2"/>
    <w:next w:val="Normal"/>
    <w:link w:val="Heading3Char"/>
    <w:uiPriority w:val="9"/>
    <w:unhideWhenUsed/>
    <w:qFormat/>
    <w:rsid w:val="00272652"/>
    <w:pPr>
      <w:numPr>
        <w:ilvl w:val="1"/>
        <w:numId w:val="24"/>
      </w:numPr>
      <w:tabs>
        <w:tab w:val="clear" w:pos="360"/>
      </w:tabs>
      <w:spacing w:before="240"/>
      <w:outlineLvl w:val="2"/>
    </w:pPr>
    <w:rPr>
      <w:b w:val="0"/>
    </w:rPr>
  </w:style>
  <w:style w:type="paragraph" w:styleId="Heading4">
    <w:name w:val="heading 4"/>
    <w:basedOn w:val="Normal"/>
    <w:next w:val="Normal"/>
    <w:link w:val="Heading4Char"/>
    <w:autoRedefine/>
    <w:unhideWhenUsed/>
    <w:qFormat/>
    <w:rsid w:val="003E75D1"/>
    <w:pPr>
      <w:keepNext/>
      <w:keepLines/>
      <w:numPr>
        <w:ilvl w:val="2"/>
        <w:numId w:val="24"/>
      </w:numPr>
      <w:spacing w:before="240"/>
      <w:outlineLvl w:val="3"/>
    </w:pPr>
    <w:rPr>
      <w:rFonts w:eastAsiaTheme="majorEastAsia"/>
      <w:i/>
      <w:iCs/>
      <w:szCs w:val="26"/>
    </w:rPr>
  </w:style>
  <w:style w:type="paragraph" w:styleId="Heading5">
    <w:name w:val="heading 5"/>
    <w:basedOn w:val="Normal"/>
    <w:next w:val="Normal"/>
    <w:link w:val="Heading5Char"/>
    <w:qFormat/>
    <w:rsid w:val="001C19D7"/>
    <w:pPr>
      <w:numPr>
        <w:ilvl w:val="3"/>
        <w:numId w:val="24"/>
      </w:numPr>
      <w:spacing w:before="120"/>
      <w:outlineLvl w:val="4"/>
    </w:pPr>
    <w:rPr>
      <w:szCs w:val="24"/>
    </w:rPr>
  </w:style>
  <w:style w:type="paragraph" w:styleId="Heading6">
    <w:name w:val="heading 6"/>
    <w:aliases w:val="Comment Heading 6"/>
    <w:basedOn w:val="Normal"/>
    <w:next w:val="Normal"/>
    <w:link w:val="Heading6Char"/>
    <w:qFormat/>
    <w:rsid w:val="003E75D1"/>
    <w:pPr>
      <w:keepNext/>
      <w:numPr>
        <w:ilvl w:val="4"/>
        <w:numId w:val="24"/>
      </w:numPr>
      <w:outlineLvl w:val="5"/>
    </w:pPr>
  </w:style>
  <w:style w:type="paragraph" w:styleId="Heading7">
    <w:name w:val="heading 7"/>
    <w:aliases w:val="Comment Heading 7"/>
    <w:basedOn w:val="Heading4"/>
    <w:next w:val="Normal"/>
    <w:link w:val="Heading7Char"/>
    <w:qFormat/>
    <w:rsid w:val="003E75D1"/>
    <w:pPr>
      <w:numPr>
        <w:ilvl w:val="5"/>
      </w:numPr>
      <w:outlineLvl w:val="6"/>
    </w:pPr>
  </w:style>
  <w:style w:type="paragraph" w:styleId="Heading8">
    <w:name w:val="heading 8"/>
    <w:basedOn w:val="Heading7"/>
    <w:next w:val="Normal"/>
    <w:link w:val="Heading8Char"/>
    <w:qFormat/>
    <w:rsid w:val="008F01E1"/>
    <w:pPr>
      <w:numPr>
        <w:ilvl w:val="7"/>
      </w:numPr>
      <w:outlineLvl w:val="7"/>
    </w:pPr>
  </w:style>
  <w:style w:type="paragraph" w:styleId="Heading9">
    <w:name w:val="heading 9"/>
    <w:basedOn w:val="Heading8"/>
    <w:next w:val="Normal"/>
    <w:link w:val="Heading9Char"/>
    <w:qFormat/>
    <w:rsid w:val="008F01E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684B"/>
    <w:rPr>
      <w:rFonts w:ascii="Palatino Linotype" w:eastAsiaTheme="majorEastAsia" w:hAnsi="Palatino Linotype" w:cs="Helvetica"/>
      <w:b/>
      <w:bCs/>
      <w:sz w:val="24"/>
      <w:szCs w:val="26"/>
      <w:u w:val="single"/>
    </w:rPr>
  </w:style>
  <w:style w:type="character" w:customStyle="1" w:styleId="Heading2Char">
    <w:name w:val="Heading 2 Char"/>
    <w:basedOn w:val="DefaultParagraphFont"/>
    <w:link w:val="Heading2"/>
    <w:uiPriority w:val="9"/>
    <w:locked/>
    <w:rsid w:val="00064073"/>
    <w:rPr>
      <w:rFonts w:ascii="Palatino Linotype" w:eastAsiaTheme="majorEastAsia" w:hAnsi="Palatino Linotype" w:cs="Times New Roman"/>
      <w:b/>
      <w:bCs/>
      <w:sz w:val="24"/>
      <w:szCs w:val="24"/>
      <w:u w:val="single"/>
    </w:rPr>
  </w:style>
  <w:style w:type="character" w:customStyle="1" w:styleId="Heading3Char">
    <w:name w:val="Heading 3 Char"/>
    <w:basedOn w:val="DefaultParagraphFont"/>
    <w:link w:val="Heading3"/>
    <w:uiPriority w:val="9"/>
    <w:locked/>
    <w:rsid w:val="00272652"/>
    <w:rPr>
      <w:rFonts w:ascii="Palatino Linotype" w:eastAsiaTheme="majorEastAsia" w:hAnsi="Palatino Linotype" w:cs="Times New Roman"/>
      <w:bCs/>
      <w:sz w:val="24"/>
      <w:szCs w:val="24"/>
      <w:u w:val="single"/>
    </w:rPr>
  </w:style>
  <w:style w:type="character" w:customStyle="1" w:styleId="Heading4Char">
    <w:name w:val="Heading 4 Char"/>
    <w:basedOn w:val="DefaultParagraphFont"/>
    <w:link w:val="Heading4"/>
    <w:locked/>
    <w:rsid w:val="002B281F"/>
    <w:rPr>
      <w:rFonts w:ascii="Palatino Linotype" w:eastAsiaTheme="majorEastAsia" w:hAnsi="Palatino Linotype" w:cs="Times New Roman"/>
      <w:i/>
      <w:iCs/>
      <w:sz w:val="24"/>
      <w:szCs w:val="26"/>
    </w:rPr>
  </w:style>
  <w:style w:type="character" w:customStyle="1" w:styleId="Heading5Char">
    <w:name w:val="Heading 5 Char"/>
    <w:basedOn w:val="DefaultParagraphFont"/>
    <w:link w:val="Heading5"/>
    <w:locked/>
    <w:rsid w:val="001C19D7"/>
    <w:rPr>
      <w:rFonts w:ascii="Palatino Linotype" w:hAnsi="Palatino Linotype" w:cs="Times New Roman"/>
      <w:sz w:val="24"/>
      <w:szCs w:val="24"/>
    </w:rPr>
  </w:style>
  <w:style w:type="character" w:customStyle="1" w:styleId="Heading6Char">
    <w:name w:val="Heading 6 Char"/>
    <w:aliases w:val="Comment Heading 6 Char"/>
    <w:basedOn w:val="DefaultParagraphFont"/>
    <w:link w:val="Heading6"/>
    <w:locked/>
    <w:rsid w:val="008F01E1"/>
    <w:rPr>
      <w:rFonts w:ascii="Palatino Linotype" w:hAnsi="Palatino Linotype" w:cs="Times New Roman"/>
      <w:sz w:val="24"/>
    </w:rPr>
  </w:style>
  <w:style w:type="character" w:customStyle="1" w:styleId="Heading7Char">
    <w:name w:val="Heading 7 Char"/>
    <w:aliases w:val="Comment Heading 7 Char"/>
    <w:basedOn w:val="DefaultParagraphFont"/>
    <w:link w:val="Heading7"/>
    <w:locked/>
    <w:rsid w:val="008F01E1"/>
    <w:rPr>
      <w:rFonts w:ascii="Palatino Linotype" w:eastAsiaTheme="majorEastAsia" w:hAnsi="Palatino Linotype" w:cs="Times New Roman"/>
      <w:i/>
      <w:iCs/>
      <w:sz w:val="24"/>
      <w:szCs w:val="26"/>
    </w:rPr>
  </w:style>
  <w:style w:type="character" w:customStyle="1" w:styleId="Heading8Char">
    <w:name w:val="Heading 8 Char"/>
    <w:basedOn w:val="DefaultParagraphFont"/>
    <w:link w:val="Heading8"/>
    <w:locked/>
    <w:rsid w:val="008F01E1"/>
    <w:rPr>
      <w:rFonts w:ascii="Palatino Linotype" w:eastAsiaTheme="majorEastAsia" w:hAnsi="Palatino Linotype" w:cs="Times New Roman"/>
      <w:i/>
      <w:iCs/>
      <w:sz w:val="24"/>
      <w:szCs w:val="26"/>
    </w:rPr>
  </w:style>
  <w:style w:type="character" w:customStyle="1" w:styleId="Heading9Char">
    <w:name w:val="Heading 9 Char"/>
    <w:basedOn w:val="DefaultParagraphFont"/>
    <w:link w:val="Heading9"/>
    <w:locked/>
    <w:rsid w:val="008F01E1"/>
    <w:rPr>
      <w:rFonts w:ascii="Palatino Linotype" w:eastAsiaTheme="majorEastAsia" w:hAnsi="Palatino Linotype" w:cs="Times New Roman"/>
      <w:i/>
      <w:iCs/>
      <w:sz w:val="24"/>
      <w:szCs w:val="26"/>
    </w:rPr>
  </w:style>
  <w:style w:type="table" w:styleId="TableGrid">
    <w:name w:val="Table Grid"/>
    <w:basedOn w:val="TableNormal"/>
    <w:uiPriority w:val="39"/>
    <w:rsid w:val="00301E5D"/>
    <w:pPr>
      <w:spacing w:after="0" w:line="240" w:lineRule="auto"/>
      <w:ind w:left="720" w:hanging="36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67990"/>
    <w:pPr>
      <w:spacing w:after="0" w:line="240" w:lineRule="auto"/>
    </w:pPr>
    <w:rPr>
      <w:rFonts w:cs="Times New Roman"/>
    </w:rPr>
  </w:style>
  <w:style w:type="paragraph" w:styleId="Title">
    <w:name w:val="Title"/>
    <w:basedOn w:val="Normal"/>
    <w:next w:val="Normal"/>
    <w:link w:val="TitleChar"/>
    <w:uiPriority w:val="10"/>
    <w:qFormat/>
    <w:rsid w:val="00BD4D1E"/>
    <w:pPr>
      <w:keepNext/>
      <w:contextualSpacing/>
    </w:pPr>
    <w:rPr>
      <w:rFonts w:ascii="Century Gothic" w:eastAsiaTheme="majorEastAsia" w:hAnsi="Century Gothic"/>
      <w:b/>
      <w:spacing w:val="5"/>
      <w:kern w:val="28"/>
      <w:szCs w:val="52"/>
    </w:rPr>
  </w:style>
  <w:style w:type="character" w:customStyle="1" w:styleId="TitleChar">
    <w:name w:val="Title Char"/>
    <w:basedOn w:val="DefaultParagraphFont"/>
    <w:link w:val="Title"/>
    <w:uiPriority w:val="10"/>
    <w:locked/>
    <w:rsid w:val="00BD4D1E"/>
    <w:rPr>
      <w:rFonts w:ascii="Century Gothic" w:eastAsiaTheme="majorEastAsia" w:hAnsi="Century Gothic" w:cs="Times New Roman"/>
      <w:b/>
      <w:spacing w:val="5"/>
      <w:kern w:val="28"/>
      <w:sz w:val="24"/>
      <w:szCs w:val="52"/>
    </w:rPr>
  </w:style>
  <w:style w:type="paragraph" w:customStyle="1" w:styleId="TblText">
    <w:name w:val="TblText"/>
    <w:basedOn w:val="Normal"/>
    <w:next w:val="Normal"/>
    <w:rsid w:val="00967990"/>
  </w:style>
  <w:style w:type="paragraph" w:styleId="BalloonText">
    <w:name w:val="Balloon Text"/>
    <w:basedOn w:val="Normal"/>
    <w:link w:val="BalloonTextChar"/>
    <w:uiPriority w:val="99"/>
    <w:semiHidden/>
    <w:unhideWhenUsed/>
    <w:rsid w:val="00D65A9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5A91"/>
    <w:rPr>
      <w:rFonts w:ascii="Tahoma" w:hAnsi="Tahoma" w:cs="Tahoma"/>
      <w:sz w:val="16"/>
      <w:szCs w:val="16"/>
    </w:rPr>
  </w:style>
  <w:style w:type="paragraph" w:styleId="ListParagraph">
    <w:name w:val="List Paragraph"/>
    <w:aliases w:val="List paragraph,PECI Bullets (Content)"/>
    <w:basedOn w:val="Normal"/>
    <w:link w:val="ListParagraphChar"/>
    <w:uiPriority w:val="34"/>
    <w:qFormat/>
    <w:rsid w:val="00B41824"/>
    <w:pPr>
      <w:numPr>
        <w:numId w:val="5"/>
      </w:numPr>
      <w:spacing w:before="240" w:after="60" w:line="276" w:lineRule="auto"/>
      <w:contextualSpacing/>
    </w:pPr>
  </w:style>
  <w:style w:type="paragraph" w:styleId="Header">
    <w:name w:val="header"/>
    <w:basedOn w:val="Normal"/>
    <w:link w:val="HeaderChar"/>
    <w:uiPriority w:val="99"/>
    <w:unhideWhenUsed/>
    <w:rsid w:val="00B51260"/>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locked/>
    <w:rsid w:val="00B51260"/>
    <w:rPr>
      <w:rFonts w:ascii="Times New Roman" w:hAnsi="Times New Roman" w:cs="Times New Roman"/>
      <w:sz w:val="24"/>
    </w:rPr>
  </w:style>
  <w:style w:type="paragraph" w:styleId="Footer">
    <w:name w:val="footer"/>
    <w:basedOn w:val="Normal"/>
    <w:link w:val="FooterChar"/>
    <w:uiPriority w:val="99"/>
    <w:unhideWhenUsed/>
    <w:rsid w:val="005C552B"/>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locked/>
    <w:rsid w:val="005C552B"/>
    <w:rPr>
      <w:rFonts w:ascii="Times New Roman" w:hAnsi="Times New Roman" w:cs="Times New Roman"/>
      <w:sz w:val="24"/>
    </w:rPr>
  </w:style>
  <w:style w:type="character" w:styleId="CommentReference">
    <w:name w:val="annotation reference"/>
    <w:basedOn w:val="DefaultParagraphFont"/>
    <w:uiPriority w:val="99"/>
    <w:semiHidden/>
    <w:unhideWhenUsed/>
    <w:rsid w:val="001B0A0A"/>
    <w:rPr>
      <w:rFonts w:cs="Times New Roman"/>
      <w:sz w:val="16"/>
      <w:szCs w:val="16"/>
    </w:rPr>
  </w:style>
  <w:style w:type="paragraph" w:styleId="CommentText">
    <w:name w:val="annotation text"/>
    <w:basedOn w:val="Normal"/>
    <w:link w:val="CommentTextChar"/>
    <w:uiPriority w:val="99"/>
    <w:unhideWhenUsed/>
    <w:rsid w:val="001B0A0A"/>
    <w:rPr>
      <w:sz w:val="20"/>
      <w:szCs w:val="20"/>
    </w:rPr>
  </w:style>
  <w:style w:type="character" w:customStyle="1" w:styleId="CommentTextChar">
    <w:name w:val="Comment Text Char"/>
    <w:basedOn w:val="DefaultParagraphFont"/>
    <w:link w:val="CommentText"/>
    <w:uiPriority w:val="99"/>
    <w:locked/>
    <w:rsid w:val="001B0A0A"/>
    <w:rPr>
      <w:rFonts w:cs="Times New Roman"/>
      <w:sz w:val="20"/>
      <w:szCs w:val="20"/>
    </w:rPr>
  </w:style>
  <w:style w:type="paragraph" w:styleId="CommentSubject">
    <w:name w:val="annotation subject"/>
    <w:basedOn w:val="CommentText"/>
    <w:next w:val="CommentText"/>
    <w:link w:val="CommentSubjectChar"/>
    <w:uiPriority w:val="99"/>
    <w:semiHidden/>
    <w:unhideWhenUsed/>
    <w:rsid w:val="001B0A0A"/>
    <w:rPr>
      <w:b/>
      <w:bCs/>
    </w:rPr>
  </w:style>
  <w:style w:type="character" w:customStyle="1" w:styleId="CommentSubjectChar">
    <w:name w:val="Comment Subject Char"/>
    <w:basedOn w:val="CommentTextChar"/>
    <w:link w:val="CommentSubject"/>
    <w:uiPriority w:val="99"/>
    <w:semiHidden/>
    <w:locked/>
    <w:rsid w:val="001B0A0A"/>
    <w:rPr>
      <w:rFonts w:cs="Times New Roman"/>
      <w:b/>
      <w:bCs/>
      <w:sz w:val="20"/>
      <w:szCs w:val="20"/>
    </w:rPr>
  </w:style>
  <w:style w:type="character" w:styleId="Hyperlink">
    <w:name w:val="Hyperlink"/>
    <w:basedOn w:val="DefaultParagraphFont"/>
    <w:uiPriority w:val="99"/>
    <w:unhideWhenUsed/>
    <w:rsid w:val="00960DDF"/>
    <w:rPr>
      <w:rFonts w:ascii="Palatino Linotype" w:hAnsi="Palatino Linotype" w:cs="Times New Roman"/>
      <w:color w:val="0000FF" w:themeColor="hyperlink"/>
      <w:sz w:val="24"/>
      <w:u w:val="single"/>
    </w:rPr>
  </w:style>
  <w:style w:type="character" w:styleId="PlaceholderText">
    <w:name w:val="Placeholder Text"/>
    <w:basedOn w:val="DefaultParagraphFont"/>
    <w:uiPriority w:val="99"/>
    <w:semiHidden/>
    <w:rsid w:val="00810DFF"/>
    <w:rPr>
      <w:rFonts w:cs="Times New Roman"/>
      <w:color w:val="808080"/>
    </w:rPr>
  </w:style>
  <w:style w:type="paragraph" w:customStyle="1" w:styleId="Shape">
    <w:name w:val="Shape"/>
    <w:basedOn w:val="Normal"/>
    <w:qFormat/>
    <w:rsid w:val="006E2C89"/>
    <w:pPr>
      <w:jc w:val="center"/>
    </w:pPr>
  </w:style>
  <w:style w:type="paragraph" w:styleId="Caption">
    <w:name w:val="caption"/>
    <w:aliases w:val="Table Caption Char,Table Caption,Char,_Main body - Caption,Podpis nad obiektem,_Main body - Caption figure"/>
    <w:basedOn w:val="Normal"/>
    <w:next w:val="Normal"/>
    <w:link w:val="CaptionChar"/>
    <w:unhideWhenUsed/>
    <w:qFormat/>
    <w:rsid w:val="00FD2D9E"/>
    <w:pPr>
      <w:keepNext/>
      <w:spacing w:before="100" w:after="40"/>
    </w:pPr>
    <w:rPr>
      <w:b/>
      <w:bCs/>
      <w:szCs w:val="18"/>
    </w:rPr>
  </w:style>
  <w:style w:type="character" w:customStyle="1" w:styleId="CaptionChar">
    <w:name w:val="Caption Char"/>
    <w:aliases w:val="Table Caption Char Char,Table Caption Char1,Char Char,_Main body - Caption Char,Podpis nad obiektem Char,_Main body - Caption figure Char"/>
    <w:basedOn w:val="DefaultParagraphFont"/>
    <w:link w:val="Caption"/>
    <w:qFormat/>
    <w:locked/>
    <w:rsid w:val="009D1269"/>
    <w:rPr>
      <w:rFonts w:ascii="Palatino Linotype" w:hAnsi="Palatino Linotype" w:cs="Times New Roman"/>
      <w:b/>
      <w:bCs/>
      <w:sz w:val="24"/>
      <w:szCs w:val="18"/>
    </w:rPr>
  </w:style>
  <w:style w:type="paragraph" w:styleId="TOCHeading">
    <w:name w:val="TOC Heading"/>
    <w:basedOn w:val="Heading1"/>
    <w:next w:val="Normal"/>
    <w:uiPriority w:val="39"/>
    <w:unhideWhenUsed/>
    <w:qFormat/>
    <w:rsid w:val="000C0644"/>
    <w:pPr>
      <w:spacing w:before="480" w:line="276" w:lineRule="auto"/>
      <w:outlineLvl w:val="9"/>
    </w:pPr>
    <w:rPr>
      <w:b w:val="0"/>
      <w:color w:val="365F91" w:themeColor="accent1" w:themeShade="BF"/>
      <w:lang w:eastAsia="ja-JP"/>
    </w:rPr>
  </w:style>
  <w:style w:type="paragraph" w:styleId="TOC1">
    <w:name w:val="toc 1"/>
    <w:basedOn w:val="Normal"/>
    <w:next w:val="Normal"/>
    <w:autoRedefine/>
    <w:uiPriority w:val="39"/>
    <w:unhideWhenUsed/>
    <w:rsid w:val="003E6105"/>
    <w:pPr>
      <w:tabs>
        <w:tab w:val="left" w:pos="446"/>
        <w:tab w:val="right" w:leader="dot" w:pos="9350"/>
      </w:tabs>
      <w:spacing w:after="100"/>
    </w:pPr>
  </w:style>
  <w:style w:type="paragraph" w:styleId="TOC2">
    <w:name w:val="toc 2"/>
    <w:basedOn w:val="Normal"/>
    <w:next w:val="Normal"/>
    <w:autoRedefine/>
    <w:uiPriority w:val="39"/>
    <w:unhideWhenUsed/>
    <w:rsid w:val="0072258A"/>
    <w:pPr>
      <w:tabs>
        <w:tab w:val="left" w:pos="880"/>
        <w:tab w:val="right" w:leader="dot" w:pos="9350"/>
      </w:tabs>
      <w:spacing w:before="60" w:after="60"/>
      <w:ind w:left="180"/>
    </w:pPr>
  </w:style>
  <w:style w:type="paragraph" w:styleId="TOC3">
    <w:name w:val="toc 3"/>
    <w:basedOn w:val="TOC2"/>
    <w:next w:val="Normal"/>
    <w:autoRedefine/>
    <w:uiPriority w:val="39"/>
    <w:unhideWhenUsed/>
    <w:rsid w:val="009A6C8F"/>
    <w:pPr>
      <w:tabs>
        <w:tab w:val="clear" w:pos="9350"/>
        <w:tab w:val="left" w:pos="990"/>
        <w:tab w:val="right" w:leader="dot" w:pos="9360"/>
      </w:tabs>
      <w:ind w:left="1260" w:right="540" w:hanging="630"/>
    </w:pPr>
  </w:style>
  <w:style w:type="paragraph" w:styleId="FootnoteText">
    <w:name w:val="footnote text"/>
    <w:aliases w:val="Footnote Text Char Char Char Char,Footnote Text Char Char,Footnote Text Char Char Char,Footnote Text Char Char Char Char Char Char Char Char Char Char Char Char Char Char Char,DFSListFootnote,Footnote Text1 Char,Footnote Text Char Ch"/>
    <w:basedOn w:val="Normal"/>
    <w:link w:val="FootnoteTextChar"/>
    <w:uiPriority w:val="99"/>
    <w:unhideWhenUsed/>
    <w:qFormat/>
    <w:rsid w:val="00663EBD"/>
    <w:pPr>
      <w:spacing w:after="0"/>
      <w:ind w:left="187" w:hanging="187"/>
    </w:pPr>
    <w:rPr>
      <w:sz w:val="20"/>
      <w:szCs w:val="20"/>
    </w:rPr>
  </w:style>
  <w:style w:type="character" w:customStyle="1" w:styleId="FootnoteTextChar">
    <w:name w:val="Footnote Text Char"/>
    <w:aliases w:val="Footnote Text Char Char Char Char Char,Footnote Text Char Char Char1,Footnote Text Char Char Char Char1,Footnote Text Char Char Char Char Char Char Char Char Char Char Char Char Char Char Char Char,DFSListFootnote Char"/>
    <w:basedOn w:val="DefaultParagraphFont"/>
    <w:link w:val="FootnoteText"/>
    <w:uiPriority w:val="99"/>
    <w:locked/>
    <w:rsid w:val="00663EBD"/>
    <w:rPr>
      <w:rFonts w:ascii="Garamond" w:hAnsi="Garamond" w:cs="Times New Roman"/>
      <w:sz w:val="20"/>
      <w:szCs w:val="20"/>
    </w:rPr>
  </w:style>
  <w:style w:type="character" w:styleId="FootnoteReference">
    <w:name w:val="footnote reference"/>
    <w:aliases w:val="o,Footnote_Reference,fr,Char Char Char Char,o1,o2,o3,o4,o5,o6,o11,o21,o7,0 PIER Footnote Reference,Style 3,o + Times New Roman,0 PIER Footnote Text,Footnote Reference1"/>
    <w:basedOn w:val="DefaultParagraphFont"/>
    <w:uiPriority w:val="99"/>
    <w:unhideWhenUsed/>
    <w:qFormat/>
    <w:rsid w:val="00C971AE"/>
    <w:rPr>
      <w:rFonts w:ascii="Garamond" w:hAnsi="Garamond" w:cs="Times New Roman"/>
      <w:sz w:val="24"/>
      <w:vertAlign w:val="superscript"/>
    </w:rPr>
  </w:style>
  <w:style w:type="paragraph" w:styleId="ListBullet">
    <w:name w:val="List Bullet"/>
    <w:basedOn w:val="Normal"/>
    <w:uiPriority w:val="99"/>
    <w:rsid w:val="00546156"/>
    <w:pPr>
      <w:tabs>
        <w:tab w:val="num" w:pos="720"/>
      </w:tabs>
      <w:spacing w:after="0"/>
      <w:ind w:left="720" w:hanging="360"/>
    </w:pPr>
    <w:rPr>
      <w:rFonts w:ascii="Times New Roman" w:hAnsi="Times New Roman"/>
      <w:szCs w:val="20"/>
    </w:rPr>
  </w:style>
  <w:style w:type="paragraph" w:styleId="TableofFigures">
    <w:name w:val="table of figures"/>
    <w:basedOn w:val="Normal"/>
    <w:next w:val="Normal"/>
    <w:link w:val="TableofFiguresChar"/>
    <w:uiPriority w:val="99"/>
    <w:unhideWhenUsed/>
    <w:rsid w:val="00B07267"/>
  </w:style>
  <w:style w:type="character" w:customStyle="1" w:styleId="TableofFiguresChar">
    <w:name w:val="Table of Figures Char"/>
    <w:basedOn w:val="DefaultParagraphFont"/>
    <w:link w:val="TableofFigures"/>
    <w:locked/>
    <w:rsid w:val="008F01E1"/>
    <w:rPr>
      <w:rFonts w:cs="Times New Roman"/>
    </w:rPr>
  </w:style>
  <w:style w:type="paragraph" w:styleId="Revision">
    <w:name w:val="Revision"/>
    <w:hidden/>
    <w:uiPriority w:val="99"/>
    <w:semiHidden/>
    <w:rsid w:val="00554707"/>
    <w:pPr>
      <w:spacing w:after="0" w:line="240" w:lineRule="auto"/>
    </w:pPr>
    <w:rPr>
      <w:rFonts w:cs="Times New Roman"/>
    </w:rPr>
  </w:style>
  <w:style w:type="character" w:customStyle="1" w:styleId="FootnoteTextChar2">
    <w:name w:val="Footnote Text Char2"/>
    <w:aliases w:val="Footnote Text Char Char Char Char Char1,Footnote Text Char Char Char2,Footnote Text Char Char1,Footnote Text Char Char Char Char2,Footnote Text Char Char Char Char Char Char Char Char Char Char Char Char Char Char Char Char1"/>
    <w:basedOn w:val="DefaultParagraphFont"/>
    <w:semiHidden/>
    <w:locked/>
    <w:rsid w:val="00DA36CF"/>
    <w:rPr>
      <w:rFonts w:cs="Times New Roman"/>
      <w:sz w:val="24"/>
      <w:szCs w:val="24"/>
    </w:rPr>
  </w:style>
  <w:style w:type="character" w:customStyle="1" w:styleId="FootnoteChar">
    <w:name w:val="Footnote Char"/>
    <w:basedOn w:val="DefaultParagraphFont"/>
    <w:link w:val="Footnote"/>
    <w:locked/>
    <w:rsid w:val="002B6A92"/>
    <w:rPr>
      <w:rFonts w:ascii="Palatino Linotype" w:hAnsi="Palatino Linotype" w:cs="Times New Roman"/>
      <w:sz w:val="24"/>
      <w:szCs w:val="24"/>
    </w:rPr>
  </w:style>
  <w:style w:type="paragraph" w:customStyle="1" w:styleId="Footnote">
    <w:name w:val="Footnote"/>
    <w:basedOn w:val="Normal"/>
    <w:link w:val="FootnoteChar"/>
    <w:rsid w:val="002B6A92"/>
    <w:pPr>
      <w:ind w:left="360" w:hanging="360"/>
    </w:pPr>
    <w:rPr>
      <w:sz w:val="20"/>
      <w:szCs w:val="24"/>
    </w:rPr>
  </w:style>
  <w:style w:type="character" w:customStyle="1" w:styleId="StrikeoutChar">
    <w:name w:val="Strikeout Char"/>
    <w:link w:val="Strikeout"/>
    <w:locked/>
    <w:rsid w:val="001A3E87"/>
    <w:rPr>
      <w:strike/>
      <w:color w:val="FF0000"/>
      <w:sz w:val="24"/>
    </w:rPr>
  </w:style>
  <w:style w:type="paragraph" w:customStyle="1" w:styleId="Strikeout">
    <w:name w:val="Strikeout"/>
    <w:basedOn w:val="Normal"/>
    <w:link w:val="StrikeoutChar"/>
    <w:rsid w:val="001A3E87"/>
    <w:rPr>
      <w:strike/>
      <w:color w:val="FF0000"/>
      <w:szCs w:val="24"/>
    </w:rPr>
  </w:style>
  <w:style w:type="character" w:customStyle="1" w:styleId="UnderlinedChar">
    <w:name w:val="Underlined Char"/>
    <w:link w:val="Underlined"/>
    <w:locked/>
    <w:rsid w:val="001A3E87"/>
    <w:rPr>
      <w:color w:val="4F81BD"/>
      <w:sz w:val="24"/>
      <w:u w:val="single"/>
    </w:rPr>
  </w:style>
  <w:style w:type="paragraph" w:customStyle="1" w:styleId="Underlined">
    <w:name w:val="Underlined"/>
    <w:basedOn w:val="Normal"/>
    <w:link w:val="UnderlinedChar"/>
    <w:rsid w:val="001A3E87"/>
    <w:rPr>
      <w:color w:val="4F81BD"/>
      <w:szCs w:val="24"/>
      <w:u w:val="single"/>
    </w:rPr>
  </w:style>
  <w:style w:type="character" w:styleId="FollowedHyperlink">
    <w:name w:val="FollowedHyperlink"/>
    <w:basedOn w:val="DefaultParagraphFont"/>
    <w:uiPriority w:val="99"/>
    <w:rsid w:val="008F01E1"/>
    <w:rPr>
      <w:rFonts w:cs="Times New Roman"/>
      <w:color w:val="800080"/>
      <w:u w:val="single"/>
    </w:rPr>
  </w:style>
  <w:style w:type="paragraph" w:styleId="NormalWeb">
    <w:name w:val="Normal (Web)"/>
    <w:basedOn w:val="Normal"/>
    <w:uiPriority w:val="99"/>
    <w:rsid w:val="008F01E1"/>
    <w:pPr>
      <w:spacing w:after="63"/>
    </w:pPr>
    <w:rPr>
      <w:rFonts w:ascii="Times New Roman" w:hAnsi="Times New Roman"/>
      <w:szCs w:val="24"/>
    </w:rPr>
  </w:style>
  <w:style w:type="paragraph" w:styleId="ListNumber">
    <w:name w:val="List Number"/>
    <w:basedOn w:val="Normal"/>
    <w:uiPriority w:val="99"/>
    <w:rsid w:val="008F01E1"/>
    <w:pPr>
      <w:tabs>
        <w:tab w:val="num" w:pos="1080"/>
      </w:tabs>
      <w:ind w:left="1080" w:hanging="360"/>
    </w:pPr>
    <w:rPr>
      <w:rFonts w:ascii="Times New Roman" w:hAnsi="Times New Roman"/>
      <w:szCs w:val="20"/>
    </w:rPr>
  </w:style>
  <w:style w:type="character" w:customStyle="1" w:styleId="DocumentMapChar">
    <w:name w:val="Document Map Char"/>
    <w:basedOn w:val="DefaultParagraphFont"/>
    <w:link w:val="DocumentMap"/>
    <w:semiHidden/>
    <w:locked/>
    <w:rsid w:val="008F01E1"/>
    <w:rPr>
      <w:rFonts w:ascii="Tahoma" w:hAnsi="Tahoma" w:cs="Tahoma"/>
      <w:sz w:val="24"/>
      <w:szCs w:val="24"/>
      <w:shd w:val="clear" w:color="auto" w:fill="000080"/>
    </w:rPr>
  </w:style>
  <w:style w:type="paragraph" w:styleId="DocumentMap">
    <w:name w:val="Document Map"/>
    <w:basedOn w:val="Normal"/>
    <w:link w:val="DocumentMapChar"/>
    <w:uiPriority w:val="99"/>
    <w:semiHidden/>
    <w:rsid w:val="008F01E1"/>
    <w:pPr>
      <w:shd w:val="clear" w:color="auto" w:fill="000080"/>
    </w:pPr>
    <w:rPr>
      <w:rFonts w:ascii="Tahoma" w:hAnsi="Tahoma" w:cs="Tahoma"/>
      <w:szCs w:val="24"/>
    </w:rPr>
  </w:style>
  <w:style w:type="character" w:customStyle="1" w:styleId="DocumentMapChar1">
    <w:name w:val="Document Map Char1"/>
    <w:basedOn w:val="DefaultParagraphFont"/>
    <w:uiPriority w:val="99"/>
    <w:semiHidden/>
    <w:rPr>
      <w:rFonts w:ascii="Segoe UI" w:hAnsi="Segoe UI" w:cs="Segoe UI"/>
      <w:sz w:val="16"/>
      <w:szCs w:val="16"/>
    </w:rPr>
  </w:style>
  <w:style w:type="paragraph" w:styleId="PlainText">
    <w:name w:val="Plain Text"/>
    <w:basedOn w:val="Normal"/>
    <w:link w:val="PlainTextChar"/>
    <w:uiPriority w:val="99"/>
    <w:rsid w:val="008F01E1"/>
    <w:rPr>
      <w:rFonts w:ascii="Courier New" w:hAnsi="Courier New" w:cs="Courier New"/>
      <w:sz w:val="20"/>
      <w:szCs w:val="20"/>
    </w:rPr>
  </w:style>
  <w:style w:type="character" w:customStyle="1" w:styleId="PlainTextChar">
    <w:name w:val="Plain Text Char"/>
    <w:basedOn w:val="DefaultParagraphFont"/>
    <w:link w:val="PlainText"/>
    <w:uiPriority w:val="99"/>
    <w:locked/>
    <w:rsid w:val="008F01E1"/>
    <w:rPr>
      <w:rFonts w:ascii="Courier New" w:hAnsi="Courier New" w:cs="Courier New"/>
      <w:sz w:val="20"/>
      <w:szCs w:val="20"/>
    </w:rPr>
  </w:style>
  <w:style w:type="paragraph" w:customStyle="1" w:styleId="Tableleft">
    <w:name w:val="Table left"/>
    <w:basedOn w:val="Normal"/>
    <w:rsid w:val="008F01E1"/>
    <w:pPr>
      <w:keepNext/>
      <w:keepLines/>
      <w:spacing w:before="60" w:after="60"/>
      <w:ind w:left="72" w:right="72"/>
    </w:pPr>
    <w:rPr>
      <w:rFonts w:ascii="Times New Roman" w:hAnsi="Times New Roman"/>
      <w:sz w:val="20"/>
      <w:szCs w:val="20"/>
    </w:rPr>
  </w:style>
  <w:style w:type="paragraph" w:customStyle="1" w:styleId="CoverBar">
    <w:name w:val="Cover Bar"/>
    <w:basedOn w:val="Normal"/>
    <w:rsid w:val="008F01E1"/>
    <w:pPr>
      <w:shd w:val="clear" w:color="auto" w:fill="000000"/>
    </w:pPr>
    <w:rPr>
      <w:rFonts w:ascii="Times New Roman" w:hAnsi="Times New Roman"/>
      <w:i/>
      <w:iCs/>
      <w:color w:val="FFFFFF"/>
      <w:sz w:val="36"/>
      <w:szCs w:val="24"/>
    </w:rPr>
  </w:style>
  <w:style w:type="paragraph" w:customStyle="1" w:styleId="CoverTitle">
    <w:name w:val="Cover Title"/>
    <w:basedOn w:val="Normal"/>
    <w:rsid w:val="008F01E1"/>
    <w:rPr>
      <w:rFonts w:ascii="Times New Roman" w:hAnsi="Times New Roman"/>
      <w:b/>
      <w:sz w:val="48"/>
      <w:szCs w:val="24"/>
    </w:rPr>
  </w:style>
  <w:style w:type="paragraph" w:customStyle="1" w:styleId="EquationNumber">
    <w:name w:val="Equation Number"/>
    <w:basedOn w:val="Normal"/>
    <w:rsid w:val="008F01E1"/>
    <w:pPr>
      <w:jc w:val="right"/>
    </w:pPr>
    <w:rPr>
      <w:rFonts w:ascii="Times New Roman" w:hAnsi="Times New Roman"/>
      <w:szCs w:val="24"/>
    </w:rPr>
  </w:style>
  <w:style w:type="paragraph" w:customStyle="1" w:styleId="FigureCaption">
    <w:name w:val="Figure Caption"/>
    <w:basedOn w:val="Normal"/>
    <w:rsid w:val="008F01E1"/>
    <w:pPr>
      <w:spacing w:after="100" w:afterAutospacing="1"/>
      <w:jc w:val="center"/>
    </w:pPr>
    <w:rPr>
      <w:rFonts w:ascii="Times New Roman" w:hAnsi="Times New Roman"/>
      <w:i/>
      <w:sz w:val="16"/>
      <w:szCs w:val="24"/>
    </w:rPr>
  </w:style>
  <w:style w:type="paragraph" w:customStyle="1" w:styleId="Tablecentered">
    <w:name w:val="Table centered"/>
    <w:basedOn w:val="Tableleft"/>
    <w:rsid w:val="008F01E1"/>
    <w:pPr>
      <w:spacing w:before="0" w:after="0"/>
      <w:ind w:left="0" w:right="0"/>
      <w:jc w:val="center"/>
    </w:pPr>
  </w:style>
  <w:style w:type="paragraph" w:customStyle="1" w:styleId="Tableleftbold">
    <w:name w:val="Table left bold"/>
    <w:basedOn w:val="Tableleft"/>
    <w:rsid w:val="008F01E1"/>
    <w:rPr>
      <w:b/>
    </w:rPr>
  </w:style>
  <w:style w:type="paragraph" w:customStyle="1" w:styleId="NotesforCEC">
    <w:name w:val="Notes for CEC"/>
    <w:basedOn w:val="Normal"/>
    <w:rsid w:val="008F01E1"/>
    <w:rPr>
      <w:rFonts w:ascii="Times New Roman" w:hAnsi="Times New Roman"/>
      <w:color w:val="FF0000"/>
      <w:szCs w:val="24"/>
    </w:rPr>
  </w:style>
  <w:style w:type="paragraph" w:customStyle="1" w:styleId="Notes">
    <w:name w:val="Notes"/>
    <w:basedOn w:val="Normal"/>
    <w:rsid w:val="008F01E1"/>
    <w:rPr>
      <w:rFonts w:ascii="Times New Roman" w:hAnsi="Times New Roman"/>
      <w:color w:val="FF6600"/>
      <w:szCs w:val="24"/>
    </w:rPr>
  </w:style>
  <w:style w:type="paragraph" w:customStyle="1" w:styleId="Picture">
    <w:name w:val="Picture"/>
    <w:basedOn w:val="Normal"/>
    <w:next w:val="Caption"/>
    <w:rsid w:val="008F01E1"/>
    <w:pPr>
      <w:keepNext/>
      <w:spacing w:before="240"/>
      <w:jc w:val="center"/>
    </w:pPr>
    <w:rPr>
      <w:rFonts w:ascii="Times New Roman" w:hAnsi="Times New Roman"/>
      <w:szCs w:val="20"/>
    </w:rPr>
  </w:style>
  <w:style w:type="paragraph" w:customStyle="1" w:styleId="CoverProposerandDate">
    <w:name w:val="Cover Proposer and Date"/>
    <w:basedOn w:val="Normal"/>
    <w:rsid w:val="008F01E1"/>
    <w:pPr>
      <w:widowControl w:val="0"/>
      <w:autoSpaceDE w:val="0"/>
      <w:autoSpaceDN w:val="0"/>
      <w:adjustRightInd w:val="0"/>
    </w:pPr>
    <w:rPr>
      <w:rFonts w:ascii="ArialMT" w:hAnsi="ArialMT" w:cs="ArialMT"/>
      <w:color w:val="000000"/>
      <w:szCs w:val="24"/>
    </w:rPr>
  </w:style>
  <w:style w:type="paragraph" w:customStyle="1" w:styleId="CoverContents">
    <w:name w:val="Cover Contents"/>
    <w:basedOn w:val="Normal"/>
    <w:rsid w:val="008F01E1"/>
    <w:pPr>
      <w:widowControl w:val="0"/>
      <w:autoSpaceDE w:val="0"/>
      <w:autoSpaceDN w:val="0"/>
      <w:adjustRightInd w:val="0"/>
    </w:pPr>
    <w:rPr>
      <w:rFonts w:ascii="ArialMT" w:hAnsi="ArialMT" w:cs="ArialMT"/>
      <w:b/>
      <w:color w:val="000000"/>
      <w:szCs w:val="24"/>
    </w:rPr>
  </w:style>
  <w:style w:type="paragraph" w:customStyle="1" w:styleId="References">
    <w:name w:val="References"/>
    <w:basedOn w:val="Normal"/>
    <w:rsid w:val="008F01E1"/>
    <w:pPr>
      <w:spacing w:after="200"/>
      <w:ind w:left="567" w:hanging="567"/>
      <w:jc w:val="both"/>
    </w:pPr>
    <w:rPr>
      <w:rFonts w:ascii="Arial" w:hAnsi="Arial"/>
      <w:sz w:val="20"/>
      <w:szCs w:val="20"/>
      <w:lang w:eastAsia="en-GB"/>
    </w:rPr>
  </w:style>
  <w:style w:type="character" w:styleId="PageNumber">
    <w:name w:val="page number"/>
    <w:basedOn w:val="DefaultParagraphFont"/>
    <w:uiPriority w:val="99"/>
    <w:rsid w:val="008F01E1"/>
    <w:rPr>
      <w:rFonts w:ascii="Times New Roman" w:hAnsi="Times New Roman" w:cs="Times New Roman"/>
    </w:rPr>
  </w:style>
  <w:style w:type="character" w:customStyle="1" w:styleId="CharBold">
    <w:name w:val="Char Bold"/>
    <w:rsid w:val="008F01E1"/>
    <w:rPr>
      <w:b/>
    </w:rPr>
  </w:style>
  <w:style w:type="character" w:customStyle="1" w:styleId="CharItalic">
    <w:name w:val="Char Italic"/>
    <w:rsid w:val="008F01E1"/>
    <w:rPr>
      <w:i/>
    </w:rPr>
  </w:style>
  <w:style w:type="paragraph" w:customStyle="1" w:styleId="Tablecenteredbold">
    <w:name w:val="Table centered bold"/>
    <w:basedOn w:val="Tablecentered"/>
    <w:rsid w:val="008F01E1"/>
    <w:rPr>
      <w:b/>
    </w:rPr>
  </w:style>
  <w:style w:type="paragraph" w:customStyle="1" w:styleId="Text">
    <w:name w:val="Text"/>
    <w:basedOn w:val="Normal"/>
    <w:rsid w:val="00680E85"/>
    <w:pPr>
      <w:tabs>
        <w:tab w:val="left" w:pos="5300"/>
      </w:tabs>
      <w:spacing w:line="360" w:lineRule="atLeast"/>
      <w:jc w:val="center"/>
    </w:pPr>
    <w:rPr>
      <w:rFonts w:ascii="Times New Roman" w:hAnsi="Times New Roman"/>
      <w:szCs w:val="20"/>
    </w:rPr>
  </w:style>
  <w:style w:type="paragraph" w:customStyle="1" w:styleId="PIERCoverTitle">
    <w:name w:val="PIER Cover Title"/>
    <w:rsid w:val="007E4CA7"/>
    <w:pPr>
      <w:spacing w:after="0" w:line="240" w:lineRule="auto"/>
      <w:jc w:val="right"/>
    </w:pPr>
    <w:rPr>
      <w:rFonts w:ascii="Arial" w:hAnsi="Arial" w:cs="Times New Roman"/>
      <w:b/>
      <w:sz w:val="36"/>
      <w:szCs w:val="24"/>
    </w:rPr>
  </w:style>
  <w:style w:type="paragraph" w:customStyle="1" w:styleId="PIERCoverVerticalTitle">
    <w:name w:val="PIER Cover Vertical Title"/>
    <w:rsid w:val="007E4CA7"/>
    <w:pPr>
      <w:spacing w:after="0" w:line="240" w:lineRule="auto"/>
      <w:jc w:val="center"/>
    </w:pPr>
    <w:rPr>
      <w:rFonts w:ascii="Arial Narrow" w:hAnsi="Arial Narrow" w:cs="Arial"/>
      <w:b/>
      <w:bCs/>
      <w:smallCaps/>
      <w:sz w:val="48"/>
      <w:szCs w:val="48"/>
    </w:rPr>
  </w:style>
  <w:style w:type="paragraph" w:customStyle="1" w:styleId="PIERCoverArial10">
    <w:name w:val="PIER Cover Arial 10"/>
    <w:basedOn w:val="Normal"/>
    <w:rsid w:val="007E4CA7"/>
    <w:rPr>
      <w:rFonts w:ascii="Arial" w:hAnsi="Arial" w:cs="Arial"/>
      <w:sz w:val="20"/>
      <w:szCs w:val="20"/>
    </w:rPr>
  </w:style>
  <w:style w:type="paragraph" w:customStyle="1" w:styleId="PIERCoverArial12">
    <w:name w:val="PIER Cover Arial 12"/>
    <w:rsid w:val="007E4CA7"/>
    <w:pPr>
      <w:spacing w:after="0" w:line="240" w:lineRule="auto"/>
      <w:ind w:left="2700"/>
    </w:pPr>
    <w:rPr>
      <w:rFonts w:ascii="Arial" w:hAnsi="Arial" w:cs="Times New Roman"/>
      <w:sz w:val="24"/>
      <w:szCs w:val="24"/>
    </w:rPr>
  </w:style>
  <w:style w:type="paragraph" w:customStyle="1" w:styleId="AppendixBHeading1">
    <w:name w:val="Appendix B Heading 1"/>
    <w:basedOn w:val="Heading1"/>
    <w:link w:val="AppendixBHeading1Char"/>
    <w:qFormat/>
    <w:rsid w:val="00FD2AEF"/>
    <w:pPr>
      <w:ind w:left="360" w:hanging="360"/>
    </w:pPr>
  </w:style>
  <w:style w:type="character" w:customStyle="1" w:styleId="AppendixBHeading1Char">
    <w:name w:val="Appendix B Heading 1 Char"/>
    <w:basedOn w:val="Heading1Char"/>
    <w:link w:val="AppendixBHeading1"/>
    <w:locked/>
    <w:rsid w:val="00E508DE"/>
    <w:rPr>
      <w:rFonts w:asciiTheme="majorHAnsi" w:eastAsiaTheme="majorEastAsia" w:hAnsiTheme="majorHAnsi" w:cs="Times New Roman"/>
      <w:b/>
      <w:bCs/>
      <w:sz w:val="28"/>
      <w:szCs w:val="28"/>
      <w:u w:val="single"/>
    </w:rPr>
  </w:style>
  <w:style w:type="paragraph" w:customStyle="1" w:styleId="AppendixBHeading2">
    <w:name w:val="Appendix B Heading 2"/>
    <w:basedOn w:val="Heading2"/>
    <w:link w:val="AppendixBHeading2Char"/>
    <w:qFormat/>
    <w:rsid w:val="00E508DE"/>
    <w:pPr>
      <w:ind w:left="792" w:hanging="432"/>
    </w:pPr>
  </w:style>
  <w:style w:type="character" w:customStyle="1" w:styleId="AppendixBHeading2Char">
    <w:name w:val="Appendix B Heading 2 Char"/>
    <w:basedOn w:val="Heading2Char"/>
    <w:link w:val="AppendixBHeading2"/>
    <w:locked/>
    <w:rsid w:val="00E508DE"/>
    <w:rPr>
      <w:rFonts w:asciiTheme="majorHAnsi" w:eastAsiaTheme="majorEastAsia" w:hAnsiTheme="majorHAnsi" w:cs="Times New Roman"/>
      <w:b/>
      <w:bCs/>
      <w:i w:val="0"/>
      <w:sz w:val="26"/>
      <w:szCs w:val="26"/>
      <w:u w:val="single"/>
    </w:rPr>
  </w:style>
  <w:style w:type="paragraph" w:customStyle="1" w:styleId="Appx1">
    <w:name w:val="Appx 1"/>
    <w:basedOn w:val="Heading2"/>
    <w:qFormat/>
    <w:rsid w:val="002359E6"/>
  </w:style>
  <w:style w:type="paragraph" w:customStyle="1" w:styleId="AppxBSub1">
    <w:name w:val="Appx B Sub1"/>
    <w:basedOn w:val="Heading2"/>
    <w:next w:val="Normal"/>
    <w:qFormat/>
    <w:rsid w:val="00464C65"/>
  </w:style>
  <w:style w:type="paragraph" w:styleId="EndnoteText">
    <w:name w:val="endnote text"/>
    <w:basedOn w:val="Normal"/>
    <w:link w:val="EndnoteTextChar"/>
    <w:uiPriority w:val="99"/>
    <w:semiHidden/>
    <w:unhideWhenUsed/>
    <w:rsid w:val="003C5490"/>
    <w:pPr>
      <w:spacing w:after="0"/>
    </w:pPr>
    <w:rPr>
      <w:sz w:val="20"/>
      <w:szCs w:val="20"/>
    </w:rPr>
  </w:style>
  <w:style w:type="character" w:customStyle="1" w:styleId="EndnoteTextChar">
    <w:name w:val="Endnote Text Char"/>
    <w:basedOn w:val="DefaultParagraphFont"/>
    <w:link w:val="EndnoteText"/>
    <w:uiPriority w:val="99"/>
    <w:semiHidden/>
    <w:locked/>
    <w:rsid w:val="003C5490"/>
    <w:rPr>
      <w:rFonts w:cs="Times New Roman"/>
      <w:sz w:val="20"/>
      <w:szCs w:val="20"/>
    </w:rPr>
  </w:style>
  <w:style w:type="character" w:styleId="EndnoteReference">
    <w:name w:val="endnote reference"/>
    <w:basedOn w:val="DefaultParagraphFont"/>
    <w:uiPriority w:val="99"/>
    <w:semiHidden/>
    <w:unhideWhenUsed/>
    <w:rsid w:val="003C5490"/>
    <w:rPr>
      <w:rFonts w:cs="Times New Roman"/>
      <w:vertAlign w:val="superscript"/>
    </w:rPr>
  </w:style>
  <w:style w:type="table" w:customStyle="1" w:styleId="TableGridLight1">
    <w:name w:val="Table Grid Light1"/>
    <w:basedOn w:val="TableNormal"/>
    <w:uiPriority w:val="40"/>
    <w:rsid w:val="00C32717"/>
    <w:pPr>
      <w:spacing w:after="0" w:line="240" w:lineRule="auto"/>
    </w:pPr>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EF6CE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67844"/>
    <w:rPr>
      <w:rFonts w:cs="Times New Roman"/>
      <w:i/>
      <w:iCs/>
      <w:color w:val="404040" w:themeColor="text1" w:themeTint="BF"/>
    </w:rPr>
  </w:style>
  <w:style w:type="paragraph" w:customStyle="1" w:styleId="FrontHdg1">
    <w:name w:val="FrontHdg1"/>
    <w:basedOn w:val="Heading1"/>
    <w:qFormat/>
    <w:rsid w:val="00AC2EC7"/>
    <w:pPr>
      <w:spacing w:before="240" w:after="120"/>
      <w:outlineLvl w:val="9"/>
    </w:pPr>
    <w:rPr>
      <w:rFonts w:eastAsia="Times New Roman"/>
      <w:b w:val="0"/>
    </w:rPr>
  </w:style>
  <w:style w:type="paragraph" w:customStyle="1" w:styleId="Default">
    <w:name w:val="Default"/>
    <w:rsid w:val="009A4E3E"/>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C63F7"/>
    <w:rPr>
      <w:rFonts w:cs="Times New Roman"/>
      <w:color w:val="808080"/>
      <w:shd w:val="clear" w:color="auto" w:fill="E6E6E6"/>
    </w:rPr>
  </w:style>
  <w:style w:type="paragraph" w:styleId="Index1">
    <w:name w:val="index 1"/>
    <w:basedOn w:val="Normal"/>
    <w:next w:val="Normal"/>
    <w:autoRedefine/>
    <w:uiPriority w:val="99"/>
    <w:semiHidden/>
    <w:unhideWhenUsed/>
    <w:rsid w:val="00DB53A1"/>
    <w:pPr>
      <w:spacing w:after="0"/>
      <w:ind w:left="220" w:hanging="220"/>
    </w:pPr>
  </w:style>
  <w:style w:type="paragraph" w:customStyle="1" w:styleId="CommentText0">
    <w:name w:val="CommentText"/>
    <w:basedOn w:val="Normal"/>
    <w:qFormat/>
    <w:rsid w:val="00914070"/>
    <w:pPr>
      <w:spacing w:after="200" w:line="276" w:lineRule="auto"/>
      <w:ind w:left="288"/>
    </w:pPr>
    <w:rPr>
      <w:rFonts w:asciiTheme="minorHAnsi" w:hAnsiTheme="minorHAnsi" w:cs="Calibri"/>
      <w:szCs w:val="26"/>
    </w:rPr>
  </w:style>
  <w:style w:type="paragraph" w:customStyle="1" w:styleId="CommentTitle">
    <w:name w:val="CommentTitle"/>
    <w:basedOn w:val="Normal"/>
    <w:qFormat/>
    <w:rsid w:val="00914070"/>
    <w:pPr>
      <w:keepNext/>
      <w:spacing w:before="80" w:after="40" w:line="276" w:lineRule="auto"/>
    </w:pPr>
    <w:rPr>
      <w:rFonts w:asciiTheme="minorHAnsi" w:hAnsiTheme="minorHAnsi"/>
    </w:rPr>
  </w:style>
  <w:style w:type="paragraph" w:customStyle="1" w:styleId="CommentHeader">
    <w:name w:val="CommentHeader"/>
    <w:basedOn w:val="Heading2"/>
    <w:qFormat/>
    <w:rsid w:val="00914070"/>
    <w:rPr>
      <w:rFonts w:ascii="Cambria" w:hAnsi="Cambria"/>
    </w:rPr>
  </w:style>
  <w:style w:type="character" w:customStyle="1" w:styleId="UnresolvedMention2">
    <w:name w:val="Unresolved Mention2"/>
    <w:basedOn w:val="DefaultParagraphFont"/>
    <w:uiPriority w:val="99"/>
    <w:semiHidden/>
    <w:unhideWhenUsed/>
    <w:rsid w:val="001C413D"/>
    <w:rPr>
      <w:rFonts w:cs="Times New Roman"/>
      <w:color w:val="605E5C"/>
      <w:shd w:val="clear" w:color="auto" w:fill="E1DFDD"/>
    </w:rPr>
  </w:style>
  <w:style w:type="paragraph" w:customStyle="1" w:styleId="AttachmentHeading2">
    <w:name w:val="Attachment Heading 2"/>
    <w:basedOn w:val="Heading2"/>
    <w:next w:val="AttachmentNormal"/>
    <w:qFormat/>
    <w:rsid w:val="00951B93"/>
    <w:pPr>
      <w:numPr>
        <w:ilvl w:val="1"/>
        <w:numId w:val="2"/>
      </w:numPr>
      <w:tabs>
        <w:tab w:val="clear" w:pos="360"/>
      </w:tabs>
      <w:spacing w:before="300"/>
    </w:pPr>
    <w:rPr>
      <w:i/>
    </w:rPr>
  </w:style>
  <w:style w:type="paragraph" w:customStyle="1" w:styleId="AttachmentNormal">
    <w:name w:val="Attachment Normal"/>
    <w:basedOn w:val="Normal"/>
    <w:qFormat/>
    <w:rsid w:val="00120155"/>
    <w:pPr>
      <w:spacing w:before="40" w:line="280" w:lineRule="atLeast"/>
    </w:pPr>
  </w:style>
  <w:style w:type="paragraph" w:customStyle="1" w:styleId="AttachmentHeading1">
    <w:name w:val="Attachment Heading 1"/>
    <w:basedOn w:val="Heading1"/>
    <w:qFormat/>
    <w:rsid w:val="00951B93"/>
    <w:pPr>
      <w:numPr>
        <w:numId w:val="2"/>
      </w:numPr>
      <w:spacing w:after="120"/>
    </w:pPr>
  </w:style>
  <w:style w:type="paragraph" w:customStyle="1" w:styleId="StyleListParagraphAfter12pt">
    <w:name w:val="Style List Paragraph + After:  12 pt"/>
    <w:basedOn w:val="ListParagraph"/>
    <w:rsid w:val="009B49EE"/>
    <w:pPr>
      <w:numPr>
        <w:numId w:val="0"/>
      </w:numPr>
      <w:spacing w:after="240"/>
      <w:ind w:left="720"/>
    </w:pPr>
    <w:rPr>
      <w:szCs w:val="20"/>
    </w:rPr>
  </w:style>
  <w:style w:type="character" w:customStyle="1" w:styleId="UnresolvedMention21">
    <w:name w:val="Unresolved Mention21"/>
    <w:basedOn w:val="DefaultParagraphFont"/>
    <w:uiPriority w:val="99"/>
    <w:semiHidden/>
    <w:unhideWhenUsed/>
    <w:rsid w:val="006B1419"/>
    <w:rPr>
      <w:rFonts w:cs="Times New Roman"/>
      <w:color w:val="605E5C"/>
      <w:shd w:val="clear" w:color="auto" w:fill="E1DFDD"/>
    </w:rPr>
  </w:style>
  <w:style w:type="paragraph" w:customStyle="1" w:styleId="AttachmentListParagraph">
    <w:name w:val="Attachment List Paragraph"/>
    <w:basedOn w:val="ListParagraph"/>
    <w:qFormat/>
    <w:rsid w:val="001604C8"/>
    <w:rPr>
      <w:rFonts w:cs="Arial"/>
      <w:color w:val="000000"/>
      <w:sz w:val="22"/>
      <w:szCs w:val="26"/>
    </w:rPr>
  </w:style>
  <w:style w:type="character" w:customStyle="1" w:styleId="UnresolvedMention3">
    <w:name w:val="Unresolved Mention3"/>
    <w:basedOn w:val="DefaultParagraphFont"/>
    <w:uiPriority w:val="99"/>
    <w:semiHidden/>
    <w:unhideWhenUsed/>
    <w:rsid w:val="00DE1B2A"/>
    <w:rPr>
      <w:rFonts w:cs="Times New Roman"/>
      <w:color w:val="605E5C"/>
      <w:shd w:val="clear" w:color="auto" w:fill="E1DFDD"/>
    </w:rPr>
  </w:style>
  <w:style w:type="character" w:customStyle="1" w:styleId="UnresolvedMention4">
    <w:name w:val="Unresolved Mention4"/>
    <w:basedOn w:val="DefaultParagraphFont"/>
    <w:uiPriority w:val="99"/>
    <w:semiHidden/>
    <w:unhideWhenUsed/>
    <w:rsid w:val="008975C4"/>
    <w:rPr>
      <w:color w:val="605E5C"/>
      <w:shd w:val="clear" w:color="auto" w:fill="E1DFDD"/>
    </w:rPr>
  </w:style>
  <w:style w:type="character" w:customStyle="1" w:styleId="UnresolvedMention5">
    <w:name w:val="Unresolved Mention5"/>
    <w:basedOn w:val="DefaultParagraphFont"/>
    <w:uiPriority w:val="99"/>
    <w:semiHidden/>
    <w:unhideWhenUsed/>
    <w:rsid w:val="006F4A19"/>
    <w:rPr>
      <w:color w:val="605E5C"/>
      <w:shd w:val="clear" w:color="auto" w:fill="E1DFDD"/>
    </w:rPr>
  </w:style>
  <w:style w:type="paragraph" w:customStyle="1" w:styleId="AttachmentTitle">
    <w:name w:val="Attachment Title"/>
    <w:basedOn w:val="Heading1"/>
    <w:qFormat/>
    <w:rsid w:val="0009690C"/>
    <w:pPr>
      <w:jc w:val="center"/>
    </w:pPr>
  </w:style>
  <w:style w:type="paragraph" w:customStyle="1" w:styleId="attachmentnormal0">
    <w:name w:val="attachmentnormal"/>
    <w:basedOn w:val="Normal"/>
    <w:rsid w:val="001D15BE"/>
    <w:rPr>
      <w:rFonts w:eastAsiaTheme="minorHAnsi" w:cs="Calibri"/>
      <w:sz w:val="22"/>
    </w:rPr>
  </w:style>
  <w:style w:type="paragraph" w:customStyle="1" w:styleId="attachmentheading20">
    <w:name w:val="attachmentheading2"/>
    <w:basedOn w:val="Normal"/>
    <w:rsid w:val="001D15BE"/>
    <w:pPr>
      <w:keepNext/>
      <w:spacing w:before="180"/>
      <w:ind w:left="432"/>
    </w:pPr>
    <w:rPr>
      <w:rFonts w:ascii="Calibri" w:eastAsiaTheme="minorHAnsi" w:hAnsi="Calibri" w:cs="Calibri"/>
      <w:szCs w:val="26"/>
    </w:rPr>
  </w:style>
  <w:style w:type="paragraph" w:customStyle="1" w:styleId="AttachmentHeading3">
    <w:name w:val="Attachment Heading 3"/>
    <w:basedOn w:val="AttachmentHeading2"/>
    <w:next w:val="AttachmentNormal"/>
    <w:qFormat/>
    <w:rsid w:val="00CD552A"/>
    <w:pPr>
      <w:numPr>
        <w:ilvl w:val="2"/>
      </w:numPr>
      <w:outlineLvl w:val="2"/>
    </w:pPr>
  </w:style>
  <w:style w:type="character" w:customStyle="1" w:styleId="UnresolvedMention6">
    <w:name w:val="Unresolved Mention6"/>
    <w:basedOn w:val="DefaultParagraphFont"/>
    <w:uiPriority w:val="99"/>
    <w:semiHidden/>
    <w:unhideWhenUsed/>
    <w:rsid w:val="00312F0F"/>
    <w:rPr>
      <w:color w:val="605E5C"/>
      <w:shd w:val="clear" w:color="auto" w:fill="E1DFDD"/>
    </w:rPr>
  </w:style>
  <w:style w:type="character" w:customStyle="1" w:styleId="Mention1">
    <w:name w:val="Mention1"/>
    <w:basedOn w:val="DefaultParagraphFont"/>
    <w:uiPriority w:val="99"/>
    <w:semiHidden/>
    <w:unhideWhenUsed/>
    <w:rsid w:val="00284EC9"/>
    <w:rPr>
      <w:color w:val="2B579A"/>
      <w:shd w:val="clear" w:color="auto" w:fill="E6E6E6"/>
    </w:rPr>
  </w:style>
  <w:style w:type="character" w:customStyle="1" w:styleId="Mention2">
    <w:name w:val="Mention2"/>
    <w:basedOn w:val="DefaultParagraphFont"/>
    <w:uiPriority w:val="99"/>
    <w:semiHidden/>
    <w:unhideWhenUsed/>
    <w:rsid w:val="00C574F4"/>
    <w:rPr>
      <w:color w:val="2B579A"/>
      <w:shd w:val="clear" w:color="auto" w:fill="E6E6E6"/>
    </w:rPr>
  </w:style>
  <w:style w:type="character" w:styleId="Strong">
    <w:name w:val="Strong"/>
    <w:basedOn w:val="DefaultParagraphFont"/>
    <w:uiPriority w:val="22"/>
    <w:qFormat/>
    <w:rsid w:val="00B156A2"/>
    <w:rPr>
      <w:b/>
      <w:bCs/>
    </w:rPr>
  </w:style>
  <w:style w:type="character" w:customStyle="1" w:styleId="UnresolvedMention7">
    <w:name w:val="Unresolved Mention7"/>
    <w:basedOn w:val="DefaultParagraphFont"/>
    <w:uiPriority w:val="99"/>
    <w:semiHidden/>
    <w:unhideWhenUsed/>
    <w:rsid w:val="00F97CBC"/>
    <w:rPr>
      <w:color w:val="605E5C"/>
      <w:shd w:val="clear" w:color="auto" w:fill="E1DFDD"/>
    </w:rPr>
  </w:style>
  <w:style w:type="character" w:customStyle="1" w:styleId="UnresolvedMention8">
    <w:name w:val="Unresolved Mention8"/>
    <w:basedOn w:val="DefaultParagraphFont"/>
    <w:uiPriority w:val="99"/>
    <w:semiHidden/>
    <w:unhideWhenUsed/>
    <w:rsid w:val="00826DBB"/>
    <w:rPr>
      <w:color w:val="605E5C"/>
      <w:shd w:val="clear" w:color="auto" w:fill="E1DFDD"/>
    </w:rPr>
  </w:style>
  <w:style w:type="character" w:customStyle="1" w:styleId="UnresolvedMention9">
    <w:name w:val="Unresolved Mention9"/>
    <w:basedOn w:val="DefaultParagraphFont"/>
    <w:uiPriority w:val="99"/>
    <w:semiHidden/>
    <w:unhideWhenUsed/>
    <w:rsid w:val="00936614"/>
    <w:rPr>
      <w:color w:val="605E5C"/>
      <w:shd w:val="clear" w:color="auto" w:fill="E1DFDD"/>
    </w:rPr>
  </w:style>
  <w:style w:type="character" w:customStyle="1" w:styleId="UnresolvedMention10">
    <w:name w:val="Unresolved Mention10"/>
    <w:basedOn w:val="DefaultParagraphFont"/>
    <w:uiPriority w:val="99"/>
    <w:semiHidden/>
    <w:unhideWhenUsed/>
    <w:rsid w:val="00927A50"/>
    <w:rPr>
      <w:color w:val="605E5C"/>
      <w:shd w:val="clear" w:color="auto" w:fill="E1DFDD"/>
    </w:rPr>
  </w:style>
  <w:style w:type="character" w:customStyle="1" w:styleId="UnresolvedMention11">
    <w:name w:val="Unresolved Mention11"/>
    <w:basedOn w:val="DefaultParagraphFont"/>
    <w:uiPriority w:val="99"/>
    <w:semiHidden/>
    <w:unhideWhenUsed/>
    <w:rsid w:val="003D4FDB"/>
    <w:rPr>
      <w:color w:val="605E5C"/>
      <w:shd w:val="clear" w:color="auto" w:fill="E1DFDD"/>
    </w:rPr>
  </w:style>
  <w:style w:type="paragraph" w:customStyle="1" w:styleId="DNVGLBulletLevel1">
    <w:name w:val="DNV GL Bullet Level 1"/>
    <w:basedOn w:val="Normal"/>
    <w:link w:val="DNVGLBulletLevel1Char"/>
    <w:qFormat/>
    <w:rsid w:val="00951B93"/>
    <w:pPr>
      <w:numPr>
        <w:numId w:val="3"/>
      </w:numPr>
      <w:spacing w:before="40" w:after="140" w:line="280" w:lineRule="atLeast"/>
      <w:contextualSpacing/>
    </w:pPr>
    <w:rPr>
      <w:rFonts w:eastAsiaTheme="minorHAnsi" w:cstheme="minorBidi"/>
      <w:szCs w:val="18"/>
    </w:rPr>
  </w:style>
  <w:style w:type="character" w:customStyle="1" w:styleId="DNVGLBulletLevel1Char">
    <w:name w:val="DNV GL Bullet Level 1 Char"/>
    <w:basedOn w:val="DefaultParagraphFont"/>
    <w:link w:val="DNVGLBulletLevel1"/>
    <w:rsid w:val="00951B93"/>
    <w:rPr>
      <w:rFonts w:ascii="Palatino Linotype" w:eastAsiaTheme="minorHAnsi" w:hAnsi="Palatino Linotype" w:cstheme="minorBidi"/>
      <w:sz w:val="24"/>
      <w:szCs w:val="18"/>
    </w:rPr>
  </w:style>
  <w:style w:type="paragraph" w:customStyle="1" w:styleId="DNVGLfootnote">
    <w:name w:val="DNV GL footnote"/>
    <w:basedOn w:val="FootnoteText"/>
    <w:link w:val="DNVGLfootnoteChar"/>
    <w:qFormat/>
    <w:rsid w:val="00E27A99"/>
    <w:pPr>
      <w:keepNext/>
      <w:keepLines/>
      <w:widowControl w:val="0"/>
    </w:pPr>
    <w:rPr>
      <w:rFonts w:eastAsiaTheme="minorHAnsi" w:cstheme="minorBidi"/>
      <w:szCs w:val="16"/>
    </w:rPr>
  </w:style>
  <w:style w:type="character" w:customStyle="1" w:styleId="DNVGLfootnoteChar">
    <w:name w:val="DNV GL footnote Char"/>
    <w:basedOn w:val="FootnoteTextChar"/>
    <w:link w:val="DNVGLfootnote"/>
    <w:rsid w:val="00BC6810"/>
    <w:rPr>
      <w:rFonts w:ascii="Garamond" w:eastAsiaTheme="minorHAnsi" w:hAnsi="Garamond" w:cstheme="minorBidi"/>
      <w:sz w:val="20"/>
      <w:szCs w:val="16"/>
    </w:rPr>
  </w:style>
  <w:style w:type="paragraph" w:customStyle="1" w:styleId="TableHeader">
    <w:name w:val="Table Header"/>
    <w:basedOn w:val="Normal"/>
    <w:qFormat/>
    <w:rsid w:val="00D97718"/>
    <w:pPr>
      <w:spacing w:after="0"/>
    </w:pPr>
    <w:rPr>
      <w:rFonts w:ascii="Verdana" w:eastAsiaTheme="minorHAnsi" w:hAnsi="Verdana" w:cstheme="minorBidi"/>
      <w:b/>
      <w:bCs/>
      <w:color w:val="FFFFFF" w:themeColor="background1"/>
      <w:sz w:val="18"/>
      <w:szCs w:val="18"/>
    </w:rPr>
  </w:style>
  <w:style w:type="paragraph" w:styleId="Quote">
    <w:name w:val="Quote"/>
    <w:basedOn w:val="Normal"/>
    <w:next w:val="Normal"/>
    <w:link w:val="QuoteChar"/>
    <w:uiPriority w:val="29"/>
    <w:qFormat/>
    <w:rsid w:val="00D97718"/>
    <w:pPr>
      <w:spacing w:before="200" w:after="160" w:line="276" w:lineRule="auto"/>
      <w:ind w:left="864" w:right="864"/>
      <w:jc w:val="center"/>
    </w:pPr>
    <w:rPr>
      <w:rFonts w:eastAsiaTheme="minorHAnsi" w:cstheme="minorBidi"/>
      <w:i/>
      <w:iCs/>
      <w:color w:val="404040" w:themeColor="text1" w:themeTint="BF"/>
    </w:rPr>
  </w:style>
  <w:style w:type="character" w:customStyle="1" w:styleId="QuoteChar">
    <w:name w:val="Quote Char"/>
    <w:basedOn w:val="DefaultParagraphFont"/>
    <w:link w:val="Quote"/>
    <w:uiPriority w:val="29"/>
    <w:rsid w:val="00D97718"/>
    <w:rPr>
      <w:rFonts w:ascii="Garamond" w:eastAsiaTheme="minorHAnsi" w:hAnsi="Garamond" w:cstheme="minorBidi"/>
      <w:i/>
      <w:iCs/>
      <w:color w:val="404040" w:themeColor="text1" w:themeTint="BF"/>
      <w:sz w:val="24"/>
    </w:rPr>
  </w:style>
  <w:style w:type="paragraph" w:customStyle="1" w:styleId="Table">
    <w:name w:val="Table"/>
    <w:aliases w:val="left"/>
    <w:basedOn w:val="Normal"/>
    <w:qFormat/>
    <w:rsid w:val="00B26480"/>
    <w:pPr>
      <w:spacing w:after="0"/>
    </w:pPr>
    <w:rPr>
      <w:rFonts w:asciiTheme="minorHAnsi" w:hAnsiTheme="minorHAnsi" w:cstheme="minorHAnsi"/>
      <w:color w:val="000000"/>
      <w:sz w:val="18"/>
      <w:szCs w:val="18"/>
    </w:rPr>
  </w:style>
  <w:style w:type="paragraph" w:customStyle="1" w:styleId="Tablenote">
    <w:name w:val="Table note"/>
    <w:basedOn w:val="DNVGLfootnote"/>
    <w:qFormat/>
    <w:rsid w:val="0069223B"/>
    <w:rPr>
      <w:rFonts w:eastAsia="Times New Roman" w:cstheme="minorHAnsi"/>
    </w:rPr>
  </w:style>
  <w:style w:type="paragraph" w:customStyle="1" w:styleId="TableList">
    <w:name w:val="Table List"/>
    <w:basedOn w:val="TableofFigures"/>
    <w:qFormat/>
    <w:rsid w:val="0069223B"/>
    <w:pPr>
      <w:tabs>
        <w:tab w:val="right" w:leader="dot" w:pos="9350"/>
      </w:tabs>
      <w:spacing w:after="0" w:line="276" w:lineRule="auto"/>
      <w:ind w:left="432" w:hanging="432"/>
    </w:pPr>
    <w:rPr>
      <w:rFonts w:ascii="Verdana" w:eastAsiaTheme="minorHAnsi" w:hAnsi="Verdana" w:cstheme="minorHAnsi"/>
      <w:noProof/>
      <w:sz w:val="18"/>
      <w:szCs w:val="18"/>
    </w:rPr>
  </w:style>
  <w:style w:type="character" w:styleId="UnresolvedMention">
    <w:name w:val="Unresolved Mention"/>
    <w:basedOn w:val="DefaultParagraphFont"/>
    <w:uiPriority w:val="99"/>
    <w:unhideWhenUsed/>
    <w:rsid w:val="001A493D"/>
    <w:rPr>
      <w:color w:val="605E5C"/>
      <w:shd w:val="clear" w:color="auto" w:fill="E1DFDD"/>
    </w:rPr>
  </w:style>
  <w:style w:type="paragraph" w:customStyle="1" w:styleId="CommentHeading">
    <w:name w:val="Comment Heading"/>
    <w:basedOn w:val="Normal"/>
    <w:next w:val="Normal"/>
    <w:qFormat/>
    <w:rsid w:val="00A4355B"/>
    <w:pPr>
      <w:keepNext/>
      <w:spacing w:before="240"/>
    </w:pPr>
    <w:rPr>
      <w:i/>
      <w:iCs/>
    </w:rPr>
  </w:style>
  <w:style w:type="paragraph" w:customStyle="1" w:styleId="msonormal0">
    <w:name w:val="msonormal"/>
    <w:basedOn w:val="Normal"/>
    <w:rsid w:val="000B380A"/>
    <w:pPr>
      <w:spacing w:before="100" w:beforeAutospacing="1" w:after="100" w:afterAutospacing="1"/>
    </w:pPr>
    <w:rPr>
      <w:rFonts w:ascii="Times New Roman" w:hAnsi="Times New Roman"/>
      <w:szCs w:val="24"/>
    </w:rPr>
  </w:style>
  <w:style w:type="paragraph" w:customStyle="1" w:styleId="xl71">
    <w:name w:val="xl71"/>
    <w:basedOn w:val="Normal"/>
    <w:rsid w:val="000B380A"/>
    <w:pPr>
      <w:spacing w:before="100" w:beforeAutospacing="1" w:after="100" w:afterAutospacing="1"/>
      <w:textAlignment w:val="top"/>
    </w:pPr>
    <w:rPr>
      <w:rFonts w:ascii="Times New Roman" w:hAnsi="Times New Roman"/>
      <w:sz w:val="18"/>
      <w:szCs w:val="18"/>
    </w:rPr>
  </w:style>
  <w:style w:type="paragraph" w:customStyle="1" w:styleId="xl72">
    <w:name w:val="xl72"/>
    <w:basedOn w:val="Normal"/>
    <w:rsid w:val="000B380A"/>
    <w:pPr>
      <w:spacing w:before="100" w:beforeAutospacing="1" w:after="100" w:afterAutospacing="1"/>
      <w:jc w:val="center"/>
      <w:textAlignment w:val="top"/>
    </w:pPr>
    <w:rPr>
      <w:rFonts w:ascii="Times New Roman" w:hAnsi="Times New Roman"/>
      <w:sz w:val="18"/>
      <w:szCs w:val="18"/>
    </w:rPr>
  </w:style>
  <w:style w:type="paragraph" w:customStyle="1" w:styleId="xl73">
    <w:name w:val="xl73"/>
    <w:basedOn w:val="Normal"/>
    <w:rsid w:val="000B380A"/>
    <w:pPr>
      <w:spacing w:before="100" w:beforeAutospacing="1" w:after="100" w:afterAutospacing="1"/>
      <w:textAlignment w:val="top"/>
    </w:pPr>
    <w:rPr>
      <w:rFonts w:ascii="Times New Roman" w:hAnsi="Times New Roman"/>
      <w:i/>
      <w:iCs/>
      <w:sz w:val="18"/>
      <w:szCs w:val="18"/>
    </w:rPr>
  </w:style>
  <w:style w:type="paragraph" w:customStyle="1" w:styleId="xl74">
    <w:name w:val="xl74"/>
    <w:basedOn w:val="Normal"/>
    <w:rsid w:val="000B380A"/>
    <w:pPr>
      <w:spacing w:before="100" w:beforeAutospacing="1" w:after="100" w:afterAutospacing="1"/>
      <w:textAlignment w:val="top"/>
    </w:pPr>
    <w:rPr>
      <w:rFonts w:ascii="Times New Roman" w:hAnsi="Times New Roman"/>
      <w:sz w:val="18"/>
      <w:szCs w:val="18"/>
    </w:rPr>
  </w:style>
  <w:style w:type="paragraph" w:customStyle="1" w:styleId="xl75">
    <w:name w:val="xl75"/>
    <w:basedOn w:val="Normal"/>
    <w:rsid w:val="000B380A"/>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w:hAnsi="Times New Roman"/>
      <w:sz w:val="18"/>
      <w:szCs w:val="18"/>
    </w:rPr>
  </w:style>
  <w:style w:type="paragraph" w:customStyle="1" w:styleId="xl76">
    <w:name w:val="xl76"/>
    <w:basedOn w:val="Normal"/>
    <w:rsid w:val="000B380A"/>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top"/>
    </w:pPr>
    <w:rPr>
      <w:rFonts w:ascii="Times New Roman" w:hAnsi="Times New Roman"/>
      <w:sz w:val="18"/>
      <w:szCs w:val="18"/>
    </w:rPr>
  </w:style>
  <w:style w:type="paragraph" w:customStyle="1" w:styleId="xl77">
    <w:name w:val="xl77"/>
    <w:basedOn w:val="Normal"/>
    <w:rsid w:val="000B380A"/>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w:hAnsi="Times New Roman"/>
      <w:i/>
      <w:iCs/>
      <w:sz w:val="18"/>
      <w:szCs w:val="18"/>
    </w:rPr>
  </w:style>
  <w:style w:type="paragraph" w:customStyle="1" w:styleId="xl78">
    <w:name w:val="xl78"/>
    <w:basedOn w:val="Normal"/>
    <w:rsid w:val="000B380A"/>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w:hAnsi="Times New Roman"/>
      <w:sz w:val="18"/>
      <w:szCs w:val="18"/>
    </w:rPr>
  </w:style>
  <w:style w:type="paragraph" w:customStyle="1" w:styleId="xl79">
    <w:name w:val="xl79"/>
    <w:basedOn w:val="Normal"/>
    <w:rsid w:val="000B380A"/>
    <w:pPr>
      <w:pBdr>
        <w:top w:val="single" w:sz="4" w:space="0" w:color="BFBFBF"/>
        <w:left w:val="single" w:sz="4" w:space="0" w:color="BFBFBF"/>
        <w:bottom w:val="single" w:sz="4" w:space="0" w:color="BFBFBF"/>
        <w:right w:val="single" w:sz="4" w:space="0" w:color="BFBFBF"/>
      </w:pBdr>
      <w:shd w:val="clear" w:color="000000" w:fill="BCD3B7"/>
      <w:spacing w:before="100" w:beforeAutospacing="1" w:after="100" w:afterAutospacing="1"/>
      <w:textAlignment w:val="top"/>
    </w:pPr>
    <w:rPr>
      <w:rFonts w:ascii="Times New Roman" w:hAnsi="Times New Roman"/>
      <w:sz w:val="18"/>
      <w:szCs w:val="18"/>
    </w:rPr>
  </w:style>
  <w:style w:type="paragraph" w:customStyle="1" w:styleId="xl80">
    <w:name w:val="xl80"/>
    <w:basedOn w:val="Normal"/>
    <w:rsid w:val="000B380A"/>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1">
    <w:name w:val="xl81"/>
    <w:basedOn w:val="Normal"/>
    <w:rsid w:val="000B380A"/>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top"/>
    </w:pPr>
    <w:rPr>
      <w:rFonts w:ascii="Times New Roman" w:hAnsi="Times New Roman"/>
      <w:sz w:val="18"/>
      <w:szCs w:val="18"/>
    </w:rPr>
  </w:style>
  <w:style w:type="paragraph" w:customStyle="1" w:styleId="xl82">
    <w:name w:val="xl82"/>
    <w:basedOn w:val="Normal"/>
    <w:rsid w:val="000B380A"/>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jc w:val="center"/>
      <w:textAlignment w:val="top"/>
    </w:pPr>
    <w:rPr>
      <w:rFonts w:ascii="Times New Roman" w:hAnsi="Times New Roman"/>
      <w:sz w:val="18"/>
      <w:szCs w:val="18"/>
    </w:rPr>
  </w:style>
  <w:style w:type="paragraph" w:customStyle="1" w:styleId="xl83">
    <w:name w:val="xl83"/>
    <w:basedOn w:val="Normal"/>
    <w:rsid w:val="000B380A"/>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top"/>
    </w:pPr>
    <w:rPr>
      <w:rFonts w:ascii="Times New Roman" w:hAnsi="Times New Roman"/>
      <w:i/>
      <w:iCs/>
      <w:sz w:val="18"/>
      <w:szCs w:val="18"/>
    </w:rPr>
  </w:style>
  <w:style w:type="paragraph" w:customStyle="1" w:styleId="xl84">
    <w:name w:val="xl84"/>
    <w:basedOn w:val="Normal"/>
    <w:rsid w:val="000B380A"/>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top"/>
    </w:pPr>
    <w:rPr>
      <w:rFonts w:ascii="Times New Roman" w:hAnsi="Times New Roman"/>
      <w:sz w:val="18"/>
      <w:szCs w:val="18"/>
    </w:rPr>
  </w:style>
  <w:style w:type="paragraph" w:customStyle="1" w:styleId="AttachmentStyle">
    <w:name w:val="Attachment Style"/>
    <w:basedOn w:val="Normal"/>
    <w:link w:val="AttachmentStyleChar"/>
    <w:qFormat/>
    <w:rsid w:val="000D0F3D"/>
    <w:rPr>
      <w:rFonts w:ascii="Century Gothic" w:hAnsi="Century Gothic"/>
    </w:rPr>
  </w:style>
  <w:style w:type="paragraph" w:customStyle="1" w:styleId="CenturyGothicHeader">
    <w:name w:val="CenturyGothicHeader"/>
    <w:basedOn w:val="Normal"/>
    <w:link w:val="CenturyGothicHeaderChar"/>
    <w:qFormat/>
    <w:rsid w:val="00EB1897"/>
    <w:pPr>
      <w:jc w:val="center"/>
    </w:pPr>
    <w:rPr>
      <w:rFonts w:ascii="Century Gothic" w:hAnsi="Century Gothic"/>
    </w:rPr>
  </w:style>
  <w:style w:type="character" w:customStyle="1" w:styleId="AttachmentStyleChar">
    <w:name w:val="Attachment Style Char"/>
    <w:basedOn w:val="DefaultParagraphFont"/>
    <w:link w:val="AttachmentStyle"/>
    <w:rsid w:val="000D0F3D"/>
    <w:rPr>
      <w:rFonts w:ascii="Century Gothic" w:hAnsi="Century Gothic" w:cs="Times New Roman"/>
      <w:sz w:val="24"/>
    </w:rPr>
  </w:style>
  <w:style w:type="paragraph" w:customStyle="1" w:styleId="GaramondNormal">
    <w:name w:val="Garamond Normal"/>
    <w:basedOn w:val="Normal"/>
    <w:link w:val="GaramondNormalChar"/>
    <w:qFormat/>
    <w:rsid w:val="006D5CB8"/>
    <w:pPr>
      <w:spacing w:before="40" w:line="280" w:lineRule="atLeast"/>
    </w:pPr>
  </w:style>
  <w:style w:type="character" w:customStyle="1" w:styleId="CenturyGothicHeaderChar">
    <w:name w:val="CenturyGothicHeader Char"/>
    <w:basedOn w:val="DefaultParagraphFont"/>
    <w:link w:val="CenturyGothicHeader"/>
    <w:rsid w:val="00EB1897"/>
    <w:rPr>
      <w:rFonts w:ascii="Century Gothic" w:hAnsi="Century Gothic" w:cs="Times New Roman"/>
      <w:sz w:val="24"/>
    </w:rPr>
  </w:style>
  <w:style w:type="paragraph" w:customStyle="1" w:styleId="CenturyGothicTOCHeader">
    <w:name w:val="CenturyGothicTOCHeader"/>
    <w:basedOn w:val="GaramondNormal"/>
    <w:link w:val="CenturyGothicTOCHeaderChar"/>
    <w:qFormat/>
    <w:rsid w:val="00731546"/>
    <w:rPr>
      <w:rFonts w:ascii="Century Gothic" w:hAnsi="Century Gothic"/>
    </w:rPr>
  </w:style>
  <w:style w:type="character" w:customStyle="1" w:styleId="GaramondNormalChar">
    <w:name w:val="Garamond Normal Char"/>
    <w:basedOn w:val="DefaultParagraphFont"/>
    <w:link w:val="GaramondNormal"/>
    <w:rsid w:val="006D5CB8"/>
    <w:rPr>
      <w:rFonts w:ascii="Garamond" w:hAnsi="Garamond" w:cs="Times New Roman"/>
      <w:sz w:val="24"/>
    </w:rPr>
  </w:style>
  <w:style w:type="paragraph" w:customStyle="1" w:styleId="CenturyGothicTableHeader">
    <w:name w:val="CenturyGothicTableHeader"/>
    <w:basedOn w:val="Caption"/>
    <w:link w:val="CenturyGothicTableHeaderChar"/>
    <w:qFormat/>
    <w:rsid w:val="006E275B"/>
    <w:rPr>
      <w:rFonts w:ascii="Century Gothic" w:hAnsi="Century Gothic"/>
      <w:szCs w:val="24"/>
    </w:rPr>
  </w:style>
  <w:style w:type="character" w:customStyle="1" w:styleId="CenturyGothicTOCHeaderChar">
    <w:name w:val="CenturyGothicTOCHeader Char"/>
    <w:basedOn w:val="GaramondNormalChar"/>
    <w:link w:val="CenturyGothicTOCHeader"/>
    <w:rsid w:val="00731546"/>
    <w:rPr>
      <w:rFonts w:ascii="Century Gothic" w:hAnsi="Century Gothic" w:cs="Times New Roman"/>
      <w:sz w:val="24"/>
    </w:rPr>
  </w:style>
  <w:style w:type="paragraph" w:customStyle="1" w:styleId="GaramondBullets">
    <w:name w:val="GaramondBullets"/>
    <w:basedOn w:val="ListParagraph"/>
    <w:link w:val="GaramondBulletsChar"/>
    <w:qFormat/>
    <w:rsid w:val="00C508AF"/>
    <w:pPr>
      <w:spacing w:after="120"/>
    </w:pPr>
  </w:style>
  <w:style w:type="character" w:customStyle="1" w:styleId="CenturyGothicTableHeaderChar">
    <w:name w:val="CenturyGothicTableHeader Char"/>
    <w:basedOn w:val="CaptionChar"/>
    <w:link w:val="CenturyGothicTableHeader"/>
    <w:rsid w:val="004944F5"/>
    <w:rPr>
      <w:rFonts w:ascii="Century Gothic" w:hAnsi="Century Gothic" w:cs="Times New Roman"/>
      <w:b/>
      <w:bCs/>
      <w:sz w:val="24"/>
      <w:szCs w:val="24"/>
    </w:rPr>
  </w:style>
  <w:style w:type="character" w:customStyle="1" w:styleId="ListParagraphChar">
    <w:name w:val="List Paragraph Char"/>
    <w:aliases w:val="List paragraph Char,PECI Bullets (Content) Char"/>
    <w:basedOn w:val="DefaultParagraphFont"/>
    <w:link w:val="ListParagraph"/>
    <w:uiPriority w:val="34"/>
    <w:rsid w:val="00C508AF"/>
    <w:rPr>
      <w:rFonts w:ascii="Palatino Linotype" w:hAnsi="Palatino Linotype" w:cs="Times New Roman"/>
      <w:sz w:val="24"/>
    </w:rPr>
  </w:style>
  <w:style w:type="character" w:customStyle="1" w:styleId="GaramondBulletsChar">
    <w:name w:val="GaramondBullets Char"/>
    <w:basedOn w:val="ListParagraphChar"/>
    <w:link w:val="GaramondBullets"/>
    <w:rsid w:val="00C508AF"/>
    <w:rPr>
      <w:rFonts w:ascii="Palatino Linotype" w:hAnsi="Palatino Linotype" w:cs="Times New Roman"/>
      <w:sz w:val="24"/>
    </w:rPr>
  </w:style>
  <w:style w:type="character" w:customStyle="1" w:styleId="wordphrase">
    <w:name w:val="wordphrase"/>
    <w:basedOn w:val="DefaultParagraphFont"/>
    <w:rsid w:val="00456DDF"/>
  </w:style>
  <w:style w:type="paragraph" w:customStyle="1" w:styleId="xl85">
    <w:name w:val="xl85"/>
    <w:basedOn w:val="Normal"/>
    <w:rsid w:val="00B04AB6"/>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top"/>
    </w:pPr>
    <w:rPr>
      <w:rFonts w:ascii="Times New Roman" w:hAnsi="Times New Roman"/>
      <w:sz w:val="18"/>
      <w:szCs w:val="18"/>
    </w:rPr>
  </w:style>
  <w:style w:type="paragraph" w:customStyle="1" w:styleId="xl86">
    <w:name w:val="xl86"/>
    <w:basedOn w:val="Normal"/>
    <w:rsid w:val="00B04AB6"/>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w:hAnsi="Times New Roman"/>
      <w:b/>
      <w:bCs/>
      <w:sz w:val="18"/>
      <w:szCs w:val="18"/>
    </w:rPr>
  </w:style>
  <w:style w:type="paragraph" w:customStyle="1" w:styleId="xl87">
    <w:name w:val="xl87"/>
    <w:basedOn w:val="Normal"/>
    <w:rsid w:val="00B04AB6"/>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w:hAnsi="Times New Roman"/>
      <w:b/>
      <w:bCs/>
      <w:sz w:val="18"/>
      <w:szCs w:val="18"/>
    </w:rPr>
  </w:style>
  <w:style w:type="paragraph" w:customStyle="1" w:styleId="xl88">
    <w:name w:val="xl88"/>
    <w:basedOn w:val="Normal"/>
    <w:rsid w:val="00B04AB6"/>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w:hAnsi="Times New Roman"/>
      <w:sz w:val="18"/>
      <w:szCs w:val="18"/>
    </w:rPr>
  </w:style>
  <w:style w:type="paragraph" w:customStyle="1" w:styleId="xl89">
    <w:name w:val="xl89"/>
    <w:basedOn w:val="Normal"/>
    <w:rsid w:val="00B04AB6"/>
    <w:pPr>
      <w:spacing w:before="100" w:beforeAutospacing="1" w:after="100" w:afterAutospacing="1"/>
      <w:textAlignment w:val="top"/>
    </w:pPr>
    <w:rPr>
      <w:rFonts w:ascii="Times New Roman" w:hAnsi="Times New Roman"/>
      <w:sz w:val="18"/>
      <w:szCs w:val="18"/>
    </w:rPr>
  </w:style>
  <w:style w:type="paragraph" w:customStyle="1" w:styleId="xl90">
    <w:name w:val="xl90"/>
    <w:basedOn w:val="Normal"/>
    <w:rsid w:val="00B04AB6"/>
    <w:pPr>
      <w:pBdr>
        <w:top w:val="single" w:sz="4" w:space="0" w:color="BFBFBF"/>
        <w:left w:val="single" w:sz="4" w:space="0" w:color="BFBFBF"/>
        <w:bottom w:val="single" w:sz="4" w:space="0" w:color="BFBFBF"/>
        <w:right w:val="single" w:sz="4" w:space="0" w:color="BFBFBF"/>
      </w:pBdr>
      <w:shd w:val="clear" w:color="000000" w:fill="BCD3B7"/>
      <w:spacing w:before="100" w:beforeAutospacing="1" w:after="100" w:afterAutospacing="1"/>
      <w:textAlignment w:val="top"/>
    </w:pPr>
    <w:rPr>
      <w:rFonts w:ascii="Times New Roman" w:hAnsi="Times New Roman"/>
      <w:sz w:val="18"/>
      <w:szCs w:val="18"/>
    </w:rPr>
  </w:style>
  <w:style w:type="paragraph" w:customStyle="1" w:styleId="xl91">
    <w:name w:val="xl91"/>
    <w:basedOn w:val="Normal"/>
    <w:rsid w:val="00B04AB6"/>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w:hAnsi="Times New Roman"/>
      <w:sz w:val="18"/>
      <w:szCs w:val="18"/>
    </w:rPr>
  </w:style>
  <w:style w:type="paragraph" w:customStyle="1" w:styleId="xl92">
    <w:name w:val="xl92"/>
    <w:basedOn w:val="Normal"/>
    <w:rsid w:val="00B04AB6"/>
    <w:pPr>
      <w:spacing w:before="100" w:beforeAutospacing="1" w:after="100" w:afterAutospacing="1"/>
      <w:textAlignment w:val="top"/>
    </w:pPr>
    <w:rPr>
      <w:rFonts w:ascii="Times New Roman" w:hAnsi="Times New Roman"/>
      <w:sz w:val="18"/>
      <w:szCs w:val="18"/>
    </w:rPr>
  </w:style>
  <w:style w:type="paragraph" w:customStyle="1" w:styleId="xl93">
    <w:name w:val="xl93"/>
    <w:basedOn w:val="Normal"/>
    <w:rsid w:val="00B04AB6"/>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94">
    <w:name w:val="xl94"/>
    <w:basedOn w:val="Normal"/>
    <w:rsid w:val="00B04AB6"/>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top"/>
    </w:pPr>
    <w:rPr>
      <w:rFonts w:ascii="Times New Roman" w:hAnsi="Times New Roman"/>
      <w:sz w:val="18"/>
      <w:szCs w:val="18"/>
    </w:rPr>
  </w:style>
  <w:style w:type="paragraph" w:customStyle="1" w:styleId="xl95">
    <w:name w:val="xl95"/>
    <w:basedOn w:val="Normal"/>
    <w:rsid w:val="00B04AB6"/>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jc w:val="center"/>
      <w:textAlignment w:val="top"/>
    </w:pPr>
    <w:rPr>
      <w:rFonts w:ascii="Times New Roman" w:hAnsi="Times New Roman"/>
      <w:sz w:val="18"/>
      <w:szCs w:val="18"/>
    </w:rPr>
  </w:style>
  <w:style w:type="paragraph" w:customStyle="1" w:styleId="xl96">
    <w:name w:val="xl96"/>
    <w:basedOn w:val="Normal"/>
    <w:rsid w:val="00B04AB6"/>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top"/>
    </w:pPr>
    <w:rPr>
      <w:rFonts w:ascii="Times New Roman" w:hAnsi="Times New Roman"/>
      <w:i/>
      <w:iCs/>
      <w:sz w:val="18"/>
      <w:szCs w:val="18"/>
    </w:rPr>
  </w:style>
  <w:style w:type="paragraph" w:customStyle="1" w:styleId="xl97">
    <w:name w:val="xl97"/>
    <w:basedOn w:val="Normal"/>
    <w:rsid w:val="00B04AB6"/>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top"/>
    </w:pPr>
    <w:rPr>
      <w:rFonts w:ascii="Times New Roman" w:hAnsi="Times New Roman"/>
      <w:sz w:val="18"/>
      <w:szCs w:val="18"/>
    </w:rPr>
  </w:style>
  <w:style w:type="paragraph" w:customStyle="1" w:styleId="xl98">
    <w:name w:val="xl98"/>
    <w:basedOn w:val="Normal"/>
    <w:rsid w:val="00B04AB6"/>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top"/>
    </w:pPr>
    <w:rPr>
      <w:rFonts w:ascii="Times New Roman" w:hAnsi="Times New Roman"/>
      <w:sz w:val="18"/>
      <w:szCs w:val="18"/>
    </w:rPr>
  </w:style>
  <w:style w:type="paragraph" w:customStyle="1" w:styleId="xl99">
    <w:name w:val="xl99"/>
    <w:basedOn w:val="Normal"/>
    <w:rsid w:val="00B04AB6"/>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top"/>
    </w:pPr>
    <w:rPr>
      <w:rFonts w:ascii="Times New Roman" w:hAnsi="Times New Roman"/>
      <w:sz w:val="18"/>
      <w:szCs w:val="18"/>
    </w:rPr>
  </w:style>
  <w:style w:type="paragraph" w:customStyle="1" w:styleId="xl100">
    <w:name w:val="xl100"/>
    <w:basedOn w:val="Normal"/>
    <w:rsid w:val="00B04AB6"/>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jc w:val="center"/>
      <w:textAlignment w:val="top"/>
    </w:pPr>
    <w:rPr>
      <w:rFonts w:ascii="Times New Roman" w:hAnsi="Times New Roman"/>
      <w:sz w:val="18"/>
      <w:szCs w:val="18"/>
    </w:rPr>
  </w:style>
  <w:style w:type="paragraph" w:customStyle="1" w:styleId="xl101">
    <w:name w:val="xl101"/>
    <w:basedOn w:val="Normal"/>
    <w:rsid w:val="00B04AB6"/>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top"/>
    </w:pPr>
    <w:rPr>
      <w:rFonts w:ascii="Times New Roman" w:hAnsi="Times New Roman"/>
      <w:sz w:val="18"/>
      <w:szCs w:val="18"/>
    </w:rPr>
  </w:style>
  <w:style w:type="paragraph" w:customStyle="1" w:styleId="xl102">
    <w:name w:val="xl102"/>
    <w:basedOn w:val="Normal"/>
    <w:rsid w:val="00B04AB6"/>
    <w:pPr>
      <w:spacing w:before="100" w:beforeAutospacing="1" w:after="100" w:afterAutospacing="1"/>
      <w:textAlignment w:val="top"/>
    </w:pPr>
    <w:rPr>
      <w:rFonts w:ascii="Times New Roman" w:hAnsi="Times New Roman"/>
      <w:b/>
      <w:bCs/>
      <w:sz w:val="18"/>
      <w:szCs w:val="18"/>
    </w:rPr>
  </w:style>
  <w:style w:type="paragraph" w:customStyle="1" w:styleId="xl103">
    <w:name w:val="xl103"/>
    <w:basedOn w:val="Normal"/>
    <w:rsid w:val="00B04AB6"/>
    <w:pPr>
      <w:shd w:val="clear" w:color="000000" w:fill="D9D9D9"/>
      <w:spacing w:before="100" w:beforeAutospacing="1" w:after="100" w:afterAutospacing="1"/>
      <w:jc w:val="center"/>
      <w:textAlignment w:val="top"/>
    </w:pPr>
    <w:rPr>
      <w:rFonts w:ascii="Times New Roman" w:hAnsi="Times New Roman"/>
      <w:sz w:val="18"/>
      <w:szCs w:val="18"/>
    </w:rPr>
  </w:style>
  <w:style w:type="paragraph" w:customStyle="1" w:styleId="xl104">
    <w:name w:val="xl104"/>
    <w:basedOn w:val="Normal"/>
    <w:rsid w:val="00B04AB6"/>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top"/>
    </w:pPr>
    <w:rPr>
      <w:rFonts w:ascii="Times New Roman" w:hAnsi="Times New Roman"/>
      <w:sz w:val="18"/>
      <w:szCs w:val="18"/>
    </w:rPr>
  </w:style>
  <w:style w:type="paragraph" w:customStyle="1" w:styleId="xl105">
    <w:name w:val="xl105"/>
    <w:basedOn w:val="Normal"/>
    <w:rsid w:val="00B04AB6"/>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jc w:val="center"/>
      <w:textAlignment w:val="top"/>
    </w:pPr>
    <w:rPr>
      <w:rFonts w:ascii="Times New Roman" w:hAnsi="Times New Roman"/>
      <w:sz w:val="18"/>
      <w:szCs w:val="18"/>
    </w:rPr>
  </w:style>
  <w:style w:type="paragraph" w:customStyle="1" w:styleId="xl106">
    <w:name w:val="xl106"/>
    <w:basedOn w:val="Normal"/>
    <w:rsid w:val="00B04AB6"/>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107">
    <w:name w:val="xl107"/>
    <w:basedOn w:val="Normal"/>
    <w:rsid w:val="00B04AB6"/>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textAlignment w:val="top"/>
    </w:pPr>
    <w:rPr>
      <w:rFonts w:ascii="Times New Roman" w:hAnsi="Times New Roman"/>
      <w:i/>
      <w:iCs/>
      <w:sz w:val="18"/>
      <w:szCs w:val="18"/>
    </w:rPr>
  </w:style>
  <w:style w:type="paragraph" w:customStyle="1" w:styleId="xl108">
    <w:name w:val="xl108"/>
    <w:basedOn w:val="Normal"/>
    <w:rsid w:val="00B04AB6"/>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109">
    <w:name w:val="xl109"/>
    <w:basedOn w:val="Normal"/>
    <w:rsid w:val="00B04AB6"/>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110">
    <w:name w:val="xl110"/>
    <w:basedOn w:val="Normal"/>
    <w:rsid w:val="00B04AB6"/>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111">
    <w:name w:val="xl111"/>
    <w:basedOn w:val="Normal"/>
    <w:rsid w:val="00B04AB6"/>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112">
    <w:name w:val="xl112"/>
    <w:basedOn w:val="Normal"/>
    <w:rsid w:val="00B04AB6"/>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113">
    <w:name w:val="xl113"/>
    <w:basedOn w:val="Normal"/>
    <w:rsid w:val="00B04AB6"/>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114">
    <w:name w:val="xl114"/>
    <w:basedOn w:val="Normal"/>
    <w:rsid w:val="00B04AB6"/>
    <w:pPr>
      <w:shd w:val="clear" w:color="000000" w:fill="FFFFFF"/>
      <w:spacing w:before="100" w:beforeAutospacing="1" w:after="100" w:afterAutospacing="1"/>
      <w:textAlignment w:val="top"/>
    </w:pPr>
    <w:rPr>
      <w:rFonts w:ascii="Times New Roman" w:hAnsi="Times New Roman"/>
      <w:sz w:val="18"/>
      <w:szCs w:val="18"/>
    </w:rPr>
  </w:style>
  <w:style w:type="paragraph" w:customStyle="1" w:styleId="Tabletext">
    <w:name w:val="Table text"/>
    <w:basedOn w:val="Normal"/>
    <w:qFormat/>
    <w:rsid w:val="00B04AB6"/>
    <w:pPr>
      <w:spacing w:before="40" w:after="0" w:line="276" w:lineRule="auto"/>
    </w:pPr>
  </w:style>
  <w:style w:type="paragraph" w:customStyle="1" w:styleId="Tableheader0">
    <w:name w:val="Table header"/>
    <w:basedOn w:val="Tabletext"/>
    <w:next w:val="Tabletext"/>
    <w:qFormat/>
    <w:rsid w:val="00B04AB6"/>
    <w:pPr>
      <w:spacing w:line="240" w:lineRule="auto"/>
    </w:pPr>
    <w:rPr>
      <w:b/>
      <w:bCs/>
    </w:rPr>
  </w:style>
  <w:style w:type="paragraph" w:customStyle="1" w:styleId="TableHeader1">
    <w:name w:val="TableHeader"/>
    <w:basedOn w:val="Caption"/>
    <w:link w:val="TableHeaderChar"/>
    <w:qFormat/>
    <w:rsid w:val="00B04AB6"/>
    <w:rPr>
      <w:rFonts w:ascii="Century Gothic" w:hAnsi="Century Gothic"/>
      <w:szCs w:val="24"/>
    </w:rPr>
  </w:style>
  <w:style w:type="character" w:customStyle="1" w:styleId="TableHeaderChar">
    <w:name w:val="TableHeader Char"/>
    <w:basedOn w:val="DefaultParagraphFont"/>
    <w:link w:val="TableHeader1"/>
    <w:rsid w:val="00B04AB6"/>
    <w:rPr>
      <w:rFonts w:ascii="Century Gothic" w:hAnsi="Century Gothic" w:cs="Times New Roman"/>
      <w:b/>
      <w:bCs/>
      <w:sz w:val="24"/>
      <w:szCs w:val="24"/>
    </w:rPr>
  </w:style>
  <w:style w:type="paragraph" w:customStyle="1" w:styleId="AttachmentTable">
    <w:name w:val="Attachment Table"/>
    <w:basedOn w:val="AttachmentNormal"/>
    <w:qFormat/>
    <w:rsid w:val="007A2562"/>
    <w:pPr>
      <w:keepLines/>
      <w:spacing w:after="0"/>
    </w:pPr>
    <w:rPr>
      <w:rFonts w:cs="Calibri"/>
      <w:color w:val="000000"/>
      <w:sz w:val="22"/>
      <w:szCs w:val="24"/>
    </w:rPr>
  </w:style>
  <w:style w:type="character" w:customStyle="1" w:styleId="font231">
    <w:name w:val="font231"/>
    <w:basedOn w:val="DefaultParagraphFont"/>
    <w:rsid w:val="0018607D"/>
    <w:rPr>
      <w:rFonts w:ascii="Garamond" w:hAnsi="Garamond" w:hint="default"/>
      <w:b w:val="0"/>
      <w:bCs w:val="0"/>
      <w:i w:val="0"/>
      <w:iCs w:val="0"/>
      <w:strike w:val="0"/>
      <w:dstrike w:val="0"/>
      <w:color w:val="000000"/>
      <w:sz w:val="18"/>
      <w:szCs w:val="18"/>
      <w:u w:val="none"/>
      <w:effect w:val="none"/>
    </w:rPr>
  </w:style>
  <w:style w:type="paragraph" w:styleId="BodyText">
    <w:name w:val="Body Text"/>
    <w:basedOn w:val="Normal"/>
    <w:link w:val="BodyTextChar"/>
    <w:qFormat/>
    <w:rsid w:val="0018607D"/>
    <w:pPr>
      <w:spacing w:before="40" w:after="140" w:line="280" w:lineRule="atLeast"/>
    </w:pPr>
    <w:rPr>
      <w:rFonts w:ascii="Verdana" w:eastAsiaTheme="minorEastAsia" w:hAnsi="Verdana" w:cs="Verdana"/>
      <w:sz w:val="18"/>
      <w:szCs w:val="18"/>
      <w:lang w:eastAsia="zh-CN"/>
    </w:rPr>
  </w:style>
  <w:style w:type="character" w:customStyle="1" w:styleId="BodyTextChar">
    <w:name w:val="Body Text Char"/>
    <w:basedOn w:val="DefaultParagraphFont"/>
    <w:link w:val="BodyText"/>
    <w:rsid w:val="0018607D"/>
    <w:rPr>
      <w:rFonts w:ascii="Verdana" w:eastAsiaTheme="minorEastAsia" w:hAnsi="Verdana" w:cs="Verdana"/>
      <w:sz w:val="18"/>
      <w:szCs w:val="18"/>
      <w:lang w:eastAsia="zh-CN"/>
    </w:rPr>
  </w:style>
  <w:style w:type="paragraph" w:customStyle="1" w:styleId="DNVBulletLevel1">
    <w:name w:val="DNV Bullet Level 1"/>
    <w:basedOn w:val="Normal"/>
    <w:link w:val="DNVBulletLevel1Char"/>
    <w:qFormat/>
    <w:rsid w:val="0018607D"/>
    <w:pPr>
      <w:spacing w:before="40" w:after="140" w:line="280" w:lineRule="atLeast"/>
      <w:contextualSpacing/>
    </w:pPr>
    <w:rPr>
      <w:rFonts w:ascii="Verdana" w:eastAsiaTheme="minorHAnsi" w:hAnsi="Verdana" w:cstheme="minorBidi"/>
      <w:sz w:val="18"/>
      <w:szCs w:val="18"/>
    </w:rPr>
  </w:style>
  <w:style w:type="character" w:customStyle="1" w:styleId="DNVBulletLevel1Char">
    <w:name w:val="DNV Bullet Level 1 Char"/>
    <w:basedOn w:val="DefaultParagraphFont"/>
    <w:link w:val="DNVBulletLevel1"/>
    <w:rsid w:val="0018607D"/>
    <w:rPr>
      <w:rFonts w:ascii="Verdana" w:eastAsiaTheme="minorHAnsi" w:hAnsi="Verdana" w:cstheme="minorBidi"/>
      <w:sz w:val="18"/>
      <w:szCs w:val="18"/>
    </w:rPr>
  </w:style>
  <w:style w:type="paragraph" w:customStyle="1" w:styleId="DNVfootnote">
    <w:name w:val="DNV footnote"/>
    <w:basedOn w:val="FootnoteText"/>
    <w:link w:val="DNVfootnoteChar"/>
    <w:qFormat/>
    <w:rsid w:val="0018607D"/>
    <w:pPr>
      <w:keepNext/>
      <w:keepLines/>
      <w:widowControl w:val="0"/>
      <w:ind w:left="0" w:firstLine="0"/>
    </w:pPr>
    <w:rPr>
      <w:rFonts w:ascii="Verdana" w:eastAsiaTheme="minorHAnsi" w:hAnsi="Verdana" w:cstheme="minorBidi"/>
      <w:sz w:val="16"/>
      <w:szCs w:val="16"/>
    </w:rPr>
  </w:style>
  <w:style w:type="character" w:customStyle="1" w:styleId="DNVfootnoteChar">
    <w:name w:val="DNV footnote Char"/>
    <w:basedOn w:val="DefaultParagraphFont"/>
    <w:link w:val="DNVfootnote"/>
    <w:rsid w:val="0018607D"/>
    <w:rPr>
      <w:rFonts w:ascii="Verdana" w:eastAsiaTheme="minorHAnsi" w:hAnsi="Verdana" w:cstheme="minorBidi"/>
      <w:sz w:val="16"/>
      <w:szCs w:val="16"/>
    </w:rPr>
  </w:style>
  <w:style w:type="character" w:styleId="Mention">
    <w:name w:val="Mention"/>
    <w:basedOn w:val="DefaultParagraphFont"/>
    <w:uiPriority w:val="99"/>
    <w:unhideWhenUsed/>
    <w:rsid w:val="00D83BBC"/>
    <w:rPr>
      <w:color w:val="2B579A"/>
      <w:shd w:val="clear" w:color="auto" w:fill="E1DFDD"/>
    </w:rPr>
  </w:style>
  <w:style w:type="paragraph" w:customStyle="1" w:styleId="NormalinTable">
    <w:name w:val="Normal in Table"/>
    <w:basedOn w:val="Normal"/>
    <w:qFormat/>
    <w:rsid w:val="00F3742A"/>
    <w:pPr>
      <w:autoSpaceDE w:val="0"/>
      <w:autoSpaceDN w:val="0"/>
      <w:adjustRightInd w:val="0"/>
      <w:spacing w:after="0"/>
      <w:contextualSpacing/>
    </w:pPr>
    <w:rPr>
      <w:rFonts w:asciiTheme="minorHAnsi" w:eastAsiaTheme="minorHAnsi" w:hAnsiTheme="minorHAnsi" w:cstheme="minorBidi"/>
    </w:rPr>
  </w:style>
  <w:style w:type="paragraph" w:customStyle="1" w:styleId="BulletListinTable">
    <w:name w:val="BulletListinTable"/>
    <w:basedOn w:val="NormalinTable"/>
    <w:qFormat/>
    <w:rsid w:val="001C19D7"/>
    <w:pPr>
      <w:numPr>
        <w:numId w:val="6"/>
      </w:numPr>
    </w:pPr>
  </w:style>
  <w:style w:type="paragraph" w:customStyle="1" w:styleId="ListBullet2">
    <w:name w:val="List Bullet2"/>
    <w:basedOn w:val="Normal"/>
    <w:rsid w:val="00E86188"/>
    <w:pPr>
      <w:numPr>
        <w:numId w:val="7"/>
      </w:numPr>
      <w:spacing w:before="240" w:after="60" w:line="276" w:lineRule="auto"/>
      <w:contextualSpacing/>
    </w:pPr>
    <w:rPr>
      <w:rFonts w:eastAsiaTheme="minorHAnsi" w:cstheme="minorBidi"/>
    </w:rPr>
  </w:style>
  <w:style w:type="paragraph" w:customStyle="1" w:styleId="NormalinTableHanging">
    <w:name w:val="NormalinTable_Hanging"/>
    <w:basedOn w:val="NormalinTable"/>
    <w:qFormat/>
    <w:rsid w:val="00AB32DD"/>
    <w:pPr>
      <w:ind w:left="216" w:hanging="216"/>
    </w:pPr>
  </w:style>
  <w:style w:type="paragraph" w:customStyle="1" w:styleId="DNVGL-Bullet1">
    <w:name w:val="DNVGL-Bullet 1"/>
    <w:basedOn w:val="Normal"/>
    <w:link w:val="DNVGL-Bullet1Char"/>
    <w:rsid w:val="006931F2"/>
    <w:pPr>
      <w:numPr>
        <w:numId w:val="8"/>
      </w:numPr>
      <w:spacing w:before="40" w:after="140" w:line="280" w:lineRule="atLeast"/>
      <w:contextualSpacing/>
    </w:pPr>
    <w:rPr>
      <w:rFonts w:ascii="Garamond" w:eastAsiaTheme="minorHAnsi" w:hAnsi="Garamond" w:cstheme="minorBidi"/>
    </w:rPr>
  </w:style>
  <w:style w:type="character" w:customStyle="1" w:styleId="DNVGL-Bullet1Char">
    <w:name w:val="DNVGL-Bullet 1 Char"/>
    <w:basedOn w:val="DefaultParagraphFont"/>
    <w:link w:val="DNVGL-Bullet1"/>
    <w:rsid w:val="006931F2"/>
    <w:rPr>
      <w:rFonts w:ascii="Garamond" w:eastAsiaTheme="minorHAnsi" w:hAnsi="Garamond" w:cstheme="minorBidi"/>
      <w:sz w:val="24"/>
    </w:rPr>
  </w:style>
  <w:style w:type="paragraph" w:customStyle="1" w:styleId="xmsobodytext2">
    <w:name w:val="x_msobodytext2"/>
    <w:basedOn w:val="Normal"/>
    <w:rsid w:val="006931F2"/>
    <w:pPr>
      <w:spacing w:line="276" w:lineRule="auto"/>
      <w:ind w:left="360"/>
    </w:pPr>
    <w:rPr>
      <w:rFonts w:ascii="Calisto MT" w:eastAsiaTheme="minorHAnsi" w:hAnsi="Calisto MT" w:cs="Calibri"/>
      <w:sz w:val="23"/>
      <w:szCs w:val="23"/>
    </w:rPr>
  </w:style>
  <w:style w:type="paragraph" w:customStyle="1" w:styleId="xmsonormal">
    <w:name w:val="x_msonormal"/>
    <w:basedOn w:val="Normal"/>
    <w:rsid w:val="006931F2"/>
    <w:pPr>
      <w:spacing w:before="100" w:beforeAutospacing="1" w:after="100" w:afterAutospacing="1"/>
    </w:pPr>
    <w:rPr>
      <w:rFonts w:ascii="Times New Roman" w:hAnsi="Times New Roman"/>
      <w:szCs w:val="24"/>
    </w:rPr>
  </w:style>
  <w:style w:type="character" w:customStyle="1" w:styleId="xmsofootnotereference">
    <w:name w:val="x_msofootnotereference"/>
    <w:basedOn w:val="DefaultParagraphFont"/>
    <w:rsid w:val="006931F2"/>
  </w:style>
  <w:style w:type="paragraph" w:customStyle="1" w:styleId="xmsocaption">
    <w:name w:val="x_msocaption"/>
    <w:basedOn w:val="Normal"/>
    <w:rsid w:val="006931F2"/>
    <w:pPr>
      <w:spacing w:before="100" w:beforeAutospacing="1" w:after="100" w:afterAutospacing="1"/>
    </w:pPr>
    <w:rPr>
      <w:rFonts w:ascii="Times New Roman" w:hAnsi="Times New Roman"/>
      <w:szCs w:val="24"/>
    </w:rPr>
  </w:style>
  <w:style w:type="paragraph" w:customStyle="1" w:styleId="xtableheader">
    <w:name w:val="x_tableheader"/>
    <w:basedOn w:val="Normal"/>
    <w:rsid w:val="006931F2"/>
    <w:pPr>
      <w:spacing w:before="100" w:beforeAutospacing="1" w:after="100" w:afterAutospacing="1"/>
    </w:pPr>
    <w:rPr>
      <w:rFonts w:ascii="Times New Roman" w:hAnsi="Times New Roman"/>
      <w:szCs w:val="24"/>
    </w:rPr>
  </w:style>
  <w:style w:type="paragraph" w:customStyle="1" w:styleId="xtablelist">
    <w:name w:val="x_tablelist"/>
    <w:basedOn w:val="Normal"/>
    <w:rsid w:val="006931F2"/>
    <w:pPr>
      <w:spacing w:before="100" w:beforeAutospacing="1" w:after="100" w:afterAutospacing="1"/>
    </w:pPr>
    <w:rPr>
      <w:rFonts w:ascii="Times New Roman" w:hAnsi="Times New Roman"/>
      <w:szCs w:val="24"/>
    </w:rPr>
  </w:style>
  <w:style w:type="paragraph" w:customStyle="1" w:styleId="AppendixHeading1">
    <w:name w:val="Appendix Heading 1"/>
    <w:basedOn w:val="Heading1"/>
    <w:link w:val="AppendixHeading1Char"/>
    <w:qFormat/>
    <w:rsid w:val="002334FE"/>
    <w:pPr>
      <w:keepLines w:val="0"/>
      <w:pageBreakBefore/>
      <w:widowControl w:val="0"/>
      <w:numPr>
        <w:numId w:val="9"/>
      </w:numPr>
      <w:spacing w:before="0" w:after="80"/>
      <w:ind w:left="360"/>
    </w:pPr>
    <w:rPr>
      <w:rFonts w:ascii="Garamond" w:hAnsi="Garamond" w:cstheme="majorBidi"/>
      <w:b w:val="0"/>
      <w:sz w:val="32"/>
      <w:szCs w:val="32"/>
    </w:rPr>
  </w:style>
  <w:style w:type="paragraph" w:customStyle="1" w:styleId="AppendixHeading2">
    <w:name w:val="Appendix Heading 2"/>
    <w:basedOn w:val="Heading2"/>
    <w:link w:val="AppendixHeading2Char"/>
    <w:qFormat/>
    <w:rsid w:val="00427558"/>
    <w:pPr>
      <w:keepLines w:val="0"/>
      <w:tabs>
        <w:tab w:val="clear" w:pos="360"/>
      </w:tabs>
      <w:spacing w:before="300"/>
    </w:pPr>
    <w:rPr>
      <w:rFonts w:ascii="Garamond" w:hAnsi="Garamond" w:cstheme="majorBidi"/>
      <w:b w:val="0"/>
      <w:sz w:val="28"/>
      <w:szCs w:val="20"/>
    </w:rPr>
  </w:style>
  <w:style w:type="character" w:customStyle="1" w:styleId="AppendixHeading1Char">
    <w:name w:val="Appendix Heading 1 Char"/>
    <w:basedOn w:val="DefaultParagraphFont"/>
    <w:link w:val="AppendixHeading1"/>
    <w:rsid w:val="006931F2"/>
    <w:rPr>
      <w:rFonts w:ascii="Garamond" w:eastAsiaTheme="majorEastAsia" w:hAnsi="Garamond" w:cstheme="majorBidi"/>
      <w:bCs/>
      <w:sz w:val="32"/>
      <w:szCs w:val="32"/>
      <w:u w:val="single"/>
    </w:rPr>
  </w:style>
  <w:style w:type="character" w:customStyle="1" w:styleId="AppendixHeading2Char">
    <w:name w:val="Appendix Heading 2 Char"/>
    <w:basedOn w:val="Heading2Char"/>
    <w:link w:val="AppendixHeading2"/>
    <w:rsid w:val="006931F2"/>
    <w:rPr>
      <w:rFonts w:ascii="Garamond" w:eastAsiaTheme="majorEastAsia" w:hAnsi="Garamond" w:cstheme="majorBidi"/>
      <w:b w:val="0"/>
      <w:bCs/>
      <w:sz w:val="28"/>
      <w:szCs w:val="20"/>
      <w:u w:val="single"/>
    </w:rPr>
  </w:style>
  <w:style w:type="table" w:styleId="LightList-Accent3">
    <w:name w:val="Light List Accent 3"/>
    <w:basedOn w:val="TableNormal"/>
    <w:uiPriority w:val="99"/>
    <w:unhideWhenUsed/>
    <w:rsid w:val="003A59A0"/>
    <w:pPr>
      <w:spacing w:after="0" w:line="240" w:lineRule="auto"/>
    </w:pPr>
    <w:rPr>
      <w:rFonts w:eastAsiaTheme="minorEastAsia" w:cstheme="minorBidi"/>
      <w:lang w:eastAsia="zh-CN"/>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4" w:type="dxa"/>
        <w:bottom w:w="14" w:type="dxa"/>
      </w:tblCellMar>
    </w:tblPr>
    <w:trPr>
      <w:cantSplit/>
    </w:trPr>
    <w:tcPr>
      <w:shd w:val="clear" w:color="auto" w:fill="auto"/>
    </w:tcPr>
    <w:tblStylePr w:type="firstRow">
      <w:pPr>
        <w:spacing w:before="0" w:after="0" w:line="240" w:lineRule="auto"/>
      </w:pPr>
      <w:rPr>
        <w:b/>
        <w:bCs/>
        <w:color w:val="FFFFFF" w:themeColor="background1"/>
      </w:rPr>
      <w:tblPr/>
      <w:tcPr>
        <w:shd w:val="clear" w:color="auto" w:fill="1F497D" w:themeFill="text2"/>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paragraph" w:customStyle="1" w:styleId="DNVGL-TableHeadingText">
    <w:name w:val="DNVGL-TableHeadingText"/>
    <w:basedOn w:val="Normal"/>
    <w:link w:val="DNVGL-TableHeadingTextChar"/>
    <w:uiPriority w:val="99"/>
    <w:rsid w:val="005A146E"/>
    <w:pPr>
      <w:keepNext/>
      <w:keepLines/>
      <w:spacing w:before="20" w:after="20"/>
    </w:pPr>
    <w:rPr>
      <w:rFonts w:ascii="Arial" w:eastAsiaTheme="minorEastAsia" w:hAnsi="Arial" w:cs="Arial"/>
      <w:b/>
      <w:sz w:val="18"/>
      <w:szCs w:val="18"/>
      <w:lang w:val="en-GB" w:eastAsia="zh-CN"/>
    </w:rPr>
  </w:style>
  <w:style w:type="character" w:customStyle="1" w:styleId="DNVGL-TableHeadingTextChar">
    <w:name w:val="DNVGL-TableHeadingText Char"/>
    <w:basedOn w:val="DefaultParagraphFont"/>
    <w:link w:val="DNVGL-TableHeadingText"/>
    <w:uiPriority w:val="99"/>
    <w:rsid w:val="005A146E"/>
    <w:rPr>
      <w:rFonts w:ascii="Arial" w:eastAsiaTheme="minorEastAsia" w:hAnsi="Arial" w:cs="Arial"/>
      <w:b/>
      <w:sz w:val="18"/>
      <w:szCs w:val="18"/>
      <w:lang w:val="en-GB" w:eastAsia="zh-CN"/>
    </w:rPr>
  </w:style>
  <w:style w:type="table" w:customStyle="1" w:styleId="DNVNiceStyle">
    <w:name w:val="DNV Nice Style"/>
    <w:basedOn w:val="TableNormal"/>
    <w:uiPriority w:val="99"/>
    <w:rsid w:val="005A146E"/>
    <w:pPr>
      <w:spacing w:after="0" w:line="240" w:lineRule="auto"/>
    </w:pPr>
    <w:rPr>
      <w:rFonts w:ascii="Arial" w:eastAsiaTheme="minorEastAsia" w:hAnsi="Arial" w:cstheme="minorBidi"/>
      <w:sz w:val="18"/>
      <w:lang w:eastAsia="zh-CN"/>
    </w:rPr>
    <w:tblPr>
      <w:tblStyleRowBandSize w:val="1"/>
      <w:tblBorders>
        <w:insideV w:val="single" w:sz="4" w:space="0" w:color="FFFFFF" w:themeColor="background1"/>
      </w:tblBorders>
    </w:tblPr>
    <w:tcPr>
      <w:shd w:val="clear" w:color="auto" w:fill="auto"/>
      <w:vAlign w:val="bottom"/>
    </w:tcPr>
    <w:tblStylePr w:type="firstRow">
      <w:pPr>
        <w:jc w:val="center"/>
      </w:pPr>
      <w:rPr>
        <w:rFonts w:ascii="Arial" w:hAnsi="Arial"/>
        <w:b/>
        <w:color w:val="FFFFFF" w:themeColor="background1"/>
        <w:sz w:val="18"/>
      </w:rPr>
      <w:tblPr/>
      <w:tcPr>
        <w:tcBorders>
          <w:insideV w:val="single" w:sz="4" w:space="0" w:color="FFFFFF" w:themeColor="background1"/>
        </w:tcBorders>
        <w:shd w:val="clear" w:color="auto" w:fill="1F497D" w:themeFill="text2"/>
      </w:tcPr>
    </w:tblStylePr>
    <w:tblStylePr w:type="firstCol">
      <w:pPr>
        <w:jc w:val="left"/>
      </w:pPr>
      <w:rPr>
        <w:rFonts w:ascii="Arial" w:hAnsi="Arial"/>
        <w:b/>
        <w:sz w:val="18"/>
      </w:rPr>
    </w:tblStylePr>
    <w:tblStylePr w:type="band1Horz">
      <w:pPr>
        <w:jc w:val="left"/>
      </w:pPr>
      <w:rPr>
        <w:rFonts w:ascii="Arial" w:hAnsi="Arial"/>
        <w:sz w:val="18"/>
      </w:rPr>
      <w:tblPr/>
      <w:tcPr>
        <w:shd w:val="clear" w:color="auto" w:fill="F2F2F2" w:themeFill="background1" w:themeFillShade="F2"/>
      </w:tcPr>
    </w:tblStylePr>
    <w:tblStylePr w:type="band2Horz">
      <w:pPr>
        <w:jc w:val="left"/>
      </w:pPr>
      <w:rPr>
        <w:rFonts w:ascii="Arial" w:hAnsi="Arial"/>
        <w:sz w:val="18"/>
      </w:rPr>
      <w:tblPr/>
      <w:tcPr>
        <w:shd w:val="clear" w:color="auto" w:fill="FFFFFF" w:themeFill="background1"/>
      </w:tcPr>
    </w:tblStylePr>
    <w:tblStylePr w:type="nwCell">
      <w:pPr>
        <w:jc w:val="left"/>
      </w:pPr>
      <w:rPr>
        <w:rFonts w:ascii="Arial" w:hAnsi="Arial"/>
        <w:b/>
        <w:color w:val="FFFFFF" w:themeColor="background1"/>
        <w:sz w:val="18"/>
      </w:rPr>
      <w:tblPr/>
      <w:tcPr>
        <w:shd w:val="clear" w:color="auto" w:fill="1F497D" w:themeFill="text2"/>
      </w:tcPr>
    </w:tblStylePr>
  </w:style>
  <w:style w:type="paragraph" w:customStyle="1" w:styleId="FootnoteHyperlink">
    <w:name w:val="Footnote Hyperlink"/>
    <w:basedOn w:val="FootnoteText"/>
    <w:qFormat/>
    <w:rsid w:val="00AD5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95404">
      <w:bodyDiv w:val="1"/>
      <w:marLeft w:val="0"/>
      <w:marRight w:val="0"/>
      <w:marTop w:val="0"/>
      <w:marBottom w:val="0"/>
      <w:divBdr>
        <w:top w:val="none" w:sz="0" w:space="0" w:color="auto"/>
        <w:left w:val="none" w:sz="0" w:space="0" w:color="auto"/>
        <w:bottom w:val="none" w:sz="0" w:space="0" w:color="auto"/>
        <w:right w:val="none" w:sz="0" w:space="0" w:color="auto"/>
      </w:divBdr>
    </w:div>
    <w:div w:id="43795640">
      <w:bodyDiv w:val="1"/>
      <w:marLeft w:val="0"/>
      <w:marRight w:val="0"/>
      <w:marTop w:val="0"/>
      <w:marBottom w:val="0"/>
      <w:divBdr>
        <w:top w:val="none" w:sz="0" w:space="0" w:color="auto"/>
        <w:left w:val="none" w:sz="0" w:space="0" w:color="auto"/>
        <w:bottom w:val="none" w:sz="0" w:space="0" w:color="auto"/>
        <w:right w:val="none" w:sz="0" w:space="0" w:color="auto"/>
      </w:divBdr>
    </w:div>
    <w:div w:id="69080199">
      <w:bodyDiv w:val="1"/>
      <w:marLeft w:val="0"/>
      <w:marRight w:val="0"/>
      <w:marTop w:val="0"/>
      <w:marBottom w:val="0"/>
      <w:divBdr>
        <w:top w:val="none" w:sz="0" w:space="0" w:color="auto"/>
        <w:left w:val="none" w:sz="0" w:space="0" w:color="auto"/>
        <w:bottom w:val="none" w:sz="0" w:space="0" w:color="auto"/>
        <w:right w:val="none" w:sz="0" w:space="0" w:color="auto"/>
      </w:divBdr>
    </w:div>
    <w:div w:id="84960750">
      <w:bodyDiv w:val="1"/>
      <w:marLeft w:val="0"/>
      <w:marRight w:val="0"/>
      <w:marTop w:val="0"/>
      <w:marBottom w:val="0"/>
      <w:divBdr>
        <w:top w:val="none" w:sz="0" w:space="0" w:color="auto"/>
        <w:left w:val="none" w:sz="0" w:space="0" w:color="auto"/>
        <w:bottom w:val="none" w:sz="0" w:space="0" w:color="auto"/>
        <w:right w:val="none" w:sz="0" w:space="0" w:color="auto"/>
      </w:divBdr>
      <w:divsChild>
        <w:div w:id="1325620691">
          <w:marLeft w:val="0"/>
          <w:marRight w:val="0"/>
          <w:marTop w:val="0"/>
          <w:marBottom w:val="0"/>
          <w:divBdr>
            <w:top w:val="none" w:sz="0" w:space="0" w:color="auto"/>
            <w:left w:val="none" w:sz="0" w:space="0" w:color="auto"/>
            <w:bottom w:val="none" w:sz="0" w:space="0" w:color="auto"/>
            <w:right w:val="none" w:sz="0" w:space="0" w:color="auto"/>
          </w:divBdr>
        </w:div>
      </w:divsChild>
    </w:div>
    <w:div w:id="95249839">
      <w:bodyDiv w:val="1"/>
      <w:marLeft w:val="0"/>
      <w:marRight w:val="0"/>
      <w:marTop w:val="0"/>
      <w:marBottom w:val="0"/>
      <w:divBdr>
        <w:top w:val="none" w:sz="0" w:space="0" w:color="auto"/>
        <w:left w:val="none" w:sz="0" w:space="0" w:color="auto"/>
        <w:bottom w:val="none" w:sz="0" w:space="0" w:color="auto"/>
        <w:right w:val="none" w:sz="0" w:space="0" w:color="auto"/>
      </w:divBdr>
    </w:div>
    <w:div w:id="95833517">
      <w:bodyDiv w:val="1"/>
      <w:marLeft w:val="0"/>
      <w:marRight w:val="0"/>
      <w:marTop w:val="0"/>
      <w:marBottom w:val="0"/>
      <w:divBdr>
        <w:top w:val="none" w:sz="0" w:space="0" w:color="auto"/>
        <w:left w:val="none" w:sz="0" w:space="0" w:color="auto"/>
        <w:bottom w:val="none" w:sz="0" w:space="0" w:color="auto"/>
        <w:right w:val="none" w:sz="0" w:space="0" w:color="auto"/>
      </w:divBdr>
    </w:div>
    <w:div w:id="119765684">
      <w:bodyDiv w:val="1"/>
      <w:marLeft w:val="0"/>
      <w:marRight w:val="0"/>
      <w:marTop w:val="0"/>
      <w:marBottom w:val="0"/>
      <w:divBdr>
        <w:top w:val="none" w:sz="0" w:space="0" w:color="auto"/>
        <w:left w:val="none" w:sz="0" w:space="0" w:color="auto"/>
        <w:bottom w:val="none" w:sz="0" w:space="0" w:color="auto"/>
        <w:right w:val="none" w:sz="0" w:space="0" w:color="auto"/>
      </w:divBdr>
      <w:divsChild>
        <w:div w:id="1486431628">
          <w:marLeft w:val="0"/>
          <w:marRight w:val="0"/>
          <w:marTop w:val="0"/>
          <w:marBottom w:val="0"/>
          <w:divBdr>
            <w:top w:val="none" w:sz="0" w:space="0" w:color="auto"/>
            <w:left w:val="none" w:sz="0" w:space="0" w:color="auto"/>
            <w:bottom w:val="none" w:sz="0" w:space="0" w:color="auto"/>
            <w:right w:val="none" w:sz="0" w:space="0" w:color="auto"/>
          </w:divBdr>
        </w:div>
      </w:divsChild>
    </w:div>
    <w:div w:id="124587595">
      <w:bodyDiv w:val="1"/>
      <w:marLeft w:val="0"/>
      <w:marRight w:val="0"/>
      <w:marTop w:val="0"/>
      <w:marBottom w:val="0"/>
      <w:divBdr>
        <w:top w:val="none" w:sz="0" w:space="0" w:color="auto"/>
        <w:left w:val="none" w:sz="0" w:space="0" w:color="auto"/>
        <w:bottom w:val="none" w:sz="0" w:space="0" w:color="auto"/>
        <w:right w:val="none" w:sz="0" w:space="0" w:color="auto"/>
      </w:divBdr>
      <w:divsChild>
        <w:div w:id="1365981602">
          <w:marLeft w:val="0"/>
          <w:marRight w:val="0"/>
          <w:marTop w:val="0"/>
          <w:marBottom w:val="0"/>
          <w:divBdr>
            <w:top w:val="none" w:sz="0" w:space="0" w:color="auto"/>
            <w:left w:val="none" w:sz="0" w:space="0" w:color="auto"/>
            <w:bottom w:val="none" w:sz="0" w:space="0" w:color="auto"/>
            <w:right w:val="none" w:sz="0" w:space="0" w:color="auto"/>
          </w:divBdr>
        </w:div>
      </w:divsChild>
    </w:div>
    <w:div w:id="144323512">
      <w:bodyDiv w:val="1"/>
      <w:marLeft w:val="0"/>
      <w:marRight w:val="0"/>
      <w:marTop w:val="0"/>
      <w:marBottom w:val="0"/>
      <w:divBdr>
        <w:top w:val="none" w:sz="0" w:space="0" w:color="auto"/>
        <w:left w:val="none" w:sz="0" w:space="0" w:color="auto"/>
        <w:bottom w:val="none" w:sz="0" w:space="0" w:color="auto"/>
        <w:right w:val="none" w:sz="0" w:space="0" w:color="auto"/>
      </w:divBdr>
      <w:divsChild>
        <w:div w:id="1641619392">
          <w:marLeft w:val="0"/>
          <w:marRight w:val="0"/>
          <w:marTop w:val="0"/>
          <w:marBottom w:val="0"/>
          <w:divBdr>
            <w:top w:val="none" w:sz="0" w:space="0" w:color="auto"/>
            <w:left w:val="none" w:sz="0" w:space="0" w:color="auto"/>
            <w:bottom w:val="none" w:sz="0" w:space="0" w:color="auto"/>
            <w:right w:val="none" w:sz="0" w:space="0" w:color="auto"/>
          </w:divBdr>
        </w:div>
      </w:divsChild>
    </w:div>
    <w:div w:id="153381177">
      <w:bodyDiv w:val="1"/>
      <w:marLeft w:val="0"/>
      <w:marRight w:val="0"/>
      <w:marTop w:val="0"/>
      <w:marBottom w:val="0"/>
      <w:divBdr>
        <w:top w:val="none" w:sz="0" w:space="0" w:color="auto"/>
        <w:left w:val="none" w:sz="0" w:space="0" w:color="auto"/>
        <w:bottom w:val="none" w:sz="0" w:space="0" w:color="auto"/>
        <w:right w:val="none" w:sz="0" w:space="0" w:color="auto"/>
      </w:divBdr>
    </w:div>
    <w:div w:id="189537326">
      <w:bodyDiv w:val="1"/>
      <w:marLeft w:val="0"/>
      <w:marRight w:val="0"/>
      <w:marTop w:val="0"/>
      <w:marBottom w:val="0"/>
      <w:divBdr>
        <w:top w:val="none" w:sz="0" w:space="0" w:color="auto"/>
        <w:left w:val="none" w:sz="0" w:space="0" w:color="auto"/>
        <w:bottom w:val="none" w:sz="0" w:space="0" w:color="auto"/>
        <w:right w:val="none" w:sz="0" w:space="0" w:color="auto"/>
      </w:divBdr>
      <w:divsChild>
        <w:div w:id="1028338725">
          <w:marLeft w:val="0"/>
          <w:marRight w:val="0"/>
          <w:marTop w:val="0"/>
          <w:marBottom w:val="0"/>
          <w:divBdr>
            <w:top w:val="none" w:sz="0" w:space="0" w:color="auto"/>
            <w:left w:val="none" w:sz="0" w:space="0" w:color="auto"/>
            <w:bottom w:val="none" w:sz="0" w:space="0" w:color="auto"/>
            <w:right w:val="none" w:sz="0" w:space="0" w:color="auto"/>
          </w:divBdr>
        </w:div>
      </w:divsChild>
    </w:div>
    <w:div w:id="223487574">
      <w:bodyDiv w:val="1"/>
      <w:marLeft w:val="0"/>
      <w:marRight w:val="0"/>
      <w:marTop w:val="0"/>
      <w:marBottom w:val="0"/>
      <w:divBdr>
        <w:top w:val="none" w:sz="0" w:space="0" w:color="auto"/>
        <w:left w:val="none" w:sz="0" w:space="0" w:color="auto"/>
        <w:bottom w:val="none" w:sz="0" w:space="0" w:color="auto"/>
        <w:right w:val="none" w:sz="0" w:space="0" w:color="auto"/>
      </w:divBdr>
      <w:divsChild>
        <w:div w:id="1978148073">
          <w:marLeft w:val="0"/>
          <w:marRight w:val="0"/>
          <w:marTop w:val="0"/>
          <w:marBottom w:val="0"/>
          <w:divBdr>
            <w:top w:val="none" w:sz="0" w:space="0" w:color="auto"/>
            <w:left w:val="none" w:sz="0" w:space="0" w:color="auto"/>
            <w:bottom w:val="none" w:sz="0" w:space="0" w:color="auto"/>
            <w:right w:val="none" w:sz="0" w:space="0" w:color="auto"/>
          </w:divBdr>
        </w:div>
      </w:divsChild>
    </w:div>
    <w:div w:id="253822464">
      <w:bodyDiv w:val="1"/>
      <w:marLeft w:val="0"/>
      <w:marRight w:val="0"/>
      <w:marTop w:val="0"/>
      <w:marBottom w:val="0"/>
      <w:divBdr>
        <w:top w:val="none" w:sz="0" w:space="0" w:color="auto"/>
        <w:left w:val="none" w:sz="0" w:space="0" w:color="auto"/>
        <w:bottom w:val="none" w:sz="0" w:space="0" w:color="auto"/>
        <w:right w:val="none" w:sz="0" w:space="0" w:color="auto"/>
      </w:divBdr>
    </w:div>
    <w:div w:id="257715730">
      <w:bodyDiv w:val="1"/>
      <w:marLeft w:val="0"/>
      <w:marRight w:val="0"/>
      <w:marTop w:val="0"/>
      <w:marBottom w:val="0"/>
      <w:divBdr>
        <w:top w:val="none" w:sz="0" w:space="0" w:color="auto"/>
        <w:left w:val="none" w:sz="0" w:space="0" w:color="auto"/>
        <w:bottom w:val="none" w:sz="0" w:space="0" w:color="auto"/>
        <w:right w:val="none" w:sz="0" w:space="0" w:color="auto"/>
      </w:divBdr>
    </w:div>
    <w:div w:id="286863304">
      <w:bodyDiv w:val="1"/>
      <w:marLeft w:val="0"/>
      <w:marRight w:val="0"/>
      <w:marTop w:val="0"/>
      <w:marBottom w:val="0"/>
      <w:divBdr>
        <w:top w:val="none" w:sz="0" w:space="0" w:color="auto"/>
        <w:left w:val="none" w:sz="0" w:space="0" w:color="auto"/>
        <w:bottom w:val="none" w:sz="0" w:space="0" w:color="auto"/>
        <w:right w:val="none" w:sz="0" w:space="0" w:color="auto"/>
      </w:divBdr>
    </w:div>
    <w:div w:id="289288202">
      <w:bodyDiv w:val="1"/>
      <w:marLeft w:val="0"/>
      <w:marRight w:val="0"/>
      <w:marTop w:val="0"/>
      <w:marBottom w:val="0"/>
      <w:divBdr>
        <w:top w:val="none" w:sz="0" w:space="0" w:color="auto"/>
        <w:left w:val="none" w:sz="0" w:space="0" w:color="auto"/>
        <w:bottom w:val="none" w:sz="0" w:space="0" w:color="auto"/>
        <w:right w:val="none" w:sz="0" w:space="0" w:color="auto"/>
      </w:divBdr>
      <w:divsChild>
        <w:div w:id="1749233341">
          <w:marLeft w:val="0"/>
          <w:marRight w:val="0"/>
          <w:marTop w:val="0"/>
          <w:marBottom w:val="0"/>
          <w:divBdr>
            <w:top w:val="none" w:sz="0" w:space="0" w:color="auto"/>
            <w:left w:val="none" w:sz="0" w:space="0" w:color="auto"/>
            <w:bottom w:val="none" w:sz="0" w:space="0" w:color="auto"/>
            <w:right w:val="none" w:sz="0" w:space="0" w:color="auto"/>
          </w:divBdr>
        </w:div>
      </w:divsChild>
    </w:div>
    <w:div w:id="291056163">
      <w:bodyDiv w:val="1"/>
      <w:marLeft w:val="0"/>
      <w:marRight w:val="0"/>
      <w:marTop w:val="0"/>
      <w:marBottom w:val="0"/>
      <w:divBdr>
        <w:top w:val="none" w:sz="0" w:space="0" w:color="auto"/>
        <w:left w:val="none" w:sz="0" w:space="0" w:color="auto"/>
        <w:bottom w:val="none" w:sz="0" w:space="0" w:color="auto"/>
        <w:right w:val="none" w:sz="0" w:space="0" w:color="auto"/>
      </w:divBdr>
      <w:divsChild>
        <w:div w:id="759176084">
          <w:marLeft w:val="0"/>
          <w:marRight w:val="0"/>
          <w:marTop w:val="0"/>
          <w:marBottom w:val="0"/>
          <w:divBdr>
            <w:top w:val="none" w:sz="0" w:space="0" w:color="auto"/>
            <w:left w:val="none" w:sz="0" w:space="0" w:color="auto"/>
            <w:bottom w:val="none" w:sz="0" w:space="0" w:color="auto"/>
            <w:right w:val="none" w:sz="0" w:space="0" w:color="auto"/>
          </w:divBdr>
        </w:div>
      </w:divsChild>
    </w:div>
    <w:div w:id="304042172">
      <w:bodyDiv w:val="1"/>
      <w:marLeft w:val="0"/>
      <w:marRight w:val="0"/>
      <w:marTop w:val="0"/>
      <w:marBottom w:val="0"/>
      <w:divBdr>
        <w:top w:val="none" w:sz="0" w:space="0" w:color="auto"/>
        <w:left w:val="none" w:sz="0" w:space="0" w:color="auto"/>
        <w:bottom w:val="none" w:sz="0" w:space="0" w:color="auto"/>
        <w:right w:val="none" w:sz="0" w:space="0" w:color="auto"/>
      </w:divBdr>
    </w:div>
    <w:div w:id="315766243">
      <w:bodyDiv w:val="1"/>
      <w:marLeft w:val="0"/>
      <w:marRight w:val="0"/>
      <w:marTop w:val="0"/>
      <w:marBottom w:val="0"/>
      <w:divBdr>
        <w:top w:val="none" w:sz="0" w:space="0" w:color="auto"/>
        <w:left w:val="none" w:sz="0" w:space="0" w:color="auto"/>
        <w:bottom w:val="none" w:sz="0" w:space="0" w:color="auto"/>
        <w:right w:val="none" w:sz="0" w:space="0" w:color="auto"/>
      </w:divBdr>
      <w:divsChild>
        <w:div w:id="1747068744">
          <w:marLeft w:val="0"/>
          <w:marRight w:val="0"/>
          <w:marTop w:val="0"/>
          <w:marBottom w:val="0"/>
          <w:divBdr>
            <w:top w:val="none" w:sz="0" w:space="0" w:color="auto"/>
            <w:left w:val="none" w:sz="0" w:space="0" w:color="auto"/>
            <w:bottom w:val="none" w:sz="0" w:space="0" w:color="auto"/>
            <w:right w:val="none" w:sz="0" w:space="0" w:color="auto"/>
          </w:divBdr>
        </w:div>
      </w:divsChild>
    </w:div>
    <w:div w:id="324549969">
      <w:bodyDiv w:val="1"/>
      <w:marLeft w:val="0"/>
      <w:marRight w:val="0"/>
      <w:marTop w:val="0"/>
      <w:marBottom w:val="0"/>
      <w:divBdr>
        <w:top w:val="none" w:sz="0" w:space="0" w:color="auto"/>
        <w:left w:val="none" w:sz="0" w:space="0" w:color="auto"/>
        <w:bottom w:val="none" w:sz="0" w:space="0" w:color="auto"/>
        <w:right w:val="none" w:sz="0" w:space="0" w:color="auto"/>
      </w:divBdr>
    </w:div>
    <w:div w:id="346759104">
      <w:bodyDiv w:val="1"/>
      <w:marLeft w:val="0"/>
      <w:marRight w:val="0"/>
      <w:marTop w:val="0"/>
      <w:marBottom w:val="0"/>
      <w:divBdr>
        <w:top w:val="none" w:sz="0" w:space="0" w:color="auto"/>
        <w:left w:val="none" w:sz="0" w:space="0" w:color="auto"/>
        <w:bottom w:val="none" w:sz="0" w:space="0" w:color="auto"/>
        <w:right w:val="none" w:sz="0" w:space="0" w:color="auto"/>
      </w:divBdr>
      <w:divsChild>
        <w:div w:id="16274061">
          <w:marLeft w:val="0"/>
          <w:marRight w:val="0"/>
          <w:marTop w:val="0"/>
          <w:marBottom w:val="0"/>
          <w:divBdr>
            <w:top w:val="none" w:sz="0" w:space="0" w:color="auto"/>
            <w:left w:val="none" w:sz="0" w:space="0" w:color="auto"/>
            <w:bottom w:val="none" w:sz="0" w:space="0" w:color="auto"/>
            <w:right w:val="none" w:sz="0" w:space="0" w:color="auto"/>
          </w:divBdr>
        </w:div>
      </w:divsChild>
    </w:div>
    <w:div w:id="348340908">
      <w:bodyDiv w:val="1"/>
      <w:marLeft w:val="0"/>
      <w:marRight w:val="0"/>
      <w:marTop w:val="0"/>
      <w:marBottom w:val="0"/>
      <w:divBdr>
        <w:top w:val="none" w:sz="0" w:space="0" w:color="auto"/>
        <w:left w:val="none" w:sz="0" w:space="0" w:color="auto"/>
        <w:bottom w:val="none" w:sz="0" w:space="0" w:color="auto"/>
        <w:right w:val="none" w:sz="0" w:space="0" w:color="auto"/>
      </w:divBdr>
      <w:divsChild>
        <w:div w:id="1501265666">
          <w:marLeft w:val="0"/>
          <w:marRight w:val="0"/>
          <w:marTop w:val="0"/>
          <w:marBottom w:val="0"/>
          <w:divBdr>
            <w:top w:val="none" w:sz="0" w:space="0" w:color="auto"/>
            <w:left w:val="none" w:sz="0" w:space="0" w:color="auto"/>
            <w:bottom w:val="none" w:sz="0" w:space="0" w:color="auto"/>
            <w:right w:val="none" w:sz="0" w:space="0" w:color="auto"/>
          </w:divBdr>
        </w:div>
      </w:divsChild>
    </w:div>
    <w:div w:id="355471270">
      <w:bodyDiv w:val="1"/>
      <w:marLeft w:val="0"/>
      <w:marRight w:val="0"/>
      <w:marTop w:val="0"/>
      <w:marBottom w:val="0"/>
      <w:divBdr>
        <w:top w:val="none" w:sz="0" w:space="0" w:color="auto"/>
        <w:left w:val="none" w:sz="0" w:space="0" w:color="auto"/>
        <w:bottom w:val="none" w:sz="0" w:space="0" w:color="auto"/>
        <w:right w:val="none" w:sz="0" w:space="0" w:color="auto"/>
      </w:divBdr>
    </w:div>
    <w:div w:id="379599494">
      <w:bodyDiv w:val="1"/>
      <w:marLeft w:val="0"/>
      <w:marRight w:val="0"/>
      <w:marTop w:val="0"/>
      <w:marBottom w:val="0"/>
      <w:divBdr>
        <w:top w:val="none" w:sz="0" w:space="0" w:color="auto"/>
        <w:left w:val="none" w:sz="0" w:space="0" w:color="auto"/>
        <w:bottom w:val="none" w:sz="0" w:space="0" w:color="auto"/>
        <w:right w:val="none" w:sz="0" w:space="0" w:color="auto"/>
      </w:divBdr>
    </w:div>
    <w:div w:id="392238886">
      <w:bodyDiv w:val="1"/>
      <w:marLeft w:val="0"/>
      <w:marRight w:val="0"/>
      <w:marTop w:val="0"/>
      <w:marBottom w:val="0"/>
      <w:divBdr>
        <w:top w:val="none" w:sz="0" w:space="0" w:color="auto"/>
        <w:left w:val="none" w:sz="0" w:space="0" w:color="auto"/>
        <w:bottom w:val="none" w:sz="0" w:space="0" w:color="auto"/>
        <w:right w:val="none" w:sz="0" w:space="0" w:color="auto"/>
      </w:divBdr>
      <w:divsChild>
        <w:div w:id="348261317">
          <w:marLeft w:val="0"/>
          <w:marRight w:val="0"/>
          <w:marTop w:val="0"/>
          <w:marBottom w:val="0"/>
          <w:divBdr>
            <w:top w:val="none" w:sz="0" w:space="0" w:color="auto"/>
            <w:left w:val="none" w:sz="0" w:space="0" w:color="auto"/>
            <w:bottom w:val="none" w:sz="0" w:space="0" w:color="auto"/>
            <w:right w:val="none" w:sz="0" w:space="0" w:color="auto"/>
          </w:divBdr>
        </w:div>
      </w:divsChild>
    </w:div>
    <w:div w:id="401371731">
      <w:bodyDiv w:val="1"/>
      <w:marLeft w:val="0"/>
      <w:marRight w:val="0"/>
      <w:marTop w:val="0"/>
      <w:marBottom w:val="0"/>
      <w:divBdr>
        <w:top w:val="none" w:sz="0" w:space="0" w:color="auto"/>
        <w:left w:val="none" w:sz="0" w:space="0" w:color="auto"/>
        <w:bottom w:val="none" w:sz="0" w:space="0" w:color="auto"/>
        <w:right w:val="none" w:sz="0" w:space="0" w:color="auto"/>
      </w:divBdr>
      <w:divsChild>
        <w:div w:id="2052732095">
          <w:marLeft w:val="0"/>
          <w:marRight w:val="0"/>
          <w:marTop w:val="0"/>
          <w:marBottom w:val="0"/>
          <w:divBdr>
            <w:top w:val="none" w:sz="0" w:space="0" w:color="auto"/>
            <w:left w:val="none" w:sz="0" w:space="0" w:color="auto"/>
            <w:bottom w:val="none" w:sz="0" w:space="0" w:color="auto"/>
            <w:right w:val="none" w:sz="0" w:space="0" w:color="auto"/>
          </w:divBdr>
        </w:div>
      </w:divsChild>
    </w:div>
    <w:div w:id="406927172">
      <w:bodyDiv w:val="1"/>
      <w:marLeft w:val="0"/>
      <w:marRight w:val="0"/>
      <w:marTop w:val="0"/>
      <w:marBottom w:val="0"/>
      <w:divBdr>
        <w:top w:val="none" w:sz="0" w:space="0" w:color="auto"/>
        <w:left w:val="none" w:sz="0" w:space="0" w:color="auto"/>
        <w:bottom w:val="none" w:sz="0" w:space="0" w:color="auto"/>
        <w:right w:val="none" w:sz="0" w:space="0" w:color="auto"/>
      </w:divBdr>
      <w:divsChild>
        <w:div w:id="518668213">
          <w:marLeft w:val="0"/>
          <w:marRight w:val="0"/>
          <w:marTop w:val="0"/>
          <w:marBottom w:val="0"/>
          <w:divBdr>
            <w:top w:val="none" w:sz="0" w:space="0" w:color="auto"/>
            <w:left w:val="none" w:sz="0" w:space="0" w:color="auto"/>
            <w:bottom w:val="none" w:sz="0" w:space="0" w:color="auto"/>
            <w:right w:val="none" w:sz="0" w:space="0" w:color="auto"/>
          </w:divBdr>
        </w:div>
      </w:divsChild>
    </w:div>
    <w:div w:id="422143697">
      <w:bodyDiv w:val="1"/>
      <w:marLeft w:val="0"/>
      <w:marRight w:val="0"/>
      <w:marTop w:val="0"/>
      <w:marBottom w:val="0"/>
      <w:divBdr>
        <w:top w:val="none" w:sz="0" w:space="0" w:color="auto"/>
        <w:left w:val="none" w:sz="0" w:space="0" w:color="auto"/>
        <w:bottom w:val="none" w:sz="0" w:space="0" w:color="auto"/>
        <w:right w:val="none" w:sz="0" w:space="0" w:color="auto"/>
      </w:divBdr>
    </w:div>
    <w:div w:id="439031602">
      <w:bodyDiv w:val="1"/>
      <w:marLeft w:val="0"/>
      <w:marRight w:val="0"/>
      <w:marTop w:val="0"/>
      <w:marBottom w:val="0"/>
      <w:divBdr>
        <w:top w:val="none" w:sz="0" w:space="0" w:color="auto"/>
        <w:left w:val="none" w:sz="0" w:space="0" w:color="auto"/>
        <w:bottom w:val="none" w:sz="0" w:space="0" w:color="auto"/>
        <w:right w:val="none" w:sz="0" w:space="0" w:color="auto"/>
      </w:divBdr>
      <w:divsChild>
        <w:div w:id="139732735">
          <w:marLeft w:val="0"/>
          <w:marRight w:val="0"/>
          <w:marTop w:val="0"/>
          <w:marBottom w:val="0"/>
          <w:divBdr>
            <w:top w:val="none" w:sz="0" w:space="0" w:color="auto"/>
            <w:left w:val="none" w:sz="0" w:space="0" w:color="auto"/>
            <w:bottom w:val="none" w:sz="0" w:space="0" w:color="auto"/>
            <w:right w:val="none" w:sz="0" w:space="0" w:color="auto"/>
          </w:divBdr>
        </w:div>
      </w:divsChild>
    </w:div>
    <w:div w:id="439882360">
      <w:bodyDiv w:val="1"/>
      <w:marLeft w:val="0"/>
      <w:marRight w:val="0"/>
      <w:marTop w:val="0"/>
      <w:marBottom w:val="0"/>
      <w:divBdr>
        <w:top w:val="none" w:sz="0" w:space="0" w:color="auto"/>
        <w:left w:val="none" w:sz="0" w:space="0" w:color="auto"/>
        <w:bottom w:val="none" w:sz="0" w:space="0" w:color="auto"/>
        <w:right w:val="none" w:sz="0" w:space="0" w:color="auto"/>
      </w:divBdr>
      <w:divsChild>
        <w:div w:id="737216183">
          <w:marLeft w:val="0"/>
          <w:marRight w:val="0"/>
          <w:marTop w:val="0"/>
          <w:marBottom w:val="0"/>
          <w:divBdr>
            <w:top w:val="none" w:sz="0" w:space="0" w:color="auto"/>
            <w:left w:val="none" w:sz="0" w:space="0" w:color="auto"/>
            <w:bottom w:val="none" w:sz="0" w:space="0" w:color="auto"/>
            <w:right w:val="none" w:sz="0" w:space="0" w:color="auto"/>
          </w:divBdr>
        </w:div>
      </w:divsChild>
    </w:div>
    <w:div w:id="440730904">
      <w:bodyDiv w:val="1"/>
      <w:marLeft w:val="0"/>
      <w:marRight w:val="0"/>
      <w:marTop w:val="0"/>
      <w:marBottom w:val="0"/>
      <w:divBdr>
        <w:top w:val="none" w:sz="0" w:space="0" w:color="auto"/>
        <w:left w:val="none" w:sz="0" w:space="0" w:color="auto"/>
        <w:bottom w:val="none" w:sz="0" w:space="0" w:color="auto"/>
        <w:right w:val="none" w:sz="0" w:space="0" w:color="auto"/>
      </w:divBdr>
    </w:div>
    <w:div w:id="476387435">
      <w:bodyDiv w:val="1"/>
      <w:marLeft w:val="0"/>
      <w:marRight w:val="0"/>
      <w:marTop w:val="0"/>
      <w:marBottom w:val="0"/>
      <w:divBdr>
        <w:top w:val="none" w:sz="0" w:space="0" w:color="auto"/>
        <w:left w:val="none" w:sz="0" w:space="0" w:color="auto"/>
        <w:bottom w:val="none" w:sz="0" w:space="0" w:color="auto"/>
        <w:right w:val="none" w:sz="0" w:space="0" w:color="auto"/>
      </w:divBdr>
      <w:divsChild>
        <w:div w:id="929506911">
          <w:marLeft w:val="0"/>
          <w:marRight w:val="0"/>
          <w:marTop w:val="0"/>
          <w:marBottom w:val="0"/>
          <w:divBdr>
            <w:top w:val="none" w:sz="0" w:space="0" w:color="auto"/>
            <w:left w:val="none" w:sz="0" w:space="0" w:color="auto"/>
            <w:bottom w:val="none" w:sz="0" w:space="0" w:color="auto"/>
            <w:right w:val="none" w:sz="0" w:space="0" w:color="auto"/>
          </w:divBdr>
        </w:div>
      </w:divsChild>
    </w:div>
    <w:div w:id="522327401">
      <w:bodyDiv w:val="1"/>
      <w:marLeft w:val="0"/>
      <w:marRight w:val="0"/>
      <w:marTop w:val="0"/>
      <w:marBottom w:val="0"/>
      <w:divBdr>
        <w:top w:val="none" w:sz="0" w:space="0" w:color="auto"/>
        <w:left w:val="none" w:sz="0" w:space="0" w:color="auto"/>
        <w:bottom w:val="none" w:sz="0" w:space="0" w:color="auto"/>
        <w:right w:val="none" w:sz="0" w:space="0" w:color="auto"/>
      </w:divBdr>
      <w:divsChild>
        <w:div w:id="1789274836">
          <w:marLeft w:val="0"/>
          <w:marRight w:val="0"/>
          <w:marTop w:val="0"/>
          <w:marBottom w:val="0"/>
          <w:divBdr>
            <w:top w:val="none" w:sz="0" w:space="0" w:color="auto"/>
            <w:left w:val="none" w:sz="0" w:space="0" w:color="auto"/>
            <w:bottom w:val="none" w:sz="0" w:space="0" w:color="auto"/>
            <w:right w:val="none" w:sz="0" w:space="0" w:color="auto"/>
          </w:divBdr>
        </w:div>
      </w:divsChild>
    </w:div>
    <w:div w:id="525216405">
      <w:bodyDiv w:val="1"/>
      <w:marLeft w:val="0"/>
      <w:marRight w:val="0"/>
      <w:marTop w:val="0"/>
      <w:marBottom w:val="0"/>
      <w:divBdr>
        <w:top w:val="none" w:sz="0" w:space="0" w:color="auto"/>
        <w:left w:val="none" w:sz="0" w:space="0" w:color="auto"/>
        <w:bottom w:val="none" w:sz="0" w:space="0" w:color="auto"/>
        <w:right w:val="none" w:sz="0" w:space="0" w:color="auto"/>
      </w:divBdr>
      <w:divsChild>
        <w:div w:id="1565947036">
          <w:marLeft w:val="0"/>
          <w:marRight w:val="0"/>
          <w:marTop w:val="0"/>
          <w:marBottom w:val="0"/>
          <w:divBdr>
            <w:top w:val="none" w:sz="0" w:space="0" w:color="auto"/>
            <w:left w:val="none" w:sz="0" w:space="0" w:color="auto"/>
            <w:bottom w:val="none" w:sz="0" w:space="0" w:color="auto"/>
            <w:right w:val="none" w:sz="0" w:space="0" w:color="auto"/>
          </w:divBdr>
        </w:div>
      </w:divsChild>
    </w:div>
    <w:div w:id="546340187">
      <w:bodyDiv w:val="1"/>
      <w:marLeft w:val="0"/>
      <w:marRight w:val="0"/>
      <w:marTop w:val="0"/>
      <w:marBottom w:val="0"/>
      <w:divBdr>
        <w:top w:val="none" w:sz="0" w:space="0" w:color="auto"/>
        <w:left w:val="none" w:sz="0" w:space="0" w:color="auto"/>
        <w:bottom w:val="none" w:sz="0" w:space="0" w:color="auto"/>
        <w:right w:val="none" w:sz="0" w:space="0" w:color="auto"/>
      </w:divBdr>
    </w:div>
    <w:div w:id="552037993">
      <w:bodyDiv w:val="1"/>
      <w:marLeft w:val="0"/>
      <w:marRight w:val="0"/>
      <w:marTop w:val="0"/>
      <w:marBottom w:val="0"/>
      <w:divBdr>
        <w:top w:val="none" w:sz="0" w:space="0" w:color="auto"/>
        <w:left w:val="none" w:sz="0" w:space="0" w:color="auto"/>
        <w:bottom w:val="none" w:sz="0" w:space="0" w:color="auto"/>
        <w:right w:val="none" w:sz="0" w:space="0" w:color="auto"/>
      </w:divBdr>
      <w:divsChild>
        <w:div w:id="204367440">
          <w:marLeft w:val="0"/>
          <w:marRight w:val="0"/>
          <w:marTop w:val="0"/>
          <w:marBottom w:val="0"/>
          <w:divBdr>
            <w:top w:val="none" w:sz="0" w:space="0" w:color="auto"/>
            <w:left w:val="none" w:sz="0" w:space="0" w:color="auto"/>
            <w:bottom w:val="none" w:sz="0" w:space="0" w:color="auto"/>
            <w:right w:val="none" w:sz="0" w:space="0" w:color="auto"/>
          </w:divBdr>
        </w:div>
      </w:divsChild>
    </w:div>
    <w:div w:id="569773299">
      <w:bodyDiv w:val="1"/>
      <w:marLeft w:val="0"/>
      <w:marRight w:val="0"/>
      <w:marTop w:val="0"/>
      <w:marBottom w:val="0"/>
      <w:divBdr>
        <w:top w:val="none" w:sz="0" w:space="0" w:color="auto"/>
        <w:left w:val="none" w:sz="0" w:space="0" w:color="auto"/>
        <w:bottom w:val="none" w:sz="0" w:space="0" w:color="auto"/>
        <w:right w:val="none" w:sz="0" w:space="0" w:color="auto"/>
      </w:divBdr>
    </w:div>
    <w:div w:id="596059413">
      <w:bodyDiv w:val="1"/>
      <w:marLeft w:val="0"/>
      <w:marRight w:val="0"/>
      <w:marTop w:val="0"/>
      <w:marBottom w:val="0"/>
      <w:divBdr>
        <w:top w:val="none" w:sz="0" w:space="0" w:color="auto"/>
        <w:left w:val="none" w:sz="0" w:space="0" w:color="auto"/>
        <w:bottom w:val="none" w:sz="0" w:space="0" w:color="auto"/>
        <w:right w:val="none" w:sz="0" w:space="0" w:color="auto"/>
      </w:divBdr>
    </w:div>
    <w:div w:id="601691189">
      <w:bodyDiv w:val="1"/>
      <w:marLeft w:val="0"/>
      <w:marRight w:val="0"/>
      <w:marTop w:val="0"/>
      <w:marBottom w:val="0"/>
      <w:divBdr>
        <w:top w:val="none" w:sz="0" w:space="0" w:color="auto"/>
        <w:left w:val="none" w:sz="0" w:space="0" w:color="auto"/>
        <w:bottom w:val="none" w:sz="0" w:space="0" w:color="auto"/>
        <w:right w:val="none" w:sz="0" w:space="0" w:color="auto"/>
      </w:divBdr>
    </w:div>
    <w:div w:id="617416607">
      <w:bodyDiv w:val="1"/>
      <w:marLeft w:val="0"/>
      <w:marRight w:val="0"/>
      <w:marTop w:val="0"/>
      <w:marBottom w:val="0"/>
      <w:divBdr>
        <w:top w:val="none" w:sz="0" w:space="0" w:color="auto"/>
        <w:left w:val="none" w:sz="0" w:space="0" w:color="auto"/>
        <w:bottom w:val="none" w:sz="0" w:space="0" w:color="auto"/>
        <w:right w:val="none" w:sz="0" w:space="0" w:color="auto"/>
      </w:divBdr>
    </w:div>
    <w:div w:id="620915875">
      <w:bodyDiv w:val="1"/>
      <w:marLeft w:val="0"/>
      <w:marRight w:val="0"/>
      <w:marTop w:val="0"/>
      <w:marBottom w:val="0"/>
      <w:divBdr>
        <w:top w:val="none" w:sz="0" w:space="0" w:color="auto"/>
        <w:left w:val="none" w:sz="0" w:space="0" w:color="auto"/>
        <w:bottom w:val="none" w:sz="0" w:space="0" w:color="auto"/>
        <w:right w:val="none" w:sz="0" w:space="0" w:color="auto"/>
      </w:divBdr>
      <w:divsChild>
        <w:div w:id="2002662918">
          <w:marLeft w:val="0"/>
          <w:marRight w:val="0"/>
          <w:marTop w:val="0"/>
          <w:marBottom w:val="0"/>
          <w:divBdr>
            <w:top w:val="none" w:sz="0" w:space="0" w:color="auto"/>
            <w:left w:val="none" w:sz="0" w:space="0" w:color="auto"/>
            <w:bottom w:val="none" w:sz="0" w:space="0" w:color="auto"/>
            <w:right w:val="none" w:sz="0" w:space="0" w:color="auto"/>
          </w:divBdr>
        </w:div>
      </w:divsChild>
    </w:div>
    <w:div w:id="652494028">
      <w:bodyDiv w:val="1"/>
      <w:marLeft w:val="0"/>
      <w:marRight w:val="0"/>
      <w:marTop w:val="0"/>
      <w:marBottom w:val="0"/>
      <w:divBdr>
        <w:top w:val="none" w:sz="0" w:space="0" w:color="auto"/>
        <w:left w:val="none" w:sz="0" w:space="0" w:color="auto"/>
        <w:bottom w:val="none" w:sz="0" w:space="0" w:color="auto"/>
        <w:right w:val="none" w:sz="0" w:space="0" w:color="auto"/>
      </w:divBdr>
    </w:div>
    <w:div w:id="662053234">
      <w:bodyDiv w:val="1"/>
      <w:marLeft w:val="0"/>
      <w:marRight w:val="0"/>
      <w:marTop w:val="0"/>
      <w:marBottom w:val="0"/>
      <w:divBdr>
        <w:top w:val="none" w:sz="0" w:space="0" w:color="auto"/>
        <w:left w:val="none" w:sz="0" w:space="0" w:color="auto"/>
        <w:bottom w:val="none" w:sz="0" w:space="0" w:color="auto"/>
        <w:right w:val="none" w:sz="0" w:space="0" w:color="auto"/>
      </w:divBdr>
    </w:div>
    <w:div w:id="715397113">
      <w:bodyDiv w:val="1"/>
      <w:marLeft w:val="0"/>
      <w:marRight w:val="0"/>
      <w:marTop w:val="0"/>
      <w:marBottom w:val="0"/>
      <w:divBdr>
        <w:top w:val="none" w:sz="0" w:space="0" w:color="auto"/>
        <w:left w:val="none" w:sz="0" w:space="0" w:color="auto"/>
        <w:bottom w:val="none" w:sz="0" w:space="0" w:color="auto"/>
        <w:right w:val="none" w:sz="0" w:space="0" w:color="auto"/>
      </w:divBdr>
      <w:divsChild>
        <w:div w:id="1850362466">
          <w:marLeft w:val="0"/>
          <w:marRight w:val="0"/>
          <w:marTop w:val="0"/>
          <w:marBottom w:val="0"/>
          <w:divBdr>
            <w:top w:val="none" w:sz="0" w:space="0" w:color="auto"/>
            <w:left w:val="none" w:sz="0" w:space="0" w:color="auto"/>
            <w:bottom w:val="none" w:sz="0" w:space="0" w:color="auto"/>
            <w:right w:val="none" w:sz="0" w:space="0" w:color="auto"/>
          </w:divBdr>
        </w:div>
      </w:divsChild>
    </w:div>
    <w:div w:id="722023035">
      <w:bodyDiv w:val="1"/>
      <w:marLeft w:val="0"/>
      <w:marRight w:val="0"/>
      <w:marTop w:val="0"/>
      <w:marBottom w:val="0"/>
      <w:divBdr>
        <w:top w:val="none" w:sz="0" w:space="0" w:color="auto"/>
        <w:left w:val="none" w:sz="0" w:space="0" w:color="auto"/>
        <w:bottom w:val="none" w:sz="0" w:space="0" w:color="auto"/>
        <w:right w:val="none" w:sz="0" w:space="0" w:color="auto"/>
      </w:divBdr>
      <w:divsChild>
        <w:div w:id="1837263136">
          <w:marLeft w:val="0"/>
          <w:marRight w:val="0"/>
          <w:marTop w:val="0"/>
          <w:marBottom w:val="0"/>
          <w:divBdr>
            <w:top w:val="none" w:sz="0" w:space="0" w:color="auto"/>
            <w:left w:val="none" w:sz="0" w:space="0" w:color="auto"/>
            <w:bottom w:val="none" w:sz="0" w:space="0" w:color="auto"/>
            <w:right w:val="none" w:sz="0" w:space="0" w:color="auto"/>
          </w:divBdr>
        </w:div>
      </w:divsChild>
    </w:div>
    <w:div w:id="758596758">
      <w:bodyDiv w:val="1"/>
      <w:marLeft w:val="0"/>
      <w:marRight w:val="0"/>
      <w:marTop w:val="0"/>
      <w:marBottom w:val="0"/>
      <w:divBdr>
        <w:top w:val="none" w:sz="0" w:space="0" w:color="auto"/>
        <w:left w:val="none" w:sz="0" w:space="0" w:color="auto"/>
        <w:bottom w:val="none" w:sz="0" w:space="0" w:color="auto"/>
        <w:right w:val="none" w:sz="0" w:space="0" w:color="auto"/>
      </w:divBdr>
    </w:div>
    <w:div w:id="765542065">
      <w:bodyDiv w:val="1"/>
      <w:marLeft w:val="0"/>
      <w:marRight w:val="0"/>
      <w:marTop w:val="0"/>
      <w:marBottom w:val="0"/>
      <w:divBdr>
        <w:top w:val="none" w:sz="0" w:space="0" w:color="auto"/>
        <w:left w:val="none" w:sz="0" w:space="0" w:color="auto"/>
        <w:bottom w:val="none" w:sz="0" w:space="0" w:color="auto"/>
        <w:right w:val="none" w:sz="0" w:space="0" w:color="auto"/>
      </w:divBdr>
      <w:divsChild>
        <w:div w:id="1494830583">
          <w:marLeft w:val="0"/>
          <w:marRight w:val="0"/>
          <w:marTop w:val="0"/>
          <w:marBottom w:val="0"/>
          <w:divBdr>
            <w:top w:val="none" w:sz="0" w:space="0" w:color="auto"/>
            <w:left w:val="none" w:sz="0" w:space="0" w:color="auto"/>
            <w:bottom w:val="none" w:sz="0" w:space="0" w:color="auto"/>
            <w:right w:val="none" w:sz="0" w:space="0" w:color="auto"/>
          </w:divBdr>
        </w:div>
      </w:divsChild>
    </w:div>
    <w:div w:id="765922828">
      <w:bodyDiv w:val="1"/>
      <w:marLeft w:val="0"/>
      <w:marRight w:val="0"/>
      <w:marTop w:val="0"/>
      <w:marBottom w:val="0"/>
      <w:divBdr>
        <w:top w:val="none" w:sz="0" w:space="0" w:color="auto"/>
        <w:left w:val="none" w:sz="0" w:space="0" w:color="auto"/>
        <w:bottom w:val="none" w:sz="0" w:space="0" w:color="auto"/>
        <w:right w:val="none" w:sz="0" w:space="0" w:color="auto"/>
      </w:divBdr>
      <w:divsChild>
        <w:div w:id="350572884">
          <w:marLeft w:val="0"/>
          <w:marRight w:val="0"/>
          <w:marTop w:val="0"/>
          <w:marBottom w:val="0"/>
          <w:divBdr>
            <w:top w:val="none" w:sz="0" w:space="0" w:color="auto"/>
            <w:left w:val="none" w:sz="0" w:space="0" w:color="auto"/>
            <w:bottom w:val="none" w:sz="0" w:space="0" w:color="auto"/>
            <w:right w:val="none" w:sz="0" w:space="0" w:color="auto"/>
          </w:divBdr>
        </w:div>
      </w:divsChild>
    </w:div>
    <w:div w:id="769201923">
      <w:bodyDiv w:val="1"/>
      <w:marLeft w:val="0"/>
      <w:marRight w:val="0"/>
      <w:marTop w:val="0"/>
      <w:marBottom w:val="0"/>
      <w:divBdr>
        <w:top w:val="none" w:sz="0" w:space="0" w:color="auto"/>
        <w:left w:val="none" w:sz="0" w:space="0" w:color="auto"/>
        <w:bottom w:val="none" w:sz="0" w:space="0" w:color="auto"/>
        <w:right w:val="none" w:sz="0" w:space="0" w:color="auto"/>
      </w:divBdr>
      <w:divsChild>
        <w:div w:id="122231317">
          <w:marLeft w:val="0"/>
          <w:marRight w:val="0"/>
          <w:marTop w:val="0"/>
          <w:marBottom w:val="0"/>
          <w:divBdr>
            <w:top w:val="none" w:sz="0" w:space="0" w:color="auto"/>
            <w:left w:val="none" w:sz="0" w:space="0" w:color="auto"/>
            <w:bottom w:val="none" w:sz="0" w:space="0" w:color="auto"/>
            <w:right w:val="none" w:sz="0" w:space="0" w:color="auto"/>
          </w:divBdr>
        </w:div>
      </w:divsChild>
    </w:div>
    <w:div w:id="795559609">
      <w:bodyDiv w:val="1"/>
      <w:marLeft w:val="0"/>
      <w:marRight w:val="0"/>
      <w:marTop w:val="0"/>
      <w:marBottom w:val="0"/>
      <w:divBdr>
        <w:top w:val="none" w:sz="0" w:space="0" w:color="auto"/>
        <w:left w:val="none" w:sz="0" w:space="0" w:color="auto"/>
        <w:bottom w:val="none" w:sz="0" w:space="0" w:color="auto"/>
        <w:right w:val="none" w:sz="0" w:space="0" w:color="auto"/>
      </w:divBdr>
    </w:div>
    <w:div w:id="796948843">
      <w:bodyDiv w:val="1"/>
      <w:marLeft w:val="0"/>
      <w:marRight w:val="0"/>
      <w:marTop w:val="0"/>
      <w:marBottom w:val="0"/>
      <w:divBdr>
        <w:top w:val="none" w:sz="0" w:space="0" w:color="auto"/>
        <w:left w:val="none" w:sz="0" w:space="0" w:color="auto"/>
        <w:bottom w:val="none" w:sz="0" w:space="0" w:color="auto"/>
        <w:right w:val="none" w:sz="0" w:space="0" w:color="auto"/>
      </w:divBdr>
    </w:div>
    <w:div w:id="806892806">
      <w:bodyDiv w:val="1"/>
      <w:marLeft w:val="0"/>
      <w:marRight w:val="0"/>
      <w:marTop w:val="0"/>
      <w:marBottom w:val="0"/>
      <w:divBdr>
        <w:top w:val="none" w:sz="0" w:space="0" w:color="auto"/>
        <w:left w:val="none" w:sz="0" w:space="0" w:color="auto"/>
        <w:bottom w:val="none" w:sz="0" w:space="0" w:color="auto"/>
        <w:right w:val="none" w:sz="0" w:space="0" w:color="auto"/>
      </w:divBdr>
    </w:div>
    <w:div w:id="820003592">
      <w:bodyDiv w:val="1"/>
      <w:marLeft w:val="0"/>
      <w:marRight w:val="0"/>
      <w:marTop w:val="0"/>
      <w:marBottom w:val="0"/>
      <w:divBdr>
        <w:top w:val="none" w:sz="0" w:space="0" w:color="auto"/>
        <w:left w:val="none" w:sz="0" w:space="0" w:color="auto"/>
        <w:bottom w:val="none" w:sz="0" w:space="0" w:color="auto"/>
        <w:right w:val="none" w:sz="0" w:space="0" w:color="auto"/>
      </w:divBdr>
      <w:divsChild>
        <w:div w:id="653725752">
          <w:marLeft w:val="0"/>
          <w:marRight w:val="0"/>
          <w:marTop w:val="0"/>
          <w:marBottom w:val="0"/>
          <w:divBdr>
            <w:top w:val="none" w:sz="0" w:space="0" w:color="auto"/>
            <w:left w:val="none" w:sz="0" w:space="0" w:color="auto"/>
            <w:bottom w:val="none" w:sz="0" w:space="0" w:color="auto"/>
            <w:right w:val="none" w:sz="0" w:space="0" w:color="auto"/>
          </w:divBdr>
        </w:div>
      </w:divsChild>
    </w:div>
    <w:div w:id="828327726">
      <w:bodyDiv w:val="1"/>
      <w:marLeft w:val="0"/>
      <w:marRight w:val="0"/>
      <w:marTop w:val="0"/>
      <w:marBottom w:val="0"/>
      <w:divBdr>
        <w:top w:val="none" w:sz="0" w:space="0" w:color="auto"/>
        <w:left w:val="none" w:sz="0" w:space="0" w:color="auto"/>
        <w:bottom w:val="none" w:sz="0" w:space="0" w:color="auto"/>
        <w:right w:val="none" w:sz="0" w:space="0" w:color="auto"/>
      </w:divBdr>
    </w:div>
    <w:div w:id="855072945">
      <w:bodyDiv w:val="1"/>
      <w:marLeft w:val="0"/>
      <w:marRight w:val="0"/>
      <w:marTop w:val="0"/>
      <w:marBottom w:val="0"/>
      <w:divBdr>
        <w:top w:val="none" w:sz="0" w:space="0" w:color="auto"/>
        <w:left w:val="none" w:sz="0" w:space="0" w:color="auto"/>
        <w:bottom w:val="none" w:sz="0" w:space="0" w:color="auto"/>
        <w:right w:val="none" w:sz="0" w:space="0" w:color="auto"/>
      </w:divBdr>
      <w:divsChild>
        <w:div w:id="1359350165">
          <w:marLeft w:val="0"/>
          <w:marRight w:val="0"/>
          <w:marTop w:val="0"/>
          <w:marBottom w:val="0"/>
          <w:divBdr>
            <w:top w:val="none" w:sz="0" w:space="0" w:color="auto"/>
            <w:left w:val="none" w:sz="0" w:space="0" w:color="auto"/>
            <w:bottom w:val="none" w:sz="0" w:space="0" w:color="auto"/>
            <w:right w:val="none" w:sz="0" w:space="0" w:color="auto"/>
          </w:divBdr>
        </w:div>
      </w:divsChild>
    </w:div>
    <w:div w:id="858811830">
      <w:bodyDiv w:val="1"/>
      <w:marLeft w:val="0"/>
      <w:marRight w:val="0"/>
      <w:marTop w:val="0"/>
      <w:marBottom w:val="0"/>
      <w:divBdr>
        <w:top w:val="none" w:sz="0" w:space="0" w:color="auto"/>
        <w:left w:val="none" w:sz="0" w:space="0" w:color="auto"/>
        <w:bottom w:val="none" w:sz="0" w:space="0" w:color="auto"/>
        <w:right w:val="none" w:sz="0" w:space="0" w:color="auto"/>
      </w:divBdr>
    </w:div>
    <w:div w:id="859275262">
      <w:bodyDiv w:val="1"/>
      <w:marLeft w:val="0"/>
      <w:marRight w:val="0"/>
      <w:marTop w:val="0"/>
      <w:marBottom w:val="0"/>
      <w:divBdr>
        <w:top w:val="none" w:sz="0" w:space="0" w:color="auto"/>
        <w:left w:val="none" w:sz="0" w:space="0" w:color="auto"/>
        <w:bottom w:val="none" w:sz="0" w:space="0" w:color="auto"/>
        <w:right w:val="none" w:sz="0" w:space="0" w:color="auto"/>
      </w:divBdr>
    </w:div>
    <w:div w:id="880558289">
      <w:bodyDiv w:val="1"/>
      <w:marLeft w:val="0"/>
      <w:marRight w:val="0"/>
      <w:marTop w:val="0"/>
      <w:marBottom w:val="0"/>
      <w:divBdr>
        <w:top w:val="none" w:sz="0" w:space="0" w:color="auto"/>
        <w:left w:val="none" w:sz="0" w:space="0" w:color="auto"/>
        <w:bottom w:val="none" w:sz="0" w:space="0" w:color="auto"/>
        <w:right w:val="none" w:sz="0" w:space="0" w:color="auto"/>
      </w:divBdr>
      <w:divsChild>
        <w:div w:id="874006334">
          <w:marLeft w:val="0"/>
          <w:marRight w:val="0"/>
          <w:marTop w:val="0"/>
          <w:marBottom w:val="0"/>
          <w:divBdr>
            <w:top w:val="none" w:sz="0" w:space="0" w:color="auto"/>
            <w:left w:val="none" w:sz="0" w:space="0" w:color="auto"/>
            <w:bottom w:val="none" w:sz="0" w:space="0" w:color="auto"/>
            <w:right w:val="none" w:sz="0" w:space="0" w:color="auto"/>
          </w:divBdr>
        </w:div>
      </w:divsChild>
    </w:div>
    <w:div w:id="887061775">
      <w:bodyDiv w:val="1"/>
      <w:marLeft w:val="0"/>
      <w:marRight w:val="0"/>
      <w:marTop w:val="0"/>
      <w:marBottom w:val="0"/>
      <w:divBdr>
        <w:top w:val="none" w:sz="0" w:space="0" w:color="auto"/>
        <w:left w:val="none" w:sz="0" w:space="0" w:color="auto"/>
        <w:bottom w:val="none" w:sz="0" w:space="0" w:color="auto"/>
        <w:right w:val="none" w:sz="0" w:space="0" w:color="auto"/>
      </w:divBdr>
    </w:div>
    <w:div w:id="945770660">
      <w:bodyDiv w:val="1"/>
      <w:marLeft w:val="0"/>
      <w:marRight w:val="0"/>
      <w:marTop w:val="0"/>
      <w:marBottom w:val="0"/>
      <w:divBdr>
        <w:top w:val="none" w:sz="0" w:space="0" w:color="auto"/>
        <w:left w:val="none" w:sz="0" w:space="0" w:color="auto"/>
        <w:bottom w:val="none" w:sz="0" w:space="0" w:color="auto"/>
        <w:right w:val="none" w:sz="0" w:space="0" w:color="auto"/>
      </w:divBdr>
    </w:div>
    <w:div w:id="954990706">
      <w:bodyDiv w:val="1"/>
      <w:marLeft w:val="0"/>
      <w:marRight w:val="0"/>
      <w:marTop w:val="0"/>
      <w:marBottom w:val="0"/>
      <w:divBdr>
        <w:top w:val="none" w:sz="0" w:space="0" w:color="auto"/>
        <w:left w:val="none" w:sz="0" w:space="0" w:color="auto"/>
        <w:bottom w:val="none" w:sz="0" w:space="0" w:color="auto"/>
        <w:right w:val="none" w:sz="0" w:space="0" w:color="auto"/>
      </w:divBdr>
      <w:divsChild>
        <w:div w:id="576089684">
          <w:marLeft w:val="0"/>
          <w:marRight w:val="0"/>
          <w:marTop w:val="0"/>
          <w:marBottom w:val="0"/>
          <w:divBdr>
            <w:top w:val="none" w:sz="0" w:space="0" w:color="auto"/>
            <w:left w:val="none" w:sz="0" w:space="0" w:color="auto"/>
            <w:bottom w:val="none" w:sz="0" w:space="0" w:color="auto"/>
            <w:right w:val="none" w:sz="0" w:space="0" w:color="auto"/>
          </w:divBdr>
        </w:div>
      </w:divsChild>
    </w:div>
    <w:div w:id="982269163">
      <w:bodyDiv w:val="1"/>
      <w:marLeft w:val="0"/>
      <w:marRight w:val="0"/>
      <w:marTop w:val="0"/>
      <w:marBottom w:val="0"/>
      <w:divBdr>
        <w:top w:val="none" w:sz="0" w:space="0" w:color="auto"/>
        <w:left w:val="none" w:sz="0" w:space="0" w:color="auto"/>
        <w:bottom w:val="none" w:sz="0" w:space="0" w:color="auto"/>
        <w:right w:val="none" w:sz="0" w:space="0" w:color="auto"/>
      </w:divBdr>
    </w:div>
    <w:div w:id="994991349">
      <w:bodyDiv w:val="1"/>
      <w:marLeft w:val="0"/>
      <w:marRight w:val="0"/>
      <w:marTop w:val="0"/>
      <w:marBottom w:val="0"/>
      <w:divBdr>
        <w:top w:val="none" w:sz="0" w:space="0" w:color="auto"/>
        <w:left w:val="none" w:sz="0" w:space="0" w:color="auto"/>
        <w:bottom w:val="none" w:sz="0" w:space="0" w:color="auto"/>
        <w:right w:val="none" w:sz="0" w:space="0" w:color="auto"/>
      </w:divBdr>
    </w:div>
    <w:div w:id="1003775821">
      <w:bodyDiv w:val="1"/>
      <w:marLeft w:val="0"/>
      <w:marRight w:val="0"/>
      <w:marTop w:val="0"/>
      <w:marBottom w:val="0"/>
      <w:divBdr>
        <w:top w:val="none" w:sz="0" w:space="0" w:color="auto"/>
        <w:left w:val="none" w:sz="0" w:space="0" w:color="auto"/>
        <w:bottom w:val="none" w:sz="0" w:space="0" w:color="auto"/>
        <w:right w:val="none" w:sz="0" w:space="0" w:color="auto"/>
      </w:divBdr>
    </w:div>
    <w:div w:id="1008020425">
      <w:bodyDiv w:val="1"/>
      <w:marLeft w:val="0"/>
      <w:marRight w:val="0"/>
      <w:marTop w:val="0"/>
      <w:marBottom w:val="0"/>
      <w:divBdr>
        <w:top w:val="none" w:sz="0" w:space="0" w:color="auto"/>
        <w:left w:val="none" w:sz="0" w:space="0" w:color="auto"/>
        <w:bottom w:val="none" w:sz="0" w:space="0" w:color="auto"/>
        <w:right w:val="none" w:sz="0" w:space="0" w:color="auto"/>
      </w:divBdr>
    </w:div>
    <w:div w:id="1010985160">
      <w:bodyDiv w:val="1"/>
      <w:marLeft w:val="0"/>
      <w:marRight w:val="0"/>
      <w:marTop w:val="0"/>
      <w:marBottom w:val="0"/>
      <w:divBdr>
        <w:top w:val="none" w:sz="0" w:space="0" w:color="auto"/>
        <w:left w:val="none" w:sz="0" w:space="0" w:color="auto"/>
        <w:bottom w:val="none" w:sz="0" w:space="0" w:color="auto"/>
        <w:right w:val="none" w:sz="0" w:space="0" w:color="auto"/>
      </w:divBdr>
    </w:div>
    <w:div w:id="1086684885">
      <w:bodyDiv w:val="1"/>
      <w:marLeft w:val="0"/>
      <w:marRight w:val="0"/>
      <w:marTop w:val="0"/>
      <w:marBottom w:val="0"/>
      <w:divBdr>
        <w:top w:val="none" w:sz="0" w:space="0" w:color="auto"/>
        <w:left w:val="none" w:sz="0" w:space="0" w:color="auto"/>
        <w:bottom w:val="none" w:sz="0" w:space="0" w:color="auto"/>
        <w:right w:val="none" w:sz="0" w:space="0" w:color="auto"/>
      </w:divBdr>
    </w:div>
    <w:div w:id="1111054178">
      <w:bodyDiv w:val="1"/>
      <w:marLeft w:val="0"/>
      <w:marRight w:val="0"/>
      <w:marTop w:val="0"/>
      <w:marBottom w:val="0"/>
      <w:divBdr>
        <w:top w:val="none" w:sz="0" w:space="0" w:color="auto"/>
        <w:left w:val="none" w:sz="0" w:space="0" w:color="auto"/>
        <w:bottom w:val="none" w:sz="0" w:space="0" w:color="auto"/>
        <w:right w:val="none" w:sz="0" w:space="0" w:color="auto"/>
      </w:divBdr>
      <w:divsChild>
        <w:div w:id="299041707">
          <w:marLeft w:val="0"/>
          <w:marRight w:val="0"/>
          <w:marTop w:val="0"/>
          <w:marBottom w:val="0"/>
          <w:divBdr>
            <w:top w:val="none" w:sz="0" w:space="0" w:color="auto"/>
            <w:left w:val="none" w:sz="0" w:space="0" w:color="auto"/>
            <w:bottom w:val="none" w:sz="0" w:space="0" w:color="auto"/>
            <w:right w:val="none" w:sz="0" w:space="0" w:color="auto"/>
          </w:divBdr>
        </w:div>
      </w:divsChild>
    </w:div>
    <w:div w:id="1112019840">
      <w:bodyDiv w:val="1"/>
      <w:marLeft w:val="0"/>
      <w:marRight w:val="0"/>
      <w:marTop w:val="0"/>
      <w:marBottom w:val="0"/>
      <w:divBdr>
        <w:top w:val="none" w:sz="0" w:space="0" w:color="auto"/>
        <w:left w:val="none" w:sz="0" w:space="0" w:color="auto"/>
        <w:bottom w:val="none" w:sz="0" w:space="0" w:color="auto"/>
        <w:right w:val="none" w:sz="0" w:space="0" w:color="auto"/>
      </w:divBdr>
      <w:divsChild>
        <w:div w:id="415590813">
          <w:marLeft w:val="0"/>
          <w:marRight w:val="0"/>
          <w:marTop w:val="0"/>
          <w:marBottom w:val="0"/>
          <w:divBdr>
            <w:top w:val="none" w:sz="0" w:space="0" w:color="auto"/>
            <w:left w:val="none" w:sz="0" w:space="0" w:color="auto"/>
            <w:bottom w:val="none" w:sz="0" w:space="0" w:color="auto"/>
            <w:right w:val="none" w:sz="0" w:space="0" w:color="auto"/>
          </w:divBdr>
        </w:div>
      </w:divsChild>
    </w:div>
    <w:div w:id="1166439845">
      <w:bodyDiv w:val="1"/>
      <w:marLeft w:val="0"/>
      <w:marRight w:val="0"/>
      <w:marTop w:val="0"/>
      <w:marBottom w:val="0"/>
      <w:divBdr>
        <w:top w:val="none" w:sz="0" w:space="0" w:color="auto"/>
        <w:left w:val="none" w:sz="0" w:space="0" w:color="auto"/>
        <w:bottom w:val="none" w:sz="0" w:space="0" w:color="auto"/>
        <w:right w:val="none" w:sz="0" w:space="0" w:color="auto"/>
      </w:divBdr>
      <w:divsChild>
        <w:div w:id="1154876611">
          <w:marLeft w:val="0"/>
          <w:marRight w:val="0"/>
          <w:marTop w:val="0"/>
          <w:marBottom w:val="0"/>
          <w:divBdr>
            <w:top w:val="none" w:sz="0" w:space="0" w:color="auto"/>
            <w:left w:val="none" w:sz="0" w:space="0" w:color="auto"/>
            <w:bottom w:val="none" w:sz="0" w:space="0" w:color="auto"/>
            <w:right w:val="none" w:sz="0" w:space="0" w:color="auto"/>
          </w:divBdr>
        </w:div>
      </w:divsChild>
    </w:div>
    <w:div w:id="1166476298">
      <w:bodyDiv w:val="1"/>
      <w:marLeft w:val="0"/>
      <w:marRight w:val="0"/>
      <w:marTop w:val="0"/>
      <w:marBottom w:val="0"/>
      <w:divBdr>
        <w:top w:val="none" w:sz="0" w:space="0" w:color="auto"/>
        <w:left w:val="none" w:sz="0" w:space="0" w:color="auto"/>
        <w:bottom w:val="none" w:sz="0" w:space="0" w:color="auto"/>
        <w:right w:val="none" w:sz="0" w:space="0" w:color="auto"/>
      </w:divBdr>
    </w:div>
    <w:div w:id="1194615463">
      <w:bodyDiv w:val="1"/>
      <w:marLeft w:val="0"/>
      <w:marRight w:val="0"/>
      <w:marTop w:val="0"/>
      <w:marBottom w:val="0"/>
      <w:divBdr>
        <w:top w:val="none" w:sz="0" w:space="0" w:color="auto"/>
        <w:left w:val="none" w:sz="0" w:space="0" w:color="auto"/>
        <w:bottom w:val="none" w:sz="0" w:space="0" w:color="auto"/>
        <w:right w:val="none" w:sz="0" w:space="0" w:color="auto"/>
      </w:divBdr>
      <w:divsChild>
        <w:div w:id="131753850">
          <w:marLeft w:val="0"/>
          <w:marRight w:val="0"/>
          <w:marTop w:val="0"/>
          <w:marBottom w:val="0"/>
          <w:divBdr>
            <w:top w:val="none" w:sz="0" w:space="0" w:color="auto"/>
            <w:left w:val="none" w:sz="0" w:space="0" w:color="auto"/>
            <w:bottom w:val="none" w:sz="0" w:space="0" w:color="auto"/>
            <w:right w:val="none" w:sz="0" w:space="0" w:color="auto"/>
          </w:divBdr>
        </w:div>
      </w:divsChild>
    </w:div>
    <w:div w:id="1194687114">
      <w:bodyDiv w:val="1"/>
      <w:marLeft w:val="0"/>
      <w:marRight w:val="0"/>
      <w:marTop w:val="0"/>
      <w:marBottom w:val="0"/>
      <w:divBdr>
        <w:top w:val="none" w:sz="0" w:space="0" w:color="auto"/>
        <w:left w:val="none" w:sz="0" w:space="0" w:color="auto"/>
        <w:bottom w:val="none" w:sz="0" w:space="0" w:color="auto"/>
        <w:right w:val="none" w:sz="0" w:space="0" w:color="auto"/>
      </w:divBdr>
    </w:div>
    <w:div w:id="1198274750">
      <w:bodyDiv w:val="1"/>
      <w:marLeft w:val="0"/>
      <w:marRight w:val="0"/>
      <w:marTop w:val="0"/>
      <w:marBottom w:val="0"/>
      <w:divBdr>
        <w:top w:val="none" w:sz="0" w:space="0" w:color="auto"/>
        <w:left w:val="none" w:sz="0" w:space="0" w:color="auto"/>
        <w:bottom w:val="none" w:sz="0" w:space="0" w:color="auto"/>
        <w:right w:val="none" w:sz="0" w:space="0" w:color="auto"/>
      </w:divBdr>
    </w:div>
    <w:div w:id="1212695085">
      <w:bodyDiv w:val="1"/>
      <w:marLeft w:val="0"/>
      <w:marRight w:val="0"/>
      <w:marTop w:val="0"/>
      <w:marBottom w:val="0"/>
      <w:divBdr>
        <w:top w:val="none" w:sz="0" w:space="0" w:color="auto"/>
        <w:left w:val="none" w:sz="0" w:space="0" w:color="auto"/>
        <w:bottom w:val="none" w:sz="0" w:space="0" w:color="auto"/>
        <w:right w:val="none" w:sz="0" w:space="0" w:color="auto"/>
      </w:divBdr>
    </w:div>
    <w:div w:id="1276866053">
      <w:bodyDiv w:val="1"/>
      <w:marLeft w:val="0"/>
      <w:marRight w:val="0"/>
      <w:marTop w:val="0"/>
      <w:marBottom w:val="0"/>
      <w:divBdr>
        <w:top w:val="none" w:sz="0" w:space="0" w:color="auto"/>
        <w:left w:val="none" w:sz="0" w:space="0" w:color="auto"/>
        <w:bottom w:val="none" w:sz="0" w:space="0" w:color="auto"/>
        <w:right w:val="none" w:sz="0" w:space="0" w:color="auto"/>
      </w:divBdr>
    </w:div>
    <w:div w:id="1296444338">
      <w:marLeft w:val="0"/>
      <w:marRight w:val="0"/>
      <w:marTop w:val="0"/>
      <w:marBottom w:val="0"/>
      <w:divBdr>
        <w:top w:val="none" w:sz="0" w:space="0" w:color="auto"/>
        <w:left w:val="none" w:sz="0" w:space="0" w:color="auto"/>
        <w:bottom w:val="none" w:sz="0" w:space="0" w:color="auto"/>
        <w:right w:val="none" w:sz="0" w:space="0" w:color="auto"/>
      </w:divBdr>
    </w:div>
    <w:div w:id="1296444339">
      <w:marLeft w:val="0"/>
      <w:marRight w:val="0"/>
      <w:marTop w:val="0"/>
      <w:marBottom w:val="0"/>
      <w:divBdr>
        <w:top w:val="none" w:sz="0" w:space="0" w:color="auto"/>
        <w:left w:val="none" w:sz="0" w:space="0" w:color="auto"/>
        <w:bottom w:val="none" w:sz="0" w:space="0" w:color="auto"/>
        <w:right w:val="none" w:sz="0" w:space="0" w:color="auto"/>
      </w:divBdr>
    </w:div>
    <w:div w:id="1296444340">
      <w:marLeft w:val="0"/>
      <w:marRight w:val="0"/>
      <w:marTop w:val="0"/>
      <w:marBottom w:val="0"/>
      <w:divBdr>
        <w:top w:val="none" w:sz="0" w:space="0" w:color="auto"/>
        <w:left w:val="none" w:sz="0" w:space="0" w:color="auto"/>
        <w:bottom w:val="none" w:sz="0" w:space="0" w:color="auto"/>
        <w:right w:val="none" w:sz="0" w:space="0" w:color="auto"/>
      </w:divBdr>
    </w:div>
    <w:div w:id="1296444341">
      <w:marLeft w:val="0"/>
      <w:marRight w:val="0"/>
      <w:marTop w:val="0"/>
      <w:marBottom w:val="0"/>
      <w:divBdr>
        <w:top w:val="none" w:sz="0" w:space="0" w:color="auto"/>
        <w:left w:val="none" w:sz="0" w:space="0" w:color="auto"/>
        <w:bottom w:val="none" w:sz="0" w:space="0" w:color="auto"/>
        <w:right w:val="none" w:sz="0" w:space="0" w:color="auto"/>
      </w:divBdr>
    </w:div>
    <w:div w:id="1296444342">
      <w:marLeft w:val="0"/>
      <w:marRight w:val="0"/>
      <w:marTop w:val="0"/>
      <w:marBottom w:val="0"/>
      <w:divBdr>
        <w:top w:val="none" w:sz="0" w:space="0" w:color="auto"/>
        <w:left w:val="none" w:sz="0" w:space="0" w:color="auto"/>
        <w:bottom w:val="none" w:sz="0" w:space="0" w:color="auto"/>
        <w:right w:val="none" w:sz="0" w:space="0" w:color="auto"/>
      </w:divBdr>
    </w:div>
    <w:div w:id="1296444343">
      <w:marLeft w:val="0"/>
      <w:marRight w:val="0"/>
      <w:marTop w:val="0"/>
      <w:marBottom w:val="0"/>
      <w:divBdr>
        <w:top w:val="none" w:sz="0" w:space="0" w:color="auto"/>
        <w:left w:val="none" w:sz="0" w:space="0" w:color="auto"/>
        <w:bottom w:val="none" w:sz="0" w:space="0" w:color="auto"/>
        <w:right w:val="none" w:sz="0" w:space="0" w:color="auto"/>
      </w:divBdr>
    </w:div>
    <w:div w:id="1296444344">
      <w:marLeft w:val="0"/>
      <w:marRight w:val="0"/>
      <w:marTop w:val="0"/>
      <w:marBottom w:val="0"/>
      <w:divBdr>
        <w:top w:val="none" w:sz="0" w:space="0" w:color="auto"/>
        <w:left w:val="none" w:sz="0" w:space="0" w:color="auto"/>
        <w:bottom w:val="none" w:sz="0" w:space="0" w:color="auto"/>
        <w:right w:val="none" w:sz="0" w:space="0" w:color="auto"/>
      </w:divBdr>
    </w:div>
    <w:div w:id="1296444345">
      <w:marLeft w:val="0"/>
      <w:marRight w:val="0"/>
      <w:marTop w:val="0"/>
      <w:marBottom w:val="0"/>
      <w:divBdr>
        <w:top w:val="none" w:sz="0" w:space="0" w:color="auto"/>
        <w:left w:val="none" w:sz="0" w:space="0" w:color="auto"/>
        <w:bottom w:val="none" w:sz="0" w:space="0" w:color="auto"/>
        <w:right w:val="none" w:sz="0" w:space="0" w:color="auto"/>
      </w:divBdr>
    </w:div>
    <w:div w:id="1296444346">
      <w:marLeft w:val="0"/>
      <w:marRight w:val="0"/>
      <w:marTop w:val="0"/>
      <w:marBottom w:val="0"/>
      <w:divBdr>
        <w:top w:val="none" w:sz="0" w:space="0" w:color="auto"/>
        <w:left w:val="none" w:sz="0" w:space="0" w:color="auto"/>
        <w:bottom w:val="none" w:sz="0" w:space="0" w:color="auto"/>
        <w:right w:val="none" w:sz="0" w:space="0" w:color="auto"/>
      </w:divBdr>
    </w:div>
    <w:div w:id="1296444347">
      <w:marLeft w:val="0"/>
      <w:marRight w:val="0"/>
      <w:marTop w:val="0"/>
      <w:marBottom w:val="0"/>
      <w:divBdr>
        <w:top w:val="none" w:sz="0" w:space="0" w:color="auto"/>
        <w:left w:val="none" w:sz="0" w:space="0" w:color="auto"/>
        <w:bottom w:val="none" w:sz="0" w:space="0" w:color="auto"/>
        <w:right w:val="none" w:sz="0" w:space="0" w:color="auto"/>
      </w:divBdr>
    </w:div>
    <w:div w:id="1296444348">
      <w:marLeft w:val="0"/>
      <w:marRight w:val="0"/>
      <w:marTop w:val="0"/>
      <w:marBottom w:val="0"/>
      <w:divBdr>
        <w:top w:val="none" w:sz="0" w:space="0" w:color="auto"/>
        <w:left w:val="none" w:sz="0" w:space="0" w:color="auto"/>
        <w:bottom w:val="none" w:sz="0" w:space="0" w:color="auto"/>
        <w:right w:val="none" w:sz="0" w:space="0" w:color="auto"/>
      </w:divBdr>
    </w:div>
    <w:div w:id="1296444349">
      <w:marLeft w:val="0"/>
      <w:marRight w:val="0"/>
      <w:marTop w:val="0"/>
      <w:marBottom w:val="0"/>
      <w:divBdr>
        <w:top w:val="none" w:sz="0" w:space="0" w:color="auto"/>
        <w:left w:val="none" w:sz="0" w:space="0" w:color="auto"/>
        <w:bottom w:val="none" w:sz="0" w:space="0" w:color="auto"/>
        <w:right w:val="none" w:sz="0" w:space="0" w:color="auto"/>
      </w:divBdr>
    </w:div>
    <w:div w:id="1296444350">
      <w:marLeft w:val="0"/>
      <w:marRight w:val="0"/>
      <w:marTop w:val="0"/>
      <w:marBottom w:val="0"/>
      <w:divBdr>
        <w:top w:val="none" w:sz="0" w:space="0" w:color="auto"/>
        <w:left w:val="none" w:sz="0" w:space="0" w:color="auto"/>
        <w:bottom w:val="none" w:sz="0" w:space="0" w:color="auto"/>
        <w:right w:val="none" w:sz="0" w:space="0" w:color="auto"/>
      </w:divBdr>
    </w:div>
    <w:div w:id="1296444351">
      <w:marLeft w:val="0"/>
      <w:marRight w:val="0"/>
      <w:marTop w:val="0"/>
      <w:marBottom w:val="0"/>
      <w:divBdr>
        <w:top w:val="none" w:sz="0" w:space="0" w:color="auto"/>
        <w:left w:val="none" w:sz="0" w:space="0" w:color="auto"/>
        <w:bottom w:val="none" w:sz="0" w:space="0" w:color="auto"/>
        <w:right w:val="none" w:sz="0" w:space="0" w:color="auto"/>
      </w:divBdr>
    </w:div>
    <w:div w:id="1296444352">
      <w:marLeft w:val="0"/>
      <w:marRight w:val="0"/>
      <w:marTop w:val="0"/>
      <w:marBottom w:val="0"/>
      <w:divBdr>
        <w:top w:val="none" w:sz="0" w:space="0" w:color="auto"/>
        <w:left w:val="none" w:sz="0" w:space="0" w:color="auto"/>
        <w:bottom w:val="none" w:sz="0" w:space="0" w:color="auto"/>
        <w:right w:val="none" w:sz="0" w:space="0" w:color="auto"/>
      </w:divBdr>
    </w:div>
    <w:div w:id="1296444353">
      <w:marLeft w:val="0"/>
      <w:marRight w:val="0"/>
      <w:marTop w:val="0"/>
      <w:marBottom w:val="0"/>
      <w:divBdr>
        <w:top w:val="none" w:sz="0" w:space="0" w:color="auto"/>
        <w:left w:val="none" w:sz="0" w:space="0" w:color="auto"/>
        <w:bottom w:val="none" w:sz="0" w:space="0" w:color="auto"/>
        <w:right w:val="none" w:sz="0" w:space="0" w:color="auto"/>
      </w:divBdr>
    </w:div>
    <w:div w:id="1296444354">
      <w:marLeft w:val="0"/>
      <w:marRight w:val="0"/>
      <w:marTop w:val="0"/>
      <w:marBottom w:val="0"/>
      <w:divBdr>
        <w:top w:val="none" w:sz="0" w:space="0" w:color="auto"/>
        <w:left w:val="none" w:sz="0" w:space="0" w:color="auto"/>
        <w:bottom w:val="none" w:sz="0" w:space="0" w:color="auto"/>
        <w:right w:val="none" w:sz="0" w:space="0" w:color="auto"/>
      </w:divBdr>
    </w:div>
    <w:div w:id="1296444355">
      <w:marLeft w:val="0"/>
      <w:marRight w:val="0"/>
      <w:marTop w:val="0"/>
      <w:marBottom w:val="0"/>
      <w:divBdr>
        <w:top w:val="none" w:sz="0" w:space="0" w:color="auto"/>
        <w:left w:val="none" w:sz="0" w:space="0" w:color="auto"/>
        <w:bottom w:val="none" w:sz="0" w:space="0" w:color="auto"/>
        <w:right w:val="none" w:sz="0" w:space="0" w:color="auto"/>
      </w:divBdr>
    </w:div>
    <w:div w:id="1296444356">
      <w:marLeft w:val="0"/>
      <w:marRight w:val="0"/>
      <w:marTop w:val="0"/>
      <w:marBottom w:val="0"/>
      <w:divBdr>
        <w:top w:val="none" w:sz="0" w:space="0" w:color="auto"/>
        <w:left w:val="none" w:sz="0" w:space="0" w:color="auto"/>
        <w:bottom w:val="none" w:sz="0" w:space="0" w:color="auto"/>
        <w:right w:val="none" w:sz="0" w:space="0" w:color="auto"/>
      </w:divBdr>
    </w:div>
    <w:div w:id="1296444357">
      <w:marLeft w:val="0"/>
      <w:marRight w:val="0"/>
      <w:marTop w:val="0"/>
      <w:marBottom w:val="0"/>
      <w:divBdr>
        <w:top w:val="none" w:sz="0" w:space="0" w:color="auto"/>
        <w:left w:val="none" w:sz="0" w:space="0" w:color="auto"/>
        <w:bottom w:val="none" w:sz="0" w:space="0" w:color="auto"/>
        <w:right w:val="none" w:sz="0" w:space="0" w:color="auto"/>
      </w:divBdr>
    </w:div>
    <w:div w:id="1296444358">
      <w:marLeft w:val="0"/>
      <w:marRight w:val="0"/>
      <w:marTop w:val="0"/>
      <w:marBottom w:val="0"/>
      <w:divBdr>
        <w:top w:val="none" w:sz="0" w:space="0" w:color="auto"/>
        <w:left w:val="none" w:sz="0" w:space="0" w:color="auto"/>
        <w:bottom w:val="none" w:sz="0" w:space="0" w:color="auto"/>
        <w:right w:val="none" w:sz="0" w:space="0" w:color="auto"/>
      </w:divBdr>
    </w:div>
    <w:div w:id="1296444359">
      <w:marLeft w:val="0"/>
      <w:marRight w:val="0"/>
      <w:marTop w:val="0"/>
      <w:marBottom w:val="0"/>
      <w:divBdr>
        <w:top w:val="none" w:sz="0" w:space="0" w:color="auto"/>
        <w:left w:val="none" w:sz="0" w:space="0" w:color="auto"/>
        <w:bottom w:val="none" w:sz="0" w:space="0" w:color="auto"/>
        <w:right w:val="none" w:sz="0" w:space="0" w:color="auto"/>
      </w:divBdr>
    </w:div>
    <w:div w:id="1296444360">
      <w:marLeft w:val="0"/>
      <w:marRight w:val="0"/>
      <w:marTop w:val="0"/>
      <w:marBottom w:val="0"/>
      <w:divBdr>
        <w:top w:val="none" w:sz="0" w:space="0" w:color="auto"/>
        <w:left w:val="none" w:sz="0" w:space="0" w:color="auto"/>
        <w:bottom w:val="none" w:sz="0" w:space="0" w:color="auto"/>
        <w:right w:val="none" w:sz="0" w:space="0" w:color="auto"/>
      </w:divBdr>
    </w:div>
    <w:div w:id="1296444361">
      <w:marLeft w:val="0"/>
      <w:marRight w:val="0"/>
      <w:marTop w:val="0"/>
      <w:marBottom w:val="0"/>
      <w:divBdr>
        <w:top w:val="none" w:sz="0" w:space="0" w:color="auto"/>
        <w:left w:val="none" w:sz="0" w:space="0" w:color="auto"/>
        <w:bottom w:val="none" w:sz="0" w:space="0" w:color="auto"/>
        <w:right w:val="none" w:sz="0" w:space="0" w:color="auto"/>
      </w:divBdr>
    </w:div>
    <w:div w:id="1296444362">
      <w:marLeft w:val="0"/>
      <w:marRight w:val="0"/>
      <w:marTop w:val="0"/>
      <w:marBottom w:val="0"/>
      <w:divBdr>
        <w:top w:val="none" w:sz="0" w:space="0" w:color="auto"/>
        <w:left w:val="none" w:sz="0" w:space="0" w:color="auto"/>
        <w:bottom w:val="none" w:sz="0" w:space="0" w:color="auto"/>
        <w:right w:val="none" w:sz="0" w:space="0" w:color="auto"/>
      </w:divBdr>
    </w:div>
    <w:div w:id="1296444363">
      <w:marLeft w:val="0"/>
      <w:marRight w:val="0"/>
      <w:marTop w:val="0"/>
      <w:marBottom w:val="0"/>
      <w:divBdr>
        <w:top w:val="none" w:sz="0" w:space="0" w:color="auto"/>
        <w:left w:val="none" w:sz="0" w:space="0" w:color="auto"/>
        <w:bottom w:val="none" w:sz="0" w:space="0" w:color="auto"/>
        <w:right w:val="none" w:sz="0" w:space="0" w:color="auto"/>
      </w:divBdr>
    </w:div>
    <w:div w:id="1296444364">
      <w:marLeft w:val="0"/>
      <w:marRight w:val="0"/>
      <w:marTop w:val="0"/>
      <w:marBottom w:val="0"/>
      <w:divBdr>
        <w:top w:val="none" w:sz="0" w:space="0" w:color="auto"/>
        <w:left w:val="none" w:sz="0" w:space="0" w:color="auto"/>
        <w:bottom w:val="none" w:sz="0" w:space="0" w:color="auto"/>
        <w:right w:val="none" w:sz="0" w:space="0" w:color="auto"/>
      </w:divBdr>
    </w:div>
    <w:div w:id="1296444365">
      <w:marLeft w:val="0"/>
      <w:marRight w:val="0"/>
      <w:marTop w:val="0"/>
      <w:marBottom w:val="0"/>
      <w:divBdr>
        <w:top w:val="none" w:sz="0" w:space="0" w:color="auto"/>
        <w:left w:val="none" w:sz="0" w:space="0" w:color="auto"/>
        <w:bottom w:val="none" w:sz="0" w:space="0" w:color="auto"/>
        <w:right w:val="none" w:sz="0" w:space="0" w:color="auto"/>
      </w:divBdr>
    </w:div>
    <w:div w:id="1296444366">
      <w:marLeft w:val="0"/>
      <w:marRight w:val="0"/>
      <w:marTop w:val="0"/>
      <w:marBottom w:val="0"/>
      <w:divBdr>
        <w:top w:val="none" w:sz="0" w:space="0" w:color="auto"/>
        <w:left w:val="none" w:sz="0" w:space="0" w:color="auto"/>
        <w:bottom w:val="none" w:sz="0" w:space="0" w:color="auto"/>
        <w:right w:val="none" w:sz="0" w:space="0" w:color="auto"/>
      </w:divBdr>
    </w:div>
    <w:div w:id="1296444367">
      <w:marLeft w:val="0"/>
      <w:marRight w:val="0"/>
      <w:marTop w:val="0"/>
      <w:marBottom w:val="0"/>
      <w:divBdr>
        <w:top w:val="none" w:sz="0" w:space="0" w:color="auto"/>
        <w:left w:val="none" w:sz="0" w:space="0" w:color="auto"/>
        <w:bottom w:val="none" w:sz="0" w:space="0" w:color="auto"/>
        <w:right w:val="none" w:sz="0" w:space="0" w:color="auto"/>
      </w:divBdr>
    </w:div>
    <w:div w:id="1296444368">
      <w:marLeft w:val="0"/>
      <w:marRight w:val="0"/>
      <w:marTop w:val="0"/>
      <w:marBottom w:val="0"/>
      <w:divBdr>
        <w:top w:val="none" w:sz="0" w:space="0" w:color="auto"/>
        <w:left w:val="none" w:sz="0" w:space="0" w:color="auto"/>
        <w:bottom w:val="none" w:sz="0" w:space="0" w:color="auto"/>
        <w:right w:val="none" w:sz="0" w:space="0" w:color="auto"/>
      </w:divBdr>
    </w:div>
    <w:div w:id="1296444369">
      <w:marLeft w:val="0"/>
      <w:marRight w:val="0"/>
      <w:marTop w:val="0"/>
      <w:marBottom w:val="0"/>
      <w:divBdr>
        <w:top w:val="none" w:sz="0" w:space="0" w:color="auto"/>
        <w:left w:val="none" w:sz="0" w:space="0" w:color="auto"/>
        <w:bottom w:val="none" w:sz="0" w:space="0" w:color="auto"/>
        <w:right w:val="none" w:sz="0" w:space="0" w:color="auto"/>
      </w:divBdr>
    </w:div>
    <w:div w:id="1296444370">
      <w:marLeft w:val="0"/>
      <w:marRight w:val="0"/>
      <w:marTop w:val="0"/>
      <w:marBottom w:val="0"/>
      <w:divBdr>
        <w:top w:val="none" w:sz="0" w:space="0" w:color="auto"/>
        <w:left w:val="none" w:sz="0" w:space="0" w:color="auto"/>
        <w:bottom w:val="none" w:sz="0" w:space="0" w:color="auto"/>
        <w:right w:val="none" w:sz="0" w:space="0" w:color="auto"/>
      </w:divBdr>
    </w:div>
    <w:div w:id="1296444371">
      <w:marLeft w:val="0"/>
      <w:marRight w:val="0"/>
      <w:marTop w:val="0"/>
      <w:marBottom w:val="0"/>
      <w:divBdr>
        <w:top w:val="none" w:sz="0" w:space="0" w:color="auto"/>
        <w:left w:val="none" w:sz="0" w:space="0" w:color="auto"/>
        <w:bottom w:val="none" w:sz="0" w:space="0" w:color="auto"/>
        <w:right w:val="none" w:sz="0" w:space="0" w:color="auto"/>
      </w:divBdr>
    </w:div>
    <w:div w:id="1296444372">
      <w:marLeft w:val="0"/>
      <w:marRight w:val="0"/>
      <w:marTop w:val="0"/>
      <w:marBottom w:val="0"/>
      <w:divBdr>
        <w:top w:val="none" w:sz="0" w:space="0" w:color="auto"/>
        <w:left w:val="none" w:sz="0" w:space="0" w:color="auto"/>
        <w:bottom w:val="none" w:sz="0" w:space="0" w:color="auto"/>
        <w:right w:val="none" w:sz="0" w:space="0" w:color="auto"/>
      </w:divBdr>
    </w:div>
    <w:div w:id="1296444373">
      <w:marLeft w:val="0"/>
      <w:marRight w:val="0"/>
      <w:marTop w:val="0"/>
      <w:marBottom w:val="0"/>
      <w:divBdr>
        <w:top w:val="none" w:sz="0" w:space="0" w:color="auto"/>
        <w:left w:val="none" w:sz="0" w:space="0" w:color="auto"/>
        <w:bottom w:val="none" w:sz="0" w:space="0" w:color="auto"/>
        <w:right w:val="none" w:sz="0" w:space="0" w:color="auto"/>
      </w:divBdr>
    </w:div>
    <w:div w:id="1296444374">
      <w:marLeft w:val="0"/>
      <w:marRight w:val="0"/>
      <w:marTop w:val="0"/>
      <w:marBottom w:val="0"/>
      <w:divBdr>
        <w:top w:val="none" w:sz="0" w:space="0" w:color="auto"/>
        <w:left w:val="none" w:sz="0" w:space="0" w:color="auto"/>
        <w:bottom w:val="none" w:sz="0" w:space="0" w:color="auto"/>
        <w:right w:val="none" w:sz="0" w:space="0" w:color="auto"/>
      </w:divBdr>
    </w:div>
    <w:div w:id="1296444375">
      <w:marLeft w:val="0"/>
      <w:marRight w:val="0"/>
      <w:marTop w:val="0"/>
      <w:marBottom w:val="0"/>
      <w:divBdr>
        <w:top w:val="none" w:sz="0" w:space="0" w:color="auto"/>
        <w:left w:val="none" w:sz="0" w:space="0" w:color="auto"/>
        <w:bottom w:val="none" w:sz="0" w:space="0" w:color="auto"/>
        <w:right w:val="none" w:sz="0" w:space="0" w:color="auto"/>
      </w:divBdr>
    </w:div>
    <w:div w:id="1296444376">
      <w:marLeft w:val="0"/>
      <w:marRight w:val="0"/>
      <w:marTop w:val="0"/>
      <w:marBottom w:val="0"/>
      <w:divBdr>
        <w:top w:val="none" w:sz="0" w:space="0" w:color="auto"/>
        <w:left w:val="none" w:sz="0" w:space="0" w:color="auto"/>
        <w:bottom w:val="none" w:sz="0" w:space="0" w:color="auto"/>
        <w:right w:val="none" w:sz="0" w:space="0" w:color="auto"/>
      </w:divBdr>
    </w:div>
    <w:div w:id="1296444377">
      <w:marLeft w:val="0"/>
      <w:marRight w:val="0"/>
      <w:marTop w:val="0"/>
      <w:marBottom w:val="0"/>
      <w:divBdr>
        <w:top w:val="none" w:sz="0" w:space="0" w:color="auto"/>
        <w:left w:val="none" w:sz="0" w:space="0" w:color="auto"/>
        <w:bottom w:val="none" w:sz="0" w:space="0" w:color="auto"/>
        <w:right w:val="none" w:sz="0" w:space="0" w:color="auto"/>
      </w:divBdr>
    </w:div>
    <w:div w:id="1296444378">
      <w:marLeft w:val="0"/>
      <w:marRight w:val="0"/>
      <w:marTop w:val="0"/>
      <w:marBottom w:val="0"/>
      <w:divBdr>
        <w:top w:val="none" w:sz="0" w:space="0" w:color="auto"/>
        <w:left w:val="none" w:sz="0" w:space="0" w:color="auto"/>
        <w:bottom w:val="none" w:sz="0" w:space="0" w:color="auto"/>
        <w:right w:val="none" w:sz="0" w:space="0" w:color="auto"/>
      </w:divBdr>
    </w:div>
    <w:div w:id="1296444379">
      <w:marLeft w:val="0"/>
      <w:marRight w:val="0"/>
      <w:marTop w:val="0"/>
      <w:marBottom w:val="0"/>
      <w:divBdr>
        <w:top w:val="none" w:sz="0" w:space="0" w:color="auto"/>
        <w:left w:val="none" w:sz="0" w:space="0" w:color="auto"/>
        <w:bottom w:val="none" w:sz="0" w:space="0" w:color="auto"/>
        <w:right w:val="none" w:sz="0" w:space="0" w:color="auto"/>
      </w:divBdr>
    </w:div>
    <w:div w:id="1296444380">
      <w:marLeft w:val="0"/>
      <w:marRight w:val="0"/>
      <w:marTop w:val="0"/>
      <w:marBottom w:val="0"/>
      <w:divBdr>
        <w:top w:val="none" w:sz="0" w:space="0" w:color="auto"/>
        <w:left w:val="none" w:sz="0" w:space="0" w:color="auto"/>
        <w:bottom w:val="none" w:sz="0" w:space="0" w:color="auto"/>
        <w:right w:val="none" w:sz="0" w:space="0" w:color="auto"/>
      </w:divBdr>
    </w:div>
    <w:div w:id="1296444381">
      <w:marLeft w:val="0"/>
      <w:marRight w:val="0"/>
      <w:marTop w:val="0"/>
      <w:marBottom w:val="0"/>
      <w:divBdr>
        <w:top w:val="none" w:sz="0" w:space="0" w:color="auto"/>
        <w:left w:val="none" w:sz="0" w:space="0" w:color="auto"/>
        <w:bottom w:val="none" w:sz="0" w:space="0" w:color="auto"/>
        <w:right w:val="none" w:sz="0" w:space="0" w:color="auto"/>
      </w:divBdr>
    </w:div>
    <w:div w:id="1296444382">
      <w:marLeft w:val="0"/>
      <w:marRight w:val="0"/>
      <w:marTop w:val="0"/>
      <w:marBottom w:val="0"/>
      <w:divBdr>
        <w:top w:val="none" w:sz="0" w:space="0" w:color="auto"/>
        <w:left w:val="none" w:sz="0" w:space="0" w:color="auto"/>
        <w:bottom w:val="none" w:sz="0" w:space="0" w:color="auto"/>
        <w:right w:val="none" w:sz="0" w:space="0" w:color="auto"/>
      </w:divBdr>
    </w:div>
    <w:div w:id="1296444383">
      <w:marLeft w:val="0"/>
      <w:marRight w:val="0"/>
      <w:marTop w:val="0"/>
      <w:marBottom w:val="0"/>
      <w:divBdr>
        <w:top w:val="none" w:sz="0" w:space="0" w:color="auto"/>
        <w:left w:val="none" w:sz="0" w:space="0" w:color="auto"/>
        <w:bottom w:val="none" w:sz="0" w:space="0" w:color="auto"/>
        <w:right w:val="none" w:sz="0" w:space="0" w:color="auto"/>
      </w:divBdr>
    </w:div>
    <w:div w:id="1296444384">
      <w:marLeft w:val="0"/>
      <w:marRight w:val="0"/>
      <w:marTop w:val="0"/>
      <w:marBottom w:val="0"/>
      <w:divBdr>
        <w:top w:val="none" w:sz="0" w:space="0" w:color="auto"/>
        <w:left w:val="none" w:sz="0" w:space="0" w:color="auto"/>
        <w:bottom w:val="none" w:sz="0" w:space="0" w:color="auto"/>
        <w:right w:val="none" w:sz="0" w:space="0" w:color="auto"/>
      </w:divBdr>
    </w:div>
    <w:div w:id="1296444385">
      <w:marLeft w:val="0"/>
      <w:marRight w:val="0"/>
      <w:marTop w:val="0"/>
      <w:marBottom w:val="0"/>
      <w:divBdr>
        <w:top w:val="none" w:sz="0" w:space="0" w:color="auto"/>
        <w:left w:val="none" w:sz="0" w:space="0" w:color="auto"/>
        <w:bottom w:val="none" w:sz="0" w:space="0" w:color="auto"/>
        <w:right w:val="none" w:sz="0" w:space="0" w:color="auto"/>
      </w:divBdr>
    </w:div>
    <w:div w:id="1296444386">
      <w:marLeft w:val="0"/>
      <w:marRight w:val="0"/>
      <w:marTop w:val="0"/>
      <w:marBottom w:val="0"/>
      <w:divBdr>
        <w:top w:val="none" w:sz="0" w:space="0" w:color="auto"/>
        <w:left w:val="none" w:sz="0" w:space="0" w:color="auto"/>
        <w:bottom w:val="none" w:sz="0" w:space="0" w:color="auto"/>
        <w:right w:val="none" w:sz="0" w:space="0" w:color="auto"/>
      </w:divBdr>
    </w:div>
    <w:div w:id="1296444387">
      <w:marLeft w:val="0"/>
      <w:marRight w:val="0"/>
      <w:marTop w:val="0"/>
      <w:marBottom w:val="0"/>
      <w:divBdr>
        <w:top w:val="none" w:sz="0" w:space="0" w:color="auto"/>
        <w:left w:val="none" w:sz="0" w:space="0" w:color="auto"/>
        <w:bottom w:val="none" w:sz="0" w:space="0" w:color="auto"/>
        <w:right w:val="none" w:sz="0" w:space="0" w:color="auto"/>
      </w:divBdr>
    </w:div>
    <w:div w:id="1296444388">
      <w:marLeft w:val="0"/>
      <w:marRight w:val="0"/>
      <w:marTop w:val="0"/>
      <w:marBottom w:val="0"/>
      <w:divBdr>
        <w:top w:val="none" w:sz="0" w:space="0" w:color="auto"/>
        <w:left w:val="none" w:sz="0" w:space="0" w:color="auto"/>
        <w:bottom w:val="none" w:sz="0" w:space="0" w:color="auto"/>
        <w:right w:val="none" w:sz="0" w:space="0" w:color="auto"/>
      </w:divBdr>
    </w:div>
    <w:div w:id="1296444389">
      <w:marLeft w:val="0"/>
      <w:marRight w:val="0"/>
      <w:marTop w:val="0"/>
      <w:marBottom w:val="0"/>
      <w:divBdr>
        <w:top w:val="none" w:sz="0" w:space="0" w:color="auto"/>
        <w:left w:val="none" w:sz="0" w:space="0" w:color="auto"/>
        <w:bottom w:val="none" w:sz="0" w:space="0" w:color="auto"/>
        <w:right w:val="none" w:sz="0" w:space="0" w:color="auto"/>
      </w:divBdr>
    </w:div>
    <w:div w:id="1296444390">
      <w:marLeft w:val="0"/>
      <w:marRight w:val="0"/>
      <w:marTop w:val="0"/>
      <w:marBottom w:val="0"/>
      <w:divBdr>
        <w:top w:val="none" w:sz="0" w:space="0" w:color="auto"/>
        <w:left w:val="none" w:sz="0" w:space="0" w:color="auto"/>
        <w:bottom w:val="none" w:sz="0" w:space="0" w:color="auto"/>
        <w:right w:val="none" w:sz="0" w:space="0" w:color="auto"/>
      </w:divBdr>
    </w:div>
    <w:div w:id="1296444391">
      <w:marLeft w:val="0"/>
      <w:marRight w:val="0"/>
      <w:marTop w:val="0"/>
      <w:marBottom w:val="0"/>
      <w:divBdr>
        <w:top w:val="none" w:sz="0" w:space="0" w:color="auto"/>
        <w:left w:val="none" w:sz="0" w:space="0" w:color="auto"/>
        <w:bottom w:val="none" w:sz="0" w:space="0" w:color="auto"/>
        <w:right w:val="none" w:sz="0" w:space="0" w:color="auto"/>
      </w:divBdr>
    </w:div>
    <w:div w:id="1296444392">
      <w:marLeft w:val="0"/>
      <w:marRight w:val="0"/>
      <w:marTop w:val="0"/>
      <w:marBottom w:val="0"/>
      <w:divBdr>
        <w:top w:val="none" w:sz="0" w:space="0" w:color="auto"/>
        <w:left w:val="none" w:sz="0" w:space="0" w:color="auto"/>
        <w:bottom w:val="none" w:sz="0" w:space="0" w:color="auto"/>
        <w:right w:val="none" w:sz="0" w:space="0" w:color="auto"/>
      </w:divBdr>
    </w:div>
    <w:div w:id="1296444393">
      <w:marLeft w:val="0"/>
      <w:marRight w:val="0"/>
      <w:marTop w:val="0"/>
      <w:marBottom w:val="0"/>
      <w:divBdr>
        <w:top w:val="none" w:sz="0" w:space="0" w:color="auto"/>
        <w:left w:val="none" w:sz="0" w:space="0" w:color="auto"/>
        <w:bottom w:val="none" w:sz="0" w:space="0" w:color="auto"/>
        <w:right w:val="none" w:sz="0" w:space="0" w:color="auto"/>
      </w:divBdr>
    </w:div>
    <w:div w:id="1296444394">
      <w:marLeft w:val="0"/>
      <w:marRight w:val="0"/>
      <w:marTop w:val="0"/>
      <w:marBottom w:val="0"/>
      <w:divBdr>
        <w:top w:val="none" w:sz="0" w:space="0" w:color="auto"/>
        <w:left w:val="none" w:sz="0" w:space="0" w:color="auto"/>
        <w:bottom w:val="none" w:sz="0" w:space="0" w:color="auto"/>
        <w:right w:val="none" w:sz="0" w:space="0" w:color="auto"/>
      </w:divBdr>
    </w:div>
    <w:div w:id="1296444395">
      <w:marLeft w:val="0"/>
      <w:marRight w:val="0"/>
      <w:marTop w:val="0"/>
      <w:marBottom w:val="0"/>
      <w:divBdr>
        <w:top w:val="none" w:sz="0" w:space="0" w:color="auto"/>
        <w:left w:val="none" w:sz="0" w:space="0" w:color="auto"/>
        <w:bottom w:val="none" w:sz="0" w:space="0" w:color="auto"/>
        <w:right w:val="none" w:sz="0" w:space="0" w:color="auto"/>
      </w:divBdr>
    </w:div>
    <w:div w:id="1296444396">
      <w:marLeft w:val="0"/>
      <w:marRight w:val="0"/>
      <w:marTop w:val="0"/>
      <w:marBottom w:val="0"/>
      <w:divBdr>
        <w:top w:val="none" w:sz="0" w:space="0" w:color="auto"/>
        <w:left w:val="none" w:sz="0" w:space="0" w:color="auto"/>
        <w:bottom w:val="none" w:sz="0" w:space="0" w:color="auto"/>
        <w:right w:val="none" w:sz="0" w:space="0" w:color="auto"/>
      </w:divBdr>
    </w:div>
    <w:div w:id="1296444397">
      <w:marLeft w:val="0"/>
      <w:marRight w:val="0"/>
      <w:marTop w:val="0"/>
      <w:marBottom w:val="0"/>
      <w:divBdr>
        <w:top w:val="none" w:sz="0" w:space="0" w:color="auto"/>
        <w:left w:val="none" w:sz="0" w:space="0" w:color="auto"/>
        <w:bottom w:val="none" w:sz="0" w:space="0" w:color="auto"/>
        <w:right w:val="none" w:sz="0" w:space="0" w:color="auto"/>
      </w:divBdr>
    </w:div>
    <w:div w:id="1296444398">
      <w:marLeft w:val="0"/>
      <w:marRight w:val="0"/>
      <w:marTop w:val="0"/>
      <w:marBottom w:val="0"/>
      <w:divBdr>
        <w:top w:val="none" w:sz="0" w:space="0" w:color="auto"/>
        <w:left w:val="none" w:sz="0" w:space="0" w:color="auto"/>
        <w:bottom w:val="none" w:sz="0" w:space="0" w:color="auto"/>
        <w:right w:val="none" w:sz="0" w:space="0" w:color="auto"/>
      </w:divBdr>
    </w:div>
    <w:div w:id="1296444399">
      <w:marLeft w:val="0"/>
      <w:marRight w:val="0"/>
      <w:marTop w:val="0"/>
      <w:marBottom w:val="0"/>
      <w:divBdr>
        <w:top w:val="none" w:sz="0" w:space="0" w:color="auto"/>
        <w:left w:val="none" w:sz="0" w:space="0" w:color="auto"/>
        <w:bottom w:val="none" w:sz="0" w:space="0" w:color="auto"/>
        <w:right w:val="none" w:sz="0" w:space="0" w:color="auto"/>
      </w:divBdr>
    </w:div>
    <w:div w:id="1296444400">
      <w:marLeft w:val="0"/>
      <w:marRight w:val="0"/>
      <w:marTop w:val="0"/>
      <w:marBottom w:val="0"/>
      <w:divBdr>
        <w:top w:val="none" w:sz="0" w:space="0" w:color="auto"/>
        <w:left w:val="none" w:sz="0" w:space="0" w:color="auto"/>
        <w:bottom w:val="none" w:sz="0" w:space="0" w:color="auto"/>
        <w:right w:val="none" w:sz="0" w:space="0" w:color="auto"/>
      </w:divBdr>
    </w:div>
    <w:div w:id="1296444401">
      <w:marLeft w:val="0"/>
      <w:marRight w:val="0"/>
      <w:marTop w:val="0"/>
      <w:marBottom w:val="0"/>
      <w:divBdr>
        <w:top w:val="none" w:sz="0" w:space="0" w:color="auto"/>
        <w:left w:val="none" w:sz="0" w:space="0" w:color="auto"/>
        <w:bottom w:val="none" w:sz="0" w:space="0" w:color="auto"/>
        <w:right w:val="none" w:sz="0" w:space="0" w:color="auto"/>
      </w:divBdr>
    </w:div>
    <w:div w:id="1296444402">
      <w:marLeft w:val="0"/>
      <w:marRight w:val="0"/>
      <w:marTop w:val="0"/>
      <w:marBottom w:val="0"/>
      <w:divBdr>
        <w:top w:val="none" w:sz="0" w:space="0" w:color="auto"/>
        <w:left w:val="none" w:sz="0" w:space="0" w:color="auto"/>
        <w:bottom w:val="none" w:sz="0" w:space="0" w:color="auto"/>
        <w:right w:val="none" w:sz="0" w:space="0" w:color="auto"/>
      </w:divBdr>
    </w:div>
    <w:div w:id="1296444403">
      <w:marLeft w:val="0"/>
      <w:marRight w:val="0"/>
      <w:marTop w:val="0"/>
      <w:marBottom w:val="0"/>
      <w:divBdr>
        <w:top w:val="none" w:sz="0" w:space="0" w:color="auto"/>
        <w:left w:val="none" w:sz="0" w:space="0" w:color="auto"/>
        <w:bottom w:val="none" w:sz="0" w:space="0" w:color="auto"/>
        <w:right w:val="none" w:sz="0" w:space="0" w:color="auto"/>
      </w:divBdr>
    </w:div>
    <w:div w:id="1296444404">
      <w:marLeft w:val="0"/>
      <w:marRight w:val="0"/>
      <w:marTop w:val="0"/>
      <w:marBottom w:val="0"/>
      <w:divBdr>
        <w:top w:val="none" w:sz="0" w:space="0" w:color="auto"/>
        <w:left w:val="none" w:sz="0" w:space="0" w:color="auto"/>
        <w:bottom w:val="none" w:sz="0" w:space="0" w:color="auto"/>
        <w:right w:val="none" w:sz="0" w:space="0" w:color="auto"/>
      </w:divBdr>
    </w:div>
    <w:div w:id="1296444405">
      <w:marLeft w:val="0"/>
      <w:marRight w:val="0"/>
      <w:marTop w:val="0"/>
      <w:marBottom w:val="0"/>
      <w:divBdr>
        <w:top w:val="none" w:sz="0" w:space="0" w:color="auto"/>
        <w:left w:val="none" w:sz="0" w:space="0" w:color="auto"/>
        <w:bottom w:val="none" w:sz="0" w:space="0" w:color="auto"/>
        <w:right w:val="none" w:sz="0" w:space="0" w:color="auto"/>
      </w:divBdr>
    </w:div>
    <w:div w:id="1296444406">
      <w:marLeft w:val="0"/>
      <w:marRight w:val="0"/>
      <w:marTop w:val="0"/>
      <w:marBottom w:val="0"/>
      <w:divBdr>
        <w:top w:val="none" w:sz="0" w:space="0" w:color="auto"/>
        <w:left w:val="none" w:sz="0" w:space="0" w:color="auto"/>
        <w:bottom w:val="none" w:sz="0" w:space="0" w:color="auto"/>
        <w:right w:val="none" w:sz="0" w:space="0" w:color="auto"/>
      </w:divBdr>
    </w:div>
    <w:div w:id="1296444407">
      <w:marLeft w:val="0"/>
      <w:marRight w:val="0"/>
      <w:marTop w:val="0"/>
      <w:marBottom w:val="0"/>
      <w:divBdr>
        <w:top w:val="none" w:sz="0" w:space="0" w:color="auto"/>
        <w:left w:val="none" w:sz="0" w:space="0" w:color="auto"/>
        <w:bottom w:val="none" w:sz="0" w:space="0" w:color="auto"/>
        <w:right w:val="none" w:sz="0" w:space="0" w:color="auto"/>
      </w:divBdr>
    </w:div>
    <w:div w:id="1296444408">
      <w:marLeft w:val="0"/>
      <w:marRight w:val="0"/>
      <w:marTop w:val="0"/>
      <w:marBottom w:val="0"/>
      <w:divBdr>
        <w:top w:val="none" w:sz="0" w:space="0" w:color="auto"/>
        <w:left w:val="none" w:sz="0" w:space="0" w:color="auto"/>
        <w:bottom w:val="none" w:sz="0" w:space="0" w:color="auto"/>
        <w:right w:val="none" w:sz="0" w:space="0" w:color="auto"/>
      </w:divBdr>
    </w:div>
    <w:div w:id="1296444409">
      <w:marLeft w:val="0"/>
      <w:marRight w:val="0"/>
      <w:marTop w:val="0"/>
      <w:marBottom w:val="0"/>
      <w:divBdr>
        <w:top w:val="none" w:sz="0" w:space="0" w:color="auto"/>
        <w:left w:val="none" w:sz="0" w:space="0" w:color="auto"/>
        <w:bottom w:val="none" w:sz="0" w:space="0" w:color="auto"/>
        <w:right w:val="none" w:sz="0" w:space="0" w:color="auto"/>
      </w:divBdr>
    </w:div>
    <w:div w:id="1296444410">
      <w:marLeft w:val="0"/>
      <w:marRight w:val="0"/>
      <w:marTop w:val="0"/>
      <w:marBottom w:val="0"/>
      <w:divBdr>
        <w:top w:val="none" w:sz="0" w:space="0" w:color="auto"/>
        <w:left w:val="none" w:sz="0" w:space="0" w:color="auto"/>
        <w:bottom w:val="none" w:sz="0" w:space="0" w:color="auto"/>
        <w:right w:val="none" w:sz="0" w:space="0" w:color="auto"/>
      </w:divBdr>
    </w:div>
    <w:div w:id="1296444411">
      <w:marLeft w:val="0"/>
      <w:marRight w:val="0"/>
      <w:marTop w:val="0"/>
      <w:marBottom w:val="0"/>
      <w:divBdr>
        <w:top w:val="none" w:sz="0" w:space="0" w:color="auto"/>
        <w:left w:val="none" w:sz="0" w:space="0" w:color="auto"/>
        <w:bottom w:val="none" w:sz="0" w:space="0" w:color="auto"/>
        <w:right w:val="none" w:sz="0" w:space="0" w:color="auto"/>
      </w:divBdr>
    </w:div>
    <w:div w:id="1296444412">
      <w:marLeft w:val="0"/>
      <w:marRight w:val="0"/>
      <w:marTop w:val="0"/>
      <w:marBottom w:val="0"/>
      <w:divBdr>
        <w:top w:val="none" w:sz="0" w:space="0" w:color="auto"/>
        <w:left w:val="none" w:sz="0" w:space="0" w:color="auto"/>
        <w:bottom w:val="none" w:sz="0" w:space="0" w:color="auto"/>
        <w:right w:val="none" w:sz="0" w:space="0" w:color="auto"/>
      </w:divBdr>
    </w:div>
    <w:div w:id="1296444413">
      <w:marLeft w:val="0"/>
      <w:marRight w:val="0"/>
      <w:marTop w:val="0"/>
      <w:marBottom w:val="0"/>
      <w:divBdr>
        <w:top w:val="none" w:sz="0" w:space="0" w:color="auto"/>
        <w:left w:val="none" w:sz="0" w:space="0" w:color="auto"/>
        <w:bottom w:val="none" w:sz="0" w:space="0" w:color="auto"/>
        <w:right w:val="none" w:sz="0" w:space="0" w:color="auto"/>
      </w:divBdr>
    </w:div>
    <w:div w:id="1296444414">
      <w:marLeft w:val="0"/>
      <w:marRight w:val="0"/>
      <w:marTop w:val="0"/>
      <w:marBottom w:val="0"/>
      <w:divBdr>
        <w:top w:val="none" w:sz="0" w:space="0" w:color="auto"/>
        <w:left w:val="none" w:sz="0" w:space="0" w:color="auto"/>
        <w:bottom w:val="none" w:sz="0" w:space="0" w:color="auto"/>
        <w:right w:val="none" w:sz="0" w:space="0" w:color="auto"/>
      </w:divBdr>
    </w:div>
    <w:div w:id="1296444415">
      <w:marLeft w:val="0"/>
      <w:marRight w:val="0"/>
      <w:marTop w:val="0"/>
      <w:marBottom w:val="0"/>
      <w:divBdr>
        <w:top w:val="none" w:sz="0" w:space="0" w:color="auto"/>
        <w:left w:val="none" w:sz="0" w:space="0" w:color="auto"/>
        <w:bottom w:val="none" w:sz="0" w:space="0" w:color="auto"/>
        <w:right w:val="none" w:sz="0" w:space="0" w:color="auto"/>
      </w:divBdr>
    </w:div>
    <w:div w:id="1296444416">
      <w:marLeft w:val="0"/>
      <w:marRight w:val="0"/>
      <w:marTop w:val="0"/>
      <w:marBottom w:val="0"/>
      <w:divBdr>
        <w:top w:val="none" w:sz="0" w:space="0" w:color="auto"/>
        <w:left w:val="none" w:sz="0" w:space="0" w:color="auto"/>
        <w:bottom w:val="none" w:sz="0" w:space="0" w:color="auto"/>
        <w:right w:val="none" w:sz="0" w:space="0" w:color="auto"/>
      </w:divBdr>
    </w:div>
    <w:div w:id="1296444417">
      <w:marLeft w:val="0"/>
      <w:marRight w:val="0"/>
      <w:marTop w:val="0"/>
      <w:marBottom w:val="0"/>
      <w:divBdr>
        <w:top w:val="none" w:sz="0" w:space="0" w:color="auto"/>
        <w:left w:val="none" w:sz="0" w:space="0" w:color="auto"/>
        <w:bottom w:val="none" w:sz="0" w:space="0" w:color="auto"/>
        <w:right w:val="none" w:sz="0" w:space="0" w:color="auto"/>
      </w:divBdr>
    </w:div>
    <w:div w:id="1296444418">
      <w:marLeft w:val="0"/>
      <w:marRight w:val="0"/>
      <w:marTop w:val="0"/>
      <w:marBottom w:val="0"/>
      <w:divBdr>
        <w:top w:val="none" w:sz="0" w:space="0" w:color="auto"/>
        <w:left w:val="none" w:sz="0" w:space="0" w:color="auto"/>
        <w:bottom w:val="none" w:sz="0" w:space="0" w:color="auto"/>
        <w:right w:val="none" w:sz="0" w:space="0" w:color="auto"/>
      </w:divBdr>
    </w:div>
    <w:div w:id="1296444419">
      <w:marLeft w:val="0"/>
      <w:marRight w:val="0"/>
      <w:marTop w:val="0"/>
      <w:marBottom w:val="0"/>
      <w:divBdr>
        <w:top w:val="none" w:sz="0" w:space="0" w:color="auto"/>
        <w:left w:val="none" w:sz="0" w:space="0" w:color="auto"/>
        <w:bottom w:val="none" w:sz="0" w:space="0" w:color="auto"/>
        <w:right w:val="none" w:sz="0" w:space="0" w:color="auto"/>
      </w:divBdr>
    </w:div>
    <w:div w:id="1296444420">
      <w:marLeft w:val="0"/>
      <w:marRight w:val="0"/>
      <w:marTop w:val="0"/>
      <w:marBottom w:val="0"/>
      <w:divBdr>
        <w:top w:val="none" w:sz="0" w:space="0" w:color="auto"/>
        <w:left w:val="none" w:sz="0" w:space="0" w:color="auto"/>
        <w:bottom w:val="none" w:sz="0" w:space="0" w:color="auto"/>
        <w:right w:val="none" w:sz="0" w:space="0" w:color="auto"/>
      </w:divBdr>
    </w:div>
    <w:div w:id="1296444421">
      <w:marLeft w:val="0"/>
      <w:marRight w:val="0"/>
      <w:marTop w:val="0"/>
      <w:marBottom w:val="0"/>
      <w:divBdr>
        <w:top w:val="none" w:sz="0" w:space="0" w:color="auto"/>
        <w:left w:val="none" w:sz="0" w:space="0" w:color="auto"/>
        <w:bottom w:val="none" w:sz="0" w:space="0" w:color="auto"/>
        <w:right w:val="none" w:sz="0" w:space="0" w:color="auto"/>
      </w:divBdr>
    </w:div>
    <w:div w:id="1296444422">
      <w:marLeft w:val="0"/>
      <w:marRight w:val="0"/>
      <w:marTop w:val="0"/>
      <w:marBottom w:val="0"/>
      <w:divBdr>
        <w:top w:val="none" w:sz="0" w:space="0" w:color="auto"/>
        <w:left w:val="none" w:sz="0" w:space="0" w:color="auto"/>
        <w:bottom w:val="none" w:sz="0" w:space="0" w:color="auto"/>
        <w:right w:val="none" w:sz="0" w:space="0" w:color="auto"/>
      </w:divBdr>
    </w:div>
    <w:div w:id="1296444423">
      <w:marLeft w:val="0"/>
      <w:marRight w:val="0"/>
      <w:marTop w:val="0"/>
      <w:marBottom w:val="0"/>
      <w:divBdr>
        <w:top w:val="none" w:sz="0" w:space="0" w:color="auto"/>
        <w:left w:val="none" w:sz="0" w:space="0" w:color="auto"/>
        <w:bottom w:val="none" w:sz="0" w:space="0" w:color="auto"/>
        <w:right w:val="none" w:sz="0" w:space="0" w:color="auto"/>
      </w:divBdr>
    </w:div>
    <w:div w:id="1296444424">
      <w:marLeft w:val="0"/>
      <w:marRight w:val="0"/>
      <w:marTop w:val="0"/>
      <w:marBottom w:val="0"/>
      <w:divBdr>
        <w:top w:val="none" w:sz="0" w:space="0" w:color="auto"/>
        <w:left w:val="none" w:sz="0" w:space="0" w:color="auto"/>
        <w:bottom w:val="none" w:sz="0" w:space="0" w:color="auto"/>
        <w:right w:val="none" w:sz="0" w:space="0" w:color="auto"/>
      </w:divBdr>
    </w:div>
    <w:div w:id="1296444425">
      <w:marLeft w:val="0"/>
      <w:marRight w:val="0"/>
      <w:marTop w:val="0"/>
      <w:marBottom w:val="0"/>
      <w:divBdr>
        <w:top w:val="none" w:sz="0" w:space="0" w:color="auto"/>
        <w:left w:val="none" w:sz="0" w:space="0" w:color="auto"/>
        <w:bottom w:val="none" w:sz="0" w:space="0" w:color="auto"/>
        <w:right w:val="none" w:sz="0" w:space="0" w:color="auto"/>
      </w:divBdr>
    </w:div>
    <w:div w:id="1296444426">
      <w:marLeft w:val="0"/>
      <w:marRight w:val="0"/>
      <w:marTop w:val="0"/>
      <w:marBottom w:val="0"/>
      <w:divBdr>
        <w:top w:val="none" w:sz="0" w:space="0" w:color="auto"/>
        <w:left w:val="none" w:sz="0" w:space="0" w:color="auto"/>
        <w:bottom w:val="none" w:sz="0" w:space="0" w:color="auto"/>
        <w:right w:val="none" w:sz="0" w:space="0" w:color="auto"/>
      </w:divBdr>
    </w:div>
    <w:div w:id="1296444427">
      <w:marLeft w:val="0"/>
      <w:marRight w:val="0"/>
      <w:marTop w:val="0"/>
      <w:marBottom w:val="0"/>
      <w:divBdr>
        <w:top w:val="none" w:sz="0" w:space="0" w:color="auto"/>
        <w:left w:val="none" w:sz="0" w:space="0" w:color="auto"/>
        <w:bottom w:val="none" w:sz="0" w:space="0" w:color="auto"/>
        <w:right w:val="none" w:sz="0" w:space="0" w:color="auto"/>
      </w:divBdr>
    </w:div>
    <w:div w:id="1296444428">
      <w:marLeft w:val="0"/>
      <w:marRight w:val="0"/>
      <w:marTop w:val="0"/>
      <w:marBottom w:val="0"/>
      <w:divBdr>
        <w:top w:val="none" w:sz="0" w:space="0" w:color="auto"/>
        <w:left w:val="none" w:sz="0" w:space="0" w:color="auto"/>
        <w:bottom w:val="none" w:sz="0" w:space="0" w:color="auto"/>
        <w:right w:val="none" w:sz="0" w:space="0" w:color="auto"/>
      </w:divBdr>
    </w:div>
    <w:div w:id="1296444429">
      <w:marLeft w:val="0"/>
      <w:marRight w:val="0"/>
      <w:marTop w:val="0"/>
      <w:marBottom w:val="0"/>
      <w:divBdr>
        <w:top w:val="none" w:sz="0" w:space="0" w:color="auto"/>
        <w:left w:val="none" w:sz="0" w:space="0" w:color="auto"/>
        <w:bottom w:val="none" w:sz="0" w:space="0" w:color="auto"/>
        <w:right w:val="none" w:sz="0" w:space="0" w:color="auto"/>
      </w:divBdr>
    </w:div>
    <w:div w:id="1296444430">
      <w:marLeft w:val="0"/>
      <w:marRight w:val="0"/>
      <w:marTop w:val="0"/>
      <w:marBottom w:val="0"/>
      <w:divBdr>
        <w:top w:val="none" w:sz="0" w:space="0" w:color="auto"/>
        <w:left w:val="none" w:sz="0" w:space="0" w:color="auto"/>
        <w:bottom w:val="none" w:sz="0" w:space="0" w:color="auto"/>
        <w:right w:val="none" w:sz="0" w:space="0" w:color="auto"/>
      </w:divBdr>
    </w:div>
    <w:div w:id="1296444431">
      <w:marLeft w:val="0"/>
      <w:marRight w:val="0"/>
      <w:marTop w:val="0"/>
      <w:marBottom w:val="0"/>
      <w:divBdr>
        <w:top w:val="none" w:sz="0" w:space="0" w:color="auto"/>
        <w:left w:val="none" w:sz="0" w:space="0" w:color="auto"/>
        <w:bottom w:val="none" w:sz="0" w:space="0" w:color="auto"/>
        <w:right w:val="none" w:sz="0" w:space="0" w:color="auto"/>
      </w:divBdr>
    </w:div>
    <w:div w:id="1296444432">
      <w:marLeft w:val="0"/>
      <w:marRight w:val="0"/>
      <w:marTop w:val="0"/>
      <w:marBottom w:val="0"/>
      <w:divBdr>
        <w:top w:val="none" w:sz="0" w:space="0" w:color="auto"/>
        <w:left w:val="none" w:sz="0" w:space="0" w:color="auto"/>
        <w:bottom w:val="none" w:sz="0" w:space="0" w:color="auto"/>
        <w:right w:val="none" w:sz="0" w:space="0" w:color="auto"/>
      </w:divBdr>
    </w:div>
    <w:div w:id="1296444433">
      <w:marLeft w:val="0"/>
      <w:marRight w:val="0"/>
      <w:marTop w:val="0"/>
      <w:marBottom w:val="0"/>
      <w:divBdr>
        <w:top w:val="none" w:sz="0" w:space="0" w:color="auto"/>
        <w:left w:val="none" w:sz="0" w:space="0" w:color="auto"/>
        <w:bottom w:val="none" w:sz="0" w:space="0" w:color="auto"/>
        <w:right w:val="none" w:sz="0" w:space="0" w:color="auto"/>
      </w:divBdr>
    </w:div>
    <w:div w:id="1296444434">
      <w:marLeft w:val="0"/>
      <w:marRight w:val="0"/>
      <w:marTop w:val="0"/>
      <w:marBottom w:val="0"/>
      <w:divBdr>
        <w:top w:val="none" w:sz="0" w:space="0" w:color="auto"/>
        <w:left w:val="none" w:sz="0" w:space="0" w:color="auto"/>
        <w:bottom w:val="none" w:sz="0" w:space="0" w:color="auto"/>
        <w:right w:val="none" w:sz="0" w:space="0" w:color="auto"/>
      </w:divBdr>
    </w:div>
    <w:div w:id="1296444435">
      <w:marLeft w:val="0"/>
      <w:marRight w:val="0"/>
      <w:marTop w:val="0"/>
      <w:marBottom w:val="0"/>
      <w:divBdr>
        <w:top w:val="none" w:sz="0" w:space="0" w:color="auto"/>
        <w:left w:val="none" w:sz="0" w:space="0" w:color="auto"/>
        <w:bottom w:val="none" w:sz="0" w:space="0" w:color="auto"/>
        <w:right w:val="none" w:sz="0" w:space="0" w:color="auto"/>
      </w:divBdr>
    </w:div>
    <w:div w:id="1296444436">
      <w:marLeft w:val="0"/>
      <w:marRight w:val="0"/>
      <w:marTop w:val="0"/>
      <w:marBottom w:val="0"/>
      <w:divBdr>
        <w:top w:val="none" w:sz="0" w:space="0" w:color="auto"/>
        <w:left w:val="none" w:sz="0" w:space="0" w:color="auto"/>
        <w:bottom w:val="none" w:sz="0" w:space="0" w:color="auto"/>
        <w:right w:val="none" w:sz="0" w:space="0" w:color="auto"/>
      </w:divBdr>
    </w:div>
    <w:div w:id="1296444437">
      <w:marLeft w:val="0"/>
      <w:marRight w:val="0"/>
      <w:marTop w:val="0"/>
      <w:marBottom w:val="0"/>
      <w:divBdr>
        <w:top w:val="none" w:sz="0" w:space="0" w:color="auto"/>
        <w:left w:val="none" w:sz="0" w:space="0" w:color="auto"/>
        <w:bottom w:val="none" w:sz="0" w:space="0" w:color="auto"/>
        <w:right w:val="none" w:sz="0" w:space="0" w:color="auto"/>
      </w:divBdr>
    </w:div>
    <w:div w:id="1296444438">
      <w:marLeft w:val="0"/>
      <w:marRight w:val="0"/>
      <w:marTop w:val="0"/>
      <w:marBottom w:val="0"/>
      <w:divBdr>
        <w:top w:val="none" w:sz="0" w:space="0" w:color="auto"/>
        <w:left w:val="none" w:sz="0" w:space="0" w:color="auto"/>
        <w:bottom w:val="none" w:sz="0" w:space="0" w:color="auto"/>
        <w:right w:val="none" w:sz="0" w:space="0" w:color="auto"/>
      </w:divBdr>
    </w:div>
    <w:div w:id="1296444439">
      <w:marLeft w:val="0"/>
      <w:marRight w:val="0"/>
      <w:marTop w:val="0"/>
      <w:marBottom w:val="0"/>
      <w:divBdr>
        <w:top w:val="none" w:sz="0" w:space="0" w:color="auto"/>
        <w:left w:val="none" w:sz="0" w:space="0" w:color="auto"/>
        <w:bottom w:val="none" w:sz="0" w:space="0" w:color="auto"/>
        <w:right w:val="none" w:sz="0" w:space="0" w:color="auto"/>
      </w:divBdr>
    </w:div>
    <w:div w:id="1296444440">
      <w:marLeft w:val="0"/>
      <w:marRight w:val="0"/>
      <w:marTop w:val="0"/>
      <w:marBottom w:val="0"/>
      <w:divBdr>
        <w:top w:val="none" w:sz="0" w:space="0" w:color="auto"/>
        <w:left w:val="none" w:sz="0" w:space="0" w:color="auto"/>
        <w:bottom w:val="none" w:sz="0" w:space="0" w:color="auto"/>
        <w:right w:val="none" w:sz="0" w:space="0" w:color="auto"/>
      </w:divBdr>
    </w:div>
    <w:div w:id="1296444441">
      <w:marLeft w:val="0"/>
      <w:marRight w:val="0"/>
      <w:marTop w:val="0"/>
      <w:marBottom w:val="0"/>
      <w:divBdr>
        <w:top w:val="none" w:sz="0" w:space="0" w:color="auto"/>
        <w:left w:val="none" w:sz="0" w:space="0" w:color="auto"/>
        <w:bottom w:val="none" w:sz="0" w:space="0" w:color="auto"/>
        <w:right w:val="none" w:sz="0" w:space="0" w:color="auto"/>
      </w:divBdr>
    </w:div>
    <w:div w:id="1296444442">
      <w:marLeft w:val="0"/>
      <w:marRight w:val="0"/>
      <w:marTop w:val="0"/>
      <w:marBottom w:val="0"/>
      <w:divBdr>
        <w:top w:val="none" w:sz="0" w:space="0" w:color="auto"/>
        <w:left w:val="none" w:sz="0" w:space="0" w:color="auto"/>
        <w:bottom w:val="none" w:sz="0" w:space="0" w:color="auto"/>
        <w:right w:val="none" w:sz="0" w:space="0" w:color="auto"/>
      </w:divBdr>
    </w:div>
    <w:div w:id="1296444443">
      <w:marLeft w:val="0"/>
      <w:marRight w:val="0"/>
      <w:marTop w:val="0"/>
      <w:marBottom w:val="0"/>
      <w:divBdr>
        <w:top w:val="none" w:sz="0" w:space="0" w:color="auto"/>
        <w:left w:val="none" w:sz="0" w:space="0" w:color="auto"/>
        <w:bottom w:val="none" w:sz="0" w:space="0" w:color="auto"/>
        <w:right w:val="none" w:sz="0" w:space="0" w:color="auto"/>
      </w:divBdr>
    </w:div>
    <w:div w:id="1296444444">
      <w:marLeft w:val="0"/>
      <w:marRight w:val="0"/>
      <w:marTop w:val="0"/>
      <w:marBottom w:val="0"/>
      <w:divBdr>
        <w:top w:val="none" w:sz="0" w:space="0" w:color="auto"/>
        <w:left w:val="none" w:sz="0" w:space="0" w:color="auto"/>
        <w:bottom w:val="none" w:sz="0" w:space="0" w:color="auto"/>
        <w:right w:val="none" w:sz="0" w:space="0" w:color="auto"/>
      </w:divBdr>
    </w:div>
    <w:div w:id="1296444445">
      <w:marLeft w:val="0"/>
      <w:marRight w:val="0"/>
      <w:marTop w:val="0"/>
      <w:marBottom w:val="0"/>
      <w:divBdr>
        <w:top w:val="none" w:sz="0" w:space="0" w:color="auto"/>
        <w:left w:val="none" w:sz="0" w:space="0" w:color="auto"/>
        <w:bottom w:val="none" w:sz="0" w:space="0" w:color="auto"/>
        <w:right w:val="none" w:sz="0" w:space="0" w:color="auto"/>
      </w:divBdr>
    </w:div>
    <w:div w:id="1296444446">
      <w:marLeft w:val="0"/>
      <w:marRight w:val="0"/>
      <w:marTop w:val="0"/>
      <w:marBottom w:val="0"/>
      <w:divBdr>
        <w:top w:val="none" w:sz="0" w:space="0" w:color="auto"/>
        <w:left w:val="none" w:sz="0" w:space="0" w:color="auto"/>
        <w:bottom w:val="none" w:sz="0" w:space="0" w:color="auto"/>
        <w:right w:val="none" w:sz="0" w:space="0" w:color="auto"/>
      </w:divBdr>
    </w:div>
    <w:div w:id="1296444447">
      <w:marLeft w:val="0"/>
      <w:marRight w:val="0"/>
      <w:marTop w:val="0"/>
      <w:marBottom w:val="0"/>
      <w:divBdr>
        <w:top w:val="none" w:sz="0" w:space="0" w:color="auto"/>
        <w:left w:val="none" w:sz="0" w:space="0" w:color="auto"/>
        <w:bottom w:val="none" w:sz="0" w:space="0" w:color="auto"/>
        <w:right w:val="none" w:sz="0" w:space="0" w:color="auto"/>
      </w:divBdr>
    </w:div>
    <w:div w:id="1296444448">
      <w:marLeft w:val="0"/>
      <w:marRight w:val="0"/>
      <w:marTop w:val="0"/>
      <w:marBottom w:val="0"/>
      <w:divBdr>
        <w:top w:val="none" w:sz="0" w:space="0" w:color="auto"/>
        <w:left w:val="none" w:sz="0" w:space="0" w:color="auto"/>
        <w:bottom w:val="none" w:sz="0" w:space="0" w:color="auto"/>
        <w:right w:val="none" w:sz="0" w:space="0" w:color="auto"/>
      </w:divBdr>
    </w:div>
    <w:div w:id="1296444449">
      <w:marLeft w:val="0"/>
      <w:marRight w:val="0"/>
      <w:marTop w:val="0"/>
      <w:marBottom w:val="0"/>
      <w:divBdr>
        <w:top w:val="none" w:sz="0" w:space="0" w:color="auto"/>
        <w:left w:val="none" w:sz="0" w:space="0" w:color="auto"/>
        <w:bottom w:val="none" w:sz="0" w:space="0" w:color="auto"/>
        <w:right w:val="none" w:sz="0" w:space="0" w:color="auto"/>
      </w:divBdr>
    </w:div>
    <w:div w:id="1296444450">
      <w:marLeft w:val="0"/>
      <w:marRight w:val="0"/>
      <w:marTop w:val="0"/>
      <w:marBottom w:val="0"/>
      <w:divBdr>
        <w:top w:val="none" w:sz="0" w:space="0" w:color="auto"/>
        <w:left w:val="none" w:sz="0" w:space="0" w:color="auto"/>
        <w:bottom w:val="none" w:sz="0" w:space="0" w:color="auto"/>
        <w:right w:val="none" w:sz="0" w:space="0" w:color="auto"/>
      </w:divBdr>
    </w:div>
    <w:div w:id="1296444451">
      <w:marLeft w:val="0"/>
      <w:marRight w:val="0"/>
      <w:marTop w:val="0"/>
      <w:marBottom w:val="0"/>
      <w:divBdr>
        <w:top w:val="none" w:sz="0" w:space="0" w:color="auto"/>
        <w:left w:val="none" w:sz="0" w:space="0" w:color="auto"/>
        <w:bottom w:val="none" w:sz="0" w:space="0" w:color="auto"/>
        <w:right w:val="none" w:sz="0" w:space="0" w:color="auto"/>
      </w:divBdr>
    </w:div>
    <w:div w:id="1296444452">
      <w:marLeft w:val="0"/>
      <w:marRight w:val="0"/>
      <w:marTop w:val="0"/>
      <w:marBottom w:val="0"/>
      <w:divBdr>
        <w:top w:val="none" w:sz="0" w:space="0" w:color="auto"/>
        <w:left w:val="none" w:sz="0" w:space="0" w:color="auto"/>
        <w:bottom w:val="none" w:sz="0" w:space="0" w:color="auto"/>
        <w:right w:val="none" w:sz="0" w:space="0" w:color="auto"/>
      </w:divBdr>
    </w:div>
    <w:div w:id="1296444453">
      <w:marLeft w:val="0"/>
      <w:marRight w:val="0"/>
      <w:marTop w:val="0"/>
      <w:marBottom w:val="0"/>
      <w:divBdr>
        <w:top w:val="none" w:sz="0" w:space="0" w:color="auto"/>
        <w:left w:val="none" w:sz="0" w:space="0" w:color="auto"/>
        <w:bottom w:val="none" w:sz="0" w:space="0" w:color="auto"/>
        <w:right w:val="none" w:sz="0" w:space="0" w:color="auto"/>
      </w:divBdr>
    </w:div>
    <w:div w:id="1296444454">
      <w:marLeft w:val="0"/>
      <w:marRight w:val="0"/>
      <w:marTop w:val="0"/>
      <w:marBottom w:val="0"/>
      <w:divBdr>
        <w:top w:val="none" w:sz="0" w:space="0" w:color="auto"/>
        <w:left w:val="none" w:sz="0" w:space="0" w:color="auto"/>
        <w:bottom w:val="none" w:sz="0" w:space="0" w:color="auto"/>
        <w:right w:val="none" w:sz="0" w:space="0" w:color="auto"/>
      </w:divBdr>
    </w:div>
    <w:div w:id="1296444455">
      <w:marLeft w:val="0"/>
      <w:marRight w:val="0"/>
      <w:marTop w:val="0"/>
      <w:marBottom w:val="0"/>
      <w:divBdr>
        <w:top w:val="none" w:sz="0" w:space="0" w:color="auto"/>
        <w:left w:val="none" w:sz="0" w:space="0" w:color="auto"/>
        <w:bottom w:val="none" w:sz="0" w:space="0" w:color="auto"/>
        <w:right w:val="none" w:sz="0" w:space="0" w:color="auto"/>
      </w:divBdr>
    </w:div>
    <w:div w:id="1296444456">
      <w:marLeft w:val="0"/>
      <w:marRight w:val="0"/>
      <w:marTop w:val="0"/>
      <w:marBottom w:val="0"/>
      <w:divBdr>
        <w:top w:val="none" w:sz="0" w:space="0" w:color="auto"/>
        <w:left w:val="none" w:sz="0" w:space="0" w:color="auto"/>
        <w:bottom w:val="none" w:sz="0" w:space="0" w:color="auto"/>
        <w:right w:val="none" w:sz="0" w:space="0" w:color="auto"/>
      </w:divBdr>
    </w:div>
    <w:div w:id="1296444457">
      <w:marLeft w:val="0"/>
      <w:marRight w:val="0"/>
      <w:marTop w:val="0"/>
      <w:marBottom w:val="0"/>
      <w:divBdr>
        <w:top w:val="none" w:sz="0" w:space="0" w:color="auto"/>
        <w:left w:val="none" w:sz="0" w:space="0" w:color="auto"/>
        <w:bottom w:val="none" w:sz="0" w:space="0" w:color="auto"/>
        <w:right w:val="none" w:sz="0" w:space="0" w:color="auto"/>
      </w:divBdr>
    </w:div>
    <w:div w:id="1296444458">
      <w:marLeft w:val="0"/>
      <w:marRight w:val="0"/>
      <w:marTop w:val="0"/>
      <w:marBottom w:val="0"/>
      <w:divBdr>
        <w:top w:val="none" w:sz="0" w:space="0" w:color="auto"/>
        <w:left w:val="none" w:sz="0" w:space="0" w:color="auto"/>
        <w:bottom w:val="none" w:sz="0" w:space="0" w:color="auto"/>
        <w:right w:val="none" w:sz="0" w:space="0" w:color="auto"/>
      </w:divBdr>
    </w:div>
    <w:div w:id="1296444459">
      <w:marLeft w:val="0"/>
      <w:marRight w:val="0"/>
      <w:marTop w:val="0"/>
      <w:marBottom w:val="0"/>
      <w:divBdr>
        <w:top w:val="none" w:sz="0" w:space="0" w:color="auto"/>
        <w:left w:val="none" w:sz="0" w:space="0" w:color="auto"/>
        <w:bottom w:val="none" w:sz="0" w:space="0" w:color="auto"/>
        <w:right w:val="none" w:sz="0" w:space="0" w:color="auto"/>
      </w:divBdr>
    </w:div>
    <w:div w:id="1296444460">
      <w:marLeft w:val="0"/>
      <w:marRight w:val="0"/>
      <w:marTop w:val="0"/>
      <w:marBottom w:val="0"/>
      <w:divBdr>
        <w:top w:val="none" w:sz="0" w:space="0" w:color="auto"/>
        <w:left w:val="none" w:sz="0" w:space="0" w:color="auto"/>
        <w:bottom w:val="none" w:sz="0" w:space="0" w:color="auto"/>
        <w:right w:val="none" w:sz="0" w:space="0" w:color="auto"/>
      </w:divBdr>
    </w:div>
    <w:div w:id="1296444461">
      <w:marLeft w:val="0"/>
      <w:marRight w:val="0"/>
      <w:marTop w:val="0"/>
      <w:marBottom w:val="0"/>
      <w:divBdr>
        <w:top w:val="none" w:sz="0" w:space="0" w:color="auto"/>
        <w:left w:val="none" w:sz="0" w:space="0" w:color="auto"/>
        <w:bottom w:val="none" w:sz="0" w:space="0" w:color="auto"/>
        <w:right w:val="none" w:sz="0" w:space="0" w:color="auto"/>
      </w:divBdr>
    </w:div>
    <w:div w:id="1296444462">
      <w:marLeft w:val="0"/>
      <w:marRight w:val="0"/>
      <w:marTop w:val="0"/>
      <w:marBottom w:val="0"/>
      <w:divBdr>
        <w:top w:val="none" w:sz="0" w:space="0" w:color="auto"/>
        <w:left w:val="none" w:sz="0" w:space="0" w:color="auto"/>
        <w:bottom w:val="none" w:sz="0" w:space="0" w:color="auto"/>
        <w:right w:val="none" w:sz="0" w:space="0" w:color="auto"/>
      </w:divBdr>
    </w:div>
    <w:div w:id="1296444463">
      <w:marLeft w:val="0"/>
      <w:marRight w:val="0"/>
      <w:marTop w:val="0"/>
      <w:marBottom w:val="0"/>
      <w:divBdr>
        <w:top w:val="none" w:sz="0" w:space="0" w:color="auto"/>
        <w:left w:val="none" w:sz="0" w:space="0" w:color="auto"/>
        <w:bottom w:val="none" w:sz="0" w:space="0" w:color="auto"/>
        <w:right w:val="none" w:sz="0" w:space="0" w:color="auto"/>
      </w:divBdr>
    </w:div>
    <w:div w:id="1296444464">
      <w:marLeft w:val="0"/>
      <w:marRight w:val="0"/>
      <w:marTop w:val="0"/>
      <w:marBottom w:val="0"/>
      <w:divBdr>
        <w:top w:val="none" w:sz="0" w:space="0" w:color="auto"/>
        <w:left w:val="none" w:sz="0" w:space="0" w:color="auto"/>
        <w:bottom w:val="none" w:sz="0" w:space="0" w:color="auto"/>
        <w:right w:val="none" w:sz="0" w:space="0" w:color="auto"/>
      </w:divBdr>
    </w:div>
    <w:div w:id="1296444465">
      <w:marLeft w:val="0"/>
      <w:marRight w:val="0"/>
      <w:marTop w:val="0"/>
      <w:marBottom w:val="0"/>
      <w:divBdr>
        <w:top w:val="none" w:sz="0" w:space="0" w:color="auto"/>
        <w:left w:val="none" w:sz="0" w:space="0" w:color="auto"/>
        <w:bottom w:val="none" w:sz="0" w:space="0" w:color="auto"/>
        <w:right w:val="none" w:sz="0" w:space="0" w:color="auto"/>
      </w:divBdr>
    </w:div>
    <w:div w:id="1296444466">
      <w:marLeft w:val="0"/>
      <w:marRight w:val="0"/>
      <w:marTop w:val="0"/>
      <w:marBottom w:val="0"/>
      <w:divBdr>
        <w:top w:val="none" w:sz="0" w:space="0" w:color="auto"/>
        <w:left w:val="none" w:sz="0" w:space="0" w:color="auto"/>
        <w:bottom w:val="none" w:sz="0" w:space="0" w:color="auto"/>
        <w:right w:val="none" w:sz="0" w:space="0" w:color="auto"/>
      </w:divBdr>
    </w:div>
    <w:div w:id="1296444467">
      <w:marLeft w:val="0"/>
      <w:marRight w:val="0"/>
      <w:marTop w:val="0"/>
      <w:marBottom w:val="0"/>
      <w:divBdr>
        <w:top w:val="none" w:sz="0" w:space="0" w:color="auto"/>
        <w:left w:val="none" w:sz="0" w:space="0" w:color="auto"/>
        <w:bottom w:val="none" w:sz="0" w:space="0" w:color="auto"/>
        <w:right w:val="none" w:sz="0" w:space="0" w:color="auto"/>
      </w:divBdr>
    </w:div>
    <w:div w:id="1296444468">
      <w:marLeft w:val="0"/>
      <w:marRight w:val="0"/>
      <w:marTop w:val="0"/>
      <w:marBottom w:val="0"/>
      <w:divBdr>
        <w:top w:val="none" w:sz="0" w:space="0" w:color="auto"/>
        <w:left w:val="none" w:sz="0" w:space="0" w:color="auto"/>
        <w:bottom w:val="none" w:sz="0" w:space="0" w:color="auto"/>
        <w:right w:val="none" w:sz="0" w:space="0" w:color="auto"/>
      </w:divBdr>
    </w:div>
    <w:div w:id="1296444469">
      <w:marLeft w:val="0"/>
      <w:marRight w:val="0"/>
      <w:marTop w:val="0"/>
      <w:marBottom w:val="0"/>
      <w:divBdr>
        <w:top w:val="none" w:sz="0" w:space="0" w:color="auto"/>
        <w:left w:val="none" w:sz="0" w:space="0" w:color="auto"/>
        <w:bottom w:val="none" w:sz="0" w:space="0" w:color="auto"/>
        <w:right w:val="none" w:sz="0" w:space="0" w:color="auto"/>
      </w:divBdr>
    </w:div>
    <w:div w:id="1296444470">
      <w:marLeft w:val="0"/>
      <w:marRight w:val="0"/>
      <w:marTop w:val="0"/>
      <w:marBottom w:val="0"/>
      <w:divBdr>
        <w:top w:val="none" w:sz="0" w:space="0" w:color="auto"/>
        <w:left w:val="none" w:sz="0" w:space="0" w:color="auto"/>
        <w:bottom w:val="none" w:sz="0" w:space="0" w:color="auto"/>
        <w:right w:val="none" w:sz="0" w:space="0" w:color="auto"/>
      </w:divBdr>
    </w:div>
    <w:div w:id="1296444471">
      <w:marLeft w:val="0"/>
      <w:marRight w:val="0"/>
      <w:marTop w:val="0"/>
      <w:marBottom w:val="0"/>
      <w:divBdr>
        <w:top w:val="none" w:sz="0" w:space="0" w:color="auto"/>
        <w:left w:val="none" w:sz="0" w:space="0" w:color="auto"/>
        <w:bottom w:val="none" w:sz="0" w:space="0" w:color="auto"/>
        <w:right w:val="none" w:sz="0" w:space="0" w:color="auto"/>
      </w:divBdr>
    </w:div>
    <w:div w:id="1296444472">
      <w:marLeft w:val="0"/>
      <w:marRight w:val="0"/>
      <w:marTop w:val="0"/>
      <w:marBottom w:val="0"/>
      <w:divBdr>
        <w:top w:val="none" w:sz="0" w:space="0" w:color="auto"/>
        <w:left w:val="none" w:sz="0" w:space="0" w:color="auto"/>
        <w:bottom w:val="none" w:sz="0" w:space="0" w:color="auto"/>
        <w:right w:val="none" w:sz="0" w:space="0" w:color="auto"/>
      </w:divBdr>
    </w:div>
    <w:div w:id="1296444473">
      <w:marLeft w:val="0"/>
      <w:marRight w:val="0"/>
      <w:marTop w:val="0"/>
      <w:marBottom w:val="0"/>
      <w:divBdr>
        <w:top w:val="none" w:sz="0" w:space="0" w:color="auto"/>
        <w:left w:val="none" w:sz="0" w:space="0" w:color="auto"/>
        <w:bottom w:val="none" w:sz="0" w:space="0" w:color="auto"/>
        <w:right w:val="none" w:sz="0" w:space="0" w:color="auto"/>
      </w:divBdr>
    </w:div>
    <w:div w:id="1296444474">
      <w:marLeft w:val="0"/>
      <w:marRight w:val="0"/>
      <w:marTop w:val="0"/>
      <w:marBottom w:val="0"/>
      <w:divBdr>
        <w:top w:val="none" w:sz="0" w:space="0" w:color="auto"/>
        <w:left w:val="none" w:sz="0" w:space="0" w:color="auto"/>
        <w:bottom w:val="none" w:sz="0" w:space="0" w:color="auto"/>
        <w:right w:val="none" w:sz="0" w:space="0" w:color="auto"/>
      </w:divBdr>
    </w:div>
    <w:div w:id="1296444475">
      <w:marLeft w:val="0"/>
      <w:marRight w:val="0"/>
      <w:marTop w:val="0"/>
      <w:marBottom w:val="0"/>
      <w:divBdr>
        <w:top w:val="none" w:sz="0" w:space="0" w:color="auto"/>
        <w:left w:val="none" w:sz="0" w:space="0" w:color="auto"/>
        <w:bottom w:val="none" w:sz="0" w:space="0" w:color="auto"/>
        <w:right w:val="none" w:sz="0" w:space="0" w:color="auto"/>
      </w:divBdr>
    </w:div>
    <w:div w:id="1296444476">
      <w:marLeft w:val="0"/>
      <w:marRight w:val="0"/>
      <w:marTop w:val="0"/>
      <w:marBottom w:val="0"/>
      <w:divBdr>
        <w:top w:val="none" w:sz="0" w:space="0" w:color="auto"/>
        <w:left w:val="none" w:sz="0" w:space="0" w:color="auto"/>
        <w:bottom w:val="none" w:sz="0" w:space="0" w:color="auto"/>
        <w:right w:val="none" w:sz="0" w:space="0" w:color="auto"/>
      </w:divBdr>
    </w:div>
    <w:div w:id="1296444477">
      <w:marLeft w:val="0"/>
      <w:marRight w:val="0"/>
      <w:marTop w:val="0"/>
      <w:marBottom w:val="0"/>
      <w:divBdr>
        <w:top w:val="none" w:sz="0" w:space="0" w:color="auto"/>
        <w:left w:val="none" w:sz="0" w:space="0" w:color="auto"/>
        <w:bottom w:val="none" w:sz="0" w:space="0" w:color="auto"/>
        <w:right w:val="none" w:sz="0" w:space="0" w:color="auto"/>
      </w:divBdr>
    </w:div>
    <w:div w:id="1296444478">
      <w:marLeft w:val="0"/>
      <w:marRight w:val="0"/>
      <w:marTop w:val="0"/>
      <w:marBottom w:val="0"/>
      <w:divBdr>
        <w:top w:val="none" w:sz="0" w:space="0" w:color="auto"/>
        <w:left w:val="none" w:sz="0" w:space="0" w:color="auto"/>
        <w:bottom w:val="none" w:sz="0" w:space="0" w:color="auto"/>
        <w:right w:val="none" w:sz="0" w:space="0" w:color="auto"/>
      </w:divBdr>
    </w:div>
    <w:div w:id="1296444479">
      <w:marLeft w:val="0"/>
      <w:marRight w:val="0"/>
      <w:marTop w:val="0"/>
      <w:marBottom w:val="0"/>
      <w:divBdr>
        <w:top w:val="none" w:sz="0" w:space="0" w:color="auto"/>
        <w:left w:val="none" w:sz="0" w:space="0" w:color="auto"/>
        <w:bottom w:val="none" w:sz="0" w:space="0" w:color="auto"/>
        <w:right w:val="none" w:sz="0" w:space="0" w:color="auto"/>
      </w:divBdr>
    </w:div>
    <w:div w:id="1296444480">
      <w:marLeft w:val="0"/>
      <w:marRight w:val="0"/>
      <w:marTop w:val="0"/>
      <w:marBottom w:val="0"/>
      <w:divBdr>
        <w:top w:val="none" w:sz="0" w:space="0" w:color="auto"/>
        <w:left w:val="none" w:sz="0" w:space="0" w:color="auto"/>
        <w:bottom w:val="none" w:sz="0" w:space="0" w:color="auto"/>
        <w:right w:val="none" w:sz="0" w:space="0" w:color="auto"/>
      </w:divBdr>
    </w:div>
    <w:div w:id="1296444481">
      <w:marLeft w:val="0"/>
      <w:marRight w:val="0"/>
      <w:marTop w:val="0"/>
      <w:marBottom w:val="0"/>
      <w:divBdr>
        <w:top w:val="none" w:sz="0" w:space="0" w:color="auto"/>
        <w:left w:val="none" w:sz="0" w:space="0" w:color="auto"/>
        <w:bottom w:val="none" w:sz="0" w:space="0" w:color="auto"/>
        <w:right w:val="none" w:sz="0" w:space="0" w:color="auto"/>
      </w:divBdr>
    </w:div>
    <w:div w:id="1296444482">
      <w:marLeft w:val="0"/>
      <w:marRight w:val="0"/>
      <w:marTop w:val="0"/>
      <w:marBottom w:val="0"/>
      <w:divBdr>
        <w:top w:val="none" w:sz="0" w:space="0" w:color="auto"/>
        <w:left w:val="none" w:sz="0" w:space="0" w:color="auto"/>
        <w:bottom w:val="none" w:sz="0" w:space="0" w:color="auto"/>
        <w:right w:val="none" w:sz="0" w:space="0" w:color="auto"/>
      </w:divBdr>
    </w:div>
    <w:div w:id="1296444483">
      <w:marLeft w:val="0"/>
      <w:marRight w:val="0"/>
      <w:marTop w:val="0"/>
      <w:marBottom w:val="0"/>
      <w:divBdr>
        <w:top w:val="none" w:sz="0" w:space="0" w:color="auto"/>
        <w:left w:val="none" w:sz="0" w:space="0" w:color="auto"/>
        <w:bottom w:val="none" w:sz="0" w:space="0" w:color="auto"/>
        <w:right w:val="none" w:sz="0" w:space="0" w:color="auto"/>
      </w:divBdr>
    </w:div>
    <w:div w:id="1296444484">
      <w:marLeft w:val="0"/>
      <w:marRight w:val="0"/>
      <w:marTop w:val="0"/>
      <w:marBottom w:val="0"/>
      <w:divBdr>
        <w:top w:val="none" w:sz="0" w:space="0" w:color="auto"/>
        <w:left w:val="none" w:sz="0" w:space="0" w:color="auto"/>
        <w:bottom w:val="none" w:sz="0" w:space="0" w:color="auto"/>
        <w:right w:val="none" w:sz="0" w:space="0" w:color="auto"/>
      </w:divBdr>
    </w:div>
    <w:div w:id="1296444485">
      <w:marLeft w:val="0"/>
      <w:marRight w:val="0"/>
      <w:marTop w:val="0"/>
      <w:marBottom w:val="0"/>
      <w:divBdr>
        <w:top w:val="none" w:sz="0" w:space="0" w:color="auto"/>
        <w:left w:val="none" w:sz="0" w:space="0" w:color="auto"/>
        <w:bottom w:val="none" w:sz="0" w:space="0" w:color="auto"/>
        <w:right w:val="none" w:sz="0" w:space="0" w:color="auto"/>
      </w:divBdr>
    </w:div>
    <w:div w:id="1296444486">
      <w:marLeft w:val="0"/>
      <w:marRight w:val="0"/>
      <w:marTop w:val="0"/>
      <w:marBottom w:val="0"/>
      <w:divBdr>
        <w:top w:val="none" w:sz="0" w:space="0" w:color="auto"/>
        <w:left w:val="none" w:sz="0" w:space="0" w:color="auto"/>
        <w:bottom w:val="none" w:sz="0" w:space="0" w:color="auto"/>
        <w:right w:val="none" w:sz="0" w:space="0" w:color="auto"/>
      </w:divBdr>
    </w:div>
    <w:div w:id="1296444487">
      <w:marLeft w:val="0"/>
      <w:marRight w:val="0"/>
      <w:marTop w:val="0"/>
      <w:marBottom w:val="0"/>
      <w:divBdr>
        <w:top w:val="none" w:sz="0" w:space="0" w:color="auto"/>
        <w:left w:val="none" w:sz="0" w:space="0" w:color="auto"/>
        <w:bottom w:val="none" w:sz="0" w:space="0" w:color="auto"/>
        <w:right w:val="none" w:sz="0" w:space="0" w:color="auto"/>
      </w:divBdr>
    </w:div>
    <w:div w:id="1296444488">
      <w:marLeft w:val="0"/>
      <w:marRight w:val="0"/>
      <w:marTop w:val="0"/>
      <w:marBottom w:val="0"/>
      <w:divBdr>
        <w:top w:val="none" w:sz="0" w:space="0" w:color="auto"/>
        <w:left w:val="none" w:sz="0" w:space="0" w:color="auto"/>
        <w:bottom w:val="none" w:sz="0" w:space="0" w:color="auto"/>
        <w:right w:val="none" w:sz="0" w:space="0" w:color="auto"/>
      </w:divBdr>
    </w:div>
    <w:div w:id="1296444489">
      <w:marLeft w:val="0"/>
      <w:marRight w:val="0"/>
      <w:marTop w:val="0"/>
      <w:marBottom w:val="0"/>
      <w:divBdr>
        <w:top w:val="none" w:sz="0" w:space="0" w:color="auto"/>
        <w:left w:val="none" w:sz="0" w:space="0" w:color="auto"/>
        <w:bottom w:val="none" w:sz="0" w:space="0" w:color="auto"/>
        <w:right w:val="none" w:sz="0" w:space="0" w:color="auto"/>
      </w:divBdr>
    </w:div>
    <w:div w:id="1296444490">
      <w:marLeft w:val="0"/>
      <w:marRight w:val="0"/>
      <w:marTop w:val="0"/>
      <w:marBottom w:val="0"/>
      <w:divBdr>
        <w:top w:val="none" w:sz="0" w:space="0" w:color="auto"/>
        <w:left w:val="none" w:sz="0" w:space="0" w:color="auto"/>
        <w:bottom w:val="none" w:sz="0" w:space="0" w:color="auto"/>
        <w:right w:val="none" w:sz="0" w:space="0" w:color="auto"/>
      </w:divBdr>
    </w:div>
    <w:div w:id="1296444491">
      <w:marLeft w:val="0"/>
      <w:marRight w:val="0"/>
      <w:marTop w:val="0"/>
      <w:marBottom w:val="0"/>
      <w:divBdr>
        <w:top w:val="none" w:sz="0" w:space="0" w:color="auto"/>
        <w:left w:val="none" w:sz="0" w:space="0" w:color="auto"/>
        <w:bottom w:val="none" w:sz="0" w:space="0" w:color="auto"/>
        <w:right w:val="none" w:sz="0" w:space="0" w:color="auto"/>
      </w:divBdr>
    </w:div>
    <w:div w:id="1296444492">
      <w:marLeft w:val="0"/>
      <w:marRight w:val="0"/>
      <w:marTop w:val="0"/>
      <w:marBottom w:val="0"/>
      <w:divBdr>
        <w:top w:val="none" w:sz="0" w:space="0" w:color="auto"/>
        <w:left w:val="none" w:sz="0" w:space="0" w:color="auto"/>
        <w:bottom w:val="none" w:sz="0" w:space="0" w:color="auto"/>
        <w:right w:val="none" w:sz="0" w:space="0" w:color="auto"/>
      </w:divBdr>
    </w:div>
    <w:div w:id="1296444493">
      <w:marLeft w:val="0"/>
      <w:marRight w:val="0"/>
      <w:marTop w:val="0"/>
      <w:marBottom w:val="0"/>
      <w:divBdr>
        <w:top w:val="none" w:sz="0" w:space="0" w:color="auto"/>
        <w:left w:val="none" w:sz="0" w:space="0" w:color="auto"/>
        <w:bottom w:val="none" w:sz="0" w:space="0" w:color="auto"/>
        <w:right w:val="none" w:sz="0" w:space="0" w:color="auto"/>
      </w:divBdr>
    </w:div>
    <w:div w:id="1296444494">
      <w:marLeft w:val="0"/>
      <w:marRight w:val="0"/>
      <w:marTop w:val="0"/>
      <w:marBottom w:val="0"/>
      <w:divBdr>
        <w:top w:val="none" w:sz="0" w:space="0" w:color="auto"/>
        <w:left w:val="none" w:sz="0" w:space="0" w:color="auto"/>
        <w:bottom w:val="none" w:sz="0" w:space="0" w:color="auto"/>
        <w:right w:val="none" w:sz="0" w:space="0" w:color="auto"/>
      </w:divBdr>
    </w:div>
    <w:div w:id="1296444495">
      <w:marLeft w:val="0"/>
      <w:marRight w:val="0"/>
      <w:marTop w:val="0"/>
      <w:marBottom w:val="0"/>
      <w:divBdr>
        <w:top w:val="none" w:sz="0" w:space="0" w:color="auto"/>
        <w:left w:val="none" w:sz="0" w:space="0" w:color="auto"/>
        <w:bottom w:val="none" w:sz="0" w:space="0" w:color="auto"/>
        <w:right w:val="none" w:sz="0" w:space="0" w:color="auto"/>
      </w:divBdr>
    </w:div>
    <w:div w:id="1296444496">
      <w:marLeft w:val="0"/>
      <w:marRight w:val="0"/>
      <w:marTop w:val="0"/>
      <w:marBottom w:val="0"/>
      <w:divBdr>
        <w:top w:val="none" w:sz="0" w:space="0" w:color="auto"/>
        <w:left w:val="none" w:sz="0" w:space="0" w:color="auto"/>
        <w:bottom w:val="none" w:sz="0" w:space="0" w:color="auto"/>
        <w:right w:val="none" w:sz="0" w:space="0" w:color="auto"/>
      </w:divBdr>
    </w:div>
    <w:div w:id="1296444497">
      <w:marLeft w:val="0"/>
      <w:marRight w:val="0"/>
      <w:marTop w:val="0"/>
      <w:marBottom w:val="0"/>
      <w:divBdr>
        <w:top w:val="none" w:sz="0" w:space="0" w:color="auto"/>
        <w:left w:val="none" w:sz="0" w:space="0" w:color="auto"/>
        <w:bottom w:val="none" w:sz="0" w:space="0" w:color="auto"/>
        <w:right w:val="none" w:sz="0" w:space="0" w:color="auto"/>
      </w:divBdr>
    </w:div>
    <w:div w:id="1296444498">
      <w:marLeft w:val="0"/>
      <w:marRight w:val="0"/>
      <w:marTop w:val="0"/>
      <w:marBottom w:val="0"/>
      <w:divBdr>
        <w:top w:val="none" w:sz="0" w:space="0" w:color="auto"/>
        <w:left w:val="none" w:sz="0" w:space="0" w:color="auto"/>
        <w:bottom w:val="none" w:sz="0" w:space="0" w:color="auto"/>
        <w:right w:val="none" w:sz="0" w:space="0" w:color="auto"/>
      </w:divBdr>
    </w:div>
    <w:div w:id="1296444499">
      <w:marLeft w:val="0"/>
      <w:marRight w:val="0"/>
      <w:marTop w:val="0"/>
      <w:marBottom w:val="0"/>
      <w:divBdr>
        <w:top w:val="none" w:sz="0" w:space="0" w:color="auto"/>
        <w:left w:val="none" w:sz="0" w:space="0" w:color="auto"/>
        <w:bottom w:val="none" w:sz="0" w:space="0" w:color="auto"/>
        <w:right w:val="none" w:sz="0" w:space="0" w:color="auto"/>
      </w:divBdr>
    </w:div>
    <w:div w:id="1296444500">
      <w:marLeft w:val="0"/>
      <w:marRight w:val="0"/>
      <w:marTop w:val="0"/>
      <w:marBottom w:val="0"/>
      <w:divBdr>
        <w:top w:val="none" w:sz="0" w:space="0" w:color="auto"/>
        <w:left w:val="none" w:sz="0" w:space="0" w:color="auto"/>
        <w:bottom w:val="none" w:sz="0" w:space="0" w:color="auto"/>
        <w:right w:val="none" w:sz="0" w:space="0" w:color="auto"/>
      </w:divBdr>
    </w:div>
    <w:div w:id="1298149290">
      <w:bodyDiv w:val="1"/>
      <w:marLeft w:val="0"/>
      <w:marRight w:val="0"/>
      <w:marTop w:val="0"/>
      <w:marBottom w:val="0"/>
      <w:divBdr>
        <w:top w:val="none" w:sz="0" w:space="0" w:color="auto"/>
        <w:left w:val="none" w:sz="0" w:space="0" w:color="auto"/>
        <w:bottom w:val="none" w:sz="0" w:space="0" w:color="auto"/>
        <w:right w:val="none" w:sz="0" w:space="0" w:color="auto"/>
      </w:divBdr>
    </w:div>
    <w:div w:id="1305348896">
      <w:bodyDiv w:val="1"/>
      <w:marLeft w:val="0"/>
      <w:marRight w:val="0"/>
      <w:marTop w:val="0"/>
      <w:marBottom w:val="0"/>
      <w:divBdr>
        <w:top w:val="none" w:sz="0" w:space="0" w:color="auto"/>
        <w:left w:val="none" w:sz="0" w:space="0" w:color="auto"/>
        <w:bottom w:val="none" w:sz="0" w:space="0" w:color="auto"/>
        <w:right w:val="none" w:sz="0" w:space="0" w:color="auto"/>
      </w:divBdr>
      <w:divsChild>
        <w:div w:id="2049605446">
          <w:marLeft w:val="0"/>
          <w:marRight w:val="0"/>
          <w:marTop w:val="0"/>
          <w:marBottom w:val="0"/>
          <w:divBdr>
            <w:top w:val="none" w:sz="0" w:space="0" w:color="auto"/>
            <w:left w:val="none" w:sz="0" w:space="0" w:color="auto"/>
            <w:bottom w:val="none" w:sz="0" w:space="0" w:color="auto"/>
            <w:right w:val="none" w:sz="0" w:space="0" w:color="auto"/>
          </w:divBdr>
        </w:div>
      </w:divsChild>
    </w:div>
    <w:div w:id="1344622708">
      <w:bodyDiv w:val="1"/>
      <w:marLeft w:val="0"/>
      <w:marRight w:val="0"/>
      <w:marTop w:val="0"/>
      <w:marBottom w:val="0"/>
      <w:divBdr>
        <w:top w:val="none" w:sz="0" w:space="0" w:color="auto"/>
        <w:left w:val="none" w:sz="0" w:space="0" w:color="auto"/>
        <w:bottom w:val="none" w:sz="0" w:space="0" w:color="auto"/>
        <w:right w:val="none" w:sz="0" w:space="0" w:color="auto"/>
      </w:divBdr>
      <w:divsChild>
        <w:div w:id="1888181777">
          <w:marLeft w:val="0"/>
          <w:marRight w:val="0"/>
          <w:marTop w:val="0"/>
          <w:marBottom w:val="0"/>
          <w:divBdr>
            <w:top w:val="none" w:sz="0" w:space="0" w:color="auto"/>
            <w:left w:val="none" w:sz="0" w:space="0" w:color="auto"/>
            <w:bottom w:val="none" w:sz="0" w:space="0" w:color="auto"/>
            <w:right w:val="none" w:sz="0" w:space="0" w:color="auto"/>
          </w:divBdr>
        </w:div>
      </w:divsChild>
    </w:div>
    <w:div w:id="1347174608">
      <w:bodyDiv w:val="1"/>
      <w:marLeft w:val="0"/>
      <w:marRight w:val="0"/>
      <w:marTop w:val="0"/>
      <w:marBottom w:val="0"/>
      <w:divBdr>
        <w:top w:val="none" w:sz="0" w:space="0" w:color="auto"/>
        <w:left w:val="none" w:sz="0" w:space="0" w:color="auto"/>
        <w:bottom w:val="none" w:sz="0" w:space="0" w:color="auto"/>
        <w:right w:val="none" w:sz="0" w:space="0" w:color="auto"/>
      </w:divBdr>
      <w:divsChild>
        <w:div w:id="1790247231">
          <w:marLeft w:val="0"/>
          <w:marRight w:val="0"/>
          <w:marTop w:val="0"/>
          <w:marBottom w:val="0"/>
          <w:divBdr>
            <w:top w:val="none" w:sz="0" w:space="0" w:color="auto"/>
            <w:left w:val="none" w:sz="0" w:space="0" w:color="auto"/>
            <w:bottom w:val="none" w:sz="0" w:space="0" w:color="auto"/>
            <w:right w:val="none" w:sz="0" w:space="0" w:color="auto"/>
          </w:divBdr>
        </w:div>
      </w:divsChild>
    </w:div>
    <w:div w:id="1374770770">
      <w:bodyDiv w:val="1"/>
      <w:marLeft w:val="0"/>
      <w:marRight w:val="0"/>
      <w:marTop w:val="0"/>
      <w:marBottom w:val="0"/>
      <w:divBdr>
        <w:top w:val="none" w:sz="0" w:space="0" w:color="auto"/>
        <w:left w:val="none" w:sz="0" w:space="0" w:color="auto"/>
        <w:bottom w:val="none" w:sz="0" w:space="0" w:color="auto"/>
        <w:right w:val="none" w:sz="0" w:space="0" w:color="auto"/>
      </w:divBdr>
    </w:div>
    <w:div w:id="1379931416">
      <w:bodyDiv w:val="1"/>
      <w:marLeft w:val="0"/>
      <w:marRight w:val="0"/>
      <w:marTop w:val="0"/>
      <w:marBottom w:val="0"/>
      <w:divBdr>
        <w:top w:val="none" w:sz="0" w:space="0" w:color="auto"/>
        <w:left w:val="none" w:sz="0" w:space="0" w:color="auto"/>
        <w:bottom w:val="none" w:sz="0" w:space="0" w:color="auto"/>
        <w:right w:val="none" w:sz="0" w:space="0" w:color="auto"/>
      </w:divBdr>
    </w:div>
    <w:div w:id="1413620519">
      <w:bodyDiv w:val="1"/>
      <w:marLeft w:val="0"/>
      <w:marRight w:val="0"/>
      <w:marTop w:val="0"/>
      <w:marBottom w:val="0"/>
      <w:divBdr>
        <w:top w:val="none" w:sz="0" w:space="0" w:color="auto"/>
        <w:left w:val="none" w:sz="0" w:space="0" w:color="auto"/>
        <w:bottom w:val="none" w:sz="0" w:space="0" w:color="auto"/>
        <w:right w:val="none" w:sz="0" w:space="0" w:color="auto"/>
      </w:divBdr>
    </w:div>
    <w:div w:id="1437601519">
      <w:bodyDiv w:val="1"/>
      <w:marLeft w:val="0"/>
      <w:marRight w:val="0"/>
      <w:marTop w:val="0"/>
      <w:marBottom w:val="0"/>
      <w:divBdr>
        <w:top w:val="none" w:sz="0" w:space="0" w:color="auto"/>
        <w:left w:val="none" w:sz="0" w:space="0" w:color="auto"/>
        <w:bottom w:val="none" w:sz="0" w:space="0" w:color="auto"/>
        <w:right w:val="none" w:sz="0" w:space="0" w:color="auto"/>
      </w:divBdr>
    </w:div>
    <w:div w:id="1451625281">
      <w:bodyDiv w:val="1"/>
      <w:marLeft w:val="0"/>
      <w:marRight w:val="0"/>
      <w:marTop w:val="0"/>
      <w:marBottom w:val="0"/>
      <w:divBdr>
        <w:top w:val="none" w:sz="0" w:space="0" w:color="auto"/>
        <w:left w:val="none" w:sz="0" w:space="0" w:color="auto"/>
        <w:bottom w:val="none" w:sz="0" w:space="0" w:color="auto"/>
        <w:right w:val="none" w:sz="0" w:space="0" w:color="auto"/>
      </w:divBdr>
    </w:div>
    <w:div w:id="1452477362">
      <w:bodyDiv w:val="1"/>
      <w:marLeft w:val="0"/>
      <w:marRight w:val="0"/>
      <w:marTop w:val="0"/>
      <w:marBottom w:val="0"/>
      <w:divBdr>
        <w:top w:val="none" w:sz="0" w:space="0" w:color="auto"/>
        <w:left w:val="none" w:sz="0" w:space="0" w:color="auto"/>
        <w:bottom w:val="none" w:sz="0" w:space="0" w:color="auto"/>
        <w:right w:val="none" w:sz="0" w:space="0" w:color="auto"/>
      </w:divBdr>
      <w:divsChild>
        <w:div w:id="1666854277">
          <w:marLeft w:val="0"/>
          <w:marRight w:val="0"/>
          <w:marTop w:val="0"/>
          <w:marBottom w:val="0"/>
          <w:divBdr>
            <w:top w:val="none" w:sz="0" w:space="0" w:color="auto"/>
            <w:left w:val="none" w:sz="0" w:space="0" w:color="auto"/>
            <w:bottom w:val="none" w:sz="0" w:space="0" w:color="auto"/>
            <w:right w:val="none" w:sz="0" w:space="0" w:color="auto"/>
          </w:divBdr>
        </w:div>
      </w:divsChild>
    </w:div>
    <w:div w:id="1493520959">
      <w:bodyDiv w:val="1"/>
      <w:marLeft w:val="0"/>
      <w:marRight w:val="0"/>
      <w:marTop w:val="0"/>
      <w:marBottom w:val="0"/>
      <w:divBdr>
        <w:top w:val="none" w:sz="0" w:space="0" w:color="auto"/>
        <w:left w:val="none" w:sz="0" w:space="0" w:color="auto"/>
        <w:bottom w:val="none" w:sz="0" w:space="0" w:color="auto"/>
        <w:right w:val="none" w:sz="0" w:space="0" w:color="auto"/>
      </w:divBdr>
      <w:divsChild>
        <w:div w:id="1729723256">
          <w:marLeft w:val="0"/>
          <w:marRight w:val="0"/>
          <w:marTop w:val="0"/>
          <w:marBottom w:val="0"/>
          <w:divBdr>
            <w:top w:val="none" w:sz="0" w:space="0" w:color="auto"/>
            <w:left w:val="none" w:sz="0" w:space="0" w:color="auto"/>
            <w:bottom w:val="none" w:sz="0" w:space="0" w:color="auto"/>
            <w:right w:val="none" w:sz="0" w:space="0" w:color="auto"/>
          </w:divBdr>
        </w:div>
      </w:divsChild>
    </w:div>
    <w:div w:id="1533230116">
      <w:bodyDiv w:val="1"/>
      <w:marLeft w:val="0"/>
      <w:marRight w:val="0"/>
      <w:marTop w:val="0"/>
      <w:marBottom w:val="0"/>
      <w:divBdr>
        <w:top w:val="none" w:sz="0" w:space="0" w:color="auto"/>
        <w:left w:val="none" w:sz="0" w:space="0" w:color="auto"/>
        <w:bottom w:val="none" w:sz="0" w:space="0" w:color="auto"/>
        <w:right w:val="none" w:sz="0" w:space="0" w:color="auto"/>
      </w:divBdr>
      <w:divsChild>
        <w:div w:id="2038506961">
          <w:marLeft w:val="0"/>
          <w:marRight w:val="0"/>
          <w:marTop w:val="0"/>
          <w:marBottom w:val="0"/>
          <w:divBdr>
            <w:top w:val="none" w:sz="0" w:space="0" w:color="auto"/>
            <w:left w:val="none" w:sz="0" w:space="0" w:color="auto"/>
            <w:bottom w:val="none" w:sz="0" w:space="0" w:color="auto"/>
            <w:right w:val="none" w:sz="0" w:space="0" w:color="auto"/>
          </w:divBdr>
        </w:div>
      </w:divsChild>
    </w:div>
    <w:div w:id="1554342855">
      <w:bodyDiv w:val="1"/>
      <w:marLeft w:val="0"/>
      <w:marRight w:val="0"/>
      <w:marTop w:val="0"/>
      <w:marBottom w:val="0"/>
      <w:divBdr>
        <w:top w:val="none" w:sz="0" w:space="0" w:color="auto"/>
        <w:left w:val="none" w:sz="0" w:space="0" w:color="auto"/>
        <w:bottom w:val="none" w:sz="0" w:space="0" w:color="auto"/>
        <w:right w:val="none" w:sz="0" w:space="0" w:color="auto"/>
      </w:divBdr>
      <w:divsChild>
        <w:div w:id="93061713">
          <w:marLeft w:val="0"/>
          <w:marRight w:val="0"/>
          <w:marTop w:val="0"/>
          <w:marBottom w:val="0"/>
          <w:divBdr>
            <w:top w:val="none" w:sz="0" w:space="0" w:color="auto"/>
            <w:left w:val="none" w:sz="0" w:space="0" w:color="auto"/>
            <w:bottom w:val="none" w:sz="0" w:space="0" w:color="auto"/>
            <w:right w:val="none" w:sz="0" w:space="0" w:color="auto"/>
          </w:divBdr>
        </w:div>
      </w:divsChild>
    </w:div>
    <w:div w:id="1557082047">
      <w:bodyDiv w:val="1"/>
      <w:marLeft w:val="0"/>
      <w:marRight w:val="0"/>
      <w:marTop w:val="0"/>
      <w:marBottom w:val="0"/>
      <w:divBdr>
        <w:top w:val="none" w:sz="0" w:space="0" w:color="auto"/>
        <w:left w:val="none" w:sz="0" w:space="0" w:color="auto"/>
        <w:bottom w:val="none" w:sz="0" w:space="0" w:color="auto"/>
        <w:right w:val="none" w:sz="0" w:space="0" w:color="auto"/>
      </w:divBdr>
    </w:div>
    <w:div w:id="1563902936">
      <w:bodyDiv w:val="1"/>
      <w:marLeft w:val="0"/>
      <w:marRight w:val="0"/>
      <w:marTop w:val="0"/>
      <w:marBottom w:val="0"/>
      <w:divBdr>
        <w:top w:val="none" w:sz="0" w:space="0" w:color="auto"/>
        <w:left w:val="none" w:sz="0" w:space="0" w:color="auto"/>
        <w:bottom w:val="none" w:sz="0" w:space="0" w:color="auto"/>
        <w:right w:val="none" w:sz="0" w:space="0" w:color="auto"/>
      </w:divBdr>
      <w:divsChild>
        <w:div w:id="1924488304">
          <w:marLeft w:val="0"/>
          <w:marRight w:val="0"/>
          <w:marTop w:val="0"/>
          <w:marBottom w:val="0"/>
          <w:divBdr>
            <w:top w:val="none" w:sz="0" w:space="0" w:color="auto"/>
            <w:left w:val="none" w:sz="0" w:space="0" w:color="auto"/>
            <w:bottom w:val="none" w:sz="0" w:space="0" w:color="auto"/>
            <w:right w:val="none" w:sz="0" w:space="0" w:color="auto"/>
          </w:divBdr>
        </w:div>
      </w:divsChild>
    </w:div>
    <w:div w:id="1582372741">
      <w:bodyDiv w:val="1"/>
      <w:marLeft w:val="0"/>
      <w:marRight w:val="0"/>
      <w:marTop w:val="0"/>
      <w:marBottom w:val="0"/>
      <w:divBdr>
        <w:top w:val="none" w:sz="0" w:space="0" w:color="auto"/>
        <w:left w:val="none" w:sz="0" w:space="0" w:color="auto"/>
        <w:bottom w:val="none" w:sz="0" w:space="0" w:color="auto"/>
        <w:right w:val="none" w:sz="0" w:space="0" w:color="auto"/>
      </w:divBdr>
    </w:div>
    <w:div w:id="1583642007">
      <w:bodyDiv w:val="1"/>
      <w:marLeft w:val="0"/>
      <w:marRight w:val="0"/>
      <w:marTop w:val="0"/>
      <w:marBottom w:val="0"/>
      <w:divBdr>
        <w:top w:val="none" w:sz="0" w:space="0" w:color="auto"/>
        <w:left w:val="none" w:sz="0" w:space="0" w:color="auto"/>
        <w:bottom w:val="none" w:sz="0" w:space="0" w:color="auto"/>
        <w:right w:val="none" w:sz="0" w:space="0" w:color="auto"/>
      </w:divBdr>
    </w:div>
    <w:div w:id="1594628047">
      <w:bodyDiv w:val="1"/>
      <w:marLeft w:val="0"/>
      <w:marRight w:val="0"/>
      <w:marTop w:val="0"/>
      <w:marBottom w:val="0"/>
      <w:divBdr>
        <w:top w:val="none" w:sz="0" w:space="0" w:color="auto"/>
        <w:left w:val="none" w:sz="0" w:space="0" w:color="auto"/>
        <w:bottom w:val="none" w:sz="0" w:space="0" w:color="auto"/>
        <w:right w:val="none" w:sz="0" w:space="0" w:color="auto"/>
      </w:divBdr>
    </w:div>
    <w:div w:id="1595626119">
      <w:bodyDiv w:val="1"/>
      <w:marLeft w:val="0"/>
      <w:marRight w:val="0"/>
      <w:marTop w:val="0"/>
      <w:marBottom w:val="0"/>
      <w:divBdr>
        <w:top w:val="none" w:sz="0" w:space="0" w:color="auto"/>
        <w:left w:val="none" w:sz="0" w:space="0" w:color="auto"/>
        <w:bottom w:val="none" w:sz="0" w:space="0" w:color="auto"/>
        <w:right w:val="none" w:sz="0" w:space="0" w:color="auto"/>
      </w:divBdr>
    </w:div>
    <w:div w:id="1617634746">
      <w:bodyDiv w:val="1"/>
      <w:marLeft w:val="0"/>
      <w:marRight w:val="0"/>
      <w:marTop w:val="0"/>
      <w:marBottom w:val="0"/>
      <w:divBdr>
        <w:top w:val="none" w:sz="0" w:space="0" w:color="auto"/>
        <w:left w:val="none" w:sz="0" w:space="0" w:color="auto"/>
        <w:bottom w:val="none" w:sz="0" w:space="0" w:color="auto"/>
        <w:right w:val="none" w:sz="0" w:space="0" w:color="auto"/>
      </w:divBdr>
      <w:divsChild>
        <w:div w:id="81731702">
          <w:marLeft w:val="0"/>
          <w:marRight w:val="0"/>
          <w:marTop w:val="0"/>
          <w:marBottom w:val="0"/>
          <w:divBdr>
            <w:top w:val="none" w:sz="0" w:space="0" w:color="auto"/>
            <w:left w:val="none" w:sz="0" w:space="0" w:color="auto"/>
            <w:bottom w:val="none" w:sz="0" w:space="0" w:color="auto"/>
            <w:right w:val="none" w:sz="0" w:space="0" w:color="auto"/>
          </w:divBdr>
        </w:div>
      </w:divsChild>
    </w:div>
    <w:div w:id="1620720537">
      <w:bodyDiv w:val="1"/>
      <w:marLeft w:val="0"/>
      <w:marRight w:val="0"/>
      <w:marTop w:val="0"/>
      <w:marBottom w:val="0"/>
      <w:divBdr>
        <w:top w:val="none" w:sz="0" w:space="0" w:color="auto"/>
        <w:left w:val="none" w:sz="0" w:space="0" w:color="auto"/>
        <w:bottom w:val="none" w:sz="0" w:space="0" w:color="auto"/>
        <w:right w:val="none" w:sz="0" w:space="0" w:color="auto"/>
      </w:divBdr>
      <w:divsChild>
        <w:div w:id="761756289">
          <w:marLeft w:val="0"/>
          <w:marRight w:val="0"/>
          <w:marTop w:val="0"/>
          <w:marBottom w:val="0"/>
          <w:divBdr>
            <w:top w:val="none" w:sz="0" w:space="0" w:color="auto"/>
            <w:left w:val="none" w:sz="0" w:space="0" w:color="auto"/>
            <w:bottom w:val="none" w:sz="0" w:space="0" w:color="auto"/>
            <w:right w:val="none" w:sz="0" w:space="0" w:color="auto"/>
          </w:divBdr>
        </w:div>
      </w:divsChild>
    </w:div>
    <w:div w:id="1664313056">
      <w:bodyDiv w:val="1"/>
      <w:marLeft w:val="0"/>
      <w:marRight w:val="0"/>
      <w:marTop w:val="0"/>
      <w:marBottom w:val="0"/>
      <w:divBdr>
        <w:top w:val="none" w:sz="0" w:space="0" w:color="auto"/>
        <w:left w:val="none" w:sz="0" w:space="0" w:color="auto"/>
        <w:bottom w:val="none" w:sz="0" w:space="0" w:color="auto"/>
        <w:right w:val="none" w:sz="0" w:space="0" w:color="auto"/>
      </w:divBdr>
    </w:div>
    <w:div w:id="1668169424">
      <w:bodyDiv w:val="1"/>
      <w:marLeft w:val="0"/>
      <w:marRight w:val="0"/>
      <w:marTop w:val="0"/>
      <w:marBottom w:val="0"/>
      <w:divBdr>
        <w:top w:val="none" w:sz="0" w:space="0" w:color="auto"/>
        <w:left w:val="none" w:sz="0" w:space="0" w:color="auto"/>
        <w:bottom w:val="none" w:sz="0" w:space="0" w:color="auto"/>
        <w:right w:val="none" w:sz="0" w:space="0" w:color="auto"/>
      </w:divBdr>
    </w:div>
    <w:div w:id="1687366850">
      <w:bodyDiv w:val="1"/>
      <w:marLeft w:val="0"/>
      <w:marRight w:val="0"/>
      <w:marTop w:val="0"/>
      <w:marBottom w:val="0"/>
      <w:divBdr>
        <w:top w:val="none" w:sz="0" w:space="0" w:color="auto"/>
        <w:left w:val="none" w:sz="0" w:space="0" w:color="auto"/>
        <w:bottom w:val="none" w:sz="0" w:space="0" w:color="auto"/>
        <w:right w:val="none" w:sz="0" w:space="0" w:color="auto"/>
      </w:divBdr>
    </w:div>
    <w:div w:id="1702901266">
      <w:bodyDiv w:val="1"/>
      <w:marLeft w:val="0"/>
      <w:marRight w:val="0"/>
      <w:marTop w:val="0"/>
      <w:marBottom w:val="0"/>
      <w:divBdr>
        <w:top w:val="none" w:sz="0" w:space="0" w:color="auto"/>
        <w:left w:val="none" w:sz="0" w:space="0" w:color="auto"/>
        <w:bottom w:val="none" w:sz="0" w:space="0" w:color="auto"/>
        <w:right w:val="none" w:sz="0" w:space="0" w:color="auto"/>
      </w:divBdr>
      <w:divsChild>
        <w:div w:id="1096822880">
          <w:marLeft w:val="0"/>
          <w:marRight w:val="0"/>
          <w:marTop w:val="0"/>
          <w:marBottom w:val="0"/>
          <w:divBdr>
            <w:top w:val="none" w:sz="0" w:space="0" w:color="auto"/>
            <w:left w:val="none" w:sz="0" w:space="0" w:color="auto"/>
            <w:bottom w:val="none" w:sz="0" w:space="0" w:color="auto"/>
            <w:right w:val="none" w:sz="0" w:space="0" w:color="auto"/>
          </w:divBdr>
        </w:div>
      </w:divsChild>
    </w:div>
    <w:div w:id="1714117925">
      <w:bodyDiv w:val="1"/>
      <w:marLeft w:val="0"/>
      <w:marRight w:val="0"/>
      <w:marTop w:val="0"/>
      <w:marBottom w:val="0"/>
      <w:divBdr>
        <w:top w:val="none" w:sz="0" w:space="0" w:color="auto"/>
        <w:left w:val="none" w:sz="0" w:space="0" w:color="auto"/>
        <w:bottom w:val="none" w:sz="0" w:space="0" w:color="auto"/>
        <w:right w:val="none" w:sz="0" w:space="0" w:color="auto"/>
      </w:divBdr>
    </w:div>
    <w:div w:id="1718118516">
      <w:bodyDiv w:val="1"/>
      <w:marLeft w:val="0"/>
      <w:marRight w:val="0"/>
      <w:marTop w:val="0"/>
      <w:marBottom w:val="0"/>
      <w:divBdr>
        <w:top w:val="none" w:sz="0" w:space="0" w:color="auto"/>
        <w:left w:val="none" w:sz="0" w:space="0" w:color="auto"/>
        <w:bottom w:val="none" w:sz="0" w:space="0" w:color="auto"/>
        <w:right w:val="none" w:sz="0" w:space="0" w:color="auto"/>
      </w:divBdr>
    </w:div>
    <w:div w:id="1739546674">
      <w:bodyDiv w:val="1"/>
      <w:marLeft w:val="0"/>
      <w:marRight w:val="0"/>
      <w:marTop w:val="0"/>
      <w:marBottom w:val="0"/>
      <w:divBdr>
        <w:top w:val="none" w:sz="0" w:space="0" w:color="auto"/>
        <w:left w:val="none" w:sz="0" w:space="0" w:color="auto"/>
        <w:bottom w:val="none" w:sz="0" w:space="0" w:color="auto"/>
        <w:right w:val="none" w:sz="0" w:space="0" w:color="auto"/>
      </w:divBdr>
    </w:div>
    <w:div w:id="1754887491">
      <w:bodyDiv w:val="1"/>
      <w:marLeft w:val="0"/>
      <w:marRight w:val="0"/>
      <w:marTop w:val="0"/>
      <w:marBottom w:val="0"/>
      <w:divBdr>
        <w:top w:val="none" w:sz="0" w:space="0" w:color="auto"/>
        <w:left w:val="none" w:sz="0" w:space="0" w:color="auto"/>
        <w:bottom w:val="none" w:sz="0" w:space="0" w:color="auto"/>
        <w:right w:val="none" w:sz="0" w:space="0" w:color="auto"/>
      </w:divBdr>
    </w:div>
    <w:div w:id="1768189848">
      <w:bodyDiv w:val="1"/>
      <w:marLeft w:val="0"/>
      <w:marRight w:val="0"/>
      <w:marTop w:val="0"/>
      <w:marBottom w:val="0"/>
      <w:divBdr>
        <w:top w:val="none" w:sz="0" w:space="0" w:color="auto"/>
        <w:left w:val="none" w:sz="0" w:space="0" w:color="auto"/>
        <w:bottom w:val="none" w:sz="0" w:space="0" w:color="auto"/>
        <w:right w:val="none" w:sz="0" w:space="0" w:color="auto"/>
      </w:divBdr>
    </w:div>
    <w:div w:id="1789397983">
      <w:bodyDiv w:val="1"/>
      <w:marLeft w:val="0"/>
      <w:marRight w:val="0"/>
      <w:marTop w:val="0"/>
      <w:marBottom w:val="0"/>
      <w:divBdr>
        <w:top w:val="none" w:sz="0" w:space="0" w:color="auto"/>
        <w:left w:val="none" w:sz="0" w:space="0" w:color="auto"/>
        <w:bottom w:val="none" w:sz="0" w:space="0" w:color="auto"/>
        <w:right w:val="none" w:sz="0" w:space="0" w:color="auto"/>
      </w:divBdr>
    </w:div>
    <w:div w:id="1799496762">
      <w:bodyDiv w:val="1"/>
      <w:marLeft w:val="0"/>
      <w:marRight w:val="0"/>
      <w:marTop w:val="0"/>
      <w:marBottom w:val="0"/>
      <w:divBdr>
        <w:top w:val="none" w:sz="0" w:space="0" w:color="auto"/>
        <w:left w:val="none" w:sz="0" w:space="0" w:color="auto"/>
        <w:bottom w:val="none" w:sz="0" w:space="0" w:color="auto"/>
        <w:right w:val="none" w:sz="0" w:space="0" w:color="auto"/>
      </w:divBdr>
      <w:divsChild>
        <w:div w:id="56897649">
          <w:marLeft w:val="0"/>
          <w:marRight w:val="0"/>
          <w:marTop w:val="0"/>
          <w:marBottom w:val="0"/>
          <w:divBdr>
            <w:top w:val="none" w:sz="0" w:space="0" w:color="auto"/>
            <w:left w:val="none" w:sz="0" w:space="0" w:color="auto"/>
            <w:bottom w:val="none" w:sz="0" w:space="0" w:color="auto"/>
            <w:right w:val="none" w:sz="0" w:space="0" w:color="auto"/>
          </w:divBdr>
        </w:div>
      </w:divsChild>
    </w:div>
    <w:div w:id="1803764173">
      <w:bodyDiv w:val="1"/>
      <w:marLeft w:val="0"/>
      <w:marRight w:val="0"/>
      <w:marTop w:val="0"/>
      <w:marBottom w:val="0"/>
      <w:divBdr>
        <w:top w:val="none" w:sz="0" w:space="0" w:color="auto"/>
        <w:left w:val="none" w:sz="0" w:space="0" w:color="auto"/>
        <w:bottom w:val="none" w:sz="0" w:space="0" w:color="auto"/>
        <w:right w:val="none" w:sz="0" w:space="0" w:color="auto"/>
      </w:divBdr>
    </w:div>
    <w:div w:id="1837451551">
      <w:bodyDiv w:val="1"/>
      <w:marLeft w:val="0"/>
      <w:marRight w:val="0"/>
      <w:marTop w:val="0"/>
      <w:marBottom w:val="0"/>
      <w:divBdr>
        <w:top w:val="none" w:sz="0" w:space="0" w:color="auto"/>
        <w:left w:val="none" w:sz="0" w:space="0" w:color="auto"/>
        <w:bottom w:val="none" w:sz="0" w:space="0" w:color="auto"/>
        <w:right w:val="none" w:sz="0" w:space="0" w:color="auto"/>
      </w:divBdr>
      <w:divsChild>
        <w:div w:id="1559437981">
          <w:marLeft w:val="0"/>
          <w:marRight w:val="0"/>
          <w:marTop w:val="0"/>
          <w:marBottom w:val="0"/>
          <w:divBdr>
            <w:top w:val="none" w:sz="0" w:space="0" w:color="auto"/>
            <w:left w:val="none" w:sz="0" w:space="0" w:color="auto"/>
            <w:bottom w:val="none" w:sz="0" w:space="0" w:color="auto"/>
            <w:right w:val="none" w:sz="0" w:space="0" w:color="auto"/>
          </w:divBdr>
        </w:div>
      </w:divsChild>
    </w:div>
    <w:div w:id="1854876972">
      <w:bodyDiv w:val="1"/>
      <w:marLeft w:val="0"/>
      <w:marRight w:val="0"/>
      <w:marTop w:val="0"/>
      <w:marBottom w:val="0"/>
      <w:divBdr>
        <w:top w:val="none" w:sz="0" w:space="0" w:color="auto"/>
        <w:left w:val="none" w:sz="0" w:space="0" w:color="auto"/>
        <w:bottom w:val="none" w:sz="0" w:space="0" w:color="auto"/>
        <w:right w:val="none" w:sz="0" w:space="0" w:color="auto"/>
      </w:divBdr>
    </w:div>
    <w:div w:id="1864436809">
      <w:bodyDiv w:val="1"/>
      <w:marLeft w:val="0"/>
      <w:marRight w:val="0"/>
      <w:marTop w:val="0"/>
      <w:marBottom w:val="0"/>
      <w:divBdr>
        <w:top w:val="none" w:sz="0" w:space="0" w:color="auto"/>
        <w:left w:val="none" w:sz="0" w:space="0" w:color="auto"/>
        <w:bottom w:val="none" w:sz="0" w:space="0" w:color="auto"/>
        <w:right w:val="none" w:sz="0" w:space="0" w:color="auto"/>
      </w:divBdr>
    </w:div>
    <w:div w:id="1872375296">
      <w:bodyDiv w:val="1"/>
      <w:marLeft w:val="0"/>
      <w:marRight w:val="0"/>
      <w:marTop w:val="0"/>
      <w:marBottom w:val="0"/>
      <w:divBdr>
        <w:top w:val="none" w:sz="0" w:space="0" w:color="auto"/>
        <w:left w:val="none" w:sz="0" w:space="0" w:color="auto"/>
        <w:bottom w:val="none" w:sz="0" w:space="0" w:color="auto"/>
        <w:right w:val="none" w:sz="0" w:space="0" w:color="auto"/>
      </w:divBdr>
      <w:divsChild>
        <w:div w:id="1436903881">
          <w:marLeft w:val="0"/>
          <w:marRight w:val="0"/>
          <w:marTop w:val="0"/>
          <w:marBottom w:val="0"/>
          <w:divBdr>
            <w:top w:val="none" w:sz="0" w:space="0" w:color="auto"/>
            <w:left w:val="none" w:sz="0" w:space="0" w:color="auto"/>
            <w:bottom w:val="none" w:sz="0" w:space="0" w:color="auto"/>
            <w:right w:val="none" w:sz="0" w:space="0" w:color="auto"/>
          </w:divBdr>
        </w:div>
      </w:divsChild>
    </w:div>
    <w:div w:id="1880580813">
      <w:bodyDiv w:val="1"/>
      <w:marLeft w:val="0"/>
      <w:marRight w:val="0"/>
      <w:marTop w:val="0"/>
      <w:marBottom w:val="0"/>
      <w:divBdr>
        <w:top w:val="none" w:sz="0" w:space="0" w:color="auto"/>
        <w:left w:val="none" w:sz="0" w:space="0" w:color="auto"/>
        <w:bottom w:val="none" w:sz="0" w:space="0" w:color="auto"/>
        <w:right w:val="none" w:sz="0" w:space="0" w:color="auto"/>
      </w:divBdr>
    </w:div>
    <w:div w:id="1888640755">
      <w:bodyDiv w:val="1"/>
      <w:marLeft w:val="0"/>
      <w:marRight w:val="0"/>
      <w:marTop w:val="0"/>
      <w:marBottom w:val="0"/>
      <w:divBdr>
        <w:top w:val="none" w:sz="0" w:space="0" w:color="auto"/>
        <w:left w:val="none" w:sz="0" w:space="0" w:color="auto"/>
        <w:bottom w:val="none" w:sz="0" w:space="0" w:color="auto"/>
        <w:right w:val="none" w:sz="0" w:space="0" w:color="auto"/>
      </w:divBdr>
    </w:div>
    <w:div w:id="1903053343">
      <w:bodyDiv w:val="1"/>
      <w:marLeft w:val="0"/>
      <w:marRight w:val="0"/>
      <w:marTop w:val="0"/>
      <w:marBottom w:val="0"/>
      <w:divBdr>
        <w:top w:val="none" w:sz="0" w:space="0" w:color="auto"/>
        <w:left w:val="none" w:sz="0" w:space="0" w:color="auto"/>
        <w:bottom w:val="none" w:sz="0" w:space="0" w:color="auto"/>
        <w:right w:val="none" w:sz="0" w:space="0" w:color="auto"/>
      </w:divBdr>
    </w:div>
    <w:div w:id="1915702316">
      <w:bodyDiv w:val="1"/>
      <w:marLeft w:val="0"/>
      <w:marRight w:val="0"/>
      <w:marTop w:val="0"/>
      <w:marBottom w:val="0"/>
      <w:divBdr>
        <w:top w:val="none" w:sz="0" w:space="0" w:color="auto"/>
        <w:left w:val="none" w:sz="0" w:space="0" w:color="auto"/>
        <w:bottom w:val="none" w:sz="0" w:space="0" w:color="auto"/>
        <w:right w:val="none" w:sz="0" w:space="0" w:color="auto"/>
      </w:divBdr>
    </w:div>
    <w:div w:id="1927229298">
      <w:bodyDiv w:val="1"/>
      <w:marLeft w:val="0"/>
      <w:marRight w:val="0"/>
      <w:marTop w:val="0"/>
      <w:marBottom w:val="0"/>
      <w:divBdr>
        <w:top w:val="none" w:sz="0" w:space="0" w:color="auto"/>
        <w:left w:val="none" w:sz="0" w:space="0" w:color="auto"/>
        <w:bottom w:val="none" w:sz="0" w:space="0" w:color="auto"/>
        <w:right w:val="none" w:sz="0" w:space="0" w:color="auto"/>
      </w:divBdr>
    </w:div>
    <w:div w:id="1928728834">
      <w:bodyDiv w:val="1"/>
      <w:marLeft w:val="0"/>
      <w:marRight w:val="0"/>
      <w:marTop w:val="0"/>
      <w:marBottom w:val="0"/>
      <w:divBdr>
        <w:top w:val="none" w:sz="0" w:space="0" w:color="auto"/>
        <w:left w:val="none" w:sz="0" w:space="0" w:color="auto"/>
        <w:bottom w:val="none" w:sz="0" w:space="0" w:color="auto"/>
        <w:right w:val="none" w:sz="0" w:space="0" w:color="auto"/>
      </w:divBdr>
      <w:divsChild>
        <w:div w:id="363558453">
          <w:marLeft w:val="0"/>
          <w:marRight w:val="0"/>
          <w:marTop w:val="0"/>
          <w:marBottom w:val="0"/>
          <w:divBdr>
            <w:top w:val="none" w:sz="0" w:space="0" w:color="auto"/>
            <w:left w:val="none" w:sz="0" w:space="0" w:color="auto"/>
            <w:bottom w:val="none" w:sz="0" w:space="0" w:color="auto"/>
            <w:right w:val="none" w:sz="0" w:space="0" w:color="auto"/>
          </w:divBdr>
        </w:div>
      </w:divsChild>
    </w:div>
    <w:div w:id="1941375207">
      <w:bodyDiv w:val="1"/>
      <w:marLeft w:val="0"/>
      <w:marRight w:val="0"/>
      <w:marTop w:val="0"/>
      <w:marBottom w:val="0"/>
      <w:divBdr>
        <w:top w:val="none" w:sz="0" w:space="0" w:color="auto"/>
        <w:left w:val="none" w:sz="0" w:space="0" w:color="auto"/>
        <w:bottom w:val="none" w:sz="0" w:space="0" w:color="auto"/>
        <w:right w:val="none" w:sz="0" w:space="0" w:color="auto"/>
      </w:divBdr>
      <w:divsChild>
        <w:div w:id="679890128">
          <w:marLeft w:val="0"/>
          <w:marRight w:val="0"/>
          <w:marTop w:val="0"/>
          <w:marBottom w:val="0"/>
          <w:divBdr>
            <w:top w:val="none" w:sz="0" w:space="0" w:color="auto"/>
            <w:left w:val="none" w:sz="0" w:space="0" w:color="auto"/>
            <w:bottom w:val="none" w:sz="0" w:space="0" w:color="auto"/>
            <w:right w:val="none" w:sz="0" w:space="0" w:color="auto"/>
          </w:divBdr>
        </w:div>
      </w:divsChild>
    </w:div>
    <w:div w:id="1951276125">
      <w:bodyDiv w:val="1"/>
      <w:marLeft w:val="0"/>
      <w:marRight w:val="0"/>
      <w:marTop w:val="0"/>
      <w:marBottom w:val="0"/>
      <w:divBdr>
        <w:top w:val="none" w:sz="0" w:space="0" w:color="auto"/>
        <w:left w:val="none" w:sz="0" w:space="0" w:color="auto"/>
        <w:bottom w:val="none" w:sz="0" w:space="0" w:color="auto"/>
        <w:right w:val="none" w:sz="0" w:space="0" w:color="auto"/>
      </w:divBdr>
    </w:div>
    <w:div w:id="1952784058">
      <w:bodyDiv w:val="1"/>
      <w:marLeft w:val="0"/>
      <w:marRight w:val="0"/>
      <w:marTop w:val="0"/>
      <w:marBottom w:val="0"/>
      <w:divBdr>
        <w:top w:val="none" w:sz="0" w:space="0" w:color="auto"/>
        <w:left w:val="none" w:sz="0" w:space="0" w:color="auto"/>
        <w:bottom w:val="none" w:sz="0" w:space="0" w:color="auto"/>
        <w:right w:val="none" w:sz="0" w:space="0" w:color="auto"/>
      </w:divBdr>
      <w:divsChild>
        <w:div w:id="173811344">
          <w:marLeft w:val="0"/>
          <w:marRight w:val="0"/>
          <w:marTop w:val="0"/>
          <w:marBottom w:val="0"/>
          <w:divBdr>
            <w:top w:val="none" w:sz="0" w:space="0" w:color="auto"/>
            <w:left w:val="none" w:sz="0" w:space="0" w:color="auto"/>
            <w:bottom w:val="none" w:sz="0" w:space="0" w:color="auto"/>
            <w:right w:val="none" w:sz="0" w:space="0" w:color="auto"/>
          </w:divBdr>
        </w:div>
      </w:divsChild>
    </w:div>
    <w:div w:id="2005158435">
      <w:bodyDiv w:val="1"/>
      <w:marLeft w:val="0"/>
      <w:marRight w:val="0"/>
      <w:marTop w:val="0"/>
      <w:marBottom w:val="0"/>
      <w:divBdr>
        <w:top w:val="none" w:sz="0" w:space="0" w:color="auto"/>
        <w:left w:val="none" w:sz="0" w:space="0" w:color="auto"/>
        <w:bottom w:val="none" w:sz="0" w:space="0" w:color="auto"/>
        <w:right w:val="none" w:sz="0" w:space="0" w:color="auto"/>
      </w:divBdr>
      <w:divsChild>
        <w:div w:id="1563129417">
          <w:marLeft w:val="0"/>
          <w:marRight w:val="0"/>
          <w:marTop w:val="0"/>
          <w:marBottom w:val="0"/>
          <w:divBdr>
            <w:top w:val="none" w:sz="0" w:space="0" w:color="auto"/>
            <w:left w:val="none" w:sz="0" w:space="0" w:color="auto"/>
            <w:bottom w:val="none" w:sz="0" w:space="0" w:color="auto"/>
            <w:right w:val="none" w:sz="0" w:space="0" w:color="auto"/>
          </w:divBdr>
        </w:div>
      </w:divsChild>
    </w:div>
    <w:div w:id="2017729628">
      <w:bodyDiv w:val="1"/>
      <w:marLeft w:val="0"/>
      <w:marRight w:val="0"/>
      <w:marTop w:val="0"/>
      <w:marBottom w:val="0"/>
      <w:divBdr>
        <w:top w:val="none" w:sz="0" w:space="0" w:color="auto"/>
        <w:left w:val="none" w:sz="0" w:space="0" w:color="auto"/>
        <w:bottom w:val="none" w:sz="0" w:space="0" w:color="auto"/>
        <w:right w:val="none" w:sz="0" w:space="0" w:color="auto"/>
      </w:divBdr>
      <w:divsChild>
        <w:div w:id="1717895248">
          <w:marLeft w:val="0"/>
          <w:marRight w:val="0"/>
          <w:marTop w:val="0"/>
          <w:marBottom w:val="0"/>
          <w:divBdr>
            <w:top w:val="none" w:sz="0" w:space="0" w:color="auto"/>
            <w:left w:val="none" w:sz="0" w:space="0" w:color="auto"/>
            <w:bottom w:val="none" w:sz="0" w:space="0" w:color="auto"/>
            <w:right w:val="none" w:sz="0" w:space="0" w:color="auto"/>
          </w:divBdr>
        </w:div>
      </w:divsChild>
    </w:div>
    <w:div w:id="2029022343">
      <w:bodyDiv w:val="1"/>
      <w:marLeft w:val="0"/>
      <w:marRight w:val="0"/>
      <w:marTop w:val="0"/>
      <w:marBottom w:val="0"/>
      <w:divBdr>
        <w:top w:val="none" w:sz="0" w:space="0" w:color="auto"/>
        <w:left w:val="none" w:sz="0" w:space="0" w:color="auto"/>
        <w:bottom w:val="none" w:sz="0" w:space="0" w:color="auto"/>
        <w:right w:val="none" w:sz="0" w:space="0" w:color="auto"/>
      </w:divBdr>
      <w:divsChild>
        <w:div w:id="1109935025">
          <w:marLeft w:val="0"/>
          <w:marRight w:val="0"/>
          <w:marTop w:val="0"/>
          <w:marBottom w:val="0"/>
          <w:divBdr>
            <w:top w:val="none" w:sz="0" w:space="0" w:color="auto"/>
            <w:left w:val="none" w:sz="0" w:space="0" w:color="auto"/>
            <w:bottom w:val="none" w:sz="0" w:space="0" w:color="auto"/>
            <w:right w:val="none" w:sz="0" w:space="0" w:color="auto"/>
          </w:divBdr>
        </w:div>
      </w:divsChild>
    </w:div>
    <w:div w:id="2055805874">
      <w:bodyDiv w:val="1"/>
      <w:marLeft w:val="0"/>
      <w:marRight w:val="0"/>
      <w:marTop w:val="0"/>
      <w:marBottom w:val="0"/>
      <w:divBdr>
        <w:top w:val="none" w:sz="0" w:space="0" w:color="auto"/>
        <w:left w:val="none" w:sz="0" w:space="0" w:color="auto"/>
        <w:bottom w:val="none" w:sz="0" w:space="0" w:color="auto"/>
        <w:right w:val="none" w:sz="0" w:space="0" w:color="auto"/>
      </w:divBdr>
      <w:divsChild>
        <w:div w:id="168064732">
          <w:marLeft w:val="0"/>
          <w:marRight w:val="0"/>
          <w:marTop w:val="0"/>
          <w:marBottom w:val="0"/>
          <w:divBdr>
            <w:top w:val="none" w:sz="0" w:space="0" w:color="auto"/>
            <w:left w:val="none" w:sz="0" w:space="0" w:color="auto"/>
            <w:bottom w:val="none" w:sz="0" w:space="0" w:color="auto"/>
            <w:right w:val="none" w:sz="0" w:space="0" w:color="auto"/>
          </w:divBdr>
        </w:div>
      </w:divsChild>
    </w:div>
    <w:div w:id="2061974436">
      <w:bodyDiv w:val="1"/>
      <w:marLeft w:val="0"/>
      <w:marRight w:val="0"/>
      <w:marTop w:val="0"/>
      <w:marBottom w:val="0"/>
      <w:divBdr>
        <w:top w:val="none" w:sz="0" w:space="0" w:color="auto"/>
        <w:left w:val="none" w:sz="0" w:space="0" w:color="auto"/>
        <w:bottom w:val="none" w:sz="0" w:space="0" w:color="auto"/>
        <w:right w:val="none" w:sz="0" w:space="0" w:color="auto"/>
      </w:divBdr>
    </w:div>
    <w:div w:id="2074500666">
      <w:bodyDiv w:val="1"/>
      <w:marLeft w:val="0"/>
      <w:marRight w:val="0"/>
      <w:marTop w:val="0"/>
      <w:marBottom w:val="0"/>
      <w:divBdr>
        <w:top w:val="none" w:sz="0" w:space="0" w:color="auto"/>
        <w:left w:val="none" w:sz="0" w:space="0" w:color="auto"/>
        <w:bottom w:val="none" w:sz="0" w:space="0" w:color="auto"/>
        <w:right w:val="none" w:sz="0" w:space="0" w:color="auto"/>
      </w:divBdr>
      <w:divsChild>
        <w:div w:id="1458599120">
          <w:marLeft w:val="0"/>
          <w:marRight w:val="0"/>
          <w:marTop w:val="0"/>
          <w:marBottom w:val="0"/>
          <w:divBdr>
            <w:top w:val="none" w:sz="0" w:space="0" w:color="auto"/>
            <w:left w:val="none" w:sz="0" w:space="0" w:color="auto"/>
            <w:bottom w:val="none" w:sz="0" w:space="0" w:color="auto"/>
            <w:right w:val="none" w:sz="0" w:space="0" w:color="auto"/>
          </w:divBdr>
        </w:div>
      </w:divsChild>
    </w:div>
    <w:div w:id="2085715395">
      <w:bodyDiv w:val="1"/>
      <w:marLeft w:val="0"/>
      <w:marRight w:val="0"/>
      <w:marTop w:val="0"/>
      <w:marBottom w:val="0"/>
      <w:divBdr>
        <w:top w:val="none" w:sz="0" w:space="0" w:color="auto"/>
        <w:left w:val="none" w:sz="0" w:space="0" w:color="auto"/>
        <w:bottom w:val="none" w:sz="0" w:space="0" w:color="auto"/>
        <w:right w:val="none" w:sz="0" w:space="0" w:color="auto"/>
      </w:divBdr>
    </w:div>
    <w:div w:id="2090232267">
      <w:bodyDiv w:val="1"/>
      <w:marLeft w:val="0"/>
      <w:marRight w:val="0"/>
      <w:marTop w:val="0"/>
      <w:marBottom w:val="0"/>
      <w:divBdr>
        <w:top w:val="none" w:sz="0" w:space="0" w:color="auto"/>
        <w:left w:val="none" w:sz="0" w:space="0" w:color="auto"/>
        <w:bottom w:val="none" w:sz="0" w:space="0" w:color="auto"/>
        <w:right w:val="none" w:sz="0" w:space="0" w:color="auto"/>
      </w:divBdr>
    </w:div>
    <w:div w:id="2103066190">
      <w:bodyDiv w:val="1"/>
      <w:marLeft w:val="0"/>
      <w:marRight w:val="0"/>
      <w:marTop w:val="0"/>
      <w:marBottom w:val="0"/>
      <w:divBdr>
        <w:top w:val="none" w:sz="0" w:space="0" w:color="auto"/>
        <w:left w:val="none" w:sz="0" w:space="0" w:color="auto"/>
        <w:bottom w:val="none" w:sz="0" w:space="0" w:color="auto"/>
        <w:right w:val="none" w:sz="0" w:space="0" w:color="auto"/>
      </w:divBdr>
    </w:div>
    <w:div w:id="2108844198">
      <w:bodyDiv w:val="1"/>
      <w:marLeft w:val="0"/>
      <w:marRight w:val="0"/>
      <w:marTop w:val="0"/>
      <w:marBottom w:val="0"/>
      <w:divBdr>
        <w:top w:val="none" w:sz="0" w:space="0" w:color="auto"/>
        <w:left w:val="none" w:sz="0" w:space="0" w:color="auto"/>
        <w:bottom w:val="none" w:sz="0" w:space="0" w:color="auto"/>
        <w:right w:val="none" w:sz="0" w:space="0" w:color="auto"/>
      </w:divBdr>
    </w:div>
    <w:div w:id="213845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hyperlink" Target="https://cedars.cpuc.ca.gov/deer-resources/deemed-measure-packages/guidance/file/3060/download" TargetMode="External" Id="rId26" /><Relationship Type="http://schemas.openxmlformats.org/officeDocument/2006/relationships/theme" Target="theme/theme1.xml" Id="rId39" /><Relationship Type="http://schemas.openxmlformats.org/officeDocument/2006/relationships/hyperlink" Target="https://cedars.cpuc.ca.gov/deer-resources/deemed-measure-packages/guidance/file/3120/download" TargetMode="External" Id="rId21" /><Relationship Type="http://schemas.openxmlformats.org/officeDocument/2006/relationships/hyperlink" Target="https://cedars.cpuc.ca.gov/deer-resources/deemed-measure-packages/guidance/file/2897/download" TargetMode="External" Id="rId34"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cedars.cpuc.ca.gov/deer-resources/deemed-measure-packages/guidance/file/3073/download" TargetMode="External" Id="rId25" /><Relationship Type="http://schemas.openxmlformats.org/officeDocument/2006/relationships/hyperlink" Target="https://cedars.cpuc.ca.gov/deer-resources/deemed-measure-packages/guidance/file/2914/download"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cedars.cpuc.ca.gov/deer-resources/deemed-measure-packages/guidance/file/3129/download" TargetMode="External" Id="rId20" /><Relationship Type="http://schemas.openxmlformats.org/officeDocument/2006/relationships/hyperlink" Target="https://cedars.cpuc.ca.gov/deer-resources/deemed-measure-packages/guidance/file/3018/download"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DEEResources.com" TargetMode="External" Id="rId11" /><Relationship Type="http://schemas.openxmlformats.org/officeDocument/2006/relationships/hyperlink" Target="https://cedars.cpuc.ca.gov/deer-resources/deemed-measure-packages/guidance/file/3108/download" TargetMode="External" Id="rId24" /><Relationship Type="http://schemas.openxmlformats.org/officeDocument/2006/relationships/hyperlink" Target="https://cedars.cpuc.ca.gov/deer-resources/deemed-measure-packages/guidance/file/2941/download" TargetMode="External" Id="rId32" /><Relationship Type="http://schemas.openxmlformats.org/officeDocument/2006/relationships/header" Target="header5.xml" Id="rId37"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s://cedars.cpuc.ca.gov/deer-resources/deemed-measure-packages/guidance/file/3114/download" TargetMode="External" Id="rId23" /><Relationship Type="http://schemas.openxmlformats.org/officeDocument/2006/relationships/hyperlink" Target="https://cedars.cpuc.ca.gov/deer-resources/deemed-measure-packages/guidance/file/3049/download" TargetMode="External" Id="rId28" /><Relationship Type="http://schemas.openxmlformats.org/officeDocument/2006/relationships/hyperlink" Target="https://cedars.cpuc.ca.gov/deer-resources/deemed-measure-packages/guidance/file/2893/download" TargetMode="External" Id="rId36" /><Relationship Type="http://schemas.openxmlformats.org/officeDocument/2006/relationships/endnotes" Target="endnotes.xml" Id="rId10" /><Relationship Type="http://schemas.openxmlformats.org/officeDocument/2006/relationships/hyperlink" Target="https://cedars.cpuc.ca.gov/deer-resources/deemed-measure-packages/guidance/" TargetMode="External" Id="rId19" /><Relationship Type="http://schemas.openxmlformats.org/officeDocument/2006/relationships/hyperlink" Target="https://cedars.cpuc.ca.gov/deer-resources/deemed-measure-packages/guidance/file/3059/download"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cedars.cpuc.ca.gov/deer-resources/deemed-measure-packages/guidance/file/3115/download" TargetMode="External" Id="rId22" /><Relationship Type="http://schemas.openxmlformats.org/officeDocument/2006/relationships/hyperlink" Target="https://cedars.cpuc.ca.gov/deer-resources/deemed-measure-packages/guidance/file/3059/download" TargetMode="External" Id="rId27" /><Relationship Type="http://schemas.openxmlformats.org/officeDocument/2006/relationships/hyperlink" Target="https://cedars.cpuc.ca.gov/deer-resources/deemed-measure-packages/guidance/file/3001/download" TargetMode="External" Id="rId30" /><Relationship Type="http://schemas.openxmlformats.org/officeDocument/2006/relationships/hyperlink" Target="https://cedars.cpuc.ca.gov/deer-resources/deemed-measure-packages/guidance/file/2896/download"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docs.cpuc.ca.gov/PublishedDocs/Published/G000/M551/K490/551490624.docx" TargetMode="External" Id="R4a52423904d24284" /></Relationships>
</file>

<file path=word/_rels/footnotes.xml.rels><?xml version="1.0" encoding="UTF-8" standalone="yes"?>
<Relationships xmlns="http://schemas.openxmlformats.org/package/2006/relationships"><Relationship Id="rId8" Type="http://schemas.openxmlformats.org/officeDocument/2006/relationships/hyperlink" Target="https://www.caetrm.com/" TargetMode="External"/><Relationship Id="rId13" Type="http://schemas.openxmlformats.org/officeDocument/2006/relationships/hyperlink" Target="https://docs.cpuc.ca.gov/PublishedDocs/Published/G000/M232/K459/232459122.PDF" TargetMode="External"/><Relationship Id="rId18" Type="http://schemas.openxmlformats.org/officeDocument/2006/relationships/hyperlink" Target="https://pda.energydataweb.com/api/downloads/3952/CPUC%20Group%20A%202023%20Res%20HVAC%20and%20DHW%20EUL%20Study%20Final%20Report.pdf" TargetMode="External"/><Relationship Id="rId26" Type="http://schemas.openxmlformats.org/officeDocument/2006/relationships/hyperlink" Target="https://cedars.cpuc.ca.gov/deer-resources/deemed-measure-packages/dispositions/" TargetMode="External"/><Relationship Id="rId3" Type="http://schemas.openxmlformats.org/officeDocument/2006/relationships/hyperlink" Target="https://www.caetrm.com" TargetMode="External"/><Relationship Id="rId21" Type="http://schemas.openxmlformats.org/officeDocument/2006/relationships/hyperlink" Target="http://www.calmac.org/publications/CPUC_Group_A_PY2021_Residential_Install_Program_Impact_Evaluation_-_Final_Report_CALMAC.pdf" TargetMode="External"/><Relationship Id="rId7" Type="http://schemas.openxmlformats.org/officeDocument/2006/relationships/hyperlink" Target="https://cedars.cpuc.ca.gov/deer-resources/tools/supporting-files/resource/2/history/" TargetMode="External"/><Relationship Id="rId12" Type="http://schemas.openxmlformats.org/officeDocument/2006/relationships/hyperlink" Target="https://edcentralserver.files.com/preview/f/f7b564868ffdc879/CET_Input_Guide_10132022.xlsx" TargetMode="External"/><Relationship Id="rId17" Type="http://schemas.openxmlformats.org/officeDocument/2006/relationships/hyperlink" Target="https://pda.energydataweb.com/api/downloads/3903/CPUC%20Group%20A%202023%20Residential%20Insulation%20EUL%20Study%20Final%20Report.pdf" TargetMode="External"/><Relationship Id="rId25" Type="http://schemas.openxmlformats.org/officeDocument/2006/relationships/hyperlink" Target="http://www.calmac.org/publications/CPUC_Group_A_PY2021_Residential_Install_Program_Impact_%20Evaluation_-_Final_Report_CALMAC.pdf" TargetMode="External"/><Relationship Id="rId2" Type="http://schemas.openxmlformats.org/officeDocument/2006/relationships/hyperlink" Target="https://cedars.cpuc.ca.gov/deer-resources/" TargetMode="External"/><Relationship Id="rId16" Type="http://schemas.openxmlformats.org/officeDocument/2006/relationships/hyperlink" Target="https://pda.energydataweb.com/api/downloads/2816/CIAC%202020-2021%20Evaluation%20Final%20Report%20-%20Revised.pdf" TargetMode="External"/><Relationship Id="rId20" Type="http://schemas.openxmlformats.org/officeDocument/2006/relationships/hyperlink" Target="https://pda.energydataweb.com/" TargetMode="External"/><Relationship Id="rId1" Type="http://schemas.openxmlformats.org/officeDocument/2006/relationships/hyperlink" Target="https://docs.cpuc.ca.gov/SearchRes.aspx?docformat=ALL&amp;docid=385864616" TargetMode="External"/><Relationship Id="rId6" Type="http://schemas.openxmlformats.org/officeDocument/2006/relationships/hyperlink" Target="https://pda.energydataweb.com/" TargetMode="External"/><Relationship Id="rId11" Type="http://schemas.openxmlformats.org/officeDocument/2006/relationships/hyperlink" Target="https://docs.cpuc.ca.gov/PublishedDocs/Efile/G000/M516/K988/516988077.PDF" TargetMode="External"/><Relationship Id="rId24" Type="http://schemas.openxmlformats.org/officeDocument/2006/relationships/hyperlink" Target="http://www.calmac.org/publications/Group_A_PY2021_Local_Third-Party_Impact_Evaluation_-_Final_Report_CALMAC.pdf" TargetMode="External"/><Relationship Id="rId5" Type="http://schemas.openxmlformats.org/officeDocument/2006/relationships/hyperlink" Target="https://docs.cpuc.ca.gov/PublishedDocs/Published/G000/M179/K264/179264220.PDF" TargetMode="External"/><Relationship Id="rId15" Type="http://schemas.openxmlformats.org/officeDocument/2006/relationships/hyperlink" Target="https://github.com/sound-data/DEER-Prototypes-EnergyPlus" TargetMode="External"/><Relationship Id="rId23" Type="http://schemas.openxmlformats.org/officeDocument/2006/relationships/hyperlink" Target="http://www.calmac.org/publications/CPUC_Group_A_PY2021_Residential_Install_Program_Impact_Evaluation_-_Final_Report_CALMAC.pdf" TargetMode="External"/><Relationship Id="rId10" Type="http://schemas.openxmlformats.org/officeDocument/2006/relationships/hyperlink" Target="https://cedars.cpuc.ca.gov/deer-resources/tools/supporting-files/file/3105/download" TargetMode="External"/><Relationship Id="rId19" Type="http://schemas.openxmlformats.org/officeDocument/2006/relationships/hyperlink" Target="https://pda.energydataweb.com/api/view/3980/CPUC%20Group%20A%202023%20Commercial%20HVAC%20and%20Water%20%20Heating%20EUL%20Study%20Final%20Report.pdf" TargetMode="External"/><Relationship Id="rId4" Type="http://schemas.openxmlformats.org/officeDocument/2006/relationships/hyperlink" Target="https://docs.cpuc.ca.gov/PublishedDocs/Published/G000/M346/K161/346161639.PDF" TargetMode="External"/><Relationship Id="rId9" Type="http://schemas.openxmlformats.org/officeDocument/2006/relationships/hyperlink" Target="https://docs.cpuc.ca.gov/PublishedDocs/Published/G000/M346/K161/346161639.PDF" TargetMode="External"/><Relationship Id="rId14" Type="http://schemas.openxmlformats.org/officeDocument/2006/relationships/hyperlink" Target="https://bigladdersoftware.com/projects/modelkit/" TargetMode="External"/><Relationship Id="rId22" Type="http://schemas.openxmlformats.org/officeDocument/2006/relationships/hyperlink" Target="http://www.calmac.org/publications/Group_A_PY2021_Local_Third-Party_Impact_Evaluation_-_Final_Report_CALMA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B0CB52958DE244B956FFB60906530E" ma:contentTypeVersion="22" ma:contentTypeDescription="Create a new document." ma:contentTypeScope="" ma:versionID="6a8e1787495f06ab78dfd9cb84bb1507">
  <xsd:schema xmlns:xsd="http://www.w3.org/2001/XMLSchema" xmlns:xs="http://www.w3.org/2001/XMLSchema" xmlns:p="http://schemas.microsoft.com/office/2006/metadata/properties" xmlns:ns2="2ea71077-b24f-4377-8b54-e0467e191b48" xmlns:ns3="31a47411-eddb-4817-9377-9e4a11e60228" targetNamespace="http://schemas.microsoft.com/office/2006/metadata/properties" ma:root="true" ma:fieldsID="fcc4e1cb4f121753e6f739671002bd25" ns2:_="" ns3:_="">
    <xsd:import namespace="2ea71077-b24f-4377-8b54-e0467e191b48"/>
    <xsd:import namespace="31a47411-eddb-4817-9377-9e4a11e602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Reso_Statu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71077-b24f-4377-8b54-e0467e191b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a541e1c-b919-4465-a8a2-6889ca9fba9b}" ma:internalName="TaxCatchAll" ma:showField="CatchAllData" ma:web="2ea71077-b24f-4377-8b54-e0467e191b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a47411-eddb-4817-9377-9e4a11e602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eso_Status" ma:index="22" nillable="true" ma:displayName="Reso_Status" ma:description="Indicate whether: Unreviewed, Reviewed, Nothing to Add, Added" ma:format="Dropdown" ma:internalName="Reso_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b031d9-ae19-48d6-a524-e417b27e88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ea71077-b24f-4377-8b54-e0467e191b48" xsi:nil="true"/>
    <lcf76f155ced4ddcb4097134ff3c332f xmlns="31a47411-eddb-4817-9377-9e4a11e60228">
      <Terms xmlns="http://schemas.microsoft.com/office/infopath/2007/PartnerControls"/>
    </lcf76f155ced4ddcb4097134ff3c332f>
    <Reso_Status xmlns="31a47411-eddb-4817-9377-9e4a11e60228" xsi:nil="true"/>
  </documentManagement>
</p:properties>
</file>

<file path=customXml/itemProps1.xml><?xml version="1.0" encoding="utf-8"?>
<ds:datastoreItem xmlns:ds="http://schemas.openxmlformats.org/officeDocument/2006/customXml" ds:itemID="{E6BBB374-2D58-46E8-9AA8-F387404B8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71077-b24f-4377-8b54-e0467e191b48"/>
    <ds:schemaRef ds:uri="31a47411-eddb-4817-9377-9e4a11e60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37A0D-E535-4699-98E9-0D83537793A8}">
  <ds:schemaRefs>
    <ds:schemaRef ds:uri="http://schemas.microsoft.com/sharepoint/v3/contenttype/forms"/>
  </ds:schemaRefs>
</ds:datastoreItem>
</file>

<file path=customXml/itemProps3.xml><?xml version="1.0" encoding="utf-8"?>
<ds:datastoreItem xmlns:ds="http://schemas.openxmlformats.org/officeDocument/2006/customXml" ds:itemID="{D0480C28-11DF-45B6-9488-19B8F69C68D4}">
  <ds:schemaRefs>
    <ds:schemaRef ds:uri="http://schemas.openxmlformats.org/officeDocument/2006/bibliography"/>
  </ds:schemaRefs>
</ds:datastoreItem>
</file>

<file path=customXml/itemProps4.xml><?xml version="1.0" encoding="utf-8"?>
<ds:datastoreItem xmlns:ds="http://schemas.openxmlformats.org/officeDocument/2006/customXml" ds:itemID="{C6A344CE-CB62-48E7-BFD0-A3B598F8DDF6}">
  <ds:schemaRefs>
    <ds:schemaRef ds:uri="http://schemas.microsoft.com/office/2006/metadata/properties"/>
    <ds:schemaRef ds:uri="http://schemas.microsoft.com/office/infopath/2007/PartnerControls"/>
    <ds:schemaRef ds:uri="2ea71077-b24f-4377-8b54-e0467e191b48"/>
    <ds:schemaRef ds:uri="31a47411-eddb-4817-9377-9e4a11e60228"/>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48</ap:Pages>
  <ap:Words>14408</ap:Words>
  <ap:Characters>82130</ap:Characters>
  <ap:Application>Microsoft Office Word</ap:Application>
  <ap:DocSecurity>0</ap:DocSecurity>
  <ap:Lines>684</ap:Lines>
  <ap:Paragraphs>192</ap:Paragraphs>
  <ap:ScaleCrop>false</ap:ScaleCrop>
  <ap:HeadingPairs>
    <vt:vector baseType="variant" size="2">
      <vt:variant>
        <vt:lpstr>Title</vt:lpstr>
      </vt:variant>
      <vt:variant>
        <vt:i4>1</vt:i4>
      </vt:variant>
    </vt:vector>
  </ap:HeadingPairs>
  <ap:TitlesOfParts>
    <vt:vector baseType="lpstr" size="1">
      <vt:lpstr>Resolution E-5221 DEER2024</vt:lpstr>
    </vt:vector>
  </ap:TitlesOfParts>
  <ap:Company/>
  <ap:LinksUpToDate>false</ap:LinksUpToDate>
  <ap:CharactersWithSpaces>96346</ap:CharactersWithSpaces>
  <ap:SharedDoc>false</ap:SharedDoc>
  <ap:HLinks>
    <vt:vector baseType="variant" size="288">
      <vt:variant>
        <vt:i4>5373965</vt:i4>
      </vt:variant>
      <vt:variant>
        <vt:i4>99</vt:i4>
      </vt:variant>
      <vt:variant>
        <vt:i4>0</vt:i4>
      </vt:variant>
      <vt:variant>
        <vt:i4>5</vt:i4>
      </vt:variant>
      <vt:variant>
        <vt:lpwstr>https://cedars.cpuc.ca.gov/deer-resources/deemed-measure-packages/guidance/file/2893/download</vt:lpwstr>
      </vt:variant>
      <vt:variant>
        <vt:lpwstr/>
      </vt:variant>
      <vt:variant>
        <vt:i4>5701645</vt:i4>
      </vt:variant>
      <vt:variant>
        <vt:i4>96</vt:i4>
      </vt:variant>
      <vt:variant>
        <vt:i4>0</vt:i4>
      </vt:variant>
      <vt:variant>
        <vt:i4>5</vt:i4>
      </vt:variant>
      <vt:variant>
        <vt:lpwstr>https://cedars.cpuc.ca.gov/deer-resources/deemed-measure-packages/guidance/file/2896/download</vt:lpwstr>
      </vt:variant>
      <vt:variant>
        <vt:lpwstr/>
      </vt:variant>
      <vt:variant>
        <vt:i4>5636109</vt:i4>
      </vt:variant>
      <vt:variant>
        <vt:i4>93</vt:i4>
      </vt:variant>
      <vt:variant>
        <vt:i4>0</vt:i4>
      </vt:variant>
      <vt:variant>
        <vt:i4>5</vt:i4>
      </vt:variant>
      <vt:variant>
        <vt:lpwstr>https://cedars.cpuc.ca.gov/deer-resources/deemed-measure-packages/guidance/file/2897/download</vt:lpwstr>
      </vt:variant>
      <vt:variant>
        <vt:lpwstr/>
      </vt:variant>
      <vt:variant>
        <vt:i4>5505029</vt:i4>
      </vt:variant>
      <vt:variant>
        <vt:i4>90</vt:i4>
      </vt:variant>
      <vt:variant>
        <vt:i4>0</vt:i4>
      </vt:variant>
      <vt:variant>
        <vt:i4>5</vt:i4>
      </vt:variant>
      <vt:variant>
        <vt:lpwstr>https://cedars.cpuc.ca.gov/deer-resources/deemed-measure-packages/guidance/file/2914/download</vt:lpwstr>
      </vt:variant>
      <vt:variant>
        <vt:lpwstr/>
      </vt:variant>
      <vt:variant>
        <vt:i4>5308416</vt:i4>
      </vt:variant>
      <vt:variant>
        <vt:i4>87</vt:i4>
      </vt:variant>
      <vt:variant>
        <vt:i4>0</vt:i4>
      </vt:variant>
      <vt:variant>
        <vt:i4>5</vt:i4>
      </vt:variant>
      <vt:variant>
        <vt:lpwstr>https://cedars.cpuc.ca.gov/deer-resources/deemed-measure-packages/guidance/file/2941/download</vt:lpwstr>
      </vt:variant>
      <vt:variant>
        <vt:lpwstr/>
      </vt:variant>
      <vt:variant>
        <vt:i4>5242880</vt:i4>
      </vt:variant>
      <vt:variant>
        <vt:i4>84</vt:i4>
      </vt:variant>
      <vt:variant>
        <vt:i4>0</vt:i4>
      </vt:variant>
      <vt:variant>
        <vt:i4>5</vt:i4>
      </vt:variant>
      <vt:variant>
        <vt:lpwstr>https://cedars.cpuc.ca.gov/deer-resources/deemed-measure-packages/guidance/file/3059/download</vt:lpwstr>
      </vt:variant>
      <vt:variant>
        <vt:lpwstr/>
      </vt:variant>
      <vt:variant>
        <vt:i4>5767173</vt:i4>
      </vt:variant>
      <vt:variant>
        <vt:i4>81</vt:i4>
      </vt:variant>
      <vt:variant>
        <vt:i4>0</vt:i4>
      </vt:variant>
      <vt:variant>
        <vt:i4>5</vt:i4>
      </vt:variant>
      <vt:variant>
        <vt:lpwstr>https://cedars.cpuc.ca.gov/deer-resources/deemed-measure-packages/guidance/file/3001/download</vt:lpwstr>
      </vt:variant>
      <vt:variant>
        <vt:lpwstr/>
      </vt:variant>
      <vt:variant>
        <vt:i4>5308420</vt:i4>
      </vt:variant>
      <vt:variant>
        <vt:i4>78</vt:i4>
      </vt:variant>
      <vt:variant>
        <vt:i4>0</vt:i4>
      </vt:variant>
      <vt:variant>
        <vt:i4>5</vt:i4>
      </vt:variant>
      <vt:variant>
        <vt:lpwstr>https://cedars.cpuc.ca.gov/deer-resources/deemed-measure-packages/guidance/file/3018/download</vt:lpwstr>
      </vt:variant>
      <vt:variant>
        <vt:lpwstr/>
      </vt:variant>
      <vt:variant>
        <vt:i4>5242881</vt:i4>
      </vt:variant>
      <vt:variant>
        <vt:i4>75</vt:i4>
      </vt:variant>
      <vt:variant>
        <vt:i4>0</vt:i4>
      </vt:variant>
      <vt:variant>
        <vt:i4>5</vt:i4>
      </vt:variant>
      <vt:variant>
        <vt:lpwstr>https://cedars.cpuc.ca.gov/deer-resources/deemed-measure-packages/guidance/file/3049/download</vt:lpwstr>
      </vt:variant>
      <vt:variant>
        <vt:lpwstr/>
      </vt:variant>
      <vt:variant>
        <vt:i4>5242880</vt:i4>
      </vt:variant>
      <vt:variant>
        <vt:i4>72</vt:i4>
      </vt:variant>
      <vt:variant>
        <vt:i4>0</vt:i4>
      </vt:variant>
      <vt:variant>
        <vt:i4>5</vt:i4>
      </vt:variant>
      <vt:variant>
        <vt:lpwstr>https://cedars.cpuc.ca.gov/deer-resources/deemed-measure-packages/guidance/file/3059/download</vt:lpwstr>
      </vt:variant>
      <vt:variant>
        <vt:lpwstr/>
      </vt:variant>
      <vt:variant>
        <vt:i4>5832707</vt:i4>
      </vt:variant>
      <vt:variant>
        <vt:i4>69</vt:i4>
      </vt:variant>
      <vt:variant>
        <vt:i4>0</vt:i4>
      </vt:variant>
      <vt:variant>
        <vt:i4>5</vt:i4>
      </vt:variant>
      <vt:variant>
        <vt:lpwstr>https://cedars.cpuc.ca.gov/deer-resources/deemed-measure-packages/guidance/file/3060/download</vt:lpwstr>
      </vt:variant>
      <vt:variant>
        <vt:lpwstr/>
      </vt:variant>
      <vt:variant>
        <vt:i4>5898242</vt:i4>
      </vt:variant>
      <vt:variant>
        <vt:i4>66</vt:i4>
      </vt:variant>
      <vt:variant>
        <vt:i4>0</vt:i4>
      </vt:variant>
      <vt:variant>
        <vt:i4>5</vt:i4>
      </vt:variant>
      <vt:variant>
        <vt:lpwstr>https://cedars.cpuc.ca.gov/deer-resources/deemed-measure-packages/guidance/file/3073/download</vt:lpwstr>
      </vt:variant>
      <vt:variant>
        <vt:lpwstr/>
      </vt:variant>
      <vt:variant>
        <vt:i4>5242885</vt:i4>
      </vt:variant>
      <vt:variant>
        <vt:i4>63</vt:i4>
      </vt:variant>
      <vt:variant>
        <vt:i4>0</vt:i4>
      </vt:variant>
      <vt:variant>
        <vt:i4>5</vt:i4>
      </vt:variant>
      <vt:variant>
        <vt:lpwstr>https://cedars.cpuc.ca.gov/deer-resources/deemed-measure-packages/guidance/file/3108/download</vt:lpwstr>
      </vt:variant>
      <vt:variant>
        <vt:lpwstr/>
      </vt:variant>
      <vt:variant>
        <vt:i4>6029316</vt:i4>
      </vt:variant>
      <vt:variant>
        <vt:i4>60</vt:i4>
      </vt:variant>
      <vt:variant>
        <vt:i4>0</vt:i4>
      </vt:variant>
      <vt:variant>
        <vt:i4>5</vt:i4>
      </vt:variant>
      <vt:variant>
        <vt:lpwstr>https://cedars.cpuc.ca.gov/deer-resources/deemed-measure-packages/guidance/file/3114/download</vt:lpwstr>
      </vt:variant>
      <vt:variant>
        <vt:lpwstr/>
      </vt:variant>
      <vt:variant>
        <vt:i4>6094852</vt:i4>
      </vt:variant>
      <vt:variant>
        <vt:i4>57</vt:i4>
      </vt:variant>
      <vt:variant>
        <vt:i4>0</vt:i4>
      </vt:variant>
      <vt:variant>
        <vt:i4>5</vt:i4>
      </vt:variant>
      <vt:variant>
        <vt:lpwstr>https://cedars.cpuc.ca.gov/deer-resources/deemed-measure-packages/guidance/file/3115/download</vt:lpwstr>
      </vt:variant>
      <vt:variant>
        <vt:lpwstr/>
      </vt:variant>
      <vt:variant>
        <vt:i4>5767175</vt:i4>
      </vt:variant>
      <vt:variant>
        <vt:i4>54</vt:i4>
      </vt:variant>
      <vt:variant>
        <vt:i4>0</vt:i4>
      </vt:variant>
      <vt:variant>
        <vt:i4>5</vt:i4>
      </vt:variant>
      <vt:variant>
        <vt:lpwstr>https://cedars.cpuc.ca.gov/deer-resources/deemed-measure-packages/guidance/file/3120/download</vt:lpwstr>
      </vt:variant>
      <vt:variant>
        <vt:lpwstr/>
      </vt:variant>
      <vt:variant>
        <vt:i4>5308423</vt:i4>
      </vt:variant>
      <vt:variant>
        <vt:i4>51</vt:i4>
      </vt:variant>
      <vt:variant>
        <vt:i4>0</vt:i4>
      </vt:variant>
      <vt:variant>
        <vt:i4>5</vt:i4>
      </vt:variant>
      <vt:variant>
        <vt:lpwstr>https://cedars.cpuc.ca.gov/deer-resources/deemed-measure-packages/guidance/file/3129/download</vt:lpwstr>
      </vt:variant>
      <vt:variant>
        <vt:lpwstr/>
      </vt:variant>
      <vt:variant>
        <vt:i4>6422628</vt:i4>
      </vt:variant>
      <vt:variant>
        <vt:i4>45</vt:i4>
      </vt:variant>
      <vt:variant>
        <vt:i4>0</vt:i4>
      </vt:variant>
      <vt:variant>
        <vt:i4>5</vt:i4>
      </vt:variant>
      <vt:variant>
        <vt:lpwstr>https://cedars.cpuc.ca.gov/deer-resources/deemed-measure-packages/guidance/</vt:lpwstr>
      </vt:variant>
      <vt:variant>
        <vt:lpwstr/>
      </vt:variant>
      <vt:variant>
        <vt:i4>5832710</vt:i4>
      </vt:variant>
      <vt:variant>
        <vt:i4>0</vt:i4>
      </vt:variant>
      <vt:variant>
        <vt:i4>0</vt:i4>
      </vt:variant>
      <vt:variant>
        <vt:i4>5</vt:i4>
      </vt:variant>
      <vt:variant>
        <vt:lpwstr>http://deeresources.com/</vt:lpwstr>
      </vt:variant>
      <vt:variant>
        <vt:lpwstr/>
      </vt:variant>
      <vt:variant>
        <vt:i4>7995518</vt:i4>
      </vt:variant>
      <vt:variant>
        <vt:i4>78</vt:i4>
      </vt:variant>
      <vt:variant>
        <vt:i4>0</vt:i4>
      </vt:variant>
      <vt:variant>
        <vt:i4>5</vt:i4>
      </vt:variant>
      <vt:variant>
        <vt:lpwstr>https://cedars.cpuc.ca.gov/deer-resources/deemed-measure-packages/dispositions/</vt:lpwstr>
      </vt:variant>
      <vt:variant>
        <vt:lpwstr/>
      </vt:variant>
      <vt:variant>
        <vt:i4>4784220</vt:i4>
      </vt:variant>
      <vt:variant>
        <vt:i4>75</vt:i4>
      </vt:variant>
      <vt:variant>
        <vt:i4>0</vt:i4>
      </vt:variant>
      <vt:variant>
        <vt:i4>5</vt:i4>
      </vt:variant>
      <vt:variant>
        <vt:lpwstr>http://www.calmac.org/publications/CPUC_Group_A_PY2021_Residential_Install_Program_Impact_ Evaluation_-_Final_Report_CALMAC.pdf</vt:lpwstr>
      </vt:variant>
      <vt:variant>
        <vt:lpwstr/>
      </vt:variant>
      <vt:variant>
        <vt:i4>2162747</vt:i4>
      </vt:variant>
      <vt:variant>
        <vt:i4>72</vt:i4>
      </vt:variant>
      <vt:variant>
        <vt:i4>0</vt:i4>
      </vt:variant>
      <vt:variant>
        <vt:i4>5</vt:i4>
      </vt:variant>
      <vt:variant>
        <vt:lpwstr>http://www.calmac.org/publications/Group_A_PY2021_Local_Third-Party_Impact_Evaluation_-_Final_Report_CALMAC.pdf</vt:lpwstr>
      </vt:variant>
      <vt:variant>
        <vt:lpwstr/>
      </vt:variant>
      <vt:variant>
        <vt:i4>5046302</vt:i4>
      </vt:variant>
      <vt:variant>
        <vt:i4>69</vt:i4>
      </vt:variant>
      <vt:variant>
        <vt:i4>0</vt:i4>
      </vt:variant>
      <vt:variant>
        <vt:i4>5</vt:i4>
      </vt:variant>
      <vt:variant>
        <vt:lpwstr>http://www.calmac.org/publications/CPUC_Group_A_PY2021_Residential_Install_Program_Impact_Evaluation_-_Final_Report_CALMAC.pdf</vt:lpwstr>
      </vt:variant>
      <vt:variant>
        <vt:lpwstr/>
      </vt:variant>
      <vt:variant>
        <vt:i4>2162747</vt:i4>
      </vt:variant>
      <vt:variant>
        <vt:i4>66</vt:i4>
      </vt:variant>
      <vt:variant>
        <vt:i4>0</vt:i4>
      </vt:variant>
      <vt:variant>
        <vt:i4>5</vt:i4>
      </vt:variant>
      <vt:variant>
        <vt:lpwstr>http://www.calmac.org/publications/Group_A_PY2021_Local_Third-Party_Impact_Evaluation_-_Final_Report_CALMAC.pdf</vt:lpwstr>
      </vt:variant>
      <vt:variant>
        <vt:lpwstr/>
      </vt:variant>
      <vt:variant>
        <vt:i4>5046302</vt:i4>
      </vt:variant>
      <vt:variant>
        <vt:i4>63</vt:i4>
      </vt:variant>
      <vt:variant>
        <vt:i4>0</vt:i4>
      </vt:variant>
      <vt:variant>
        <vt:i4>5</vt:i4>
      </vt:variant>
      <vt:variant>
        <vt:lpwstr>http://www.calmac.org/publications/CPUC_Group_A_PY2021_Residential_Install_Program_Impact_Evaluation_-_Final_Report_CALMAC.pdf</vt:lpwstr>
      </vt:variant>
      <vt:variant>
        <vt:lpwstr/>
      </vt:variant>
      <vt:variant>
        <vt:i4>3014699</vt:i4>
      </vt:variant>
      <vt:variant>
        <vt:i4>60</vt:i4>
      </vt:variant>
      <vt:variant>
        <vt:i4>0</vt:i4>
      </vt:variant>
      <vt:variant>
        <vt:i4>5</vt:i4>
      </vt:variant>
      <vt:variant>
        <vt:lpwstr>https://pda.energydataweb.com/</vt:lpwstr>
      </vt:variant>
      <vt:variant>
        <vt:lpwstr>!/documents/4023/view</vt:lpwstr>
      </vt:variant>
      <vt:variant>
        <vt:i4>6488102</vt:i4>
      </vt:variant>
      <vt:variant>
        <vt:i4>57</vt:i4>
      </vt:variant>
      <vt:variant>
        <vt:i4>0</vt:i4>
      </vt:variant>
      <vt:variant>
        <vt:i4>5</vt:i4>
      </vt:variant>
      <vt:variant>
        <vt:lpwstr>https://pda.energydataweb.com/api/view/3980/CPUC Group A 2023 Commercial HVAC and Water  Heating EUL Study Final Report.pdf</vt:lpwstr>
      </vt:variant>
      <vt:variant>
        <vt:lpwstr/>
      </vt:variant>
      <vt:variant>
        <vt:i4>8192053</vt:i4>
      </vt:variant>
      <vt:variant>
        <vt:i4>54</vt:i4>
      </vt:variant>
      <vt:variant>
        <vt:i4>0</vt:i4>
      </vt:variant>
      <vt:variant>
        <vt:i4>5</vt:i4>
      </vt:variant>
      <vt:variant>
        <vt:lpwstr>https://pda.energydataweb.com/api/downloads/3952/CPUC Group A 2023 Res HVAC and DHW EUL Study Final Report.pdf</vt:lpwstr>
      </vt:variant>
      <vt:variant>
        <vt:lpwstr/>
      </vt:variant>
      <vt:variant>
        <vt:i4>1114199</vt:i4>
      </vt:variant>
      <vt:variant>
        <vt:i4>51</vt:i4>
      </vt:variant>
      <vt:variant>
        <vt:i4>0</vt:i4>
      </vt:variant>
      <vt:variant>
        <vt:i4>5</vt:i4>
      </vt:variant>
      <vt:variant>
        <vt:lpwstr>https://pda.energydataweb.com/api/downloads/3903/CPUC Group A 2023 Residential Insulation EUL Study Final Report.pdf</vt:lpwstr>
      </vt:variant>
      <vt:variant>
        <vt:lpwstr/>
      </vt:variant>
      <vt:variant>
        <vt:i4>524288</vt:i4>
      </vt:variant>
      <vt:variant>
        <vt:i4>48</vt:i4>
      </vt:variant>
      <vt:variant>
        <vt:i4>0</vt:i4>
      </vt:variant>
      <vt:variant>
        <vt:i4>5</vt:i4>
      </vt:variant>
      <vt:variant>
        <vt:lpwstr>https://pda.energydataweb.com/api/downloads/2816/CIAC 2020-2021 Evaluation Final Report - Revised.pdf</vt:lpwstr>
      </vt:variant>
      <vt:variant>
        <vt:lpwstr/>
      </vt:variant>
      <vt:variant>
        <vt:i4>852059</vt:i4>
      </vt:variant>
      <vt:variant>
        <vt:i4>45</vt:i4>
      </vt:variant>
      <vt:variant>
        <vt:i4>0</vt:i4>
      </vt:variant>
      <vt:variant>
        <vt:i4>5</vt:i4>
      </vt:variant>
      <vt:variant>
        <vt:lpwstr>https://github.com/sound-data/DEER-Prototypes-EnergyPlus</vt:lpwstr>
      </vt:variant>
      <vt:variant>
        <vt:lpwstr/>
      </vt:variant>
      <vt:variant>
        <vt:i4>4194327</vt:i4>
      </vt:variant>
      <vt:variant>
        <vt:i4>42</vt:i4>
      </vt:variant>
      <vt:variant>
        <vt:i4>0</vt:i4>
      </vt:variant>
      <vt:variant>
        <vt:i4>5</vt:i4>
      </vt:variant>
      <vt:variant>
        <vt:lpwstr>https://bigladdersoftware.com/projects/modelkit/</vt:lpwstr>
      </vt:variant>
      <vt:variant>
        <vt:lpwstr/>
      </vt:variant>
      <vt:variant>
        <vt:i4>1441866</vt:i4>
      </vt:variant>
      <vt:variant>
        <vt:i4>39</vt:i4>
      </vt:variant>
      <vt:variant>
        <vt:i4>0</vt:i4>
      </vt:variant>
      <vt:variant>
        <vt:i4>5</vt:i4>
      </vt:variant>
      <vt:variant>
        <vt:lpwstr>https://docs.cpuc.ca.gov/PublishedDocs/Published/G000/M232/K459/232459122.PDF</vt:lpwstr>
      </vt:variant>
      <vt:variant>
        <vt:lpwstr/>
      </vt:variant>
      <vt:variant>
        <vt:i4>6553688</vt:i4>
      </vt:variant>
      <vt:variant>
        <vt:i4>36</vt:i4>
      </vt:variant>
      <vt:variant>
        <vt:i4>0</vt:i4>
      </vt:variant>
      <vt:variant>
        <vt:i4>5</vt:i4>
      </vt:variant>
      <vt:variant>
        <vt:lpwstr>https://edcentralserver.files.com/preview/f/f7b564868ffdc879/CET_Input_Guide_10132022.xlsx</vt:lpwstr>
      </vt:variant>
      <vt:variant>
        <vt:lpwstr/>
      </vt:variant>
      <vt:variant>
        <vt:i4>852043</vt:i4>
      </vt:variant>
      <vt:variant>
        <vt:i4>33</vt:i4>
      </vt:variant>
      <vt:variant>
        <vt:i4>0</vt:i4>
      </vt:variant>
      <vt:variant>
        <vt:i4>5</vt:i4>
      </vt:variant>
      <vt:variant>
        <vt:lpwstr>https://docs.cpuc.ca.gov/PublishedDocs/Efile/G000/M516/K988/516988077.PDF</vt:lpwstr>
      </vt:variant>
      <vt:variant>
        <vt:lpwstr/>
      </vt:variant>
      <vt:variant>
        <vt:i4>2293800</vt:i4>
      </vt:variant>
      <vt:variant>
        <vt:i4>30</vt:i4>
      </vt:variant>
      <vt:variant>
        <vt:i4>0</vt:i4>
      </vt:variant>
      <vt:variant>
        <vt:i4>5</vt:i4>
      </vt:variant>
      <vt:variant>
        <vt:lpwstr>https://cedars.cpuc.ca.gov/deer-resources/tools/supporting-files/file/3105/download</vt:lpwstr>
      </vt:variant>
      <vt:variant>
        <vt:lpwstr/>
      </vt:variant>
      <vt:variant>
        <vt:i4>1769546</vt:i4>
      </vt:variant>
      <vt:variant>
        <vt:i4>27</vt:i4>
      </vt:variant>
      <vt:variant>
        <vt:i4>0</vt:i4>
      </vt:variant>
      <vt:variant>
        <vt:i4>5</vt:i4>
      </vt:variant>
      <vt:variant>
        <vt:lpwstr>https://docs.cpuc.ca.gov/PublishedDocs/Published/G000/M346/K161/346161639.PDF</vt:lpwstr>
      </vt:variant>
      <vt:variant>
        <vt:lpwstr/>
      </vt:variant>
      <vt:variant>
        <vt:i4>4063349</vt:i4>
      </vt:variant>
      <vt:variant>
        <vt:i4>24</vt:i4>
      </vt:variant>
      <vt:variant>
        <vt:i4>0</vt:i4>
      </vt:variant>
      <vt:variant>
        <vt:i4>5</vt:i4>
      </vt:variant>
      <vt:variant>
        <vt:lpwstr>https://www.caetrm.com/</vt:lpwstr>
      </vt:variant>
      <vt:variant>
        <vt:lpwstr/>
      </vt:variant>
      <vt:variant>
        <vt:i4>4915268</vt:i4>
      </vt:variant>
      <vt:variant>
        <vt:i4>21</vt:i4>
      </vt:variant>
      <vt:variant>
        <vt:i4>0</vt:i4>
      </vt:variant>
      <vt:variant>
        <vt:i4>5</vt:i4>
      </vt:variant>
      <vt:variant>
        <vt:lpwstr>https://cedars.cpuc.ca.gov/deer-resources/tools/supporting-files/resource/2/history/</vt:lpwstr>
      </vt:variant>
      <vt:variant>
        <vt:lpwstr/>
      </vt:variant>
      <vt:variant>
        <vt:i4>2621480</vt:i4>
      </vt:variant>
      <vt:variant>
        <vt:i4>18</vt:i4>
      </vt:variant>
      <vt:variant>
        <vt:i4>0</vt:i4>
      </vt:variant>
      <vt:variant>
        <vt:i4>5</vt:i4>
      </vt:variant>
      <vt:variant>
        <vt:lpwstr>https://pda.energydataweb.com/</vt:lpwstr>
      </vt:variant>
      <vt:variant>
        <vt:lpwstr>!/documents/4015/view</vt:lpwstr>
      </vt:variant>
      <vt:variant>
        <vt:i4>1179727</vt:i4>
      </vt:variant>
      <vt:variant>
        <vt:i4>15</vt:i4>
      </vt:variant>
      <vt:variant>
        <vt:i4>0</vt:i4>
      </vt:variant>
      <vt:variant>
        <vt:i4>5</vt:i4>
      </vt:variant>
      <vt:variant>
        <vt:lpwstr>https://docs.cpuc.ca.gov/PublishedDocs/Published/G000/M179/K264/179264220.PDF</vt:lpwstr>
      </vt:variant>
      <vt:variant>
        <vt:lpwstr/>
      </vt:variant>
      <vt:variant>
        <vt:i4>1441866</vt:i4>
      </vt:variant>
      <vt:variant>
        <vt:i4>12</vt:i4>
      </vt:variant>
      <vt:variant>
        <vt:i4>0</vt:i4>
      </vt:variant>
      <vt:variant>
        <vt:i4>5</vt:i4>
      </vt:variant>
      <vt:variant>
        <vt:lpwstr>https://docs.cpuc.ca.gov/PublishedDocs/Published/G000/M232/K459/232459122.PDF</vt:lpwstr>
      </vt:variant>
      <vt:variant>
        <vt:lpwstr/>
      </vt:variant>
      <vt:variant>
        <vt:i4>1769546</vt:i4>
      </vt:variant>
      <vt:variant>
        <vt:i4>9</vt:i4>
      </vt:variant>
      <vt:variant>
        <vt:i4>0</vt:i4>
      </vt:variant>
      <vt:variant>
        <vt:i4>5</vt:i4>
      </vt:variant>
      <vt:variant>
        <vt:lpwstr>https://docs.cpuc.ca.gov/PublishedDocs/Published/G000/M346/K161/346161639.PDF</vt:lpwstr>
      </vt:variant>
      <vt:variant>
        <vt:lpwstr/>
      </vt:variant>
      <vt:variant>
        <vt:i4>4063349</vt:i4>
      </vt:variant>
      <vt:variant>
        <vt:i4>6</vt:i4>
      </vt:variant>
      <vt:variant>
        <vt:i4>0</vt:i4>
      </vt:variant>
      <vt:variant>
        <vt:i4>5</vt:i4>
      </vt:variant>
      <vt:variant>
        <vt:lpwstr>https://www.caetrm.com/</vt:lpwstr>
      </vt:variant>
      <vt:variant>
        <vt:lpwstr/>
      </vt:variant>
      <vt:variant>
        <vt:i4>3145846</vt:i4>
      </vt:variant>
      <vt:variant>
        <vt:i4>3</vt:i4>
      </vt:variant>
      <vt:variant>
        <vt:i4>0</vt:i4>
      </vt:variant>
      <vt:variant>
        <vt:i4>5</vt:i4>
      </vt:variant>
      <vt:variant>
        <vt:lpwstr>https://cedars.cpuc.ca.gov/deer-resources/</vt:lpwstr>
      </vt:variant>
      <vt:variant>
        <vt:lpwstr/>
      </vt:variant>
      <vt:variant>
        <vt:i4>4718673</vt:i4>
      </vt:variant>
      <vt:variant>
        <vt:i4>0</vt:i4>
      </vt:variant>
      <vt:variant>
        <vt:i4>0</vt:i4>
      </vt:variant>
      <vt:variant>
        <vt:i4>5</vt:i4>
      </vt:variant>
      <vt:variant>
        <vt:lpwstr>https://docs.cpuc.ca.gov/SearchRes.aspx?docformat=ALL&amp;docid=385864616</vt:lpwstr>
      </vt:variant>
      <vt:variant>
        <vt:lpwstr/>
      </vt:variant>
      <vt:variant>
        <vt:i4>4915316</vt:i4>
      </vt:variant>
      <vt:variant>
        <vt:i4>3</vt:i4>
      </vt:variant>
      <vt:variant>
        <vt:i4>0</vt:i4>
      </vt:variant>
      <vt:variant>
        <vt:i4>5</vt:i4>
      </vt:variant>
      <vt:variant>
        <vt:lpwstr>mailto:Cameron.Tuttle.Pe@dnv.com</vt:lpwstr>
      </vt:variant>
      <vt:variant>
        <vt:lpwstr/>
      </vt:variant>
      <vt:variant>
        <vt:i4>5898302</vt:i4>
      </vt:variant>
      <vt:variant>
        <vt:i4>0</vt:i4>
      </vt:variant>
      <vt:variant>
        <vt:i4>0</vt:i4>
      </vt:variant>
      <vt:variant>
        <vt:i4>5</vt:i4>
      </vt:variant>
      <vt:variant>
        <vt:lpwstr>mailto:Rachel.Murray@dnv.com</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2024-12-17T04:32:00Z</cp:lastPrinted>
  <dcterms:created xsi:type="dcterms:W3CDTF">2024-12-26T16:50:26Z</dcterms:created>
  <dcterms:modified xsi:type="dcterms:W3CDTF">2024-12-26T16:50:26Z</dcterms:modified>
</cp:coreProperties>
</file>