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F17DE" w:rsidP="007963D3" w:rsidRDefault="00CF17DE" w14:paraId="70BEAF91" w14:textId="77777777">
      <w:pPr>
        <w:pStyle w:val="titlebar"/>
        <w:rPr>
          <w:sz w:val="24"/>
        </w:rPr>
      </w:pPr>
      <w:r>
        <w:rPr>
          <w:sz w:val="24"/>
        </w:rPr>
        <w:t>PUBLIC UTILITIES COMMISSION OF THE STATE OF CALIFORNIA</w:t>
      </w:r>
    </w:p>
    <w:p w:rsidR="00CF17DE" w:rsidRDefault="00CF17DE" w14:paraId="5E624470" w14:textId="0347B95C">
      <w:pPr>
        <w:suppressAutoHyphens/>
      </w:pPr>
    </w:p>
    <w:p w:rsidR="00D865A9" w:rsidRDefault="00D865A9" w14:paraId="719EA9BA" w14:textId="77777777">
      <w:pPr>
        <w:suppressAutoHyphens/>
      </w:pPr>
    </w:p>
    <w:p w:rsidR="00B913F1" w:rsidP="00D865A9" w:rsidRDefault="00593807" w14:paraId="41593225" w14:textId="7E002508">
      <w:pPr>
        <w:tabs>
          <w:tab w:val="right" w:pos="8820"/>
        </w:tabs>
        <w:rPr>
          <w:rFonts w:ascii="Palatino Linotype" w:hAnsi="Palatino Linotype"/>
          <w:b/>
          <w:sz w:val="24"/>
          <w:szCs w:val="24"/>
        </w:rPr>
      </w:pPr>
      <w:r>
        <w:rPr>
          <w:rFonts w:ascii="Palatino Linotype" w:hAnsi="Palatino Linotype"/>
          <w:b/>
          <w:sz w:val="24"/>
          <w:szCs w:val="24"/>
        </w:rPr>
        <w:tab/>
      </w:r>
      <w:r w:rsidR="000C6051">
        <w:rPr>
          <w:rFonts w:ascii="Palatino Linotype" w:hAnsi="Palatino Linotype"/>
          <w:b/>
          <w:sz w:val="24"/>
          <w:szCs w:val="24"/>
        </w:rPr>
        <w:t>Agenda ID #</w:t>
      </w:r>
      <w:r w:rsidR="00CF57A8">
        <w:rPr>
          <w:rFonts w:ascii="Palatino Linotype" w:hAnsi="Palatino Linotype"/>
          <w:b/>
          <w:sz w:val="24"/>
          <w:szCs w:val="24"/>
        </w:rPr>
        <w:t xml:space="preserve"> </w:t>
      </w:r>
      <w:r w:rsidRPr="00740979" w:rsidR="00740979">
        <w:rPr>
          <w:rFonts w:ascii="Palatino Linotype" w:hAnsi="Palatino Linotype"/>
          <w:b/>
          <w:sz w:val="24"/>
          <w:szCs w:val="24"/>
        </w:rPr>
        <w:t>23259</w:t>
      </w:r>
    </w:p>
    <w:p w:rsidR="00CF17DE" w:rsidP="00D865A9" w:rsidRDefault="00B913F1" w14:paraId="7AE852C7" w14:textId="3A8D506C">
      <w:pPr>
        <w:tabs>
          <w:tab w:val="right" w:pos="8820"/>
        </w:tabs>
        <w:rPr>
          <w:rFonts w:ascii="Palatino Linotype" w:hAnsi="Palatino Linotype" w:eastAsia="Palatino Linotype"/>
          <w:b/>
          <w:sz w:val="24"/>
          <w:szCs w:val="24"/>
        </w:rPr>
      </w:pPr>
      <w:r w:rsidRPr="00D865A9">
        <w:rPr>
          <w:rFonts w:ascii="Palatino Linotype" w:hAnsi="Palatino Linotype" w:eastAsia="Palatino Linotype"/>
          <w:b/>
          <w:sz w:val="24"/>
          <w:szCs w:val="24"/>
        </w:rPr>
        <w:t>ENERGY DIVISION</w:t>
      </w:r>
      <w:r w:rsidRPr="00D865A9" w:rsidR="00593807">
        <w:rPr>
          <w:rFonts w:ascii="Palatino Linotype" w:hAnsi="Palatino Linotype"/>
          <w:b/>
          <w:sz w:val="24"/>
          <w:szCs w:val="24"/>
        </w:rPr>
        <w:tab/>
      </w:r>
      <w:r w:rsidRPr="00D865A9" w:rsidR="00CF17DE">
        <w:rPr>
          <w:rFonts w:ascii="Palatino Linotype" w:hAnsi="Palatino Linotype" w:eastAsia="Palatino Linotype"/>
          <w:b/>
          <w:sz w:val="24"/>
          <w:szCs w:val="24"/>
        </w:rPr>
        <w:t xml:space="preserve">RESOLUTION </w:t>
      </w:r>
      <w:r w:rsidR="008E49FC">
        <w:rPr>
          <w:rFonts w:ascii="Palatino Linotype" w:hAnsi="Palatino Linotype" w:eastAsia="Palatino Linotype"/>
          <w:b/>
          <w:sz w:val="24"/>
          <w:szCs w:val="24"/>
        </w:rPr>
        <w:t>E-</w:t>
      </w:r>
      <w:r w:rsidR="00FE7D1B">
        <w:rPr>
          <w:rFonts w:ascii="Palatino Linotype" w:hAnsi="Palatino Linotype" w:eastAsia="Palatino Linotype"/>
          <w:b/>
          <w:sz w:val="24"/>
          <w:szCs w:val="24"/>
        </w:rPr>
        <w:t>5373</w:t>
      </w:r>
    </w:p>
    <w:p w:rsidRPr="00D865A9" w:rsidR="0020108F" w:rsidP="00D865A9" w:rsidRDefault="0020108F" w14:paraId="6A61AFB6" w14:textId="2574BD0E">
      <w:pPr>
        <w:tabs>
          <w:tab w:val="right" w:pos="8820"/>
        </w:tabs>
        <w:rPr>
          <w:rFonts w:ascii="Palatino Linotype" w:hAnsi="Palatino Linotype"/>
          <w:b/>
          <w:sz w:val="24"/>
          <w:szCs w:val="24"/>
        </w:rPr>
      </w:pPr>
      <w:r>
        <w:rPr>
          <w:rFonts w:ascii="Palatino Linotype" w:hAnsi="Palatino Linotype"/>
          <w:b/>
          <w:sz w:val="24"/>
          <w:szCs w:val="24"/>
        </w:rPr>
        <w:tab/>
      </w:r>
      <w:r w:rsidR="008B25A6">
        <w:rPr>
          <w:rFonts w:ascii="Palatino Linotype" w:hAnsi="Palatino Linotype"/>
          <w:b/>
          <w:sz w:val="24"/>
          <w:szCs w:val="24"/>
        </w:rPr>
        <w:t>February 2</w:t>
      </w:r>
      <w:r w:rsidR="00103C83">
        <w:rPr>
          <w:rFonts w:ascii="Palatino Linotype" w:hAnsi="Palatino Linotype"/>
          <w:b/>
          <w:sz w:val="24"/>
          <w:szCs w:val="24"/>
        </w:rPr>
        <w:t>0, 2025</w:t>
      </w:r>
    </w:p>
    <w:p w:rsidRPr="00D865A9" w:rsidR="00CF17DE" w:rsidRDefault="00CF17DE" w14:paraId="3DBC912E" w14:textId="49B6ADBD">
      <w:pPr>
        <w:tabs>
          <w:tab w:val="right" w:pos="8910"/>
        </w:tabs>
        <w:ind w:left="1440" w:firstLine="720"/>
        <w:rPr>
          <w:rFonts w:ascii="Palatino Linotype" w:hAnsi="Palatino Linotype"/>
          <w:b/>
          <w:sz w:val="24"/>
          <w:szCs w:val="24"/>
        </w:rPr>
      </w:pPr>
      <w:r w:rsidRPr="00D865A9">
        <w:rPr>
          <w:rFonts w:ascii="Palatino Linotype" w:hAnsi="Palatino Linotype"/>
          <w:b/>
          <w:sz w:val="24"/>
          <w:szCs w:val="24"/>
        </w:rPr>
        <w:tab/>
      </w:r>
    </w:p>
    <w:p w:rsidR="00CF17DE" w:rsidRDefault="00CF17DE" w14:paraId="061A7957" w14:textId="77777777">
      <w:pPr>
        <w:tabs>
          <w:tab w:val="right" w:pos="8910"/>
        </w:tabs>
        <w:ind w:left="1440" w:firstLine="720"/>
        <w:rPr>
          <w:b/>
          <w:sz w:val="24"/>
        </w:rPr>
      </w:pPr>
    </w:p>
    <w:p w:rsidR="00CF17DE" w:rsidRDefault="00CF17DE" w14:paraId="40ADBA19" w14:textId="77777777">
      <w:pPr>
        <w:pStyle w:val="mainex"/>
        <w:rPr>
          <w:u w:val="single"/>
        </w:rPr>
      </w:pPr>
      <w:bookmarkStart w:name="_Ref404993683" w:id="0"/>
      <w:r w:rsidRPr="4BA7214B">
        <w:rPr>
          <w:u w:val="single"/>
        </w:rPr>
        <w:t>RESOLUTION</w:t>
      </w:r>
    </w:p>
    <w:p w:rsidR="00CF17DE" w:rsidP="4BA7214B" w:rsidRDefault="00CF17DE" w14:paraId="63C93376" w14:textId="77777777">
      <w:pPr>
        <w:rPr>
          <w:rFonts w:eastAsia="Palatino Linotype"/>
        </w:rPr>
      </w:pPr>
    </w:p>
    <w:p w:rsidR="000C50E3" w:rsidP="00B927B5" w:rsidRDefault="00B927B5" w14:paraId="1069D024" w14:textId="67E70211">
      <w:pPr>
        <w:pStyle w:val="Res-Caption"/>
        <w:rPr>
          <w:rFonts w:ascii="Palatino Linotype" w:hAnsi="Palatino Linotype"/>
          <w:sz w:val="24"/>
          <w:szCs w:val="24"/>
        </w:rPr>
      </w:pPr>
      <w:r w:rsidRPr="00D865A9">
        <w:rPr>
          <w:rFonts w:ascii="Palatino Linotype" w:hAnsi="Palatino Linotype"/>
          <w:sz w:val="24"/>
          <w:szCs w:val="24"/>
        </w:rPr>
        <w:t xml:space="preserve">Resolution </w:t>
      </w:r>
      <w:r w:rsidR="007804C2">
        <w:rPr>
          <w:rFonts w:ascii="Palatino Linotype" w:hAnsi="Palatino Linotype"/>
          <w:sz w:val="24"/>
          <w:szCs w:val="24"/>
        </w:rPr>
        <w:t>E-</w:t>
      </w:r>
      <w:r w:rsidR="004D4970">
        <w:rPr>
          <w:rFonts w:ascii="Palatino Linotype" w:hAnsi="Palatino Linotype"/>
          <w:sz w:val="24"/>
          <w:szCs w:val="24"/>
        </w:rPr>
        <w:t>5373</w:t>
      </w:r>
      <w:r w:rsidRPr="00D865A9">
        <w:rPr>
          <w:rFonts w:ascii="Palatino Linotype" w:hAnsi="Palatino Linotype"/>
          <w:sz w:val="24"/>
          <w:szCs w:val="24"/>
        </w:rPr>
        <w:t xml:space="preserve">. </w:t>
      </w:r>
      <w:r w:rsidR="002E6593">
        <w:rPr>
          <w:rFonts w:ascii="Palatino Linotype" w:hAnsi="Palatino Linotype"/>
          <w:sz w:val="24"/>
          <w:szCs w:val="24"/>
        </w:rPr>
        <w:t>Southern California Gas Company,</w:t>
      </w:r>
      <w:r w:rsidRPr="00D865A9">
        <w:rPr>
          <w:rFonts w:ascii="Palatino Linotype" w:hAnsi="Palatino Linotype"/>
          <w:sz w:val="24"/>
          <w:szCs w:val="24"/>
        </w:rPr>
        <w:t xml:space="preserve"> </w:t>
      </w:r>
      <w:r w:rsidR="00EE4D4D">
        <w:rPr>
          <w:rFonts w:ascii="Palatino Linotype" w:hAnsi="Palatino Linotype"/>
          <w:sz w:val="24"/>
          <w:szCs w:val="24"/>
        </w:rPr>
        <w:t xml:space="preserve">Pacific </w:t>
      </w:r>
      <w:r w:rsidR="0011356B">
        <w:rPr>
          <w:rFonts w:ascii="Palatino Linotype" w:hAnsi="Palatino Linotype"/>
          <w:sz w:val="24"/>
          <w:szCs w:val="24"/>
        </w:rPr>
        <w:t xml:space="preserve">Gas and Electric, </w:t>
      </w:r>
      <w:r w:rsidR="00D65A36">
        <w:rPr>
          <w:rFonts w:ascii="Palatino Linotype" w:hAnsi="Palatino Linotype"/>
          <w:sz w:val="24"/>
          <w:szCs w:val="24"/>
        </w:rPr>
        <w:t>Southern California</w:t>
      </w:r>
      <w:r w:rsidR="003A5F72">
        <w:rPr>
          <w:rFonts w:ascii="Palatino Linotype" w:hAnsi="Palatino Linotype"/>
          <w:sz w:val="24"/>
          <w:szCs w:val="24"/>
        </w:rPr>
        <w:t xml:space="preserve"> Edison</w:t>
      </w:r>
      <w:r w:rsidR="005261DE">
        <w:rPr>
          <w:rFonts w:ascii="Palatino Linotype" w:hAnsi="Palatino Linotype"/>
          <w:sz w:val="24"/>
          <w:szCs w:val="24"/>
        </w:rPr>
        <w:t xml:space="preserve"> Company</w:t>
      </w:r>
      <w:r w:rsidR="00D65A36">
        <w:rPr>
          <w:rFonts w:ascii="Palatino Linotype" w:hAnsi="Palatino Linotype"/>
          <w:sz w:val="24"/>
          <w:szCs w:val="24"/>
        </w:rPr>
        <w:t xml:space="preserve">, </w:t>
      </w:r>
      <w:r w:rsidR="004361F9">
        <w:rPr>
          <w:rFonts w:ascii="Palatino Linotype" w:hAnsi="Palatino Linotype"/>
          <w:sz w:val="24"/>
          <w:szCs w:val="24"/>
        </w:rPr>
        <w:t xml:space="preserve">and </w:t>
      </w:r>
      <w:r w:rsidR="002E6593">
        <w:rPr>
          <w:rFonts w:ascii="Palatino Linotype" w:hAnsi="Palatino Linotype"/>
          <w:sz w:val="24"/>
          <w:szCs w:val="24"/>
        </w:rPr>
        <w:t>Center for Sustainable Energy®</w:t>
      </w:r>
      <w:r w:rsidR="001B5487">
        <w:rPr>
          <w:rFonts w:ascii="Palatino Linotype" w:hAnsi="Palatino Linotype"/>
          <w:sz w:val="24"/>
          <w:szCs w:val="24"/>
        </w:rPr>
        <w:t xml:space="preserve"> </w:t>
      </w:r>
      <w:r w:rsidR="001F6687">
        <w:rPr>
          <w:rFonts w:ascii="Palatino Linotype" w:hAnsi="Palatino Linotype"/>
          <w:sz w:val="24"/>
          <w:szCs w:val="24"/>
        </w:rPr>
        <w:t>Self-Generation Incentive</w:t>
      </w:r>
      <w:r w:rsidR="00567A4C">
        <w:rPr>
          <w:rFonts w:ascii="Palatino Linotype" w:hAnsi="Palatino Linotype"/>
          <w:sz w:val="24"/>
          <w:szCs w:val="24"/>
        </w:rPr>
        <w:t xml:space="preserve"> Program</w:t>
      </w:r>
      <w:r w:rsidR="001F6687">
        <w:rPr>
          <w:rFonts w:ascii="Palatino Linotype" w:hAnsi="Palatino Linotype"/>
          <w:sz w:val="24"/>
          <w:szCs w:val="24"/>
        </w:rPr>
        <w:t xml:space="preserve"> </w:t>
      </w:r>
      <w:r w:rsidR="001B5487">
        <w:rPr>
          <w:rFonts w:ascii="Palatino Linotype" w:hAnsi="Palatino Linotype"/>
          <w:sz w:val="24"/>
          <w:szCs w:val="24"/>
        </w:rPr>
        <w:t>Inflation Reduction Act Tax Credit</w:t>
      </w:r>
    </w:p>
    <w:p w:rsidRPr="00D865A9" w:rsidR="0078449A" w:rsidP="00D915D3" w:rsidRDefault="0078449A" w14:paraId="2D7CABC3" w14:textId="77777777">
      <w:pPr>
        <w:pStyle w:val="Res-Caption"/>
        <w:ind w:left="0"/>
        <w:rPr>
          <w:rFonts w:ascii="Palatino Linotype" w:hAnsi="Palatino Linotype" w:eastAsia="Palatino Linotype"/>
          <w:sz w:val="24"/>
          <w:szCs w:val="24"/>
        </w:rPr>
      </w:pPr>
    </w:p>
    <w:p w:rsidRPr="00D865A9" w:rsidR="00DF35CC" w:rsidP="4BA7214B" w:rsidRDefault="00801D70" w14:paraId="5B232953" w14:textId="77777777">
      <w:pPr>
        <w:pStyle w:val="Res-Caption"/>
        <w:rPr>
          <w:rFonts w:ascii="Palatino Linotype" w:hAnsi="Palatino Linotype" w:eastAsia="Palatino Linotype"/>
          <w:sz w:val="24"/>
          <w:szCs w:val="24"/>
        </w:rPr>
      </w:pPr>
      <w:r w:rsidRPr="00D865A9">
        <w:rPr>
          <w:rFonts w:ascii="Palatino Linotype" w:hAnsi="Palatino Linotype" w:eastAsia="Palatino Linotype"/>
          <w:sz w:val="24"/>
          <w:szCs w:val="24"/>
        </w:rPr>
        <w:t>PROPOSED OUTCOME:</w:t>
      </w:r>
      <w:r w:rsidRPr="00D865A9" w:rsidR="00142FB8">
        <w:rPr>
          <w:rFonts w:ascii="Palatino Linotype" w:hAnsi="Palatino Linotype" w:eastAsia="Palatino Linotype"/>
          <w:sz w:val="24"/>
          <w:szCs w:val="24"/>
        </w:rPr>
        <w:t xml:space="preserve"> </w:t>
      </w:r>
    </w:p>
    <w:p w:rsidRPr="00E611DD" w:rsidR="00142FB8" w:rsidP="00E611DD" w:rsidRDefault="00ED48CB" w14:paraId="6EF53595" w14:textId="34D4C046">
      <w:pPr>
        <w:pStyle w:val="Res-Caption"/>
        <w:numPr>
          <w:ilvl w:val="0"/>
          <w:numId w:val="10"/>
        </w:numPr>
        <w:rPr>
          <w:rFonts w:ascii="Palatino Linotype" w:hAnsi="Palatino Linotype"/>
          <w:sz w:val="24"/>
          <w:szCs w:val="24"/>
        </w:rPr>
      </w:pPr>
      <w:r>
        <w:rPr>
          <w:rFonts w:ascii="Palatino Linotype" w:hAnsi="Palatino Linotype"/>
          <w:sz w:val="24"/>
          <w:szCs w:val="24"/>
        </w:rPr>
        <w:t xml:space="preserve">Approves, with modification, </w:t>
      </w:r>
      <w:r w:rsidR="00E611DD">
        <w:rPr>
          <w:rFonts w:ascii="Palatino Linotype" w:hAnsi="Palatino Linotype"/>
          <w:sz w:val="24"/>
          <w:szCs w:val="24"/>
        </w:rPr>
        <w:t xml:space="preserve">the joint proposal by </w:t>
      </w:r>
      <w:r w:rsidR="001B5487">
        <w:rPr>
          <w:rFonts w:ascii="Palatino Linotype" w:hAnsi="Palatino Linotype"/>
          <w:sz w:val="24"/>
          <w:szCs w:val="24"/>
        </w:rPr>
        <w:t>Southern California Gas Company,</w:t>
      </w:r>
      <w:r w:rsidRPr="00D865A9" w:rsidR="001B5487">
        <w:rPr>
          <w:rFonts w:ascii="Palatino Linotype" w:hAnsi="Palatino Linotype"/>
          <w:sz w:val="24"/>
          <w:szCs w:val="24"/>
        </w:rPr>
        <w:t xml:space="preserve"> </w:t>
      </w:r>
      <w:r w:rsidR="001B5487">
        <w:rPr>
          <w:rFonts w:ascii="Palatino Linotype" w:hAnsi="Palatino Linotype"/>
          <w:sz w:val="24"/>
          <w:szCs w:val="24"/>
        </w:rPr>
        <w:t xml:space="preserve">Pacific Gas and Electric, Southern California Edison Company, and Center for Sustainable Energy® </w:t>
      </w:r>
      <w:r w:rsidRPr="00E611DD" w:rsidR="00E611DD">
        <w:rPr>
          <w:rFonts w:ascii="Palatino Linotype" w:hAnsi="Palatino Linotype"/>
          <w:sz w:val="24"/>
          <w:szCs w:val="24"/>
        </w:rPr>
        <w:t xml:space="preserve">concerning the </w:t>
      </w:r>
      <w:r w:rsidR="00E611DD">
        <w:rPr>
          <w:rFonts w:ascii="Palatino Linotype" w:hAnsi="Palatino Linotype"/>
          <w:sz w:val="24"/>
          <w:szCs w:val="24"/>
        </w:rPr>
        <w:t>S</w:t>
      </w:r>
      <w:r w:rsidRPr="00E611DD" w:rsidR="00E611DD">
        <w:rPr>
          <w:rFonts w:ascii="Palatino Linotype" w:hAnsi="Palatino Linotype"/>
          <w:sz w:val="24"/>
          <w:szCs w:val="24"/>
        </w:rPr>
        <w:t>elf-</w:t>
      </w:r>
      <w:r w:rsidR="00E611DD">
        <w:rPr>
          <w:rFonts w:ascii="Palatino Linotype" w:hAnsi="Palatino Linotype"/>
          <w:sz w:val="24"/>
          <w:szCs w:val="24"/>
        </w:rPr>
        <w:t>G</w:t>
      </w:r>
      <w:r w:rsidRPr="00E611DD" w:rsidR="00E611DD">
        <w:rPr>
          <w:rFonts w:ascii="Palatino Linotype" w:hAnsi="Palatino Linotype"/>
          <w:sz w:val="24"/>
          <w:szCs w:val="24"/>
        </w:rPr>
        <w:t xml:space="preserve">eneration </w:t>
      </w:r>
      <w:r w:rsidR="00E611DD">
        <w:rPr>
          <w:rFonts w:ascii="Palatino Linotype" w:hAnsi="Palatino Linotype"/>
          <w:sz w:val="24"/>
          <w:szCs w:val="24"/>
        </w:rPr>
        <w:t>I</w:t>
      </w:r>
      <w:r w:rsidRPr="00E611DD" w:rsidR="00E611DD">
        <w:rPr>
          <w:rFonts w:ascii="Palatino Linotype" w:hAnsi="Palatino Linotype"/>
          <w:sz w:val="24"/>
          <w:szCs w:val="24"/>
        </w:rPr>
        <w:t xml:space="preserve">ncentive </w:t>
      </w:r>
      <w:r w:rsidR="00E611DD">
        <w:rPr>
          <w:rFonts w:ascii="Palatino Linotype" w:hAnsi="Palatino Linotype"/>
          <w:sz w:val="24"/>
          <w:szCs w:val="24"/>
        </w:rPr>
        <w:t>P</w:t>
      </w:r>
      <w:r w:rsidRPr="00E611DD" w:rsidR="00E611DD">
        <w:rPr>
          <w:rFonts w:ascii="Palatino Linotype" w:hAnsi="Palatino Linotype"/>
          <w:sz w:val="24"/>
          <w:szCs w:val="24"/>
        </w:rPr>
        <w:t>rogram's</w:t>
      </w:r>
      <w:r w:rsidR="00E611DD">
        <w:rPr>
          <w:rFonts w:ascii="Palatino Linotype" w:hAnsi="Palatino Linotype"/>
          <w:sz w:val="24"/>
          <w:szCs w:val="24"/>
        </w:rPr>
        <w:t xml:space="preserve"> </w:t>
      </w:r>
      <w:r w:rsidR="00CE1C89">
        <w:rPr>
          <w:rFonts w:ascii="Palatino Linotype" w:hAnsi="Palatino Linotype"/>
          <w:sz w:val="24"/>
          <w:szCs w:val="24"/>
        </w:rPr>
        <w:t xml:space="preserve">Inflation Reduction Act Tax Credit </w:t>
      </w:r>
      <w:r w:rsidR="00D0178F">
        <w:rPr>
          <w:rFonts w:ascii="Palatino Linotype" w:hAnsi="Palatino Linotype"/>
          <w:sz w:val="24"/>
          <w:szCs w:val="24"/>
        </w:rPr>
        <w:t xml:space="preserve">Proposal </w:t>
      </w:r>
      <w:r w:rsidR="00D915D3">
        <w:rPr>
          <w:rFonts w:ascii="Palatino Linotype" w:hAnsi="Palatino Linotype"/>
          <w:sz w:val="24"/>
          <w:szCs w:val="24"/>
        </w:rPr>
        <w:t xml:space="preserve">filed </w:t>
      </w:r>
      <w:r w:rsidRPr="00E611DD" w:rsidR="00E611DD">
        <w:rPr>
          <w:rFonts w:ascii="Palatino Linotype" w:hAnsi="Palatino Linotype"/>
          <w:sz w:val="24"/>
          <w:szCs w:val="24"/>
        </w:rPr>
        <w:t xml:space="preserve">in </w:t>
      </w:r>
      <w:r w:rsidR="00D41ACC">
        <w:rPr>
          <w:rFonts w:ascii="Palatino Linotype" w:hAnsi="Palatino Linotype"/>
          <w:sz w:val="24"/>
          <w:szCs w:val="24"/>
        </w:rPr>
        <w:t xml:space="preserve">the joint </w:t>
      </w:r>
      <w:r w:rsidRPr="00E611DD" w:rsidR="004C019C">
        <w:rPr>
          <w:rFonts w:ascii="Palatino Linotype" w:hAnsi="Palatino Linotype"/>
          <w:sz w:val="24"/>
          <w:szCs w:val="24"/>
        </w:rPr>
        <w:t xml:space="preserve">Advice Letter </w:t>
      </w:r>
      <w:r w:rsidR="005119A6">
        <w:rPr>
          <w:rFonts w:ascii="Palatino Linotype" w:hAnsi="Palatino Linotype"/>
          <w:sz w:val="24"/>
          <w:szCs w:val="24"/>
        </w:rPr>
        <w:t>6405-G, 5000-G/7436-E, 5423-E, and 161-E.</w:t>
      </w:r>
    </w:p>
    <w:p w:rsidRPr="00D865A9" w:rsidR="00F51F8B" w:rsidP="00197FF0" w:rsidRDefault="00F51F8B" w14:paraId="65BE5ED4" w14:textId="77777777">
      <w:pPr>
        <w:pStyle w:val="Res-Caption"/>
        <w:ind w:left="0"/>
        <w:rPr>
          <w:rFonts w:ascii="Palatino Linotype" w:hAnsi="Palatino Linotype" w:eastAsia="Palatino Linotype"/>
          <w:sz w:val="24"/>
          <w:szCs w:val="24"/>
        </w:rPr>
      </w:pPr>
    </w:p>
    <w:p w:rsidR="00F51F8B" w:rsidP="4BA7214B" w:rsidRDefault="00F51F8B" w14:paraId="5348E825" w14:textId="77777777">
      <w:pPr>
        <w:pStyle w:val="Res-Caption"/>
        <w:rPr>
          <w:rFonts w:ascii="Palatino Linotype" w:hAnsi="Palatino Linotype" w:eastAsia="Palatino Linotype"/>
          <w:sz w:val="24"/>
          <w:szCs w:val="24"/>
        </w:rPr>
      </w:pPr>
      <w:r w:rsidRPr="00D865A9">
        <w:rPr>
          <w:rFonts w:ascii="Palatino Linotype" w:hAnsi="Palatino Linotype" w:eastAsia="Palatino Linotype"/>
          <w:sz w:val="24"/>
          <w:szCs w:val="24"/>
        </w:rPr>
        <w:t>SAFETY CONSIDERATIONS:</w:t>
      </w:r>
    </w:p>
    <w:p w:rsidRPr="00D865A9" w:rsidR="00E2300D" w:rsidP="4BA7214B" w:rsidRDefault="00E2300D" w14:paraId="177E3805" w14:textId="5B3E9499">
      <w:pPr>
        <w:pStyle w:val="Res-Caption"/>
        <w:rPr>
          <w:rFonts w:ascii="Palatino Linotype" w:hAnsi="Palatino Linotype" w:eastAsia="Palatino Linotype"/>
          <w:sz w:val="24"/>
          <w:szCs w:val="24"/>
        </w:rPr>
      </w:pPr>
      <w:r>
        <w:rPr>
          <w:rFonts w:ascii="Palatino Linotype" w:hAnsi="Palatino Linotype" w:eastAsia="Palatino Linotype"/>
          <w:sz w:val="24"/>
          <w:szCs w:val="24"/>
        </w:rPr>
        <w:tab/>
        <w:t>There are no safety considerations associated with this resolution.</w:t>
      </w:r>
    </w:p>
    <w:p w:rsidR="00801D70" w:rsidP="4BA7214B" w:rsidRDefault="00801D70" w14:paraId="28BD615D" w14:textId="77777777">
      <w:pPr>
        <w:pStyle w:val="Res-Caption"/>
        <w:rPr>
          <w:rFonts w:ascii="Palatino Linotype" w:hAnsi="Palatino Linotype" w:eastAsia="Palatino Linotype"/>
          <w:sz w:val="24"/>
          <w:szCs w:val="24"/>
        </w:rPr>
      </w:pPr>
      <w:r w:rsidRPr="00197FF0">
        <w:rPr>
          <w:rFonts w:ascii="Palatino Linotype" w:hAnsi="Palatino Linotype" w:eastAsia="Palatino Linotype"/>
          <w:sz w:val="24"/>
          <w:szCs w:val="24"/>
        </w:rPr>
        <w:t xml:space="preserve">ESTIMATED COST:  </w:t>
      </w:r>
    </w:p>
    <w:p w:rsidRPr="00197FF0" w:rsidR="00585AB5" w:rsidP="4BA7214B" w:rsidRDefault="00585AB5" w14:paraId="191F2A37" w14:textId="0F818FCC">
      <w:pPr>
        <w:pStyle w:val="Res-Caption"/>
        <w:rPr>
          <w:rFonts w:ascii="Palatino Linotype" w:hAnsi="Palatino Linotype" w:eastAsia="Palatino Linotype"/>
          <w:sz w:val="24"/>
          <w:szCs w:val="24"/>
        </w:rPr>
      </w:pPr>
      <w:r>
        <w:rPr>
          <w:rFonts w:ascii="Palatino Linotype" w:hAnsi="Palatino Linotype" w:eastAsia="Palatino Linotype"/>
          <w:sz w:val="24"/>
          <w:szCs w:val="24"/>
        </w:rPr>
        <w:tab/>
        <w:t>There are no costs associated with this resolution.</w:t>
      </w:r>
    </w:p>
    <w:p w:rsidRPr="00197FF0" w:rsidR="003B28DC" w:rsidP="00585AB5" w:rsidRDefault="003B28DC" w14:paraId="14013F68" w14:textId="78763296">
      <w:pPr>
        <w:pStyle w:val="Res-Caption"/>
        <w:rPr>
          <w:rFonts w:ascii="Palatino Linotype" w:hAnsi="Palatino Linotype"/>
          <w:sz w:val="24"/>
          <w:szCs w:val="24"/>
        </w:rPr>
      </w:pPr>
    </w:p>
    <w:p w:rsidRPr="00D865A9" w:rsidR="00CF17DE" w:rsidP="4BA7214B" w:rsidRDefault="00CF17DE" w14:paraId="414B5F5B" w14:textId="77777777">
      <w:pPr>
        <w:pStyle w:val="Res-Caption"/>
        <w:rPr>
          <w:rFonts w:ascii="Palatino Linotype" w:hAnsi="Palatino Linotype" w:eastAsia="Palatino Linotype"/>
          <w:sz w:val="24"/>
          <w:szCs w:val="24"/>
        </w:rPr>
      </w:pPr>
    </w:p>
    <w:p w:rsidRPr="00D865A9" w:rsidR="00CF17DE" w:rsidP="4BA7214B" w:rsidRDefault="00CF17DE" w14:paraId="0395FC4E" w14:textId="68850632">
      <w:pPr>
        <w:pStyle w:val="Res-Caption"/>
        <w:rPr>
          <w:rFonts w:ascii="Palatino Linotype" w:hAnsi="Palatino Linotype" w:eastAsia="Palatino Linotype"/>
          <w:sz w:val="24"/>
          <w:szCs w:val="24"/>
        </w:rPr>
      </w:pPr>
      <w:r w:rsidRPr="00D865A9">
        <w:rPr>
          <w:rFonts w:ascii="Palatino Linotype" w:hAnsi="Palatino Linotype" w:eastAsia="Palatino Linotype"/>
          <w:sz w:val="24"/>
          <w:szCs w:val="24"/>
        </w:rPr>
        <w:t xml:space="preserve">By </w:t>
      </w:r>
      <w:r w:rsidR="00D41ACC">
        <w:rPr>
          <w:rFonts w:ascii="Palatino Linotype" w:hAnsi="Palatino Linotype" w:eastAsia="Palatino Linotype"/>
          <w:sz w:val="24"/>
          <w:szCs w:val="24"/>
        </w:rPr>
        <w:t xml:space="preserve">joint </w:t>
      </w:r>
      <w:r w:rsidRPr="00D865A9">
        <w:rPr>
          <w:rFonts w:ascii="Palatino Linotype" w:hAnsi="Palatino Linotype" w:eastAsia="Palatino Linotype"/>
          <w:sz w:val="24"/>
          <w:szCs w:val="24"/>
        </w:rPr>
        <w:t xml:space="preserve">Advice Letter </w:t>
      </w:r>
      <w:r w:rsidR="003D65BA">
        <w:rPr>
          <w:rFonts w:ascii="Palatino Linotype" w:hAnsi="Palatino Linotype"/>
          <w:sz w:val="24"/>
          <w:szCs w:val="24"/>
        </w:rPr>
        <w:t>6405-G, 5000-G/7436-E, 5423-E, and 161-E</w:t>
      </w:r>
      <w:r w:rsidR="00E611DD">
        <w:rPr>
          <w:rFonts w:ascii="Palatino Linotype" w:hAnsi="Palatino Linotype" w:eastAsia="Palatino Linotype"/>
          <w:sz w:val="24"/>
          <w:szCs w:val="24"/>
        </w:rPr>
        <w:t>,</w:t>
      </w:r>
      <w:r w:rsidR="00A6042B">
        <w:rPr>
          <w:rFonts w:ascii="Palatino Linotype" w:hAnsi="Palatino Linotype" w:eastAsia="Palatino Linotype"/>
          <w:sz w:val="24"/>
          <w:szCs w:val="24"/>
        </w:rPr>
        <w:t xml:space="preserve"> </w:t>
      </w:r>
      <w:r w:rsidR="003D65BA">
        <w:rPr>
          <w:rFonts w:ascii="Palatino Linotype" w:hAnsi="Palatino Linotype" w:eastAsia="Palatino Linotype"/>
          <w:sz w:val="24"/>
          <w:szCs w:val="24"/>
        </w:rPr>
        <w:t>f</w:t>
      </w:r>
      <w:r w:rsidRPr="00D865A9" w:rsidR="44783017">
        <w:rPr>
          <w:rFonts w:ascii="Palatino Linotype" w:hAnsi="Palatino Linotype" w:eastAsia="Palatino Linotype"/>
          <w:sz w:val="24"/>
          <w:szCs w:val="24"/>
        </w:rPr>
        <w:t xml:space="preserve">iled on </w:t>
      </w:r>
      <w:r w:rsidR="00FC4CA4">
        <w:rPr>
          <w:rFonts w:ascii="Palatino Linotype" w:hAnsi="Palatino Linotype" w:eastAsia="Palatino Linotype"/>
          <w:sz w:val="24"/>
          <w:szCs w:val="24"/>
        </w:rPr>
        <w:t>November 18, 2024</w:t>
      </w:r>
      <w:r w:rsidRPr="00D865A9" w:rsidR="44783017">
        <w:rPr>
          <w:rFonts w:ascii="Palatino Linotype" w:hAnsi="Palatino Linotype" w:eastAsia="Palatino Linotype"/>
          <w:sz w:val="24"/>
          <w:szCs w:val="24"/>
        </w:rPr>
        <w:t>.</w:t>
      </w:r>
      <w:r w:rsidRPr="00D865A9">
        <w:rPr>
          <w:rFonts w:ascii="Palatino Linotype" w:hAnsi="Palatino Linotype" w:eastAsia="Palatino Linotype"/>
          <w:sz w:val="24"/>
          <w:szCs w:val="24"/>
        </w:rPr>
        <w:t xml:space="preserve"> </w:t>
      </w:r>
    </w:p>
    <w:p w:rsidRPr="00D865A9" w:rsidR="00CF17DE" w:rsidP="4BA7214B" w:rsidRDefault="00CF17DE" w14:paraId="2BFCF270" w14:textId="77777777">
      <w:pPr>
        <w:jc w:val="center"/>
        <w:rPr>
          <w:rFonts w:ascii="Palatino Linotype" w:hAnsi="Palatino Linotype" w:eastAsia="Palatino Linotype"/>
          <w:sz w:val="24"/>
          <w:szCs w:val="24"/>
        </w:rPr>
      </w:pPr>
      <w:r w:rsidRPr="00D865A9">
        <w:rPr>
          <w:rFonts w:ascii="Palatino Linotype" w:hAnsi="Palatino Linotype" w:eastAsia="Palatino Linotype"/>
          <w:sz w:val="24"/>
          <w:szCs w:val="24"/>
        </w:rPr>
        <w:t>__________________________________________________________</w:t>
      </w:r>
    </w:p>
    <w:p w:rsidR="00CF17DE" w:rsidP="4BA7214B" w:rsidRDefault="00CF17DE" w14:paraId="21ED6BB6" w14:textId="77777777">
      <w:pPr>
        <w:rPr>
          <w:rFonts w:ascii="Palatino Linotype" w:hAnsi="Palatino Linotype" w:eastAsia="Palatino Linotype"/>
          <w:b/>
          <w:sz w:val="24"/>
          <w:szCs w:val="24"/>
        </w:rPr>
      </w:pPr>
    </w:p>
    <w:p w:rsidRPr="00D865A9" w:rsidR="00646D6D" w:rsidP="4BA7214B" w:rsidRDefault="00646D6D" w14:paraId="73FB52A9" w14:textId="77777777">
      <w:pPr>
        <w:rPr>
          <w:rFonts w:ascii="Palatino Linotype" w:hAnsi="Palatino Linotype" w:eastAsia="Palatino Linotype"/>
          <w:b/>
          <w:sz w:val="24"/>
          <w:szCs w:val="24"/>
        </w:rPr>
      </w:pPr>
    </w:p>
    <w:p w:rsidRPr="00D865A9" w:rsidR="00CF17DE" w:rsidP="4BA7214B" w:rsidRDefault="00CF17DE" w14:paraId="2C49E15C" w14:textId="77777777">
      <w:pPr>
        <w:pStyle w:val="Heading1"/>
        <w:rPr>
          <w:rFonts w:ascii="Palatino Linotype" w:hAnsi="Palatino Linotype" w:eastAsia="Palatino Linotype"/>
          <w:sz w:val="24"/>
          <w:szCs w:val="24"/>
        </w:rPr>
      </w:pPr>
      <w:r w:rsidRPr="00D865A9">
        <w:rPr>
          <w:rFonts w:ascii="Palatino Linotype" w:hAnsi="Palatino Linotype" w:eastAsia="Palatino Linotype"/>
          <w:sz w:val="24"/>
          <w:szCs w:val="24"/>
        </w:rPr>
        <w:t>Summary</w:t>
      </w:r>
      <w:bookmarkEnd w:id="0"/>
    </w:p>
    <w:p w:rsidR="005F4CA6" w:rsidP="00F65E9F" w:rsidRDefault="00CF17DE" w14:paraId="2831AC4B" w14:textId="0A858586">
      <w:pPr>
        <w:pStyle w:val="Res-Caption"/>
        <w:ind w:left="0" w:right="0"/>
        <w:rPr>
          <w:rFonts w:ascii="Palatino Linotype" w:hAnsi="Palatino Linotype"/>
          <w:sz w:val="24"/>
          <w:szCs w:val="24"/>
        </w:rPr>
      </w:pPr>
      <w:r w:rsidRPr="1D49EC55">
        <w:rPr>
          <w:rFonts w:ascii="Palatino Linotype" w:hAnsi="Palatino Linotype"/>
          <w:sz w:val="24"/>
          <w:szCs w:val="24"/>
        </w:rPr>
        <w:t>This Resolution</w:t>
      </w:r>
      <w:r w:rsidRPr="1D49EC55" w:rsidR="005F4CA6">
        <w:rPr>
          <w:rFonts w:ascii="Palatino Linotype" w:hAnsi="Palatino Linotype"/>
          <w:sz w:val="24"/>
          <w:szCs w:val="24"/>
        </w:rPr>
        <w:t xml:space="preserve"> approves, with modification, </w:t>
      </w:r>
      <w:r w:rsidR="00D915D3">
        <w:rPr>
          <w:rFonts w:ascii="Palatino Linotype" w:hAnsi="Palatino Linotype"/>
          <w:sz w:val="24"/>
          <w:szCs w:val="24"/>
        </w:rPr>
        <w:t>the joint proposal by</w:t>
      </w:r>
      <w:r w:rsidR="00FC4CA4">
        <w:rPr>
          <w:rFonts w:ascii="Palatino Linotype" w:hAnsi="Palatino Linotype"/>
          <w:sz w:val="24"/>
          <w:szCs w:val="24"/>
        </w:rPr>
        <w:t xml:space="preserve"> Southern California Gas Company (SCG),</w:t>
      </w:r>
      <w:r w:rsidRPr="00D865A9" w:rsidR="00FC4CA4">
        <w:rPr>
          <w:rFonts w:ascii="Palatino Linotype" w:hAnsi="Palatino Linotype"/>
          <w:sz w:val="24"/>
          <w:szCs w:val="24"/>
        </w:rPr>
        <w:t xml:space="preserve"> </w:t>
      </w:r>
      <w:r w:rsidR="00FC4CA4">
        <w:rPr>
          <w:rFonts w:ascii="Palatino Linotype" w:hAnsi="Palatino Linotype"/>
          <w:sz w:val="24"/>
          <w:szCs w:val="24"/>
        </w:rPr>
        <w:t>Pacific Gas and Electric (PG&amp;E), Southern California Edison Company (SCE), and Center for Sustainable Energy® (CSE)</w:t>
      </w:r>
      <w:r w:rsidRPr="1D49EC55" w:rsidR="005F4CA6">
        <w:rPr>
          <w:rFonts w:ascii="Palatino Linotype" w:hAnsi="Palatino Linotype"/>
          <w:sz w:val="24"/>
          <w:szCs w:val="24"/>
        </w:rPr>
        <w:t>, hereafter referred to as the</w:t>
      </w:r>
      <w:r w:rsidRPr="1D49EC55" w:rsidR="00EC2CBE">
        <w:rPr>
          <w:rFonts w:ascii="Palatino Linotype" w:hAnsi="Palatino Linotype"/>
          <w:sz w:val="24"/>
          <w:szCs w:val="24"/>
        </w:rPr>
        <w:t xml:space="preserve"> </w:t>
      </w:r>
      <w:r w:rsidR="00D915D3">
        <w:rPr>
          <w:rFonts w:ascii="Palatino Linotype" w:hAnsi="Palatino Linotype"/>
          <w:sz w:val="24"/>
          <w:szCs w:val="24"/>
        </w:rPr>
        <w:t xml:space="preserve">joint </w:t>
      </w:r>
      <w:r w:rsidRPr="1D49EC55" w:rsidR="00EC2CBE">
        <w:rPr>
          <w:rFonts w:ascii="Palatino Linotype" w:hAnsi="Palatino Linotype"/>
          <w:sz w:val="24"/>
          <w:szCs w:val="24"/>
        </w:rPr>
        <w:t>Program Administrators (PAs),</w:t>
      </w:r>
      <w:r w:rsidRPr="1D49EC55" w:rsidR="005F4CA6">
        <w:rPr>
          <w:rFonts w:ascii="Palatino Linotype" w:hAnsi="Palatino Linotype"/>
          <w:sz w:val="24"/>
          <w:szCs w:val="24"/>
        </w:rPr>
        <w:t xml:space="preserve"> Self-Generation </w:t>
      </w:r>
      <w:r w:rsidR="00F60E11">
        <w:rPr>
          <w:rFonts w:ascii="Palatino Linotype" w:hAnsi="Palatino Linotype"/>
          <w:sz w:val="24"/>
          <w:szCs w:val="24"/>
        </w:rPr>
        <w:t>Incentive</w:t>
      </w:r>
      <w:r w:rsidRPr="1D49EC55" w:rsidR="00F60E11">
        <w:rPr>
          <w:rFonts w:ascii="Palatino Linotype" w:hAnsi="Palatino Linotype"/>
          <w:sz w:val="24"/>
          <w:szCs w:val="24"/>
        </w:rPr>
        <w:t xml:space="preserve"> </w:t>
      </w:r>
      <w:r w:rsidRPr="1D49EC55" w:rsidR="005F4CA6">
        <w:rPr>
          <w:rFonts w:ascii="Palatino Linotype" w:hAnsi="Palatino Linotype"/>
          <w:sz w:val="24"/>
          <w:szCs w:val="24"/>
        </w:rPr>
        <w:t xml:space="preserve">Program (SGIP) </w:t>
      </w:r>
      <w:r w:rsidR="00FE7E4B">
        <w:rPr>
          <w:rFonts w:ascii="Palatino Linotype" w:hAnsi="Palatino Linotype"/>
          <w:sz w:val="24"/>
          <w:szCs w:val="24"/>
        </w:rPr>
        <w:t xml:space="preserve">Inflation </w:t>
      </w:r>
      <w:r w:rsidR="00FE7E4B">
        <w:rPr>
          <w:rFonts w:ascii="Palatino Linotype" w:hAnsi="Palatino Linotype"/>
          <w:sz w:val="24"/>
          <w:szCs w:val="24"/>
        </w:rPr>
        <w:lastRenderedPageBreak/>
        <w:t xml:space="preserve">Reduction Act (IRA) Tax Credit </w:t>
      </w:r>
      <w:r w:rsidRPr="1D49EC55" w:rsidR="005F4CA6">
        <w:rPr>
          <w:rFonts w:ascii="Palatino Linotype" w:hAnsi="Palatino Linotype"/>
          <w:sz w:val="24"/>
          <w:szCs w:val="24"/>
        </w:rPr>
        <w:t>proposal for the new Residential Solar and Storage Equity budget (RSSE)</w:t>
      </w:r>
      <w:r w:rsidR="00387E17">
        <w:rPr>
          <w:rFonts w:ascii="Palatino Linotype" w:hAnsi="Palatino Linotype"/>
          <w:sz w:val="24"/>
          <w:szCs w:val="24"/>
        </w:rPr>
        <w:t xml:space="preserve"> and all other SGIP budgets.</w:t>
      </w:r>
    </w:p>
    <w:p w:rsidR="1D49EC55" w:rsidP="1D49EC55" w:rsidRDefault="1D49EC55" w14:paraId="519ADB91" w14:textId="7DC381E2">
      <w:pPr>
        <w:pStyle w:val="Res-Caption"/>
        <w:ind w:left="0"/>
        <w:rPr>
          <w:rFonts w:ascii="Palatino Linotype" w:hAnsi="Palatino Linotype"/>
          <w:sz w:val="24"/>
          <w:szCs w:val="24"/>
        </w:rPr>
      </w:pPr>
    </w:p>
    <w:p w:rsidR="00990006" w:rsidP="00F65E9F" w:rsidRDefault="5CBE7114" w14:paraId="2DC97689" w14:textId="60A8A5C9">
      <w:pPr>
        <w:pStyle w:val="Res-Caption"/>
        <w:ind w:left="0" w:right="0"/>
        <w:rPr>
          <w:rFonts w:ascii="Palatino Linotype" w:hAnsi="Palatino Linotype"/>
          <w:sz w:val="24"/>
          <w:szCs w:val="24"/>
        </w:rPr>
      </w:pPr>
      <w:r w:rsidRPr="286C2363">
        <w:rPr>
          <w:rFonts w:ascii="Palatino Linotype" w:hAnsi="Palatino Linotype"/>
          <w:sz w:val="24"/>
          <w:szCs w:val="24"/>
        </w:rPr>
        <w:t>This Resolution</w:t>
      </w:r>
      <w:r w:rsidRPr="286C2363" w:rsidR="6A9D6FB4">
        <w:rPr>
          <w:rFonts w:ascii="Palatino Linotype" w:hAnsi="Palatino Linotype"/>
          <w:sz w:val="24"/>
          <w:szCs w:val="24"/>
        </w:rPr>
        <w:t xml:space="preserve"> determines how to maximize the federal cost share of SGIP pr</w:t>
      </w:r>
      <w:r w:rsidRPr="286C2363" w:rsidR="50C923C3">
        <w:rPr>
          <w:rFonts w:ascii="Palatino Linotype" w:hAnsi="Palatino Linotype"/>
          <w:sz w:val="24"/>
          <w:szCs w:val="24"/>
        </w:rPr>
        <w:t>oject costs covered by the federal IRA</w:t>
      </w:r>
      <w:r w:rsidRPr="286C2363" w:rsidR="46943BFD">
        <w:rPr>
          <w:rFonts w:ascii="Palatino Linotype" w:hAnsi="Palatino Linotype"/>
          <w:sz w:val="24"/>
          <w:szCs w:val="24"/>
        </w:rPr>
        <w:t xml:space="preserve"> through the following policie</w:t>
      </w:r>
      <w:r w:rsidRPr="286C2363" w:rsidR="38254245">
        <w:rPr>
          <w:rFonts w:ascii="Palatino Linotype" w:hAnsi="Palatino Linotype"/>
          <w:sz w:val="24"/>
          <w:szCs w:val="24"/>
        </w:rPr>
        <w:t>s</w:t>
      </w:r>
      <w:r w:rsidRPr="286C2363" w:rsidR="2841351F">
        <w:rPr>
          <w:rFonts w:ascii="Palatino Linotype" w:hAnsi="Palatino Linotype"/>
          <w:sz w:val="24"/>
          <w:szCs w:val="24"/>
        </w:rPr>
        <w:t>:</w:t>
      </w:r>
    </w:p>
    <w:p w:rsidRPr="00CD13C8" w:rsidR="0046140A" w:rsidP="00F65E9F" w:rsidRDefault="3A61E7CC" w14:paraId="75AF17FC" w14:textId="4D8F884F">
      <w:pPr>
        <w:pStyle w:val="Res-Caption"/>
        <w:numPr>
          <w:ilvl w:val="0"/>
          <w:numId w:val="23"/>
        </w:numPr>
        <w:ind w:right="0"/>
        <w:rPr>
          <w:rFonts w:ascii="Palatino Linotype" w:hAnsi="Palatino Linotype" w:eastAsia="Palatino Linotype"/>
          <w:sz w:val="24"/>
          <w:szCs w:val="24"/>
        </w:rPr>
      </w:pPr>
      <w:r w:rsidRPr="286C2363">
        <w:rPr>
          <w:rFonts w:ascii="Palatino Linotype" w:hAnsi="Palatino Linotype"/>
          <w:sz w:val="24"/>
          <w:szCs w:val="24"/>
        </w:rPr>
        <w:t>SGIP will cap its share of incentive payments at 70</w:t>
      </w:r>
      <w:r w:rsidR="00922828">
        <w:rPr>
          <w:rFonts w:ascii="Palatino Linotype" w:hAnsi="Palatino Linotype"/>
          <w:sz w:val="24"/>
          <w:szCs w:val="24"/>
        </w:rPr>
        <w:t xml:space="preserve"> percent</w:t>
      </w:r>
      <w:r w:rsidRPr="286C2363">
        <w:rPr>
          <w:rFonts w:ascii="Palatino Linotype" w:hAnsi="Palatino Linotype"/>
          <w:sz w:val="24"/>
          <w:szCs w:val="24"/>
        </w:rPr>
        <w:t xml:space="preserve"> of eligible project costs</w:t>
      </w:r>
      <w:r w:rsidR="00993926">
        <w:rPr>
          <w:rFonts w:ascii="Palatino Linotype" w:hAnsi="Palatino Linotype"/>
          <w:sz w:val="24"/>
          <w:szCs w:val="24"/>
        </w:rPr>
        <w:t xml:space="preserve"> </w:t>
      </w:r>
      <w:r w:rsidR="00993926">
        <w:rPr>
          <w:rFonts w:ascii="Palatino Linotype" w:hAnsi="Palatino Linotype" w:eastAsia="Palatino Linotype"/>
          <w:sz w:val="24"/>
          <w:szCs w:val="24"/>
        </w:rPr>
        <w:t xml:space="preserve">when the SGIP payment is from </w:t>
      </w:r>
      <w:r w:rsidR="000826CA">
        <w:rPr>
          <w:rFonts w:ascii="Palatino Linotype" w:hAnsi="Palatino Linotype" w:eastAsia="Palatino Linotype"/>
          <w:sz w:val="24"/>
          <w:szCs w:val="24"/>
        </w:rPr>
        <w:t>state</w:t>
      </w:r>
      <w:r w:rsidR="00993926">
        <w:rPr>
          <w:rFonts w:ascii="Palatino Linotype" w:hAnsi="Palatino Linotype" w:eastAsia="Palatino Linotype"/>
          <w:sz w:val="24"/>
          <w:szCs w:val="24"/>
        </w:rPr>
        <w:t xml:space="preserve"> funds, the system is third</w:t>
      </w:r>
      <w:r w:rsidR="00051346">
        <w:rPr>
          <w:rFonts w:ascii="Palatino Linotype" w:hAnsi="Palatino Linotype" w:eastAsia="Palatino Linotype"/>
          <w:sz w:val="24"/>
          <w:szCs w:val="24"/>
        </w:rPr>
        <w:t>-</w:t>
      </w:r>
      <w:r w:rsidR="00993926">
        <w:rPr>
          <w:rFonts w:ascii="Palatino Linotype" w:hAnsi="Palatino Linotype" w:eastAsia="Palatino Linotype"/>
          <w:sz w:val="24"/>
          <w:szCs w:val="24"/>
        </w:rPr>
        <w:t>party owned</w:t>
      </w:r>
      <w:r w:rsidR="00255AD7">
        <w:rPr>
          <w:rFonts w:ascii="Palatino Linotype" w:hAnsi="Palatino Linotype" w:eastAsia="Palatino Linotype"/>
          <w:sz w:val="24"/>
          <w:szCs w:val="24"/>
        </w:rPr>
        <w:t xml:space="preserve"> (TPO)</w:t>
      </w:r>
      <w:r w:rsidR="00993926">
        <w:rPr>
          <w:rFonts w:ascii="Palatino Linotype" w:hAnsi="Palatino Linotype" w:eastAsia="Palatino Linotype"/>
          <w:sz w:val="24"/>
          <w:szCs w:val="24"/>
        </w:rPr>
        <w:t xml:space="preserve">, or the system is nonresidential. </w:t>
      </w:r>
      <w:r w:rsidRPr="286C2363" w:rsidR="19EFD451">
        <w:rPr>
          <w:rFonts w:ascii="Palatino Linotype" w:hAnsi="Palatino Linotype" w:eastAsia="Palatino Linotype"/>
          <w:sz w:val="24"/>
          <w:szCs w:val="24"/>
        </w:rPr>
        <w:t xml:space="preserve">Each of these types of projects is eligible to claim an </w:t>
      </w:r>
      <w:r w:rsidRPr="286C2363" w:rsidR="72522AB2">
        <w:rPr>
          <w:rFonts w:ascii="Palatino Linotype" w:hAnsi="Palatino Linotype" w:eastAsia="Palatino Linotype"/>
          <w:sz w:val="24"/>
          <w:szCs w:val="24"/>
        </w:rPr>
        <w:t>IRA tax credit of 30</w:t>
      </w:r>
      <w:r w:rsidR="00922828">
        <w:rPr>
          <w:rFonts w:ascii="Palatino Linotype" w:hAnsi="Palatino Linotype" w:eastAsia="Palatino Linotype"/>
          <w:sz w:val="24"/>
          <w:szCs w:val="24"/>
        </w:rPr>
        <w:t xml:space="preserve"> percent</w:t>
      </w:r>
      <w:r w:rsidRPr="286C2363" w:rsidR="72522AB2">
        <w:rPr>
          <w:rFonts w:ascii="Palatino Linotype" w:hAnsi="Palatino Linotype" w:eastAsia="Palatino Linotype"/>
          <w:sz w:val="24"/>
          <w:szCs w:val="24"/>
        </w:rPr>
        <w:t xml:space="preserve"> of eligible project costs.</w:t>
      </w:r>
    </w:p>
    <w:p w:rsidRPr="00CD13C8" w:rsidR="00612226" w:rsidP="00F65E9F" w:rsidRDefault="2577770B" w14:paraId="7D320132" w14:textId="390DED8F">
      <w:pPr>
        <w:pStyle w:val="Res-Caption"/>
        <w:numPr>
          <w:ilvl w:val="0"/>
          <w:numId w:val="23"/>
        </w:numPr>
        <w:ind w:right="0"/>
        <w:rPr>
          <w:rFonts w:ascii="Palatino Linotype" w:hAnsi="Palatino Linotype" w:eastAsia="Palatino Linotype"/>
          <w:sz w:val="24"/>
          <w:szCs w:val="24"/>
        </w:rPr>
      </w:pPr>
      <w:r w:rsidRPr="286C2363">
        <w:rPr>
          <w:rFonts w:ascii="Palatino Linotype" w:hAnsi="Palatino Linotype" w:eastAsia="Palatino Linotype"/>
          <w:sz w:val="24"/>
          <w:szCs w:val="24"/>
        </w:rPr>
        <w:t>W</w:t>
      </w:r>
      <w:r w:rsidR="00104B3A">
        <w:rPr>
          <w:rFonts w:ascii="Palatino Linotype" w:hAnsi="Palatino Linotype" w:eastAsia="Palatino Linotype"/>
          <w:sz w:val="24"/>
          <w:szCs w:val="24"/>
        </w:rPr>
        <w:t>hen the SGIP payment is</w:t>
      </w:r>
      <w:r w:rsidR="00D90F8D">
        <w:rPr>
          <w:rFonts w:ascii="Palatino Linotype" w:hAnsi="Palatino Linotype" w:eastAsia="Palatino Linotype"/>
          <w:sz w:val="24"/>
          <w:szCs w:val="24"/>
        </w:rPr>
        <w:t xml:space="preserve"> from ratepayer funds</w:t>
      </w:r>
      <w:r w:rsidRPr="286C2363" w:rsidR="7256BABC">
        <w:rPr>
          <w:rFonts w:ascii="Palatino Linotype" w:hAnsi="Palatino Linotype" w:eastAsia="Palatino Linotype"/>
          <w:sz w:val="24"/>
          <w:szCs w:val="24"/>
        </w:rPr>
        <w:t xml:space="preserve"> for </w:t>
      </w:r>
      <w:r w:rsidR="00BA4BA2">
        <w:rPr>
          <w:rFonts w:ascii="Palatino Linotype" w:hAnsi="Palatino Linotype" w:eastAsia="Palatino Linotype"/>
          <w:sz w:val="24"/>
          <w:szCs w:val="24"/>
        </w:rPr>
        <w:t xml:space="preserve">host customer owned </w:t>
      </w:r>
      <w:r w:rsidRPr="286C2363" w:rsidR="7256BABC">
        <w:rPr>
          <w:rFonts w:ascii="Palatino Linotype" w:hAnsi="Palatino Linotype" w:eastAsia="Palatino Linotype"/>
          <w:sz w:val="24"/>
          <w:szCs w:val="24"/>
        </w:rPr>
        <w:t>residential projects</w:t>
      </w:r>
      <w:r w:rsidRPr="286C2363" w:rsidR="00104B3A">
        <w:rPr>
          <w:rFonts w:ascii="Palatino Linotype" w:hAnsi="Palatino Linotype" w:eastAsia="Palatino Linotype"/>
          <w:sz w:val="24"/>
          <w:szCs w:val="24"/>
        </w:rPr>
        <w:t>,</w:t>
      </w:r>
      <w:r w:rsidRPr="286C2363" w:rsidR="7B9FEF05">
        <w:rPr>
          <w:rFonts w:ascii="Palatino Linotype" w:hAnsi="Palatino Linotype" w:eastAsia="Palatino Linotype"/>
          <w:sz w:val="24"/>
          <w:szCs w:val="24"/>
        </w:rPr>
        <w:t xml:space="preserve"> the applicant is required to disclose</w:t>
      </w:r>
      <w:r w:rsidR="00D90F8D">
        <w:rPr>
          <w:rFonts w:ascii="Palatino Linotype" w:hAnsi="Palatino Linotype" w:eastAsia="Palatino Linotype"/>
          <w:sz w:val="24"/>
          <w:szCs w:val="24"/>
        </w:rPr>
        <w:t xml:space="preserve"> the </w:t>
      </w:r>
      <w:r w:rsidR="00481D32">
        <w:rPr>
          <w:rFonts w:ascii="Palatino Linotype" w:hAnsi="Palatino Linotype" w:eastAsia="Palatino Linotype"/>
          <w:sz w:val="24"/>
          <w:szCs w:val="24"/>
        </w:rPr>
        <w:t>percentage</w:t>
      </w:r>
      <w:r w:rsidR="00F31654">
        <w:rPr>
          <w:rFonts w:ascii="Palatino Linotype" w:hAnsi="Palatino Linotype" w:eastAsia="Palatino Linotype"/>
          <w:sz w:val="24"/>
          <w:szCs w:val="24"/>
        </w:rPr>
        <w:t xml:space="preserve"> of</w:t>
      </w:r>
      <w:r w:rsidR="00B05B4F">
        <w:rPr>
          <w:rFonts w:ascii="Palatino Linotype" w:hAnsi="Palatino Linotype" w:eastAsia="Palatino Linotype"/>
          <w:sz w:val="24"/>
          <w:szCs w:val="24"/>
        </w:rPr>
        <w:t xml:space="preserve"> total eligible project costs </w:t>
      </w:r>
      <w:r w:rsidR="00704BE6">
        <w:rPr>
          <w:rFonts w:ascii="Palatino Linotype" w:hAnsi="Palatino Linotype" w:eastAsia="Palatino Linotype"/>
          <w:sz w:val="24"/>
          <w:szCs w:val="24"/>
        </w:rPr>
        <w:t>being claimed through the</w:t>
      </w:r>
      <w:r w:rsidR="00D90F8D">
        <w:rPr>
          <w:rFonts w:ascii="Palatino Linotype" w:hAnsi="Palatino Linotype" w:eastAsia="Palatino Linotype"/>
          <w:sz w:val="24"/>
          <w:szCs w:val="24"/>
        </w:rPr>
        <w:t xml:space="preserve"> IRA tax credit</w:t>
      </w:r>
      <w:r w:rsidR="00704BE6">
        <w:rPr>
          <w:rFonts w:ascii="Palatino Linotype" w:hAnsi="Palatino Linotype" w:eastAsia="Palatino Linotype"/>
          <w:sz w:val="24"/>
          <w:szCs w:val="24"/>
        </w:rPr>
        <w:t xml:space="preserve"> </w:t>
      </w:r>
      <w:r w:rsidR="00660C13">
        <w:rPr>
          <w:rFonts w:ascii="Palatino Linotype" w:hAnsi="Palatino Linotype" w:eastAsia="Palatino Linotype"/>
          <w:sz w:val="24"/>
          <w:szCs w:val="24"/>
        </w:rPr>
        <w:t>be</w:t>
      </w:r>
      <w:r w:rsidR="0071786D">
        <w:rPr>
          <w:rFonts w:ascii="Palatino Linotype" w:hAnsi="Palatino Linotype" w:eastAsia="Palatino Linotype"/>
          <w:sz w:val="24"/>
          <w:szCs w:val="24"/>
        </w:rPr>
        <w:t xml:space="preserve">tween 0 to </w:t>
      </w:r>
      <w:r w:rsidR="00660C13">
        <w:rPr>
          <w:rFonts w:ascii="Palatino Linotype" w:hAnsi="Palatino Linotype" w:eastAsia="Palatino Linotype"/>
          <w:sz w:val="24"/>
          <w:szCs w:val="24"/>
        </w:rPr>
        <w:t>30</w:t>
      </w:r>
      <w:r w:rsidR="00742963">
        <w:rPr>
          <w:rFonts w:ascii="Palatino Linotype" w:hAnsi="Palatino Linotype" w:eastAsia="Palatino Linotype"/>
          <w:sz w:val="24"/>
          <w:szCs w:val="24"/>
        </w:rPr>
        <w:t xml:space="preserve"> percent</w:t>
      </w:r>
      <w:r w:rsidR="00D90F8D">
        <w:rPr>
          <w:rFonts w:ascii="Palatino Linotype" w:hAnsi="Palatino Linotype" w:eastAsia="Palatino Linotype"/>
          <w:sz w:val="24"/>
          <w:szCs w:val="24"/>
        </w:rPr>
        <w:t xml:space="preserve">. </w:t>
      </w:r>
      <w:r w:rsidRPr="286C2363" w:rsidR="34B4719E">
        <w:rPr>
          <w:rFonts w:ascii="Palatino Linotype" w:hAnsi="Palatino Linotype" w:eastAsia="Palatino Linotype"/>
          <w:sz w:val="24"/>
          <w:szCs w:val="24"/>
        </w:rPr>
        <w:t xml:space="preserve">For </w:t>
      </w:r>
      <w:r w:rsidRPr="286C2363" w:rsidR="157647DE">
        <w:rPr>
          <w:rFonts w:ascii="Palatino Linotype" w:hAnsi="Palatino Linotype" w:eastAsia="Palatino Linotype"/>
          <w:sz w:val="24"/>
          <w:szCs w:val="24"/>
        </w:rPr>
        <w:t xml:space="preserve">ratepayer funded </w:t>
      </w:r>
      <w:r w:rsidRPr="286C2363" w:rsidR="34B4719E">
        <w:rPr>
          <w:rFonts w:ascii="Palatino Linotype" w:hAnsi="Palatino Linotype" w:eastAsia="Palatino Linotype"/>
          <w:sz w:val="24"/>
          <w:szCs w:val="24"/>
        </w:rPr>
        <w:t>equity budget projects</w:t>
      </w:r>
      <w:r w:rsidR="00CC32C4">
        <w:rPr>
          <w:rFonts w:ascii="Palatino Linotype" w:hAnsi="Palatino Linotype" w:eastAsia="Palatino Linotype"/>
          <w:sz w:val="24"/>
          <w:szCs w:val="24"/>
        </w:rPr>
        <w:t>,</w:t>
      </w:r>
      <w:r w:rsidRPr="286C2363" w:rsidR="4144300B">
        <w:rPr>
          <w:rFonts w:ascii="Palatino Linotype" w:hAnsi="Palatino Linotype" w:eastAsia="Palatino Linotype"/>
          <w:sz w:val="24"/>
          <w:szCs w:val="24"/>
        </w:rPr>
        <w:t xml:space="preserve"> </w:t>
      </w:r>
      <w:r w:rsidRPr="286C2363" w:rsidR="55C0573F">
        <w:rPr>
          <w:rFonts w:ascii="Palatino Linotype" w:hAnsi="Palatino Linotype" w:eastAsia="Palatino Linotype"/>
          <w:sz w:val="24"/>
          <w:szCs w:val="24"/>
        </w:rPr>
        <w:t>t</w:t>
      </w:r>
      <w:r w:rsidRPr="286C2363" w:rsidR="239C9EB7">
        <w:rPr>
          <w:rFonts w:ascii="Palatino Linotype" w:hAnsi="Palatino Linotype" w:eastAsia="Palatino Linotype"/>
          <w:sz w:val="24"/>
          <w:szCs w:val="24"/>
        </w:rPr>
        <w:t xml:space="preserve">he SGIP payment </w:t>
      </w:r>
      <w:r w:rsidRPr="286C2363" w:rsidR="6A9AEE11">
        <w:rPr>
          <w:rFonts w:ascii="Palatino Linotype" w:hAnsi="Palatino Linotype" w:eastAsia="Palatino Linotype"/>
          <w:sz w:val="24"/>
          <w:szCs w:val="24"/>
        </w:rPr>
        <w:t xml:space="preserve">will cover the difference </w:t>
      </w:r>
      <w:r w:rsidR="00F14858">
        <w:rPr>
          <w:rFonts w:ascii="Palatino Linotype" w:hAnsi="Palatino Linotype" w:eastAsia="Palatino Linotype"/>
          <w:sz w:val="24"/>
          <w:szCs w:val="24"/>
        </w:rPr>
        <w:t>b</w:t>
      </w:r>
      <w:r w:rsidR="00904A57">
        <w:rPr>
          <w:rFonts w:ascii="Palatino Linotype" w:hAnsi="Palatino Linotype" w:eastAsia="Palatino Linotype"/>
          <w:sz w:val="24"/>
          <w:szCs w:val="24"/>
        </w:rPr>
        <w:t xml:space="preserve">etween </w:t>
      </w:r>
      <w:r w:rsidRPr="286C2363" w:rsidR="6A9AEE11">
        <w:rPr>
          <w:rFonts w:ascii="Palatino Linotype" w:hAnsi="Palatino Linotype" w:eastAsia="Palatino Linotype"/>
          <w:sz w:val="24"/>
          <w:szCs w:val="24"/>
        </w:rPr>
        <w:t>the reported IRA tax credit and up to 100</w:t>
      </w:r>
      <w:r w:rsidR="00922828">
        <w:rPr>
          <w:rFonts w:ascii="Palatino Linotype" w:hAnsi="Palatino Linotype" w:eastAsia="Palatino Linotype"/>
          <w:sz w:val="24"/>
          <w:szCs w:val="24"/>
        </w:rPr>
        <w:t xml:space="preserve"> percent</w:t>
      </w:r>
      <w:r w:rsidRPr="286C2363" w:rsidR="6A9AEE11">
        <w:rPr>
          <w:rFonts w:ascii="Palatino Linotype" w:hAnsi="Palatino Linotype" w:eastAsia="Palatino Linotype"/>
          <w:sz w:val="24"/>
          <w:szCs w:val="24"/>
        </w:rPr>
        <w:t xml:space="preserve"> of eligib</w:t>
      </w:r>
      <w:r w:rsidRPr="286C2363" w:rsidR="517099EA">
        <w:rPr>
          <w:rFonts w:ascii="Palatino Linotype" w:hAnsi="Palatino Linotype" w:eastAsia="Palatino Linotype"/>
          <w:sz w:val="24"/>
          <w:szCs w:val="24"/>
        </w:rPr>
        <w:t>le project costs.</w:t>
      </w:r>
    </w:p>
    <w:p w:rsidRPr="00093C61" w:rsidR="00993926" w:rsidP="00093C61" w:rsidRDefault="009E5F08" w14:paraId="79BE0F00" w14:textId="4296C2E5">
      <w:pPr>
        <w:pStyle w:val="Res-Caption"/>
        <w:numPr>
          <w:ilvl w:val="0"/>
          <w:numId w:val="23"/>
        </w:numPr>
        <w:ind w:right="0"/>
        <w:rPr>
          <w:rFonts w:ascii="Palatino Linotype" w:hAnsi="Palatino Linotype" w:eastAsia="Palatino Linotype"/>
          <w:sz w:val="24"/>
          <w:szCs w:val="24"/>
        </w:rPr>
      </w:pPr>
      <w:r>
        <w:rPr>
          <w:rFonts w:ascii="Palatino Linotype" w:hAnsi="Palatino Linotype" w:eastAsia="Palatino Linotype"/>
          <w:sz w:val="24"/>
          <w:szCs w:val="24"/>
        </w:rPr>
        <w:t>TPO</w:t>
      </w:r>
      <w:r w:rsidRPr="00093C61" w:rsidR="00993926">
        <w:rPr>
          <w:rFonts w:ascii="Palatino Linotype" w:hAnsi="Palatino Linotype" w:eastAsia="Palatino Linotype"/>
          <w:sz w:val="24"/>
          <w:szCs w:val="24"/>
        </w:rPr>
        <w:t xml:space="preserve"> systems and nonresidential systems </w:t>
      </w:r>
      <w:r w:rsidRPr="286C2363" w:rsidR="6F321C28">
        <w:rPr>
          <w:rFonts w:ascii="Palatino Linotype" w:hAnsi="Palatino Linotype" w:eastAsia="Palatino Linotype"/>
          <w:sz w:val="24"/>
          <w:szCs w:val="24"/>
        </w:rPr>
        <w:t>may</w:t>
      </w:r>
      <w:r w:rsidRPr="00093C61" w:rsidR="00993926">
        <w:rPr>
          <w:rFonts w:ascii="Palatino Linotype" w:hAnsi="Palatino Linotype" w:eastAsia="Palatino Linotype"/>
          <w:sz w:val="24"/>
          <w:szCs w:val="24"/>
        </w:rPr>
        <w:t xml:space="preserve"> alter the </w:t>
      </w:r>
      <w:r w:rsidRPr="00093C61" w:rsidR="00481D32">
        <w:rPr>
          <w:rFonts w:ascii="Palatino Linotype" w:hAnsi="Palatino Linotype" w:eastAsia="Palatino Linotype"/>
          <w:sz w:val="24"/>
          <w:szCs w:val="24"/>
        </w:rPr>
        <w:t>percentage</w:t>
      </w:r>
      <w:r w:rsidRPr="00093C61" w:rsidR="00993926">
        <w:rPr>
          <w:rFonts w:ascii="Palatino Linotype" w:hAnsi="Palatino Linotype" w:eastAsia="Palatino Linotype"/>
          <w:sz w:val="24"/>
          <w:szCs w:val="24"/>
        </w:rPr>
        <w:t xml:space="preserve"> of IRA tax credit </w:t>
      </w:r>
      <w:r w:rsidRPr="286C2363" w:rsidR="5994D103">
        <w:rPr>
          <w:rFonts w:ascii="Palatino Linotype" w:hAnsi="Palatino Linotype" w:eastAsia="Palatino Linotype"/>
          <w:sz w:val="24"/>
          <w:szCs w:val="24"/>
        </w:rPr>
        <w:t xml:space="preserve">reported </w:t>
      </w:r>
      <w:r w:rsidRPr="00093C61" w:rsidR="00993926">
        <w:rPr>
          <w:rFonts w:ascii="Palatino Linotype" w:hAnsi="Palatino Linotype" w:eastAsia="Palatino Linotype"/>
          <w:sz w:val="24"/>
          <w:szCs w:val="24"/>
        </w:rPr>
        <w:t xml:space="preserve">at the Incentive Claim Form (ICF) </w:t>
      </w:r>
      <w:r w:rsidRPr="286C2363" w:rsidR="479194B6">
        <w:rPr>
          <w:rFonts w:ascii="Palatino Linotype" w:hAnsi="Palatino Linotype" w:eastAsia="Palatino Linotype"/>
          <w:sz w:val="24"/>
          <w:szCs w:val="24"/>
        </w:rPr>
        <w:t xml:space="preserve">stage </w:t>
      </w:r>
      <w:r w:rsidRPr="00093C61" w:rsidR="00993926">
        <w:rPr>
          <w:rFonts w:ascii="Palatino Linotype" w:hAnsi="Palatino Linotype" w:eastAsia="Palatino Linotype"/>
          <w:sz w:val="24"/>
          <w:szCs w:val="24"/>
        </w:rPr>
        <w:t xml:space="preserve">based on the </w:t>
      </w:r>
      <w:r w:rsidR="00F01892">
        <w:rPr>
          <w:rFonts w:ascii="Palatino Linotype" w:hAnsi="Palatino Linotype" w:eastAsia="Palatino Linotype"/>
          <w:sz w:val="24"/>
          <w:szCs w:val="24"/>
        </w:rPr>
        <w:t>bonus credits</w:t>
      </w:r>
      <w:r w:rsidRPr="00093C61" w:rsidR="00993926">
        <w:rPr>
          <w:rFonts w:ascii="Palatino Linotype" w:hAnsi="Palatino Linotype" w:eastAsia="Palatino Linotype"/>
          <w:sz w:val="24"/>
          <w:szCs w:val="24"/>
        </w:rPr>
        <w:t xml:space="preserve">. </w:t>
      </w:r>
      <w:r w:rsidRPr="286C2363" w:rsidR="495C2501">
        <w:rPr>
          <w:rFonts w:ascii="Palatino Linotype" w:hAnsi="Palatino Linotype" w:eastAsia="Palatino Linotype"/>
          <w:sz w:val="24"/>
          <w:szCs w:val="24"/>
        </w:rPr>
        <w:t xml:space="preserve"> Depending on the amount of </w:t>
      </w:r>
      <w:r w:rsidR="00F01892">
        <w:rPr>
          <w:rFonts w:ascii="Palatino Linotype" w:hAnsi="Palatino Linotype" w:eastAsia="Palatino Linotype"/>
          <w:sz w:val="24"/>
          <w:szCs w:val="24"/>
        </w:rPr>
        <w:t>bonus credits</w:t>
      </w:r>
      <w:r w:rsidRPr="286C2363" w:rsidR="495C2501">
        <w:rPr>
          <w:rFonts w:ascii="Palatino Linotype" w:hAnsi="Palatino Linotype" w:eastAsia="Palatino Linotype"/>
          <w:sz w:val="24"/>
          <w:szCs w:val="24"/>
        </w:rPr>
        <w:t xml:space="preserve"> reported this may reduce the SGIP share of the project below 70</w:t>
      </w:r>
      <w:r w:rsidR="00922828">
        <w:rPr>
          <w:rFonts w:ascii="Palatino Linotype" w:hAnsi="Palatino Linotype" w:eastAsia="Palatino Linotype"/>
          <w:sz w:val="24"/>
          <w:szCs w:val="24"/>
        </w:rPr>
        <w:t xml:space="preserve"> percent</w:t>
      </w:r>
      <w:r w:rsidRPr="286C2363" w:rsidR="1C760DCD">
        <w:rPr>
          <w:rFonts w:ascii="Palatino Linotype" w:hAnsi="Palatino Linotype" w:eastAsia="Palatino Linotype"/>
          <w:sz w:val="24"/>
          <w:szCs w:val="24"/>
        </w:rPr>
        <w:t>.</w:t>
      </w:r>
    </w:p>
    <w:p w:rsidRPr="00093C61" w:rsidR="00093C61" w:rsidP="001923E1" w:rsidRDefault="00A61EEC" w14:paraId="7C2E65B3" w14:textId="76F4EDE6">
      <w:pPr>
        <w:pStyle w:val="Res-Caption"/>
        <w:numPr>
          <w:ilvl w:val="0"/>
          <w:numId w:val="23"/>
        </w:numPr>
        <w:ind w:right="0"/>
        <w:rPr>
          <w:rFonts w:ascii="Palatino Linotype" w:hAnsi="Palatino Linotype"/>
          <w:sz w:val="24"/>
          <w:szCs w:val="24"/>
        </w:rPr>
      </w:pPr>
      <w:r>
        <w:rPr>
          <w:rFonts w:ascii="Palatino Linotype" w:hAnsi="Palatino Linotype"/>
          <w:sz w:val="24"/>
          <w:szCs w:val="24"/>
        </w:rPr>
        <w:t xml:space="preserve">Adds a </w:t>
      </w:r>
      <w:r w:rsidR="007D49C0">
        <w:rPr>
          <w:rFonts w:ascii="Palatino Linotype" w:hAnsi="Palatino Linotype" w:eastAsia="Palatino Linotype"/>
          <w:sz w:val="24"/>
          <w:szCs w:val="24"/>
        </w:rPr>
        <w:t>disclaimer in the SGIP application designating if the SGIP payment is from ratepayer or</w:t>
      </w:r>
      <w:r w:rsidR="000826CA">
        <w:rPr>
          <w:rFonts w:ascii="Palatino Linotype" w:hAnsi="Palatino Linotype" w:eastAsia="Palatino Linotype"/>
          <w:sz w:val="24"/>
          <w:szCs w:val="24"/>
        </w:rPr>
        <w:t xml:space="preserve"> state</w:t>
      </w:r>
      <w:r w:rsidR="007D49C0">
        <w:rPr>
          <w:rFonts w:ascii="Palatino Linotype" w:hAnsi="Palatino Linotype" w:eastAsia="Palatino Linotype"/>
          <w:sz w:val="24"/>
          <w:szCs w:val="24"/>
        </w:rPr>
        <w:t xml:space="preserve"> funds.  </w:t>
      </w:r>
    </w:p>
    <w:p w:rsidRPr="00093C61" w:rsidR="00093C61" w:rsidP="00093C61" w:rsidRDefault="00093C61" w14:paraId="09B48D36" w14:textId="7A5C2B0A">
      <w:pPr>
        <w:pStyle w:val="Res-Caption"/>
        <w:numPr>
          <w:ilvl w:val="0"/>
          <w:numId w:val="23"/>
        </w:numPr>
        <w:ind w:right="0"/>
        <w:rPr>
          <w:rFonts w:ascii="Palatino Linotype" w:hAnsi="Palatino Linotype"/>
          <w:sz w:val="24"/>
          <w:szCs w:val="24"/>
        </w:rPr>
      </w:pPr>
      <w:r w:rsidRPr="00093C61">
        <w:rPr>
          <w:rFonts w:ascii="Palatino Linotype" w:hAnsi="Palatino Linotype"/>
          <w:sz w:val="24"/>
          <w:szCs w:val="24"/>
        </w:rPr>
        <w:t xml:space="preserve">Requires SGIP PAs to </w:t>
      </w:r>
      <w:r w:rsidRPr="00093C61">
        <w:rPr>
          <w:rFonts w:ascii="Palatino Linotype" w:hAnsi="Palatino Linotype" w:eastAsia="Palatino Linotype"/>
          <w:sz w:val="24"/>
          <w:szCs w:val="24"/>
        </w:rPr>
        <w:t xml:space="preserve">provide more clarity on what documentation must be provided </w:t>
      </w:r>
      <w:r w:rsidRPr="286C2363" w:rsidR="54AF21CE">
        <w:rPr>
          <w:rFonts w:ascii="Palatino Linotype" w:hAnsi="Palatino Linotype" w:eastAsia="Palatino Linotype"/>
          <w:sz w:val="24"/>
          <w:szCs w:val="24"/>
        </w:rPr>
        <w:t xml:space="preserve">by </w:t>
      </w:r>
      <w:r w:rsidRPr="286C2363" w:rsidR="2AA13374">
        <w:rPr>
          <w:rFonts w:ascii="Palatino Linotype" w:hAnsi="Palatino Linotype" w:eastAsia="Palatino Linotype"/>
          <w:sz w:val="24"/>
          <w:szCs w:val="24"/>
        </w:rPr>
        <w:t>RSSE</w:t>
      </w:r>
      <w:r w:rsidRPr="00093C61">
        <w:rPr>
          <w:rFonts w:ascii="Palatino Linotype" w:hAnsi="Palatino Linotype" w:eastAsia="Palatino Linotype"/>
          <w:sz w:val="24"/>
          <w:szCs w:val="24"/>
        </w:rPr>
        <w:t xml:space="preserve"> projects </w:t>
      </w:r>
      <w:r w:rsidRPr="286C2363" w:rsidR="6F46EA0D">
        <w:rPr>
          <w:rFonts w:ascii="Palatino Linotype" w:hAnsi="Palatino Linotype" w:eastAsia="Palatino Linotype"/>
          <w:sz w:val="24"/>
          <w:szCs w:val="24"/>
        </w:rPr>
        <w:t xml:space="preserve">that </w:t>
      </w:r>
      <w:r w:rsidRPr="286C2363">
        <w:rPr>
          <w:rFonts w:ascii="Palatino Linotype" w:hAnsi="Palatino Linotype" w:eastAsia="Palatino Linotype"/>
          <w:sz w:val="24"/>
          <w:szCs w:val="24"/>
        </w:rPr>
        <w:t>claim</w:t>
      </w:r>
      <w:r w:rsidRPr="286C2363" w:rsidR="7B5CB2BB">
        <w:rPr>
          <w:rFonts w:ascii="Palatino Linotype" w:hAnsi="Palatino Linotype" w:eastAsia="Palatino Linotype"/>
          <w:sz w:val="24"/>
          <w:szCs w:val="24"/>
        </w:rPr>
        <w:t xml:space="preserve"> to be ineligible</w:t>
      </w:r>
      <w:r w:rsidRPr="286C2363" w:rsidR="6EE8BEEB">
        <w:rPr>
          <w:rFonts w:ascii="Palatino Linotype" w:hAnsi="Palatino Linotype" w:eastAsia="Palatino Linotype"/>
          <w:sz w:val="24"/>
          <w:szCs w:val="24"/>
        </w:rPr>
        <w:t xml:space="preserve"> for</w:t>
      </w:r>
      <w:r w:rsidRPr="00093C61">
        <w:rPr>
          <w:rFonts w:ascii="Palatino Linotype" w:hAnsi="Palatino Linotype" w:eastAsia="Palatino Linotype"/>
          <w:sz w:val="24"/>
          <w:szCs w:val="24"/>
        </w:rPr>
        <w:t xml:space="preserve"> the IRA tax credit</w:t>
      </w:r>
      <w:r w:rsidR="003E4F88">
        <w:rPr>
          <w:rFonts w:ascii="Palatino Linotype" w:hAnsi="Palatino Linotype" w:eastAsia="Palatino Linotype"/>
          <w:sz w:val="24"/>
          <w:szCs w:val="24"/>
        </w:rPr>
        <w:t xml:space="preserve"> and</w:t>
      </w:r>
      <w:r w:rsidRPr="002A491B" w:rsidR="003E4F88">
        <w:rPr>
          <w:rFonts w:ascii="Palatino Linotype" w:hAnsi="Palatino Linotype" w:eastAsia="Palatino Linotype"/>
          <w:sz w:val="24"/>
          <w:szCs w:val="24"/>
        </w:rPr>
        <w:t xml:space="preserve"> why the credit could not otherwise be utilized or transferred by a third-party entit</w:t>
      </w:r>
      <w:r w:rsidRPr="002A491B" w:rsidR="002A491B">
        <w:rPr>
          <w:rFonts w:ascii="Palatino Linotype" w:hAnsi="Palatino Linotype" w:eastAsia="Palatino Linotype"/>
          <w:sz w:val="24"/>
          <w:szCs w:val="24"/>
        </w:rPr>
        <w:t>y</w:t>
      </w:r>
      <w:r w:rsidRPr="00093C61">
        <w:rPr>
          <w:rFonts w:ascii="Palatino Linotype" w:hAnsi="Palatino Linotype" w:eastAsia="Palatino Linotype"/>
          <w:sz w:val="24"/>
          <w:szCs w:val="24"/>
        </w:rPr>
        <w:t xml:space="preserve"> </w:t>
      </w:r>
      <w:r w:rsidRPr="286C2363" w:rsidR="27EC0E4B">
        <w:rPr>
          <w:rFonts w:ascii="Palatino Linotype" w:hAnsi="Palatino Linotype" w:eastAsia="Palatino Linotype"/>
          <w:sz w:val="24"/>
          <w:szCs w:val="24"/>
        </w:rPr>
        <w:t>via Tier 2 Advice Letter with</w:t>
      </w:r>
      <w:r w:rsidRPr="286C2363">
        <w:rPr>
          <w:rFonts w:ascii="Palatino Linotype" w:hAnsi="Palatino Linotype" w:eastAsia="Palatino Linotype"/>
          <w:sz w:val="24"/>
          <w:szCs w:val="24"/>
        </w:rPr>
        <w:t>in</w:t>
      </w:r>
      <w:r w:rsidRPr="00093C61">
        <w:rPr>
          <w:rFonts w:ascii="Palatino Linotype" w:hAnsi="Palatino Linotype" w:eastAsia="Palatino Linotype"/>
          <w:sz w:val="24"/>
          <w:szCs w:val="24"/>
        </w:rPr>
        <w:t xml:space="preserve"> six months.</w:t>
      </w:r>
    </w:p>
    <w:p w:rsidRPr="00093C61" w:rsidR="00093C61" w:rsidP="00093C61" w:rsidRDefault="00564619" w14:paraId="5490501E" w14:textId="1DCA49E3">
      <w:pPr>
        <w:pStyle w:val="Res-Caption"/>
        <w:numPr>
          <w:ilvl w:val="0"/>
          <w:numId w:val="23"/>
        </w:numPr>
        <w:ind w:right="0"/>
        <w:rPr>
          <w:rFonts w:ascii="Palatino Linotype" w:hAnsi="Palatino Linotype"/>
          <w:sz w:val="24"/>
          <w:szCs w:val="24"/>
        </w:rPr>
      </w:pPr>
      <w:r>
        <w:rPr>
          <w:rFonts w:ascii="Palatino Linotype" w:hAnsi="Palatino Linotype" w:eastAsia="Palatino Linotype"/>
          <w:sz w:val="24"/>
          <w:szCs w:val="24"/>
        </w:rPr>
        <w:t>Re</w:t>
      </w:r>
      <w:r w:rsidR="009953AA">
        <w:rPr>
          <w:rFonts w:ascii="Palatino Linotype" w:hAnsi="Palatino Linotype" w:eastAsia="Palatino Linotype"/>
          <w:sz w:val="24"/>
          <w:szCs w:val="24"/>
        </w:rPr>
        <w:t xml:space="preserve">quires the SGIP PAs to </w:t>
      </w:r>
      <w:r w:rsidR="00977EBF">
        <w:rPr>
          <w:rFonts w:ascii="Palatino Linotype" w:hAnsi="Palatino Linotype" w:eastAsia="Palatino Linotype"/>
          <w:sz w:val="24"/>
          <w:szCs w:val="24"/>
        </w:rPr>
        <w:t xml:space="preserve">make the relevant </w:t>
      </w:r>
      <w:r w:rsidR="00606C50">
        <w:rPr>
          <w:rFonts w:ascii="Palatino Linotype" w:hAnsi="Palatino Linotype" w:eastAsia="Palatino Linotype"/>
          <w:sz w:val="24"/>
          <w:szCs w:val="24"/>
        </w:rPr>
        <w:t>h</w:t>
      </w:r>
      <w:r w:rsidR="00066D68">
        <w:rPr>
          <w:rFonts w:ascii="Palatino Linotype" w:hAnsi="Palatino Linotype" w:eastAsia="Palatino Linotype"/>
          <w:sz w:val="24"/>
          <w:szCs w:val="24"/>
        </w:rPr>
        <w:t xml:space="preserve">andbook and </w:t>
      </w:r>
      <w:r w:rsidR="00DD6BB8">
        <w:rPr>
          <w:rFonts w:ascii="Palatino Linotype" w:hAnsi="Palatino Linotype" w:eastAsia="Palatino Linotype"/>
          <w:sz w:val="24"/>
          <w:szCs w:val="24"/>
        </w:rPr>
        <w:t>application</w:t>
      </w:r>
      <w:r w:rsidR="00D24543">
        <w:rPr>
          <w:rFonts w:ascii="Palatino Linotype" w:hAnsi="Palatino Linotype" w:eastAsia="Palatino Linotype"/>
          <w:sz w:val="24"/>
          <w:szCs w:val="24"/>
        </w:rPr>
        <w:t xml:space="preserve"> changes </w:t>
      </w:r>
      <w:r w:rsidR="00490C1F">
        <w:rPr>
          <w:rFonts w:ascii="Palatino Linotype" w:hAnsi="Palatino Linotype" w:eastAsia="Palatino Linotype"/>
          <w:sz w:val="24"/>
          <w:szCs w:val="24"/>
        </w:rPr>
        <w:t xml:space="preserve">within </w:t>
      </w:r>
      <w:r w:rsidR="004416D6">
        <w:rPr>
          <w:rFonts w:ascii="Palatino Linotype" w:hAnsi="Palatino Linotype" w:eastAsia="Palatino Linotype"/>
          <w:sz w:val="24"/>
          <w:szCs w:val="24"/>
        </w:rPr>
        <w:t>14 days of th</w:t>
      </w:r>
      <w:r w:rsidR="00B718D2">
        <w:rPr>
          <w:rFonts w:ascii="Palatino Linotype" w:hAnsi="Palatino Linotype" w:eastAsia="Palatino Linotype"/>
          <w:sz w:val="24"/>
          <w:szCs w:val="24"/>
        </w:rPr>
        <w:t>e</w:t>
      </w:r>
      <w:r w:rsidR="008D10A5">
        <w:rPr>
          <w:rFonts w:ascii="Palatino Linotype" w:hAnsi="Palatino Linotype" w:eastAsia="Palatino Linotype"/>
          <w:sz w:val="24"/>
          <w:szCs w:val="24"/>
        </w:rPr>
        <w:t xml:space="preserve"> </w:t>
      </w:r>
      <w:r w:rsidR="00B718D2">
        <w:rPr>
          <w:rFonts w:ascii="Palatino Linotype" w:hAnsi="Palatino Linotype" w:eastAsia="Palatino Linotype"/>
          <w:sz w:val="24"/>
          <w:szCs w:val="24"/>
        </w:rPr>
        <w:t>r</w:t>
      </w:r>
      <w:r w:rsidR="008D10A5">
        <w:rPr>
          <w:rFonts w:ascii="Palatino Linotype" w:hAnsi="Palatino Linotype" w:eastAsia="Palatino Linotype"/>
          <w:sz w:val="24"/>
          <w:szCs w:val="24"/>
        </w:rPr>
        <w:t>e</w:t>
      </w:r>
      <w:r w:rsidR="008F1EFE">
        <w:rPr>
          <w:rFonts w:ascii="Palatino Linotype" w:hAnsi="Palatino Linotype" w:eastAsia="Palatino Linotype"/>
          <w:sz w:val="24"/>
          <w:szCs w:val="24"/>
        </w:rPr>
        <w:t>solution</w:t>
      </w:r>
      <w:r w:rsidR="005E22E3">
        <w:rPr>
          <w:rFonts w:ascii="Palatino Linotype" w:hAnsi="Palatino Linotype" w:eastAsia="Palatino Linotype"/>
          <w:sz w:val="24"/>
          <w:szCs w:val="24"/>
        </w:rPr>
        <w:t xml:space="preserve"> bei</w:t>
      </w:r>
      <w:r w:rsidR="00D56C25">
        <w:rPr>
          <w:rFonts w:ascii="Palatino Linotype" w:hAnsi="Palatino Linotype" w:eastAsia="Palatino Linotype"/>
          <w:sz w:val="24"/>
          <w:szCs w:val="24"/>
        </w:rPr>
        <w:t>ng approved.</w:t>
      </w:r>
    </w:p>
    <w:p w:rsidRPr="00093C61" w:rsidR="00093C61" w:rsidP="00093C61" w:rsidRDefault="00093C61" w14:paraId="2B0A52CF" w14:textId="77777777">
      <w:pPr>
        <w:pStyle w:val="Res-Caption"/>
        <w:ind w:left="360" w:right="0"/>
        <w:rPr>
          <w:rFonts w:ascii="Palatino Linotype" w:hAnsi="Palatino Linotype"/>
          <w:sz w:val="24"/>
          <w:szCs w:val="24"/>
        </w:rPr>
      </w:pPr>
    </w:p>
    <w:p w:rsidR="00E615D7" w:rsidP="00F65E9F" w:rsidRDefault="0091142B" w14:paraId="4471B9A9" w14:textId="13B4AF67">
      <w:pPr>
        <w:pStyle w:val="Res-Caption"/>
        <w:ind w:left="0" w:right="0"/>
        <w:rPr>
          <w:rFonts w:ascii="Palatino Linotype" w:hAnsi="Palatino Linotype"/>
          <w:sz w:val="24"/>
          <w:szCs w:val="24"/>
        </w:rPr>
      </w:pPr>
      <w:r>
        <w:rPr>
          <w:rFonts w:ascii="Palatino Linotype" w:hAnsi="Palatino Linotype"/>
          <w:sz w:val="24"/>
          <w:szCs w:val="24"/>
        </w:rPr>
        <w:t xml:space="preserve">These changes will </w:t>
      </w:r>
      <w:r w:rsidRPr="2A865FD1" w:rsidR="2BF1F290">
        <w:rPr>
          <w:rFonts w:ascii="Palatino Linotype" w:hAnsi="Palatino Linotype"/>
          <w:sz w:val="24"/>
          <w:szCs w:val="24"/>
        </w:rPr>
        <w:t xml:space="preserve">maximize the federal cost share of SGIP project costs covered by the federal </w:t>
      </w:r>
      <w:r w:rsidR="008B1093">
        <w:rPr>
          <w:rFonts w:ascii="Palatino Linotype" w:hAnsi="Palatino Linotype"/>
          <w:sz w:val="24"/>
          <w:szCs w:val="24"/>
        </w:rPr>
        <w:t>IRA</w:t>
      </w:r>
      <w:r w:rsidRPr="2A865FD1" w:rsidR="2BF1F290">
        <w:rPr>
          <w:rFonts w:ascii="Palatino Linotype" w:hAnsi="Palatino Linotype"/>
          <w:sz w:val="24"/>
          <w:szCs w:val="24"/>
        </w:rPr>
        <w:t xml:space="preserve"> tax credits</w:t>
      </w:r>
      <w:r w:rsidR="00B428D3">
        <w:rPr>
          <w:rFonts w:ascii="Palatino Linotype" w:hAnsi="Palatino Linotype"/>
          <w:sz w:val="24"/>
          <w:szCs w:val="24"/>
        </w:rPr>
        <w:t xml:space="preserve"> </w:t>
      </w:r>
      <w:r w:rsidR="00467A3C">
        <w:rPr>
          <w:rFonts w:ascii="Palatino Linotype" w:hAnsi="Palatino Linotype"/>
          <w:sz w:val="24"/>
          <w:szCs w:val="24"/>
        </w:rPr>
        <w:t>and spread SGIP funds to more projects</w:t>
      </w:r>
      <w:r w:rsidR="00D6559F">
        <w:rPr>
          <w:rFonts w:ascii="Palatino Linotype" w:hAnsi="Palatino Linotype"/>
          <w:sz w:val="24"/>
          <w:szCs w:val="24"/>
        </w:rPr>
        <w:t xml:space="preserve"> as mandated by</w:t>
      </w:r>
      <w:r w:rsidR="00304EB8">
        <w:rPr>
          <w:rFonts w:ascii="Palatino Linotype" w:hAnsi="Palatino Linotype"/>
          <w:sz w:val="24"/>
          <w:szCs w:val="24"/>
        </w:rPr>
        <w:t xml:space="preserve"> </w:t>
      </w:r>
      <w:r w:rsidR="00AD7CA7">
        <w:rPr>
          <w:rFonts w:ascii="Palatino Linotype" w:hAnsi="Palatino Linotype"/>
          <w:sz w:val="24"/>
          <w:szCs w:val="24"/>
        </w:rPr>
        <w:t>Decision</w:t>
      </w:r>
      <w:r w:rsidR="00D6559F">
        <w:rPr>
          <w:rFonts w:ascii="Palatino Linotype" w:hAnsi="Palatino Linotype"/>
          <w:sz w:val="24"/>
          <w:szCs w:val="24"/>
        </w:rPr>
        <w:t xml:space="preserve"> (D.)</w:t>
      </w:r>
      <w:r w:rsidR="00AD7CA7">
        <w:rPr>
          <w:rFonts w:ascii="Palatino Linotype" w:hAnsi="Palatino Linotype"/>
          <w:sz w:val="24"/>
          <w:szCs w:val="24"/>
        </w:rPr>
        <w:t xml:space="preserve"> 24-03-071</w:t>
      </w:r>
      <w:r w:rsidR="00D6559F">
        <w:rPr>
          <w:rFonts w:ascii="Palatino Linotype" w:hAnsi="Palatino Linotype"/>
          <w:sz w:val="24"/>
          <w:szCs w:val="24"/>
        </w:rPr>
        <w:t xml:space="preserve"> (“the Decision”).</w:t>
      </w:r>
    </w:p>
    <w:p w:rsidR="00D73B20" w:rsidP="00F65E9F" w:rsidRDefault="00D73B20" w14:paraId="29CCC5AB" w14:textId="77777777">
      <w:pPr>
        <w:pStyle w:val="Res-Caption"/>
        <w:ind w:left="0" w:right="0"/>
        <w:rPr>
          <w:rFonts w:ascii="Palatino Linotype" w:hAnsi="Palatino Linotype"/>
          <w:sz w:val="24"/>
          <w:szCs w:val="24"/>
        </w:rPr>
      </w:pPr>
    </w:p>
    <w:p w:rsidR="00D73B20" w:rsidP="00F65E9F" w:rsidRDefault="00D73B20" w14:paraId="26FAA0D2" w14:textId="77777777">
      <w:pPr>
        <w:pStyle w:val="Res-Caption"/>
        <w:ind w:left="0" w:right="0"/>
        <w:rPr>
          <w:rFonts w:ascii="Palatino Linotype" w:hAnsi="Palatino Linotype"/>
          <w:sz w:val="24"/>
          <w:szCs w:val="24"/>
        </w:rPr>
      </w:pPr>
    </w:p>
    <w:p w:rsidR="00D73B20" w:rsidP="00F65E9F" w:rsidRDefault="00D73B20" w14:paraId="0C0969AC" w14:textId="77777777">
      <w:pPr>
        <w:pStyle w:val="Res-Caption"/>
        <w:ind w:left="0" w:right="0"/>
        <w:rPr>
          <w:rFonts w:ascii="Palatino Linotype" w:hAnsi="Palatino Linotype"/>
          <w:sz w:val="24"/>
          <w:szCs w:val="24"/>
        </w:rPr>
      </w:pPr>
    </w:p>
    <w:p w:rsidR="00D73B20" w:rsidP="00F65E9F" w:rsidRDefault="00D73B20" w14:paraId="6A189FE6" w14:textId="77777777">
      <w:pPr>
        <w:pStyle w:val="Res-Caption"/>
        <w:ind w:left="0" w:right="0"/>
        <w:rPr>
          <w:rFonts w:ascii="Palatino Linotype" w:hAnsi="Palatino Linotype"/>
          <w:sz w:val="24"/>
          <w:szCs w:val="24"/>
        </w:rPr>
      </w:pPr>
    </w:p>
    <w:p w:rsidR="002405C4" w:rsidP="00F65E9F" w:rsidRDefault="002405C4" w14:paraId="247A12F5" w14:textId="77777777">
      <w:pPr>
        <w:pStyle w:val="Res-Caption"/>
        <w:ind w:left="0" w:right="0"/>
        <w:rPr>
          <w:rFonts w:ascii="Palatino Linotype" w:hAnsi="Palatino Linotype"/>
          <w:sz w:val="24"/>
          <w:szCs w:val="24"/>
        </w:rPr>
      </w:pPr>
    </w:p>
    <w:p w:rsidRPr="00D865A9" w:rsidR="00263283" w:rsidP="00F65E9F" w:rsidRDefault="00263283" w14:paraId="79FA89FC" w14:textId="70870513">
      <w:pPr>
        <w:pStyle w:val="Res-Caption"/>
        <w:ind w:left="0" w:right="0"/>
        <w:rPr>
          <w:rFonts w:ascii="Palatino Linotype" w:hAnsi="Palatino Linotype"/>
          <w:sz w:val="24"/>
          <w:szCs w:val="24"/>
        </w:rPr>
      </w:pPr>
      <w:r>
        <w:rPr>
          <w:rFonts w:ascii="Palatino Linotype" w:hAnsi="Palatino Linotype"/>
          <w:sz w:val="24"/>
          <w:szCs w:val="24"/>
        </w:rPr>
        <w:lastRenderedPageBreak/>
        <w:t xml:space="preserve">Table 1. </w:t>
      </w:r>
      <w:r w:rsidR="001C3D7A">
        <w:rPr>
          <w:rFonts w:ascii="Palatino Linotype" w:hAnsi="Palatino Linotype"/>
          <w:sz w:val="24"/>
          <w:szCs w:val="24"/>
        </w:rPr>
        <w:t>IRA Tax Credit</w:t>
      </w:r>
      <w:r w:rsidR="005259AA">
        <w:rPr>
          <w:rFonts w:ascii="Palatino Linotype" w:hAnsi="Palatino Linotype"/>
          <w:sz w:val="24"/>
          <w:szCs w:val="24"/>
        </w:rPr>
        <w:t xml:space="preserve"> Contribution to Total Project Cost</w:t>
      </w:r>
      <w:r w:rsidR="001C3D7A">
        <w:rPr>
          <w:rFonts w:ascii="Palatino Linotype" w:hAnsi="Palatino Linotype"/>
          <w:sz w:val="24"/>
          <w:szCs w:val="24"/>
        </w:rPr>
        <w:t xml:space="preserve"> </w:t>
      </w:r>
      <w:r w:rsidR="00C0465F">
        <w:rPr>
          <w:rFonts w:ascii="Palatino Linotype" w:hAnsi="Palatino Linotype"/>
          <w:sz w:val="24"/>
          <w:szCs w:val="24"/>
        </w:rPr>
        <w:t>in SGIP Options Considered</w:t>
      </w:r>
      <w:r w:rsidR="00DE2048">
        <w:rPr>
          <w:rStyle w:val="FootnoteReference"/>
          <w:rFonts w:ascii="Palatino Linotype" w:hAnsi="Palatino Linotype"/>
          <w:sz w:val="24"/>
          <w:szCs w:val="24"/>
        </w:rPr>
        <w:footnoteReference w:id="2"/>
      </w:r>
    </w:p>
    <w:tbl>
      <w:tblPr>
        <w:tblStyle w:val="TableGrid"/>
        <w:tblW w:w="0" w:type="auto"/>
        <w:tblLook w:val="04A0" w:firstRow="1" w:lastRow="0" w:firstColumn="1" w:lastColumn="0" w:noHBand="0" w:noVBand="1"/>
      </w:tblPr>
      <w:tblGrid>
        <w:gridCol w:w="1525"/>
        <w:gridCol w:w="1350"/>
        <w:gridCol w:w="1800"/>
        <w:gridCol w:w="2340"/>
        <w:gridCol w:w="2335"/>
      </w:tblGrid>
      <w:tr w:rsidR="002405C4" w:rsidTr="00C9244C" w14:paraId="702AD9DE" w14:textId="77777777">
        <w:tc>
          <w:tcPr>
            <w:tcW w:w="1525" w:type="dxa"/>
          </w:tcPr>
          <w:p w:rsidRPr="00F36826" w:rsidR="002405C4" w:rsidP="4BA7214B" w:rsidRDefault="00E61DC7" w14:paraId="651147F1" w14:textId="7149B41B">
            <w:pPr>
              <w:rPr>
                <w:rFonts w:ascii="Palatino Linotype" w:hAnsi="Palatino Linotype" w:eastAsia="Palatino Linotype"/>
                <w:b/>
                <w:sz w:val="20"/>
              </w:rPr>
            </w:pPr>
            <w:r w:rsidRPr="00F36826">
              <w:rPr>
                <w:rFonts w:ascii="Palatino Linotype" w:hAnsi="Palatino Linotype" w:eastAsia="Palatino Linotype"/>
                <w:b/>
                <w:sz w:val="20"/>
              </w:rPr>
              <w:t>Funding Source</w:t>
            </w:r>
          </w:p>
        </w:tc>
        <w:tc>
          <w:tcPr>
            <w:tcW w:w="1350" w:type="dxa"/>
          </w:tcPr>
          <w:p w:rsidRPr="00F36826" w:rsidR="002405C4" w:rsidP="4BA7214B" w:rsidRDefault="003836E8" w14:paraId="6301D7D1" w14:textId="411FFFFD">
            <w:pPr>
              <w:rPr>
                <w:rFonts w:ascii="Palatino Linotype" w:hAnsi="Palatino Linotype" w:eastAsia="Palatino Linotype"/>
                <w:b/>
                <w:sz w:val="20"/>
              </w:rPr>
            </w:pPr>
            <w:r w:rsidRPr="00F36826">
              <w:rPr>
                <w:rFonts w:ascii="Palatino Linotype" w:hAnsi="Palatino Linotype" w:eastAsia="Palatino Linotype"/>
                <w:b/>
                <w:sz w:val="20"/>
              </w:rPr>
              <w:t>Owned By</w:t>
            </w:r>
          </w:p>
        </w:tc>
        <w:tc>
          <w:tcPr>
            <w:tcW w:w="1800" w:type="dxa"/>
          </w:tcPr>
          <w:p w:rsidRPr="00F36826" w:rsidR="002405C4" w:rsidP="4BA7214B" w:rsidRDefault="00CF0FE2" w14:paraId="58C16303" w14:textId="17B5CEB3">
            <w:pPr>
              <w:rPr>
                <w:rFonts w:ascii="Palatino Linotype" w:hAnsi="Palatino Linotype" w:eastAsia="Palatino Linotype"/>
                <w:b/>
                <w:sz w:val="20"/>
              </w:rPr>
            </w:pPr>
            <w:r w:rsidRPr="00F36826">
              <w:rPr>
                <w:rFonts w:ascii="Palatino Linotype" w:hAnsi="Palatino Linotype" w:eastAsia="Palatino Linotype"/>
                <w:b/>
                <w:sz w:val="20"/>
              </w:rPr>
              <w:t>Current SGIP</w:t>
            </w:r>
            <w:r w:rsidRPr="00F36826" w:rsidR="00E07742">
              <w:rPr>
                <w:rFonts w:ascii="Palatino Linotype" w:hAnsi="Palatino Linotype" w:eastAsia="Palatino Linotype"/>
                <w:b/>
                <w:sz w:val="20"/>
              </w:rPr>
              <w:t xml:space="preserve"> Policy</w:t>
            </w:r>
          </w:p>
        </w:tc>
        <w:tc>
          <w:tcPr>
            <w:tcW w:w="2340" w:type="dxa"/>
          </w:tcPr>
          <w:p w:rsidRPr="00F36826" w:rsidR="002405C4" w:rsidP="4BA7214B" w:rsidRDefault="00CF0FE2" w14:paraId="0E004E1F" w14:textId="57BB7F4C">
            <w:pPr>
              <w:rPr>
                <w:rFonts w:ascii="Palatino Linotype" w:hAnsi="Palatino Linotype" w:eastAsia="Palatino Linotype"/>
                <w:b/>
                <w:sz w:val="20"/>
              </w:rPr>
            </w:pPr>
            <w:r w:rsidRPr="00F36826">
              <w:rPr>
                <w:rFonts w:ascii="Palatino Linotype" w:hAnsi="Palatino Linotype" w:eastAsia="Palatino Linotype"/>
                <w:b/>
                <w:sz w:val="20"/>
              </w:rPr>
              <w:t xml:space="preserve">Joint AL </w:t>
            </w:r>
            <w:r w:rsidRPr="00F36826" w:rsidR="00234359">
              <w:rPr>
                <w:rFonts w:ascii="Palatino Linotype" w:hAnsi="Palatino Linotype" w:eastAsia="Palatino Linotype"/>
                <w:b/>
                <w:sz w:val="20"/>
              </w:rPr>
              <w:t>Proposal</w:t>
            </w:r>
          </w:p>
        </w:tc>
        <w:tc>
          <w:tcPr>
            <w:tcW w:w="2335" w:type="dxa"/>
          </w:tcPr>
          <w:p w:rsidRPr="00F36826" w:rsidR="002405C4" w:rsidP="4BA7214B" w:rsidRDefault="00627F13" w14:paraId="3CC1C18C" w14:textId="7666B93B">
            <w:pPr>
              <w:rPr>
                <w:rFonts w:ascii="Palatino Linotype" w:hAnsi="Palatino Linotype" w:eastAsia="Palatino Linotype"/>
                <w:b/>
                <w:sz w:val="20"/>
              </w:rPr>
            </w:pPr>
            <w:r w:rsidRPr="00F36826">
              <w:rPr>
                <w:rFonts w:ascii="Palatino Linotype" w:hAnsi="Palatino Linotype" w:eastAsia="Palatino Linotype"/>
                <w:b/>
                <w:sz w:val="20"/>
              </w:rPr>
              <w:t>Resolution</w:t>
            </w:r>
            <w:r w:rsidRPr="00F36826" w:rsidR="00234359">
              <w:rPr>
                <w:rFonts w:ascii="Palatino Linotype" w:hAnsi="Palatino Linotype" w:eastAsia="Palatino Linotype"/>
                <w:b/>
                <w:sz w:val="20"/>
              </w:rPr>
              <w:t xml:space="preserve"> Proposal</w:t>
            </w:r>
          </w:p>
        </w:tc>
      </w:tr>
      <w:tr w:rsidR="005F2D72" w:rsidTr="00C9244C" w14:paraId="332B3564" w14:textId="77777777">
        <w:tc>
          <w:tcPr>
            <w:tcW w:w="1525" w:type="dxa"/>
            <w:vMerge w:val="restart"/>
          </w:tcPr>
          <w:p w:rsidRPr="00486BC1" w:rsidR="005F2D72" w:rsidP="4BA7214B" w:rsidRDefault="005F2D72" w14:paraId="36F51AD3" w14:textId="71A6D17A">
            <w:pPr>
              <w:rPr>
                <w:rFonts w:ascii="Palatino Linotype" w:hAnsi="Palatino Linotype" w:eastAsia="Palatino Linotype"/>
                <w:sz w:val="20"/>
              </w:rPr>
            </w:pPr>
            <w:r w:rsidRPr="00486BC1">
              <w:rPr>
                <w:rFonts w:ascii="Palatino Linotype" w:hAnsi="Palatino Linotype" w:eastAsia="Palatino Linotype"/>
                <w:sz w:val="20"/>
              </w:rPr>
              <w:t>State</w:t>
            </w:r>
            <w:r w:rsidR="009432A1">
              <w:rPr>
                <w:rFonts w:ascii="Palatino Linotype" w:hAnsi="Palatino Linotype" w:eastAsia="Palatino Linotype"/>
                <w:sz w:val="20"/>
              </w:rPr>
              <w:t xml:space="preserve"> </w:t>
            </w:r>
            <w:r w:rsidR="001813B6">
              <w:rPr>
                <w:rFonts w:ascii="Palatino Linotype" w:hAnsi="Palatino Linotype" w:eastAsia="Palatino Linotype"/>
                <w:sz w:val="20"/>
              </w:rPr>
              <w:t>Budget</w:t>
            </w:r>
            <w:r w:rsidR="009432A1">
              <w:rPr>
                <w:rFonts w:ascii="Palatino Linotype" w:hAnsi="Palatino Linotype" w:eastAsia="Palatino Linotype"/>
                <w:sz w:val="20"/>
              </w:rPr>
              <w:t xml:space="preserve"> /GGRF</w:t>
            </w:r>
            <w:r w:rsidR="001813B6">
              <w:rPr>
                <w:rFonts w:ascii="Palatino Linotype" w:hAnsi="Palatino Linotype" w:eastAsia="Palatino Linotype"/>
                <w:sz w:val="20"/>
              </w:rPr>
              <w:t xml:space="preserve"> </w:t>
            </w:r>
          </w:p>
        </w:tc>
        <w:tc>
          <w:tcPr>
            <w:tcW w:w="1350" w:type="dxa"/>
          </w:tcPr>
          <w:p w:rsidRPr="00486BC1" w:rsidR="005F2D72" w:rsidP="4BA7214B" w:rsidRDefault="005F2D72" w14:paraId="7412F02F" w14:textId="38F8EF07">
            <w:pPr>
              <w:rPr>
                <w:rFonts w:ascii="Palatino Linotype" w:hAnsi="Palatino Linotype" w:eastAsia="Palatino Linotype"/>
                <w:sz w:val="20"/>
              </w:rPr>
            </w:pPr>
            <w:r w:rsidRPr="00486BC1">
              <w:rPr>
                <w:rFonts w:ascii="Palatino Linotype" w:hAnsi="Palatino Linotype" w:eastAsia="Palatino Linotype"/>
                <w:sz w:val="20"/>
              </w:rPr>
              <w:t>TPO</w:t>
            </w:r>
          </w:p>
        </w:tc>
        <w:tc>
          <w:tcPr>
            <w:tcW w:w="1800" w:type="dxa"/>
          </w:tcPr>
          <w:p w:rsidRPr="00001E5B" w:rsidR="005F2D72" w:rsidP="4BA7214B" w:rsidRDefault="001804B4" w14:paraId="15952B9F" w14:textId="0735155B">
            <w:pPr>
              <w:rPr>
                <w:rFonts w:ascii="Palatino Linotype" w:hAnsi="Palatino Linotype" w:eastAsia="Palatino Linotype"/>
                <w:sz w:val="22"/>
                <w:szCs w:val="22"/>
              </w:rPr>
            </w:pPr>
            <w:r w:rsidRPr="00001E5B">
              <w:rPr>
                <w:rFonts w:ascii="Palatino Linotype" w:hAnsi="Palatino Linotype" w:eastAsia="Palatino Linotype"/>
                <w:sz w:val="22"/>
                <w:szCs w:val="22"/>
              </w:rPr>
              <w:t>1</w:t>
            </w:r>
            <w:r w:rsidRPr="00001E5B" w:rsidR="005F2D72">
              <w:rPr>
                <w:rFonts w:ascii="Palatino Linotype" w:hAnsi="Palatino Linotype" w:eastAsia="Palatino Linotype"/>
                <w:sz w:val="22"/>
                <w:szCs w:val="22"/>
              </w:rPr>
              <w:t>-70%</w:t>
            </w:r>
            <w:r w:rsidRPr="00001E5B" w:rsidR="005259AA">
              <w:rPr>
                <w:rFonts w:ascii="Palatino Linotype" w:hAnsi="Palatino Linotype" w:eastAsia="Palatino Linotype"/>
                <w:sz w:val="22"/>
                <w:szCs w:val="22"/>
              </w:rPr>
              <w:t xml:space="preserve"> (</w:t>
            </w:r>
            <w:r w:rsidRPr="00001E5B" w:rsidR="00A4047C">
              <w:rPr>
                <w:rFonts w:ascii="Palatino Linotype" w:hAnsi="Palatino Linotype" w:eastAsia="Palatino Linotype"/>
                <w:sz w:val="22"/>
                <w:szCs w:val="22"/>
              </w:rPr>
              <w:t>$165-</w:t>
            </w:r>
            <w:r w:rsidRPr="00001E5B" w:rsidR="00B24C21">
              <w:rPr>
                <w:rFonts w:ascii="Palatino Linotype" w:hAnsi="Palatino Linotype" w:eastAsia="Palatino Linotype"/>
                <w:sz w:val="22"/>
                <w:szCs w:val="22"/>
              </w:rPr>
              <w:t>11,500)</w:t>
            </w:r>
          </w:p>
        </w:tc>
        <w:tc>
          <w:tcPr>
            <w:tcW w:w="2340" w:type="dxa"/>
          </w:tcPr>
          <w:p w:rsidRPr="00001E5B" w:rsidR="005F2D72" w:rsidP="4BA7214B" w:rsidRDefault="005F2D72" w14:paraId="16B71FA6" w14:textId="034DD6C4">
            <w:pPr>
              <w:rPr>
                <w:rFonts w:ascii="Palatino Linotype" w:hAnsi="Palatino Linotype" w:eastAsia="Palatino Linotype"/>
                <w:sz w:val="22"/>
                <w:szCs w:val="22"/>
              </w:rPr>
            </w:pPr>
            <w:r w:rsidRPr="00001E5B">
              <w:rPr>
                <w:rFonts w:ascii="Palatino Linotype" w:hAnsi="Palatino Linotype" w:eastAsia="Palatino Linotype"/>
                <w:sz w:val="22"/>
                <w:szCs w:val="22"/>
              </w:rPr>
              <w:t>30-70%</w:t>
            </w:r>
            <w:r w:rsidRPr="00001E5B" w:rsidR="00D826E9">
              <w:rPr>
                <w:rFonts w:ascii="Palatino Linotype" w:hAnsi="Palatino Linotype" w:eastAsia="Palatino Linotype"/>
                <w:sz w:val="22"/>
                <w:szCs w:val="22"/>
              </w:rPr>
              <w:t xml:space="preserve"> ($4950-11,500)</w:t>
            </w:r>
          </w:p>
        </w:tc>
        <w:tc>
          <w:tcPr>
            <w:tcW w:w="2335" w:type="dxa"/>
          </w:tcPr>
          <w:p w:rsidRPr="00001E5B" w:rsidR="005F2D72" w:rsidP="4BA7214B" w:rsidRDefault="005F2D72" w14:paraId="0A45CF37" w14:textId="24A9B6AE">
            <w:pPr>
              <w:rPr>
                <w:rFonts w:ascii="Palatino Linotype" w:hAnsi="Palatino Linotype" w:eastAsia="Palatino Linotype"/>
                <w:sz w:val="22"/>
                <w:szCs w:val="22"/>
              </w:rPr>
            </w:pPr>
            <w:r w:rsidRPr="00001E5B">
              <w:rPr>
                <w:rFonts w:ascii="Palatino Linotype" w:hAnsi="Palatino Linotype" w:eastAsia="Palatino Linotype"/>
                <w:sz w:val="22"/>
                <w:szCs w:val="22"/>
              </w:rPr>
              <w:t>30-70%</w:t>
            </w:r>
            <w:r w:rsidRPr="00001E5B" w:rsidR="00D826E9">
              <w:rPr>
                <w:rFonts w:ascii="Palatino Linotype" w:hAnsi="Palatino Linotype" w:eastAsia="Palatino Linotype"/>
                <w:sz w:val="22"/>
                <w:szCs w:val="22"/>
              </w:rPr>
              <w:t xml:space="preserve"> ($4950-11,500)</w:t>
            </w:r>
          </w:p>
        </w:tc>
      </w:tr>
      <w:tr w:rsidR="005F2D72" w:rsidTr="00C9244C" w14:paraId="0DC62A74" w14:textId="77777777">
        <w:tc>
          <w:tcPr>
            <w:tcW w:w="1525" w:type="dxa"/>
            <w:vMerge/>
          </w:tcPr>
          <w:p w:rsidRPr="00B00C28" w:rsidR="005F2D72" w:rsidP="4BA7214B" w:rsidRDefault="005F2D72" w14:paraId="1BAC10F3" w14:textId="77777777">
            <w:pPr>
              <w:rPr>
                <w:rFonts w:ascii="Palatino Linotype" w:hAnsi="Palatino Linotype" w:eastAsia="Palatino Linotype"/>
                <w:sz w:val="20"/>
              </w:rPr>
            </w:pPr>
          </w:p>
        </w:tc>
        <w:tc>
          <w:tcPr>
            <w:tcW w:w="1350" w:type="dxa"/>
          </w:tcPr>
          <w:p w:rsidRPr="00B00C28" w:rsidR="005F2D72" w:rsidP="4BA7214B" w:rsidRDefault="005F2D72" w14:paraId="33130907" w14:textId="31801986">
            <w:pPr>
              <w:rPr>
                <w:rFonts w:ascii="Palatino Linotype" w:hAnsi="Palatino Linotype" w:eastAsia="Palatino Linotype"/>
                <w:sz w:val="20"/>
              </w:rPr>
            </w:pPr>
            <w:r w:rsidRPr="00B00C28">
              <w:rPr>
                <w:rFonts w:ascii="Palatino Linotype" w:hAnsi="Palatino Linotype" w:eastAsia="Palatino Linotype"/>
                <w:sz w:val="20"/>
              </w:rPr>
              <w:t>Host Customer</w:t>
            </w:r>
          </w:p>
        </w:tc>
        <w:tc>
          <w:tcPr>
            <w:tcW w:w="1800" w:type="dxa"/>
          </w:tcPr>
          <w:p w:rsidRPr="002C55CE" w:rsidR="005F2D72" w:rsidP="4BA7214B" w:rsidRDefault="001804B4" w14:paraId="7C4E27B5" w14:textId="5B83FD34">
            <w:pPr>
              <w:rPr>
                <w:rFonts w:ascii="Palatino Linotype" w:hAnsi="Palatino Linotype" w:eastAsia="Palatino Linotype"/>
                <w:sz w:val="22"/>
                <w:szCs w:val="22"/>
              </w:rPr>
            </w:pPr>
            <w:r w:rsidRPr="002C55CE">
              <w:rPr>
                <w:rFonts w:ascii="Palatino Linotype" w:hAnsi="Palatino Linotype" w:eastAsia="Palatino Linotype"/>
                <w:sz w:val="22"/>
                <w:szCs w:val="22"/>
              </w:rPr>
              <w:t>1</w:t>
            </w:r>
            <w:r w:rsidRPr="002C55CE" w:rsidR="005F2D72">
              <w:rPr>
                <w:rFonts w:ascii="Palatino Linotype" w:hAnsi="Palatino Linotype" w:eastAsia="Palatino Linotype"/>
                <w:sz w:val="22"/>
                <w:szCs w:val="22"/>
              </w:rPr>
              <w:t>-30%</w:t>
            </w:r>
            <w:r w:rsidRPr="002C55CE" w:rsidR="00017734">
              <w:rPr>
                <w:rFonts w:ascii="Palatino Linotype" w:hAnsi="Palatino Linotype" w:eastAsia="Palatino Linotype"/>
                <w:sz w:val="22"/>
                <w:szCs w:val="22"/>
              </w:rPr>
              <w:t xml:space="preserve"> </w:t>
            </w:r>
            <w:r w:rsidRPr="002C55CE" w:rsidR="00AE3A28">
              <w:rPr>
                <w:rFonts w:ascii="Palatino Linotype" w:hAnsi="Palatino Linotype" w:eastAsia="Palatino Linotype"/>
                <w:sz w:val="22"/>
                <w:szCs w:val="22"/>
              </w:rPr>
              <w:t>($165-4950)</w:t>
            </w:r>
          </w:p>
        </w:tc>
        <w:tc>
          <w:tcPr>
            <w:tcW w:w="2340" w:type="dxa"/>
          </w:tcPr>
          <w:p w:rsidRPr="002C55CE" w:rsidR="005F2D72" w:rsidP="4BA7214B" w:rsidRDefault="005F2D72" w14:paraId="5D56469C" w14:textId="549941CA">
            <w:pPr>
              <w:rPr>
                <w:rFonts w:ascii="Palatino Linotype" w:hAnsi="Palatino Linotype" w:eastAsia="Palatino Linotype"/>
                <w:sz w:val="22"/>
                <w:szCs w:val="22"/>
              </w:rPr>
            </w:pPr>
            <w:r w:rsidRPr="002C55CE">
              <w:rPr>
                <w:rFonts w:ascii="Palatino Linotype" w:hAnsi="Palatino Linotype" w:eastAsia="Palatino Linotype"/>
                <w:sz w:val="22"/>
                <w:szCs w:val="22"/>
              </w:rPr>
              <w:t>30%</w:t>
            </w:r>
            <w:r w:rsidRPr="002C55CE" w:rsidR="00D826E9">
              <w:rPr>
                <w:rFonts w:ascii="Palatino Linotype" w:hAnsi="Palatino Linotype" w:eastAsia="Palatino Linotype"/>
                <w:sz w:val="22"/>
                <w:szCs w:val="22"/>
              </w:rPr>
              <w:t xml:space="preserve"> ($4950</w:t>
            </w:r>
            <w:r w:rsidRPr="002C55CE" w:rsidR="00AE3A28">
              <w:rPr>
                <w:rFonts w:ascii="Palatino Linotype" w:hAnsi="Palatino Linotype" w:eastAsia="Palatino Linotype"/>
                <w:sz w:val="22"/>
                <w:szCs w:val="22"/>
              </w:rPr>
              <w:t>)</w:t>
            </w:r>
          </w:p>
        </w:tc>
        <w:tc>
          <w:tcPr>
            <w:tcW w:w="2335" w:type="dxa"/>
          </w:tcPr>
          <w:p w:rsidRPr="002C55CE" w:rsidR="005F2D72" w:rsidP="4BA7214B" w:rsidRDefault="005F2D72" w14:paraId="51DFB240" w14:textId="2BB41480">
            <w:pPr>
              <w:rPr>
                <w:rFonts w:ascii="Palatino Linotype" w:hAnsi="Palatino Linotype" w:eastAsia="Palatino Linotype"/>
                <w:sz w:val="22"/>
                <w:szCs w:val="22"/>
              </w:rPr>
            </w:pPr>
            <w:r w:rsidRPr="002C55CE">
              <w:rPr>
                <w:rFonts w:ascii="Palatino Linotype" w:hAnsi="Palatino Linotype" w:eastAsia="Palatino Linotype"/>
                <w:sz w:val="22"/>
                <w:szCs w:val="22"/>
              </w:rPr>
              <w:t>30%</w:t>
            </w:r>
            <w:r w:rsidRPr="002C55CE" w:rsidR="00AE3A28">
              <w:rPr>
                <w:rFonts w:ascii="Palatino Linotype" w:hAnsi="Palatino Linotype" w:eastAsia="Palatino Linotype"/>
                <w:sz w:val="22"/>
                <w:szCs w:val="22"/>
              </w:rPr>
              <w:t xml:space="preserve"> ($4950)</w:t>
            </w:r>
          </w:p>
        </w:tc>
      </w:tr>
      <w:tr w:rsidR="005F2D72" w:rsidTr="00C9244C" w14:paraId="70BF3D3A" w14:textId="77777777">
        <w:tc>
          <w:tcPr>
            <w:tcW w:w="1525" w:type="dxa"/>
            <w:vMerge w:val="restart"/>
          </w:tcPr>
          <w:p w:rsidRPr="00A2630B" w:rsidR="005F2D72" w:rsidP="4BA7214B" w:rsidRDefault="005F2D72" w14:paraId="06575885" w14:textId="5C267D6E">
            <w:pPr>
              <w:rPr>
                <w:rFonts w:ascii="Palatino Linotype" w:hAnsi="Palatino Linotype" w:eastAsia="Palatino Linotype"/>
                <w:sz w:val="20"/>
              </w:rPr>
            </w:pPr>
            <w:r w:rsidRPr="00A2630B">
              <w:rPr>
                <w:rFonts w:ascii="Palatino Linotype" w:hAnsi="Palatino Linotype" w:eastAsia="Palatino Linotype"/>
                <w:sz w:val="20"/>
              </w:rPr>
              <w:t xml:space="preserve">Ratepayer </w:t>
            </w:r>
            <w:r w:rsidR="001813B6">
              <w:rPr>
                <w:rFonts w:ascii="Palatino Linotype" w:hAnsi="Palatino Linotype" w:eastAsia="Palatino Linotype"/>
                <w:sz w:val="20"/>
              </w:rPr>
              <w:t>Collections</w:t>
            </w:r>
          </w:p>
        </w:tc>
        <w:tc>
          <w:tcPr>
            <w:tcW w:w="1350" w:type="dxa"/>
          </w:tcPr>
          <w:p w:rsidRPr="00A2630B" w:rsidR="005F2D72" w:rsidP="4BA7214B" w:rsidRDefault="005F2D72" w14:paraId="5FEB9884" w14:textId="29DA2305">
            <w:pPr>
              <w:rPr>
                <w:rFonts w:ascii="Palatino Linotype" w:hAnsi="Palatino Linotype" w:eastAsia="Palatino Linotype"/>
                <w:sz w:val="20"/>
              </w:rPr>
            </w:pPr>
            <w:r w:rsidRPr="00A2630B">
              <w:rPr>
                <w:rFonts w:ascii="Palatino Linotype" w:hAnsi="Palatino Linotype" w:eastAsia="Palatino Linotype"/>
                <w:sz w:val="20"/>
              </w:rPr>
              <w:t>TPO</w:t>
            </w:r>
          </w:p>
        </w:tc>
        <w:tc>
          <w:tcPr>
            <w:tcW w:w="1800" w:type="dxa"/>
          </w:tcPr>
          <w:p w:rsidRPr="00FA4770" w:rsidR="005F2D72" w:rsidP="4BA7214B" w:rsidRDefault="001804B4" w14:paraId="6C46F49D" w14:textId="27CC3BF5">
            <w:pPr>
              <w:rPr>
                <w:rFonts w:ascii="Palatino Linotype" w:hAnsi="Palatino Linotype" w:eastAsia="Palatino Linotype"/>
                <w:sz w:val="22"/>
                <w:szCs w:val="22"/>
              </w:rPr>
            </w:pPr>
            <w:r w:rsidRPr="00FA4770">
              <w:rPr>
                <w:rFonts w:ascii="Palatino Linotype" w:hAnsi="Palatino Linotype" w:eastAsia="Palatino Linotype"/>
                <w:sz w:val="22"/>
                <w:szCs w:val="22"/>
              </w:rPr>
              <w:t>1</w:t>
            </w:r>
            <w:r w:rsidRPr="00FA4770" w:rsidR="005F2D72">
              <w:rPr>
                <w:rFonts w:ascii="Palatino Linotype" w:hAnsi="Palatino Linotype" w:eastAsia="Palatino Linotype"/>
                <w:sz w:val="22"/>
                <w:szCs w:val="22"/>
              </w:rPr>
              <w:t>-70%</w:t>
            </w:r>
            <w:r w:rsidRPr="00FA4770" w:rsidR="00B24C21">
              <w:rPr>
                <w:rFonts w:ascii="Palatino Linotype" w:hAnsi="Palatino Linotype" w:eastAsia="Palatino Linotype"/>
                <w:sz w:val="22"/>
                <w:szCs w:val="22"/>
              </w:rPr>
              <w:t xml:space="preserve"> ($165-11,500)</w:t>
            </w:r>
          </w:p>
        </w:tc>
        <w:tc>
          <w:tcPr>
            <w:tcW w:w="2340" w:type="dxa"/>
          </w:tcPr>
          <w:p w:rsidRPr="00FA4770" w:rsidR="005F2D72" w:rsidP="4BA7214B" w:rsidRDefault="005F2D72" w14:paraId="7923241E" w14:textId="7B2AA6D0">
            <w:pPr>
              <w:rPr>
                <w:rFonts w:ascii="Palatino Linotype" w:hAnsi="Palatino Linotype" w:eastAsia="Palatino Linotype"/>
                <w:sz w:val="22"/>
                <w:szCs w:val="22"/>
              </w:rPr>
            </w:pPr>
            <w:r w:rsidRPr="00FA4770">
              <w:rPr>
                <w:rFonts w:ascii="Palatino Linotype" w:hAnsi="Palatino Linotype" w:eastAsia="Palatino Linotype"/>
                <w:sz w:val="22"/>
                <w:szCs w:val="22"/>
              </w:rPr>
              <w:t>30-70%</w:t>
            </w:r>
            <w:r w:rsidRPr="00FA4770" w:rsidR="00017734">
              <w:rPr>
                <w:rFonts w:ascii="Palatino Linotype" w:hAnsi="Palatino Linotype" w:eastAsia="Palatino Linotype"/>
                <w:sz w:val="22"/>
                <w:szCs w:val="22"/>
              </w:rPr>
              <w:t xml:space="preserve"> ($</w:t>
            </w:r>
            <w:r w:rsidRPr="00FA4770" w:rsidR="00D826E9">
              <w:rPr>
                <w:rFonts w:ascii="Palatino Linotype" w:hAnsi="Palatino Linotype" w:eastAsia="Palatino Linotype"/>
                <w:sz w:val="22"/>
                <w:szCs w:val="22"/>
              </w:rPr>
              <w:t>4950</w:t>
            </w:r>
            <w:r w:rsidRPr="00FA4770" w:rsidR="00017734">
              <w:rPr>
                <w:rFonts w:ascii="Palatino Linotype" w:hAnsi="Palatino Linotype" w:eastAsia="Palatino Linotype"/>
                <w:sz w:val="22"/>
                <w:szCs w:val="22"/>
              </w:rPr>
              <w:t>-11,500)</w:t>
            </w:r>
          </w:p>
        </w:tc>
        <w:tc>
          <w:tcPr>
            <w:tcW w:w="2335" w:type="dxa"/>
          </w:tcPr>
          <w:p w:rsidRPr="00FA4770" w:rsidR="005F2D72" w:rsidP="4BA7214B" w:rsidRDefault="005F2D72" w14:paraId="542D811E" w14:textId="1903990C">
            <w:pPr>
              <w:rPr>
                <w:rFonts w:ascii="Palatino Linotype" w:hAnsi="Palatino Linotype" w:eastAsia="Palatino Linotype"/>
                <w:sz w:val="22"/>
                <w:szCs w:val="22"/>
              </w:rPr>
            </w:pPr>
            <w:r w:rsidRPr="00FA4770">
              <w:rPr>
                <w:rFonts w:ascii="Palatino Linotype" w:hAnsi="Palatino Linotype" w:eastAsia="Palatino Linotype"/>
                <w:sz w:val="22"/>
                <w:szCs w:val="22"/>
              </w:rPr>
              <w:t>30-70%</w:t>
            </w:r>
            <w:r w:rsidRPr="00FA4770" w:rsidR="00D826E9">
              <w:rPr>
                <w:rFonts w:ascii="Palatino Linotype" w:hAnsi="Palatino Linotype" w:eastAsia="Palatino Linotype"/>
                <w:sz w:val="22"/>
                <w:szCs w:val="22"/>
              </w:rPr>
              <w:t xml:space="preserve"> ($4950-11,500)</w:t>
            </w:r>
          </w:p>
        </w:tc>
      </w:tr>
      <w:tr w:rsidR="005F2D72" w:rsidTr="00C9244C" w14:paraId="3602E617" w14:textId="77777777">
        <w:tc>
          <w:tcPr>
            <w:tcW w:w="1525" w:type="dxa"/>
            <w:vMerge/>
          </w:tcPr>
          <w:p w:rsidRPr="00B00C28" w:rsidR="005F2D72" w:rsidP="4BA7214B" w:rsidRDefault="005F2D72" w14:paraId="739CD866" w14:textId="77777777">
            <w:pPr>
              <w:rPr>
                <w:rFonts w:ascii="Palatino Linotype" w:hAnsi="Palatino Linotype" w:eastAsia="Palatino Linotype"/>
                <w:sz w:val="20"/>
              </w:rPr>
            </w:pPr>
          </w:p>
        </w:tc>
        <w:tc>
          <w:tcPr>
            <w:tcW w:w="1350" w:type="dxa"/>
          </w:tcPr>
          <w:p w:rsidRPr="00B00C28" w:rsidR="005F2D72" w:rsidP="4BA7214B" w:rsidRDefault="005F2D72" w14:paraId="6326A47C" w14:textId="24454D4C">
            <w:pPr>
              <w:rPr>
                <w:rFonts w:ascii="Palatino Linotype" w:hAnsi="Palatino Linotype" w:eastAsia="Palatino Linotype"/>
                <w:sz w:val="20"/>
              </w:rPr>
            </w:pPr>
            <w:r w:rsidRPr="00B00C28">
              <w:rPr>
                <w:rFonts w:ascii="Palatino Linotype" w:hAnsi="Palatino Linotype" w:eastAsia="Palatino Linotype"/>
                <w:sz w:val="20"/>
              </w:rPr>
              <w:t>Host Customer</w:t>
            </w:r>
          </w:p>
        </w:tc>
        <w:tc>
          <w:tcPr>
            <w:tcW w:w="1800" w:type="dxa"/>
          </w:tcPr>
          <w:p w:rsidRPr="00FA4770" w:rsidR="005F2D72" w:rsidP="4BA7214B" w:rsidRDefault="001804B4" w14:paraId="5C810462" w14:textId="5EC34060">
            <w:pPr>
              <w:rPr>
                <w:rFonts w:ascii="Palatino Linotype" w:hAnsi="Palatino Linotype" w:eastAsia="Palatino Linotype"/>
                <w:sz w:val="22"/>
                <w:szCs w:val="22"/>
              </w:rPr>
            </w:pPr>
            <w:r w:rsidRPr="00FA4770">
              <w:rPr>
                <w:rFonts w:ascii="Palatino Linotype" w:hAnsi="Palatino Linotype" w:eastAsia="Palatino Linotype"/>
                <w:sz w:val="22"/>
                <w:szCs w:val="22"/>
              </w:rPr>
              <w:t>1</w:t>
            </w:r>
            <w:r w:rsidRPr="00FA4770" w:rsidR="005F2D72">
              <w:rPr>
                <w:rFonts w:ascii="Palatino Linotype" w:hAnsi="Palatino Linotype" w:eastAsia="Palatino Linotype"/>
                <w:sz w:val="22"/>
                <w:szCs w:val="22"/>
              </w:rPr>
              <w:t>-30%</w:t>
            </w:r>
            <w:r w:rsidRPr="00FA4770" w:rsidR="00AE3A28">
              <w:rPr>
                <w:rFonts w:ascii="Palatino Linotype" w:hAnsi="Palatino Linotype" w:eastAsia="Palatino Linotype"/>
                <w:sz w:val="22"/>
                <w:szCs w:val="22"/>
              </w:rPr>
              <w:t xml:space="preserve"> ($</w:t>
            </w:r>
            <w:r w:rsidRPr="00FA4770" w:rsidR="007E455F">
              <w:rPr>
                <w:rFonts w:ascii="Palatino Linotype" w:hAnsi="Palatino Linotype" w:eastAsia="Palatino Linotype"/>
                <w:sz w:val="22"/>
                <w:szCs w:val="22"/>
              </w:rPr>
              <w:t>165-</w:t>
            </w:r>
            <w:r w:rsidRPr="00FA4770" w:rsidR="00AE3A28">
              <w:rPr>
                <w:rFonts w:ascii="Palatino Linotype" w:hAnsi="Palatino Linotype" w:eastAsia="Palatino Linotype"/>
                <w:sz w:val="22"/>
                <w:szCs w:val="22"/>
              </w:rPr>
              <w:t>4950)</w:t>
            </w:r>
          </w:p>
        </w:tc>
        <w:tc>
          <w:tcPr>
            <w:tcW w:w="2340" w:type="dxa"/>
          </w:tcPr>
          <w:p w:rsidRPr="00FA4770" w:rsidR="005F2D72" w:rsidP="4BA7214B" w:rsidRDefault="005F2D72" w14:paraId="5C920D8C" w14:textId="4D31AB2C">
            <w:pPr>
              <w:rPr>
                <w:rFonts w:ascii="Palatino Linotype" w:hAnsi="Palatino Linotype" w:eastAsia="Palatino Linotype"/>
                <w:sz w:val="22"/>
                <w:szCs w:val="22"/>
              </w:rPr>
            </w:pPr>
            <w:r w:rsidRPr="00FA4770">
              <w:rPr>
                <w:rFonts w:ascii="Palatino Linotype" w:hAnsi="Palatino Linotype" w:eastAsia="Palatino Linotype"/>
                <w:sz w:val="22"/>
                <w:szCs w:val="22"/>
              </w:rPr>
              <w:t>30%</w:t>
            </w:r>
            <w:r w:rsidRPr="00FA4770" w:rsidR="00AE3A28">
              <w:rPr>
                <w:rFonts w:ascii="Palatino Linotype" w:hAnsi="Palatino Linotype" w:eastAsia="Palatino Linotype"/>
                <w:sz w:val="22"/>
                <w:szCs w:val="22"/>
              </w:rPr>
              <w:t xml:space="preserve"> ($4950)</w:t>
            </w:r>
          </w:p>
        </w:tc>
        <w:tc>
          <w:tcPr>
            <w:tcW w:w="2335" w:type="dxa"/>
          </w:tcPr>
          <w:p w:rsidRPr="00FA4770" w:rsidR="005F2D72" w:rsidP="4BA7214B" w:rsidRDefault="001804B4" w14:paraId="6A1EADEA" w14:textId="1740CF6F">
            <w:pPr>
              <w:rPr>
                <w:rFonts w:ascii="Palatino Linotype" w:hAnsi="Palatino Linotype" w:eastAsia="Palatino Linotype"/>
                <w:sz w:val="22"/>
                <w:szCs w:val="22"/>
              </w:rPr>
            </w:pPr>
            <w:r w:rsidRPr="00FA4770">
              <w:rPr>
                <w:rFonts w:ascii="Palatino Linotype" w:hAnsi="Palatino Linotype" w:eastAsia="Palatino Linotype"/>
                <w:sz w:val="22"/>
                <w:szCs w:val="22"/>
              </w:rPr>
              <w:t>1</w:t>
            </w:r>
            <w:r w:rsidRPr="00FA4770" w:rsidR="005F2D72">
              <w:rPr>
                <w:rFonts w:ascii="Palatino Linotype" w:hAnsi="Palatino Linotype" w:eastAsia="Palatino Linotype"/>
                <w:sz w:val="22"/>
                <w:szCs w:val="22"/>
              </w:rPr>
              <w:t>-30%</w:t>
            </w:r>
            <w:r w:rsidRPr="00FA4770" w:rsidR="00AE3A28">
              <w:rPr>
                <w:rFonts w:ascii="Palatino Linotype" w:hAnsi="Palatino Linotype" w:eastAsia="Palatino Linotype"/>
                <w:sz w:val="22"/>
                <w:szCs w:val="22"/>
              </w:rPr>
              <w:t xml:space="preserve"> ($</w:t>
            </w:r>
            <w:r w:rsidRPr="00FA4770" w:rsidR="007E455F">
              <w:rPr>
                <w:rFonts w:ascii="Palatino Linotype" w:hAnsi="Palatino Linotype" w:eastAsia="Palatino Linotype"/>
                <w:sz w:val="22"/>
                <w:szCs w:val="22"/>
              </w:rPr>
              <w:t>165-</w:t>
            </w:r>
            <w:r w:rsidRPr="00FA4770" w:rsidR="00AE3A28">
              <w:rPr>
                <w:rFonts w:ascii="Palatino Linotype" w:hAnsi="Palatino Linotype" w:eastAsia="Palatino Linotype"/>
                <w:sz w:val="22"/>
                <w:szCs w:val="22"/>
              </w:rPr>
              <w:t>4950)</w:t>
            </w:r>
          </w:p>
        </w:tc>
      </w:tr>
      <w:tr w:rsidR="003C64F2" w:rsidTr="00C9244C" w14:paraId="1402BA5B" w14:textId="77777777">
        <w:tc>
          <w:tcPr>
            <w:tcW w:w="1525" w:type="dxa"/>
          </w:tcPr>
          <w:p w:rsidRPr="00532BBD" w:rsidR="003C64F2" w:rsidP="4BA7214B" w:rsidRDefault="003C64F2" w14:paraId="43FA2D92" w14:textId="206CE832">
            <w:pPr>
              <w:rPr>
                <w:rFonts w:ascii="Palatino Linotype" w:hAnsi="Palatino Linotype" w:eastAsia="Palatino Linotype"/>
                <w:sz w:val="20"/>
              </w:rPr>
            </w:pPr>
            <w:r w:rsidRPr="00532BBD">
              <w:rPr>
                <w:rFonts w:ascii="Palatino Linotype" w:hAnsi="Palatino Linotype" w:eastAsia="Palatino Linotype"/>
                <w:sz w:val="20"/>
              </w:rPr>
              <w:t>Exception Process</w:t>
            </w:r>
            <w:r w:rsidRPr="00532BBD" w:rsidR="002B4DE3">
              <w:rPr>
                <w:rFonts w:ascii="Palatino Linotype" w:hAnsi="Palatino Linotype" w:eastAsia="Palatino Linotype"/>
                <w:sz w:val="20"/>
              </w:rPr>
              <w:t xml:space="preserve"> to </w:t>
            </w:r>
            <w:r w:rsidRPr="00532BBD" w:rsidR="008760CE">
              <w:rPr>
                <w:rFonts w:ascii="Palatino Linotype" w:hAnsi="Palatino Linotype" w:eastAsia="Palatino Linotype"/>
                <w:sz w:val="20"/>
              </w:rPr>
              <w:t>C</w:t>
            </w:r>
            <w:r w:rsidRPr="00532BBD" w:rsidR="002B4DE3">
              <w:rPr>
                <w:rFonts w:ascii="Palatino Linotype" w:hAnsi="Palatino Linotype" w:eastAsia="Palatino Linotype"/>
                <w:sz w:val="20"/>
              </w:rPr>
              <w:t xml:space="preserve">laim 0% </w:t>
            </w:r>
            <w:r w:rsidRPr="00532BBD" w:rsidR="00EE1C7D">
              <w:rPr>
                <w:rFonts w:ascii="Palatino Linotype" w:hAnsi="Palatino Linotype" w:eastAsia="Palatino Linotype"/>
                <w:sz w:val="20"/>
              </w:rPr>
              <w:t>of Tax Credit</w:t>
            </w:r>
          </w:p>
        </w:tc>
        <w:tc>
          <w:tcPr>
            <w:tcW w:w="1350" w:type="dxa"/>
          </w:tcPr>
          <w:p w:rsidRPr="00532BBD" w:rsidR="003C64F2" w:rsidP="4BA7214B" w:rsidRDefault="003C64F2" w14:paraId="6FB301D1" w14:textId="77777777">
            <w:pPr>
              <w:rPr>
                <w:rFonts w:ascii="Palatino Linotype" w:hAnsi="Palatino Linotype" w:eastAsia="Palatino Linotype"/>
                <w:sz w:val="20"/>
              </w:rPr>
            </w:pPr>
          </w:p>
        </w:tc>
        <w:tc>
          <w:tcPr>
            <w:tcW w:w="1800" w:type="dxa"/>
          </w:tcPr>
          <w:p w:rsidRPr="00532BBD" w:rsidR="003C64F2" w:rsidP="4BA7214B" w:rsidRDefault="005B5243" w14:paraId="4159AF94" w14:textId="12BB574A">
            <w:pPr>
              <w:rPr>
                <w:rFonts w:ascii="Palatino Linotype" w:hAnsi="Palatino Linotype" w:eastAsia="Palatino Linotype"/>
                <w:sz w:val="20"/>
              </w:rPr>
            </w:pPr>
            <w:r w:rsidRPr="00532BBD">
              <w:rPr>
                <w:rFonts w:ascii="Palatino Linotype" w:hAnsi="Palatino Linotype" w:eastAsia="Palatino Linotype"/>
                <w:sz w:val="20"/>
              </w:rPr>
              <w:t>Documentation</w:t>
            </w:r>
            <w:r w:rsidRPr="00532BBD" w:rsidR="00141CFA">
              <w:rPr>
                <w:rFonts w:ascii="Palatino Linotype" w:hAnsi="Palatino Linotype" w:eastAsia="Palatino Linotype"/>
                <w:sz w:val="20"/>
              </w:rPr>
              <w:t xml:space="preserve"> explaining </w:t>
            </w:r>
            <w:r w:rsidRPr="00532BBD" w:rsidR="002607AA">
              <w:rPr>
                <w:rFonts w:ascii="Palatino Linotype" w:hAnsi="Palatino Linotype" w:eastAsia="Palatino Linotype"/>
                <w:sz w:val="20"/>
              </w:rPr>
              <w:t xml:space="preserve">why the project would be ineligible </w:t>
            </w:r>
            <w:r w:rsidRPr="00532BBD" w:rsidR="00220EE1">
              <w:rPr>
                <w:rFonts w:ascii="Palatino Linotype" w:hAnsi="Palatino Linotype" w:eastAsia="Palatino Linotype"/>
                <w:sz w:val="20"/>
              </w:rPr>
              <w:t>for the tax credit</w:t>
            </w:r>
            <w:r w:rsidRPr="00E60E57" w:rsidR="001804B4">
              <w:rPr>
                <w:rFonts w:ascii="Palatino Linotype" w:hAnsi="Palatino Linotype" w:eastAsia="Palatino Linotype"/>
                <w:sz w:val="20"/>
              </w:rPr>
              <w:t>.</w:t>
            </w:r>
            <w:r w:rsidRPr="00532BBD">
              <w:rPr>
                <w:rFonts w:ascii="Palatino Linotype" w:hAnsi="Palatino Linotype" w:eastAsia="Palatino Linotype"/>
                <w:sz w:val="20"/>
              </w:rPr>
              <w:t xml:space="preserve"> </w:t>
            </w:r>
          </w:p>
        </w:tc>
        <w:tc>
          <w:tcPr>
            <w:tcW w:w="2340" w:type="dxa"/>
          </w:tcPr>
          <w:p w:rsidRPr="00A92939" w:rsidR="003C64F2" w:rsidP="4BA7214B" w:rsidRDefault="00220EE1" w14:paraId="28B195F6" w14:textId="3EFBD0A7">
            <w:pPr>
              <w:rPr>
                <w:rFonts w:ascii="Palatino Linotype" w:hAnsi="Palatino Linotype" w:eastAsia="Palatino Linotype"/>
                <w:sz w:val="20"/>
              </w:rPr>
            </w:pPr>
            <w:r w:rsidRPr="00532BBD">
              <w:rPr>
                <w:rFonts w:ascii="Palatino Linotype" w:hAnsi="Palatino Linotype" w:eastAsia="Palatino Linotype"/>
                <w:sz w:val="20"/>
              </w:rPr>
              <w:t xml:space="preserve">Documentation explaining why the project would be ineligible for the tax credit </w:t>
            </w:r>
            <w:r w:rsidR="00695FA8">
              <w:rPr>
                <w:rFonts w:ascii="Palatino Linotype" w:hAnsi="Palatino Linotype" w:eastAsia="Palatino Linotype"/>
                <w:sz w:val="20"/>
              </w:rPr>
              <w:t>and</w:t>
            </w:r>
            <w:r w:rsidRPr="00532BBD" w:rsidR="00BD0C2E">
              <w:rPr>
                <w:rFonts w:ascii="Palatino Linotype" w:hAnsi="Palatino Linotype"/>
                <w:sz w:val="20"/>
              </w:rPr>
              <w:t xml:space="preserve"> why the credit could not otherwise be utilized or transferred by a </w:t>
            </w:r>
            <w:r w:rsidRPr="00532BBD" w:rsidR="00623FE4">
              <w:rPr>
                <w:rFonts w:ascii="Palatino Linotype" w:hAnsi="Palatino Linotype"/>
                <w:sz w:val="20"/>
              </w:rPr>
              <w:t>third-party</w:t>
            </w:r>
            <w:r w:rsidRPr="00532BBD" w:rsidR="00BD0C2E">
              <w:rPr>
                <w:rFonts w:ascii="Palatino Linotype" w:hAnsi="Palatino Linotype"/>
                <w:sz w:val="20"/>
              </w:rPr>
              <w:t xml:space="preserve"> entity</w:t>
            </w:r>
            <w:r w:rsidRPr="00E60E57" w:rsidR="001804B4">
              <w:rPr>
                <w:rFonts w:ascii="Palatino Linotype" w:hAnsi="Palatino Linotype"/>
                <w:sz w:val="20"/>
              </w:rPr>
              <w:t>.</w:t>
            </w:r>
          </w:p>
        </w:tc>
        <w:tc>
          <w:tcPr>
            <w:tcW w:w="2335" w:type="dxa"/>
          </w:tcPr>
          <w:p w:rsidRPr="00B628CB" w:rsidR="003C64F2" w:rsidP="4BA7214B" w:rsidRDefault="00220EE1" w14:paraId="3FD2C600" w14:textId="48A65173">
            <w:pPr>
              <w:rPr>
                <w:rFonts w:ascii="Palatino Linotype" w:hAnsi="Palatino Linotype" w:eastAsia="Palatino Linotype"/>
                <w:sz w:val="20"/>
              </w:rPr>
            </w:pPr>
            <w:r w:rsidRPr="00A92939">
              <w:rPr>
                <w:rFonts w:ascii="Palatino Linotype" w:hAnsi="Palatino Linotype" w:eastAsia="Palatino Linotype"/>
                <w:sz w:val="20"/>
              </w:rPr>
              <w:t xml:space="preserve">Documentation explaining why the project would be ineligible for the tax credit </w:t>
            </w:r>
            <w:r w:rsidR="00695FA8">
              <w:rPr>
                <w:rFonts w:ascii="Palatino Linotype" w:hAnsi="Palatino Linotype" w:eastAsia="Palatino Linotype"/>
                <w:sz w:val="20"/>
              </w:rPr>
              <w:t>and</w:t>
            </w:r>
            <w:r w:rsidRPr="00A92939" w:rsidR="00BD0C2E">
              <w:rPr>
                <w:rFonts w:ascii="Palatino Linotype" w:hAnsi="Palatino Linotype"/>
                <w:sz w:val="20"/>
              </w:rPr>
              <w:t xml:space="preserve"> why the credit could not otherwise be utilized or transferred by a </w:t>
            </w:r>
            <w:r w:rsidRPr="00A92939" w:rsidR="00623FE4">
              <w:rPr>
                <w:rFonts w:ascii="Palatino Linotype" w:hAnsi="Palatino Linotype"/>
                <w:sz w:val="20"/>
              </w:rPr>
              <w:t>third-party</w:t>
            </w:r>
            <w:r w:rsidRPr="00A92939" w:rsidR="00BD0C2E">
              <w:rPr>
                <w:rFonts w:ascii="Palatino Linotype" w:hAnsi="Palatino Linotype"/>
                <w:sz w:val="20"/>
              </w:rPr>
              <w:t xml:space="preserve"> entity</w:t>
            </w:r>
            <w:r w:rsidRPr="00E60E57" w:rsidR="001804B4">
              <w:rPr>
                <w:rFonts w:ascii="Palatino Linotype" w:hAnsi="Palatino Linotype"/>
                <w:sz w:val="20"/>
              </w:rPr>
              <w:t>.</w:t>
            </w:r>
          </w:p>
        </w:tc>
      </w:tr>
    </w:tbl>
    <w:p w:rsidRPr="00D865A9" w:rsidR="00CF17DE" w:rsidP="4BA7214B" w:rsidRDefault="00CF17DE" w14:paraId="184E396E" w14:textId="77777777">
      <w:pPr>
        <w:rPr>
          <w:rFonts w:ascii="Palatino Linotype" w:hAnsi="Palatino Linotype" w:eastAsia="Palatino Linotype"/>
          <w:sz w:val="24"/>
          <w:szCs w:val="24"/>
        </w:rPr>
      </w:pPr>
    </w:p>
    <w:p w:rsidRPr="00D865A9" w:rsidR="00CF17DE" w:rsidP="4BA7214B" w:rsidRDefault="00CF17DE" w14:paraId="0BFDDE4C" w14:textId="0E24B037">
      <w:pPr>
        <w:pStyle w:val="Heading1"/>
        <w:rPr>
          <w:rFonts w:ascii="Palatino Linotype" w:hAnsi="Palatino Linotype" w:eastAsia="Palatino Linotype"/>
          <w:sz w:val="24"/>
          <w:szCs w:val="24"/>
        </w:rPr>
      </w:pPr>
      <w:r w:rsidRPr="286C2363">
        <w:rPr>
          <w:rFonts w:ascii="Palatino Linotype" w:hAnsi="Palatino Linotype" w:eastAsia="Palatino Linotype"/>
          <w:sz w:val="24"/>
          <w:szCs w:val="24"/>
        </w:rPr>
        <w:t>Background</w:t>
      </w:r>
      <w:r w:rsidRPr="286C2363" w:rsidR="0B8663D9">
        <w:rPr>
          <w:rFonts w:ascii="Palatino Linotype" w:hAnsi="Palatino Linotype" w:eastAsia="Palatino Linotype"/>
          <w:sz w:val="24"/>
          <w:szCs w:val="24"/>
        </w:rPr>
        <w:t xml:space="preserve"> and procedural context</w:t>
      </w:r>
    </w:p>
    <w:p w:rsidR="00F034CD" w:rsidP="286C2363" w:rsidRDefault="00EB634C" w14:paraId="7D036C87" w14:textId="429E6932">
      <w:pPr>
        <w:rPr>
          <w:rFonts w:ascii="Palatino Linotype" w:hAnsi="Palatino Linotype"/>
          <w:sz w:val="24"/>
          <w:szCs w:val="24"/>
        </w:rPr>
      </w:pPr>
      <w:r w:rsidRPr="00271C3F">
        <w:rPr>
          <w:rFonts w:ascii="Palatino Linotype" w:hAnsi="Palatino Linotype"/>
          <w:sz w:val="24"/>
          <w:szCs w:val="24"/>
        </w:rPr>
        <w:t>The California Public Utilities Commission (Commission) established</w:t>
      </w:r>
      <w:r w:rsidR="007F27EF">
        <w:rPr>
          <w:rFonts w:ascii="Palatino Linotype" w:hAnsi="Palatino Linotype"/>
          <w:sz w:val="24"/>
          <w:szCs w:val="24"/>
        </w:rPr>
        <w:t xml:space="preserve"> </w:t>
      </w:r>
      <w:r w:rsidR="003D5480">
        <w:rPr>
          <w:rFonts w:ascii="Palatino Linotype" w:hAnsi="Palatino Linotype"/>
          <w:sz w:val="24"/>
          <w:szCs w:val="24"/>
        </w:rPr>
        <w:t xml:space="preserve">the </w:t>
      </w:r>
      <w:r w:rsidRPr="00271C3F">
        <w:rPr>
          <w:rFonts w:ascii="Palatino Linotype" w:hAnsi="Palatino Linotype"/>
          <w:sz w:val="24"/>
          <w:szCs w:val="24"/>
        </w:rPr>
        <w:t xml:space="preserve">SGIP in </w:t>
      </w:r>
      <w:r w:rsidR="001F2327">
        <w:rPr>
          <w:rFonts w:ascii="Palatino Linotype" w:hAnsi="Palatino Linotype"/>
          <w:sz w:val="24"/>
          <w:szCs w:val="24"/>
        </w:rPr>
        <w:br/>
      </w:r>
      <w:r w:rsidRPr="00271C3F">
        <w:rPr>
          <w:rFonts w:ascii="Palatino Linotype" w:hAnsi="Palatino Linotype"/>
          <w:sz w:val="24"/>
          <w:szCs w:val="24"/>
        </w:rPr>
        <w:t>D.01-03-073 in response to Assembly Bill (AB) 970 (Ducheny, Stats. 2000, Ch. 329)</w:t>
      </w:r>
      <w:r w:rsidR="005E00DC">
        <w:rPr>
          <w:rFonts w:ascii="Palatino Linotype" w:hAnsi="Palatino Linotype"/>
          <w:sz w:val="24"/>
          <w:szCs w:val="24"/>
        </w:rPr>
        <w:t xml:space="preserve"> using ratepayer funds</w:t>
      </w:r>
      <w:r w:rsidRPr="00271C3F">
        <w:rPr>
          <w:rFonts w:ascii="Palatino Linotype" w:hAnsi="Palatino Linotype"/>
          <w:sz w:val="24"/>
          <w:szCs w:val="24"/>
        </w:rPr>
        <w:t>.</w:t>
      </w:r>
      <w:r w:rsidR="00750E58">
        <w:rPr>
          <w:rFonts w:ascii="Palatino Linotype" w:hAnsi="Palatino Linotype"/>
          <w:sz w:val="24"/>
          <w:szCs w:val="24"/>
        </w:rPr>
        <w:t xml:space="preserve"> The </w:t>
      </w:r>
      <w:r w:rsidR="00363957">
        <w:rPr>
          <w:rFonts w:ascii="Palatino Linotype" w:hAnsi="Palatino Linotype"/>
          <w:sz w:val="24"/>
          <w:szCs w:val="24"/>
        </w:rPr>
        <w:t xml:space="preserve">collection of ratepayer funds for SGIP was extended through December 31, 2024 and the </w:t>
      </w:r>
      <w:r w:rsidR="00750E58">
        <w:rPr>
          <w:rFonts w:ascii="Palatino Linotype" w:hAnsi="Palatino Linotype"/>
          <w:sz w:val="24"/>
          <w:szCs w:val="24"/>
        </w:rPr>
        <w:t>administration of ratepayer fund</w:t>
      </w:r>
      <w:r w:rsidR="001F7DD0">
        <w:rPr>
          <w:rFonts w:ascii="Palatino Linotype" w:hAnsi="Palatino Linotype"/>
          <w:sz w:val="24"/>
          <w:szCs w:val="24"/>
        </w:rPr>
        <w:t>s in</w:t>
      </w:r>
      <w:r w:rsidR="00363957">
        <w:rPr>
          <w:rFonts w:ascii="Palatino Linotype" w:hAnsi="Palatino Linotype"/>
          <w:sz w:val="24"/>
          <w:szCs w:val="24"/>
        </w:rPr>
        <w:t xml:space="preserve"> </w:t>
      </w:r>
      <w:r w:rsidR="003D5480">
        <w:rPr>
          <w:rFonts w:ascii="Palatino Linotype" w:hAnsi="Palatino Linotype"/>
          <w:sz w:val="24"/>
          <w:szCs w:val="24"/>
        </w:rPr>
        <w:t xml:space="preserve">the </w:t>
      </w:r>
      <w:r w:rsidR="00363957">
        <w:rPr>
          <w:rFonts w:ascii="Palatino Linotype" w:hAnsi="Palatino Linotype"/>
          <w:sz w:val="24"/>
          <w:szCs w:val="24"/>
        </w:rPr>
        <w:t>SGIP</w:t>
      </w:r>
      <w:r w:rsidR="00547038">
        <w:rPr>
          <w:rFonts w:ascii="Palatino Linotype" w:hAnsi="Palatino Linotype"/>
          <w:sz w:val="24"/>
          <w:szCs w:val="24"/>
        </w:rPr>
        <w:t xml:space="preserve"> was</w:t>
      </w:r>
      <w:r w:rsidR="00363957">
        <w:rPr>
          <w:rFonts w:ascii="Palatino Linotype" w:hAnsi="Palatino Linotype"/>
          <w:sz w:val="24"/>
          <w:szCs w:val="24"/>
        </w:rPr>
        <w:t xml:space="preserve"> extended through </w:t>
      </w:r>
      <w:r w:rsidR="00897A9E">
        <w:rPr>
          <w:rFonts w:ascii="Palatino Linotype" w:hAnsi="Palatino Linotype"/>
          <w:sz w:val="24"/>
          <w:szCs w:val="24"/>
        </w:rPr>
        <w:t>January 1, 2026.</w:t>
      </w:r>
      <w:r w:rsidR="00897A9E">
        <w:rPr>
          <w:rStyle w:val="FootnoteReference"/>
          <w:rFonts w:ascii="Palatino Linotype" w:hAnsi="Palatino Linotype"/>
          <w:sz w:val="24"/>
          <w:szCs w:val="24"/>
        </w:rPr>
        <w:footnoteReference w:id="3"/>
      </w:r>
      <w:r w:rsidR="00750E58">
        <w:rPr>
          <w:rFonts w:ascii="Palatino Linotype" w:hAnsi="Palatino Linotype"/>
          <w:sz w:val="24"/>
          <w:szCs w:val="24"/>
        </w:rPr>
        <w:t xml:space="preserve"> </w:t>
      </w:r>
      <w:r w:rsidRPr="00440B82" w:rsidR="00440B82">
        <w:rPr>
          <w:rFonts w:ascii="Palatino Linotype" w:hAnsi="Palatino Linotype"/>
          <w:sz w:val="24"/>
          <w:szCs w:val="24"/>
        </w:rPr>
        <w:t>AB 102</w:t>
      </w:r>
      <w:r w:rsidR="00A46588">
        <w:rPr>
          <w:rStyle w:val="FootnoteReference"/>
          <w:rFonts w:ascii="Palatino Linotype" w:hAnsi="Palatino Linotype"/>
          <w:sz w:val="24"/>
          <w:szCs w:val="24"/>
        </w:rPr>
        <w:footnoteReference w:id="4"/>
      </w:r>
      <w:r w:rsidRPr="00440B82" w:rsidR="00440B82">
        <w:rPr>
          <w:rFonts w:ascii="Palatino Linotype" w:hAnsi="Palatino Linotype"/>
          <w:sz w:val="24"/>
          <w:szCs w:val="24"/>
        </w:rPr>
        <w:t xml:space="preserve"> allocated $280 million</w:t>
      </w:r>
      <w:r w:rsidR="004A6666">
        <w:rPr>
          <w:rFonts w:ascii="Palatino Linotype" w:hAnsi="Palatino Linotype"/>
          <w:sz w:val="24"/>
          <w:szCs w:val="24"/>
        </w:rPr>
        <w:t xml:space="preserve"> of </w:t>
      </w:r>
      <w:r w:rsidR="004F4147">
        <w:rPr>
          <w:rFonts w:ascii="Palatino Linotype" w:hAnsi="Palatino Linotype"/>
          <w:sz w:val="24"/>
          <w:szCs w:val="24"/>
        </w:rPr>
        <w:t xml:space="preserve">the </w:t>
      </w:r>
      <w:r w:rsidR="008F47B0">
        <w:rPr>
          <w:rFonts w:ascii="Palatino Linotype" w:hAnsi="Palatino Linotype"/>
          <w:sz w:val="24"/>
          <w:szCs w:val="24"/>
        </w:rPr>
        <w:t>S</w:t>
      </w:r>
      <w:r w:rsidR="00D05133">
        <w:rPr>
          <w:rFonts w:ascii="Palatino Linotype" w:hAnsi="Palatino Linotype"/>
          <w:sz w:val="24"/>
          <w:szCs w:val="24"/>
        </w:rPr>
        <w:t>tate</w:t>
      </w:r>
      <w:r w:rsidR="004F4147">
        <w:rPr>
          <w:rFonts w:ascii="Palatino Linotype" w:hAnsi="Palatino Linotype"/>
          <w:sz w:val="24"/>
          <w:szCs w:val="24"/>
        </w:rPr>
        <w:t xml:space="preserve"> </w:t>
      </w:r>
      <w:r w:rsidR="008F47B0">
        <w:rPr>
          <w:rFonts w:ascii="Palatino Linotype" w:hAnsi="Palatino Linotype"/>
          <w:sz w:val="24"/>
          <w:szCs w:val="24"/>
        </w:rPr>
        <w:t>B</w:t>
      </w:r>
      <w:r w:rsidR="004F4147">
        <w:rPr>
          <w:rFonts w:ascii="Palatino Linotype" w:hAnsi="Palatino Linotype"/>
          <w:sz w:val="24"/>
          <w:szCs w:val="24"/>
        </w:rPr>
        <w:t>udget</w:t>
      </w:r>
      <w:r w:rsidRPr="00440B82" w:rsidR="00440B82">
        <w:rPr>
          <w:rFonts w:ascii="Palatino Linotype" w:hAnsi="Palatino Linotype"/>
          <w:sz w:val="24"/>
          <w:szCs w:val="24"/>
        </w:rPr>
        <w:t xml:space="preserve"> to</w:t>
      </w:r>
      <w:r w:rsidR="00752BF1">
        <w:rPr>
          <w:rFonts w:ascii="Palatino Linotype" w:hAnsi="Palatino Linotype"/>
          <w:sz w:val="24"/>
          <w:szCs w:val="24"/>
        </w:rPr>
        <w:t xml:space="preserve"> the SGIP</w:t>
      </w:r>
      <w:r w:rsidRPr="00440B82" w:rsidR="00440B82">
        <w:rPr>
          <w:rFonts w:ascii="Palatino Linotype" w:hAnsi="Palatino Linotype"/>
          <w:sz w:val="24"/>
          <w:szCs w:val="24"/>
        </w:rPr>
        <w:t xml:space="preserve"> in Fiscal Year (FY) 2023-24</w:t>
      </w:r>
      <w:r w:rsidR="008F6327">
        <w:rPr>
          <w:rFonts w:ascii="Palatino Linotype" w:hAnsi="Palatino Linotype"/>
          <w:sz w:val="24"/>
          <w:szCs w:val="24"/>
        </w:rPr>
        <w:t xml:space="preserve"> </w:t>
      </w:r>
      <w:r w:rsidRPr="00440B82" w:rsidR="00440B82">
        <w:rPr>
          <w:rFonts w:ascii="Palatino Linotype" w:hAnsi="Palatino Linotype"/>
          <w:sz w:val="24"/>
          <w:szCs w:val="24"/>
        </w:rPr>
        <w:t>from the Greenhouse Gas Reduction Fund (GGRF)</w:t>
      </w:r>
      <w:r w:rsidR="007C14A1">
        <w:rPr>
          <w:rStyle w:val="FootnoteReference"/>
          <w:rFonts w:ascii="Palatino Linotype" w:hAnsi="Palatino Linotype"/>
          <w:sz w:val="24"/>
          <w:szCs w:val="24"/>
        </w:rPr>
        <w:footnoteReference w:id="5"/>
      </w:r>
      <w:r w:rsidR="00061358">
        <w:rPr>
          <w:rFonts w:ascii="Palatino Linotype" w:hAnsi="Palatino Linotype"/>
          <w:sz w:val="24"/>
          <w:szCs w:val="24"/>
        </w:rPr>
        <w:t xml:space="preserve"> </w:t>
      </w:r>
      <w:r w:rsidR="006C6D84">
        <w:rPr>
          <w:rFonts w:ascii="Palatino Linotype" w:hAnsi="Palatino Linotype"/>
          <w:sz w:val="24"/>
          <w:szCs w:val="24"/>
        </w:rPr>
        <w:t xml:space="preserve">for </w:t>
      </w:r>
      <w:r w:rsidR="00D442CC">
        <w:rPr>
          <w:rFonts w:ascii="Palatino Linotype" w:hAnsi="Palatino Linotype"/>
          <w:sz w:val="24"/>
          <w:szCs w:val="24"/>
        </w:rPr>
        <w:t>solar and storage or standalone storage incentives</w:t>
      </w:r>
      <w:r w:rsidR="00894609">
        <w:rPr>
          <w:rFonts w:ascii="Palatino Linotype" w:hAnsi="Palatino Linotype"/>
          <w:sz w:val="24"/>
          <w:szCs w:val="24"/>
        </w:rPr>
        <w:t xml:space="preserve"> to low-income</w:t>
      </w:r>
      <w:r w:rsidR="00D442CC">
        <w:rPr>
          <w:rFonts w:ascii="Palatino Linotype" w:hAnsi="Palatino Linotype"/>
          <w:sz w:val="24"/>
          <w:szCs w:val="24"/>
        </w:rPr>
        <w:t xml:space="preserve"> residential customers, </w:t>
      </w:r>
      <w:r w:rsidR="00061358">
        <w:rPr>
          <w:rFonts w:ascii="Palatino Linotype" w:hAnsi="Palatino Linotype"/>
          <w:sz w:val="24"/>
          <w:szCs w:val="24"/>
        </w:rPr>
        <w:t>including those receiving service from publicly owned utilities (POUs)</w:t>
      </w:r>
      <w:r w:rsidR="00894609">
        <w:rPr>
          <w:rFonts w:ascii="Palatino Linotype" w:hAnsi="Palatino Linotype"/>
          <w:sz w:val="24"/>
          <w:szCs w:val="24"/>
        </w:rPr>
        <w:t>.</w:t>
      </w:r>
    </w:p>
    <w:p w:rsidR="00B547B0" w:rsidP="009D1711" w:rsidRDefault="00B547B0" w14:paraId="43C355DB" w14:textId="57486482">
      <w:pPr>
        <w:pStyle w:val="Res-Caption"/>
        <w:ind w:left="0" w:right="0"/>
        <w:rPr>
          <w:rFonts w:ascii="Palatino Linotype" w:hAnsi="Palatino Linotype"/>
          <w:sz w:val="24"/>
          <w:szCs w:val="24"/>
        </w:rPr>
      </w:pPr>
    </w:p>
    <w:p w:rsidR="009D1711" w:rsidP="00EF64BF" w:rsidRDefault="009D1711" w14:paraId="42132D03" w14:textId="575A620C">
      <w:pPr>
        <w:rPr>
          <w:rFonts w:ascii="Palatino Linotype" w:hAnsi="Palatino Linotype"/>
          <w:sz w:val="24"/>
          <w:szCs w:val="24"/>
        </w:rPr>
      </w:pPr>
      <w:r>
        <w:rPr>
          <w:rFonts w:ascii="Palatino Linotype" w:hAnsi="Palatino Linotype"/>
          <w:sz w:val="24"/>
          <w:szCs w:val="24"/>
        </w:rPr>
        <w:t>Currently in the SGIP,</w:t>
      </w:r>
      <w:r w:rsidR="3A6A069C">
        <w:rPr>
          <w:rFonts w:ascii="Palatino Linotype" w:hAnsi="Palatino Linotype"/>
          <w:sz w:val="24"/>
          <w:szCs w:val="24"/>
        </w:rPr>
        <w:t xml:space="preserve"> program rules </w:t>
      </w:r>
      <w:r w:rsidR="1C461B12">
        <w:rPr>
          <w:rFonts w:ascii="Palatino Linotype" w:hAnsi="Palatino Linotype"/>
          <w:sz w:val="24"/>
          <w:szCs w:val="24"/>
        </w:rPr>
        <w:t xml:space="preserve">limit incentive payments to eligible project costs net of incentives received </w:t>
      </w:r>
      <w:r w:rsidRPr="5EE8E126" w:rsidR="1C806EED">
        <w:rPr>
          <w:rFonts w:ascii="Palatino Linotype" w:hAnsi="Palatino Linotype"/>
          <w:sz w:val="24"/>
          <w:szCs w:val="24"/>
        </w:rPr>
        <w:t>or anticipate</w:t>
      </w:r>
      <w:r w:rsidR="00FD7B3E">
        <w:rPr>
          <w:rFonts w:ascii="Palatino Linotype" w:hAnsi="Palatino Linotype"/>
          <w:sz w:val="24"/>
          <w:szCs w:val="24"/>
        </w:rPr>
        <w:t>d</w:t>
      </w:r>
      <w:r w:rsidRPr="5EE8E126" w:rsidR="1C806EED">
        <w:rPr>
          <w:rFonts w:ascii="Palatino Linotype" w:hAnsi="Palatino Linotype"/>
          <w:sz w:val="24"/>
          <w:szCs w:val="24"/>
        </w:rPr>
        <w:t xml:space="preserve"> </w:t>
      </w:r>
      <w:r w:rsidR="1C461B12">
        <w:rPr>
          <w:rFonts w:ascii="Palatino Linotype" w:hAnsi="Palatino Linotype"/>
          <w:sz w:val="24"/>
          <w:szCs w:val="24"/>
        </w:rPr>
        <w:t xml:space="preserve">from other sources. </w:t>
      </w:r>
      <w:r w:rsidR="6E9A2F3E">
        <w:rPr>
          <w:rFonts w:ascii="Palatino Linotype" w:hAnsi="Palatino Linotype"/>
          <w:sz w:val="24"/>
          <w:szCs w:val="24"/>
        </w:rPr>
        <w:t>To achieve this policy</w:t>
      </w:r>
      <w:r w:rsidR="00D743FC">
        <w:rPr>
          <w:rFonts w:ascii="Palatino Linotype" w:hAnsi="Palatino Linotype"/>
          <w:sz w:val="24"/>
          <w:szCs w:val="24"/>
        </w:rPr>
        <w:t>,</w:t>
      </w:r>
      <w:r w:rsidR="6E9A2F3E">
        <w:rPr>
          <w:rFonts w:ascii="Palatino Linotype" w:hAnsi="Palatino Linotype"/>
          <w:sz w:val="24"/>
          <w:szCs w:val="24"/>
        </w:rPr>
        <w:t xml:space="preserve"> </w:t>
      </w:r>
      <w:r>
        <w:rPr>
          <w:rFonts w:ascii="Palatino Linotype" w:hAnsi="Palatino Linotype"/>
          <w:sz w:val="24"/>
          <w:szCs w:val="24"/>
        </w:rPr>
        <w:t xml:space="preserve">the applicant is required to input what percent of the total project cost the applicant expects </w:t>
      </w:r>
      <w:r>
        <w:rPr>
          <w:rFonts w:ascii="Palatino Linotype" w:hAnsi="Palatino Linotype"/>
          <w:sz w:val="24"/>
          <w:szCs w:val="24"/>
        </w:rPr>
        <w:lastRenderedPageBreak/>
        <w:t>to claim from the IRA tax credits. If the expected IRA tax credit and the calculated SGIP incentive are greater than the total eligible project costs, the SGIP incentive is adjusted down.</w:t>
      </w:r>
      <w:r w:rsidRPr="00440B82" w:rsidR="00CF46F4">
        <w:rPr>
          <w:rFonts w:ascii="Palatino Linotype" w:hAnsi="Palatino Linotype"/>
          <w:sz w:val="24"/>
          <w:szCs w:val="24"/>
        </w:rPr>
        <w:t xml:space="preserve">  In general market budgets</w:t>
      </w:r>
      <w:r w:rsidR="006460F5">
        <w:rPr>
          <w:rFonts w:ascii="Palatino Linotype" w:hAnsi="Palatino Linotype"/>
          <w:sz w:val="24"/>
          <w:szCs w:val="24"/>
        </w:rPr>
        <w:t>,</w:t>
      </w:r>
      <w:r w:rsidRPr="00440B82" w:rsidR="00CF46F4">
        <w:rPr>
          <w:rFonts w:ascii="Palatino Linotype" w:hAnsi="Palatino Linotype"/>
          <w:sz w:val="24"/>
          <w:szCs w:val="24"/>
        </w:rPr>
        <w:t xml:space="preserve"> this disclosure</w:t>
      </w:r>
      <w:r w:rsidR="00E03113">
        <w:rPr>
          <w:rFonts w:ascii="Palatino Linotype" w:hAnsi="Palatino Linotype"/>
          <w:sz w:val="24"/>
          <w:szCs w:val="24"/>
        </w:rPr>
        <w:t xml:space="preserve"> </w:t>
      </w:r>
      <w:r w:rsidRPr="5EE8E126" w:rsidR="049593A2">
        <w:rPr>
          <w:rFonts w:ascii="Palatino Linotype" w:hAnsi="Palatino Linotype"/>
          <w:sz w:val="24"/>
          <w:szCs w:val="24"/>
        </w:rPr>
        <w:t xml:space="preserve">and calculation </w:t>
      </w:r>
      <w:r w:rsidR="00E03113">
        <w:rPr>
          <w:rFonts w:ascii="Palatino Linotype" w:hAnsi="Palatino Linotype"/>
          <w:sz w:val="24"/>
          <w:szCs w:val="24"/>
        </w:rPr>
        <w:t>o</w:t>
      </w:r>
      <w:r w:rsidR="009460B9">
        <w:rPr>
          <w:rFonts w:ascii="Palatino Linotype" w:hAnsi="Palatino Linotype"/>
          <w:sz w:val="24"/>
          <w:szCs w:val="24"/>
        </w:rPr>
        <w:t>ften</w:t>
      </w:r>
      <w:r w:rsidRPr="00440B82" w:rsidR="00CF46F4">
        <w:rPr>
          <w:rFonts w:ascii="Palatino Linotype" w:hAnsi="Palatino Linotype"/>
          <w:sz w:val="24"/>
          <w:szCs w:val="24"/>
        </w:rPr>
        <w:t xml:space="preserve"> does not affect the amount of SGIP incentive paid as the SGIP incentive covers a small fraction of the project costs.  In equity budgets where SGIP covers up to 100% of eligible costs, </w:t>
      </w:r>
      <w:r w:rsidR="00CE5A83">
        <w:rPr>
          <w:rFonts w:ascii="Palatino Linotype" w:hAnsi="Palatino Linotype"/>
          <w:sz w:val="24"/>
          <w:szCs w:val="24"/>
        </w:rPr>
        <w:t>t</w:t>
      </w:r>
      <w:r w:rsidR="00B62148">
        <w:rPr>
          <w:rFonts w:ascii="Palatino Linotype" w:hAnsi="Palatino Linotype"/>
          <w:sz w:val="24"/>
          <w:szCs w:val="24"/>
        </w:rPr>
        <w:t xml:space="preserve">he </w:t>
      </w:r>
      <w:r w:rsidRPr="00440B82" w:rsidR="00CF46F4">
        <w:rPr>
          <w:rFonts w:ascii="Palatino Linotype" w:hAnsi="Palatino Linotype"/>
          <w:sz w:val="24"/>
          <w:szCs w:val="24"/>
        </w:rPr>
        <w:t xml:space="preserve">disclosure of the expected tax credit </w:t>
      </w:r>
      <w:r w:rsidRPr="5EE8E126" w:rsidR="6DEFAEC3">
        <w:rPr>
          <w:rFonts w:ascii="Palatino Linotype" w:hAnsi="Palatino Linotype"/>
          <w:sz w:val="24"/>
          <w:szCs w:val="24"/>
        </w:rPr>
        <w:t>and calculation</w:t>
      </w:r>
      <w:r w:rsidR="00AE76A1">
        <w:rPr>
          <w:rFonts w:ascii="Palatino Linotype" w:hAnsi="Palatino Linotype"/>
          <w:sz w:val="24"/>
          <w:szCs w:val="24"/>
        </w:rPr>
        <w:t xml:space="preserve"> often </w:t>
      </w:r>
      <w:r w:rsidRPr="00440B82" w:rsidR="00CF46F4">
        <w:rPr>
          <w:rFonts w:ascii="Palatino Linotype" w:hAnsi="Palatino Linotype"/>
          <w:sz w:val="24"/>
          <w:szCs w:val="24"/>
        </w:rPr>
        <w:t>affect</w:t>
      </w:r>
      <w:r w:rsidR="003F0AA3">
        <w:rPr>
          <w:rFonts w:ascii="Palatino Linotype" w:hAnsi="Palatino Linotype"/>
          <w:sz w:val="24"/>
          <w:szCs w:val="24"/>
        </w:rPr>
        <w:t>s</w:t>
      </w:r>
      <w:r w:rsidRPr="00440B82" w:rsidR="00CF46F4">
        <w:rPr>
          <w:rFonts w:ascii="Palatino Linotype" w:hAnsi="Palatino Linotype"/>
          <w:sz w:val="24"/>
          <w:szCs w:val="24"/>
        </w:rPr>
        <w:t xml:space="preserve"> </w:t>
      </w:r>
      <w:r w:rsidRPr="00440B82" w:rsidR="00193639">
        <w:rPr>
          <w:rFonts w:ascii="Palatino Linotype" w:hAnsi="Palatino Linotype"/>
          <w:sz w:val="24"/>
          <w:szCs w:val="24"/>
        </w:rPr>
        <w:t>the amount</w:t>
      </w:r>
      <w:r w:rsidRPr="00440B82" w:rsidR="00CF46F4">
        <w:rPr>
          <w:rFonts w:ascii="Palatino Linotype" w:hAnsi="Palatino Linotype"/>
          <w:sz w:val="24"/>
          <w:szCs w:val="24"/>
        </w:rPr>
        <w:t xml:space="preserve"> of SGIP incentive pa</w:t>
      </w:r>
      <w:r w:rsidR="001E713A">
        <w:rPr>
          <w:rFonts w:ascii="Palatino Linotype" w:hAnsi="Palatino Linotype"/>
          <w:sz w:val="24"/>
          <w:szCs w:val="24"/>
        </w:rPr>
        <w:t>id</w:t>
      </w:r>
      <w:r w:rsidRPr="00440B82" w:rsidR="00CF46F4">
        <w:rPr>
          <w:rFonts w:ascii="Palatino Linotype" w:hAnsi="Palatino Linotype"/>
          <w:sz w:val="24"/>
          <w:szCs w:val="24"/>
        </w:rPr>
        <w:t>.  For example</w:t>
      </w:r>
      <w:r w:rsidR="009459D0">
        <w:rPr>
          <w:rFonts w:ascii="Palatino Linotype" w:hAnsi="Palatino Linotype"/>
          <w:sz w:val="24"/>
          <w:szCs w:val="24"/>
        </w:rPr>
        <w:t>,</w:t>
      </w:r>
      <w:r w:rsidRPr="00440B82" w:rsidR="00CF46F4">
        <w:rPr>
          <w:rFonts w:ascii="Palatino Linotype" w:hAnsi="Palatino Linotype"/>
          <w:sz w:val="24"/>
          <w:szCs w:val="24"/>
        </w:rPr>
        <w:t xml:space="preserve"> if the equity applicant discloses an expected tax credit of 30%, 15%, or 0% then the SGIP incentive payment is adjusted accordingly to pay 70%, 85%, or 100% respectively.</w:t>
      </w:r>
      <w:r w:rsidR="00BC029F">
        <w:rPr>
          <w:rFonts w:ascii="Palatino Linotype" w:hAnsi="Palatino Linotype"/>
          <w:sz w:val="24"/>
          <w:szCs w:val="24"/>
        </w:rPr>
        <w:t xml:space="preserve"> </w:t>
      </w:r>
      <w:r>
        <w:rPr>
          <w:rFonts w:ascii="Palatino Linotype" w:hAnsi="Palatino Linotype"/>
          <w:sz w:val="24"/>
          <w:szCs w:val="24"/>
        </w:rPr>
        <w:t>If the applicant or other entity is not claiming the tax credit, the applicant is</w:t>
      </w:r>
      <w:r w:rsidRPr="006C576C">
        <w:rPr>
          <w:rFonts w:ascii="Palatino Linotype" w:hAnsi="Palatino Linotype"/>
          <w:sz w:val="24"/>
          <w:szCs w:val="24"/>
        </w:rPr>
        <w:t xml:space="preserve"> </w:t>
      </w:r>
      <w:r>
        <w:rPr>
          <w:rFonts w:ascii="Palatino Linotype" w:hAnsi="Palatino Linotype"/>
          <w:sz w:val="24"/>
          <w:szCs w:val="24"/>
        </w:rPr>
        <w:t>“</w:t>
      </w:r>
      <w:r w:rsidRPr="006C576C">
        <w:rPr>
          <w:rFonts w:ascii="Palatino Linotype" w:hAnsi="Palatino Linotype"/>
          <w:sz w:val="24"/>
          <w:szCs w:val="24"/>
        </w:rPr>
        <w:t>required to provide documentation explaining why the project would be ineligible for the tax credit.</w:t>
      </w:r>
      <w:r>
        <w:rPr>
          <w:rFonts w:ascii="Palatino Linotype" w:hAnsi="Palatino Linotype"/>
          <w:sz w:val="24"/>
          <w:szCs w:val="24"/>
        </w:rPr>
        <w:t>”</w:t>
      </w:r>
      <w:r>
        <w:rPr>
          <w:rStyle w:val="FootnoteReference"/>
          <w:rFonts w:ascii="Palatino Linotype" w:hAnsi="Palatino Linotype"/>
          <w:sz w:val="24"/>
          <w:szCs w:val="24"/>
        </w:rPr>
        <w:footnoteReference w:id="6"/>
      </w:r>
    </w:p>
    <w:p w:rsidR="00F02FF6" w:rsidP="286C2363" w:rsidRDefault="00F02FF6" w14:paraId="5BF017F4" w14:textId="77777777">
      <w:pPr>
        <w:rPr>
          <w:rFonts w:ascii="Palatino Linotype" w:hAnsi="Palatino Linotype"/>
          <w:sz w:val="24"/>
          <w:szCs w:val="24"/>
        </w:rPr>
      </w:pPr>
    </w:p>
    <w:p w:rsidR="00344280" w:rsidP="00344280" w:rsidRDefault="00344280" w14:paraId="6FFF87D4" w14:textId="26EF4514">
      <w:pPr>
        <w:pStyle w:val="Res-Caption"/>
        <w:ind w:left="0" w:right="0"/>
        <w:rPr>
          <w:rFonts w:ascii="Palatino Linotype" w:hAnsi="Palatino Linotype"/>
          <w:sz w:val="24"/>
          <w:szCs w:val="24"/>
        </w:rPr>
      </w:pPr>
      <w:r>
        <w:rPr>
          <w:rFonts w:ascii="Palatino Linotype" w:hAnsi="Palatino Linotype"/>
          <w:sz w:val="24"/>
          <w:szCs w:val="24"/>
        </w:rPr>
        <w:t xml:space="preserve">In March 2024, the Commission passed the Decision </w:t>
      </w:r>
      <w:r w:rsidR="00AC72C3">
        <w:rPr>
          <w:rFonts w:ascii="Palatino Linotype" w:hAnsi="Palatino Linotype"/>
          <w:sz w:val="24"/>
          <w:szCs w:val="24"/>
        </w:rPr>
        <w:t>with Ordering Paragraphs (OP)</w:t>
      </w:r>
      <w:r>
        <w:rPr>
          <w:rFonts w:ascii="Palatino Linotype" w:hAnsi="Palatino Linotype"/>
          <w:sz w:val="24"/>
          <w:szCs w:val="24"/>
        </w:rPr>
        <w:t>:</w:t>
      </w:r>
    </w:p>
    <w:p w:rsidR="00344280" w:rsidP="00344280" w:rsidRDefault="00344280" w14:paraId="390AD564" w14:textId="77777777">
      <w:pPr>
        <w:pStyle w:val="Res-Caption"/>
        <w:ind w:right="1440"/>
        <w:jc w:val="both"/>
        <w:rPr>
          <w:rFonts w:ascii="Palatino Linotype" w:hAnsi="Palatino Linotype"/>
          <w:sz w:val="24"/>
          <w:szCs w:val="24"/>
        </w:rPr>
      </w:pPr>
    </w:p>
    <w:p w:rsidR="00344280" w:rsidP="00344280" w:rsidRDefault="00344280" w14:paraId="6FA91D17" w14:textId="77777777">
      <w:pPr>
        <w:pStyle w:val="Res-Caption"/>
        <w:ind w:right="1440"/>
        <w:jc w:val="both"/>
        <w:rPr>
          <w:rFonts w:ascii="Palatino Linotype" w:hAnsi="Palatino Linotype"/>
          <w:sz w:val="24"/>
          <w:szCs w:val="24"/>
        </w:rPr>
      </w:pPr>
      <w:r>
        <w:rPr>
          <w:rFonts w:ascii="Palatino Linotype" w:hAnsi="Palatino Linotype"/>
          <w:sz w:val="24"/>
          <w:szCs w:val="24"/>
        </w:rPr>
        <w:t>“</w:t>
      </w:r>
      <w:r w:rsidRPr="001C5DB0">
        <w:rPr>
          <w:rFonts w:ascii="Palatino Linotype" w:hAnsi="Palatino Linotype"/>
          <w:sz w:val="24"/>
          <w:szCs w:val="24"/>
        </w:rPr>
        <w:t xml:space="preserve">28. Program Administrators for the Self-Generation Incentive Program, within 90 days of the issuance date of this decision, must update their applications to: </w:t>
      </w:r>
    </w:p>
    <w:p w:rsidR="00344280" w:rsidP="00344280" w:rsidRDefault="00344280" w14:paraId="45CDEB4C" w14:textId="77777777">
      <w:pPr>
        <w:pStyle w:val="Res-Caption"/>
        <w:ind w:right="1440"/>
        <w:jc w:val="both"/>
        <w:rPr>
          <w:rFonts w:ascii="Palatino Linotype" w:hAnsi="Palatino Linotype"/>
          <w:sz w:val="24"/>
          <w:szCs w:val="24"/>
        </w:rPr>
      </w:pPr>
      <w:r w:rsidRPr="001C5DB0">
        <w:rPr>
          <w:rFonts w:ascii="Palatino Linotype" w:hAnsi="Palatino Linotype"/>
          <w:sz w:val="24"/>
          <w:szCs w:val="24"/>
        </w:rPr>
        <w:t xml:space="preserve">(a) Indicate the expected Inflation Reduction Act (IRA) tax credit value on their project application and this amount will be deducted from the SGIP incentive request. </w:t>
      </w:r>
    </w:p>
    <w:p w:rsidR="00344280" w:rsidP="00344280" w:rsidRDefault="00344280" w14:paraId="07C8AAD7" w14:textId="77777777">
      <w:pPr>
        <w:pStyle w:val="Res-Caption"/>
        <w:ind w:right="1440"/>
        <w:jc w:val="both"/>
        <w:rPr>
          <w:rFonts w:ascii="Palatino Linotype" w:hAnsi="Palatino Linotype"/>
          <w:sz w:val="24"/>
          <w:szCs w:val="24"/>
        </w:rPr>
      </w:pPr>
      <w:r w:rsidRPr="001C5DB0">
        <w:rPr>
          <w:rFonts w:ascii="Palatino Linotype" w:hAnsi="Palatino Linotype"/>
          <w:sz w:val="24"/>
          <w:szCs w:val="24"/>
        </w:rPr>
        <w:t xml:space="preserve">(b) For applicants that indicate that they will not claim the IRA tax credit, include in or attach to their application a statement explaining why the project would be ineligible for the credit. </w:t>
      </w:r>
    </w:p>
    <w:p w:rsidR="00344280" w:rsidP="007D541E" w:rsidRDefault="00344280" w14:paraId="384EA09F" w14:textId="77777777">
      <w:pPr>
        <w:pStyle w:val="Res-Caption"/>
        <w:spacing w:before="120"/>
        <w:ind w:right="1440"/>
        <w:jc w:val="both"/>
        <w:rPr>
          <w:rFonts w:ascii="Palatino Linotype" w:hAnsi="Palatino Linotype"/>
          <w:sz w:val="24"/>
          <w:szCs w:val="24"/>
        </w:rPr>
      </w:pPr>
      <w:r w:rsidRPr="001C5DB0">
        <w:rPr>
          <w:rFonts w:ascii="Palatino Linotype" w:hAnsi="Palatino Linotype"/>
          <w:sz w:val="24"/>
          <w:szCs w:val="24"/>
        </w:rPr>
        <w:t>29. Program Administrators (PAs) for the Self-Generation Incentive Program (SGIP) shall hold a workshop to develop proposals to maximize the federal cost share of SGIP project costs covered by the federal Inflation Reduction Act tax credits and to evaluate whether changes to current project cost eligibility is warranted. Within six months after the adoption of this Decision, the PAs shall file and serve the proposal through a Tier 2 Advice Letter.</w:t>
      </w:r>
      <w:r>
        <w:rPr>
          <w:rFonts w:ascii="Palatino Linotype" w:hAnsi="Palatino Linotype"/>
          <w:sz w:val="24"/>
          <w:szCs w:val="24"/>
        </w:rPr>
        <w:t>”</w:t>
      </w:r>
      <w:r w:rsidRPr="00022311">
        <w:rPr>
          <w:rStyle w:val="FootnoteReference"/>
          <w:rFonts w:ascii="Palatino Linotype" w:hAnsi="Palatino Linotype"/>
          <w:sz w:val="24"/>
          <w:szCs w:val="24"/>
        </w:rPr>
        <w:t xml:space="preserve"> </w:t>
      </w:r>
      <w:r>
        <w:rPr>
          <w:rStyle w:val="FootnoteReference"/>
          <w:rFonts w:ascii="Palatino Linotype" w:hAnsi="Palatino Linotype"/>
          <w:sz w:val="24"/>
          <w:szCs w:val="24"/>
        </w:rPr>
        <w:footnoteReference w:id="7"/>
      </w:r>
      <w:r w:rsidRPr="001C5DB0">
        <w:rPr>
          <w:rFonts w:ascii="Palatino Linotype" w:hAnsi="Palatino Linotype"/>
          <w:sz w:val="24"/>
          <w:szCs w:val="24"/>
        </w:rPr>
        <w:t xml:space="preserve"> </w:t>
      </w:r>
    </w:p>
    <w:p w:rsidR="00A73241" w:rsidP="00344280" w:rsidRDefault="00A73241" w14:paraId="080E3B42" w14:textId="77777777">
      <w:pPr>
        <w:pStyle w:val="Res-Caption"/>
        <w:ind w:right="1440"/>
        <w:jc w:val="both"/>
        <w:rPr>
          <w:rFonts w:ascii="Palatino Linotype" w:hAnsi="Palatino Linotype"/>
          <w:sz w:val="24"/>
          <w:szCs w:val="24"/>
        </w:rPr>
      </w:pPr>
    </w:p>
    <w:p w:rsidR="00344280" w:rsidP="5EE8E126" w:rsidRDefault="7ABC105F" w14:paraId="7C4019DE" w14:textId="7F2D82CE">
      <w:pPr>
        <w:pStyle w:val="Res-Caption"/>
        <w:ind w:left="0" w:right="0"/>
        <w:rPr>
          <w:rFonts w:ascii="Palatino Linotype" w:hAnsi="Palatino Linotype"/>
          <w:sz w:val="24"/>
          <w:szCs w:val="24"/>
        </w:rPr>
      </w:pPr>
      <w:r w:rsidRPr="5EE8E126">
        <w:rPr>
          <w:rFonts w:ascii="Palatino Linotype" w:hAnsi="Palatino Linotype"/>
          <w:sz w:val="24"/>
          <w:szCs w:val="24"/>
        </w:rPr>
        <w:t xml:space="preserve">On August 9, 2024, the PAs received an extension to comply with </w:t>
      </w:r>
      <w:r w:rsidR="00AC72C3">
        <w:rPr>
          <w:rFonts w:ascii="Palatino Linotype" w:hAnsi="Palatino Linotype"/>
          <w:sz w:val="24"/>
          <w:szCs w:val="24"/>
        </w:rPr>
        <w:t>OP</w:t>
      </w:r>
      <w:r w:rsidRPr="5EE8E126">
        <w:rPr>
          <w:rFonts w:ascii="Palatino Linotype" w:hAnsi="Palatino Linotype"/>
          <w:sz w:val="24"/>
          <w:szCs w:val="24"/>
        </w:rPr>
        <w:t xml:space="preserve"> 29 from the Commission’s Executive Director until November 18, 2024. </w:t>
      </w:r>
    </w:p>
    <w:p w:rsidR="00344280" w:rsidP="286C2363" w:rsidRDefault="00344280" w14:paraId="62278EF0" w14:textId="2C644BAC">
      <w:pPr>
        <w:rPr>
          <w:rFonts w:ascii="Palatino Linotype" w:hAnsi="Palatino Linotype"/>
          <w:sz w:val="24"/>
          <w:szCs w:val="24"/>
        </w:rPr>
      </w:pPr>
    </w:p>
    <w:p w:rsidR="00F034CD" w:rsidP="000E3B73" w:rsidRDefault="455DF7E0" w14:paraId="38202947" w14:textId="0CA6C6F5">
      <w:pPr>
        <w:keepNext/>
        <w:rPr>
          <w:rFonts w:ascii="Palatino Linotype" w:hAnsi="Palatino Linotype"/>
          <w:sz w:val="24"/>
          <w:szCs w:val="24"/>
        </w:rPr>
      </w:pPr>
      <w:r w:rsidRPr="00161AA7">
        <w:rPr>
          <w:rFonts w:ascii="Palatino Linotype" w:hAnsi="Palatino Linotype"/>
          <w:b/>
          <w:bCs/>
          <w:sz w:val="24"/>
          <w:szCs w:val="24"/>
        </w:rPr>
        <w:lastRenderedPageBreak/>
        <w:t>How Federal Tax Credits Have been Handled in Related CPUC Programs</w:t>
      </w:r>
    </w:p>
    <w:p w:rsidR="009D18CC" w:rsidP="000E3B73" w:rsidRDefault="009D18CC" w14:paraId="3C148535" w14:textId="1D921615">
      <w:pPr>
        <w:keepNext/>
        <w:rPr>
          <w:rFonts w:ascii="Palatino Linotype" w:hAnsi="Palatino Linotype"/>
          <w:sz w:val="24"/>
          <w:szCs w:val="24"/>
        </w:rPr>
      </w:pPr>
    </w:p>
    <w:p w:rsidR="008B5C3C" w:rsidP="000E3B73" w:rsidRDefault="008A2E65" w14:paraId="51794F1B" w14:textId="7D287621">
      <w:pPr>
        <w:keepNext/>
        <w:rPr>
          <w:rFonts w:ascii="Palatino Linotype" w:hAnsi="Palatino Linotype"/>
          <w:sz w:val="24"/>
          <w:szCs w:val="24"/>
        </w:rPr>
      </w:pPr>
      <w:r>
        <w:rPr>
          <w:rFonts w:ascii="Palatino Linotype" w:hAnsi="Palatino Linotype"/>
          <w:sz w:val="24"/>
          <w:szCs w:val="24"/>
        </w:rPr>
        <w:t>Disadvantage</w:t>
      </w:r>
      <w:r w:rsidR="00A45D85">
        <w:rPr>
          <w:rFonts w:ascii="Palatino Linotype" w:hAnsi="Palatino Linotype"/>
          <w:sz w:val="24"/>
          <w:szCs w:val="24"/>
        </w:rPr>
        <w:t>d Commu</w:t>
      </w:r>
      <w:r w:rsidR="00AC5BAB">
        <w:rPr>
          <w:rFonts w:ascii="Palatino Linotype" w:hAnsi="Palatino Linotype"/>
          <w:sz w:val="24"/>
          <w:szCs w:val="24"/>
        </w:rPr>
        <w:t xml:space="preserve">nities </w:t>
      </w:r>
      <w:r w:rsidR="00100FB2">
        <w:rPr>
          <w:rFonts w:ascii="Palatino Linotype" w:hAnsi="Palatino Linotype"/>
          <w:sz w:val="24"/>
          <w:szCs w:val="24"/>
        </w:rPr>
        <w:t>–</w:t>
      </w:r>
      <w:r w:rsidR="005119C8">
        <w:rPr>
          <w:rFonts w:ascii="Palatino Linotype" w:hAnsi="Palatino Linotype"/>
          <w:sz w:val="24"/>
          <w:szCs w:val="24"/>
        </w:rPr>
        <w:t xml:space="preserve"> Sing</w:t>
      </w:r>
      <w:r w:rsidR="00100FB2">
        <w:rPr>
          <w:rFonts w:ascii="Palatino Linotype" w:hAnsi="Palatino Linotype"/>
          <w:sz w:val="24"/>
          <w:szCs w:val="24"/>
        </w:rPr>
        <w:t xml:space="preserve">le Family Solar </w:t>
      </w:r>
      <w:r w:rsidR="005B7A20">
        <w:rPr>
          <w:rFonts w:ascii="Palatino Linotype" w:hAnsi="Palatino Linotype"/>
          <w:sz w:val="24"/>
          <w:szCs w:val="24"/>
        </w:rPr>
        <w:t>Homes (DAC-SASH</w:t>
      </w:r>
      <w:r w:rsidR="004C6DC4">
        <w:rPr>
          <w:rFonts w:ascii="Palatino Linotype" w:hAnsi="Palatino Linotype"/>
          <w:sz w:val="24"/>
          <w:szCs w:val="24"/>
        </w:rPr>
        <w:t xml:space="preserve">) </w:t>
      </w:r>
      <w:r w:rsidR="006C5A15">
        <w:rPr>
          <w:rFonts w:ascii="Palatino Linotype" w:hAnsi="Palatino Linotype"/>
          <w:sz w:val="24"/>
          <w:szCs w:val="24"/>
        </w:rPr>
        <w:t xml:space="preserve">provides </w:t>
      </w:r>
      <w:r w:rsidR="00770632">
        <w:rPr>
          <w:rFonts w:ascii="Palatino Linotype" w:hAnsi="Palatino Linotype"/>
          <w:sz w:val="24"/>
          <w:szCs w:val="24"/>
        </w:rPr>
        <w:t xml:space="preserve">solar incentives to </w:t>
      </w:r>
      <w:r w:rsidR="006522E8">
        <w:rPr>
          <w:rFonts w:ascii="Palatino Linotype" w:hAnsi="Palatino Linotype"/>
          <w:sz w:val="24"/>
          <w:szCs w:val="24"/>
        </w:rPr>
        <w:t xml:space="preserve">qualifying </w:t>
      </w:r>
      <w:r w:rsidR="00772E2F">
        <w:rPr>
          <w:rFonts w:ascii="Palatino Linotype" w:hAnsi="Palatino Linotype"/>
          <w:sz w:val="24"/>
          <w:szCs w:val="24"/>
        </w:rPr>
        <w:t xml:space="preserve">low-income </w:t>
      </w:r>
      <w:r w:rsidR="008B3220">
        <w:rPr>
          <w:rFonts w:ascii="Palatino Linotype" w:hAnsi="Palatino Linotype"/>
          <w:sz w:val="24"/>
          <w:szCs w:val="24"/>
        </w:rPr>
        <w:t>homeowners</w:t>
      </w:r>
      <w:r w:rsidR="00F14681">
        <w:rPr>
          <w:rFonts w:ascii="Palatino Linotype" w:hAnsi="Palatino Linotype"/>
          <w:sz w:val="24"/>
          <w:szCs w:val="24"/>
        </w:rPr>
        <w:t xml:space="preserve"> li</w:t>
      </w:r>
      <w:r w:rsidR="00447256">
        <w:rPr>
          <w:rFonts w:ascii="Palatino Linotype" w:hAnsi="Palatino Linotype"/>
          <w:sz w:val="24"/>
          <w:szCs w:val="24"/>
        </w:rPr>
        <w:t>v</w:t>
      </w:r>
      <w:r w:rsidR="00F14681">
        <w:rPr>
          <w:rFonts w:ascii="Palatino Linotype" w:hAnsi="Palatino Linotype"/>
          <w:sz w:val="24"/>
          <w:szCs w:val="24"/>
        </w:rPr>
        <w:t xml:space="preserve">ing in </w:t>
      </w:r>
      <w:r w:rsidR="00FE61E3">
        <w:rPr>
          <w:rFonts w:ascii="Palatino Linotype" w:hAnsi="Palatino Linotype"/>
          <w:sz w:val="24"/>
          <w:szCs w:val="24"/>
        </w:rPr>
        <w:t>D</w:t>
      </w:r>
      <w:r w:rsidR="002D683D">
        <w:rPr>
          <w:rFonts w:ascii="Palatino Linotype" w:hAnsi="Palatino Linotype"/>
          <w:sz w:val="24"/>
          <w:szCs w:val="24"/>
        </w:rPr>
        <w:t xml:space="preserve">isadvantaged </w:t>
      </w:r>
      <w:r w:rsidR="00FE61E3">
        <w:rPr>
          <w:rFonts w:ascii="Palatino Linotype" w:hAnsi="Palatino Linotype"/>
          <w:sz w:val="24"/>
          <w:szCs w:val="24"/>
        </w:rPr>
        <w:t>C</w:t>
      </w:r>
      <w:r w:rsidR="002D683D">
        <w:rPr>
          <w:rFonts w:ascii="Palatino Linotype" w:hAnsi="Palatino Linotype"/>
          <w:sz w:val="24"/>
          <w:szCs w:val="24"/>
        </w:rPr>
        <w:t xml:space="preserve">ommunities </w:t>
      </w:r>
      <w:r w:rsidRPr="00876000" w:rsidR="00876000">
        <w:rPr>
          <w:rFonts w:ascii="Palatino Linotype" w:hAnsi="Palatino Linotype"/>
          <w:sz w:val="24"/>
          <w:szCs w:val="24"/>
        </w:rPr>
        <w:t>within the service territories of PG&amp;E, SCE, and SDG&amp;E</w:t>
      </w:r>
      <w:r w:rsidR="00DA093B">
        <w:rPr>
          <w:rFonts w:ascii="Palatino Linotype" w:hAnsi="Palatino Linotype"/>
          <w:sz w:val="24"/>
          <w:szCs w:val="24"/>
        </w:rPr>
        <w:t xml:space="preserve">. </w:t>
      </w:r>
      <w:r w:rsidR="008F5F1D">
        <w:rPr>
          <w:rFonts w:ascii="Palatino Linotype" w:hAnsi="Palatino Linotype"/>
          <w:sz w:val="24"/>
          <w:szCs w:val="24"/>
        </w:rPr>
        <w:t>T</w:t>
      </w:r>
      <w:r w:rsidR="00971921">
        <w:rPr>
          <w:rFonts w:ascii="Palatino Linotype" w:hAnsi="Palatino Linotype"/>
          <w:sz w:val="24"/>
          <w:szCs w:val="24"/>
        </w:rPr>
        <w:t>he funds fo</w:t>
      </w:r>
      <w:r w:rsidR="00BD64C1">
        <w:rPr>
          <w:rFonts w:ascii="Palatino Linotype" w:hAnsi="Palatino Linotype"/>
          <w:sz w:val="24"/>
          <w:szCs w:val="24"/>
        </w:rPr>
        <w:t>r</w:t>
      </w:r>
      <w:r w:rsidR="00971921">
        <w:rPr>
          <w:rFonts w:ascii="Palatino Linotype" w:hAnsi="Palatino Linotype"/>
          <w:sz w:val="24"/>
          <w:szCs w:val="24"/>
        </w:rPr>
        <w:t xml:space="preserve"> the </w:t>
      </w:r>
      <w:r w:rsidR="0016366A">
        <w:rPr>
          <w:rFonts w:ascii="Palatino Linotype" w:hAnsi="Palatino Linotype"/>
          <w:sz w:val="24"/>
          <w:szCs w:val="24"/>
        </w:rPr>
        <w:t>incentives</w:t>
      </w:r>
      <w:r w:rsidR="00971921">
        <w:rPr>
          <w:rFonts w:ascii="Palatino Linotype" w:hAnsi="Palatino Linotype"/>
          <w:sz w:val="24"/>
          <w:szCs w:val="24"/>
        </w:rPr>
        <w:t xml:space="preserve"> first come from the </w:t>
      </w:r>
      <w:r w:rsidRPr="00920399" w:rsidR="00920399">
        <w:rPr>
          <w:rFonts w:ascii="Palatino Linotype" w:hAnsi="Palatino Linotype"/>
          <w:sz w:val="24"/>
          <w:szCs w:val="24"/>
        </w:rPr>
        <w:t>available greenhouse gas allowance revenues</w:t>
      </w:r>
      <w:r w:rsidR="00C437F3">
        <w:rPr>
          <w:rFonts w:ascii="Palatino Linotype" w:hAnsi="Palatino Linotype"/>
          <w:sz w:val="24"/>
          <w:szCs w:val="24"/>
        </w:rPr>
        <w:t xml:space="preserve"> and th</w:t>
      </w:r>
      <w:r w:rsidR="00013228">
        <w:rPr>
          <w:rFonts w:ascii="Palatino Linotype" w:hAnsi="Palatino Linotype"/>
          <w:sz w:val="24"/>
          <w:szCs w:val="24"/>
        </w:rPr>
        <w:t>en</w:t>
      </w:r>
      <w:r w:rsidR="0026189B">
        <w:rPr>
          <w:rFonts w:ascii="Palatino Linotype" w:hAnsi="Palatino Linotype"/>
          <w:sz w:val="24"/>
          <w:szCs w:val="24"/>
        </w:rPr>
        <w:t xml:space="preserve"> </w:t>
      </w:r>
      <w:r w:rsidR="00362E88">
        <w:rPr>
          <w:rFonts w:ascii="Palatino Linotype" w:hAnsi="Palatino Linotype"/>
          <w:sz w:val="24"/>
          <w:szCs w:val="24"/>
        </w:rPr>
        <w:t>th</w:t>
      </w:r>
      <w:r w:rsidRPr="00920399" w:rsidR="00920399">
        <w:rPr>
          <w:rFonts w:ascii="Palatino Linotype" w:hAnsi="Palatino Linotype"/>
          <w:sz w:val="24"/>
          <w:szCs w:val="24"/>
        </w:rPr>
        <w:t>rough customer rates via public purpose funds.</w:t>
      </w:r>
      <w:r w:rsidR="006508DC">
        <w:rPr>
          <w:rStyle w:val="FootnoteReference"/>
          <w:rFonts w:ascii="Palatino Linotype" w:hAnsi="Palatino Linotype"/>
          <w:sz w:val="24"/>
          <w:szCs w:val="24"/>
        </w:rPr>
        <w:footnoteReference w:id="8"/>
      </w:r>
      <w:r w:rsidR="00CC4335">
        <w:rPr>
          <w:rFonts w:ascii="Palatino Linotype" w:hAnsi="Palatino Linotype"/>
          <w:sz w:val="24"/>
          <w:szCs w:val="24"/>
        </w:rPr>
        <w:t xml:space="preserve"> </w:t>
      </w:r>
      <w:r w:rsidR="00EF2FA0">
        <w:rPr>
          <w:rFonts w:ascii="Palatino Linotype" w:hAnsi="Palatino Linotype"/>
          <w:sz w:val="24"/>
          <w:szCs w:val="24"/>
        </w:rPr>
        <w:t xml:space="preserve">All projects are </w:t>
      </w:r>
      <w:r w:rsidR="0034797E">
        <w:rPr>
          <w:rFonts w:ascii="Palatino Linotype" w:hAnsi="Palatino Linotype"/>
          <w:sz w:val="24"/>
          <w:szCs w:val="24"/>
        </w:rPr>
        <w:t>provided with</w:t>
      </w:r>
      <w:r w:rsidR="00F34A5D">
        <w:rPr>
          <w:rFonts w:ascii="Palatino Linotype" w:hAnsi="Palatino Linotype"/>
          <w:sz w:val="24"/>
          <w:szCs w:val="24"/>
        </w:rPr>
        <w:t xml:space="preserve"> the maximum DAC-SASH incentive </w:t>
      </w:r>
      <w:r w:rsidR="008F5D14">
        <w:rPr>
          <w:rFonts w:ascii="Palatino Linotype" w:hAnsi="Palatino Linotype"/>
          <w:sz w:val="24"/>
          <w:szCs w:val="24"/>
        </w:rPr>
        <w:t xml:space="preserve">that is under the total eligible project costs. If </w:t>
      </w:r>
      <w:r w:rsidR="00A73748">
        <w:rPr>
          <w:rFonts w:ascii="Palatino Linotype" w:hAnsi="Palatino Linotype"/>
          <w:sz w:val="24"/>
          <w:szCs w:val="24"/>
        </w:rPr>
        <w:t>the system cost is higher than the ince</w:t>
      </w:r>
      <w:r w:rsidR="00D45815">
        <w:rPr>
          <w:rFonts w:ascii="Palatino Linotype" w:hAnsi="Palatino Linotype"/>
          <w:sz w:val="24"/>
          <w:szCs w:val="24"/>
        </w:rPr>
        <w:t>n</w:t>
      </w:r>
      <w:r w:rsidR="00A73748">
        <w:rPr>
          <w:rFonts w:ascii="Palatino Linotype" w:hAnsi="Palatino Linotype"/>
          <w:sz w:val="24"/>
          <w:szCs w:val="24"/>
        </w:rPr>
        <w:t>t</w:t>
      </w:r>
      <w:r w:rsidR="00D45815">
        <w:rPr>
          <w:rFonts w:ascii="Palatino Linotype" w:hAnsi="Palatino Linotype"/>
          <w:sz w:val="24"/>
          <w:szCs w:val="24"/>
        </w:rPr>
        <w:t>i</w:t>
      </w:r>
      <w:r w:rsidR="00A73748">
        <w:rPr>
          <w:rFonts w:ascii="Palatino Linotype" w:hAnsi="Palatino Linotype"/>
          <w:sz w:val="24"/>
          <w:szCs w:val="24"/>
        </w:rPr>
        <w:t>ve</w:t>
      </w:r>
      <w:r w:rsidR="00054BBE">
        <w:rPr>
          <w:rFonts w:ascii="Palatino Linotype" w:hAnsi="Palatino Linotype"/>
          <w:sz w:val="24"/>
          <w:szCs w:val="24"/>
        </w:rPr>
        <w:t>,</w:t>
      </w:r>
      <w:r w:rsidR="00A73748">
        <w:rPr>
          <w:rFonts w:ascii="Palatino Linotype" w:hAnsi="Palatino Linotype"/>
          <w:sz w:val="24"/>
          <w:szCs w:val="24"/>
        </w:rPr>
        <w:t xml:space="preserve"> the PA will </w:t>
      </w:r>
      <w:r w:rsidR="00461B1A">
        <w:rPr>
          <w:rFonts w:ascii="Palatino Linotype" w:hAnsi="Palatino Linotype"/>
          <w:sz w:val="24"/>
          <w:szCs w:val="24"/>
        </w:rPr>
        <w:t xml:space="preserve">attempt to identify additional funding resources </w:t>
      </w:r>
      <w:r w:rsidR="008A10F8">
        <w:rPr>
          <w:rFonts w:ascii="Palatino Linotype" w:hAnsi="Palatino Linotype"/>
          <w:sz w:val="24"/>
          <w:szCs w:val="24"/>
        </w:rPr>
        <w:t>or the customer may choose to pay the rem</w:t>
      </w:r>
      <w:r w:rsidR="00FF54B2">
        <w:rPr>
          <w:rFonts w:ascii="Palatino Linotype" w:hAnsi="Palatino Linotype"/>
          <w:sz w:val="24"/>
          <w:szCs w:val="24"/>
        </w:rPr>
        <w:t>a</w:t>
      </w:r>
      <w:r w:rsidR="008A10F8">
        <w:rPr>
          <w:rFonts w:ascii="Palatino Linotype" w:hAnsi="Palatino Linotype"/>
          <w:sz w:val="24"/>
          <w:szCs w:val="24"/>
        </w:rPr>
        <w:t>inder out of pocket.</w:t>
      </w:r>
      <w:r w:rsidR="008A10F8">
        <w:rPr>
          <w:rStyle w:val="FootnoteReference"/>
          <w:rFonts w:ascii="Palatino Linotype" w:hAnsi="Palatino Linotype"/>
          <w:sz w:val="24"/>
          <w:szCs w:val="24"/>
        </w:rPr>
        <w:footnoteReference w:id="9"/>
      </w:r>
      <w:r w:rsidR="001A6B58">
        <w:rPr>
          <w:rFonts w:ascii="Palatino Linotype" w:hAnsi="Palatino Linotype"/>
          <w:sz w:val="24"/>
          <w:szCs w:val="24"/>
        </w:rPr>
        <w:t xml:space="preserve"> </w:t>
      </w:r>
      <w:r w:rsidR="007019F2">
        <w:rPr>
          <w:rFonts w:ascii="Palatino Linotype" w:hAnsi="Palatino Linotype"/>
          <w:sz w:val="24"/>
          <w:szCs w:val="24"/>
        </w:rPr>
        <w:t>Review of the program has found tha</w:t>
      </w:r>
      <w:r w:rsidR="00C2787E">
        <w:rPr>
          <w:rFonts w:ascii="Palatino Linotype" w:hAnsi="Palatino Linotype"/>
          <w:sz w:val="24"/>
          <w:szCs w:val="24"/>
        </w:rPr>
        <w:t>t TPO</w:t>
      </w:r>
      <w:r w:rsidR="006A6C69">
        <w:rPr>
          <w:rFonts w:ascii="Palatino Linotype" w:hAnsi="Palatino Linotype"/>
          <w:sz w:val="24"/>
          <w:szCs w:val="24"/>
        </w:rPr>
        <w:t xml:space="preserve"> systems</w:t>
      </w:r>
      <w:r w:rsidR="00C2787E">
        <w:rPr>
          <w:rFonts w:ascii="Palatino Linotype" w:hAnsi="Palatino Linotype"/>
          <w:sz w:val="24"/>
          <w:szCs w:val="24"/>
        </w:rPr>
        <w:t xml:space="preserve"> </w:t>
      </w:r>
      <w:r w:rsidR="001B2885">
        <w:rPr>
          <w:rFonts w:ascii="Palatino Linotype" w:hAnsi="Palatino Linotype"/>
          <w:sz w:val="24"/>
          <w:szCs w:val="24"/>
        </w:rPr>
        <w:t xml:space="preserve">claim the </w:t>
      </w:r>
      <w:r w:rsidR="003022B9">
        <w:rPr>
          <w:rFonts w:ascii="Palatino Linotype" w:hAnsi="Palatino Linotype"/>
          <w:sz w:val="24"/>
          <w:szCs w:val="24"/>
        </w:rPr>
        <w:t xml:space="preserve">IRA tax credit </w:t>
      </w:r>
      <w:r w:rsidR="00521AE7">
        <w:rPr>
          <w:rFonts w:ascii="Palatino Linotype" w:hAnsi="Palatino Linotype"/>
          <w:sz w:val="24"/>
          <w:szCs w:val="24"/>
        </w:rPr>
        <w:t>while single</w:t>
      </w:r>
      <w:r w:rsidR="00810490">
        <w:rPr>
          <w:rFonts w:ascii="Palatino Linotype" w:hAnsi="Palatino Linotype"/>
          <w:sz w:val="24"/>
          <w:szCs w:val="24"/>
        </w:rPr>
        <w:t>-</w:t>
      </w:r>
      <w:r w:rsidR="005C0D85">
        <w:rPr>
          <w:rFonts w:ascii="Palatino Linotype" w:hAnsi="Palatino Linotype"/>
          <w:sz w:val="24"/>
          <w:szCs w:val="24"/>
        </w:rPr>
        <w:t>famil</w:t>
      </w:r>
      <w:r w:rsidR="00B27540">
        <w:rPr>
          <w:rFonts w:ascii="Palatino Linotype" w:hAnsi="Palatino Linotype"/>
          <w:sz w:val="24"/>
          <w:szCs w:val="24"/>
        </w:rPr>
        <w:t>y ho</w:t>
      </w:r>
      <w:r w:rsidR="00211159">
        <w:rPr>
          <w:rFonts w:ascii="Palatino Linotype" w:hAnsi="Palatino Linotype"/>
          <w:sz w:val="24"/>
          <w:szCs w:val="24"/>
        </w:rPr>
        <w:t>st customer own</w:t>
      </w:r>
      <w:r w:rsidR="003566AF">
        <w:rPr>
          <w:rFonts w:ascii="Palatino Linotype" w:hAnsi="Palatino Linotype"/>
          <w:sz w:val="24"/>
          <w:szCs w:val="24"/>
        </w:rPr>
        <w:t xml:space="preserve">ed projects </w:t>
      </w:r>
      <w:r w:rsidR="00B36E44">
        <w:rPr>
          <w:rFonts w:ascii="Palatino Linotype" w:hAnsi="Palatino Linotype"/>
          <w:sz w:val="24"/>
          <w:szCs w:val="24"/>
        </w:rPr>
        <w:t>are not expec</w:t>
      </w:r>
      <w:r w:rsidR="005A369C">
        <w:rPr>
          <w:rFonts w:ascii="Palatino Linotype" w:hAnsi="Palatino Linotype"/>
          <w:sz w:val="24"/>
          <w:szCs w:val="24"/>
        </w:rPr>
        <w:t xml:space="preserve">ted to claim the </w:t>
      </w:r>
      <w:r w:rsidR="007A66CE">
        <w:rPr>
          <w:rFonts w:ascii="Palatino Linotype" w:hAnsi="Palatino Linotype"/>
          <w:sz w:val="24"/>
          <w:szCs w:val="24"/>
        </w:rPr>
        <w:t>IRA tax credit</w:t>
      </w:r>
      <w:r w:rsidR="007B1F45">
        <w:rPr>
          <w:rFonts w:ascii="Palatino Linotype" w:hAnsi="Palatino Linotype"/>
          <w:sz w:val="24"/>
          <w:szCs w:val="24"/>
        </w:rPr>
        <w:t xml:space="preserve">, as no </w:t>
      </w:r>
      <w:r w:rsidR="00863552">
        <w:rPr>
          <w:rFonts w:ascii="Palatino Linotype" w:hAnsi="Palatino Linotype"/>
          <w:sz w:val="24"/>
          <w:szCs w:val="24"/>
        </w:rPr>
        <w:t xml:space="preserve">customers </w:t>
      </w:r>
      <w:r w:rsidR="002B1594">
        <w:rPr>
          <w:rFonts w:ascii="Palatino Linotype" w:hAnsi="Palatino Linotype"/>
          <w:sz w:val="24"/>
          <w:szCs w:val="24"/>
        </w:rPr>
        <w:t xml:space="preserve">have </w:t>
      </w:r>
      <w:r w:rsidR="00FF54B2">
        <w:rPr>
          <w:rFonts w:ascii="Palatino Linotype" w:hAnsi="Palatino Linotype"/>
          <w:sz w:val="24"/>
          <w:szCs w:val="24"/>
        </w:rPr>
        <w:t>needed to</w:t>
      </w:r>
      <w:r w:rsidR="002B1594">
        <w:rPr>
          <w:rFonts w:ascii="Palatino Linotype" w:hAnsi="Palatino Linotype"/>
          <w:sz w:val="24"/>
          <w:szCs w:val="24"/>
        </w:rPr>
        <w:t xml:space="preserve"> </w:t>
      </w:r>
      <w:r w:rsidR="00FF54B2">
        <w:rPr>
          <w:rFonts w:ascii="Palatino Linotype" w:hAnsi="Palatino Linotype"/>
          <w:sz w:val="24"/>
          <w:szCs w:val="24"/>
        </w:rPr>
        <w:t>contribute monetarily</w:t>
      </w:r>
      <w:r w:rsidR="007A66CE">
        <w:rPr>
          <w:rFonts w:ascii="Palatino Linotype" w:hAnsi="Palatino Linotype"/>
          <w:sz w:val="24"/>
          <w:szCs w:val="24"/>
        </w:rPr>
        <w:t>.</w:t>
      </w:r>
      <w:r w:rsidR="00E63850">
        <w:rPr>
          <w:rStyle w:val="FootnoteReference"/>
          <w:rFonts w:ascii="Palatino Linotype" w:hAnsi="Palatino Linotype"/>
          <w:sz w:val="24"/>
          <w:szCs w:val="24"/>
        </w:rPr>
        <w:footnoteReference w:id="10"/>
      </w:r>
      <w:r w:rsidR="005B61F4">
        <w:rPr>
          <w:rFonts w:ascii="Palatino Linotype" w:hAnsi="Palatino Linotype"/>
          <w:sz w:val="24"/>
          <w:szCs w:val="24"/>
        </w:rPr>
        <w:t xml:space="preserve"> </w:t>
      </w:r>
      <w:r w:rsidR="00C027F2">
        <w:rPr>
          <w:rFonts w:ascii="Palatino Linotype" w:hAnsi="Palatino Linotype" w:eastAsia="Palatino Linotype"/>
          <w:sz w:val="24"/>
          <w:szCs w:val="24"/>
        </w:rPr>
        <w:t xml:space="preserve">In DAC-SASH, 91 percent of </w:t>
      </w:r>
      <w:r w:rsidR="008B6EDF">
        <w:rPr>
          <w:rFonts w:ascii="Palatino Linotype" w:hAnsi="Palatino Linotype" w:eastAsia="Palatino Linotype"/>
          <w:sz w:val="24"/>
          <w:szCs w:val="24"/>
        </w:rPr>
        <w:t xml:space="preserve">projects </w:t>
      </w:r>
      <w:r w:rsidR="00C027F2">
        <w:rPr>
          <w:rFonts w:ascii="Palatino Linotype" w:hAnsi="Palatino Linotype" w:eastAsia="Palatino Linotype"/>
          <w:sz w:val="24"/>
          <w:szCs w:val="24"/>
        </w:rPr>
        <w:t>enter</w:t>
      </w:r>
      <w:r w:rsidR="00FC513E">
        <w:rPr>
          <w:rFonts w:ascii="Palatino Linotype" w:hAnsi="Palatino Linotype" w:eastAsia="Palatino Linotype"/>
          <w:sz w:val="24"/>
          <w:szCs w:val="24"/>
        </w:rPr>
        <w:t>ed</w:t>
      </w:r>
      <w:r w:rsidR="00C027F2">
        <w:rPr>
          <w:rFonts w:ascii="Palatino Linotype" w:hAnsi="Palatino Linotype" w:eastAsia="Palatino Linotype"/>
          <w:sz w:val="24"/>
          <w:szCs w:val="24"/>
        </w:rPr>
        <w:t xml:space="preserve"> into a TPO arrangement.</w:t>
      </w:r>
      <w:r w:rsidR="00C027F2">
        <w:rPr>
          <w:rStyle w:val="FootnoteReference"/>
          <w:rFonts w:ascii="Palatino Linotype" w:hAnsi="Palatino Linotype" w:eastAsia="Palatino Linotype"/>
          <w:sz w:val="24"/>
          <w:szCs w:val="24"/>
        </w:rPr>
        <w:footnoteReference w:id="11"/>
      </w:r>
      <w:r w:rsidR="00C027F2">
        <w:rPr>
          <w:rFonts w:ascii="Palatino Linotype" w:hAnsi="Palatino Linotype" w:eastAsia="Palatino Linotype"/>
          <w:sz w:val="24"/>
          <w:szCs w:val="24"/>
        </w:rPr>
        <w:t xml:space="preserve"> </w:t>
      </w:r>
    </w:p>
    <w:p w:rsidR="00000C85" w:rsidP="495131ED" w:rsidRDefault="00000C85" w14:paraId="66F64948" w14:textId="77777777">
      <w:pPr>
        <w:rPr>
          <w:rFonts w:ascii="Palatino Linotype" w:hAnsi="Palatino Linotype"/>
          <w:sz w:val="24"/>
          <w:szCs w:val="24"/>
        </w:rPr>
      </w:pPr>
    </w:p>
    <w:p w:rsidR="495131ED" w:rsidP="495131ED" w:rsidRDefault="001B53DF" w14:paraId="0B6854C6" w14:textId="7D309A53">
      <w:pPr>
        <w:rPr>
          <w:rFonts w:ascii="Palatino Linotype" w:hAnsi="Palatino Linotype"/>
          <w:sz w:val="24"/>
          <w:szCs w:val="24"/>
        </w:rPr>
      </w:pPr>
      <w:r>
        <w:rPr>
          <w:rFonts w:ascii="Palatino Linotype" w:hAnsi="Palatino Linotype"/>
          <w:sz w:val="24"/>
          <w:szCs w:val="24"/>
        </w:rPr>
        <w:t>S</w:t>
      </w:r>
      <w:r w:rsidR="005F3F64">
        <w:rPr>
          <w:rFonts w:ascii="Palatino Linotype" w:hAnsi="Palatino Linotype"/>
          <w:sz w:val="24"/>
          <w:szCs w:val="24"/>
        </w:rPr>
        <w:t xml:space="preserve">olar on </w:t>
      </w:r>
      <w:r w:rsidR="006767A6">
        <w:rPr>
          <w:rFonts w:ascii="Palatino Linotype" w:hAnsi="Palatino Linotype"/>
          <w:sz w:val="24"/>
          <w:szCs w:val="24"/>
        </w:rPr>
        <w:t>Multifamily</w:t>
      </w:r>
      <w:r w:rsidR="005F3F64">
        <w:rPr>
          <w:rFonts w:ascii="Palatino Linotype" w:hAnsi="Palatino Linotype"/>
          <w:sz w:val="24"/>
          <w:szCs w:val="24"/>
        </w:rPr>
        <w:t xml:space="preserve"> </w:t>
      </w:r>
      <w:r w:rsidR="00C1376D">
        <w:rPr>
          <w:rFonts w:ascii="Palatino Linotype" w:hAnsi="Palatino Linotype"/>
          <w:sz w:val="24"/>
          <w:szCs w:val="24"/>
        </w:rPr>
        <w:t>Affor</w:t>
      </w:r>
      <w:r w:rsidR="00646272">
        <w:rPr>
          <w:rFonts w:ascii="Palatino Linotype" w:hAnsi="Palatino Linotype"/>
          <w:sz w:val="24"/>
          <w:szCs w:val="24"/>
        </w:rPr>
        <w:t xml:space="preserve">dable </w:t>
      </w:r>
      <w:r w:rsidR="00802094">
        <w:rPr>
          <w:rFonts w:ascii="Palatino Linotype" w:hAnsi="Palatino Linotype"/>
          <w:sz w:val="24"/>
          <w:szCs w:val="24"/>
        </w:rPr>
        <w:t>Housing (SOMAH)</w:t>
      </w:r>
      <w:r w:rsidR="00555E35">
        <w:rPr>
          <w:rFonts w:ascii="Palatino Linotype" w:hAnsi="Palatino Linotype"/>
          <w:sz w:val="24"/>
          <w:szCs w:val="24"/>
        </w:rPr>
        <w:t xml:space="preserve"> </w:t>
      </w:r>
      <w:r w:rsidRPr="00667D86" w:rsidR="00667D86">
        <w:rPr>
          <w:rFonts w:ascii="Palatino Linotype" w:hAnsi="Palatino Linotype"/>
          <w:sz w:val="24"/>
          <w:szCs w:val="24"/>
        </w:rPr>
        <w:t>provides solar incentives</w:t>
      </w:r>
      <w:r w:rsidR="00DC6041">
        <w:rPr>
          <w:rFonts w:ascii="Palatino Linotype" w:hAnsi="Palatino Linotype"/>
          <w:sz w:val="24"/>
          <w:szCs w:val="24"/>
        </w:rPr>
        <w:t xml:space="preserve"> and technical</w:t>
      </w:r>
      <w:r w:rsidR="00787027">
        <w:rPr>
          <w:rFonts w:ascii="Palatino Linotype" w:hAnsi="Palatino Linotype"/>
          <w:sz w:val="24"/>
          <w:szCs w:val="24"/>
        </w:rPr>
        <w:t xml:space="preserve"> assistance</w:t>
      </w:r>
      <w:r w:rsidRPr="00667D86" w:rsidR="00667D86">
        <w:rPr>
          <w:rFonts w:ascii="Palatino Linotype" w:hAnsi="Palatino Linotype"/>
          <w:sz w:val="24"/>
          <w:szCs w:val="24"/>
        </w:rPr>
        <w:t xml:space="preserve"> to qualifying affordable housing within the service territories of PG&amp;E, SCE, SDG&amp;E, Liberties Utilities Company, and PacifiCorp</w:t>
      </w:r>
      <w:r w:rsidR="003F0D45">
        <w:rPr>
          <w:rFonts w:ascii="Palatino Linotype" w:hAnsi="Palatino Linotype"/>
          <w:sz w:val="24"/>
          <w:szCs w:val="24"/>
        </w:rPr>
        <w:t xml:space="preserve">. </w:t>
      </w:r>
      <w:r w:rsidR="00D76B04">
        <w:rPr>
          <w:rFonts w:ascii="Palatino Linotype" w:hAnsi="Palatino Linotype"/>
          <w:sz w:val="24"/>
          <w:szCs w:val="24"/>
        </w:rPr>
        <w:t xml:space="preserve">All </w:t>
      </w:r>
      <w:r w:rsidR="6251ABED">
        <w:rPr>
          <w:rFonts w:ascii="Palatino Linotype" w:hAnsi="Palatino Linotype"/>
          <w:sz w:val="24"/>
          <w:szCs w:val="24"/>
        </w:rPr>
        <w:t xml:space="preserve">applicants </w:t>
      </w:r>
      <w:r w:rsidR="00D76B04">
        <w:rPr>
          <w:rFonts w:ascii="Palatino Linotype" w:hAnsi="Palatino Linotype"/>
          <w:sz w:val="24"/>
          <w:szCs w:val="24"/>
        </w:rPr>
        <w:t xml:space="preserve">are </w:t>
      </w:r>
      <w:r w:rsidR="00064D6C">
        <w:rPr>
          <w:rFonts w:ascii="Palatino Linotype" w:hAnsi="Palatino Linotype"/>
          <w:sz w:val="24"/>
          <w:szCs w:val="24"/>
        </w:rPr>
        <w:t xml:space="preserve">required to report </w:t>
      </w:r>
      <w:r w:rsidR="00EA04B7">
        <w:rPr>
          <w:rFonts w:ascii="Palatino Linotype" w:hAnsi="Palatino Linotype"/>
          <w:sz w:val="24"/>
          <w:szCs w:val="24"/>
        </w:rPr>
        <w:t xml:space="preserve">if </w:t>
      </w:r>
      <w:r w:rsidR="002A35F8">
        <w:rPr>
          <w:rFonts w:ascii="Palatino Linotype" w:hAnsi="Palatino Linotype"/>
          <w:sz w:val="24"/>
          <w:szCs w:val="24"/>
        </w:rPr>
        <w:t>claimi</w:t>
      </w:r>
      <w:r w:rsidR="00AC49EF">
        <w:rPr>
          <w:rFonts w:ascii="Palatino Linotype" w:hAnsi="Palatino Linotype"/>
          <w:sz w:val="24"/>
          <w:szCs w:val="24"/>
        </w:rPr>
        <w:t xml:space="preserve">ng </w:t>
      </w:r>
      <w:r w:rsidR="7F082B86">
        <w:rPr>
          <w:rFonts w:ascii="Palatino Linotype" w:hAnsi="Palatino Linotype"/>
          <w:sz w:val="24"/>
          <w:szCs w:val="24"/>
        </w:rPr>
        <w:t xml:space="preserve">a federal or state </w:t>
      </w:r>
      <w:r w:rsidR="00EF2548">
        <w:rPr>
          <w:rFonts w:ascii="Palatino Linotype" w:hAnsi="Palatino Linotype"/>
          <w:sz w:val="24"/>
          <w:szCs w:val="24"/>
        </w:rPr>
        <w:t>tax cred</w:t>
      </w:r>
      <w:r w:rsidR="00775F55">
        <w:rPr>
          <w:rFonts w:ascii="Palatino Linotype" w:hAnsi="Palatino Linotype"/>
          <w:sz w:val="24"/>
          <w:szCs w:val="24"/>
        </w:rPr>
        <w:t>it</w:t>
      </w:r>
      <w:r w:rsidR="00B02BF5">
        <w:rPr>
          <w:rFonts w:ascii="Palatino Linotype" w:hAnsi="Palatino Linotype"/>
          <w:sz w:val="24"/>
          <w:szCs w:val="24"/>
        </w:rPr>
        <w:t xml:space="preserve">. If the </w:t>
      </w:r>
      <w:r w:rsidR="00760489">
        <w:rPr>
          <w:rFonts w:ascii="Palatino Linotype" w:hAnsi="Palatino Linotype"/>
          <w:sz w:val="24"/>
          <w:szCs w:val="24"/>
        </w:rPr>
        <w:t xml:space="preserve">project claims </w:t>
      </w:r>
      <w:r w:rsidR="003022D1">
        <w:rPr>
          <w:rFonts w:ascii="Palatino Linotype" w:hAnsi="Palatino Linotype"/>
          <w:sz w:val="24"/>
          <w:szCs w:val="24"/>
        </w:rPr>
        <w:t xml:space="preserve">only the IRA </w:t>
      </w:r>
      <w:r w:rsidR="00734AE3">
        <w:rPr>
          <w:rFonts w:ascii="Palatino Linotype" w:hAnsi="Palatino Linotype"/>
          <w:sz w:val="24"/>
          <w:szCs w:val="24"/>
        </w:rPr>
        <w:t>i</w:t>
      </w:r>
      <w:r w:rsidR="004F59EF">
        <w:rPr>
          <w:rFonts w:ascii="Palatino Linotype" w:hAnsi="Palatino Linotype"/>
          <w:sz w:val="24"/>
          <w:szCs w:val="24"/>
        </w:rPr>
        <w:t xml:space="preserve">nvestment </w:t>
      </w:r>
      <w:r w:rsidR="003022D1">
        <w:rPr>
          <w:rFonts w:ascii="Palatino Linotype" w:hAnsi="Palatino Linotype"/>
          <w:sz w:val="24"/>
          <w:szCs w:val="24"/>
        </w:rPr>
        <w:t>tax credit</w:t>
      </w:r>
      <w:r w:rsidR="00A763D2">
        <w:rPr>
          <w:rFonts w:ascii="Palatino Linotype" w:hAnsi="Palatino Linotype"/>
          <w:sz w:val="24"/>
          <w:szCs w:val="24"/>
        </w:rPr>
        <w:t xml:space="preserve"> (ITC)</w:t>
      </w:r>
      <w:r w:rsidR="003022D1">
        <w:rPr>
          <w:rFonts w:ascii="Palatino Linotype" w:hAnsi="Palatino Linotype"/>
          <w:sz w:val="24"/>
          <w:szCs w:val="24"/>
        </w:rPr>
        <w:t xml:space="preserve">, </w:t>
      </w:r>
      <w:r w:rsidR="00164DA9">
        <w:rPr>
          <w:rFonts w:ascii="Palatino Linotype" w:hAnsi="Palatino Linotype"/>
          <w:sz w:val="24"/>
          <w:szCs w:val="24"/>
        </w:rPr>
        <w:t xml:space="preserve">the SOMAH </w:t>
      </w:r>
      <w:r w:rsidR="00800132">
        <w:rPr>
          <w:rFonts w:ascii="Palatino Linotype" w:hAnsi="Palatino Linotype"/>
          <w:sz w:val="24"/>
          <w:szCs w:val="24"/>
        </w:rPr>
        <w:t xml:space="preserve">incentive is automatically </w:t>
      </w:r>
      <w:r w:rsidR="0007290F">
        <w:rPr>
          <w:rFonts w:ascii="Palatino Linotype" w:hAnsi="Palatino Linotype"/>
          <w:sz w:val="24"/>
          <w:szCs w:val="24"/>
        </w:rPr>
        <w:t>reduced</w:t>
      </w:r>
      <w:r w:rsidRPr="58D441EC">
        <w:rPr>
          <w:rFonts w:ascii="Palatino Linotype" w:hAnsi="Palatino Linotype"/>
          <w:sz w:val="24"/>
          <w:szCs w:val="24"/>
        </w:rPr>
        <w:t xml:space="preserve"> by 30 percent</w:t>
      </w:r>
      <w:r w:rsidR="003A767F">
        <w:rPr>
          <w:rFonts w:ascii="Palatino Linotype" w:hAnsi="Palatino Linotype"/>
          <w:sz w:val="24"/>
          <w:szCs w:val="24"/>
        </w:rPr>
        <w:t>.</w:t>
      </w:r>
      <w:r w:rsidR="26A4CB58">
        <w:rPr>
          <w:rFonts w:ascii="Palatino Linotype" w:hAnsi="Palatino Linotype"/>
          <w:sz w:val="24"/>
          <w:szCs w:val="24"/>
        </w:rPr>
        <w:t xml:space="preserve"> </w:t>
      </w:r>
      <w:r w:rsidR="003A767F">
        <w:rPr>
          <w:rFonts w:ascii="Palatino Linotype" w:hAnsi="Palatino Linotype"/>
          <w:sz w:val="24"/>
          <w:szCs w:val="24"/>
        </w:rPr>
        <w:t>T</w:t>
      </w:r>
      <w:r w:rsidR="39AFDF90">
        <w:rPr>
          <w:rFonts w:ascii="Palatino Linotype" w:hAnsi="Palatino Linotype"/>
          <w:sz w:val="24"/>
          <w:szCs w:val="24"/>
        </w:rPr>
        <w:t xml:space="preserve">here is a process for further incentive reductions if </w:t>
      </w:r>
      <w:r w:rsidR="26A4CB58">
        <w:rPr>
          <w:rFonts w:ascii="Palatino Linotype" w:hAnsi="Palatino Linotype"/>
          <w:sz w:val="24"/>
          <w:szCs w:val="24"/>
        </w:rPr>
        <w:t>additional tax credits a</w:t>
      </w:r>
      <w:r w:rsidR="3CEE8BBC">
        <w:rPr>
          <w:rFonts w:ascii="Palatino Linotype" w:hAnsi="Palatino Linotype"/>
          <w:sz w:val="24"/>
          <w:szCs w:val="24"/>
        </w:rPr>
        <w:t>re also being utilized</w:t>
      </w:r>
      <w:r w:rsidR="008C4F50">
        <w:rPr>
          <w:rFonts w:ascii="Palatino Linotype" w:hAnsi="Palatino Linotype"/>
          <w:sz w:val="24"/>
          <w:szCs w:val="24"/>
        </w:rPr>
        <w:t>.</w:t>
      </w:r>
      <w:r w:rsidR="002A3F37">
        <w:rPr>
          <w:rFonts w:ascii="Palatino Linotype" w:hAnsi="Palatino Linotype"/>
          <w:sz w:val="24"/>
          <w:szCs w:val="24"/>
        </w:rPr>
        <w:t xml:space="preserve"> </w:t>
      </w:r>
      <w:r w:rsidR="00393C2B">
        <w:rPr>
          <w:rFonts w:ascii="Palatino Linotype" w:hAnsi="Palatino Linotype"/>
          <w:sz w:val="24"/>
          <w:szCs w:val="24"/>
        </w:rPr>
        <w:t>“</w:t>
      </w:r>
      <w:r w:rsidR="00FB30E8">
        <w:rPr>
          <w:rFonts w:ascii="Palatino Linotype" w:hAnsi="Palatino Linotype"/>
          <w:sz w:val="24"/>
          <w:szCs w:val="24"/>
        </w:rPr>
        <w:t>A</w:t>
      </w:r>
      <w:r w:rsidRPr="00B9375C" w:rsidR="00B9375C">
        <w:rPr>
          <w:rFonts w:ascii="Palatino Linotype" w:hAnsi="Palatino Linotype"/>
          <w:sz w:val="24"/>
          <w:szCs w:val="24"/>
        </w:rPr>
        <w:t>dditional ITC</w:t>
      </w:r>
      <w:r w:rsidR="00E51113">
        <w:rPr>
          <w:rFonts w:ascii="Palatino Linotype" w:hAnsi="Palatino Linotype"/>
          <w:sz w:val="24"/>
          <w:szCs w:val="24"/>
        </w:rPr>
        <w:t xml:space="preserve"> [bonus credits]</w:t>
      </w:r>
      <w:r w:rsidRPr="00B9375C" w:rsidR="00B9375C">
        <w:rPr>
          <w:rFonts w:ascii="Palatino Linotype" w:hAnsi="Palatino Linotype"/>
          <w:sz w:val="24"/>
          <w:szCs w:val="24"/>
        </w:rPr>
        <w:t xml:space="preserve"> are now possible through the IRA and will reduce incentives. These will be reviewed by the SOMAH PA on a case-by-case basis based on the project’s utilization of other incentive funds.</w:t>
      </w:r>
      <w:r w:rsidR="0028191B">
        <w:rPr>
          <w:rFonts w:ascii="Palatino Linotype" w:hAnsi="Palatino Linotype"/>
          <w:sz w:val="24"/>
          <w:szCs w:val="24"/>
        </w:rPr>
        <w:t>”</w:t>
      </w:r>
      <w:r w:rsidR="005C1D99">
        <w:rPr>
          <w:rStyle w:val="FootnoteReference"/>
          <w:rFonts w:ascii="Palatino Linotype" w:hAnsi="Palatino Linotype"/>
          <w:sz w:val="24"/>
          <w:szCs w:val="24"/>
        </w:rPr>
        <w:footnoteReference w:id="12"/>
      </w:r>
    </w:p>
    <w:p w:rsidR="00162DC2" w:rsidP="495131ED" w:rsidRDefault="00162DC2" w14:paraId="27EFF0CE" w14:textId="7CE96929">
      <w:pPr>
        <w:rPr>
          <w:rFonts w:ascii="Palatino Linotype" w:hAnsi="Palatino Linotype"/>
          <w:sz w:val="24"/>
          <w:szCs w:val="24"/>
        </w:rPr>
      </w:pPr>
    </w:p>
    <w:p w:rsidRPr="00161AA7" w:rsidR="5E184C3F" w:rsidP="495131ED" w:rsidRDefault="5E184C3F" w14:paraId="6A80A95F" w14:textId="798C8175">
      <w:pPr>
        <w:rPr>
          <w:rFonts w:ascii="Palatino Linotype" w:hAnsi="Palatino Linotype"/>
          <w:b/>
          <w:bCs/>
          <w:sz w:val="24"/>
          <w:szCs w:val="24"/>
        </w:rPr>
      </w:pPr>
      <w:r w:rsidRPr="009A6A0A">
        <w:rPr>
          <w:rFonts w:ascii="Palatino Linotype" w:hAnsi="Palatino Linotype"/>
          <w:b/>
          <w:bCs/>
          <w:sz w:val="24"/>
          <w:szCs w:val="24"/>
        </w:rPr>
        <w:t>Inflation Reduction Act Residenti</w:t>
      </w:r>
      <w:r w:rsidRPr="009A6A0A" w:rsidR="07DF161D">
        <w:rPr>
          <w:rFonts w:ascii="Palatino Linotype" w:hAnsi="Palatino Linotype"/>
          <w:b/>
          <w:bCs/>
          <w:sz w:val="24"/>
          <w:szCs w:val="24"/>
        </w:rPr>
        <w:t>al Clean Energy</w:t>
      </w:r>
      <w:r w:rsidRPr="008243C2" w:rsidR="00BC7019">
        <w:rPr>
          <w:rFonts w:ascii="Palatino Linotype" w:hAnsi="Palatino Linotype"/>
          <w:b/>
          <w:bCs/>
          <w:sz w:val="24"/>
          <w:szCs w:val="24"/>
        </w:rPr>
        <w:t xml:space="preserve"> and Energy Investment</w:t>
      </w:r>
      <w:r w:rsidRPr="00F833C1" w:rsidR="07DF161D">
        <w:rPr>
          <w:rFonts w:ascii="Palatino Linotype" w:hAnsi="Palatino Linotype"/>
          <w:b/>
          <w:bCs/>
          <w:sz w:val="24"/>
          <w:szCs w:val="24"/>
        </w:rPr>
        <w:t xml:space="preserve"> Credits Background</w:t>
      </w:r>
    </w:p>
    <w:p w:rsidR="00333F07" w:rsidP="00071FB6" w:rsidRDefault="00333F07" w14:paraId="5C8E0E30" w14:textId="77777777">
      <w:pPr>
        <w:rPr>
          <w:rFonts w:ascii="Palatino Linotype" w:hAnsi="Palatino Linotype"/>
          <w:sz w:val="24"/>
          <w:szCs w:val="24"/>
        </w:rPr>
      </w:pPr>
    </w:p>
    <w:p w:rsidR="00982206" w:rsidP="00071FB6" w:rsidRDefault="00947618" w14:paraId="5DBE651A" w14:textId="17F99321">
      <w:pPr>
        <w:rPr>
          <w:rFonts w:ascii="Palatino Linotype" w:hAnsi="Palatino Linotype"/>
          <w:sz w:val="24"/>
          <w:szCs w:val="24"/>
        </w:rPr>
      </w:pPr>
      <w:r>
        <w:rPr>
          <w:rFonts w:ascii="Palatino Linotype" w:hAnsi="Palatino Linotype"/>
          <w:sz w:val="24"/>
          <w:szCs w:val="24"/>
        </w:rPr>
        <w:t xml:space="preserve">The IRA extended existing tax credits for renewable energy technology to energy storage systems. </w:t>
      </w:r>
    </w:p>
    <w:p w:rsidR="00982206" w:rsidP="00071FB6" w:rsidRDefault="00982206" w14:paraId="740561A3" w14:textId="77777777">
      <w:pPr>
        <w:rPr>
          <w:rFonts w:ascii="Palatino Linotype" w:hAnsi="Palatino Linotype"/>
          <w:sz w:val="24"/>
          <w:szCs w:val="24"/>
        </w:rPr>
      </w:pPr>
    </w:p>
    <w:p w:rsidR="00071FB6" w:rsidP="00071FB6" w:rsidRDefault="00AD0BC4" w14:paraId="4B5B6AD7" w14:textId="6C3979DF">
      <w:pPr>
        <w:rPr>
          <w:rFonts w:ascii="Palatino Linotype" w:hAnsi="Palatino Linotype"/>
          <w:sz w:val="24"/>
          <w:szCs w:val="24"/>
        </w:rPr>
      </w:pPr>
      <w:r>
        <w:rPr>
          <w:rFonts w:ascii="Palatino Linotype" w:hAnsi="Palatino Linotype"/>
          <w:sz w:val="24"/>
          <w:szCs w:val="24"/>
        </w:rPr>
        <w:t xml:space="preserve">For residential systems owned by the host customer, </w:t>
      </w:r>
    </w:p>
    <w:p w:rsidRPr="00CD13C8" w:rsidR="00071FB6" w:rsidP="00CD13C8" w:rsidRDefault="00D5224F" w14:paraId="38220C40" w14:textId="162B35A3">
      <w:pPr>
        <w:ind w:left="720" w:right="720"/>
        <w:rPr>
          <w:rFonts w:ascii="Palatino Linotype" w:hAnsi="Palatino Linotype"/>
          <w:sz w:val="22"/>
          <w:szCs w:val="22"/>
        </w:rPr>
      </w:pPr>
      <w:r>
        <w:rPr>
          <w:rFonts w:ascii="Palatino Linotype" w:hAnsi="Palatino Linotype"/>
          <w:sz w:val="22"/>
          <w:szCs w:val="22"/>
        </w:rPr>
        <w:t>“</w:t>
      </w:r>
      <w:r w:rsidRPr="00CD13C8" w:rsidR="00071FB6">
        <w:rPr>
          <w:rFonts w:ascii="Palatino Linotype" w:hAnsi="Palatino Linotype"/>
          <w:sz w:val="22"/>
          <w:szCs w:val="22"/>
        </w:rPr>
        <w:t>The Residential Clean Energy Credit equals 30% of the </w:t>
      </w:r>
      <w:hyperlink w:tooltip="Instructions for Form 5695 (2024) " w:history="1" r:id="rId11">
        <w:r w:rsidRPr="00CD13C8" w:rsidR="00071FB6">
          <w:rPr>
            <w:rStyle w:val="Hyperlink"/>
            <w:rFonts w:ascii="Palatino Linotype" w:hAnsi="Palatino Linotype"/>
            <w:sz w:val="22"/>
            <w:szCs w:val="22"/>
          </w:rPr>
          <w:t>costs of new, qualified clean energy property</w:t>
        </w:r>
      </w:hyperlink>
      <w:r w:rsidRPr="00CD13C8" w:rsidR="00071FB6">
        <w:rPr>
          <w:rFonts w:ascii="Palatino Linotype" w:hAnsi="Palatino Linotype"/>
          <w:sz w:val="22"/>
          <w:szCs w:val="22"/>
        </w:rPr>
        <w:t> </w:t>
      </w:r>
      <w:r w:rsidR="00EF0382">
        <w:rPr>
          <w:rFonts w:ascii="Palatino Linotype" w:hAnsi="Palatino Linotype"/>
          <w:sz w:val="22"/>
          <w:szCs w:val="22"/>
        </w:rPr>
        <w:t>…</w:t>
      </w:r>
      <w:r w:rsidRPr="00CD13C8" w:rsidR="00071FB6">
        <w:rPr>
          <w:rFonts w:ascii="Palatino Linotype" w:hAnsi="Palatino Linotype"/>
          <w:sz w:val="22"/>
          <w:szCs w:val="22"/>
        </w:rPr>
        <w:t xml:space="preserve"> installed anytime from 2022 through 2032</w:t>
      </w:r>
      <w:r w:rsidR="00EF0382">
        <w:rPr>
          <w:rFonts w:ascii="Palatino Linotype" w:hAnsi="Palatino Linotype"/>
          <w:sz w:val="22"/>
          <w:szCs w:val="22"/>
        </w:rPr>
        <w:t>…</w:t>
      </w:r>
      <w:r w:rsidRPr="00CD13C8" w:rsidR="00071FB6">
        <w:rPr>
          <w:rFonts w:ascii="Palatino Linotype" w:hAnsi="Palatino Linotype"/>
          <w:sz w:val="22"/>
          <w:szCs w:val="22"/>
        </w:rPr>
        <w:t xml:space="preserve"> </w:t>
      </w:r>
    </w:p>
    <w:p w:rsidRPr="00CD13C8" w:rsidR="00071FB6" w:rsidP="00CD13C8" w:rsidRDefault="00071FB6" w14:paraId="0D3CD303" w14:textId="1AD5B188">
      <w:pPr>
        <w:ind w:left="720" w:right="720"/>
        <w:rPr>
          <w:rFonts w:ascii="Palatino Linotype" w:hAnsi="Palatino Linotype"/>
          <w:sz w:val="22"/>
          <w:szCs w:val="22"/>
        </w:rPr>
      </w:pPr>
      <w:r w:rsidRPr="00CD13C8">
        <w:rPr>
          <w:rFonts w:ascii="Palatino Linotype" w:hAnsi="Palatino Linotype"/>
          <w:sz w:val="22"/>
          <w:szCs w:val="22"/>
        </w:rPr>
        <w:lastRenderedPageBreak/>
        <w:t xml:space="preserve">the credit amount </w:t>
      </w:r>
      <w:r w:rsidR="002240B9">
        <w:rPr>
          <w:rFonts w:ascii="Palatino Linotype" w:hAnsi="Palatino Linotype"/>
          <w:sz w:val="22"/>
          <w:szCs w:val="22"/>
        </w:rPr>
        <w:t>[</w:t>
      </w:r>
      <w:r w:rsidRPr="00CD13C8">
        <w:rPr>
          <w:rFonts w:ascii="Palatino Linotype" w:hAnsi="Palatino Linotype"/>
          <w:sz w:val="22"/>
          <w:szCs w:val="22"/>
        </w:rPr>
        <w:t>receive</w:t>
      </w:r>
      <w:r w:rsidR="002240B9">
        <w:rPr>
          <w:rFonts w:ascii="Palatino Linotype" w:hAnsi="Palatino Linotype"/>
          <w:sz w:val="22"/>
          <w:szCs w:val="22"/>
        </w:rPr>
        <w:t>d]</w:t>
      </w:r>
      <w:r w:rsidRPr="00CD13C8">
        <w:rPr>
          <w:rFonts w:ascii="Palatino Linotype" w:hAnsi="Palatino Linotype"/>
          <w:sz w:val="22"/>
          <w:szCs w:val="22"/>
        </w:rPr>
        <w:t xml:space="preserve"> can't exceed the amount </w:t>
      </w:r>
      <w:r w:rsidR="002240B9">
        <w:rPr>
          <w:rFonts w:ascii="Palatino Linotype" w:hAnsi="Palatino Linotype"/>
          <w:sz w:val="22"/>
          <w:szCs w:val="22"/>
        </w:rPr>
        <w:t>[</w:t>
      </w:r>
      <w:r w:rsidRPr="00CD13C8">
        <w:rPr>
          <w:rFonts w:ascii="Palatino Linotype" w:hAnsi="Palatino Linotype"/>
          <w:sz w:val="22"/>
          <w:szCs w:val="22"/>
        </w:rPr>
        <w:t>owe</w:t>
      </w:r>
      <w:r w:rsidR="002240B9">
        <w:rPr>
          <w:rFonts w:ascii="Palatino Linotype" w:hAnsi="Palatino Linotype"/>
          <w:sz w:val="22"/>
          <w:szCs w:val="22"/>
        </w:rPr>
        <w:t>d]</w:t>
      </w:r>
      <w:r w:rsidRPr="00CD13C8">
        <w:rPr>
          <w:rFonts w:ascii="Palatino Linotype" w:hAnsi="Palatino Linotype"/>
          <w:sz w:val="22"/>
          <w:szCs w:val="22"/>
        </w:rPr>
        <w:t xml:space="preserve"> in tax. </w:t>
      </w:r>
      <w:r w:rsidR="002240B9">
        <w:rPr>
          <w:rFonts w:ascii="Palatino Linotype" w:hAnsi="Palatino Linotype"/>
          <w:sz w:val="22"/>
          <w:szCs w:val="22"/>
        </w:rPr>
        <w:t>[The host customer]</w:t>
      </w:r>
      <w:r w:rsidRPr="00CD13C8">
        <w:rPr>
          <w:rFonts w:ascii="Palatino Linotype" w:hAnsi="Palatino Linotype"/>
          <w:sz w:val="22"/>
          <w:szCs w:val="22"/>
        </w:rPr>
        <w:t xml:space="preserve"> can carry forward any excess unused credit, though, and apply it to reduce the tax </w:t>
      </w:r>
      <w:r w:rsidR="00CA7611">
        <w:rPr>
          <w:rFonts w:ascii="Palatino Linotype" w:hAnsi="Palatino Linotype"/>
          <w:sz w:val="22"/>
          <w:szCs w:val="22"/>
        </w:rPr>
        <w:t>[</w:t>
      </w:r>
      <w:r w:rsidRPr="00CD13C8">
        <w:rPr>
          <w:rFonts w:ascii="Palatino Linotype" w:hAnsi="Palatino Linotype"/>
          <w:sz w:val="22"/>
          <w:szCs w:val="22"/>
        </w:rPr>
        <w:t>owe</w:t>
      </w:r>
      <w:r w:rsidR="00CA7611">
        <w:rPr>
          <w:rFonts w:ascii="Palatino Linotype" w:hAnsi="Palatino Linotype"/>
          <w:sz w:val="22"/>
          <w:szCs w:val="22"/>
        </w:rPr>
        <w:t>d]</w:t>
      </w:r>
      <w:r w:rsidRPr="00CD13C8">
        <w:rPr>
          <w:rFonts w:ascii="Palatino Linotype" w:hAnsi="Palatino Linotype"/>
          <w:sz w:val="22"/>
          <w:szCs w:val="22"/>
        </w:rPr>
        <w:t xml:space="preserve"> in future years</w:t>
      </w:r>
      <w:r w:rsidR="00CA7611">
        <w:rPr>
          <w:rFonts w:ascii="Palatino Linotype" w:hAnsi="Palatino Linotype"/>
          <w:sz w:val="22"/>
          <w:szCs w:val="22"/>
        </w:rPr>
        <w:t>…</w:t>
      </w:r>
    </w:p>
    <w:p w:rsidR="009B2603" w:rsidP="000B76E0" w:rsidRDefault="00071FB6" w14:paraId="31925356" w14:textId="1A09EE4C">
      <w:pPr>
        <w:ind w:left="720" w:right="720"/>
        <w:rPr>
          <w:rFonts w:ascii="Palatino Linotype" w:hAnsi="Palatino Linotype"/>
          <w:sz w:val="22"/>
          <w:szCs w:val="22"/>
        </w:rPr>
      </w:pPr>
      <w:r w:rsidRPr="00CD13C8">
        <w:rPr>
          <w:rFonts w:ascii="Palatino Linotype" w:hAnsi="Palatino Linotype"/>
          <w:sz w:val="22"/>
          <w:szCs w:val="22"/>
        </w:rPr>
        <w:t>The credit has no annual or lifetime dollar limit</w:t>
      </w:r>
      <w:r w:rsidR="00CA7611">
        <w:rPr>
          <w:rFonts w:ascii="Palatino Linotype" w:hAnsi="Palatino Linotype"/>
          <w:sz w:val="22"/>
          <w:szCs w:val="22"/>
        </w:rPr>
        <w:t>.</w:t>
      </w:r>
      <w:r w:rsidR="00D5224F">
        <w:rPr>
          <w:rFonts w:ascii="Palatino Linotype" w:hAnsi="Palatino Linotype"/>
          <w:sz w:val="22"/>
          <w:szCs w:val="22"/>
        </w:rPr>
        <w:t>”</w:t>
      </w:r>
      <w:r w:rsidR="00CA7611">
        <w:rPr>
          <w:rStyle w:val="FootnoteReference"/>
          <w:rFonts w:ascii="Palatino Linotype" w:hAnsi="Palatino Linotype"/>
          <w:sz w:val="22"/>
          <w:szCs w:val="22"/>
        </w:rPr>
        <w:footnoteReference w:id="13"/>
      </w:r>
    </w:p>
    <w:p w:rsidRPr="000B76E0" w:rsidR="000B76E0" w:rsidP="000B76E0" w:rsidRDefault="000B76E0" w14:paraId="50A79975" w14:textId="77777777">
      <w:pPr>
        <w:ind w:left="720" w:right="720"/>
        <w:rPr>
          <w:rFonts w:ascii="Palatino Linotype" w:hAnsi="Palatino Linotype"/>
          <w:sz w:val="22"/>
          <w:szCs w:val="22"/>
        </w:rPr>
      </w:pPr>
    </w:p>
    <w:p w:rsidRPr="00023C3B" w:rsidR="009B2603" w:rsidP="009B2603" w:rsidRDefault="009B2603" w14:paraId="2760DA6C" w14:textId="219FCE80">
      <w:pPr>
        <w:rPr>
          <w:rFonts w:ascii="Palatino Linotype" w:hAnsi="Palatino Linotype" w:eastAsia="Palatino Linotype"/>
          <w:sz w:val="24"/>
          <w:szCs w:val="24"/>
        </w:rPr>
      </w:pPr>
      <w:r w:rsidRPr="00023C3B">
        <w:rPr>
          <w:rFonts w:ascii="Palatino Linotype" w:hAnsi="Palatino Linotype" w:eastAsia="Palatino Linotype"/>
          <w:sz w:val="24"/>
          <w:szCs w:val="24"/>
        </w:rPr>
        <w:t>The I</w:t>
      </w:r>
      <w:r w:rsidR="00536032">
        <w:rPr>
          <w:rFonts w:ascii="Palatino Linotype" w:hAnsi="Palatino Linotype" w:eastAsia="Palatino Linotype"/>
          <w:sz w:val="24"/>
          <w:szCs w:val="24"/>
        </w:rPr>
        <w:t xml:space="preserve">nternal </w:t>
      </w:r>
      <w:r w:rsidRPr="00023C3B">
        <w:rPr>
          <w:rFonts w:ascii="Palatino Linotype" w:hAnsi="Palatino Linotype" w:eastAsia="Palatino Linotype"/>
          <w:sz w:val="24"/>
          <w:szCs w:val="24"/>
        </w:rPr>
        <w:t>R</w:t>
      </w:r>
      <w:r w:rsidR="00536032">
        <w:rPr>
          <w:rFonts w:ascii="Palatino Linotype" w:hAnsi="Palatino Linotype" w:eastAsia="Palatino Linotype"/>
          <w:sz w:val="24"/>
          <w:szCs w:val="24"/>
        </w:rPr>
        <w:t xml:space="preserve">evenue </w:t>
      </w:r>
      <w:r w:rsidRPr="00023C3B">
        <w:rPr>
          <w:rFonts w:ascii="Palatino Linotype" w:hAnsi="Palatino Linotype" w:eastAsia="Palatino Linotype"/>
          <w:sz w:val="24"/>
          <w:szCs w:val="24"/>
        </w:rPr>
        <w:t>S</w:t>
      </w:r>
      <w:r w:rsidR="00536032">
        <w:rPr>
          <w:rFonts w:ascii="Palatino Linotype" w:hAnsi="Palatino Linotype" w:eastAsia="Palatino Linotype"/>
          <w:sz w:val="24"/>
          <w:szCs w:val="24"/>
        </w:rPr>
        <w:t>ervice (IRS)</w:t>
      </w:r>
      <w:r w:rsidRPr="00023C3B">
        <w:rPr>
          <w:rFonts w:ascii="Palatino Linotype" w:hAnsi="Palatino Linotype" w:eastAsia="Palatino Linotype"/>
          <w:sz w:val="24"/>
          <w:szCs w:val="24"/>
        </w:rPr>
        <w:t xml:space="preserve"> provides guidance</w:t>
      </w:r>
      <w:r w:rsidR="00333F07">
        <w:rPr>
          <w:rFonts w:ascii="Palatino Linotype" w:hAnsi="Palatino Linotype" w:eastAsia="Palatino Linotype"/>
          <w:sz w:val="24"/>
          <w:szCs w:val="24"/>
        </w:rPr>
        <w:t xml:space="preserve"> </w:t>
      </w:r>
      <w:r w:rsidRPr="00023C3B">
        <w:rPr>
          <w:rFonts w:ascii="Palatino Linotype" w:hAnsi="Palatino Linotype" w:eastAsia="Palatino Linotype"/>
          <w:sz w:val="24"/>
          <w:szCs w:val="24"/>
        </w:rPr>
        <w:t xml:space="preserve">on how to use the </w:t>
      </w:r>
      <w:r>
        <w:rPr>
          <w:rFonts w:ascii="Palatino Linotype" w:hAnsi="Palatino Linotype" w:eastAsia="Palatino Linotype"/>
          <w:sz w:val="24"/>
          <w:szCs w:val="24"/>
        </w:rPr>
        <w:t>R</w:t>
      </w:r>
      <w:r w:rsidRPr="00023C3B">
        <w:rPr>
          <w:rFonts w:ascii="Palatino Linotype" w:hAnsi="Palatino Linotype" w:eastAsia="Palatino Linotype"/>
          <w:sz w:val="24"/>
          <w:szCs w:val="24"/>
        </w:rPr>
        <w:t>esidential</w:t>
      </w:r>
      <w:r>
        <w:rPr>
          <w:rFonts w:ascii="Palatino Linotype" w:hAnsi="Palatino Linotype" w:eastAsia="Palatino Linotype"/>
          <w:sz w:val="24"/>
          <w:szCs w:val="24"/>
        </w:rPr>
        <w:t xml:space="preserve"> Clean Energy</w:t>
      </w:r>
      <w:r w:rsidR="007504CA">
        <w:rPr>
          <w:rFonts w:ascii="Palatino Linotype" w:hAnsi="Palatino Linotype" w:eastAsia="Palatino Linotype"/>
          <w:sz w:val="24"/>
          <w:szCs w:val="24"/>
        </w:rPr>
        <w:t xml:space="preserve"> </w:t>
      </w:r>
      <w:r w:rsidRPr="00023C3B">
        <w:rPr>
          <w:rFonts w:ascii="Palatino Linotype" w:hAnsi="Palatino Linotype" w:eastAsia="Palatino Linotype"/>
          <w:sz w:val="24"/>
          <w:szCs w:val="24"/>
        </w:rPr>
        <w:t>tax credit with other funding sources:</w:t>
      </w:r>
    </w:p>
    <w:p w:rsidRPr="0072131B" w:rsidR="009B2603" w:rsidP="009B2603" w:rsidRDefault="009B2603" w14:paraId="49A83813" w14:textId="77777777">
      <w:pPr>
        <w:numPr>
          <w:ilvl w:val="0"/>
          <w:numId w:val="6"/>
        </w:numPr>
        <w:tabs>
          <w:tab w:val="clear" w:pos="360"/>
        </w:tabs>
        <w:spacing w:line="259" w:lineRule="auto"/>
        <w:ind w:left="1080" w:right="720"/>
        <w:rPr>
          <w:rFonts w:ascii="Palatino Linotype" w:hAnsi="Palatino Linotype" w:eastAsia="Palatino Linotype"/>
          <w:sz w:val="22"/>
          <w:szCs w:val="22"/>
        </w:rPr>
      </w:pPr>
      <w:r w:rsidRPr="0072131B">
        <w:rPr>
          <w:rFonts w:ascii="Palatino Linotype" w:hAnsi="Palatino Linotype" w:eastAsia="Palatino Linotype"/>
          <w:b/>
          <w:bCs/>
          <w:sz w:val="22"/>
          <w:szCs w:val="22"/>
        </w:rPr>
        <w:t>“Public utility subsidies</w:t>
      </w:r>
      <w:r w:rsidRPr="0072131B">
        <w:rPr>
          <w:rFonts w:ascii="Palatino Linotype" w:hAnsi="Palatino Linotype" w:eastAsia="Palatino Linotype"/>
          <w:sz w:val="22"/>
          <w:szCs w:val="22"/>
        </w:rPr>
        <w:t> for buying or installing clean energy property are subtracted from qualified expenses. This is true whether the subsidy comes directly to you or to a contractor on your behalf. However, utility payments for clean energy you sell back to the grid, such as net metering credits, don't affect your qualified expenses.</w:t>
      </w:r>
    </w:p>
    <w:p w:rsidRPr="0072131B" w:rsidR="009B2603" w:rsidP="009B2603" w:rsidRDefault="009B2603" w14:paraId="557C1EBF" w14:textId="77777777">
      <w:pPr>
        <w:numPr>
          <w:ilvl w:val="0"/>
          <w:numId w:val="6"/>
        </w:numPr>
        <w:tabs>
          <w:tab w:val="clear" w:pos="360"/>
        </w:tabs>
        <w:spacing w:line="259" w:lineRule="auto"/>
        <w:ind w:left="1080" w:right="720"/>
        <w:rPr>
          <w:rFonts w:ascii="Palatino Linotype" w:hAnsi="Palatino Linotype" w:eastAsia="Palatino Linotype"/>
          <w:sz w:val="22"/>
          <w:szCs w:val="22"/>
        </w:rPr>
      </w:pPr>
      <w:r w:rsidRPr="0072131B">
        <w:rPr>
          <w:rFonts w:ascii="Palatino Linotype" w:hAnsi="Palatino Linotype" w:eastAsia="Palatino Linotype"/>
          <w:b/>
          <w:bCs/>
          <w:sz w:val="22"/>
          <w:szCs w:val="22"/>
        </w:rPr>
        <w:t>Rebates</w:t>
      </w:r>
      <w:r w:rsidRPr="0072131B">
        <w:rPr>
          <w:rFonts w:ascii="Palatino Linotype" w:hAnsi="Palatino Linotype" w:eastAsia="Palatino Linotype"/>
          <w:sz w:val="22"/>
          <w:szCs w:val="22"/>
        </w:rPr>
        <w:t> are subtracted from qualified expenses if </w:t>
      </w:r>
      <w:r w:rsidRPr="0072131B">
        <w:rPr>
          <w:rFonts w:ascii="Palatino Linotype" w:hAnsi="Palatino Linotype" w:eastAsia="Palatino Linotype"/>
          <w:b/>
          <w:bCs/>
          <w:sz w:val="22"/>
          <w:szCs w:val="22"/>
        </w:rPr>
        <w:t>all</w:t>
      </w:r>
      <w:r w:rsidRPr="0072131B">
        <w:rPr>
          <w:rFonts w:ascii="Palatino Linotype" w:hAnsi="Palatino Linotype" w:eastAsia="Palatino Linotype"/>
          <w:sz w:val="22"/>
          <w:szCs w:val="22"/>
        </w:rPr>
        <w:t> of these apply:</w:t>
      </w:r>
    </w:p>
    <w:p w:rsidRPr="0072131B" w:rsidR="009B2603" w:rsidP="005B705C" w:rsidRDefault="009B2603" w14:paraId="15B46A2B" w14:textId="77777777">
      <w:pPr>
        <w:numPr>
          <w:ilvl w:val="0"/>
          <w:numId w:val="34"/>
        </w:numPr>
        <w:spacing w:line="259" w:lineRule="auto"/>
        <w:ind w:left="1656" w:right="720"/>
        <w:rPr>
          <w:rFonts w:ascii="Palatino Linotype" w:hAnsi="Palatino Linotype" w:eastAsia="Palatino Linotype"/>
          <w:sz w:val="22"/>
          <w:szCs w:val="22"/>
        </w:rPr>
      </w:pPr>
      <w:r w:rsidRPr="0072131B">
        <w:rPr>
          <w:rFonts w:ascii="Palatino Linotype" w:hAnsi="Palatino Linotype" w:eastAsia="Palatino Linotype"/>
          <w:sz w:val="22"/>
          <w:szCs w:val="22"/>
        </w:rPr>
        <w:t>The rebate is based on the cost of the property.</w:t>
      </w:r>
    </w:p>
    <w:p w:rsidRPr="0072131B" w:rsidR="009B2603" w:rsidP="005B705C" w:rsidRDefault="009B2603" w14:paraId="4559B2DC" w14:textId="77777777">
      <w:pPr>
        <w:numPr>
          <w:ilvl w:val="0"/>
          <w:numId w:val="34"/>
        </w:numPr>
        <w:spacing w:line="259" w:lineRule="auto"/>
        <w:ind w:left="1656" w:right="720"/>
        <w:rPr>
          <w:rFonts w:ascii="Palatino Linotype" w:hAnsi="Palatino Linotype" w:eastAsia="Palatino Linotype"/>
          <w:sz w:val="22"/>
          <w:szCs w:val="22"/>
        </w:rPr>
      </w:pPr>
      <w:r w:rsidRPr="0072131B">
        <w:rPr>
          <w:rFonts w:ascii="Palatino Linotype" w:hAnsi="Palatino Linotype" w:eastAsia="Palatino Linotype"/>
          <w:sz w:val="22"/>
          <w:szCs w:val="22"/>
        </w:rPr>
        <w:t>It comes from someone connected to the sale such as the manufacturer, distributor, seller or installer.</w:t>
      </w:r>
    </w:p>
    <w:p w:rsidRPr="0072131B" w:rsidR="009B2603" w:rsidP="005B705C" w:rsidRDefault="009B2603" w14:paraId="1D2F8774" w14:textId="5E0DC4C1">
      <w:pPr>
        <w:numPr>
          <w:ilvl w:val="0"/>
          <w:numId w:val="34"/>
        </w:numPr>
        <w:spacing w:line="259" w:lineRule="auto"/>
        <w:ind w:left="1656" w:right="720"/>
        <w:rPr>
          <w:rFonts w:ascii="Palatino Linotype" w:hAnsi="Palatino Linotype" w:eastAsia="Palatino Linotype"/>
          <w:sz w:val="22"/>
          <w:szCs w:val="22"/>
        </w:rPr>
      </w:pPr>
      <w:r w:rsidRPr="0072131B">
        <w:rPr>
          <w:rFonts w:ascii="Palatino Linotype" w:hAnsi="Palatino Linotype" w:eastAsia="Palatino Linotype"/>
          <w:sz w:val="22"/>
          <w:szCs w:val="22"/>
        </w:rPr>
        <w:t>It isn't given as payment for services you provide.</w:t>
      </w:r>
    </w:p>
    <w:p w:rsidRPr="0072131B" w:rsidR="009B2603" w:rsidP="009B2603" w:rsidRDefault="009B2603" w14:paraId="436C2556" w14:textId="77777777">
      <w:pPr>
        <w:numPr>
          <w:ilvl w:val="0"/>
          <w:numId w:val="6"/>
        </w:numPr>
        <w:tabs>
          <w:tab w:val="clear" w:pos="360"/>
        </w:tabs>
        <w:spacing w:line="259" w:lineRule="auto"/>
        <w:ind w:left="1080" w:right="720"/>
        <w:rPr>
          <w:rFonts w:ascii="Palatino Linotype" w:hAnsi="Palatino Linotype" w:eastAsia="Palatino Linotype"/>
          <w:sz w:val="22"/>
          <w:szCs w:val="22"/>
        </w:rPr>
      </w:pPr>
      <w:r w:rsidRPr="0072131B">
        <w:rPr>
          <w:rFonts w:ascii="Palatino Linotype" w:hAnsi="Palatino Linotype" w:eastAsia="Palatino Linotype"/>
          <w:b/>
          <w:bCs/>
          <w:sz w:val="22"/>
          <w:szCs w:val="22"/>
        </w:rPr>
        <w:t>State energy efficiency incentives </w:t>
      </w:r>
      <w:r w:rsidRPr="0072131B">
        <w:rPr>
          <w:rFonts w:ascii="Palatino Linotype" w:hAnsi="Palatino Linotype" w:eastAsia="Palatino Linotype"/>
          <w:sz w:val="22"/>
          <w:szCs w:val="22"/>
        </w:rPr>
        <w:t>are generally </w:t>
      </w:r>
      <w:r w:rsidRPr="0072131B">
        <w:rPr>
          <w:rFonts w:ascii="Palatino Linotype" w:hAnsi="Palatino Linotype" w:eastAsia="Palatino Linotype"/>
          <w:b/>
          <w:bCs/>
          <w:sz w:val="22"/>
          <w:szCs w:val="22"/>
        </w:rPr>
        <w:t>not</w:t>
      </w:r>
      <w:r w:rsidRPr="0072131B">
        <w:rPr>
          <w:rFonts w:ascii="Palatino Linotype" w:hAnsi="Palatino Linotype" w:eastAsia="Palatino Linotype"/>
          <w:sz w:val="22"/>
          <w:szCs w:val="22"/>
        </w:rPr>
        <w:t> subtracted from qualified costs unless they qualify as a rebate or purchase-price adjustment under federal income tax law. Many states label energy efficiency incentives as rebates even though they don't qualify under that definition. Those incentives could be included in your gross income for federal income tax purposes.”</w:t>
      </w:r>
      <w:r w:rsidRPr="0072131B">
        <w:rPr>
          <w:rStyle w:val="FootnoteReference"/>
          <w:rFonts w:ascii="Palatino Linotype" w:hAnsi="Palatino Linotype" w:eastAsia="Palatino Linotype"/>
          <w:sz w:val="22"/>
          <w:szCs w:val="22"/>
        </w:rPr>
        <w:footnoteReference w:id="14"/>
      </w:r>
    </w:p>
    <w:p w:rsidR="00982206" w:rsidP="00071FB6" w:rsidRDefault="00982206" w14:paraId="1B1B8D2F" w14:textId="77777777">
      <w:pPr>
        <w:ind w:left="720" w:right="720"/>
        <w:rPr>
          <w:rFonts w:ascii="Palatino Linotype" w:hAnsi="Palatino Linotype"/>
          <w:sz w:val="22"/>
          <w:szCs w:val="22"/>
        </w:rPr>
      </w:pPr>
    </w:p>
    <w:p w:rsidRPr="00F62078" w:rsidR="00982206" w:rsidP="00CD13C8" w:rsidRDefault="00982206" w14:paraId="52F01EEA" w14:textId="565B576F">
      <w:pPr>
        <w:rPr>
          <w:rFonts w:ascii="Palatino Linotype" w:hAnsi="Palatino Linotype"/>
          <w:sz w:val="24"/>
          <w:szCs w:val="24"/>
        </w:rPr>
      </w:pPr>
      <w:r w:rsidRPr="00CD13C8">
        <w:rPr>
          <w:rFonts w:ascii="Palatino Linotype" w:hAnsi="Palatino Linotype"/>
          <w:sz w:val="24"/>
          <w:szCs w:val="24"/>
        </w:rPr>
        <w:t xml:space="preserve">For </w:t>
      </w:r>
      <w:r w:rsidRPr="00CD13C8" w:rsidR="000A64CF">
        <w:rPr>
          <w:rFonts w:ascii="Palatino Linotype" w:hAnsi="Palatino Linotype"/>
          <w:sz w:val="24"/>
          <w:szCs w:val="24"/>
        </w:rPr>
        <w:t>non-</w:t>
      </w:r>
      <w:r w:rsidRPr="00CD13C8" w:rsidR="00F62078">
        <w:rPr>
          <w:rFonts w:ascii="Palatino Linotype" w:hAnsi="Palatino Linotype"/>
          <w:sz w:val="24"/>
          <w:szCs w:val="24"/>
        </w:rPr>
        <w:t>residential</w:t>
      </w:r>
      <w:r w:rsidRPr="00CD13C8" w:rsidR="000A64CF">
        <w:rPr>
          <w:rFonts w:ascii="Palatino Linotype" w:hAnsi="Palatino Linotype"/>
          <w:sz w:val="24"/>
          <w:szCs w:val="24"/>
        </w:rPr>
        <w:t xml:space="preserve"> systems and </w:t>
      </w:r>
      <w:r w:rsidR="007C20D9">
        <w:rPr>
          <w:rFonts w:ascii="Palatino Linotype" w:hAnsi="Palatino Linotype"/>
          <w:sz w:val="24"/>
          <w:szCs w:val="24"/>
        </w:rPr>
        <w:t>TPO</w:t>
      </w:r>
      <w:r w:rsidRPr="00CD13C8" w:rsidR="000A64CF">
        <w:rPr>
          <w:rFonts w:ascii="Palatino Linotype" w:hAnsi="Palatino Linotype"/>
          <w:sz w:val="24"/>
          <w:szCs w:val="24"/>
        </w:rPr>
        <w:t xml:space="preserve"> </w:t>
      </w:r>
      <w:r w:rsidRPr="00CD13C8" w:rsidR="0034797E">
        <w:rPr>
          <w:rFonts w:ascii="Palatino Linotype" w:hAnsi="Palatino Linotype"/>
          <w:sz w:val="24"/>
          <w:szCs w:val="24"/>
        </w:rPr>
        <w:t>systems,</w:t>
      </w:r>
      <w:r w:rsidRPr="00CD13C8" w:rsidR="00F62078">
        <w:rPr>
          <w:rFonts w:ascii="Palatino Linotype" w:hAnsi="Palatino Linotype"/>
          <w:sz w:val="24"/>
          <w:szCs w:val="24"/>
        </w:rPr>
        <w:t xml:space="preserve"> the </w:t>
      </w:r>
    </w:p>
    <w:p w:rsidR="00EF6814" w:rsidP="00127E6E" w:rsidRDefault="00D5224F" w14:paraId="748CEBBE" w14:textId="7A8168C4">
      <w:pPr>
        <w:ind w:left="720" w:right="720"/>
        <w:rPr>
          <w:rFonts w:ascii="Palatino Linotype" w:hAnsi="Palatino Linotype"/>
          <w:sz w:val="22"/>
          <w:szCs w:val="22"/>
        </w:rPr>
      </w:pPr>
      <w:r>
        <w:rPr>
          <w:rFonts w:ascii="Palatino Linotype" w:hAnsi="Palatino Linotype"/>
          <w:sz w:val="22"/>
          <w:szCs w:val="22"/>
        </w:rPr>
        <w:t>“</w:t>
      </w:r>
      <w:r w:rsidRPr="00CD13C8" w:rsidR="00E25FFC">
        <w:rPr>
          <w:rFonts w:ascii="Palatino Linotype" w:hAnsi="Palatino Linotype"/>
          <w:sz w:val="22"/>
          <w:szCs w:val="22"/>
        </w:rPr>
        <w:t>E</w:t>
      </w:r>
      <w:r w:rsidRPr="00CD13C8" w:rsidR="00D94821">
        <w:rPr>
          <w:rFonts w:ascii="Palatino Linotype" w:hAnsi="Palatino Linotype"/>
          <w:sz w:val="22"/>
          <w:szCs w:val="22"/>
        </w:rPr>
        <w:t>nergy investment credits</w:t>
      </w:r>
      <w:r w:rsidRPr="00CD13C8" w:rsidR="00E25FFC">
        <w:rPr>
          <w:rFonts w:ascii="Palatino Linotype" w:hAnsi="Palatino Linotype"/>
          <w:sz w:val="22"/>
          <w:szCs w:val="22"/>
        </w:rPr>
        <w:t>… S</w:t>
      </w:r>
      <w:r w:rsidRPr="00CD13C8" w:rsidR="00D94821">
        <w:rPr>
          <w:rFonts w:ascii="Palatino Linotype" w:hAnsi="Palatino Linotype"/>
          <w:sz w:val="22"/>
          <w:szCs w:val="22"/>
        </w:rPr>
        <w:t>ection 48C provides a tax credit of up to 30% of</w:t>
      </w:r>
    </w:p>
    <w:p w:rsidR="00EF6814" w:rsidP="00127E6E" w:rsidRDefault="00D94821" w14:paraId="1AFDE444" w14:textId="77777777">
      <w:pPr>
        <w:ind w:left="720" w:right="720"/>
        <w:rPr>
          <w:rFonts w:ascii="Palatino Linotype" w:hAnsi="Palatino Linotype"/>
          <w:sz w:val="22"/>
          <w:szCs w:val="22"/>
        </w:rPr>
      </w:pPr>
      <w:r w:rsidRPr="00CD13C8">
        <w:rPr>
          <w:rFonts w:ascii="Palatino Linotype" w:hAnsi="Palatino Linotype"/>
          <w:sz w:val="22"/>
          <w:szCs w:val="22"/>
        </w:rPr>
        <w:t xml:space="preserve"> the qualified investment in an advanced energy project that meets the </w:t>
      </w:r>
    </w:p>
    <w:p w:rsidR="00EF6814" w:rsidP="00127E6E" w:rsidRDefault="00D94821" w14:paraId="3F77AE41" w14:textId="77777777">
      <w:pPr>
        <w:ind w:left="720" w:right="720"/>
        <w:rPr>
          <w:rFonts w:ascii="Palatino Linotype" w:hAnsi="Palatino Linotype"/>
          <w:sz w:val="22"/>
          <w:szCs w:val="22"/>
        </w:rPr>
      </w:pPr>
      <w:r w:rsidRPr="00CD13C8">
        <w:rPr>
          <w:rFonts w:ascii="Palatino Linotype" w:hAnsi="Palatino Linotype"/>
          <w:sz w:val="22"/>
          <w:szCs w:val="22"/>
        </w:rPr>
        <w:t>prevailing wage and apprenticeship requirements</w:t>
      </w:r>
      <w:r w:rsidRPr="00CD13C8" w:rsidR="00E25FFC">
        <w:rPr>
          <w:rFonts w:ascii="Palatino Linotype" w:hAnsi="Palatino Linotype"/>
          <w:sz w:val="22"/>
          <w:szCs w:val="22"/>
        </w:rPr>
        <w:t>… S</w:t>
      </w:r>
      <w:r w:rsidRPr="00CD13C8">
        <w:rPr>
          <w:rFonts w:ascii="Palatino Linotype" w:hAnsi="Palatino Linotype"/>
          <w:sz w:val="22"/>
          <w:szCs w:val="22"/>
        </w:rPr>
        <w:t>ection 48 also provides</w:t>
      </w:r>
    </w:p>
    <w:p w:rsidRPr="00CD13C8" w:rsidR="00D94821" w:rsidP="00CD13C8" w:rsidRDefault="00D94821" w14:paraId="3ACEFDA4" w14:textId="45D96154">
      <w:pPr>
        <w:ind w:left="720" w:right="720"/>
        <w:rPr>
          <w:rFonts w:ascii="Palatino Linotype" w:hAnsi="Palatino Linotype"/>
          <w:sz w:val="22"/>
          <w:szCs w:val="22"/>
        </w:rPr>
      </w:pPr>
      <w:r w:rsidRPr="00CD13C8">
        <w:rPr>
          <w:rFonts w:ascii="Palatino Linotype" w:hAnsi="Palatino Linotype"/>
          <w:sz w:val="22"/>
          <w:szCs w:val="22"/>
        </w:rPr>
        <w:t xml:space="preserve"> 3 bonus credits if certain conditions are met.</w:t>
      </w:r>
    </w:p>
    <w:tbl>
      <w:tblPr>
        <w:tblW w:w="10530" w:type="dxa"/>
        <w:tblInd w:w="-75" w:type="dxa"/>
        <w:tblCellMar>
          <w:top w:w="15" w:type="dxa"/>
          <w:left w:w="15" w:type="dxa"/>
          <w:bottom w:w="15" w:type="dxa"/>
          <w:right w:w="15" w:type="dxa"/>
        </w:tblCellMar>
        <w:tblLook w:val="04A0" w:firstRow="1" w:lastRow="0" w:firstColumn="1" w:lastColumn="0" w:noHBand="0" w:noVBand="1"/>
        <w:tblDescription w:val="Simple list"/>
      </w:tblPr>
      <w:tblGrid>
        <w:gridCol w:w="10530"/>
      </w:tblGrid>
      <w:tr w:rsidRPr="00CD13C8" w:rsidR="00D3702B" w:rsidTr="00127E6E" w14:paraId="4622B931" w14:textId="77777777">
        <w:tc>
          <w:tcPr>
            <w:tcW w:w="0" w:type="auto"/>
            <w:tcBorders>
              <w:top w:val="nil"/>
              <w:left w:val="nil"/>
              <w:bottom w:val="nil"/>
              <w:right w:val="nil"/>
            </w:tcBorders>
            <w:shd w:val="clear" w:color="auto" w:fill="auto"/>
            <w:tcMar>
              <w:top w:w="0" w:type="dxa"/>
              <w:left w:w="75" w:type="dxa"/>
              <w:bottom w:w="0" w:type="dxa"/>
              <w:right w:w="75" w:type="dxa"/>
            </w:tcMar>
            <w:vAlign w:val="center"/>
            <w:hideMark/>
          </w:tcPr>
          <w:p w:rsidR="00EF6814" w:rsidP="00803FD4" w:rsidRDefault="00D94821" w14:paraId="3D6CB63D" w14:textId="77777777">
            <w:pPr>
              <w:ind w:left="1152" w:right="720"/>
              <w:rPr>
                <w:rFonts w:ascii="Palatino Linotype" w:hAnsi="Palatino Linotype"/>
                <w:sz w:val="22"/>
                <w:szCs w:val="22"/>
              </w:rPr>
            </w:pPr>
            <w:r w:rsidRPr="00CD13C8">
              <w:rPr>
                <w:rFonts w:ascii="Palatino Linotype" w:hAnsi="Palatino Linotype"/>
                <w:sz w:val="22"/>
                <w:szCs w:val="22"/>
              </w:rPr>
              <w:t xml:space="preserve">• The energy credit is increased by up to 10% for projects meeting certain </w:t>
            </w:r>
          </w:p>
          <w:p w:rsidRPr="00CD13C8" w:rsidR="00D94821" w:rsidP="00803FD4" w:rsidRDefault="00D94821" w14:paraId="31E5560B" w14:textId="1346A0F6">
            <w:pPr>
              <w:ind w:left="1152" w:right="720"/>
              <w:rPr>
                <w:rFonts w:ascii="Palatino Linotype" w:hAnsi="Palatino Linotype"/>
                <w:sz w:val="22"/>
                <w:szCs w:val="22"/>
              </w:rPr>
            </w:pPr>
            <w:r w:rsidRPr="00CD13C8">
              <w:rPr>
                <w:rFonts w:ascii="Palatino Linotype" w:hAnsi="Palatino Linotype"/>
                <w:sz w:val="22"/>
                <w:szCs w:val="22"/>
              </w:rPr>
              <w:t>domestic content requirements for steel, iron, and manufactured products.</w:t>
            </w:r>
          </w:p>
        </w:tc>
      </w:tr>
      <w:tr w:rsidRPr="00CD13C8" w:rsidR="00D3702B" w:rsidTr="00127E6E" w14:paraId="28DEF2AE" w14:textId="77777777">
        <w:tc>
          <w:tcPr>
            <w:tcW w:w="0" w:type="auto"/>
            <w:tcBorders>
              <w:top w:val="nil"/>
              <w:left w:val="nil"/>
              <w:bottom w:val="nil"/>
              <w:right w:val="nil"/>
            </w:tcBorders>
            <w:shd w:val="clear" w:color="auto" w:fill="auto"/>
            <w:tcMar>
              <w:top w:w="0" w:type="dxa"/>
              <w:left w:w="75" w:type="dxa"/>
              <w:bottom w:w="0" w:type="dxa"/>
              <w:right w:w="75" w:type="dxa"/>
            </w:tcMar>
            <w:vAlign w:val="center"/>
            <w:hideMark/>
          </w:tcPr>
          <w:p w:rsidR="00EF6814" w:rsidP="00803FD4" w:rsidRDefault="00D94821" w14:paraId="766AC5EC" w14:textId="77777777">
            <w:pPr>
              <w:ind w:left="1152" w:right="720"/>
              <w:rPr>
                <w:rFonts w:ascii="Palatino Linotype" w:hAnsi="Palatino Linotype"/>
                <w:sz w:val="22"/>
                <w:szCs w:val="22"/>
              </w:rPr>
            </w:pPr>
            <w:r w:rsidRPr="00CD13C8">
              <w:rPr>
                <w:rFonts w:ascii="Palatino Linotype" w:hAnsi="Palatino Linotype"/>
                <w:sz w:val="22"/>
                <w:szCs w:val="22"/>
              </w:rPr>
              <w:t xml:space="preserve">• The energy credit is increased by up to 10% if located in an energy </w:t>
            </w:r>
          </w:p>
          <w:p w:rsidRPr="00CD13C8" w:rsidR="00D94821" w:rsidP="00803FD4" w:rsidRDefault="00D94821" w14:paraId="3D27546F" w14:textId="34F35759">
            <w:pPr>
              <w:ind w:left="1152" w:right="720"/>
              <w:rPr>
                <w:rFonts w:ascii="Palatino Linotype" w:hAnsi="Palatino Linotype"/>
                <w:sz w:val="22"/>
                <w:szCs w:val="22"/>
              </w:rPr>
            </w:pPr>
            <w:r w:rsidRPr="00CD13C8">
              <w:rPr>
                <w:rFonts w:ascii="Palatino Linotype" w:hAnsi="Palatino Linotype"/>
                <w:sz w:val="22"/>
                <w:szCs w:val="22"/>
              </w:rPr>
              <w:t>community.</w:t>
            </w:r>
          </w:p>
        </w:tc>
      </w:tr>
      <w:tr w:rsidRPr="00CD13C8" w:rsidR="00D3702B" w:rsidTr="00127E6E" w14:paraId="77DE3B87" w14:textId="77777777">
        <w:tc>
          <w:tcPr>
            <w:tcW w:w="0" w:type="auto"/>
            <w:tcBorders>
              <w:top w:val="nil"/>
              <w:left w:val="nil"/>
              <w:bottom w:val="nil"/>
              <w:right w:val="nil"/>
            </w:tcBorders>
            <w:shd w:val="clear" w:color="auto" w:fill="auto"/>
            <w:tcMar>
              <w:top w:w="0" w:type="dxa"/>
              <w:left w:w="75" w:type="dxa"/>
              <w:bottom w:w="0" w:type="dxa"/>
              <w:right w:w="75" w:type="dxa"/>
            </w:tcMar>
            <w:vAlign w:val="center"/>
            <w:hideMark/>
          </w:tcPr>
          <w:p w:rsidR="00EF6814" w:rsidP="00803FD4" w:rsidRDefault="00D94821" w14:paraId="7481D63D" w14:textId="77777777">
            <w:pPr>
              <w:ind w:left="1152" w:right="720"/>
              <w:rPr>
                <w:rFonts w:ascii="Palatino Linotype" w:hAnsi="Palatino Linotype"/>
                <w:sz w:val="22"/>
                <w:szCs w:val="22"/>
              </w:rPr>
            </w:pPr>
            <w:r w:rsidRPr="00CD13C8">
              <w:rPr>
                <w:rFonts w:ascii="Palatino Linotype" w:hAnsi="Palatino Linotype"/>
                <w:sz w:val="22"/>
                <w:szCs w:val="22"/>
              </w:rPr>
              <w:t xml:space="preserve">• The energy credit is increased by up to 20% on certain solar and wind </w:t>
            </w:r>
          </w:p>
          <w:p w:rsidRPr="00CD13C8" w:rsidR="00D94821" w:rsidP="00803FD4" w:rsidRDefault="00D94821" w14:paraId="0C10B436" w14:textId="5652EC57">
            <w:pPr>
              <w:ind w:left="1152" w:right="720"/>
              <w:rPr>
                <w:rFonts w:ascii="Palatino Linotype" w:hAnsi="Palatino Linotype"/>
                <w:sz w:val="22"/>
                <w:szCs w:val="22"/>
              </w:rPr>
            </w:pPr>
            <w:r w:rsidRPr="00CD13C8">
              <w:rPr>
                <w:rFonts w:ascii="Palatino Linotype" w:hAnsi="Palatino Linotype"/>
                <w:sz w:val="22"/>
                <w:szCs w:val="22"/>
              </w:rPr>
              <w:t>facilities placed in service in connection with low-income communities.</w:t>
            </w:r>
            <w:r w:rsidR="00D5224F">
              <w:rPr>
                <w:rFonts w:ascii="Palatino Linotype" w:hAnsi="Palatino Linotype"/>
                <w:sz w:val="22"/>
                <w:szCs w:val="22"/>
              </w:rPr>
              <w:t>”</w:t>
            </w:r>
            <w:r w:rsidRPr="00CD13C8" w:rsidR="00BA4A31">
              <w:rPr>
                <w:rStyle w:val="FootnoteReference"/>
                <w:rFonts w:ascii="Palatino Linotype" w:hAnsi="Palatino Linotype"/>
                <w:sz w:val="22"/>
                <w:szCs w:val="22"/>
              </w:rPr>
              <w:footnoteReference w:id="15"/>
            </w:r>
          </w:p>
        </w:tc>
      </w:tr>
    </w:tbl>
    <w:p w:rsidR="5DC749CB" w:rsidP="00F65E9F" w:rsidRDefault="5DC749CB" w14:paraId="59C7CFEF" w14:textId="3EDD1F9A">
      <w:pPr>
        <w:pStyle w:val="Res-Caption"/>
        <w:ind w:left="0" w:right="0"/>
        <w:rPr>
          <w:rFonts w:ascii="Palatino Linotype" w:hAnsi="Palatino Linotype"/>
          <w:b/>
          <w:bCs/>
          <w:sz w:val="24"/>
          <w:szCs w:val="24"/>
        </w:rPr>
      </w:pPr>
    </w:p>
    <w:p w:rsidR="00F816DB" w:rsidP="00F65E9F" w:rsidRDefault="00F816DB" w14:paraId="7BD8A420" w14:textId="77777777">
      <w:pPr>
        <w:pStyle w:val="Res-Caption"/>
        <w:ind w:left="0" w:right="0"/>
        <w:rPr>
          <w:rFonts w:ascii="Palatino Linotype" w:hAnsi="Palatino Linotype"/>
          <w:b/>
          <w:bCs/>
          <w:sz w:val="24"/>
          <w:szCs w:val="24"/>
        </w:rPr>
      </w:pPr>
    </w:p>
    <w:p w:rsidR="003607B4" w:rsidP="00E178A8" w:rsidRDefault="00F642E3" w14:paraId="5B029BCC" w14:textId="100C1FD5">
      <w:pPr>
        <w:pStyle w:val="Res-Caption"/>
        <w:ind w:left="0"/>
        <w:rPr>
          <w:rFonts w:ascii="Palatino Linotype" w:hAnsi="Palatino Linotype"/>
          <w:b/>
          <w:bCs/>
          <w:sz w:val="24"/>
          <w:szCs w:val="24"/>
        </w:rPr>
      </w:pPr>
      <w:r>
        <w:rPr>
          <w:rFonts w:ascii="Palatino Linotype" w:hAnsi="Palatino Linotype"/>
          <w:b/>
          <w:bCs/>
          <w:sz w:val="24"/>
          <w:szCs w:val="24"/>
        </w:rPr>
        <w:lastRenderedPageBreak/>
        <w:t xml:space="preserve">Proposed </w:t>
      </w:r>
      <w:r w:rsidR="004A113F">
        <w:rPr>
          <w:rFonts w:ascii="Palatino Linotype" w:hAnsi="Palatino Linotype"/>
          <w:b/>
          <w:bCs/>
          <w:sz w:val="24"/>
          <w:szCs w:val="24"/>
        </w:rPr>
        <w:t>IRA Tax Credit Utilization</w:t>
      </w:r>
      <w:r w:rsidRPr="128A0586" w:rsidR="38024F46">
        <w:rPr>
          <w:rFonts w:ascii="Palatino Linotype" w:hAnsi="Palatino Linotype"/>
          <w:b/>
          <w:bCs/>
          <w:sz w:val="24"/>
          <w:szCs w:val="24"/>
        </w:rPr>
        <w:t xml:space="preserve"> in </w:t>
      </w:r>
      <w:r w:rsidRPr="0412632C" w:rsidR="38024F46">
        <w:rPr>
          <w:rFonts w:ascii="Palatino Linotype" w:hAnsi="Palatino Linotype"/>
          <w:b/>
          <w:bCs/>
          <w:sz w:val="24"/>
          <w:szCs w:val="24"/>
        </w:rPr>
        <w:t>Joint</w:t>
      </w:r>
      <w:r w:rsidRPr="2EA831E2" w:rsidR="38024F46">
        <w:rPr>
          <w:rFonts w:ascii="Palatino Linotype" w:hAnsi="Palatino Linotype"/>
          <w:b/>
          <w:bCs/>
          <w:sz w:val="24"/>
          <w:szCs w:val="24"/>
        </w:rPr>
        <w:t xml:space="preserve"> PA </w:t>
      </w:r>
      <w:r w:rsidRPr="04777748" w:rsidR="38024F46">
        <w:rPr>
          <w:rFonts w:ascii="Palatino Linotype" w:hAnsi="Palatino Linotype"/>
          <w:b/>
          <w:bCs/>
          <w:sz w:val="24"/>
          <w:szCs w:val="24"/>
        </w:rPr>
        <w:t>Advice Letter</w:t>
      </w:r>
    </w:p>
    <w:p w:rsidR="000C7C4B" w:rsidP="00344280" w:rsidRDefault="000C7C4B" w14:paraId="72FD7BD4" w14:textId="77777777">
      <w:pPr>
        <w:pStyle w:val="Res-Caption"/>
        <w:ind w:left="0" w:right="0"/>
        <w:rPr>
          <w:rFonts w:ascii="Palatino Linotype" w:hAnsi="Palatino Linotype"/>
          <w:sz w:val="24"/>
          <w:szCs w:val="24"/>
        </w:rPr>
      </w:pPr>
    </w:p>
    <w:p w:rsidR="00344280" w:rsidP="00344280" w:rsidRDefault="000C7C4B" w14:paraId="0C857B51" w14:textId="4DD80325">
      <w:pPr>
        <w:pStyle w:val="Res-Caption"/>
        <w:ind w:left="0" w:right="0"/>
        <w:rPr>
          <w:rFonts w:ascii="Palatino Linotype" w:hAnsi="Palatino Linotype"/>
          <w:sz w:val="24"/>
          <w:szCs w:val="24"/>
        </w:rPr>
      </w:pPr>
      <w:r w:rsidRPr="5EE8E126">
        <w:rPr>
          <w:rFonts w:ascii="Palatino Linotype" w:hAnsi="Palatino Linotype"/>
          <w:sz w:val="24"/>
          <w:szCs w:val="24"/>
        </w:rPr>
        <w:t>On September 20, 2024, the PAs held a workshop to solicit feedback from SGIP stakeholders on how to maximize the IRA tax credit. On November 18, 2024, the PAs submitted a joint Advice Letter, 6405-G, 5000-G/7436-E, 5423-E, and 161-E (SCG AL 6405-G et al.) to establish the IRA tax credit process in the SGIP.</w:t>
      </w:r>
    </w:p>
    <w:p w:rsidR="000C7C4B" w:rsidP="00344280" w:rsidRDefault="000C7C4B" w14:paraId="27910C3A" w14:textId="77777777">
      <w:pPr>
        <w:pStyle w:val="Res-Caption"/>
        <w:ind w:left="0" w:right="0"/>
        <w:rPr>
          <w:rFonts w:ascii="Palatino Linotype" w:hAnsi="Palatino Linotype"/>
          <w:sz w:val="24"/>
          <w:szCs w:val="24"/>
        </w:rPr>
      </w:pPr>
    </w:p>
    <w:p w:rsidR="00975384" w:rsidP="5EE8E126" w:rsidRDefault="218A48EA" w14:paraId="7B7C7605" w14:textId="42A12D2F">
      <w:pPr>
        <w:pStyle w:val="Res-Caption"/>
        <w:ind w:left="0" w:right="0"/>
        <w:rPr>
          <w:rFonts w:ascii="Palatino Linotype" w:hAnsi="Palatino Linotype"/>
          <w:sz w:val="24"/>
          <w:szCs w:val="24"/>
        </w:rPr>
      </w:pPr>
      <w:r w:rsidRPr="5EE8E126">
        <w:rPr>
          <w:rFonts w:ascii="Palatino Linotype" w:hAnsi="Palatino Linotype"/>
          <w:sz w:val="24"/>
          <w:szCs w:val="24"/>
        </w:rPr>
        <w:t xml:space="preserve">The </w:t>
      </w:r>
      <w:r w:rsidRPr="5EE8E126" w:rsidR="7103C755">
        <w:rPr>
          <w:rFonts w:ascii="Palatino Linotype" w:hAnsi="Palatino Linotype"/>
          <w:sz w:val="24"/>
          <w:szCs w:val="24"/>
        </w:rPr>
        <w:t xml:space="preserve">Joint </w:t>
      </w:r>
      <w:r w:rsidRPr="5EE8E126">
        <w:rPr>
          <w:rFonts w:ascii="Palatino Linotype" w:hAnsi="Palatino Linotype"/>
          <w:sz w:val="24"/>
          <w:szCs w:val="24"/>
        </w:rPr>
        <w:t>PA</w:t>
      </w:r>
      <w:r w:rsidRPr="5EE8E126" w:rsidR="56735033">
        <w:rPr>
          <w:rFonts w:ascii="Palatino Linotype" w:hAnsi="Palatino Linotype"/>
          <w:sz w:val="24"/>
          <w:szCs w:val="24"/>
        </w:rPr>
        <w:t xml:space="preserve"> Advice Letter </w:t>
      </w:r>
      <w:r w:rsidRPr="5EE8E126">
        <w:rPr>
          <w:rFonts w:ascii="Palatino Linotype" w:hAnsi="Palatino Linotype"/>
          <w:sz w:val="24"/>
          <w:szCs w:val="24"/>
        </w:rPr>
        <w:t>propose</w:t>
      </w:r>
      <w:r w:rsidRPr="5EE8E126" w:rsidR="3512D801">
        <w:rPr>
          <w:rFonts w:ascii="Palatino Linotype" w:hAnsi="Palatino Linotype"/>
          <w:sz w:val="24"/>
          <w:szCs w:val="24"/>
        </w:rPr>
        <w:t>s</w:t>
      </w:r>
      <w:r w:rsidRPr="5EE8E126">
        <w:rPr>
          <w:rFonts w:ascii="Palatino Linotype" w:hAnsi="Palatino Linotype"/>
          <w:sz w:val="24"/>
          <w:szCs w:val="24"/>
        </w:rPr>
        <w:t xml:space="preserve"> that</w:t>
      </w:r>
      <w:r w:rsidR="00777751">
        <w:rPr>
          <w:rFonts w:ascii="Palatino Linotype" w:hAnsi="Palatino Linotype"/>
          <w:sz w:val="24"/>
          <w:szCs w:val="24"/>
        </w:rPr>
        <w:t>:</w:t>
      </w:r>
    </w:p>
    <w:p w:rsidR="00975384" w:rsidP="00975384" w:rsidRDefault="00975384" w14:paraId="41A13D34" w14:textId="47E8D9C5">
      <w:pPr>
        <w:pStyle w:val="Res-Caption"/>
        <w:numPr>
          <w:ilvl w:val="0"/>
          <w:numId w:val="10"/>
        </w:numPr>
        <w:rPr>
          <w:rFonts w:ascii="Palatino Linotype" w:hAnsi="Palatino Linotype"/>
          <w:sz w:val="24"/>
          <w:szCs w:val="24"/>
        </w:rPr>
      </w:pPr>
      <w:r>
        <w:rPr>
          <w:rFonts w:ascii="Palatino Linotype" w:hAnsi="Palatino Linotype"/>
          <w:sz w:val="24"/>
          <w:szCs w:val="24"/>
        </w:rPr>
        <w:t>A</w:t>
      </w:r>
      <w:r w:rsidR="002815FD">
        <w:rPr>
          <w:rFonts w:ascii="Palatino Linotype" w:hAnsi="Palatino Linotype"/>
          <w:sz w:val="24"/>
          <w:szCs w:val="24"/>
        </w:rPr>
        <w:t xml:space="preserve">ll SGIP projects are defaulted to take </w:t>
      </w:r>
      <w:r w:rsidR="002E05A4">
        <w:rPr>
          <w:rFonts w:ascii="Palatino Linotype" w:hAnsi="Palatino Linotype"/>
          <w:sz w:val="24"/>
          <w:szCs w:val="24"/>
        </w:rPr>
        <w:t>the full IRA tax credit</w:t>
      </w:r>
      <w:r w:rsidR="00CA7864">
        <w:rPr>
          <w:rFonts w:ascii="Palatino Linotype" w:hAnsi="Palatino Linotype"/>
          <w:sz w:val="24"/>
          <w:szCs w:val="24"/>
        </w:rPr>
        <w:t xml:space="preserve"> at </w:t>
      </w:r>
      <w:r w:rsidR="003C5F99">
        <w:rPr>
          <w:rFonts w:ascii="Palatino Linotype" w:hAnsi="Palatino Linotype"/>
          <w:sz w:val="24"/>
          <w:szCs w:val="24"/>
        </w:rPr>
        <w:br/>
      </w:r>
      <w:r w:rsidR="00CA7864">
        <w:rPr>
          <w:rFonts w:ascii="Palatino Linotype" w:hAnsi="Palatino Linotype"/>
          <w:sz w:val="24"/>
          <w:szCs w:val="24"/>
        </w:rPr>
        <w:t>30 percent of the total eligible project costs</w:t>
      </w:r>
      <w:r w:rsidRPr="495131ED" w:rsidR="75A71239">
        <w:rPr>
          <w:rFonts w:ascii="Palatino Linotype" w:hAnsi="Palatino Linotype"/>
          <w:sz w:val="24"/>
          <w:szCs w:val="24"/>
        </w:rPr>
        <w:t xml:space="preserve"> with SGIP covering up to 70</w:t>
      </w:r>
      <w:r w:rsidR="00922828">
        <w:rPr>
          <w:rFonts w:ascii="Palatino Linotype" w:hAnsi="Palatino Linotype"/>
          <w:sz w:val="24"/>
          <w:szCs w:val="24"/>
        </w:rPr>
        <w:t xml:space="preserve"> percent</w:t>
      </w:r>
      <w:r w:rsidRPr="495131ED" w:rsidR="75A71239">
        <w:rPr>
          <w:rFonts w:ascii="Palatino Linotype" w:hAnsi="Palatino Linotype"/>
          <w:sz w:val="24"/>
          <w:szCs w:val="24"/>
        </w:rPr>
        <w:t xml:space="preserve"> of</w:t>
      </w:r>
      <w:r w:rsidRPr="495131ED" w:rsidR="2A7CEBDE">
        <w:rPr>
          <w:rFonts w:ascii="Palatino Linotype" w:hAnsi="Palatino Linotype"/>
          <w:sz w:val="24"/>
          <w:szCs w:val="24"/>
        </w:rPr>
        <w:t xml:space="preserve"> project costs</w:t>
      </w:r>
      <w:r>
        <w:rPr>
          <w:rFonts w:ascii="Palatino Linotype" w:hAnsi="Palatino Linotype"/>
          <w:sz w:val="24"/>
          <w:szCs w:val="24"/>
        </w:rPr>
        <w:t>;</w:t>
      </w:r>
    </w:p>
    <w:p w:rsidR="006E2D68" w:rsidP="00975384" w:rsidRDefault="00980222" w14:paraId="438A3F4F" w14:textId="3B0CEE1A">
      <w:pPr>
        <w:pStyle w:val="Res-Caption"/>
        <w:numPr>
          <w:ilvl w:val="0"/>
          <w:numId w:val="10"/>
        </w:numPr>
        <w:rPr>
          <w:rFonts w:ascii="Palatino Linotype" w:hAnsi="Palatino Linotype"/>
          <w:sz w:val="24"/>
          <w:szCs w:val="24"/>
        </w:rPr>
      </w:pPr>
      <w:r>
        <w:rPr>
          <w:rFonts w:ascii="Palatino Linotype" w:hAnsi="Palatino Linotype"/>
          <w:sz w:val="24"/>
          <w:szCs w:val="24"/>
        </w:rPr>
        <w:t>T</w:t>
      </w:r>
      <w:r w:rsidR="0029609A">
        <w:rPr>
          <w:rFonts w:ascii="Palatino Linotype" w:hAnsi="Palatino Linotype"/>
          <w:sz w:val="24"/>
          <w:szCs w:val="24"/>
        </w:rPr>
        <w:t xml:space="preserve">he SGIP incentive will be </w:t>
      </w:r>
      <w:r w:rsidR="005B29D5">
        <w:rPr>
          <w:rFonts w:ascii="Palatino Linotype" w:hAnsi="Palatino Linotype"/>
          <w:sz w:val="24"/>
          <w:szCs w:val="24"/>
        </w:rPr>
        <w:t>reduced to ensure</w:t>
      </w:r>
      <w:r w:rsidR="003D4D0C">
        <w:rPr>
          <w:rFonts w:ascii="Palatino Linotype" w:hAnsi="Palatino Linotype"/>
          <w:sz w:val="24"/>
          <w:szCs w:val="24"/>
        </w:rPr>
        <w:t xml:space="preserve"> the</w:t>
      </w:r>
      <w:r w:rsidR="009353FF">
        <w:rPr>
          <w:rFonts w:ascii="Palatino Linotype" w:hAnsi="Palatino Linotype"/>
          <w:sz w:val="24"/>
          <w:szCs w:val="24"/>
        </w:rPr>
        <w:t xml:space="preserve"> </w:t>
      </w:r>
      <w:r w:rsidR="005B29D5">
        <w:rPr>
          <w:rFonts w:ascii="Palatino Linotype" w:hAnsi="Palatino Linotype"/>
          <w:sz w:val="24"/>
          <w:szCs w:val="24"/>
        </w:rPr>
        <w:t>SGIP and the IRA tax credit are not covering more than the eligible project costs</w:t>
      </w:r>
      <w:r w:rsidR="006E2D68">
        <w:rPr>
          <w:rFonts w:ascii="Palatino Linotype" w:hAnsi="Palatino Linotype"/>
          <w:sz w:val="24"/>
          <w:szCs w:val="24"/>
        </w:rPr>
        <w:t>;</w:t>
      </w:r>
    </w:p>
    <w:p w:rsidR="4BB6CC80" w:rsidP="495131ED" w:rsidRDefault="4BB6CC80" w14:paraId="16AFD38B" w14:textId="2894AC0F">
      <w:pPr>
        <w:pStyle w:val="Res-Caption"/>
        <w:numPr>
          <w:ilvl w:val="0"/>
          <w:numId w:val="10"/>
        </w:numPr>
        <w:rPr>
          <w:rFonts w:ascii="Palatino Linotype" w:hAnsi="Palatino Linotype"/>
          <w:sz w:val="24"/>
          <w:szCs w:val="24"/>
        </w:rPr>
      </w:pPr>
      <w:r w:rsidRPr="495131ED">
        <w:rPr>
          <w:rFonts w:ascii="Palatino Linotype" w:hAnsi="Palatino Linotype"/>
          <w:sz w:val="24"/>
          <w:szCs w:val="24"/>
        </w:rPr>
        <w:t xml:space="preserve">Customers may work with a TPO </w:t>
      </w:r>
      <w:r w:rsidR="00513496">
        <w:rPr>
          <w:rFonts w:ascii="Palatino Linotype" w:hAnsi="Palatino Linotype"/>
          <w:sz w:val="24"/>
          <w:szCs w:val="24"/>
        </w:rPr>
        <w:t>that</w:t>
      </w:r>
      <w:r w:rsidRPr="495131ED">
        <w:rPr>
          <w:rFonts w:ascii="Palatino Linotype" w:hAnsi="Palatino Linotype"/>
          <w:sz w:val="24"/>
          <w:szCs w:val="24"/>
        </w:rPr>
        <w:t xml:space="preserve"> will </w:t>
      </w:r>
      <w:r w:rsidR="001E615F">
        <w:rPr>
          <w:rFonts w:ascii="Palatino Linotype" w:hAnsi="Palatino Linotype"/>
          <w:sz w:val="24"/>
          <w:szCs w:val="24"/>
        </w:rPr>
        <w:t>monetize</w:t>
      </w:r>
      <w:r w:rsidRPr="495131ED">
        <w:rPr>
          <w:rFonts w:ascii="Palatino Linotype" w:hAnsi="Palatino Linotype"/>
          <w:sz w:val="24"/>
          <w:szCs w:val="24"/>
        </w:rPr>
        <w:t xml:space="preserve"> the federal IRA</w:t>
      </w:r>
      <w:r w:rsidR="0067307A">
        <w:rPr>
          <w:rFonts w:ascii="Palatino Linotype" w:hAnsi="Palatino Linotype"/>
          <w:sz w:val="24"/>
          <w:szCs w:val="24"/>
        </w:rPr>
        <w:t xml:space="preserve"> tax credit</w:t>
      </w:r>
      <w:r w:rsidRPr="495131ED">
        <w:rPr>
          <w:rFonts w:ascii="Palatino Linotype" w:hAnsi="Palatino Linotype"/>
          <w:sz w:val="24"/>
          <w:szCs w:val="24"/>
        </w:rPr>
        <w:t xml:space="preserve"> share of the </w:t>
      </w:r>
      <w:r w:rsidRPr="495131ED" w:rsidR="1146E678">
        <w:rPr>
          <w:rFonts w:ascii="Palatino Linotype" w:hAnsi="Palatino Linotype"/>
          <w:sz w:val="24"/>
          <w:szCs w:val="24"/>
        </w:rPr>
        <w:t>project costs</w:t>
      </w:r>
      <w:r w:rsidR="00513496">
        <w:rPr>
          <w:rFonts w:ascii="Palatino Linotype" w:hAnsi="Palatino Linotype"/>
          <w:sz w:val="24"/>
          <w:szCs w:val="24"/>
        </w:rPr>
        <w:t>;</w:t>
      </w:r>
    </w:p>
    <w:p w:rsidR="006E2D68" w:rsidP="00975384" w:rsidRDefault="00980222" w14:paraId="4AD8A458" w14:textId="7CC3FE5D">
      <w:pPr>
        <w:pStyle w:val="Res-Caption"/>
        <w:numPr>
          <w:ilvl w:val="0"/>
          <w:numId w:val="10"/>
        </w:numPr>
        <w:rPr>
          <w:rFonts w:ascii="Palatino Linotype" w:hAnsi="Palatino Linotype"/>
          <w:sz w:val="24"/>
          <w:szCs w:val="24"/>
        </w:rPr>
      </w:pPr>
      <w:r>
        <w:rPr>
          <w:rFonts w:ascii="Palatino Linotype" w:hAnsi="Palatino Linotype"/>
          <w:sz w:val="24"/>
          <w:szCs w:val="24"/>
        </w:rPr>
        <w:t>For projects with TPO</w:t>
      </w:r>
      <w:r w:rsidR="00717504">
        <w:rPr>
          <w:rFonts w:ascii="Palatino Linotype" w:hAnsi="Palatino Linotype"/>
          <w:sz w:val="24"/>
          <w:szCs w:val="24"/>
        </w:rPr>
        <w:t xml:space="preserve">, the owner will be required to state if any additional IRA </w:t>
      </w:r>
      <w:r w:rsidR="000503F7">
        <w:rPr>
          <w:rFonts w:ascii="Palatino Linotype" w:hAnsi="Palatino Linotype"/>
          <w:sz w:val="24"/>
          <w:szCs w:val="24"/>
        </w:rPr>
        <w:t>bonus credits</w:t>
      </w:r>
      <w:r w:rsidR="00717504">
        <w:rPr>
          <w:rFonts w:ascii="Palatino Linotype" w:hAnsi="Palatino Linotype"/>
          <w:sz w:val="24"/>
          <w:szCs w:val="24"/>
        </w:rPr>
        <w:t xml:space="preserve"> are being </w:t>
      </w:r>
      <w:r w:rsidR="001E615F">
        <w:rPr>
          <w:rFonts w:ascii="Palatino Linotype" w:hAnsi="Palatino Linotype"/>
          <w:sz w:val="24"/>
          <w:szCs w:val="24"/>
        </w:rPr>
        <w:t>monetized</w:t>
      </w:r>
      <w:r w:rsidRPr="495131ED" w:rsidR="02586364">
        <w:rPr>
          <w:rFonts w:ascii="Palatino Linotype" w:hAnsi="Palatino Linotype"/>
          <w:sz w:val="24"/>
          <w:szCs w:val="24"/>
        </w:rPr>
        <w:t xml:space="preserve"> and the SGIP share of project costs is reduced accordingly</w:t>
      </w:r>
      <w:r w:rsidR="006E2D68">
        <w:rPr>
          <w:rFonts w:ascii="Palatino Linotype" w:hAnsi="Palatino Linotype"/>
          <w:sz w:val="24"/>
          <w:szCs w:val="24"/>
        </w:rPr>
        <w:t>;</w:t>
      </w:r>
      <w:r w:rsidR="00047E3F">
        <w:rPr>
          <w:rFonts w:ascii="Palatino Linotype" w:hAnsi="Palatino Linotype"/>
          <w:sz w:val="24"/>
          <w:szCs w:val="24"/>
        </w:rPr>
        <w:t xml:space="preserve"> </w:t>
      </w:r>
    </w:p>
    <w:p w:rsidR="006E2D68" w:rsidP="00975384" w:rsidRDefault="003C4D46" w14:paraId="3C38732C" w14:textId="3A122C04">
      <w:pPr>
        <w:pStyle w:val="Res-Caption"/>
        <w:numPr>
          <w:ilvl w:val="0"/>
          <w:numId w:val="10"/>
        </w:numPr>
        <w:rPr>
          <w:rFonts w:ascii="Palatino Linotype" w:hAnsi="Palatino Linotype"/>
          <w:sz w:val="24"/>
          <w:szCs w:val="24"/>
        </w:rPr>
      </w:pPr>
      <w:r>
        <w:rPr>
          <w:rFonts w:ascii="Palatino Linotype" w:hAnsi="Palatino Linotype"/>
          <w:sz w:val="24"/>
          <w:szCs w:val="24"/>
        </w:rPr>
        <w:t>If a</w:t>
      </w:r>
      <w:r w:rsidR="00642A2D">
        <w:rPr>
          <w:rFonts w:ascii="Palatino Linotype" w:hAnsi="Palatino Linotype"/>
          <w:sz w:val="24"/>
          <w:szCs w:val="24"/>
        </w:rPr>
        <w:t>n</w:t>
      </w:r>
      <w:r>
        <w:rPr>
          <w:rFonts w:ascii="Palatino Linotype" w:hAnsi="Palatino Linotype"/>
          <w:sz w:val="24"/>
          <w:szCs w:val="24"/>
        </w:rPr>
        <w:t xml:space="preserve"> </w:t>
      </w:r>
      <w:r w:rsidR="00642A2D">
        <w:rPr>
          <w:rFonts w:ascii="Palatino Linotype" w:hAnsi="Palatino Linotype"/>
          <w:sz w:val="24"/>
          <w:szCs w:val="24"/>
        </w:rPr>
        <w:t xml:space="preserve">applicant is not claiming the IRA tax credit, documentation </w:t>
      </w:r>
      <w:r w:rsidR="001046C7">
        <w:rPr>
          <w:rFonts w:ascii="Palatino Linotype" w:hAnsi="Palatino Linotype"/>
          <w:sz w:val="24"/>
          <w:szCs w:val="24"/>
        </w:rPr>
        <w:t xml:space="preserve">is </w:t>
      </w:r>
      <w:r w:rsidR="00642A2D">
        <w:rPr>
          <w:rFonts w:ascii="Palatino Linotype" w:hAnsi="Palatino Linotype"/>
          <w:sz w:val="24"/>
          <w:szCs w:val="24"/>
        </w:rPr>
        <w:t xml:space="preserve">required </w:t>
      </w:r>
      <w:r w:rsidR="00C75456">
        <w:rPr>
          <w:rFonts w:ascii="Palatino Linotype" w:hAnsi="Palatino Linotype"/>
          <w:sz w:val="24"/>
          <w:szCs w:val="24"/>
        </w:rPr>
        <w:t xml:space="preserve">to </w:t>
      </w:r>
      <w:r w:rsidR="00642A2D">
        <w:rPr>
          <w:rFonts w:ascii="Palatino Linotype" w:hAnsi="Palatino Linotype"/>
          <w:sz w:val="24"/>
          <w:szCs w:val="24"/>
        </w:rPr>
        <w:t xml:space="preserve">explain why the project would be ineligible for the credit </w:t>
      </w:r>
      <w:r w:rsidR="000503F7">
        <w:rPr>
          <w:rFonts w:ascii="Palatino Linotype" w:hAnsi="Palatino Linotype"/>
          <w:sz w:val="24"/>
          <w:szCs w:val="24"/>
        </w:rPr>
        <w:t>and</w:t>
      </w:r>
      <w:r w:rsidR="00642A2D">
        <w:rPr>
          <w:rFonts w:ascii="Palatino Linotype" w:hAnsi="Palatino Linotype"/>
          <w:sz w:val="24"/>
          <w:szCs w:val="24"/>
        </w:rPr>
        <w:t xml:space="preserve"> why the credit could not otherwise be utilized o</w:t>
      </w:r>
      <w:r w:rsidR="00C75456">
        <w:rPr>
          <w:rFonts w:ascii="Palatino Linotype" w:hAnsi="Palatino Linotype"/>
          <w:sz w:val="24"/>
          <w:szCs w:val="24"/>
        </w:rPr>
        <w:t>r</w:t>
      </w:r>
      <w:r w:rsidR="00642A2D">
        <w:rPr>
          <w:rFonts w:ascii="Palatino Linotype" w:hAnsi="Palatino Linotype"/>
          <w:sz w:val="24"/>
          <w:szCs w:val="24"/>
        </w:rPr>
        <w:t xml:space="preserve"> transferred by a </w:t>
      </w:r>
      <w:r w:rsidR="003D4D0C">
        <w:rPr>
          <w:rFonts w:ascii="Palatino Linotype" w:hAnsi="Palatino Linotype"/>
          <w:sz w:val="24"/>
          <w:szCs w:val="24"/>
        </w:rPr>
        <w:t>third-party</w:t>
      </w:r>
      <w:r w:rsidR="00642A2D">
        <w:rPr>
          <w:rFonts w:ascii="Palatino Linotype" w:hAnsi="Palatino Linotype"/>
          <w:sz w:val="24"/>
          <w:szCs w:val="24"/>
        </w:rPr>
        <w:t xml:space="preserve"> entity</w:t>
      </w:r>
      <w:r w:rsidR="006E2D68">
        <w:rPr>
          <w:rFonts w:ascii="Palatino Linotype" w:hAnsi="Palatino Linotype"/>
          <w:sz w:val="24"/>
          <w:szCs w:val="24"/>
        </w:rPr>
        <w:t>;</w:t>
      </w:r>
      <w:r w:rsidR="000B2107">
        <w:rPr>
          <w:rFonts w:ascii="Palatino Linotype" w:hAnsi="Palatino Linotype"/>
          <w:sz w:val="24"/>
          <w:szCs w:val="24"/>
        </w:rPr>
        <w:t xml:space="preserve"> and</w:t>
      </w:r>
    </w:p>
    <w:p w:rsidR="000B2107" w:rsidP="00975384" w:rsidRDefault="009347AB" w14:paraId="0F498219" w14:textId="2EE96A6C">
      <w:pPr>
        <w:pStyle w:val="Res-Caption"/>
        <w:numPr>
          <w:ilvl w:val="0"/>
          <w:numId w:val="10"/>
        </w:numPr>
        <w:rPr>
          <w:rFonts w:ascii="Palatino Linotype" w:hAnsi="Palatino Linotype"/>
          <w:sz w:val="24"/>
          <w:szCs w:val="24"/>
        </w:rPr>
      </w:pPr>
      <w:r>
        <w:rPr>
          <w:rFonts w:ascii="Palatino Linotype" w:hAnsi="Palatino Linotype"/>
          <w:sz w:val="24"/>
          <w:szCs w:val="24"/>
        </w:rPr>
        <w:t xml:space="preserve">To assist applicants in claiming the IRA tax </w:t>
      </w:r>
      <w:r w:rsidR="00C75456">
        <w:rPr>
          <w:rFonts w:ascii="Palatino Linotype" w:hAnsi="Palatino Linotype"/>
          <w:sz w:val="24"/>
          <w:szCs w:val="24"/>
        </w:rPr>
        <w:t>credit</w:t>
      </w:r>
      <w:r>
        <w:rPr>
          <w:rFonts w:ascii="Palatino Linotype" w:hAnsi="Palatino Linotype"/>
          <w:sz w:val="24"/>
          <w:szCs w:val="24"/>
        </w:rPr>
        <w:t xml:space="preserve">, </w:t>
      </w:r>
      <w:r w:rsidR="003B6ACB">
        <w:rPr>
          <w:rFonts w:ascii="Palatino Linotype" w:hAnsi="Palatino Linotype"/>
          <w:sz w:val="24"/>
          <w:szCs w:val="24"/>
        </w:rPr>
        <w:t xml:space="preserve">additional </w:t>
      </w:r>
      <w:r w:rsidR="00006867">
        <w:rPr>
          <w:rFonts w:ascii="Palatino Linotype" w:hAnsi="Palatino Linotype"/>
          <w:sz w:val="24"/>
          <w:szCs w:val="24"/>
        </w:rPr>
        <w:t>IRS</w:t>
      </w:r>
      <w:r w:rsidR="00536032">
        <w:rPr>
          <w:rFonts w:ascii="Palatino Linotype" w:hAnsi="Palatino Linotype"/>
          <w:sz w:val="24"/>
          <w:szCs w:val="24"/>
        </w:rPr>
        <w:t xml:space="preserve"> </w:t>
      </w:r>
      <w:r w:rsidR="003B6ACB">
        <w:rPr>
          <w:rFonts w:ascii="Palatino Linotype" w:hAnsi="Palatino Linotype"/>
          <w:sz w:val="24"/>
          <w:szCs w:val="24"/>
        </w:rPr>
        <w:t>resources will be provided to applicants</w:t>
      </w:r>
      <w:r w:rsidR="000B2107">
        <w:rPr>
          <w:rFonts w:ascii="Palatino Linotype" w:hAnsi="Palatino Linotype"/>
          <w:sz w:val="24"/>
          <w:szCs w:val="24"/>
        </w:rPr>
        <w:t xml:space="preserve"> and additional workshops on the topic will be convened.</w:t>
      </w:r>
      <w:r w:rsidR="00C3379E">
        <w:rPr>
          <w:rStyle w:val="FootnoteReference"/>
          <w:rFonts w:ascii="Palatino Linotype" w:hAnsi="Palatino Linotype"/>
          <w:sz w:val="24"/>
          <w:szCs w:val="24"/>
        </w:rPr>
        <w:footnoteReference w:id="16"/>
      </w:r>
    </w:p>
    <w:p w:rsidRPr="00925651" w:rsidR="00D70460" w:rsidP="00EB634C" w:rsidRDefault="00D70460" w14:paraId="3C9E7B9F" w14:textId="600DB364">
      <w:pPr>
        <w:rPr>
          <w:rFonts w:ascii="Palatino Linotype" w:hAnsi="Palatino Linotype" w:eastAsia="Palatino Linotype"/>
          <w:sz w:val="24"/>
          <w:szCs w:val="24"/>
        </w:rPr>
      </w:pPr>
    </w:p>
    <w:p w:rsidRPr="00D865A9" w:rsidR="00CF17DE" w:rsidP="4BA7214B" w:rsidRDefault="00394B3A" w14:paraId="66788129" w14:textId="77777777">
      <w:pPr>
        <w:pStyle w:val="Heading1"/>
        <w:rPr>
          <w:rFonts w:ascii="Palatino Linotype" w:hAnsi="Palatino Linotype" w:eastAsia="Palatino Linotype"/>
          <w:sz w:val="24"/>
          <w:szCs w:val="24"/>
        </w:rPr>
      </w:pPr>
      <w:r w:rsidRPr="00D865A9">
        <w:rPr>
          <w:rFonts w:ascii="Palatino Linotype" w:hAnsi="Palatino Linotype" w:eastAsia="Palatino Linotype"/>
          <w:sz w:val="24"/>
          <w:szCs w:val="24"/>
        </w:rPr>
        <w:t>Notice</w:t>
      </w:r>
    </w:p>
    <w:p w:rsidRPr="00D865A9" w:rsidR="00CF17DE" w:rsidP="4BA7214B" w:rsidRDefault="00CF17DE" w14:paraId="37FFE207" w14:textId="53CCDCA4">
      <w:pPr>
        <w:rPr>
          <w:rFonts w:ascii="Palatino Linotype" w:hAnsi="Palatino Linotype" w:eastAsia="Palatino Linotype"/>
          <w:sz w:val="24"/>
          <w:szCs w:val="24"/>
        </w:rPr>
      </w:pPr>
      <w:r w:rsidRPr="00D865A9">
        <w:rPr>
          <w:rFonts w:ascii="Palatino Linotype" w:hAnsi="Palatino Linotype" w:eastAsia="Palatino Linotype"/>
          <w:sz w:val="24"/>
          <w:szCs w:val="24"/>
        </w:rPr>
        <w:t xml:space="preserve">Notice of </w:t>
      </w:r>
      <w:r w:rsidR="007D421E">
        <w:rPr>
          <w:rFonts w:ascii="Palatino Linotype" w:hAnsi="Palatino Linotype" w:eastAsia="Palatino Linotype"/>
          <w:sz w:val="24"/>
          <w:szCs w:val="24"/>
        </w:rPr>
        <w:t>Joint AL</w:t>
      </w:r>
      <w:r w:rsidR="0012562A">
        <w:rPr>
          <w:rFonts w:ascii="Palatino Linotype" w:hAnsi="Palatino Linotype" w:eastAsia="Palatino Linotype"/>
          <w:sz w:val="24"/>
          <w:szCs w:val="24"/>
        </w:rPr>
        <w:t xml:space="preserve"> SCG </w:t>
      </w:r>
      <w:r w:rsidR="0012562A">
        <w:rPr>
          <w:rFonts w:ascii="Palatino Linotype" w:hAnsi="Palatino Linotype"/>
          <w:sz w:val="24"/>
          <w:szCs w:val="24"/>
        </w:rPr>
        <w:t xml:space="preserve">6405-G, PG&amp;E 5000-G/7436-E, SCE 5423-E, and CSE 161-E (SCG AL 6405-G et al.) was </w:t>
      </w:r>
      <w:r w:rsidRPr="00D865A9">
        <w:rPr>
          <w:rFonts w:ascii="Palatino Linotype" w:hAnsi="Palatino Linotype" w:eastAsia="Palatino Linotype"/>
          <w:sz w:val="24"/>
          <w:szCs w:val="24"/>
        </w:rPr>
        <w:t xml:space="preserve">made by publication in the Commission’s Daily Calendar.  </w:t>
      </w:r>
      <w:r w:rsidR="00DA2C15">
        <w:rPr>
          <w:rFonts w:ascii="Palatino Linotype" w:hAnsi="Palatino Linotype" w:eastAsia="Palatino Linotype"/>
          <w:sz w:val="24"/>
          <w:szCs w:val="24"/>
        </w:rPr>
        <w:t>SCG</w:t>
      </w:r>
      <w:r w:rsidRPr="00D865A9">
        <w:rPr>
          <w:rFonts w:ascii="Palatino Linotype" w:hAnsi="Palatino Linotype" w:eastAsia="Palatino Linotype"/>
          <w:sz w:val="24"/>
          <w:szCs w:val="24"/>
        </w:rPr>
        <w:t xml:space="preserve"> states that a copy of the Advice Letter was mailed and distributed in accordance with Sec</w:t>
      </w:r>
      <w:r w:rsidRPr="00D865A9" w:rsidR="00A1526C">
        <w:rPr>
          <w:rFonts w:ascii="Palatino Linotype" w:hAnsi="Palatino Linotype" w:eastAsia="Palatino Linotype"/>
          <w:sz w:val="24"/>
          <w:szCs w:val="24"/>
        </w:rPr>
        <w:t xml:space="preserve">tion </w:t>
      </w:r>
      <w:r w:rsidRPr="00D865A9" w:rsidR="0069631C">
        <w:rPr>
          <w:rFonts w:ascii="Palatino Linotype" w:hAnsi="Palatino Linotype" w:eastAsia="Palatino Linotype"/>
          <w:sz w:val="24"/>
          <w:szCs w:val="24"/>
        </w:rPr>
        <w:t>4</w:t>
      </w:r>
      <w:r w:rsidRPr="00D865A9" w:rsidR="00E928CF">
        <w:rPr>
          <w:rFonts w:ascii="Palatino Linotype" w:hAnsi="Palatino Linotype" w:eastAsia="Palatino Linotype"/>
          <w:sz w:val="24"/>
          <w:szCs w:val="24"/>
        </w:rPr>
        <w:t xml:space="preserve"> of General Order 96-B</w:t>
      </w:r>
      <w:r w:rsidRPr="00D865A9">
        <w:rPr>
          <w:rFonts w:ascii="Palatino Linotype" w:hAnsi="Palatino Linotype" w:eastAsia="Palatino Linotype"/>
          <w:sz w:val="24"/>
          <w:szCs w:val="24"/>
        </w:rPr>
        <w:t xml:space="preserve">. </w:t>
      </w:r>
    </w:p>
    <w:p w:rsidRPr="00D865A9" w:rsidR="00CF17DE" w:rsidP="4BA7214B" w:rsidRDefault="00CF17DE" w14:paraId="6E8F021A" w14:textId="77777777">
      <w:pPr>
        <w:rPr>
          <w:rFonts w:ascii="Palatino Linotype" w:hAnsi="Palatino Linotype" w:eastAsia="Palatino Linotype"/>
          <w:sz w:val="24"/>
          <w:szCs w:val="24"/>
        </w:rPr>
      </w:pPr>
    </w:p>
    <w:p w:rsidRPr="00D865A9" w:rsidR="00CF17DE" w:rsidP="00DA2C15" w:rsidRDefault="00CF17DE" w14:paraId="6BE8E21F" w14:textId="2F13A0E1">
      <w:pPr>
        <w:pStyle w:val="Heading1"/>
        <w:rPr>
          <w:rFonts w:ascii="Palatino Linotype" w:hAnsi="Palatino Linotype" w:eastAsia="Palatino Linotype"/>
          <w:sz w:val="24"/>
          <w:szCs w:val="24"/>
        </w:rPr>
      </w:pPr>
      <w:r w:rsidRPr="00D865A9">
        <w:rPr>
          <w:rFonts w:ascii="Palatino Linotype" w:hAnsi="Palatino Linotype" w:eastAsia="Palatino Linotype"/>
          <w:sz w:val="24"/>
          <w:szCs w:val="24"/>
        </w:rPr>
        <w:t>Protests</w:t>
      </w:r>
    </w:p>
    <w:p w:rsidRPr="00D865A9" w:rsidR="00CF17DE" w:rsidP="4BA7214B" w:rsidRDefault="009950BF" w14:paraId="6037AFF4" w14:textId="6249362E">
      <w:pPr>
        <w:rPr>
          <w:rFonts w:ascii="Palatino Linotype" w:hAnsi="Palatino Linotype" w:eastAsia="Palatino Linotype"/>
          <w:sz w:val="24"/>
          <w:szCs w:val="24"/>
        </w:rPr>
      </w:pPr>
      <w:r>
        <w:rPr>
          <w:rFonts w:ascii="Palatino Linotype" w:hAnsi="Palatino Linotype"/>
          <w:sz w:val="24"/>
          <w:szCs w:val="24"/>
        </w:rPr>
        <w:t xml:space="preserve">SCG AL 6405-G et al. </w:t>
      </w:r>
      <w:r w:rsidRPr="00D865A9" w:rsidR="00CF17DE">
        <w:rPr>
          <w:rFonts w:ascii="Palatino Linotype" w:hAnsi="Palatino Linotype" w:eastAsia="Palatino Linotype"/>
          <w:sz w:val="24"/>
          <w:szCs w:val="24"/>
        </w:rPr>
        <w:t xml:space="preserve">was timely protested </w:t>
      </w:r>
      <w:r w:rsidRPr="5DC749CB" w:rsidR="7498950A">
        <w:rPr>
          <w:rFonts w:ascii="Palatino Linotype" w:hAnsi="Palatino Linotype" w:eastAsia="Palatino Linotype"/>
          <w:sz w:val="24"/>
          <w:szCs w:val="24"/>
        </w:rPr>
        <w:t xml:space="preserve">on </w:t>
      </w:r>
      <w:r w:rsidR="006D0DE3">
        <w:rPr>
          <w:rFonts w:ascii="Palatino Linotype" w:hAnsi="Palatino Linotype" w:eastAsia="Palatino Linotype"/>
          <w:sz w:val="24"/>
          <w:szCs w:val="24"/>
        </w:rPr>
        <w:t xml:space="preserve">December 9, </w:t>
      </w:r>
      <w:r w:rsidR="003D4D0C">
        <w:rPr>
          <w:rFonts w:ascii="Palatino Linotype" w:hAnsi="Palatino Linotype" w:eastAsia="Palatino Linotype"/>
          <w:sz w:val="24"/>
          <w:szCs w:val="24"/>
        </w:rPr>
        <w:t>2024,</w:t>
      </w:r>
      <w:r w:rsidR="006D0DE3">
        <w:rPr>
          <w:rFonts w:ascii="Palatino Linotype" w:hAnsi="Palatino Linotype" w:eastAsia="Palatino Linotype"/>
          <w:sz w:val="24"/>
          <w:szCs w:val="24"/>
        </w:rPr>
        <w:t xml:space="preserve"> </w:t>
      </w:r>
      <w:r w:rsidRPr="00D865A9" w:rsidR="00CF17DE">
        <w:rPr>
          <w:rFonts w:ascii="Palatino Linotype" w:hAnsi="Palatino Linotype" w:eastAsia="Palatino Linotype"/>
          <w:sz w:val="24"/>
          <w:szCs w:val="24"/>
        </w:rPr>
        <w:t xml:space="preserve">by </w:t>
      </w:r>
      <w:r w:rsidR="00583FAC">
        <w:rPr>
          <w:rFonts w:ascii="Palatino Linotype" w:hAnsi="Palatino Linotype" w:eastAsia="Palatino Linotype"/>
          <w:sz w:val="24"/>
          <w:szCs w:val="24"/>
        </w:rPr>
        <w:t>California Solar &amp; Storage Association (CALSSA)</w:t>
      </w:r>
      <w:r w:rsidR="00353E91">
        <w:rPr>
          <w:rFonts w:ascii="Palatino Linotype" w:hAnsi="Palatino Linotype" w:eastAsia="Palatino Linotype"/>
          <w:sz w:val="24"/>
          <w:szCs w:val="24"/>
        </w:rPr>
        <w:t xml:space="preserve"> </w:t>
      </w:r>
      <w:r w:rsidR="00C72155">
        <w:rPr>
          <w:rFonts w:ascii="Palatino Linotype" w:hAnsi="Palatino Linotype" w:eastAsia="Palatino Linotype"/>
          <w:sz w:val="24"/>
          <w:szCs w:val="24"/>
        </w:rPr>
        <w:t xml:space="preserve">and </w:t>
      </w:r>
      <w:r w:rsidR="004F271C">
        <w:rPr>
          <w:rFonts w:ascii="Palatino Linotype" w:hAnsi="Palatino Linotype" w:eastAsia="Palatino Linotype"/>
          <w:sz w:val="24"/>
          <w:szCs w:val="24"/>
        </w:rPr>
        <w:t>the Energy Savings Company (Free Energy)</w:t>
      </w:r>
      <w:r w:rsidRPr="00D865A9" w:rsidR="00CF17DE">
        <w:rPr>
          <w:rFonts w:ascii="Palatino Linotype" w:hAnsi="Palatino Linotype" w:eastAsia="Palatino Linotype"/>
          <w:sz w:val="24"/>
          <w:szCs w:val="24"/>
        </w:rPr>
        <w:t xml:space="preserve">.  </w:t>
      </w:r>
    </w:p>
    <w:p w:rsidRPr="00D865A9" w:rsidR="00CF17DE" w:rsidP="4BA7214B" w:rsidRDefault="00CF17DE" w14:paraId="536604AC" w14:textId="77777777">
      <w:pPr>
        <w:rPr>
          <w:rFonts w:ascii="Palatino Linotype" w:hAnsi="Palatino Linotype" w:eastAsia="Palatino Linotype"/>
          <w:sz w:val="24"/>
          <w:szCs w:val="24"/>
        </w:rPr>
      </w:pPr>
    </w:p>
    <w:p w:rsidRPr="00D865A9" w:rsidR="00CF17DE" w:rsidP="4BA7214B" w:rsidRDefault="00970AAD" w14:paraId="0BCE1CF2" w14:textId="7FC50B24">
      <w:pPr>
        <w:rPr>
          <w:rFonts w:ascii="Palatino Linotype" w:hAnsi="Palatino Linotype" w:eastAsia="Palatino Linotype"/>
          <w:sz w:val="24"/>
          <w:szCs w:val="24"/>
        </w:rPr>
      </w:pPr>
      <w:r>
        <w:rPr>
          <w:rFonts w:ascii="Palatino Linotype" w:hAnsi="Palatino Linotype" w:eastAsia="Palatino Linotype"/>
          <w:sz w:val="24"/>
          <w:szCs w:val="24"/>
        </w:rPr>
        <w:t>The Joint PAs</w:t>
      </w:r>
      <w:r w:rsidRPr="00D865A9" w:rsidR="00CF17DE">
        <w:rPr>
          <w:rFonts w:ascii="Palatino Linotype" w:hAnsi="Palatino Linotype" w:eastAsia="Palatino Linotype"/>
          <w:sz w:val="24"/>
          <w:szCs w:val="24"/>
        </w:rPr>
        <w:t xml:space="preserve"> responded to the protests of </w:t>
      </w:r>
      <w:r w:rsidR="00FA2F3A">
        <w:rPr>
          <w:rFonts w:ascii="Palatino Linotype" w:hAnsi="Palatino Linotype" w:eastAsia="Palatino Linotype"/>
          <w:sz w:val="24"/>
          <w:szCs w:val="24"/>
        </w:rPr>
        <w:t>CALSSA and Free Energy</w:t>
      </w:r>
      <w:r w:rsidRPr="00D865A9" w:rsidR="00CF17DE">
        <w:rPr>
          <w:rFonts w:ascii="Palatino Linotype" w:hAnsi="Palatino Linotype" w:eastAsia="Palatino Linotype"/>
          <w:sz w:val="24"/>
          <w:szCs w:val="24"/>
        </w:rPr>
        <w:t xml:space="preserve"> on </w:t>
      </w:r>
      <w:r w:rsidR="00EF281B">
        <w:rPr>
          <w:rFonts w:ascii="Palatino Linotype" w:hAnsi="Palatino Linotype" w:eastAsia="Palatino Linotype"/>
          <w:sz w:val="24"/>
          <w:szCs w:val="24"/>
        </w:rPr>
        <w:t>December 16, 2024</w:t>
      </w:r>
      <w:r w:rsidR="006C2F6A">
        <w:rPr>
          <w:rFonts w:ascii="Palatino Linotype" w:hAnsi="Palatino Linotype" w:eastAsia="Palatino Linotype"/>
          <w:sz w:val="24"/>
          <w:szCs w:val="24"/>
        </w:rPr>
        <w:t>.</w:t>
      </w:r>
    </w:p>
    <w:p w:rsidR="00CF17DE" w:rsidP="4BA7214B" w:rsidRDefault="00CF17DE" w14:paraId="7D3916F3" w14:textId="77777777">
      <w:pPr>
        <w:rPr>
          <w:rFonts w:ascii="Palatino Linotype" w:hAnsi="Palatino Linotype" w:eastAsia="Palatino Linotype"/>
          <w:sz w:val="24"/>
          <w:szCs w:val="24"/>
        </w:rPr>
      </w:pPr>
    </w:p>
    <w:p w:rsidR="00B83C5B" w:rsidP="4BA7214B" w:rsidRDefault="00B83C5B" w14:paraId="1EF36986" w14:textId="5B728FF5">
      <w:pPr>
        <w:rPr>
          <w:rFonts w:ascii="Palatino Linotype" w:hAnsi="Palatino Linotype" w:eastAsia="Palatino Linotype"/>
          <w:sz w:val="24"/>
          <w:szCs w:val="24"/>
        </w:rPr>
      </w:pPr>
      <w:r>
        <w:rPr>
          <w:rFonts w:ascii="Palatino Linotype" w:hAnsi="Palatino Linotype" w:eastAsia="Palatino Linotype"/>
          <w:sz w:val="24"/>
          <w:szCs w:val="24"/>
        </w:rPr>
        <w:t>The following provides a summary of the major issues</w:t>
      </w:r>
      <w:r w:rsidR="00D234D3">
        <w:rPr>
          <w:rFonts w:ascii="Palatino Linotype" w:hAnsi="Palatino Linotype" w:eastAsia="Palatino Linotype"/>
          <w:sz w:val="24"/>
          <w:szCs w:val="24"/>
        </w:rPr>
        <w:t>, grouped by topic,</w:t>
      </w:r>
      <w:r>
        <w:rPr>
          <w:rFonts w:ascii="Palatino Linotype" w:hAnsi="Palatino Linotype" w:eastAsia="Palatino Linotype"/>
          <w:sz w:val="24"/>
          <w:szCs w:val="24"/>
        </w:rPr>
        <w:t xml:space="preserve"> raised in the protests and </w:t>
      </w:r>
      <w:r w:rsidR="00AD6B1C">
        <w:rPr>
          <w:rFonts w:ascii="Palatino Linotype" w:hAnsi="Palatino Linotype" w:eastAsia="Palatino Linotype"/>
          <w:sz w:val="24"/>
          <w:szCs w:val="24"/>
        </w:rPr>
        <w:t xml:space="preserve">the </w:t>
      </w:r>
      <w:r w:rsidR="00212289">
        <w:rPr>
          <w:rFonts w:ascii="Palatino Linotype" w:hAnsi="Palatino Linotype" w:eastAsia="Palatino Linotype"/>
          <w:sz w:val="24"/>
          <w:szCs w:val="24"/>
        </w:rPr>
        <w:t xml:space="preserve">Joint </w:t>
      </w:r>
      <w:r w:rsidR="00AD6B1C">
        <w:rPr>
          <w:rFonts w:ascii="Palatino Linotype" w:hAnsi="Palatino Linotype" w:eastAsia="Palatino Linotype"/>
          <w:sz w:val="24"/>
          <w:szCs w:val="24"/>
        </w:rPr>
        <w:t>PAs reply.</w:t>
      </w:r>
    </w:p>
    <w:p w:rsidR="00C5749F" w:rsidP="4BA7214B" w:rsidRDefault="00C5749F" w14:paraId="645D44D2" w14:textId="77777777">
      <w:pPr>
        <w:rPr>
          <w:rFonts w:ascii="Palatino Linotype" w:hAnsi="Palatino Linotype" w:eastAsia="Palatino Linotype"/>
          <w:sz w:val="24"/>
          <w:szCs w:val="24"/>
        </w:rPr>
      </w:pPr>
    </w:p>
    <w:p w:rsidRPr="00D865A9" w:rsidR="00E50D49" w:rsidP="4BA7214B" w:rsidRDefault="00E50D49" w14:paraId="762D703B" w14:textId="77777777">
      <w:pPr>
        <w:rPr>
          <w:rFonts w:ascii="Palatino Linotype" w:hAnsi="Palatino Linotype" w:eastAsia="Palatino Linotype"/>
          <w:sz w:val="24"/>
          <w:szCs w:val="24"/>
        </w:rPr>
      </w:pPr>
    </w:p>
    <w:p w:rsidR="00436412" w:rsidP="4BA7214B" w:rsidRDefault="00436412" w14:paraId="379F8402" w14:textId="7EFBCCE1">
      <w:pPr>
        <w:rPr>
          <w:rFonts w:ascii="Palatino Linotype" w:hAnsi="Palatino Linotype" w:eastAsia="Palatino Linotype"/>
          <w:b/>
          <w:bCs/>
          <w:sz w:val="24"/>
          <w:szCs w:val="24"/>
        </w:rPr>
      </w:pPr>
      <w:r w:rsidRPr="00436412">
        <w:rPr>
          <w:rFonts w:ascii="Palatino Linotype" w:hAnsi="Palatino Linotype" w:eastAsia="Palatino Linotype"/>
          <w:b/>
          <w:bCs/>
          <w:sz w:val="24"/>
          <w:szCs w:val="24"/>
        </w:rPr>
        <w:t xml:space="preserve">Protests </w:t>
      </w:r>
      <w:r w:rsidR="001945A4">
        <w:rPr>
          <w:rFonts w:ascii="Palatino Linotype" w:hAnsi="Palatino Linotype" w:eastAsia="Palatino Linotype"/>
          <w:b/>
          <w:bCs/>
          <w:sz w:val="24"/>
          <w:szCs w:val="24"/>
        </w:rPr>
        <w:t>on</w:t>
      </w:r>
      <w:r w:rsidRPr="00436412">
        <w:rPr>
          <w:rFonts w:ascii="Palatino Linotype" w:hAnsi="Palatino Linotype" w:eastAsia="Palatino Linotype"/>
          <w:b/>
          <w:bCs/>
          <w:sz w:val="24"/>
          <w:szCs w:val="24"/>
        </w:rPr>
        <w:t xml:space="preserve"> </w:t>
      </w:r>
      <w:r w:rsidR="00A565B2">
        <w:rPr>
          <w:rFonts w:ascii="Palatino Linotype" w:hAnsi="Palatino Linotype" w:eastAsia="Palatino Linotype"/>
          <w:b/>
          <w:bCs/>
          <w:sz w:val="24"/>
          <w:szCs w:val="24"/>
        </w:rPr>
        <w:t xml:space="preserve">Proposed </w:t>
      </w:r>
      <w:r w:rsidR="0027012D">
        <w:rPr>
          <w:rFonts w:ascii="Palatino Linotype" w:hAnsi="Palatino Linotype" w:eastAsia="Palatino Linotype"/>
          <w:b/>
          <w:bCs/>
          <w:sz w:val="24"/>
          <w:szCs w:val="24"/>
        </w:rPr>
        <w:t>IRA Tax Credit in SGIP</w:t>
      </w:r>
    </w:p>
    <w:p w:rsidRPr="00CA213D" w:rsidR="00AF2385" w:rsidP="00F65E9F" w:rsidRDefault="00AF2385" w14:paraId="4AFEFEAB" w14:textId="77777777">
      <w:pPr>
        <w:rPr>
          <w:rFonts w:ascii="Palatino Linotype" w:hAnsi="Palatino Linotype" w:eastAsia="Palatino Linotype"/>
          <w:sz w:val="24"/>
          <w:szCs w:val="24"/>
        </w:rPr>
      </w:pPr>
    </w:p>
    <w:p w:rsidR="004C13D6" w:rsidP="00F65E9F" w:rsidRDefault="00BD15FF" w14:paraId="7CE71DF8" w14:textId="1FB5294A">
      <w:pPr>
        <w:pStyle w:val="ListParagraph"/>
        <w:numPr>
          <w:ilvl w:val="0"/>
          <w:numId w:val="20"/>
        </w:numPr>
        <w:rPr>
          <w:rFonts w:ascii="Palatino Linotype" w:hAnsi="Palatino Linotype" w:eastAsia="Palatino Linotype"/>
          <w:b/>
          <w:bCs/>
          <w:sz w:val="24"/>
          <w:szCs w:val="24"/>
        </w:rPr>
      </w:pPr>
      <w:r>
        <w:rPr>
          <w:rFonts w:ascii="Palatino Linotype" w:hAnsi="Palatino Linotype" w:eastAsia="Palatino Linotype"/>
          <w:b/>
          <w:bCs/>
          <w:sz w:val="24"/>
          <w:szCs w:val="24"/>
        </w:rPr>
        <w:t>SGIP as an Incentive</w:t>
      </w:r>
      <w:r w:rsidR="005111BE">
        <w:rPr>
          <w:rFonts w:ascii="Palatino Linotype" w:hAnsi="Palatino Linotype" w:eastAsia="Palatino Linotype"/>
          <w:b/>
          <w:bCs/>
          <w:sz w:val="24"/>
          <w:szCs w:val="24"/>
        </w:rPr>
        <w:t>,</w:t>
      </w:r>
      <w:r>
        <w:rPr>
          <w:rFonts w:ascii="Palatino Linotype" w:hAnsi="Palatino Linotype" w:eastAsia="Palatino Linotype"/>
          <w:b/>
          <w:bCs/>
          <w:sz w:val="24"/>
          <w:szCs w:val="24"/>
        </w:rPr>
        <w:t xml:space="preserve"> Rebate</w:t>
      </w:r>
      <w:r w:rsidR="005111BE">
        <w:rPr>
          <w:rFonts w:ascii="Palatino Linotype" w:hAnsi="Palatino Linotype" w:eastAsia="Palatino Linotype"/>
          <w:b/>
          <w:bCs/>
          <w:sz w:val="24"/>
          <w:szCs w:val="24"/>
        </w:rPr>
        <w:t>, or Subsidy</w:t>
      </w:r>
    </w:p>
    <w:p w:rsidR="002C0E0D" w:rsidP="00744CC5" w:rsidRDefault="00867FD2" w14:paraId="766AF9DB" w14:textId="1E291E9F">
      <w:pPr>
        <w:rPr>
          <w:rFonts w:ascii="Palatino Linotype" w:hAnsi="Palatino Linotype" w:eastAsia="Palatino Linotype"/>
          <w:sz w:val="24"/>
          <w:szCs w:val="24"/>
        </w:rPr>
      </w:pPr>
      <w:r w:rsidRPr="0060688C" w:rsidDel="007F6A7F">
        <w:rPr>
          <w:rFonts w:ascii="Palatino Linotype" w:hAnsi="Palatino Linotype" w:eastAsia="Palatino Linotype"/>
          <w:sz w:val="24"/>
          <w:szCs w:val="24"/>
        </w:rPr>
        <w:t xml:space="preserve">Both </w:t>
      </w:r>
      <w:r w:rsidRPr="0060688C">
        <w:rPr>
          <w:rFonts w:ascii="Palatino Linotype" w:hAnsi="Palatino Linotype" w:eastAsia="Palatino Linotype"/>
          <w:sz w:val="24"/>
          <w:szCs w:val="24"/>
        </w:rPr>
        <w:t xml:space="preserve">CALSSA and </w:t>
      </w:r>
      <w:r w:rsidR="006F6D1C">
        <w:rPr>
          <w:rFonts w:ascii="Palatino Linotype" w:hAnsi="Palatino Linotype" w:eastAsia="Palatino Linotype"/>
          <w:sz w:val="24"/>
          <w:szCs w:val="24"/>
        </w:rPr>
        <w:t xml:space="preserve">Free Energy </w:t>
      </w:r>
      <w:r w:rsidRPr="0060688C">
        <w:rPr>
          <w:rFonts w:ascii="Palatino Linotype" w:hAnsi="Palatino Linotype" w:eastAsia="Palatino Linotype"/>
          <w:sz w:val="24"/>
          <w:szCs w:val="24"/>
        </w:rPr>
        <w:t xml:space="preserve">protest the </w:t>
      </w:r>
      <w:r w:rsidR="001C5410">
        <w:rPr>
          <w:rFonts w:ascii="Palatino Linotype" w:hAnsi="Palatino Linotype" w:eastAsia="Palatino Linotype"/>
          <w:sz w:val="24"/>
          <w:szCs w:val="24"/>
        </w:rPr>
        <w:t>designati</w:t>
      </w:r>
      <w:r w:rsidR="00741CFA">
        <w:rPr>
          <w:rFonts w:ascii="Palatino Linotype" w:hAnsi="Palatino Linotype" w:eastAsia="Palatino Linotype"/>
          <w:sz w:val="24"/>
          <w:szCs w:val="24"/>
        </w:rPr>
        <w:t>on</w:t>
      </w:r>
      <w:r w:rsidR="001C5410">
        <w:rPr>
          <w:rFonts w:ascii="Palatino Linotype" w:hAnsi="Palatino Linotype" w:eastAsia="Palatino Linotype"/>
          <w:sz w:val="24"/>
          <w:szCs w:val="24"/>
        </w:rPr>
        <w:t xml:space="preserve"> of </w:t>
      </w:r>
      <w:r w:rsidR="00120F1B">
        <w:rPr>
          <w:rFonts w:ascii="Palatino Linotype" w:hAnsi="Palatino Linotype" w:eastAsia="Palatino Linotype"/>
          <w:sz w:val="24"/>
          <w:szCs w:val="24"/>
        </w:rPr>
        <w:t xml:space="preserve">the </w:t>
      </w:r>
      <w:r w:rsidR="001C5410">
        <w:rPr>
          <w:rFonts w:ascii="Palatino Linotype" w:hAnsi="Palatino Linotype" w:eastAsia="Palatino Linotype"/>
          <w:sz w:val="24"/>
          <w:szCs w:val="24"/>
        </w:rPr>
        <w:t xml:space="preserve">SGIP </w:t>
      </w:r>
      <w:r w:rsidR="00120F1B">
        <w:rPr>
          <w:rFonts w:ascii="Palatino Linotype" w:hAnsi="Palatino Linotype" w:eastAsia="Palatino Linotype"/>
          <w:sz w:val="24"/>
          <w:szCs w:val="24"/>
        </w:rPr>
        <w:t xml:space="preserve">payment </w:t>
      </w:r>
      <w:r w:rsidR="001C5410">
        <w:rPr>
          <w:rFonts w:ascii="Palatino Linotype" w:hAnsi="Palatino Linotype" w:eastAsia="Palatino Linotype"/>
          <w:sz w:val="24"/>
          <w:szCs w:val="24"/>
        </w:rPr>
        <w:t xml:space="preserve">as an incentive and </w:t>
      </w:r>
      <w:r w:rsidR="000A0B81">
        <w:rPr>
          <w:rFonts w:ascii="Palatino Linotype" w:hAnsi="Palatino Linotype" w:eastAsia="Palatino Linotype"/>
          <w:sz w:val="24"/>
          <w:szCs w:val="24"/>
        </w:rPr>
        <w:t>claim that the IRA tax credit would pay 30</w:t>
      </w:r>
      <w:r w:rsidR="00DB6422">
        <w:rPr>
          <w:rFonts w:ascii="Palatino Linotype" w:hAnsi="Palatino Linotype" w:eastAsia="Palatino Linotype"/>
          <w:sz w:val="24"/>
          <w:szCs w:val="24"/>
        </w:rPr>
        <w:t xml:space="preserve"> percent</w:t>
      </w:r>
      <w:r w:rsidR="000A0B81">
        <w:rPr>
          <w:rFonts w:ascii="Palatino Linotype" w:hAnsi="Palatino Linotype" w:eastAsia="Palatino Linotype"/>
          <w:sz w:val="24"/>
          <w:szCs w:val="24"/>
        </w:rPr>
        <w:t xml:space="preserve"> </w:t>
      </w:r>
      <w:r w:rsidR="00120F1B">
        <w:rPr>
          <w:rFonts w:ascii="Palatino Linotype" w:hAnsi="Palatino Linotype" w:eastAsia="Palatino Linotype"/>
          <w:sz w:val="24"/>
          <w:szCs w:val="24"/>
        </w:rPr>
        <w:t>on</w:t>
      </w:r>
      <w:r w:rsidR="000A0B81">
        <w:rPr>
          <w:rFonts w:ascii="Palatino Linotype" w:hAnsi="Palatino Linotype" w:eastAsia="Palatino Linotype"/>
          <w:sz w:val="24"/>
          <w:szCs w:val="24"/>
        </w:rPr>
        <w:t xml:space="preserve"> the net of the project cost </w:t>
      </w:r>
      <w:r w:rsidR="00741CFA">
        <w:rPr>
          <w:rFonts w:ascii="Palatino Linotype" w:hAnsi="Palatino Linotype" w:eastAsia="Palatino Linotype"/>
          <w:sz w:val="24"/>
          <w:szCs w:val="24"/>
        </w:rPr>
        <w:t>and the SGIP incentive</w:t>
      </w:r>
      <w:r w:rsidR="00903271">
        <w:rPr>
          <w:rFonts w:ascii="Palatino Linotype" w:hAnsi="Palatino Linotype" w:eastAsia="Palatino Linotype"/>
          <w:sz w:val="24"/>
          <w:szCs w:val="24"/>
        </w:rPr>
        <w:t xml:space="preserve"> as the SGIP funds are </w:t>
      </w:r>
      <w:r w:rsidR="00EA2347">
        <w:rPr>
          <w:rFonts w:ascii="Palatino Linotype" w:hAnsi="Palatino Linotype" w:eastAsia="Palatino Linotype"/>
          <w:sz w:val="24"/>
          <w:szCs w:val="24"/>
        </w:rPr>
        <w:t>provided by a public utility.</w:t>
      </w:r>
      <w:r w:rsidR="00E220A9">
        <w:rPr>
          <w:rStyle w:val="FootnoteReference"/>
          <w:rFonts w:ascii="Palatino Linotype" w:hAnsi="Palatino Linotype" w:eastAsia="Palatino Linotype"/>
          <w:sz w:val="24"/>
          <w:szCs w:val="24"/>
        </w:rPr>
        <w:footnoteReference w:id="17"/>
      </w:r>
      <w:r w:rsidR="00741CFA">
        <w:rPr>
          <w:rFonts w:ascii="Palatino Linotype" w:hAnsi="Palatino Linotype" w:eastAsia="Palatino Linotype"/>
          <w:sz w:val="24"/>
          <w:szCs w:val="24"/>
        </w:rPr>
        <w:t xml:space="preserve"> </w:t>
      </w:r>
      <w:r w:rsidR="00482AD7">
        <w:rPr>
          <w:rFonts w:ascii="Palatino Linotype" w:hAnsi="Palatino Linotype" w:eastAsia="Palatino Linotype"/>
          <w:sz w:val="24"/>
          <w:szCs w:val="24"/>
        </w:rPr>
        <w:t>CALS</w:t>
      </w:r>
      <w:r w:rsidR="00C52401">
        <w:rPr>
          <w:rFonts w:ascii="Palatino Linotype" w:hAnsi="Palatino Linotype" w:eastAsia="Palatino Linotype"/>
          <w:sz w:val="24"/>
          <w:szCs w:val="24"/>
        </w:rPr>
        <w:t>S</w:t>
      </w:r>
      <w:r w:rsidR="00482AD7">
        <w:rPr>
          <w:rFonts w:ascii="Palatino Linotype" w:hAnsi="Palatino Linotype" w:eastAsia="Palatino Linotype"/>
          <w:sz w:val="24"/>
          <w:szCs w:val="24"/>
        </w:rPr>
        <w:t xml:space="preserve">A protests that if SGIP is treated as an incentive it would count as taxable income </w:t>
      </w:r>
      <w:r w:rsidR="00624C61">
        <w:rPr>
          <w:rFonts w:ascii="Palatino Linotype" w:hAnsi="Palatino Linotype" w:eastAsia="Palatino Linotype"/>
          <w:sz w:val="24"/>
          <w:szCs w:val="24"/>
        </w:rPr>
        <w:t xml:space="preserve">for low-income customers </w:t>
      </w:r>
      <w:r w:rsidR="00EA1EA9">
        <w:rPr>
          <w:rFonts w:ascii="Palatino Linotype" w:hAnsi="Palatino Linotype" w:eastAsia="Palatino Linotype"/>
          <w:sz w:val="24"/>
          <w:szCs w:val="24"/>
        </w:rPr>
        <w:t>which could push them into a different tax bracket and might disqualify them fr</w:t>
      </w:r>
      <w:r w:rsidR="00A37759">
        <w:rPr>
          <w:rFonts w:ascii="Palatino Linotype" w:hAnsi="Palatino Linotype" w:eastAsia="Palatino Linotype"/>
          <w:sz w:val="24"/>
          <w:szCs w:val="24"/>
        </w:rPr>
        <w:t>om</w:t>
      </w:r>
      <w:r w:rsidR="00EA1EA9">
        <w:rPr>
          <w:rFonts w:ascii="Palatino Linotype" w:hAnsi="Palatino Linotype" w:eastAsia="Palatino Linotype"/>
          <w:sz w:val="24"/>
          <w:szCs w:val="24"/>
        </w:rPr>
        <w:t xml:space="preserve"> other low-income programs.</w:t>
      </w:r>
      <w:r w:rsidR="00EA1EA9">
        <w:rPr>
          <w:rStyle w:val="FootnoteReference"/>
          <w:rFonts w:ascii="Palatino Linotype" w:hAnsi="Palatino Linotype" w:eastAsia="Palatino Linotype"/>
          <w:sz w:val="24"/>
          <w:szCs w:val="24"/>
        </w:rPr>
        <w:footnoteReference w:id="18"/>
      </w:r>
      <w:r w:rsidR="00EA1EA9">
        <w:rPr>
          <w:rFonts w:ascii="Palatino Linotype" w:hAnsi="Palatino Linotype" w:eastAsia="Palatino Linotype"/>
          <w:sz w:val="24"/>
          <w:szCs w:val="24"/>
        </w:rPr>
        <w:t xml:space="preserve"> CALSSA recommends </w:t>
      </w:r>
      <w:r w:rsidR="00F132C7">
        <w:rPr>
          <w:rFonts w:ascii="Palatino Linotype" w:hAnsi="Palatino Linotype" w:eastAsia="Palatino Linotype"/>
          <w:sz w:val="24"/>
          <w:szCs w:val="24"/>
        </w:rPr>
        <w:t xml:space="preserve">including disclaimers at both the Reservation Request Form (RRF) and Incentive Claim Form (ICF) stage that the SGIP payment must be reported as taxable income to the federal government. </w:t>
      </w:r>
    </w:p>
    <w:p w:rsidR="002C0E0D" w:rsidP="00744CC5" w:rsidRDefault="002C0E0D" w14:paraId="7F350036" w14:textId="77777777">
      <w:pPr>
        <w:rPr>
          <w:rFonts w:ascii="Palatino Linotype" w:hAnsi="Palatino Linotype" w:eastAsia="Palatino Linotype"/>
          <w:sz w:val="24"/>
          <w:szCs w:val="24"/>
        </w:rPr>
      </w:pPr>
    </w:p>
    <w:p w:rsidRPr="00B97A40" w:rsidR="00503A0E" w:rsidP="00744CC5" w:rsidRDefault="00030204" w14:paraId="20E53F99" w14:textId="6C78C7EB">
      <w:pPr>
        <w:rPr>
          <w:rFonts w:ascii="Palatino Linotype" w:hAnsi="Palatino Linotype" w:eastAsia="Palatino Linotype"/>
          <w:b/>
          <w:sz w:val="24"/>
          <w:szCs w:val="24"/>
        </w:rPr>
      </w:pPr>
      <w:r>
        <w:rPr>
          <w:rFonts w:ascii="Palatino Linotype" w:hAnsi="Palatino Linotype" w:eastAsia="Palatino Linotype"/>
          <w:sz w:val="24"/>
          <w:szCs w:val="24"/>
        </w:rPr>
        <w:t xml:space="preserve">CALSSA claims that for a TPO entity, the </w:t>
      </w:r>
      <w:r w:rsidR="00B70ED6">
        <w:rPr>
          <w:rFonts w:ascii="Palatino Linotype" w:hAnsi="Palatino Linotype" w:eastAsia="Palatino Linotype"/>
          <w:sz w:val="24"/>
          <w:szCs w:val="24"/>
        </w:rPr>
        <w:t>SGIP payment is taxable income</w:t>
      </w:r>
      <w:r w:rsidR="002C0E0D">
        <w:rPr>
          <w:rFonts w:ascii="Palatino Linotype" w:hAnsi="Palatino Linotype" w:eastAsia="Palatino Linotype"/>
          <w:sz w:val="24"/>
          <w:szCs w:val="24"/>
        </w:rPr>
        <w:t xml:space="preserve"> in all cases</w:t>
      </w:r>
      <w:r w:rsidR="006C67A9">
        <w:rPr>
          <w:rFonts w:ascii="Palatino Linotype" w:hAnsi="Palatino Linotype" w:eastAsia="Palatino Linotype"/>
          <w:sz w:val="24"/>
          <w:szCs w:val="24"/>
        </w:rPr>
        <w:t xml:space="preserve">, but if the TPO entity does not have enough tax liability they will need to sell the IRA tax credits on the market </w:t>
      </w:r>
      <w:r w:rsidR="00FA5706">
        <w:rPr>
          <w:rFonts w:ascii="Palatino Linotype" w:hAnsi="Palatino Linotype" w:eastAsia="Palatino Linotype"/>
          <w:sz w:val="24"/>
          <w:szCs w:val="24"/>
        </w:rPr>
        <w:t xml:space="preserve">which often yields a lower cash value than the </w:t>
      </w:r>
      <w:r w:rsidR="000423CB">
        <w:rPr>
          <w:rFonts w:ascii="Palatino Linotype" w:hAnsi="Palatino Linotype" w:eastAsia="Palatino Linotype"/>
          <w:sz w:val="24"/>
          <w:szCs w:val="24"/>
        </w:rPr>
        <w:t>credits</w:t>
      </w:r>
      <w:r w:rsidR="00FA5706">
        <w:rPr>
          <w:rFonts w:ascii="Palatino Linotype" w:hAnsi="Palatino Linotype" w:eastAsia="Palatino Linotype"/>
          <w:sz w:val="24"/>
          <w:szCs w:val="24"/>
        </w:rPr>
        <w:t xml:space="preserve">. CALSSA recommends that the IRA tax credit percent being claimed </w:t>
      </w:r>
      <w:r w:rsidR="00FE011A">
        <w:rPr>
          <w:rFonts w:ascii="Palatino Linotype" w:hAnsi="Palatino Linotype" w:eastAsia="Palatino Linotype"/>
          <w:sz w:val="24"/>
          <w:szCs w:val="24"/>
        </w:rPr>
        <w:t>be edited a</w:t>
      </w:r>
      <w:r w:rsidR="006122F5">
        <w:rPr>
          <w:rFonts w:ascii="Palatino Linotype" w:hAnsi="Palatino Linotype" w:eastAsia="Palatino Linotype"/>
          <w:sz w:val="24"/>
          <w:szCs w:val="24"/>
        </w:rPr>
        <w:t>t the ICF</w:t>
      </w:r>
      <w:r w:rsidR="00FE011A">
        <w:rPr>
          <w:rFonts w:ascii="Palatino Linotype" w:hAnsi="Palatino Linotype" w:eastAsia="Palatino Linotype"/>
          <w:sz w:val="24"/>
          <w:szCs w:val="24"/>
        </w:rPr>
        <w:t xml:space="preserve"> stage </w:t>
      </w:r>
      <w:r w:rsidR="00BA4631">
        <w:rPr>
          <w:rFonts w:ascii="Palatino Linotype" w:hAnsi="Palatino Linotype" w:eastAsia="Palatino Linotype"/>
          <w:sz w:val="24"/>
          <w:szCs w:val="24"/>
        </w:rPr>
        <w:t>to incorporate market s</w:t>
      </w:r>
      <w:r w:rsidR="009E5A13">
        <w:rPr>
          <w:rFonts w:ascii="Palatino Linotype" w:hAnsi="Palatino Linotype" w:eastAsia="Palatino Linotype"/>
          <w:sz w:val="24"/>
          <w:szCs w:val="24"/>
        </w:rPr>
        <w:t>ale</w:t>
      </w:r>
      <w:r w:rsidR="00BA4631">
        <w:rPr>
          <w:rFonts w:ascii="Palatino Linotype" w:hAnsi="Palatino Linotype" w:eastAsia="Palatino Linotype"/>
          <w:sz w:val="24"/>
          <w:szCs w:val="24"/>
        </w:rPr>
        <w:t xml:space="preserve"> price or additional </w:t>
      </w:r>
      <w:r w:rsidR="006122F5">
        <w:rPr>
          <w:rFonts w:ascii="Palatino Linotype" w:hAnsi="Palatino Linotype" w:eastAsia="Palatino Linotype"/>
          <w:sz w:val="24"/>
          <w:szCs w:val="24"/>
        </w:rPr>
        <w:t xml:space="preserve">IRA </w:t>
      </w:r>
      <w:r w:rsidR="00953329">
        <w:rPr>
          <w:rFonts w:ascii="Palatino Linotype" w:hAnsi="Palatino Linotype" w:eastAsia="Palatino Linotype"/>
          <w:sz w:val="24"/>
          <w:szCs w:val="24"/>
        </w:rPr>
        <w:t>bonus credits</w:t>
      </w:r>
      <w:r w:rsidR="006122F5">
        <w:rPr>
          <w:rFonts w:ascii="Palatino Linotype" w:hAnsi="Palatino Linotype" w:eastAsia="Palatino Linotype"/>
          <w:sz w:val="24"/>
          <w:szCs w:val="24"/>
        </w:rPr>
        <w:t>.</w:t>
      </w:r>
      <w:r w:rsidR="001D045E">
        <w:rPr>
          <w:rStyle w:val="FootnoteReference"/>
          <w:rFonts w:ascii="Palatino Linotype" w:hAnsi="Palatino Linotype" w:eastAsia="Palatino Linotype"/>
          <w:sz w:val="24"/>
          <w:szCs w:val="24"/>
        </w:rPr>
        <w:footnoteReference w:id="19"/>
      </w:r>
      <w:r w:rsidR="006122F5">
        <w:rPr>
          <w:rFonts w:ascii="Palatino Linotype" w:hAnsi="Palatino Linotype" w:eastAsia="Palatino Linotype"/>
          <w:sz w:val="24"/>
          <w:szCs w:val="24"/>
        </w:rPr>
        <w:t xml:space="preserve"> </w:t>
      </w:r>
    </w:p>
    <w:p w:rsidRPr="0060688C" w:rsidR="00125F14" w:rsidP="4BA7214B" w:rsidRDefault="00125F14" w14:paraId="77B4CAC4" w14:textId="77777777">
      <w:pPr>
        <w:rPr>
          <w:rFonts w:ascii="Palatino Linotype" w:hAnsi="Palatino Linotype" w:eastAsia="Palatino Linotype"/>
          <w:sz w:val="24"/>
          <w:szCs w:val="24"/>
        </w:rPr>
      </w:pPr>
    </w:p>
    <w:p w:rsidRPr="0060688C" w:rsidR="00C37A73" w:rsidP="00CA21A7" w:rsidRDefault="00CD7281" w14:paraId="478EA423" w14:textId="33A58196">
      <w:pPr>
        <w:pStyle w:val="ListParagraph"/>
        <w:numPr>
          <w:ilvl w:val="0"/>
          <w:numId w:val="20"/>
        </w:numPr>
        <w:rPr>
          <w:rFonts w:ascii="Palatino Linotype" w:hAnsi="Palatino Linotype" w:eastAsia="Palatino Linotype"/>
          <w:b/>
          <w:szCs w:val="26"/>
        </w:rPr>
      </w:pPr>
      <w:r>
        <w:rPr>
          <w:rFonts w:ascii="Palatino Linotype" w:hAnsi="Palatino Linotype" w:eastAsia="Palatino Linotype"/>
          <w:b/>
          <w:bCs/>
          <w:sz w:val="24"/>
          <w:szCs w:val="24"/>
        </w:rPr>
        <w:t>Treatment of the IRA Tax Credit</w:t>
      </w:r>
    </w:p>
    <w:p w:rsidR="00E97E87" w:rsidP="00096B40" w:rsidRDefault="00CD7281" w14:paraId="21467010" w14:textId="2A887542">
      <w:pPr>
        <w:rPr>
          <w:rFonts w:ascii="Palatino Linotype" w:hAnsi="Palatino Linotype" w:eastAsia="Palatino Linotype"/>
          <w:sz w:val="24"/>
          <w:szCs w:val="24"/>
        </w:rPr>
      </w:pPr>
      <w:r>
        <w:rPr>
          <w:rFonts w:ascii="Palatino Linotype" w:hAnsi="Palatino Linotype" w:eastAsia="Palatino Linotype"/>
          <w:sz w:val="24"/>
          <w:szCs w:val="24"/>
        </w:rPr>
        <w:t xml:space="preserve">Free Energy protests </w:t>
      </w:r>
      <w:r w:rsidR="00761206">
        <w:rPr>
          <w:rFonts w:ascii="Palatino Linotype" w:hAnsi="Palatino Linotype" w:eastAsia="Palatino Linotype"/>
          <w:sz w:val="24"/>
          <w:szCs w:val="24"/>
        </w:rPr>
        <w:t>that</w:t>
      </w:r>
      <w:r>
        <w:rPr>
          <w:rFonts w:ascii="Palatino Linotype" w:hAnsi="Palatino Linotype" w:eastAsia="Palatino Linotype"/>
          <w:sz w:val="24"/>
          <w:szCs w:val="24"/>
        </w:rPr>
        <w:t xml:space="preserve"> </w:t>
      </w:r>
      <w:r w:rsidR="00B95378">
        <w:rPr>
          <w:rFonts w:ascii="Palatino Linotype" w:hAnsi="Palatino Linotype" w:eastAsia="Palatino Linotype"/>
          <w:sz w:val="24"/>
          <w:szCs w:val="24"/>
        </w:rPr>
        <w:t>the 30</w:t>
      </w:r>
      <w:r w:rsidR="00DB6422">
        <w:rPr>
          <w:rFonts w:ascii="Palatino Linotype" w:hAnsi="Palatino Linotype" w:eastAsia="Palatino Linotype"/>
          <w:sz w:val="24"/>
          <w:szCs w:val="24"/>
        </w:rPr>
        <w:t xml:space="preserve"> percent</w:t>
      </w:r>
      <w:r w:rsidR="00B95378">
        <w:rPr>
          <w:rFonts w:ascii="Palatino Linotype" w:hAnsi="Palatino Linotype" w:eastAsia="Palatino Linotype"/>
          <w:sz w:val="24"/>
          <w:szCs w:val="24"/>
        </w:rPr>
        <w:t xml:space="preserve"> reduction would put the SGIP incentive below the </w:t>
      </w:r>
      <w:r w:rsidR="00425193">
        <w:rPr>
          <w:rFonts w:ascii="Palatino Linotype" w:hAnsi="Palatino Linotype" w:eastAsia="Palatino Linotype"/>
          <w:sz w:val="24"/>
          <w:szCs w:val="24"/>
        </w:rPr>
        <w:t>previous $0.85 per watt-hour (Wh) which had very low uptake and will result in few applicants</w:t>
      </w:r>
      <w:r w:rsidR="000C51B5">
        <w:rPr>
          <w:rFonts w:ascii="Palatino Linotype" w:hAnsi="Palatino Linotype" w:eastAsia="Palatino Linotype"/>
          <w:sz w:val="24"/>
          <w:szCs w:val="24"/>
        </w:rPr>
        <w:t>.</w:t>
      </w:r>
      <w:r w:rsidR="002647E2">
        <w:rPr>
          <w:rStyle w:val="FootnoteReference"/>
          <w:rFonts w:ascii="Palatino Linotype" w:hAnsi="Palatino Linotype" w:eastAsia="Palatino Linotype"/>
          <w:sz w:val="24"/>
          <w:szCs w:val="24"/>
        </w:rPr>
        <w:footnoteReference w:id="20"/>
      </w:r>
      <w:r w:rsidR="000C51B5">
        <w:rPr>
          <w:rFonts w:ascii="Palatino Linotype" w:hAnsi="Palatino Linotype" w:eastAsia="Palatino Linotype"/>
          <w:sz w:val="24"/>
          <w:szCs w:val="24"/>
        </w:rPr>
        <w:t xml:space="preserve"> </w:t>
      </w:r>
      <w:r w:rsidR="00845D9D">
        <w:rPr>
          <w:rFonts w:ascii="Palatino Linotype" w:hAnsi="Palatino Linotype" w:eastAsia="Palatino Linotype"/>
          <w:sz w:val="24"/>
          <w:szCs w:val="24"/>
        </w:rPr>
        <w:t>Free Energy protests that the mandatory claiming of the IRA tax credit creates unneeded burden to the host customer as spreading the funds to more projects is not needed based on low project uptake in the budget historically.</w:t>
      </w:r>
      <w:r w:rsidR="007E0EF0">
        <w:rPr>
          <w:rStyle w:val="FootnoteReference"/>
          <w:rFonts w:ascii="Palatino Linotype" w:hAnsi="Palatino Linotype" w:eastAsia="Palatino Linotype"/>
          <w:sz w:val="24"/>
          <w:szCs w:val="24"/>
        </w:rPr>
        <w:footnoteReference w:id="21"/>
      </w:r>
      <w:r w:rsidR="00845D9D">
        <w:rPr>
          <w:rFonts w:ascii="Palatino Linotype" w:hAnsi="Palatino Linotype" w:eastAsia="Palatino Linotype"/>
          <w:sz w:val="24"/>
          <w:szCs w:val="24"/>
        </w:rPr>
        <w:t xml:space="preserve"> </w:t>
      </w:r>
      <w:r w:rsidR="000C51B5">
        <w:rPr>
          <w:rFonts w:ascii="Palatino Linotype" w:hAnsi="Palatino Linotype" w:eastAsia="Palatino Linotype"/>
          <w:sz w:val="24"/>
          <w:szCs w:val="24"/>
        </w:rPr>
        <w:t xml:space="preserve">Free Energy protests that the timing of the IRA tax credit could take years to claim due to long </w:t>
      </w:r>
      <w:r w:rsidR="000C51B5">
        <w:rPr>
          <w:rFonts w:ascii="Palatino Linotype" w:hAnsi="Palatino Linotype" w:eastAsia="Palatino Linotype"/>
          <w:sz w:val="24"/>
          <w:szCs w:val="24"/>
        </w:rPr>
        <w:lastRenderedPageBreak/>
        <w:t xml:space="preserve">project timeline and </w:t>
      </w:r>
      <w:r w:rsidR="00A429AE">
        <w:rPr>
          <w:rFonts w:ascii="Palatino Linotype" w:hAnsi="Palatino Linotype" w:eastAsia="Palatino Linotype"/>
          <w:sz w:val="24"/>
          <w:szCs w:val="24"/>
        </w:rPr>
        <w:t xml:space="preserve">low tax </w:t>
      </w:r>
      <w:r w:rsidR="0041600B">
        <w:rPr>
          <w:rFonts w:ascii="Palatino Linotype" w:hAnsi="Palatino Linotype" w:eastAsia="Palatino Linotype"/>
          <w:sz w:val="24"/>
          <w:szCs w:val="24"/>
        </w:rPr>
        <w:t>liability</w:t>
      </w:r>
      <w:r w:rsidR="001C4470">
        <w:rPr>
          <w:rFonts w:ascii="Palatino Linotype" w:hAnsi="Palatino Linotype" w:eastAsia="Palatino Linotype"/>
          <w:sz w:val="24"/>
          <w:szCs w:val="24"/>
        </w:rPr>
        <w:t xml:space="preserve"> for claiming rolled over tax credits</w:t>
      </w:r>
      <w:r w:rsidR="0041600B">
        <w:rPr>
          <w:rFonts w:ascii="Palatino Linotype" w:hAnsi="Palatino Linotype" w:eastAsia="Palatino Linotype"/>
          <w:sz w:val="24"/>
          <w:szCs w:val="24"/>
        </w:rPr>
        <w:t>.</w:t>
      </w:r>
      <w:r w:rsidR="00D755DC">
        <w:rPr>
          <w:rStyle w:val="FootnoteReference"/>
          <w:rFonts w:ascii="Palatino Linotype" w:hAnsi="Palatino Linotype" w:eastAsia="Palatino Linotype"/>
          <w:sz w:val="24"/>
          <w:szCs w:val="24"/>
        </w:rPr>
        <w:footnoteReference w:id="22"/>
      </w:r>
      <w:r w:rsidR="00C75F83">
        <w:rPr>
          <w:rFonts w:ascii="Palatino Linotype" w:hAnsi="Palatino Linotype" w:eastAsia="Palatino Linotype"/>
          <w:sz w:val="24"/>
          <w:szCs w:val="24"/>
        </w:rPr>
        <w:t xml:space="preserve"> </w:t>
      </w:r>
      <w:r w:rsidR="007E0EF0">
        <w:rPr>
          <w:rFonts w:ascii="Palatino Linotype" w:hAnsi="Palatino Linotype" w:eastAsia="Palatino Linotype"/>
          <w:sz w:val="24"/>
          <w:szCs w:val="24"/>
        </w:rPr>
        <w:t xml:space="preserve">Free Energy proposes that applicants can either claim the IRA tax credit themselves or transfer the IRA tax credits to the SGIP PAs to reinvest in </w:t>
      </w:r>
      <w:r w:rsidR="00113F75">
        <w:rPr>
          <w:rFonts w:ascii="Palatino Linotype" w:hAnsi="Palatino Linotype" w:eastAsia="Palatino Linotype"/>
          <w:sz w:val="24"/>
          <w:szCs w:val="24"/>
        </w:rPr>
        <w:t xml:space="preserve">the </w:t>
      </w:r>
      <w:r w:rsidR="007E0EF0">
        <w:rPr>
          <w:rFonts w:ascii="Palatino Linotype" w:hAnsi="Palatino Linotype" w:eastAsia="Palatino Linotype"/>
          <w:sz w:val="24"/>
          <w:szCs w:val="24"/>
        </w:rPr>
        <w:t>SGIP.</w:t>
      </w:r>
      <w:r w:rsidR="00D755DC">
        <w:rPr>
          <w:rStyle w:val="FootnoteReference"/>
          <w:rFonts w:ascii="Palatino Linotype" w:hAnsi="Palatino Linotype" w:eastAsia="Palatino Linotype"/>
          <w:sz w:val="24"/>
          <w:szCs w:val="24"/>
        </w:rPr>
        <w:footnoteReference w:id="23"/>
      </w:r>
      <w:r w:rsidR="007E0EF0">
        <w:rPr>
          <w:rFonts w:ascii="Palatino Linotype" w:hAnsi="Palatino Linotype" w:eastAsia="Palatino Linotype"/>
          <w:sz w:val="24"/>
          <w:szCs w:val="24"/>
        </w:rPr>
        <w:t xml:space="preserve"> </w:t>
      </w:r>
    </w:p>
    <w:p w:rsidR="00E97E87" w:rsidP="00096B40" w:rsidRDefault="00E97E87" w14:paraId="313BD01A" w14:textId="77777777">
      <w:pPr>
        <w:rPr>
          <w:rFonts w:ascii="Palatino Linotype" w:hAnsi="Palatino Linotype" w:eastAsia="Palatino Linotype"/>
          <w:sz w:val="24"/>
          <w:szCs w:val="24"/>
        </w:rPr>
      </w:pPr>
    </w:p>
    <w:p w:rsidR="00CD7281" w:rsidP="00096B40" w:rsidRDefault="00E93D92" w14:paraId="7AFB4B9D" w14:textId="500720FE">
      <w:pPr>
        <w:rPr>
          <w:rFonts w:ascii="Palatino Linotype" w:hAnsi="Palatino Linotype" w:eastAsia="Palatino Linotype"/>
          <w:sz w:val="24"/>
          <w:szCs w:val="24"/>
        </w:rPr>
      </w:pPr>
      <w:r>
        <w:rPr>
          <w:rFonts w:ascii="Palatino Linotype" w:hAnsi="Palatino Linotype" w:eastAsia="Palatino Linotype"/>
          <w:sz w:val="24"/>
          <w:szCs w:val="24"/>
        </w:rPr>
        <w:t xml:space="preserve">Free Energy protests that the </w:t>
      </w:r>
      <w:r w:rsidR="00C75F83">
        <w:rPr>
          <w:rFonts w:ascii="Palatino Linotype" w:hAnsi="Palatino Linotype" w:eastAsia="Palatino Linotype"/>
          <w:sz w:val="24"/>
          <w:szCs w:val="24"/>
        </w:rPr>
        <w:t xml:space="preserve">exception process </w:t>
      </w:r>
      <w:r>
        <w:rPr>
          <w:rFonts w:ascii="Palatino Linotype" w:hAnsi="Palatino Linotype" w:eastAsia="Palatino Linotype"/>
          <w:sz w:val="24"/>
          <w:szCs w:val="24"/>
        </w:rPr>
        <w:t xml:space="preserve">would force customers to use a TPO </w:t>
      </w:r>
      <w:r w:rsidR="00720F6D">
        <w:rPr>
          <w:rFonts w:ascii="Palatino Linotype" w:hAnsi="Palatino Linotype" w:eastAsia="Palatino Linotype"/>
          <w:sz w:val="24"/>
          <w:szCs w:val="24"/>
        </w:rPr>
        <w:t>arrangement or face a 30</w:t>
      </w:r>
      <w:r w:rsidR="00DB6422">
        <w:rPr>
          <w:rFonts w:ascii="Palatino Linotype" w:hAnsi="Palatino Linotype" w:eastAsia="Palatino Linotype"/>
          <w:sz w:val="24"/>
          <w:szCs w:val="24"/>
        </w:rPr>
        <w:t xml:space="preserve"> percent</w:t>
      </w:r>
      <w:r w:rsidR="00720F6D">
        <w:rPr>
          <w:rFonts w:ascii="Palatino Linotype" w:hAnsi="Palatino Linotype" w:eastAsia="Palatino Linotype"/>
          <w:sz w:val="24"/>
          <w:szCs w:val="24"/>
        </w:rPr>
        <w:t xml:space="preserve"> upfront cost for the system.</w:t>
      </w:r>
      <w:r w:rsidR="00D755DC">
        <w:rPr>
          <w:rStyle w:val="FootnoteReference"/>
          <w:rFonts w:ascii="Palatino Linotype" w:hAnsi="Palatino Linotype" w:eastAsia="Palatino Linotype"/>
          <w:sz w:val="24"/>
          <w:szCs w:val="24"/>
        </w:rPr>
        <w:footnoteReference w:id="24"/>
      </w:r>
      <w:r w:rsidR="00720F6D">
        <w:rPr>
          <w:rFonts w:ascii="Palatino Linotype" w:hAnsi="Palatino Linotype" w:eastAsia="Palatino Linotype"/>
          <w:sz w:val="24"/>
          <w:szCs w:val="24"/>
        </w:rPr>
        <w:t xml:space="preserve"> </w:t>
      </w:r>
      <w:r w:rsidR="001306E9">
        <w:rPr>
          <w:rFonts w:ascii="Palatino Linotype" w:hAnsi="Palatino Linotype" w:eastAsia="Palatino Linotype"/>
          <w:sz w:val="24"/>
          <w:szCs w:val="24"/>
        </w:rPr>
        <w:t>CALSSA claims that TPO project</w:t>
      </w:r>
      <w:r w:rsidR="001975EF">
        <w:rPr>
          <w:rFonts w:ascii="Palatino Linotype" w:hAnsi="Palatino Linotype" w:eastAsia="Palatino Linotype"/>
          <w:sz w:val="24"/>
          <w:szCs w:val="24"/>
        </w:rPr>
        <w:t>s</w:t>
      </w:r>
      <w:r w:rsidR="001306E9">
        <w:rPr>
          <w:rFonts w:ascii="Palatino Linotype" w:hAnsi="Palatino Linotype" w:eastAsia="Palatino Linotype"/>
          <w:sz w:val="24"/>
          <w:szCs w:val="24"/>
        </w:rPr>
        <w:t xml:space="preserve"> will have higher total eligible project costs due to </w:t>
      </w:r>
      <w:r w:rsidR="001975EF">
        <w:rPr>
          <w:rFonts w:ascii="Palatino Linotype" w:hAnsi="Palatino Linotype" w:eastAsia="Palatino Linotype"/>
          <w:sz w:val="24"/>
          <w:szCs w:val="24"/>
        </w:rPr>
        <w:t xml:space="preserve">a </w:t>
      </w:r>
      <w:r w:rsidR="001306E9">
        <w:rPr>
          <w:rFonts w:ascii="Palatino Linotype" w:hAnsi="Palatino Linotype" w:eastAsia="Palatino Linotype"/>
          <w:sz w:val="24"/>
          <w:szCs w:val="24"/>
        </w:rPr>
        <w:t>higher administrative burden.</w:t>
      </w:r>
      <w:r w:rsidR="00D755DC">
        <w:rPr>
          <w:rStyle w:val="FootnoteReference"/>
          <w:rFonts w:ascii="Palatino Linotype" w:hAnsi="Palatino Linotype" w:eastAsia="Palatino Linotype"/>
          <w:sz w:val="24"/>
          <w:szCs w:val="24"/>
        </w:rPr>
        <w:footnoteReference w:id="25"/>
      </w:r>
      <w:r w:rsidR="001306E9">
        <w:rPr>
          <w:rFonts w:ascii="Palatino Linotype" w:hAnsi="Palatino Linotype" w:eastAsia="Palatino Linotype"/>
          <w:sz w:val="24"/>
          <w:szCs w:val="24"/>
        </w:rPr>
        <w:t xml:space="preserve"> </w:t>
      </w:r>
      <w:r w:rsidR="00A90DA2">
        <w:rPr>
          <w:rFonts w:ascii="Palatino Linotype" w:hAnsi="Palatino Linotype" w:eastAsia="Palatino Linotype"/>
          <w:sz w:val="24"/>
          <w:szCs w:val="24"/>
        </w:rPr>
        <w:t>CALSSA claims that the IRA tax credit could be impacted by the Trump administration</w:t>
      </w:r>
      <w:r w:rsidR="00196E19">
        <w:rPr>
          <w:rFonts w:ascii="Palatino Linotype" w:hAnsi="Palatino Linotype" w:eastAsia="Palatino Linotype"/>
          <w:sz w:val="24"/>
          <w:szCs w:val="24"/>
        </w:rPr>
        <w:t>.</w:t>
      </w:r>
      <w:r w:rsidR="00D755DC">
        <w:rPr>
          <w:rStyle w:val="FootnoteReference"/>
          <w:rFonts w:ascii="Palatino Linotype" w:hAnsi="Palatino Linotype" w:eastAsia="Palatino Linotype"/>
          <w:sz w:val="24"/>
          <w:szCs w:val="24"/>
        </w:rPr>
        <w:footnoteReference w:id="26"/>
      </w:r>
      <w:r w:rsidR="00196E19">
        <w:rPr>
          <w:rFonts w:ascii="Palatino Linotype" w:hAnsi="Palatino Linotype" w:eastAsia="Palatino Linotype"/>
          <w:sz w:val="24"/>
          <w:szCs w:val="24"/>
        </w:rPr>
        <w:t xml:space="preserve"> </w:t>
      </w:r>
      <w:r w:rsidR="00A90DA2">
        <w:rPr>
          <w:rFonts w:ascii="Palatino Linotype" w:hAnsi="Palatino Linotype" w:eastAsia="Palatino Linotype"/>
          <w:sz w:val="24"/>
          <w:szCs w:val="24"/>
        </w:rPr>
        <w:t xml:space="preserve"> </w:t>
      </w:r>
    </w:p>
    <w:p w:rsidR="001B2182" w:rsidP="001B2182" w:rsidRDefault="001B2182" w14:paraId="59A7D30B" w14:textId="77777777">
      <w:pPr>
        <w:rPr>
          <w:rFonts w:ascii="Palatino Linotype" w:hAnsi="Palatino Linotype" w:eastAsia="Palatino Linotype"/>
          <w:sz w:val="24"/>
          <w:szCs w:val="24"/>
        </w:rPr>
      </w:pPr>
    </w:p>
    <w:p w:rsidRPr="00D865A9" w:rsidR="00CF17DE" w:rsidP="00DE16CD" w:rsidRDefault="00C651E9" w14:paraId="30C5808A" w14:textId="7839A645">
      <w:pPr>
        <w:rPr>
          <w:rFonts w:ascii="Palatino Linotype" w:hAnsi="Palatino Linotype" w:eastAsia="Palatino Linotype"/>
          <w:sz w:val="24"/>
          <w:szCs w:val="24"/>
        </w:rPr>
      </w:pPr>
      <w:r w:rsidRPr="00DE16CD">
        <w:rPr>
          <w:rFonts w:ascii="Palatino Linotype" w:hAnsi="Palatino Linotype" w:eastAsia="Palatino Linotype"/>
          <w:b/>
          <w:sz w:val="24"/>
          <w:szCs w:val="24"/>
        </w:rPr>
        <w:t xml:space="preserve">Joint </w:t>
      </w:r>
      <w:r w:rsidRPr="00DE16CD" w:rsidR="001B2182">
        <w:rPr>
          <w:rFonts w:ascii="Palatino Linotype" w:hAnsi="Palatino Linotype" w:eastAsia="Palatino Linotype"/>
          <w:b/>
          <w:sz w:val="24"/>
          <w:szCs w:val="24"/>
        </w:rPr>
        <w:t>PA Reply:</w:t>
      </w:r>
      <w:r w:rsidRPr="00DE16CD" w:rsidR="001B7D00">
        <w:rPr>
          <w:rFonts w:ascii="Palatino Linotype" w:hAnsi="Palatino Linotype" w:eastAsia="Palatino Linotype"/>
          <w:b/>
          <w:sz w:val="24"/>
          <w:szCs w:val="24"/>
        </w:rPr>
        <w:t xml:space="preserve"> </w:t>
      </w:r>
      <w:r w:rsidR="001B7D00">
        <w:rPr>
          <w:rFonts w:ascii="Palatino Linotype" w:hAnsi="Palatino Linotype" w:eastAsia="Palatino Linotype"/>
          <w:sz w:val="24"/>
          <w:szCs w:val="24"/>
        </w:rPr>
        <w:t xml:space="preserve">The PAs </w:t>
      </w:r>
      <w:r w:rsidR="00565BC6">
        <w:rPr>
          <w:rFonts w:ascii="Palatino Linotype" w:hAnsi="Palatino Linotype" w:eastAsia="Palatino Linotype"/>
          <w:sz w:val="24"/>
          <w:szCs w:val="24"/>
        </w:rPr>
        <w:t xml:space="preserve">claim that the </w:t>
      </w:r>
      <w:r w:rsidR="000C4F05">
        <w:rPr>
          <w:rFonts w:ascii="Palatino Linotype" w:hAnsi="Palatino Linotype" w:eastAsia="Palatino Linotype"/>
          <w:sz w:val="24"/>
          <w:szCs w:val="24"/>
        </w:rPr>
        <w:t xml:space="preserve">proposal is in line with </w:t>
      </w:r>
      <w:r w:rsidR="00B27EC2">
        <w:rPr>
          <w:rFonts w:ascii="Palatino Linotype" w:hAnsi="Palatino Linotype" w:eastAsia="Palatino Linotype"/>
          <w:sz w:val="24"/>
          <w:szCs w:val="24"/>
        </w:rPr>
        <w:t>OP</w:t>
      </w:r>
      <w:r w:rsidR="000C4F05">
        <w:rPr>
          <w:rFonts w:ascii="Palatino Linotype" w:hAnsi="Palatino Linotype" w:eastAsia="Palatino Linotype"/>
          <w:sz w:val="24"/>
          <w:szCs w:val="24"/>
        </w:rPr>
        <w:t xml:space="preserve"> 29 of the Decision</w:t>
      </w:r>
      <w:r w:rsidR="00B30EEF">
        <w:rPr>
          <w:rFonts w:ascii="Palatino Linotype" w:hAnsi="Palatino Linotype" w:eastAsia="Palatino Linotype"/>
          <w:sz w:val="24"/>
          <w:szCs w:val="24"/>
        </w:rPr>
        <w:t xml:space="preserve"> and the tax implications</w:t>
      </w:r>
      <w:r w:rsidR="00A47DFF">
        <w:rPr>
          <w:rFonts w:ascii="Palatino Linotype" w:hAnsi="Palatino Linotype" w:eastAsia="Palatino Linotype"/>
          <w:sz w:val="24"/>
          <w:szCs w:val="24"/>
        </w:rPr>
        <w:t xml:space="preserve"> are out of the scope of the AL</w:t>
      </w:r>
      <w:r w:rsidR="00FE447A">
        <w:rPr>
          <w:rFonts w:ascii="Palatino Linotype" w:hAnsi="Palatino Linotype" w:eastAsia="Palatino Linotype"/>
          <w:sz w:val="24"/>
          <w:szCs w:val="24"/>
        </w:rPr>
        <w:t>.</w:t>
      </w:r>
      <w:r w:rsidR="00B70069">
        <w:rPr>
          <w:rFonts w:ascii="Palatino Linotype" w:hAnsi="Palatino Linotype" w:eastAsia="Palatino Linotype"/>
          <w:sz w:val="24"/>
          <w:szCs w:val="24"/>
        </w:rPr>
        <w:t xml:space="preserve"> The PAs claim that the exception process </w:t>
      </w:r>
      <w:r w:rsidR="008A3285">
        <w:rPr>
          <w:rFonts w:ascii="Palatino Linotype" w:hAnsi="Palatino Linotype" w:eastAsia="Palatino Linotype"/>
          <w:sz w:val="24"/>
          <w:szCs w:val="24"/>
        </w:rPr>
        <w:t xml:space="preserve">will </w:t>
      </w:r>
      <w:r w:rsidR="003D4D0C">
        <w:rPr>
          <w:rFonts w:ascii="Palatino Linotype" w:hAnsi="Palatino Linotype" w:eastAsia="Palatino Linotype"/>
          <w:sz w:val="24"/>
          <w:szCs w:val="24"/>
        </w:rPr>
        <w:t>allow</w:t>
      </w:r>
      <w:r w:rsidR="008A3285">
        <w:rPr>
          <w:rFonts w:ascii="Palatino Linotype" w:hAnsi="Palatino Linotype" w:eastAsia="Palatino Linotype"/>
          <w:sz w:val="24"/>
          <w:szCs w:val="24"/>
        </w:rPr>
        <w:t xml:space="preserve"> customers </w:t>
      </w:r>
      <w:r w:rsidR="00A14DC0">
        <w:rPr>
          <w:rFonts w:ascii="Palatino Linotype" w:hAnsi="Palatino Linotype" w:eastAsia="Palatino Linotype"/>
          <w:sz w:val="24"/>
          <w:szCs w:val="24"/>
        </w:rPr>
        <w:t xml:space="preserve">ineligible for the IRA tax credit due to unique tax situations to submit documentation to receive an exemption. </w:t>
      </w:r>
      <w:r w:rsidR="00CB4CFE">
        <w:rPr>
          <w:rFonts w:ascii="Palatino Linotype" w:hAnsi="Palatino Linotype" w:eastAsia="Palatino Linotype"/>
          <w:sz w:val="24"/>
          <w:szCs w:val="24"/>
        </w:rPr>
        <w:t xml:space="preserve">The PAs request that the Commission reject the protests and </w:t>
      </w:r>
      <w:r w:rsidR="00F04C0A">
        <w:rPr>
          <w:rFonts w:ascii="Palatino Linotype" w:hAnsi="Palatino Linotype" w:eastAsia="Palatino Linotype"/>
          <w:sz w:val="24"/>
          <w:szCs w:val="24"/>
        </w:rPr>
        <w:t>approve</w:t>
      </w:r>
      <w:r w:rsidR="00CB4CFE">
        <w:rPr>
          <w:rFonts w:ascii="Palatino Linotype" w:hAnsi="Palatino Linotype" w:eastAsia="Palatino Linotype"/>
          <w:sz w:val="24"/>
          <w:szCs w:val="24"/>
        </w:rPr>
        <w:t xml:space="preserve"> </w:t>
      </w:r>
      <w:r w:rsidR="00F04C0A">
        <w:rPr>
          <w:rFonts w:ascii="Palatino Linotype" w:hAnsi="Palatino Linotype" w:eastAsia="Palatino Linotype"/>
          <w:sz w:val="24"/>
          <w:szCs w:val="24"/>
        </w:rPr>
        <w:t xml:space="preserve">SCE </w:t>
      </w:r>
      <w:r w:rsidR="00DE16CD">
        <w:rPr>
          <w:rFonts w:ascii="Palatino Linotype" w:hAnsi="Palatino Linotype" w:eastAsia="Palatino Linotype"/>
          <w:sz w:val="24"/>
          <w:szCs w:val="24"/>
        </w:rPr>
        <w:t xml:space="preserve">6405-G et al. with no modifications. </w:t>
      </w:r>
    </w:p>
    <w:p w:rsidRPr="00D865A9" w:rsidR="00CF17DE" w:rsidP="4BA7214B" w:rsidRDefault="00CF17DE" w14:paraId="23E10AE5" w14:textId="77777777">
      <w:pPr>
        <w:pStyle w:val="Heading1"/>
        <w:rPr>
          <w:rFonts w:ascii="Palatino Linotype" w:hAnsi="Palatino Linotype" w:eastAsia="Palatino Linotype"/>
          <w:sz w:val="24"/>
          <w:szCs w:val="24"/>
        </w:rPr>
      </w:pPr>
      <w:r w:rsidRPr="00D865A9">
        <w:rPr>
          <w:rFonts w:ascii="Palatino Linotype" w:hAnsi="Palatino Linotype" w:eastAsia="Palatino Linotype"/>
          <w:sz w:val="24"/>
          <w:szCs w:val="24"/>
        </w:rPr>
        <w:t>Discussion</w:t>
      </w:r>
    </w:p>
    <w:p w:rsidR="00BF0801" w:rsidP="00AF4766" w:rsidRDefault="00A32525" w14:paraId="59EDA70C" w14:textId="3C899D12">
      <w:pPr>
        <w:rPr>
          <w:rFonts w:ascii="Palatino Linotype" w:hAnsi="Palatino Linotype" w:eastAsia="Palatino Linotype"/>
          <w:sz w:val="24"/>
          <w:szCs w:val="24"/>
        </w:rPr>
      </w:pPr>
      <w:r w:rsidRPr="00D865A9">
        <w:rPr>
          <w:rFonts w:ascii="Palatino Linotype" w:hAnsi="Palatino Linotype" w:eastAsia="Palatino Linotype"/>
          <w:sz w:val="24"/>
          <w:szCs w:val="24"/>
        </w:rPr>
        <w:t>The Commission</w:t>
      </w:r>
      <w:r w:rsidRPr="00D865A9" w:rsidR="00CF17DE">
        <w:rPr>
          <w:rFonts w:ascii="Palatino Linotype" w:hAnsi="Palatino Linotype" w:eastAsia="Palatino Linotype"/>
          <w:sz w:val="24"/>
          <w:szCs w:val="24"/>
        </w:rPr>
        <w:t xml:space="preserve"> has reviewed</w:t>
      </w:r>
      <w:r w:rsidRPr="00D865A9">
        <w:rPr>
          <w:rFonts w:ascii="Palatino Linotype" w:hAnsi="Palatino Linotype" w:eastAsia="Palatino Linotype"/>
          <w:sz w:val="24"/>
          <w:szCs w:val="24"/>
        </w:rPr>
        <w:t xml:space="preserve"> the </w:t>
      </w:r>
      <w:r w:rsidR="00D41ACC">
        <w:rPr>
          <w:rFonts w:ascii="Palatino Linotype" w:hAnsi="Palatino Linotype" w:eastAsia="Palatino Linotype"/>
          <w:sz w:val="24"/>
          <w:szCs w:val="24"/>
        </w:rPr>
        <w:t xml:space="preserve">joint </w:t>
      </w:r>
      <w:r w:rsidR="0027529C">
        <w:rPr>
          <w:rFonts w:ascii="Palatino Linotype" w:hAnsi="Palatino Linotype" w:eastAsia="Palatino Linotype"/>
          <w:sz w:val="24"/>
          <w:szCs w:val="24"/>
        </w:rPr>
        <w:t>AL</w:t>
      </w:r>
      <w:r w:rsidRPr="00D865A9">
        <w:rPr>
          <w:rFonts w:ascii="Palatino Linotype" w:hAnsi="Palatino Linotype" w:eastAsia="Palatino Linotype"/>
          <w:sz w:val="24"/>
          <w:szCs w:val="24"/>
        </w:rPr>
        <w:t>, the protest</w:t>
      </w:r>
      <w:r w:rsidR="00D41ACC">
        <w:rPr>
          <w:rFonts w:ascii="Palatino Linotype" w:hAnsi="Palatino Linotype" w:eastAsia="Palatino Linotype"/>
          <w:sz w:val="24"/>
          <w:szCs w:val="24"/>
        </w:rPr>
        <w:t>s</w:t>
      </w:r>
      <w:r w:rsidRPr="00D865A9">
        <w:rPr>
          <w:rFonts w:ascii="Palatino Linotype" w:hAnsi="Palatino Linotype" w:eastAsia="Palatino Linotype"/>
          <w:sz w:val="24"/>
          <w:szCs w:val="24"/>
        </w:rPr>
        <w:t xml:space="preserve">, and </w:t>
      </w:r>
      <w:r w:rsidR="00D41ACC">
        <w:rPr>
          <w:rFonts w:ascii="Palatino Linotype" w:hAnsi="Palatino Linotype" w:eastAsia="Palatino Linotype"/>
          <w:sz w:val="24"/>
          <w:szCs w:val="24"/>
        </w:rPr>
        <w:t xml:space="preserve">the reply, and approves </w:t>
      </w:r>
      <w:r w:rsidR="00307386">
        <w:rPr>
          <w:rFonts w:ascii="Palatino Linotype" w:hAnsi="Palatino Linotype" w:eastAsia="Palatino Linotype"/>
          <w:sz w:val="24"/>
          <w:szCs w:val="24"/>
        </w:rPr>
        <w:t xml:space="preserve">SCG 6405-G et al. </w:t>
      </w:r>
      <w:r w:rsidR="00C81F78">
        <w:rPr>
          <w:rFonts w:ascii="Palatino Linotype" w:hAnsi="Palatino Linotype" w:eastAsia="Palatino Linotype"/>
          <w:sz w:val="24"/>
          <w:szCs w:val="24"/>
        </w:rPr>
        <w:t xml:space="preserve">with modifications. </w:t>
      </w:r>
      <w:r w:rsidR="00EA45B6">
        <w:rPr>
          <w:rFonts w:ascii="Palatino Linotype" w:hAnsi="Palatino Linotype" w:eastAsia="Palatino Linotype"/>
          <w:sz w:val="24"/>
          <w:szCs w:val="24"/>
        </w:rPr>
        <w:t xml:space="preserve">We </w:t>
      </w:r>
      <w:r w:rsidR="00EE7E74">
        <w:rPr>
          <w:rFonts w:ascii="Palatino Linotype" w:hAnsi="Palatino Linotype" w:eastAsia="Palatino Linotype"/>
          <w:sz w:val="24"/>
          <w:szCs w:val="24"/>
        </w:rPr>
        <w:t xml:space="preserve">next </w:t>
      </w:r>
      <w:r w:rsidR="00EA45B6">
        <w:rPr>
          <w:rFonts w:ascii="Palatino Linotype" w:hAnsi="Palatino Linotype" w:eastAsia="Palatino Linotype"/>
          <w:sz w:val="24"/>
          <w:szCs w:val="24"/>
        </w:rPr>
        <w:t xml:space="preserve">discuss each </w:t>
      </w:r>
      <w:r w:rsidR="00B33A25">
        <w:rPr>
          <w:rFonts w:ascii="Palatino Linotype" w:hAnsi="Palatino Linotype" w:eastAsia="Palatino Linotype"/>
          <w:sz w:val="24"/>
          <w:szCs w:val="24"/>
        </w:rPr>
        <w:t>topic following the structure of the previous section.</w:t>
      </w:r>
    </w:p>
    <w:p w:rsidR="00BF0801" w:rsidRDefault="00BF0801" w14:paraId="243F9AA8" w14:textId="77777777">
      <w:pPr>
        <w:spacing w:line="259" w:lineRule="auto"/>
        <w:rPr>
          <w:rFonts w:ascii="Palatino Linotype" w:hAnsi="Palatino Linotype" w:eastAsia="Palatino Linotype"/>
          <w:sz w:val="24"/>
          <w:szCs w:val="24"/>
        </w:rPr>
      </w:pPr>
    </w:p>
    <w:p w:rsidRPr="007956CD" w:rsidR="00051828" w:rsidP="007956CD" w:rsidRDefault="00A7112A" w14:paraId="3BBB3D18" w14:textId="471F619E">
      <w:pPr>
        <w:pStyle w:val="ListParagraph"/>
        <w:numPr>
          <w:ilvl w:val="0"/>
          <w:numId w:val="29"/>
        </w:numPr>
        <w:rPr>
          <w:rFonts w:ascii="Palatino Linotype" w:hAnsi="Palatino Linotype" w:eastAsia="Palatino Linotype"/>
          <w:b/>
          <w:bCs/>
          <w:sz w:val="24"/>
          <w:szCs w:val="24"/>
        </w:rPr>
      </w:pPr>
      <w:r>
        <w:rPr>
          <w:rFonts w:ascii="Palatino Linotype" w:hAnsi="Palatino Linotype" w:eastAsia="Palatino Linotype"/>
          <w:b/>
          <w:bCs/>
          <w:sz w:val="24"/>
          <w:szCs w:val="24"/>
        </w:rPr>
        <w:t>SGIP as an Incentive</w:t>
      </w:r>
      <w:r w:rsidR="005111BE">
        <w:rPr>
          <w:rFonts w:ascii="Palatino Linotype" w:hAnsi="Palatino Linotype" w:eastAsia="Palatino Linotype"/>
          <w:b/>
          <w:bCs/>
          <w:sz w:val="24"/>
          <w:szCs w:val="24"/>
        </w:rPr>
        <w:t xml:space="preserve">, </w:t>
      </w:r>
      <w:r>
        <w:rPr>
          <w:rFonts w:ascii="Palatino Linotype" w:hAnsi="Palatino Linotype" w:eastAsia="Palatino Linotype"/>
          <w:b/>
          <w:bCs/>
          <w:sz w:val="24"/>
          <w:szCs w:val="24"/>
        </w:rPr>
        <w:t>Rebate</w:t>
      </w:r>
      <w:r w:rsidR="005111BE">
        <w:rPr>
          <w:rFonts w:ascii="Palatino Linotype" w:hAnsi="Palatino Linotype" w:eastAsia="Palatino Linotype"/>
          <w:b/>
          <w:bCs/>
          <w:sz w:val="24"/>
          <w:szCs w:val="24"/>
        </w:rPr>
        <w:t>, or Subsidy</w:t>
      </w:r>
    </w:p>
    <w:p w:rsidR="00CB05ED" w:rsidP="00AF4766" w:rsidRDefault="00CB05ED" w14:paraId="1D03E392" w14:textId="7A4493BA">
      <w:pPr>
        <w:spacing w:line="259" w:lineRule="auto"/>
        <w:rPr>
          <w:rFonts w:ascii="Palatino Linotype" w:hAnsi="Palatino Linotype" w:eastAsia="Palatino Linotype"/>
          <w:sz w:val="24"/>
          <w:szCs w:val="24"/>
        </w:rPr>
      </w:pPr>
    </w:p>
    <w:p w:rsidR="000B55B8" w:rsidP="28C3E287" w:rsidRDefault="007270B2" w14:paraId="05EEECBA" w14:textId="1ECB1FD6">
      <w:pPr>
        <w:spacing w:line="259" w:lineRule="auto"/>
        <w:rPr>
          <w:rFonts w:ascii="Palatino Linotype" w:hAnsi="Palatino Linotype" w:eastAsia="Palatino Linotype"/>
          <w:sz w:val="24"/>
          <w:szCs w:val="24"/>
        </w:rPr>
      </w:pPr>
      <w:r>
        <w:rPr>
          <w:rFonts w:ascii="Palatino Linotype" w:hAnsi="Palatino Linotype" w:eastAsia="Palatino Linotype"/>
          <w:sz w:val="24"/>
          <w:szCs w:val="24"/>
        </w:rPr>
        <w:t>First,</w:t>
      </w:r>
      <w:r w:rsidR="00697744">
        <w:rPr>
          <w:rFonts w:ascii="Palatino Linotype" w:hAnsi="Palatino Linotype" w:eastAsia="Palatino Linotype"/>
          <w:sz w:val="24"/>
          <w:szCs w:val="24"/>
        </w:rPr>
        <w:t xml:space="preserve"> </w:t>
      </w:r>
      <w:r w:rsidRPr="28C3E287" w:rsidR="5C6ED89C">
        <w:rPr>
          <w:rFonts w:ascii="Palatino Linotype" w:hAnsi="Palatino Linotype" w:eastAsia="Palatino Linotype"/>
          <w:sz w:val="24"/>
          <w:szCs w:val="24"/>
        </w:rPr>
        <w:t>we must</w:t>
      </w:r>
      <w:r w:rsidRPr="28C3E287" w:rsidR="5DE63766">
        <w:rPr>
          <w:rFonts w:ascii="Palatino Linotype" w:hAnsi="Palatino Linotype" w:eastAsia="Palatino Linotype"/>
          <w:sz w:val="24"/>
          <w:szCs w:val="24"/>
        </w:rPr>
        <w:t xml:space="preserve"> </w:t>
      </w:r>
      <w:r w:rsidRPr="28C3E287" w:rsidR="7A4F432A">
        <w:rPr>
          <w:rFonts w:ascii="Palatino Linotype" w:hAnsi="Palatino Linotype" w:eastAsia="Palatino Linotype"/>
          <w:sz w:val="24"/>
          <w:szCs w:val="24"/>
        </w:rPr>
        <w:t>resolve the th</w:t>
      </w:r>
      <w:r w:rsidRPr="28C3E287" w:rsidR="56B529AE">
        <w:rPr>
          <w:rFonts w:ascii="Palatino Linotype" w:hAnsi="Palatino Linotype" w:eastAsia="Palatino Linotype"/>
          <w:sz w:val="24"/>
          <w:szCs w:val="24"/>
        </w:rPr>
        <w:t>r</w:t>
      </w:r>
      <w:r w:rsidRPr="28C3E287" w:rsidR="7A4F432A">
        <w:rPr>
          <w:rFonts w:ascii="Palatino Linotype" w:hAnsi="Palatino Linotype" w:eastAsia="Palatino Linotype"/>
          <w:sz w:val="24"/>
          <w:szCs w:val="24"/>
        </w:rPr>
        <w:t xml:space="preserve">eshold issue of how </w:t>
      </w:r>
      <w:r w:rsidR="005C3ADF">
        <w:rPr>
          <w:rFonts w:ascii="Palatino Linotype" w:hAnsi="Palatino Linotype" w:eastAsia="Palatino Linotype"/>
          <w:sz w:val="24"/>
          <w:szCs w:val="24"/>
        </w:rPr>
        <w:t xml:space="preserve">the Residential </w:t>
      </w:r>
      <w:r w:rsidRPr="28C3E287" w:rsidR="7A4F432A">
        <w:rPr>
          <w:rFonts w:ascii="Palatino Linotype" w:hAnsi="Palatino Linotype" w:eastAsia="Palatino Linotype"/>
          <w:sz w:val="24"/>
          <w:szCs w:val="24"/>
        </w:rPr>
        <w:t>IRA tax credits are treated based on</w:t>
      </w:r>
      <w:r w:rsidRPr="28C3E287" w:rsidR="3ADB06B7">
        <w:rPr>
          <w:rFonts w:ascii="Palatino Linotype" w:hAnsi="Palatino Linotype" w:eastAsia="Palatino Linotype"/>
          <w:sz w:val="24"/>
          <w:szCs w:val="24"/>
        </w:rPr>
        <w:t xml:space="preserve"> </w:t>
      </w:r>
      <w:r w:rsidRPr="28C3E287" w:rsidR="7A4F432A">
        <w:rPr>
          <w:rFonts w:ascii="Palatino Linotype" w:hAnsi="Palatino Linotype" w:eastAsia="Palatino Linotype"/>
          <w:sz w:val="24"/>
          <w:szCs w:val="24"/>
        </w:rPr>
        <w:t xml:space="preserve">the source of </w:t>
      </w:r>
      <w:r w:rsidR="000449E1">
        <w:rPr>
          <w:rFonts w:ascii="Palatino Linotype" w:hAnsi="Palatino Linotype" w:eastAsia="Palatino Linotype"/>
          <w:sz w:val="24"/>
          <w:szCs w:val="24"/>
        </w:rPr>
        <w:t xml:space="preserve">SGIP </w:t>
      </w:r>
      <w:r w:rsidRPr="28C3E287" w:rsidR="7A4F432A">
        <w:rPr>
          <w:rFonts w:ascii="Palatino Linotype" w:hAnsi="Palatino Linotype" w:eastAsia="Palatino Linotype"/>
          <w:sz w:val="24"/>
          <w:szCs w:val="24"/>
        </w:rPr>
        <w:t>funding: ratepayer</w:t>
      </w:r>
      <w:r w:rsidR="007C55EE">
        <w:rPr>
          <w:rFonts w:ascii="Palatino Linotype" w:hAnsi="Palatino Linotype" w:eastAsia="Palatino Linotype"/>
          <w:sz w:val="24"/>
          <w:szCs w:val="24"/>
        </w:rPr>
        <w:t xml:space="preserve"> collections</w:t>
      </w:r>
      <w:r w:rsidRPr="28C3E287" w:rsidR="5E510AAE">
        <w:rPr>
          <w:rFonts w:ascii="Palatino Linotype" w:hAnsi="Palatino Linotype" w:eastAsia="Palatino Linotype"/>
          <w:sz w:val="24"/>
          <w:szCs w:val="24"/>
        </w:rPr>
        <w:t xml:space="preserve"> vs state</w:t>
      </w:r>
      <w:r w:rsidR="007C55EE">
        <w:rPr>
          <w:rFonts w:ascii="Palatino Linotype" w:hAnsi="Palatino Linotype" w:eastAsia="Palatino Linotype"/>
          <w:sz w:val="24"/>
          <w:szCs w:val="24"/>
        </w:rPr>
        <w:t xml:space="preserve"> budget</w:t>
      </w:r>
      <w:r w:rsidRPr="28C3E287" w:rsidR="18B7D261">
        <w:rPr>
          <w:rFonts w:ascii="Palatino Linotype" w:hAnsi="Palatino Linotype" w:eastAsia="Palatino Linotype"/>
          <w:sz w:val="24"/>
          <w:szCs w:val="24"/>
        </w:rPr>
        <w:t>.</w:t>
      </w:r>
      <w:r w:rsidRPr="17003348" w:rsidR="0EFD30BD">
        <w:rPr>
          <w:rFonts w:ascii="Palatino Linotype" w:hAnsi="Palatino Linotype" w:eastAsia="Palatino Linotype"/>
          <w:sz w:val="24"/>
          <w:szCs w:val="24"/>
        </w:rPr>
        <w:t xml:space="preserve"> </w:t>
      </w:r>
    </w:p>
    <w:p w:rsidR="000B55B8" w:rsidP="28C3E287" w:rsidRDefault="000B55B8" w14:paraId="77C51597" w14:textId="77777777">
      <w:pPr>
        <w:spacing w:line="259" w:lineRule="auto"/>
        <w:rPr>
          <w:rFonts w:ascii="Palatino Linotype" w:hAnsi="Palatino Linotype" w:eastAsia="Palatino Linotype"/>
          <w:sz w:val="24"/>
          <w:szCs w:val="24"/>
        </w:rPr>
      </w:pPr>
    </w:p>
    <w:p w:rsidR="00805BA1" w:rsidP="28C3E287" w:rsidRDefault="00A25939" w14:paraId="0986D07D" w14:textId="6787F588">
      <w:pPr>
        <w:spacing w:line="259" w:lineRule="auto"/>
        <w:rPr>
          <w:rFonts w:ascii="Palatino Linotype" w:hAnsi="Palatino Linotype" w:eastAsia="Palatino Linotype"/>
          <w:sz w:val="24"/>
          <w:szCs w:val="24"/>
        </w:rPr>
      </w:pPr>
      <w:r>
        <w:rPr>
          <w:rFonts w:ascii="Palatino Linotype" w:hAnsi="Palatino Linotype" w:eastAsia="Palatino Linotype"/>
          <w:sz w:val="24"/>
          <w:szCs w:val="24"/>
        </w:rPr>
        <w:t xml:space="preserve">The </w:t>
      </w:r>
      <w:r w:rsidR="00921119">
        <w:rPr>
          <w:rFonts w:ascii="Palatino Linotype" w:hAnsi="Palatino Linotype" w:eastAsia="Palatino Linotype"/>
          <w:sz w:val="24"/>
          <w:szCs w:val="24"/>
        </w:rPr>
        <w:t xml:space="preserve">IRS guidance </w:t>
      </w:r>
      <w:r w:rsidR="00E9292E">
        <w:rPr>
          <w:rFonts w:ascii="Palatino Linotype" w:hAnsi="Palatino Linotype" w:eastAsia="Palatino Linotype"/>
          <w:sz w:val="24"/>
          <w:szCs w:val="24"/>
        </w:rPr>
        <w:t xml:space="preserve">on the </w:t>
      </w:r>
      <w:r w:rsidR="005D1BB8">
        <w:rPr>
          <w:rFonts w:ascii="Palatino Linotype" w:hAnsi="Palatino Linotype" w:eastAsia="Palatino Linotype"/>
          <w:sz w:val="24"/>
          <w:szCs w:val="24"/>
        </w:rPr>
        <w:t>Residential</w:t>
      </w:r>
      <w:r w:rsidR="00E9292E">
        <w:rPr>
          <w:rFonts w:ascii="Palatino Linotype" w:hAnsi="Palatino Linotype" w:eastAsia="Palatino Linotype"/>
          <w:sz w:val="24"/>
          <w:szCs w:val="24"/>
        </w:rPr>
        <w:t xml:space="preserve"> Clean Energy </w:t>
      </w:r>
      <w:r w:rsidR="005D1BB8">
        <w:rPr>
          <w:rFonts w:ascii="Palatino Linotype" w:hAnsi="Palatino Linotype" w:eastAsia="Palatino Linotype"/>
          <w:sz w:val="24"/>
          <w:szCs w:val="24"/>
        </w:rPr>
        <w:t xml:space="preserve">tax credit </w:t>
      </w:r>
      <w:r w:rsidRPr="4D0DE3C2" w:rsidR="3FB5504F">
        <w:rPr>
          <w:rFonts w:ascii="Palatino Linotype" w:hAnsi="Palatino Linotype" w:eastAsia="Palatino Linotype"/>
          <w:sz w:val="24"/>
          <w:szCs w:val="24"/>
        </w:rPr>
        <w:t xml:space="preserve">distinguishes </w:t>
      </w:r>
      <w:r w:rsidRPr="1F1113A0" w:rsidR="3FB5504F">
        <w:rPr>
          <w:rFonts w:ascii="Palatino Linotype" w:hAnsi="Palatino Linotype" w:eastAsia="Palatino Linotype"/>
          <w:sz w:val="24"/>
          <w:szCs w:val="24"/>
        </w:rPr>
        <w:t xml:space="preserve">between </w:t>
      </w:r>
      <w:r>
        <w:rPr>
          <w:rFonts w:ascii="Palatino Linotype" w:hAnsi="Palatino Linotype" w:eastAsia="Palatino Linotype"/>
          <w:sz w:val="24"/>
          <w:szCs w:val="24"/>
        </w:rPr>
        <w:t xml:space="preserve">funds that come from a public utility and funds that come from the state as an </w:t>
      </w:r>
      <w:r w:rsidRPr="113FEF20" w:rsidR="3FB5504F">
        <w:rPr>
          <w:rFonts w:ascii="Palatino Linotype" w:hAnsi="Palatino Linotype" w:eastAsia="Palatino Linotype"/>
          <w:sz w:val="24"/>
          <w:szCs w:val="24"/>
        </w:rPr>
        <w:t>i</w:t>
      </w:r>
      <w:r w:rsidRPr="113FEF20" w:rsidR="4F6D151C">
        <w:rPr>
          <w:rFonts w:ascii="Palatino Linotype" w:hAnsi="Palatino Linotype" w:eastAsia="Palatino Linotype"/>
          <w:sz w:val="24"/>
          <w:szCs w:val="24"/>
        </w:rPr>
        <w:t xml:space="preserve">ncentive </w:t>
      </w:r>
      <w:r>
        <w:rPr>
          <w:rFonts w:ascii="Palatino Linotype" w:hAnsi="Palatino Linotype" w:eastAsia="Palatino Linotype"/>
          <w:sz w:val="24"/>
          <w:szCs w:val="24"/>
        </w:rPr>
        <w:t>or</w:t>
      </w:r>
      <w:r w:rsidRPr="5604BB9C" w:rsidR="4F6D151C">
        <w:rPr>
          <w:rFonts w:ascii="Palatino Linotype" w:hAnsi="Palatino Linotype" w:eastAsia="Palatino Linotype"/>
          <w:sz w:val="24"/>
          <w:szCs w:val="24"/>
        </w:rPr>
        <w:t xml:space="preserve"> </w:t>
      </w:r>
      <w:r w:rsidRPr="0A10205F" w:rsidR="4F6D151C">
        <w:rPr>
          <w:rFonts w:ascii="Palatino Linotype" w:hAnsi="Palatino Linotype" w:eastAsia="Palatino Linotype"/>
          <w:sz w:val="24"/>
          <w:szCs w:val="24"/>
        </w:rPr>
        <w:t>rebate</w:t>
      </w:r>
      <w:r w:rsidR="001A0168">
        <w:rPr>
          <w:rFonts w:ascii="Palatino Linotype" w:hAnsi="Palatino Linotype" w:eastAsia="Palatino Linotype"/>
          <w:sz w:val="24"/>
          <w:szCs w:val="24"/>
        </w:rPr>
        <w:t xml:space="preserve">. </w:t>
      </w:r>
      <w:r w:rsidR="00D92700">
        <w:rPr>
          <w:rFonts w:ascii="Palatino Linotype" w:hAnsi="Palatino Linotype" w:eastAsia="Palatino Linotype"/>
          <w:sz w:val="24"/>
          <w:szCs w:val="24"/>
        </w:rPr>
        <w:t xml:space="preserve">As SGIP </w:t>
      </w:r>
      <w:r w:rsidR="001A0168">
        <w:rPr>
          <w:rFonts w:ascii="Palatino Linotype" w:hAnsi="Palatino Linotype" w:eastAsia="Palatino Linotype"/>
          <w:sz w:val="24"/>
          <w:szCs w:val="24"/>
        </w:rPr>
        <w:t xml:space="preserve">residential </w:t>
      </w:r>
      <w:r w:rsidRPr="00AF4766" w:rsidR="00AF4766">
        <w:rPr>
          <w:rFonts w:ascii="Palatino Linotype" w:hAnsi="Palatino Linotype" w:eastAsia="Palatino Linotype"/>
          <w:sz w:val="24"/>
          <w:szCs w:val="24"/>
        </w:rPr>
        <w:t>budgets</w:t>
      </w:r>
      <w:r w:rsidR="001A0168">
        <w:rPr>
          <w:rFonts w:ascii="Palatino Linotype" w:hAnsi="Palatino Linotype" w:eastAsia="Palatino Linotype"/>
          <w:sz w:val="24"/>
          <w:szCs w:val="24"/>
        </w:rPr>
        <w:t xml:space="preserve"> are</w:t>
      </w:r>
      <w:r w:rsidRPr="00AF4766" w:rsidR="00AF4766">
        <w:rPr>
          <w:rFonts w:ascii="Palatino Linotype" w:hAnsi="Palatino Linotype" w:eastAsia="Palatino Linotype"/>
          <w:sz w:val="24"/>
          <w:szCs w:val="24"/>
        </w:rPr>
        <w:t xml:space="preserve"> funded by ratepayer </w:t>
      </w:r>
      <w:r w:rsidR="00B43B38">
        <w:rPr>
          <w:rFonts w:ascii="Palatino Linotype" w:hAnsi="Palatino Linotype" w:eastAsia="Palatino Linotype"/>
          <w:sz w:val="24"/>
          <w:szCs w:val="24"/>
        </w:rPr>
        <w:t xml:space="preserve">collections </w:t>
      </w:r>
      <w:r w:rsidRPr="28C3E287" w:rsidR="33004AD2">
        <w:rPr>
          <w:rFonts w:ascii="Palatino Linotype" w:hAnsi="Palatino Linotype" w:eastAsia="Palatino Linotype"/>
          <w:sz w:val="24"/>
          <w:szCs w:val="24"/>
        </w:rPr>
        <w:t xml:space="preserve">and </w:t>
      </w:r>
      <w:r w:rsidR="00B43B38">
        <w:rPr>
          <w:rFonts w:ascii="Palatino Linotype" w:hAnsi="Palatino Linotype" w:eastAsia="Palatino Linotype"/>
          <w:sz w:val="24"/>
          <w:szCs w:val="24"/>
        </w:rPr>
        <w:t xml:space="preserve">the </w:t>
      </w:r>
      <w:r w:rsidRPr="28C3E287" w:rsidR="042EB503">
        <w:rPr>
          <w:rFonts w:ascii="Palatino Linotype" w:hAnsi="Palatino Linotype" w:eastAsia="Palatino Linotype"/>
          <w:sz w:val="24"/>
          <w:szCs w:val="24"/>
        </w:rPr>
        <w:t xml:space="preserve">state </w:t>
      </w:r>
      <w:r w:rsidR="00B43B38">
        <w:rPr>
          <w:rFonts w:ascii="Palatino Linotype" w:hAnsi="Palatino Linotype" w:eastAsia="Palatino Linotype"/>
          <w:sz w:val="24"/>
          <w:szCs w:val="24"/>
        </w:rPr>
        <w:t>budget</w:t>
      </w:r>
      <w:r w:rsidR="00D92700">
        <w:rPr>
          <w:rFonts w:ascii="Palatino Linotype" w:hAnsi="Palatino Linotype" w:eastAsia="Palatino Linotype"/>
          <w:sz w:val="24"/>
          <w:szCs w:val="24"/>
        </w:rPr>
        <w:t>, these potentially require</w:t>
      </w:r>
      <w:r w:rsidRPr="28C3E287" w:rsidR="042EB503">
        <w:rPr>
          <w:rFonts w:ascii="Palatino Linotype" w:hAnsi="Palatino Linotype" w:eastAsia="Palatino Linotype"/>
          <w:sz w:val="24"/>
          <w:szCs w:val="24"/>
        </w:rPr>
        <w:t xml:space="preserve"> different administrative policies.  </w:t>
      </w:r>
      <w:r w:rsidRPr="28C3E287" w:rsidR="37DCD781">
        <w:rPr>
          <w:rFonts w:ascii="Palatino Linotype" w:hAnsi="Palatino Linotype" w:eastAsia="Palatino Linotype"/>
          <w:sz w:val="24"/>
          <w:szCs w:val="24"/>
        </w:rPr>
        <w:t>We will establish the policies for each type of funding in the following sections.</w:t>
      </w:r>
    </w:p>
    <w:p w:rsidR="5EE8E126" w:rsidP="5EE8E126" w:rsidRDefault="5EE8E126" w14:paraId="56F3ED33" w14:textId="3898272E">
      <w:pPr>
        <w:spacing w:line="259" w:lineRule="auto"/>
        <w:rPr>
          <w:rFonts w:ascii="Palatino Linotype" w:hAnsi="Palatino Linotype" w:eastAsia="Palatino Linotype"/>
          <w:sz w:val="24"/>
          <w:szCs w:val="24"/>
        </w:rPr>
      </w:pPr>
    </w:p>
    <w:p w:rsidRPr="00720DF2" w:rsidR="000A7819" w:rsidP="000A7819" w:rsidRDefault="000A7819" w14:paraId="189F723F" w14:textId="010A85FA">
      <w:pPr>
        <w:spacing w:line="259" w:lineRule="auto"/>
        <w:rPr>
          <w:rFonts w:ascii="Palatino Linotype" w:hAnsi="Palatino Linotype" w:eastAsia="Palatino Linotype"/>
          <w:sz w:val="24"/>
          <w:szCs w:val="24"/>
        </w:rPr>
      </w:pPr>
      <w:r w:rsidRPr="00BC1942">
        <w:rPr>
          <w:rFonts w:ascii="Palatino Linotype" w:hAnsi="Palatino Linotype" w:eastAsia="Palatino Linotype"/>
          <w:sz w:val="24"/>
          <w:szCs w:val="24"/>
        </w:rPr>
        <w:lastRenderedPageBreak/>
        <w:t>The two IRS designations being considered for residential host customer SGIP payments include a public utility subsidy or a state energy efficiency incentive.</w:t>
      </w:r>
      <w:r w:rsidRPr="00BC1942" w:rsidR="00F44429">
        <w:rPr>
          <w:rFonts w:ascii="Palatino Linotype" w:hAnsi="Palatino Linotype" w:eastAsia="Palatino Linotype"/>
          <w:sz w:val="24"/>
          <w:szCs w:val="24"/>
        </w:rPr>
        <w:t xml:space="preserve"> Generally, a public utility </w:t>
      </w:r>
      <w:r w:rsidRPr="00BC1942" w:rsidR="007A230D">
        <w:rPr>
          <w:rFonts w:ascii="Palatino Linotype" w:hAnsi="Palatino Linotype" w:eastAsia="Palatino Linotype"/>
          <w:sz w:val="24"/>
          <w:szCs w:val="24"/>
        </w:rPr>
        <w:t>subsidy</w:t>
      </w:r>
      <w:r w:rsidRPr="00BC1942" w:rsidR="00F44429">
        <w:rPr>
          <w:rFonts w:ascii="Palatino Linotype" w:hAnsi="Palatino Linotype" w:eastAsia="Palatino Linotype"/>
          <w:sz w:val="24"/>
          <w:szCs w:val="24"/>
        </w:rPr>
        <w:t xml:space="preserve"> </w:t>
      </w:r>
      <w:r w:rsidRPr="00BC1942" w:rsidR="00ED29CB">
        <w:rPr>
          <w:rFonts w:ascii="Palatino Linotype" w:hAnsi="Palatino Linotype" w:eastAsia="Palatino Linotype"/>
          <w:sz w:val="24"/>
          <w:szCs w:val="24"/>
        </w:rPr>
        <w:t>applie</w:t>
      </w:r>
      <w:r w:rsidRPr="00BC1942" w:rsidR="007A230D">
        <w:rPr>
          <w:rFonts w:ascii="Palatino Linotype" w:hAnsi="Palatino Linotype" w:eastAsia="Palatino Linotype"/>
          <w:sz w:val="24"/>
          <w:szCs w:val="24"/>
        </w:rPr>
        <w:t xml:space="preserve">s “if a public utility provides (directly or indirectly) a subsidy to a customer for the purchase or installation of any energy conservation measure” </w:t>
      </w:r>
      <w:r w:rsidRPr="00BC1942" w:rsidR="00BD1062">
        <w:rPr>
          <w:rFonts w:ascii="Palatino Linotype" w:hAnsi="Palatino Linotype" w:eastAsia="Palatino Linotype"/>
          <w:sz w:val="24"/>
          <w:szCs w:val="24"/>
        </w:rPr>
        <w:t>and a state energy efficiency incentive applies</w:t>
      </w:r>
      <w:r w:rsidRPr="00BC1942" w:rsidR="00743E5C">
        <w:rPr>
          <w:rFonts w:ascii="Palatino Linotype" w:hAnsi="Palatino Linotype" w:eastAsia="Palatino Linotype"/>
          <w:sz w:val="24"/>
          <w:szCs w:val="24"/>
        </w:rPr>
        <w:t xml:space="preserve"> </w:t>
      </w:r>
      <w:r w:rsidRPr="00BC1942" w:rsidR="0061692B">
        <w:rPr>
          <w:rFonts w:ascii="Palatino Linotype" w:hAnsi="Palatino Linotype" w:eastAsia="Palatino Linotype"/>
          <w:sz w:val="24"/>
          <w:szCs w:val="24"/>
        </w:rPr>
        <w:t>when a</w:t>
      </w:r>
      <w:r w:rsidRPr="00BC1942" w:rsidR="00743E5C">
        <w:rPr>
          <w:rFonts w:ascii="Palatino Linotype" w:hAnsi="Palatino Linotype" w:eastAsia="Palatino Linotype"/>
          <w:sz w:val="24"/>
          <w:szCs w:val="24"/>
        </w:rPr>
        <w:t xml:space="preserve"> “state may provide incentives to encourage taxpayers to purchase property that also qualifies for an Energy Efficient Home Improvement Credit or the Residential Clean Energy Property Credit</w:t>
      </w:r>
      <w:r w:rsidRPr="00BC1942" w:rsidR="0061692B">
        <w:rPr>
          <w:rFonts w:ascii="Palatino Linotype" w:hAnsi="Palatino Linotype" w:eastAsia="Palatino Linotype"/>
          <w:sz w:val="24"/>
          <w:szCs w:val="24"/>
        </w:rPr>
        <w:t>.”</w:t>
      </w:r>
      <w:r w:rsidRPr="00720DF2" w:rsidR="0061692B">
        <w:rPr>
          <w:rStyle w:val="FootnoteReference"/>
          <w:rFonts w:ascii="Palatino Linotype" w:hAnsi="Palatino Linotype" w:eastAsia="Palatino Linotype"/>
          <w:sz w:val="24"/>
          <w:szCs w:val="24"/>
        </w:rPr>
        <w:footnoteReference w:id="27"/>
      </w:r>
      <w:r w:rsidRPr="00720DF2">
        <w:rPr>
          <w:rFonts w:ascii="Palatino Linotype" w:hAnsi="Palatino Linotype" w:eastAsia="Palatino Linotype"/>
          <w:sz w:val="24"/>
          <w:szCs w:val="24"/>
        </w:rPr>
        <w:t xml:space="preserve"> If an SGIP payment is considered a public utility subsidy, the applicant would claim the Residential Clean Energy tax credit on the net of the project cost and SGIP payment. Therefore, </w:t>
      </w:r>
      <w:r w:rsidR="00772C24">
        <w:rPr>
          <w:rFonts w:ascii="Palatino Linotype" w:hAnsi="Palatino Linotype" w:eastAsia="Palatino Linotype"/>
          <w:sz w:val="24"/>
          <w:szCs w:val="24"/>
        </w:rPr>
        <w:t>in equity budgets where SGIP</w:t>
      </w:r>
      <w:r w:rsidR="004063F9">
        <w:rPr>
          <w:rFonts w:ascii="Palatino Linotype" w:hAnsi="Palatino Linotype" w:eastAsia="Palatino Linotype"/>
          <w:sz w:val="24"/>
          <w:szCs w:val="24"/>
        </w:rPr>
        <w:t xml:space="preserve"> is intended to cover most of the project costs</w:t>
      </w:r>
      <w:r w:rsidR="006751EC">
        <w:rPr>
          <w:rFonts w:ascii="Palatino Linotype" w:hAnsi="Palatino Linotype" w:eastAsia="Palatino Linotype"/>
          <w:sz w:val="24"/>
          <w:szCs w:val="24"/>
        </w:rPr>
        <w:t xml:space="preserve">, the tax credit </w:t>
      </w:r>
      <w:r w:rsidR="00044E8D">
        <w:rPr>
          <w:rFonts w:ascii="Palatino Linotype" w:hAnsi="Palatino Linotype" w:eastAsia="Palatino Linotype"/>
          <w:sz w:val="24"/>
          <w:szCs w:val="24"/>
        </w:rPr>
        <w:t>c</w:t>
      </w:r>
      <w:r w:rsidR="006751EC">
        <w:rPr>
          <w:rFonts w:ascii="Palatino Linotype" w:hAnsi="Palatino Linotype" w:eastAsia="Palatino Linotype"/>
          <w:sz w:val="24"/>
          <w:szCs w:val="24"/>
        </w:rPr>
        <w:t xml:space="preserve">ould be </w:t>
      </w:r>
      <w:r w:rsidR="00C45C7C">
        <w:rPr>
          <w:rFonts w:ascii="Palatino Linotype" w:hAnsi="Palatino Linotype" w:eastAsia="Palatino Linotype"/>
          <w:sz w:val="24"/>
          <w:szCs w:val="24"/>
        </w:rPr>
        <w:t>0 percent</w:t>
      </w:r>
      <w:r w:rsidRPr="00720DF2">
        <w:rPr>
          <w:rFonts w:ascii="Palatino Linotype" w:hAnsi="Palatino Linotype" w:eastAsia="Palatino Linotype"/>
          <w:sz w:val="24"/>
          <w:szCs w:val="24"/>
        </w:rPr>
        <w:t xml:space="preserve">. If an SGIP payment is considered a state energy </w:t>
      </w:r>
      <w:r w:rsidRPr="00720DF2" w:rsidR="001D1FA3">
        <w:rPr>
          <w:rFonts w:ascii="Palatino Linotype" w:hAnsi="Palatino Linotype" w:eastAsia="Palatino Linotype"/>
          <w:sz w:val="24"/>
          <w:szCs w:val="24"/>
        </w:rPr>
        <w:t>efficienc</w:t>
      </w:r>
      <w:r w:rsidR="001D1FA3">
        <w:rPr>
          <w:rFonts w:ascii="Palatino Linotype" w:hAnsi="Palatino Linotype" w:eastAsia="Palatino Linotype"/>
          <w:sz w:val="24"/>
          <w:szCs w:val="24"/>
        </w:rPr>
        <w:t>y</w:t>
      </w:r>
      <w:r w:rsidRPr="00720DF2">
        <w:rPr>
          <w:rFonts w:ascii="Palatino Linotype" w:hAnsi="Palatino Linotype" w:eastAsia="Palatino Linotype"/>
          <w:sz w:val="24"/>
          <w:szCs w:val="24"/>
        </w:rPr>
        <w:t xml:space="preserve"> incentive, the applicant would claim the Residential Clean Energy tax credit on the full project cost so the tax credit can cover 30</w:t>
      </w:r>
      <w:r w:rsidR="001D1FA3">
        <w:rPr>
          <w:rFonts w:ascii="Palatino Linotype" w:hAnsi="Palatino Linotype" w:eastAsia="Palatino Linotype"/>
          <w:sz w:val="24"/>
          <w:szCs w:val="24"/>
        </w:rPr>
        <w:t xml:space="preserve"> percent</w:t>
      </w:r>
      <w:r w:rsidRPr="00720DF2">
        <w:rPr>
          <w:rFonts w:ascii="Palatino Linotype" w:hAnsi="Palatino Linotype" w:eastAsia="Palatino Linotype"/>
          <w:sz w:val="24"/>
          <w:szCs w:val="24"/>
        </w:rPr>
        <w:t xml:space="preserve"> of the project cost and SGIP can cover up to 70</w:t>
      </w:r>
      <w:r w:rsidR="001D1FA3">
        <w:rPr>
          <w:rFonts w:ascii="Palatino Linotype" w:hAnsi="Palatino Linotype" w:eastAsia="Palatino Linotype"/>
          <w:sz w:val="24"/>
          <w:szCs w:val="24"/>
        </w:rPr>
        <w:t xml:space="preserve"> percent</w:t>
      </w:r>
      <w:r w:rsidRPr="00720DF2">
        <w:rPr>
          <w:rFonts w:ascii="Palatino Linotype" w:hAnsi="Palatino Linotype" w:eastAsia="Palatino Linotype"/>
          <w:sz w:val="24"/>
          <w:szCs w:val="24"/>
        </w:rPr>
        <w:t xml:space="preserve"> of the project cost. </w:t>
      </w:r>
    </w:p>
    <w:p w:rsidR="00805BA1" w:rsidP="28C3E287" w:rsidRDefault="00805BA1" w14:paraId="1CF8D066" w14:textId="5474F775">
      <w:pPr>
        <w:spacing w:line="259" w:lineRule="auto"/>
        <w:rPr>
          <w:rFonts w:ascii="Palatino Linotype" w:hAnsi="Palatino Linotype" w:eastAsia="Palatino Linotype"/>
          <w:sz w:val="24"/>
          <w:szCs w:val="24"/>
        </w:rPr>
      </w:pPr>
    </w:p>
    <w:p w:rsidRPr="007956CD" w:rsidR="00805BA1" w:rsidP="28C3E287" w:rsidRDefault="37DCD781" w14:paraId="02C8130F" w14:textId="698F1056">
      <w:pPr>
        <w:spacing w:line="259" w:lineRule="auto"/>
        <w:rPr>
          <w:rFonts w:ascii="Palatino Linotype" w:hAnsi="Palatino Linotype" w:eastAsia="Palatino Linotype"/>
          <w:b/>
          <w:bCs/>
          <w:sz w:val="24"/>
          <w:szCs w:val="24"/>
        </w:rPr>
      </w:pPr>
      <w:r w:rsidRPr="007956CD">
        <w:rPr>
          <w:rFonts w:ascii="Palatino Linotype" w:hAnsi="Palatino Linotype" w:eastAsia="Palatino Linotype"/>
          <w:b/>
          <w:bCs/>
          <w:sz w:val="24"/>
          <w:szCs w:val="24"/>
        </w:rPr>
        <w:t xml:space="preserve">SGIP Treatment of IRA Tax Credits for </w:t>
      </w:r>
      <w:r w:rsidRPr="007956CD" w:rsidR="000B35C9">
        <w:rPr>
          <w:rFonts w:ascii="Palatino Linotype" w:hAnsi="Palatino Linotype" w:eastAsia="Palatino Linotype"/>
          <w:b/>
          <w:bCs/>
          <w:sz w:val="24"/>
          <w:szCs w:val="24"/>
        </w:rPr>
        <w:t xml:space="preserve">Residential </w:t>
      </w:r>
      <w:r w:rsidRPr="007956CD">
        <w:rPr>
          <w:rFonts w:ascii="Palatino Linotype" w:hAnsi="Palatino Linotype" w:eastAsia="Palatino Linotype"/>
          <w:b/>
          <w:bCs/>
          <w:sz w:val="24"/>
          <w:szCs w:val="24"/>
        </w:rPr>
        <w:t xml:space="preserve">Ratepayer </w:t>
      </w:r>
      <w:r w:rsidR="000467D0">
        <w:rPr>
          <w:rFonts w:ascii="Palatino Linotype" w:hAnsi="Palatino Linotype" w:eastAsia="Palatino Linotype"/>
          <w:b/>
          <w:bCs/>
          <w:sz w:val="24"/>
          <w:szCs w:val="24"/>
        </w:rPr>
        <w:t>F</w:t>
      </w:r>
      <w:r w:rsidRPr="00301F21">
        <w:rPr>
          <w:rFonts w:ascii="Palatino Linotype" w:hAnsi="Palatino Linotype" w:eastAsia="Palatino Linotype"/>
          <w:b/>
          <w:bCs/>
          <w:sz w:val="24"/>
          <w:szCs w:val="24"/>
        </w:rPr>
        <w:t>und</w:t>
      </w:r>
      <w:r w:rsidRPr="00301F21" w:rsidR="000B35C9">
        <w:rPr>
          <w:rFonts w:ascii="Palatino Linotype" w:hAnsi="Palatino Linotype" w:eastAsia="Palatino Linotype"/>
          <w:b/>
          <w:bCs/>
          <w:sz w:val="24"/>
          <w:szCs w:val="24"/>
        </w:rPr>
        <w:t xml:space="preserve">ed </w:t>
      </w:r>
      <w:r w:rsidR="000467D0">
        <w:rPr>
          <w:rFonts w:ascii="Palatino Linotype" w:hAnsi="Palatino Linotype" w:eastAsia="Palatino Linotype"/>
          <w:b/>
          <w:bCs/>
          <w:sz w:val="24"/>
          <w:szCs w:val="24"/>
        </w:rPr>
        <w:t>P</w:t>
      </w:r>
      <w:r w:rsidRPr="007956CD" w:rsidR="000B35C9">
        <w:rPr>
          <w:rFonts w:ascii="Palatino Linotype" w:hAnsi="Palatino Linotype" w:eastAsia="Palatino Linotype"/>
          <w:b/>
          <w:bCs/>
          <w:sz w:val="24"/>
          <w:szCs w:val="24"/>
        </w:rPr>
        <w:t xml:space="preserve">rojects </w:t>
      </w:r>
      <w:r w:rsidR="000467D0">
        <w:rPr>
          <w:rFonts w:ascii="Palatino Linotype" w:hAnsi="Palatino Linotype" w:eastAsia="Palatino Linotype"/>
          <w:b/>
          <w:bCs/>
          <w:sz w:val="24"/>
          <w:szCs w:val="24"/>
        </w:rPr>
        <w:t>O</w:t>
      </w:r>
      <w:r w:rsidRPr="007956CD" w:rsidR="000B35C9">
        <w:rPr>
          <w:rFonts w:ascii="Palatino Linotype" w:hAnsi="Palatino Linotype" w:eastAsia="Palatino Linotype"/>
          <w:b/>
          <w:bCs/>
          <w:sz w:val="24"/>
          <w:szCs w:val="24"/>
        </w:rPr>
        <w:t xml:space="preserve">wned by the </w:t>
      </w:r>
      <w:r w:rsidR="000467D0">
        <w:rPr>
          <w:rFonts w:ascii="Palatino Linotype" w:hAnsi="Palatino Linotype" w:eastAsia="Palatino Linotype"/>
          <w:b/>
          <w:bCs/>
          <w:sz w:val="24"/>
          <w:szCs w:val="24"/>
        </w:rPr>
        <w:t>H</w:t>
      </w:r>
      <w:r w:rsidRPr="007956CD" w:rsidR="000B35C9">
        <w:rPr>
          <w:rFonts w:ascii="Palatino Linotype" w:hAnsi="Palatino Linotype" w:eastAsia="Palatino Linotype"/>
          <w:b/>
          <w:bCs/>
          <w:sz w:val="24"/>
          <w:szCs w:val="24"/>
        </w:rPr>
        <w:t>ost</w:t>
      </w:r>
      <w:r w:rsidR="00431129">
        <w:rPr>
          <w:rFonts w:ascii="Palatino Linotype" w:hAnsi="Palatino Linotype" w:eastAsia="Palatino Linotype"/>
          <w:b/>
          <w:bCs/>
          <w:sz w:val="24"/>
          <w:szCs w:val="24"/>
        </w:rPr>
        <w:t xml:space="preserve"> </w:t>
      </w:r>
      <w:r w:rsidR="000467D0">
        <w:rPr>
          <w:rFonts w:ascii="Palatino Linotype" w:hAnsi="Palatino Linotype" w:eastAsia="Palatino Linotype"/>
          <w:b/>
          <w:bCs/>
          <w:sz w:val="24"/>
          <w:szCs w:val="24"/>
        </w:rPr>
        <w:t>C</w:t>
      </w:r>
      <w:r w:rsidRPr="007956CD" w:rsidR="000B35C9">
        <w:rPr>
          <w:rFonts w:ascii="Palatino Linotype" w:hAnsi="Palatino Linotype" w:eastAsia="Palatino Linotype"/>
          <w:b/>
          <w:bCs/>
          <w:sz w:val="24"/>
          <w:szCs w:val="24"/>
        </w:rPr>
        <w:t>ustomer</w:t>
      </w:r>
    </w:p>
    <w:p w:rsidR="000B35C9" w:rsidP="28C3E287" w:rsidRDefault="000B35C9" w14:paraId="3537E479" w14:textId="00C7569E">
      <w:pPr>
        <w:spacing w:line="259" w:lineRule="auto"/>
        <w:rPr>
          <w:rFonts w:ascii="Palatino Linotype" w:hAnsi="Palatino Linotype" w:eastAsia="Palatino Linotype"/>
          <w:sz w:val="24"/>
          <w:szCs w:val="24"/>
        </w:rPr>
      </w:pPr>
    </w:p>
    <w:p w:rsidR="00B42E08" w:rsidP="00AF4766" w:rsidRDefault="2BA108FF" w14:paraId="4D15F8F9" w14:textId="320BE8F9">
      <w:pPr>
        <w:spacing w:line="259" w:lineRule="auto"/>
        <w:rPr>
          <w:rFonts w:ascii="Palatino Linotype" w:hAnsi="Palatino Linotype" w:eastAsia="Palatino Linotype"/>
          <w:sz w:val="24"/>
          <w:szCs w:val="24"/>
        </w:rPr>
      </w:pPr>
      <w:r>
        <w:rPr>
          <w:rFonts w:ascii="Palatino Linotype" w:hAnsi="Palatino Linotype" w:eastAsia="Palatino Linotype"/>
          <w:sz w:val="24"/>
          <w:szCs w:val="24"/>
        </w:rPr>
        <w:t>T</w:t>
      </w:r>
      <w:r w:rsidR="121819C7">
        <w:rPr>
          <w:rFonts w:ascii="Palatino Linotype" w:hAnsi="Palatino Linotype" w:eastAsia="Palatino Linotype"/>
          <w:sz w:val="24"/>
          <w:szCs w:val="24"/>
        </w:rPr>
        <w:t xml:space="preserve">he SGIP ratepayer funds are </w:t>
      </w:r>
      <w:r w:rsidR="550A6B95">
        <w:rPr>
          <w:rFonts w:ascii="Palatino Linotype" w:hAnsi="Palatino Linotype" w:eastAsia="Palatino Linotype"/>
          <w:sz w:val="24"/>
          <w:szCs w:val="24"/>
        </w:rPr>
        <w:t xml:space="preserve">mandated </w:t>
      </w:r>
      <w:r w:rsidRPr="5EE8E126" w:rsidR="68F8761F">
        <w:rPr>
          <w:rFonts w:ascii="Palatino Linotype" w:hAnsi="Palatino Linotype" w:eastAsia="Palatino Linotype"/>
          <w:sz w:val="24"/>
          <w:szCs w:val="24"/>
        </w:rPr>
        <w:t>to be collected from IOU rates</w:t>
      </w:r>
      <w:r w:rsidRPr="5EE8E126" w:rsidR="71D8A307">
        <w:rPr>
          <w:rFonts w:ascii="Palatino Linotype" w:hAnsi="Palatino Linotype" w:eastAsia="Palatino Linotype"/>
          <w:sz w:val="24"/>
          <w:szCs w:val="24"/>
        </w:rPr>
        <w:t xml:space="preserve"> </w:t>
      </w:r>
      <w:r w:rsidR="550A6B95">
        <w:rPr>
          <w:rFonts w:ascii="Palatino Linotype" w:hAnsi="Palatino Linotype" w:eastAsia="Palatino Linotype"/>
          <w:sz w:val="24"/>
          <w:szCs w:val="24"/>
        </w:rPr>
        <w:t>by California legislation</w:t>
      </w:r>
      <w:r w:rsidR="00D55B9F">
        <w:rPr>
          <w:rFonts w:ascii="Palatino Linotype" w:hAnsi="Palatino Linotype" w:eastAsia="Palatino Linotype"/>
          <w:sz w:val="24"/>
          <w:szCs w:val="24"/>
        </w:rPr>
        <w:t>.</w:t>
      </w:r>
      <w:r w:rsidR="550A6B95">
        <w:rPr>
          <w:rFonts w:ascii="Palatino Linotype" w:hAnsi="Palatino Linotype" w:eastAsia="Palatino Linotype"/>
          <w:sz w:val="24"/>
          <w:szCs w:val="24"/>
        </w:rPr>
        <w:t xml:space="preserve"> </w:t>
      </w:r>
      <w:r>
        <w:rPr>
          <w:rFonts w:ascii="Palatino Linotype" w:hAnsi="Palatino Linotype" w:eastAsia="Palatino Linotype"/>
          <w:sz w:val="24"/>
          <w:szCs w:val="24"/>
        </w:rPr>
        <w:t>However,</w:t>
      </w:r>
      <w:r w:rsidR="1376DA75">
        <w:rPr>
          <w:rFonts w:ascii="Palatino Linotype" w:hAnsi="Palatino Linotype" w:eastAsia="Palatino Linotype"/>
          <w:sz w:val="24"/>
          <w:szCs w:val="24"/>
        </w:rPr>
        <w:t xml:space="preserve"> </w:t>
      </w:r>
      <w:r w:rsidR="0D116B40">
        <w:rPr>
          <w:rFonts w:ascii="Palatino Linotype" w:hAnsi="Palatino Linotype" w:eastAsia="Palatino Linotype"/>
          <w:sz w:val="24"/>
          <w:szCs w:val="24"/>
        </w:rPr>
        <w:t>IRS guidance</w:t>
      </w:r>
      <w:r w:rsidR="00D55B9F">
        <w:rPr>
          <w:rFonts w:ascii="Palatino Linotype" w:hAnsi="Palatino Linotype" w:eastAsia="Palatino Linotype"/>
          <w:sz w:val="24"/>
          <w:szCs w:val="24"/>
        </w:rPr>
        <w:t xml:space="preserve"> states</w:t>
      </w:r>
      <w:r w:rsidR="0D116B40">
        <w:rPr>
          <w:rFonts w:ascii="Palatino Linotype" w:hAnsi="Palatino Linotype" w:eastAsia="Palatino Linotype"/>
          <w:sz w:val="24"/>
          <w:szCs w:val="24"/>
        </w:rPr>
        <w:t xml:space="preserve"> that any funds that come directly or indirectly from a public utility </w:t>
      </w:r>
      <w:r w:rsidR="6A84B6C9">
        <w:rPr>
          <w:rFonts w:ascii="Palatino Linotype" w:hAnsi="Palatino Linotype" w:eastAsia="Palatino Linotype"/>
          <w:sz w:val="24"/>
          <w:szCs w:val="24"/>
        </w:rPr>
        <w:t xml:space="preserve">are considered a public </w:t>
      </w:r>
      <w:r w:rsidR="121819C7">
        <w:rPr>
          <w:rFonts w:ascii="Palatino Linotype" w:hAnsi="Palatino Linotype" w:eastAsia="Palatino Linotype"/>
          <w:sz w:val="24"/>
          <w:szCs w:val="24"/>
        </w:rPr>
        <w:t>utility</w:t>
      </w:r>
      <w:r w:rsidR="6A84B6C9">
        <w:rPr>
          <w:rFonts w:ascii="Palatino Linotype" w:hAnsi="Palatino Linotype" w:eastAsia="Palatino Linotype"/>
          <w:sz w:val="24"/>
          <w:szCs w:val="24"/>
        </w:rPr>
        <w:t xml:space="preserve"> </w:t>
      </w:r>
      <w:r w:rsidR="121819C7">
        <w:rPr>
          <w:rFonts w:ascii="Palatino Linotype" w:hAnsi="Palatino Linotype" w:eastAsia="Palatino Linotype"/>
          <w:sz w:val="24"/>
          <w:szCs w:val="24"/>
        </w:rPr>
        <w:t>subsidy</w:t>
      </w:r>
      <w:r w:rsidR="6459A510">
        <w:rPr>
          <w:rFonts w:ascii="Palatino Linotype" w:hAnsi="Palatino Linotype" w:eastAsia="Palatino Linotype"/>
          <w:sz w:val="24"/>
          <w:szCs w:val="24"/>
        </w:rPr>
        <w:t xml:space="preserve"> (Table 2)</w:t>
      </w:r>
      <w:r w:rsidR="02A0959F">
        <w:rPr>
          <w:rFonts w:ascii="Palatino Linotype" w:hAnsi="Palatino Linotype" w:eastAsia="Palatino Linotype"/>
          <w:sz w:val="24"/>
          <w:szCs w:val="24"/>
        </w:rPr>
        <w:t>, which would lead to the IRA tax credit being applied to the net of the total project cost and the SGIP incentive</w:t>
      </w:r>
      <w:r w:rsidRPr="00AF4766" w:rsidR="6EA33ACF">
        <w:rPr>
          <w:rFonts w:ascii="Palatino Linotype" w:hAnsi="Palatino Linotype" w:eastAsia="Palatino Linotype"/>
          <w:sz w:val="24"/>
          <w:szCs w:val="24"/>
        </w:rPr>
        <w:t>.</w:t>
      </w:r>
      <w:r w:rsidR="00AF4766">
        <w:rPr>
          <w:rStyle w:val="FootnoteReference"/>
          <w:rFonts w:ascii="Palatino Linotype" w:hAnsi="Palatino Linotype" w:eastAsia="Palatino Linotype"/>
          <w:sz w:val="24"/>
          <w:szCs w:val="24"/>
        </w:rPr>
        <w:footnoteReference w:id="28"/>
      </w:r>
      <w:r w:rsidR="6EA33ACF">
        <w:rPr>
          <w:rFonts w:ascii="Palatino Linotype" w:hAnsi="Palatino Linotype" w:eastAsia="Palatino Linotype"/>
          <w:sz w:val="24"/>
          <w:szCs w:val="24"/>
        </w:rPr>
        <w:t xml:space="preserve"> Therefore, </w:t>
      </w:r>
      <w:r w:rsidR="16ABB16B">
        <w:rPr>
          <w:rFonts w:ascii="Palatino Linotype" w:hAnsi="Palatino Linotype" w:eastAsia="Palatino Linotype"/>
          <w:sz w:val="24"/>
          <w:szCs w:val="24"/>
        </w:rPr>
        <w:t>the</w:t>
      </w:r>
      <w:r w:rsidR="50213300">
        <w:rPr>
          <w:rFonts w:ascii="Palatino Linotype" w:hAnsi="Palatino Linotype" w:eastAsia="Palatino Linotype"/>
          <w:sz w:val="24"/>
          <w:szCs w:val="24"/>
        </w:rPr>
        <w:t xml:space="preserve"> Commission finds it reasonable to exempt </w:t>
      </w:r>
      <w:r w:rsidR="1FA3A75E">
        <w:rPr>
          <w:rFonts w:ascii="Palatino Linotype" w:hAnsi="Palatino Linotype" w:eastAsia="Palatino Linotype"/>
          <w:sz w:val="24"/>
          <w:szCs w:val="24"/>
        </w:rPr>
        <w:t>ratepayer funded</w:t>
      </w:r>
      <w:r w:rsidR="50213300">
        <w:rPr>
          <w:rFonts w:ascii="Palatino Linotype" w:hAnsi="Palatino Linotype" w:eastAsia="Palatino Linotype"/>
          <w:sz w:val="24"/>
          <w:szCs w:val="24"/>
        </w:rPr>
        <w:t xml:space="preserve"> </w:t>
      </w:r>
      <w:r w:rsidR="7DD0DEB9">
        <w:rPr>
          <w:rFonts w:ascii="Palatino Linotype" w:hAnsi="Palatino Linotype" w:eastAsia="Palatino Linotype"/>
          <w:sz w:val="24"/>
          <w:szCs w:val="24"/>
        </w:rPr>
        <w:t>residential host customer</w:t>
      </w:r>
      <w:r w:rsidR="1FFE81FD">
        <w:rPr>
          <w:rFonts w:ascii="Palatino Linotype" w:hAnsi="Palatino Linotype" w:eastAsia="Palatino Linotype"/>
          <w:sz w:val="24"/>
          <w:szCs w:val="24"/>
        </w:rPr>
        <w:t>-</w:t>
      </w:r>
      <w:r w:rsidR="7DD0DEB9">
        <w:rPr>
          <w:rFonts w:ascii="Palatino Linotype" w:hAnsi="Palatino Linotype" w:eastAsia="Palatino Linotype"/>
          <w:sz w:val="24"/>
          <w:szCs w:val="24"/>
        </w:rPr>
        <w:t>owned project</w:t>
      </w:r>
      <w:r w:rsidR="45FD3892">
        <w:rPr>
          <w:rFonts w:ascii="Palatino Linotype" w:hAnsi="Palatino Linotype" w:eastAsia="Palatino Linotype"/>
          <w:sz w:val="24"/>
          <w:szCs w:val="24"/>
        </w:rPr>
        <w:t>s</w:t>
      </w:r>
      <w:r w:rsidR="7DD0DEB9">
        <w:rPr>
          <w:rFonts w:ascii="Palatino Linotype" w:hAnsi="Palatino Linotype" w:eastAsia="Palatino Linotype"/>
          <w:sz w:val="24"/>
          <w:szCs w:val="24"/>
        </w:rPr>
        <w:t xml:space="preserve"> </w:t>
      </w:r>
      <w:r w:rsidR="50213300">
        <w:rPr>
          <w:rFonts w:ascii="Palatino Linotype" w:hAnsi="Palatino Linotype" w:eastAsia="Palatino Linotype"/>
          <w:sz w:val="24"/>
          <w:szCs w:val="24"/>
        </w:rPr>
        <w:t xml:space="preserve">from the assumed 30 percent IRA tax credit. </w:t>
      </w:r>
      <w:r w:rsidR="4B5DCA53">
        <w:rPr>
          <w:rFonts w:ascii="Palatino Linotype" w:hAnsi="Palatino Linotype" w:eastAsia="Palatino Linotype"/>
          <w:sz w:val="24"/>
          <w:szCs w:val="24"/>
        </w:rPr>
        <w:t>Historically,</w:t>
      </w:r>
      <w:r w:rsidR="08BFE860">
        <w:rPr>
          <w:rFonts w:ascii="Palatino Linotype" w:hAnsi="Palatino Linotype" w:eastAsia="Palatino Linotype"/>
          <w:sz w:val="24"/>
          <w:szCs w:val="24"/>
        </w:rPr>
        <w:t xml:space="preserve"> </w:t>
      </w:r>
      <w:r w:rsidR="7EEE822E">
        <w:rPr>
          <w:rFonts w:ascii="Palatino Linotype" w:hAnsi="Palatino Linotype" w:eastAsia="Palatino Linotype"/>
          <w:sz w:val="24"/>
          <w:szCs w:val="24"/>
        </w:rPr>
        <w:t xml:space="preserve">SGIP customers in ratepayer budgets have claimed the IRA tax credit </w:t>
      </w:r>
      <w:r w:rsidR="5BDE4487">
        <w:rPr>
          <w:rFonts w:ascii="Palatino Linotype" w:hAnsi="Palatino Linotype" w:eastAsia="Palatino Linotype"/>
          <w:sz w:val="24"/>
          <w:szCs w:val="24"/>
        </w:rPr>
        <w:t xml:space="preserve">on both the full system cost and </w:t>
      </w:r>
      <w:r w:rsidR="38F1EF7C">
        <w:rPr>
          <w:rFonts w:ascii="Palatino Linotype" w:hAnsi="Palatino Linotype" w:eastAsia="Palatino Linotype"/>
          <w:sz w:val="24"/>
          <w:szCs w:val="24"/>
        </w:rPr>
        <w:t>partial</w:t>
      </w:r>
      <w:r w:rsidR="5BDE4487">
        <w:rPr>
          <w:rFonts w:ascii="Palatino Linotype" w:hAnsi="Palatino Linotype" w:eastAsia="Palatino Linotype"/>
          <w:sz w:val="24"/>
          <w:szCs w:val="24"/>
        </w:rPr>
        <w:t xml:space="preserve"> system cost (Figure 1)</w:t>
      </w:r>
      <w:r w:rsidR="429799ED">
        <w:rPr>
          <w:rFonts w:ascii="Palatino Linotype" w:hAnsi="Palatino Linotype" w:eastAsia="Palatino Linotype"/>
          <w:sz w:val="24"/>
          <w:szCs w:val="24"/>
        </w:rPr>
        <w:t>.</w:t>
      </w:r>
      <w:r w:rsidR="5BDE4487">
        <w:rPr>
          <w:rFonts w:ascii="Palatino Linotype" w:hAnsi="Palatino Linotype" w:eastAsia="Palatino Linotype"/>
          <w:sz w:val="24"/>
          <w:szCs w:val="24"/>
        </w:rPr>
        <w:t xml:space="preserve"> </w:t>
      </w:r>
      <w:r w:rsidR="5787274F">
        <w:rPr>
          <w:rFonts w:ascii="Palatino Linotype" w:hAnsi="Palatino Linotype" w:eastAsia="Palatino Linotype"/>
          <w:sz w:val="24"/>
          <w:szCs w:val="24"/>
        </w:rPr>
        <w:t>T</w:t>
      </w:r>
      <w:r w:rsidR="4413DF7A">
        <w:rPr>
          <w:rFonts w:ascii="Palatino Linotype" w:hAnsi="Palatino Linotype" w:eastAsia="Palatino Linotype"/>
          <w:sz w:val="24"/>
          <w:szCs w:val="24"/>
        </w:rPr>
        <w:t>he range of possible federal tax credit amounts claimed</w:t>
      </w:r>
      <w:r w:rsidR="5C1E6C5A">
        <w:rPr>
          <w:rFonts w:ascii="Palatino Linotype" w:hAnsi="Palatino Linotype" w:eastAsia="Palatino Linotype"/>
          <w:sz w:val="24"/>
          <w:szCs w:val="24"/>
        </w:rPr>
        <w:t xml:space="preserve"> in part</w:t>
      </w:r>
      <w:r w:rsidR="4413DF7A">
        <w:rPr>
          <w:rFonts w:ascii="Palatino Linotype" w:hAnsi="Palatino Linotype" w:eastAsia="Palatino Linotype"/>
          <w:sz w:val="24"/>
          <w:szCs w:val="24"/>
        </w:rPr>
        <w:t xml:space="preserve"> depend</w:t>
      </w:r>
      <w:r w:rsidR="42DEFFF5">
        <w:rPr>
          <w:rFonts w:ascii="Palatino Linotype" w:hAnsi="Palatino Linotype" w:eastAsia="Palatino Linotype"/>
          <w:sz w:val="24"/>
          <w:szCs w:val="24"/>
        </w:rPr>
        <w:t>s on the amount of project costs that exceed the eligible amount of SG</w:t>
      </w:r>
      <w:r w:rsidR="72C5C561">
        <w:rPr>
          <w:rFonts w:ascii="Palatino Linotype" w:hAnsi="Palatino Linotype" w:eastAsia="Palatino Linotype"/>
          <w:sz w:val="24"/>
          <w:szCs w:val="24"/>
        </w:rPr>
        <w:t xml:space="preserve">IP incentives.  </w:t>
      </w:r>
      <w:r w:rsidR="77A836B9">
        <w:rPr>
          <w:rFonts w:ascii="Palatino Linotype" w:hAnsi="Palatino Linotype" w:eastAsia="Palatino Linotype"/>
          <w:sz w:val="24"/>
          <w:szCs w:val="24"/>
        </w:rPr>
        <w:t xml:space="preserve">Given the variability </w:t>
      </w:r>
      <w:r w:rsidR="323CDD28">
        <w:rPr>
          <w:rFonts w:ascii="Palatino Linotype" w:hAnsi="Palatino Linotype" w:eastAsia="Palatino Linotype"/>
          <w:sz w:val="24"/>
          <w:szCs w:val="24"/>
        </w:rPr>
        <w:t>in</w:t>
      </w:r>
      <w:r w:rsidR="77A836B9">
        <w:rPr>
          <w:rFonts w:ascii="Palatino Linotype" w:hAnsi="Palatino Linotype" w:eastAsia="Palatino Linotype"/>
          <w:sz w:val="24"/>
          <w:szCs w:val="24"/>
        </w:rPr>
        <w:t xml:space="preserve"> the amount of </w:t>
      </w:r>
      <w:r w:rsidR="64FF7B72">
        <w:rPr>
          <w:rFonts w:ascii="Palatino Linotype" w:hAnsi="Palatino Linotype" w:eastAsia="Palatino Linotype"/>
          <w:sz w:val="24"/>
          <w:szCs w:val="24"/>
        </w:rPr>
        <w:t>federal</w:t>
      </w:r>
      <w:r w:rsidR="4413DF7A">
        <w:rPr>
          <w:rFonts w:ascii="Palatino Linotype" w:hAnsi="Palatino Linotype" w:eastAsia="Palatino Linotype"/>
          <w:sz w:val="24"/>
          <w:szCs w:val="24"/>
        </w:rPr>
        <w:t xml:space="preserve"> </w:t>
      </w:r>
      <w:r w:rsidR="68E87439">
        <w:rPr>
          <w:rFonts w:ascii="Palatino Linotype" w:hAnsi="Palatino Linotype" w:eastAsia="Palatino Linotype"/>
          <w:sz w:val="24"/>
          <w:szCs w:val="24"/>
        </w:rPr>
        <w:t>tax credit claimed in ratepayer funded projects, t</w:t>
      </w:r>
      <w:r w:rsidR="5BDE4487">
        <w:rPr>
          <w:rFonts w:ascii="Palatino Linotype" w:hAnsi="Palatino Linotype" w:eastAsia="Palatino Linotype"/>
          <w:sz w:val="24"/>
          <w:szCs w:val="24"/>
        </w:rPr>
        <w:t xml:space="preserve">he Commission finds it reasonable to </w:t>
      </w:r>
      <w:r w:rsidR="3C24C24F">
        <w:rPr>
          <w:rFonts w:ascii="Palatino Linotype" w:hAnsi="Palatino Linotype" w:eastAsia="Palatino Linotype"/>
          <w:sz w:val="24"/>
          <w:szCs w:val="24"/>
        </w:rPr>
        <w:t xml:space="preserve">continue the current practice of having </w:t>
      </w:r>
      <w:r w:rsidR="5BDE4487">
        <w:rPr>
          <w:rFonts w:ascii="Palatino Linotype" w:hAnsi="Palatino Linotype" w:eastAsia="Palatino Linotype"/>
          <w:sz w:val="24"/>
          <w:szCs w:val="24"/>
        </w:rPr>
        <w:t xml:space="preserve">the </w:t>
      </w:r>
      <w:r w:rsidR="38F1EF7C">
        <w:rPr>
          <w:rFonts w:ascii="Palatino Linotype" w:hAnsi="Palatino Linotype" w:eastAsia="Palatino Linotype"/>
          <w:sz w:val="24"/>
          <w:szCs w:val="24"/>
        </w:rPr>
        <w:t xml:space="preserve">applicant include the percent of the total project cost </w:t>
      </w:r>
      <w:r w:rsidR="39DD0B59">
        <w:rPr>
          <w:rFonts w:ascii="Palatino Linotype" w:hAnsi="Palatino Linotype" w:eastAsia="Palatino Linotype"/>
          <w:sz w:val="24"/>
          <w:szCs w:val="24"/>
        </w:rPr>
        <w:t>that</w:t>
      </w:r>
      <w:r w:rsidR="38F1EF7C">
        <w:rPr>
          <w:rFonts w:ascii="Palatino Linotype" w:hAnsi="Palatino Linotype" w:eastAsia="Palatino Linotype"/>
          <w:sz w:val="24"/>
          <w:szCs w:val="24"/>
        </w:rPr>
        <w:t xml:space="preserve"> the </w:t>
      </w:r>
      <w:r w:rsidR="392CDBD2">
        <w:rPr>
          <w:rFonts w:ascii="Palatino Linotype" w:hAnsi="Palatino Linotype" w:eastAsia="Palatino Linotype"/>
          <w:sz w:val="24"/>
          <w:szCs w:val="24"/>
        </w:rPr>
        <w:t>applicant expects to receive from the</w:t>
      </w:r>
      <w:r w:rsidR="38F1EF7C">
        <w:rPr>
          <w:rFonts w:ascii="Palatino Linotype" w:hAnsi="Palatino Linotype" w:eastAsia="Palatino Linotype"/>
          <w:sz w:val="24"/>
          <w:szCs w:val="24"/>
        </w:rPr>
        <w:t xml:space="preserve"> IRA tax credit</w:t>
      </w:r>
      <w:r w:rsidR="392CDBD2">
        <w:rPr>
          <w:rFonts w:ascii="Palatino Linotype" w:hAnsi="Palatino Linotype" w:eastAsia="Palatino Linotype"/>
          <w:sz w:val="24"/>
          <w:szCs w:val="24"/>
        </w:rPr>
        <w:t xml:space="preserve">. This amount will be </w:t>
      </w:r>
      <w:r w:rsidR="39DD0B59">
        <w:rPr>
          <w:rFonts w:ascii="Palatino Linotype" w:hAnsi="Palatino Linotype" w:eastAsia="Palatino Linotype"/>
          <w:sz w:val="24"/>
          <w:szCs w:val="24"/>
        </w:rPr>
        <w:t>deducted</w:t>
      </w:r>
      <w:r w:rsidR="392CDBD2">
        <w:rPr>
          <w:rFonts w:ascii="Palatino Linotype" w:hAnsi="Palatino Linotype" w:eastAsia="Palatino Linotype"/>
          <w:sz w:val="24"/>
          <w:szCs w:val="24"/>
        </w:rPr>
        <w:t xml:space="preserve"> from the SGIP incentive if the combined </w:t>
      </w:r>
      <w:r w:rsidRPr="28C3E287" w:rsidR="735BC6CF">
        <w:rPr>
          <w:rFonts w:ascii="Palatino Linotype" w:hAnsi="Palatino Linotype" w:eastAsia="Palatino Linotype"/>
          <w:sz w:val="24"/>
          <w:szCs w:val="24"/>
        </w:rPr>
        <w:t xml:space="preserve">SGIP incentive and IRA tax credit </w:t>
      </w:r>
      <w:r w:rsidRPr="28C3E287" w:rsidR="00306811">
        <w:rPr>
          <w:rFonts w:ascii="Palatino Linotype" w:hAnsi="Palatino Linotype" w:eastAsia="Palatino Linotype"/>
          <w:sz w:val="24"/>
          <w:szCs w:val="24"/>
        </w:rPr>
        <w:t>is</w:t>
      </w:r>
      <w:r w:rsidRPr="28C3E287" w:rsidR="735BC6CF">
        <w:rPr>
          <w:rFonts w:ascii="Palatino Linotype" w:hAnsi="Palatino Linotype" w:eastAsia="Palatino Linotype"/>
          <w:sz w:val="24"/>
          <w:szCs w:val="24"/>
        </w:rPr>
        <w:t xml:space="preserve"> greater than the total eligible project costs. </w:t>
      </w:r>
    </w:p>
    <w:p w:rsidR="00C95A93" w:rsidP="00AF4766" w:rsidRDefault="00C95A93" w14:paraId="6480D438" w14:textId="77777777">
      <w:pPr>
        <w:spacing w:line="259" w:lineRule="auto"/>
        <w:rPr>
          <w:rFonts w:ascii="Palatino Linotype" w:hAnsi="Palatino Linotype" w:eastAsia="Palatino Linotype"/>
          <w:sz w:val="24"/>
          <w:szCs w:val="24"/>
        </w:rPr>
      </w:pPr>
    </w:p>
    <w:p w:rsidR="00805BA1" w:rsidP="00AF4766" w:rsidRDefault="0041290B" w14:paraId="44094CDE" w14:textId="79A15357">
      <w:pPr>
        <w:spacing w:line="259" w:lineRule="auto"/>
        <w:rPr>
          <w:rFonts w:ascii="Palatino Linotype" w:hAnsi="Palatino Linotype" w:eastAsia="Palatino Linotype"/>
          <w:sz w:val="24"/>
          <w:szCs w:val="24"/>
        </w:rPr>
      </w:pPr>
      <w:r>
        <w:rPr>
          <w:rFonts w:ascii="Palatino Linotype" w:hAnsi="Palatino Linotype" w:eastAsia="Palatino Linotype"/>
          <w:sz w:val="24"/>
          <w:szCs w:val="24"/>
        </w:rPr>
        <w:t xml:space="preserve">Figure 1. SGIP Host </w:t>
      </w:r>
      <w:r w:rsidR="00456A76">
        <w:rPr>
          <w:rFonts w:ascii="Palatino Linotype" w:hAnsi="Palatino Linotype" w:eastAsia="Palatino Linotype"/>
          <w:sz w:val="24"/>
          <w:szCs w:val="24"/>
        </w:rPr>
        <w:t>Customers'</w:t>
      </w:r>
      <w:r>
        <w:rPr>
          <w:rFonts w:ascii="Palatino Linotype" w:hAnsi="Palatino Linotype" w:eastAsia="Palatino Linotype"/>
          <w:sz w:val="24"/>
          <w:szCs w:val="24"/>
        </w:rPr>
        <w:t xml:space="preserve"> </w:t>
      </w:r>
      <w:r w:rsidR="002A7F64">
        <w:rPr>
          <w:rFonts w:ascii="Palatino Linotype" w:hAnsi="Palatino Linotype" w:eastAsia="Palatino Linotype"/>
          <w:sz w:val="24"/>
          <w:szCs w:val="24"/>
        </w:rPr>
        <w:t xml:space="preserve">Self-Reported </w:t>
      </w:r>
      <w:r>
        <w:rPr>
          <w:rFonts w:ascii="Palatino Linotype" w:hAnsi="Palatino Linotype" w:eastAsia="Palatino Linotype"/>
          <w:sz w:val="24"/>
          <w:szCs w:val="24"/>
        </w:rPr>
        <w:t>Participation in the IRA Tax Credit</w:t>
      </w:r>
      <w:r w:rsidR="000E53CC">
        <w:rPr>
          <w:rStyle w:val="FootnoteReference"/>
          <w:rFonts w:ascii="Palatino Linotype" w:hAnsi="Palatino Linotype" w:eastAsia="Palatino Linotype"/>
          <w:sz w:val="24"/>
          <w:szCs w:val="24"/>
        </w:rPr>
        <w:footnoteReference w:id="29"/>
      </w:r>
    </w:p>
    <w:p w:rsidRPr="00AF4766" w:rsidR="001A023A" w:rsidP="00AF4766" w:rsidRDefault="001A023A" w14:paraId="7A8357A6" w14:textId="58C326E7">
      <w:pPr>
        <w:spacing w:line="259" w:lineRule="auto"/>
        <w:rPr>
          <w:rFonts w:ascii="Palatino Linotype" w:hAnsi="Palatino Linotype" w:eastAsia="Palatino Linotype"/>
          <w:sz w:val="24"/>
          <w:szCs w:val="24"/>
        </w:rPr>
      </w:pPr>
      <w:r>
        <w:rPr>
          <w:noProof/>
        </w:rPr>
        <w:drawing>
          <wp:inline distT="0" distB="0" distL="0" distR="0" wp14:anchorId="51B84EF9" wp14:editId="20F1B280">
            <wp:extent cx="5084618" cy="2678659"/>
            <wp:effectExtent l="0" t="0" r="1905" b="7620"/>
            <wp:docPr id="1629588826" name="Picture 1"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588826" name="Picture 1" descr="Chart, pie chart&#10;&#10;Description automatically generated"/>
                    <pic:cNvPicPr/>
                  </pic:nvPicPr>
                  <pic:blipFill>
                    <a:blip r:embed="rId12"/>
                    <a:stretch>
                      <a:fillRect/>
                    </a:stretch>
                  </pic:blipFill>
                  <pic:spPr>
                    <a:xfrm>
                      <a:off x="0" y="0"/>
                      <a:ext cx="5091619" cy="2682347"/>
                    </a:xfrm>
                    <a:prstGeom prst="rect">
                      <a:avLst/>
                    </a:prstGeom>
                  </pic:spPr>
                </pic:pic>
              </a:graphicData>
            </a:graphic>
          </wp:inline>
        </w:drawing>
      </w:r>
    </w:p>
    <w:p w:rsidRPr="00AF4766" w:rsidR="00AF4766" w:rsidP="00AF4766" w:rsidRDefault="00AF4766" w14:paraId="38B4A963" w14:textId="77777777">
      <w:pPr>
        <w:spacing w:line="259" w:lineRule="auto"/>
        <w:rPr>
          <w:rFonts w:ascii="Palatino Linotype" w:hAnsi="Palatino Linotype" w:eastAsia="Palatino Linotype"/>
          <w:sz w:val="24"/>
          <w:szCs w:val="24"/>
        </w:rPr>
      </w:pPr>
    </w:p>
    <w:p w:rsidRPr="005079A9" w:rsidR="00E3543B" w:rsidP="00E3543B" w:rsidRDefault="00E3543B" w14:paraId="2C05E2CB" w14:textId="47B0CB5B">
      <w:pPr>
        <w:spacing w:line="259" w:lineRule="auto"/>
        <w:rPr>
          <w:rFonts w:ascii="Palatino Linotype" w:hAnsi="Palatino Linotype" w:eastAsia="Palatino Linotype"/>
          <w:b/>
          <w:bCs/>
          <w:sz w:val="24"/>
          <w:szCs w:val="24"/>
        </w:rPr>
      </w:pPr>
      <w:r w:rsidRPr="005079A9">
        <w:rPr>
          <w:rFonts w:ascii="Palatino Linotype" w:hAnsi="Palatino Linotype" w:eastAsia="Palatino Linotype"/>
          <w:b/>
          <w:bCs/>
          <w:sz w:val="24"/>
          <w:szCs w:val="24"/>
        </w:rPr>
        <w:t xml:space="preserve">SGIP Treatment of IRA Tax Credits for Residential </w:t>
      </w:r>
      <w:r>
        <w:rPr>
          <w:rFonts w:ascii="Palatino Linotype" w:hAnsi="Palatino Linotype" w:eastAsia="Palatino Linotype"/>
          <w:b/>
          <w:bCs/>
          <w:sz w:val="24"/>
          <w:szCs w:val="24"/>
        </w:rPr>
        <w:t xml:space="preserve">State </w:t>
      </w:r>
      <w:r w:rsidR="003632D8">
        <w:rPr>
          <w:rFonts w:ascii="Palatino Linotype" w:hAnsi="Palatino Linotype" w:eastAsia="Palatino Linotype"/>
          <w:b/>
          <w:bCs/>
          <w:sz w:val="24"/>
          <w:szCs w:val="24"/>
        </w:rPr>
        <w:t>Budget</w:t>
      </w:r>
      <w:r w:rsidRPr="005079A9">
        <w:rPr>
          <w:rFonts w:ascii="Palatino Linotype" w:hAnsi="Palatino Linotype" w:eastAsia="Palatino Linotype"/>
          <w:b/>
          <w:bCs/>
          <w:sz w:val="24"/>
          <w:szCs w:val="24"/>
        </w:rPr>
        <w:t xml:space="preserve"> </w:t>
      </w:r>
      <w:r>
        <w:rPr>
          <w:rFonts w:ascii="Palatino Linotype" w:hAnsi="Palatino Linotype" w:eastAsia="Palatino Linotype"/>
          <w:b/>
          <w:bCs/>
          <w:sz w:val="24"/>
          <w:szCs w:val="24"/>
        </w:rPr>
        <w:t>F</w:t>
      </w:r>
      <w:r w:rsidRPr="005079A9">
        <w:rPr>
          <w:rFonts w:ascii="Palatino Linotype" w:hAnsi="Palatino Linotype" w:eastAsia="Palatino Linotype"/>
          <w:b/>
          <w:bCs/>
          <w:sz w:val="24"/>
          <w:szCs w:val="24"/>
        </w:rPr>
        <w:t xml:space="preserve">unded </w:t>
      </w:r>
      <w:r>
        <w:rPr>
          <w:rFonts w:ascii="Palatino Linotype" w:hAnsi="Palatino Linotype" w:eastAsia="Palatino Linotype"/>
          <w:b/>
          <w:bCs/>
          <w:sz w:val="24"/>
          <w:szCs w:val="24"/>
        </w:rPr>
        <w:t>P</w:t>
      </w:r>
      <w:r w:rsidRPr="005079A9">
        <w:rPr>
          <w:rFonts w:ascii="Palatino Linotype" w:hAnsi="Palatino Linotype" w:eastAsia="Palatino Linotype"/>
          <w:b/>
          <w:bCs/>
          <w:sz w:val="24"/>
          <w:szCs w:val="24"/>
        </w:rPr>
        <w:t xml:space="preserve">rojects </w:t>
      </w:r>
      <w:r>
        <w:rPr>
          <w:rFonts w:ascii="Palatino Linotype" w:hAnsi="Palatino Linotype" w:eastAsia="Palatino Linotype"/>
          <w:b/>
          <w:bCs/>
          <w:sz w:val="24"/>
          <w:szCs w:val="24"/>
        </w:rPr>
        <w:t>O</w:t>
      </w:r>
      <w:r w:rsidRPr="005079A9">
        <w:rPr>
          <w:rFonts w:ascii="Palatino Linotype" w:hAnsi="Palatino Linotype" w:eastAsia="Palatino Linotype"/>
          <w:b/>
          <w:bCs/>
          <w:sz w:val="24"/>
          <w:szCs w:val="24"/>
        </w:rPr>
        <w:t xml:space="preserve">wned by the </w:t>
      </w:r>
      <w:r>
        <w:rPr>
          <w:rFonts w:ascii="Palatino Linotype" w:hAnsi="Palatino Linotype" w:eastAsia="Palatino Linotype"/>
          <w:b/>
          <w:bCs/>
          <w:sz w:val="24"/>
          <w:szCs w:val="24"/>
        </w:rPr>
        <w:t>H</w:t>
      </w:r>
      <w:r w:rsidRPr="005079A9">
        <w:rPr>
          <w:rFonts w:ascii="Palatino Linotype" w:hAnsi="Palatino Linotype" w:eastAsia="Palatino Linotype"/>
          <w:b/>
          <w:bCs/>
          <w:sz w:val="24"/>
          <w:szCs w:val="24"/>
        </w:rPr>
        <w:t>ost-</w:t>
      </w:r>
      <w:r>
        <w:rPr>
          <w:rFonts w:ascii="Palatino Linotype" w:hAnsi="Palatino Linotype" w:eastAsia="Palatino Linotype"/>
          <w:b/>
          <w:bCs/>
          <w:sz w:val="24"/>
          <w:szCs w:val="24"/>
        </w:rPr>
        <w:t>C</w:t>
      </w:r>
      <w:r w:rsidRPr="005079A9">
        <w:rPr>
          <w:rFonts w:ascii="Palatino Linotype" w:hAnsi="Palatino Linotype" w:eastAsia="Palatino Linotype"/>
          <w:b/>
          <w:bCs/>
          <w:sz w:val="24"/>
          <w:szCs w:val="24"/>
        </w:rPr>
        <w:t>ustomer</w:t>
      </w:r>
    </w:p>
    <w:p w:rsidR="00E3543B" w:rsidP="00AF4766" w:rsidRDefault="00E3543B" w14:paraId="4B589CDE" w14:textId="77777777">
      <w:pPr>
        <w:spacing w:line="259" w:lineRule="auto"/>
        <w:rPr>
          <w:rFonts w:ascii="Palatino Linotype" w:hAnsi="Palatino Linotype" w:eastAsia="Palatino Linotype"/>
          <w:sz w:val="24"/>
          <w:szCs w:val="24"/>
        </w:rPr>
      </w:pPr>
    </w:p>
    <w:p w:rsidR="00F8675C" w:rsidP="00AF4766" w:rsidRDefault="106EE0FB" w14:paraId="64751A98" w14:textId="677BA16C">
      <w:pPr>
        <w:spacing w:line="259" w:lineRule="auto"/>
        <w:rPr>
          <w:rFonts w:ascii="Palatino Linotype" w:hAnsi="Palatino Linotype" w:eastAsia="Palatino Linotype"/>
          <w:sz w:val="24"/>
          <w:szCs w:val="24"/>
        </w:rPr>
      </w:pPr>
      <w:r w:rsidRPr="39D1037D">
        <w:rPr>
          <w:rFonts w:ascii="Palatino Linotype" w:hAnsi="Palatino Linotype" w:eastAsia="Palatino Linotype"/>
          <w:sz w:val="24"/>
          <w:szCs w:val="24"/>
        </w:rPr>
        <w:t>T</w:t>
      </w:r>
      <w:r w:rsidR="0053749E">
        <w:rPr>
          <w:rFonts w:ascii="Palatino Linotype" w:hAnsi="Palatino Linotype" w:eastAsia="Palatino Linotype"/>
          <w:sz w:val="24"/>
          <w:szCs w:val="24"/>
        </w:rPr>
        <w:t xml:space="preserve">he SGIP </w:t>
      </w:r>
      <w:r w:rsidR="002A13D9">
        <w:rPr>
          <w:rFonts w:ascii="Palatino Linotype" w:hAnsi="Palatino Linotype" w:eastAsia="Palatino Linotype"/>
          <w:sz w:val="24"/>
          <w:szCs w:val="24"/>
        </w:rPr>
        <w:t>is administered</w:t>
      </w:r>
      <w:r w:rsidR="0053749E">
        <w:rPr>
          <w:rFonts w:ascii="Palatino Linotype" w:hAnsi="Palatino Linotype" w:eastAsia="Palatino Linotype"/>
          <w:sz w:val="24"/>
          <w:szCs w:val="24"/>
        </w:rPr>
        <w:t xml:space="preserve"> by </w:t>
      </w:r>
      <w:r w:rsidRPr="39D1037D" w:rsidR="2E9D67C1">
        <w:rPr>
          <w:rFonts w:ascii="Palatino Linotype" w:hAnsi="Palatino Linotype" w:eastAsia="Palatino Linotype"/>
          <w:sz w:val="24"/>
          <w:szCs w:val="24"/>
        </w:rPr>
        <w:t xml:space="preserve">four </w:t>
      </w:r>
      <w:r w:rsidR="002A13D9">
        <w:rPr>
          <w:rFonts w:ascii="Palatino Linotype" w:hAnsi="Palatino Linotype" w:eastAsia="Palatino Linotype"/>
          <w:sz w:val="24"/>
          <w:szCs w:val="24"/>
        </w:rPr>
        <w:t xml:space="preserve">public </w:t>
      </w:r>
      <w:r w:rsidRPr="39D1037D" w:rsidR="002A13D9">
        <w:rPr>
          <w:rFonts w:ascii="Palatino Linotype" w:hAnsi="Palatino Linotype" w:eastAsia="Palatino Linotype"/>
          <w:sz w:val="24"/>
          <w:szCs w:val="24"/>
        </w:rPr>
        <w:t>utilit</w:t>
      </w:r>
      <w:r w:rsidRPr="39D1037D" w:rsidR="0907B359">
        <w:rPr>
          <w:rFonts w:ascii="Palatino Linotype" w:hAnsi="Palatino Linotype" w:eastAsia="Palatino Linotype"/>
          <w:sz w:val="24"/>
          <w:szCs w:val="24"/>
        </w:rPr>
        <w:t>ies and one non-profit.</w:t>
      </w:r>
      <w:r w:rsidR="002A13D9">
        <w:rPr>
          <w:rFonts w:ascii="Palatino Linotype" w:hAnsi="Palatino Linotype" w:eastAsia="Palatino Linotype"/>
          <w:sz w:val="24"/>
          <w:szCs w:val="24"/>
        </w:rPr>
        <w:t xml:space="preserve"> </w:t>
      </w:r>
      <w:r w:rsidRPr="39D1037D" w:rsidR="21E67A8E">
        <w:rPr>
          <w:rFonts w:ascii="Palatino Linotype" w:hAnsi="Palatino Linotype" w:eastAsia="Palatino Linotype"/>
          <w:sz w:val="24"/>
          <w:szCs w:val="24"/>
        </w:rPr>
        <w:t>T</w:t>
      </w:r>
      <w:r w:rsidRPr="39D1037D" w:rsidR="002A13D9">
        <w:rPr>
          <w:rFonts w:ascii="Palatino Linotype" w:hAnsi="Palatino Linotype" w:eastAsia="Palatino Linotype"/>
          <w:sz w:val="24"/>
          <w:szCs w:val="24"/>
        </w:rPr>
        <w:t xml:space="preserve">he </w:t>
      </w:r>
      <w:r w:rsidRPr="39D1037D" w:rsidR="7732F537">
        <w:rPr>
          <w:rFonts w:ascii="Palatino Linotype" w:hAnsi="Palatino Linotype" w:eastAsia="Palatino Linotype"/>
          <w:sz w:val="24"/>
          <w:szCs w:val="24"/>
        </w:rPr>
        <w:t>GGRF</w:t>
      </w:r>
      <w:r w:rsidR="002A13D9">
        <w:rPr>
          <w:rFonts w:ascii="Palatino Linotype" w:hAnsi="Palatino Linotype" w:eastAsia="Palatino Linotype"/>
          <w:sz w:val="24"/>
          <w:szCs w:val="24"/>
        </w:rPr>
        <w:t xml:space="preserve"> funds assigned to SGIP from the </w:t>
      </w:r>
      <w:r w:rsidR="00592B43">
        <w:rPr>
          <w:rFonts w:ascii="Palatino Linotype" w:hAnsi="Palatino Linotype" w:eastAsia="Palatino Linotype"/>
          <w:sz w:val="24"/>
          <w:szCs w:val="24"/>
        </w:rPr>
        <w:t>s</w:t>
      </w:r>
      <w:r w:rsidR="002A13D9">
        <w:rPr>
          <w:rFonts w:ascii="Palatino Linotype" w:hAnsi="Palatino Linotype" w:eastAsia="Palatino Linotype"/>
          <w:sz w:val="24"/>
          <w:szCs w:val="24"/>
        </w:rPr>
        <w:t xml:space="preserve">tate budget </w:t>
      </w:r>
      <w:r w:rsidR="00C06C56">
        <w:rPr>
          <w:rFonts w:ascii="Palatino Linotype" w:hAnsi="Palatino Linotype" w:eastAsia="Palatino Linotype"/>
          <w:sz w:val="24"/>
          <w:szCs w:val="24"/>
        </w:rPr>
        <w:t>are not considered a public utility subsidy</w:t>
      </w:r>
      <w:r w:rsidR="00670A4B">
        <w:rPr>
          <w:rFonts w:ascii="Palatino Linotype" w:hAnsi="Palatino Linotype" w:eastAsia="Palatino Linotype"/>
          <w:sz w:val="24"/>
          <w:szCs w:val="24"/>
        </w:rPr>
        <w:t xml:space="preserve">. </w:t>
      </w:r>
      <w:r w:rsidR="009E5915">
        <w:rPr>
          <w:rFonts w:ascii="Palatino Linotype" w:hAnsi="Palatino Linotype" w:eastAsia="Palatino Linotype"/>
          <w:sz w:val="24"/>
          <w:szCs w:val="24"/>
        </w:rPr>
        <w:t xml:space="preserve">The IRS guidance on the Residential Clean Energy tax credit categorizes </w:t>
      </w:r>
      <w:r w:rsidRPr="00AF4766" w:rsidR="00AF4766">
        <w:rPr>
          <w:rFonts w:ascii="Palatino Linotype" w:hAnsi="Palatino Linotype" w:eastAsia="Palatino Linotype"/>
          <w:sz w:val="24"/>
          <w:szCs w:val="24"/>
        </w:rPr>
        <w:t xml:space="preserve">SGIP budgets funded by </w:t>
      </w:r>
      <w:r w:rsidR="000826CA">
        <w:rPr>
          <w:rFonts w:ascii="Palatino Linotype" w:hAnsi="Palatino Linotype" w:eastAsia="Palatino Linotype"/>
          <w:sz w:val="24"/>
          <w:szCs w:val="24"/>
        </w:rPr>
        <w:t>state</w:t>
      </w:r>
      <w:r w:rsidRPr="00AF4766" w:rsidR="00AF4766">
        <w:rPr>
          <w:rFonts w:ascii="Palatino Linotype" w:hAnsi="Palatino Linotype" w:eastAsia="Palatino Linotype"/>
          <w:sz w:val="24"/>
          <w:szCs w:val="24"/>
        </w:rPr>
        <w:t xml:space="preserve"> funds, </w:t>
      </w:r>
      <w:r w:rsidRPr="39D1037D" w:rsidR="00AF4766">
        <w:rPr>
          <w:rFonts w:ascii="Palatino Linotype" w:hAnsi="Palatino Linotype" w:eastAsia="Palatino Linotype"/>
          <w:sz w:val="24"/>
          <w:szCs w:val="24"/>
        </w:rPr>
        <w:t>a</w:t>
      </w:r>
      <w:r w:rsidRPr="39D1037D" w:rsidR="5F77AD63">
        <w:rPr>
          <w:rFonts w:ascii="Palatino Linotype" w:hAnsi="Palatino Linotype" w:eastAsia="Palatino Linotype"/>
          <w:sz w:val="24"/>
          <w:szCs w:val="24"/>
        </w:rPr>
        <w:t>s</w:t>
      </w:r>
      <w:r w:rsidRPr="00AF4766" w:rsidR="00AF4766">
        <w:rPr>
          <w:rFonts w:ascii="Palatino Linotype" w:hAnsi="Palatino Linotype" w:eastAsia="Palatino Linotype"/>
          <w:sz w:val="24"/>
          <w:szCs w:val="24"/>
        </w:rPr>
        <w:t xml:space="preserve"> a state energy-efficiency incentive</w:t>
      </w:r>
      <w:r w:rsidRPr="39D1037D" w:rsidR="460B631D">
        <w:rPr>
          <w:rFonts w:ascii="Palatino Linotype" w:hAnsi="Palatino Linotype" w:eastAsia="Palatino Linotype"/>
          <w:sz w:val="24"/>
          <w:szCs w:val="24"/>
        </w:rPr>
        <w:t>. This applies</w:t>
      </w:r>
      <w:r w:rsidR="003D02E6">
        <w:rPr>
          <w:rFonts w:ascii="Palatino Linotype" w:hAnsi="Palatino Linotype" w:eastAsia="Palatino Linotype"/>
          <w:sz w:val="24"/>
          <w:szCs w:val="24"/>
        </w:rPr>
        <w:t xml:space="preserve"> </w:t>
      </w:r>
      <w:r w:rsidRPr="39D1037D" w:rsidR="589D6E1E">
        <w:rPr>
          <w:rFonts w:ascii="Palatino Linotype" w:hAnsi="Palatino Linotype" w:eastAsia="Palatino Linotype"/>
          <w:sz w:val="24"/>
          <w:szCs w:val="24"/>
        </w:rPr>
        <w:t>only</w:t>
      </w:r>
      <w:r w:rsidRPr="39D1037D" w:rsidR="13D9292D">
        <w:rPr>
          <w:rFonts w:ascii="Palatino Linotype" w:hAnsi="Palatino Linotype" w:eastAsia="Palatino Linotype"/>
          <w:sz w:val="24"/>
          <w:szCs w:val="24"/>
        </w:rPr>
        <w:t xml:space="preserve"> to</w:t>
      </w:r>
      <w:r w:rsidRPr="39D1037D" w:rsidR="589D6E1E">
        <w:rPr>
          <w:rFonts w:ascii="Palatino Linotype" w:hAnsi="Palatino Linotype" w:eastAsia="Palatino Linotype"/>
          <w:sz w:val="24"/>
          <w:szCs w:val="24"/>
        </w:rPr>
        <w:t xml:space="preserve"> the Residential Solar and Storage Equity (RSSE) budget </w:t>
      </w:r>
      <w:r w:rsidRPr="39D1037D" w:rsidR="007158E8">
        <w:rPr>
          <w:rFonts w:ascii="Palatino Linotype" w:hAnsi="Palatino Linotype" w:eastAsia="Palatino Linotype"/>
          <w:sz w:val="24"/>
          <w:szCs w:val="24"/>
        </w:rPr>
        <w:t>currently</w:t>
      </w:r>
      <w:r w:rsidR="00F07C09">
        <w:rPr>
          <w:rFonts w:ascii="Palatino Linotype" w:hAnsi="Palatino Linotype" w:eastAsia="Palatino Linotype"/>
          <w:sz w:val="24"/>
          <w:szCs w:val="24"/>
        </w:rPr>
        <w:t xml:space="preserve"> (Table 2</w:t>
      </w:r>
      <w:r w:rsidRPr="39D1037D" w:rsidR="00F07C09">
        <w:rPr>
          <w:rFonts w:ascii="Palatino Linotype" w:hAnsi="Palatino Linotype" w:eastAsia="Palatino Linotype"/>
          <w:sz w:val="24"/>
          <w:szCs w:val="24"/>
        </w:rPr>
        <w:t>)</w:t>
      </w:r>
      <w:r w:rsidRPr="39D1037D" w:rsidR="00500B6D">
        <w:rPr>
          <w:rFonts w:ascii="Palatino Linotype" w:hAnsi="Palatino Linotype" w:eastAsia="Palatino Linotype"/>
          <w:sz w:val="24"/>
          <w:szCs w:val="24"/>
        </w:rPr>
        <w:t>.</w:t>
      </w:r>
      <w:r w:rsidR="00500B6D">
        <w:rPr>
          <w:rFonts w:ascii="Palatino Linotype" w:hAnsi="Palatino Linotype" w:eastAsia="Palatino Linotype"/>
          <w:sz w:val="24"/>
          <w:szCs w:val="24"/>
        </w:rPr>
        <w:t xml:space="preserve"> The </w:t>
      </w:r>
      <w:r w:rsidR="009D0F7E">
        <w:rPr>
          <w:rFonts w:ascii="Palatino Linotype" w:hAnsi="Palatino Linotype" w:eastAsia="Palatino Linotype"/>
          <w:sz w:val="24"/>
          <w:szCs w:val="24"/>
        </w:rPr>
        <w:t xml:space="preserve">SGIP </w:t>
      </w:r>
      <w:r w:rsidR="00500B6D">
        <w:rPr>
          <w:rFonts w:ascii="Palatino Linotype" w:hAnsi="Palatino Linotype" w:eastAsia="Palatino Linotype"/>
          <w:sz w:val="24"/>
          <w:szCs w:val="24"/>
        </w:rPr>
        <w:t>payment is not</w:t>
      </w:r>
      <w:r w:rsidRPr="00AF4766" w:rsidR="00AF4766">
        <w:rPr>
          <w:rFonts w:ascii="Palatino Linotype" w:hAnsi="Palatino Linotype" w:eastAsia="Palatino Linotype"/>
          <w:sz w:val="24"/>
          <w:szCs w:val="24"/>
        </w:rPr>
        <w:t xml:space="preserve"> a rebate as</w:t>
      </w:r>
      <w:r w:rsidR="00F8675C">
        <w:rPr>
          <w:rFonts w:ascii="Palatino Linotype" w:hAnsi="Palatino Linotype" w:eastAsia="Palatino Linotype"/>
          <w:sz w:val="24"/>
          <w:szCs w:val="24"/>
        </w:rPr>
        <w:t>:</w:t>
      </w:r>
    </w:p>
    <w:p w:rsidR="007F2F45" w:rsidP="00F8675C" w:rsidRDefault="009757E6" w14:paraId="05C9C226" w14:textId="0F4DD3E5">
      <w:pPr>
        <w:pStyle w:val="ListParagraph"/>
        <w:numPr>
          <w:ilvl w:val="0"/>
          <w:numId w:val="36"/>
        </w:numPr>
        <w:spacing w:line="259" w:lineRule="auto"/>
        <w:rPr>
          <w:rFonts w:ascii="Palatino Linotype" w:hAnsi="Palatino Linotype" w:eastAsia="Palatino Linotype"/>
          <w:sz w:val="24"/>
          <w:szCs w:val="24"/>
        </w:rPr>
      </w:pPr>
      <w:r>
        <w:rPr>
          <w:rFonts w:ascii="Palatino Linotype" w:hAnsi="Palatino Linotype" w:eastAsia="Palatino Linotype"/>
          <w:sz w:val="24"/>
          <w:szCs w:val="24"/>
        </w:rPr>
        <w:t>T</w:t>
      </w:r>
      <w:r w:rsidRPr="008D6EDD" w:rsidR="00AF4766">
        <w:rPr>
          <w:rFonts w:ascii="Palatino Linotype" w:hAnsi="Palatino Linotype" w:eastAsia="Palatino Linotype"/>
          <w:sz w:val="24"/>
          <w:szCs w:val="24"/>
        </w:rPr>
        <w:t xml:space="preserve">he payment is </w:t>
      </w:r>
      <w:r w:rsidR="00F8675C">
        <w:rPr>
          <w:rFonts w:ascii="Palatino Linotype" w:hAnsi="Palatino Linotype" w:eastAsia="Palatino Linotype"/>
          <w:sz w:val="24"/>
          <w:szCs w:val="24"/>
        </w:rPr>
        <w:t xml:space="preserve">related to the </w:t>
      </w:r>
      <w:r w:rsidR="007F2F45">
        <w:rPr>
          <w:rFonts w:ascii="Palatino Linotype" w:hAnsi="Palatino Linotype" w:eastAsia="Palatino Linotype"/>
          <w:sz w:val="24"/>
          <w:szCs w:val="24"/>
        </w:rPr>
        <w:t xml:space="preserve">capacity of the system installed, </w:t>
      </w:r>
      <w:r w:rsidRPr="00B26769" w:rsidR="00AF4766">
        <w:rPr>
          <w:rFonts w:ascii="Palatino Linotype" w:hAnsi="Palatino Linotype" w:eastAsia="Palatino Linotype"/>
          <w:sz w:val="24"/>
          <w:szCs w:val="24"/>
        </w:rPr>
        <w:t>not the cost of the property</w:t>
      </w:r>
      <w:r w:rsidR="007F2F45">
        <w:rPr>
          <w:rFonts w:ascii="Palatino Linotype" w:hAnsi="Palatino Linotype" w:eastAsia="Palatino Linotype"/>
          <w:sz w:val="24"/>
          <w:szCs w:val="24"/>
        </w:rPr>
        <w:t>;</w:t>
      </w:r>
    </w:p>
    <w:p w:rsidR="009757E6" w:rsidP="00F8675C" w:rsidRDefault="007F2F45" w14:paraId="3BDE9C59" w14:textId="4AC7500F">
      <w:pPr>
        <w:pStyle w:val="ListParagraph"/>
        <w:numPr>
          <w:ilvl w:val="0"/>
          <w:numId w:val="36"/>
        </w:numPr>
        <w:spacing w:line="259" w:lineRule="auto"/>
        <w:rPr>
          <w:rFonts w:ascii="Palatino Linotype" w:hAnsi="Palatino Linotype" w:eastAsia="Palatino Linotype"/>
          <w:sz w:val="24"/>
          <w:szCs w:val="24"/>
        </w:rPr>
      </w:pPr>
      <w:r>
        <w:rPr>
          <w:rFonts w:ascii="Palatino Linotype" w:hAnsi="Palatino Linotype" w:eastAsia="Palatino Linotype"/>
          <w:sz w:val="24"/>
          <w:szCs w:val="24"/>
        </w:rPr>
        <w:t xml:space="preserve">The payment is not </w:t>
      </w:r>
      <w:r w:rsidR="009757E6">
        <w:rPr>
          <w:rFonts w:ascii="Palatino Linotype" w:hAnsi="Palatino Linotype" w:eastAsia="Palatino Linotype"/>
          <w:sz w:val="24"/>
          <w:szCs w:val="24"/>
        </w:rPr>
        <w:t xml:space="preserve">from a </w:t>
      </w:r>
      <w:r w:rsidRPr="008D6EDD" w:rsidR="00AF4766">
        <w:rPr>
          <w:rFonts w:ascii="Palatino Linotype" w:hAnsi="Palatino Linotype" w:eastAsia="Palatino Linotype"/>
          <w:sz w:val="24"/>
          <w:szCs w:val="24"/>
        </w:rPr>
        <w:t>party selling the property to the customer</w:t>
      </w:r>
      <w:r w:rsidR="009757E6">
        <w:rPr>
          <w:rFonts w:ascii="Palatino Linotype" w:hAnsi="Palatino Linotype" w:eastAsia="Palatino Linotype"/>
          <w:sz w:val="24"/>
          <w:szCs w:val="24"/>
        </w:rPr>
        <w:t>; and</w:t>
      </w:r>
    </w:p>
    <w:p w:rsidR="00B26769" w:rsidP="00F8675C" w:rsidRDefault="009757E6" w14:paraId="03AD02E9" w14:textId="53E933C1">
      <w:pPr>
        <w:pStyle w:val="ListParagraph"/>
        <w:numPr>
          <w:ilvl w:val="0"/>
          <w:numId w:val="36"/>
        </w:numPr>
        <w:spacing w:line="259" w:lineRule="auto"/>
        <w:rPr>
          <w:rFonts w:ascii="Palatino Linotype" w:hAnsi="Palatino Linotype" w:eastAsia="Palatino Linotype"/>
          <w:sz w:val="24"/>
          <w:szCs w:val="24"/>
        </w:rPr>
      </w:pPr>
      <w:r>
        <w:rPr>
          <w:rFonts w:ascii="Palatino Linotype" w:hAnsi="Palatino Linotype" w:eastAsia="Palatino Linotype"/>
          <w:sz w:val="24"/>
          <w:szCs w:val="24"/>
        </w:rPr>
        <w:t xml:space="preserve">The payment is tied to </w:t>
      </w:r>
      <w:r w:rsidR="00B26769">
        <w:rPr>
          <w:rFonts w:ascii="Palatino Linotype" w:hAnsi="Palatino Linotype" w:eastAsia="Palatino Linotype"/>
          <w:sz w:val="24"/>
          <w:szCs w:val="24"/>
        </w:rPr>
        <w:t>specific</w:t>
      </w:r>
      <w:r w:rsidRPr="00B26769" w:rsidR="00AF4766">
        <w:rPr>
          <w:rFonts w:ascii="Palatino Linotype" w:hAnsi="Palatino Linotype" w:eastAsia="Palatino Linotype"/>
          <w:sz w:val="24"/>
          <w:szCs w:val="24"/>
        </w:rPr>
        <w:t xml:space="preserve"> system performance requirements as outlined in the SGIP Handbook.</w:t>
      </w:r>
      <w:r w:rsidR="00AF4766">
        <w:rPr>
          <w:rStyle w:val="FootnoteReference"/>
          <w:rFonts w:ascii="Palatino Linotype" w:hAnsi="Palatino Linotype" w:eastAsia="Palatino Linotype"/>
          <w:sz w:val="24"/>
          <w:szCs w:val="24"/>
        </w:rPr>
        <w:footnoteReference w:id="30"/>
      </w:r>
      <w:r w:rsidRPr="00B26769" w:rsidR="00AF4766">
        <w:rPr>
          <w:rFonts w:ascii="Palatino Linotype" w:hAnsi="Palatino Linotype" w:eastAsia="Palatino Linotype"/>
          <w:sz w:val="24"/>
          <w:szCs w:val="24"/>
        </w:rPr>
        <w:t xml:space="preserve"> </w:t>
      </w:r>
    </w:p>
    <w:p w:rsidR="001E180E" w:rsidP="00B26769" w:rsidRDefault="001E180E" w14:paraId="03208B36" w14:textId="77777777">
      <w:pPr>
        <w:spacing w:line="259" w:lineRule="auto"/>
        <w:rPr>
          <w:rFonts w:ascii="Palatino Linotype" w:hAnsi="Palatino Linotype" w:eastAsia="Palatino Linotype"/>
          <w:sz w:val="24"/>
          <w:szCs w:val="24"/>
        </w:rPr>
      </w:pPr>
    </w:p>
    <w:p w:rsidR="007956CD" w:rsidP="00B26769" w:rsidRDefault="00AF4766" w14:paraId="1E80024E" w14:textId="69C8FF31">
      <w:pPr>
        <w:spacing w:line="259" w:lineRule="auto"/>
        <w:rPr>
          <w:rFonts w:ascii="Palatino Linotype" w:hAnsi="Palatino Linotype" w:eastAsia="Palatino Linotype"/>
          <w:sz w:val="24"/>
          <w:szCs w:val="24"/>
        </w:rPr>
      </w:pPr>
      <w:r w:rsidRPr="00B26769">
        <w:rPr>
          <w:rFonts w:ascii="Palatino Linotype" w:hAnsi="Palatino Linotype" w:eastAsia="Palatino Linotype"/>
          <w:sz w:val="24"/>
          <w:szCs w:val="24"/>
        </w:rPr>
        <w:t xml:space="preserve">Therefore, all SGIP </w:t>
      </w:r>
      <w:r w:rsidR="00BF0179">
        <w:rPr>
          <w:rFonts w:ascii="Palatino Linotype" w:hAnsi="Palatino Linotype" w:eastAsia="Palatino Linotype"/>
          <w:sz w:val="24"/>
          <w:szCs w:val="24"/>
        </w:rPr>
        <w:t xml:space="preserve">projects with </w:t>
      </w:r>
      <w:r w:rsidRPr="00B26769">
        <w:rPr>
          <w:rFonts w:ascii="Palatino Linotype" w:hAnsi="Palatino Linotype" w:eastAsia="Palatino Linotype"/>
          <w:sz w:val="24"/>
          <w:szCs w:val="24"/>
        </w:rPr>
        <w:t xml:space="preserve">payments for systems from </w:t>
      </w:r>
      <w:r w:rsidRPr="00B26769" w:rsidR="000826CA">
        <w:rPr>
          <w:rFonts w:ascii="Palatino Linotype" w:hAnsi="Palatino Linotype" w:eastAsia="Palatino Linotype"/>
          <w:sz w:val="24"/>
          <w:szCs w:val="24"/>
        </w:rPr>
        <w:t>state</w:t>
      </w:r>
      <w:r w:rsidRPr="00B26769">
        <w:rPr>
          <w:rFonts w:ascii="Palatino Linotype" w:hAnsi="Palatino Linotype" w:eastAsia="Palatino Linotype"/>
          <w:sz w:val="24"/>
          <w:szCs w:val="24"/>
        </w:rPr>
        <w:t xml:space="preserve"> funds can claim the IRA tax credit on the total eligible project costs. </w:t>
      </w:r>
    </w:p>
    <w:p w:rsidR="001E180E" w:rsidP="007956CD" w:rsidRDefault="001E180E" w14:paraId="1A09E083" w14:textId="77777777">
      <w:pPr>
        <w:rPr>
          <w:rFonts w:ascii="Palatino Linotype" w:hAnsi="Palatino Linotype"/>
          <w:sz w:val="24"/>
          <w:szCs w:val="24"/>
        </w:rPr>
      </w:pPr>
    </w:p>
    <w:p w:rsidRPr="00051828" w:rsidR="007956CD" w:rsidP="007956CD" w:rsidRDefault="007956CD" w14:paraId="766A2D17" w14:textId="04BE77E3">
      <w:pPr>
        <w:rPr>
          <w:rFonts w:ascii="Palatino Linotype" w:hAnsi="Palatino Linotype"/>
          <w:sz w:val="24"/>
          <w:szCs w:val="24"/>
        </w:rPr>
      </w:pPr>
      <w:r w:rsidRPr="00051828">
        <w:rPr>
          <w:rFonts w:ascii="Palatino Linotype" w:hAnsi="Palatino Linotype"/>
          <w:sz w:val="24"/>
          <w:szCs w:val="24"/>
        </w:rPr>
        <w:lastRenderedPageBreak/>
        <w:t>Table 2. Funding Source in SGIP</w:t>
      </w:r>
    </w:p>
    <w:tbl>
      <w:tblPr>
        <w:tblStyle w:val="TableGrid"/>
        <w:tblW w:w="0" w:type="auto"/>
        <w:tblLook w:val="04A0" w:firstRow="1" w:lastRow="0" w:firstColumn="1" w:lastColumn="0" w:noHBand="0" w:noVBand="1"/>
      </w:tblPr>
      <w:tblGrid>
        <w:gridCol w:w="2965"/>
        <w:gridCol w:w="3150"/>
        <w:gridCol w:w="3235"/>
      </w:tblGrid>
      <w:tr w:rsidR="007956CD" w:rsidTr="001C7C84" w14:paraId="35F2D2AF" w14:textId="77777777">
        <w:tc>
          <w:tcPr>
            <w:tcW w:w="2965" w:type="dxa"/>
          </w:tcPr>
          <w:p w:rsidRPr="001F791F" w:rsidR="007956CD" w:rsidRDefault="007956CD" w14:paraId="6250D36C" w14:textId="77777777">
            <w:pPr>
              <w:rPr>
                <w:rFonts w:ascii="Palatino Linotype" w:hAnsi="Palatino Linotype"/>
                <w:b/>
                <w:sz w:val="22"/>
                <w:szCs w:val="22"/>
              </w:rPr>
            </w:pPr>
            <w:r w:rsidRPr="001F791F">
              <w:rPr>
                <w:rFonts w:ascii="Palatino Linotype" w:hAnsi="Palatino Linotype"/>
                <w:b/>
                <w:sz w:val="22"/>
                <w:szCs w:val="22"/>
              </w:rPr>
              <w:t>SGIP Budget</w:t>
            </w:r>
          </w:p>
        </w:tc>
        <w:tc>
          <w:tcPr>
            <w:tcW w:w="3150" w:type="dxa"/>
          </w:tcPr>
          <w:p w:rsidRPr="001F791F" w:rsidR="007956CD" w:rsidRDefault="007956CD" w14:paraId="51CBD10B" w14:textId="77777777">
            <w:pPr>
              <w:rPr>
                <w:rFonts w:ascii="Palatino Linotype" w:hAnsi="Palatino Linotype"/>
                <w:b/>
                <w:sz w:val="22"/>
                <w:szCs w:val="22"/>
              </w:rPr>
            </w:pPr>
            <w:r w:rsidRPr="001F791F">
              <w:rPr>
                <w:rFonts w:ascii="Palatino Linotype" w:hAnsi="Palatino Linotype"/>
                <w:b/>
                <w:sz w:val="22"/>
                <w:szCs w:val="22"/>
              </w:rPr>
              <w:t>Funding Source</w:t>
            </w:r>
          </w:p>
        </w:tc>
        <w:tc>
          <w:tcPr>
            <w:tcW w:w="3235" w:type="dxa"/>
          </w:tcPr>
          <w:p w:rsidRPr="001F791F" w:rsidR="007956CD" w:rsidRDefault="007956CD" w14:paraId="131F61AD" w14:textId="77777777">
            <w:pPr>
              <w:rPr>
                <w:rFonts w:ascii="Palatino Linotype" w:hAnsi="Palatino Linotype"/>
                <w:b/>
                <w:sz w:val="22"/>
                <w:szCs w:val="22"/>
              </w:rPr>
            </w:pPr>
            <w:r w:rsidRPr="001F791F">
              <w:rPr>
                <w:rFonts w:ascii="Palatino Linotype" w:hAnsi="Palatino Linotype"/>
                <w:b/>
                <w:sz w:val="22"/>
                <w:szCs w:val="22"/>
              </w:rPr>
              <w:t>IRS Designation for the Residential Clean Energy Tax Credit</w:t>
            </w:r>
          </w:p>
        </w:tc>
      </w:tr>
      <w:tr w:rsidR="007956CD" w:rsidTr="001C7C84" w14:paraId="514FEE10" w14:textId="77777777">
        <w:tc>
          <w:tcPr>
            <w:tcW w:w="2965" w:type="dxa"/>
            <w:vMerge w:val="restart"/>
          </w:tcPr>
          <w:p w:rsidRPr="001F791F" w:rsidR="007956CD" w:rsidRDefault="007956CD" w14:paraId="3F895D30" w14:textId="77777777">
            <w:pPr>
              <w:rPr>
                <w:rFonts w:ascii="Palatino Linotype" w:hAnsi="Palatino Linotype"/>
                <w:sz w:val="22"/>
                <w:szCs w:val="22"/>
              </w:rPr>
            </w:pPr>
            <w:r w:rsidRPr="001F791F">
              <w:rPr>
                <w:rFonts w:ascii="Palatino Linotype" w:hAnsi="Palatino Linotype"/>
                <w:sz w:val="22"/>
                <w:szCs w:val="22"/>
              </w:rPr>
              <w:t>Residential Solar and Storage Equity</w:t>
            </w:r>
          </w:p>
        </w:tc>
        <w:tc>
          <w:tcPr>
            <w:tcW w:w="3150" w:type="dxa"/>
          </w:tcPr>
          <w:p w:rsidRPr="001F791F" w:rsidR="007956CD" w:rsidRDefault="007956CD" w14:paraId="13C8DD92" w14:textId="4FAE1E32">
            <w:pPr>
              <w:rPr>
                <w:rFonts w:ascii="Palatino Linotype" w:hAnsi="Palatino Linotype"/>
                <w:sz w:val="22"/>
                <w:szCs w:val="22"/>
              </w:rPr>
            </w:pPr>
            <w:r w:rsidRPr="001F791F">
              <w:rPr>
                <w:rFonts w:ascii="Palatino Linotype" w:hAnsi="Palatino Linotype"/>
                <w:sz w:val="22"/>
                <w:szCs w:val="22"/>
              </w:rPr>
              <w:t xml:space="preserve">State </w:t>
            </w:r>
            <w:r w:rsidRPr="001F791F" w:rsidR="004529DE">
              <w:rPr>
                <w:rFonts w:ascii="Palatino Linotype" w:hAnsi="Palatino Linotype"/>
                <w:sz w:val="22"/>
                <w:szCs w:val="22"/>
              </w:rPr>
              <w:t>Budget</w:t>
            </w:r>
            <w:r w:rsidRPr="001F791F">
              <w:rPr>
                <w:rFonts w:ascii="Palatino Linotype" w:hAnsi="Palatino Linotype"/>
                <w:sz w:val="22"/>
                <w:szCs w:val="22"/>
              </w:rPr>
              <w:t xml:space="preserve"> ($280 million for solar and storage)</w:t>
            </w:r>
            <w:r w:rsidRPr="001F791F">
              <w:rPr>
                <w:rFonts w:ascii="Palatino Linotype" w:hAnsi="Palatino Linotype"/>
                <w:sz w:val="22"/>
                <w:szCs w:val="22"/>
              </w:rPr>
              <w:br/>
            </w:r>
          </w:p>
        </w:tc>
        <w:tc>
          <w:tcPr>
            <w:tcW w:w="3235" w:type="dxa"/>
          </w:tcPr>
          <w:p w:rsidR="00861F94" w:rsidRDefault="007956CD" w14:paraId="306BC527" w14:textId="77777777">
            <w:pPr>
              <w:rPr>
                <w:rFonts w:ascii="Palatino Linotype" w:hAnsi="Palatino Linotype"/>
                <w:sz w:val="22"/>
                <w:szCs w:val="22"/>
              </w:rPr>
            </w:pPr>
            <w:r w:rsidRPr="001F791F">
              <w:rPr>
                <w:rFonts w:ascii="Palatino Linotype" w:hAnsi="Palatino Linotype"/>
                <w:sz w:val="22"/>
                <w:szCs w:val="22"/>
              </w:rPr>
              <w:t xml:space="preserve">State </w:t>
            </w:r>
            <w:r w:rsidR="00861F94">
              <w:rPr>
                <w:rFonts w:ascii="Palatino Linotype" w:hAnsi="Palatino Linotype"/>
                <w:sz w:val="22"/>
                <w:szCs w:val="22"/>
              </w:rPr>
              <w:t>E</w:t>
            </w:r>
            <w:r w:rsidRPr="001F791F">
              <w:rPr>
                <w:rFonts w:ascii="Palatino Linotype" w:hAnsi="Palatino Linotype"/>
                <w:sz w:val="22"/>
                <w:szCs w:val="22"/>
              </w:rPr>
              <w:t xml:space="preserve">nergy </w:t>
            </w:r>
            <w:r w:rsidR="00861F94">
              <w:rPr>
                <w:rFonts w:ascii="Palatino Linotype" w:hAnsi="Palatino Linotype"/>
                <w:sz w:val="22"/>
                <w:szCs w:val="22"/>
              </w:rPr>
              <w:t>E</w:t>
            </w:r>
            <w:r w:rsidRPr="001F791F">
              <w:rPr>
                <w:rFonts w:ascii="Palatino Linotype" w:hAnsi="Palatino Linotype"/>
                <w:sz w:val="22"/>
                <w:szCs w:val="22"/>
              </w:rPr>
              <w:t xml:space="preserve">fficiency </w:t>
            </w:r>
            <w:r w:rsidR="00861F94">
              <w:rPr>
                <w:rFonts w:ascii="Palatino Linotype" w:hAnsi="Palatino Linotype"/>
                <w:sz w:val="22"/>
                <w:szCs w:val="22"/>
              </w:rPr>
              <w:t>I</w:t>
            </w:r>
            <w:r w:rsidRPr="001F791F">
              <w:rPr>
                <w:rFonts w:ascii="Palatino Linotype" w:hAnsi="Palatino Linotype"/>
                <w:sz w:val="22"/>
                <w:szCs w:val="22"/>
              </w:rPr>
              <w:t>ncentive</w:t>
            </w:r>
          </w:p>
          <w:p w:rsidRPr="001F791F" w:rsidR="007956CD" w:rsidRDefault="007956CD" w14:paraId="1BE8E96E" w14:textId="4832AB50">
            <w:pPr>
              <w:rPr>
                <w:rFonts w:ascii="Palatino Linotype" w:hAnsi="Palatino Linotype"/>
                <w:sz w:val="22"/>
                <w:szCs w:val="22"/>
              </w:rPr>
            </w:pPr>
            <w:r w:rsidRPr="001F791F">
              <w:rPr>
                <w:rFonts w:ascii="Palatino Linotype" w:hAnsi="Palatino Linotype"/>
                <w:sz w:val="22"/>
                <w:szCs w:val="22"/>
              </w:rPr>
              <w:t>Not a rebate</w:t>
            </w:r>
          </w:p>
        </w:tc>
      </w:tr>
      <w:tr w:rsidR="007956CD" w:rsidTr="001C7C84" w14:paraId="41D99D56" w14:textId="77777777">
        <w:tc>
          <w:tcPr>
            <w:tcW w:w="2965" w:type="dxa"/>
            <w:vMerge/>
          </w:tcPr>
          <w:p w:rsidRPr="001F791F" w:rsidR="007956CD" w:rsidRDefault="007956CD" w14:paraId="026CB222" w14:textId="77777777">
            <w:pPr>
              <w:rPr>
                <w:rFonts w:ascii="Palatino Linotype" w:hAnsi="Palatino Linotype"/>
                <w:sz w:val="22"/>
                <w:szCs w:val="22"/>
              </w:rPr>
            </w:pPr>
          </w:p>
        </w:tc>
        <w:tc>
          <w:tcPr>
            <w:tcW w:w="3150" w:type="dxa"/>
          </w:tcPr>
          <w:p w:rsidRPr="001F791F" w:rsidR="007956CD" w:rsidRDefault="007956CD" w14:paraId="1EFA7F6C" w14:textId="0B298162">
            <w:pPr>
              <w:rPr>
                <w:rFonts w:ascii="Palatino Linotype" w:hAnsi="Palatino Linotype"/>
                <w:sz w:val="22"/>
                <w:szCs w:val="22"/>
              </w:rPr>
            </w:pPr>
            <w:r w:rsidRPr="001F791F">
              <w:rPr>
                <w:rFonts w:ascii="Palatino Linotype" w:hAnsi="Palatino Linotype"/>
                <w:sz w:val="22"/>
                <w:szCs w:val="22"/>
              </w:rPr>
              <w:t>Ratepayer</w:t>
            </w:r>
            <w:r w:rsidRPr="001F791F" w:rsidR="008E4A87">
              <w:rPr>
                <w:rFonts w:ascii="Palatino Linotype" w:hAnsi="Palatino Linotype"/>
                <w:sz w:val="22"/>
                <w:szCs w:val="22"/>
              </w:rPr>
              <w:t xml:space="preserve"> Collections</w:t>
            </w:r>
            <w:r w:rsidRPr="001F791F">
              <w:rPr>
                <w:rFonts w:ascii="Palatino Linotype" w:hAnsi="Palatino Linotype"/>
                <w:sz w:val="22"/>
                <w:szCs w:val="22"/>
              </w:rPr>
              <w:t xml:space="preserve"> ($19.5 million for storage only)</w:t>
            </w:r>
            <w:r w:rsidRPr="001F791F">
              <w:rPr>
                <w:rStyle w:val="FootnoteReference"/>
                <w:rFonts w:ascii="Palatino Linotype" w:hAnsi="Palatino Linotype"/>
                <w:sz w:val="22"/>
                <w:szCs w:val="22"/>
              </w:rPr>
              <w:footnoteReference w:id="31"/>
            </w:r>
          </w:p>
        </w:tc>
        <w:tc>
          <w:tcPr>
            <w:tcW w:w="3235" w:type="dxa"/>
          </w:tcPr>
          <w:p w:rsidRPr="001F791F" w:rsidR="007956CD" w:rsidRDefault="007956CD" w14:paraId="0AF70724" w14:textId="77777777">
            <w:pPr>
              <w:rPr>
                <w:rFonts w:ascii="Palatino Linotype" w:hAnsi="Palatino Linotype"/>
                <w:sz w:val="22"/>
                <w:szCs w:val="22"/>
              </w:rPr>
            </w:pPr>
            <w:r w:rsidRPr="001F791F">
              <w:rPr>
                <w:rFonts w:ascii="Palatino Linotype" w:hAnsi="Palatino Linotype"/>
                <w:sz w:val="22"/>
                <w:szCs w:val="22"/>
              </w:rPr>
              <w:t>Public Utility Subsidy</w:t>
            </w:r>
          </w:p>
        </w:tc>
      </w:tr>
      <w:tr w:rsidR="007956CD" w:rsidTr="001C7C84" w14:paraId="566B2400" w14:textId="77777777">
        <w:tc>
          <w:tcPr>
            <w:tcW w:w="2965" w:type="dxa"/>
          </w:tcPr>
          <w:p w:rsidRPr="001F791F" w:rsidR="007956CD" w:rsidRDefault="007956CD" w14:paraId="5475BAFE" w14:textId="77777777">
            <w:pPr>
              <w:rPr>
                <w:rFonts w:ascii="Palatino Linotype" w:hAnsi="Palatino Linotype"/>
                <w:sz w:val="22"/>
                <w:szCs w:val="22"/>
              </w:rPr>
            </w:pPr>
            <w:r w:rsidRPr="001F791F">
              <w:rPr>
                <w:rFonts w:ascii="Palatino Linotype" w:hAnsi="Palatino Linotype"/>
                <w:sz w:val="22"/>
                <w:szCs w:val="22"/>
              </w:rPr>
              <w:t>Equity Resiliency</w:t>
            </w:r>
          </w:p>
        </w:tc>
        <w:tc>
          <w:tcPr>
            <w:tcW w:w="3150" w:type="dxa"/>
          </w:tcPr>
          <w:p w:rsidRPr="001F791F" w:rsidR="007956CD" w:rsidRDefault="007956CD" w14:paraId="43937871" w14:textId="4A697A26">
            <w:pPr>
              <w:rPr>
                <w:rFonts w:ascii="Palatino Linotype" w:hAnsi="Palatino Linotype"/>
                <w:sz w:val="22"/>
                <w:szCs w:val="22"/>
              </w:rPr>
            </w:pPr>
            <w:r w:rsidRPr="001F791F">
              <w:rPr>
                <w:rFonts w:ascii="Palatino Linotype" w:hAnsi="Palatino Linotype"/>
                <w:sz w:val="22"/>
                <w:szCs w:val="22"/>
              </w:rPr>
              <w:t>Ratepayer</w:t>
            </w:r>
            <w:r w:rsidRPr="001F791F" w:rsidR="008E4A87">
              <w:rPr>
                <w:rFonts w:ascii="Palatino Linotype" w:hAnsi="Palatino Linotype"/>
                <w:sz w:val="22"/>
                <w:szCs w:val="22"/>
              </w:rPr>
              <w:t xml:space="preserve"> Collections</w:t>
            </w:r>
          </w:p>
        </w:tc>
        <w:tc>
          <w:tcPr>
            <w:tcW w:w="3235" w:type="dxa"/>
          </w:tcPr>
          <w:p w:rsidRPr="001F791F" w:rsidR="007956CD" w:rsidRDefault="007956CD" w14:paraId="0B805C8C" w14:textId="77777777">
            <w:pPr>
              <w:rPr>
                <w:rFonts w:ascii="Palatino Linotype" w:hAnsi="Palatino Linotype"/>
                <w:sz w:val="22"/>
                <w:szCs w:val="22"/>
              </w:rPr>
            </w:pPr>
            <w:r w:rsidRPr="001F791F">
              <w:rPr>
                <w:rFonts w:ascii="Palatino Linotype" w:hAnsi="Palatino Linotype"/>
                <w:sz w:val="22"/>
                <w:szCs w:val="22"/>
              </w:rPr>
              <w:t>Public Utility Subsidy</w:t>
            </w:r>
          </w:p>
        </w:tc>
      </w:tr>
      <w:tr w:rsidR="007956CD" w:rsidTr="001C7C84" w14:paraId="2229EF83" w14:textId="77777777">
        <w:tc>
          <w:tcPr>
            <w:tcW w:w="2965" w:type="dxa"/>
          </w:tcPr>
          <w:p w:rsidRPr="001F791F" w:rsidR="007956CD" w:rsidRDefault="007956CD" w14:paraId="6750F63B" w14:textId="77777777">
            <w:pPr>
              <w:rPr>
                <w:rFonts w:ascii="Palatino Linotype" w:hAnsi="Palatino Linotype"/>
                <w:sz w:val="22"/>
                <w:szCs w:val="22"/>
              </w:rPr>
            </w:pPr>
            <w:r w:rsidRPr="001F791F">
              <w:rPr>
                <w:rFonts w:ascii="Palatino Linotype" w:hAnsi="Palatino Linotype"/>
                <w:sz w:val="22"/>
                <w:szCs w:val="22"/>
              </w:rPr>
              <w:t>Small Residential Storage</w:t>
            </w:r>
          </w:p>
        </w:tc>
        <w:tc>
          <w:tcPr>
            <w:tcW w:w="3150" w:type="dxa"/>
          </w:tcPr>
          <w:p w:rsidRPr="001F791F" w:rsidR="007956CD" w:rsidRDefault="007956CD" w14:paraId="2803144B" w14:textId="67FE6BAA">
            <w:pPr>
              <w:rPr>
                <w:rFonts w:ascii="Palatino Linotype" w:hAnsi="Palatino Linotype"/>
                <w:sz w:val="22"/>
                <w:szCs w:val="22"/>
              </w:rPr>
            </w:pPr>
            <w:r w:rsidRPr="001F791F">
              <w:rPr>
                <w:rFonts w:ascii="Palatino Linotype" w:hAnsi="Palatino Linotype"/>
                <w:sz w:val="22"/>
                <w:szCs w:val="22"/>
              </w:rPr>
              <w:t>Ratepayer</w:t>
            </w:r>
            <w:r w:rsidRPr="001F791F" w:rsidR="008E4A87">
              <w:rPr>
                <w:rFonts w:ascii="Palatino Linotype" w:hAnsi="Palatino Linotype"/>
                <w:sz w:val="22"/>
                <w:szCs w:val="22"/>
              </w:rPr>
              <w:t xml:space="preserve"> Collections</w:t>
            </w:r>
          </w:p>
        </w:tc>
        <w:tc>
          <w:tcPr>
            <w:tcW w:w="3235" w:type="dxa"/>
          </w:tcPr>
          <w:p w:rsidRPr="001F791F" w:rsidR="007956CD" w:rsidRDefault="007956CD" w14:paraId="192E5970" w14:textId="77777777">
            <w:pPr>
              <w:rPr>
                <w:rFonts w:ascii="Palatino Linotype" w:hAnsi="Palatino Linotype"/>
                <w:sz w:val="22"/>
                <w:szCs w:val="22"/>
              </w:rPr>
            </w:pPr>
            <w:r w:rsidRPr="001F791F">
              <w:rPr>
                <w:rFonts w:ascii="Palatino Linotype" w:hAnsi="Palatino Linotype"/>
                <w:sz w:val="22"/>
                <w:szCs w:val="22"/>
              </w:rPr>
              <w:t>Public Utility Subsidy</w:t>
            </w:r>
          </w:p>
        </w:tc>
      </w:tr>
      <w:tr w:rsidR="007956CD" w:rsidTr="001C7C84" w14:paraId="5A97BE12" w14:textId="77777777">
        <w:tc>
          <w:tcPr>
            <w:tcW w:w="2965" w:type="dxa"/>
          </w:tcPr>
          <w:p w:rsidRPr="001F791F" w:rsidR="007956CD" w:rsidRDefault="007956CD" w14:paraId="250F32EE" w14:textId="77777777">
            <w:pPr>
              <w:rPr>
                <w:rFonts w:ascii="Palatino Linotype" w:hAnsi="Palatino Linotype"/>
                <w:sz w:val="22"/>
                <w:szCs w:val="22"/>
              </w:rPr>
            </w:pPr>
            <w:r w:rsidRPr="001F791F">
              <w:rPr>
                <w:rFonts w:ascii="Palatino Linotype" w:hAnsi="Palatino Linotype"/>
                <w:sz w:val="22"/>
                <w:szCs w:val="22"/>
              </w:rPr>
              <w:t>San Joaquin Valley Residential</w:t>
            </w:r>
          </w:p>
        </w:tc>
        <w:tc>
          <w:tcPr>
            <w:tcW w:w="3150" w:type="dxa"/>
          </w:tcPr>
          <w:p w:rsidRPr="001F791F" w:rsidR="007956CD" w:rsidRDefault="007956CD" w14:paraId="532199EB" w14:textId="11CCC93E">
            <w:pPr>
              <w:rPr>
                <w:rFonts w:ascii="Palatino Linotype" w:hAnsi="Palatino Linotype"/>
                <w:sz w:val="22"/>
                <w:szCs w:val="22"/>
              </w:rPr>
            </w:pPr>
            <w:r w:rsidRPr="001F791F">
              <w:rPr>
                <w:rFonts w:ascii="Palatino Linotype" w:hAnsi="Palatino Linotype"/>
                <w:sz w:val="22"/>
                <w:szCs w:val="22"/>
              </w:rPr>
              <w:t>Ratepayer</w:t>
            </w:r>
            <w:r w:rsidRPr="001F791F" w:rsidR="008E4A87">
              <w:rPr>
                <w:rFonts w:ascii="Palatino Linotype" w:hAnsi="Palatino Linotype"/>
                <w:sz w:val="22"/>
                <w:szCs w:val="22"/>
              </w:rPr>
              <w:t xml:space="preserve"> Collections</w:t>
            </w:r>
          </w:p>
        </w:tc>
        <w:tc>
          <w:tcPr>
            <w:tcW w:w="3235" w:type="dxa"/>
          </w:tcPr>
          <w:p w:rsidRPr="001F791F" w:rsidR="007956CD" w:rsidRDefault="007956CD" w14:paraId="4B1AB4D2" w14:textId="77777777">
            <w:pPr>
              <w:rPr>
                <w:rFonts w:ascii="Palatino Linotype" w:hAnsi="Palatino Linotype"/>
                <w:sz w:val="22"/>
                <w:szCs w:val="22"/>
              </w:rPr>
            </w:pPr>
            <w:r w:rsidRPr="001F791F">
              <w:rPr>
                <w:rFonts w:ascii="Palatino Linotype" w:hAnsi="Palatino Linotype"/>
                <w:sz w:val="22"/>
                <w:szCs w:val="22"/>
              </w:rPr>
              <w:t>Public Utility Subsidy</w:t>
            </w:r>
          </w:p>
        </w:tc>
      </w:tr>
      <w:tr w:rsidR="007956CD" w:rsidTr="001C7C84" w14:paraId="4BB073C1" w14:textId="77777777">
        <w:tc>
          <w:tcPr>
            <w:tcW w:w="2965" w:type="dxa"/>
          </w:tcPr>
          <w:p w:rsidRPr="001F791F" w:rsidR="007956CD" w:rsidRDefault="007956CD" w14:paraId="0A6393F5" w14:textId="77777777">
            <w:pPr>
              <w:rPr>
                <w:rFonts w:ascii="Palatino Linotype" w:hAnsi="Palatino Linotype"/>
                <w:sz w:val="22"/>
                <w:szCs w:val="22"/>
              </w:rPr>
            </w:pPr>
            <w:r w:rsidRPr="001F791F">
              <w:rPr>
                <w:rFonts w:ascii="Palatino Linotype" w:hAnsi="Palatino Linotype"/>
                <w:sz w:val="22"/>
                <w:szCs w:val="22"/>
              </w:rPr>
              <w:t>San Joaquin Valley Non-Residential</w:t>
            </w:r>
          </w:p>
        </w:tc>
        <w:tc>
          <w:tcPr>
            <w:tcW w:w="3150" w:type="dxa"/>
          </w:tcPr>
          <w:p w:rsidRPr="001F791F" w:rsidR="007956CD" w:rsidRDefault="007956CD" w14:paraId="292FC232" w14:textId="31EFBF33">
            <w:pPr>
              <w:rPr>
                <w:rFonts w:ascii="Palatino Linotype" w:hAnsi="Palatino Linotype"/>
                <w:sz w:val="22"/>
                <w:szCs w:val="22"/>
              </w:rPr>
            </w:pPr>
            <w:r w:rsidRPr="001F791F">
              <w:rPr>
                <w:rFonts w:ascii="Palatino Linotype" w:hAnsi="Palatino Linotype"/>
                <w:sz w:val="22"/>
                <w:szCs w:val="22"/>
              </w:rPr>
              <w:t>Ratepayer</w:t>
            </w:r>
            <w:r w:rsidRPr="001F791F" w:rsidR="008E4A87">
              <w:rPr>
                <w:rFonts w:ascii="Palatino Linotype" w:hAnsi="Palatino Linotype"/>
                <w:sz w:val="22"/>
                <w:szCs w:val="22"/>
              </w:rPr>
              <w:t xml:space="preserve"> Collections</w:t>
            </w:r>
          </w:p>
        </w:tc>
        <w:tc>
          <w:tcPr>
            <w:tcW w:w="3235" w:type="dxa"/>
          </w:tcPr>
          <w:p w:rsidRPr="001F791F" w:rsidR="007956CD" w:rsidRDefault="007956CD" w14:paraId="2839C7BD" w14:textId="77777777">
            <w:pPr>
              <w:rPr>
                <w:rFonts w:ascii="Palatino Linotype" w:hAnsi="Palatino Linotype"/>
                <w:sz w:val="22"/>
                <w:szCs w:val="22"/>
              </w:rPr>
            </w:pPr>
            <w:r w:rsidRPr="001F791F">
              <w:rPr>
                <w:rFonts w:ascii="Palatino Linotype" w:hAnsi="Palatino Linotype"/>
                <w:sz w:val="22"/>
                <w:szCs w:val="22"/>
              </w:rPr>
              <w:t>Not Applicable</w:t>
            </w:r>
          </w:p>
        </w:tc>
      </w:tr>
      <w:tr w:rsidRPr="001F791F" w:rsidR="00486CB8" w:rsidTr="001C7C84" w14:paraId="1D49ED46" w14:textId="77777777">
        <w:tc>
          <w:tcPr>
            <w:tcW w:w="2965" w:type="dxa"/>
          </w:tcPr>
          <w:p w:rsidRPr="001F791F" w:rsidR="00486CB8" w:rsidRDefault="00486CB8" w14:paraId="05DB5120" w14:textId="77777777">
            <w:pPr>
              <w:rPr>
                <w:rFonts w:ascii="Palatino Linotype" w:hAnsi="Palatino Linotype"/>
                <w:sz w:val="22"/>
                <w:szCs w:val="22"/>
              </w:rPr>
            </w:pPr>
            <w:r w:rsidRPr="001F791F">
              <w:rPr>
                <w:rFonts w:ascii="Palatino Linotype" w:hAnsi="Palatino Linotype"/>
                <w:sz w:val="22"/>
                <w:szCs w:val="22"/>
              </w:rPr>
              <w:t>Non-Residential Storage Equity</w:t>
            </w:r>
          </w:p>
        </w:tc>
        <w:tc>
          <w:tcPr>
            <w:tcW w:w="3150" w:type="dxa"/>
          </w:tcPr>
          <w:p w:rsidRPr="001F791F" w:rsidR="00486CB8" w:rsidRDefault="00486CB8" w14:paraId="49C3E6A1" w14:textId="77777777">
            <w:pPr>
              <w:rPr>
                <w:rFonts w:ascii="Palatino Linotype" w:hAnsi="Palatino Linotype"/>
                <w:sz w:val="22"/>
                <w:szCs w:val="22"/>
              </w:rPr>
            </w:pPr>
            <w:r w:rsidRPr="001F791F">
              <w:rPr>
                <w:rFonts w:ascii="Palatino Linotype" w:hAnsi="Palatino Linotype"/>
                <w:sz w:val="22"/>
                <w:szCs w:val="22"/>
              </w:rPr>
              <w:t>Ratepayer Collections</w:t>
            </w:r>
          </w:p>
        </w:tc>
        <w:tc>
          <w:tcPr>
            <w:tcW w:w="3235" w:type="dxa"/>
          </w:tcPr>
          <w:p w:rsidRPr="001F791F" w:rsidR="00486CB8" w:rsidRDefault="00486CB8" w14:paraId="7B739C8E" w14:textId="77777777">
            <w:pPr>
              <w:rPr>
                <w:rFonts w:ascii="Palatino Linotype" w:hAnsi="Palatino Linotype"/>
                <w:sz w:val="22"/>
                <w:szCs w:val="22"/>
              </w:rPr>
            </w:pPr>
            <w:r w:rsidRPr="001F791F">
              <w:rPr>
                <w:rFonts w:ascii="Palatino Linotype" w:hAnsi="Palatino Linotype"/>
                <w:sz w:val="22"/>
                <w:szCs w:val="22"/>
              </w:rPr>
              <w:t>Not Applicable</w:t>
            </w:r>
          </w:p>
        </w:tc>
      </w:tr>
      <w:tr w:rsidRPr="001F791F" w:rsidR="001C7C84" w:rsidTr="001C7C84" w14:paraId="4B90F393" w14:textId="77777777">
        <w:tc>
          <w:tcPr>
            <w:tcW w:w="2965" w:type="dxa"/>
          </w:tcPr>
          <w:p w:rsidRPr="001F791F" w:rsidR="001C7C84" w:rsidRDefault="001C7C84" w14:paraId="0FD75390" w14:textId="77777777">
            <w:pPr>
              <w:rPr>
                <w:rFonts w:ascii="Palatino Linotype" w:hAnsi="Palatino Linotype"/>
                <w:sz w:val="22"/>
                <w:szCs w:val="22"/>
              </w:rPr>
            </w:pPr>
            <w:r w:rsidRPr="001F791F">
              <w:rPr>
                <w:rFonts w:ascii="Palatino Linotype" w:hAnsi="Palatino Linotype"/>
                <w:sz w:val="22"/>
                <w:szCs w:val="22"/>
              </w:rPr>
              <w:t>Large-Scale Storage</w:t>
            </w:r>
          </w:p>
        </w:tc>
        <w:tc>
          <w:tcPr>
            <w:tcW w:w="3150" w:type="dxa"/>
          </w:tcPr>
          <w:p w:rsidRPr="001F791F" w:rsidR="001C7C84" w:rsidRDefault="001C7C84" w14:paraId="52AD7C6D" w14:textId="77777777">
            <w:pPr>
              <w:rPr>
                <w:rFonts w:ascii="Palatino Linotype" w:hAnsi="Palatino Linotype"/>
                <w:sz w:val="22"/>
                <w:szCs w:val="22"/>
              </w:rPr>
            </w:pPr>
            <w:r w:rsidRPr="001F791F">
              <w:rPr>
                <w:rFonts w:ascii="Palatino Linotype" w:hAnsi="Palatino Linotype"/>
                <w:sz w:val="22"/>
                <w:szCs w:val="22"/>
              </w:rPr>
              <w:t>Ratepayer Collections</w:t>
            </w:r>
          </w:p>
        </w:tc>
        <w:tc>
          <w:tcPr>
            <w:tcW w:w="3235" w:type="dxa"/>
          </w:tcPr>
          <w:p w:rsidRPr="001F791F" w:rsidR="001C7C84" w:rsidRDefault="001C7C84" w14:paraId="648B3584" w14:textId="48CCC892">
            <w:pPr>
              <w:rPr>
                <w:rFonts w:ascii="Palatino Linotype" w:hAnsi="Palatino Linotype"/>
                <w:sz w:val="22"/>
                <w:szCs w:val="22"/>
              </w:rPr>
            </w:pPr>
            <w:r>
              <w:rPr>
                <w:rFonts w:ascii="Palatino Linotype" w:hAnsi="Palatino Linotype"/>
                <w:sz w:val="22"/>
                <w:szCs w:val="22"/>
              </w:rPr>
              <w:t>Not Applicable</w:t>
            </w:r>
          </w:p>
        </w:tc>
      </w:tr>
      <w:tr w:rsidR="007956CD" w:rsidTr="001C7C84" w14:paraId="50104DBF" w14:textId="77777777">
        <w:tc>
          <w:tcPr>
            <w:tcW w:w="2965" w:type="dxa"/>
          </w:tcPr>
          <w:p w:rsidRPr="001F791F" w:rsidR="007956CD" w:rsidRDefault="007956CD" w14:paraId="4B5581A3" w14:textId="77777777">
            <w:pPr>
              <w:rPr>
                <w:rFonts w:ascii="Palatino Linotype" w:hAnsi="Palatino Linotype"/>
                <w:sz w:val="22"/>
                <w:szCs w:val="22"/>
              </w:rPr>
            </w:pPr>
            <w:r w:rsidRPr="001F791F">
              <w:rPr>
                <w:rFonts w:ascii="Palatino Linotype" w:hAnsi="Palatino Linotype"/>
                <w:sz w:val="22"/>
                <w:szCs w:val="22"/>
              </w:rPr>
              <w:t>Generation</w:t>
            </w:r>
          </w:p>
        </w:tc>
        <w:tc>
          <w:tcPr>
            <w:tcW w:w="3150" w:type="dxa"/>
          </w:tcPr>
          <w:p w:rsidRPr="001F791F" w:rsidR="007956CD" w:rsidRDefault="007956CD" w14:paraId="2A5B31D8" w14:textId="2F2A5433">
            <w:pPr>
              <w:rPr>
                <w:rFonts w:ascii="Palatino Linotype" w:hAnsi="Palatino Linotype"/>
                <w:sz w:val="22"/>
                <w:szCs w:val="22"/>
              </w:rPr>
            </w:pPr>
            <w:r w:rsidRPr="001F791F">
              <w:rPr>
                <w:rFonts w:ascii="Palatino Linotype" w:hAnsi="Palatino Linotype"/>
                <w:sz w:val="22"/>
                <w:szCs w:val="22"/>
              </w:rPr>
              <w:t>Ratepayer</w:t>
            </w:r>
            <w:r w:rsidRPr="001F791F" w:rsidR="008E4A87">
              <w:rPr>
                <w:rFonts w:ascii="Palatino Linotype" w:hAnsi="Palatino Linotype"/>
                <w:sz w:val="22"/>
                <w:szCs w:val="22"/>
              </w:rPr>
              <w:t xml:space="preserve"> Collections</w:t>
            </w:r>
          </w:p>
        </w:tc>
        <w:tc>
          <w:tcPr>
            <w:tcW w:w="3235" w:type="dxa"/>
          </w:tcPr>
          <w:p w:rsidRPr="001F791F" w:rsidR="007956CD" w:rsidRDefault="007956CD" w14:paraId="0793E6F7" w14:textId="77777777">
            <w:pPr>
              <w:rPr>
                <w:rFonts w:ascii="Palatino Linotype" w:hAnsi="Palatino Linotype"/>
                <w:sz w:val="22"/>
                <w:szCs w:val="22"/>
              </w:rPr>
            </w:pPr>
            <w:r w:rsidRPr="001F791F">
              <w:rPr>
                <w:rFonts w:ascii="Palatino Linotype" w:hAnsi="Palatino Linotype"/>
                <w:sz w:val="22"/>
                <w:szCs w:val="22"/>
              </w:rPr>
              <w:t>Not Applicable</w:t>
            </w:r>
          </w:p>
        </w:tc>
      </w:tr>
    </w:tbl>
    <w:p w:rsidR="003030CA" w:rsidP="00AF4766" w:rsidRDefault="003030CA" w14:paraId="0D464D8D" w14:textId="77777777">
      <w:pPr>
        <w:spacing w:line="259" w:lineRule="auto"/>
        <w:rPr>
          <w:rFonts w:ascii="Palatino Linotype" w:hAnsi="Palatino Linotype" w:eastAsia="Palatino Linotype"/>
          <w:sz w:val="24"/>
          <w:szCs w:val="24"/>
        </w:rPr>
      </w:pPr>
    </w:p>
    <w:p w:rsidRPr="005079A9" w:rsidR="00961DE1" w:rsidP="00961DE1" w:rsidRDefault="00961DE1" w14:paraId="2F963842" w14:textId="0A018A2F">
      <w:pPr>
        <w:spacing w:line="259" w:lineRule="auto"/>
        <w:rPr>
          <w:rFonts w:ascii="Palatino Linotype" w:hAnsi="Palatino Linotype" w:eastAsia="Palatino Linotype"/>
          <w:b/>
          <w:bCs/>
          <w:sz w:val="24"/>
          <w:szCs w:val="24"/>
        </w:rPr>
      </w:pPr>
      <w:r w:rsidRPr="005079A9">
        <w:rPr>
          <w:rFonts w:ascii="Palatino Linotype" w:hAnsi="Palatino Linotype" w:eastAsia="Palatino Linotype"/>
          <w:b/>
          <w:bCs/>
          <w:sz w:val="24"/>
          <w:szCs w:val="24"/>
        </w:rPr>
        <w:t xml:space="preserve">SGIP Treatment of IRA Tax Credits for </w:t>
      </w:r>
      <w:r w:rsidR="00AF51A3">
        <w:rPr>
          <w:rFonts w:ascii="Palatino Linotype" w:hAnsi="Palatino Linotype" w:eastAsia="Palatino Linotype"/>
          <w:b/>
          <w:bCs/>
          <w:sz w:val="24"/>
          <w:szCs w:val="24"/>
        </w:rPr>
        <w:t>Non-Residential</w:t>
      </w:r>
      <w:r w:rsidRPr="005079A9">
        <w:rPr>
          <w:rFonts w:ascii="Palatino Linotype" w:hAnsi="Palatino Linotype" w:eastAsia="Palatino Linotype"/>
          <w:b/>
          <w:bCs/>
          <w:sz w:val="24"/>
          <w:szCs w:val="24"/>
        </w:rPr>
        <w:t xml:space="preserve"> </w:t>
      </w:r>
      <w:r>
        <w:rPr>
          <w:rFonts w:ascii="Palatino Linotype" w:hAnsi="Palatino Linotype" w:eastAsia="Palatino Linotype"/>
          <w:b/>
          <w:bCs/>
          <w:sz w:val="24"/>
          <w:szCs w:val="24"/>
        </w:rPr>
        <w:t>Projects and TPO Projects</w:t>
      </w:r>
    </w:p>
    <w:p w:rsidR="00961DE1" w:rsidP="00AF4766" w:rsidRDefault="00961DE1" w14:paraId="2BB36A46" w14:textId="77777777">
      <w:pPr>
        <w:spacing w:line="259" w:lineRule="auto"/>
        <w:rPr>
          <w:rFonts w:ascii="Palatino Linotype" w:hAnsi="Palatino Linotype" w:eastAsia="Palatino Linotype"/>
          <w:sz w:val="24"/>
          <w:szCs w:val="24"/>
        </w:rPr>
      </w:pPr>
    </w:p>
    <w:p w:rsidR="003030CA" w:rsidP="00AF4766" w:rsidRDefault="00CC4BB6" w14:paraId="455376E7" w14:textId="42109963">
      <w:pPr>
        <w:spacing w:line="259" w:lineRule="auto"/>
        <w:rPr>
          <w:rFonts w:ascii="Palatino Linotype" w:hAnsi="Palatino Linotype" w:eastAsia="Palatino Linotype"/>
          <w:sz w:val="24"/>
          <w:szCs w:val="24"/>
        </w:rPr>
      </w:pPr>
      <w:r>
        <w:rPr>
          <w:rFonts w:ascii="Palatino Linotype" w:hAnsi="Palatino Linotype" w:eastAsia="Palatino Linotype"/>
          <w:sz w:val="24"/>
          <w:szCs w:val="24"/>
        </w:rPr>
        <w:t>The IRS guidance on the</w:t>
      </w:r>
      <w:r w:rsidR="00023075">
        <w:rPr>
          <w:rFonts w:ascii="Palatino Linotype" w:hAnsi="Palatino Linotype" w:eastAsia="Palatino Linotype"/>
          <w:sz w:val="24"/>
          <w:szCs w:val="24"/>
        </w:rPr>
        <w:t xml:space="preserve"> commercial</w:t>
      </w:r>
      <w:r>
        <w:rPr>
          <w:rFonts w:ascii="Palatino Linotype" w:hAnsi="Palatino Linotype" w:eastAsia="Palatino Linotype"/>
          <w:sz w:val="24"/>
          <w:szCs w:val="24"/>
        </w:rPr>
        <w:t xml:space="preserve"> Energy Investment Credit</w:t>
      </w:r>
      <w:r w:rsidR="0006472A">
        <w:rPr>
          <w:rFonts w:ascii="Palatino Linotype" w:hAnsi="Palatino Linotype" w:eastAsia="Palatino Linotype"/>
          <w:sz w:val="24"/>
          <w:szCs w:val="24"/>
        </w:rPr>
        <w:t xml:space="preserve"> categorizes </w:t>
      </w:r>
      <w:r w:rsidR="003030CA">
        <w:rPr>
          <w:rFonts w:ascii="Palatino Linotype" w:hAnsi="Palatino Linotype" w:eastAsia="Palatino Linotype"/>
          <w:sz w:val="24"/>
          <w:szCs w:val="24"/>
        </w:rPr>
        <w:t xml:space="preserve">TPO </w:t>
      </w:r>
      <w:r w:rsidR="00DE6810">
        <w:rPr>
          <w:rFonts w:ascii="Palatino Linotype" w:hAnsi="Palatino Linotype" w:eastAsia="Palatino Linotype"/>
          <w:sz w:val="24"/>
          <w:szCs w:val="24"/>
        </w:rPr>
        <w:t>residential</w:t>
      </w:r>
      <w:r w:rsidR="00542C76">
        <w:rPr>
          <w:rFonts w:ascii="Palatino Linotype" w:hAnsi="Palatino Linotype" w:eastAsia="Palatino Linotype"/>
          <w:sz w:val="24"/>
          <w:szCs w:val="24"/>
        </w:rPr>
        <w:t xml:space="preserve"> and non-residential</w:t>
      </w:r>
      <w:r w:rsidR="00DE6810">
        <w:rPr>
          <w:rFonts w:ascii="Palatino Linotype" w:hAnsi="Palatino Linotype" w:eastAsia="Palatino Linotype"/>
          <w:sz w:val="24"/>
          <w:szCs w:val="24"/>
        </w:rPr>
        <w:t xml:space="preserve"> </w:t>
      </w:r>
      <w:r w:rsidR="003030CA">
        <w:rPr>
          <w:rFonts w:ascii="Palatino Linotype" w:hAnsi="Palatino Linotype" w:eastAsia="Palatino Linotype"/>
          <w:sz w:val="24"/>
          <w:szCs w:val="24"/>
        </w:rPr>
        <w:t xml:space="preserve">SGIP projects funded by either </w:t>
      </w:r>
      <w:r w:rsidR="000826CA">
        <w:rPr>
          <w:rFonts w:ascii="Palatino Linotype" w:hAnsi="Palatino Linotype" w:eastAsia="Palatino Linotype"/>
          <w:sz w:val="24"/>
          <w:szCs w:val="24"/>
        </w:rPr>
        <w:t>state</w:t>
      </w:r>
      <w:r w:rsidR="003030CA">
        <w:rPr>
          <w:rFonts w:ascii="Palatino Linotype" w:hAnsi="Palatino Linotype" w:eastAsia="Palatino Linotype"/>
          <w:sz w:val="24"/>
          <w:szCs w:val="24"/>
        </w:rPr>
        <w:t xml:space="preserve"> funds or ratepayer funds</w:t>
      </w:r>
      <w:r w:rsidR="0006472A">
        <w:rPr>
          <w:rFonts w:ascii="Palatino Linotype" w:hAnsi="Palatino Linotype" w:eastAsia="Palatino Linotype"/>
          <w:sz w:val="24"/>
          <w:szCs w:val="24"/>
        </w:rPr>
        <w:t xml:space="preserve"> as having a basis </w:t>
      </w:r>
      <w:r w:rsidR="00593FB7">
        <w:rPr>
          <w:rFonts w:ascii="Palatino Linotype" w:hAnsi="Palatino Linotype" w:eastAsia="Palatino Linotype"/>
          <w:sz w:val="24"/>
          <w:szCs w:val="24"/>
        </w:rPr>
        <w:t>of</w:t>
      </w:r>
      <w:r w:rsidR="003030CA">
        <w:rPr>
          <w:rFonts w:ascii="Palatino Linotype" w:hAnsi="Palatino Linotype" w:eastAsia="Palatino Linotype"/>
          <w:sz w:val="24"/>
          <w:szCs w:val="24"/>
        </w:rPr>
        <w:t xml:space="preserve"> </w:t>
      </w:r>
      <w:r w:rsidR="001B0C0D">
        <w:rPr>
          <w:rFonts w:ascii="Palatino Linotype" w:hAnsi="Palatino Linotype" w:eastAsia="Palatino Linotype"/>
          <w:sz w:val="24"/>
          <w:szCs w:val="24"/>
        </w:rPr>
        <w:t>total eligible project costs</w:t>
      </w:r>
      <w:r>
        <w:rPr>
          <w:rFonts w:ascii="Palatino Linotype" w:hAnsi="Palatino Linotype" w:eastAsia="Palatino Linotype"/>
          <w:sz w:val="24"/>
          <w:szCs w:val="24"/>
        </w:rPr>
        <w:t xml:space="preserve"> for the system</w:t>
      </w:r>
      <w:r w:rsidR="001B0C0D">
        <w:rPr>
          <w:rFonts w:ascii="Palatino Linotype" w:hAnsi="Palatino Linotype" w:eastAsia="Palatino Linotype"/>
          <w:sz w:val="24"/>
          <w:szCs w:val="24"/>
        </w:rPr>
        <w:t>.</w:t>
      </w:r>
      <w:r w:rsidR="00EA2416">
        <w:rPr>
          <w:rStyle w:val="FootnoteReference"/>
          <w:rFonts w:ascii="Palatino Linotype" w:hAnsi="Palatino Linotype" w:eastAsia="Palatino Linotype"/>
          <w:sz w:val="24"/>
          <w:szCs w:val="24"/>
        </w:rPr>
        <w:footnoteReference w:id="32"/>
      </w:r>
      <w:r w:rsidR="001B0C0D">
        <w:rPr>
          <w:rFonts w:ascii="Palatino Linotype" w:hAnsi="Palatino Linotype" w:eastAsia="Palatino Linotype"/>
          <w:sz w:val="24"/>
          <w:szCs w:val="24"/>
        </w:rPr>
        <w:t xml:space="preserve"> </w:t>
      </w:r>
      <w:r w:rsidR="006D37D0">
        <w:rPr>
          <w:rFonts w:ascii="Palatino Linotype" w:hAnsi="Palatino Linotype" w:eastAsia="Palatino Linotype"/>
          <w:sz w:val="24"/>
          <w:szCs w:val="24"/>
        </w:rPr>
        <w:t xml:space="preserve">Therefore, </w:t>
      </w:r>
      <w:r w:rsidR="00476724">
        <w:rPr>
          <w:rFonts w:ascii="Palatino Linotype" w:hAnsi="Palatino Linotype" w:eastAsia="Palatino Linotype"/>
          <w:sz w:val="24"/>
          <w:szCs w:val="24"/>
        </w:rPr>
        <w:t>TPO residential and all non-res</w:t>
      </w:r>
      <w:r w:rsidR="00AB0862">
        <w:rPr>
          <w:rFonts w:ascii="Palatino Linotype" w:hAnsi="Palatino Linotype" w:eastAsia="Palatino Linotype"/>
          <w:sz w:val="24"/>
          <w:szCs w:val="24"/>
        </w:rPr>
        <w:t>idential</w:t>
      </w:r>
      <w:r w:rsidR="00476724">
        <w:rPr>
          <w:rFonts w:ascii="Palatino Linotype" w:hAnsi="Palatino Linotype" w:eastAsia="Palatino Linotype"/>
          <w:sz w:val="24"/>
          <w:szCs w:val="24"/>
        </w:rPr>
        <w:t xml:space="preserve"> SGIP projects can claim the minimum </w:t>
      </w:r>
      <w:r w:rsidR="00F5483E">
        <w:rPr>
          <w:rFonts w:ascii="Palatino Linotype" w:hAnsi="Palatino Linotype" w:eastAsia="Palatino Linotype"/>
          <w:sz w:val="24"/>
          <w:szCs w:val="24"/>
        </w:rPr>
        <w:t xml:space="preserve">30 percent </w:t>
      </w:r>
      <w:r w:rsidR="003914FA">
        <w:rPr>
          <w:rFonts w:ascii="Palatino Linotype" w:hAnsi="Palatino Linotype" w:eastAsia="Palatino Linotype"/>
          <w:sz w:val="24"/>
          <w:szCs w:val="24"/>
        </w:rPr>
        <w:t xml:space="preserve">tax credit on the full project cost </w:t>
      </w:r>
      <w:r w:rsidR="00C97A8F">
        <w:rPr>
          <w:rFonts w:ascii="Palatino Linotype" w:hAnsi="Palatino Linotype" w:eastAsia="Palatino Linotype"/>
          <w:sz w:val="24"/>
          <w:szCs w:val="24"/>
        </w:rPr>
        <w:t xml:space="preserve">and are eligible for additional bonus credits that can cover up to 70 percent of the full project cost. </w:t>
      </w:r>
    </w:p>
    <w:p w:rsidR="00B962C1" w:rsidP="00AF4766" w:rsidRDefault="00B962C1" w14:paraId="17CE477E" w14:textId="77777777">
      <w:pPr>
        <w:spacing w:line="259" w:lineRule="auto"/>
        <w:rPr>
          <w:rFonts w:ascii="Palatino Linotype" w:hAnsi="Palatino Linotype" w:eastAsia="Palatino Linotype"/>
          <w:sz w:val="24"/>
          <w:szCs w:val="24"/>
        </w:rPr>
      </w:pPr>
    </w:p>
    <w:p w:rsidR="00800FA4" w:rsidP="00371C22" w:rsidRDefault="00800FA4" w14:paraId="29DA8F8A" w14:textId="23B2AFB8">
      <w:pPr>
        <w:keepNext/>
        <w:spacing w:line="259" w:lineRule="auto"/>
        <w:rPr>
          <w:rFonts w:ascii="Palatino Linotype" w:hAnsi="Palatino Linotype" w:eastAsia="Palatino Linotype"/>
          <w:sz w:val="24"/>
          <w:szCs w:val="24"/>
        </w:rPr>
      </w:pPr>
      <w:r w:rsidRPr="007956CD">
        <w:rPr>
          <w:rFonts w:ascii="Palatino Linotype" w:hAnsi="Palatino Linotype" w:eastAsia="Palatino Linotype"/>
          <w:b/>
          <w:bCs/>
          <w:sz w:val="24"/>
          <w:szCs w:val="24"/>
        </w:rPr>
        <w:lastRenderedPageBreak/>
        <w:t xml:space="preserve">SGIP Treatment of IRA Tax Credits </w:t>
      </w:r>
      <w:r>
        <w:rPr>
          <w:rFonts w:ascii="Palatino Linotype" w:hAnsi="Palatino Linotype" w:eastAsia="Palatino Linotype"/>
          <w:b/>
          <w:bCs/>
          <w:sz w:val="24"/>
          <w:szCs w:val="24"/>
        </w:rPr>
        <w:t>by Project Type</w:t>
      </w:r>
    </w:p>
    <w:p w:rsidR="00800FA4" w:rsidP="00371C22" w:rsidRDefault="00800FA4" w14:paraId="55AF2122" w14:textId="77777777">
      <w:pPr>
        <w:keepNext/>
        <w:spacing w:line="259" w:lineRule="auto"/>
        <w:rPr>
          <w:rFonts w:ascii="Palatino Linotype" w:hAnsi="Palatino Linotype" w:eastAsia="Palatino Linotype"/>
          <w:sz w:val="24"/>
          <w:szCs w:val="24"/>
        </w:rPr>
      </w:pPr>
    </w:p>
    <w:p w:rsidR="00C74343" w:rsidP="00371C22" w:rsidRDefault="00C74343" w14:paraId="3D6E92E6" w14:textId="40C160E6">
      <w:pPr>
        <w:keepNext/>
        <w:spacing w:line="259" w:lineRule="auto"/>
        <w:rPr>
          <w:rFonts w:ascii="Palatino Linotype" w:hAnsi="Palatino Linotype" w:eastAsia="Palatino Linotype"/>
          <w:sz w:val="24"/>
          <w:szCs w:val="24"/>
        </w:rPr>
      </w:pPr>
      <w:r>
        <w:rPr>
          <w:rFonts w:ascii="Palatino Linotype" w:hAnsi="Palatino Linotype" w:eastAsia="Palatino Linotype"/>
          <w:sz w:val="24"/>
          <w:szCs w:val="24"/>
        </w:rPr>
        <w:t xml:space="preserve">Table </w:t>
      </w:r>
      <w:r w:rsidR="003F09A6">
        <w:rPr>
          <w:rFonts w:ascii="Palatino Linotype" w:hAnsi="Palatino Linotype" w:eastAsia="Palatino Linotype"/>
          <w:sz w:val="24"/>
          <w:szCs w:val="24"/>
        </w:rPr>
        <w:t>3</w:t>
      </w:r>
      <w:r>
        <w:rPr>
          <w:rFonts w:ascii="Palatino Linotype" w:hAnsi="Palatino Linotype" w:eastAsia="Palatino Linotype"/>
          <w:sz w:val="24"/>
          <w:szCs w:val="24"/>
        </w:rPr>
        <w:t xml:space="preserve">. SGIP </w:t>
      </w:r>
      <w:r w:rsidR="00EA2458">
        <w:rPr>
          <w:rFonts w:ascii="Palatino Linotype" w:hAnsi="Palatino Linotype" w:eastAsia="Palatino Linotype"/>
          <w:sz w:val="24"/>
          <w:szCs w:val="24"/>
        </w:rPr>
        <w:t xml:space="preserve">Utilization </w:t>
      </w:r>
      <w:r>
        <w:rPr>
          <w:rFonts w:ascii="Palatino Linotype" w:hAnsi="Palatino Linotype" w:eastAsia="Palatino Linotype"/>
          <w:sz w:val="24"/>
          <w:szCs w:val="24"/>
        </w:rPr>
        <w:t>of IRA Tax Credit</w:t>
      </w:r>
    </w:p>
    <w:tbl>
      <w:tblPr>
        <w:tblStyle w:val="TableGrid"/>
        <w:tblW w:w="0" w:type="auto"/>
        <w:tblLook w:val="04A0" w:firstRow="1" w:lastRow="0" w:firstColumn="1" w:lastColumn="0" w:noHBand="0" w:noVBand="1"/>
      </w:tblPr>
      <w:tblGrid>
        <w:gridCol w:w="3295"/>
        <w:gridCol w:w="2797"/>
        <w:gridCol w:w="3258"/>
      </w:tblGrid>
      <w:tr w:rsidR="00285477" w:rsidTr="00CD13C8" w14:paraId="458AB840" w14:textId="77777777">
        <w:tc>
          <w:tcPr>
            <w:tcW w:w="3295" w:type="dxa"/>
          </w:tcPr>
          <w:p w:rsidRPr="001F791F" w:rsidR="00285477" w:rsidP="00371C22" w:rsidRDefault="00285477" w14:paraId="7EAC78E3" w14:textId="35CC55D1">
            <w:pPr>
              <w:keepNext/>
              <w:spacing w:line="259" w:lineRule="auto"/>
              <w:rPr>
                <w:rFonts w:ascii="Palatino Linotype" w:hAnsi="Palatino Linotype" w:eastAsia="Palatino Linotype"/>
                <w:b/>
                <w:sz w:val="22"/>
                <w:szCs w:val="22"/>
              </w:rPr>
            </w:pPr>
            <w:r w:rsidRPr="001F791F">
              <w:rPr>
                <w:rFonts w:ascii="Palatino Linotype" w:hAnsi="Palatino Linotype" w:eastAsia="Palatino Linotype"/>
                <w:b/>
                <w:sz w:val="22"/>
                <w:szCs w:val="22"/>
              </w:rPr>
              <w:t>Project Type</w:t>
            </w:r>
          </w:p>
        </w:tc>
        <w:tc>
          <w:tcPr>
            <w:tcW w:w="2797" w:type="dxa"/>
          </w:tcPr>
          <w:p w:rsidRPr="001F791F" w:rsidR="00285477" w:rsidP="00371C22" w:rsidRDefault="00285477" w14:paraId="08A08583" w14:textId="18B56E79">
            <w:pPr>
              <w:keepNext/>
              <w:spacing w:line="259" w:lineRule="auto"/>
              <w:rPr>
                <w:rFonts w:ascii="Palatino Linotype" w:hAnsi="Palatino Linotype" w:eastAsia="Palatino Linotype"/>
                <w:b/>
                <w:sz w:val="22"/>
                <w:szCs w:val="22"/>
              </w:rPr>
            </w:pPr>
            <w:r w:rsidRPr="001F791F">
              <w:rPr>
                <w:rFonts w:ascii="Palatino Linotype" w:hAnsi="Palatino Linotype" w:eastAsia="Palatino Linotype"/>
                <w:b/>
                <w:sz w:val="22"/>
                <w:szCs w:val="22"/>
              </w:rPr>
              <w:t>Funding Source</w:t>
            </w:r>
          </w:p>
        </w:tc>
        <w:tc>
          <w:tcPr>
            <w:tcW w:w="3258" w:type="dxa"/>
          </w:tcPr>
          <w:p w:rsidRPr="001F791F" w:rsidR="00285477" w:rsidP="00371C22" w:rsidRDefault="00285477" w14:paraId="39A68D62" w14:textId="3631853B">
            <w:pPr>
              <w:keepNext/>
              <w:spacing w:line="259" w:lineRule="auto"/>
              <w:rPr>
                <w:rFonts w:ascii="Palatino Linotype" w:hAnsi="Palatino Linotype" w:eastAsia="Palatino Linotype"/>
                <w:b/>
                <w:sz w:val="22"/>
                <w:szCs w:val="22"/>
              </w:rPr>
            </w:pPr>
            <w:r w:rsidRPr="001F791F">
              <w:rPr>
                <w:rFonts w:ascii="Palatino Linotype" w:hAnsi="Palatino Linotype" w:eastAsia="Palatino Linotype"/>
                <w:b/>
                <w:sz w:val="22"/>
                <w:szCs w:val="22"/>
              </w:rPr>
              <w:t xml:space="preserve">SGIP IRA Tax Credit </w:t>
            </w:r>
            <w:r w:rsidRPr="001F791F" w:rsidR="00EA2458">
              <w:rPr>
                <w:rFonts w:ascii="Palatino Linotype" w:hAnsi="Palatino Linotype" w:eastAsia="Palatino Linotype"/>
                <w:b/>
                <w:sz w:val="22"/>
                <w:szCs w:val="22"/>
              </w:rPr>
              <w:t>Utilization</w:t>
            </w:r>
          </w:p>
        </w:tc>
      </w:tr>
      <w:tr w:rsidR="00285477" w:rsidTr="00CD13C8" w14:paraId="6863B44E" w14:textId="77777777">
        <w:tc>
          <w:tcPr>
            <w:tcW w:w="3295" w:type="dxa"/>
          </w:tcPr>
          <w:p w:rsidRPr="001F791F" w:rsidR="00285477" w:rsidP="00371C22" w:rsidRDefault="00285477" w14:paraId="75CB4C4F" w14:textId="0ED172C9">
            <w:pPr>
              <w:keepNext/>
              <w:spacing w:line="259" w:lineRule="auto"/>
              <w:rPr>
                <w:rFonts w:ascii="Palatino Linotype" w:hAnsi="Palatino Linotype" w:eastAsia="Palatino Linotype"/>
                <w:sz w:val="22"/>
                <w:szCs w:val="22"/>
              </w:rPr>
            </w:pPr>
            <w:r w:rsidRPr="001F791F">
              <w:rPr>
                <w:rFonts w:ascii="Palatino Linotype" w:hAnsi="Palatino Linotype" w:eastAsia="Palatino Linotype"/>
                <w:sz w:val="22"/>
                <w:szCs w:val="22"/>
              </w:rPr>
              <w:t>Residential</w:t>
            </w:r>
            <w:r w:rsidRPr="001F791F" w:rsidR="00C74343">
              <w:rPr>
                <w:rFonts w:ascii="Palatino Linotype" w:hAnsi="Palatino Linotype" w:eastAsia="Palatino Linotype"/>
                <w:sz w:val="22"/>
                <w:szCs w:val="22"/>
              </w:rPr>
              <w:t xml:space="preserve"> single family</w:t>
            </w:r>
            <w:r w:rsidRPr="001F791F">
              <w:rPr>
                <w:rFonts w:ascii="Palatino Linotype" w:hAnsi="Palatino Linotype" w:eastAsia="Palatino Linotype"/>
                <w:sz w:val="22"/>
                <w:szCs w:val="22"/>
              </w:rPr>
              <w:t xml:space="preserve"> host customer owned</w:t>
            </w:r>
          </w:p>
        </w:tc>
        <w:tc>
          <w:tcPr>
            <w:tcW w:w="2797" w:type="dxa"/>
          </w:tcPr>
          <w:p w:rsidRPr="001F791F" w:rsidR="00285477" w:rsidP="00371C22" w:rsidRDefault="00285477" w14:paraId="1A3EB69E" w14:textId="1A3B5101">
            <w:pPr>
              <w:keepNext/>
              <w:spacing w:line="259" w:lineRule="auto"/>
              <w:rPr>
                <w:rFonts w:ascii="Palatino Linotype" w:hAnsi="Palatino Linotype" w:eastAsia="Palatino Linotype"/>
                <w:sz w:val="22"/>
                <w:szCs w:val="22"/>
              </w:rPr>
            </w:pPr>
            <w:r w:rsidRPr="001F791F">
              <w:rPr>
                <w:rFonts w:ascii="Palatino Linotype" w:hAnsi="Palatino Linotype" w:eastAsia="Palatino Linotype"/>
                <w:sz w:val="22"/>
                <w:szCs w:val="22"/>
              </w:rPr>
              <w:t>Ratepayer</w:t>
            </w:r>
            <w:r w:rsidRPr="001F791F" w:rsidR="00EC5845">
              <w:rPr>
                <w:rFonts w:ascii="Palatino Linotype" w:hAnsi="Palatino Linotype" w:eastAsia="Palatino Linotype"/>
                <w:sz w:val="22"/>
                <w:szCs w:val="22"/>
              </w:rPr>
              <w:t xml:space="preserve"> Collections</w:t>
            </w:r>
          </w:p>
        </w:tc>
        <w:tc>
          <w:tcPr>
            <w:tcW w:w="3258" w:type="dxa"/>
          </w:tcPr>
          <w:p w:rsidRPr="001F791F" w:rsidR="00285477" w:rsidP="00371C22" w:rsidRDefault="00285477" w14:paraId="133B6378" w14:textId="06F306FC">
            <w:pPr>
              <w:keepNext/>
              <w:spacing w:line="259" w:lineRule="auto"/>
              <w:rPr>
                <w:rFonts w:ascii="Palatino Linotype" w:hAnsi="Palatino Linotype" w:eastAsia="Palatino Linotype"/>
                <w:sz w:val="22"/>
                <w:szCs w:val="22"/>
              </w:rPr>
            </w:pPr>
            <w:r w:rsidRPr="001F791F">
              <w:rPr>
                <w:rFonts w:ascii="Palatino Linotype" w:hAnsi="Palatino Linotype" w:eastAsia="Palatino Linotype"/>
                <w:sz w:val="22"/>
                <w:szCs w:val="22"/>
              </w:rPr>
              <w:t xml:space="preserve">Applicant </w:t>
            </w:r>
            <w:r w:rsidRPr="001F791F" w:rsidR="00FC5897">
              <w:rPr>
                <w:rFonts w:ascii="Palatino Linotype" w:hAnsi="Palatino Linotype" w:eastAsia="Palatino Linotype"/>
                <w:sz w:val="22"/>
                <w:szCs w:val="22"/>
              </w:rPr>
              <w:t xml:space="preserve">submits </w:t>
            </w:r>
            <w:r w:rsidRPr="001F791F" w:rsidR="0049613A">
              <w:rPr>
                <w:rFonts w:ascii="Palatino Linotype" w:hAnsi="Palatino Linotype" w:eastAsia="Palatino Linotype"/>
                <w:sz w:val="22"/>
                <w:szCs w:val="22"/>
              </w:rPr>
              <w:t xml:space="preserve">0 to 30 </w:t>
            </w:r>
            <w:r w:rsidRPr="001F791F" w:rsidR="00FC5897">
              <w:rPr>
                <w:rFonts w:ascii="Palatino Linotype" w:hAnsi="Palatino Linotype" w:eastAsia="Palatino Linotype"/>
                <w:sz w:val="22"/>
                <w:szCs w:val="22"/>
              </w:rPr>
              <w:t>percent of IRA tax credit being claimed</w:t>
            </w:r>
          </w:p>
        </w:tc>
      </w:tr>
      <w:tr w:rsidR="00285477" w:rsidTr="00CD13C8" w14:paraId="6557107A" w14:textId="77777777">
        <w:tc>
          <w:tcPr>
            <w:tcW w:w="3295" w:type="dxa"/>
          </w:tcPr>
          <w:p w:rsidRPr="001F791F" w:rsidR="00285477" w:rsidP="00AF4766" w:rsidRDefault="00FC5897" w14:paraId="5408F9A3" w14:textId="0B892E9D">
            <w:pPr>
              <w:spacing w:line="259" w:lineRule="auto"/>
              <w:rPr>
                <w:rFonts w:ascii="Palatino Linotype" w:hAnsi="Palatino Linotype" w:eastAsia="Palatino Linotype"/>
                <w:sz w:val="22"/>
                <w:szCs w:val="22"/>
              </w:rPr>
            </w:pPr>
            <w:r w:rsidRPr="001F791F">
              <w:rPr>
                <w:rFonts w:ascii="Palatino Linotype" w:hAnsi="Palatino Linotype" w:eastAsia="Palatino Linotype"/>
                <w:sz w:val="22"/>
                <w:szCs w:val="22"/>
              </w:rPr>
              <w:t xml:space="preserve">Residential </w:t>
            </w:r>
            <w:r w:rsidRPr="001F791F" w:rsidR="00C74343">
              <w:rPr>
                <w:rFonts w:ascii="Palatino Linotype" w:hAnsi="Palatino Linotype" w:eastAsia="Palatino Linotype"/>
                <w:sz w:val="22"/>
                <w:szCs w:val="22"/>
              </w:rPr>
              <w:t xml:space="preserve">single family </w:t>
            </w:r>
            <w:r w:rsidRPr="001F791F">
              <w:rPr>
                <w:rFonts w:ascii="Palatino Linotype" w:hAnsi="Palatino Linotype" w:eastAsia="Palatino Linotype"/>
                <w:sz w:val="22"/>
                <w:szCs w:val="22"/>
              </w:rPr>
              <w:t>host customer owned</w:t>
            </w:r>
          </w:p>
        </w:tc>
        <w:tc>
          <w:tcPr>
            <w:tcW w:w="2797" w:type="dxa"/>
          </w:tcPr>
          <w:p w:rsidRPr="001F791F" w:rsidR="00285477" w:rsidP="00AF4766" w:rsidRDefault="00FC5897" w14:paraId="5860521A" w14:textId="104C94E3">
            <w:pPr>
              <w:spacing w:line="259" w:lineRule="auto"/>
              <w:rPr>
                <w:rFonts w:ascii="Palatino Linotype" w:hAnsi="Palatino Linotype" w:eastAsia="Palatino Linotype"/>
                <w:sz w:val="22"/>
                <w:szCs w:val="22"/>
              </w:rPr>
            </w:pPr>
            <w:r w:rsidRPr="001F791F">
              <w:rPr>
                <w:rFonts w:ascii="Palatino Linotype" w:hAnsi="Palatino Linotype" w:eastAsia="Palatino Linotype"/>
                <w:sz w:val="22"/>
                <w:szCs w:val="22"/>
              </w:rPr>
              <w:t xml:space="preserve">State </w:t>
            </w:r>
            <w:r w:rsidRPr="001F791F" w:rsidR="00EC5845">
              <w:rPr>
                <w:rFonts w:ascii="Palatino Linotype" w:hAnsi="Palatino Linotype" w:eastAsia="Palatino Linotype"/>
                <w:sz w:val="22"/>
                <w:szCs w:val="22"/>
              </w:rPr>
              <w:t>Budget</w:t>
            </w:r>
          </w:p>
        </w:tc>
        <w:tc>
          <w:tcPr>
            <w:tcW w:w="3258" w:type="dxa"/>
          </w:tcPr>
          <w:p w:rsidRPr="001F791F" w:rsidR="00285477" w:rsidP="00AF4766" w:rsidRDefault="009B4F0D" w14:paraId="775DD23B" w14:textId="78A40724">
            <w:pPr>
              <w:spacing w:line="259" w:lineRule="auto"/>
              <w:rPr>
                <w:rFonts w:ascii="Palatino Linotype" w:hAnsi="Palatino Linotype" w:eastAsia="Palatino Linotype"/>
                <w:sz w:val="22"/>
                <w:szCs w:val="22"/>
              </w:rPr>
            </w:pPr>
            <w:r w:rsidRPr="001F791F">
              <w:rPr>
                <w:rFonts w:ascii="Palatino Linotype" w:hAnsi="Palatino Linotype" w:eastAsia="Palatino Linotype"/>
                <w:sz w:val="22"/>
                <w:szCs w:val="22"/>
              </w:rPr>
              <w:t>Assumed</w:t>
            </w:r>
            <w:r w:rsidRPr="001F791F" w:rsidR="00FC5897">
              <w:rPr>
                <w:rFonts w:ascii="Palatino Linotype" w:hAnsi="Palatino Linotype" w:eastAsia="Palatino Linotype"/>
                <w:sz w:val="22"/>
                <w:szCs w:val="22"/>
              </w:rPr>
              <w:t xml:space="preserve"> 30 percent IRA tax credit</w:t>
            </w:r>
          </w:p>
        </w:tc>
      </w:tr>
      <w:tr w:rsidR="00C74343" w:rsidTr="00285477" w14:paraId="17A0A6E0" w14:textId="77777777">
        <w:tc>
          <w:tcPr>
            <w:tcW w:w="3295" w:type="dxa"/>
          </w:tcPr>
          <w:p w:rsidRPr="001F791F" w:rsidR="00C74343" w:rsidP="00AF4766" w:rsidRDefault="00C74343" w14:paraId="305E952F" w14:textId="60A843BE">
            <w:pPr>
              <w:spacing w:line="259" w:lineRule="auto"/>
              <w:rPr>
                <w:rFonts w:ascii="Palatino Linotype" w:hAnsi="Palatino Linotype" w:eastAsia="Palatino Linotype"/>
                <w:sz w:val="22"/>
                <w:szCs w:val="22"/>
              </w:rPr>
            </w:pPr>
            <w:r w:rsidRPr="001F791F">
              <w:rPr>
                <w:rFonts w:ascii="Palatino Linotype" w:hAnsi="Palatino Linotype" w:eastAsia="Palatino Linotype"/>
                <w:sz w:val="22"/>
                <w:szCs w:val="22"/>
              </w:rPr>
              <w:t>Residential multifamily host customer owned</w:t>
            </w:r>
          </w:p>
        </w:tc>
        <w:tc>
          <w:tcPr>
            <w:tcW w:w="2797" w:type="dxa"/>
          </w:tcPr>
          <w:p w:rsidRPr="001F791F" w:rsidR="00C74343" w:rsidP="00AF4766" w:rsidRDefault="00C74343" w14:paraId="378DF07C" w14:textId="0580D609">
            <w:pPr>
              <w:spacing w:line="259" w:lineRule="auto"/>
              <w:rPr>
                <w:rFonts w:ascii="Palatino Linotype" w:hAnsi="Palatino Linotype" w:eastAsia="Palatino Linotype"/>
                <w:sz w:val="22"/>
                <w:szCs w:val="22"/>
              </w:rPr>
            </w:pPr>
            <w:r w:rsidRPr="001F791F">
              <w:rPr>
                <w:rFonts w:ascii="Palatino Linotype" w:hAnsi="Palatino Linotype" w:eastAsia="Palatino Linotype"/>
                <w:sz w:val="22"/>
                <w:szCs w:val="22"/>
              </w:rPr>
              <w:t>All</w:t>
            </w:r>
          </w:p>
        </w:tc>
        <w:tc>
          <w:tcPr>
            <w:tcW w:w="3258" w:type="dxa"/>
          </w:tcPr>
          <w:p w:rsidRPr="001F791F" w:rsidR="00C74343" w:rsidP="00AF4766" w:rsidRDefault="00C74343" w14:paraId="5B4F98AA" w14:textId="55406A09">
            <w:pPr>
              <w:spacing w:line="259" w:lineRule="auto"/>
              <w:rPr>
                <w:rFonts w:ascii="Palatino Linotype" w:hAnsi="Palatino Linotype" w:eastAsia="Palatino Linotype"/>
                <w:sz w:val="22"/>
                <w:szCs w:val="22"/>
              </w:rPr>
            </w:pPr>
            <w:r w:rsidRPr="001F791F">
              <w:rPr>
                <w:rFonts w:ascii="Palatino Linotype" w:hAnsi="Palatino Linotype" w:eastAsia="Palatino Linotype"/>
                <w:sz w:val="22"/>
                <w:szCs w:val="22"/>
              </w:rPr>
              <w:t>Assumed 30 percent IRA tax credit with ability to increase up to 70 percent with adders</w:t>
            </w:r>
          </w:p>
        </w:tc>
      </w:tr>
      <w:tr w:rsidR="00285477" w:rsidTr="00CD13C8" w14:paraId="29CA5122" w14:textId="77777777">
        <w:tc>
          <w:tcPr>
            <w:tcW w:w="3295" w:type="dxa"/>
          </w:tcPr>
          <w:p w:rsidRPr="001F791F" w:rsidR="00285477" w:rsidP="00AF4766" w:rsidRDefault="009B4F0D" w14:paraId="581FF9A7" w14:textId="3D9390D9">
            <w:pPr>
              <w:spacing w:line="259" w:lineRule="auto"/>
              <w:rPr>
                <w:rFonts w:ascii="Palatino Linotype" w:hAnsi="Palatino Linotype" w:eastAsia="Palatino Linotype"/>
                <w:sz w:val="22"/>
                <w:szCs w:val="22"/>
              </w:rPr>
            </w:pPr>
            <w:r w:rsidRPr="001F791F">
              <w:rPr>
                <w:rFonts w:ascii="Palatino Linotype" w:hAnsi="Palatino Linotype" w:eastAsia="Palatino Linotype"/>
                <w:sz w:val="22"/>
                <w:szCs w:val="22"/>
              </w:rPr>
              <w:t>Third-party owned systems</w:t>
            </w:r>
          </w:p>
        </w:tc>
        <w:tc>
          <w:tcPr>
            <w:tcW w:w="2797" w:type="dxa"/>
          </w:tcPr>
          <w:p w:rsidRPr="001F791F" w:rsidR="00285477" w:rsidP="00AF4766" w:rsidRDefault="009B4F0D" w14:paraId="72C9843C" w14:textId="5C5E09E6">
            <w:pPr>
              <w:spacing w:line="259" w:lineRule="auto"/>
              <w:rPr>
                <w:rFonts w:ascii="Palatino Linotype" w:hAnsi="Palatino Linotype" w:eastAsia="Palatino Linotype"/>
                <w:sz w:val="22"/>
                <w:szCs w:val="22"/>
              </w:rPr>
            </w:pPr>
            <w:r w:rsidRPr="001F791F">
              <w:rPr>
                <w:rFonts w:ascii="Palatino Linotype" w:hAnsi="Palatino Linotype" w:eastAsia="Palatino Linotype"/>
                <w:sz w:val="22"/>
                <w:szCs w:val="22"/>
              </w:rPr>
              <w:t>All</w:t>
            </w:r>
          </w:p>
        </w:tc>
        <w:tc>
          <w:tcPr>
            <w:tcW w:w="3258" w:type="dxa"/>
          </w:tcPr>
          <w:p w:rsidRPr="001F791F" w:rsidR="00285477" w:rsidP="00AF4766" w:rsidRDefault="009B4F0D" w14:paraId="5DB953A2" w14:textId="72CFAD34">
            <w:pPr>
              <w:spacing w:line="259" w:lineRule="auto"/>
              <w:rPr>
                <w:rFonts w:ascii="Palatino Linotype" w:hAnsi="Palatino Linotype" w:eastAsia="Palatino Linotype"/>
                <w:sz w:val="22"/>
                <w:szCs w:val="22"/>
              </w:rPr>
            </w:pPr>
            <w:r w:rsidRPr="001F791F">
              <w:rPr>
                <w:rFonts w:ascii="Palatino Linotype" w:hAnsi="Palatino Linotype" w:eastAsia="Palatino Linotype"/>
                <w:sz w:val="22"/>
                <w:szCs w:val="22"/>
              </w:rPr>
              <w:t>Assumed 30 percent IRA tax credit with ability to increase up to 70 percent with adders</w:t>
            </w:r>
          </w:p>
        </w:tc>
      </w:tr>
      <w:tr w:rsidR="00285477" w:rsidTr="00CD13C8" w14:paraId="3195639B" w14:textId="77777777">
        <w:tc>
          <w:tcPr>
            <w:tcW w:w="3295" w:type="dxa"/>
          </w:tcPr>
          <w:p w:rsidRPr="001F791F" w:rsidR="00285477" w:rsidP="00AF4766" w:rsidRDefault="009B4F0D" w14:paraId="519752AD" w14:textId="6F0BBD7A">
            <w:pPr>
              <w:spacing w:line="259" w:lineRule="auto"/>
              <w:rPr>
                <w:rFonts w:ascii="Palatino Linotype" w:hAnsi="Palatino Linotype" w:eastAsia="Palatino Linotype"/>
                <w:sz w:val="22"/>
                <w:szCs w:val="22"/>
              </w:rPr>
            </w:pPr>
            <w:r w:rsidRPr="001F791F">
              <w:rPr>
                <w:rFonts w:ascii="Palatino Linotype" w:hAnsi="Palatino Linotype" w:eastAsia="Palatino Linotype"/>
                <w:sz w:val="22"/>
                <w:szCs w:val="22"/>
              </w:rPr>
              <w:t>Non-residential host customer owned</w:t>
            </w:r>
          </w:p>
        </w:tc>
        <w:tc>
          <w:tcPr>
            <w:tcW w:w="2797" w:type="dxa"/>
          </w:tcPr>
          <w:p w:rsidRPr="001F791F" w:rsidR="00285477" w:rsidP="00AF4766" w:rsidRDefault="009B4F0D" w14:paraId="70F13550" w14:textId="6E8DC0DB">
            <w:pPr>
              <w:spacing w:line="259" w:lineRule="auto"/>
              <w:rPr>
                <w:rFonts w:ascii="Palatino Linotype" w:hAnsi="Palatino Linotype" w:eastAsia="Palatino Linotype"/>
                <w:sz w:val="22"/>
                <w:szCs w:val="22"/>
              </w:rPr>
            </w:pPr>
            <w:r w:rsidRPr="001F791F">
              <w:rPr>
                <w:rFonts w:ascii="Palatino Linotype" w:hAnsi="Palatino Linotype" w:eastAsia="Palatino Linotype"/>
                <w:sz w:val="22"/>
                <w:szCs w:val="22"/>
              </w:rPr>
              <w:t>All</w:t>
            </w:r>
          </w:p>
        </w:tc>
        <w:tc>
          <w:tcPr>
            <w:tcW w:w="3258" w:type="dxa"/>
          </w:tcPr>
          <w:p w:rsidRPr="001F791F" w:rsidR="00285477" w:rsidP="00AF4766" w:rsidRDefault="009B4F0D" w14:paraId="354BA212" w14:textId="578F1D2D">
            <w:pPr>
              <w:spacing w:line="259" w:lineRule="auto"/>
              <w:rPr>
                <w:rFonts w:ascii="Palatino Linotype" w:hAnsi="Palatino Linotype" w:eastAsia="Palatino Linotype"/>
                <w:sz w:val="22"/>
                <w:szCs w:val="22"/>
              </w:rPr>
            </w:pPr>
            <w:r w:rsidRPr="001F791F">
              <w:rPr>
                <w:rFonts w:ascii="Palatino Linotype" w:hAnsi="Palatino Linotype" w:eastAsia="Palatino Linotype"/>
                <w:sz w:val="22"/>
                <w:szCs w:val="22"/>
              </w:rPr>
              <w:t>Assumed 30 percent IRA tax credit with ability to increase up to 70 percent with adders</w:t>
            </w:r>
          </w:p>
        </w:tc>
      </w:tr>
    </w:tbl>
    <w:p w:rsidR="001F4E0D" w:rsidP="00AF4766" w:rsidRDefault="001F4E0D" w14:paraId="5CE882D1" w14:textId="77777777">
      <w:pPr>
        <w:spacing w:line="259" w:lineRule="auto"/>
        <w:rPr>
          <w:rFonts w:ascii="Palatino Linotype" w:hAnsi="Palatino Linotype" w:eastAsia="Palatino Linotype"/>
          <w:sz w:val="24"/>
          <w:szCs w:val="24"/>
        </w:rPr>
      </w:pPr>
    </w:p>
    <w:p w:rsidR="0026312B" w:rsidP="00AF4766" w:rsidRDefault="0054780F" w14:paraId="059E4C58" w14:textId="2831FE1C">
      <w:pPr>
        <w:spacing w:line="259" w:lineRule="auto"/>
        <w:rPr>
          <w:rFonts w:ascii="Palatino Linotype" w:hAnsi="Palatino Linotype" w:eastAsia="Palatino Linotype"/>
          <w:sz w:val="24"/>
          <w:szCs w:val="24"/>
        </w:rPr>
      </w:pPr>
      <w:r>
        <w:rPr>
          <w:rFonts w:ascii="Palatino Linotype" w:hAnsi="Palatino Linotype" w:eastAsia="Palatino Linotype"/>
          <w:sz w:val="24"/>
          <w:szCs w:val="24"/>
        </w:rPr>
        <w:t xml:space="preserve">The Commission finds it reasonable to apply </w:t>
      </w:r>
      <w:r w:rsidR="001E2192">
        <w:rPr>
          <w:rFonts w:ascii="Palatino Linotype" w:hAnsi="Palatino Linotype" w:eastAsia="Palatino Linotype"/>
          <w:sz w:val="24"/>
          <w:szCs w:val="24"/>
        </w:rPr>
        <w:t>a minimum</w:t>
      </w:r>
      <w:r w:rsidR="000662A5">
        <w:rPr>
          <w:rFonts w:ascii="Palatino Linotype" w:hAnsi="Palatino Linotype" w:eastAsia="Palatino Linotype"/>
          <w:sz w:val="24"/>
          <w:szCs w:val="24"/>
        </w:rPr>
        <w:t xml:space="preserve"> 30</w:t>
      </w:r>
      <w:r w:rsidR="000609FF">
        <w:rPr>
          <w:rFonts w:ascii="Palatino Linotype" w:hAnsi="Palatino Linotype" w:eastAsia="Palatino Linotype"/>
          <w:sz w:val="24"/>
          <w:szCs w:val="24"/>
        </w:rPr>
        <w:t xml:space="preserve"> percent</w:t>
      </w:r>
      <w:r w:rsidR="000662A5">
        <w:rPr>
          <w:rFonts w:ascii="Palatino Linotype" w:hAnsi="Palatino Linotype" w:eastAsia="Palatino Linotype"/>
          <w:sz w:val="24"/>
          <w:szCs w:val="24"/>
        </w:rPr>
        <w:t xml:space="preserve"> IRA tax credit to </w:t>
      </w:r>
      <w:r w:rsidR="00C87E69">
        <w:rPr>
          <w:rFonts w:ascii="Palatino Linotype" w:hAnsi="Palatino Linotype" w:eastAsia="Palatino Linotype"/>
          <w:sz w:val="24"/>
          <w:szCs w:val="24"/>
        </w:rPr>
        <w:t xml:space="preserve">all </w:t>
      </w:r>
      <w:r w:rsidR="000662A5">
        <w:rPr>
          <w:rFonts w:ascii="Palatino Linotype" w:hAnsi="Palatino Linotype" w:eastAsia="Palatino Linotype"/>
          <w:sz w:val="24"/>
          <w:szCs w:val="24"/>
        </w:rPr>
        <w:t>SGIP projects</w:t>
      </w:r>
      <w:r w:rsidR="007C3914">
        <w:rPr>
          <w:rFonts w:ascii="Palatino Linotype" w:hAnsi="Palatino Linotype" w:eastAsia="Palatino Linotype"/>
          <w:sz w:val="24"/>
          <w:szCs w:val="24"/>
        </w:rPr>
        <w:t xml:space="preserve"> </w:t>
      </w:r>
      <w:r w:rsidR="006B5E75">
        <w:rPr>
          <w:rFonts w:ascii="Palatino Linotype" w:hAnsi="Palatino Linotype" w:eastAsia="Palatino Linotype"/>
          <w:sz w:val="24"/>
          <w:szCs w:val="24"/>
        </w:rPr>
        <w:t xml:space="preserve">(Table </w:t>
      </w:r>
      <w:r w:rsidR="003F09A6">
        <w:rPr>
          <w:rFonts w:ascii="Palatino Linotype" w:hAnsi="Palatino Linotype" w:eastAsia="Palatino Linotype"/>
          <w:sz w:val="24"/>
          <w:szCs w:val="24"/>
        </w:rPr>
        <w:t>3</w:t>
      </w:r>
      <w:r w:rsidRPr="39D1037D" w:rsidR="006B5E75">
        <w:rPr>
          <w:rFonts w:ascii="Palatino Linotype" w:hAnsi="Palatino Linotype" w:eastAsia="Palatino Linotype"/>
          <w:sz w:val="24"/>
          <w:szCs w:val="24"/>
        </w:rPr>
        <w:t>)</w:t>
      </w:r>
      <w:r w:rsidRPr="39D1037D" w:rsidR="24B4526A">
        <w:rPr>
          <w:rFonts w:ascii="Palatino Linotype" w:hAnsi="Palatino Linotype" w:eastAsia="Palatino Linotype"/>
          <w:sz w:val="24"/>
          <w:szCs w:val="24"/>
        </w:rPr>
        <w:t>, excluding residential projects</w:t>
      </w:r>
      <w:r w:rsidR="005A145C">
        <w:rPr>
          <w:rFonts w:ascii="Palatino Linotype" w:hAnsi="Palatino Linotype" w:eastAsia="Palatino Linotype"/>
          <w:sz w:val="24"/>
          <w:szCs w:val="24"/>
        </w:rPr>
        <w:t xml:space="preserve"> owned by the host customer </w:t>
      </w:r>
      <w:r w:rsidR="00A06E56">
        <w:rPr>
          <w:rFonts w:ascii="Palatino Linotype" w:hAnsi="Palatino Linotype" w:eastAsia="Palatino Linotype"/>
          <w:sz w:val="24"/>
          <w:szCs w:val="24"/>
        </w:rPr>
        <w:t>funded by ratepayer dollars</w:t>
      </w:r>
      <w:r w:rsidRPr="39D1037D" w:rsidR="008E412C">
        <w:rPr>
          <w:rFonts w:ascii="Palatino Linotype" w:hAnsi="Palatino Linotype" w:eastAsia="Palatino Linotype"/>
          <w:sz w:val="24"/>
          <w:szCs w:val="24"/>
        </w:rPr>
        <w:t>.</w:t>
      </w:r>
      <w:r w:rsidR="008E412C">
        <w:rPr>
          <w:rFonts w:ascii="Palatino Linotype" w:hAnsi="Palatino Linotype" w:eastAsia="Palatino Linotype"/>
          <w:sz w:val="24"/>
          <w:szCs w:val="24"/>
        </w:rPr>
        <w:t xml:space="preserve"> </w:t>
      </w:r>
    </w:p>
    <w:p w:rsidR="0026312B" w:rsidP="00AF4766" w:rsidRDefault="0026312B" w14:paraId="45AB94F3" w14:textId="77777777">
      <w:pPr>
        <w:spacing w:line="259" w:lineRule="auto"/>
        <w:rPr>
          <w:rFonts w:ascii="Palatino Linotype" w:hAnsi="Palatino Linotype" w:eastAsia="Palatino Linotype"/>
          <w:sz w:val="24"/>
          <w:szCs w:val="24"/>
        </w:rPr>
      </w:pPr>
    </w:p>
    <w:p w:rsidR="001F4E0D" w:rsidP="00AF4766" w:rsidRDefault="00402E6B" w14:paraId="2BE207C8" w14:textId="5DCEF469">
      <w:pPr>
        <w:spacing w:line="259" w:lineRule="auto"/>
        <w:rPr>
          <w:rFonts w:ascii="Palatino Linotype" w:hAnsi="Palatino Linotype" w:eastAsia="Palatino Linotype"/>
          <w:sz w:val="24"/>
          <w:szCs w:val="24"/>
        </w:rPr>
      </w:pPr>
      <w:r>
        <w:rPr>
          <w:rFonts w:ascii="Palatino Linotype" w:hAnsi="Palatino Linotype" w:eastAsia="Palatino Linotype"/>
          <w:sz w:val="24"/>
          <w:szCs w:val="24"/>
        </w:rPr>
        <w:t>S</w:t>
      </w:r>
      <w:r w:rsidR="00CD1556">
        <w:rPr>
          <w:rFonts w:ascii="Palatino Linotype" w:hAnsi="Palatino Linotype" w:eastAsia="Palatino Linotype"/>
          <w:sz w:val="24"/>
          <w:szCs w:val="24"/>
        </w:rPr>
        <w:t xml:space="preserve">ome of the IRA tax credit </w:t>
      </w:r>
      <w:r w:rsidR="00A6766B">
        <w:rPr>
          <w:rFonts w:ascii="Palatino Linotype" w:hAnsi="Palatino Linotype" w:eastAsia="Palatino Linotype"/>
          <w:sz w:val="24"/>
          <w:szCs w:val="24"/>
        </w:rPr>
        <w:t>bonus credits</w:t>
      </w:r>
      <w:r w:rsidR="00CD1556">
        <w:rPr>
          <w:rFonts w:ascii="Palatino Linotype" w:hAnsi="Palatino Linotype" w:eastAsia="Palatino Linotype"/>
          <w:sz w:val="24"/>
          <w:szCs w:val="24"/>
        </w:rPr>
        <w:t xml:space="preserve"> require an application </w:t>
      </w:r>
      <w:r>
        <w:rPr>
          <w:rFonts w:ascii="Palatino Linotype" w:hAnsi="Palatino Linotype" w:eastAsia="Palatino Linotype"/>
          <w:sz w:val="24"/>
          <w:szCs w:val="24"/>
        </w:rPr>
        <w:t xml:space="preserve">that may not be resolved by the time of the RRF. </w:t>
      </w:r>
      <w:r w:rsidR="00FE4B5E">
        <w:rPr>
          <w:rFonts w:ascii="Palatino Linotype" w:hAnsi="Palatino Linotype" w:eastAsia="Palatino Linotype"/>
          <w:sz w:val="24"/>
          <w:szCs w:val="24"/>
        </w:rPr>
        <w:t>The Commission finds it reasonable for TPO</w:t>
      </w:r>
      <w:r w:rsidR="00676A7B">
        <w:rPr>
          <w:rFonts w:ascii="Palatino Linotype" w:hAnsi="Palatino Linotype" w:eastAsia="Palatino Linotype"/>
          <w:sz w:val="24"/>
          <w:szCs w:val="24"/>
        </w:rPr>
        <w:t xml:space="preserve"> and non-residential</w:t>
      </w:r>
      <w:r w:rsidR="00FE4B5E">
        <w:rPr>
          <w:rFonts w:ascii="Palatino Linotype" w:hAnsi="Palatino Linotype" w:eastAsia="Palatino Linotype"/>
          <w:sz w:val="24"/>
          <w:szCs w:val="24"/>
        </w:rPr>
        <w:t xml:space="preserve"> SGIP projects to modify the </w:t>
      </w:r>
      <w:r w:rsidR="000609FF">
        <w:rPr>
          <w:rFonts w:ascii="Palatino Linotype" w:hAnsi="Palatino Linotype" w:eastAsia="Palatino Linotype"/>
          <w:sz w:val="24"/>
          <w:szCs w:val="24"/>
        </w:rPr>
        <w:t xml:space="preserve">expected </w:t>
      </w:r>
      <w:r w:rsidR="009570B8">
        <w:rPr>
          <w:rFonts w:ascii="Palatino Linotype" w:hAnsi="Palatino Linotype" w:eastAsia="Palatino Linotype"/>
          <w:sz w:val="24"/>
          <w:szCs w:val="24"/>
        </w:rPr>
        <w:t xml:space="preserve">percent </w:t>
      </w:r>
      <w:r w:rsidR="003C1267">
        <w:rPr>
          <w:rFonts w:ascii="Palatino Linotype" w:hAnsi="Palatino Linotype" w:eastAsia="Palatino Linotype"/>
          <w:sz w:val="24"/>
          <w:szCs w:val="24"/>
        </w:rPr>
        <w:t>of IRA tax credit at the ICF stage</w:t>
      </w:r>
      <w:r w:rsidR="00723792">
        <w:rPr>
          <w:rFonts w:ascii="Palatino Linotype" w:hAnsi="Palatino Linotype" w:eastAsia="Palatino Linotype"/>
          <w:sz w:val="24"/>
          <w:szCs w:val="24"/>
        </w:rPr>
        <w:t xml:space="preserve"> to </w:t>
      </w:r>
      <w:r w:rsidR="004F6CD5">
        <w:rPr>
          <w:rFonts w:ascii="Palatino Linotype" w:hAnsi="Palatino Linotype" w:eastAsia="Palatino Linotype"/>
          <w:sz w:val="24"/>
          <w:szCs w:val="24"/>
        </w:rPr>
        <w:t xml:space="preserve">account for awarded </w:t>
      </w:r>
      <w:r w:rsidR="00346C88">
        <w:rPr>
          <w:rFonts w:ascii="Palatino Linotype" w:hAnsi="Palatino Linotype" w:eastAsia="Palatino Linotype"/>
          <w:sz w:val="24"/>
          <w:szCs w:val="24"/>
        </w:rPr>
        <w:t>bonus credits</w:t>
      </w:r>
      <w:r w:rsidR="003C1267">
        <w:rPr>
          <w:rFonts w:ascii="Palatino Linotype" w:hAnsi="Palatino Linotype" w:eastAsia="Palatino Linotype"/>
          <w:sz w:val="24"/>
          <w:szCs w:val="24"/>
        </w:rPr>
        <w:t xml:space="preserve">. If this results in a decrease in </w:t>
      </w:r>
      <w:r w:rsidR="00E602F7">
        <w:rPr>
          <w:rFonts w:ascii="Palatino Linotype" w:hAnsi="Palatino Linotype" w:eastAsia="Palatino Linotype"/>
          <w:sz w:val="24"/>
          <w:szCs w:val="24"/>
        </w:rPr>
        <w:t xml:space="preserve">the </w:t>
      </w:r>
      <w:r w:rsidR="003C1267">
        <w:rPr>
          <w:rFonts w:ascii="Palatino Linotype" w:hAnsi="Palatino Linotype" w:eastAsia="Palatino Linotype"/>
          <w:sz w:val="24"/>
          <w:szCs w:val="24"/>
        </w:rPr>
        <w:t>expected IRA tax credit</w:t>
      </w:r>
      <w:r w:rsidR="00E602F7">
        <w:rPr>
          <w:rFonts w:ascii="Palatino Linotype" w:hAnsi="Palatino Linotype" w:eastAsia="Palatino Linotype"/>
          <w:sz w:val="24"/>
          <w:szCs w:val="24"/>
        </w:rPr>
        <w:t xml:space="preserve"> value</w:t>
      </w:r>
      <w:r w:rsidR="003C1267">
        <w:rPr>
          <w:rFonts w:ascii="Palatino Linotype" w:hAnsi="Palatino Linotype" w:eastAsia="Palatino Linotype"/>
          <w:sz w:val="24"/>
          <w:szCs w:val="24"/>
        </w:rPr>
        <w:t>, the project will only obtain more SGIP funds if funds are available a</w:t>
      </w:r>
      <w:r w:rsidR="00586FB5">
        <w:rPr>
          <w:rFonts w:ascii="Palatino Linotype" w:hAnsi="Palatino Linotype" w:eastAsia="Palatino Linotype"/>
          <w:sz w:val="24"/>
          <w:szCs w:val="24"/>
        </w:rPr>
        <w:t>t th</w:t>
      </w:r>
      <w:r w:rsidR="00A37F5A">
        <w:rPr>
          <w:rFonts w:ascii="Palatino Linotype" w:hAnsi="Palatino Linotype" w:eastAsia="Palatino Linotype"/>
          <w:sz w:val="24"/>
          <w:szCs w:val="24"/>
        </w:rPr>
        <w:t>at</w:t>
      </w:r>
      <w:r w:rsidR="003C1267">
        <w:rPr>
          <w:rFonts w:ascii="Palatino Linotype" w:hAnsi="Palatino Linotype" w:eastAsia="Palatino Linotype"/>
          <w:sz w:val="24"/>
          <w:szCs w:val="24"/>
        </w:rPr>
        <w:t xml:space="preserve"> time. </w:t>
      </w:r>
      <w:r w:rsidR="001821BC">
        <w:rPr>
          <w:rFonts w:ascii="Palatino Linotype" w:hAnsi="Palatino Linotype" w:eastAsia="Palatino Linotype"/>
          <w:sz w:val="24"/>
          <w:szCs w:val="24"/>
        </w:rPr>
        <w:t xml:space="preserve">To claim additional funds, the TPO entity must submit documentation explaining why the IRA tax credit percentage </w:t>
      </w:r>
      <w:r w:rsidR="00A74CEC">
        <w:rPr>
          <w:rFonts w:ascii="Palatino Linotype" w:hAnsi="Palatino Linotype" w:eastAsia="Palatino Linotype"/>
          <w:sz w:val="24"/>
          <w:szCs w:val="24"/>
        </w:rPr>
        <w:t>decreased</w:t>
      </w:r>
      <w:r w:rsidR="001821BC">
        <w:rPr>
          <w:rFonts w:ascii="Palatino Linotype" w:hAnsi="Palatino Linotype" w:eastAsia="Palatino Linotype"/>
          <w:sz w:val="24"/>
          <w:szCs w:val="24"/>
        </w:rPr>
        <w:t xml:space="preserve">. </w:t>
      </w:r>
      <w:r w:rsidR="007951D5">
        <w:rPr>
          <w:rFonts w:ascii="Palatino Linotype" w:hAnsi="Palatino Linotype" w:eastAsia="Palatino Linotype"/>
          <w:sz w:val="24"/>
          <w:szCs w:val="24"/>
        </w:rPr>
        <w:t>If th</w:t>
      </w:r>
      <w:r w:rsidR="00F362B3">
        <w:rPr>
          <w:rFonts w:ascii="Palatino Linotype" w:hAnsi="Palatino Linotype" w:eastAsia="Palatino Linotype"/>
          <w:sz w:val="24"/>
          <w:szCs w:val="24"/>
        </w:rPr>
        <w:t>e modification</w:t>
      </w:r>
      <w:r w:rsidR="007951D5">
        <w:rPr>
          <w:rFonts w:ascii="Palatino Linotype" w:hAnsi="Palatino Linotype" w:eastAsia="Palatino Linotype"/>
          <w:sz w:val="24"/>
          <w:szCs w:val="24"/>
        </w:rPr>
        <w:t xml:space="preserve"> results in an increased IRA tax credit percentage, the SGIP payment will be decreased accordingly. </w:t>
      </w:r>
      <w:r w:rsidR="003C1D8F">
        <w:rPr>
          <w:rFonts w:ascii="Palatino Linotype" w:hAnsi="Palatino Linotype" w:eastAsia="Palatino Linotype"/>
          <w:sz w:val="24"/>
          <w:szCs w:val="24"/>
        </w:rPr>
        <w:t xml:space="preserve">The Commission finds it unreasonable to adjust the </w:t>
      </w:r>
      <w:r w:rsidR="00FF1170">
        <w:rPr>
          <w:rFonts w:ascii="Palatino Linotype" w:hAnsi="Palatino Linotype" w:eastAsia="Palatino Linotype"/>
          <w:sz w:val="24"/>
          <w:szCs w:val="24"/>
        </w:rPr>
        <w:t xml:space="preserve">expected </w:t>
      </w:r>
      <w:r w:rsidR="003C1D8F">
        <w:rPr>
          <w:rFonts w:ascii="Palatino Linotype" w:hAnsi="Palatino Linotype" w:eastAsia="Palatino Linotype"/>
          <w:sz w:val="24"/>
          <w:szCs w:val="24"/>
        </w:rPr>
        <w:t xml:space="preserve">IRA tax credit </w:t>
      </w:r>
      <w:r w:rsidR="00CB3F03">
        <w:rPr>
          <w:rFonts w:ascii="Palatino Linotype" w:hAnsi="Palatino Linotype" w:eastAsia="Palatino Linotype"/>
          <w:sz w:val="24"/>
          <w:szCs w:val="24"/>
        </w:rPr>
        <w:t>percent</w:t>
      </w:r>
      <w:r w:rsidR="003C1D8F">
        <w:rPr>
          <w:rFonts w:ascii="Palatino Linotype" w:hAnsi="Palatino Linotype" w:eastAsia="Palatino Linotype"/>
          <w:sz w:val="24"/>
          <w:szCs w:val="24"/>
        </w:rPr>
        <w:t xml:space="preserve"> </w:t>
      </w:r>
      <w:r w:rsidR="00CB3F03">
        <w:rPr>
          <w:rFonts w:ascii="Palatino Linotype" w:hAnsi="Palatino Linotype" w:eastAsia="Palatino Linotype"/>
          <w:sz w:val="24"/>
          <w:szCs w:val="24"/>
        </w:rPr>
        <w:t xml:space="preserve">due to the market value of </w:t>
      </w:r>
      <w:r w:rsidR="00FF1170">
        <w:rPr>
          <w:rFonts w:ascii="Palatino Linotype" w:hAnsi="Palatino Linotype" w:eastAsia="Palatino Linotype"/>
          <w:sz w:val="24"/>
          <w:szCs w:val="24"/>
        </w:rPr>
        <w:t xml:space="preserve">the tax credits as the market value of the tax credits </w:t>
      </w:r>
      <w:r w:rsidR="004A00B4">
        <w:rPr>
          <w:rFonts w:ascii="Palatino Linotype" w:hAnsi="Palatino Linotype" w:eastAsia="Palatino Linotype"/>
          <w:sz w:val="24"/>
          <w:szCs w:val="24"/>
        </w:rPr>
        <w:t xml:space="preserve">at time of sale </w:t>
      </w:r>
      <w:r w:rsidR="00FF1170">
        <w:rPr>
          <w:rFonts w:ascii="Palatino Linotype" w:hAnsi="Palatino Linotype" w:eastAsia="Palatino Linotype"/>
          <w:sz w:val="24"/>
          <w:szCs w:val="24"/>
        </w:rPr>
        <w:t xml:space="preserve">is </w:t>
      </w:r>
      <w:r w:rsidR="009C75C8">
        <w:rPr>
          <w:rFonts w:ascii="Palatino Linotype" w:hAnsi="Palatino Linotype" w:eastAsia="Palatino Linotype"/>
          <w:sz w:val="24"/>
          <w:szCs w:val="24"/>
        </w:rPr>
        <w:t>highly uncertain and administratively burdensome to verify.</w:t>
      </w:r>
    </w:p>
    <w:p w:rsidR="000A1376" w:rsidP="00AF4766" w:rsidRDefault="000A1376" w14:paraId="7B6B5560" w14:textId="77777777">
      <w:pPr>
        <w:spacing w:line="259" w:lineRule="auto"/>
        <w:rPr>
          <w:rFonts w:ascii="Palatino Linotype" w:hAnsi="Palatino Linotype" w:eastAsia="Palatino Linotype"/>
          <w:sz w:val="24"/>
          <w:szCs w:val="24"/>
        </w:rPr>
      </w:pPr>
    </w:p>
    <w:p w:rsidR="0060786F" w:rsidP="00AF4766" w:rsidRDefault="00D76162" w14:paraId="3B1D2E39" w14:textId="19AC4E26">
      <w:pPr>
        <w:spacing w:line="259" w:lineRule="auto"/>
        <w:rPr>
          <w:rFonts w:ascii="Palatino Linotype" w:hAnsi="Palatino Linotype" w:eastAsia="Palatino Linotype"/>
          <w:sz w:val="24"/>
          <w:szCs w:val="24"/>
        </w:rPr>
      </w:pPr>
      <w:r>
        <w:rPr>
          <w:rFonts w:ascii="Palatino Linotype" w:hAnsi="Palatino Linotype" w:eastAsia="Palatino Linotype"/>
          <w:sz w:val="24"/>
          <w:szCs w:val="24"/>
        </w:rPr>
        <w:lastRenderedPageBreak/>
        <w:t xml:space="preserve">Table </w:t>
      </w:r>
      <w:r w:rsidR="003F09A6">
        <w:rPr>
          <w:rFonts w:ascii="Palatino Linotype" w:hAnsi="Palatino Linotype" w:eastAsia="Palatino Linotype"/>
          <w:sz w:val="24"/>
          <w:szCs w:val="24"/>
        </w:rPr>
        <w:t>4</w:t>
      </w:r>
      <w:r>
        <w:rPr>
          <w:rFonts w:ascii="Palatino Linotype" w:hAnsi="Palatino Linotype" w:eastAsia="Palatino Linotype"/>
          <w:sz w:val="24"/>
          <w:szCs w:val="24"/>
        </w:rPr>
        <w:t>. Illustrative Examples of</w:t>
      </w:r>
      <w:r w:rsidR="00D54DBA">
        <w:rPr>
          <w:rFonts w:ascii="Palatino Linotype" w:hAnsi="Palatino Linotype" w:eastAsia="Palatino Linotype"/>
          <w:sz w:val="24"/>
          <w:szCs w:val="24"/>
        </w:rPr>
        <w:t xml:space="preserve"> Resolution’s Proposed Use of the</w:t>
      </w:r>
      <w:r>
        <w:rPr>
          <w:rFonts w:ascii="Palatino Linotype" w:hAnsi="Palatino Linotype" w:eastAsia="Palatino Linotype"/>
          <w:sz w:val="24"/>
          <w:szCs w:val="24"/>
        </w:rPr>
        <w:t xml:space="preserve"> IRA Tax Credit in SGIP</w:t>
      </w:r>
      <w:r w:rsidR="00645488">
        <w:rPr>
          <w:rStyle w:val="FootnoteReference"/>
          <w:rFonts w:ascii="Palatino Linotype" w:hAnsi="Palatino Linotype" w:eastAsia="Palatino Linotype"/>
          <w:sz w:val="24"/>
          <w:szCs w:val="24"/>
        </w:rPr>
        <w:footnoteReference w:id="33"/>
      </w:r>
    </w:p>
    <w:tbl>
      <w:tblPr>
        <w:tblStyle w:val="TableGrid"/>
        <w:tblW w:w="9350" w:type="dxa"/>
        <w:tblLook w:val="04A0" w:firstRow="1" w:lastRow="0" w:firstColumn="1" w:lastColumn="0" w:noHBand="0" w:noVBand="1"/>
      </w:tblPr>
      <w:tblGrid>
        <w:gridCol w:w="1301"/>
        <w:gridCol w:w="1779"/>
        <w:gridCol w:w="1015"/>
        <w:gridCol w:w="1280"/>
        <w:gridCol w:w="1573"/>
        <w:gridCol w:w="1103"/>
        <w:gridCol w:w="1299"/>
      </w:tblGrid>
      <w:tr w:rsidR="00283199" w:rsidTr="000065EC" w14:paraId="1EA5D8DD" w14:textId="77777777">
        <w:trPr>
          <w:trHeight w:val="300"/>
        </w:trPr>
        <w:tc>
          <w:tcPr>
            <w:tcW w:w="1301" w:type="dxa"/>
          </w:tcPr>
          <w:p w:rsidRPr="001F791F" w:rsidR="00283199" w:rsidP="00AF4766" w:rsidRDefault="00283199" w14:paraId="5CF7D6BD" w14:textId="46755A41">
            <w:pPr>
              <w:spacing w:line="259" w:lineRule="auto"/>
              <w:rPr>
                <w:rFonts w:ascii="Palatino Linotype" w:hAnsi="Palatino Linotype" w:eastAsia="Palatino Linotype"/>
                <w:b/>
                <w:bCs/>
                <w:sz w:val="22"/>
                <w:szCs w:val="22"/>
              </w:rPr>
            </w:pPr>
            <w:r>
              <w:rPr>
                <w:rFonts w:ascii="Palatino Linotype" w:hAnsi="Palatino Linotype" w:eastAsia="Palatino Linotype"/>
                <w:b/>
                <w:bCs/>
                <w:sz w:val="22"/>
                <w:szCs w:val="22"/>
              </w:rPr>
              <w:t>Funding Source</w:t>
            </w:r>
          </w:p>
        </w:tc>
        <w:tc>
          <w:tcPr>
            <w:tcW w:w="1779" w:type="dxa"/>
          </w:tcPr>
          <w:p w:rsidRPr="001F791F" w:rsidR="00283199" w:rsidP="00AF4766" w:rsidRDefault="00283199" w14:paraId="626EC467" w14:textId="0A89A126">
            <w:pPr>
              <w:spacing w:line="259" w:lineRule="auto"/>
              <w:rPr>
                <w:rFonts w:ascii="Palatino Linotype" w:hAnsi="Palatino Linotype" w:eastAsia="Palatino Linotype"/>
                <w:b/>
                <w:bCs/>
                <w:sz w:val="22"/>
                <w:szCs w:val="22"/>
              </w:rPr>
            </w:pPr>
            <w:r w:rsidRPr="001F791F">
              <w:rPr>
                <w:rFonts w:ascii="Palatino Linotype" w:hAnsi="Palatino Linotype" w:eastAsia="Palatino Linotype"/>
                <w:b/>
                <w:bCs/>
                <w:sz w:val="22"/>
                <w:szCs w:val="22"/>
              </w:rPr>
              <w:t>SGIP Budget</w:t>
            </w:r>
          </w:p>
        </w:tc>
        <w:tc>
          <w:tcPr>
            <w:tcW w:w="1015" w:type="dxa"/>
          </w:tcPr>
          <w:p w:rsidRPr="001F791F" w:rsidR="00283199" w:rsidP="00AF4766" w:rsidRDefault="00283199" w14:paraId="4E7198E8" w14:textId="3691ACB9">
            <w:pPr>
              <w:spacing w:line="259" w:lineRule="auto"/>
              <w:rPr>
                <w:rFonts w:ascii="Palatino Linotype" w:hAnsi="Palatino Linotype" w:eastAsia="Palatino Linotype"/>
                <w:b/>
                <w:bCs/>
                <w:sz w:val="22"/>
                <w:szCs w:val="22"/>
              </w:rPr>
            </w:pPr>
            <w:r w:rsidRPr="001F791F">
              <w:rPr>
                <w:rFonts w:ascii="Palatino Linotype" w:hAnsi="Palatino Linotype" w:eastAsia="Palatino Linotype"/>
                <w:b/>
                <w:bCs/>
                <w:sz w:val="22"/>
                <w:szCs w:val="22"/>
              </w:rPr>
              <w:t>Total Project Cost</w:t>
            </w:r>
          </w:p>
        </w:tc>
        <w:tc>
          <w:tcPr>
            <w:tcW w:w="1280" w:type="dxa"/>
          </w:tcPr>
          <w:p w:rsidRPr="001F791F" w:rsidR="00283199" w:rsidP="00AF4766" w:rsidRDefault="00283199" w14:paraId="7A49B87F" w14:textId="15F00408">
            <w:pPr>
              <w:spacing w:line="259" w:lineRule="auto"/>
              <w:rPr>
                <w:rFonts w:ascii="Palatino Linotype" w:hAnsi="Palatino Linotype" w:eastAsia="Palatino Linotype"/>
                <w:b/>
                <w:bCs/>
                <w:sz w:val="22"/>
                <w:szCs w:val="22"/>
              </w:rPr>
            </w:pPr>
            <w:r w:rsidRPr="001F791F">
              <w:rPr>
                <w:rFonts w:ascii="Palatino Linotype" w:hAnsi="Palatino Linotype" w:eastAsia="Palatino Linotype"/>
                <w:b/>
                <w:bCs/>
                <w:sz w:val="22"/>
                <w:szCs w:val="22"/>
              </w:rPr>
              <w:t>Pre-IRA Tax Credit SGIP Incentive</w:t>
            </w:r>
          </w:p>
        </w:tc>
        <w:tc>
          <w:tcPr>
            <w:tcW w:w="1573" w:type="dxa"/>
          </w:tcPr>
          <w:p w:rsidRPr="001F791F" w:rsidR="00283199" w:rsidP="00AF4766" w:rsidRDefault="00283199" w14:paraId="7703CEED" w14:textId="20B9283F">
            <w:pPr>
              <w:spacing w:line="259" w:lineRule="auto"/>
              <w:rPr>
                <w:rFonts w:ascii="Palatino Linotype" w:hAnsi="Palatino Linotype" w:eastAsia="Palatino Linotype"/>
                <w:b/>
                <w:bCs/>
                <w:sz w:val="22"/>
                <w:szCs w:val="22"/>
              </w:rPr>
            </w:pPr>
            <w:r w:rsidRPr="001F791F">
              <w:rPr>
                <w:rFonts w:ascii="Palatino Linotype" w:hAnsi="Palatino Linotype" w:eastAsia="Palatino Linotype"/>
                <w:b/>
                <w:bCs/>
                <w:sz w:val="22"/>
                <w:szCs w:val="22"/>
              </w:rPr>
              <w:t>IRA Tax Credit Percent</w:t>
            </w:r>
          </w:p>
        </w:tc>
        <w:tc>
          <w:tcPr>
            <w:tcW w:w="1103" w:type="dxa"/>
          </w:tcPr>
          <w:p w:rsidRPr="001F791F" w:rsidR="00283199" w:rsidP="00AF4766" w:rsidRDefault="00283199" w14:paraId="63C73DBE" w14:textId="3FB90718">
            <w:pPr>
              <w:spacing w:line="259" w:lineRule="auto"/>
              <w:rPr>
                <w:rFonts w:ascii="Palatino Linotype" w:hAnsi="Palatino Linotype" w:eastAsia="Palatino Linotype"/>
                <w:b/>
                <w:bCs/>
                <w:sz w:val="22"/>
                <w:szCs w:val="22"/>
              </w:rPr>
            </w:pPr>
            <w:r w:rsidRPr="001F791F">
              <w:rPr>
                <w:rFonts w:ascii="Palatino Linotype" w:hAnsi="Palatino Linotype" w:eastAsia="Palatino Linotype"/>
                <w:b/>
                <w:bCs/>
                <w:sz w:val="22"/>
                <w:szCs w:val="22"/>
              </w:rPr>
              <w:t>IRA Tax Credit Value</w:t>
            </w:r>
          </w:p>
        </w:tc>
        <w:tc>
          <w:tcPr>
            <w:tcW w:w="1299" w:type="dxa"/>
          </w:tcPr>
          <w:p w:rsidRPr="001F791F" w:rsidR="00283199" w:rsidP="00AF4766" w:rsidRDefault="00283199" w14:paraId="68264159" w14:textId="05CA05EF">
            <w:pPr>
              <w:spacing w:line="259" w:lineRule="auto"/>
              <w:rPr>
                <w:rFonts w:ascii="Palatino Linotype" w:hAnsi="Palatino Linotype" w:eastAsia="Palatino Linotype"/>
                <w:b/>
                <w:bCs/>
                <w:sz w:val="22"/>
                <w:szCs w:val="22"/>
              </w:rPr>
            </w:pPr>
            <w:r w:rsidRPr="001F791F">
              <w:rPr>
                <w:rFonts w:ascii="Palatino Linotype" w:hAnsi="Palatino Linotype" w:eastAsia="Palatino Linotype"/>
                <w:b/>
                <w:bCs/>
                <w:sz w:val="22"/>
                <w:szCs w:val="22"/>
              </w:rPr>
              <w:t xml:space="preserve">Final SGIP Incentive </w:t>
            </w:r>
          </w:p>
        </w:tc>
      </w:tr>
      <w:tr w:rsidR="00283199" w:rsidTr="00283199" w14:paraId="3DBFFC25" w14:textId="77777777">
        <w:trPr>
          <w:trHeight w:val="300"/>
        </w:trPr>
        <w:tc>
          <w:tcPr>
            <w:tcW w:w="1301" w:type="dxa"/>
            <w:vMerge w:val="restart"/>
          </w:tcPr>
          <w:p w:rsidRPr="001F791F" w:rsidR="00283199" w:rsidP="00AF4766" w:rsidRDefault="00283199" w14:paraId="72FD74A7" w14:textId="58B6BC7F">
            <w:pPr>
              <w:spacing w:line="259" w:lineRule="auto"/>
              <w:rPr>
                <w:rFonts w:ascii="Palatino Linotype" w:hAnsi="Palatino Linotype" w:eastAsia="Palatino Linotype"/>
                <w:sz w:val="22"/>
                <w:szCs w:val="22"/>
              </w:rPr>
            </w:pPr>
            <w:r>
              <w:rPr>
                <w:rFonts w:ascii="Palatino Linotype" w:hAnsi="Palatino Linotype" w:eastAsia="Palatino Linotype"/>
                <w:sz w:val="22"/>
                <w:szCs w:val="22"/>
              </w:rPr>
              <w:t>Ratepayer Collections</w:t>
            </w:r>
          </w:p>
        </w:tc>
        <w:tc>
          <w:tcPr>
            <w:tcW w:w="1779" w:type="dxa"/>
          </w:tcPr>
          <w:p w:rsidRPr="001F791F" w:rsidR="00283199" w:rsidP="00AF4766" w:rsidRDefault="00283199" w14:paraId="5B7D4E7B" w14:textId="353CA7C8">
            <w:pPr>
              <w:spacing w:line="259" w:lineRule="auto"/>
              <w:rPr>
                <w:rFonts w:ascii="Palatino Linotype" w:hAnsi="Palatino Linotype" w:eastAsia="Palatino Linotype"/>
                <w:sz w:val="22"/>
                <w:szCs w:val="22"/>
              </w:rPr>
            </w:pPr>
            <w:r w:rsidRPr="001F791F">
              <w:rPr>
                <w:rFonts w:ascii="Palatino Linotype" w:hAnsi="Palatino Linotype" w:eastAsia="Palatino Linotype"/>
                <w:sz w:val="22"/>
                <w:szCs w:val="22"/>
              </w:rPr>
              <w:t>Equity Resiliency – Residential Host Customer Owned</w:t>
            </w:r>
          </w:p>
        </w:tc>
        <w:tc>
          <w:tcPr>
            <w:tcW w:w="1015" w:type="dxa"/>
          </w:tcPr>
          <w:p w:rsidRPr="001F791F" w:rsidR="00283199" w:rsidP="00AF4766" w:rsidRDefault="00283199" w14:paraId="7138A75D" w14:textId="0689ECF4">
            <w:pPr>
              <w:spacing w:line="259" w:lineRule="auto"/>
              <w:rPr>
                <w:rFonts w:ascii="Palatino Linotype" w:hAnsi="Palatino Linotype" w:eastAsia="Palatino Linotype"/>
                <w:sz w:val="22"/>
                <w:szCs w:val="22"/>
              </w:rPr>
            </w:pPr>
            <w:r w:rsidRPr="001F791F">
              <w:rPr>
                <w:rFonts w:ascii="Palatino Linotype" w:hAnsi="Palatino Linotype" w:eastAsia="Palatino Linotype"/>
                <w:sz w:val="22"/>
                <w:szCs w:val="22"/>
              </w:rPr>
              <w:t>$16,500</w:t>
            </w:r>
          </w:p>
        </w:tc>
        <w:tc>
          <w:tcPr>
            <w:tcW w:w="1280" w:type="dxa"/>
          </w:tcPr>
          <w:p w:rsidRPr="001F791F" w:rsidR="00283199" w:rsidP="00AF4766" w:rsidRDefault="00283199" w14:paraId="3EBE9B59" w14:textId="08168B34">
            <w:pPr>
              <w:spacing w:line="259" w:lineRule="auto"/>
              <w:rPr>
                <w:rFonts w:ascii="Palatino Linotype" w:hAnsi="Palatino Linotype" w:eastAsia="Palatino Linotype"/>
                <w:sz w:val="22"/>
                <w:szCs w:val="22"/>
              </w:rPr>
            </w:pPr>
            <w:r w:rsidRPr="001F791F">
              <w:rPr>
                <w:rFonts w:ascii="Palatino Linotype" w:hAnsi="Palatino Linotype" w:eastAsia="Palatino Linotype"/>
                <w:sz w:val="22"/>
                <w:szCs w:val="22"/>
              </w:rPr>
              <w:t>$15,000</w:t>
            </w:r>
          </w:p>
        </w:tc>
        <w:tc>
          <w:tcPr>
            <w:tcW w:w="1573" w:type="dxa"/>
          </w:tcPr>
          <w:p w:rsidRPr="001F791F" w:rsidR="00283199" w:rsidP="00AF4766" w:rsidRDefault="00283199" w14:paraId="25797D18" w14:textId="3F958680">
            <w:pPr>
              <w:spacing w:line="259" w:lineRule="auto"/>
              <w:rPr>
                <w:rFonts w:ascii="Palatino Linotype" w:hAnsi="Palatino Linotype" w:eastAsia="Palatino Linotype"/>
                <w:sz w:val="22"/>
                <w:szCs w:val="22"/>
              </w:rPr>
            </w:pPr>
            <w:r w:rsidRPr="001F791F">
              <w:rPr>
                <w:rFonts w:ascii="Palatino Linotype" w:hAnsi="Palatino Linotype" w:eastAsia="Palatino Linotype"/>
                <w:sz w:val="22"/>
                <w:szCs w:val="22"/>
              </w:rPr>
              <w:t xml:space="preserve">2.7% (Input of 0-30% by applicant) </w:t>
            </w:r>
          </w:p>
        </w:tc>
        <w:tc>
          <w:tcPr>
            <w:tcW w:w="1103" w:type="dxa"/>
          </w:tcPr>
          <w:p w:rsidRPr="001F791F" w:rsidR="00283199" w:rsidP="00AF4766" w:rsidRDefault="00283199" w14:paraId="73B68D08" w14:textId="0FC35EA3">
            <w:pPr>
              <w:spacing w:line="259" w:lineRule="auto"/>
              <w:rPr>
                <w:rFonts w:ascii="Palatino Linotype" w:hAnsi="Palatino Linotype" w:eastAsia="Palatino Linotype"/>
                <w:sz w:val="22"/>
                <w:szCs w:val="22"/>
              </w:rPr>
            </w:pPr>
            <w:r w:rsidRPr="001F791F">
              <w:rPr>
                <w:rFonts w:ascii="Palatino Linotype" w:hAnsi="Palatino Linotype" w:eastAsia="Palatino Linotype"/>
                <w:sz w:val="22"/>
                <w:szCs w:val="22"/>
              </w:rPr>
              <w:t>$450</w:t>
            </w:r>
          </w:p>
        </w:tc>
        <w:tc>
          <w:tcPr>
            <w:tcW w:w="1299" w:type="dxa"/>
          </w:tcPr>
          <w:p w:rsidRPr="001F791F" w:rsidR="00283199" w:rsidP="00AF4766" w:rsidRDefault="00283199" w14:paraId="40C0C12F" w14:textId="26A8A6F8">
            <w:pPr>
              <w:spacing w:line="259" w:lineRule="auto"/>
              <w:rPr>
                <w:rFonts w:ascii="Palatino Linotype" w:hAnsi="Palatino Linotype" w:eastAsia="Palatino Linotype"/>
                <w:sz w:val="22"/>
                <w:szCs w:val="22"/>
              </w:rPr>
            </w:pPr>
            <w:r w:rsidRPr="001F791F">
              <w:rPr>
                <w:rFonts w:ascii="Palatino Linotype" w:hAnsi="Palatino Linotype" w:eastAsia="Palatino Linotype"/>
                <w:sz w:val="22"/>
                <w:szCs w:val="22"/>
              </w:rPr>
              <w:t>$15,000</w:t>
            </w:r>
          </w:p>
        </w:tc>
      </w:tr>
      <w:tr w:rsidR="00283199" w:rsidTr="00283199" w14:paraId="79CF72D7" w14:textId="77777777">
        <w:trPr>
          <w:trHeight w:val="300"/>
        </w:trPr>
        <w:tc>
          <w:tcPr>
            <w:tcW w:w="1301" w:type="dxa"/>
            <w:vMerge/>
          </w:tcPr>
          <w:p w:rsidRPr="001F791F" w:rsidR="00283199" w:rsidP="00AF4766" w:rsidRDefault="00283199" w14:paraId="4802A257" w14:textId="77777777">
            <w:pPr>
              <w:spacing w:line="259" w:lineRule="auto"/>
              <w:rPr>
                <w:rFonts w:ascii="Palatino Linotype" w:hAnsi="Palatino Linotype" w:eastAsia="Palatino Linotype"/>
                <w:sz w:val="22"/>
                <w:szCs w:val="22"/>
              </w:rPr>
            </w:pPr>
          </w:p>
        </w:tc>
        <w:tc>
          <w:tcPr>
            <w:tcW w:w="1779" w:type="dxa"/>
          </w:tcPr>
          <w:p w:rsidRPr="001F791F" w:rsidR="00283199" w:rsidP="00AF4766" w:rsidRDefault="00283199" w14:paraId="0938E9A4" w14:textId="7DABEF27">
            <w:pPr>
              <w:spacing w:line="259" w:lineRule="auto"/>
              <w:rPr>
                <w:rFonts w:ascii="Palatino Linotype" w:hAnsi="Palatino Linotype" w:eastAsia="Palatino Linotype"/>
                <w:sz w:val="22"/>
                <w:szCs w:val="22"/>
              </w:rPr>
            </w:pPr>
            <w:r w:rsidRPr="001F791F">
              <w:rPr>
                <w:rFonts w:ascii="Palatino Linotype" w:hAnsi="Palatino Linotype" w:eastAsia="Palatino Linotype"/>
                <w:sz w:val="22"/>
                <w:szCs w:val="22"/>
              </w:rPr>
              <w:t xml:space="preserve">Equity Resiliency – Residential TPO </w:t>
            </w:r>
          </w:p>
        </w:tc>
        <w:tc>
          <w:tcPr>
            <w:tcW w:w="1015" w:type="dxa"/>
          </w:tcPr>
          <w:p w:rsidRPr="001F791F" w:rsidR="00283199" w:rsidP="00AF4766" w:rsidRDefault="00283199" w14:paraId="6767F604" w14:textId="7DC4A88D">
            <w:pPr>
              <w:spacing w:line="259" w:lineRule="auto"/>
              <w:rPr>
                <w:rFonts w:ascii="Palatino Linotype" w:hAnsi="Palatino Linotype" w:eastAsia="Palatino Linotype"/>
                <w:sz w:val="22"/>
                <w:szCs w:val="22"/>
              </w:rPr>
            </w:pPr>
            <w:r w:rsidRPr="001F791F">
              <w:rPr>
                <w:rFonts w:ascii="Palatino Linotype" w:hAnsi="Palatino Linotype" w:eastAsia="Palatino Linotype"/>
                <w:sz w:val="22"/>
                <w:szCs w:val="22"/>
              </w:rPr>
              <w:t>$16,500</w:t>
            </w:r>
          </w:p>
        </w:tc>
        <w:tc>
          <w:tcPr>
            <w:tcW w:w="1280" w:type="dxa"/>
          </w:tcPr>
          <w:p w:rsidRPr="001F791F" w:rsidR="00283199" w:rsidP="00AF4766" w:rsidRDefault="00283199" w14:paraId="68F4286F" w14:textId="36E1BD19">
            <w:pPr>
              <w:spacing w:line="259" w:lineRule="auto"/>
              <w:rPr>
                <w:rFonts w:ascii="Palatino Linotype" w:hAnsi="Palatino Linotype" w:eastAsia="Palatino Linotype"/>
                <w:sz w:val="22"/>
                <w:szCs w:val="22"/>
              </w:rPr>
            </w:pPr>
            <w:r w:rsidRPr="001F791F">
              <w:rPr>
                <w:rFonts w:ascii="Palatino Linotype" w:hAnsi="Palatino Linotype" w:eastAsia="Palatino Linotype"/>
                <w:sz w:val="22"/>
                <w:szCs w:val="22"/>
              </w:rPr>
              <w:t>$15,000</w:t>
            </w:r>
          </w:p>
        </w:tc>
        <w:tc>
          <w:tcPr>
            <w:tcW w:w="1573" w:type="dxa"/>
          </w:tcPr>
          <w:p w:rsidRPr="001F791F" w:rsidR="00283199" w:rsidP="00AF4766" w:rsidRDefault="00283199" w14:paraId="1A55F58F" w14:textId="3B849926">
            <w:pPr>
              <w:spacing w:line="259" w:lineRule="auto"/>
              <w:rPr>
                <w:rFonts w:ascii="Palatino Linotype" w:hAnsi="Palatino Linotype" w:eastAsia="Palatino Linotype"/>
                <w:sz w:val="22"/>
                <w:szCs w:val="22"/>
              </w:rPr>
            </w:pPr>
            <w:r w:rsidRPr="001F791F">
              <w:rPr>
                <w:rFonts w:ascii="Palatino Linotype" w:hAnsi="Palatino Linotype" w:eastAsia="Palatino Linotype"/>
                <w:sz w:val="22"/>
                <w:szCs w:val="22"/>
              </w:rPr>
              <w:t>40% (Assumed 30% and 10% bonus credit)</w:t>
            </w:r>
          </w:p>
        </w:tc>
        <w:tc>
          <w:tcPr>
            <w:tcW w:w="1103" w:type="dxa"/>
          </w:tcPr>
          <w:p w:rsidRPr="001F791F" w:rsidR="00283199" w:rsidP="00AF4766" w:rsidRDefault="00283199" w14:paraId="5FC111DA" w14:textId="27B145DC">
            <w:pPr>
              <w:spacing w:line="259" w:lineRule="auto"/>
              <w:rPr>
                <w:rFonts w:ascii="Palatino Linotype" w:hAnsi="Palatino Linotype" w:eastAsia="Palatino Linotype"/>
                <w:sz w:val="22"/>
                <w:szCs w:val="22"/>
              </w:rPr>
            </w:pPr>
            <w:r w:rsidRPr="001F791F">
              <w:rPr>
                <w:rFonts w:ascii="Palatino Linotype" w:hAnsi="Palatino Linotype" w:eastAsia="Palatino Linotype"/>
                <w:sz w:val="22"/>
                <w:szCs w:val="22"/>
              </w:rPr>
              <w:t>$6,600</w:t>
            </w:r>
          </w:p>
        </w:tc>
        <w:tc>
          <w:tcPr>
            <w:tcW w:w="1299" w:type="dxa"/>
          </w:tcPr>
          <w:p w:rsidRPr="001F791F" w:rsidR="00283199" w:rsidP="00AF4766" w:rsidRDefault="00283199" w14:paraId="6EBA3D52" w14:textId="1BED242C">
            <w:pPr>
              <w:spacing w:line="259" w:lineRule="auto"/>
              <w:rPr>
                <w:rFonts w:ascii="Palatino Linotype" w:hAnsi="Palatino Linotype" w:eastAsia="Palatino Linotype"/>
                <w:sz w:val="22"/>
                <w:szCs w:val="22"/>
              </w:rPr>
            </w:pPr>
            <w:r w:rsidRPr="001F791F">
              <w:rPr>
                <w:rFonts w:ascii="Palatino Linotype" w:hAnsi="Palatino Linotype" w:eastAsia="Palatino Linotype"/>
                <w:sz w:val="22"/>
                <w:szCs w:val="22"/>
              </w:rPr>
              <w:t>$8,400</w:t>
            </w:r>
          </w:p>
        </w:tc>
      </w:tr>
      <w:tr w:rsidR="00283199" w:rsidTr="000065EC" w14:paraId="1AA093EA" w14:textId="77777777">
        <w:trPr>
          <w:trHeight w:val="300"/>
        </w:trPr>
        <w:tc>
          <w:tcPr>
            <w:tcW w:w="1301" w:type="dxa"/>
          </w:tcPr>
          <w:p w:rsidRPr="001F791F" w:rsidR="00283199" w:rsidP="00AF4766" w:rsidRDefault="00283199" w14:paraId="27128899" w14:textId="4DA7A772">
            <w:pPr>
              <w:spacing w:line="259" w:lineRule="auto"/>
              <w:rPr>
                <w:rFonts w:ascii="Palatino Linotype" w:hAnsi="Palatino Linotype" w:eastAsia="Palatino Linotype"/>
                <w:sz w:val="22"/>
                <w:szCs w:val="22"/>
              </w:rPr>
            </w:pPr>
            <w:r>
              <w:rPr>
                <w:rFonts w:ascii="Palatino Linotype" w:hAnsi="Palatino Linotype" w:eastAsia="Palatino Linotype"/>
                <w:sz w:val="22"/>
                <w:szCs w:val="22"/>
              </w:rPr>
              <w:t>State Budget</w:t>
            </w:r>
          </w:p>
        </w:tc>
        <w:tc>
          <w:tcPr>
            <w:tcW w:w="1779" w:type="dxa"/>
          </w:tcPr>
          <w:p w:rsidRPr="001F791F" w:rsidR="00283199" w:rsidP="00AF4766" w:rsidRDefault="00283199" w14:paraId="26758C48" w14:textId="5F67AADB">
            <w:pPr>
              <w:spacing w:line="259" w:lineRule="auto"/>
              <w:rPr>
                <w:rFonts w:ascii="Palatino Linotype" w:hAnsi="Palatino Linotype" w:eastAsia="Palatino Linotype"/>
                <w:sz w:val="22"/>
                <w:szCs w:val="22"/>
              </w:rPr>
            </w:pPr>
            <w:r w:rsidRPr="001F791F">
              <w:rPr>
                <w:rFonts w:ascii="Palatino Linotype" w:hAnsi="Palatino Linotype" w:eastAsia="Palatino Linotype"/>
                <w:sz w:val="22"/>
                <w:szCs w:val="22"/>
              </w:rPr>
              <w:t>RSSE – Residential Host Customer Owned or TPO</w:t>
            </w:r>
          </w:p>
        </w:tc>
        <w:tc>
          <w:tcPr>
            <w:tcW w:w="1015" w:type="dxa"/>
          </w:tcPr>
          <w:p w:rsidRPr="001F791F" w:rsidR="00283199" w:rsidP="00AF4766" w:rsidRDefault="00283199" w14:paraId="06936879" w14:textId="06AB3C2D">
            <w:pPr>
              <w:spacing w:line="259" w:lineRule="auto"/>
              <w:rPr>
                <w:rFonts w:ascii="Palatino Linotype" w:hAnsi="Palatino Linotype" w:eastAsia="Palatino Linotype"/>
                <w:sz w:val="22"/>
                <w:szCs w:val="22"/>
              </w:rPr>
            </w:pPr>
            <w:r w:rsidRPr="001F791F">
              <w:rPr>
                <w:rFonts w:ascii="Palatino Linotype" w:hAnsi="Palatino Linotype" w:eastAsia="Palatino Linotype"/>
                <w:sz w:val="22"/>
                <w:szCs w:val="22"/>
              </w:rPr>
              <w:t>$16,500</w:t>
            </w:r>
          </w:p>
        </w:tc>
        <w:tc>
          <w:tcPr>
            <w:tcW w:w="1280" w:type="dxa"/>
          </w:tcPr>
          <w:p w:rsidRPr="001F791F" w:rsidR="00283199" w:rsidP="00AF4766" w:rsidRDefault="00283199" w14:paraId="193FB6A7" w14:textId="6626ED59">
            <w:pPr>
              <w:spacing w:line="259" w:lineRule="auto"/>
              <w:rPr>
                <w:rFonts w:ascii="Palatino Linotype" w:hAnsi="Palatino Linotype" w:eastAsia="Palatino Linotype"/>
                <w:sz w:val="22"/>
                <w:szCs w:val="22"/>
              </w:rPr>
            </w:pPr>
            <w:r w:rsidRPr="001F791F">
              <w:rPr>
                <w:rFonts w:ascii="Palatino Linotype" w:hAnsi="Palatino Linotype" w:eastAsia="Palatino Linotype"/>
                <w:sz w:val="22"/>
                <w:szCs w:val="22"/>
              </w:rPr>
              <w:t>$16,500</w:t>
            </w:r>
          </w:p>
        </w:tc>
        <w:tc>
          <w:tcPr>
            <w:tcW w:w="1573" w:type="dxa"/>
          </w:tcPr>
          <w:p w:rsidRPr="001F791F" w:rsidR="00283199" w:rsidP="00AF4766" w:rsidRDefault="00283199" w14:paraId="601B93EA" w14:textId="17725BFD">
            <w:pPr>
              <w:spacing w:line="259" w:lineRule="auto"/>
              <w:rPr>
                <w:rFonts w:ascii="Palatino Linotype" w:hAnsi="Palatino Linotype" w:eastAsia="Palatino Linotype"/>
                <w:sz w:val="22"/>
                <w:szCs w:val="22"/>
              </w:rPr>
            </w:pPr>
            <w:r w:rsidRPr="001F791F">
              <w:rPr>
                <w:rFonts w:ascii="Palatino Linotype" w:hAnsi="Palatino Linotype" w:eastAsia="Palatino Linotype"/>
                <w:sz w:val="22"/>
                <w:szCs w:val="22"/>
              </w:rPr>
              <w:t>30% (Assumed 30%)</w:t>
            </w:r>
          </w:p>
        </w:tc>
        <w:tc>
          <w:tcPr>
            <w:tcW w:w="1103" w:type="dxa"/>
          </w:tcPr>
          <w:p w:rsidRPr="001F791F" w:rsidR="00283199" w:rsidP="00AF4766" w:rsidRDefault="00283199" w14:paraId="2CCE7010" w14:textId="59544F83">
            <w:pPr>
              <w:spacing w:line="259" w:lineRule="auto"/>
              <w:rPr>
                <w:rFonts w:ascii="Palatino Linotype" w:hAnsi="Palatino Linotype" w:eastAsia="Palatino Linotype"/>
                <w:sz w:val="22"/>
                <w:szCs w:val="22"/>
              </w:rPr>
            </w:pPr>
            <w:r w:rsidRPr="001F791F">
              <w:rPr>
                <w:rFonts w:ascii="Palatino Linotype" w:hAnsi="Palatino Linotype" w:eastAsia="Palatino Linotype"/>
                <w:sz w:val="22"/>
                <w:szCs w:val="22"/>
              </w:rPr>
              <w:t>$4,950</w:t>
            </w:r>
          </w:p>
        </w:tc>
        <w:tc>
          <w:tcPr>
            <w:tcW w:w="1299" w:type="dxa"/>
          </w:tcPr>
          <w:p w:rsidRPr="001F791F" w:rsidR="00283199" w:rsidP="00AF4766" w:rsidRDefault="00283199" w14:paraId="1D066D6C" w14:textId="7EC84301">
            <w:pPr>
              <w:spacing w:line="259" w:lineRule="auto"/>
              <w:rPr>
                <w:rFonts w:ascii="Palatino Linotype" w:hAnsi="Palatino Linotype" w:eastAsia="Palatino Linotype"/>
                <w:sz w:val="22"/>
                <w:szCs w:val="22"/>
              </w:rPr>
            </w:pPr>
            <w:r w:rsidRPr="001F791F">
              <w:rPr>
                <w:rFonts w:ascii="Palatino Linotype" w:hAnsi="Palatino Linotype" w:eastAsia="Palatino Linotype"/>
                <w:sz w:val="22"/>
                <w:szCs w:val="22"/>
              </w:rPr>
              <w:t>$11,550</w:t>
            </w:r>
          </w:p>
        </w:tc>
      </w:tr>
    </w:tbl>
    <w:p w:rsidR="001A7DB3" w:rsidP="00AF4766" w:rsidRDefault="001A7DB3" w14:paraId="5F512976" w14:textId="77777777">
      <w:pPr>
        <w:spacing w:line="259" w:lineRule="auto"/>
        <w:rPr>
          <w:rFonts w:ascii="Palatino Linotype" w:hAnsi="Palatino Linotype" w:eastAsia="Palatino Linotype"/>
          <w:sz w:val="24"/>
          <w:szCs w:val="24"/>
        </w:rPr>
      </w:pPr>
    </w:p>
    <w:p w:rsidRPr="00AF4766" w:rsidR="00BB38E1" w:rsidP="00AF4766" w:rsidRDefault="00BB38E1" w14:paraId="54F35307" w14:textId="4BACF1B4">
      <w:pPr>
        <w:spacing w:line="259" w:lineRule="auto"/>
        <w:rPr>
          <w:rFonts w:ascii="Palatino Linotype" w:hAnsi="Palatino Linotype" w:eastAsia="Palatino Linotype"/>
          <w:sz w:val="24"/>
          <w:szCs w:val="24"/>
        </w:rPr>
      </w:pPr>
      <w:r>
        <w:rPr>
          <w:rFonts w:ascii="Palatino Linotype" w:hAnsi="Palatino Linotype" w:eastAsia="Palatino Linotype"/>
          <w:sz w:val="24"/>
          <w:szCs w:val="24"/>
        </w:rPr>
        <w:t xml:space="preserve">The Commission finds the </w:t>
      </w:r>
      <w:r w:rsidRPr="39D1037D" w:rsidR="5F483A68">
        <w:rPr>
          <w:rFonts w:ascii="Palatino Linotype" w:hAnsi="Palatino Linotype" w:eastAsia="Palatino Linotype"/>
          <w:sz w:val="24"/>
          <w:szCs w:val="24"/>
        </w:rPr>
        <w:t xml:space="preserve">income </w:t>
      </w:r>
      <w:r>
        <w:rPr>
          <w:rFonts w:ascii="Palatino Linotype" w:hAnsi="Palatino Linotype" w:eastAsia="Palatino Linotype"/>
          <w:sz w:val="24"/>
          <w:szCs w:val="24"/>
        </w:rPr>
        <w:t xml:space="preserve">tax implications of the SGIP payment </w:t>
      </w:r>
      <w:r w:rsidR="00AF68B8">
        <w:rPr>
          <w:rFonts w:ascii="Palatino Linotype" w:hAnsi="Palatino Linotype" w:eastAsia="Palatino Linotype"/>
          <w:sz w:val="24"/>
          <w:szCs w:val="24"/>
        </w:rPr>
        <w:t xml:space="preserve">to host customers </w:t>
      </w:r>
      <w:r w:rsidRPr="39D1037D" w:rsidR="7E33ECEE">
        <w:rPr>
          <w:rFonts w:ascii="Palatino Linotype" w:hAnsi="Palatino Linotype" w:eastAsia="Palatino Linotype"/>
          <w:sz w:val="24"/>
          <w:szCs w:val="24"/>
        </w:rPr>
        <w:t>to be highly uncertain and beyond the jurisdiction of the Commission</w:t>
      </w:r>
      <w:r w:rsidR="00AF68B8">
        <w:rPr>
          <w:rFonts w:ascii="Palatino Linotype" w:hAnsi="Palatino Linotype" w:eastAsia="Palatino Linotype"/>
          <w:sz w:val="24"/>
          <w:szCs w:val="24"/>
        </w:rPr>
        <w:t xml:space="preserve">. The host customer should follow IRS guidance </w:t>
      </w:r>
      <w:r w:rsidR="0023532F">
        <w:rPr>
          <w:rFonts w:ascii="Palatino Linotype" w:hAnsi="Palatino Linotype" w:eastAsia="Palatino Linotype"/>
          <w:sz w:val="24"/>
          <w:szCs w:val="24"/>
        </w:rPr>
        <w:t>on how to file their taxes</w:t>
      </w:r>
      <w:r w:rsidRPr="39D1037D" w:rsidR="131E2DFA">
        <w:rPr>
          <w:rFonts w:ascii="Palatino Linotype" w:hAnsi="Palatino Linotype" w:eastAsia="Palatino Linotype"/>
          <w:sz w:val="24"/>
          <w:szCs w:val="24"/>
        </w:rPr>
        <w:t xml:space="preserve"> and </w:t>
      </w:r>
      <w:r w:rsidR="006E4E4B">
        <w:rPr>
          <w:rFonts w:ascii="Palatino Linotype" w:hAnsi="Palatino Linotype" w:eastAsia="Palatino Linotype"/>
          <w:sz w:val="24"/>
          <w:szCs w:val="24"/>
        </w:rPr>
        <w:t xml:space="preserve">the </w:t>
      </w:r>
      <w:r w:rsidRPr="39D1037D" w:rsidR="131E2DFA">
        <w:rPr>
          <w:rFonts w:ascii="Palatino Linotype" w:hAnsi="Palatino Linotype" w:eastAsia="Palatino Linotype"/>
          <w:sz w:val="24"/>
          <w:szCs w:val="24"/>
        </w:rPr>
        <w:t>Commission does not offer tax advice.</w:t>
      </w:r>
      <w:r w:rsidR="0023532F">
        <w:rPr>
          <w:rFonts w:ascii="Palatino Linotype" w:hAnsi="Palatino Linotype" w:eastAsia="Palatino Linotype"/>
          <w:sz w:val="24"/>
          <w:szCs w:val="24"/>
        </w:rPr>
        <w:t xml:space="preserve"> </w:t>
      </w:r>
      <w:r w:rsidR="00EC1677">
        <w:rPr>
          <w:rFonts w:ascii="Palatino Linotype" w:hAnsi="Palatino Linotype" w:eastAsia="Palatino Linotype"/>
          <w:sz w:val="24"/>
          <w:szCs w:val="24"/>
        </w:rPr>
        <w:t>The Commission finds it reasonable to include a disclaimer</w:t>
      </w:r>
      <w:r w:rsidR="003A70FC">
        <w:rPr>
          <w:rFonts w:ascii="Palatino Linotype" w:hAnsi="Palatino Linotype" w:eastAsia="Palatino Linotype"/>
          <w:sz w:val="24"/>
          <w:szCs w:val="24"/>
        </w:rPr>
        <w:t xml:space="preserve"> in the SGIP application</w:t>
      </w:r>
      <w:r w:rsidR="00EC1677">
        <w:rPr>
          <w:rFonts w:ascii="Palatino Linotype" w:hAnsi="Palatino Linotype" w:eastAsia="Palatino Linotype"/>
          <w:sz w:val="24"/>
          <w:szCs w:val="24"/>
        </w:rPr>
        <w:t xml:space="preserve"> </w:t>
      </w:r>
      <w:r w:rsidR="004C02F7">
        <w:rPr>
          <w:rFonts w:ascii="Palatino Linotype" w:hAnsi="Palatino Linotype" w:eastAsia="Palatino Linotype"/>
          <w:sz w:val="24"/>
          <w:szCs w:val="24"/>
        </w:rPr>
        <w:t xml:space="preserve">indicating </w:t>
      </w:r>
      <w:r w:rsidR="00EC1677">
        <w:rPr>
          <w:rFonts w:ascii="Palatino Linotype" w:hAnsi="Palatino Linotype" w:eastAsia="Palatino Linotype"/>
          <w:sz w:val="24"/>
          <w:szCs w:val="24"/>
        </w:rPr>
        <w:t xml:space="preserve">if the SGIP incentive is from ratepayer or </w:t>
      </w:r>
      <w:r w:rsidR="00F14531">
        <w:rPr>
          <w:rFonts w:ascii="Palatino Linotype" w:hAnsi="Palatino Linotype" w:eastAsia="Palatino Linotype"/>
          <w:sz w:val="24"/>
          <w:szCs w:val="24"/>
        </w:rPr>
        <w:t>state</w:t>
      </w:r>
      <w:r w:rsidR="00EC1677">
        <w:rPr>
          <w:rFonts w:ascii="Palatino Linotype" w:hAnsi="Palatino Linotype" w:eastAsia="Palatino Linotype"/>
          <w:sz w:val="24"/>
          <w:szCs w:val="24"/>
        </w:rPr>
        <w:t xml:space="preserve"> funds</w:t>
      </w:r>
      <w:r w:rsidR="00C14391">
        <w:rPr>
          <w:rFonts w:ascii="Palatino Linotype" w:hAnsi="Palatino Linotype" w:eastAsia="Palatino Linotype"/>
          <w:sz w:val="24"/>
          <w:szCs w:val="24"/>
        </w:rPr>
        <w:t xml:space="preserve">. The SGIP PAs </w:t>
      </w:r>
      <w:r w:rsidR="008C0BA1">
        <w:rPr>
          <w:rFonts w:ascii="Palatino Linotype" w:hAnsi="Palatino Linotype" w:eastAsia="Palatino Linotype"/>
          <w:sz w:val="24"/>
          <w:szCs w:val="24"/>
        </w:rPr>
        <w:t xml:space="preserve">proposed </w:t>
      </w:r>
      <w:r w:rsidR="00AF5A20">
        <w:rPr>
          <w:rFonts w:ascii="Palatino Linotype" w:hAnsi="Palatino Linotype" w:eastAsia="Palatino Linotype"/>
          <w:sz w:val="24"/>
          <w:szCs w:val="24"/>
        </w:rPr>
        <w:t>in</w:t>
      </w:r>
      <w:r w:rsidR="003D6251">
        <w:rPr>
          <w:rFonts w:ascii="Palatino Linotype" w:hAnsi="Palatino Linotype" w:eastAsia="Palatino Linotype"/>
          <w:sz w:val="24"/>
          <w:szCs w:val="24"/>
        </w:rPr>
        <w:t xml:space="preserve"> SCG 6405-G et al. </w:t>
      </w:r>
      <w:r w:rsidR="00306811">
        <w:rPr>
          <w:rFonts w:ascii="Palatino Linotype" w:hAnsi="Palatino Linotype" w:eastAsia="Palatino Linotype"/>
          <w:sz w:val="24"/>
          <w:szCs w:val="24"/>
        </w:rPr>
        <w:t xml:space="preserve">to </w:t>
      </w:r>
      <w:r w:rsidR="003D6251">
        <w:rPr>
          <w:rFonts w:ascii="Palatino Linotype" w:hAnsi="Palatino Linotype" w:eastAsia="Palatino Linotype"/>
          <w:sz w:val="24"/>
          <w:szCs w:val="24"/>
        </w:rPr>
        <w:t>includ</w:t>
      </w:r>
      <w:r w:rsidR="00306811">
        <w:rPr>
          <w:rFonts w:ascii="Palatino Linotype" w:hAnsi="Palatino Linotype" w:eastAsia="Palatino Linotype"/>
          <w:sz w:val="24"/>
          <w:szCs w:val="24"/>
        </w:rPr>
        <w:t>e</w:t>
      </w:r>
      <w:r w:rsidR="003D6251">
        <w:rPr>
          <w:rFonts w:ascii="Palatino Linotype" w:hAnsi="Palatino Linotype" w:eastAsia="Palatino Linotype"/>
          <w:sz w:val="24"/>
          <w:szCs w:val="24"/>
        </w:rPr>
        <w:t xml:space="preserve"> </w:t>
      </w:r>
      <w:r w:rsidRPr="39D1037D" w:rsidR="242B74BF">
        <w:rPr>
          <w:rFonts w:ascii="Palatino Linotype" w:hAnsi="Palatino Linotype" w:eastAsia="Palatino Linotype"/>
          <w:sz w:val="24"/>
          <w:szCs w:val="24"/>
        </w:rPr>
        <w:t xml:space="preserve">links to official IRS guidance for </w:t>
      </w:r>
      <w:r w:rsidRPr="39D1037D" w:rsidR="00F002A2">
        <w:rPr>
          <w:rFonts w:ascii="Palatino Linotype" w:hAnsi="Palatino Linotype" w:eastAsia="Palatino Linotype"/>
          <w:sz w:val="24"/>
          <w:szCs w:val="24"/>
        </w:rPr>
        <w:t>interpretation</w:t>
      </w:r>
      <w:r w:rsidRPr="39D1037D" w:rsidR="242B74BF">
        <w:rPr>
          <w:rFonts w:ascii="Palatino Linotype" w:hAnsi="Palatino Linotype" w:eastAsia="Palatino Linotype"/>
          <w:sz w:val="24"/>
          <w:szCs w:val="24"/>
        </w:rPr>
        <w:t xml:space="preserve"> by the customer</w:t>
      </w:r>
      <w:r w:rsidR="00F002A2">
        <w:rPr>
          <w:rFonts w:ascii="Palatino Linotype" w:hAnsi="Palatino Linotype" w:eastAsia="Palatino Linotype"/>
          <w:sz w:val="24"/>
          <w:szCs w:val="24"/>
        </w:rPr>
        <w:t xml:space="preserve"> </w:t>
      </w:r>
      <w:r w:rsidR="002D67AA">
        <w:rPr>
          <w:rFonts w:ascii="Palatino Linotype" w:hAnsi="Palatino Linotype" w:eastAsia="Palatino Linotype"/>
          <w:sz w:val="24"/>
          <w:szCs w:val="24"/>
        </w:rPr>
        <w:t xml:space="preserve">on the </w:t>
      </w:r>
      <w:r w:rsidR="00F6116B">
        <w:rPr>
          <w:rFonts w:ascii="Palatino Linotype" w:hAnsi="Palatino Linotype" w:eastAsia="Palatino Linotype"/>
          <w:sz w:val="24"/>
          <w:szCs w:val="24"/>
        </w:rPr>
        <w:t>SGIP website</w:t>
      </w:r>
      <w:r w:rsidR="00F6116B">
        <w:rPr>
          <w:rStyle w:val="FootnoteReference"/>
          <w:rFonts w:ascii="Palatino Linotype" w:hAnsi="Palatino Linotype" w:eastAsia="Palatino Linotype"/>
          <w:sz w:val="24"/>
          <w:szCs w:val="24"/>
        </w:rPr>
        <w:footnoteReference w:id="34"/>
      </w:r>
      <w:r w:rsidR="00471921">
        <w:rPr>
          <w:rFonts w:ascii="Palatino Linotype" w:hAnsi="Palatino Linotype" w:eastAsia="Palatino Linotype"/>
          <w:sz w:val="24"/>
          <w:szCs w:val="24"/>
        </w:rPr>
        <w:t xml:space="preserve"> which is approved by the Commission.</w:t>
      </w:r>
      <w:r w:rsidR="00197B61">
        <w:rPr>
          <w:rFonts w:ascii="Palatino Linotype" w:hAnsi="Palatino Linotype" w:eastAsia="Palatino Linotype"/>
          <w:sz w:val="24"/>
          <w:szCs w:val="24"/>
        </w:rPr>
        <w:t xml:space="preserve"> The Commission further directs the </w:t>
      </w:r>
      <w:r w:rsidR="00DF1BA2">
        <w:rPr>
          <w:rFonts w:ascii="Palatino Linotype" w:hAnsi="Palatino Linotype" w:eastAsia="Palatino Linotype"/>
          <w:sz w:val="24"/>
          <w:szCs w:val="24"/>
        </w:rPr>
        <w:t xml:space="preserve">SGIP PAs to </w:t>
      </w:r>
      <w:r w:rsidR="00704879">
        <w:rPr>
          <w:rFonts w:ascii="Palatino Linotype" w:hAnsi="Palatino Linotype" w:eastAsia="Palatino Linotype"/>
          <w:sz w:val="24"/>
          <w:szCs w:val="24"/>
        </w:rPr>
        <w:t xml:space="preserve">send a direct notice to </w:t>
      </w:r>
      <w:r w:rsidR="004821C0">
        <w:rPr>
          <w:rFonts w:ascii="Palatino Linotype" w:hAnsi="Palatino Linotype" w:eastAsia="Palatino Linotype"/>
          <w:sz w:val="24"/>
          <w:szCs w:val="24"/>
        </w:rPr>
        <w:t xml:space="preserve">the appropriate SGIP participants </w:t>
      </w:r>
      <w:r w:rsidR="000A5D96">
        <w:rPr>
          <w:rFonts w:ascii="Palatino Linotype" w:hAnsi="Palatino Linotype" w:eastAsia="Palatino Linotype"/>
          <w:sz w:val="24"/>
          <w:szCs w:val="24"/>
        </w:rPr>
        <w:t>including</w:t>
      </w:r>
      <w:r w:rsidR="00DE622D">
        <w:rPr>
          <w:rFonts w:ascii="Palatino Linotype" w:hAnsi="Palatino Linotype" w:eastAsia="Palatino Linotype"/>
          <w:sz w:val="24"/>
          <w:szCs w:val="24"/>
        </w:rPr>
        <w:t xml:space="preserve"> </w:t>
      </w:r>
      <w:r w:rsidR="004E2452">
        <w:rPr>
          <w:rFonts w:ascii="Palatino Linotype" w:hAnsi="Palatino Linotype" w:eastAsia="Palatino Linotype"/>
          <w:sz w:val="24"/>
          <w:szCs w:val="24"/>
        </w:rPr>
        <w:t xml:space="preserve">links to </w:t>
      </w:r>
      <w:r w:rsidR="006D769E">
        <w:rPr>
          <w:rFonts w:ascii="Palatino Linotype" w:hAnsi="Palatino Linotype" w:eastAsia="Palatino Linotype"/>
          <w:sz w:val="24"/>
          <w:szCs w:val="24"/>
        </w:rPr>
        <w:t>the</w:t>
      </w:r>
      <w:r w:rsidR="004E2452">
        <w:rPr>
          <w:rFonts w:ascii="Palatino Linotype" w:hAnsi="Palatino Linotype" w:eastAsia="Palatino Linotype"/>
          <w:sz w:val="24"/>
          <w:szCs w:val="24"/>
        </w:rPr>
        <w:t xml:space="preserve"> IRS guidance, </w:t>
      </w:r>
      <w:r w:rsidR="00CC33B2">
        <w:rPr>
          <w:rFonts w:ascii="Palatino Linotype" w:hAnsi="Palatino Linotype" w:eastAsia="Palatino Linotype"/>
          <w:sz w:val="24"/>
          <w:szCs w:val="24"/>
        </w:rPr>
        <w:t xml:space="preserve">the expected or final value of the SGIP incentive, and </w:t>
      </w:r>
      <w:r w:rsidR="00D06A64">
        <w:rPr>
          <w:rFonts w:ascii="Palatino Linotype" w:hAnsi="Palatino Linotype" w:eastAsia="Palatino Linotype"/>
          <w:sz w:val="24"/>
          <w:szCs w:val="24"/>
        </w:rPr>
        <w:t xml:space="preserve">the </w:t>
      </w:r>
      <w:r w:rsidR="008F06C8">
        <w:rPr>
          <w:rFonts w:ascii="Palatino Linotype" w:hAnsi="Palatino Linotype" w:eastAsia="Palatino Linotype"/>
          <w:sz w:val="24"/>
          <w:szCs w:val="24"/>
        </w:rPr>
        <w:t>tax credit value t</w:t>
      </w:r>
      <w:r w:rsidR="00B72015">
        <w:rPr>
          <w:rFonts w:ascii="Palatino Linotype" w:hAnsi="Palatino Linotype" w:eastAsia="Palatino Linotype"/>
          <w:sz w:val="24"/>
          <w:szCs w:val="24"/>
        </w:rPr>
        <w:t xml:space="preserve">hat was indicated by the applicant in the SGIP application. This notice will ensure that </w:t>
      </w:r>
      <w:r w:rsidR="004D05C7">
        <w:rPr>
          <w:rFonts w:ascii="Palatino Linotype" w:hAnsi="Palatino Linotype" w:eastAsia="Palatino Linotype"/>
          <w:sz w:val="24"/>
          <w:szCs w:val="24"/>
        </w:rPr>
        <w:t xml:space="preserve">host customers who own the system </w:t>
      </w:r>
      <w:r w:rsidR="00784770">
        <w:rPr>
          <w:rFonts w:ascii="Palatino Linotype" w:hAnsi="Palatino Linotype" w:eastAsia="Palatino Linotype"/>
          <w:sz w:val="24"/>
          <w:szCs w:val="24"/>
        </w:rPr>
        <w:t>will</w:t>
      </w:r>
      <w:r w:rsidR="00BB4E68">
        <w:rPr>
          <w:rFonts w:ascii="Palatino Linotype" w:hAnsi="Palatino Linotype" w:eastAsia="Palatino Linotype"/>
          <w:sz w:val="24"/>
          <w:szCs w:val="24"/>
        </w:rPr>
        <w:t xml:space="preserve"> directly receive the appropriate </w:t>
      </w:r>
      <w:r w:rsidRPr="7E824BF2" w:rsidR="55ABD513">
        <w:rPr>
          <w:rFonts w:ascii="Palatino Linotype" w:hAnsi="Palatino Linotype" w:eastAsia="Palatino Linotype"/>
          <w:sz w:val="24"/>
          <w:szCs w:val="24"/>
        </w:rPr>
        <w:t>information about the SGIP incentive and are aware of the availability of</w:t>
      </w:r>
      <w:r w:rsidRPr="7E824BF2" w:rsidR="00BB4E68">
        <w:rPr>
          <w:rFonts w:ascii="Palatino Linotype" w:hAnsi="Palatino Linotype" w:eastAsia="Palatino Linotype"/>
          <w:sz w:val="24"/>
          <w:szCs w:val="24"/>
        </w:rPr>
        <w:t xml:space="preserve"> </w:t>
      </w:r>
      <w:r w:rsidR="00BB4E68">
        <w:rPr>
          <w:rFonts w:ascii="Palatino Linotype" w:hAnsi="Palatino Linotype" w:eastAsia="Palatino Linotype"/>
          <w:sz w:val="24"/>
          <w:szCs w:val="24"/>
        </w:rPr>
        <w:t>IRS guidance</w:t>
      </w:r>
      <w:r w:rsidRPr="7E824BF2" w:rsidR="5CE5210D">
        <w:rPr>
          <w:rFonts w:ascii="Palatino Linotype" w:hAnsi="Palatino Linotype" w:eastAsia="Palatino Linotype"/>
          <w:sz w:val="24"/>
          <w:szCs w:val="24"/>
        </w:rPr>
        <w:t xml:space="preserve"> for their review</w:t>
      </w:r>
      <w:r w:rsidR="00926127">
        <w:rPr>
          <w:rFonts w:ascii="Palatino Linotype" w:hAnsi="Palatino Linotype" w:eastAsia="Palatino Linotype"/>
          <w:sz w:val="24"/>
          <w:szCs w:val="24"/>
        </w:rPr>
        <w:t>.</w:t>
      </w:r>
    </w:p>
    <w:p w:rsidR="00DA6211" w:rsidP="00630B2F" w:rsidRDefault="00DA6211" w14:paraId="314C4DCA" w14:textId="77777777">
      <w:pPr>
        <w:rPr>
          <w:rFonts w:ascii="Palatino Linotype" w:hAnsi="Palatino Linotype" w:eastAsia="Palatino Linotype"/>
          <w:sz w:val="24"/>
          <w:szCs w:val="24"/>
        </w:rPr>
      </w:pPr>
    </w:p>
    <w:p w:rsidRPr="00C07DE7" w:rsidR="00A7112A" w:rsidP="000C0C5C" w:rsidRDefault="00A7112A" w14:paraId="441E51AD" w14:textId="341C9346">
      <w:pPr>
        <w:pStyle w:val="ListParagraph"/>
        <w:keepNext/>
        <w:numPr>
          <w:ilvl w:val="0"/>
          <w:numId w:val="29"/>
        </w:numPr>
        <w:rPr>
          <w:rFonts w:ascii="Palatino Linotype" w:hAnsi="Palatino Linotype" w:eastAsia="Palatino Linotype"/>
          <w:b/>
          <w:szCs w:val="26"/>
        </w:rPr>
      </w:pPr>
      <w:r>
        <w:rPr>
          <w:rFonts w:ascii="Palatino Linotype" w:hAnsi="Palatino Linotype" w:eastAsia="Palatino Linotype"/>
          <w:b/>
          <w:bCs/>
          <w:sz w:val="24"/>
          <w:szCs w:val="24"/>
        </w:rPr>
        <w:lastRenderedPageBreak/>
        <w:t>Treatment of the IRA Tax Credit</w:t>
      </w:r>
    </w:p>
    <w:p w:rsidRPr="000428E2" w:rsidR="00C07DE7" w:rsidP="000C0C5C" w:rsidRDefault="00C07DE7" w14:paraId="6118EC79" w14:textId="77777777">
      <w:pPr>
        <w:keepNext/>
        <w:rPr>
          <w:rFonts w:ascii="Palatino Linotype" w:hAnsi="Palatino Linotype" w:eastAsia="Palatino Linotype"/>
          <w:sz w:val="24"/>
          <w:szCs w:val="24"/>
        </w:rPr>
      </w:pPr>
    </w:p>
    <w:p w:rsidR="00DA1983" w:rsidP="000C0C5C" w:rsidRDefault="00D64E2D" w14:paraId="45CCF0E3" w14:textId="46A0B715">
      <w:pPr>
        <w:keepNext/>
        <w:rPr>
          <w:rFonts w:ascii="Palatino Linotype" w:hAnsi="Palatino Linotype" w:eastAsia="Palatino Linotype"/>
          <w:sz w:val="24"/>
          <w:szCs w:val="24"/>
        </w:rPr>
      </w:pPr>
      <w:r>
        <w:rPr>
          <w:rFonts w:ascii="Palatino Linotype" w:hAnsi="Palatino Linotype" w:eastAsia="Palatino Linotype"/>
          <w:sz w:val="24"/>
          <w:szCs w:val="24"/>
        </w:rPr>
        <w:t>The Commission finds</w:t>
      </w:r>
      <w:r w:rsidR="000428E2">
        <w:rPr>
          <w:rFonts w:ascii="Palatino Linotype" w:hAnsi="Palatino Linotype" w:eastAsia="Palatino Linotype"/>
          <w:sz w:val="24"/>
          <w:szCs w:val="24"/>
        </w:rPr>
        <w:t xml:space="preserve"> that the </w:t>
      </w:r>
      <w:r w:rsidR="009F4929">
        <w:rPr>
          <w:rFonts w:ascii="Palatino Linotype" w:hAnsi="Palatino Linotype" w:eastAsia="Palatino Linotype"/>
          <w:sz w:val="24"/>
          <w:szCs w:val="24"/>
        </w:rPr>
        <w:t>reduction in SGIP payment</w:t>
      </w:r>
      <w:r w:rsidR="00CF10B9">
        <w:rPr>
          <w:rFonts w:ascii="Palatino Linotype" w:hAnsi="Palatino Linotype" w:eastAsia="Palatino Linotype"/>
          <w:sz w:val="24"/>
          <w:szCs w:val="24"/>
        </w:rPr>
        <w:t xml:space="preserve"> to ensure the </w:t>
      </w:r>
      <w:r w:rsidR="003A4362">
        <w:rPr>
          <w:rFonts w:ascii="Palatino Linotype" w:hAnsi="Palatino Linotype" w:eastAsia="Palatino Linotype"/>
          <w:sz w:val="24"/>
          <w:szCs w:val="24"/>
        </w:rPr>
        <w:t>combined</w:t>
      </w:r>
      <w:r w:rsidR="00CF10B9">
        <w:rPr>
          <w:rFonts w:ascii="Palatino Linotype" w:hAnsi="Palatino Linotype" w:eastAsia="Palatino Linotype"/>
          <w:sz w:val="24"/>
          <w:szCs w:val="24"/>
        </w:rPr>
        <w:t xml:space="preserve"> </w:t>
      </w:r>
      <w:r w:rsidR="009F4929">
        <w:rPr>
          <w:rFonts w:ascii="Palatino Linotype" w:hAnsi="Palatino Linotype" w:eastAsia="Palatino Linotype"/>
          <w:sz w:val="24"/>
          <w:szCs w:val="24"/>
        </w:rPr>
        <w:t>IRA tax credit</w:t>
      </w:r>
      <w:r w:rsidR="003A4362">
        <w:rPr>
          <w:rFonts w:ascii="Palatino Linotype" w:hAnsi="Palatino Linotype" w:eastAsia="Palatino Linotype"/>
          <w:sz w:val="24"/>
          <w:szCs w:val="24"/>
        </w:rPr>
        <w:t xml:space="preserve"> and SGIP payment do not exceed the total eligible project costs</w:t>
      </w:r>
      <w:r w:rsidR="009F4929">
        <w:rPr>
          <w:rFonts w:ascii="Palatino Linotype" w:hAnsi="Palatino Linotype" w:eastAsia="Palatino Linotype"/>
          <w:sz w:val="24"/>
          <w:szCs w:val="24"/>
        </w:rPr>
        <w:t xml:space="preserve"> is ordered by D.24-03-071</w:t>
      </w:r>
      <w:r w:rsidR="004829E5">
        <w:rPr>
          <w:rFonts w:ascii="Palatino Linotype" w:hAnsi="Palatino Linotype" w:eastAsia="Palatino Linotype"/>
          <w:sz w:val="24"/>
          <w:szCs w:val="24"/>
        </w:rPr>
        <w:t xml:space="preserve"> </w:t>
      </w:r>
      <w:r w:rsidR="00AA368F">
        <w:rPr>
          <w:rFonts w:ascii="Palatino Linotype" w:hAnsi="Palatino Linotype" w:eastAsia="Palatino Linotype"/>
          <w:sz w:val="24"/>
          <w:szCs w:val="24"/>
        </w:rPr>
        <w:t xml:space="preserve">OP 28 </w:t>
      </w:r>
      <w:r w:rsidR="004829E5">
        <w:rPr>
          <w:rFonts w:ascii="Palatino Linotype" w:hAnsi="Palatino Linotype" w:eastAsia="Palatino Linotype"/>
          <w:sz w:val="24"/>
          <w:szCs w:val="24"/>
        </w:rPr>
        <w:t>and dismisses all protests requesting otherwise.</w:t>
      </w:r>
      <w:r w:rsidR="00005871">
        <w:rPr>
          <w:rFonts w:ascii="Palatino Linotype" w:hAnsi="Palatino Linotype" w:eastAsia="Palatino Linotype"/>
          <w:sz w:val="24"/>
          <w:szCs w:val="24"/>
        </w:rPr>
        <w:t xml:space="preserve"> The Commission finds that D.24-03-071 removed </w:t>
      </w:r>
      <w:r w:rsidR="00B76A20">
        <w:rPr>
          <w:rFonts w:ascii="Palatino Linotype" w:hAnsi="Palatino Linotype" w:eastAsia="Palatino Linotype"/>
          <w:sz w:val="24"/>
          <w:szCs w:val="24"/>
        </w:rPr>
        <w:t>several</w:t>
      </w:r>
      <w:r w:rsidR="00005871">
        <w:rPr>
          <w:rFonts w:ascii="Palatino Linotype" w:hAnsi="Palatino Linotype" w:eastAsia="Palatino Linotype"/>
          <w:sz w:val="24"/>
          <w:szCs w:val="24"/>
        </w:rPr>
        <w:t xml:space="preserve"> barriers to low-income </w:t>
      </w:r>
      <w:r w:rsidR="00B76A20">
        <w:rPr>
          <w:rFonts w:ascii="Palatino Linotype" w:hAnsi="Palatino Linotype" w:eastAsia="Palatino Linotype"/>
          <w:sz w:val="24"/>
          <w:szCs w:val="24"/>
        </w:rPr>
        <w:t>host customer participation</w:t>
      </w:r>
      <w:r w:rsidR="00551C03">
        <w:rPr>
          <w:rFonts w:ascii="Palatino Linotype" w:hAnsi="Palatino Linotype" w:eastAsia="Palatino Linotype"/>
          <w:sz w:val="24"/>
          <w:szCs w:val="24"/>
        </w:rPr>
        <w:t>,</w:t>
      </w:r>
      <w:r w:rsidR="00012865">
        <w:rPr>
          <w:rStyle w:val="FootnoteReference"/>
          <w:rFonts w:ascii="Palatino Linotype" w:hAnsi="Palatino Linotype" w:eastAsia="Palatino Linotype"/>
          <w:sz w:val="24"/>
          <w:szCs w:val="24"/>
        </w:rPr>
        <w:footnoteReference w:id="35"/>
      </w:r>
      <w:r w:rsidR="00B76A20">
        <w:rPr>
          <w:rFonts w:ascii="Palatino Linotype" w:hAnsi="Palatino Linotype" w:eastAsia="Palatino Linotype"/>
          <w:sz w:val="24"/>
          <w:szCs w:val="24"/>
        </w:rPr>
        <w:t xml:space="preserve"> including raising the incentive rate</w:t>
      </w:r>
      <w:r w:rsidR="00320BEA">
        <w:rPr>
          <w:rFonts w:ascii="Palatino Linotype" w:hAnsi="Palatino Linotype" w:eastAsia="Palatino Linotype"/>
          <w:sz w:val="24"/>
          <w:szCs w:val="24"/>
        </w:rPr>
        <w:t>,</w:t>
      </w:r>
      <w:r w:rsidR="00015CC9">
        <w:rPr>
          <w:rFonts w:ascii="Palatino Linotype" w:hAnsi="Palatino Linotype" w:eastAsia="Palatino Linotype"/>
          <w:sz w:val="24"/>
          <w:szCs w:val="24"/>
        </w:rPr>
        <w:t xml:space="preserve"> which will reasonably lead to high participation in the RSSE once it opens</w:t>
      </w:r>
      <w:r w:rsidR="00B76A20">
        <w:rPr>
          <w:rFonts w:ascii="Palatino Linotype" w:hAnsi="Palatino Linotype" w:eastAsia="Palatino Linotype"/>
          <w:sz w:val="24"/>
          <w:szCs w:val="24"/>
        </w:rPr>
        <w:t>.</w:t>
      </w:r>
      <w:r w:rsidR="00AE3C10">
        <w:rPr>
          <w:rFonts w:ascii="Palatino Linotype" w:hAnsi="Palatino Linotype" w:eastAsia="Palatino Linotype"/>
          <w:sz w:val="24"/>
          <w:szCs w:val="24"/>
        </w:rPr>
        <w:t xml:space="preserve"> </w:t>
      </w:r>
    </w:p>
    <w:p w:rsidR="00DA1983" w:rsidP="00D035DD" w:rsidRDefault="00DA1983" w14:paraId="1D75FDA1" w14:textId="77777777">
      <w:pPr>
        <w:rPr>
          <w:rFonts w:ascii="Palatino Linotype" w:hAnsi="Palatino Linotype" w:eastAsia="Palatino Linotype"/>
          <w:sz w:val="24"/>
          <w:szCs w:val="24"/>
        </w:rPr>
      </w:pPr>
    </w:p>
    <w:p w:rsidR="00DA1983" w:rsidP="00D035DD" w:rsidRDefault="0031707E" w14:paraId="6FBE5C7C" w14:textId="3CC818C1">
      <w:pPr>
        <w:rPr>
          <w:rFonts w:ascii="Palatino Linotype" w:hAnsi="Palatino Linotype" w:eastAsia="Palatino Linotype"/>
          <w:sz w:val="24"/>
          <w:szCs w:val="24"/>
        </w:rPr>
      </w:pPr>
      <w:r>
        <w:rPr>
          <w:rFonts w:ascii="Palatino Linotype" w:hAnsi="Palatino Linotype" w:eastAsia="Palatino Linotype"/>
          <w:sz w:val="24"/>
          <w:szCs w:val="24"/>
        </w:rPr>
        <w:t>The Commission finds that SGIP payments are only made after the system has been interconnected and verified at ICF</w:t>
      </w:r>
      <w:r w:rsidR="005E7EEB">
        <w:rPr>
          <w:rFonts w:ascii="Palatino Linotype" w:hAnsi="Palatino Linotype" w:eastAsia="Palatino Linotype"/>
          <w:sz w:val="24"/>
          <w:szCs w:val="24"/>
        </w:rPr>
        <w:t>,</w:t>
      </w:r>
      <w:r>
        <w:rPr>
          <w:rFonts w:ascii="Palatino Linotype" w:hAnsi="Palatino Linotype" w:eastAsia="Palatino Linotype"/>
          <w:sz w:val="24"/>
          <w:szCs w:val="24"/>
        </w:rPr>
        <w:t xml:space="preserve"> </w:t>
      </w:r>
      <w:r w:rsidR="00137937">
        <w:rPr>
          <w:rFonts w:ascii="Palatino Linotype" w:hAnsi="Palatino Linotype" w:eastAsia="Palatino Linotype"/>
          <w:sz w:val="24"/>
          <w:szCs w:val="24"/>
        </w:rPr>
        <w:t xml:space="preserve">in alignment with </w:t>
      </w:r>
      <w:r>
        <w:rPr>
          <w:rFonts w:ascii="Palatino Linotype" w:hAnsi="Palatino Linotype" w:eastAsia="Palatino Linotype"/>
          <w:sz w:val="24"/>
          <w:szCs w:val="24"/>
        </w:rPr>
        <w:t>the IRA tax credit</w:t>
      </w:r>
      <w:r w:rsidR="00F53DB3">
        <w:rPr>
          <w:rFonts w:ascii="Palatino Linotype" w:hAnsi="Palatino Linotype" w:eastAsia="Palatino Linotype"/>
          <w:sz w:val="24"/>
          <w:szCs w:val="24"/>
        </w:rPr>
        <w:t>. Therefore,</w:t>
      </w:r>
      <w:r>
        <w:rPr>
          <w:rFonts w:ascii="Palatino Linotype" w:hAnsi="Palatino Linotype" w:eastAsia="Palatino Linotype"/>
          <w:sz w:val="24"/>
          <w:szCs w:val="24"/>
        </w:rPr>
        <w:t xml:space="preserve"> the maximum amount of time </w:t>
      </w:r>
      <w:r w:rsidR="00F53DB3">
        <w:rPr>
          <w:rFonts w:ascii="Palatino Linotype" w:hAnsi="Palatino Linotype" w:eastAsia="Palatino Linotype"/>
          <w:sz w:val="24"/>
          <w:szCs w:val="24"/>
        </w:rPr>
        <w:t xml:space="preserve">it will take </w:t>
      </w:r>
      <w:r w:rsidR="00BE2E5B">
        <w:rPr>
          <w:rFonts w:ascii="Palatino Linotype" w:hAnsi="Palatino Linotype" w:eastAsia="Palatino Linotype"/>
          <w:sz w:val="24"/>
          <w:szCs w:val="24"/>
        </w:rPr>
        <w:t>to claim the tax credit after the SGIP payment is one year</w:t>
      </w:r>
      <w:r w:rsidR="00450F9F">
        <w:rPr>
          <w:rFonts w:ascii="Palatino Linotype" w:hAnsi="Palatino Linotype" w:eastAsia="Palatino Linotype"/>
          <w:sz w:val="24"/>
          <w:szCs w:val="24"/>
        </w:rPr>
        <w:t>:</w:t>
      </w:r>
      <w:r w:rsidR="006C7739">
        <w:rPr>
          <w:rFonts w:ascii="Palatino Linotype" w:hAnsi="Palatino Linotype" w:eastAsia="Palatino Linotype"/>
          <w:sz w:val="24"/>
          <w:szCs w:val="24"/>
        </w:rPr>
        <w:t xml:space="preserve"> if the project completes interconnection in</w:t>
      </w:r>
      <w:r w:rsidR="00450F9F">
        <w:rPr>
          <w:rFonts w:ascii="Palatino Linotype" w:hAnsi="Palatino Linotype" w:eastAsia="Palatino Linotype"/>
          <w:sz w:val="24"/>
          <w:szCs w:val="24"/>
        </w:rPr>
        <w:t xml:space="preserve"> </w:t>
      </w:r>
      <w:r w:rsidR="00F74507">
        <w:rPr>
          <w:rFonts w:ascii="Palatino Linotype" w:hAnsi="Palatino Linotype" w:eastAsia="Palatino Linotype"/>
          <w:sz w:val="24"/>
          <w:szCs w:val="24"/>
        </w:rPr>
        <w:t>mid-April</w:t>
      </w:r>
      <w:r w:rsidR="00946FB6">
        <w:rPr>
          <w:rFonts w:ascii="Palatino Linotype" w:hAnsi="Palatino Linotype" w:eastAsia="Palatino Linotype"/>
          <w:sz w:val="24"/>
          <w:szCs w:val="24"/>
        </w:rPr>
        <w:t xml:space="preserve"> </w:t>
      </w:r>
      <w:r w:rsidR="00986EDA">
        <w:rPr>
          <w:rFonts w:ascii="Palatino Linotype" w:hAnsi="Palatino Linotype" w:eastAsia="Palatino Linotype"/>
          <w:sz w:val="24"/>
          <w:szCs w:val="24"/>
        </w:rPr>
        <w:t>the</w:t>
      </w:r>
      <w:r w:rsidR="00812037">
        <w:rPr>
          <w:rFonts w:ascii="Palatino Linotype" w:hAnsi="Palatino Linotype" w:eastAsia="Palatino Linotype"/>
          <w:sz w:val="24"/>
          <w:szCs w:val="24"/>
        </w:rPr>
        <w:t xml:space="preserve"> applicant could get the SGIP incentive after completing the ICF but</w:t>
      </w:r>
      <w:r w:rsidR="00986EDA">
        <w:rPr>
          <w:rFonts w:ascii="Palatino Linotype" w:hAnsi="Palatino Linotype" w:eastAsia="Palatino Linotype"/>
          <w:sz w:val="24"/>
          <w:szCs w:val="24"/>
        </w:rPr>
        <w:t xml:space="preserve"> would need to wait till next April t</w:t>
      </w:r>
      <w:r w:rsidR="00814756">
        <w:rPr>
          <w:rFonts w:ascii="Palatino Linotype" w:hAnsi="Palatino Linotype" w:eastAsia="Palatino Linotype"/>
          <w:sz w:val="24"/>
          <w:szCs w:val="24"/>
        </w:rPr>
        <w:t>o claim the tax credit</w:t>
      </w:r>
      <w:r w:rsidR="00BE2E5B">
        <w:rPr>
          <w:rFonts w:ascii="Palatino Linotype" w:hAnsi="Palatino Linotype" w:eastAsia="Palatino Linotype"/>
          <w:sz w:val="24"/>
          <w:szCs w:val="24"/>
        </w:rPr>
        <w:t xml:space="preserve">. The Commission finds </w:t>
      </w:r>
      <w:r w:rsidR="006D1E20">
        <w:rPr>
          <w:rFonts w:ascii="Palatino Linotype" w:hAnsi="Palatino Linotype" w:eastAsia="Palatino Linotype"/>
          <w:sz w:val="24"/>
          <w:szCs w:val="24"/>
        </w:rPr>
        <w:t xml:space="preserve">the amount of time it takes for a customer to </w:t>
      </w:r>
      <w:r w:rsidR="00622A06">
        <w:rPr>
          <w:rFonts w:ascii="Palatino Linotype" w:hAnsi="Palatino Linotype" w:eastAsia="Palatino Linotype"/>
          <w:sz w:val="24"/>
          <w:szCs w:val="24"/>
        </w:rPr>
        <w:t>monetize</w:t>
      </w:r>
      <w:r w:rsidR="006148C6">
        <w:rPr>
          <w:rFonts w:ascii="Palatino Linotype" w:hAnsi="Palatino Linotype" w:eastAsia="Palatino Linotype"/>
          <w:sz w:val="24"/>
          <w:szCs w:val="24"/>
        </w:rPr>
        <w:t xml:space="preserve"> the IRA tax credit against their tax liability to </w:t>
      </w:r>
      <w:r w:rsidR="009F5F31">
        <w:rPr>
          <w:rFonts w:ascii="Palatino Linotype" w:hAnsi="Palatino Linotype" w:eastAsia="Palatino Linotype"/>
          <w:sz w:val="24"/>
          <w:szCs w:val="24"/>
        </w:rPr>
        <w:t xml:space="preserve">not be an acceptable </w:t>
      </w:r>
      <w:r w:rsidRPr="39D1037D" w:rsidR="1DE8BD9A">
        <w:rPr>
          <w:rFonts w:ascii="Palatino Linotype" w:hAnsi="Palatino Linotype" w:eastAsia="Palatino Linotype"/>
          <w:sz w:val="24"/>
          <w:szCs w:val="24"/>
        </w:rPr>
        <w:t>reason to claim</w:t>
      </w:r>
      <w:r w:rsidRPr="39D1037D" w:rsidR="009F5F31">
        <w:rPr>
          <w:rFonts w:ascii="Palatino Linotype" w:hAnsi="Palatino Linotype" w:eastAsia="Palatino Linotype"/>
          <w:sz w:val="24"/>
          <w:szCs w:val="24"/>
        </w:rPr>
        <w:t xml:space="preserve"> </w:t>
      </w:r>
      <w:r w:rsidR="002C6207">
        <w:rPr>
          <w:rFonts w:ascii="Palatino Linotype" w:hAnsi="Palatino Linotype" w:eastAsia="Palatino Linotype"/>
          <w:sz w:val="24"/>
          <w:szCs w:val="24"/>
        </w:rPr>
        <w:t xml:space="preserve">ineligibility </w:t>
      </w:r>
      <w:r w:rsidRPr="39D1037D" w:rsidR="694C9D64">
        <w:rPr>
          <w:rFonts w:ascii="Palatino Linotype" w:hAnsi="Palatino Linotype" w:eastAsia="Palatino Linotype"/>
          <w:sz w:val="24"/>
          <w:szCs w:val="24"/>
        </w:rPr>
        <w:t xml:space="preserve">for </w:t>
      </w:r>
      <w:r w:rsidR="002C6207">
        <w:rPr>
          <w:rFonts w:ascii="Palatino Linotype" w:hAnsi="Palatino Linotype" w:eastAsia="Palatino Linotype"/>
          <w:sz w:val="24"/>
          <w:szCs w:val="24"/>
        </w:rPr>
        <w:t>the IRA tax credit</w:t>
      </w:r>
      <w:r w:rsidR="00134143">
        <w:rPr>
          <w:rFonts w:ascii="Palatino Linotype" w:hAnsi="Palatino Linotype" w:eastAsia="Palatino Linotype"/>
          <w:sz w:val="24"/>
          <w:szCs w:val="24"/>
        </w:rPr>
        <w:t xml:space="preserve"> in the SGIP application</w:t>
      </w:r>
      <w:r w:rsidR="006148C6">
        <w:rPr>
          <w:rFonts w:ascii="Palatino Linotype" w:hAnsi="Palatino Linotype" w:eastAsia="Palatino Linotype"/>
          <w:sz w:val="24"/>
          <w:szCs w:val="24"/>
        </w:rPr>
        <w:t xml:space="preserve">. </w:t>
      </w:r>
    </w:p>
    <w:p w:rsidR="00DA1983" w:rsidP="00D035DD" w:rsidRDefault="00DA1983" w14:paraId="0F85CC35" w14:textId="77777777">
      <w:pPr>
        <w:rPr>
          <w:rFonts w:ascii="Palatino Linotype" w:hAnsi="Palatino Linotype" w:eastAsia="Palatino Linotype"/>
          <w:sz w:val="24"/>
          <w:szCs w:val="24"/>
        </w:rPr>
      </w:pPr>
    </w:p>
    <w:p w:rsidR="00405D7E" w:rsidP="00D035DD" w:rsidRDefault="00405D7E" w14:paraId="7982A05C" w14:textId="424BFC82">
      <w:pPr>
        <w:rPr>
          <w:rFonts w:ascii="Palatino Linotype" w:hAnsi="Palatino Linotype" w:eastAsia="Palatino Linotype"/>
          <w:sz w:val="24"/>
          <w:szCs w:val="24"/>
        </w:rPr>
      </w:pPr>
      <w:r>
        <w:rPr>
          <w:rFonts w:ascii="Palatino Linotype" w:hAnsi="Palatino Linotype" w:eastAsia="Palatino Linotype"/>
          <w:sz w:val="24"/>
          <w:szCs w:val="24"/>
        </w:rPr>
        <w:t>The Commission finds that</w:t>
      </w:r>
      <w:r w:rsidR="00D7403D">
        <w:rPr>
          <w:rFonts w:ascii="Palatino Linotype" w:hAnsi="Palatino Linotype" w:eastAsia="Palatino Linotype"/>
          <w:sz w:val="24"/>
          <w:szCs w:val="24"/>
        </w:rPr>
        <w:t xml:space="preserve"> the </w:t>
      </w:r>
      <w:r w:rsidR="0024102C">
        <w:rPr>
          <w:rFonts w:ascii="Palatino Linotype" w:hAnsi="Palatino Linotype" w:eastAsia="Palatino Linotype"/>
          <w:sz w:val="24"/>
          <w:szCs w:val="24"/>
        </w:rPr>
        <w:t>R</w:t>
      </w:r>
      <w:r w:rsidR="00D7403D">
        <w:rPr>
          <w:rFonts w:ascii="Palatino Linotype" w:hAnsi="Palatino Linotype" w:eastAsia="Palatino Linotype"/>
          <w:sz w:val="24"/>
          <w:szCs w:val="24"/>
        </w:rPr>
        <w:t>esidential</w:t>
      </w:r>
      <w:r w:rsidR="0024102C">
        <w:rPr>
          <w:rFonts w:ascii="Palatino Linotype" w:hAnsi="Palatino Linotype" w:eastAsia="Palatino Linotype"/>
          <w:sz w:val="24"/>
          <w:szCs w:val="24"/>
        </w:rPr>
        <w:t xml:space="preserve"> Clean Energy</w:t>
      </w:r>
      <w:r w:rsidR="00D7403D">
        <w:rPr>
          <w:rFonts w:ascii="Palatino Linotype" w:hAnsi="Palatino Linotype" w:eastAsia="Palatino Linotype"/>
          <w:sz w:val="24"/>
          <w:szCs w:val="24"/>
        </w:rPr>
        <w:t xml:space="preserve"> tax credit </w:t>
      </w:r>
      <w:r w:rsidR="00B729ED">
        <w:rPr>
          <w:rFonts w:ascii="Palatino Linotype" w:hAnsi="Palatino Linotype" w:eastAsia="Palatino Linotype"/>
          <w:sz w:val="24"/>
          <w:szCs w:val="24"/>
        </w:rPr>
        <w:t>cannot</w:t>
      </w:r>
      <w:r w:rsidR="00D7403D">
        <w:rPr>
          <w:rFonts w:ascii="Palatino Linotype" w:hAnsi="Palatino Linotype" w:eastAsia="Palatino Linotype"/>
          <w:sz w:val="24"/>
          <w:szCs w:val="24"/>
        </w:rPr>
        <w:t xml:space="preserve"> be </w:t>
      </w:r>
      <w:r w:rsidR="00D4678D">
        <w:rPr>
          <w:rFonts w:ascii="Palatino Linotype" w:hAnsi="Palatino Linotype" w:eastAsia="Palatino Linotype"/>
          <w:sz w:val="24"/>
          <w:szCs w:val="24"/>
        </w:rPr>
        <w:t>transferred based on IR</w:t>
      </w:r>
      <w:r w:rsidR="008530E6">
        <w:rPr>
          <w:rFonts w:ascii="Palatino Linotype" w:hAnsi="Palatino Linotype" w:eastAsia="Palatino Linotype"/>
          <w:sz w:val="24"/>
          <w:szCs w:val="24"/>
        </w:rPr>
        <w:t>S</w:t>
      </w:r>
      <w:r w:rsidR="00D4678D">
        <w:rPr>
          <w:rFonts w:ascii="Palatino Linotype" w:hAnsi="Palatino Linotype" w:eastAsia="Palatino Linotype"/>
          <w:sz w:val="24"/>
          <w:szCs w:val="24"/>
        </w:rPr>
        <w:t xml:space="preserve"> guidance.</w:t>
      </w:r>
      <w:r w:rsidR="0024102C">
        <w:rPr>
          <w:rStyle w:val="FootnoteReference"/>
          <w:rFonts w:ascii="Palatino Linotype" w:hAnsi="Palatino Linotype" w:eastAsia="Palatino Linotype"/>
          <w:sz w:val="24"/>
          <w:szCs w:val="24"/>
        </w:rPr>
        <w:footnoteReference w:id="36"/>
      </w:r>
      <w:r w:rsidR="00D4678D">
        <w:rPr>
          <w:rFonts w:ascii="Palatino Linotype" w:hAnsi="Palatino Linotype" w:eastAsia="Palatino Linotype"/>
          <w:sz w:val="24"/>
          <w:szCs w:val="24"/>
        </w:rPr>
        <w:t xml:space="preserve"> </w:t>
      </w:r>
      <w:r w:rsidR="00FD1EF8">
        <w:rPr>
          <w:rFonts w:ascii="Palatino Linotype" w:hAnsi="Palatino Linotype" w:eastAsia="Palatino Linotype"/>
          <w:sz w:val="24"/>
          <w:szCs w:val="24"/>
        </w:rPr>
        <w:t xml:space="preserve">Therefore, </w:t>
      </w:r>
      <w:r w:rsidR="00667E62">
        <w:rPr>
          <w:rFonts w:ascii="Palatino Linotype" w:hAnsi="Palatino Linotype" w:eastAsia="Palatino Linotype"/>
          <w:sz w:val="24"/>
          <w:szCs w:val="24"/>
        </w:rPr>
        <w:t xml:space="preserve">Free Energy’s </w:t>
      </w:r>
      <w:r w:rsidR="00FD1EF8">
        <w:rPr>
          <w:rFonts w:ascii="Palatino Linotype" w:hAnsi="Palatino Linotype" w:eastAsia="Palatino Linotype"/>
          <w:sz w:val="24"/>
          <w:szCs w:val="24"/>
        </w:rPr>
        <w:t xml:space="preserve">proposal to have the </w:t>
      </w:r>
      <w:r w:rsidR="00584C55">
        <w:rPr>
          <w:rFonts w:ascii="Palatino Linotype" w:hAnsi="Palatino Linotype" w:eastAsia="Palatino Linotype"/>
          <w:sz w:val="24"/>
          <w:szCs w:val="24"/>
        </w:rPr>
        <w:t>host</w:t>
      </w:r>
      <w:r w:rsidR="00FD1EF8">
        <w:rPr>
          <w:rFonts w:ascii="Palatino Linotype" w:hAnsi="Palatino Linotype" w:eastAsia="Palatino Linotype"/>
          <w:sz w:val="24"/>
          <w:szCs w:val="24"/>
        </w:rPr>
        <w:t xml:space="preserve"> customer transfer IRA tax credits to the SGIP PAs adds additional </w:t>
      </w:r>
      <w:r w:rsidR="00584C55">
        <w:rPr>
          <w:rFonts w:ascii="Palatino Linotype" w:hAnsi="Palatino Linotype" w:eastAsia="Palatino Linotype"/>
          <w:sz w:val="24"/>
          <w:szCs w:val="24"/>
        </w:rPr>
        <w:t xml:space="preserve">complexity to the process and is rejected. </w:t>
      </w:r>
    </w:p>
    <w:p w:rsidR="00584C55" w:rsidP="00D035DD" w:rsidRDefault="00584C55" w14:paraId="0C6518D2" w14:textId="77777777">
      <w:pPr>
        <w:rPr>
          <w:rFonts w:ascii="Palatino Linotype" w:hAnsi="Palatino Linotype" w:eastAsia="Palatino Linotype"/>
          <w:sz w:val="24"/>
          <w:szCs w:val="24"/>
        </w:rPr>
      </w:pPr>
    </w:p>
    <w:p w:rsidR="000672B4" w:rsidP="00D035DD" w:rsidRDefault="006148C6" w14:paraId="4E09836F" w14:textId="543E3CEF">
      <w:pPr>
        <w:rPr>
          <w:rFonts w:ascii="Palatino Linotype" w:hAnsi="Palatino Linotype" w:eastAsia="Palatino Linotype"/>
          <w:sz w:val="24"/>
          <w:szCs w:val="24"/>
        </w:rPr>
      </w:pPr>
      <w:r>
        <w:rPr>
          <w:rFonts w:ascii="Palatino Linotype" w:hAnsi="Palatino Linotype" w:eastAsia="Palatino Linotype"/>
          <w:sz w:val="24"/>
          <w:szCs w:val="24"/>
        </w:rPr>
        <w:t>As the IRA tax credit is currently available, the Commission finds it reasonable to make these rules</w:t>
      </w:r>
      <w:r w:rsidR="00991783">
        <w:rPr>
          <w:rFonts w:ascii="Palatino Linotype" w:hAnsi="Palatino Linotype" w:eastAsia="Palatino Linotype"/>
          <w:sz w:val="24"/>
          <w:szCs w:val="24"/>
        </w:rPr>
        <w:t xml:space="preserve"> based on what is currently known</w:t>
      </w:r>
      <w:r w:rsidR="00DA1983">
        <w:rPr>
          <w:rFonts w:ascii="Palatino Linotype" w:hAnsi="Palatino Linotype" w:eastAsia="Palatino Linotype"/>
          <w:sz w:val="24"/>
          <w:szCs w:val="24"/>
        </w:rPr>
        <w:t xml:space="preserve">. If the availability of the IRA tax credit changes in the future, these program rules </w:t>
      </w:r>
      <w:r w:rsidR="00006668">
        <w:rPr>
          <w:rFonts w:ascii="Palatino Linotype" w:hAnsi="Palatino Linotype" w:eastAsia="Palatino Linotype"/>
          <w:sz w:val="24"/>
          <w:szCs w:val="24"/>
        </w:rPr>
        <w:t xml:space="preserve">can </w:t>
      </w:r>
      <w:r w:rsidR="00DA1983">
        <w:rPr>
          <w:rFonts w:ascii="Palatino Linotype" w:hAnsi="Palatino Linotype" w:eastAsia="Palatino Linotype"/>
          <w:sz w:val="24"/>
          <w:szCs w:val="24"/>
        </w:rPr>
        <w:t xml:space="preserve">be revisited. </w:t>
      </w:r>
      <w:r>
        <w:rPr>
          <w:rFonts w:ascii="Palatino Linotype" w:hAnsi="Palatino Linotype" w:eastAsia="Palatino Linotype"/>
          <w:sz w:val="24"/>
          <w:szCs w:val="24"/>
        </w:rPr>
        <w:t xml:space="preserve"> </w:t>
      </w:r>
    </w:p>
    <w:p w:rsidR="00614A5D" w:rsidP="00D035DD" w:rsidRDefault="00614A5D" w14:paraId="2F81FABF" w14:textId="77777777">
      <w:pPr>
        <w:rPr>
          <w:rFonts w:ascii="Palatino Linotype" w:hAnsi="Palatino Linotype" w:eastAsia="Palatino Linotype"/>
          <w:sz w:val="24"/>
          <w:szCs w:val="24"/>
        </w:rPr>
      </w:pPr>
    </w:p>
    <w:p w:rsidR="00ED2DE9" w:rsidP="00D035DD" w:rsidRDefault="002242E9" w14:paraId="72272CA3" w14:textId="70EBE1D7">
      <w:pPr>
        <w:rPr>
          <w:rFonts w:ascii="Palatino Linotype" w:hAnsi="Palatino Linotype" w:eastAsia="Palatino Linotype"/>
          <w:sz w:val="24"/>
          <w:szCs w:val="24"/>
        </w:rPr>
      </w:pPr>
      <w:r>
        <w:rPr>
          <w:rFonts w:ascii="Palatino Linotype" w:hAnsi="Palatino Linotype" w:eastAsia="Palatino Linotype"/>
          <w:sz w:val="24"/>
          <w:szCs w:val="24"/>
        </w:rPr>
        <w:t>T</w:t>
      </w:r>
      <w:r w:rsidR="00AE3C10">
        <w:rPr>
          <w:rFonts w:ascii="Palatino Linotype" w:hAnsi="Palatino Linotype" w:eastAsia="Palatino Linotype"/>
          <w:sz w:val="24"/>
          <w:szCs w:val="24"/>
        </w:rPr>
        <w:t xml:space="preserve">he Commission </w:t>
      </w:r>
      <w:r w:rsidR="00390CD1">
        <w:rPr>
          <w:rFonts w:ascii="Palatino Linotype" w:hAnsi="Palatino Linotype" w:eastAsia="Palatino Linotype"/>
          <w:sz w:val="24"/>
          <w:szCs w:val="24"/>
        </w:rPr>
        <w:t xml:space="preserve">clarifies that </w:t>
      </w:r>
      <w:r w:rsidRPr="39D1037D" w:rsidR="430B7F68">
        <w:rPr>
          <w:rFonts w:ascii="Palatino Linotype" w:hAnsi="Palatino Linotype" w:eastAsia="Palatino Linotype"/>
          <w:sz w:val="24"/>
          <w:szCs w:val="24"/>
        </w:rPr>
        <w:t xml:space="preserve">for the RSSE budget </w:t>
      </w:r>
      <w:r w:rsidR="00390CD1">
        <w:rPr>
          <w:rFonts w:ascii="Palatino Linotype" w:hAnsi="Palatino Linotype" w:eastAsia="Palatino Linotype"/>
          <w:sz w:val="24"/>
          <w:szCs w:val="24"/>
        </w:rPr>
        <w:t xml:space="preserve">there are three pathways </w:t>
      </w:r>
      <w:r w:rsidRPr="39D1037D" w:rsidR="3A5AF121">
        <w:rPr>
          <w:rFonts w:ascii="Palatino Linotype" w:hAnsi="Palatino Linotype" w:eastAsia="Palatino Linotype"/>
          <w:sz w:val="24"/>
          <w:szCs w:val="24"/>
        </w:rPr>
        <w:t xml:space="preserve">for residential </w:t>
      </w:r>
      <w:r w:rsidR="00ED2DE9">
        <w:rPr>
          <w:rFonts w:ascii="Palatino Linotype" w:hAnsi="Palatino Linotype" w:eastAsia="Palatino Linotype"/>
          <w:sz w:val="24"/>
          <w:szCs w:val="24"/>
        </w:rPr>
        <w:t>customer</w:t>
      </w:r>
      <w:r w:rsidR="00C4591D">
        <w:rPr>
          <w:rFonts w:ascii="Palatino Linotype" w:hAnsi="Palatino Linotype" w:eastAsia="Palatino Linotype"/>
          <w:sz w:val="24"/>
          <w:szCs w:val="24"/>
        </w:rPr>
        <w:t>s</w:t>
      </w:r>
      <w:r w:rsidR="00ED2DE9">
        <w:rPr>
          <w:rFonts w:ascii="Palatino Linotype" w:hAnsi="Palatino Linotype" w:eastAsia="Palatino Linotype"/>
          <w:sz w:val="24"/>
          <w:szCs w:val="24"/>
        </w:rPr>
        <w:t xml:space="preserve"> </w:t>
      </w:r>
      <w:r w:rsidRPr="39D1037D" w:rsidR="0F0DE912">
        <w:rPr>
          <w:rFonts w:ascii="Palatino Linotype" w:hAnsi="Palatino Linotype" w:eastAsia="Palatino Linotype"/>
          <w:sz w:val="24"/>
          <w:szCs w:val="24"/>
        </w:rPr>
        <w:t xml:space="preserve">to </w:t>
      </w:r>
      <w:r w:rsidR="00ED2DE9">
        <w:rPr>
          <w:rFonts w:ascii="Palatino Linotype" w:hAnsi="Palatino Linotype" w:eastAsia="Palatino Linotype"/>
          <w:sz w:val="24"/>
          <w:szCs w:val="24"/>
        </w:rPr>
        <w:t xml:space="preserve">choose </w:t>
      </w:r>
      <w:r w:rsidR="002E6F89">
        <w:rPr>
          <w:rFonts w:ascii="Palatino Linotype" w:hAnsi="Palatino Linotype" w:eastAsia="Palatino Linotype"/>
          <w:sz w:val="24"/>
          <w:szCs w:val="24"/>
        </w:rPr>
        <w:t>from</w:t>
      </w:r>
      <w:r w:rsidR="004826DD">
        <w:rPr>
          <w:rFonts w:ascii="Palatino Linotype" w:hAnsi="Palatino Linotype" w:eastAsia="Palatino Linotype"/>
          <w:sz w:val="24"/>
          <w:szCs w:val="24"/>
        </w:rPr>
        <w:t>:</w:t>
      </w:r>
    </w:p>
    <w:p w:rsidR="00B73136" w:rsidP="00ED2DE9" w:rsidRDefault="0DD51009" w14:paraId="0B056702" w14:textId="410039E6">
      <w:pPr>
        <w:pStyle w:val="ListParagraph"/>
        <w:numPr>
          <w:ilvl w:val="0"/>
          <w:numId w:val="33"/>
        </w:numPr>
        <w:rPr>
          <w:rFonts w:ascii="Palatino Linotype" w:hAnsi="Palatino Linotype" w:eastAsia="Palatino Linotype"/>
          <w:sz w:val="24"/>
          <w:szCs w:val="24"/>
        </w:rPr>
      </w:pPr>
      <w:r w:rsidRPr="39D1037D">
        <w:rPr>
          <w:rFonts w:ascii="Palatino Linotype" w:hAnsi="Palatino Linotype" w:eastAsia="Palatino Linotype"/>
          <w:sz w:val="24"/>
          <w:szCs w:val="24"/>
        </w:rPr>
        <w:t xml:space="preserve">The customer can own the system and </w:t>
      </w:r>
      <w:r w:rsidR="00B73136">
        <w:rPr>
          <w:rFonts w:ascii="Palatino Linotype" w:hAnsi="Palatino Linotype" w:eastAsia="Palatino Linotype"/>
          <w:sz w:val="24"/>
          <w:szCs w:val="24"/>
        </w:rPr>
        <w:t>claim the IRA tax credit for 30</w:t>
      </w:r>
      <w:r w:rsidR="00316F87">
        <w:rPr>
          <w:rFonts w:ascii="Palatino Linotype" w:hAnsi="Palatino Linotype" w:eastAsia="Palatino Linotype"/>
          <w:sz w:val="24"/>
          <w:szCs w:val="24"/>
        </w:rPr>
        <w:t xml:space="preserve"> percent</w:t>
      </w:r>
      <w:r w:rsidR="00B73136">
        <w:rPr>
          <w:rFonts w:ascii="Palatino Linotype" w:hAnsi="Palatino Linotype" w:eastAsia="Palatino Linotype"/>
          <w:sz w:val="24"/>
          <w:szCs w:val="24"/>
        </w:rPr>
        <w:t xml:space="preserve"> of the project cost and</w:t>
      </w:r>
      <w:r w:rsidR="00E47894">
        <w:rPr>
          <w:rFonts w:ascii="Palatino Linotype" w:hAnsi="Palatino Linotype" w:eastAsia="Palatino Linotype"/>
          <w:sz w:val="24"/>
          <w:szCs w:val="24"/>
        </w:rPr>
        <w:t xml:space="preserve"> receive </w:t>
      </w:r>
      <w:r w:rsidRPr="39D1037D" w:rsidR="00E47894">
        <w:rPr>
          <w:rFonts w:ascii="Palatino Linotype" w:hAnsi="Palatino Linotype" w:eastAsia="Palatino Linotype"/>
          <w:sz w:val="24"/>
          <w:szCs w:val="24"/>
        </w:rPr>
        <w:t>a</w:t>
      </w:r>
      <w:r w:rsidRPr="39D1037D" w:rsidR="726E5354">
        <w:rPr>
          <w:rFonts w:ascii="Palatino Linotype" w:hAnsi="Palatino Linotype" w:eastAsia="Palatino Linotype"/>
          <w:sz w:val="24"/>
          <w:szCs w:val="24"/>
        </w:rPr>
        <w:t>n</w:t>
      </w:r>
      <w:r w:rsidR="00B73136">
        <w:rPr>
          <w:rFonts w:ascii="Palatino Linotype" w:hAnsi="Palatino Linotype" w:eastAsia="Palatino Linotype"/>
          <w:sz w:val="24"/>
          <w:szCs w:val="24"/>
        </w:rPr>
        <w:t xml:space="preserve"> SGIP incentive for</w:t>
      </w:r>
      <w:r w:rsidR="000F1D1F">
        <w:rPr>
          <w:rFonts w:ascii="Palatino Linotype" w:hAnsi="Palatino Linotype" w:eastAsia="Palatino Linotype"/>
          <w:sz w:val="24"/>
          <w:szCs w:val="24"/>
        </w:rPr>
        <w:t xml:space="preserve"> up to</w:t>
      </w:r>
      <w:r w:rsidR="00B73136">
        <w:rPr>
          <w:rFonts w:ascii="Palatino Linotype" w:hAnsi="Palatino Linotype" w:eastAsia="Palatino Linotype"/>
          <w:sz w:val="24"/>
          <w:szCs w:val="24"/>
        </w:rPr>
        <w:t xml:space="preserve"> 70</w:t>
      </w:r>
      <w:r w:rsidR="00316F87">
        <w:rPr>
          <w:rFonts w:ascii="Palatino Linotype" w:hAnsi="Palatino Linotype" w:eastAsia="Palatino Linotype"/>
          <w:sz w:val="24"/>
          <w:szCs w:val="24"/>
        </w:rPr>
        <w:t xml:space="preserve"> percent</w:t>
      </w:r>
      <w:r w:rsidR="00B73136">
        <w:rPr>
          <w:rFonts w:ascii="Palatino Linotype" w:hAnsi="Palatino Linotype" w:eastAsia="Palatino Linotype"/>
          <w:sz w:val="24"/>
          <w:szCs w:val="24"/>
        </w:rPr>
        <w:t xml:space="preserve"> of the project cost. </w:t>
      </w:r>
    </w:p>
    <w:p w:rsidRPr="00CD13C8" w:rsidR="00EA2458" w:rsidP="00AE32F2" w:rsidRDefault="70851638" w14:paraId="20CB31C6" w14:textId="62EA33C0">
      <w:pPr>
        <w:pStyle w:val="ListParagraph"/>
        <w:numPr>
          <w:ilvl w:val="0"/>
          <w:numId w:val="33"/>
        </w:numPr>
        <w:spacing w:line="259" w:lineRule="auto"/>
        <w:rPr>
          <w:rFonts w:eastAsia="Palatino Linotype"/>
          <w:szCs w:val="26"/>
        </w:rPr>
      </w:pPr>
      <w:r w:rsidRPr="39D1037D">
        <w:rPr>
          <w:rFonts w:ascii="Palatino Linotype" w:hAnsi="Palatino Linotype" w:eastAsia="Palatino Linotype"/>
          <w:sz w:val="24"/>
          <w:szCs w:val="24"/>
        </w:rPr>
        <w:lastRenderedPageBreak/>
        <w:t xml:space="preserve">The customer can contract with a TPO developer and the TPO will </w:t>
      </w:r>
      <w:r w:rsidR="00915CE8">
        <w:rPr>
          <w:rFonts w:ascii="Palatino Linotype" w:hAnsi="Palatino Linotype" w:eastAsia="Palatino Linotype"/>
          <w:sz w:val="24"/>
          <w:szCs w:val="24"/>
        </w:rPr>
        <w:t>monetize</w:t>
      </w:r>
      <w:r w:rsidRPr="39D1037D">
        <w:rPr>
          <w:rFonts w:ascii="Palatino Linotype" w:hAnsi="Palatino Linotype" w:eastAsia="Palatino Linotype"/>
          <w:sz w:val="24"/>
          <w:szCs w:val="24"/>
        </w:rPr>
        <w:t xml:space="preserve"> the tax credit</w:t>
      </w:r>
      <w:r w:rsidR="00DE5A2A">
        <w:rPr>
          <w:rFonts w:ascii="Palatino Linotype" w:hAnsi="Palatino Linotype" w:eastAsia="Palatino Linotype"/>
          <w:sz w:val="24"/>
          <w:szCs w:val="24"/>
        </w:rPr>
        <w:t xml:space="preserve"> at 30 to 70 percent of the project cost</w:t>
      </w:r>
      <w:r w:rsidR="000E03D8">
        <w:rPr>
          <w:rFonts w:ascii="Palatino Linotype" w:hAnsi="Palatino Linotype" w:eastAsia="Palatino Linotype"/>
          <w:sz w:val="24"/>
          <w:szCs w:val="24"/>
        </w:rPr>
        <w:t xml:space="preserve"> and receive an SGIP incentive for </w:t>
      </w:r>
      <w:r w:rsidR="00FD1565">
        <w:rPr>
          <w:rFonts w:ascii="Palatino Linotype" w:hAnsi="Palatino Linotype" w:eastAsia="Palatino Linotype"/>
          <w:sz w:val="24"/>
          <w:szCs w:val="24"/>
        </w:rPr>
        <w:t>up to the remainder of the project cost.</w:t>
      </w:r>
    </w:p>
    <w:p w:rsidR="00316F87" w:rsidP="00ED2DE9" w:rsidRDefault="29186D41" w14:paraId="1A2EBEE1" w14:textId="3C76F87D">
      <w:pPr>
        <w:pStyle w:val="ListParagraph"/>
        <w:numPr>
          <w:ilvl w:val="0"/>
          <w:numId w:val="33"/>
        </w:numPr>
        <w:rPr>
          <w:rFonts w:ascii="Palatino Linotype" w:hAnsi="Palatino Linotype" w:eastAsia="Palatino Linotype"/>
          <w:sz w:val="24"/>
          <w:szCs w:val="24"/>
        </w:rPr>
      </w:pPr>
      <w:r w:rsidRPr="39D1037D">
        <w:rPr>
          <w:rFonts w:ascii="Palatino Linotype" w:hAnsi="Palatino Linotype" w:eastAsia="Palatino Linotype"/>
          <w:sz w:val="24"/>
          <w:szCs w:val="24"/>
        </w:rPr>
        <w:t>The</w:t>
      </w:r>
      <w:r w:rsidR="00BF3936">
        <w:rPr>
          <w:rFonts w:ascii="Palatino Linotype" w:hAnsi="Palatino Linotype" w:eastAsia="Palatino Linotype"/>
          <w:sz w:val="24"/>
          <w:szCs w:val="24"/>
        </w:rPr>
        <w:t xml:space="preserve"> customer can </w:t>
      </w:r>
      <w:r w:rsidR="009B14F9">
        <w:rPr>
          <w:rFonts w:ascii="Palatino Linotype" w:hAnsi="Palatino Linotype" w:eastAsia="Palatino Linotype"/>
          <w:sz w:val="24"/>
          <w:szCs w:val="24"/>
        </w:rPr>
        <w:t xml:space="preserve">submit documentation </w:t>
      </w:r>
      <w:r w:rsidR="000A4447">
        <w:rPr>
          <w:rFonts w:ascii="Palatino Linotype" w:hAnsi="Palatino Linotype" w:eastAsia="Palatino Linotype"/>
          <w:sz w:val="24"/>
          <w:szCs w:val="24"/>
        </w:rPr>
        <w:t xml:space="preserve">demonstrating </w:t>
      </w:r>
      <w:r w:rsidR="009B14F9">
        <w:rPr>
          <w:rFonts w:ascii="Palatino Linotype" w:hAnsi="Palatino Linotype" w:eastAsia="Palatino Linotype"/>
          <w:sz w:val="24"/>
          <w:szCs w:val="24"/>
        </w:rPr>
        <w:t>why their project is ineligible to receive the IRA tax credit</w:t>
      </w:r>
      <w:r w:rsidR="00B508AD">
        <w:rPr>
          <w:rFonts w:ascii="Palatino Linotype" w:hAnsi="Palatino Linotype" w:eastAsia="Palatino Linotype"/>
          <w:sz w:val="24"/>
          <w:szCs w:val="24"/>
        </w:rPr>
        <w:t xml:space="preserve"> </w:t>
      </w:r>
      <w:r w:rsidR="00C82FA1">
        <w:rPr>
          <w:rFonts w:ascii="Palatino Linotype" w:hAnsi="Palatino Linotype" w:eastAsia="Palatino Linotype"/>
          <w:sz w:val="24"/>
          <w:szCs w:val="24"/>
        </w:rPr>
        <w:t xml:space="preserve">and </w:t>
      </w:r>
      <w:r w:rsidRPr="00B508AD" w:rsidR="00B508AD">
        <w:rPr>
          <w:rFonts w:ascii="Palatino Linotype" w:hAnsi="Palatino Linotype" w:eastAsia="Palatino Linotype"/>
          <w:sz w:val="24"/>
          <w:szCs w:val="24"/>
        </w:rPr>
        <w:t>why the credit could not otherwise be utilized or transferred by a third-party entity</w:t>
      </w:r>
      <w:r w:rsidR="009B14F9">
        <w:rPr>
          <w:rFonts w:ascii="Palatino Linotype" w:hAnsi="Palatino Linotype" w:eastAsia="Palatino Linotype"/>
          <w:sz w:val="24"/>
          <w:szCs w:val="24"/>
        </w:rPr>
        <w:t xml:space="preserve"> </w:t>
      </w:r>
      <w:r w:rsidR="000A4447">
        <w:rPr>
          <w:rFonts w:ascii="Palatino Linotype" w:hAnsi="Palatino Linotype" w:eastAsia="Palatino Linotype"/>
          <w:sz w:val="24"/>
          <w:szCs w:val="24"/>
        </w:rPr>
        <w:t xml:space="preserve">to </w:t>
      </w:r>
      <w:r w:rsidR="009B14F9">
        <w:rPr>
          <w:rFonts w:ascii="Palatino Linotype" w:hAnsi="Palatino Linotype" w:eastAsia="Palatino Linotype"/>
          <w:sz w:val="24"/>
          <w:szCs w:val="24"/>
        </w:rPr>
        <w:t xml:space="preserve">receive the </w:t>
      </w:r>
      <w:r w:rsidR="00316F87">
        <w:rPr>
          <w:rFonts w:ascii="Palatino Linotype" w:hAnsi="Palatino Linotype" w:eastAsia="Palatino Linotype"/>
          <w:sz w:val="24"/>
          <w:szCs w:val="24"/>
        </w:rPr>
        <w:t xml:space="preserve">full </w:t>
      </w:r>
      <w:r w:rsidR="009B14F9">
        <w:rPr>
          <w:rFonts w:ascii="Palatino Linotype" w:hAnsi="Palatino Linotype" w:eastAsia="Palatino Linotype"/>
          <w:sz w:val="24"/>
          <w:szCs w:val="24"/>
        </w:rPr>
        <w:t>SGIP incentive</w:t>
      </w:r>
      <w:r w:rsidR="00316F87">
        <w:rPr>
          <w:rFonts w:ascii="Palatino Linotype" w:hAnsi="Palatino Linotype" w:eastAsia="Palatino Linotype"/>
          <w:sz w:val="24"/>
          <w:szCs w:val="24"/>
        </w:rPr>
        <w:t xml:space="preserve">. </w:t>
      </w:r>
    </w:p>
    <w:p w:rsidR="000D62D3" w:rsidP="00A90C64" w:rsidRDefault="000D62D3" w14:paraId="16A29A2E" w14:textId="77777777">
      <w:pPr>
        <w:rPr>
          <w:rFonts w:ascii="Palatino Linotype" w:hAnsi="Palatino Linotype" w:eastAsia="Palatino Linotype"/>
          <w:sz w:val="24"/>
          <w:szCs w:val="24"/>
        </w:rPr>
      </w:pPr>
    </w:p>
    <w:p w:rsidRPr="00CD13C8" w:rsidR="00A91B71" w:rsidP="00CD13C8" w:rsidRDefault="00A91B71" w14:paraId="18F72C47" w14:textId="6B8A34E9">
      <w:pPr>
        <w:pStyle w:val="Res-Caption"/>
        <w:ind w:left="0" w:right="0"/>
        <w:rPr>
          <w:rFonts w:ascii="Palatino Linotype" w:hAnsi="Palatino Linotype"/>
          <w:sz w:val="24"/>
          <w:szCs w:val="24"/>
        </w:rPr>
      </w:pPr>
      <w:r>
        <w:rPr>
          <w:rFonts w:ascii="Palatino Linotype" w:hAnsi="Palatino Linotype" w:eastAsia="Palatino Linotype"/>
          <w:sz w:val="24"/>
          <w:szCs w:val="24"/>
        </w:rPr>
        <w:t xml:space="preserve">The Commission finds that these options do not force a host customer into a TPO arrangement. </w:t>
      </w:r>
      <w:r w:rsidR="00486054">
        <w:rPr>
          <w:rFonts w:ascii="Palatino Linotype" w:hAnsi="Palatino Linotype" w:eastAsia="Palatino Linotype"/>
          <w:sz w:val="24"/>
          <w:szCs w:val="24"/>
        </w:rPr>
        <w:t>In</w:t>
      </w:r>
      <w:r w:rsidR="00B3511F">
        <w:rPr>
          <w:rFonts w:ascii="Palatino Linotype" w:hAnsi="Palatino Linotype" w:eastAsia="Palatino Linotype"/>
          <w:sz w:val="24"/>
          <w:szCs w:val="24"/>
        </w:rPr>
        <w:t xml:space="preserve"> D</w:t>
      </w:r>
      <w:r w:rsidR="002A1BE7">
        <w:rPr>
          <w:rFonts w:ascii="Palatino Linotype" w:hAnsi="Palatino Linotype" w:eastAsia="Palatino Linotype"/>
          <w:sz w:val="24"/>
          <w:szCs w:val="24"/>
        </w:rPr>
        <w:t>AC</w:t>
      </w:r>
      <w:r w:rsidR="00B3511F">
        <w:rPr>
          <w:rFonts w:ascii="Palatino Linotype" w:hAnsi="Palatino Linotype" w:eastAsia="Palatino Linotype"/>
          <w:sz w:val="24"/>
          <w:szCs w:val="24"/>
        </w:rPr>
        <w:t xml:space="preserve">-SASH, </w:t>
      </w:r>
      <w:r w:rsidR="00837A36">
        <w:rPr>
          <w:rFonts w:ascii="Palatino Linotype" w:hAnsi="Palatino Linotype" w:eastAsia="Palatino Linotype"/>
          <w:sz w:val="24"/>
          <w:szCs w:val="24"/>
        </w:rPr>
        <w:t xml:space="preserve">91 </w:t>
      </w:r>
      <w:r w:rsidR="00B3511F">
        <w:rPr>
          <w:rFonts w:ascii="Palatino Linotype" w:hAnsi="Palatino Linotype" w:eastAsia="Palatino Linotype"/>
          <w:sz w:val="24"/>
          <w:szCs w:val="24"/>
        </w:rPr>
        <w:t xml:space="preserve">percent </w:t>
      </w:r>
      <w:r w:rsidR="00837A36">
        <w:rPr>
          <w:rFonts w:ascii="Palatino Linotype" w:hAnsi="Palatino Linotype" w:eastAsia="Palatino Linotype"/>
          <w:sz w:val="24"/>
          <w:szCs w:val="24"/>
        </w:rPr>
        <w:t>o</w:t>
      </w:r>
      <w:r w:rsidR="00B3511F">
        <w:rPr>
          <w:rFonts w:ascii="Palatino Linotype" w:hAnsi="Palatino Linotype" w:eastAsia="Palatino Linotype"/>
          <w:sz w:val="24"/>
          <w:szCs w:val="24"/>
        </w:rPr>
        <w:t xml:space="preserve">f the low-income solar projects </w:t>
      </w:r>
      <w:r w:rsidR="007158E8">
        <w:rPr>
          <w:rFonts w:ascii="Palatino Linotype" w:hAnsi="Palatino Linotype" w:eastAsia="Palatino Linotype"/>
          <w:sz w:val="24"/>
          <w:szCs w:val="24"/>
        </w:rPr>
        <w:t>enter</w:t>
      </w:r>
      <w:r w:rsidR="00B3511F">
        <w:rPr>
          <w:rFonts w:ascii="Palatino Linotype" w:hAnsi="Palatino Linotype" w:eastAsia="Palatino Linotype"/>
          <w:sz w:val="24"/>
          <w:szCs w:val="24"/>
        </w:rPr>
        <w:t xml:space="preserve"> a TPO arrangement.</w:t>
      </w:r>
      <w:r w:rsidR="00837A36">
        <w:rPr>
          <w:rStyle w:val="FootnoteReference"/>
          <w:rFonts w:ascii="Palatino Linotype" w:hAnsi="Palatino Linotype" w:eastAsia="Palatino Linotype"/>
          <w:sz w:val="24"/>
          <w:szCs w:val="24"/>
        </w:rPr>
        <w:footnoteReference w:id="37"/>
      </w:r>
      <w:r w:rsidR="00B3511F">
        <w:rPr>
          <w:rFonts w:ascii="Palatino Linotype" w:hAnsi="Palatino Linotype" w:eastAsia="Palatino Linotype"/>
          <w:sz w:val="24"/>
          <w:szCs w:val="24"/>
        </w:rPr>
        <w:t xml:space="preserve"> </w:t>
      </w:r>
      <w:r w:rsidR="005E4A4E">
        <w:rPr>
          <w:rFonts w:ascii="Palatino Linotype" w:hAnsi="Palatino Linotype" w:eastAsia="Palatino Linotype"/>
          <w:sz w:val="24"/>
          <w:szCs w:val="24"/>
        </w:rPr>
        <w:t xml:space="preserve">A customer may choose </w:t>
      </w:r>
      <w:r w:rsidR="0095627E">
        <w:rPr>
          <w:rFonts w:ascii="Palatino Linotype" w:hAnsi="Palatino Linotype" w:eastAsia="Palatino Linotype"/>
          <w:sz w:val="24"/>
          <w:szCs w:val="24"/>
        </w:rPr>
        <w:t xml:space="preserve">a TPO arrangement for reasons unrelated to the upfront cost of the system such as </w:t>
      </w:r>
      <w:r w:rsidR="00DB67B9">
        <w:rPr>
          <w:rFonts w:ascii="Palatino Linotype" w:hAnsi="Palatino Linotype" w:eastAsia="Palatino Linotype"/>
          <w:sz w:val="24"/>
          <w:szCs w:val="24"/>
        </w:rPr>
        <w:t>“</w:t>
      </w:r>
      <w:r w:rsidRPr="00DB67B9" w:rsidR="00DB67B9">
        <w:rPr>
          <w:rFonts w:ascii="Palatino Linotype" w:hAnsi="Palatino Linotype" w:eastAsia="Palatino Linotype"/>
          <w:sz w:val="24"/>
          <w:szCs w:val="24"/>
        </w:rPr>
        <w:t>ongoing education and engagement, solar production online monitoring, and access to phone support and troubleshooting throughout the expected life of the solar electric system</w:t>
      </w:r>
      <w:r w:rsidR="00DB67B9">
        <w:rPr>
          <w:rFonts w:ascii="Palatino Linotype" w:hAnsi="Palatino Linotype" w:eastAsia="Palatino Linotype"/>
          <w:sz w:val="24"/>
          <w:szCs w:val="24"/>
        </w:rPr>
        <w:t>.”</w:t>
      </w:r>
      <w:r w:rsidR="00DB67B9">
        <w:rPr>
          <w:rStyle w:val="FootnoteReference"/>
          <w:rFonts w:ascii="Palatino Linotype" w:hAnsi="Palatino Linotype" w:eastAsia="Palatino Linotype"/>
          <w:sz w:val="24"/>
          <w:szCs w:val="24"/>
        </w:rPr>
        <w:footnoteReference w:id="38"/>
      </w:r>
      <w:r w:rsidR="00DB67B9">
        <w:rPr>
          <w:rFonts w:ascii="Palatino Linotype" w:hAnsi="Palatino Linotype" w:eastAsia="Palatino Linotype"/>
          <w:sz w:val="24"/>
          <w:szCs w:val="24"/>
        </w:rPr>
        <w:t xml:space="preserve"> </w:t>
      </w:r>
    </w:p>
    <w:p w:rsidR="00EA7B71" w:rsidP="00A90C64" w:rsidRDefault="00EA7B71" w14:paraId="0DFB40FD" w14:textId="77777777">
      <w:pPr>
        <w:rPr>
          <w:rFonts w:ascii="Palatino Linotype" w:hAnsi="Palatino Linotype" w:eastAsia="Palatino Linotype"/>
          <w:sz w:val="24"/>
          <w:szCs w:val="24"/>
        </w:rPr>
      </w:pPr>
    </w:p>
    <w:p w:rsidR="00A90C64" w:rsidP="00A90C64" w:rsidRDefault="00EA7B71" w14:paraId="3CFB4329" w14:textId="1590A3B8">
      <w:pPr>
        <w:rPr>
          <w:rFonts w:ascii="Palatino Linotype" w:hAnsi="Palatino Linotype" w:eastAsia="Palatino Linotype"/>
          <w:sz w:val="24"/>
          <w:szCs w:val="24"/>
        </w:rPr>
      </w:pPr>
      <w:r>
        <w:rPr>
          <w:rFonts w:ascii="Palatino Linotype" w:hAnsi="Palatino Linotype" w:eastAsia="Palatino Linotype"/>
          <w:sz w:val="24"/>
          <w:szCs w:val="24"/>
        </w:rPr>
        <w:t xml:space="preserve">These options will </w:t>
      </w:r>
      <w:r w:rsidRPr="2A865FD1">
        <w:rPr>
          <w:rFonts w:ascii="Palatino Linotype" w:hAnsi="Palatino Linotype"/>
          <w:sz w:val="24"/>
          <w:szCs w:val="24"/>
        </w:rPr>
        <w:t>maximize the federal cost share of SGIP project costs covered by the federal I</w:t>
      </w:r>
      <w:r w:rsidR="00BC599D">
        <w:rPr>
          <w:rFonts w:ascii="Palatino Linotype" w:hAnsi="Palatino Linotype"/>
          <w:sz w:val="24"/>
          <w:szCs w:val="24"/>
        </w:rPr>
        <w:t>RA</w:t>
      </w:r>
      <w:r w:rsidRPr="2A865FD1">
        <w:rPr>
          <w:rFonts w:ascii="Palatino Linotype" w:hAnsi="Palatino Linotype"/>
          <w:sz w:val="24"/>
          <w:szCs w:val="24"/>
        </w:rPr>
        <w:t xml:space="preserve"> tax credits</w:t>
      </w:r>
      <w:r>
        <w:rPr>
          <w:rFonts w:ascii="Palatino Linotype" w:hAnsi="Palatino Linotype"/>
          <w:sz w:val="24"/>
          <w:szCs w:val="24"/>
        </w:rPr>
        <w:t xml:space="preserve"> and spread SGIP funds to more projects as mandated by Decision (D.) 24-03-071 (“the Decision”). </w:t>
      </w:r>
      <w:r w:rsidRPr="00316F87" w:rsidR="00995423">
        <w:rPr>
          <w:rFonts w:ascii="Palatino Linotype" w:hAnsi="Palatino Linotype" w:eastAsia="Palatino Linotype"/>
          <w:sz w:val="24"/>
          <w:szCs w:val="24"/>
        </w:rPr>
        <w:t xml:space="preserve">The Commission </w:t>
      </w:r>
      <w:r w:rsidR="00316F87">
        <w:rPr>
          <w:rFonts w:ascii="Palatino Linotype" w:hAnsi="Palatino Linotype" w:eastAsia="Palatino Linotype"/>
          <w:sz w:val="24"/>
          <w:szCs w:val="24"/>
        </w:rPr>
        <w:t xml:space="preserve">finds that </w:t>
      </w:r>
      <w:r w:rsidR="00095561">
        <w:rPr>
          <w:rFonts w:ascii="Palatino Linotype" w:hAnsi="Palatino Linotype" w:eastAsia="Palatino Linotype"/>
          <w:sz w:val="24"/>
          <w:szCs w:val="24"/>
        </w:rPr>
        <w:t xml:space="preserve">having additional guidance on what documentation is sufficient to </w:t>
      </w:r>
      <w:r w:rsidR="003D4C11">
        <w:rPr>
          <w:rFonts w:ascii="Palatino Linotype" w:hAnsi="Palatino Linotype" w:eastAsia="Palatino Linotype"/>
          <w:sz w:val="24"/>
          <w:szCs w:val="24"/>
        </w:rPr>
        <w:t>claim 0 percent of</w:t>
      </w:r>
      <w:r w:rsidR="00095561">
        <w:rPr>
          <w:rFonts w:ascii="Palatino Linotype" w:hAnsi="Palatino Linotype" w:eastAsia="Palatino Linotype"/>
          <w:sz w:val="24"/>
          <w:szCs w:val="24"/>
        </w:rPr>
        <w:t xml:space="preserve"> the IRA tax credit would be beneficial </w:t>
      </w:r>
      <w:r w:rsidR="00A90C64">
        <w:rPr>
          <w:rFonts w:ascii="Palatino Linotype" w:hAnsi="Palatino Linotype" w:eastAsia="Palatino Linotype"/>
          <w:sz w:val="24"/>
          <w:szCs w:val="24"/>
        </w:rPr>
        <w:t>after the SGIP PAs have a better understanding of the process.</w:t>
      </w:r>
    </w:p>
    <w:p w:rsidR="00A90C64" w:rsidP="00A90C64" w:rsidRDefault="00A90C64" w14:paraId="0349DD92" w14:textId="77777777">
      <w:pPr>
        <w:rPr>
          <w:rFonts w:ascii="Palatino Linotype" w:hAnsi="Palatino Linotype" w:eastAsia="Palatino Linotype"/>
          <w:sz w:val="24"/>
          <w:szCs w:val="24"/>
        </w:rPr>
      </w:pPr>
    </w:p>
    <w:p w:rsidRPr="00A90C64" w:rsidR="00CF17DE" w:rsidP="00A90C64" w:rsidRDefault="00CF17DE" w14:paraId="16A82360" w14:textId="0E4C4AA6">
      <w:pPr>
        <w:pStyle w:val="Heading1"/>
        <w:rPr>
          <w:rFonts w:ascii="Palatino Linotype" w:hAnsi="Palatino Linotype" w:eastAsia="Palatino Linotype"/>
          <w:sz w:val="24"/>
          <w:szCs w:val="18"/>
        </w:rPr>
      </w:pPr>
      <w:r w:rsidRPr="00A90C64">
        <w:rPr>
          <w:rFonts w:ascii="Palatino Linotype" w:hAnsi="Palatino Linotype" w:eastAsia="Palatino Linotype"/>
          <w:sz w:val="24"/>
          <w:szCs w:val="18"/>
        </w:rPr>
        <w:t>Comments</w:t>
      </w:r>
    </w:p>
    <w:p w:rsidRPr="00D865A9" w:rsidR="00090457" w:rsidP="4BA7214B" w:rsidRDefault="00090457" w14:paraId="029F8842" w14:textId="230E3974">
      <w:pPr>
        <w:rPr>
          <w:rFonts w:ascii="Palatino Linotype" w:hAnsi="Palatino Linotype" w:eastAsia="Palatino Linotype"/>
          <w:sz w:val="24"/>
          <w:szCs w:val="24"/>
        </w:rPr>
      </w:pPr>
      <w:r w:rsidRPr="00D865A9">
        <w:rPr>
          <w:rFonts w:ascii="Palatino Linotype" w:hAnsi="Palatino Linotype" w:eastAsia="Palatino Linotype"/>
          <w:sz w:val="24"/>
          <w:szCs w:val="24"/>
        </w:rPr>
        <w:t xml:space="preserve">Public Utilities Code section 311(g)(1) provides that this Resolution must be served on all parties and subject to at least 30 days public review. Any comments are due within 20 days of the date of its mailing and publication on the Commission’s website and in accordance with any instructions accompanying the notice. Section 311(g)(2) provides that this 30-day review period and 20-day comment period may be reduced or waived upon the stipulation of all parties in the proceeding. </w:t>
      </w:r>
    </w:p>
    <w:p w:rsidRPr="00D865A9" w:rsidR="0024459D" w:rsidP="4BA7214B" w:rsidRDefault="0024459D" w14:paraId="1030F211" w14:textId="77777777">
      <w:pPr>
        <w:rPr>
          <w:rFonts w:ascii="Palatino Linotype" w:hAnsi="Palatino Linotype" w:eastAsia="Palatino Linotype"/>
          <w:sz w:val="24"/>
          <w:szCs w:val="24"/>
        </w:rPr>
      </w:pPr>
    </w:p>
    <w:p w:rsidR="0024459D" w:rsidP="4BA7214B" w:rsidRDefault="0024459D" w14:paraId="40C33EDB" w14:textId="0F6049D7">
      <w:pPr>
        <w:rPr>
          <w:rFonts w:ascii="Palatino Linotype" w:hAnsi="Palatino Linotype" w:eastAsia="Palatino Linotype"/>
          <w:sz w:val="24"/>
          <w:szCs w:val="24"/>
        </w:rPr>
      </w:pPr>
      <w:r w:rsidRPr="00D865A9">
        <w:rPr>
          <w:rFonts w:ascii="Palatino Linotype" w:hAnsi="Palatino Linotype" w:eastAsia="Palatino Linotype"/>
          <w:sz w:val="24"/>
          <w:szCs w:val="24"/>
        </w:rPr>
        <w:t xml:space="preserve">The 30-day review and 20-day comment period for the draft of this resolution was neither waived nor reduced.  Accordingly, this draft resolution was mailed to parties for </w:t>
      </w:r>
      <w:r w:rsidRPr="00D865A9" w:rsidR="00C07C73">
        <w:rPr>
          <w:rFonts w:ascii="Palatino Linotype" w:hAnsi="Palatino Linotype" w:eastAsia="Palatino Linotype"/>
          <w:sz w:val="24"/>
          <w:szCs w:val="24"/>
        </w:rPr>
        <w:t>comments and</w:t>
      </w:r>
      <w:r w:rsidRPr="00D865A9">
        <w:rPr>
          <w:rFonts w:ascii="Palatino Linotype" w:hAnsi="Palatino Linotype" w:eastAsia="Palatino Linotype"/>
          <w:sz w:val="24"/>
          <w:szCs w:val="24"/>
        </w:rPr>
        <w:t xml:space="preserve"> will be placed on the Commission's agenda no earlier than 30 days from today.</w:t>
      </w:r>
    </w:p>
    <w:p w:rsidRPr="00D865A9" w:rsidR="005048B6" w:rsidP="4BA7214B" w:rsidRDefault="005048B6" w14:paraId="242D7999" w14:textId="77777777">
      <w:pPr>
        <w:rPr>
          <w:rFonts w:ascii="Palatino Linotype" w:hAnsi="Palatino Linotype" w:eastAsia="Palatino Linotype"/>
          <w:sz w:val="24"/>
          <w:szCs w:val="24"/>
        </w:rPr>
      </w:pPr>
    </w:p>
    <w:p w:rsidRPr="00D865A9" w:rsidR="00CF17DE" w:rsidP="4BA7214B" w:rsidRDefault="00CF17DE" w14:paraId="07618DBE" w14:textId="2615860C">
      <w:pPr>
        <w:pStyle w:val="Heading1"/>
        <w:rPr>
          <w:rFonts w:ascii="Palatino Linotype" w:hAnsi="Palatino Linotype" w:eastAsia="Palatino Linotype"/>
          <w:sz w:val="24"/>
          <w:szCs w:val="24"/>
        </w:rPr>
      </w:pPr>
      <w:r w:rsidRPr="00D865A9">
        <w:rPr>
          <w:rFonts w:ascii="Palatino Linotype" w:hAnsi="Palatino Linotype" w:eastAsia="Palatino Linotype"/>
          <w:sz w:val="24"/>
          <w:szCs w:val="24"/>
        </w:rPr>
        <w:lastRenderedPageBreak/>
        <w:t>Findings</w:t>
      </w:r>
    </w:p>
    <w:p w:rsidR="0042289F" w:rsidP="4BA7214B" w:rsidRDefault="009D59B8" w14:paraId="5C6DCC1A" w14:textId="247D4C14">
      <w:pPr>
        <w:numPr>
          <w:ilvl w:val="0"/>
          <w:numId w:val="7"/>
        </w:numPr>
        <w:rPr>
          <w:rFonts w:ascii="Palatino Linotype" w:hAnsi="Palatino Linotype" w:eastAsia="Palatino Linotype"/>
          <w:sz w:val="24"/>
          <w:szCs w:val="24"/>
        </w:rPr>
      </w:pPr>
      <w:r>
        <w:rPr>
          <w:rFonts w:ascii="Palatino Linotype" w:hAnsi="Palatino Linotype" w:eastAsia="Palatino Linotype"/>
          <w:sz w:val="24"/>
          <w:szCs w:val="24"/>
        </w:rPr>
        <w:t>AB 102 (</w:t>
      </w:r>
      <w:r w:rsidR="002F017F">
        <w:rPr>
          <w:rFonts w:ascii="Palatino Linotype" w:hAnsi="Palatino Linotype" w:eastAsia="Palatino Linotype"/>
          <w:sz w:val="24"/>
          <w:szCs w:val="24"/>
        </w:rPr>
        <w:t>2023</w:t>
      </w:r>
      <w:r>
        <w:rPr>
          <w:rFonts w:ascii="Palatino Linotype" w:hAnsi="Palatino Linotype" w:eastAsia="Palatino Linotype"/>
          <w:sz w:val="24"/>
          <w:szCs w:val="24"/>
        </w:rPr>
        <w:t>, Ch.</w:t>
      </w:r>
      <w:r w:rsidR="002F017F">
        <w:rPr>
          <w:rFonts w:ascii="Palatino Linotype" w:hAnsi="Palatino Linotype" w:eastAsia="Palatino Linotype"/>
          <w:sz w:val="24"/>
          <w:szCs w:val="24"/>
        </w:rPr>
        <w:t xml:space="preserve"> 38</w:t>
      </w:r>
      <w:r>
        <w:rPr>
          <w:rFonts w:ascii="Palatino Linotype" w:hAnsi="Palatino Linotype" w:eastAsia="Palatino Linotype"/>
          <w:sz w:val="24"/>
          <w:szCs w:val="24"/>
        </w:rPr>
        <w:t xml:space="preserve">) directed the CPUC to </w:t>
      </w:r>
      <w:r w:rsidR="00C3219C">
        <w:rPr>
          <w:rFonts w:ascii="Palatino Linotype" w:hAnsi="Palatino Linotype" w:eastAsia="Palatino Linotype"/>
          <w:sz w:val="24"/>
          <w:szCs w:val="24"/>
        </w:rPr>
        <w:t xml:space="preserve">apply </w:t>
      </w:r>
      <w:r w:rsidR="004641B7">
        <w:rPr>
          <w:rFonts w:ascii="Palatino Linotype" w:hAnsi="Palatino Linotype" w:eastAsia="Palatino Linotype"/>
          <w:sz w:val="24"/>
          <w:szCs w:val="24"/>
        </w:rPr>
        <w:t>$</w:t>
      </w:r>
      <w:r w:rsidR="00156160">
        <w:rPr>
          <w:rFonts w:ascii="Palatino Linotype" w:hAnsi="Palatino Linotype" w:eastAsia="Palatino Linotype"/>
          <w:sz w:val="24"/>
          <w:szCs w:val="24"/>
        </w:rPr>
        <w:t>280 million</w:t>
      </w:r>
      <w:r w:rsidR="0096586C">
        <w:rPr>
          <w:rFonts w:ascii="Palatino Linotype" w:hAnsi="Palatino Linotype" w:eastAsia="Palatino Linotype"/>
          <w:sz w:val="24"/>
          <w:szCs w:val="24"/>
        </w:rPr>
        <w:t xml:space="preserve"> of </w:t>
      </w:r>
      <w:r w:rsidR="00933D2F">
        <w:rPr>
          <w:rFonts w:ascii="Palatino Linotype" w:hAnsi="Palatino Linotype" w:eastAsia="Palatino Linotype"/>
          <w:sz w:val="24"/>
          <w:szCs w:val="24"/>
        </w:rPr>
        <w:t xml:space="preserve">the </w:t>
      </w:r>
      <w:r w:rsidR="00F14531">
        <w:rPr>
          <w:rFonts w:ascii="Palatino Linotype" w:hAnsi="Palatino Linotype" w:eastAsia="Palatino Linotype"/>
          <w:sz w:val="24"/>
          <w:szCs w:val="24"/>
        </w:rPr>
        <w:t>state</w:t>
      </w:r>
      <w:r w:rsidR="00933D2F">
        <w:rPr>
          <w:rFonts w:ascii="Palatino Linotype" w:hAnsi="Palatino Linotype" w:eastAsia="Palatino Linotype"/>
          <w:sz w:val="24"/>
          <w:szCs w:val="24"/>
        </w:rPr>
        <w:t xml:space="preserve"> budget</w:t>
      </w:r>
      <w:r w:rsidR="00156160">
        <w:rPr>
          <w:rFonts w:ascii="Palatino Linotype" w:hAnsi="Palatino Linotype" w:eastAsia="Palatino Linotype"/>
          <w:sz w:val="24"/>
          <w:szCs w:val="24"/>
        </w:rPr>
        <w:t xml:space="preserve"> to </w:t>
      </w:r>
      <w:r w:rsidR="00AC0ECB">
        <w:rPr>
          <w:rFonts w:ascii="Palatino Linotype" w:hAnsi="Palatino Linotype" w:eastAsia="Palatino Linotype"/>
          <w:sz w:val="24"/>
          <w:szCs w:val="24"/>
        </w:rPr>
        <w:t>the Residential Solar and Storage Equity budget</w:t>
      </w:r>
      <w:r w:rsidR="00156160">
        <w:rPr>
          <w:rFonts w:ascii="Palatino Linotype" w:hAnsi="Palatino Linotype" w:eastAsia="Palatino Linotype"/>
          <w:sz w:val="24"/>
          <w:szCs w:val="24"/>
        </w:rPr>
        <w:t>.</w:t>
      </w:r>
    </w:p>
    <w:p w:rsidR="00AC0ECB" w:rsidP="4BA7214B" w:rsidRDefault="00AC0ECB" w14:paraId="5E3DC247" w14:textId="7DBF3490">
      <w:pPr>
        <w:numPr>
          <w:ilvl w:val="0"/>
          <w:numId w:val="7"/>
        </w:numPr>
        <w:rPr>
          <w:rFonts w:ascii="Palatino Linotype" w:hAnsi="Palatino Linotype" w:eastAsia="Palatino Linotype"/>
          <w:sz w:val="24"/>
          <w:szCs w:val="24"/>
        </w:rPr>
      </w:pPr>
      <w:r>
        <w:rPr>
          <w:rFonts w:ascii="Palatino Linotype" w:hAnsi="Palatino Linotype" w:eastAsia="Palatino Linotype"/>
          <w:sz w:val="24"/>
          <w:szCs w:val="24"/>
        </w:rPr>
        <w:t xml:space="preserve">All SGIP budgets </w:t>
      </w:r>
      <w:r w:rsidRPr="39D1037D" w:rsidR="3C757491">
        <w:rPr>
          <w:rFonts w:ascii="Palatino Linotype" w:hAnsi="Palatino Linotype" w:eastAsia="Palatino Linotype"/>
          <w:sz w:val="24"/>
          <w:szCs w:val="24"/>
        </w:rPr>
        <w:t>authorized by SB 700</w:t>
      </w:r>
      <w:r w:rsidRPr="39D1037D">
        <w:rPr>
          <w:rFonts w:ascii="Palatino Linotype" w:hAnsi="Palatino Linotype" w:eastAsia="Palatino Linotype"/>
          <w:sz w:val="24"/>
          <w:szCs w:val="24"/>
        </w:rPr>
        <w:t xml:space="preserve"> </w:t>
      </w:r>
      <w:r>
        <w:rPr>
          <w:rFonts w:ascii="Palatino Linotype" w:hAnsi="Palatino Linotype" w:eastAsia="Palatino Linotype"/>
          <w:sz w:val="24"/>
          <w:szCs w:val="24"/>
        </w:rPr>
        <w:t xml:space="preserve">contain </w:t>
      </w:r>
      <w:r w:rsidR="00933D2F">
        <w:rPr>
          <w:rFonts w:ascii="Palatino Linotype" w:hAnsi="Palatino Linotype" w:eastAsia="Palatino Linotype"/>
          <w:sz w:val="24"/>
          <w:szCs w:val="24"/>
        </w:rPr>
        <w:t xml:space="preserve">funds from </w:t>
      </w:r>
      <w:r w:rsidR="00212213">
        <w:rPr>
          <w:rFonts w:ascii="Palatino Linotype" w:hAnsi="Palatino Linotype" w:eastAsia="Palatino Linotype"/>
          <w:sz w:val="24"/>
          <w:szCs w:val="24"/>
        </w:rPr>
        <w:t>ratepayer</w:t>
      </w:r>
      <w:r w:rsidR="00933D2F">
        <w:rPr>
          <w:rFonts w:ascii="Palatino Linotype" w:hAnsi="Palatino Linotype" w:eastAsia="Palatino Linotype"/>
          <w:sz w:val="24"/>
          <w:szCs w:val="24"/>
        </w:rPr>
        <w:t xml:space="preserve"> collections</w:t>
      </w:r>
      <w:r w:rsidR="00212213">
        <w:rPr>
          <w:rFonts w:ascii="Palatino Linotype" w:hAnsi="Palatino Linotype" w:eastAsia="Palatino Linotype"/>
          <w:sz w:val="24"/>
          <w:szCs w:val="24"/>
        </w:rPr>
        <w:t>.</w:t>
      </w:r>
    </w:p>
    <w:p w:rsidRPr="000157A5" w:rsidR="0098200C" w:rsidP="4BA7214B" w:rsidRDefault="0098200C" w14:paraId="4DBB174B" w14:textId="75F23BE5">
      <w:pPr>
        <w:numPr>
          <w:ilvl w:val="0"/>
          <w:numId w:val="7"/>
        </w:numPr>
        <w:rPr>
          <w:rFonts w:ascii="Palatino Linotype" w:hAnsi="Palatino Linotype" w:eastAsia="Palatino Linotype"/>
          <w:sz w:val="24"/>
          <w:szCs w:val="24"/>
        </w:rPr>
      </w:pPr>
      <w:r>
        <w:rPr>
          <w:rFonts w:ascii="Palatino Linotype" w:hAnsi="Palatino Linotype" w:eastAsia="Palatino Linotype"/>
          <w:sz w:val="24"/>
          <w:szCs w:val="24"/>
        </w:rPr>
        <w:t xml:space="preserve">On </w:t>
      </w:r>
      <w:r w:rsidR="008614CF">
        <w:rPr>
          <w:rFonts w:ascii="Palatino Linotype" w:hAnsi="Palatino Linotype" w:eastAsia="Palatino Linotype"/>
          <w:sz w:val="24"/>
          <w:szCs w:val="24"/>
        </w:rPr>
        <w:t>March</w:t>
      </w:r>
      <w:r w:rsidR="001216AC">
        <w:rPr>
          <w:rFonts w:ascii="Palatino Linotype" w:hAnsi="Palatino Linotype" w:eastAsia="Palatino Linotype"/>
          <w:sz w:val="24"/>
          <w:szCs w:val="24"/>
        </w:rPr>
        <w:t xml:space="preserve"> 21</w:t>
      </w:r>
      <w:r w:rsidR="008614CF">
        <w:rPr>
          <w:rFonts w:ascii="Palatino Linotype" w:hAnsi="Palatino Linotype" w:eastAsia="Palatino Linotype"/>
          <w:sz w:val="24"/>
          <w:szCs w:val="24"/>
        </w:rPr>
        <w:t>, 2024, the CPUC issued Deci</w:t>
      </w:r>
      <w:r w:rsidR="009E58E6">
        <w:rPr>
          <w:rFonts w:ascii="Palatino Linotype" w:hAnsi="Palatino Linotype" w:eastAsia="Palatino Linotype"/>
          <w:sz w:val="24"/>
          <w:szCs w:val="24"/>
        </w:rPr>
        <w:t xml:space="preserve">sion (D.) 24-03-071 </w:t>
      </w:r>
      <w:r w:rsidRPr="00990FF0" w:rsidR="00990FF0">
        <w:rPr>
          <w:rFonts w:ascii="Palatino Linotype" w:hAnsi="Palatino Linotype" w:eastAsia="Palatino Linotype"/>
          <w:i/>
          <w:iCs/>
          <w:sz w:val="24"/>
          <w:szCs w:val="24"/>
        </w:rPr>
        <w:t>Decision Implementing Assembly Bill 209 and Improving Self-Generation Incentive Program Equity Outcomes</w:t>
      </w:r>
      <w:r w:rsidR="000157A5">
        <w:rPr>
          <w:rFonts w:ascii="Palatino Linotype" w:hAnsi="Palatino Linotype" w:eastAsia="Palatino Linotype"/>
          <w:i/>
          <w:iCs/>
          <w:sz w:val="24"/>
          <w:szCs w:val="24"/>
        </w:rPr>
        <w:t xml:space="preserve"> </w:t>
      </w:r>
      <w:r w:rsidRPr="000157A5" w:rsidR="000157A5">
        <w:rPr>
          <w:rFonts w:ascii="Palatino Linotype" w:hAnsi="Palatino Linotype" w:eastAsia="Palatino Linotype"/>
          <w:sz w:val="24"/>
          <w:szCs w:val="24"/>
        </w:rPr>
        <w:t>(Decision)</w:t>
      </w:r>
      <w:r w:rsidR="00A771E4">
        <w:rPr>
          <w:rFonts w:ascii="Palatino Linotype" w:hAnsi="Palatino Linotype" w:eastAsia="Palatino Linotype"/>
          <w:sz w:val="24"/>
          <w:szCs w:val="24"/>
        </w:rPr>
        <w:t>.</w:t>
      </w:r>
      <w:r w:rsidRPr="000157A5" w:rsidR="00990FF0">
        <w:rPr>
          <w:rFonts w:ascii="Palatino Linotype" w:hAnsi="Palatino Linotype" w:eastAsia="Palatino Linotype"/>
          <w:sz w:val="24"/>
          <w:szCs w:val="24"/>
        </w:rPr>
        <w:t xml:space="preserve"> </w:t>
      </w:r>
    </w:p>
    <w:p w:rsidRPr="00427EB7" w:rsidR="00656A39" w:rsidP="006F1DE5" w:rsidRDefault="00656A39" w14:paraId="28C5578B" w14:textId="4A52CAB4">
      <w:pPr>
        <w:numPr>
          <w:ilvl w:val="0"/>
          <w:numId w:val="7"/>
        </w:numPr>
        <w:rPr>
          <w:rFonts w:ascii="Palatino Linotype" w:hAnsi="Palatino Linotype" w:eastAsia="Palatino Linotype"/>
          <w:sz w:val="24"/>
          <w:szCs w:val="24"/>
        </w:rPr>
      </w:pPr>
      <w:r w:rsidDel="006F1DE5">
        <w:rPr>
          <w:rFonts w:ascii="Palatino Linotype" w:hAnsi="Palatino Linotype"/>
          <w:sz w:val="24"/>
          <w:szCs w:val="24"/>
        </w:rPr>
        <w:t>The Decision directed the SGIP PAs</w:t>
      </w:r>
      <w:r>
        <w:rPr>
          <w:rFonts w:ascii="Palatino Linotype" w:hAnsi="Palatino Linotype"/>
          <w:sz w:val="24"/>
          <w:szCs w:val="24"/>
        </w:rPr>
        <w:t xml:space="preserve"> to develop a</w:t>
      </w:r>
      <w:r w:rsidR="006426FA">
        <w:rPr>
          <w:rFonts w:ascii="Palatino Linotype" w:hAnsi="Palatino Linotype"/>
          <w:sz w:val="24"/>
          <w:szCs w:val="24"/>
        </w:rPr>
        <w:t xml:space="preserve"> proposal to maximize the cost</w:t>
      </w:r>
      <w:r w:rsidR="001067BF">
        <w:rPr>
          <w:rFonts w:ascii="Palatino Linotype" w:hAnsi="Palatino Linotype"/>
          <w:sz w:val="24"/>
          <w:szCs w:val="24"/>
        </w:rPr>
        <w:t xml:space="preserve"> </w:t>
      </w:r>
      <w:r w:rsidR="006426FA">
        <w:rPr>
          <w:rFonts w:ascii="Palatino Linotype" w:hAnsi="Palatino Linotype"/>
          <w:sz w:val="24"/>
          <w:szCs w:val="24"/>
        </w:rPr>
        <w:t>share of I</w:t>
      </w:r>
      <w:r w:rsidR="00AE5F55">
        <w:rPr>
          <w:rFonts w:ascii="Palatino Linotype" w:hAnsi="Palatino Linotype"/>
          <w:sz w:val="24"/>
          <w:szCs w:val="24"/>
        </w:rPr>
        <w:t xml:space="preserve">nflation Reduction </w:t>
      </w:r>
      <w:r w:rsidR="006426FA">
        <w:rPr>
          <w:rFonts w:ascii="Palatino Linotype" w:hAnsi="Palatino Linotype"/>
          <w:sz w:val="24"/>
          <w:szCs w:val="24"/>
        </w:rPr>
        <w:t>A</w:t>
      </w:r>
      <w:r w:rsidR="00AE5F55">
        <w:rPr>
          <w:rFonts w:ascii="Palatino Linotype" w:hAnsi="Palatino Linotype"/>
          <w:sz w:val="24"/>
          <w:szCs w:val="24"/>
        </w:rPr>
        <w:t>ct (IRA)</w:t>
      </w:r>
      <w:r w:rsidR="006426FA">
        <w:rPr>
          <w:rFonts w:ascii="Palatino Linotype" w:hAnsi="Palatino Linotype"/>
          <w:sz w:val="24"/>
          <w:szCs w:val="24"/>
        </w:rPr>
        <w:t xml:space="preserve"> tax credits </w:t>
      </w:r>
      <w:r w:rsidR="007C2361">
        <w:rPr>
          <w:rFonts w:ascii="Palatino Linotype" w:hAnsi="Palatino Linotype"/>
          <w:sz w:val="24"/>
          <w:szCs w:val="24"/>
        </w:rPr>
        <w:t xml:space="preserve">in SGIP </w:t>
      </w:r>
      <w:r w:rsidR="006426FA">
        <w:rPr>
          <w:rFonts w:ascii="Palatino Linotype" w:hAnsi="Palatino Linotype"/>
          <w:sz w:val="24"/>
          <w:szCs w:val="24"/>
        </w:rPr>
        <w:t xml:space="preserve">and </w:t>
      </w:r>
      <w:r w:rsidR="007C2361">
        <w:rPr>
          <w:rFonts w:ascii="Palatino Linotype" w:hAnsi="Palatino Linotype"/>
          <w:sz w:val="24"/>
          <w:szCs w:val="24"/>
        </w:rPr>
        <w:t xml:space="preserve">spread </w:t>
      </w:r>
      <w:r w:rsidR="006426FA">
        <w:rPr>
          <w:rFonts w:ascii="Palatino Linotype" w:hAnsi="Palatino Linotype"/>
          <w:sz w:val="24"/>
          <w:szCs w:val="24"/>
        </w:rPr>
        <w:t>SGIP funds</w:t>
      </w:r>
      <w:r w:rsidR="007C2361">
        <w:rPr>
          <w:rFonts w:ascii="Palatino Linotype" w:hAnsi="Palatino Linotype"/>
          <w:sz w:val="24"/>
          <w:szCs w:val="24"/>
        </w:rPr>
        <w:t xml:space="preserve"> to more projects</w:t>
      </w:r>
      <w:r w:rsidR="006426FA">
        <w:rPr>
          <w:rFonts w:ascii="Palatino Linotype" w:hAnsi="Palatino Linotype"/>
          <w:sz w:val="24"/>
          <w:szCs w:val="24"/>
        </w:rPr>
        <w:t xml:space="preserve">. </w:t>
      </w:r>
    </w:p>
    <w:p w:rsidRPr="000E325B" w:rsidR="00427EB7" w:rsidP="4BA7214B" w:rsidRDefault="00B941B2" w14:paraId="6AB52DBA" w14:textId="34CABB5E">
      <w:pPr>
        <w:numPr>
          <w:ilvl w:val="0"/>
          <w:numId w:val="7"/>
        </w:numPr>
        <w:rPr>
          <w:rFonts w:ascii="Palatino Linotype" w:hAnsi="Palatino Linotype" w:eastAsia="Palatino Linotype"/>
          <w:sz w:val="24"/>
          <w:szCs w:val="24"/>
        </w:rPr>
      </w:pPr>
      <w:r>
        <w:rPr>
          <w:rFonts w:ascii="Palatino Linotype" w:hAnsi="Palatino Linotype"/>
          <w:sz w:val="24"/>
          <w:szCs w:val="24"/>
        </w:rPr>
        <w:t xml:space="preserve">On </w:t>
      </w:r>
      <w:r w:rsidR="00D804E3">
        <w:rPr>
          <w:rFonts w:ascii="Palatino Linotype" w:hAnsi="Palatino Linotype"/>
          <w:sz w:val="24"/>
          <w:szCs w:val="24"/>
        </w:rPr>
        <w:t>November 18</w:t>
      </w:r>
      <w:r>
        <w:rPr>
          <w:rFonts w:ascii="Palatino Linotype" w:hAnsi="Palatino Linotype"/>
          <w:sz w:val="24"/>
          <w:szCs w:val="24"/>
        </w:rPr>
        <w:t xml:space="preserve">, 2024, the SGIP PAs </w:t>
      </w:r>
      <w:r w:rsidR="001B15E4">
        <w:rPr>
          <w:rFonts w:ascii="Palatino Linotype" w:hAnsi="Palatino Linotype"/>
          <w:sz w:val="24"/>
          <w:szCs w:val="24"/>
        </w:rPr>
        <w:t xml:space="preserve">filed a </w:t>
      </w:r>
      <w:r w:rsidR="006F1DE5">
        <w:rPr>
          <w:rFonts w:ascii="Palatino Linotype" w:hAnsi="Palatino Linotype"/>
          <w:sz w:val="24"/>
          <w:szCs w:val="24"/>
        </w:rPr>
        <w:t xml:space="preserve">proposal </w:t>
      </w:r>
      <w:r w:rsidR="001B15E4">
        <w:rPr>
          <w:rFonts w:ascii="Palatino Linotype" w:hAnsi="Palatino Linotype"/>
          <w:sz w:val="24"/>
          <w:szCs w:val="24"/>
        </w:rPr>
        <w:t xml:space="preserve">for </w:t>
      </w:r>
      <w:r w:rsidR="00D804E3">
        <w:rPr>
          <w:rFonts w:ascii="Palatino Linotype" w:hAnsi="Palatino Linotype"/>
          <w:sz w:val="24"/>
          <w:szCs w:val="24"/>
        </w:rPr>
        <w:t>IRA tax credit cost</w:t>
      </w:r>
      <w:r w:rsidR="00654A2D">
        <w:rPr>
          <w:rFonts w:ascii="Palatino Linotype" w:hAnsi="Palatino Linotype"/>
          <w:sz w:val="24"/>
          <w:szCs w:val="24"/>
        </w:rPr>
        <w:t xml:space="preserve"> </w:t>
      </w:r>
      <w:r w:rsidR="00D804E3">
        <w:rPr>
          <w:rFonts w:ascii="Palatino Linotype" w:hAnsi="Palatino Linotype"/>
          <w:sz w:val="24"/>
          <w:szCs w:val="24"/>
        </w:rPr>
        <w:t xml:space="preserve">share in SGIP </w:t>
      </w:r>
      <w:r w:rsidR="00C449B2">
        <w:rPr>
          <w:rFonts w:ascii="Palatino Linotype" w:hAnsi="Palatino Linotype"/>
          <w:sz w:val="24"/>
          <w:szCs w:val="24"/>
        </w:rPr>
        <w:t xml:space="preserve">through a joint advice letter, </w:t>
      </w:r>
      <w:r w:rsidR="00D804E3">
        <w:rPr>
          <w:rFonts w:ascii="Palatino Linotype" w:hAnsi="Palatino Linotype"/>
          <w:sz w:val="24"/>
          <w:szCs w:val="24"/>
        </w:rPr>
        <w:t xml:space="preserve">SCG </w:t>
      </w:r>
      <w:r w:rsidR="00670BC0">
        <w:rPr>
          <w:rFonts w:ascii="Palatino Linotype" w:hAnsi="Palatino Linotype"/>
          <w:sz w:val="24"/>
          <w:szCs w:val="24"/>
        </w:rPr>
        <w:t>6405-G, et al. (AL).</w:t>
      </w:r>
    </w:p>
    <w:p w:rsidR="000E325B" w:rsidP="000E325B" w:rsidRDefault="000E325B" w14:paraId="691FEF51" w14:textId="7E71BC2E">
      <w:pPr>
        <w:numPr>
          <w:ilvl w:val="0"/>
          <w:numId w:val="7"/>
        </w:numPr>
        <w:rPr>
          <w:rFonts w:ascii="Palatino Linotype" w:hAnsi="Palatino Linotype" w:eastAsia="Palatino Linotype"/>
          <w:sz w:val="24"/>
          <w:szCs w:val="24"/>
        </w:rPr>
      </w:pPr>
      <w:r>
        <w:rPr>
          <w:rFonts w:ascii="Palatino Linotype" w:hAnsi="Palatino Linotype"/>
          <w:sz w:val="24"/>
          <w:szCs w:val="24"/>
        </w:rPr>
        <w:t xml:space="preserve">On </w:t>
      </w:r>
      <w:r w:rsidR="00670BC0">
        <w:rPr>
          <w:rFonts w:ascii="Palatino Linotype" w:hAnsi="Palatino Linotype"/>
          <w:sz w:val="24"/>
          <w:szCs w:val="24"/>
        </w:rPr>
        <w:t>December 9</w:t>
      </w:r>
      <w:r w:rsidR="00B10B7A">
        <w:rPr>
          <w:rFonts w:ascii="Palatino Linotype" w:hAnsi="Palatino Linotype"/>
          <w:sz w:val="24"/>
          <w:szCs w:val="24"/>
        </w:rPr>
        <w:t>, 2024,</w:t>
      </w:r>
      <w:r w:rsidR="00670BC0">
        <w:rPr>
          <w:rFonts w:ascii="Palatino Linotype" w:hAnsi="Palatino Linotype"/>
          <w:sz w:val="24"/>
          <w:szCs w:val="24"/>
        </w:rPr>
        <w:t xml:space="preserve"> the AL w</w:t>
      </w:r>
      <w:r w:rsidRPr="00B10B7A">
        <w:rPr>
          <w:rFonts w:ascii="Palatino Linotype" w:hAnsi="Palatino Linotype" w:eastAsia="Palatino Linotype"/>
          <w:sz w:val="24"/>
          <w:szCs w:val="24"/>
        </w:rPr>
        <w:t xml:space="preserve">as timely protested by </w:t>
      </w:r>
      <w:r w:rsidRPr="00B10B7A" w:rsidR="00C07C73">
        <w:rPr>
          <w:rFonts w:ascii="Palatino Linotype" w:hAnsi="Palatino Linotype" w:eastAsia="Palatino Linotype"/>
          <w:sz w:val="24"/>
          <w:szCs w:val="24"/>
        </w:rPr>
        <w:t>the California</w:t>
      </w:r>
      <w:r w:rsidRPr="00B10B7A">
        <w:rPr>
          <w:rFonts w:ascii="Palatino Linotype" w:hAnsi="Palatino Linotype" w:eastAsia="Palatino Linotype"/>
          <w:sz w:val="24"/>
          <w:szCs w:val="24"/>
        </w:rPr>
        <w:t xml:space="preserve"> Solar &amp; Storage Association (CALSSA)</w:t>
      </w:r>
      <w:r w:rsidR="00670BC0">
        <w:rPr>
          <w:rFonts w:ascii="Palatino Linotype" w:hAnsi="Palatino Linotype" w:eastAsia="Palatino Linotype"/>
          <w:sz w:val="24"/>
          <w:szCs w:val="24"/>
        </w:rPr>
        <w:t xml:space="preserve"> </w:t>
      </w:r>
      <w:r w:rsidRPr="00B10B7A">
        <w:rPr>
          <w:rFonts w:ascii="Palatino Linotype" w:hAnsi="Palatino Linotype" w:eastAsia="Palatino Linotype"/>
          <w:sz w:val="24"/>
          <w:szCs w:val="24"/>
        </w:rPr>
        <w:t xml:space="preserve">and the Energy Savings Company (Free Energy).  </w:t>
      </w:r>
    </w:p>
    <w:p w:rsidR="00B10B7A" w:rsidP="000E325B" w:rsidRDefault="00B10B7A" w14:paraId="311CA408" w14:textId="1D6A4ECE">
      <w:pPr>
        <w:numPr>
          <w:ilvl w:val="0"/>
          <w:numId w:val="7"/>
        </w:numPr>
        <w:rPr>
          <w:rFonts w:ascii="Palatino Linotype" w:hAnsi="Palatino Linotype" w:eastAsia="Palatino Linotype"/>
          <w:sz w:val="24"/>
          <w:szCs w:val="24"/>
        </w:rPr>
      </w:pPr>
      <w:r>
        <w:rPr>
          <w:rFonts w:ascii="Palatino Linotype" w:hAnsi="Palatino Linotype" w:eastAsia="Palatino Linotype"/>
          <w:sz w:val="24"/>
          <w:szCs w:val="24"/>
        </w:rPr>
        <w:t xml:space="preserve">On </w:t>
      </w:r>
      <w:r w:rsidR="003B4339">
        <w:rPr>
          <w:rFonts w:ascii="Palatino Linotype" w:hAnsi="Palatino Linotype" w:eastAsia="Palatino Linotype"/>
          <w:sz w:val="24"/>
          <w:szCs w:val="24"/>
        </w:rPr>
        <w:t>December 16,</w:t>
      </w:r>
      <w:r>
        <w:rPr>
          <w:rFonts w:ascii="Palatino Linotype" w:hAnsi="Palatino Linotype" w:eastAsia="Palatino Linotype"/>
          <w:sz w:val="24"/>
          <w:szCs w:val="24"/>
        </w:rPr>
        <w:t xml:space="preserve"> 2024, </w:t>
      </w:r>
      <w:r w:rsidR="00006C86">
        <w:rPr>
          <w:rFonts w:ascii="Palatino Linotype" w:hAnsi="Palatino Linotype" w:eastAsia="Palatino Linotype"/>
          <w:sz w:val="24"/>
          <w:szCs w:val="24"/>
        </w:rPr>
        <w:t>t</w:t>
      </w:r>
      <w:r w:rsidR="00146745">
        <w:rPr>
          <w:rFonts w:ascii="Palatino Linotype" w:hAnsi="Palatino Linotype" w:eastAsia="Palatino Linotype"/>
          <w:sz w:val="24"/>
          <w:szCs w:val="24"/>
        </w:rPr>
        <w:t xml:space="preserve">he </w:t>
      </w:r>
      <w:r w:rsidR="004D5525">
        <w:rPr>
          <w:rFonts w:ascii="Palatino Linotype" w:hAnsi="Palatino Linotype" w:eastAsia="Palatino Linotype"/>
          <w:sz w:val="24"/>
          <w:szCs w:val="24"/>
        </w:rPr>
        <w:t>SGIP PAs</w:t>
      </w:r>
      <w:r>
        <w:rPr>
          <w:rFonts w:ascii="Palatino Linotype" w:hAnsi="Palatino Linotype" w:eastAsia="Palatino Linotype"/>
          <w:sz w:val="24"/>
          <w:szCs w:val="24"/>
        </w:rPr>
        <w:t xml:space="preserve"> replied to the protests of </w:t>
      </w:r>
      <w:r w:rsidR="00FE27A3">
        <w:rPr>
          <w:rFonts w:ascii="Palatino Linotype" w:hAnsi="Palatino Linotype" w:eastAsia="Palatino Linotype"/>
          <w:sz w:val="24"/>
          <w:szCs w:val="24"/>
        </w:rPr>
        <w:t>the AL filed by CALSSA and Free Energy.</w:t>
      </w:r>
    </w:p>
    <w:p w:rsidR="00F545B5" w:rsidP="000E325B" w:rsidRDefault="00FC7AE8" w14:paraId="0641A342" w14:textId="4EF05C47">
      <w:pPr>
        <w:numPr>
          <w:ilvl w:val="0"/>
          <w:numId w:val="7"/>
        </w:numPr>
        <w:rPr>
          <w:rFonts w:ascii="Palatino Linotype" w:hAnsi="Palatino Linotype" w:eastAsia="Palatino Linotype"/>
          <w:sz w:val="24"/>
          <w:szCs w:val="24"/>
        </w:rPr>
      </w:pPr>
      <w:r>
        <w:rPr>
          <w:rFonts w:ascii="Palatino Linotype" w:hAnsi="Palatino Linotype" w:eastAsia="Palatino Linotype"/>
          <w:sz w:val="24"/>
          <w:szCs w:val="24"/>
        </w:rPr>
        <w:t>The SGIP PAs</w:t>
      </w:r>
      <w:r w:rsidR="00564D52">
        <w:rPr>
          <w:rFonts w:ascii="Palatino Linotype" w:hAnsi="Palatino Linotype" w:eastAsia="Palatino Linotype"/>
          <w:sz w:val="24"/>
          <w:szCs w:val="24"/>
        </w:rPr>
        <w:t xml:space="preserve"> proposed to </w:t>
      </w:r>
      <w:r w:rsidR="0068219D">
        <w:rPr>
          <w:rFonts w:ascii="Palatino Linotype" w:hAnsi="Palatino Linotype" w:eastAsia="Palatino Linotype"/>
          <w:sz w:val="24"/>
          <w:szCs w:val="24"/>
        </w:rPr>
        <w:t>assume that all SGIP projects will receive a 30</w:t>
      </w:r>
      <w:r w:rsidR="00A804B2">
        <w:rPr>
          <w:rFonts w:ascii="Palatino Linotype" w:hAnsi="Palatino Linotype" w:eastAsia="Palatino Linotype"/>
          <w:sz w:val="24"/>
          <w:szCs w:val="24"/>
        </w:rPr>
        <w:t xml:space="preserve"> percent IRA tax credit that, in combination with the SGIP payment, should not exceed the total eligible project costs. </w:t>
      </w:r>
    </w:p>
    <w:p w:rsidRPr="003A4362" w:rsidR="0028267B" w:rsidP="0028267B" w:rsidRDefault="00E9460B" w14:paraId="0FC55CEE" w14:textId="41B287C2">
      <w:pPr>
        <w:numPr>
          <w:ilvl w:val="0"/>
          <w:numId w:val="7"/>
        </w:numPr>
        <w:rPr>
          <w:rFonts w:ascii="Palatino Linotype" w:hAnsi="Palatino Linotype" w:eastAsia="Palatino Linotype"/>
          <w:sz w:val="24"/>
          <w:szCs w:val="24"/>
        </w:rPr>
      </w:pPr>
      <w:r w:rsidRPr="003A4362">
        <w:rPr>
          <w:rFonts w:ascii="Palatino Linotype" w:hAnsi="Palatino Linotype" w:eastAsia="Palatino Linotype"/>
          <w:sz w:val="24"/>
          <w:szCs w:val="24"/>
        </w:rPr>
        <w:t xml:space="preserve">For systems owned by the residential host customer, </w:t>
      </w:r>
      <w:r w:rsidR="00F14531">
        <w:rPr>
          <w:rFonts w:ascii="Palatino Linotype" w:hAnsi="Palatino Linotype" w:eastAsia="Palatino Linotype"/>
          <w:sz w:val="24"/>
          <w:szCs w:val="24"/>
        </w:rPr>
        <w:t>state</w:t>
      </w:r>
      <w:r w:rsidRPr="003A4362" w:rsidR="0028267B">
        <w:rPr>
          <w:rFonts w:ascii="Palatino Linotype" w:hAnsi="Palatino Linotype" w:eastAsia="Palatino Linotype"/>
          <w:sz w:val="24"/>
          <w:szCs w:val="24"/>
        </w:rPr>
        <w:t xml:space="preserve"> funds are </w:t>
      </w:r>
      <w:r w:rsidRPr="003A4362">
        <w:rPr>
          <w:rFonts w:ascii="Palatino Linotype" w:hAnsi="Palatino Linotype" w:eastAsia="Palatino Linotype"/>
          <w:sz w:val="24"/>
          <w:szCs w:val="24"/>
        </w:rPr>
        <w:t xml:space="preserve">considered </w:t>
      </w:r>
      <w:r w:rsidR="007F2D6D">
        <w:rPr>
          <w:rFonts w:ascii="Palatino Linotype" w:hAnsi="Palatino Linotype" w:eastAsia="Palatino Linotype"/>
          <w:sz w:val="24"/>
          <w:szCs w:val="24"/>
        </w:rPr>
        <w:t xml:space="preserve">a state energy efficiency </w:t>
      </w:r>
      <w:r w:rsidR="004C4D8A">
        <w:rPr>
          <w:rFonts w:ascii="Palatino Linotype" w:hAnsi="Palatino Linotype" w:eastAsia="Palatino Linotype"/>
          <w:sz w:val="24"/>
          <w:szCs w:val="24"/>
        </w:rPr>
        <w:t xml:space="preserve">incentive </w:t>
      </w:r>
      <w:r w:rsidRPr="003A4362">
        <w:rPr>
          <w:rFonts w:ascii="Palatino Linotype" w:hAnsi="Palatino Linotype" w:eastAsia="Palatino Linotype"/>
          <w:sz w:val="24"/>
          <w:szCs w:val="24"/>
        </w:rPr>
        <w:t>by the I</w:t>
      </w:r>
      <w:r w:rsidR="003A57F8">
        <w:rPr>
          <w:rFonts w:ascii="Palatino Linotype" w:hAnsi="Palatino Linotype" w:eastAsia="Palatino Linotype"/>
          <w:sz w:val="24"/>
          <w:szCs w:val="24"/>
        </w:rPr>
        <w:t xml:space="preserve">nternal </w:t>
      </w:r>
      <w:r w:rsidRPr="003A4362">
        <w:rPr>
          <w:rFonts w:ascii="Palatino Linotype" w:hAnsi="Palatino Linotype" w:eastAsia="Palatino Linotype"/>
          <w:sz w:val="24"/>
          <w:szCs w:val="24"/>
        </w:rPr>
        <w:t>R</w:t>
      </w:r>
      <w:r w:rsidR="003A57F8">
        <w:rPr>
          <w:rFonts w:ascii="Palatino Linotype" w:hAnsi="Palatino Linotype" w:eastAsia="Palatino Linotype"/>
          <w:sz w:val="24"/>
          <w:szCs w:val="24"/>
        </w:rPr>
        <w:t xml:space="preserve">evenue </w:t>
      </w:r>
      <w:r w:rsidRPr="003A4362">
        <w:rPr>
          <w:rFonts w:ascii="Palatino Linotype" w:hAnsi="Palatino Linotype" w:eastAsia="Palatino Linotype"/>
          <w:sz w:val="24"/>
          <w:szCs w:val="24"/>
        </w:rPr>
        <w:t>S</w:t>
      </w:r>
      <w:r w:rsidR="003A57F8">
        <w:rPr>
          <w:rFonts w:ascii="Palatino Linotype" w:hAnsi="Palatino Linotype" w:eastAsia="Palatino Linotype"/>
          <w:sz w:val="24"/>
          <w:szCs w:val="24"/>
        </w:rPr>
        <w:t>ervice (IRS)</w:t>
      </w:r>
      <w:r w:rsidRPr="003A4362">
        <w:rPr>
          <w:rFonts w:ascii="Palatino Linotype" w:hAnsi="Palatino Linotype" w:eastAsia="Palatino Linotype"/>
          <w:sz w:val="24"/>
          <w:szCs w:val="24"/>
        </w:rPr>
        <w:t>.</w:t>
      </w:r>
    </w:p>
    <w:p w:rsidR="00E9460B" w:rsidP="0028267B" w:rsidRDefault="00E9460B" w14:paraId="0FC938ED" w14:textId="790EF969">
      <w:pPr>
        <w:numPr>
          <w:ilvl w:val="0"/>
          <w:numId w:val="7"/>
        </w:numPr>
        <w:rPr>
          <w:rFonts w:ascii="Palatino Linotype" w:hAnsi="Palatino Linotype" w:eastAsia="Palatino Linotype"/>
          <w:sz w:val="24"/>
          <w:szCs w:val="24"/>
        </w:rPr>
      </w:pPr>
      <w:r>
        <w:rPr>
          <w:rFonts w:ascii="Palatino Linotype" w:hAnsi="Palatino Linotype" w:eastAsia="Palatino Linotype"/>
          <w:sz w:val="24"/>
          <w:szCs w:val="24"/>
        </w:rPr>
        <w:t xml:space="preserve">For systems owned by the residential host customer, ratepayer funds are considered </w:t>
      </w:r>
      <w:r w:rsidR="004C4D8A">
        <w:rPr>
          <w:rFonts w:ascii="Palatino Linotype" w:hAnsi="Palatino Linotype" w:eastAsia="Palatino Linotype"/>
          <w:sz w:val="24"/>
          <w:szCs w:val="24"/>
        </w:rPr>
        <w:t xml:space="preserve">a public utility subsidy </w:t>
      </w:r>
      <w:r>
        <w:rPr>
          <w:rFonts w:ascii="Palatino Linotype" w:hAnsi="Palatino Linotype" w:eastAsia="Palatino Linotype"/>
          <w:sz w:val="24"/>
          <w:szCs w:val="24"/>
        </w:rPr>
        <w:t>by the IRS.</w:t>
      </w:r>
    </w:p>
    <w:p w:rsidR="00E9460B" w:rsidP="0028267B" w:rsidRDefault="00E9460B" w14:paraId="7B4D9903" w14:textId="652CD747">
      <w:pPr>
        <w:numPr>
          <w:ilvl w:val="0"/>
          <w:numId w:val="7"/>
        </w:numPr>
        <w:rPr>
          <w:rFonts w:ascii="Palatino Linotype" w:hAnsi="Palatino Linotype" w:eastAsia="Palatino Linotype"/>
          <w:sz w:val="24"/>
          <w:szCs w:val="24"/>
        </w:rPr>
      </w:pPr>
      <w:r>
        <w:rPr>
          <w:rFonts w:ascii="Palatino Linotype" w:hAnsi="Palatino Linotype" w:eastAsia="Palatino Linotype"/>
          <w:sz w:val="24"/>
          <w:szCs w:val="24"/>
        </w:rPr>
        <w:t xml:space="preserve">For systems owned by a </w:t>
      </w:r>
      <w:r w:rsidR="00C07C73">
        <w:rPr>
          <w:rFonts w:ascii="Palatino Linotype" w:hAnsi="Palatino Linotype" w:eastAsia="Palatino Linotype"/>
          <w:sz w:val="24"/>
          <w:szCs w:val="24"/>
        </w:rPr>
        <w:t>third-party</w:t>
      </w:r>
      <w:r>
        <w:rPr>
          <w:rFonts w:ascii="Palatino Linotype" w:hAnsi="Palatino Linotype" w:eastAsia="Palatino Linotype"/>
          <w:sz w:val="24"/>
          <w:szCs w:val="24"/>
        </w:rPr>
        <w:t xml:space="preserve"> entity</w:t>
      </w:r>
      <w:r w:rsidR="00CF5E69">
        <w:rPr>
          <w:rFonts w:ascii="Palatino Linotype" w:hAnsi="Palatino Linotype" w:eastAsia="Palatino Linotype"/>
          <w:sz w:val="24"/>
          <w:szCs w:val="24"/>
        </w:rPr>
        <w:t xml:space="preserve"> or non-residential host customer</w:t>
      </w:r>
      <w:r>
        <w:rPr>
          <w:rFonts w:ascii="Palatino Linotype" w:hAnsi="Palatino Linotype" w:eastAsia="Palatino Linotype"/>
          <w:sz w:val="24"/>
          <w:szCs w:val="24"/>
        </w:rPr>
        <w:t xml:space="preserve">, both ratepayer and </w:t>
      </w:r>
      <w:r w:rsidR="00F14531">
        <w:rPr>
          <w:rFonts w:ascii="Palatino Linotype" w:hAnsi="Palatino Linotype" w:eastAsia="Palatino Linotype"/>
          <w:sz w:val="24"/>
          <w:szCs w:val="24"/>
        </w:rPr>
        <w:t>state</w:t>
      </w:r>
      <w:r>
        <w:rPr>
          <w:rFonts w:ascii="Palatino Linotype" w:hAnsi="Palatino Linotype" w:eastAsia="Palatino Linotype"/>
          <w:sz w:val="24"/>
          <w:szCs w:val="24"/>
        </w:rPr>
        <w:t xml:space="preserve"> funds are </w:t>
      </w:r>
      <w:r w:rsidR="00E25629">
        <w:rPr>
          <w:rFonts w:ascii="Palatino Linotype" w:hAnsi="Palatino Linotype" w:eastAsia="Palatino Linotype"/>
          <w:sz w:val="24"/>
          <w:szCs w:val="24"/>
        </w:rPr>
        <w:t xml:space="preserve">considered </w:t>
      </w:r>
      <w:r w:rsidR="00E82DCC">
        <w:rPr>
          <w:rFonts w:ascii="Palatino Linotype" w:hAnsi="Palatino Linotype" w:eastAsia="Palatino Linotype"/>
          <w:sz w:val="24"/>
          <w:szCs w:val="24"/>
        </w:rPr>
        <w:t xml:space="preserve">eligible </w:t>
      </w:r>
      <w:r w:rsidR="008A3332">
        <w:rPr>
          <w:rFonts w:ascii="Palatino Linotype" w:hAnsi="Palatino Linotype" w:eastAsia="Palatino Linotype"/>
          <w:sz w:val="24"/>
          <w:szCs w:val="24"/>
        </w:rPr>
        <w:t xml:space="preserve">cost </w:t>
      </w:r>
      <w:r w:rsidR="00E82DCC">
        <w:rPr>
          <w:rFonts w:ascii="Palatino Linotype" w:hAnsi="Palatino Linotype" w:eastAsia="Palatino Linotype"/>
          <w:sz w:val="24"/>
          <w:szCs w:val="24"/>
        </w:rPr>
        <w:t xml:space="preserve">basis </w:t>
      </w:r>
      <w:r w:rsidR="00E25629">
        <w:rPr>
          <w:rFonts w:ascii="Palatino Linotype" w:hAnsi="Palatino Linotype" w:eastAsia="Palatino Linotype"/>
          <w:sz w:val="24"/>
          <w:szCs w:val="24"/>
        </w:rPr>
        <w:t xml:space="preserve">by </w:t>
      </w:r>
      <w:r>
        <w:rPr>
          <w:rFonts w:ascii="Palatino Linotype" w:hAnsi="Palatino Linotype" w:eastAsia="Palatino Linotype"/>
          <w:sz w:val="24"/>
          <w:szCs w:val="24"/>
        </w:rPr>
        <w:t>the IRS.</w:t>
      </w:r>
    </w:p>
    <w:p w:rsidR="00E9460B" w:rsidP="0028267B" w:rsidRDefault="00E9460B" w14:paraId="372FF798" w14:textId="656A36A8">
      <w:pPr>
        <w:numPr>
          <w:ilvl w:val="0"/>
          <w:numId w:val="7"/>
        </w:numPr>
        <w:rPr>
          <w:rFonts w:ascii="Palatino Linotype" w:hAnsi="Palatino Linotype" w:eastAsia="Palatino Linotype"/>
          <w:sz w:val="24"/>
          <w:szCs w:val="24"/>
        </w:rPr>
      </w:pPr>
      <w:r>
        <w:rPr>
          <w:rFonts w:ascii="Palatino Linotype" w:hAnsi="Palatino Linotype" w:eastAsia="Palatino Linotype"/>
          <w:sz w:val="24"/>
          <w:szCs w:val="24"/>
        </w:rPr>
        <w:t xml:space="preserve">It is reasonable to </w:t>
      </w:r>
      <w:r w:rsidR="003D65AE">
        <w:rPr>
          <w:rFonts w:ascii="Palatino Linotype" w:hAnsi="Palatino Linotype" w:eastAsia="Palatino Linotype"/>
          <w:sz w:val="24"/>
          <w:szCs w:val="24"/>
        </w:rPr>
        <w:t xml:space="preserve">apply the assumed 30 percent IRA tax credit for systems owned by the residential host customer funded by </w:t>
      </w:r>
      <w:r w:rsidR="00F14531">
        <w:rPr>
          <w:rFonts w:ascii="Palatino Linotype" w:hAnsi="Palatino Linotype" w:eastAsia="Palatino Linotype"/>
          <w:sz w:val="24"/>
          <w:szCs w:val="24"/>
        </w:rPr>
        <w:t>state</w:t>
      </w:r>
      <w:r w:rsidR="003D65AE">
        <w:rPr>
          <w:rFonts w:ascii="Palatino Linotype" w:hAnsi="Palatino Linotype" w:eastAsia="Palatino Linotype"/>
          <w:sz w:val="24"/>
          <w:szCs w:val="24"/>
        </w:rPr>
        <w:t xml:space="preserve"> funds and for </w:t>
      </w:r>
      <w:r w:rsidR="00E80E2D">
        <w:rPr>
          <w:rFonts w:ascii="Palatino Linotype" w:hAnsi="Palatino Linotype" w:eastAsia="Palatino Linotype"/>
          <w:sz w:val="24"/>
          <w:szCs w:val="24"/>
        </w:rPr>
        <w:t xml:space="preserve">all </w:t>
      </w:r>
      <w:r w:rsidR="00C07C73">
        <w:rPr>
          <w:rFonts w:ascii="Palatino Linotype" w:hAnsi="Palatino Linotype" w:eastAsia="Palatino Linotype"/>
          <w:sz w:val="24"/>
          <w:szCs w:val="24"/>
        </w:rPr>
        <w:t>third-party</w:t>
      </w:r>
      <w:r w:rsidR="00E80E2D">
        <w:rPr>
          <w:rFonts w:ascii="Palatino Linotype" w:hAnsi="Palatino Linotype" w:eastAsia="Palatino Linotype"/>
          <w:sz w:val="24"/>
          <w:szCs w:val="24"/>
        </w:rPr>
        <w:t xml:space="preserve"> entity owned</w:t>
      </w:r>
      <w:r w:rsidR="00A322BC">
        <w:rPr>
          <w:rFonts w:ascii="Palatino Linotype" w:hAnsi="Palatino Linotype" w:eastAsia="Palatino Linotype"/>
          <w:sz w:val="24"/>
          <w:szCs w:val="24"/>
        </w:rPr>
        <w:t xml:space="preserve"> (TPO)</w:t>
      </w:r>
      <w:r w:rsidR="00E80E2D">
        <w:rPr>
          <w:rFonts w:ascii="Palatino Linotype" w:hAnsi="Palatino Linotype" w:eastAsia="Palatino Linotype"/>
          <w:sz w:val="24"/>
          <w:szCs w:val="24"/>
        </w:rPr>
        <w:t xml:space="preserve"> </w:t>
      </w:r>
      <w:r w:rsidR="00022D48">
        <w:rPr>
          <w:rFonts w:ascii="Palatino Linotype" w:hAnsi="Palatino Linotype" w:eastAsia="Palatino Linotype"/>
          <w:sz w:val="24"/>
          <w:szCs w:val="24"/>
        </w:rPr>
        <w:t xml:space="preserve">residential </w:t>
      </w:r>
      <w:r w:rsidR="00E80E2D">
        <w:rPr>
          <w:rFonts w:ascii="Palatino Linotype" w:hAnsi="Palatino Linotype" w:eastAsia="Palatino Linotype"/>
          <w:sz w:val="24"/>
          <w:szCs w:val="24"/>
        </w:rPr>
        <w:t>systems</w:t>
      </w:r>
      <w:r w:rsidR="00022D48">
        <w:rPr>
          <w:rFonts w:ascii="Palatino Linotype" w:hAnsi="Palatino Linotype" w:eastAsia="Palatino Linotype"/>
          <w:sz w:val="24"/>
          <w:szCs w:val="24"/>
        </w:rPr>
        <w:t xml:space="preserve"> and nonresidential systems</w:t>
      </w:r>
      <w:r w:rsidR="00E80E2D">
        <w:rPr>
          <w:rFonts w:ascii="Palatino Linotype" w:hAnsi="Palatino Linotype" w:eastAsia="Palatino Linotype"/>
          <w:sz w:val="24"/>
          <w:szCs w:val="24"/>
        </w:rPr>
        <w:t xml:space="preserve">. </w:t>
      </w:r>
    </w:p>
    <w:p w:rsidR="00E25629" w:rsidP="0028267B" w:rsidRDefault="00E25629" w14:paraId="0704E0FE" w14:textId="71E3C78C">
      <w:pPr>
        <w:numPr>
          <w:ilvl w:val="0"/>
          <w:numId w:val="7"/>
        </w:numPr>
        <w:rPr>
          <w:rFonts w:ascii="Palatino Linotype" w:hAnsi="Palatino Linotype" w:eastAsia="Palatino Linotype"/>
          <w:sz w:val="24"/>
          <w:szCs w:val="24"/>
        </w:rPr>
      </w:pPr>
      <w:r>
        <w:rPr>
          <w:rFonts w:ascii="Palatino Linotype" w:hAnsi="Palatino Linotype" w:eastAsia="Palatino Linotype"/>
          <w:sz w:val="24"/>
          <w:szCs w:val="24"/>
        </w:rPr>
        <w:t xml:space="preserve">It is reasonable to have the </w:t>
      </w:r>
      <w:r w:rsidR="00777B4E">
        <w:rPr>
          <w:rFonts w:ascii="Palatino Linotype" w:hAnsi="Palatino Linotype" w:eastAsia="Palatino Linotype"/>
          <w:sz w:val="24"/>
          <w:szCs w:val="24"/>
        </w:rPr>
        <w:t xml:space="preserve">applicant for </w:t>
      </w:r>
      <w:r w:rsidR="00E01761">
        <w:rPr>
          <w:rFonts w:ascii="Palatino Linotype" w:hAnsi="Palatino Linotype" w:eastAsia="Palatino Linotype"/>
          <w:sz w:val="24"/>
          <w:szCs w:val="24"/>
        </w:rPr>
        <w:t>systems</w:t>
      </w:r>
      <w:r w:rsidR="00777B4E">
        <w:rPr>
          <w:rFonts w:ascii="Palatino Linotype" w:hAnsi="Palatino Linotype" w:eastAsia="Palatino Linotype"/>
          <w:sz w:val="24"/>
          <w:szCs w:val="24"/>
        </w:rPr>
        <w:t xml:space="preserve"> owned by the residential host customer </w:t>
      </w:r>
      <w:r w:rsidR="00E01761">
        <w:rPr>
          <w:rFonts w:ascii="Palatino Linotype" w:hAnsi="Palatino Linotype" w:eastAsia="Palatino Linotype"/>
          <w:sz w:val="24"/>
          <w:szCs w:val="24"/>
        </w:rPr>
        <w:t>funded</w:t>
      </w:r>
      <w:r w:rsidR="00777B4E">
        <w:rPr>
          <w:rFonts w:ascii="Palatino Linotype" w:hAnsi="Palatino Linotype" w:eastAsia="Palatino Linotype"/>
          <w:sz w:val="24"/>
          <w:szCs w:val="24"/>
        </w:rPr>
        <w:t xml:space="preserve"> by </w:t>
      </w:r>
      <w:r w:rsidR="00E01761">
        <w:rPr>
          <w:rFonts w:ascii="Palatino Linotype" w:hAnsi="Palatino Linotype" w:eastAsia="Palatino Linotype"/>
          <w:sz w:val="24"/>
          <w:szCs w:val="24"/>
        </w:rPr>
        <w:t>rate</w:t>
      </w:r>
      <w:r w:rsidR="00777B4E">
        <w:rPr>
          <w:rFonts w:ascii="Palatino Linotype" w:hAnsi="Palatino Linotype" w:eastAsia="Palatino Linotype"/>
          <w:sz w:val="24"/>
          <w:szCs w:val="24"/>
        </w:rPr>
        <w:t xml:space="preserve">payer funds </w:t>
      </w:r>
      <w:r w:rsidR="00E01761">
        <w:rPr>
          <w:rFonts w:ascii="Palatino Linotype" w:hAnsi="Palatino Linotype" w:eastAsia="Palatino Linotype"/>
          <w:sz w:val="24"/>
          <w:szCs w:val="24"/>
        </w:rPr>
        <w:t>input the percentage of total project cost expected to be</w:t>
      </w:r>
      <w:r w:rsidR="001A33CD">
        <w:rPr>
          <w:rFonts w:ascii="Palatino Linotype" w:hAnsi="Palatino Linotype" w:eastAsia="Palatino Linotype"/>
          <w:sz w:val="24"/>
          <w:szCs w:val="24"/>
        </w:rPr>
        <w:t xml:space="preserve"> covered</w:t>
      </w:r>
      <w:r w:rsidR="00E01761">
        <w:rPr>
          <w:rFonts w:ascii="Palatino Linotype" w:hAnsi="Palatino Linotype" w:eastAsia="Palatino Linotype"/>
          <w:sz w:val="24"/>
          <w:szCs w:val="24"/>
        </w:rPr>
        <w:t xml:space="preserve"> by the IRA tax credit. </w:t>
      </w:r>
    </w:p>
    <w:p w:rsidR="00E03664" w:rsidP="0028267B" w:rsidRDefault="00BB2323" w14:paraId="7729707E" w14:textId="77777777">
      <w:pPr>
        <w:numPr>
          <w:ilvl w:val="0"/>
          <w:numId w:val="7"/>
        </w:numPr>
        <w:rPr>
          <w:rFonts w:ascii="Palatino Linotype" w:hAnsi="Palatino Linotype" w:eastAsia="Palatino Linotype"/>
          <w:sz w:val="24"/>
          <w:szCs w:val="24"/>
        </w:rPr>
      </w:pPr>
      <w:r>
        <w:rPr>
          <w:rFonts w:ascii="Palatino Linotype" w:hAnsi="Palatino Linotype" w:eastAsia="Palatino Linotype"/>
          <w:sz w:val="24"/>
          <w:szCs w:val="24"/>
        </w:rPr>
        <w:t xml:space="preserve">It is reasonable for the SGIP application to </w:t>
      </w:r>
      <w:r w:rsidRPr="39D1037D" w:rsidR="0015730A">
        <w:rPr>
          <w:rFonts w:ascii="Palatino Linotype" w:hAnsi="Palatino Linotype" w:eastAsia="Palatino Linotype"/>
          <w:sz w:val="24"/>
          <w:szCs w:val="24"/>
        </w:rPr>
        <w:t>discl</w:t>
      </w:r>
      <w:r w:rsidRPr="39D1037D" w:rsidR="0C5B5B12">
        <w:rPr>
          <w:rFonts w:ascii="Palatino Linotype" w:hAnsi="Palatino Linotype" w:eastAsia="Palatino Linotype"/>
          <w:sz w:val="24"/>
          <w:szCs w:val="24"/>
        </w:rPr>
        <w:t>ose</w:t>
      </w:r>
      <w:r w:rsidR="0015730A">
        <w:rPr>
          <w:rFonts w:ascii="Palatino Linotype" w:hAnsi="Palatino Linotype" w:eastAsia="Palatino Linotype"/>
          <w:sz w:val="24"/>
          <w:szCs w:val="24"/>
        </w:rPr>
        <w:t xml:space="preserve"> the funding source of the SGIP payment</w:t>
      </w:r>
      <w:r w:rsidR="00E03664">
        <w:rPr>
          <w:rFonts w:ascii="Palatino Linotype" w:hAnsi="Palatino Linotype" w:eastAsia="Palatino Linotype"/>
          <w:sz w:val="24"/>
          <w:szCs w:val="24"/>
        </w:rPr>
        <w:t>.</w:t>
      </w:r>
    </w:p>
    <w:p w:rsidR="00BB2323" w:rsidP="0028267B" w:rsidRDefault="00E03664" w14:paraId="7EAEB4D8" w14:textId="4B1F7FFD">
      <w:pPr>
        <w:numPr>
          <w:ilvl w:val="0"/>
          <w:numId w:val="7"/>
        </w:numPr>
        <w:rPr>
          <w:rFonts w:ascii="Palatino Linotype" w:hAnsi="Palatino Linotype" w:eastAsia="Palatino Linotype"/>
          <w:sz w:val="24"/>
          <w:szCs w:val="24"/>
        </w:rPr>
      </w:pPr>
      <w:r>
        <w:rPr>
          <w:rFonts w:ascii="Palatino Linotype" w:hAnsi="Palatino Linotype" w:eastAsia="Palatino Linotype"/>
          <w:sz w:val="24"/>
          <w:szCs w:val="24"/>
        </w:rPr>
        <w:t xml:space="preserve">The SGIP PAs proposed to </w:t>
      </w:r>
      <w:r w:rsidRPr="39D1037D" w:rsidR="628C96A5">
        <w:rPr>
          <w:rFonts w:ascii="Palatino Linotype" w:hAnsi="Palatino Linotype" w:eastAsia="Palatino Linotype"/>
          <w:sz w:val="24"/>
          <w:szCs w:val="24"/>
        </w:rPr>
        <w:t>make the applicant aware of available IRS guidance on how to apply the tax cred</w:t>
      </w:r>
      <w:r w:rsidRPr="39D1037D" w:rsidR="14BF64BD">
        <w:rPr>
          <w:rFonts w:ascii="Palatino Linotype" w:hAnsi="Palatino Linotype" w:eastAsia="Palatino Linotype"/>
          <w:sz w:val="24"/>
          <w:szCs w:val="24"/>
        </w:rPr>
        <w:t>it</w:t>
      </w:r>
      <w:r w:rsidR="0015730A">
        <w:rPr>
          <w:rFonts w:ascii="Palatino Linotype" w:hAnsi="Palatino Linotype" w:eastAsia="Palatino Linotype"/>
          <w:sz w:val="24"/>
          <w:szCs w:val="24"/>
        </w:rPr>
        <w:t xml:space="preserve">. </w:t>
      </w:r>
    </w:p>
    <w:p w:rsidR="00A25CA4" w:rsidP="0028267B" w:rsidRDefault="00A25CA4" w14:paraId="6D836EE3" w14:textId="654950E5">
      <w:pPr>
        <w:numPr>
          <w:ilvl w:val="0"/>
          <w:numId w:val="7"/>
        </w:numPr>
        <w:rPr>
          <w:rFonts w:ascii="Palatino Linotype" w:hAnsi="Palatino Linotype" w:eastAsia="Palatino Linotype"/>
          <w:sz w:val="24"/>
          <w:szCs w:val="24"/>
        </w:rPr>
      </w:pPr>
      <w:r>
        <w:rPr>
          <w:rFonts w:ascii="Palatino Linotype" w:hAnsi="Palatino Linotype" w:eastAsia="Palatino Linotype"/>
          <w:sz w:val="24"/>
          <w:szCs w:val="24"/>
        </w:rPr>
        <w:t xml:space="preserve">It is reasonable to make this </w:t>
      </w:r>
      <w:r w:rsidR="004B6B24">
        <w:rPr>
          <w:rFonts w:ascii="Palatino Linotype" w:hAnsi="Palatino Linotype" w:eastAsia="Palatino Linotype"/>
          <w:sz w:val="24"/>
          <w:szCs w:val="24"/>
        </w:rPr>
        <w:t xml:space="preserve">IRS </w:t>
      </w:r>
      <w:r>
        <w:rPr>
          <w:rFonts w:ascii="Palatino Linotype" w:hAnsi="Palatino Linotype" w:eastAsia="Palatino Linotype"/>
          <w:sz w:val="24"/>
          <w:szCs w:val="24"/>
        </w:rPr>
        <w:t>guidance available</w:t>
      </w:r>
      <w:r w:rsidR="00C73D57">
        <w:rPr>
          <w:rFonts w:ascii="Palatino Linotype" w:hAnsi="Palatino Linotype" w:eastAsia="Palatino Linotype"/>
          <w:sz w:val="24"/>
          <w:szCs w:val="24"/>
        </w:rPr>
        <w:t xml:space="preserve"> </w:t>
      </w:r>
      <w:r w:rsidR="0040401B">
        <w:rPr>
          <w:rFonts w:ascii="Palatino Linotype" w:hAnsi="Palatino Linotype" w:eastAsia="Palatino Linotype"/>
          <w:sz w:val="24"/>
          <w:szCs w:val="24"/>
        </w:rPr>
        <w:t>in the SGIP application process</w:t>
      </w:r>
      <w:r w:rsidR="002F4DEB">
        <w:rPr>
          <w:rFonts w:ascii="Palatino Linotype" w:hAnsi="Palatino Linotype" w:eastAsia="Palatino Linotype"/>
          <w:sz w:val="24"/>
          <w:szCs w:val="24"/>
        </w:rPr>
        <w:t xml:space="preserve"> and to send a direct notice of the guidance to SGIP participants</w:t>
      </w:r>
      <w:r>
        <w:rPr>
          <w:rFonts w:ascii="Palatino Linotype" w:hAnsi="Palatino Linotype" w:eastAsia="Palatino Linotype"/>
          <w:sz w:val="24"/>
          <w:szCs w:val="24"/>
        </w:rPr>
        <w:t>.</w:t>
      </w:r>
    </w:p>
    <w:p w:rsidR="00A77032" w:rsidP="0028267B" w:rsidRDefault="00724819" w14:paraId="1A385BF5" w14:textId="740A6F51">
      <w:pPr>
        <w:numPr>
          <w:ilvl w:val="0"/>
          <w:numId w:val="7"/>
        </w:numPr>
        <w:rPr>
          <w:rFonts w:ascii="Palatino Linotype" w:hAnsi="Palatino Linotype" w:eastAsia="Palatino Linotype"/>
          <w:sz w:val="24"/>
          <w:szCs w:val="24"/>
        </w:rPr>
      </w:pPr>
      <w:r>
        <w:rPr>
          <w:rFonts w:ascii="Palatino Linotype" w:hAnsi="Palatino Linotype" w:eastAsia="Palatino Linotype"/>
          <w:sz w:val="24"/>
          <w:szCs w:val="24"/>
        </w:rPr>
        <w:lastRenderedPageBreak/>
        <w:t xml:space="preserve">The SGIP PAs proposed that projects not </w:t>
      </w:r>
      <w:r w:rsidRPr="39D1037D" w:rsidR="2A6C010C">
        <w:rPr>
          <w:rFonts w:ascii="Palatino Linotype" w:hAnsi="Palatino Linotype" w:eastAsia="Palatino Linotype"/>
          <w:sz w:val="24"/>
          <w:szCs w:val="24"/>
        </w:rPr>
        <w:t>claiming</w:t>
      </w:r>
      <w:r>
        <w:rPr>
          <w:rFonts w:ascii="Palatino Linotype" w:hAnsi="Palatino Linotype" w:eastAsia="Palatino Linotype"/>
          <w:sz w:val="24"/>
          <w:szCs w:val="24"/>
        </w:rPr>
        <w:t xml:space="preserve"> the IRA tax credit must submit documentation for why the project is </w:t>
      </w:r>
      <w:r w:rsidR="00A77032">
        <w:rPr>
          <w:rFonts w:ascii="Palatino Linotype" w:hAnsi="Palatino Linotype" w:eastAsia="Palatino Linotype"/>
          <w:sz w:val="24"/>
          <w:szCs w:val="24"/>
        </w:rPr>
        <w:t>ineligible</w:t>
      </w:r>
      <w:r>
        <w:rPr>
          <w:rFonts w:ascii="Palatino Linotype" w:hAnsi="Palatino Linotype" w:eastAsia="Palatino Linotype"/>
          <w:sz w:val="24"/>
          <w:szCs w:val="24"/>
        </w:rPr>
        <w:t xml:space="preserve"> </w:t>
      </w:r>
      <w:r w:rsidR="00A77032">
        <w:rPr>
          <w:rFonts w:ascii="Palatino Linotype" w:hAnsi="Palatino Linotype" w:eastAsia="Palatino Linotype"/>
          <w:sz w:val="24"/>
          <w:szCs w:val="24"/>
        </w:rPr>
        <w:t xml:space="preserve">for the tax credit or why the credit could not otherwise be utilized or transferred by a </w:t>
      </w:r>
      <w:r w:rsidR="00C07C73">
        <w:rPr>
          <w:rFonts w:ascii="Palatino Linotype" w:hAnsi="Palatino Linotype" w:eastAsia="Palatino Linotype"/>
          <w:sz w:val="24"/>
          <w:szCs w:val="24"/>
        </w:rPr>
        <w:t>third-party</w:t>
      </w:r>
      <w:r w:rsidR="00A77032">
        <w:rPr>
          <w:rFonts w:ascii="Palatino Linotype" w:hAnsi="Palatino Linotype" w:eastAsia="Palatino Linotype"/>
          <w:sz w:val="24"/>
          <w:szCs w:val="24"/>
        </w:rPr>
        <w:t xml:space="preserve"> entity. </w:t>
      </w:r>
    </w:p>
    <w:p w:rsidRPr="0028267B" w:rsidR="008702A8" w:rsidP="0028267B" w:rsidRDefault="008702A8" w14:paraId="1ED22D56" w14:textId="3CF20AD3">
      <w:pPr>
        <w:numPr>
          <w:ilvl w:val="0"/>
          <w:numId w:val="7"/>
        </w:numPr>
        <w:rPr>
          <w:rFonts w:ascii="Palatino Linotype" w:hAnsi="Palatino Linotype" w:eastAsia="Palatino Linotype"/>
          <w:sz w:val="24"/>
          <w:szCs w:val="24"/>
        </w:rPr>
      </w:pPr>
      <w:r>
        <w:rPr>
          <w:rFonts w:ascii="Palatino Linotype" w:hAnsi="Palatino Linotype" w:eastAsia="Palatino Linotype"/>
          <w:sz w:val="24"/>
          <w:szCs w:val="24"/>
        </w:rPr>
        <w:t>It is reasonable to request this documentation</w:t>
      </w:r>
      <w:r w:rsidRPr="39D1037D" w:rsidR="69FC48E3">
        <w:rPr>
          <w:rFonts w:ascii="Palatino Linotype" w:hAnsi="Palatino Linotype" w:eastAsia="Palatino Linotype"/>
          <w:sz w:val="24"/>
          <w:szCs w:val="24"/>
        </w:rPr>
        <w:t>.</w:t>
      </w:r>
    </w:p>
    <w:p w:rsidRPr="00D865A9" w:rsidR="00CF17DE" w:rsidP="4BA7214B" w:rsidRDefault="00CF17DE" w14:paraId="18C97720" w14:textId="77777777">
      <w:pPr>
        <w:rPr>
          <w:rFonts w:ascii="Palatino Linotype" w:hAnsi="Palatino Linotype" w:eastAsia="Palatino Linotype"/>
          <w:b/>
          <w:sz w:val="24"/>
          <w:szCs w:val="24"/>
        </w:rPr>
      </w:pPr>
    </w:p>
    <w:p w:rsidRPr="00D865A9" w:rsidR="00CF17DE" w:rsidP="4BA7214B" w:rsidRDefault="00CF17DE" w14:paraId="03EBB768" w14:textId="717CF123">
      <w:pPr>
        <w:pStyle w:val="Heading1"/>
        <w:rPr>
          <w:rFonts w:ascii="Palatino Linotype" w:hAnsi="Palatino Linotype" w:eastAsia="Palatino Linotype"/>
          <w:sz w:val="24"/>
          <w:szCs w:val="24"/>
        </w:rPr>
      </w:pPr>
      <w:r w:rsidRPr="00D865A9">
        <w:rPr>
          <w:rFonts w:ascii="Palatino Linotype" w:hAnsi="Palatino Linotype" w:eastAsia="Palatino Linotype"/>
          <w:sz w:val="24"/>
          <w:szCs w:val="24"/>
        </w:rPr>
        <w:t>Therefore it is ordered that:</w:t>
      </w:r>
    </w:p>
    <w:p w:rsidRPr="00D865A9" w:rsidR="00CF17DE" w:rsidP="4BA7214B" w:rsidRDefault="00CF17DE" w14:paraId="04E7CDC7" w14:textId="47AF042D">
      <w:pPr>
        <w:numPr>
          <w:ilvl w:val="0"/>
          <w:numId w:val="8"/>
        </w:numPr>
        <w:rPr>
          <w:rFonts w:ascii="Palatino Linotype" w:hAnsi="Palatino Linotype" w:eastAsia="Palatino Linotype"/>
          <w:snapToGrid w:val="0"/>
          <w:sz w:val="24"/>
          <w:szCs w:val="24"/>
        </w:rPr>
      </w:pPr>
      <w:r w:rsidRPr="00D865A9">
        <w:rPr>
          <w:rFonts w:ascii="Palatino Linotype" w:hAnsi="Palatino Linotype" w:eastAsia="Palatino Linotype"/>
          <w:snapToGrid w:val="0"/>
          <w:sz w:val="24"/>
          <w:szCs w:val="24"/>
        </w:rPr>
        <w:t xml:space="preserve">The request of </w:t>
      </w:r>
      <w:r w:rsidR="00264932">
        <w:rPr>
          <w:rFonts w:ascii="Palatino Linotype" w:hAnsi="Palatino Linotype"/>
          <w:sz w:val="24"/>
          <w:szCs w:val="24"/>
        </w:rPr>
        <w:t>Southern California Gas Company</w:t>
      </w:r>
      <w:r w:rsidR="00047DDC">
        <w:rPr>
          <w:rFonts w:ascii="Palatino Linotype" w:hAnsi="Palatino Linotype"/>
          <w:sz w:val="24"/>
          <w:szCs w:val="24"/>
        </w:rPr>
        <w:t>,</w:t>
      </w:r>
      <w:r w:rsidRPr="00D865A9">
        <w:rPr>
          <w:rFonts w:ascii="Palatino Linotype" w:hAnsi="Palatino Linotype" w:eastAsia="Palatino Linotype"/>
          <w:snapToGrid w:val="0"/>
          <w:sz w:val="24"/>
          <w:szCs w:val="24"/>
        </w:rPr>
        <w:t xml:space="preserve"> </w:t>
      </w:r>
      <w:r w:rsidR="00832357">
        <w:rPr>
          <w:rFonts w:ascii="Palatino Linotype" w:hAnsi="Palatino Linotype"/>
          <w:sz w:val="24"/>
          <w:szCs w:val="24"/>
        </w:rPr>
        <w:t>Pacific Gas and Electric Company,</w:t>
      </w:r>
      <w:r w:rsidR="00946852">
        <w:rPr>
          <w:rFonts w:ascii="Palatino Linotype" w:hAnsi="Palatino Linotype"/>
          <w:sz w:val="24"/>
          <w:szCs w:val="24"/>
        </w:rPr>
        <w:t xml:space="preserve"> Southern California Edison Company, and the</w:t>
      </w:r>
      <w:r w:rsidR="00832357">
        <w:rPr>
          <w:rFonts w:ascii="Palatino Linotype" w:hAnsi="Palatino Linotype"/>
          <w:sz w:val="24"/>
          <w:szCs w:val="24"/>
        </w:rPr>
        <w:t xml:space="preserve"> Center for Sustainable Energy®</w:t>
      </w:r>
      <w:r w:rsidR="00946852">
        <w:rPr>
          <w:rFonts w:ascii="Palatino Linotype" w:hAnsi="Palatino Linotype"/>
          <w:sz w:val="24"/>
          <w:szCs w:val="24"/>
        </w:rPr>
        <w:t xml:space="preserve"> </w:t>
      </w:r>
      <w:r w:rsidR="00832357">
        <w:rPr>
          <w:rFonts w:ascii="Palatino Linotype" w:hAnsi="Palatino Linotype"/>
          <w:sz w:val="24"/>
          <w:szCs w:val="24"/>
        </w:rPr>
        <w:t>(SGIP PAs)</w:t>
      </w:r>
      <w:r w:rsidRPr="00D865A9">
        <w:rPr>
          <w:rFonts w:ascii="Palatino Linotype" w:hAnsi="Palatino Linotype" w:eastAsia="Palatino Linotype"/>
          <w:snapToGrid w:val="0"/>
          <w:sz w:val="24"/>
          <w:szCs w:val="24"/>
        </w:rPr>
        <w:t xml:space="preserve"> to </w:t>
      </w:r>
      <w:r w:rsidR="00A84C99">
        <w:rPr>
          <w:rFonts w:ascii="Palatino Linotype" w:hAnsi="Palatino Linotype" w:eastAsia="Palatino Linotype"/>
          <w:snapToGrid w:val="0"/>
          <w:sz w:val="24"/>
          <w:szCs w:val="24"/>
        </w:rPr>
        <w:t xml:space="preserve">establish </w:t>
      </w:r>
      <w:r w:rsidR="006F3B3D">
        <w:rPr>
          <w:rFonts w:ascii="Palatino Linotype" w:hAnsi="Palatino Linotype" w:eastAsia="Palatino Linotype"/>
          <w:snapToGrid w:val="0"/>
          <w:sz w:val="24"/>
          <w:szCs w:val="24"/>
        </w:rPr>
        <w:t>cost</w:t>
      </w:r>
      <w:r w:rsidR="00654A2D">
        <w:rPr>
          <w:rFonts w:ascii="Palatino Linotype" w:hAnsi="Palatino Linotype" w:eastAsia="Palatino Linotype"/>
          <w:snapToGrid w:val="0"/>
          <w:sz w:val="24"/>
          <w:szCs w:val="24"/>
        </w:rPr>
        <w:t xml:space="preserve"> </w:t>
      </w:r>
      <w:r w:rsidR="006F3B3D">
        <w:rPr>
          <w:rFonts w:ascii="Palatino Linotype" w:hAnsi="Palatino Linotype" w:eastAsia="Palatino Linotype"/>
          <w:snapToGrid w:val="0"/>
          <w:sz w:val="24"/>
          <w:szCs w:val="24"/>
        </w:rPr>
        <w:t>share between SGIP and the I</w:t>
      </w:r>
      <w:r w:rsidR="00690F94">
        <w:rPr>
          <w:rFonts w:ascii="Palatino Linotype" w:hAnsi="Palatino Linotype" w:eastAsia="Palatino Linotype"/>
          <w:snapToGrid w:val="0"/>
          <w:sz w:val="24"/>
          <w:szCs w:val="24"/>
        </w:rPr>
        <w:t xml:space="preserve">nflation Reduction </w:t>
      </w:r>
      <w:r w:rsidR="006F3B3D">
        <w:rPr>
          <w:rFonts w:ascii="Palatino Linotype" w:hAnsi="Palatino Linotype" w:eastAsia="Palatino Linotype"/>
          <w:snapToGrid w:val="0"/>
          <w:sz w:val="24"/>
          <w:szCs w:val="24"/>
        </w:rPr>
        <w:t>A</w:t>
      </w:r>
      <w:r w:rsidR="00690F94">
        <w:rPr>
          <w:rFonts w:ascii="Palatino Linotype" w:hAnsi="Palatino Linotype" w:eastAsia="Palatino Linotype"/>
          <w:snapToGrid w:val="0"/>
          <w:sz w:val="24"/>
          <w:szCs w:val="24"/>
        </w:rPr>
        <w:t>ct (IRA)</w:t>
      </w:r>
      <w:r w:rsidR="006F3B3D">
        <w:rPr>
          <w:rFonts w:ascii="Palatino Linotype" w:hAnsi="Palatino Linotype" w:eastAsia="Palatino Linotype"/>
          <w:snapToGrid w:val="0"/>
          <w:sz w:val="24"/>
          <w:szCs w:val="24"/>
        </w:rPr>
        <w:t xml:space="preserve"> tax credit </w:t>
      </w:r>
      <w:r w:rsidRPr="00D865A9">
        <w:rPr>
          <w:rFonts w:ascii="Palatino Linotype" w:hAnsi="Palatino Linotype" w:eastAsia="Palatino Linotype"/>
          <w:snapToGrid w:val="0"/>
          <w:sz w:val="24"/>
          <w:szCs w:val="24"/>
        </w:rPr>
        <w:t xml:space="preserve">as requested in Advice Letter </w:t>
      </w:r>
      <w:r w:rsidR="006F3B3D">
        <w:rPr>
          <w:rFonts w:ascii="Palatino Linotype" w:hAnsi="Palatino Linotype"/>
          <w:sz w:val="24"/>
          <w:szCs w:val="24"/>
        </w:rPr>
        <w:t>6405-G, 5000-G/7436-E, 5423-E, and 161-E</w:t>
      </w:r>
      <w:r w:rsidR="006F3B3D">
        <w:rPr>
          <w:rFonts w:ascii="Palatino Linotype" w:hAnsi="Palatino Linotype" w:eastAsia="Palatino Linotype"/>
          <w:sz w:val="24"/>
          <w:szCs w:val="24"/>
        </w:rPr>
        <w:t xml:space="preserve"> </w:t>
      </w:r>
      <w:r w:rsidRPr="00D865A9">
        <w:rPr>
          <w:rFonts w:ascii="Palatino Linotype" w:hAnsi="Palatino Linotype" w:eastAsia="Palatino Linotype"/>
          <w:snapToGrid w:val="0"/>
          <w:sz w:val="24"/>
          <w:szCs w:val="24"/>
        </w:rPr>
        <w:t>is approved</w:t>
      </w:r>
      <w:r w:rsidR="00366D7E">
        <w:rPr>
          <w:rFonts w:ascii="Palatino Linotype" w:hAnsi="Palatino Linotype" w:eastAsia="Palatino Linotype"/>
          <w:snapToGrid w:val="0"/>
          <w:sz w:val="24"/>
          <w:szCs w:val="24"/>
        </w:rPr>
        <w:t xml:space="preserve"> with modifications set forth below and otherwise specified herein. </w:t>
      </w:r>
      <w:r w:rsidRPr="00D865A9">
        <w:rPr>
          <w:rFonts w:ascii="Palatino Linotype" w:hAnsi="Palatino Linotype" w:eastAsia="Palatino Linotype"/>
          <w:snapToGrid w:val="0"/>
          <w:sz w:val="24"/>
          <w:szCs w:val="24"/>
        </w:rPr>
        <w:t xml:space="preserve"> </w:t>
      </w:r>
    </w:p>
    <w:p w:rsidR="00694B14" w:rsidP="00694B14" w:rsidRDefault="00685505" w14:paraId="62B1643B" w14:textId="09AC58C8">
      <w:pPr>
        <w:numPr>
          <w:ilvl w:val="0"/>
          <w:numId w:val="8"/>
        </w:numPr>
        <w:rPr>
          <w:rFonts w:ascii="Palatino Linotype" w:hAnsi="Palatino Linotype" w:eastAsia="Palatino Linotype"/>
          <w:sz w:val="24"/>
          <w:szCs w:val="24"/>
        </w:rPr>
      </w:pPr>
      <w:r>
        <w:rPr>
          <w:rFonts w:ascii="Palatino Linotype" w:hAnsi="Palatino Linotype" w:eastAsia="Palatino Linotype"/>
          <w:sz w:val="24"/>
          <w:szCs w:val="24"/>
        </w:rPr>
        <w:t>SGIP PAs shall</w:t>
      </w:r>
      <w:r w:rsidR="00133328">
        <w:rPr>
          <w:rFonts w:ascii="Palatino Linotype" w:hAnsi="Palatino Linotype" w:eastAsia="Palatino Linotype"/>
          <w:sz w:val="24"/>
          <w:szCs w:val="24"/>
        </w:rPr>
        <w:t xml:space="preserve"> assume</w:t>
      </w:r>
      <w:r w:rsidR="001D161B">
        <w:rPr>
          <w:rFonts w:ascii="Palatino Linotype" w:hAnsi="Palatino Linotype" w:eastAsia="Palatino Linotype"/>
          <w:sz w:val="24"/>
          <w:szCs w:val="24"/>
        </w:rPr>
        <w:t xml:space="preserve"> </w:t>
      </w:r>
      <w:r w:rsidR="00133328">
        <w:rPr>
          <w:rFonts w:ascii="Palatino Linotype" w:hAnsi="Palatino Linotype" w:eastAsia="Palatino Linotype"/>
          <w:sz w:val="24"/>
          <w:szCs w:val="24"/>
        </w:rPr>
        <w:t xml:space="preserve">a </w:t>
      </w:r>
      <w:r w:rsidR="00914BD9">
        <w:rPr>
          <w:rFonts w:ascii="Palatino Linotype" w:hAnsi="Palatino Linotype" w:eastAsia="Palatino Linotype"/>
          <w:sz w:val="24"/>
          <w:szCs w:val="24"/>
        </w:rPr>
        <w:t xml:space="preserve">minimum </w:t>
      </w:r>
      <w:r w:rsidR="00133328">
        <w:rPr>
          <w:rFonts w:ascii="Palatino Linotype" w:hAnsi="Palatino Linotype" w:eastAsia="Palatino Linotype"/>
          <w:sz w:val="24"/>
          <w:szCs w:val="24"/>
        </w:rPr>
        <w:t xml:space="preserve">30 percent IRA tax credit when the </w:t>
      </w:r>
      <w:r w:rsidR="000826B1">
        <w:rPr>
          <w:rFonts w:ascii="Palatino Linotype" w:hAnsi="Palatino Linotype" w:eastAsia="Palatino Linotype"/>
          <w:sz w:val="24"/>
          <w:szCs w:val="24"/>
        </w:rPr>
        <w:t xml:space="preserve">SGIP payment is from </w:t>
      </w:r>
      <w:r w:rsidR="00F14531">
        <w:rPr>
          <w:rFonts w:ascii="Palatino Linotype" w:hAnsi="Palatino Linotype" w:eastAsia="Palatino Linotype"/>
          <w:sz w:val="24"/>
          <w:szCs w:val="24"/>
        </w:rPr>
        <w:t>state</w:t>
      </w:r>
      <w:r w:rsidR="000826B1">
        <w:rPr>
          <w:rFonts w:ascii="Palatino Linotype" w:hAnsi="Palatino Linotype" w:eastAsia="Palatino Linotype"/>
          <w:sz w:val="24"/>
          <w:szCs w:val="24"/>
        </w:rPr>
        <w:t xml:space="preserve"> funds</w:t>
      </w:r>
      <w:r w:rsidR="006F5693">
        <w:rPr>
          <w:rFonts w:ascii="Palatino Linotype" w:hAnsi="Palatino Linotype" w:eastAsia="Palatino Linotype"/>
          <w:sz w:val="24"/>
          <w:szCs w:val="24"/>
        </w:rPr>
        <w:t>, the</w:t>
      </w:r>
      <w:r w:rsidR="000826B1">
        <w:rPr>
          <w:rFonts w:ascii="Palatino Linotype" w:hAnsi="Palatino Linotype" w:eastAsia="Palatino Linotype"/>
          <w:sz w:val="24"/>
          <w:szCs w:val="24"/>
        </w:rPr>
        <w:t xml:space="preserve"> system is third party owned</w:t>
      </w:r>
      <w:r w:rsidR="006F5693">
        <w:rPr>
          <w:rFonts w:ascii="Palatino Linotype" w:hAnsi="Palatino Linotype" w:eastAsia="Palatino Linotype"/>
          <w:sz w:val="24"/>
          <w:szCs w:val="24"/>
        </w:rPr>
        <w:t>,</w:t>
      </w:r>
      <w:r w:rsidR="001D161B">
        <w:rPr>
          <w:rFonts w:ascii="Palatino Linotype" w:hAnsi="Palatino Linotype" w:eastAsia="Palatino Linotype"/>
          <w:sz w:val="24"/>
          <w:szCs w:val="24"/>
        </w:rPr>
        <w:t xml:space="preserve"> or </w:t>
      </w:r>
      <w:r w:rsidR="006F5693">
        <w:rPr>
          <w:rFonts w:ascii="Palatino Linotype" w:hAnsi="Palatino Linotype" w:eastAsia="Palatino Linotype"/>
          <w:sz w:val="24"/>
          <w:szCs w:val="24"/>
        </w:rPr>
        <w:t xml:space="preserve">the system is </w:t>
      </w:r>
      <w:r w:rsidR="001D161B">
        <w:rPr>
          <w:rFonts w:ascii="Palatino Linotype" w:hAnsi="Palatino Linotype" w:eastAsia="Palatino Linotype"/>
          <w:sz w:val="24"/>
          <w:szCs w:val="24"/>
        </w:rPr>
        <w:t>nonresidential</w:t>
      </w:r>
      <w:r w:rsidR="000826B1">
        <w:rPr>
          <w:rFonts w:ascii="Palatino Linotype" w:hAnsi="Palatino Linotype" w:eastAsia="Palatino Linotype"/>
          <w:sz w:val="24"/>
          <w:szCs w:val="24"/>
        </w:rPr>
        <w:t xml:space="preserve">. </w:t>
      </w:r>
    </w:p>
    <w:p w:rsidR="002F670E" w:rsidP="00694B14" w:rsidRDefault="002F670E" w14:paraId="78E3F8E1" w14:textId="0F9B8ED5">
      <w:pPr>
        <w:numPr>
          <w:ilvl w:val="0"/>
          <w:numId w:val="8"/>
        </w:numPr>
        <w:rPr>
          <w:rFonts w:ascii="Palatino Linotype" w:hAnsi="Palatino Linotype" w:eastAsia="Palatino Linotype"/>
          <w:sz w:val="24"/>
          <w:szCs w:val="24"/>
        </w:rPr>
      </w:pPr>
      <w:r>
        <w:rPr>
          <w:rFonts w:ascii="Palatino Linotype" w:hAnsi="Palatino Linotype" w:eastAsia="Palatino Linotype"/>
          <w:sz w:val="24"/>
          <w:szCs w:val="24"/>
        </w:rPr>
        <w:t xml:space="preserve">SGIP PAs shall allow </w:t>
      </w:r>
      <w:r w:rsidR="00E26EED">
        <w:rPr>
          <w:rFonts w:ascii="Palatino Linotype" w:hAnsi="Palatino Linotype" w:eastAsia="Palatino Linotype"/>
          <w:sz w:val="24"/>
          <w:szCs w:val="24"/>
        </w:rPr>
        <w:t>third party owned systems</w:t>
      </w:r>
      <w:r w:rsidR="006C24B1">
        <w:rPr>
          <w:rFonts w:ascii="Palatino Linotype" w:hAnsi="Palatino Linotype" w:eastAsia="Palatino Linotype"/>
          <w:sz w:val="24"/>
          <w:szCs w:val="24"/>
        </w:rPr>
        <w:t xml:space="preserve"> and nonresidential systems</w:t>
      </w:r>
      <w:r w:rsidR="00E26EED">
        <w:rPr>
          <w:rFonts w:ascii="Palatino Linotype" w:hAnsi="Palatino Linotype" w:eastAsia="Palatino Linotype"/>
          <w:sz w:val="24"/>
          <w:szCs w:val="24"/>
        </w:rPr>
        <w:t xml:space="preserve"> to alter the </w:t>
      </w:r>
      <w:r w:rsidR="00C07C73">
        <w:rPr>
          <w:rFonts w:ascii="Palatino Linotype" w:hAnsi="Palatino Linotype" w:eastAsia="Palatino Linotype"/>
          <w:sz w:val="24"/>
          <w:szCs w:val="24"/>
        </w:rPr>
        <w:t>percentage</w:t>
      </w:r>
      <w:r w:rsidR="00E26EED">
        <w:rPr>
          <w:rFonts w:ascii="Palatino Linotype" w:hAnsi="Palatino Linotype" w:eastAsia="Palatino Linotype"/>
          <w:sz w:val="24"/>
          <w:szCs w:val="24"/>
        </w:rPr>
        <w:t xml:space="preserve"> </w:t>
      </w:r>
      <w:r w:rsidR="001A202F">
        <w:rPr>
          <w:rFonts w:ascii="Palatino Linotype" w:hAnsi="Palatino Linotype" w:eastAsia="Palatino Linotype"/>
          <w:sz w:val="24"/>
          <w:szCs w:val="24"/>
        </w:rPr>
        <w:t xml:space="preserve">of </w:t>
      </w:r>
      <w:r w:rsidR="00E26EED">
        <w:rPr>
          <w:rFonts w:ascii="Palatino Linotype" w:hAnsi="Palatino Linotype" w:eastAsia="Palatino Linotype"/>
          <w:sz w:val="24"/>
          <w:szCs w:val="24"/>
        </w:rPr>
        <w:t xml:space="preserve">IRA tax credit at the </w:t>
      </w:r>
      <w:r w:rsidR="006531AC">
        <w:rPr>
          <w:rFonts w:ascii="Palatino Linotype" w:hAnsi="Palatino Linotype" w:eastAsia="Palatino Linotype"/>
          <w:sz w:val="24"/>
          <w:szCs w:val="24"/>
        </w:rPr>
        <w:t>Incentive</w:t>
      </w:r>
      <w:r w:rsidR="00E26EED">
        <w:rPr>
          <w:rFonts w:ascii="Palatino Linotype" w:hAnsi="Palatino Linotype" w:eastAsia="Palatino Linotype"/>
          <w:sz w:val="24"/>
          <w:szCs w:val="24"/>
        </w:rPr>
        <w:t xml:space="preserve"> Claim Form</w:t>
      </w:r>
      <w:r w:rsidR="00610D03">
        <w:rPr>
          <w:rFonts w:ascii="Palatino Linotype" w:hAnsi="Palatino Linotype" w:eastAsia="Palatino Linotype"/>
          <w:sz w:val="24"/>
          <w:szCs w:val="24"/>
        </w:rPr>
        <w:t xml:space="preserve"> (ICF)</w:t>
      </w:r>
      <w:r w:rsidR="00E26EED">
        <w:rPr>
          <w:rFonts w:ascii="Palatino Linotype" w:hAnsi="Palatino Linotype" w:eastAsia="Palatino Linotype"/>
          <w:sz w:val="24"/>
          <w:szCs w:val="24"/>
        </w:rPr>
        <w:t xml:space="preserve"> based on </w:t>
      </w:r>
      <w:r w:rsidR="006531AC">
        <w:rPr>
          <w:rFonts w:ascii="Palatino Linotype" w:hAnsi="Palatino Linotype" w:eastAsia="Palatino Linotype"/>
          <w:sz w:val="24"/>
          <w:szCs w:val="24"/>
        </w:rPr>
        <w:t xml:space="preserve">the IRA tax credit adders. </w:t>
      </w:r>
      <w:r w:rsidR="00AC49EC">
        <w:rPr>
          <w:rFonts w:ascii="Palatino Linotype" w:hAnsi="Palatino Linotype" w:eastAsia="Palatino Linotype"/>
          <w:sz w:val="24"/>
          <w:szCs w:val="24"/>
        </w:rPr>
        <w:t xml:space="preserve">SGIP PAs shall </w:t>
      </w:r>
      <w:r w:rsidR="00C011A8">
        <w:rPr>
          <w:rFonts w:ascii="Palatino Linotype" w:hAnsi="Palatino Linotype" w:eastAsia="Palatino Linotype"/>
          <w:sz w:val="24"/>
          <w:szCs w:val="24"/>
        </w:rPr>
        <w:t>allocate additional funding to</w:t>
      </w:r>
      <w:r w:rsidR="008C0690">
        <w:rPr>
          <w:rFonts w:ascii="Palatino Linotype" w:hAnsi="Palatino Linotype" w:eastAsia="Palatino Linotype"/>
          <w:sz w:val="24"/>
          <w:szCs w:val="24"/>
        </w:rPr>
        <w:t xml:space="preserve"> these</w:t>
      </w:r>
      <w:r w:rsidR="00C011A8">
        <w:rPr>
          <w:rFonts w:ascii="Palatino Linotype" w:hAnsi="Palatino Linotype" w:eastAsia="Palatino Linotype"/>
          <w:sz w:val="24"/>
          <w:szCs w:val="24"/>
        </w:rPr>
        <w:t xml:space="preserve"> systems at the ICF if </w:t>
      </w:r>
      <w:r w:rsidR="00610D03">
        <w:rPr>
          <w:rFonts w:ascii="Palatino Linotype" w:hAnsi="Palatino Linotype" w:eastAsia="Palatino Linotype"/>
          <w:sz w:val="24"/>
          <w:szCs w:val="24"/>
        </w:rPr>
        <w:t>additional</w:t>
      </w:r>
      <w:r w:rsidR="00C011A8">
        <w:rPr>
          <w:rFonts w:ascii="Palatino Linotype" w:hAnsi="Palatino Linotype" w:eastAsia="Palatino Linotype"/>
          <w:sz w:val="24"/>
          <w:szCs w:val="24"/>
        </w:rPr>
        <w:t xml:space="preserve"> documentation</w:t>
      </w:r>
      <w:r w:rsidR="00610D03">
        <w:rPr>
          <w:rFonts w:ascii="Palatino Linotype" w:hAnsi="Palatino Linotype" w:eastAsia="Palatino Linotype"/>
          <w:sz w:val="24"/>
          <w:szCs w:val="24"/>
        </w:rPr>
        <w:t xml:space="preserve"> explaining the IRA tax credit decrease</w:t>
      </w:r>
      <w:r w:rsidR="00C011A8">
        <w:rPr>
          <w:rFonts w:ascii="Palatino Linotype" w:hAnsi="Palatino Linotype" w:eastAsia="Palatino Linotype"/>
          <w:sz w:val="24"/>
          <w:szCs w:val="24"/>
        </w:rPr>
        <w:t xml:space="preserve"> is sufficient and </w:t>
      </w:r>
      <w:r w:rsidR="00584EFD">
        <w:rPr>
          <w:rFonts w:ascii="Palatino Linotype" w:hAnsi="Palatino Linotype" w:eastAsia="Palatino Linotype"/>
          <w:sz w:val="24"/>
          <w:szCs w:val="24"/>
        </w:rPr>
        <w:t xml:space="preserve">there are unreserved funds left in that budget category. </w:t>
      </w:r>
    </w:p>
    <w:p w:rsidR="009438F8" w:rsidP="00694B14" w:rsidRDefault="009438F8" w14:paraId="12715BC7" w14:textId="36AC3A48">
      <w:pPr>
        <w:numPr>
          <w:ilvl w:val="0"/>
          <w:numId w:val="8"/>
        </w:numPr>
        <w:rPr>
          <w:rFonts w:ascii="Palatino Linotype" w:hAnsi="Palatino Linotype" w:eastAsia="Palatino Linotype"/>
          <w:sz w:val="24"/>
          <w:szCs w:val="24"/>
        </w:rPr>
      </w:pPr>
      <w:r>
        <w:rPr>
          <w:rFonts w:ascii="Palatino Linotype" w:hAnsi="Palatino Linotype" w:eastAsia="Palatino Linotype"/>
          <w:sz w:val="24"/>
          <w:szCs w:val="24"/>
        </w:rPr>
        <w:t xml:space="preserve">SGIP PAs shall maintain the existing practice of having the applicant enter the expected IRA tax credit percentage for </w:t>
      </w:r>
      <w:r w:rsidR="00082BA5">
        <w:rPr>
          <w:rFonts w:ascii="Palatino Linotype" w:hAnsi="Palatino Linotype" w:eastAsia="Palatino Linotype"/>
          <w:sz w:val="24"/>
          <w:szCs w:val="24"/>
        </w:rPr>
        <w:t>residential single-family projects owned by the host customer</w:t>
      </w:r>
      <w:r w:rsidR="00316189">
        <w:rPr>
          <w:rFonts w:ascii="Palatino Linotype" w:hAnsi="Palatino Linotype" w:eastAsia="Palatino Linotype"/>
          <w:sz w:val="24"/>
          <w:szCs w:val="24"/>
        </w:rPr>
        <w:t xml:space="preserve"> receiving a ratepayer funded SGIP incentive</w:t>
      </w:r>
      <w:r w:rsidR="00082BA5">
        <w:rPr>
          <w:rFonts w:ascii="Palatino Linotype" w:hAnsi="Palatino Linotype" w:eastAsia="Palatino Linotype"/>
          <w:sz w:val="24"/>
          <w:szCs w:val="24"/>
        </w:rPr>
        <w:t xml:space="preserve">. </w:t>
      </w:r>
    </w:p>
    <w:p w:rsidR="0053228F" w:rsidP="00694B14" w:rsidRDefault="005E4FAE" w14:paraId="40DF4A7A" w14:textId="77777777">
      <w:pPr>
        <w:numPr>
          <w:ilvl w:val="0"/>
          <w:numId w:val="8"/>
        </w:numPr>
        <w:rPr>
          <w:rFonts w:ascii="Palatino Linotype" w:hAnsi="Palatino Linotype" w:eastAsia="Palatino Linotype"/>
          <w:sz w:val="24"/>
          <w:szCs w:val="24"/>
        </w:rPr>
      </w:pPr>
      <w:r>
        <w:rPr>
          <w:rFonts w:ascii="Palatino Linotype" w:hAnsi="Palatino Linotype" w:eastAsia="Palatino Linotype"/>
          <w:sz w:val="24"/>
          <w:szCs w:val="24"/>
        </w:rPr>
        <w:t xml:space="preserve">SGIP PAs shall </w:t>
      </w:r>
      <w:r w:rsidR="0023115F">
        <w:rPr>
          <w:rFonts w:ascii="Palatino Linotype" w:hAnsi="Palatino Linotype" w:eastAsia="Palatino Linotype"/>
          <w:sz w:val="24"/>
          <w:szCs w:val="24"/>
        </w:rPr>
        <w:t xml:space="preserve">include </w:t>
      </w:r>
      <w:r w:rsidR="00327832">
        <w:rPr>
          <w:rFonts w:ascii="Palatino Linotype" w:hAnsi="Palatino Linotype" w:eastAsia="Palatino Linotype"/>
          <w:sz w:val="24"/>
          <w:szCs w:val="24"/>
        </w:rPr>
        <w:t xml:space="preserve">a disclaimer </w:t>
      </w:r>
      <w:r w:rsidR="0023115F">
        <w:rPr>
          <w:rFonts w:ascii="Palatino Linotype" w:hAnsi="Palatino Linotype" w:eastAsia="Palatino Linotype"/>
          <w:sz w:val="24"/>
          <w:szCs w:val="24"/>
        </w:rPr>
        <w:t xml:space="preserve">in the </w:t>
      </w:r>
      <w:r w:rsidR="000826B1">
        <w:rPr>
          <w:rFonts w:ascii="Palatino Linotype" w:hAnsi="Palatino Linotype" w:eastAsia="Palatino Linotype"/>
          <w:sz w:val="24"/>
          <w:szCs w:val="24"/>
        </w:rPr>
        <w:t>SGIP application</w:t>
      </w:r>
      <w:r w:rsidR="00327832">
        <w:rPr>
          <w:rFonts w:ascii="Palatino Linotype" w:hAnsi="Palatino Linotype" w:eastAsia="Palatino Linotype"/>
          <w:sz w:val="24"/>
          <w:szCs w:val="24"/>
        </w:rPr>
        <w:t xml:space="preserve"> </w:t>
      </w:r>
      <w:r w:rsidR="008C0690">
        <w:rPr>
          <w:rFonts w:ascii="Palatino Linotype" w:hAnsi="Palatino Linotype" w:eastAsia="Palatino Linotype"/>
          <w:sz w:val="24"/>
          <w:szCs w:val="24"/>
        </w:rPr>
        <w:t xml:space="preserve">designating </w:t>
      </w:r>
      <w:r w:rsidR="00327832">
        <w:rPr>
          <w:rFonts w:ascii="Palatino Linotype" w:hAnsi="Palatino Linotype" w:eastAsia="Palatino Linotype"/>
          <w:sz w:val="24"/>
          <w:szCs w:val="24"/>
        </w:rPr>
        <w:t xml:space="preserve">if the SGIP payment is from ratepayer or </w:t>
      </w:r>
      <w:r w:rsidR="00F14531">
        <w:rPr>
          <w:rFonts w:ascii="Palatino Linotype" w:hAnsi="Palatino Linotype" w:eastAsia="Palatino Linotype"/>
          <w:sz w:val="24"/>
          <w:szCs w:val="24"/>
        </w:rPr>
        <w:t>state</w:t>
      </w:r>
      <w:r w:rsidR="00327832">
        <w:rPr>
          <w:rFonts w:ascii="Palatino Linotype" w:hAnsi="Palatino Linotype" w:eastAsia="Palatino Linotype"/>
          <w:sz w:val="24"/>
          <w:szCs w:val="24"/>
        </w:rPr>
        <w:t xml:space="preserve"> funds.</w:t>
      </w:r>
    </w:p>
    <w:p w:rsidR="00694B14" w:rsidP="00694B14" w:rsidRDefault="00DE622D" w14:paraId="56EEBB69" w14:textId="5B661B6F">
      <w:pPr>
        <w:numPr>
          <w:ilvl w:val="0"/>
          <w:numId w:val="8"/>
        </w:numPr>
        <w:rPr>
          <w:rFonts w:ascii="Palatino Linotype" w:hAnsi="Palatino Linotype" w:eastAsia="Palatino Linotype"/>
          <w:sz w:val="24"/>
          <w:szCs w:val="24"/>
        </w:rPr>
      </w:pPr>
      <w:r>
        <w:rPr>
          <w:rFonts w:ascii="Palatino Linotype" w:hAnsi="Palatino Linotype" w:eastAsia="Palatino Linotype"/>
          <w:sz w:val="24"/>
          <w:szCs w:val="24"/>
        </w:rPr>
        <w:t xml:space="preserve"> </w:t>
      </w:r>
      <w:r w:rsidR="0053228F">
        <w:rPr>
          <w:rFonts w:ascii="Palatino Linotype" w:hAnsi="Palatino Linotype" w:eastAsia="Palatino Linotype"/>
          <w:sz w:val="24"/>
          <w:szCs w:val="24"/>
        </w:rPr>
        <w:t>SGIP PAs shall send a direct notice to the appropriate SGIP participants</w:t>
      </w:r>
      <w:r w:rsidR="003C4A3A">
        <w:rPr>
          <w:rFonts w:ascii="Palatino Linotype" w:hAnsi="Palatino Linotype" w:eastAsia="Palatino Linotype"/>
          <w:sz w:val="24"/>
          <w:szCs w:val="24"/>
        </w:rPr>
        <w:t xml:space="preserve"> including</w:t>
      </w:r>
      <w:r w:rsidR="0053228F">
        <w:rPr>
          <w:rFonts w:ascii="Palatino Linotype" w:hAnsi="Palatino Linotype" w:eastAsia="Palatino Linotype"/>
          <w:sz w:val="24"/>
          <w:szCs w:val="24"/>
        </w:rPr>
        <w:t xml:space="preserve"> links to </w:t>
      </w:r>
      <w:r w:rsidR="006A388E">
        <w:rPr>
          <w:rFonts w:ascii="Palatino Linotype" w:hAnsi="Palatino Linotype" w:eastAsia="Palatino Linotype"/>
          <w:sz w:val="24"/>
          <w:szCs w:val="24"/>
        </w:rPr>
        <w:t>the</w:t>
      </w:r>
      <w:r w:rsidR="0053228F">
        <w:rPr>
          <w:rFonts w:ascii="Palatino Linotype" w:hAnsi="Palatino Linotype" w:eastAsia="Palatino Linotype"/>
          <w:sz w:val="24"/>
          <w:szCs w:val="24"/>
        </w:rPr>
        <w:t xml:space="preserve"> IRS guidance, the expected or final value of the SGIP incentive, and the tax credit value that was indicated by the applicant in the SGIP application</w:t>
      </w:r>
      <w:r>
        <w:rPr>
          <w:rFonts w:ascii="Palatino Linotype" w:hAnsi="Palatino Linotype" w:eastAsia="Palatino Linotype"/>
          <w:sz w:val="24"/>
          <w:szCs w:val="24"/>
        </w:rPr>
        <w:t>.</w:t>
      </w:r>
      <w:r w:rsidR="00327832">
        <w:rPr>
          <w:rFonts w:ascii="Palatino Linotype" w:hAnsi="Palatino Linotype" w:eastAsia="Palatino Linotype"/>
          <w:sz w:val="24"/>
          <w:szCs w:val="24"/>
        </w:rPr>
        <w:t xml:space="preserve"> </w:t>
      </w:r>
      <w:r w:rsidR="000826B1">
        <w:rPr>
          <w:rFonts w:ascii="Palatino Linotype" w:hAnsi="Palatino Linotype" w:eastAsia="Palatino Linotype"/>
          <w:sz w:val="24"/>
          <w:szCs w:val="24"/>
        </w:rPr>
        <w:t xml:space="preserve"> </w:t>
      </w:r>
    </w:p>
    <w:p w:rsidR="0039288D" w:rsidP="00694B14" w:rsidRDefault="000335BA" w14:paraId="6DF07A5C" w14:textId="1DE2FE60">
      <w:pPr>
        <w:numPr>
          <w:ilvl w:val="0"/>
          <w:numId w:val="8"/>
        </w:numPr>
        <w:rPr>
          <w:rFonts w:ascii="Palatino Linotype" w:hAnsi="Palatino Linotype" w:eastAsia="Palatino Linotype"/>
          <w:sz w:val="24"/>
          <w:szCs w:val="24"/>
        </w:rPr>
      </w:pPr>
      <w:r>
        <w:rPr>
          <w:rFonts w:ascii="Palatino Linotype" w:hAnsi="Palatino Linotype" w:eastAsia="Palatino Linotype"/>
          <w:sz w:val="24"/>
          <w:szCs w:val="24"/>
        </w:rPr>
        <w:t xml:space="preserve"> SGIP PA</w:t>
      </w:r>
      <w:r w:rsidR="00D72B52">
        <w:rPr>
          <w:rFonts w:ascii="Palatino Linotype" w:hAnsi="Palatino Linotype" w:eastAsia="Palatino Linotype"/>
          <w:sz w:val="24"/>
          <w:szCs w:val="24"/>
        </w:rPr>
        <w:t xml:space="preserve">s shall </w:t>
      </w:r>
      <w:r w:rsidR="00B01CC4">
        <w:rPr>
          <w:rFonts w:ascii="Palatino Linotype" w:hAnsi="Palatino Linotype" w:eastAsia="Palatino Linotype"/>
          <w:sz w:val="24"/>
          <w:szCs w:val="24"/>
        </w:rPr>
        <w:t xml:space="preserve">implement these </w:t>
      </w:r>
      <w:r w:rsidR="00170374">
        <w:rPr>
          <w:rFonts w:ascii="Palatino Linotype" w:hAnsi="Palatino Linotype" w:eastAsia="Palatino Linotype"/>
          <w:sz w:val="24"/>
          <w:szCs w:val="24"/>
        </w:rPr>
        <w:t xml:space="preserve">SGIP </w:t>
      </w:r>
      <w:r w:rsidR="009C4BF6">
        <w:rPr>
          <w:rFonts w:ascii="Palatino Linotype" w:hAnsi="Palatino Linotype" w:eastAsia="Palatino Linotype"/>
          <w:sz w:val="24"/>
          <w:szCs w:val="24"/>
        </w:rPr>
        <w:t>handbook</w:t>
      </w:r>
      <w:r w:rsidR="008811E1">
        <w:rPr>
          <w:rFonts w:ascii="Palatino Linotype" w:hAnsi="Palatino Linotype" w:eastAsia="Palatino Linotype"/>
          <w:sz w:val="24"/>
          <w:szCs w:val="24"/>
        </w:rPr>
        <w:t>, application,</w:t>
      </w:r>
      <w:r w:rsidR="009C4BF6">
        <w:rPr>
          <w:rFonts w:ascii="Palatino Linotype" w:hAnsi="Palatino Linotype" w:eastAsia="Palatino Linotype"/>
          <w:sz w:val="24"/>
          <w:szCs w:val="24"/>
        </w:rPr>
        <w:t xml:space="preserve"> and database changes </w:t>
      </w:r>
      <w:r w:rsidR="0048742D">
        <w:rPr>
          <w:rFonts w:ascii="Palatino Linotype" w:hAnsi="Palatino Linotype" w:eastAsia="Palatino Linotype"/>
          <w:sz w:val="24"/>
          <w:szCs w:val="24"/>
        </w:rPr>
        <w:t xml:space="preserve">in 14 days </w:t>
      </w:r>
      <w:r w:rsidR="00576BD8">
        <w:rPr>
          <w:rFonts w:ascii="Palatino Linotype" w:hAnsi="Palatino Linotype" w:eastAsia="Palatino Linotype"/>
          <w:sz w:val="24"/>
          <w:szCs w:val="24"/>
        </w:rPr>
        <w:t xml:space="preserve">to apply to </w:t>
      </w:r>
      <w:r w:rsidR="00674B54">
        <w:rPr>
          <w:rFonts w:ascii="Palatino Linotype" w:hAnsi="Palatino Linotype" w:eastAsia="Palatino Linotype"/>
          <w:sz w:val="24"/>
          <w:szCs w:val="24"/>
        </w:rPr>
        <w:t xml:space="preserve">all future </w:t>
      </w:r>
      <w:r w:rsidR="005E69C1">
        <w:rPr>
          <w:rFonts w:ascii="Palatino Linotype" w:hAnsi="Palatino Linotype" w:eastAsia="Palatino Linotype"/>
          <w:sz w:val="24"/>
          <w:szCs w:val="24"/>
        </w:rPr>
        <w:t xml:space="preserve">SGIP </w:t>
      </w:r>
      <w:r w:rsidR="00A47D21">
        <w:rPr>
          <w:rFonts w:ascii="Palatino Linotype" w:hAnsi="Palatino Linotype" w:eastAsia="Palatino Linotype"/>
          <w:sz w:val="24"/>
          <w:szCs w:val="24"/>
        </w:rPr>
        <w:t>applications</w:t>
      </w:r>
      <w:r w:rsidR="00572A11">
        <w:rPr>
          <w:rFonts w:ascii="Palatino Linotype" w:hAnsi="Palatino Linotype" w:eastAsia="Palatino Linotype"/>
          <w:sz w:val="24"/>
          <w:szCs w:val="24"/>
        </w:rPr>
        <w:t xml:space="preserve">. </w:t>
      </w:r>
    </w:p>
    <w:p w:rsidR="005470FB" w:rsidP="00602624" w:rsidRDefault="00833EBE" w14:paraId="268BCC29" w14:textId="24904A14">
      <w:pPr>
        <w:numPr>
          <w:ilvl w:val="0"/>
          <w:numId w:val="8"/>
        </w:numPr>
        <w:rPr>
          <w:rFonts w:ascii="Palatino Linotype" w:hAnsi="Palatino Linotype" w:eastAsia="Palatino Linotype"/>
          <w:sz w:val="24"/>
          <w:szCs w:val="24"/>
        </w:rPr>
      </w:pPr>
      <w:r>
        <w:rPr>
          <w:rFonts w:ascii="Palatino Linotype" w:hAnsi="Palatino Linotype" w:eastAsia="Palatino Linotype"/>
          <w:sz w:val="24"/>
          <w:szCs w:val="24"/>
        </w:rPr>
        <w:t xml:space="preserve">SGIP PAs shall </w:t>
      </w:r>
      <w:r w:rsidR="002A153D">
        <w:rPr>
          <w:rFonts w:ascii="Palatino Linotype" w:hAnsi="Palatino Linotype" w:eastAsia="Palatino Linotype"/>
          <w:sz w:val="24"/>
          <w:szCs w:val="24"/>
        </w:rPr>
        <w:t>file a Tier 2 A</w:t>
      </w:r>
      <w:r w:rsidR="007E167F">
        <w:rPr>
          <w:rFonts w:ascii="Palatino Linotype" w:hAnsi="Palatino Linotype" w:eastAsia="Palatino Linotype"/>
          <w:sz w:val="24"/>
          <w:szCs w:val="24"/>
        </w:rPr>
        <w:t xml:space="preserve">dvice </w:t>
      </w:r>
      <w:r w:rsidR="002A153D">
        <w:rPr>
          <w:rFonts w:ascii="Palatino Linotype" w:hAnsi="Palatino Linotype" w:eastAsia="Palatino Linotype"/>
          <w:sz w:val="24"/>
          <w:szCs w:val="24"/>
        </w:rPr>
        <w:t>L</w:t>
      </w:r>
      <w:r w:rsidR="007E167F">
        <w:rPr>
          <w:rFonts w:ascii="Palatino Linotype" w:hAnsi="Palatino Linotype" w:eastAsia="Palatino Linotype"/>
          <w:sz w:val="24"/>
          <w:szCs w:val="24"/>
        </w:rPr>
        <w:t>etter</w:t>
      </w:r>
      <w:r w:rsidR="002A153D">
        <w:rPr>
          <w:rFonts w:ascii="Palatino Linotype" w:hAnsi="Palatino Linotype" w:eastAsia="Palatino Linotype"/>
          <w:sz w:val="24"/>
          <w:szCs w:val="24"/>
        </w:rPr>
        <w:t xml:space="preserve"> in six months to </w:t>
      </w:r>
      <w:r w:rsidR="002F670E">
        <w:rPr>
          <w:rFonts w:ascii="Palatino Linotype" w:hAnsi="Palatino Linotype" w:eastAsia="Palatino Linotype"/>
          <w:sz w:val="24"/>
          <w:szCs w:val="24"/>
        </w:rPr>
        <w:t>provide more clarity on what documentation must be provided for projects</w:t>
      </w:r>
      <w:r w:rsidR="00342F06">
        <w:rPr>
          <w:rFonts w:ascii="Palatino Linotype" w:hAnsi="Palatino Linotype" w:eastAsia="Palatino Linotype"/>
          <w:sz w:val="24"/>
          <w:szCs w:val="24"/>
        </w:rPr>
        <w:t xml:space="preserve"> c</w:t>
      </w:r>
      <w:r w:rsidR="009E0C91">
        <w:rPr>
          <w:rFonts w:ascii="Palatino Linotype" w:hAnsi="Palatino Linotype" w:eastAsia="Palatino Linotype"/>
          <w:sz w:val="24"/>
          <w:szCs w:val="24"/>
        </w:rPr>
        <w:t>laiming to be</w:t>
      </w:r>
      <w:r w:rsidR="002F670E">
        <w:rPr>
          <w:rFonts w:ascii="Palatino Linotype" w:hAnsi="Palatino Linotype" w:eastAsia="Palatino Linotype"/>
          <w:sz w:val="24"/>
          <w:szCs w:val="24"/>
        </w:rPr>
        <w:t xml:space="preserve"> ineligible to claim the IRA tax credit</w:t>
      </w:r>
      <w:r w:rsidRPr="1A6FE3BB" w:rsidR="270CDE2F">
        <w:rPr>
          <w:rFonts w:ascii="Palatino Linotype" w:hAnsi="Palatino Linotype" w:eastAsia="Palatino Linotype"/>
          <w:sz w:val="24"/>
          <w:szCs w:val="24"/>
        </w:rPr>
        <w:t xml:space="preserve"> and </w:t>
      </w:r>
      <w:r w:rsidRPr="1A6FE3BB" w:rsidR="270CDE2F">
        <w:rPr>
          <w:rFonts w:ascii="Palatino Linotype" w:hAnsi="Palatino Linotype"/>
          <w:sz w:val="24"/>
          <w:szCs w:val="24"/>
        </w:rPr>
        <w:t xml:space="preserve">why the credit could not otherwise be utilized or transferred by a </w:t>
      </w:r>
      <w:r w:rsidRPr="1A6FE3BB" w:rsidR="00C07C73">
        <w:rPr>
          <w:rFonts w:ascii="Palatino Linotype" w:hAnsi="Palatino Linotype"/>
          <w:sz w:val="24"/>
          <w:szCs w:val="24"/>
        </w:rPr>
        <w:t>third-party</w:t>
      </w:r>
      <w:r w:rsidRPr="1A6FE3BB" w:rsidR="270CDE2F">
        <w:rPr>
          <w:rFonts w:ascii="Palatino Linotype" w:hAnsi="Palatino Linotype"/>
          <w:sz w:val="24"/>
          <w:szCs w:val="24"/>
        </w:rPr>
        <w:t xml:space="preserve"> entity</w:t>
      </w:r>
      <w:r w:rsidR="002F670E">
        <w:rPr>
          <w:rFonts w:ascii="Palatino Linotype" w:hAnsi="Palatino Linotype" w:eastAsia="Palatino Linotype"/>
          <w:sz w:val="24"/>
          <w:szCs w:val="24"/>
        </w:rPr>
        <w:t xml:space="preserve">. </w:t>
      </w:r>
    </w:p>
    <w:p w:rsidRPr="005C284D" w:rsidR="005C284D" w:rsidP="005C284D" w:rsidRDefault="005C284D" w14:paraId="6ACCD5D3" w14:textId="0D70FE8F">
      <w:pPr>
        <w:numPr>
          <w:ilvl w:val="0"/>
          <w:numId w:val="8"/>
        </w:numPr>
        <w:rPr>
          <w:rFonts w:ascii="Palatino Linotype" w:hAnsi="Palatino Linotype" w:eastAsia="Palatino Linotype"/>
          <w:sz w:val="24"/>
          <w:szCs w:val="24"/>
        </w:rPr>
      </w:pPr>
      <w:r>
        <w:rPr>
          <w:rFonts w:ascii="Palatino Linotype" w:hAnsi="Palatino Linotype" w:eastAsia="Palatino Linotype"/>
          <w:sz w:val="24"/>
          <w:szCs w:val="24"/>
        </w:rPr>
        <w:t>SGIP PAs must notify the SGIP Proceeding Service List</w:t>
      </w:r>
      <w:r w:rsidR="0039353D">
        <w:rPr>
          <w:rFonts w:ascii="Palatino Linotype" w:hAnsi="Palatino Linotype" w:eastAsia="Palatino Linotype"/>
          <w:sz w:val="24"/>
          <w:szCs w:val="24"/>
        </w:rPr>
        <w:t>, the SGIP website announcements, and in future SGIP marketing materials and workshops</w:t>
      </w:r>
      <w:r>
        <w:rPr>
          <w:rFonts w:ascii="Palatino Linotype" w:hAnsi="Palatino Linotype" w:eastAsia="Palatino Linotype"/>
          <w:sz w:val="24"/>
          <w:szCs w:val="24"/>
        </w:rPr>
        <w:t xml:space="preserve"> once </w:t>
      </w:r>
      <w:r w:rsidDel="0039353D">
        <w:rPr>
          <w:rFonts w:ascii="Palatino Linotype" w:hAnsi="Palatino Linotype" w:eastAsia="Palatino Linotype"/>
          <w:sz w:val="24"/>
          <w:szCs w:val="24"/>
        </w:rPr>
        <w:t>all changes required in this Resolution have been made</w:t>
      </w:r>
      <w:r>
        <w:rPr>
          <w:rFonts w:ascii="Palatino Linotype" w:hAnsi="Palatino Linotype" w:eastAsia="Palatino Linotype"/>
          <w:sz w:val="24"/>
          <w:szCs w:val="24"/>
        </w:rPr>
        <w:t>.</w:t>
      </w:r>
    </w:p>
    <w:p w:rsidR="00845681" w:rsidP="007963D3" w:rsidRDefault="00845681" w14:paraId="4E7375BB"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sz w:val="24"/>
          <w:szCs w:val="24"/>
        </w:rPr>
      </w:pPr>
    </w:p>
    <w:p w:rsidRPr="00D865A9" w:rsidR="00CF17DE" w:rsidP="007963D3" w:rsidRDefault="00CF17DE" w14:paraId="37DEE6CF" w14:textId="68C7A78B">
      <w:pPr>
        <w:keepNext/>
        <w:tabs>
          <w:tab w:val="left" w:pos="720"/>
          <w:tab w:val="left" w:pos="1296"/>
          <w:tab w:val="left" w:pos="2016"/>
          <w:tab w:val="left" w:pos="2736"/>
          <w:tab w:val="left" w:pos="3456"/>
          <w:tab w:val="left" w:pos="4176"/>
          <w:tab w:val="left" w:pos="5760"/>
        </w:tabs>
        <w:rPr>
          <w:rFonts w:ascii="Palatino Linotype" w:hAnsi="Palatino Linotype" w:eastAsia="Palatino Linotype"/>
          <w:sz w:val="24"/>
          <w:szCs w:val="24"/>
        </w:rPr>
      </w:pPr>
      <w:r w:rsidRPr="00D865A9">
        <w:rPr>
          <w:rFonts w:ascii="Palatino Linotype" w:hAnsi="Palatino Linotype" w:eastAsia="Palatino Linotype"/>
          <w:sz w:val="24"/>
          <w:szCs w:val="24"/>
        </w:rPr>
        <w:t>This Resolution is effective today.</w:t>
      </w:r>
    </w:p>
    <w:p w:rsidRPr="00D865A9" w:rsidR="00CB42C3" w:rsidP="007963D3" w:rsidRDefault="00CB42C3" w14:paraId="7D496AA3"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sz w:val="24"/>
          <w:szCs w:val="24"/>
        </w:rPr>
      </w:pPr>
    </w:p>
    <w:p w:rsidRPr="00D865A9" w:rsidR="00CF17DE" w:rsidP="007963D3" w:rsidRDefault="00CF17DE" w14:paraId="048CEE72" w14:textId="0C1D0D16">
      <w:pPr>
        <w:keepNext/>
        <w:rPr>
          <w:rFonts w:ascii="Palatino Linotype" w:hAnsi="Palatino Linotype" w:eastAsia="Palatino Linotype"/>
          <w:snapToGrid w:val="0"/>
          <w:sz w:val="24"/>
          <w:szCs w:val="24"/>
        </w:rPr>
      </w:pPr>
      <w:r w:rsidRPr="00D865A9">
        <w:rPr>
          <w:rFonts w:ascii="Palatino Linotype" w:hAnsi="Palatino Linotype" w:eastAsia="Palatino Linotype"/>
          <w:snapToGrid w:val="0"/>
          <w:sz w:val="24"/>
          <w:szCs w:val="24"/>
        </w:rPr>
        <w:t>I certify that the foregoing resolution was duly introduced, passed</w:t>
      </w:r>
      <w:r w:rsidR="007963D3">
        <w:rPr>
          <w:rFonts w:ascii="Palatino Linotype" w:hAnsi="Palatino Linotype" w:eastAsia="Palatino Linotype"/>
          <w:snapToGrid w:val="0"/>
          <w:sz w:val="24"/>
          <w:szCs w:val="24"/>
        </w:rPr>
        <w:t>,</w:t>
      </w:r>
      <w:r w:rsidRPr="00D865A9">
        <w:rPr>
          <w:rFonts w:ascii="Palatino Linotype" w:hAnsi="Palatino Linotype" w:eastAsia="Palatino Linotype"/>
          <w:snapToGrid w:val="0"/>
          <w:sz w:val="24"/>
          <w:szCs w:val="24"/>
        </w:rPr>
        <w:t xml:space="preserve"> and adopted at a conference of the Public Utilities Commission of the State of California held on </w:t>
      </w:r>
      <w:r w:rsidR="00861568">
        <w:rPr>
          <w:rFonts w:ascii="Palatino Linotype" w:hAnsi="Palatino Linotype" w:eastAsia="Palatino Linotype"/>
          <w:snapToGrid w:val="0"/>
          <w:sz w:val="24"/>
          <w:szCs w:val="24"/>
        </w:rPr>
        <w:t>February 20, 2025</w:t>
      </w:r>
      <w:r w:rsidRPr="00D865A9">
        <w:rPr>
          <w:rFonts w:ascii="Palatino Linotype" w:hAnsi="Palatino Linotype" w:eastAsia="Palatino Linotype"/>
          <w:snapToGrid w:val="0"/>
          <w:sz w:val="24"/>
          <w:szCs w:val="24"/>
        </w:rPr>
        <w:t>; the following Commissioners voting favorably thereon:</w:t>
      </w:r>
    </w:p>
    <w:p w:rsidRPr="00D865A9" w:rsidR="00CF17DE" w:rsidP="00F65E9F" w:rsidRDefault="00CF17DE" w14:paraId="2DA44F60" w14:textId="77777777">
      <w:pPr>
        <w:tabs>
          <w:tab w:val="left" w:pos="720"/>
          <w:tab w:val="left" w:pos="1152"/>
          <w:tab w:val="left" w:pos="1728"/>
          <w:tab w:val="left" w:pos="3168"/>
          <w:tab w:val="left" w:pos="5040"/>
        </w:tabs>
        <w:rPr>
          <w:rFonts w:ascii="Palatino Linotype" w:hAnsi="Palatino Linotype" w:eastAsia="Palatino Linotype"/>
          <w:sz w:val="24"/>
          <w:szCs w:val="24"/>
        </w:rPr>
      </w:pPr>
    </w:p>
    <w:p w:rsidRPr="00D865A9" w:rsidR="00CF17DE" w:rsidP="00F65E9F" w:rsidRDefault="00CF17DE" w14:paraId="1385E60D" w14:textId="77777777">
      <w:pPr>
        <w:tabs>
          <w:tab w:val="left" w:pos="720"/>
          <w:tab w:val="left" w:pos="1152"/>
          <w:tab w:val="left" w:pos="1728"/>
          <w:tab w:val="left" w:pos="3168"/>
          <w:tab w:val="left" w:pos="5040"/>
        </w:tabs>
        <w:rPr>
          <w:rFonts w:ascii="Palatino Linotype" w:hAnsi="Palatino Linotype" w:eastAsia="Palatino Linotype"/>
          <w:sz w:val="24"/>
          <w:szCs w:val="24"/>
        </w:rPr>
      </w:pPr>
    </w:p>
    <w:p w:rsidRPr="00D865A9" w:rsidR="00CF17DE" w:rsidP="00F65E9F" w:rsidRDefault="00CF17DE" w14:paraId="12D741D7" w14:textId="77777777">
      <w:pPr>
        <w:tabs>
          <w:tab w:val="left" w:pos="720"/>
          <w:tab w:val="left" w:pos="1152"/>
          <w:tab w:val="left" w:pos="1728"/>
          <w:tab w:val="left" w:pos="3168"/>
          <w:tab w:val="left" w:pos="5040"/>
        </w:tabs>
        <w:rPr>
          <w:rFonts w:ascii="Palatino Linotype" w:hAnsi="Palatino Linotype" w:eastAsia="Palatino Linotype"/>
          <w:sz w:val="24"/>
          <w:szCs w:val="24"/>
        </w:rPr>
      </w:pPr>
    </w:p>
    <w:p w:rsidRPr="00D865A9" w:rsidR="00CF17DE" w:rsidP="00F65E9F" w:rsidRDefault="00CF17DE" w14:paraId="670582A9" w14:textId="77777777">
      <w:pPr>
        <w:tabs>
          <w:tab w:val="left" w:pos="720"/>
          <w:tab w:val="left" w:pos="1152"/>
          <w:tab w:val="left" w:pos="1728"/>
          <w:tab w:val="left" w:pos="3168"/>
          <w:tab w:val="left" w:pos="5040"/>
        </w:tabs>
        <w:rPr>
          <w:rFonts w:ascii="Palatino Linotype" w:hAnsi="Palatino Linotype" w:eastAsia="Palatino Linotype"/>
          <w:sz w:val="24"/>
          <w:szCs w:val="24"/>
        </w:rPr>
      </w:pPr>
    </w:p>
    <w:p w:rsidRPr="00D865A9" w:rsidR="00CF17DE" w:rsidP="00F65E9F" w:rsidRDefault="00CF17DE" w14:paraId="59727804" w14:textId="77777777">
      <w:pPr>
        <w:tabs>
          <w:tab w:val="left" w:pos="720"/>
          <w:tab w:val="left" w:pos="1152"/>
          <w:tab w:val="left" w:pos="1728"/>
          <w:tab w:val="left" w:pos="3168"/>
          <w:tab w:val="left" w:pos="5040"/>
        </w:tabs>
        <w:rPr>
          <w:rFonts w:ascii="Palatino Linotype" w:hAnsi="Palatino Linotype" w:eastAsia="Palatino Linotype"/>
          <w:sz w:val="24"/>
          <w:szCs w:val="24"/>
        </w:rPr>
      </w:pPr>
      <w:r w:rsidRPr="007963D3">
        <w:rPr>
          <w:rFonts w:ascii="Palatino Linotype" w:hAnsi="Palatino Linotype"/>
          <w:sz w:val="24"/>
          <w:szCs w:val="24"/>
        </w:rPr>
        <w:tab/>
      </w:r>
      <w:r w:rsidRPr="007963D3">
        <w:rPr>
          <w:rFonts w:ascii="Palatino Linotype" w:hAnsi="Palatino Linotype"/>
          <w:sz w:val="24"/>
          <w:szCs w:val="24"/>
        </w:rPr>
        <w:tab/>
      </w:r>
      <w:r w:rsidRPr="007963D3">
        <w:rPr>
          <w:rFonts w:ascii="Palatino Linotype" w:hAnsi="Palatino Linotype"/>
          <w:sz w:val="24"/>
          <w:szCs w:val="24"/>
        </w:rPr>
        <w:tab/>
      </w:r>
      <w:r w:rsidRPr="007963D3">
        <w:rPr>
          <w:rFonts w:ascii="Palatino Linotype" w:hAnsi="Palatino Linotype"/>
          <w:sz w:val="24"/>
          <w:szCs w:val="24"/>
        </w:rPr>
        <w:tab/>
      </w:r>
      <w:r w:rsidRPr="007963D3">
        <w:rPr>
          <w:rFonts w:ascii="Palatino Linotype" w:hAnsi="Palatino Linotype"/>
          <w:sz w:val="24"/>
          <w:szCs w:val="24"/>
        </w:rPr>
        <w:tab/>
      </w:r>
      <w:r w:rsidRPr="007963D3">
        <w:rPr>
          <w:rFonts w:ascii="Palatino Linotype" w:hAnsi="Palatino Linotype"/>
          <w:sz w:val="24"/>
          <w:szCs w:val="24"/>
        </w:rPr>
        <w:tab/>
      </w:r>
      <w:r w:rsidRPr="00D865A9">
        <w:rPr>
          <w:rFonts w:ascii="Palatino Linotype" w:hAnsi="Palatino Linotype" w:eastAsia="Palatino Linotype"/>
          <w:sz w:val="24"/>
          <w:szCs w:val="24"/>
        </w:rPr>
        <w:t>_______________</w:t>
      </w:r>
      <w:r w:rsidRPr="00D865A9" w:rsidR="008E6797">
        <w:rPr>
          <w:rFonts w:ascii="Palatino Linotype" w:hAnsi="Palatino Linotype" w:eastAsia="Palatino Linotype"/>
          <w:sz w:val="24"/>
          <w:szCs w:val="24"/>
        </w:rPr>
        <w:t>______</w:t>
      </w:r>
    </w:p>
    <w:p w:rsidRPr="00D865A9" w:rsidR="00CF17DE" w:rsidP="4BA7214B" w:rsidRDefault="00CF17DE" w14:paraId="17731D81" w14:textId="66308528">
      <w:pPr>
        <w:rPr>
          <w:rFonts w:ascii="Palatino Linotype" w:hAnsi="Palatino Linotype" w:eastAsia="Palatino Linotype"/>
          <w:sz w:val="24"/>
          <w:szCs w:val="24"/>
        </w:rPr>
      </w:pPr>
      <w:r w:rsidRPr="007963D3">
        <w:rPr>
          <w:rFonts w:ascii="Palatino Linotype" w:hAnsi="Palatino Linotype"/>
          <w:sz w:val="24"/>
          <w:szCs w:val="24"/>
        </w:rPr>
        <w:tab/>
      </w:r>
      <w:r w:rsidRPr="007963D3">
        <w:rPr>
          <w:rFonts w:ascii="Palatino Linotype" w:hAnsi="Palatino Linotype"/>
          <w:sz w:val="24"/>
          <w:szCs w:val="24"/>
        </w:rPr>
        <w:tab/>
      </w:r>
      <w:r w:rsidRPr="007963D3">
        <w:rPr>
          <w:rFonts w:ascii="Palatino Linotype" w:hAnsi="Palatino Linotype"/>
          <w:sz w:val="24"/>
          <w:szCs w:val="24"/>
        </w:rPr>
        <w:tab/>
      </w:r>
      <w:r w:rsidRPr="007963D3">
        <w:rPr>
          <w:rFonts w:ascii="Palatino Linotype" w:hAnsi="Palatino Linotype"/>
          <w:sz w:val="24"/>
          <w:szCs w:val="24"/>
        </w:rPr>
        <w:tab/>
      </w:r>
      <w:r w:rsidRPr="007963D3">
        <w:rPr>
          <w:rFonts w:ascii="Palatino Linotype" w:hAnsi="Palatino Linotype"/>
          <w:sz w:val="24"/>
          <w:szCs w:val="24"/>
        </w:rPr>
        <w:tab/>
      </w:r>
      <w:r w:rsidRPr="007963D3">
        <w:rPr>
          <w:rFonts w:ascii="Palatino Linotype" w:hAnsi="Palatino Linotype"/>
          <w:sz w:val="24"/>
          <w:szCs w:val="24"/>
        </w:rPr>
        <w:tab/>
      </w:r>
      <w:r w:rsidRPr="007963D3">
        <w:rPr>
          <w:rFonts w:ascii="Palatino Linotype" w:hAnsi="Palatino Linotype"/>
          <w:sz w:val="24"/>
          <w:szCs w:val="24"/>
        </w:rPr>
        <w:tab/>
      </w:r>
      <w:r w:rsidRPr="007963D3">
        <w:rPr>
          <w:rFonts w:ascii="Palatino Linotype" w:hAnsi="Palatino Linotype"/>
          <w:sz w:val="24"/>
          <w:szCs w:val="24"/>
        </w:rPr>
        <w:tab/>
      </w:r>
      <w:r w:rsidRPr="00D865A9" w:rsidR="00FC2DE4">
        <w:rPr>
          <w:rFonts w:ascii="Palatino Linotype" w:hAnsi="Palatino Linotype" w:eastAsia="Palatino Linotype"/>
          <w:sz w:val="24"/>
          <w:szCs w:val="24"/>
        </w:rPr>
        <w:t>Rachel Peterson</w:t>
      </w:r>
    </w:p>
    <w:p w:rsidRPr="00D865A9" w:rsidR="00CF17DE" w:rsidP="4BA7214B" w:rsidRDefault="00CF17DE" w14:paraId="363F8E7E" w14:textId="77777777">
      <w:pPr>
        <w:rPr>
          <w:rFonts w:ascii="Palatino Linotype" w:hAnsi="Palatino Linotype" w:eastAsia="Palatino Linotype"/>
          <w:sz w:val="24"/>
          <w:szCs w:val="24"/>
        </w:rPr>
      </w:pPr>
      <w:r w:rsidRPr="007963D3">
        <w:rPr>
          <w:rFonts w:ascii="Palatino Linotype" w:hAnsi="Palatino Linotype"/>
          <w:sz w:val="24"/>
          <w:szCs w:val="24"/>
        </w:rPr>
        <w:tab/>
      </w:r>
      <w:r w:rsidRPr="007963D3">
        <w:rPr>
          <w:rFonts w:ascii="Palatino Linotype" w:hAnsi="Palatino Linotype"/>
          <w:sz w:val="24"/>
          <w:szCs w:val="24"/>
        </w:rPr>
        <w:tab/>
      </w:r>
      <w:r w:rsidRPr="007963D3">
        <w:rPr>
          <w:rFonts w:ascii="Palatino Linotype" w:hAnsi="Palatino Linotype"/>
          <w:sz w:val="24"/>
          <w:szCs w:val="24"/>
        </w:rPr>
        <w:tab/>
      </w:r>
      <w:r w:rsidRPr="007963D3">
        <w:rPr>
          <w:rFonts w:ascii="Palatino Linotype" w:hAnsi="Palatino Linotype"/>
          <w:sz w:val="24"/>
          <w:szCs w:val="24"/>
        </w:rPr>
        <w:tab/>
      </w:r>
      <w:r w:rsidRPr="007963D3">
        <w:rPr>
          <w:rFonts w:ascii="Palatino Linotype" w:hAnsi="Palatino Linotype"/>
          <w:sz w:val="24"/>
          <w:szCs w:val="24"/>
        </w:rPr>
        <w:tab/>
      </w:r>
      <w:r w:rsidRPr="007963D3">
        <w:rPr>
          <w:rFonts w:ascii="Palatino Linotype" w:hAnsi="Palatino Linotype"/>
          <w:sz w:val="24"/>
          <w:szCs w:val="24"/>
        </w:rPr>
        <w:tab/>
      </w:r>
      <w:r w:rsidRPr="007963D3">
        <w:rPr>
          <w:rFonts w:ascii="Palatino Linotype" w:hAnsi="Palatino Linotype"/>
          <w:sz w:val="24"/>
          <w:szCs w:val="24"/>
        </w:rPr>
        <w:tab/>
      </w:r>
      <w:r w:rsidRPr="007963D3">
        <w:rPr>
          <w:rFonts w:ascii="Palatino Linotype" w:hAnsi="Palatino Linotype"/>
          <w:sz w:val="24"/>
          <w:szCs w:val="24"/>
        </w:rPr>
        <w:tab/>
      </w:r>
      <w:r w:rsidRPr="00D865A9">
        <w:rPr>
          <w:rFonts w:ascii="Palatino Linotype" w:hAnsi="Palatino Linotype" w:eastAsia="Palatino Linotype"/>
          <w:sz w:val="24"/>
          <w:szCs w:val="24"/>
        </w:rPr>
        <w:t>Executive Director</w:t>
      </w:r>
    </w:p>
    <w:sectPr w:rsidRPr="00D865A9" w:rsidR="00CF17DE">
      <w:headerReference w:type="default" r:id="rId13"/>
      <w:footerReference w:type="default" r:id="rId14"/>
      <w:headerReference w:type="first" r:id="rId15"/>
      <w:footerReference w:type="first" r:id="rId16"/>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C7081" w14:textId="77777777" w:rsidR="008912EC" w:rsidRDefault="008912EC">
      <w:r>
        <w:separator/>
      </w:r>
    </w:p>
  </w:endnote>
  <w:endnote w:type="continuationSeparator" w:id="0">
    <w:p w14:paraId="6C5685EC" w14:textId="77777777" w:rsidR="008912EC" w:rsidRDefault="008912EC">
      <w:r>
        <w:continuationSeparator/>
      </w:r>
    </w:p>
  </w:endnote>
  <w:endnote w:type="continuationNotice" w:id="1">
    <w:p w14:paraId="52431ADE" w14:textId="77777777" w:rsidR="008912EC" w:rsidRDefault="008912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0000000000000000000"/>
    <w:charset w:val="00"/>
    <w:family w:val="auto"/>
    <w:pitch w:val="variable"/>
    <w:sig w:usb0="20000A87" w:usb1="08000000" w:usb2="00000008" w:usb3="00000000" w:csb0="0000011F" w:csb1="00000000"/>
  </w:font>
  <w:font w:name="Helvetica">
    <w:panose1 w:val="020B0604020202020204"/>
    <w:charset w:val="00"/>
    <w:family w:val="swiss"/>
    <w:pitch w:val="variable"/>
    <w:sig w:usb0="E0002AFF" w:usb1="5000785B" w:usb2="00000000"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color w:val="000000" w:themeColor="text1"/>
        <w:sz w:val="24"/>
        <w:szCs w:val="24"/>
      </w:rPr>
      <w:id w:val="-465130699"/>
      <w:docPartObj>
        <w:docPartGallery w:val="Page Numbers (Bottom of Page)"/>
        <w:docPartUnique/>
      </w:docPartObj>
    </w:sdtPr>
    <w:sdtEndPr>
      <w:rPr>
        <w:noProof/>
      </w:rPr>
    </w:sdtEndPr>
    <w:sdtContent>
      <w:p w14:paraId="424217E4" w14:textId="7EFE056F" w:rsidR="0084610E" w:rsidRPr="001D518E" w:rsidRDefault="0084610E" w:rsidP="001D518E">
        <w:pPr>
          <w:pStyle w:val="Footer"/>
          <w:ind w:firstLine="4320"/>
          <w:jc w:val="left"/>
          <w:rPr>
            <w:rFonts w:ascii="Palatino Linotype" w:hAnsi="Palatino Linotype"/>
            <w:color w:val="000000" w:themeColor="text1"/>
            <w:sz w:val="24"/>
            <w:szCs w:val="24"/>
          </w:rPr>
        </w:pPr>
        <w:r w:rsidRPr="001D518E">
          <w:rPr>
            <w:rFonts w:ascii="Palatino Linotype" w:hAnsi="Palatino Linotype"/>
            <w:color w:val="000000" w:themeColor="text1"/>
            <w:sz w:val="24"/>
            <w:szCs w:val="24"/>
            <w:shd w:val="clear" w:color="auto" w:fill="E6E6E6"/>
          </w:rPr>
          <w:fldChar w:fldCharType="begin"/>
        </w:r>
        <w:r w:rsidRPr="001D518E">
          <w:rPr>
            <w:rFonts w:ascii="Palatino Linotype" w:hAnsi="Palatino Linotype"/>
            <w:color w:val="000000" w:themeColor="text1"/>
            <w:sz w:val="24"/>
            <w:szCs w:val="24"/>
          </w:rPr>
          <w:instrText xml:space="preserve"> PAGE   \* MERGEFORMAT </w:instrText>
        </w:r>
        <w:r w:rsidRPr="001D518E">
          <w:rPr>
            <w:rFonts w:ascii="Palatino Linotype" w:hAnsi="Palatino Linotype"/>
            <w:color w:val="000000" w:themeColor="text1"/>
            <w:sz w:val="24"/>
            <w:szCs w:val="24"/>
            <w:shd w:val="clear" w:color="auto" w:fill="E6E6E6"/>
          </w:rPr>
          <w:fldChar w:fldCharType="separate"/>
        </w:r>
        <w:r w:rsidRPr="001D518E">
          <w:rPr>
            <w:rFonts w:ascii="Palatino Linotype" w:hAnsi="Palatino Linotype"/>
            <w:noProof/>
            <w:color w:val="000000" w:themeColor="text1"/>
            <w:sz w:val="24"/>
            <w:szCs w:val="24"/>
          </w:rPr>
          <w:t>2</w:t>
        </w:r>
        <w:r w:rsidRPr="001D518E">
          <w:rPr>
            <w:rFonts w:ascii="Palatino Linotype" w:hAnsi="Palatino Linotype"/>
            <w:color w:val="000000" w:themeColor="text1"/>
            <w:sz w:val="24"/>
            <w:szCs w:val="24"/>
            <w:shd w:val="clear" w:color="auto" w:fill="E6E6E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43D63" w14:textId="2F3DE0C7" w:rsidR="00CF17DE" w:rsidRPr="001A1DB2" w:rsidRDefault="00E24EA2" w:rsidP="00E24EA2">
    <w:pPr>
      <w:pStyle w:val="Footer"/>
      <w:tabs>
        <w:tab w:val="clear" w:pos="4320"/>
        <w:tab w:val="center" w:pos="4680"/>
      </w:tabs>
      <w:jc w:val="left"/>
      <w:rPr>
        <w:rFonts w:ascii="Palatino Linotype" w:hAnsi="Palatino Linotype"/>
        <w:sz w:val="24"/>
        <w:szCs w:val="18"/>
      </w:rPr>
    </w:pPr>
    <w:r w:rsidRPr="00E24EA2">
      <w:rPr>
        <w:rStyle w:val="PageNumber"/>
        <w:rFonts w:ascii="Tahoma" w:hAnsi="Tahoma" w:cs="Tahoma"/>
        <w:sz w:val="18"/>
        <w:szCs w:val="18"/>
      </w:rPr>
      <w:t>554508259</w:t>
    </w:r>
    <w:r>
      <w:rPr>
        <w:rStyle w:val="PageNumber"/>
        <w:rFonts w:ascii="Palatino Linotype" w:hAnsi="Palatino Linotype"/>
        <w:sz w:val="24"/>
        <w:szCs w:val="18"/>
      </w:rPr>
      <w:tab/>
    </w:r>
    <w:r w:rsidR="00CF17DE" w:rsidRPr="001A1DB2">
      <w:rPr>
        <w:rStyle w:val="PageNumber"/>
        <w:rFonts w:ascii="Palatino Linotype" w:hAnsi="Palatino Linotype"/>
        <w:sz w:val="24"/>
        <w:szCs w:val="18"/>
      </w:rPr>
      <w:fldChar w:fldCharType="begin"/>
    </w:r>
    <w:r w:rsidR="00CF17DE" w:rsidRPr="001A1DB2">
      <w:rPr>
        <w:rStyle w:val="PageNumber"/>
        <w:rFonts w:ascii="Palatino Linotype" w:hAnsi="Palatino Linotype"/>
        <w:sz w:val="24"/>
        <w:szCs w:val="18"/>
      </w:rPr>
      <w:instrText xml:space="preserve"> PAGE </w:instrText>
    </w:r>
    <w:r w:rsidR="00CF17DE" w:rsidRPr="001A1DB2">
      <w:rPr>
        <w:rStyle w:val="PageNumber"/>
        <w:rFonts w:ascii="Palatino Linotype" w:hAnsi="Palatino Linotype"/>
        <w:sz w:val="24"/>
        <w:szCs w:val="18"/>
      </w:rPr>
      <w:fldChar w:fldCharType="separate"/>
    </w:r>
    <w:r w:rsidR="00946E2C" w:rsidRPr="001A1DB2">
      <w:rPr>
        <w:rStyle w:val="PageNumber"/>
        <w:rFonts w:ascii="Palatino Linotype" w:hAnsi="Palatino Linotype"/>
        <w:sz w:val="24"/>
        <w:szCs w:val="18"/>
      </w:rPr>
      <w:t>1</w:t>
    </w:r>
    <w:r w:rsidR="00CF17DE" w:rsidRPr="001A1DB2">
      <w:rPr>
        <w:rStyle w:val="PageNumber"/>
        <w:rFonts w:ascii="Palatino Linotype" w:hAnsi="Palatino Linotype"/>
        <w:sz w:val="24"/>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9D92F" w14:textId="77777777" w:rsidR="008912EC" w:rsidRDefault="008912EC">
      <w:r>
        <w:separator/>
      </w:r>
    </w:p>
  </w:footnote>
  <w:footnote w:type="continuationSeparator" w:id="0">
    <w:p w14:paraId="55A4D231" w14:textId="77777777" w:rsidR="008912EC" w:rsidRDefault="008912EC">
      <w:r>
        <w:continuationSeparator/>
      </w:r>
    </w:p>
  </w:footnote>
  <w:footnote w:type="continuationNotice" w:id="1">
    <w:p w14:paraId="0C42739B" w14:textId="77777777" w:rsidR="008912EC" w:rsidRDefault="008912EC">
      <w:pPr>
        <w:rPr>
          <w:sz w:val="22"/>
        </w:rPr>
      </w:pPr>
    </w:p>
    <w:p w14:paraId="6C59C617" w14:textId="77777777" w:rsidR="008912EC" w:rsidRDefault="008912EC">
      <w:pPr>
        <w:jc w:val="right"/>
        <w:rPr>
          <w:sz w:val="22"/>
        </w:rPr>
      </w:pPr>
      <w:r>
        <w:rPr>
          <w:i/>
          <w:sz w:val="22"/>
        </w:rPr>
        <w:t>Footnote continued on next page</w:t>
      </w:r>
    </w:p>
  </w:footnote>
  <w:footnote w:id="2">
    <w:p w14:paraId="0428319B" w14:textId="383A776B" w:rsidR="00DE2048" w:rsidRPr="00D567B0" w:rsidRDefault="00DE2048" w:rsidP="00873AB3">
      <w:pPr>
        <w:pStyle w:val="FootnoteText"/>
        <w:numPr>
          <w:ilvl w:val="0"/>
          <w:numId w:val="0"/>
        </w:numPr>
        <w:spacing w:after="0"/>
        <w:ind w:left="360" w:hanging="360"/>
        <w:rPr>
          <w:rFonts w:ascii="Palatino Linotype" w:hAnsi="Palatino Linotype"/>
          <w:sz w:val="20"/>
        </w:rPr>
      </w:pPr>
      <w:r w:rsidRPr="00DB2D88">
        <w:rPr>
          <w:rStyle w:val="FootnoteReference"/>
          <w:rFonts w:ascii="Palatino Linotype" w:hAnsi="Palatino Linotype"/>
          <w:sz w:val="20"/>
        </w:rPr>
        <w:footnoteRef/>
      </w:r>
      <w:r w:rsidRPr="00B739CB">
        <w:rPr>
          <w:rFonts w:ascii="Palatino Linotype" w:hAnsi="Palatino Linotype"/>
          <w:sz w:val="20"/>
        </w:rPr>
        <w:t xml:space="preserve"> </w:t>
      </w:r>
      <w:r w:rsidR="000F5111" w:rsidRPr="00B739CB">
        <w:rPr>
          <w:rFonts w:ascii="Palatino Linotype" w:hAnsi="Palatino Linotype"/>
          <w:sz w:val="20"/>
        </w:rPr>
        <w:t xml:space="preserve">Case of </w:t>
      </w:r>
      <w:r w:rsidR="000F30F5">
        <w:rPr>
          <w:rFonts w:ascii="Palatino Linotype" w:hAnsi="Palatino Linotype"/>
          <w:sz w:val="20"/>
        </w:rPr>
        <w:t xml:space="preserve">a </w:t>
      </w:r>
      <w:r w:rsidR="00C07C73" w:rsidRPr="007E2CD0">
        <w:rPr>
          <w:rFonts w:ascii="Palatino Linotype" w:hAnsi="Palatino Linotype"/>
          <w:sz w:val="20"/>
        </w:rPr>
        <w:t>single-family</w:t>
      </w:r>
      <w:r w:rsidR="000F5111" w:rsidRPr="007E2CD0">
        <w:rPr>
          <w:rFonts w:ascii="Palatino Linotype" w:hAnsi="Palatino Linotype"/>
          <w:sz w:val="20"/>
        </w:rPr>
        <w:t xml:space="preserve"> residential project </w:t>
      </w:r>
      <w:r w:rsidR="00B83D3E">
        <w:rPr>
          <w:rFonts w:ascii="Palatino Linotype" w:hAnsi="Palatino Linotype"/>
          <w:sz w:val="20"/>
        </w:rPr>
        <w:t>with</w:t>
      </w:r>
      <w:r w:rsidR="00D654DE" w:rsidRPr="007D500D">
        <w:rPr>
          <w:rFonts w:ascii="Palatino Linotype" w:hAnsi="Palatino Linotype"/>
          <w:sz w:val="20"/>
        </w:rPr>
        <w:t xml:space="preserve"> </w:t>
      </w:r>
      <w:r w:rsidR="00774E78">
        <w:rPr>
          <w:rFonts w:ascii="Palatino Linotype" w:hAnsi="Palatino Linotype"/>
          <w:sz w:val="20"/>
        </w:rPr>
        <w:t xml:space="preserve">a </w:t>
      </w:r>
      <w:r w:rsidR="00D654DE" w:rsidRPr="007D500D">
        <w:rPr>
          <w:rFonts w:ascii="Palatino Linotype" w:hAnsi="Palatino Linotype"/>
          <w:sz w:val="20"/>
        </w:rPr>
        <w:t>15 kWh</w:t>
      </w:r>
      <w:r w:rsidR="00B83D3E">
        <w:rPr>
          <w:rFonts w:ascii="Palatino Linotype" w:hAnsi="Palatino Linotype"/>
          <w:sz w:val="20"/>
        </w:rPr>
        <w:t xml:space="preserve"> </w:t>
      </w:r>
      <w:r w:rsidR="00774E78">
        <w:rPr>
          <w:rFonts w:ascii="Palatino Linotype" w:hAnsi="Palatino Linotype"/>
          <w:sz w:val="20"/>
        </w:rPr>
        <w:t>storage system</w:t>
      </w:r>
      <w:r w:rsidR="00D654DE" w:rsidRPr="00D567B0">
        <w:rPr>
          <w:rFonts w:ascii="Palatino Linotype" w:hAnsi="Palatino Linotype"/>
          <w:sz w:val="20"/>
        </w:rPr>
        <w:t xml:space="preserve"> with total eligible project costs of </w:t>
      </w:r>
      <w:r w:rsidR="004D51B9" w:rsidRPr="00D567B0">
        <w:rPr>
          <w:rFonts w:ascii="Palatino Linotype" w:hAnsi="Palatino Linotype"/>
          <w:sz w:val="20"/>
        </w:rPr>
        <w:t>$</w:t>
      </w:r>
      <w:r w:rsidR="003F6183" w:rsidRPr="00D567B0">
        <w:rPr>
          <w:rFonts w:ascii="Palatino Linotype" w:hAnsi="Palatino Linotype"/>
          <w:sz w:val="20"/>
        </w:rPr>
        <w:t>16,500.</w:t>
      </w:r>
    </w:p>
  </w:footnote>
  <w:footnote w:id="3">
    <w:p w14:paraId="39458222" w14:textId="089BA346" w:rsidR="00897A9E" w:rsidRPr="001778B9" w:rsidRDefault="00897A9E" w:rsidP="001778B9">
      <w:pPr>
        <w:pStyle w:val="FootnoteText"/>
        <w:numPr>
          <w:ilvl w:val="0"/>
          <w:numId w:val="0"/>
        </w:numPr>
        <w:spacing w:after="0"/>
        <w:ind w:left="360" w:hanging="360"/>
        <w:rPr>
          <w:rFonts w:ascii="Palatino Linotype" w:hAnsi="Palatino Linotype"/>
          <w:sz w:val="20"/>
        </w:rPr>
      </w:pPr>
      <w:r w:rsidRPr="001778B9">
        <w:rPr>
          <w:rStyle w:val="FootnoteReference"/>
          <w:rFonts w:ascii="Palatino Linotype" w:hAnsi="Palatino Linotype"/>
          <w:sz w:val="20"/>
        </w:rPr>
        <w:footnoteRef/>
      </w:r>
      <w:r w:rsidRPr="001778B9">
        <w:rPr>
          <w:rFonts w:ascii="Palatino Linotype" w:hAnsi="Palatino Linotype"/>
          <w:sz w:val="20"/>
        </w:rPr>
        <w:t xml:space="preserve"> SB 700 </w:t>
      </w:r>
      <w:r w:rsidR="00846E1C" w:rsidRPr="001778B9">
        <w:rPr>
          <w:rFonts w:ascii="Palatino Linotype" w:hAnsi="Palatino Linotype"/>
          <w:sz w:val="20"/>
        </w:rPr>
        <w:t>(</w:t>
      </w:r>
      <w:r w:rsidRPr="001778B9">
        <w:rPr>
          <w:rFonts w:ascii="Palatino Linotype" w:hAnsi="Palatino Linotype"/>
          <w:sz w:val="20"/>
        </w:rPr>
        <w:t>Wiener</w:t>
      </w:r>
      <w:r w:rsidR="00846E1C" w:rsidRPr="001778B9">
        <w:rPr>
          <w:rFonts w:ascii="Palatino Linotype" w:hAnsi="Palatino Linotype"/>
          <w:sz w:val="20"/>
        </w:rPr>
        <w:t xml:space="preserve">, </w:t>
      </w:r>
      <w:r w:rsidRPr="001778B9">
        <w:rPr>
          <w:rFonts w:ascii="Palatino Linotype" w:hAnsi="Palatino Linotype"/>
          <w:sz w:val="20"/>
        </w:rPr>
        <w:t>2018).</w:t>
      </w:r>
    </w:p>
  </w:footnote>
  <w:footnote w:id="4">
    <w:p w14:paraId="1F99625E" w14:textId="73583FB7" w:rsidR="00A46588" w:rsidRPr="00457351" w:rsidRDefault="00A46588" w:rsidP="006D63E7">
      <w:pPr>
        <w:pStyle w:val="FootnoteText"/>
        <w:numPr>
          <w:ilvl w:val="0"/>
          <w:numId w:val="0"/>
        </w:numPr>
        <w:spacing w:after="0"/>
        <w:ind w:left="360" w:hanging="360"/>
        <w:rPr>
          <w:rFonts w:ascii="Palatino Linotype" w:hAnsi="Palatino Linotype"/>
          <w:sz w:val="20"/>
        </w:rPr>
      </w:pPr>
      <w:r w:rsidRPr="00457351">
        <w:rPr>
          <w:rStyle w:val="FootnoteReference"/>
          <w:rFonts w:ascii="Palatino Linotype" w:hAnsi="Palatino Linotype"/>
          <w:sz w:val="20"/>
        </w:rPr>
        <w:footnoteRef/>
      </w:r>
      <w:r w:rsidRPr="00457351">
        <w:rPr>
          <w:rFonts w:ascii="Palatino Linotype" w:hAnsi="Palatino Linotype"/>
          <w:sz w:val="20"/>
        </w:rPr>
        <w:t xml:space="preserve"> AB 102 (2023), </w:t>
      </w:r>
      <w:hyperlink r:id="rId1" w:history="1">
        <w:r w:rsidRPr="00457351">
          <w:rPr>
            <w:rStyle w:val="Hyperlink"/>
            <w:rFonts w:ascii="Palatino Linotype" w:hAnsi="Palatino Linotype"/>
            <w:sz w:val="20"/>
          </w:rPr>
          <w:t>https://leginfo.legislature.ca.gov/faces/billNavClient.xhtml?bill_id=202320240AB102</w:t>
        </w:r>
      </w:hyperlink>
      <w:r w:rsidRPr="00457351">
        <w:rPr>
          <w:rFonts w:ascii="Palatino Linotype" w:hAnsi="Palatino Linotype"/>
          <w:sz w:val="20"/>
        </w:rPr>
        <w:t xml:space="preserve"> </w:t>
      </w:r>
    </w:p>
  </w:footnote>
  <w:footnote w:id="5">
    <w:p w14:paraId="3A4929BC" w14:textId="4B867365" w:rsidR="007C14A1" w:rsidRDefault="007C14A1" w:rsidP="006D63E7">
      <w:pPr>
        <w:pStyle w:val="FootnoteText"/>
        <w:numPr>
          <w:ilvl w:val="0"/>
          <w:numId w:val="0"/>
        </w:numPr>
        <w:spacing w:after="0"/>
        <w:ind w:left="360" w:hanging="360"/>
      </w:pPr>
      <w:r w:rsidRPr="00457351">
        <w:rPr>
          <w:rStyle w:val="FootnoteReference"/>
          <w:rFonts w:ascii="Palatino Linotype" w:hAnsi="Palatino Linotype"/>
          <w:sz w:val="20"/>
        </w:rPr>
        <w:footnoteRef/>
      </w:r>
      <w:r w:rsidRPr="00457351">
        <w:rPr>
          <w:rFonts w:ascii="Palatino Linotype" w:hAnsi="Palatino Linotype"/>
          <w:sz w:val="20"/>
        </w:rPr>
        <w:t xml:space="preserve"> </w:t>
      </w:r>
      <w:r w:rsidR="003549CF" w:rsidRPr="00457351">
        <w:rPr>
          <w:rFonts w:ascii="Palatino Linotype" w:hAnsi="Palatino Linotype"/>
          <w:sz w:val="20"/>
        </w:rPr>
        <w:t xml:space="preserve">California Climate Investments, </w:t>
      </w:r>
      <w:hyperlink r:id="rId2" w:history="1">
        <w:r w:rsidR="003549CF" w:rsidRPr="00457351">
          <w:rPr>
            <w:rStyle w:val="Hyperlink"/>
            <w:rFonts w:ascii="Palatino Linotype" w:hAnsi="Palatino Linotype"/>
            <w:sz w:val="20"/>
          </w:rPr>
          <w:t>https://ww2.arb.ca.gov/ourwork/programs/california-climate-investments/about</w:t>
        </w:r>
      </w:hyperlink>
      <w:r w:rsidR="003549CF">
        <w:rPr>
          <w:rFonts w:ascii="Palatino Linotype" w:hAnsi="Palatino Linotype"/>
          <w:sz w:val="22"/>
          <w:szCs w:val="22"/>
        </w:rPr>
        <w:t xml:space="preserve"> </w:t>
      </w:r>
    </w:p>
  </w:footnote>
  <w:footnote w:id="6">
    <w:p w14:paraId="74B2B13D" w14:textId="77777777" w:rsidR="009D1711" w:rsidRPr="00CD13C8" w:rsidRDefault="009D1711" w:rsidP="009D1711">
      <w:pPr>
        <w:pStyle w:val="FootnoteText"/>
        <w:numPr>
          <w:ilvl w:val="0"/>
          <w:numId w:val="0"/>
        </w:numPr>
        <w:spacing w:after="0"/>
        <w:ind w:left="360" w:hanging="360"/>
        <w:rPr>
          <w:rFonts w:ascii="Palatino Linotype" w:hAnsi="Palatino Linotype"/>
        </w:rPr>
      </w:pPr>
      <w:r w:rsidRPr="00CD13C8">
        <w:rPr>
          <w:rStyle w:val="FootnoteReference"/>
          <w:rFonts w:ascii="Palatino Linotype" w:hAnsi="Palatino Linotype"/>
          <w:sz w:val="20"/>
          <w:szCs w:val="16"/>
        </w:rPr>
        <w:footnoteRef/>
      </w:r>
      <w:r w:rsidRPr="00CD13C8">
        <w:rPr>
          <w:rFonts w:ascii="Palatino Linotype" w:hAnsi="Palatino Linotype"/>
          <w:sz w:val="20"/>
          <w:szCs w:val="16"/>
        </w:rPr>
        <w:t xml:space="preserve"> SGIP Handbook 2024 Version 2 at 46.</w:t>
      </w:r>
    </w:p>
  </w:footnote>
  <w:footnote w:id="7">
    <w:p w14:paraId="075748C8" w14:textId="77777777" w:rsidR="00344280" w:rsidRPr="005E3F91" w:rsidRDefault="00344280" w:rsidP="00344280">
      <w:pPr>
        <w:pStyle w:val="FootnoteText"/>
        <w:numPr>
          <w:ilvl w:val="0"/>
          <w:numId w:val="0"/>
        </w:numPr>
        <w:spacing w:after="0"/>
        <w:ind w:left="360" w:hanging="360"/>
        <w:rPr>
          <w:rFonts w:ascii="Palatino Linotype" w:hAnsi="Palatino Linotype"/>
        </w:rPr>
      </w:pPr>
      <w:r w:rsidRPr="005E3F91">
        <w:rPr>
          <w:rStyle w:val="FootnoteReference"/>
          <w:rFonts w:ascii="Palatino Linotype" w:hAnsi="Palatino Linotype"/>
          <w:sz w:val="20"/>
          <w:szCs w:val="16"/>
        </w:rPr>
        <w:footnoteRef/>
      </w:r>
      <w:r w:rsidRPr="008C71EC">
        <w:rPr>
          <w:sz w:val="20"/>
          <w:szCs w:val="16"/>
        </w:rPr>
        <w:t xml:space="preserve"> </w:t>
      </w:r>
      <w:r w:rsidRPr="005E3F91">
        <w:rPr>
          <w:rFonts w:ascii="Palatino Linotype" w:hAnsi="Palatino Linotype"/>
          <w:sz w:val="20"/>
          <w:szCs w:val="16"/>
        </w:rPr>
        <w:t>D.24-03-071</w:t>
      </w:r>
      <w:r>
        <w:rPr>
          <w:rFonts w:ascii="Palatino Linotype" w:hAnsi="Palatino Linotype"/>
          <w:sz w:val="20"/>
          <w:szCs w:val="16"/>
        </w:rPr>
        <w:t xml:space="preserve"> at 104</w:t>
      </w:r>
      <w:r w:rsidRPr="005E3F91">
        <w:rPr>
          <w:rFonts w:ascii="Palatino Linotype" w:hAnsi="Palatino Linotype"/>
          <w:sz w:val="20"/>
          <w:szCs w:val="16"/>
        </w:rPr>
        <w:t xml:space="preserve">, </w:t>
      </w:r>
      <w:hyperlink r:id="rId3" w:history="1">
        <w:r w:rsidRPr="005E3F91">
          <w:rPr>
            <w:rStyle w:val="Hyperlink"/>
            <w:rFonts w:ascii="Palatino Linotype" w:hAnsi="Palatino Linotype"/>
            <w:sz w:val="20"/>
            <w:szCs w:val="16"/>
          </w:rPr>
          <w:t>https://docs.cpuc.ca.gov/PublishedDocs/Published/G000/M527/K963/527963349.PDF</w:t>
        </w:r>
      </w:hyperlink>
    </w:p>
  </w:footnote>
  <w:footnote w:id="8">
    <w:p w14:paraId="01003C1C" w14:textId="08C1B321" w:rsidR="006508DC" w:rsidRPr="00E219BE" w:rsidRDefault="006508DC" w:rsidP="005B6A75">
      <w:pPr>
        <w:pStyle w:val="FootnoteText"/>
        <w:numPr>
          <w:ilvl w:val="0"/>
          <w:numId w:val="0"/>
        </w:numPr>
        <w:spacing w:after="0"/>
        <w:ind w:left="360" w:hanging="360"/>
        <w:rPr>
          <w:rFonts w:ascii="Palatino Linotype" w:hAnsi="Palatino Linotype"/>
          <w:sz w:val="20"/>
        </w:rPr>
      </w:pPr>
      <w:r w:rsidRPr="003353ED">
        <w:rPr>
          <w:rStyle w:val="FootnoteReference"/>
          <w:rFonts w:ascii="Palatino Linotype" w:hAnsi="Palatino Linotype"/>
          <w:sz w:val="20"/>
        </w:rPr>
        <w:footnoteRef/>
      </w:r>
      <w:r w:rsidRPr="00E219BE">
        <w:rPr>
          <w:rFonts w:ascii="Palatino Linotype" w:hAnsi="Palatino Linotype"/>
          <w:sz w:val="20"/>
        </w:rPr>
        <w:t xml:space="preserve"> </w:t>
      </w:r>
      <w:r w:rsidR="005D53D9" w:rsidRPr="00E219BE">
        <w:rPr>
          <w:rFonts w:ascii="Palatino Linotype" w:hAnsi="Palatino Linotype"/>
          <w:sz w:val="20"/>
        </w:rPr>
        <w:t>DAC</w:t>
      </w:r>
      <w:r w:rsidR="00457565" w:rsidRPr="00E219BE">
        <w:rPr>
          <w:rFonts w:ascii="Palatino Linotype" w:hAnsi="Palatino Linotype"/>
          <w:sz w:val="20"/>
        </w:rPr>
        <w:t>-SASH Progr</w:t>
      </w:r>
      <w:r w:rsidR="001C417A" w:rsidRPr="00E219BE">
        <w:rPr>
          <w:rFonts w:ascii="Palatino Linotype" w:hAnsi="Palatino Linotype"/>
          <w:sz w:val="20"/>
        </w:rPr>
        <w:t xml:space="preserve">am Handbook </w:t>
      </w:r>
      <w:r w:rsidR="00A43D56" w:rsidRPr="00E219BE">
        <w:rPr>
          <w:rFonts w:ascii="Palatino Linotype" w:hAnsi="Palatino Linotype"/>
          <w:sz w:val="20"/>
        </w:rPr>
        <w:t>Third Editio</w:t>
      </w:r>
      <w:r w:rsidR="00A91616" w:rsidRPr="00E219BE">
        <w:rPr>
          <w:rFonts w:ascii="Palatino Linotype" w:hAnsi="Palatino Linotype"/>
          <w:sz w:val="20"/>
        </w:rPr>
        <w:t>n at 2.</w:t>
      </w:r>
    </w:p>
  </w:footnote>
  <w:footnote w:id="9">
    <w:p w14:paraId="48E909B2" w14:textId="7B0AF2C2" w:rsidR="008A10F8" w:rsidRPr="00224A16" w:rsidRDefault="008A10F8" w:rsidP="00224A16">
      <w:pPr>
        <w:pStyle w:val="FootnoteText"/>
        <w:numPr>
          <w:ilvl w:val="0"/>
          <w:numId w:val="0"/>
        </w:numPr>
        <w:spacing w:after="0"/>
        <w:ind w:left="360" w:hanging="360"/>
        <w:rPr>
          <w:rFonts w:ascii="Palatino Linotype" w:hAnsi="Palatino Linotype"/>
          <w:sz w:val="20"/>
        </w:rPr>
      </w:pPr>
      <w:r w:rsidRPr="00224A16">
        <w:rPr>
          <w:rStyle w:val="FootnoteReference"/>
          <w:rFonts w:ascii="Palatino Linotype" w:hAnsi="Palatino Linotype"/>
          <w:sz w:val="20"/>
        </w:rPr>
        <w:footnoteRef/>
      </w:r>
      <w:r w:rsidRPr="00224A16">
        <w:rPr>
          <w:rFonts w:ascii="Palatino Linotype" w:hAnsi="Palatino Linotype"/>
          <w:sz w:val="20"/>
        </w:rPr>
        <w:t xml:space="preserve"> </w:t>
      </w:r>
      <w:r w:rsidRPr="00224A16">
        <w:rPr>
          <w:rFonts w:ascii="Palatino Linotype" w:hAnsi="Palatino Linotype"/>
          <w:i/>
          <w:iCs/>
          <w:sz w:val="20"/>
        </w:rPr>
        <w:t>Id.</w:t>
      </w:r>
      <w:r w:rsidRPr="00224A16">
        <w:rPr>
          <w:rFonts w:ascii="Palatino Linotype" w:hAnsi="Palatino Linotype"/>
          <w:sz w:val="20"/>
        </w:rPr>
        <w:t xml:space="preserve"> </w:t>
      </w:r>
      <w:r w:rsidR="00224A16" w:rsidRPr="00224A16">
        <w:rPr>
          <w:rFonts w:ascii="Palatino Linotype" w:hAnsi="Palatino Linotype"/>
          <w:sz w:val="20"/>
        </w:rPr>
        <w:t>at 12.</w:t>
      </w:r>
    </w:p>
  </w:footnote>
  <w:footnote w:id="10">
    <w:p w14:paraId="11F4114F" w14:textId="659ACD8C" w:rsidR="00E63850" w:rsidRPr="00D56F4F" w:rsidRDefault="00E63850" w:rsidP="001B1F4D">
      <w:pPr>
        <w:pStyle w:val="FootnoteText"/>
        <w:numPr>
          <w:ilvl w:val="0"/>
          <w:numId w:val="0"/>
        </w:numPr>
        <w:spacing w:after="0"/>
        <w:ind w:left="360" w:hanging="360"/>
        <w:rPr>
          <w:rFonts w:ascii="Palatino Linotype" w:hAnsi="Palatino Linotype"/>
          <w:sz w:val="20"/>
        </w:rPr>
      </w:pPr>
      <w:r w:rsidRPr="006F3904">
        <w:rPr>
          <w:rStyle w:val="FootnoteReference"/>
          <w:rFonts w:ascii="Palatino Linotype" w:hAnsi="Palatino Linotype"/>
          <w:sz w:val="20"/>
        </w:rPr>
        <w:footnoteRef/>
      </w:r>
      <w:r w:rsidRPr="00D56F4F">
        <w:rPr>
          <w:rFonts w:ascii="Palatino Linotype" w:hAnsi="Palatino Linotype"/>
          <w:sz w:val="20"/>
        </w:rPr>
        <w:t xml:space="preserve"> </w:t>
      </w:r>
      <w:hyperlink r:id="rId4" w:history="1">
        <w:r w:rsidR="0020487F" w:rsidRPr="00300FBE">
          <w:rPr>
            <w:rStyle w:val="Hyperlink"/>
            <w:rFonts w:ascii="Palatino Linotype" w:hAnsi="Palatino Linotype"/>
            <w:sz w:val="20"/>
          </w:rPr>
          <w:t>Process ad Lo</w:t>
        </w:r>
        <w:r w:rsidR="0091254A" w:rsidRPr="00300FBE">
          <w:rPr>
            <w:rStyle w:val="Hyperlink"/>
            <w:rFonts w:ascii="Palatino Linotype" w:hAnsi="Palatino Linotype"/>
            <w:sz w:val="20"/>
          </w:rPr>
          <w:t>ad Impact Evalua</w:t>
        </w:r>
        <w:r w:rsidR="00E046F8" w:rsidRPr="00300FBE">
          <w:rPr>
            <w:rStyle w:val="Hyperlink"/>
            <w:rFonts w:ascii="Palatino Linotype" w:hAnsi="Palatino Linotype"/>
            <w:sz w:val="20"/>
          </w:rPr>
          <w:t>tion of the D</w:t>
        </w:r>
        <w:r w:rsidR="00984EE0" w:rsidRPr="00300FBE">
          <w:rPr>
            <w:rStyle w:val="Hyperlink"/>
            <w:rFonts w:ascii="Palatino Linotype" w:hAnsi="Palatino Linotype"/>
            <w:sz w:val="20"/>
          </w:rPr>
          <w:t>AC-SASH</w:t>
        </w:r>
      </w:hyperlink>
      <w:r w:rsidR="00746993" w:rsidRPr="00D56F4F">
        <w:rPr>
          <w:rFonts w:ascii="Palatino Linotype" w:hAnsi="Palatino Linotype"/>
          <w:sz w:val="20"/>
        </w:rPr>
        <w:t xml:space="preserve"> 2023</w:t>
      </w:r>
      <w:r w:rsidR="00A22C5E" w:rsidRPr="00D56F4F">
        <w:rPr>
          <w:rFonts w:ascii="Palatino Linotype" w:hAnsi="Palatino Linotype"/>
          <w:sz w:val="20"/>
        </w:rPr>
        <w:t xml:space="preserve">, </w:t>
      </w:r>
      <w:r w:rsidR="00BF2EB5" w:rsidRPr="00D56F4F">
        <w:rPr>
          <w:rFonts w:ascii="Palatino Linotype" w:hAnsi="Palatino Linotype"/>
          <w:sz w:val="20"/>
        </w:rPr>
        <w:t>Evergreen</w:t>
      </w:r>
      <w:r w:rsidR="00833D8E" w:rsidRPr="00D56F4F">
        <w:rPr>
          <w:rFonts w:ascii="Palatino Linotype" w:hAnsi="Palatino Linotype"/>
          <w:sz w:val="20"/>
        </w:rPr>
        <w:t xml:space="preserve"> Economics</w:t>
      </w:r>
      <w:r w:rsidR="002931CA" w:rsidRPr="00D56F4F">
        <w:rPr>
          <w:rFonts w:ascii="Palatino Linotype" w:hAnsi="Palatino Linotype"/>
          <w:sz w:val="20"/>
        </w:rPr>
        <w:t xml:space="preserve"> </w:t>
      </w:r>
      <w:r w:rsidR="004D26CB" w:rsidRPr="00D56F4F">
        <w:rPr>
          <w:rFonts w:ascii="Palatino Linotype" w:hAnsi="Palatino Linotype"/>
          <w:sz w:val="20"/>
        </w:rPr>
        <w:t>at 25.</w:t>
      </w:r>
    </w:p>
  </w:footnote>
  <w:footnote w:id="11">
    <w:p w14:paraId="43DA27E5" w14:textId="77777777" w:rsidR="00C027F2" w:rsidRPr="000672B4" w:rsidRDefault="00C027F2" w:rsidP="00C027F2">
      <w:pPr>
        <w:pStyle w:val="FootnoteText"/>
        <w:numPr>
          <w:ilvl w:val="0"/>
          <w:numId w:val="0"/>
        </w:numPr>
        <w:spacing w:after="0"/>
        <w:rPr>
          <w:rFonts w:ascii="Palatino Linotype" w:hAnsi="Palatino Linotype"/>
          <w:sz w:val="20"/>
          <w:szCs w:val="16"/>
        </w:rPr>
      </w:pPr>
      <w:r w:rsidRPr="000672B4">
        <w:rPr>
          <w:rStyle w:val="FootnoteReference"/>
          <w:rFonts w:ascii="Palatino Linotype" w:hAnsi="Palatino Linotype"/>
          <w:sz w:val="20"/>
          <w:szCs w:val="16"/>
        </w:rPr>
        <w:footnoteRef/>
      </w:r>
      <w:r w:rsidRPr="000672B4">
        <w:rPr>
          <w:rFonts w:ascii="Palatino Linotype" w:hAnsi="Palatino Linotype"/>
          <w:sz w:val="20"/>
          <w:szCs w:val="16"/>
        </w:rPr>
        <w:t xml:space="preserve"> Low-Income Solar PV Data, accessed on 12/18/2024. </w:t>
      </w:r>
      <w:hyperlink r:id="rId5" w:history="1">
        <w:r w:rsidRPr="000672B4">
          <w:rPr>
            <w:rStyle w:val="Hyperlink"/>
            <w:rFonts w:ascii="Palatino Linotype" w:hAnsi="Palatino Linotype"/>
            <w:sz w:val="20"/>
            <w:szCs w:val="16"/>
          </w:rPr>
          <w:t>CaliforniaDGStats</w:t>
        </w:r>
      </w:hyperlink>
    </w:p>
  </w:footnote>
  <w:footnote w:id="12">
    <w:p w14:paraId="305A092F" w14:textId="53B7E94E" w:rsidR="005C1D99" w:rsidRPr="00981D07" w:rsidRDefault="005C1D99" w:rsidP="00981D07">
      <w:pPr>
        <w:pStyle w:val="FootnoteText"/>
        <w:numPr>
          <w:ilvl w:val="0"/>
          <w:numId w:val="0"/>
        </w:numPr>
        <w:spacing w:after="0"/>
        <w:rPr>
          <w:rFonts w:ascii="Palatino Linotype" w:hAnsi="Palatino Linotype"/>
          <w:sz w:val="20"/>
        </w:rPr>
      </w:pPr>
      <w:r w:rsidRPr="00E83D88">
        <w:rPr>
          <w:rStyle w:val="FootnoteReference"/>
          <w:rFonts w:ascii="Palatino Linotype" w:hAnsi="Palatino Linotype"/>
          <w:sz w:val="20"/>
        </w:rPr>
        <w:footnoteRef/>
      </w:r>
      <w:r w:rsidRPr="00981D07">
        <w:rPr>
          <w:rFonts w:ascii="Palatino Linotype" w:hAnsi="Palatino Linotype"/>
          <w:sz w:val="20"/>
        </w:rPr>
        <w:t xml:space="preserve"> </w:t>
      </w:r>
      <w:r w:rsidR="009948A7" w:rsidRPr="00981D07">
        <w:rPr>
          <w:rFonts w:ascii="Palatino Linotype" w:hAnsi="Palatino Linotype"/>
          <w:sz w:val="20"/>
        </w:rPr>
        <w:t>S</w:t>
      </w:r>
      <w:r w:rsidR="00344B63" w:rsidRPr="00981D07">
        <w:rPr>
          <w:rFonts w:ascii="Palatino Linotype" w:hAnsi="Palatino Linotype"/>
          <w:sz w:val="20"/>
        </w:rPr>
        <w:t>OMAH Progr</w:t>
      </w:r>
      <w:r w:rsidR="00BF0C04" w:rsidRPr="00981D07">
        <w:rPr>
          <w:rFonts w:ascii="Palatino Linotype" w:hAnsi="Palatino Linotype"/>
          <w:sz w:val="20"/>
        </w:rPr>
        <w:t>am Han</w:t>
      </w:r>
      <w:r w:rsidR="005A4BB1" w:rsidRPr="00981D07">
        <w:rPr>
          <w:rFonts w:ascii="Palatino Linotype" w:hAnsi="Palatino Linotype"/>
          <w:sz w:val="20"/>
        </w:rPr>
        <w:t>dbook Ei</w:t>
      </w:r>
      <w:r w:rsidR="009E5EF2" w:rsidRPr="00981D07">
        <w:rPr>
          <w:rFonts w:ascii="Palatino Linotype" w:hAnsi="Palatino Linotype"/>
          <w:sz w:val="20"/>
        </w:rPr>
        <w:t xml:space="preserve">ghth </w:t>
      </w:r>
      <w:r w:rsidR="00E80911" w:rsidRPr="00981D07">
        <w:rPr>
          <w:rFonts w:ascii="Palatino Linotype" w:hAnsi="Palatino Linotype"/>
          <w:sz w:val="20"/>
        </w:rPr>
        <w:t xml:space="preserve">Edition at </w:t>
      </w:r>
      <w:r w:rsidR="009F31BF" w:rsidRPr="00981D07">
        <w:rPr>
          <w:rFonts w:ascii="Palatino Linotype" w:hAnsi="Palatino Linotype"/>
          <w:sz w:val="20"/>
        </w:rPr>
        <w:t>52.</w:t>
      </w:r>
    </w:p>
  </w:footnote>
  <w:footnote w:id="13">
    <w:p w14:paraId="67949BC0" w14:textId="2B66CA9B" w:rsidR="00CA7611" w:rsidRPr="008D03C8" w:rsidRDefault="00CA7611" w:rsidP="008D03C8">
      <w:pPr>
        <w:pStyle w:val="FootnoteText"/>
        <w:numPr>
          <w:ilvl w:val="0"/>
          <w:numId w:val="0"/>
        </w:numPr>
        <w:spacing w:after="0"/>
        <w:ind w:left="360" w:hanging="360"/>
        <w:rPr>
          <w:rFonts w:ascii="Palatino Linotype" w:hAnsi="Palatino Linotype"/>
          <w:sz w:val="20"/>
        </w:rPr>
      </w:pPr>
      <w:r w:rsidRPr="008D03C8">
        <w:rPr>
          <w:rStyle w:val="FootnoteReference"/>
          <w:rFonts w:ascii="Palatino Linotype" w:hAnsi="Palatino Linotype"/>
          <w:sz w:val="20"/>
        </w:rPr>
        <w:footnoteRef/>
      </w:r>
      <w:r w:rsidR="00737670">
        <w:rPr>
          <w:rFonts w:ascii="Palatino Linotype" w:hAnsi="Palatino Linotype"/>
          <w:sz w:val="20"/>
        </w:rPr>
        <w:t xml:space="preserve"> IRS</w:t>
      </w:r>
      <w:r w:rsidRPr="008D03C8">
        <w:rPr>
          <w:rFonts w:ascii="Palatino Linotype" w:hAnsi="Palatino Linotype"/>
          <w:sz w:val="20"/>
        </w:rPr>
        <w:t xml:space="preserve"> </w:t>
      </w:r>
      <w:hyperlink r:id="rId6" w:history="1">
        <w:r w:rsidR="00517DC6" w:rsidRPr="008D03C8">
          <w:rPr>
            <w:rStyle w:val="Hyperlink"/>
            <w:rFonts w:ascii="Palatino Linotype" w:hAnsi="Palatino Linotype"/>
            <w:sz w:val="20"/>
          </w:rPr>
          <w:t>Residential Clean Energy Credit | Internal Revenue Service</w:t>
        </w:r>
      </w:hyperlink>
    </w:p>
  </w:footnote>
  <w:footnote w:id="14">
    <w:p w14:paraId="26E136ED" w14:textId="40E32314" w:rsidR="009B2603" w:rsidRPr="008F1460" w:rsidRDefault="009B2603" w:rsidP="00CD13C8">
      <w:pPr>
        <w:pStyle w:val="FootnoteText"/>
        <w:numPr>
          <w:ilvl w:val="0"/>
          <w:numId w:val="0"/>
        </w:numPr>
        <w:spacing w:after="0"/>
        <w:ind w:left="360" w:hanging="360"/>
        <w:rPr>
          <w:rFonts w:ascii="Palatino Linotype" w:hAnsi="Palatino Linotype"/>
          <w:sz w:val="20"/>
        </w:rPr>
      </w:pPr>
      <w:r w:rsidRPr="008F1460">
        <w:rPr>
          <w:rStyle w:val="FootnoteReference"/>
          <w:rFonts w:ascii="Palatino Linotype" w:hAnsi="Palatino Linotype"/>
          <w:sz w:val="20"/>
        </w:rPr>
        <w:footnoteRef/>
      </w:r>
      <w:r w:rsidR="00737670">
        <w:rPr>
          <w:rFonts w:ascii="Palatino Linotype" w:hAnsi="Palatino Linotype"/>
          <w:sz w:val="20"/>
        </w:rPr>
        <w:t xml:space="preserve"> </w:t>
      </w:r>
      <w:r w:rsidRPr="00737670">
        <w:rPr>
          <w:rFonts w:ascii="Palatino Linotype" w:hAnsi="Palatino Linotype"/>
          <w:i/>
          <w:iCs/>
          <w:sz w:val="20"/>
        </w:rPr>
        <w:t>I</w:t>
      </w:r>
      <w:r w:rsidR="00737670" w:rsidRPr="00737670">
        <w:rPr>
          <w:rFonts w:ascii="Palatino Linotype" w:hAnsi="Palatino Linotype"/>
          <w:i/>
          <w:iCs/>
          <w:sz w:val="20"/>
        </w:rPr>
        <w:t>d.</w:t>
      </w:r>
    </w:p>
  </w:footnote>
  <w:footnote w:id="15">
    <w:p w14:paraId="4F700EA2" w14:textId="24F3CB95" w:rsidR="00BA4A31" w:rsidRDefault="00BA4A31" w:rsidP="008F1460">
      <w:pPr>
        <w:pStyle w:val="FootnoteText"/>
        <w:numPr>
          <w:ilvl w:val="0"/>
          <w:numId w:val="0"/>
        </w:numPr>
        <w:spacing w:after="0"/>
        <w:ind w:left="360" w:hanging="360"/>
      </w:pPr>
      <w:r w:rsidRPr="008F1460">
        <w:rPr>
          <w:rStyle w:val="FootnoteReference"/>
          <w:rFonts w:ascii="Palatino Linotype" w:hAnsi="Palatino Linotype"/>
          <w:sz w:val="20"/>
        </w:rPr>
        <w:footnoteRef/>
      </w:r>
      <w:r w:rsidRPr="008F1460">
        <w:rPr>
          <w:rFonts w:ascii="Palatino Linotype" w:hAnsi="Palatino Linotype"/>
          <w:sz w:val="20"/>
        </w:rPr>
        <w:t xml:space="preserve"> </w:t>
      </w:r>
      <w:hyperlink r:id="rId7" w:anchor="en_US_2023_publink1000111800" w:history="1">
        <w:r w:rsidRPr="008F1460">
          <w:rPr>
            <w:rStyle w:val="Hyperlink"/>
            <w:rFonts w:ascii="Palatino Linotype" w:hAnsi="Palatino Linotype"/>
            <w:sz w:val="20"/>
          </w:rPr>
          <w:t>Instructions for Form 3468 (2023) | Internal Revenue Service</w:t>
        </w:r>
      </w:hyperlink>
    </w:p>
  </w:footnote>
  <w:footnote w:id="16">
    <w:p w14:paraId="12CF0D6D" w14:textId="0D4B497D" w:rsidR="00C3379E" w:rsidRPr="00E63B32" w:rsidRDefault="00C3379E" w:rsidP="00E63B32">
      <w:pPr>
        <w:pStyle w:val="FootnoteText"/>
        <w:numPr>
          <w:ilvl w:val="0"/>
          <w:numId w:val="0"/>
        </w:numPr>
        <w:spacing w:after="0"/>
        <w:ind w:left="360" w:hanging="360"/>
        <w:rPr>
          <w:rFonts w:ascii="Palatino Linotype" w:hAnsi="Palatino Linotype"/>
          <w:sz w:val="20"/>
        </w:rPr>
      </w:pPr>
      <w:r w:rsidRPr="00E63B32">
        <w:rPr>
          <w:rStyle w:val="FootnoteReference"/>
          <w:rFonts w:ascii="Palatino Linotype" w:hAnsi="Palatino Linotype"/>
          <w:sz w:val="20"/>
        </w:rPr>
        <w:footnoteRef/>
      </w:r>
      <w:r w:rsidRPr="00E63B32">
        <w:rPr>
          <w:rFonts w:ascii="Palatino Linotype" w:hAnsi="Palatino Linotype"/>
          <w:sz w:val="20"/>
        </w:rPr>
        <w:t xml:space="preserve"> SCG AL </w:t>
      </w:r>
      <w:r w:rsidR="00C571BC" w:rsidRPr="00E63B32">
        <w:rPr>
          <w:rFonts w:ascii="Palatino Linotype" w:hAnsi="Palatino Linotype"/>
          <w:sz w:val="20"/>
        </w:rPr>
        <w:t xml:space="preserve">6405-G et al. at </w:t>
      </w:r>
      <w:r w:rsidR="00267BAC" w:rsidRPr="00E63B32">
        <w:rPr>
          <w:rFonts w:ascii="Palatino Linotype" w:hAnsi="Palatino Linotype"/>
          <w:sz w:val="20"/>
        </w:rPr>
        <w:t>3-5.</w:t>
      </w:r>
    </w:p>
  </w:footnote>
  <w:footnote w:id="17">
    <w:p w14:paraId="7D48AD62" w14:textId="3980C329" w:rsidR="00E220A9" w:rsidRPr="00FE51EA" w:rsidRDefault="00E220A9" w:rsidP="00FE51EA">
      <w:pPr>
        <w:pStyle w:val="FootnoteText"/>
        <w:numPr>
          <w:ilvl w:val="0"/>
          <w:numId w:val="0"/>
        </w:numPr>
        <w:spacing w:after="0"/>
        <w:ind w:left="360" w:hanging="360"/>
        <w:rPr>
          <w:rFonts w:ascii="Palatino Linotype" w:hAnsi="Palatino Linotype"/>
          <w:sz w:val="20"/>
        </w:rPr>
      </w:pPr>
      <w:r w:rsidRPr="00FE51EA">
        <w:rPr>
          <w:rStyle w:val="FootnoteReference"/>
          <w:rFonts w:ascii="Palatino Linotype" w:hAnsi="Palatino Linotype"/>
          <w:sz w:val="20"/>
        </w:rPr>
        <w:footnoteRef/>
      </w:r>
      <w:r w:rsidRPr="00FE51EA">
        <w:rPr>
          <w:rFonts w:ascii="Palatino Linotype" w:hAnsi="Palatino Linotype"/>
          <w:sz w:val="20"/>
        </w:rPr>
        <w:t xml:space="preserve"> CLASSA protest at </w:t>
      </w:r>
      <w:r w:rsidR="00EA338A" w:rsidRPr="00FE51EA">
        <w:rPr>
          <w:rFonts w:ascii="Palatino Linotype" w:hAnsi="Palatino Linotype"/>
          <w:sz w:val="20"/>
        </w:rPr>
        <w:t xml:space="preserve">1. Free Energy protest at </w:t>
      </w:r>
      <w:r w:rsidR="000F478E" w:rsidRPr="00FE51EA">
        <w:rPr>
          <w:rFonts w:ascii="Palatino Linotype" w:hAnsi="Palatino Linotype"/>
          <w:sz w:val="20"/>
        </w:rPr>
        <w:t>4.</w:t>
      </w:r>
    </w:p>
  </w:footnote>
  <w:footnote w:id="18">
    <w:p w14:paraId="3C0C02C5" w14:textId="0C7AADF7" w:rsidR="00EA1EA9" w:rsidRPr="007E0EF0" w:rsidRDefault="00EA1EA9" w:rsidP="00FE51EA">
      <w:pPr>
        <w:pStyle w:val="FootnoteText"/>
        <w:numPr>
          <w:ilvl w:val="0"/>
          <w:numId w:val="0"/>
        </w:numPr>
        <w:spacing w:after="0"/>
        <w:rPr>
          <w:rFonts w:ascii="Palatino Linotype" w:hAnsi="Palatino Linotype"/>
        </w:rPr>
      </w:pPr>
      <w:r w:rsidRPr="00FE51EA">
        <w:rPr>
          <w:rStyle w:val="FootnoteReference"/>
          <w:rFonts w:ascii="Palatino Linotype" w:hAnsi="Palatino Linotype"/>
          <w:sz w:val="20"/>
        </w:rPr>
        <w:footnoteRef/>
      </w:r>
      <w:r w:rsidRPr="00FE51EA">
        <w:rPr>
          <w:rFonts w:ascii="Palatino Linotype" w:hAnsi="Palatino Linotype"/>
          <w:sz w:val="20"/>
        </w:rPr>
        <w:t xml:space="preserve"> CALSSA protest at 2.</w:t>
      </w:r>
    </w:p>
  </w:footnote>
  <w:footnote w:id="19">
    <w:p w14:paraId="59B7B85C" w14:textId="78A2AF66" w:rsidR="001D045E" w:rsidRPr="00FE51EA" w:rsidRDefault="001D045E" w:rsidP="007E0EF0">
      <w:pPr>
        <w:pStyle w:val="FootnoteText"/>
        <w:numPr>
          <w:ilvl w:val="0"/>
          <w:numId w:val="0"/>
        </w:numPr>
        <w:spacing w:after="0"/>
        <w:rPr>
          <w:rFonts w:ascii="Palatino Linotype" w:hAnsi="Palatino Linotype"/>
          <w:sz w:val="20"/>
        </w:rPr>
      </w:pPr>
      <w:r w:rsidRPr="00FE51EA">
        <w:rPr>
          <w:rStyle w:val="FootnoteReference"/>
          <w:rFonts w:ascii="Palatino Linotype" w:hAnsi="Palatino Linotype"/>
          <w:sz w:val="20"/>
        </w:rPr>
        <w:footnoteRef/>
      </w:r>
      <w:r w:rsidRPr="00FE51EA">
        <w:rPr>
          <w:rFonts w:ascii="Palatino Linotype" w:hAnsi="Palatino Linotype"/>
          <w:sz w:val="20"/>
        </w:rPr>
        <w:t xml:space="preserve"> </w:t>
      </w:r>
      <w:r w:rsidRPr="00FE51EA">
        <w:rPr>
          <w:rFonts w:ascii="Palatino Linotype" w:hAnsi="Palatino Linotype"/>
          <w:i/>
          <w:iCs/>
          <w:sz w:val="20"/>
        </w:rPr>
        <w:t>Id</w:t>
      </w:r>
      <w:r w:rsidRPr="00FE51EA">
        <w:rPr>
          <w:rFonts w:ascii="Palatino Linotype" w:hAnsi="Palatino Linotype"/>
          <w:sz w:val="20"/>
        </w:rPr>
        <w:t>. at 3.</w:t>
      </w:r>
    </w:p>
  </w:footnote>
  <w:footnote w:id="20">
    <w:p w14:paraId="19394CD9" w14:textId="770ADB5F" w:rsidR="002647E2" w:rsidRPr="00FE51EA" w:rsidRDefault="002647E2" w:rsidP="007E0EF0">
      <w:pPr>
        <w:pStyle w:val="FootnoteText"/>
        <w:numPr>
          <w:ilvl w:val="0"/>
          <w:numId w:val="0"/>
        </w:numPr>
        <w:spacing w:after="0"/>
        <w:ind w:left="360" w:hanging="360"/>
        <w:rPr>
          <w:rFonts w:ascii="Palatino Linotype" w:hAnsi="Palatino Linotype"/>
          <w:sz w:val="20"/>
        </w:rPr>
      </w:pPr>
      <w:r w:rsidRPr="00FE51EA">
        <w:rPr>
          <w:rStyle w:val="FootnoteReference"/>
          <w:rFonts w:ascii="Palatino Linotype" w:hAnsi="Palatino Linotype"/>
          <w:sz w:val="20"/>
        </w:rPr>
        <w:footnoteRef/>
      </w:r>
      <w:r w:rsidRPr="00FE51EA">
        <w:rPr>
          <w:rFonts w:ascii="Palatino Linotype" w:hAnsi="Palatino Linotype"/>
          <w:sz w:val="20"/>
        </w:rPr>
        <w:t xml:space="preserve"> Free Energy protest at 5.</w:t>
      </w:r>
    </w:p>
  </w:footnote>
  <w:footnote w:id="21">
    <w:p w14:paraId="17FC0F2B" w14:textId="71E15FCC" w:rsidR="007E0EF0" w:rsidRPr="00FE51EA" w:rsidRDefault="007E0EF0" w:rsidP="007E0EF0">
      <w:pPr>
        <w:pStyle w:val="FootnoteText"/>
        <w:numPr>
          <w:ilvl w:val="0"/>
          <w:numId w:val="0"/>
        </w:numPr>
        <w:spacing w:after="0"/>
        <w:ind w:left="360" w:hanging="360"/>
        <w:rPr>
          <w:sz w:val="22"/>
          <w:szCs w:val="22"/>
        </w:rPr>
      </w:pPr>
      <w:r w:rsidRPr="00FE51EA">
        <w:rPr>
          <w:rStyle w:val="FootnoteReference"/>
          <w:rFonts w:ascii="Palatino Linotype" w:hAnsi="Palatino Linotype"/>
          <w:sz w:val="20"/>
        </w:rPr>
        <w:footnoteRef/>
      </w:r>
      <w:r w:rsidRPr="00FE51EA">
        <w:rPr>
          <w:rFonts w:ascii="Palatino Linotype" w:hAnsi="Palatino Linotype"/>
          <w:sz w:val="20"/>
        </w:rPr>
        <w:t xml:space="preserve"> </w:t>
      </w:r>
      <w:r w:rsidRPr="00FE51EA">
        <w:rPr>
          <w:rFonts w:ascii="Palatino Linotype" w:hAnsi="Palatino Linotype"/>
          <w:i/>
          <w:iCs/>
          <w:sz w:val="20"/>
        </w:rPr>
        <w:t>Id</w:t>
      </w:r>
      <w:r w:rsidRPr="00FE51EA">
        <w:rPr>
          <w:rFonts w:ascii="Palatino Linotype" w:hAnsi="Palatino Linotype"/>
          <w:sz w:val="20"/>
        </w:rPr>
        <w:t>. at 11.</w:t>
      </w:r>
    </w:p>
  </w:footnote>
  <w:footnote w:id="22">
    <w:p w14:paraId="46AA8E1C" w14:textId="08C1EA2F" w:rsidR="00D755DC" w:rsidRPr="00D755DC" w:rsidRDefault="00D755DC" w:rsidP="00D755DC">
      <w:pPr>
        <w:pStyle w:val="FootnoteText"/>
        <w:numPr>
          <w:ilvl w:val="0"/>
          <w:numId w:val="0"/>
        </w:numPr>
        <w:spacing w:after="0"/>
        <w:ind w:left="360" w:hanging="360"/>
        <w:rPr>
          <w:rFonts w:ascii="Palatino Linotype" w:hAnsi="Palatino Linotype"/>
          <w:sz w:val="20"/>
        </w:rPr>
      </w:pPr>
      <w:r w:rsidRPr="00D755DC">
        <w:rPr>
          <w:rStyle w:val="FootnoteReference"/>
          <w:rFonts w:ascii="Palatino Linotype" w:hAnsi="Palatino Linotype"/>
          <w:sz w:val="20"/>
        </w:rPr>
        <w:footnoteRef/>
      </w:r>
      <w:r w:rsidRPr="00D755DC">
        <w:rPr>
          <w:rFonts w:ascii="Palatino Linotype" w:hAnsi="Palatino Linotype"/>
          <w:sz w:val="20"/>
        </w:rPr>
        <w:t xml:space="preserve"> </w:t>
      </w:r>
      <w:r w:rsidRPr="00D755DC">
        <w:rPr>
          <w:rFonts w:ascii="Palatino Linotype" w:hAnsi="Palatino Linotype"/>
          <w:i/>
          <w:iCs/>
          <w:sz w:val="20"/>
        </w:rPr>
        <w:t>Id.</w:t>
      </w:r>
      <w:r w:rsidRPr="00D755DC">
        <w:rPr>
          <w:rFonts w:ascii="Palatino Linotype" w:hAnsi="Palatino Linotype"/>
          <w:sz w:val="20"/>
        </w:rPr>
        <w:t xml:space="preserve"> at 7. </w:t>
      </w:r>
    </w:p>
  </w:footnote>
  <w:footnote w:id="23">
    <w:p w14:paraId="1875571A" w14:textId="0E0B036E" w:rsidR="00D755DC" w:rsidRPr="00D755DC" w:rsidRDefault="00D755DC" w:rsidP="00D755DC">
      <w:pPr>
        <w:pStyle w:val="FootnoteText"/>
        <w:numPr>
          <w:ilvl w:val="0"/>
          <w:numId w:val="0"/>
        </w:numPr>
        <w:spacing w:after="0"/>
        <w:ind w:left="360" w:hanging="360"/>
        <w:rPr>
          <w:rFonts w:ascii="Palatino Linotype" w:hAnsi="Palatino Linotype"/>
          <w:sz w:val="20"/>
        </w:rPr>
      </w:pPr>
      <w:r w:rsidRPr="00D755DC">
        <w:rPr>
          <w:rStyle w:val="FootnoteReference"/>
          <w:rFonts w:ascii="Palatino Linotype" w:hAnsi="Palatino Linotype"/>
          <w:sz w:val="20"/>
        </w:rPr>
        <w:footnoteRef/>
      </w:r>
      <w:r w:rsidRPr="00D755DC">
        <w:rPr>
          <w:rFonts w:ascii="Palatino Linotype" w:hAnsi="Palatino Linotype"/>
          <w:sz w:val="20"/>
        </w:rPr>
        <w:t xml:space="preserve"> </w:t>
      </w:r>
      <w:r w:rsidRPr="00D755DC">
        <w:rPr>
          <w:rFonts w:ascii="Palatino Linotype" w:hAnsi="Palatino Linotype"/>
          <w:i/>
          <w:iCs/>
          <w:sz w:val="20"/>
        </w:rPr>
        <w:t>Id.</w:t>
      </w:r>
      <w:r w:rsidRPr="00D755DC">
        <w:rPr>
          <w:rFonts w:ascii="Palatino Linotype" w:hAnsi="Palatino Linotype"/>
          <w:sz w:val="20"/>
        </w:rPr>
        <w:t xml:space="preserve"> at 12.</w:t>
      </w:r>
    </w:p>
  </w:footnote>
  <w:footnote w:id="24">
    <w:p w14:paraId="082D5762" w14:textId="089647B0" w:rsidR="00D755DC" w:rsidRDefault="00D755DC" w:rsidP="00D755DC">
      <w:pPr>
        <w:pStyle w:val="FootnoteText"/>
        <w:numPr>
          <w:ilvl w:val="0"/>
          <w:numId w:val="0"/>
        </w:numPr>
        <w:spacing w:after="0"/>
        <w:ind w:left="360" w:hanging="360"/>
      </w:pPr>
      <w:r w:rsidRPr="00D755DC">
        <w:rPr>
          <w:rStyle w:val="FootnoteReference"/>
          <w:rFonts w:ascii="Palatino Linotype" w:hAnsi="Palatino Linotype"/>
          <w:sz w:val="20"/>
        </w:rPr>
        <w:footnoteRef/>
      </w:r>
      <w:r w:rsidRPr="00D755DC">
        <w:rPr>
          <w:rFonts w:ascii="Palatino Linotype" w:hAnsi="Palatino Linotype"/>
          <w:sz w:val="20"/>
        </w:rPr>
        <w:t xml:space="preserve"> </w:t>
      </w:r>
      <w:r w:rsidRPr="00D755DC">
        <w:rPr>
          <w:rFonts w:ascii="Palatino Linotype" w:hAnsi="Palatino Linotype"/>
          <w:i/>
          <w:iCs/>
          <w:sz w:val="20"/>
        </w:rPr>
        <w:t>Id.</w:t>
      </w:r>
      <w:r w:rsidRPr="00D755DC">
        <w:rPr>
          <w:rFonts w:ascii="Palatino Linotype" w:hAnsi="Palatino Linotype"/>
          <w:sz w:val="20"/>
        </w:rPr>
        <w:t xml:space="preserve"> at 9.</w:t>
      </w:r>
    </w:p>
  </w:footnote>
  <w:footnote w:id="25">
    <w:p w14:paraId="1EF17935" w14:textId="6695F622" w:rsidR="00D755DC" w:rsidRPr="00D755DC" w:rsidRDefault="00D755DC" w:rsidP="00D755DC">
      <w:pPr>
        <w:pStyle w:val="FootnoteText"/>
        <w:numPr>
          <w:ilvl w:val="0"/>
          <w:numId w:val="0"/>
        </w:numPr>
        <w:spacing w:after="0"/>
        <w:ind w:left="360" w:hanging="360"/>
        <w:rPr>
          <w:rFonts w:ascii="Palatino Linotype" w:hAnsi="Palatino Linotype"/>
          <w:sz w:val="20"/>
        </w:rPr>
      </w:pPr>
      <w:r w:rsidRPr="00D755DC">
        <w:rPr>
          <w:rStyle w:val="FootnoteReference"/>
          <w:rFonts w:ascii="Palatino Linotype" w:hAnsi="Palatino Linotype"/>
          <w:sz w:val="20"/>
        </w:rPr>
        <w:footnoteRef/>
      </w:r>
      <w:r w:rsidRPr="00D755DC">
        <w:rPr>
          <w:rFonts w:ascii="Palatino Linotype" w:hAnsi="Palatino Linotype"/>
          <w:sz w:val="20"/>
        </w:rPr>
        <w:t xml:space="preserve"> CALSSA protest at 4.</w:t>
      </w:r>
    </w:p>
  </w:footnote>
  <w:footnote w:id="26">
    <w:p w14:paraId="04A5AEFA" w14:textId="54D52A81" w:rsidR="00D755DC" w:rsidRDefault="00D755DC" w:rsidP="00D755DC">
      <w:pPr>
        <w:pStyle w:val="FootnoteText"/>
        <w:numPr>
          <w:ilvl w:val="0"/>
          <w:numId w:val="0"/>
        </w:numPr>
        <w:spacing w:after="0"/>
        <w:ind w:left="360" w:hanging="360"/>
      </w:pPr>
      <w:r w:rsidRPr="00D755DC">
        <w:rPr>
          <w:rStyle w:val="FootnoteReference"/>
          <w:rFonts w:ascii="Palatino Linotype" w:hAnsi="Palatino Linotype"/>
          <w:sz w:val="20"/>
        </w:rPr>
        <w:footnoteRef/>
      </w:r>
      <w:r w:rsidRPr="00D755DC">
        <w:rPr>
          <w:rFonts w:ascii="Palatino Linotype" w:hAnsi="Palatino Linotype"/>
          <w:sz w:val="20"/>
        </w:rPr>
        <w:t xml:space="preserve"> </w:t>
      </w:r>
      <w:r w:rsidRPr="00D755DC">
        <w:rPr>
          <w:rFonts w:ascii="Palatino Linotype" w:hAnsi="Palatino Linotype"/>
          <w:i/>
          <w:iCs/>
          <w:sz w:val="20"/>
        </w:rPr>
        <w:t>Id</w:t>
      </w:r>
      <w:r w:rsidRPr="00D755DC">
        <w:rPr>
          <w:rFonts w:ascii="Palatino Linotype" w:hAnsi="Palatino Linotype"/>
          <w:sz w:val="20"/>
        </w:rPr>
        <w:t>.</w:t>
      </w:r>
    </w:p>
  </w:footnote>
  <w:footnote w:id="27">
    <w:p w14:paraId="6275E992" w14:textId="295E9197" w:rsidR="0061692B" w:rsidRDefault="0061692B" w:rsidP="00720DF2">
      <w:pPr>
        <w:pStyle w:val="FootnoteText"/>
        <w:numPr>
          <w:ilvl w:val="0"/>
          <w:numId w:val="0"/>
        </w:numPr>
        <w:spacing w:after="0"/>
        <w:ind w:left="360" w:hanging="360"/>
      </w:pPr>
      <w:r>
        <w:rPr>
          <w:rStyle w:val="FootnoteReference"/>
        </w:rPr>
        <w:footnoteRef/>
      </w:r>
      <w:r>
        <w:t xml:space="preserve"> </w:t>
      </w:r>
      <w:r w:rsidRPr="000672B4">
        <w:rPr>
          <w:rFonts w:ascii="Palatino Linotype" w:hAnsi="Palatino Linotype"/>
          <w:sz w:val="20"/>
        </w:rPr>
        <w:t xml:space="preserve">IRS </w:t>
      </w:r>
      <w:hyperlink r:id="rId8" w:history="1">
        <w:r w:rsidRPr="000672B4">
          <w:rPr>
            <w:rStyle w:val="Hyperlink"/>
            <w:rFonts w:ascii="Palatino Linotype" w:hAnsi="Palatino Linotype"/>
            <w:sz w:val="20"/>
          </w:rPr>
          <w:t>Frequently asked questions about energy efficient home improvements and residential clean energy property credits</w:t>
        </w:r>
      </w:hyperlink>
      <w:r w:rsidRPr="000672B4">
        <w:rPr>
          <w:rFonts w:ascii="Palatino Linotype" w:hAnsi="Palatino Linotype"/>
          <w:sz w:val="20"/>
        </w:rPr>
        <w:t xml:space="preserve"> at 7. https://www.irs.gov/pub/taxpros/fs-2024-15.pdf</w:t>
      </w:r>
    </w:p>
  </w:footnote>
  <w:footnote w:id="28">
    <w:p w14:paraId="1406C6A8" w14:textId="7707183F" w:rsidR="00AF4766" w:rsidRPr="00B42E08" w:rsidRDefault="00AF4766" w:rsidP="000672B4">
      <w:pPr>
        <w:pStyle w:val="FootnoteText"/>
        <w:numPr>
          <w:ilvl w:val="0"/>
          <w:numId w:val="0"/>
        </w:numPr>
        <w:spacing w:after="0"/>
        <w:rPr>
          <w:rFonts w:ascii="Palatino Linotype" w:hAnsi="Palatino Linotype"/>
          <w:sz w:val="20"/>
        </w:rPr>
      </w:pPr>
      <w:r w:rsidRPr="00B42E08">
        <w:rPr>
          <w:rStyle w:val="FootnoteReference"/>
          <w:rFonts w:ascii="Palatino Linotype" w:hAnsi="Palatino Linotype"/>
          <w:sz w:val="20"/>
        </w:rPr>
        <w:footnoteRef/>
      </w:r>
      <w:r w:rsidR="00B42E08" w:rsidRPr="00B42E08">
        <w:rPr>
          <w:rStyle w:val="Hyperlink"/>
          <w:rFonts w:ascii="Palatino Linotype" w:hAnsi="Palatino Linotype"/>
          <w:sz w:val="20"/>
          <w:u w:val="none"/>
        </w:rPr>
        <w:t xml:space="preserve"> </w:t>
      </w:r>
      <w:r w:rsidR="00720DF2" w:rsidRPr="00B42E08">
        <w:rPr>
          <w:rFonts w:ascii="Palatino Linotype" w:hAnsi="Palatino Linotype"/>
          <w:i/>
          <w:iCs/>
          <w:sz w:val="20"/>
        </w:rPr>
        <w:t>Id.</w:t>
      </w:r>
    </w:p>
  </w:footnote>
  <w:footnote w:id="29">
    <w:p w14:paraId="5985F52C" w14:textId="0951B8E1" w:rsidR="000E53CC" w:rsidRPr="001E180E" w:rsidRDefault="000E53CC" w:rsidP="00CD13C8">
      <w:pPr>
        <w:pStyle w:val="FootnoteText"/>
        <w:numPr>
          <w:ilvl w:val="0"/>
          <w:numId w:val="0"/>
        </w:numPr>
        <w:spacing w:after="0"/>
        <w:ind w:left="360" w:hanging="360"/>
        <w:rPr>
          <w:rFonts w:ascii="Palatino Linotype" w:hAnsi="Palatino Linotype"/>
          <w:sz w:val="20"/>
        </w:rPr>
      </w:pPr>
      <w:r w:rsidRPr="001E180E">
        <w:rPr>
          <w:rStyle w:val="FootnoteReference"/>
          <w:rFonts w:ascii="Palatino Linotype" w:hAnsi="Palatino Linotype"/>
          <w:sz w:val="20"/>
        </w:rPr>
        <w:footnoteRef/>
      </w:r>
      <w:r w:rsidRPr="001E180E">
        <w:rPr>
          <w:rFonts w:ascii="Palatino Linotype" w:hAnsi="Palatino Linotype"/>
          <w:sz w:val="20"/>
        </w:rPr>
        <w:t xml:space="preserve"> </w:t>
      </w:r>
      <w:r w:rsidR="00981991" w:rsidRPr="001E180E">
        <w:rPr>
          <w:rFonts w:ascii="Palatino Linotype" w:hAnsi="Palatino Linotype"/>
          <w:sz w:val="20"/>
        </w:rPr>
        <w:t xml:space="preserve">2021-2022 </w:t>
      </w:r>
      <w:r w:rsidR="00432FA8" w:rsidRPr="001E180E">
        <w:rPr>
          <w:rFonts w:ascii="Palatino Linotype" w:hAnsi="Palatino Linotype"/>
          <w:sz w:val="20"/>
        </w:rPr>
        <w:t xml:space="preserve">SGIP Program Administrator Performance </w:t>
      </w:r>
      <w:r w:rsidR="00981991" w:rsidRPr="001E180E">
        <w:rPr>
          <w:rFonts w:ascii="Palatino Linotype" w:hAnsi="Palatino Linotype"/>
          <w:sz w:val="20"/>
        </w:rPr>
        <w:t>at 61.</w:t>
      </w:r>
    </w:p>
  </w:footnote>
  <w:footnote w:id="30">
    <w:p w14:paraId="62FFC836" w14:textId="1506D902" w:rsidR="00AF4766" w:rsidRPr="000672B4" w:rsidRDefault="00AF4766" w:rsidP="000672B4">
      <w:pPr>
        <w:pStyle w:val="FootnoteText"/>
        <w:numPr>
          <w:ilvl w:val="0"/>
          <w:numId w:val="0"/>
        </w:numPr>
        <w:spacing w:after="0"/>
        <w:ind w:left="360" w:hanging="360"/>
        <w:rPr>
          <w:rFonts w:ascii="Palatino Linotype" w:hAnsi="Palatino Linotype"/>
          <w:sz w:val="20"/>
        </w:rPr>
      </w:pPr>
      <w:r w:rsidRPr="001E180E">
        <w:rPr>
          <w:rStyle w:val="FootnoteReference"/>
          <w:rFonts w:ascii="Palatino Linotype" w:hAnsi="Palatino Linotype"/>
          <w:sz w:val="20"/>
        </w:rPr>
        <w:footnoteRef/>
      </w:r>
      <w:r w:rsidRPr="001E180E">
        <w:rPr>
          <w:rFonts w:ascii="Palatino Linotype" w:hAnsi="Palatino Linotype"/>
          <w:sz w:val="20"/>
        </w:rPr>
        <w:t xml:space="preserve"> </w:t>
      </w:r>
      <w:r w:rsidR="00432FA8" w:rsidRPr="001E180E">
        <w:rPr>
          <w:rFonts w:ascii="Palatino Linotype" w:hAnsi="Palatino Linotype"/>
          <w:sz w:val="20"/>
        </w:rPr>
        <w:t xml:space="preserve">IRS </w:t>
      </w:r>
      <w:hyperlink r:id="rId9" w:history="1">
        <w:r w:rsidR="00432FA8" w:rsidRPr="001E180E">
          <w:rPr>
            <w:rStyle w:val="Hyperlink"/>
            <w:rFonts w:ascii="Palatino Linotype" w:hAnsi="Palatino Linotype"/>
            <w:sz w:val="20"/>
          </w:rPr>
          <w:t>Frequently asked questions about energy efficient home improvements and residential clean energy property credits</w:t>
        </w:r>
      </w:hyperlink>
      <w:r w:rsidR="00432FA8" w:rsidRPr="001E180E">
        <w:rPr>
          <w:rFonts w:ascii="Palatino Linotype" w:hAnsi="Palatino Linotype"/>
          <w:sz w:val="20"/>
        </w:rPr>
        <w:t xml:space="preserve"> at 7</w:t>
      </w:r>
      <w:r w:rsidR="00CC3128">
        <w:rPr>
          <w:rFonts w:ascii="Palatino Linotype" w:hAnsi="Palatino Linotype"/>
          <w:sz w:val="20"/>
        </w:rPr>
        <w:t>.</w:t>
      </w:r>
    </w:p>
  </w:footnote>
  <w:footnote w:id="31">
    <w:p w14:paraId="1C83852F" w14:textId="77777777" w:rsidR="007956CD" w:rsidRPr="00881E4E" w:rsidRDefault="007956CD" w:rsidP="007956CD">
      <w:pPr>
        <w:pStyle w:val="FootnoteText"/>
        <w:numPr>
          <w:ilvl w:val="0"/>
          <w:numId w:val="0"/>
        </w:numPr>
        <w:spacing w:after="0"/>
        <w:ind w:left="360" w:hanging="360"/>
        <w:rPr>
          <w:rFonts w:ascii="Palatino Linotype" w:hAnsi="Palatino Linotype"/>
        </w:rPr>
      </w:pPr>
      <w:r w:rsidRPr="00881E4E">
        <w:rPr>
          <w:rStyle w:val="FootnoteReference"/>
          <w:rFonts w:ascii="Palatino Linotype" w:hAnsi="Palatino Linotype"/>
          <w:sz w:val="20"/>
          <w:szCs w:val="16"/>
        </w:rPr>
        <w:footnoteRef/>
      </w:r>
      <w:r w:rsidRPr="00881E4E">
        <w:rPr>
          <w:rFonts w:ascii="Palatino Linotype" w:hAnsi="Palatino Linotype"/>
          <w:sz w:val="20"/>
          <w:szCs w:val="16"/>
        </w:rPr>
        <w:t xml:space="preserve"> Data accessed on 12/19/2024 at </w:t>
      </w:r>
      <w:hyperlink r:id="rId10" w:history="1">
        <w:r w:rsidRPr="00881E4E">
          <w:rPr>
            <w:rStyle w:val="Hyperlink"/>
            <w:rFonts w:ascii="Palatino Linotype" w:hAnsi="Palatino Linotype"/>
            <w:sz w:val="20"/>
            <w:szCs w:val="16"/>
          </w:rPr>
          <w:t>https://www.selfgenca.com/home/program_metrics/</w:t>
        </w:r>
      </w:hyperlink>
      <w:r w:rsidRPr="00881E4E">
        <w:rPr>
          <w:rFonts w:ascii="Palatino Linotype" w:hAnsi="Palatino Linotype"/>
          <w:sz w:val="20"/>
          <w:szCs w:val="16"/>
        </w:rPr>
        <w:t xml:space="preserve">. </w:t>
      </w:r>
    </w:p>
  </w:footnote>
  <w:footnote w:id="32">
    <w:p w14:paraId="31DC2225" w14:textId="09E91644" w:rsidR="00EA2416" w:rsidRDefault="00EA2416" w:rsidP="000672B4">
      <w:pPr>
        <w:pStyle w:val="FootnoteText"/>
        <w:numPr>
          <w:ilvl w:val="0"/>
          <w:numId w:val="0"/>
        </w:numPr>
        <w:spacing w:after="0"/>
        <w:ind w:left="360" w:hanging="360"/>
      </w:pPr>
      <w:r w:rsidRPr="000672B4">
        <w:rPr>
          <w:rStyle w:val="FootnoteReference"/>
          <w:rFonts w:ascii="Palatino Linotype" w:hAnsi="Palatino Linotype"/>
          <w:sz w:val="20"/>
        </w:rPr>
        <w:footnoteRef/>
      </w:r>
      <w:r w:rsidRPr="000672B4">
        <w:rPr>
          <w:rFonts w:ascii="Palatino Linotype" w:hAnsi="Palatino Linotype"/>
          <w:sz w:val="20"/>
        </w:rPr>
        <w:t xml:space="preserve"> </w:t>
      </w:r>
      <w:hyperlink r:id="rId11" w:history="1">
        <w:r w:rsidRPr="000672B4">
          <w:rPr>
            <w:rStyle w:val="Hyperlink"/>
            <w:rFonts w:ascii="Palatino Linotype" w:hAnsi="Palatino Linotype"/>
            <w:sz w:val="20"/>
          </w:rPr>
          <w:t>Instructions for Form 3468 (2023) | Internal Revenue Service</w:t>
        </w:r>
      </w:hyperlink>
    </w:p>
  </w:footnote>
  <w:footnote w:id="33">
    <w:p w14:paraId="68224F83" w14:textId="192132E6" w:rsidR="00645488" w:rsidRPr="00023C3B" w:rsidRDefault="00645488" w:rsidP="00645488">
      <w:pPr>
        <w:pStyle w:val="FootnoteText"/>
        <w:numPr>
          <w:ilvl w:val="0"/>
          <w:numId w:val="0"/>
        </w:numPr>
        <w:spacing w:after="0"/>
        <w:ind w:left="360" w:hanging="360"/>
        <w:rPr>
          <w:rFonts w:ascii="Palatino Linotype" w:hAnsi="Palatino Linotype"/>
        </w:rPr>
      </w:pPr>
      <w:r w:rsidRPr="00023C3B">
        <w:rPr>
          <w:rStyle w:val="FootnoteReference"/>
          <w:rFonts w:ascii="Palatino Linotype" w:hAnsi="Palatino Linotype"/>
          <w:sz w:val="20"/>
          <w:szCs w:val="16"/>
        </w:rPr>
        <w:footnoteRef/>
      </w:r>
      <w:r w:rsidRPr="00023C3B">
        <w:rPr>
          <w:rFonts w:ascii="Palatino Linotype" w:hAnsi="Palatino Linotype"/>
          <w:sz w:val="20"/>
          <w:szCs w:val="16"/>
        </w:rPr>
        <w:t xml:space="preserve"> 15 kWh </w:t>
      </w:r>
      <w:r w:rsidR="007D4B22">
        <w:rPr>
          <w:rFonts w:ascii="Palatino Linotype" w:hAnsi="Palatino Linotype"/>
          <w:sz w:val="20"/>
          <w:szCs w:val="16"/>
        </w:rPr>
        <w:t>e</w:t>
      </w:r>
      <w:r w:rsidRPr="00023C3B">
        <w:rPr>
          <w:rFonts w:ascii="Palatino Linotype" w:hAnsi="Palatino Linotype"/>
          <w:sz w:val="20"/>
          <w:szCs w:val="16"/>
        </w:rPr>
        <w:t xml:space="preserve">nergy </w:t>
      </w:r>
      <w:r w:rsidR="007D4B22">
        <w:rPr>
          <w:rFonts w:ascii="Palatino Linotype" w:hAnsi="Palatino Linotype"/>
          <w:sz w:val="20"/>
          <w:szCs w:val="16"/>
        </w:rPr>
        <w:t>s</w:t>
      </w:r>
      <w:r w:rsidRPr="00023C3B">
        <w:rPr>
          <w:rFonts w:ascii="Palatino Linotype" w:hAnsi="Palatino Linotype"/>
          <w:sz w:val="20"/>
          <w:szCs w:val="16"/>
        </w:rPr>
        <w:t xml:space="preserve">torage </w:t>
      </w:r>
      <w:r w:rsidR="007D4B22">
        <w:rPr>
          <w:rFonts w:ascii="Palatino Linotype" w:hAnsi="Palatino Linotype"/>
          <w:sz w:val="20"/>
          <w:szCs w:val="16"/>
        </w:rPr>
        <w:t>s</w:t>
      </w:r>
      <w:r w:rsidRPr="00023C3B">
        <w:rPr>
          <w:rFonts w:ascii="Palatino Linotype" w:hAnsi="Palatino Linotype"/>
          <w:sz w:val="20"/>
          <w:szCs w:val="16"/>
        </w:rPr>
        <w:t>ystem</w:t>
      </w:r>
      <w:r>
        <w:rPr>
          <w:rFonts w:ascii="Palatino Linotype" w:hAnsi="Palatino Linotype"/>
          <w:sz w:val="20"/>
          <w:szCs w:val="16"/>
        </w:rPr>
        <w:t>. Equity Resiliency incentive is $1.00 per Wh</w:t>
      </w:r>
      <w:r w:rsidR="006D492A">
        <w:rPr>
          <w:rFonts w:ascii="Palatino Linotype" w:hAnsi="Palatino Linotype"/>
          <w:sz w:val="20"/>
          <w:szCs w:val="16"/>
        </w:rPr>
        <w:t xml:space="preserve"> from ratepayer collections</w:t>
      </w:r>
      <w:r>
        <w:rPr>
          <w:rFonts w:ascii="Palatino Linotype" w:hAnsi="Palatino Linotype"/>
          <w:sz w:val="20"/>
          <w:szCs w:val="16"/>
        </w:rPr>
        <w:t>. RSSE incentive is $1.10 per Wh</w:t>
      </w:r>
      <w:r w:rsidR="006D492A">
        <w:rPr>
          <w:rFonts w:ascii="Palatino Linotype" w:hAnsi="Palatino Linotype"/>
          <w:sz w:val="20"/>
          <w:szCs w:val="16"/>
        </w:rPr>
        <w:t xml:space="preserve"> from </w:t>
      </w:r>
      <w:r w:rsidR="00574312">
        <w:rPr>
          <w:rFonts w:ascii="Palatino Linotype" w:hAnsi="Palatino Linotype"/>
          <w:sz w:val="20"/>
          <w:szCs w:val="16"/>
        </w:rPr>
        <w:t>the state budget</w:t>
      </w:r>
      <w:r>
        <w:rPr>
          <w:rFonts w:ascii="Palatino Linotype" w:hAnsi="Palatino Linotype"/>
          <w:sz w:val="20"/>
          <w:szCs w:val="16"/>
        </w:rPr>
        <w:t xml:space="preserve">. </w:t>
      </w:r>
    </w:p>
  </w:footnote>
  <w:footnote w:id="34">
    <w:p w14:paraId="360F4330" w14:textId="4390C9A9" w:rsidR="00F6116B" w:rsidRPr="00F6116B" w:rsidRDefault="00F6116B" w:rsidP="00F6116B">
      <w:pPr>
        <w:pStyle w:val="FootnoteText"/>
        <w:numPr>
          <w:ilvl w:val="0"/>
          <w:numId w:val="0"/>
        </w:numPr>
        <w:spacing w:after="0"/>
        <w:ind w:left="360" w:hanging="360"/>
        <w:rPr>
          <w:rFonts w:ascii="Palatino Linotype" w:hAnsi="Palatino Linotype"/>
        </w:rPr>
      </w:pPr>
      <w:r w:rsidRPr="00F6116B">
        <w:rPr>
          <w:rStyle w:val="FootnoteReference"/>
          <w:rFonts w:ascii="Palatino Linotype" w:hAnsi="Palatino Linotype"/>
          <w:sz w:val="20"/>
          <w:szCs w:val="16"/>
        </w:rPr>
        <w:footnoteRef/>
      </w:r>
      <w:r w:rsidRPr="00F6116B">
        <w:rPr>
          <w:rFonts w:ascii="Palatino Linotype" w:hAnsi="Palatino Linotype"/>
          <w:sz w:val="20"/>
          <w:szCs w:val="16"/>
        </w:rPr>
        <w:t xml:space="preserve"> </w:t>
      </w:r>
      <w:r w:rsidRPr="00F6116B">
        <w:rPr>
          <w:rFonts w:ascii="Palatino Linotype" w:eastAsia="Palatino Linotype" w:hAnsi="Palatino Linotype"/>
          <w:sz w:val="20"/>
        </w:rPr>
        <w:t>SCG 6405-G et al. at 3.</w:t>
      </w:r>
    </w:p>
  </w:footnote>
  <w:footnote w:id="35">
    <w:p w14:paraId="192DE009" w14:textId="518C2D34" w:rsidR="00012865" w:rsidRPr="00AD3019" w:rsidRDefault="00012865" w:rsidP="00AD3019">
      <w:pPr>
        <w:pStyle w:val="FootnoteText"/>
        <w:numPr>
          <w:ilvl w:val="0"/>
          <w:numId w:val="0"/>
        </w:numPr>
        <w:spacing w:after="0"/>
        <w:rPr>
          <w:rFonts w:ascii="Palatino Linotype" w:hAnsi="Palatino Linotype"/>
        </w:rPr>
      </w:pPr>
      <w:r w:rsidRPr="00AD3019">
        <w:rPr>
          <w:rStyle w:val="FootnoteReference"/>
          <w:rFonts w:ascii="Palatino Linotype" w:hAnsi="Palatino Linotype"/>
          <w:sz w:val="20"/>
          <w:szCs w:val="16"/>
        </w:rPr>
        <w:footnoteRef/>
      </w:r>
      <w:r w:rsidRPr="00AD3019">
        <w:rPr>
          <w:rFonts w:ascii="Palatino Linotype" w:hAnsi="Palatino Linotype"/>
          <w:sz w:val="20"/>
          <w:szCs w:val="16"/>
        </w:rPr>
        <w:t xml:space="preserve"> </w:t>
      </w:r>
      <w:r w:rsidR="008F7CCB" w:rsidRPr="00AD3019">
        <w:rPr>
          <w:rFonts w:ascii="Palatino Linotype" w:hAnsi="Palatino Linotype"/>
          <w:sz w:val="20"/>
          <w:szCs w:val="16"/>
        </w:rPr>
        <w:t>Eliminated deed or resale restrictions for low-income residential</w:t>
      </w:r>
      <w:r w:rsidR="00322712">
        <w:rPr>
          <w:rFonts w:ascii="Palatino Linotype" w:hAnsi="Palatino Linotype"/>
          <w:sz w:val="20"/>
          <w:szCs w:val="16"/>
        </w:rPr>
        <w:t>,</w:t>
      </w:r>
      <w:r w:rsidR="008F7CCB" w:rsidRPr="00AD3019">
        <w:rPr>
          <w:rFonts w:ascii="Palatino Linotype" w:hAnsi="Palatino Linotype"/>
          <w:sz w:val="20"/>
          <w:szCs w:val="16"/>
        </w:rPr>
        <w:t xml:space="preserve"> </w:t>
      </w:r>
      <w:r w:rsidR="00AD3019" w:rsidRPr="00AD3019">
        <w:rPr>
          <w:rFonts w:ascii="Palatino Linotype" w:hAnsi="Palatino Linotype"/>
          <w:sz w:val="20"/>
          <w:szCs w:val="16"/>
        </w:rPr>
        <w:t>expanded</w:t>
      </w:r>
      <w:r w:rsidR="008F7CCB" w:rsidRPr="00AD3019">
        <w:rPr>
          <w:rFonts w:ascii="Palatino Linotype" w:hAnsi="Palatino Linotype"/>
          <w:sz w:val="20"/>
          <w:szCs w:val="16"/>
        </w:rPr>
        <w:t xml:space="preserve"> low-income categorical eligibility</w:t>
      </w:r>
      <w:r w:rsidR="00322712">
        <w:rPr>
          <w:rFonts w:ascii="Palatino Linotype" w:hAnsi="Palatino Linotype"/>
          <w:sz w:val="20"/>
          <w:szCs w:val="16"/>
        </w:rPr>
        <w:t>, and developed an upfront payment program</w:t>
      </w:r>
      <w:r w:rsidR="00AD3019" w:rsidRPr="00AD3019">
        <w:rPr>
          <w:rFonts w:ascii="Palatino Linotype" w:hAnsi="Palatino Linotype"/>
          <w:sz w:val="20"/>
          <w:szCs w:val="16"/>
        </w:rPr>
        <w:t>. D.24-04-071 at 3.</w:t>
      </w:r>
    </w:p>
  </w:footnote>
  <w:footnote w:id="36">
    <w:p w14:paraId="42E67013" w14:textId="7E769237" w:rsidR="0024102C" w:rsidRPr="00875D7C" w:rsidRDefault="0024102C" w:rsidP="00875D7C">
      <w:pPr>
        <w:pStyle w:val="FootnoteText"/>
        <w:numPr>
          <w:ilvl w:val="0"/>
          <w:numId w:val="0"/>
        </w:numPr>
        <w:spacing w:after="0"/>
        <w:ind w:left="360" w:hanging="360"/>
        <w:rPr>
          <w:rFonts w:ascii="Palatino Linotype" w:hAnsi="Palatino Linotype"/>
        </w:rPr>
      </w:pPr>
      <w:r w:rsidRPr="00875D7C">
        <w:rPr>
          <w:rStyle w:val="FootnoteReference"/>
          <w:rFonts w:ascii="Palatino Linotype" w:hAnsi="Palatino Linotype"/>
          <w:sz w:val="20"/>
          <w:szCs w:val="16"/>
        </w:rPr>
        <w:footnoteRef/>
      </w:r>
      <w:r w:rsidRPr="00875D7C">
        <w:rPr>
          <w:rFonts w:ascii="Palatino Linotype" w:hAnsi="Palatino Linotype"/>
          <w:sz w:val="20"/>
          <w:szCs w:val="16"/>
        </w:rPr>
        <w:t xml:space="preserve"> </w:t>
      </w:r>
      <w:r w:rsidR="00875D7C" w:rsidRPr="00875D7C">
        <w:rPr>
          <w:rFonts w:ascii="Palatino Linotype" w:hAnsi="Palatino Linotype"/>
          <w:sz w:val="20"/>
          <w:szCs w:val="16"/>
        </w:rPr>
        <w:t>IR</w:t>
      </w:r>
      <w:r w:rsidR="00875D7C">
        <w:rPr>
          <w:rFonts w:ascii="Palatino Linotype" w:hAnsi="Palatino Linotype"/>
          <w:sz w:val="20"/>
          <w:szCs w:val="16"/>
        </w:rPr>
        <w:t>S</w:t>
      </w:r>
      <w:r w:rsidR="00875D7C" w:rsidRPr="00875D7C">
        <w:rPr>
          <w:rFonts w:ascii="Palatino Linotype" w:hAnsi="Palatino Linotype"/>
          <w:sz w:val="20"/>
          <w:szCs w:val="16"/>
        </w:rPr>
        <w:t xml:space="preserve"> </w:t>
      </w:r>
      <w:hyperlink r:id="rId12" w:history="1">
        <w:r w:rsidRPr="00875D7C">
          <w:rPr>
            <w:rStyle w:val="Hyperlink"/>
            <w:rFonts w:ascii="Palatino Linotype" w:hAnsi="Palatino Linotype"/>
            <w:sz w:val="20"/>
            <w:szCs w:val="16"/>
          </w:rPr>
          <w:t>Elective pay and transferability frequently asked questions: Transferability | Internal Revenue Service</w:t>
        </w:r>
      </w:hyperlink>
      <w:r w:rsidR="00875D7C" w:rsidRPr="00875D7C">
        <w:rPr>
          <w:rFonts w:ascii="Palatino Linotype" w:hAnsi="Palatino Linotype"/>
          <w:sz w:val="20"/>
          <w:szCs w:val="16"/>
        </w:rPr>
        <w:t>.</w:t>
      </w:r>
    </w:p>
  </w:footnote>
  <w:footnote w:id="37">
    <w:p w14:paraId="2B81B110" w14:textId="631A8CEF" w:rsidR="00837A36" w:rsidRPr="000672B4" w:rsidRDefault="00837A36" w:rsidP="000672B4">
      <w:pPr>
        <w:pStyle w:val="FootnoteText"/>
        <w:numPr>
          <w:ilvl w:val="0"/>
          <w:numId w:val="0"/>
        </w:numPr>
        <w:spacing w:after="0"/>
        <w:rPr>
          <w:rFonts w:ascii="Palatino Linotype" w:hAnsi="Palatino Linotype"/>
          <w:sz w:val="20"/>
          <w:szCs w:val="16"/>
        </w:rPr>
      </w:pPr>
      <w:r w:rsidRPr="000672B4">
        <w:rPr>
          <w:rStyle w:val="FootnoteReference"/>
          <w:rFonts w:ascii="Palatino Linotype" w:hAnsi="Palatino Linotype"/>
          <w:sz w:val="20"/>
          <w:szCs w:val="16"/>
        </w:rPr>
        <w:footnoteRef/>
      </w:r>
      <w:r w:rsidRPr="000672B4">
        <w:rPr>
          <w:rFonts w:ascii="Palatino Linotype" w:hAnsi="Palatino Linotype"/>
          <w:sz w:val="20"/>
          <w:szCs w:val="16"/>
        </w:rPr>
        <w:t xml:space="preserve"> </w:t>
      </w:r>
      <w:r w:rsidR="00C90558" w:rsidRPr="000672B4">
        <w:rPr>
          <w:rFonts w:ascii="Palatino Linotype" w:hAnsi="Palatino Linotype"/>
          <w:sz w:val="20"/>
          <w:szCs w:val="16"/>
        </w:rPr>
        <w:t>Low-Income Solar PV Data</w:t>
      </w:r>
      <w:r w:rsidR="002A1BE7" w:rsidRPr="000672B4">
        <w:rPr>
          <w:rFonts w:ascii="Palatino Linotype" w:hAnsi="Palatino Linotype"/>
          <w:sz w:val="20"/>
          <w:szCs w:val="16"/>
        </w:rPr>
        <w:t>, accessed</w:t>
      </w:r>
      <w:r w:rsidR="00C90558" w:rsidRPr="000672B4">
        <w:rPr>
          <w:rFonts w:ascii="Palatino Linotype" w:hAnsi="Palatino Linotype"/>
          <w:sz w:val="20"/>
          <w:szCs w:val="16"/>
        </w:rPr>
        <w:t xml:space="preserve"> on </w:t>
      </w:r>
      <w:r w:rsidR="002A1BE7" w:rsidRPr="000672B4">
        <w:rPr>
          <w:rFonts w:ascii="Palatino Linotype" w:hAnsi="Palatino Linotype"/>
          <w:sz w:val="20"/>
          <w:szCs w:val="16"/>
        </w:rPr>
        <w:t xml:space="preserve">12/18/2024. </w:t>
      </w:r>
      <w:hyperlink r:id="rId13" w:history="1">
        <w:r w:rsidR="002A1BE7" w:rsidRPr="000672B4">
          <w:rPr>
            <w:rStyle w:val="Hyperlink"/>
            <w:rFonts w:ascii="Palatino Linotype" w:hAnsi="Palatino Linotype"/>
            <w:sz w:val="20"/>
            <w:szCs w:val="16"/>
          </w:rPr>
          <w:t>CaliforniaDGStats</w:t>
        </w:r>
      </w:hyperlink>
    </w:p>
  </w:footnote>
  <w:footnote w:id="38">
    <w:p w14:paraId="6661C75F" w14:textId="51FFA8BD" w:rsidR="00DB67B9" w:rsidRDefault="00DB67B9" w:rsidP="000672B4">
      <w:pPr>
        <w:pStyle w:val="FootnoteText"/>
        <w:numPr>
          <w:ilvl w:val="0"/>
          <w:numId w:val="0"/>
        </w:numPr>
        <w:spacing w:after="0"/>
        <w:ind w:left="360" w:hanging="360"/>
      </w:pPr>
      <w:r w:rsidRPr="000672B4">
        <w:rPr>
          <w:rStyle w:val="FootnoteReference"/>
          <w:rFonts w:ascii="Palatino Linotype" w:hAnsi="Palatino Linotype"/>
          <w:sz w:val="20"/>
          <w:szCs w:val="16"/>
        </w:rPr>
        <w:footnoteRef/>
      </w:r>
      <w:r w:rsidRPr="000672B4">
        <w:rPr>
          <w:rFonts w:ascii="Palatino Linotype" w:hAnsi="Palatino Linotype"/>
          <w:sz w:val="20"/>
          <w:szCs w:val="16"/>
        </w:rPr>
        <w:t xml:space="preserve"> DAC-SASH 2022 Marketing, Education, and Outreach Plan at </w:t>
      </w:r>
      <w:r w:rsidR="004E52C3" w:rsidRPr="000672B4">
        <w:rPr>
          <w:rFonts w:ascii="Palatino Linotype" w:hAnsi="Palatino Linotype"/>
          <w:sz w:val="20"/>
          <w:szCs w:val="16"/>
        </w:rPr>
        <w:t>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8D349" w14:textId="0E0B117B" w:rsidR="00CF17DE" w:rsidRPr="00D865A9" w:rsidRDefault="61C943AB">
    <w:pPr>
      <w:pStyle w:val="Header"/>
      <w:tabs>
        <w:tab w:val="clear" w:pos="4320"/>
        <w:tab w:val="clear" w:pos="8640"/>
        <w:tab w:val="center" w:pos="4680"/>
        <w:tab w:val="right" w:pos="9180"/>
      </w:tabs>
      <w:rPr>
        <w:rFonts w:ascii="Palatino Linotype" w:hAnsi="Palatino Linotype"/>
        <w:sz w:val="24"/>
        <w:szCs w:val="18"/>
      </w:rPr>
    </w:pPr>
    <w:r w:rsidRPr="00D865A9">
      <w:rPr>
        <w:rFonts w:ascii="Palatino Linotype" w:hAnsi="Palatino Linotype"/>
        <w:sz w:val="24"/>
        <w:szCs w:val="18"/>
      </w:rPr>
      <w:t xml:space="preserve">Resolution </w:t>
    </w:r>
    <w:r w:rsidR="00BF7674">
      <w:rPr>
        <w:rFonts w:ascii="Palatino Linotype" w:hAnsi="Palatino Linotype"/>
        <w:sz w:val="24"/>
        <w:szCs w:val="18"/>
      </w:rPr>
      <w:t>E</w:t>
    </w:r>
    <w:r w:rsidR="007D4112">
      <w:rPr>
        <w:rFonts w:ascii="Palatino Linotype" w:hAnsi="Palatino Linotype"/>
        <w:sz w:val="24"/>
        <w:szCs w:val="18"/>
      </w:rPr>
      <w:t>-</w:t>
    </w:r>
    <w:r w:rsidR="004B1F0C">
      <w:rPr>
        <w:rFonts w:ascii="Palatino Linotype" w:hAnsi="Palatino Linotype"/>
        <w:sz w:val="24"/>
        <w:szCs w:val="18"/>
      </w:rPr>
      <w:t>5373</w:t>
    </w:r>
    <w:r w:rsidR="00CF17DE" w:rsidRPr="00D865A9">
      <w:rPr>
        <w:rFonts w:ascii="Palatino Linotype" w:hAnsi="Palatino Linotype"/>
        <w:sz w:val="24"/>
        <w:szCs w:val="18"/>
      </w:rPr>
      <w:tab/>
    </w:r>
    <w:r w:rsidRPr="00D865A9">
      <w:rPr>
        <w:rFonts w:ascii="Palatino Linotype" w:hAnsi="Palatino Linotype"/>
        <w:sz w:val="24"/>
        <w:szCs w:val="18"/>
      </w:rPr>
      <w:t>DRAFT</w:t>
    </w:r>
    <w:r w:rsidR="00CF17DE" w:rsidRPr="00D865A9">
      <w:rPr>
        <w:rFonts w:ascii="Palatino Linotype" w:hAnsi="Palatino Linotype"/>
        <w:sz w:val="24"/>
        <w:szCs w:val="18"/>
      </w:rPr>
      <w:tab/>
    </w:r>
    <w:r w:rsidR="004B1F0C">
      <w:rPr>
        <w:rFonts w:ascii="Palatino Linotype" w:hAnsi="Palatino Linotype"/>
        <w:sz w:val="24"/>
        <w:szCs w:val="18"/>
      </w:rPr>
      <w:t>February 20, 202</w:t>
    </w:r>
    <w:r w:rsidR="006D155F">
      <w:rPr>
        <w:rFonts w:ascii="Palatino Linotype" w:hAnsi="Palatino Linotype"/>
        <w:sz w:val="24"/>
        <w:szCs w:val="18"/>
      </w:rPr>
      <w:t>5</w:t>
    </w:r>
  </w:p>
  <w:p w14:paraId="279E5C15" w14:textId="56C32BDB" w:rsidR="61C943AB" w:rsidRPr="00D865A9" w:rsidRDefault="006D155F">
    <w:pPr>
      <w:pStyle w:val="Header"/>
      <w:tabs>
        <w:tab w:val="clear" w:pos="4320"/>
        <w:tab w:val="clear" w:pos="8640"/>
        <w:tab w:val="center" w:pos="4680"/>
        <w:tab w:val="right" w:pos="9180"/>
      </w:tabs>
      <w:rPr>
        <w:rFonts w:ascii="Palatino Linotype" w:hAnsi="Palatino Linotype"/>
        <w:sz w:val="24"/>
        <w:szCs w:val="24"/>
      </w:rPr>
    </w:pPr>
    <w:r w:rsidRPr="006D155F">
      <w:rPr>
        <w:rFonts w:ascii="Palatino Linotype" w:hAnsi="Palatino Linotype"/>
        <w:sz w:val="24"/>
        <w:szCs w:val="24"/>
      </w:rPr>
      <w:t>SCG AL 6405-G, PG&amp;E AL 5000-G</w:t>
    </w:r>
    <w:r>
      <w:rPr>
        <w:rFonts w:ascii="Palatino Linotype" w:hAnsi="Palatino Linotype"/>
        <w:sz w:val="24"/>
        <w:szCs w:val="24"/>
      </w:rPr>
      <w:t>/</w:t>
    </w:r>
    <w:r w:rsidRPr="006D155F">
      <w:rPr>
        <w:rFonts w:ascii="Palatino Linotype" w:hAnsi="Palatino Linotype"/>
        <w:sz w:val="24"/>
        <w:szCs w:val="24"/>
      </w:rPr>
      <w:t>7436-E, SCE 5423-E, CSE 161-E</w:t>
    </w:r>
    <w:r w:rsidR="007D4112">
      <w:rPr>
        <w:rFonts w:ascii="Palatino Linotype" w:hAnsi="Palatino Linotype"/>
        <w:sz w:val="24"/>
        <w:szCs w:val="24"/>
      </w:rPr>
      <w:t>/</w:t>
    </w:r>
    <w:r w:rsidR="5F84A68C" w:rsidRPr="5F84A68C">
      <w:rPr>
        <w:rFonts w:ascii="Palatino Linotype" w:hAnsi="Palatino Linotype"/>
        <w:sz w:val="24"/>
        <w:szCs w:val="24"/>
      </w:rPr>
      <w:t>MN8</w:t>
    </w:r>
  </w:p>
  <w:p w14:paraId="013F4CD4" w14:textId="77777777" w:rsidR="00CF17DE" w:rsidRPr="00D865A9" w:rsidRDefault="00CF17DE">
    <w:pPr>
      <w:pStyle w:val="Header"/>
      <w:rPr>
        <w:rFonts w:ascii="Palatino Linotype" w:hAnsi="Palatino Linotype"/>
        <w:sz w:val="24"/>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1F806" w14:textId="77777777" w:rsidR="00CF17DE" w:rsidRPr="00F705C8" w:rsidRDefault="00CF17DE" w:rsidP="003F6E5A">
    <w:pPr>
      <w:pStyle w:val="Header"/>
      <w:jc w:val="center"/>
      <w:rPr>
        <w:rFonts w:ascii="Palatino Linotype" w:hAnsi="Palatino Linotype"/>
        <w:sz w:val="24"/>
        <w:szCs w:val="24"/>
      </w:rPr>
    </w:pPr>
    <w:r w:rsidRPr="00F705C8">
      <w:rPr>
        <w:rFonts w:ascii="Palatino Linotype" w:hAnsi="Palatino Linotype"/>
        <w:sz w:val="24"/>
        <w:szCs w:val="24"/>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E04A7"/>
    <w:multiLevelType w:val="multilevel"/>
    <w:tmpl w:val="3E66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2" w15:restartNumberingAfterBreak="0">
    <w:nsid w:val="0BDB7819"/>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29B0947"/>
    <w:multiLevelType w:val="hybridMultilevel"/>
    <w:tmpl w:val="4CACE912"/>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F0AFB"/>
    <w:multiLevelType w:val="hybridMultilevel"/>
    <w:tmpl w:val="EC6804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9237998"/>
    <w:multiLevelType w:val="hybridMultilevel"/>
    <w:tmpl w:val="2F229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80B1D"/>
    <w:multiLevelType w:val="multilevel"/>
    <w:tmpl w:val="88443944"/>
    <w:lvl w:ilvl="0">
      <w:start w:val="1"/>
      <w:numFmt w:val="decimal"/>
      <w:pStyle w:val="FootnoteText"/>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7" w15:restartNumberingAfterBreak="0">
    <w:nsid w:val="255F6814"/>
    <w:multiLevelType w:val="hybridMultilevel"/>
    <w:tmpl w:val="14880A54"/>
    <w:lvl w:ilvl="0" w:tplc="3C722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566E4"/>
    <w:multiLevelType w:val="hybridMultilevel"/>
    <w:tmpl w:val="36C0F304"/>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F8414F"/>
    <w:multiLevelType w:val="hybridMultilevel"/>
    <w:tmpl w:val="25080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B91BE7"/>
    <w:multiLevelType w:val="hybridMultilevel"/>
    <w:tmpl w:val="4B36DC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0CD64C2"/>
    <w:multiLevelType w:val="hybridMultilevel"/>
    <w:tmpl w:val="F34C49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A43053"/>
    <w:multiLevelType w:val="hybridMultilevel"/>
    <w:tmpl w:val="496656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3B607BE"/>
    <w:multiLevelType w:val="hybridMultilevel"/>
    <w:tmpl w:val="772AE192"/>
    <w:lvl w:ilvl="0" w:tplc="1DF0C2B8">
      <w:start w:val="1"/>
      <w:numFmt w:val="bullet"/>
      <w:lvlText w:val="·"/>
      <w:lvlJc w:val="left"/>
      <w:pPr>
        <w:ind w:left="720" w:hanging="360"/>
      </w:pPr>
      <w:rPr>
        <w:rFonts w:ascii="Symbol" w:hAnsi="Symbol" w:hint="default"/>
      </w:rPr>
    </w:lvl>
    <w:lvl w:ilvl="1" w:tplc="82C07882">
      <w:start w:val="1"/>
      <w:numFmt w:val="bullet"/>
      <w:lvlText w:val="o"/>
      <w:lvlJc w:val="left"/>
      <w:pPr>
        <w:ind w:left="1440" w:hanging="360"/>
      </w:pPr>
      <w:rPr>
        <w:rFonts w:ascii="Courier New" w:hAnsi="Courier New" w:hint="default"/>
      </w:rPr>
    </w:lvl>
    <w:lvl w:ilvl="2" w:tplc="ABE01C7A">
      <w:start w:val="1"/>
      <w:numFmt w:val="bullet"/>
      <w:lvlText w:val=""/>
      <w:lvlJc w:val="left"/>
      <w:pPr>
        <w:ind w:left="2160" w:hanging="360"/>
      </w:pPr>
      <w:rPr>
        <w:rFonts w:ascii="Wingdings" w:hAnsi="Wingdings" w:hint="default"/>
      </w:rPr>
    </w:lvl>
    <w:lvl w:ilvl="3" w:tplc="E92E2906">
      <w:start w:val="1"/>
      <w:numFmt w:val="bullet"/>
      <w:lvlText w:val=""/>
      <w:lvlJc w:val="left"/>
      <w:pPr>
        <w:ind w:left="2880" w:hanging="360"/>
      </w:pPr>
      <w:rPr>
        <w:rFonts w:ascii="Symbol" w:hAnsi="Symbol" w:hint="default"/>
      </w:rPr>
    </w:lvl>
    <w:lvl w:ilvl="4" w:tplc="10AE2F64">
      <w:start w:val="1"/>
      <w:numFmt w:val="bullet"/>
      <w:lvlText w:val="o"/>
      <w:lvlJc w:val="left"/>
      <w:pPr>
        <w:ind w:left="3600" w:hanging="360"/>
      </w:pPr>
      <w:rPr>
        <w:rFonts w:ascii="Courier New" w:hAnsi="Courier New" w:hint="default"/>
      </w:rPr>
    </w:lvl>
    <w:lvl w:ilvl="5" w:tplc="798C6B34">
      <w:start w:val="1"/>
      <w:numFmt w:val="bullet"/>
      <w:lvlText w:val=""/>
      <w:lvlJc w:val="left"/>
      <w:pPr>
        <w:ind w:left="4320" w:hanging="360"/>
      </w:pPr>
      <w:rPr>
        <w:rFonts w:ascii="Wingdings" w:hAnsi="Wingdings" w:hint="default"/>
      </w:rPr>
    </w:lvl>
    <w:lvl w:ilvl="6" w:tplc="3B50EA0A">
      <w:start w:val="1"/>
      <w:numFmt w:val="bullet"/>
      <w:lvlText w:val=""/>
      <w:lvlJc w:val="left"/>
      <w:pPr>
        <w:ind w:left="5040" w:hanging="360"/>
      </w:pPr>
      <w:rPr>
        <w:rFonts w:ascii="Symbol" w:hAnsi="Symbol" w:hint="default"/>
      </w:rPr>
    </w:lvl>
    <w:lvl w:ilvl="7" w:tplc="44A276DE">
      <w:start w:val="1"/>
      <w:numFmt w:val="bullet"/>
      <w:lvlText w:val="o"/>
      <w:lvlJc w:val="left"/>
      <w:pPr>
        <w:ind w:left="5760" w:hanging="360"/>
      </w:pPr>
      <w:rPr>
        <w:rFonts w:ascii="Courier New" w:hAnsi="Courier New" w:hint="default"/>
      </w:rPr>
    </w:lvl>
    <w:lvl w:ilvl="8" w:tplc="7C682E76">
      <w:start w:val="1"/>
      <w:numFmt w:val="bullet"/>
      <w:lvlText w:val=""/>
      <w:lvlJc w:val="left"/>
      <w:pPr>
        <w:ind w:left="6480" w:hanging="360"/>
      </w:pPr>
      <w:rPr>
        <w:rFonts w:ascii="Wingdings" w:hAnsi="Wingdings" w:hint="default"/>
      </w:rPr>
    </w:lvl>
  </w:abstractNum>
  <w:abstractNum w:abstractNumId="14" w15:restartNumberingAfterBreak="0">
    <w:nsid w:val="34622B5E"/>
    <w:multiLevelType w:val="hybridMultilevel"/>
    <w:tmpl w:val="FFFFFFFF"/>
    <w:lvl w:ilvl="0" w:tplc="9668A3F8">
      <w:start w:val="1"/>
      <w:numFmt w:val="bullet"/>
      <w:lvlText w:val=""/>
      <w:lvlJc w:val="left"/>
      <w:pPr>
        <w:ind w:left="360" w:hanging="360"/>
      </w:pPr>
      <w:rPr>
        <w:rFonts w:ascii="Symbol" w:hAnsi="Symbol" w:hint="default"/>
      </w:rPr>
    </w:lvl>
    <w:lvl w:ilvl="1" w:tplc="12A4678A">
      <w:start w:val="1"/>
      <w:numFmt w:val="bullet"/>
      <w:lvlText w:val="o"/>
      <w:lvlJc w:val="left"/>
      <w:pPr>
        <w:ind w:left="1080" w:hanging="360"/>
      </w:pPr>
      <w:rPr>
        <w:rFonts w:ascii="Courier New" w:hAnsi="Courier New" w:hint="default"/>
      </w:rPr>
    </w:lvl>
    <w:lvl w:ilvl="2" w:tplc="8604A5DC">
      <w:start w:val="1"/>
      <w:numFmt w:val="bullet"/>
      <w:lvlText w:val=""/>
      <w:lvlJc w:val="left"/>
      <w:pPr>
        <w:ind w:left="1800" w:hanging="360"/>
      </w:pPr>
      <w:rPr>
        <w:rFonts w:ascii="Wingdings" w:hAnsi="Wingdings" w:hint="default"/>
      </w:rPr>
    </w:lvl>
    <w:lvl w:ilvl="3" w:tplc="5AA04124">
      <w:start w:val="1"/>
      <w:numFmt w:val="bullet"/>
      <w:lvlText w:val=""/>
      <w:lvlJc w:val="left"/>
      <w:pPr>
        <w:ind w:left="2520" w:hanging="360"/>
      </w:pPr>
      <w:rPr>
        <w:rFonts w:ascii="Symbol" w:hAnsi="Symbol" w:hint="default"/>
      </w:rPr>
    </w:lvl>
    <w:lvl w:ilvl="4" w:tplc="53C06F9A">
      <w:start w:val="1"/>
      <w:numFmt w:val="bullet"/>
      <w:lvlText w:val="o"/>
      <w:lvlJc w:val="left"/>
      <w:pPr>
        <w:ind w:left="3240" w:hanging="360"/>
      </w:pPr>
      <w:rPr>
        <w:rFonts w:ascii="Courier New" w:hAnsi="Courier New" w:hint="default"/>
      </w:rPr>
    </w:lvl>
    <w:lvl w:ilvl="5" w:tplc="F15612CC">
      <w:start w:val="1"/>
      <w:numFmt w:val="bullet"/>
      <w:lvlText w:val=""/>
      <w:lvlJc w:val="left"/>
      <w:pPr>
        <w:ind w:left="3960" w:hanging="360"/>
      </w:pPr>
      <w:rPr>
        <w:rFonts w:ascii="Wingdings" w:hAnsi="Wingdings" w:hint="default"/>
      </w:rPr>
    </w:lvl>
    <w:lvl w:ilvl="6" w:tplc="71A2EAF6">
      <w:start w:val="1"/>
      <w:numFmt w:val="bullet"/>
      <w:lvlText w:val=""/>
      <w:lvlJc w:val="left"/>
      <w:pPr>
        <w:ind w:left="4680" w:hanging="360"/>
      </w:pPr>
      <w:rPr>
        <w:rFonts w:ascii="Symbol" w:hAnsi="Symbol" w:hint="default"/>
      </w:rPr>
    </w:lvl>
    <w:lvl w:ilvl="7" w:tplc="60729468">
      <w:start w:val="1"/>
      <w:numFmt w:val="bullet"/>
      <w:lvlText w:val="o"/>
      <w:lvlJc w:val="left"/>
      <w:pPr>
        <w:ind w:left="5400" w:hanging="360"/>
      </w:pPr>
      <w:rPr>
        <w:rFonts w:ascii="Courier New" w:hAnsi="Courier New" w:hint="default"/>
      </w:rPr>
    </w:lvl>
    <w:lvl w:ilvl="8" w:tplc="E64C8436">
      <w:start w:val="1"/>
      <w:numFmt w:val="bullet"/>
      <w:lvlText w:val=""/>
      <w:lvlJc w:val="left"/>
      <w:pPr>
        <w:ind w:left="6120" w:hanging="360"/>
      </w:pPr>
      <w:rPr>
        <w:rFonts w:ascii="Wingdings" w:hAnsi="Wingdings" w:hint="default"/>
      </w:rPr>
    </w:lvl>
  </w:abstractNum>
  <w:abstractNum w:abstractNumId="15" w15:restartNumberingAfterBreak="0">
    <w:nsid w:val="3AA16231"/>
    <w:multiLevelType w:val="hybridMultilevel"/>
    <w:tmpl w:val="954AC3F0"/>
    <w:lvl w:ilvl="0" w:tplc="4A0C3290">
      <w:start w:val="1"/>
      <w:numFmt w:val="bullet"/>
      <w:lvlText w:val="·"/>
      <w:lvlJc w:val="left"/>
      <w:pPr>
        <w:ind w:left="720" w:hanging="360"/>
      </w:pPr>
      <w:rPr>
        <w:rFonts w:ascii="Symbol" w:hAnsi="Symbol" w:hint="default"/>
      </w:rPr>
    </w:lvl>
    <w:lvl w:ilvl="1" w:tplc="3CD0474A">
      <w:start w:val="1"/>
      <w:numFmt w:val="bullet"/>
      <w:lvlText w:val="o"/>
      <w:lvlJc w:val="left"/>
      <w:pPr>
        <w:ind w:left="1440" w:hanging="360"/>
      </w:pPr>
      <w:rPr>
        <w:rFonts w:ascii="Courier New" w:hAnsi="Courier New" w:hint="default"/>
      </w:rPr>
    </w:lvl>
    <w:lvl w:ilvl="2" w:tplc="3D681224">
      <w:start w:val="1"/>
      <w:numFmt w:val="bullet"/>
      <w:lvlText w:val=""/>
      <w:lvlJc w:val="left"/>
      <w:pPr>
        <w:ind w:left="2160" w:hanging="360"/>
      </w:pPr>
      <w:rPr>
        <w:rFonts w:ascii="Wingdings" w:hAnsi="Wingdings" w:hint="default"/>
      </w:rPr>
    </w:lvl>
    <w:lvl w:ilvl="3" w:tplc="46B61AA2">
      <w:start w:val="1"/>
      <w:numFmt w:val="bullet"/>
      <w:lvlText w:val=""/>
      <w:lvlJc w:val="left"/>
      <w:pPr>
        <w:ind w:left="2880" w:hanging="360"/>
      </w:pPr>
      <w:rPr>
        <w:rFonts w:ascii="Symbol" w:hAnsi="Symbol" w:hint="default"/>
      </w:rPr>
    </w:lvl>
    <w:lvl w:ilvl="4" w:tplc="061CBAA0">
      <w:start w:val="1"/>
      <w:numFmt w:val="bullet"/>
      <w:lvlText w:val="o"/>
      <w:lvlJc w:val="left"/>
      <w:pPr>
        <w:ind w:left="3600" w:hanging="360"/>
      </w:pPr>
      <w:rPr>
        <w:rFonts w:ascii="Courier New" w:hAnsi="Courier New" w:hint="default"/>
      </w:rPr>
    </w:lvl>
    <w:lvl w:ilvl="5" w:tplc="311210CA">
      <w:start w:val="1"/>
      <w:numFmt w:val="bullet"/>
      <w:lvlText w:val=""/>
      <w:lvlJc w:val="left"/>
      <w:pPr>
        <w:ind w:left="4320" w:hanging="360"/>
      </w:pPr>
      <w:rPr>
        <w:rFonts w:ascii="Wingdings" w:hAnsi="Wingdings" w:hint="default"/>
      </w:rPr>
    </w:lvl>
    <w:lvl w:ilvl="6" w:tplc="705C039A">
      <w:start w:val="1"/>
      <w:numFmt w:val="bullet"/>
      <w:lvlText w:val=""/>
      <w:lvlJc w:val="left"/>
      <w:pPr>
        <w:ind w:left="5040" w:hanging="360"/>
      </w:pPr>
      <w:rPr>
        <w:rFonts w:ascii="Symbol" w:hAnsi="Symbol" w:hint="default"/>
      </w:rPr>
    </w:lvl>
    <w:lvl w:ilvl="7" w:tplc="6C72A9A2">
      <w:start w:val="1"/>
      <w:numFmt w:val="bullet"/>
      <w:lvlText w:val="o"/>
      <w:lvlJc w:val="left"/>
      <w:pPr>
        <w:ind w:left="5760" w:hanging="360"/>
      </w:pPr>
      <w:rPr>
        <w:rFonts w:ascii="Courier New" w:hAnsi="Courier New" w:hint="default"/>
      </w:rPr>
    </w:lvl>
    <w:lvl w:ilvl="8" w:tplc="54801EA2">
      <w:start w:val="1"/>
      <w:numFmt w:val="bullet"/>
      <w:lvlText w:val=""/>
      <w:lvlJc w:val="left"/>
      <w:pPr>
        <w:ind w:left="6480" w:hanging="360"/>
      </w:pPr>
      <w:rPr>
        <w:rFonts w:ascii="Wingdings" w:hAnsi="Wingdings" w:hint="default"/>
      </w:rPr>
    </w:lvl>
  </w:abstractNum>
  <w:abstractNum w:abstractNumId="16" w15:restartNumberingAfterBreak="0">
    <w:nsid w:val="3E37778C"/>
    <w:multiLevelType w:val="hybridMultilevel"/>
    <w:tmpl w:val="4CACE912"/>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1A2CA7"/>
    <w:multiLevelType w:val="hybridMultilevel"/>
    <w:tmpl w:val="DD42E6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99D488D"/>
    <w:multiLevelType w:val="hybridMultilevel"/>
    <w:tmpl w:val="3B44ED38"/>
    <w:lvl w:ilvl="0" w:tplc="2BF49CE6">
      <w:start w:val="1"/>
      <w:numFmt w:val="bullet"/>
      <w:lvlText w:val="·"/>
      <w:lvlJc w:val="left"/>
      <w:pPr>
        <w:ind w:left="720" w:hanging="360"/>
      </w:pPr>
      <w:rPr>
        <w:rFonts w:ascii="Symbol" w:hAnsi="Symbol" w:hint="default"/>
      </w:rPr>
    </w:lvl>
    <w:lvl w:ilvl="1" w:tplc="8B1AF868">
      <w:start w:val="1"/>
      <w:numFmt w:val="bullet"/>
      <w:lvlText w:val="o"/>
      <w:lvlJc w:val="left"/>
      <w:pPr>
        <w:ind w:left="1440" w:hanging="360"/>
      </w:pPr>
      <w:rPr>
        <w:rFonts w:ascii="Courier New" w:hAnsi="Courier New" w:hint="default"/>
      </w:rPr>
    </w:lvl>
    <w:lvl w:ilvl="2" w:tplc="5AF26B70">
      <w:start w:val="1"/>
      <w:numFmt w:val="bullet"/>
      <w:lvlText w:val=""/>
      <w:lvlJc w:val="left"/>
      <w:pPr>
        <w:ind w:left="2160" w:hanging="360"/>
      </w:pPr>
      <w:rPr>
        <w:rFonts w:ascii="Wingdings" w:hAnsi="Wingdings" w:hint="default"/>
      </w:rPr>
    </w:lvl>
    <w:lvl w:ilvl="3" w:tplc="0F209156">
      <w:start w:val="1"/>
      <w:numFmt w:val="bullet"/>
      <w:lvlText w:val=""/>
      <w:lvlJc w:val="left"/>
      <w:pPr>
        <w:ind w:left="2880" w:hanging="360"/>
      </w:pPr>
      <w:rPr>
        <w:rFonts w:ascii="Symbol" w:hAnsi="Symbol" w:hint="default"/>
      </w:rPr>
    </w:lvl>
    <w:lvl w:ilvl="4" w:tplc="34563A3A">
      <w:start w:val="1"/>
      <w:numFmt w:val="bullet"/>
      <w:lvlText w:val="o"/>
      <w:lvlJc w:val="left"/>
      <w:pPr>
        <w:ind w:left="3600" w:hanging="360"/>
      </w:pPr>
      <w:rPr>
        <w:rFonts w:ascii="Courier New" w:hAnsi="Courier New" w:hint="default"/>
      </w:rPr>
    </w:lvl>
    <w:lvl w:ilvl="5" w:tplc="38DCAC46">
      <w:start w:val="1"/>
      <w:numFmt w:val="bullet"/>
      <w:lvlText w:val=""/>
      <w:lvlJc w:val="left"/>
      <w:pPr>
        <w:ind w:left="4320" w:hanging="360"/>
      </w:pPr>
      <w:rPr>
        <w:rFonts w:ascii="Wingdings" w:hAnsi="Wingdings" w:hint="default"/>
      </w:rPr>
    </w:lvl>
    <w:lvl w:ilvl="6" w:tplc="811EE2E2">
      <w:start w:val="1"/>
      <w:numFmt w:val="bullet"/>
      <w:lvlText w:val=""/>
      <w:lvlJc w:val="left"/>
      <w:pPr>
        <w:ind w:left="5040" w:hanging="360"/>
      </w:pPr>
      <w:rPr>
        <w:rFonts w:ascii="Symbol" w:hAnsi="Symbol" w:hint="default"/>
      </w:rPr>
    </w:lvl>
    <w:lvl w:ilvl="7" w:tplc="A8E27266">
      <w:start w:val="1"/>
      <w:numFmt w:val="bullet"/>
      <w:lvlText w:val="o"/>
      <w:lvlJc w:val="left"/>
      <w:pPr>
        <w:ind w:left="5760" w:hanging="360"/>
      </w:pPr>
      <w:rPr>
        <w:rFonts w:ascii="Courier New" w:hAnsi="Courier New" w:hint="default"/>
      </w:rPr>
    </w:lvl>
    <w:lvl w:ilvl="8" w:tplc="0F20B61C">
      <w:start w:val="1"/>
      <w:numFmt w:val="bullet"/>
      <w:lvlText w:val=""/>
      <w:lvlJc w:val="left"/>
      <w:pPr>
        <w:ind w:left="6480" w:hanging="360"/>
      </w:pPr>
      <w:rPr>
        <w:rFonts w:ascii="Wingdings" w:hAnsi="Wingdings" w:hint="default"/>
      </w:rPr>
    </w:lvl>
  </w:abstractNum>
  <w:abstractNum w:abstractNumId="20" w15:restartNumberingAfterBreak="0">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21" w15:restartNumberingAfterBreak="0">
    <w:nsid w:val="57FD4479"/>
    <w:multiLevelType w:val="hybridMultilevel"/>
    <w:tmpl w:val="CBA882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062BDE"/>
    <w:multiLevelType w:val="hybridMultilevel"/>
    <w:tmpl w:val="DD42E6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B3B32E4"/>
    <w:multiLevelType w:val="hybridMultilevel"/>
    <w:tmpl w:val="514AE7FA"/>
    <w:lvl w:ilvl="0" w:tplc="BCEE72C4">
      <w:start w:val="3232"/>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996F97"/>
    <w:multiLevelType w:val="hybridMultilevel"/>
    <w:tmpl w:val="E41EDDA6"/>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7DC2E15"/>
    <w:multiLevelType w:val="hybridMultilevel"/>
    <w:tmpl w:val="4EF806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D74947"/>
    <w:multiLevelType w:val="hybridMultilevel"/>
    <w:tmpl w:val="FFFFFFFF"/>
    <w:lvl w:ilvl="0" w:tplc="F9468568">
      <w:start w:val="1"/>
      <w:numFmt w:val="bullet"/>
      <w:lvlText w:val=""/>
      <w:lvlJc w:val="left"/>
      <w:pPr>
        <w:ind w:left="360" w:hanging="360"/>
      </w:pPr>
      <w:rPr>
        <w:rFonts w:ascii="Symbol" w:hAnsi="Symbol" w:hint="default"/>
      </w:rPr>
    </w:lvl>
    <w:lvl w:ilvl="1" w:tplc="4B94FD6A">
      <w:start w:val="1"/>
      <w:numFmt w:val="bullet"/>
      <w:lvlText w:val="o"/>
      <w:lvlJc w:val="left"/>
      <w:pPr>
        <w:ind w:left="1080" w:hanging="360"/>
      </w:pPr>
      <w:rPr>
        <w:rFonts w:ascii="Courier New" w:hAnsi="Courier New" w:hint="default"/>
      </w:rPr>
    </w:lvl>
    <w:lvl w:ilvl="2" w:tplc="524EF476">
      <w:start w:val="1"/>
      <w:numFmt w:val="bullet"/>
      <w:lvlText w:val=""/>
      <w:lvlJc w:val="left"/>
      <w:pPr>
        <w:ind w:left="1800" w:hanging="360"/>
      </w:pPr>
      <w:rPr>
        <w:rFonts w:ascii="Wingdings" w:hAnsi="Wingdings" w:hint="default"/>
      </w:rPr>
    </w:lvl>
    <w:lvl w:ilvl="3" w:tplc="11507786">
      <w:start w:val="1"/>
      <w:numFmt w:val="bullet"/>
      <w:lvlText w:val=""/>
      <w:lvlJc w:val="left"/>
      <w:pPr>
        <w:ind w:left="2520" w:hanging="360"/>
      </w:pPr>
      <w:rPr>
        <w:rFonts w:ascii="Symbol" w:hAnsi="Symbol" w:hint="default"/>
      </w:rPr>
    </w:lvl>
    <w:lvl w:ilvl="4" w:tplc="B7141266">
      <w:start w:val="1"/>
      <w:numFmt w:val="bullet"/>
      <w:lvlText w:val="o"/>
      <w:lvlJc w:val="left"/>
      <w:pPr>
        <w:ind w:left="3240" w:hanging="360"/>
      </w:pPr>
      <w:rPr>
        <w:rFonts w:ascii="Courier New" w:hAnsi="Courier New" w:hint="default"/>
      </w:rPr>
    </w:lvl>
    <w:lvl w:ilvl="5" w:tplc="2FAE6C30">
      <w:start w:val="1"/>
      <w:numFmt w:val="bullet"/>
      <w:lvlText w:val=""/>
      <w:lvlJc w:val="left"/>
      <w:pPr>
        <w:ind w:left="3960" w:hanging="360"/>
      </w:pPr>
      <w:rPr>
        <w:rFonts w:ascii="Wingdings" w:hAnsi="Wingdings" w:hint="default"/>
      </w:rPr>
    </w:lvl>
    <w:lvl w:ilvl="6" w:tplc="03448FFA">
      <w:start w:val="1"/>
      <w:numFmt w:val="bullet"/>
      <w:lvlText w:val=""/>
      <w:lvlJc w:val="left"/>
      <w:pPr>
        <w:ind w:left="4680" w:hanging="360"/>
      </w:pPr>
      <w:rPr>
        <w:rFonts w:ascii="Symbol" w:hAnsi="Symbol" w:hint="default"/>
      </w:rPr>
    </w:lvl>
    <w:lvl w:ilvl="7" w:tplc="FC9EEB32">
      <w:start w:val="1"/>
      <w:numFmt w:val="bullet"/>
      <w:lvlText w:val="o"/>
      <w:lvlJc w:val="left"/>
      <w:pPr>
        <w:ind w:left="5400" w:hanging="360"/>
      </w:pPr>
      <w:rPr>
        <w:rFonts w:ascii="Courier New" w:hAnsi="Courier New" w:hint="default"/>
      </w:rPr>
    </w:lvl>
    <w:lvl w:ilvl="8" w:tplc="78304ED6">
      <w:start w:val="1"/>
      <w:numFmt w:val="bullet"/>
      <w:lvlText w:val=""/>
      <w:lvlJc w:val="left"/>
      <w:pPr>
        <w:ind w:left="6120" w:hanging="360"/>
      </w:pPr>
      <w:rPr>
        <w:rFonts w:ascii="Wingdings" w:hAnsi="Wingdings" w:hint="default"/>
      </w:rPr>
    </w:lvl>
  </w:abstractNum>
  <w:abstractNum w:abstractNumId="27" w15:restartNumberingAfterBreak="0">
    <w:nsid w:val="691F248C"/>
    <w:multiLevelType w:val="multilevel"/>
    <w:tmpl w:val="8096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BB84711"/>
    <w:multiLevelType w:val="hybridMultilevel"/>
    <w:tmpl w:val="4EFC9A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0553F78"/>
    <w:multiLevelType w:val="multilevel"/>
    <w:tmpl w:val="402C5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F74633"/>
    <w:multiLevelType w:val="hybridMultilevel"/>
    <w:tmpl w:val="541881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482E39"/>
    <w:multiLevelType w:val="hybridMultilevel"/>
    <w:tmpl w:val="FCC236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CF7557"/>
    <w:multiLevelType w:val="hybridMultilevel"/>
    <w:tmpl w:val="E7B0EEF4"/>
    <w:lvl w:ilvl="0" w:tplc="8B3E3A9C">
      <w:start w:val="1"/>
      <w:numFmt w:val="lowerLetter"/>
      <w:lvlText w:val="%1."/>
      <w:lvlJc w:val="left"/>
      <w:pPr>
        <w:ind w:left="840" w:hanging="1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7490144"/>
    <w:multiLevelType w:val="hybridMultilevel"/>
    <w:tmpl w:val="3BE4E434"/>
    <w:lvl w:ilvl="0" w:tplc="868E5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DF2720E"/>
    <w:multiLevelType w:val="multilevel"/>
    <w:tmpl w:val="A4D2AEB0"/>
    <w:lvl w:ilvl="0">
      <w:start w:val="1"/>
      <w:numFmt w:val="bullet"/>
      <w:lvlText w:val=""/>
      <w:lvlJc w:val="left"/>
      <w:pPr>
        <w:tabs>
          <w:tab w:val="num" w:pos="2970"/>
        </w:tabs>
        <w:ind w:left="2970" w:hanging="360"/>
      </w:pPr>
      <w:rPr>
        <w:rFonts w:ascii="Symbol" w:hAnsi="Symbol" w:hint="default"/>
        <w:sz w:val="20"/>
      </w:rPr>
    </w:lvl>
    <w:lvl w:ilvl="1" w:tentative="1">
      <w:start w:val="1"/>
      <w:numFmt w:val="bullet"/>
      <w:lvlText w:val="o"/>
      <w:lvlJc w:val="left"/>
      <w:pPr>
        <w:tabs>
          <w:tab w:val="num" w:pos="3690"/>
        </w:tabs>
        <w:ind w:left="3690" w:hanging="360"/>
      </w:pPr>
      <w:rPr>
        <w:rFonts w:ascii="Courier New" w:hAnsi="Courier New" w:hint="default"/>
        <w:sz w:val="20"/>
      </w:rPr>
    </w:lvl>
    <w:lvl w:ilvl="2" w:tentative="1">
      <w:start w:val="1"/>
      <w:numFmt w:val="bullet"/>
      <w:lvlText w:val=""/>
      <w:lvlJc w:val="left"/>
      <w:pPr>
        <w:tabs>
          <w:tab w:val="num" w:pos="4410"/>
        </w:tabs>
        <w:ind w:left="4410" w:hanging="360"/>
      </w:pPr>
      <w:rPr>
        <w:rFonts w:ascii="Wingdings" w:hAnsi="Wingdings" w:hint="default"/>
        <w:sz w:val="20"/>
      </w:rPr>
    </w:lvl>
    <w:lvl w:ilvl="3" w:tentative="1">
      <w:start w:val="1"/>
      <w:numFmt w:val="bullet"/>
      <w:lvlText w:val=""/>
      <w:lvlJc w:val="left"/>
      <w:pPr>
        <w:tabs>
          <w:tab w:val="num" w:pos="5130"/>
        </w:tabs>
        <w:ind w:left="5130" w:hanging="360"/>
      </w:pPr>
      <w:rPr>
        <w:rFonts w:ascii="Wingdings" w:hAnsi="Wingdings" w:hint="default"/>
        <w:sz w:val="20"/>
      </w:rPr>
    </w:lvl>
    <w:lvl w:ilvl="4" w:tentative="1">
      <w:start w:val="1"/>
      <w:numFmt w:val="bullet"/>
      <w:lvlText w:val=""/>
      <w:lvlJc w:val="left"/>
      <w:pPr>
        <w:tabs>
          <w:tab w:val="num" w:pos="5850"/>
        </w:tabs>
        <w:ind w:left="5850" w:hanging="360"/>
      </w:pPr>
      <w:rPr>
        <w:rFonts w:ascii="Wingdings" w:hAnsi="Wingdings" w:hint="default"/>
        <w:sz w:val="20"/>
      </w:rPr>
    </w:lvl>
    <w:lvl w:ilvl="5" w:tentative="1">
      <w:start w:val="1"/>
      <w:numFmt w:val="bullet"/>
      <w:lvlText w:val=""/>
      <w:lvlJc w:val="left"/>
      <w:pPr>
        <w:tabs>
          <w:tab w:val="num" w:pos="6570"/>
        </w:tabs>
        <w:ind w:left="6570" w:hanging="360"/>
      </w:pPr>
      <w:rPr>
        <w:rFonts w:ascii="Wingdings" w:hAnsi="Wingdings" w:hint="default"/>
        <w:sz w:val="20"/>
      </w:rPr>
    </w:lvl>
    <w:lvl w:ilvl="6" w:tentative="1">
      <w:start w:val="1"/>
      <w:numFmt w:val="bullet"/>
      <w:lvlText w:val=""/>
      <w:lvlJc w:val="left"/>
      <w:pPr>
        <w:tabs>
          <w:tab w:val="num" w:pos="7290"/>
        </w:tabs>
        <w:ind w:left="7290" w:hanging="360"/>
      </w:pPr>
      <w:rPr>
        <w:rFonts w:ascii="Wingdings" w:hAnsi="Wingdings" w:hint="default"/>
        <w:sz w:val="20"/>
      </w:rPr>
    </w:lvl>
    <w:lvl w:ilvl="7" w:tentative="1">
      <w:start w:val="1"/>
      <w:numFmt w:val="bullet"/>
      <w:lvlText w:val=""/>
      <w:lvlJc w:val="left"/>
      <w:pPr>
        <w:tabs>
          <w:tab w:val="num" w:pos="8010"/>
        </w:tabs>
        <w:ind w:left="8010" w:hanging="360"/>
      </w:pPr>
      <w:rPr>
        <w:rFonts w:ascii="Wingdings" w:hAnsi="Wingdings" w:hint="default"/>
        <w:sz w:val="20"/>
      </w:rPr>
    </w:lvl>
    <w:lvl w:ilvl="8" w:tentative="1">
      <w:start w:val="1"/>
      <w:numFmt w:val="bullet"/>
      <w:lvlText w:val=""/>
      <w:lvlJc w:val="left"/>
      <w:pPr>
        <w:tabs>
          <w:tab w:val="num" w:pos="8730"/>
        </w:tabs>
        <w:ind w:left="8730" w:hanging="360"/>
      </w:pPr>
      <w:rPr>
        <w:rFonts w:ascii="Wingdings" w:hAnsi="Wingdings" w:hint="default"/>
        <w:sz w:val="20"/>
      </w:rPr>
    </w:lvl>
  </w:abstractNum>
  <w:abstractNum w:abstractNumId="35" w15:restartNumberingAfterBreak="0">
    <w:nsid w:val="7E56713E"/>
    <w:multiLevelType w:val="hybridMultilevel"/>
    <w:tmpl w:val="45566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89422359">
    <w:abstractNumId w:val="19"/>
  </w:num>
  <w:num w:numId="2" w16cid:durableId="961425955">
    <w:abstractNumId w:val="15"/>
  </w:num>
  <w:num w:numId="3" w16cid:durableId="1705713582">
    <w:abstractNumId w:val="13"/>
  </w:num>
  <w:num w:numId="4" w16cid:durableId="963921878">
    <w:abstractNumId w:val="1"/>
  </w:num>
  <w:num w:numId="5" w16cid:durableId="1883705939">
    <w:abstractNumId w:val="18"/>
  </w:num>
  <w:num w:numId="6" w16cid:durableId="180945800">
    <w:abstractNumId w:val="6"/>
  </w:num>
  <w:num w:numId="7" w16cid:durableId="944842790">
    <w:abstractNumId w:val="20"/>
  </w:num>
  <w:num w:numId="8" w16cid:durableId="1991593136">
    <w:abstractNumId w:val="2"/>
  </w:num>
  <w:num w:numId="9" w16cid:durableId="1754620235">
    <w:abstractNumId w:val="9"/>
  </w:num>
  <w:num w:numId="10" w16cid:durableId="969365539">
    <w:abstractNumId w:val="28"/>
  </w:num>
  <w:num w:numId="11" w16cid:durableId="1671978658">
    <w:abstractNumId w:val="35"/>
  </w:num>
  <w:num w:numId="12" w16cid:durableId="1982611534">
    <w:abstractNumId w:val="5"/>
  </w:num>
  <w:num w:numId="13" w16cid:durableId="468133998">
    <w:abstractNumId w:val="23"/>
  </w:num>
  <w:num w:numId="14" w16cid:durableId="307590920">
    <w:abstractNumId w:val="0"/>
  </w:num>
  <w:num w:numId="15" w16cid:durableId="452137340">
    <w:abstractNumId w:val="27"/>
  </w:num>
  <w:num w:numId="16" w16cid:durableId="382099476">
    <w:abstractNumId w:val="30"/>
  </w:num>
  <w:num w:numId="17" w16cid:durableId="1003775698">
    <w:abstractNumId w:val="21"/>
  </w:num>
  <w:num w:numId="18" w16cid:durableId="1010450">
    <w:abstractNumId w:val="17"/>
  </w:num>
  <w:num w:numId="19" w16cid:durableId="31465907">
    <w:abstractNumId w:val="11"/>
  </w:num>
  <w:num w:numId="20" w16cid:durableId="1426270284">
    <w:abstractNumId w:val="3"/>
  </w:num>
  <w:num w:numId="21" w16cid:durableId="748306021">
    <w:abstractNumId w:val="22"/>
  </w:num>
  <w:num w:numId="22" w16cid:durableId="1003510454">
    <w:abstractNumId w:val="26"/>
  </w:num>
  <w:num w:numId="23" w16cid:durableId="1834057053">
    <w:abstractNumId w:val="14"/>
  </w:num>
  <w:num w:numId="24" w16cid:durableId="1061250409">
    <w:abstractNumId w:val="10"/>
  </w:num>
  <w:num w:numId="25" w16cid:durableId="688289207">
    <w:abstractNumId w:val="32"/>
  </w:num>
  <w:num w:numId="26" w16cid:durableId="2141417714">
    <w:abstractNumId w:val="12"/>
  </w:num>
  <w:num w:numId="27" w16cid:durableId="278145087">
    <w:abstractNumId w:val="33"/>
  </w:num>
  <w:num w:numId="28" w16cid:durableId="767965730">
    <w:abstractNumId w:val="31"/>
  </w:num>
  <w:num w:numId="29" w16cid:durableId="1853882454">
    <w:abstractNumId w:val="25"/>
  </w:num>
  <w:num w:numId="30" w16cid:durableId="4138296">
    <w:abstractNumId w:val="8"/>
  </w:num>
  <w:num w:numId="31" w16cid:durableId="959191557">
    <w:abstractNumId w:val="24"/>
  </w:num>
  <w:num w:numId="32" w16cid:durableId="2133860788">
    <w:abstractNumId w:val="16"/>
  </w:num>
  <w:num w:numId="33" w16cid:durableId="57017371">
    <w:abstractNumId w:val="7"/>
  </w:num>
  <w:num w:numId="34" w16cid:durableId="309095421">
    <w:abstractNumId w:val="34"/>
  </w:num>
  <w:num w:numId="35" w16cid:durableId="531460725">
    <w:abstractNumId w:val="29"/>
  </w:num>
  <w:num w:numId="36" w16cid:durableId="112218676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lang="en-US" w:vendorID="8" w:dllVersion="513" w:checkStyle="1"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70"/>
    <w:rsid w:val="0000014B"/>
    <w:rsid w:val="00000C85"/>
    <w:rsid w:val="00001292"/>
    <w:rsid w:val="00001BA3"/>
    <w:rsid w:val="00001E5B"/>
    <w:rsid w:val="00002347"/>
    <w:rsid w:val="00002564"/>
    <w:rsid w:val="000039D2"/>
    <w:rsid w:val="000041E0"/>
    <w:rsid w:val="0000435A"/>
    <w:rsid w:val="00004A77"/>
    <w:rsid w:val="000051C2"/>
    <w:rsid w:val="0000568C"/>
    <w:rsid w:val="00005871"/>
    <w:rsid w:val="00006098"/>
    <w:rsid w:val="000062BD"/>
    <w:rsid w:val="000065EC"/>
    <w:rsid w:val="00006668"/>
    <w:rsid w:val="0000680C"/>
    <w:rsid w:val="00006867"/>
    <w:rsid w:val="0000694E"/>
    <w:rsid w:val="00006C86"/>
    <w:rsid w:val="00007C0A"/>
    <w:rsid w:val="00011E8F"/>
    <w:rsid w:val="00012865"/>
    <w:rsid w:val="00012D45"/>
    <w:rsid w:val="00013228"/>
    <w:rsid w:val="000157A5"/>
    <w:rsid w:val="00015CC9"/>
    <w:rsid w:val="00015DDD"/>
    <w:rsid w:val="00016367"/>
    <w:rsid w:val="00016527"/>
    <w:rsid w:val="000168AE"/>
    <w:rsid w:val="000171AD"/>
    <w:rsid w:val="00017734"/>
    <w:rsid w:val="00021A94"/>
    <w:rsid w:val="00022311"/>
    <w:rsid w:val="00022D48"/>
    <w:rsid w:val="00023075"/>
    <w:rsid w:val="00023D5C"/>
    <w:rsid w:val="0002478F"/>
    <w:rsid w:val="000249E3"/>
    <w:rsid w:val="00024C89"/>
    <w:rsid w:val="000252E6"/>
    <w:rsid w:val="0002584F"/>
    <w:rsid w:val="00025975"/>
    <w:rsid w:val="0002624C"/>
    <w:rsid w:val="00026427"/>
    <w:rsid w:val="000277CB"/>
    <w:rsid w:val="00030204"/>
    <w:rsid w:val="00030845"/>
    <w:rsid w:val="000312B2"/>
    <w:rsid w:val="00032E0A"/>
    <w:rsid w:val="000335BA"/>
    <w:rsid w:val="00033923"/>
    <w:rsid w:val="00034107"/>
    <w:rsid w:val="00034624"/>
    <w:rsid w:val="00034A6F"/>
    <w:rsid w:val="000357D7"/>
    <w:rsid w:val="000361D4"/>
    <w:rsid w:val="0003673B"/>
    <w:rsid w:val="00037328"/>
    <w:rsid w:val="00040413"/>
    <w:rsid w:val="000423CB"/>
    <w:rsid w:val="000428E2"/>
    <w:rsid w:val="00044298"/>
    <w:rsid w:val="000449E1"/>
    <w:rsid w:val="00044E8D"/>
    <w:rsid w:val="00045687"/>
    <w:rsid w:val="000467D0"/>
    <w:rsid w:val="0004721C"/>
    <w:rsid w:val="00047DDC"/>
    <w:rsid w:val="00047E3F"/>
    <w:rsid w:val="000503E3"/>
    <w:rsid w:val="000503F7"/>
    <w:rsid w:val="00051346"/>
    <w:rsid w:val="00051828"/>
    <w:rsid w:val="000522AC"/>
    <w:rsid w:val="000535ED"/>
    <w:rsid w:val="000538C5"/>
    <w:rsid w:val="00053B0D"/>
    <w:rsid w:val="00053D89"/>
    <w:rsid w:val="000540D1"/>
    <w:rsid w:val="00054BBE"/>
    <w:rsid w:val="00055467"/>
    <w:rsid w:val="00055E0D"/>
    <w:rsid w:val="00056EE0"/>
    <w:rsid w:val="00057117"/>
    <w:rsid w:val="000572E5"/>
    <w:rsid w:val="00060092"/>
    <w:rsid w:val="000609FF"/>
    <w:rsid w:val="00061358"/>
    <w:rsid w:val="00061E1C"/>
    <w:rsid w:val="0006236B"/>
    <w:rsid w:val="000624CC"/>
    <w:rsid w:val="000627C8"/>
    <w:rsid w:val="00062F60"/>
    <w:rsid w:val="00063BE6"/>
    <w:rsid w:val="0006472A"/>
    <w:rsid w:val="00064D6C"/>
    <w:rsid w:val="0006534E"/>
    <w:rsid w:val="0006604E"/>
    <w:rsid w:val="000662A5"/>
    <w:rsid w:val="00066AE6"/>
    <w:rsid w:val="00066D68"/>
    <w:rsid w:val="000672B4"/>
    <w:rsid w:val="00067767"/>
    <w:rsid w:val="0007000E"/>
    <w:rsid w:val="000713B5"/>
    <w:rsid w:val="0007183B"/>
    <w:rsid w:val="00071F52"/>
    <w:rsid w:val="00071FB6"/>
    <w:rsid w:val="00072478"/>
    <w:rsid w:val="0007290F"/>
    <w:rsid w:val="000730B9"/>
    <w:rsid w:val="00073681"/>
    <w:rsid w:val="00073D8C"/>
    <w:rsid w:val="00073F3F"/>
    <w:rsid w:val="00075059"/>
    <w:rsid w:val="00075278"/>
    <w:rsid w:val="000752AD"/>
    <w:rsid w:val="000759F8"/>
    <w:rsid w:val="00076252"/>
    <w:rsid w:val="000767E8"/>
    <w:rsid w:val="000771AB"/>
    <w:rsid w:val="00077840"/>
    <w:rsid w:val="00077F75"/>
    <w:rsid w:val="000808B6"/>
    <w:rsid w:val="00080ECA"/>
    <w:rsid w:val="00081A8A"/>
    <w:rsid w:val="00081F4D"/>
    <w:rsid w:val="000826B1"/>
    <w:rsid w:val="000826CA"/>
    <w:rsid w:val="00082BA5"/>
    <w:rsid w:val="00082BD8"/>
    <w:rsid w:val="00083381"/>
    <w:rsid w:val="00083AE6"/>
    <w:rsid w:val="00084D69"/>
    <w:rsid w:val="00085A10"/>
    <w:rsid w:val="00085DE2"/>
    <w:rsid w:val="000870B1"/>
    <w:rsid w:val="00090018"/>
    <w:rsid w:val="000900B5"/>
    <w:rsid w:val="00090457"/>
    <w:rsid w:val="0009100C"/>
    <w:rsid w:val="00091AE2"/>
    <w:rsid w:val="00091D73"/>
    <w:rsid w:val="00092B1E"/>
    <w:rsid w:val="000930B1"/>
    <w:rsid w:val="000930DA"/>
    <w:rsid w:val="00093127"/>
    <w:rsid w:val="00093667"/>
    <w:rsid w:val="00093C23"/>
    <w:rsid w:val="00093C61"/>
    <w:rsid w:val="00093EF4"/>
    <w:rsid w:val="00094391"/>
    <w:rsid w:val="00095012"/>
    <w:rsid w:val="00095561"/>
    <w:rsid w:val="000966C3"/>
    <w:rsid w:val="00096B40"/>
    <w:rsid w:val="00097068"/>
    <w:rsid w:val="00097E11"/>
    <w:rsid w:val="00097FAC"/>
    <w:rsid w:val="000A067A"/>
    <w:rsid w:val="000A0989"/>
    <w:rsid w:val="000A0B81"/>
    <w:rsid w:val="000A0E39"/>
    <w:rsid w:val="000A12AA"/>
    <w:rsid w:val="000A1376"/>
    <w:rsid w:val="000A423C"/>
    <w:rsid w:val="000A4447"/>
    <w:rsid w:val="000A5D96"/>
    <w:rsid w:val="000A60B4"/>
    <w:rsid w:val="000A64CF"/>
    <w:rsid w:val="000A652E"/>
    <w:rsid w:val="000A682B"/>
    <w:rsid w:val="000A6C87"/>
    <w:rsid w:val="000A6CA1"/>
    <w:rsid w:val="000A6D9C"/>
    <w:rsid w:val="000A7819"/>
    <w:rsid w:val="000B0077"/>
    <w:rsid w:val="000B0703"/>
    <w:rsid w:val="000B0DDD"/>
    <w:rsid w:val="000B2107"/>
    <w:rsid w:val="000B2AA7"/>
    <w:rsid w:val="000B35C9"/>
    <w:rsid w:val="000B3ED3"/>
    <w:rsid w:val="000B478D"/>
    <w:rsid w:val="000B51E9"/>
    <w:rsid w:val="000B55B8"/>
    <w:rsid w:val="000B5D11"/>
    <w:rsid w:val="000B76E0"/>
    <w:rsid w:val="000C016C"/>
    <w:rsid w:val="000C0C5C"/>
    <w:rsid w:val="000C101C"/>
    <w:rsid w:val="000C1693"/>
    <w:rsid w:val="000C1C0A"/>
    <w:rsid w:val="000C3048"/>
    <w:rsid w:val="000C43E3"/>
    <w:rsid w:val="000C4B80"/>
    <w:rsid w:val="000C4B82"/>
    <w:rsid w:val="000C4CBC"/>
    <w:rsid w:val="000C4F05"/>
    <w:rsid w:val="000C4FA3"/>
    <w:rsid w:val="000C50E3"/>
    <w:rsid w:val="000C51B5"/>
    <w:rsid w:val="000C52AC"/>
    <w:rsid w:val="000C6051"/>
    <w:rsid w:val="000C60B4"/>
    <w:rsid w:val="000C615A"/>
    <w:rsid w:val="000C6A79"/>
    <w:rsid w:val="000C7AAC"/>
    <w:rsid w:val="000C7C4B"/>
    <w:rsid w:val="000D068A"/>
    <w:rsid w:val="000D07E4"/>
    <w:rsid w:val="000D1A71"/>
    <w:rsid w:val="000D24FD"/>
    <w:rsid w:val="000D2DA2"/>
    <w:rsid w:val="000D3A75"/>
    <w:rsid w:val="000D41D4"/>
    <w:rsid w:val="000D474A"/>
    <w:rsid w:val="000D482A"/>
    <w:rsid w:val="000D4D59"/>
    <w:rsid w:val="000D61B9"/>
    <w:rsid w:val="000D62D3"/>
    <w:rsid w:val="000D78EC"/>
    <w:rsid w:val="000D7CDA"/>
    <w:rsid w:val="000E03D8"/>
    <w:rsid w:val="000E151E"/>
    <w:rsid w:val="000E1905"/>
    <w:rsid w:val="000E1C4C"/>
    <w:rsid w:val="000E1C7E"/>
    <w:rsid w:val="000E325B"/>
    <w:rsid w:val="000E3B73"/>
    <w:rsid w:val="000E4C54"/>
    <w:rsid w:val="000E4F38"/>
    <w:rsid w:val="000E53CC"/>
    <w:rsid w:val="000E58C9"/>
    <w:rsid w:val="000E5DCD"/>
    <w:rsid w:val="000E76F0"/>
    <w:rsid w:val="000E7785"/>
    <w:rsid w:val="000E7C60"/>
    <w:rsid w:val="000F0748"/>
    <w:rsid w:val="000F1730"/>
    <w:rsid w:val="000F1D1F"/>
    <w:rsid w:val="000F2672"/>
    <w:rsid w:val="000F27BF"/>
    <w:rsid w:val="000F30F5"/>
    <w:rsid w:val="000F3F2D"/>
    <w:rsid w:val="000F478E"/>
    <w:rsid w:val="000F5111"/>
    <w:rsid w:val="000F6AC7"/>
    <w:rsid w:val="00100FB2"/>
    <w:rsid w:val="001031BA"/>
    <w:rsid w:val="00103C83"/>
    <w:rsid w:val="00103CF6"/>
    <w:rsid w:val="00103F03"/>
    <w:rsid w:val="00104561"/>
    <w:rsid w:val="001046C7"/>
    <w:rsid w:val="00104B3A"/>
    <w:rsid w:val="00105D07"/>
    <w:rsid w:val="00105D8A"/>
    <w:rsid w:val="001067BF"/>
    <w:rsid w:val="00107165"/>
    <w:rsid w:val="001072E5"/>
    <w:rsid w:val="0010774D"/>
    <w:rsid w:val="0010775A"/>
    <w:rsid w:val="001113AE"/>
    <w:rsid w:val="0011141D"/>
    <w:rsid w:val="001125DA"/>
    <w:rsid w:val="00112986"/>
    <w:rsid w:val="00112A49"/>
    <w:rsid w:val="0011356B"/>
    <w:rsid w:val="00113CF4"/>
    <w:rsid w:val="00113F75"/>
    <w:rsid w:val="00114180"/>
    <w:rsid w:val="00114733"/>
    <w:rsid w:val="00114B42"/>
    <w:rsid w:val="00114ED6"/>
    <w:rsid w:val="00115DE2"/>
    <w:rsid w:val="00116BD3"/>
    <w:rsid w:val="0012034E"/>
    <w:rsid w:val="00120F1B"/>
    <w:rsid w:val="001216AC"/>
    <w:rsid w:val="00121A10"/>
    <w:rsid w:val="00121EEE"/>
    <w:rsid w:val="001228F4"/>
    <w:rsid w:val="001231FD"/>
    <w:rsid w:val="00123398"/>
    <w:rsid w:val="00123AC7"/>
    <w:rsid w:val="0012562A"/>
    <w:rsid w:val="0012576D"/>
    <w:rsid w:val="00125F14"/>
    <w:rsid w:val="0012656A"/>
    <w:rsid w:val="0012702A"/>
    <w:rsid w:val="001275A6"/>
    <w:rsid w:val="00127E6E"/>
    <w:rsid w:val="001306E9"/>
    <w:rsid w:val="00131826"/>
    <w:rsid w:val="001324FB"/>
    <w:rsid w:val="00133328"/>
    <w:rsid w:val="00134143"/>
    <w:rsid w:val="0013546C"/>
    <w:rsid w:val="00135879"/>
    <w:rsid w:val="00135A14"/>
    <w:rsid w:val="0013621C"/>
    <w:rsid w:val="001369B3"/>
    <w:rsid w:val="001369F3"/>
    <w:rsid w:val="00136AF3"/>
    <w:rsid w:val="00136BE1"/>
    <w:rsid w:val="00137937"/>
    <w:rsid w:val="00141CFA"/>
    <w:rsid w:val="001420C5"/>
    <w:rsid w:val="0014299A"/>
    <w:rsid w:val="001429CA"/>
    <w:rsid w:val="00142FB8"/>
    <w:rsid w:val="00145370"/>
    <w:rsid w:val="001453BF"/>
    <w:rsid w:val="00145B9C"/>
    <w:rsid w:val="00146745"/>
    <w:rsid w:val="001472A7"/>
    <w:rsid w:val="00147E66"/>
    <w:rsid w:val="001512DC"/>
    <w:rsid w:val="00152D7E"/>
    <w:rsid w:val="00154810"/>
    <w:rsid w:val="00154F95"/>
    <w:rsid w:val="00155430"/>
    <w:rsid w:val="00155A9F"/>
    <w:rsid w:val="00156160"/>
    <w:rsid w:val="00157009"/>
    <w:rsid w:val="0015730A"/>
    <w:rsid w:val="00157C32"/>
    <w:rsid w:val="00161563"/>
    <w:rsid w:val="00161AA7"/>
    <w:rsid w:val="00161F7F"/>
    <w:rsid w:val="00162218"/>
    <w:rsid w:val="00162DC2"/>
    <w:rsid w:val="0016366A"/>
    <w:rsid w:val="0016378D"/>
    <w:rsid w:val="001639F3"/>
    <w:rsid w:val="00164898"/>
    <w:rsid w:val="00164DA9"/>
    <w:rsid w:val="00165280"/>
    <w:rsid w:val="00165462"/>
    <w:rsid w:val="00166621"/>
    <w:rsid w:val="00167535"/>
    <w:rsid w:val="00167F12"/>
    <w:rsid w:val="00170374"/>
    <w:rsid w:val="00170666"/>
    <w:rsid w:val="001708E4"/>
    <w:rsid w:val="00170979"/>
    <w:rsid w:val="00170A5A"/>
    <w:rsid w:val="00171BA6"/>
    <w:rsid w:val="0017250E"/>
    <w:rsid w:val="0017260C"/>
    <w:rsid w:val="00172BF1"/>
    <w:rsid w:val="00174CDC"/>
    <w:rsid w:val="00175444"/>
    <w:rsid w:val="00176231"/>
    <w:rsid w:val="001778B9"/>
    <w:rsid w:val="001804B4"/>
    <w:rsid w:val="001810A9"/>
    <w:rsid w:val="001813B6"/>
    <w:rsid w:val="00181E80"/>
    <w:rsid w:val="001821BC"/>
    <w:rsid w:val="0018269A"/>
    <w:rsid w:val="00182820"/>
    <w:rsid w:val="0018290B"/>
    <w:rsid w:val="00183734"/>
    <w:rsid w:val="00183AEC"/>
    <w:rsid w:val="00183C8F"/>
    <w:rsid w:val="00184A58"/>
    <w:rsid w:val="0018628E"/>
    <w:rsid w:val="0018669D"/>
    <w:rsid w:val="00187B4A"/>
    <w:rsid w:val="001903F3"/>
    <w:rsid w:val="00190F07"/>
    <w:rsid w:val="001910BD"/>
    <w:rsid w:val="00191173"/>
    <w:rsid w:val="001923E1"/>
    <w:rsid w:val="00192944"/>
    <w:rsid w:val="0019329A"/>
    <w:rsid w:val="00193639"/>
    <w:rsid w:val="001939D1"/>
    <w:rsid w:val="00193F84"/>
    <w:rsid w:val="00194085"/>
    <w:rsid w:val="001945A4"/>
    <w:rsid w:val="00194D93"/>
    <w:rsid w:val="00194DA3"/>
    <w:rsid w:val="00195373"/>
    <w:rsid w:val="00195394"/>
    <w:rsid w:val="00195770"/>
    <w:rsid w:val="00196552"/>
    <w:rsid w:val="0019659B"/>
    <w:rsid w:val="00196E19"/>
    <w:rsid w:val="001975EF"/>
    <w:rsid w:val="00197B61"/>
    <w:rsid w:val="00197FF0"/>
    <w:rsid w:val="001A0168"/>
    <w:rsid w:val="001A023A"/>
    <w:rsid w:val="001A0723"/>
    <w:rsid w:val="001A0F43"/>
    <w:rsid w:val="001A1DB2"/>
    <w:rsid w:val="001A1E54"/>
    <w:rsid w:val="001A202F"/>
    <w:rsid w:val="001A230C"/>
    <w:rsid w:val="001A2A8E"/>
    <w:rsid w:val="001A33CD"/>
    <w:rsid w:val="001A385F"/>
    <w:rsid w:val="001A3AB1"/>
    <w:rsid w:val="001A5DF7"/>
    <w:rsid w:val="001A5E64"/>
    <w:rsid w:val="001A5FB3"/>
    <w:rsid w:val="001A6426"/>
    <w:rsid w:val="001A6B58"/>
    <w:rsid w:val="001A7836"/>
    <w:rsid w:val="001A7C4D"/>
    <w:rsid w:val="001A7DB3"/>
    <w:rsid w:val="001B0495"/>
    <w:rsid w:val="001B0644"/>
    <w:rsid w:val="001B0C0D"/>
    <w:rsid w:val="001B15E4"/>
    <w:rsid w:val="001B18D1"/>
    <w:rsid w:val="001B19F1"/>
    <w:rsid w:val="001B1CF0"/>
    <w:rsid w:val="001B1F4D"/>
    <w:rsid w:val="001B2182"/>
    <w:rsid w:val="001B2541"/>
    <w:rsid w:val="001B2885"/>
    <w:rsid w:val="001B2D1D"/>
    <w:rsid w:val="001B3E2A"/>
    <w:rsid w:val="001B44D6"/>
    <w:rsid w:val="001B450E"/>
    <w:rsid w:val="001B4609"/>
    <w:rsid w:val="001B53B2"/>
    <w:rsid w:val="001B53DF"/>
    <w:rsid w:val="001B5487"/>
    <w:rsid w:val="001B56F2"/>
    <w:rsid w:val="001B6735"/>
    <w:rsid w:val="001B7465"/>
    <w:rsid w:val="001B761D"/>
    <w:rsid w:val="001B7A59"/>
    <w:rsid w:val="001B7D00"/>
    <w:rsid w:val="001B7F6B"/>
    <w:rsid w:val="001B7FB2"/>
    <w:rsid w:val="001C023D"/>
    <w:rsid w:val="001C2EC5"/>
    <w:rsid w:val="001C3D7A"/>
    <w:rsid w:val="001C417A"/>
    <w:rsid w:val="001C4470"/>
    <w:rsid w:val="001C5388"/>
    <w:rsid w:val="001C5410"/>
    <w:rsid w:val="001C548C"/>
    <w:rsid w:val="001C56C9"/>
    <w:rsid w:val="001C5D54"/>
    <w:rsid w:val="001C5DB0"/>
    <w:rsid w:val="001C5F4A"/>
    <w:rsid w:val="001C74D3"/>
    <w:rsid w:val="001C76FF"/>
    <w:rsid w:val="001C7A8F"/>
    <w:rsid w:val="001C7C84"/>
    <w:rsid w:val="001D045E"/>
    <w:rsid w:val="001D057B"/>
    <w:rsid w:val="001D14A9"/>
    <w:rsid w:val="001D161B"/>
    <w:rsid w:val="001D1B82"/>
    <w:rsid w:val="001D1CB8"/>
    <w:rsid w:val="001D1F1D"/>
    <w:rsid w:val="001D1F9B"/>
    <w:rsid w:val="001D1FA3"/>
    <w:rsid w:val="001D2FF3"/>
    <w:rsid w:val="001D3858"/>
    <w:rsid w:val="001D398D"/>
    <w:rsid w:val="001D3C26"/>
    <w:rsid w:val="001D3DB6"/>
    <w:rsid w:val="001D518E"/>
    <w:rsid w:val="001D6B0B"/>
    <w:rsid w:val="001D6E5A"/>
    <w:rsid w:val="001E003D"/>
    <w:rsid w:val="001E09EC"/>
    <w:rsid w:val="001E0C3D"/>
    <w:rsid w:val="001E180E"/>
    <w:rsid w:val="001E2192"/>
    <w:rsid w:val="001E2D98"/>
    <w:rsid w:val="001E2E28"/>
    <w:rsid w:val="001E3868"/>
    <w:rsid w:val="001E58A0"/>
    <w:rsid w:val="001E615F"/>
    <w:rsid w:val="001E6717"/>
    <w:rsid w:val="001E6BBE"/>
    <w:rsid w:val="001E6EDA"/>
    <w:rsid w:val="001E6EE8"/>
    <w:rsid w:val="001E713A"/>
    <w:rsid w:val="001E7CAA"/>
    <w:rsid w:val="001E7D2B"/>
    <w:rsid w:val="001E7ED7"/>
    <w:rsid w:val="001F062F"/>
    <w:rsid w:val="001F161F"/>
    <w:rsid w:val="001F2316"/>
    <w:rsid w:val="001F2327"/>
    <w:rsid w:val="001F24F8"/>
    <w:rsid w:val="001F3653"/>
    <w:rsid w:val="001F4142"/>
    <w:rsid w:val="001F468F"/>
    <w:rsid w:val="001F4E0D"/>
    <w:rsid w:val="001F4FE4"/>
    <w:rsid w:val="001F5325"/>
    <w:rsid w:val="001F57D9"/>
    <w:rsid w:val="001F619A"/>
    <w:rsid w:val="001F61E5"/>
    <w:rsid w:val="001F6687"/>
    <w:rsid w:val="001F791F"/>
    <w:rsid w:val="001F79F2"/>
    <w:rsid w:val="001F7BC8"/>
    <w:rsid w:val="001F7DD0"/>
    <w:rsid w:val="002001C1"/>
    <w:rsid w:val="0020108F"/>
    <w:rsid w:val="00201275"/>
    <w:rsid w:val="00201C60"/>
    <w:rsid w:val="00202155"/>
    <w:rsid w:val="002024A1"/>
    <w:rsid w:val="00202C45"/>
    <w:rsid w:val="00203D81"/>
    <w:rsid w:val="00203FA2"/>
    <w:rsid w:val="0020487F"/>
    <w:rsid w:val="00205087"/>
    <w:rsid w:val="00205B2F"/>
    <w:rsid w:val="002062FA"/>
    <w:rsid w:val="002065B4"/>
    <w:rsid w:val="002069A2"/>
    <w:rsid w:val="00210266"/>
    <w:rsid w:val="00211159"/>
    <w:rsid w:val="00212213"/>
    <w:rsid w:val="00212289"/>
    <w:rsid w:val="002123A6"/>
    <w:rsid w:val="00212536"/>
    <w:rsid w:val="0021439F"/>
    <w:rsid w:val="00220EE1"/>
    <w:rsid w:val="002216A6"/>
    <w:rsid w:val="002240B9"/>
    <w:rsid w:val="002242E9"/>
    <w:rsid w:val="00224A16"/>
    <w:rsid w:val="00225D6B"/>
    <w:rsid w:val="0022633C"/>
    <w:rsid w:val="00227691"/>
    <w:rsid w:val="00227DC2"/>
    <w:rsid w:val="002307C6"/>
    <w:rsid w:val="00230B08"/>
    <w:rsid w:val="0023115F"/>
    <w:rsid w:val="00231816"/>
    <w:rsid w:val="002322EF"/>
    <w:rsid w:val="0023261C"/>
    <w:rsid w:val="00232AD0"/>
    <w:rsid w:val="00234291"/>
    <w:rsid w:val="002342AE"/>
    <w:rsid w:val="00234359"/>
    <w:rsid w:val="00235191"/>
    <w:rsid w:val="0023524C"/>
    <w:rsid w:val="0023532F"/>
    <w:rsid w:val="00235BCD"/>
    <w:rsid w:val="00235C4C"/>
    <w:rsid w:val="00236371"/>
    <w:rsid w:val="0023637D"/>
    <w:rsid w:val="002370E7"/>
    <w:rsid w:val="00237A5B"/>
    <w:rsid w:val="00237C45"/>
    <w:rsid w:val="002403CE"/>
    <w:rsid w:val="00240453"/>
    <w:rsid w:val="002405C4"/>
    <w:rsid w:val="00241017"/>
    <w:rsid w:val="0024102C"/>
    <w:rsid w:val="00241B75"/>
    <w:rsid w:val="00242202"/>
    <w:rsid w:val="00242892"/>
    <w:rsid w:val="00242FF8"/>
    <w:rsid w:val="00243BF5"/>
    <w:rsid w:val="0024459D"/>
    <w:rsid w:val="00244851"/>
    <w:rsid w:val="00245178"/>
    <w:rsid w:val="00245253"/>
    <w:rsid w:val="0024724B"/>
    <w:rsid w:val="00247886"/>
    <w:rsid w:val="00250719"/>
    <w:rsid w:val="00250877"/>
    <w:rsid w:val="00251CEB"/>
    <w:rsid w:val="00252834"/>
    <w:rsid w:val="00252B96"/>
    <w:rsid w:val="00253305"/>
    <w:rsid w:val="00253EA7"/>
    <w:rsid w:val="0025433B"/>
    <w:rsid w:val="00254C06"/>
    <w:rsid w:val="00254C2C"/>
    <w:rsid w:val="00255AD7"/>
    <w:rsid w:val="002607AA"/>
    <w:rsid w:val="002611E4"/>
    <w:rsid w:val="0026160C"/>
    <w:rsid w:val="00261816"/>
    <w:rsid w:val="0026189B"/>
    <w:rsid w:val="00262EC3"/>
    <w:rsid w:val="00263102"/>
    <w:rsid w:val="0026312B"/>
    <w:rsid w:val="00263283"/>
    <w:rsid w:val="00263C9C"/>
    <w:rsid w:val="00264430"/>
    <w:rsid w:val="002647D5"/>
    <w:rsid w:val="002647E2"/>
    <w:rsid w:val="00264932"/>
    <w:rsid w:val="002654E1"/>
    <w:rsid w:val="00265FC9"/>
    <w:rsid w:val="00266071"/>
    <w:rsid w:val="00266177"/>
    <w:rsid w:val="00267BAC"/>
    <w:rsid w:val="0027012D"/>
    <w:rsid w:val="00271C3F"/>
    <w:rsid w:val="002726C1"/>
    <w:rsid w:val="002729C5"/>
    <w:rsid w:val="00273A6B"/>
    <w:rsid w:val="00274127"/>
    <w:rsid w:val="00274341"/>
    <w:rsid w:val="002748D3"/>
    <w:rsid w:val="0027529C"/>
    <w:rsid w:val="0027632C"/>
    <w:rsid w:val="00276591"/>
    <w:rsid w:val="00277E33"/>
    <w:rsid w:val="00280F14"/>
    <w:rsid w:val="002815FD"/>
    <w:rsid w:val="00281628"/>
    <w:rsid w:val="0028191B"/>
    <w:rsid w:val="00281DC2"/>
    <w:rsid w:val="0028267B"/>
    <w:rsid w:val="00282C26"/>
    <w:rsid w:val="00282D87"/>
    <w:rsid w:val="00283199"/>
    <w:rsid w:val="002836B3"/>
    <w:rsid w:val="002838FD"/>
    <w:rsid w:val="002849A3"/>
    <w:rsid w:val="00285477"/>
    <w:rsid w:val="0028581F"/>
    <w:rsid w:val="002862A5"/>
    <w:rsid w:val="00286A83"/>
    <w:rsid w:val="00286B18"/>
    <w:rsid w:val="00286BD0"/>
    <w:rsid w:val="00287E82"/>
    <w:rsid w:val="002906D2"/>
    <w:rsid w:val="00290951"/>
    <w:rsid w:val="002917EF"/>
    <w:rsid w:val="00291927"/>
    <w:rsid w:val="0029238D"/>
    <w:rsid w:val="0029252A"/>
    <w:rsid w:val="002931CA"/>
    <w:rsid w:val="00293583"/>
    <w:rsid w:val="00294297"/>
    <w:rsid w:val="00294A4E"/>
    <w:rsid w:val="00295E0B"/>
    <w:rsid w:val="00295F9A"/>
    <w:rsid w:val="0029609A"/>
    <w:rsid w:val="0029717E"/>
    <w:rsid w:val="002972FB"/>
    <w:rsid w:val="002977B7"/>
    <w:rsid w:val="0029790C"/>
    <w:rsid w:val="002A04F7"/>
    <w:rsid w:val="002A1141"/>
    <w:rsid w:val="002A124D"/>
    <w:rsid w:val="002A13D9"/>
    <w:rsid w:val="002A153D"/>
    <w:rsid w:val="002A1837"/>
    <w:rsid w:val="002A1A7B"/>
    <w:rsid w:val="002A1BE7"/>
    <w:rsid w:val="002A2A7A"/>
    <w:rsid w:val="002A2EC0"/>
    <w:rsid w:val="002A312B"/>
    <w:rsid w:val="002A35F8"/>
    <w:rsid w:val="002A3995"/>
    <w:rsid w:val="002A399F"/>
    <w:rsid w:val="002A3D10"/>
    <w:rsid w:val="002A3F37"/>
    <w:rsid w:val="002A42AB"/>
    <w:rsid w:val="002A491B"/>
    <w:rsid w:val="002A5415"/>
    <w:rsid w:val="002A62C5"/>
    <w:rsid w:val="002A77E5"/>
    <w:rsid w:val="002A7A80"/>
    <w:rsid w:val="002A7CBD"/>
    <w:rsid w:val="002A7F64"/>
    <w:rsid w:val="002B1594"/>
    <w:rsid w:val="002B1988"/>
    <w:rsid w:val="002B256A"/>
    <w:rsid w:val="002B264D"/>
    <w:rsid w:val="002B26DC"/>
    <w:rsid w:val="002B28D5"/>
    <w:rsid w:val="002B2C3D"/>
    <w:rsid w:val="002B406B"/>
    <w:rsid w:val="002B4DE3"/>
    <w:rsid w:val="002B5691"/>
    <w:rsid w:val="002B598C"/>
    <w:rsid w:val="002B6448"/>
    <w:rsid w:val="002B66ED"/>
    <w:rsid w:val="002B7280"/>
    <w:rsid w:val="002C0E0D"/>
    <w:rsid w:val="002C0E0F"/>
    <w:rsid w:val="002C144C"/>
    <w:rsid w:val="002C181E"/>
    <w:rsid w:val="002C1B0B"/>
    <w:rsid w:val="002C401B"/>
    <w:rsid w:val="002C4502"/>
    <w:rsid w:val="002C4854"/>
    <w:rsid w:val="002C54A0"/>
    <w:rsid w:val="002C55CE"/>
    <w:rsid w:val="002C5DEB"/>
    <w:rsid w:val="002C6207"/>
    <w:rsid w:val="002C66A3"/>
    <w:rsid w:val="002C6874"/>
    <w:rsid w:val="002C6B1F"/>
    <w:rsid w:val="002C70B7"/>
    <w:rsid w:val="002D0A79"/>
    <w:rsid w:val="002D1AA4"/>
    <w:rsid w:val="002D49AE"/>
    <w:rsid w:val="002D50F3"/>
    <w:rsid w:val="002D53E8"/>
    <w:rsid w:val="002D5685"/>
    <w:rsid w:val="002D5AB0"/>
    <w:rsid w:val="002D5DF7"/>
    <w:rsid w:val="002D621F"/>
    <w:rsid w:val="002D67AA"/>
    <w:rsid w:val="002D67CC"/>
    <w:rsid w:val="002D683D"/>
    <w:rsid w:val="002D76C5"/>
    <w:rsid w:val="002E0311"/>
    <w:rsid w:val="002E05A4"/>
    <w:rsid w:val="002E0A57"/>
    <w:rsid w:val="002E2A0A"/>
    <w:rsid w:val="002E3978"/>
    <w:rsid w:val="002E5B1B"/>
    <w:rsid w:val="002E5C9C"/>
    <w:rsid w:val="002E5CCB"/>
    <w:rsid w:val="002E60DF"/>
    <w:rsid w:val="002E60F4"/>
    <w:rsid w:val="002E62F0"/>
    <w:rsid w:val="002E645D"/>
    <w:rsid w:val="002E6593"/>
    <w:rsid w:val="002E6F89"/>
    <w:rsid w:val="002E75CA"/>
    <w:rsid w:val="002F017F"/>
    <w:rsid w:val="002F0459"/>
    <w:rsid w:val="002F069E"/>
    <w:rsid w:val="002F0B26"/>
    <w:rsid w:val="002F1220"/>
    <w:rsid w:val="002F1AC9"/>
    <w:rsid w:val="002F21F5"/>
    <w:rsid w:val="002F24E2"/>
    <w:rsid w:val="002F2901"/>
    <w:rsid w:val="002F338D"/>
    <w:rsid w:val="002F4BAF"/>
    <w:rsid w:val="002F4DEB"/>
    <w:rsid w:val="002F5A31"/>
    <w:rsid w:val="002F5E24"/>
    <w:rsid w:val="002F670E"/>
    <w:rsid w:val="002F741C"/>
    <w:rsid w:val="002F7C82"/>
    <w:rsid w:val="00300CCD"/>
    <w:rsid w:val="00300FBE"/>
    <w:rsid w:val="003013CB"/>
    <w:rsid w:val="00301A64"/>
    <w:rsid w:val="00301F21"/>
    <w:rsid w:val="003022B9"/>
    <w:rsid w:val="003022D1"/>
    <w:rsid w:val="00302FE1"/>
    <w:rsid w:val="003030CA"/>
    <w:rsid w:val="00304A14"/>
    <w:rsid w:val="00304EB8"/>
    <w:rsid w:val="00305028"/>
    <w:rsid w:val="00306537"/>
    <w:rsid w:val="00306811"/>
    <w:rsid w:val="00306942"/>
    <w:rsid w:val="003069B3"/>
    <w:rsid w:val="00307386"/>
    <w:rsid w:val="0030768D"/>
    <w:rsid w:val="0031013A"/>
    <w:rsid w:val="0031047B"/>
    <w:rsid w:val="00310586"/>
    <w:rsid w:val="00310BAA"/>
    <w:rsid w:val="003110AA"/>
    <w:rsid w:val="0031587D"/>
    <w:rsid w:val="00315B30"/>
    <w:rsid w:val="0031607F"/>
    <w:rsid w:val="00316164"/>
    <w:rsid w:val="00316189"/>
    <w:rsid w:val="003161CB"/>
    <w:rsid w:val="003161D2"/>
    <w:rsid w:val="00316692"/>
    <w:rsid w:val="003166E2"/>
    <w:rsid w:val="00316B06"/>
    <w:rsid w:val="00316F87"/>
    <w:rsid w:val="0031707E"/>
    <w:rsid w:val="003171C4"/>
    <w:rsid w:val="00317246"/>
    <w:rsid w:val="003172F3"/>
    <w:rsid w:val="00320080"/>
    <w:rsid w:val="00320BEA"/>
    <w:rsid w:val="003216F8"/>
    <w:rsid w:val="00321793"/>
    <w:rsid w:val="00321DE4"/>
    <w:rsid w:val="00322712"/>
    <w:rsid w:val="00322CB3"/>
    <w:rsid w:val="0032303E"/>
    <w:rsid w:val="00323451"/>
    <w:rsid w:val="00323462"/>
    <w:rsid w:val="00323D90"/>
    <w:rsid w:val="00324580"/>
    <w:rsid w:val="00325099"/>
    <w:rsid w:val="00325EBB"/>
    <w:rsid w:val="0032615E"/>
    <w:rsid w:val="003264F3"/>
    <w:rsid w:val="0032708F"/>
    <w:rsid w:val="00327832"/>
    <w:rsid w:val="00327CF5"/>
    <w:rsid w:val="00330765"/>
    <w:rsid w:val="00330C32"/>
    <w:rsid w:val="00331E8F"/>
    <w:rsid w:val="00331F3C"/>
    <w:rsid w:val="00332164"/>
    <w:rsid w:val="00332AEC"/>
    <w:rsid w:val="00333DF5"/>
    <w:rsid w:val="00333F07"/>
    <w:rsid w:val="0033427F"/>
    <w:rsid w:val="00334554"/>
    <w:rsid w:val="00334692"/>
    <w:rsid w:val="003353ED"/>
    <w:rsid w:val="003354C3"/>
    <w:rsid w:val="00335D55"/>
    <w:rsid w:val="00336743"/>
    <w:rsid w:val="003373F5"/>
    <w:rsid w:val="00340656"/>
    <w:rsid w:val="00340A36"/>
    <w:rsid w:val="0034156F"/>
    <w:rsid w:val="00342F06"/>
    <w:rsid w:val="00343416"/>
    <w:rsid w:val="00343888"/>
    <w:rsid w:val="00344280"/>
    <w:rsid w:val="00344B63"/>
    <w:rsid w:val="00346C88"/>
    <w:rsid w:val="00347968"/>
    <w:rsid w:val="0034797E"/>
    <w:rsid w:val="003502C2"/>
    <w:rsid w:val="00350C2A"/>
    <w:rsid w:val="0035101F"/>
    <w:rsid w:val="00351A97"/>
    <w:rsid w:val="00351BA8"/>
    <w:rsid w:val="00351C1A"/>
    <w:rsid w:val="00352283"/>
    <w:rsid w:val="0035228D"/>
    <w:rsid w:val="003522E1"/>
    <w:rsid w:val="0035257C"/>
    <w:rsid w:val="00352925"/>
    <w:rsid w:val="003532C3"/>
    <w:rsid w:val="00353E91"/>
    <w:rsid w:val="003549CF"/>
    <w:rsid w:val="00355512"/>
    <w:rsid w:val="0035564C"/>
    <w:rsid w:val="00355D5C"/>
    <w:rsid w:val="003566AF"/>
    <w:rsid w:val="003568BA"/>
    <w:rsid w:val="00357E34"/>
    <w:rsid w:val="003607B4"/>
    <w:rsid w:val="003629F3"/>
    <w:rsid w:val="00362E88"/>
    <w:rsid w:val="0036315C"/>
    <w:rsid w:val="003632D8"/>
    <w:rsid w:val="0036368B"/>
    <w:rsid w:val="00363957"/>
    <w:rsid w:val="003647AA"/>
    <w:rsid w:val="00365B6C"/>
    <w:rsid w:val="00366D7E"/>
    <w:rsid w:val="003671B5"/>
    <w:rsid w:val="0036738D"/>
    <w:rsid w:val="0036745E"/>
    <w:rsid w:val="00367B95"/>
    <w:rsid w:val="003704AA"/>
    <w:rsid w:val="00370FAF"/>
    <w:rsid w:val="00371C22"/>
    <w:rsid w:val="00371E55"/>
    <w:rsid w:val="00371F29"/>
    <w:rsid w:val="003725F1"/>
    <w:rsid w:val="00373DEE"/>
    <w:rsid w:val="00375222"/>
    <w:rsid w:val="003752C9"/>
    <w:rsid w:val="00375E12"/>
    <w:rsid w:val="003763EB"/>
    <w:rsid w:val="00376E30"/>
    <w:rsid w:val="00376E8D"/>
    <w:rsid w:val="0037705E"/>
    <w:rsid w:val="003774F8"/>
    <w:rsid w:val="00377AAA"/>
    <w:rsid w:val="00377B1F"/>
    <w:rsid w:val="00377DB4"/>
    <w:rsid w:val="00377F0C"/>
    <w:rsid w:val="003800AA"/>
    <w:rsid w:val="00380F12"/>
    <w:rsid w:val="00381402"/>
    <w:rsid w:val="00381F5A"/>
    <w:rsid w:val="00382778"/>
    <w:rsid w:val="00382E36"/>
    <w:rsid w:val="00382E50"/>
    <w:rsid w:val="003836E8"/>
    <w:rsid w:val="0038513A"/>
    <w:rsid w:val="00386122"/>
    <w:rsid w:val="0038628E"/>
    <w:rsid w:val="00386DB4"/>
    <w:rsid w:val="00387E17"/>
    <w:rsid w:val="00390095"/>
    <w:rsid w:val="00390CD1"/>
    <w:rsid w:val="003914FA"/>
    <w:rsid w:val="00392221"/>
    <w:rsid w:val="00392346"/>
    <w:rsid w:val="00392792"/>
    <w:rsid w:val="0039288D"/>
    <w:rsid w:val="0039353D"/>
    <w:rsid w:val="00393BA3"/>
    <w:rsid w:val="00393C2B"/>
    <w:rsid w:val="003944B8"/>
    <w:rsid w:val="00394B3A"/>
    <w:rsid w:val="0039555B"/>
    <w:rsid w:val="00395AF3"/>
    <w:rsid w:val="00395B8B"/>
    <w:rsid w:val="00396656"/>
    <w:rsid w:val="00397900"/>
    <w:rsid w:val="003A1E84"/>
    <w:rsid w:val="003A2669"/>
    <w:rsid w:val="003A287D"/>
    <w:rsid w:val="003A4101"/>
    <w:rsid w:val="003A4281"/>
    <w:rsid w:val="003A4362"/>
    <w:rsid w:val="003A5701"/>
    <w:rsid w:val="003A57F8"/>
    <w:rsid w:val="003A5F72"/>
    <w:rsid w:val="003A64E0"/>
    <w:rsid w:val="003A708F"/>
    <w:rsid w:val="003A70FC"/>
    <w:rsid w:val="003A767F"/>
    <w:rsid w:val="003A7758"/>
    <w:rsid w:val="003B03D7"/>
    <w:rsid w:val="003B1839"/>
    <w:rsid w:val="003B1E05"/>
    <w:rsid w:val="003B28DC"/>
    <w:rsid w:val="003B4339"/>
    <w:rsid w:val="003B64EC"/>
    <w:rsid w:val="003B6652"/>
    <w:rsid w:val="003B6ACB"/>
    <w:rsid w:val="003C008C"/>
    <w:rsid w:val="003C0108"/>
    <w:rsid w:val="003C02D2"/>
    <w:rsid w:val="003C0C1A"/>
    <w:rsid w:val="003C1030"/>
    <w:rsid w:val="003C1055"/>
    <w:rsid w:val="003C1267"/>
    <w:rsid w:val="003C1687"/>
    <w:rsid w:val="003C17E4"/>
    <w:rsid w:val="003C1B17"/>
    <w:rsid w:val="003C1B2C"/>
    <w:rsid w:val="003C1D8F"/>
    <w:rsid w:val="003C1F87"/>
    <w:rsid w:val="003C2B95"/>
    <w:rsid w:val="003C3952"/>
    <w:rsid w:val="003C3ED2"/>
    <w:rsid w:val="003C461A"/>
    <w:rsid w:val="003C4A3A"/>
    <w:rsid w:val="003C4D46"/>
    <w:rsid w:val="003C5F99"/>
    <w:rsid w:val="003C6028"/>
    <w:rsid w:val="003C639E"/>
    <w:rsid w:val="003C64F2"/>
    <w:rsid w:val="003C65C0"/>
    <w:rsid w:val="003C66E5"/>
    <w:rsid w:val="003C77A4"/>
    <w:rsid w:val="003D02E6"/>
    <w:rsid w:val="003D04F6"/>
    <w:rsid w:val="003D07FA"/>
    <w:rsid w:val="003D1FCA"/>
    <w:rsid w:val="003D24D5"/>
    <w:rsid w:val="003D2634"/>
    <w:rsid w:val="003D2A14"/>
    <w:rsid w:val="003D3E01"/>
    <w:rsid w:val="003D4BFB"/>
    <w:rsid w:val="003D4C11"/>
    <w:rsid w:val="003D4D0C"/>
    <w:rsid w:val="003D518F"/>
    <w:rsid w:val="003D5480"/>
    <w:rsid w:val="003D6251"/>
    <w:rsid w:val="003D65AE"/>
    <w:rsid w:val="003D65BA"/>
    <w:rsid w:val="003D6A8C"/>
    <w:rsid w:val="003D6CCC"/>
    <w:rsid w:val="003D7DC0"/>
    <w:rsid w:val="003D7EFF"/>
    <w:rsid w:val="003E019B"/>
    <w:rsid w:val="003E1316"/>
    <w:rsid w:val="003E1CAE"/>
    <w:rsid w:val="003E2699"/>
    <w:rsid w:val="003E33CA"/>
    <w:rsid w:val="003E4F88"/>
    <w:rsid w:val="003E57BF"/>
    <w:rsid w:val="003E687D"/>
    <w:rsid w:val="003E6A68"/>
    <w:rsid w:val="003E711E"/>
    <w:rsid w:val="003E7F42"/>
    <w:rsid w:val="003F046D"/>
    <w:rsid w:val="003F09A6"/>
    <w:rsid w:val="003F0AA3"/>
    <w:rsid w:val="003F0D45"/>
    <w:rsid w:val="003F13B8"/>
    <w:rsid w:val="003F2A84"/>
    <w:rsid w:val="003F305C"/>
    <w:rsid w:val="003F31C9"/>
    <w:rsid w:val="003F36C1"/>
    <w:rsid w:val="003F58D2"/>
    <w:rsid w:val="003F5DA3"/>
    <w:rsid w:val="003F6183"/>
    <w:rsid w:val="003F6B46"/>
    <w:rsid w:val="003F6E5A"/>
    <w:rsid w:val="003F753A"/>
    <w:rsid w:val="0040093F"/>
    <w:rsid w:val="004009B7"/>
    <w:rsid w:val="00400F6B"/>
    <w:rsid w:val="004011CC"/>
    <w:rsid w:val="00401B2A"/>
    <w:rsid w:val="00401EE8"/>
    <w:rsid w:val="00402E6B"/>
    <w:rsid w:val="004032AC"/>
    <w:rsid w:val="0040401B"/>
    <w:rsid w:val="0040430C"/>
    <w:rsid w:val="00405D7E"/>
    <w:rsid w:val="004063F9"/>
    <w:rsid w:val="00407459"/>
    <w:rsid w:val="00410EBA"/>
    <w:rsid w:val="00411BF3"/>
    <w:rsid w:val="00411D6C"/>
    <w:rsid w:val="0041290B"/>
    <w:rsid w:val="00413259"/>
    <w:rsid w:val="00413625"/>
    <w:rsid w:val="00413C4F"/>
    <w:rsid w:val="00414270"/>
    <w:rsid w:val="00414676"/>
    <w:rsid w:val="00414EC1"/>
    <w:rsid w:val="0041587E"/>
    <w:rsid w:val="0041600B"/>
    <w:rsid w:val="00417357"/>
    <w:rsid w:val="00417998"/>
    <w:rsid w:val="00417B2D"/>
    <w:rsid w:val="00417BCE"/>
    <w:rsid w:val="004200AE"/>
    <w:rsid w:val="0042081E"/>
    <w:rsid w:val="00420A01"/>
    <w:rsid w:val="00420ECB"/>
    <w:rsid w:val="004218A2"/>
    <w:rsid w:val="00421D2B"/>
    <w:rsid w:val="00422014"/>
    <w:rsid w:val="00422870"/>
    <w:rsid w:val="0042289F"/>
    <w:rsid w:val="00422C42"/>
    <w:rsid w:val="004238AE"/>
    <w:rsid w:val="00424745"/>
    <w:rsid w:val="0042482F"/>
    <w:rsid w:val="00424C04"/>
    <w:rsid w:val="00425193"/>
    <w:rsid w:val="00427259"/>
    <w:rsid w:val="00427EB7"/>
    <w:rsid w:val="00430CED"/>
    <w:rsid w:val="00431129"/>
    <w:rsid w:val="004319E7"/>
    <w:rsid w:val="00431A87"/>
    <w:rsid w:val="00431BF6"/>
    <w:rsid w:val="00431C85"/>
    <w:rsid w:val="004327C7"/>
    <w:rsid w:val="00432FA8"/>
    <w:rsid w:val="004349E8"/>
    <w:rsid w:val="004361F9"/>
    <w:rsid w:val="00436412"/>
    <w:rsid w:val="0043681A"/>
    <w:rsid w:val="00436864"/>
    <w:rsid w:val="00436EED"/>
    <w:rsid w:val="00436FD7"/>
    <w:rsid w:val="0043742B"/>
    <w:rsid w:val="00437637"/>
    <w:rsid w:val="00437B8F"/>
    <w:rsid w:val="00437E14"/>
    <w:rsid w:val="004409F1"/>
    <w:rsid w:val="00440AB7"/>
    <w:rsid w:val="00440B82"/>
    <w:rsid w:val="004416D6"/>
    <w:rsid w:val="00441A93"/>
    <w:rsid w:val="00442122"/>
    <w:rsid w:val="00443008"/>
    <w:rsid w:val="004434AC"/>
    <w:rsid w:val="00443EC9"/>
    <w:rsid w:val="00444048"/>
    <w:rsid w:val="0044470A"/>
    <w:rsid w:val="00446173"/>
    <w:rsid w:val="004469BE"/>
    <w:rsid w:val="00447256"/>
    <w:rsid w:val="00450F9F"/>
    <w:rsid w:val="0045250E"/>
    <w:rsid w:val="004529DE"/>
    <w:rsid w:val="00453D64"/>
    <w:rsid w:val="004566AD"/>
    <w:rsid w:val="00456A76"/>
    <w:rsid w:val="00456DEF"/>
    <w:rsid w:val="00457351"/>
    <w:rsid w:val="00457565"/>
    <w:rsid w:val="00457F13"/>
    <w:rsid w:val="00460ED7"/>
    <w:rsid w:val="0046140A"/>
    <w:rsid w:val="004618FB"/>
    <w:rsid w:val="00461B1A"/>
    <w:rsid w:val="00462032"/>
    <w:rsid w:val="004620DB"/>
    <w:rsid w:val="00462170"/>
    <w:rsid w:val="00462E4A"/>
    <w:rsid w:val="004641B7"/>
    <w:rsid w:val="00464916"/>
    <w:rsid w:val="00465A47"/>
    <w:rsid w:val="00466938"/>
    <w:rsid w:val="00467956"/>
    <w:rsid w:val="00467A3C"/>
    <w:rsid w:val="004702DC"/>
    <w:rsid w:val="00470B9B"/>
    <w:rsid w:val="00471921"/>
    <w:rsid w:val="00472111"/>
    <w:rsid w:val="00472364"/>
    <w:rsid w:val="0047292C"/>
    <w:rsid w:val="00473AF1"/>
    <w:rsid w:val="0047416A"/>
    <w:rsid w:val="0047545F"/>
    <w:rsid w:val="0047566C"/>
    <w:rsid w:val="004758EF"/>
    <w:rsid w:val="00476609"/>
    <w:rsid w:val="0047666A"/>
    <w:rsid w:val="00476724"/>
    <w:rsid w:val="00476B52"/>
    <w:rsid w:val="0048027C"/>
    <w:rsid w:val="00480965"/>
    <w:rsid w:val="00481D1E"/>
    <w:rsid w:val="00481D32"/>
    <w:rsid w:val="004821C0"/>
    <w:rsid w:val="004826DD"/>
    <w:rsid w:val="004829E5"/>
    <w:rsid w:val="00482AD7"/>
    <w:rsid w:val="0048319A"/>
    <w:rsid w:val="004837B2"/>
    <w:rsid w:val="00483C11"/>
    <w:rsid w:val="004843BD"/>
    <w:rsid w:val="00484EE3"/>
    <w:rsid w:val="004853E9"/>
    <w:rsid w:val="00485E59"/>
    <w:rsid w:val="00486054"/>
    <w:rsid w:val="00486439"/>
    <w:rsid w:val="00486BC1"/>
    <w:rsid w:val="00486CB8"/>
    <w:rsid w:val="00486E8E"/>
    <w:rsid w:val="0048737E"/>
    <w:rsid w:val="0048742D"/>
    <w:rsid w:val="004904B4"/>
    <w:rsid w:val="00490510"/>
    <w:rsid w:val="004905D3"/>
    <w:rsid w:val="00490C1F"/>
    <w:rsid w:val="00491B3E"/>
    <w:rsid w:val="00492576"/>
    <w:rsid w:val="004930AA"/>
    <w:rsid w:val="004953AB"/>
    <w:rsid w:val="0049613A"/>
    <w:rsid w:val="00496E13"/>
    <w:rsid w:val="00496E65"/>
    <w:rsid w:val="004A0083"/>
    <w:rsid w:val="004A00B4"/>
    <w:rsid w:val="004A04A2"/>
    <w:rsid w:val="004A113F"/>
    <w:rsid w:val="004A1732"/>
    <w:rsid w:val="004A1806"/>
    <w:rsid w:val="004A38CA"/>
    <w:rsid w:val="004A3D64"/>
    <w:rsid w:val="004A4223"/>
    <w:rsid w:val="004A4A81"/>
    <w:rsid w:val="004A51AA"/>
    <w:rsid w:val="004A6666"/>
    <w:rsid w:val="004A71A8"/>
    <w:rsid w:val="004A78E9"/>
    <w:rsid w:val="004A7A2F"/>
    <w:rsid w:val="004B11F7"/>
    <w:rsid w:val="004B15CE"/>
    <w:rsid w:val="004B1F0C"/>
    <w:rsid w:val="004B210F"/>
    <w:rsid w:val="004B2187"/>
    <w:rsid w:val="004B223D"/>
    <w:rsid w:val="004B3F8F"/>
    <w:rsid w:val="004B4325"/>
    <w:rsid w:val="004B4598"/>
    <w:rsid w:val="004B4DAC"/>
    <w:rsid w:val="004B5883"/>
    <w:rsid w:val="004B6B24"/>
    <w:rsid w:val="004C0059"/>
    <w:rsid w:val="004C019C"/>
    <w:rsid w:val="004C02F7"/>
    <w:rsid w:val="004C13D6"/>
    <w:rsid w:val="004C1658"/>
    <w:rsid w:val="004C18AB"/>
    <w:rsid w:val="004C1A52"/>
    <w:rsid w:val="004C293D"/>
    <w:rsid w:val="004C30AE"/>
    <w:rsid w:val="004C30D0"/>
    <w:rsid w:val="004C4195"/>
    <w:rsid w:val="004C4D8A"/>
    <w:rsid w:val="004C5C9E"/>
    <w:rsid w:val="004C60C4"/>
    <w:rsid w:val="004C6DC4"/>
    <w:rsid w:val="004D0574"/>
    <w:rsid w:val="004D05C7"/>
    <w:rsid w:val="004D06DF"/>
    <w:rsid w:val="004D121D"/>
    <w:rsid w:val="004D1508"/>
    <w:rsid w:val="004D1602"/>
    <w:rsid w:val="004D1932"/>
    <w:rsid w:val="004D22D8"/>
    <w:rsid w:val="004D26CB"/>
    <w:rsid w:val="004D3212"/>
    <w:rsid w:val="004D4536"/>
    <w:rsid w:val="004D4970"/>
    <w:rsid w:val="004D51B9"/>
    <w:rsid w:val="004D5351"/>
    <w:rsid w:val="004D537C"/>
    <w:rsid w:val="004D5525"/>
    <w:rsid w:val="004D6BF8"/>
    <w:rsid w:val="004D7FFC"/>
    <w:rsid w:val="004E0202"/>
    <w:rsid w:val="004E047F"/>
    <w:rsid w:val="004E150D"/>
    <w:rsid w:val="004E1EC2"/>
    <w:rsid w:val="004E2011"/>
    <w:rsid w:val="004E2452"/>
    <w:rsid w:val="004E29C4"/>
    <w:rsid w:val="004E30F3"/>
    <w:rsid w:val="004E339D"/>
    <w:rsid w:val="004E3E70"/>
    <w:rsid w:val="004E3FA0"/>
    <w:rsid w:val="004E52C3"/>
    <w:rsid w:val="004E5AFF"/>
    <w:rsid w:val="004E7CE5"/>
    <w:rsid w:val="004F1512"/>
    <w:rsid w:val="004F271C"/>
    <w:rsid w:val="004F316E"/>
    <w:rsid w:val="004F4147"/>
    <w:rsid w:val="004F5070"/>
    <w:rsid w:val="004F576E"/>
    <w:rsid w:val="004F5833"/>
    <w:rsid w:val="004F59EF"/>
    <w:rsid w:val="004F5A05"/>
    <w:rsid w:val="004F6BCC"/>
    <w:rsid w:val="004F6CD5"/>
    <w:rsid w:val="004F76D5"/>
    <w:rsid w:val="005006D2"/>
    <w:rsid w:val="00500B6D"/>
    <w:rsid w:val="00500E75"/>
    <w:rsid w:val="00500E8D"/>
    <w:rsid w:val="005018CA"/>
    <w:rsid w:val="00502FAF"/>
    <w:rsid w:val="00503A0E"/>
    <w:rsid w:val="005048B6"/>
    <w:rsid w:val="00504AEB"/>
    <w:rsid w:val="00505AC5"/>
    <w:rsid w:val="00507B2C"/>
    <w:rsid w:val="00510BD6"/>
    <w:rsid w:val="00510E96"/>
    <w:rsid w:val="00511000"/>
    <w:rsid w:val="005111BE"/>
    <w:rsid w:val="0051153B"/>
    <w:rsid w:val="005119A6"/>
    <w:rsid w:val="005119C8"/>
    <w:rsid w:val="005119FD"/>
    <w:rsid w:val="00511F0C"/>
    <w:rsid w:val="00512710"/>
    <w:rsid w:val="00512C44"/>
    <w:rsid w:val="00513496"/>
    <w:rsid w:val="00513586"/>
    <w:rsid w:val="0051447E"/>
    <w:rsid w:val="005148D7"/>
    <w:rsid w:val="0051553D"/>
    <w:rsid w:val="00516116"/>
    <w:rsid w:val="00516264"/>
    <w:rsid w:val="00517DC6"/>
    <w:rsid w:val="005204B5"/>
    <w:rsid w:val="00521AE7"/>
    <w:rsid w:val="00523151"/>
    <w:rsid w:val="00523158"/>
    <w:rsid w:val="005239E4"/>
    <w:rsid w:val="00523CEF"/>
    <w:rsid w:val="00523E47"/>
    <w:rsid w:val="005249DF"/>
    <w:rsid w:val="005259AA"/>
    <w:rsid w:val="00525A59"/>
    <w:rsid w:val="005261DE"/>
    <w:rsid w:val="005301AF"/>
    <w:rsid w:val="0053228F"/>
    <w:rsid w:val="00532BBD"/>
    <w:rsid w:val="005336EC"/>
    <w:rsid w:val="005337A3"/>
    <w:rsid w:val="005341E7"/>
    <w:rsid w:val="00534F06"/>
    <w:rsid w:val="00535E38"/>
    <w:rsid w:val="00536032"/>
    <w:rsid w:val="005363D6"/>
    <w:rsid w:val="005363F3"/>
    <w:rsid w:val="005369B7"/>
    <w:rsid w:val="00536E09"/>
    <w:rsid w:val="00536E42"/>
    <w:rsid w:val="00536F82"/>
    <w:rsid w:val="0053749E"/>
    <w:rsid w:val="0053777E"/>
    <w:rsid w:val="0053788A"/>
    <w:rsid w:val="005408C0"/>
    <w:rsid w:val="0054126B"/>
    <w:rsid w:val="00541C17"/>
    <w:rsid w:val="00541E0A"/>
    <w:rsid w:val="005426A4"/>
    <w:rsid w:val="00542813"/>
    <w:rsid w:val="005429DF"/>
    <w:rsid w:val="00542BFF"/>
    <w:rsid w:val="00542C76"/>
    <w:rsid w:val="00542F34"/>
    <w:rsid w:val="00546270"/>
    <w:rsid w:val="0054696D"/>
    <w:rsid w:val="00546E4A"/>
    <w:rsid w:val="00546EB8"/>
    <w:rsid w:val="00547038"/>
    <w:rsid w:val="005470FB"/>
    <w:rsid w:val="0054732F"/>
    <w:rsid w:val="0054780F"/>
    <w:rsid w:val="00547EC2"/>
    <w:rsid w:val="005501AE"/>
    <w:rsid w:val="0055153E"/>
    <w:rsid w:val="00551AC5"/>
    <w:rsid w:val="00551C03"/>
    <w:rsid w:val="00552E1D"/>
    <w:rsid w:val="00554085"/>
    <w:rsid w:val="00554A98"/>
    <w:rsid w:val="0055508E"/>
    <w:rsid w:val="00555E35"/>
    <w:rsid w:val="0055734C"/>
    <w:rsid w:val="00560372"/>
    <w:rsid w:val="00560728"/>
    <w:rsid w:val="00561D51"/>
    <w:rsid w:val="00562858"/>
    <w:rsid w:val="005634DC"/>
    <w:rsid w:val="0056366D"/>
    <w:rsid w:val="00564619"/>
    <w:rsid w:val="005649AF"/>
    <w:rsid w:val="00564D52"/>
    <w:rsid w:val="00565BC6"/>
    <w:rsid w:val="00565BD0"/>
    <w:rsid w:val="00567436"/>
    <w:rsid w:val="00567A4C"/>
    <w:rsid w:val="00567C8E"/>
    <w:rsid w:val="00570DA9"/>
    <w:rsid w:val="0057107A"/>
    <w:rsid w:val="00572850"/>
    <w:rsid w:val="00572A11"/>
    <w:rsid w:val="0057398B"/>
    <w:rsid w:val="00573FF2"/>
    <w:rsid w:val="0057408B"/>
    <w:rsid w:val="00574312"/>
    <w:rsid w:val="00574A0D"/>
    <w:rsid w:val="00575053"/>
    <w:rsid w:val="00575126"/>
    <w:rsid w:val="0057512F"/>
    <w:rsid w:val="00576681"/>
    <w:rsid w:val="00576BD8"/>
    <w:rsid w:val="0057704D"/>
    <w:rsid w:val="005805BF"/>
    <w:rsid w:val="00580E98"/>
    <w:rsid w:val="00581296"/>
    <w:rsid w:val="00582C6F"/>
    <w:rsid w:val="00583FAC"/>
    <w:rsid w:val="00584C55"/>
    <w:rsid w:val="00584EFD"/>
    <w:rsid w:val="00585AB5"/>
    <w:rsid w:val="005861F5"/>
    <w:rsid w:val="005869EA"/>
    <w:rsid w:val="00586FB5"/>
    <w:rsid w:val="00587319"/>
    <w:rsid w:val="00590820"/>
    <w:rsid w:val="005913D3"/>
    <w:rsid w:val="00592181"/>
    <w:rsid w:val="005925EE"/>
    <w:rsid w:val="00592B43"/>
    <w:rsid w:val="00592F56"/>
    <w:rsid w:val="0059336B"/>
    <w:rsid w:val="00593807"/>
    <w:rsid w:val="00593FB7"/>
    <w:rsid w:val="00595256"/>
    <w:rsid w:val="00595E3B"/>
    <w:rsid w:val="00596B70"/>
    <w:rsid w:val="00597005"/>
    <w:rsid w:val="00597960"/>
    <w:rsid w:val="005A022F"/>
    <w:rsid w:val="005A034D"/>
    <w:rsid w:val="005A145C"/>
    <w:rsid w:val="005A1DD1"/>
    <w:rsid w:val="005A2506"/>
    <w:rsid w:val="005A25CB"/>
    <w:rsid w:val="005A369C"/>
    <w:rsid w:val="005A4745"/>
    <w:rsid w:val="005A4BB1"/>
    <w:rsid w:val="005A59AE"/>
    <w:rsid w:val="005A66F2"/>
    <w:rsid w:val="005A6AFE"/>
    <w:rsid w:val="005A7030"/>
    <w:rsid w:val="005A755D"/>
    <w:rsid w:val="005A7B01"/>
    <w:rsid w:val="005B1AF5"/>
    <w:rsid w:val="005B1F4B"/>
    <w:rsid w:val="005B1F98"/>
    <w:rsid w:val="005B24E6"/>
    <w:rsid w:val="005B29D5"/>
    <w:rsid w:val="005B2FF6"/>
    <w:rsid w:val="005B376F"/>
    <w:rsid w:val="005B3B0B"/>
    <w:rsid w:val="005B460A"/>
    <w:rsid w:val="005B5243"/>
    <w:rsid w:val="005B5774"/>
    <w:rsid w:val="005B61F4"/>
    <w:rsid w:val="005B67CD"/>
    <w:rsid w:val="005B6824"/>
    <w:rsid w:val="005B6A75"/>
    <w:rsid w:val="005B705C"/>
    <w:rsid w:val="005B7A20"/>
    <w:rsid w:val="005C03BE"/>
    <w:rsid w:val="005C09D4"/>
    <w:rsid w:val="005C0D85"/>
    <w:rsid w:val="005C1A0F"/>
    <w:rsid w:val="005C1B5D"/>
    <w:rsid w:val="005C1D99"/>
    <w:rsid w:val="005C1F6C"/>
    <w:rsid w:val="005C284D"/>
    <w:rsid w:val="005C2A3A"/>
    <w:rsid w:val="005C3ADF"/>
    <w:rsid w:val="005C3BA0"/>
    <w:rsid w:val="005C4370"/>
    <w:rsid w:val="005C5359"/>
    <w:rsid w:val="005C54CD"/>
    <w:rsid w:val="005C55FE"/>
    <w:rsid w:val="005C6433"/>
    <w:rsid w:val="005D02D9"/>
    <w:rsid w:val="005D06F9"/>
    <w:rsid w:val="005D1BB8"/>
    <w:rsid w:val="005D25BC"/>
    <w:rsid w:val="005D2FCD"/>
    <w:rsid w:val="005D3D40"/>
    <w:rsid w:val="005D3E20"/>
    <w:rsid w:val="005D3E6A"/>
    <w:rsid w:val="005D48F7"/>
    <w:rsid w:val="005D53D9"/>
    <w:rsid w:val="005D58D0"/>
    <w:rsid w:val="005D5E51"/>
    <w:rsid w:val="005D5EB1"/>
    <w:rsid w:val="005E00DC"/>
    <w:rsid w:val="005E02F5"/>
    <w:rsid w:val="005E04E2"/>
    <w:rsid w:val="005E148F"/>
    <w:rsid w:val="005E1583"/>
    <w:rsid w:val="005E17EC"/>
    <w:rsid w:val="005E185B"/>
    <w:rsid w:val="005E22E3"/>
    <w:rsid w:val="005E298C"/>
    <w:rsid w:val="005E2A9E"/>
    <w:rsid w:val="005E3987"/>
    <w:rsid w:val="005E3F91"/>
    <w:rsid w:val="005E4A4E"/>
    <w:rsid w:val="005E4FAE"/>
    <w:rsid w:val="005E5665"/>
    <w:rsid w:val="005E69C1"/>
    <w:rsid w:val="005E6A00"/>
    <w:rsid w:val="005E6A63"/>
    <w:rsid w:val="005E6BB8"/>
    <w:rsid w:val="005E6E69"/>
    <w:rsid w:val="005E7EEB"/>
    <w:rsid w:val="005F193D"/>
    <w:rsid w:val="005F1942"/>
    <w:rsid w:val="005F2596"/>
    <w:rsid w:val="005F2D72"/>
    <w:rsid w:val="005F3A30"/>
    <w:rsid w:val="005F3F64"/>
    <w:rsid w:val="005F48B4"/>
    <w:rsid w:val="005F4CA6"/>
    <w:rsid w:val="005F5449"/>
    <w:rsid w:val="005F78C7"/>
    <w:rsid w:val="00602624"/>
    <w:rsid w:val="0060332B"/>
    <w:rsid w:val="00603695"/>
    <w:rsid w:val="006039C5"/>
    <w:rsid w:val="00605385"/>
    <w:rsid w:val="0060688C"/>
    <w:rsid w:val="00606C50"/>
    <w:rsid w:val="00606E14"/>
    <w:rsid w:val="006076A9"/>
    <w:rsid w:val="0060786F"/>
    <w:rsid w:val="006107F7"/>
    <w:rsid w:val="006109CC"/>
    <w:rsid w:val="00610D03"/>
    <w:rsid w:val="00611216"/>
    <w:rsid w:val="00611885"/>
    <w:rsid w:val="00611C3F"/>
    <w:rsid w:val="00612226"/>
    <w:rsid w:val="006122F5"/>
    <w:rsid w:val="006129D1"/>
    <w:rsid w:val="00613384"/>
    <w:rsid w:val="006138AA"/>
    <w:rsid w:val="00613C9A"/>
    <w:rsid w:val="00613DC8"/>
    <w:rsid w:val="006143EB"/>
    <w:rsid w:val="006148C6"/>
    <w:rsid w:val="00614A5D"/>
    <w:rsid w:val="0061502A"/>
    <w:rsid w:val="00615EFE"/>
    <w:rsid w:val="0061656C"/>
    <w:rsid w:val="0061692B"/>
    <w:rsid w:val="006207DC"/>
    <w:rsid w:val="00620A70"/>
    <w:rsid w:val="00622A06"/>
    <w:rsid w:val="00623291"/>
    <w:rsid w:val="00623FE4"/>
    <w:rsid w:val="00624453"/>
    <w:rsid w:val="0062452B"/>
    <w:rsid w:val="00624C08"/>
    <w:rsid w:val="00624C61"/>
    <w:rsid w:val="00624E42"/>
    <w:rsid w:val="00627547"/>
    <w:rsid w:val="0062771F"/>
    <w:rsid w:val="0062794B"/>
    <w:rsid w:val="00627F13"/>
    <w:rsid w:val="0063070C"/>
    <w:rsid w:val="00630949"/>
    <w:rsid w:val="00630B2F"/>
    <w:rsid w:val="00631196"/>
    <w:rsid w:val="00631613"/>
    <w:rsid w:val="00632123"/>
    <w:rsid w:val="006325B4"/>
    <w:rsid w:val="00632760"/>
    <w:rsid w:val="00633B83"/>
    <w:rsid w:val="00634592"/>
    <w:rsid w:val="00634856"/>
    <w:rsid w:val="0063486E"/>
    <w:rsid w:val="00634B8B"/>
    <w:rsid w:val="006352A8"/>
    <w:rsid w:val="0063569F"/>
    <w:rsid w:val="00636670"/>
    <w:rsid w:val="00637850"/>
    <w:rsid w:val="00637F8C"/>
    <w:rsid w:val="006426FA"/>
    <w:rsid w:val="00642A2D"/>
    <w:rsid w:val="00642A40"/>
    <w:rsid w:val="006432BE"/>
    <w:rsid w:val="006432F4"/>
    <w:rsid w:val="00644743"/>
    <w:rsid w:val="00645488"/>
    <w:rsid w:val="00646025"/>
    <w:rsid w:val="006460F5"/>
    <w:rsid w:val="00646272"/>
    <w:rsid w:val="00646D6D"/>
    <w:rsid w:val="00650579"/>
    <w:rsid w:val="006506C8"/>
    <w:rsid w:val="006506D8"/>
    <w:rsid w:val="006508DC"/>
    <w:rsid w:val="00651632"/>
    <w:rsid w:val="006522E8"/>
    <w:rsid w:val="0065294B"/>
    <w:rsid w:val="00652C8D"/>
    <w:rsid w:val="006531AC"/>
    <w:rsid w:val="0065390F"/>
    <w:rsid w:val="006539D0"/>
    <w:rsid w:val="00653C41"/>
    <w:rsid w:val="00653DF9"/>
    <w:rsid w:val="00654810"/>
    <w:rsid w:val="00654A03"/>
    <w:rsid w:val="00654A2D"/>
    <w:rsid w:val="00654AF5"/>
    <w:rsid w:val="006560F5"/>
    <w:rsid w:val="00656A39"/>
    <w:rsid w:val="00656F76"/>
    <w:rsid w:val="0065703C"/>
    <w:rsid w:val="00657A33"/>
    <w:rsid w:val="006601C1"/>
    <w:rsid w:val="00660C13"/>
    <w:rsid w:val="00660ECF"/>
    <w:rsid w:val="00660F4F"/>
    <w:rsid w:val="00661FA6"/>
    <w:rsid w:val="006631F6"/>
    <w:rsid w:val="00663232"/>
    <w:rsid w:val="006633F3"/>
    <w:rsid w:val="00663ECC"/>
    <w:rsid w:val="0066535D"/>
    <w:rsid w:val="0066564A"/>
    <w:rsid w:val="00665F52"/>
    <w:rsid w:val="006660C6"/>
    <w:rsid w:val="0066761D"/>
    <w:rsid w:val="00667A2E"/>
    <w:rsid w:val="00667D86"/>
    <w:rsid w:val="00667E62"/>
    <w:rsid w:val="006701DB"/>
    <w:rsid w:val="0067073A"/>
    <w:rsid w:val="00670A4B"/>
    <w:rsid w:val="00670BC0"/>
    <w:rsid w:val="0067201E"/>
    <w:rsid w:val="0067239D"/>
    <w:rsid w:val="006723C9"/>
    <w:rsid w:val="00672831"/>
    <w:rsid w:val="00672AF2"/>
    <w:rsid w:val="00672EB6"/>
    <w:rsid w:val="0067307A"/>
    <w:rsid w:val="006737C5"/>
    <w:rsid w:val="006739A9"/>
    <w:rsid w:val="00674B54"/>
    <w:rsid w:val="00674C13"/>
    <w:rsid w:val="0067503E"/>
    <w:rsid w:val="006751EC"/>
    <w:rsid w:val="006767A6"/>
    <w:rsid w:val="00676A7B"/>
    <w:rsid w:val="00676C80"/>
    <w:rsid w:val="00681F35"/>
    <w:rsid w:val="0068219D"/>
    <w:rsid w:val="006824B5"/>
    <w:rsid w:val="00682852"/>
    <w:rsid w:val="006839FA"/>
    <w:rsid w:val="00685505"/>
    <w:rsid w:val="00685C6C"/>
    <w:rsid w:val="00685C93"/>
    <w:rsid w:val="00686664"/>
    <w:rsid w:val="00686F55"/>
    <w:rsid w:val="00690F94"/>
    <w:rsid w:val="006914BE"/>
    <w:rsid w:val="00691E29"/>
    <w:rsid w:val="006922E0"/>
    <w:rsid w:val="00693432"/>
    <w:rsid w:val="00694B14"/>
    <w:rsid w:val="0069531F"/>
    <w:rsid w:val="00695ACC"/>
    <w:rsid w:val="00695FA8"/>
    <w:rsid w:val="00696260"/>
    <w:rsid w:val="0069631C"/>
    <w:rsid w:val="00697377"/>
    <w:rsid w:val="00697744"/>
    <w:rsid w:val="00697A5F"/>
    <w:rsid w:val="006A0CB6"/>
    <w:rsid w:val="006A21F1"/>
    <w:rsid w:val="006A22EA"/>
    <w:rsid w:val="006A388E"/>
    <w:rsid w:val="006A398A"/>
    <w:rsid w:val="006A3CD8"/>
    <w:rsid w:val="006A43B0"/>
    <w:rsid w:val="006A59B3"/>
    <w:rsid w:val="006A65D6"/>
    <w:rsid w:val="006A6C69"/>
    <w:rsid w:val="006A715E"/>
    <w:rsid w:val="006A777C"/>
    <w:rsid w:val="006A78EC"/>
    <w:rsid w:val="006A7D3F"/>
    <w:rsid w:val="006B05EE"/>
    <w:rsid w:val="006B092E"/>
    <w:rsid w:val="006B1608"/>
    <w:rsid w:val="006B2E38"/>
    <w:rsid w:val="006B33FA"/>
    <w:rsid w:val="006B416A"/>
    <w:rsid w:val="006B49B9"/>
    <w:rsid w:val="006B4A7D"/>
    <w:rsid w:val="006B5D47"/>
    <w:rsid w:val="006B5E75"/>
    <w:rsid w:val="006B60AD"/>
    <w:rsid w:val="006B6BD2"/>
    <w:rsid w:val="006B6F35"/>
    <w:rsid w:val="006B736C"/>
    <w:rsid w:val="006C00E3"/>
    <w:rsid w:val="006C02C8"/>
    <w:rsid w:val="006C12CF"/>
    <w:rsid w:val="006C24B1"/>
    <w:rsid w:val="006C2F6A"/>
    <w:rsid w:val="006C39DD"/>
    <w:rsid w:val="006C3D4F"/>
    <w:rsid w:val="006C548D"/>
    <w:rsid w:val="006C55CB"/>
    <w:rsid w:val="006C5714"/>
    <w:rsid w:val="006C576C"/>
    <w:rsid w:val="006C5A15"/>
    <w:rsid w:val="006C67A9"/>
    <w:rsid w:val="006C6A3C"/>
    <w:rsid w:val="006C6D84"/>
    <w:rsid w:val="006C707D"/>
    <w:rsid w:val="006C729B"/>
    <w:rsid w:val="006C7634"/>
    <w:rsid w:val="006C7739"/>
    <w:rsid w:val="006C7C15"/>
    <w:rsid w:val="006C7E35"/>
    <w:rsid w:val="006D0218"/>
    <w:rsid w:val="006D0DE3"/>
    <w:rsid w:val="006D0F3F"/>
    <w:rsid w:val="006D155F"/>
    <w:rsid w:val="006D1971"/>
    <w:rsid w:val="006D1E20"/>
    <w:rsid w:val="006D1F54"/>
    <w:rsid w:val="006D24FD"/>
    <w:rsid w:val="006D271C"/>
    <w:rsid w:val="006D283A"/>
    <w:rsid w:val="006D36BC"/>
    <w:rsid w:val="006D37D0"/>
    <w:rsid w:val="006D3C45"/>
    <w:rsid w:val="006D3F22"/>
    <w:rsid w:val="006D492A"/>
    <w:rsid w:val="006D4EC7"/>
    <w:rsid w:val="006D63E7"/>
    <w:rsid w:val="006D726A"/>
    <w:rsid w:val="006D769E"/>
    <w:rsid w:val="006E182B"/>
    <w:rsid w:val="006E2BFA"/>
    <w:rsid w:val="006E2D68"/>
    <w:rsid w:val="006E3995"/>
    <w:rsid w:val="006E4B5A"/>
    <w:rsid w:val="006E4E4B"/>
    <w:rsid w:val="006E5BE6"/>
    <w:rsid w:val="006E5DF7"/>
    <w:rsid w:val="006E6310"/>
    <w:rsid w:val="006E70FA"/>
    <w:rsid w:val="006E7FD5"/>
    <w:rsid w:val="006F10C3"/>
    <w:rsid w:val="006F1DE5"/>
    <w:rsid w:val="006F280B"/>
    <w:rsid w:val="006F3904"/>
    <w:rsid w:val="006F3B3D"/>
    <w:rsid w:val="006F4919"/>
    <w:rsid w:val="006F5098"/>
    <w:rsid w:val="006F5693"/>
    <w:rsid w:val="006F57C0"/>
    <w:rsid w:val="006F62F9"/>
    <w:rsid w:val="006F6D1C"/>
    <w:rsid w:val="006F6E82"/>
    <w:rsid w:val="006F71D7"/>
    <w:rsid w:val="006F7484"/>
    <w:rsid w:val="00701700"/>
    <w:rsid w:val="007019F2"/>
    <w:rsid w:val="00701BFD"/>
    <w:rsid w:val="0070322B"/>
    <w:rsid w:val="0070398B"/>
    <w:rsid w:val="00703BB3"/>
    <w:rsid w:val="00703C30"/>
    <w:rsid w:val="007045EA"/>
    <w:rsid w:val="00704879"/>
    <w:rsid w:val="00704BE6"/>
    <w:rsid w:val="00704E2B"/>
    <w:rsid w:val="00706447"/>
    <w:rsid w:val="007069D8"/>
    <w:rsid w:val="007079D2"/>
    <w:rsid w:val="00707A86"/>
    <w:rsid w:val="00710F5E"/>
    <w:rsid w:val="0071130B"/>
    <w:rsid w:val="007117CA"/>
    <w:rsid w:val="007148AD"/>
    <w:rsid w:val="00714D97"/>
    <w:rsid w:val="0071525C"/>
    <w:rsid w:val="007158E8"/>
    <w:rsid w:val="00716907"/>
    <w:rsid w:val="0071690E"/>
    <w:rsid w:val="00717504"/>
    <w:rsid w:val="007175B0"/>
    <w:rsid w:val="00717652"/>
    <w:rsid w:val="0071786D"/>
    <w:rsid w:val="007201EF"/>
    <w:rsid w:val="00720DF2"/>
    <w:rsid w:val="00720F6D"/>
    <w:rsid w:val="0072131B"/>
    <w:rsid w:val="00721536"/>
    <w:rsid w:val="00723130"/>
    <w:rsid w:val="00723792"/>
    <w:rsid w:val="007237C5"/>
    <w:rsid w:val="007239F6"/>
    <w:rsid w:val="00723B2D"/>
    <w:rsid w:val="00724819"/>
    <w:rsid w:val="00724B5B"/>
    <w:rsid w:val="00725B80"/>
    <w:rsid w:val="00725D85"/>
    <w:rsid w:val="007270B2"/>
    <w:rsid w:val="0072775B"/>
    <w:rsid w:val="007302FB"/>
    <w:rsid w:val="0073071F"/>
    <w:rsid w:val="007329A9"/>
    <w:rsid w:val="00733118"/>
    <w:rsid w:val="0073342B"/>
    <w:rsid w:val="00734284"/>
    <w:rsid w:val="00734AE3"/>
    <w:rsid w:val="00734C43"/>
    <w:rsid w:val="00736FE5"/>
    <w:rsid w:val="007374F3"/>
    <w:rsid w:val="00737670"/>
    <w:rsid w:val="00737C8A"/>
    <w:rsid w:val="00740979"/>
    <w:rsid w:val="00741189"/>
    <w:rsid w:val="00741CC5"/>
    <w:rsid w:val="00741CFA"/>
    <w:rsid w:val="00742533"/>
    <w:rsid w:val="00742963"/>
    <w:rsid w:val="00742BAA"/>
    <w:rsid w:val="00742FE0"/>
    <w:rsid w:val="00743E5C"/>
    <w:rsid w:val="007440F5"/>
    <w:rsid w:val="00744129"/>
    <w:rsid w:val="007443D4"/>
    <w:rsid w:val="007445BC"/>
    <w:rsid w:val="00744CC5"/>
    <w:rsid w:val="007451BA"/>
    <w:rsid w:val="00746993"/>
    <w:rsid w:val="007474D2"/>
    <w:rsid w:val="007504CA"/>
    <w:rsid w:val="007506A2"/>
    <w:rsid w:val="00750AF9"/>
    <w:rsid w:val="00750E58"/>
    <w:rsid w:val="00752497"/>
    <w:rsid w:val="007526F2"/>
    <w:rsid w:val="00752BF1"/>
    <w:rsid w:val="00753189"/>
    <w:rsid w:val="00753980"/>
    <w:rsid w:val="00753A49"/>
    <w:rsid w:val="00754CD0"/>
    <w:rsid w:val="007555D1"/>
    <w:rsid w:val="00755FA0"/>
    <w:rsid w:val="007575BA"/>
    <w:rsid w:val="00760489"/>
    <w:rsid w:val="0076058B"/>
    <w:rsid w:val="007605DC"/>
    <w:rsid w:val="007610BF"/>
    <w:rsid w:val="00761206"/>
    <w:rsid w:val="0076140A"/>
    <w:rsid w:val="007619DF"/>
    <w:rsid w:val="00762B41"/>
    <w:rsid w:val="00762F9D"/>
    <w:rsid w:val="007633FB"/>
    <w:rsid w:val="007636C1"/>
    <w:rsid w:val="00764BD8"/>
    <w:rsid w:val="007651DB"/>
    <w:rsid w:val="007655ED"/>
    <w:rsid w:val="007667C9"/>
    <w:rsid w:val="00766D11"/>
    <w:rsid w:val="00767004"/>
    <w:rsid w:val="00770632"/>
    <w:rsid w:val="00771805"/>
    <w:rsid w:val="0077259C"/>
    <w:rsid w:val="00772C24"/>
    <w:rsid w:val="00772E2F"/>
    <w:rsid w:val="00774292"/>
    <w:rsid w:val="00774D65"/>
    <w:rsid w:val="00774E78"/>
    <w:rsid w:val="00775EBE"/>
    <w:rsid w:val="00775F55"/>
    <w:rsid w:val="0077712C"/>
    <w:rsid w:val="007776FD"/>
    <w:rsid w:val="00777751"/>
    <w:rsid w:val="00777B4E"/>
    <w:rsid w:val="007804C2"/>
    <w:rsid w:val="00780CC9"/>
    <w:rsid w:val="007812B6"/>
    <w:rsid w:val="007813F8"/>
    <w:rsid w:val="00781652"/>
    <w:rsid w:val="007827DD"/>
    <w:rsid w:val="00782B63"/>
    <w:rsid w:val="0078449A"/>
    <w:rsid w:val="00784770"/>
    <w:rsid w:val="00784AC3"/>
    <w:rsid w:val="00787027"/>
    <w:rsid w:val="007875FA"/>
    <w:rsid w:val="00787623"/>
    <w:rsid w:val="00787752"/>
    <w:rsid w:val="007878F5"/>
    <w:rsid w:val="00787F02"/>
    <w:rsid w:val="00787FBB"/>
    <w:rsid w:val="007903FB"/>
    <w:rsid w:val="007913BD"/>
    <w:rsid w:val="007920DF"/>
    <w:rsid w:val="00792BD5"/>
    <w:rsid w:val="00793F53"/>
    <w:rsid w:val="00793FFE"/>
    <w:rsid w:val="007951D5"/>
    <w:rsid w:val="007956CD"/>
    <w:rsid w:val="007958C4"/>
    <w:rsid w:val="00795C8B"/>
    <w:rsid w:val="00796283"/>
    <w:rsid w:val="007963D3"/>
    <w:rsid w:val="0079788C"/>
    <w:rsid w:val="007A0500"/>
    <w:rsid w:val="007A18DB"/>
    <w:rsid w:val="007A18DC"/>
    <w:rsid w:val="007A1ED9"/>
    <w:rsid w:val="007A1F02"/>
    <w:rsid w:val="007A230D"/>
    <w:rsid w:val="007A2546"/>
    <w:rsid w:val="007A281A"/>
    <w:rsid w:val="007A2867"/>
    <w:rsid w:val="007A2DCD"/>
    <w:rsid w:val="007A3E1C"/>
    <w:rsid w:val="007A3F47"/>
    <w:rsid w:val="007A4A93"/>
    <w:rsid w:val="007A4AB4"/>
    <w:rsid w:val="007A5169"/>
    <w:rsid w:val="007A5283"/>
    <w:rsid w:val="007A54ED"/>
    <w:rsid w:val="007A57D4"/>
    <w:rsid w:val="007A66CE"/>
    <w:rsid w:val="007A6758"/>
    <w:rsid w:val="007A7FFD"/>
    <w:rsid w:val="007B00E0"/>
    <w:rsid w:val="007B105F"/>
    <w:rsid w:val="007B15A9"/>
    <w:rsid w:val="007B1776"/>
    <w:rsid w:val="007B1F45"/>
    <w:rsid w:val="007B219B"/>
    <w:rsid w:val="007B2AC8"/>
    <w:rsid w:val="007B32FD"/>
    <w:rsid w:val="007B7E1B"/>
    <w:rsid w:val="007C085C"/>
    <w:rsid w:val="007C14A1"/>
    <w:rsid w:val="007C17C4"/>
    <w:rsid w:val="007C20D9"/>
    <w:rsid w:val="007C2361"/>
    <w:rsid w:val="007C3794"/>
    <w:rsid w:val="007C3914"/>
    <w:rsid w:val="007C41B3"/>
    <w:rsid w:val="007C48EA"/>
    <w:rsid w:val="007C55EE"/>
    <w:rsid w:val="007C6101"/>
    <w:rsid w:val="007C675D"/>
    <w:rsid w:val="007C69E5"/>
    <w:rsid w:val="007C741E"/>
    <w:rsid w:val="007C7C1D"/>
    <w:rsid w:val="007C7DDB"/>
    <w:rsid w:val="007C7EC1"/>
    <w:rsid w:val="007D0622"/>
    <w:rsid w:val="007D09FD"/>
    <w:rsid w:val="007D0BC9"/>
    <w:rsid w:val="007D2CCD"/>
    <w:rsid w:val="007D4112"/>
    <w:rsid w:val="007D421E"/>
    <w:rsid w:val="007D49C0"/>
    <w:rsid w:val="007D4B22"/>
    <w:rsid w:val="007D500D"/>
    <w:rsid w:val="007D541E"/>
    <w:rsid w:val="007D578F"/>
    <w:rsid w:val="007D6556"/>
    <w:rsid w:val="007D67CA"/>
    <w:rsid w:val="007D71C9"/>
    <w:rsid w:val="007D7E6E"/>
    <w:rsid w:val="007E0679"/>
    <w:rsid w:val="007E0B0D"/>
    <w:rsid w:val="007E0C37"/>
    <w:rsid w:val="007E0EF0"/>
    <w:rsid w:val="007E167F"/>
    <w:rsid w:val="007E2165"/>
    <w:rsid w:val="007E2CD0"/>
    <w:rsid w:val="007E360E"/>
    <w:rsid w:val="007E3612"/>
    <w:rsid w:val="007E41D5"/>
    <w:rsid w:val="007E41F8"/>
    <w:rsid w:val="007E455F"/>
    <w:rsid w:val="007E61FC"/>
    <w:rsid w:val="007E7F9F"/>
    <w:rsid w:val="007F06E5"/>
    <w:rsid w:val="007F1AB3"/>
    <w:rsid w:val="007F2257"/>
    <w:rsid w:val="007F260D"/>
    <w:rsid w:val="007F27EF"/>
    <w:rsid w:val="007F2D21"/>
    <w:rsid w:val="007F2D6D"/>
    <w:rsid w:val="007F2F45"/>
    <w:rsid w:val="007F3ECF"/>
    <w:rsid w:val="007F45A5"/>
    <w:rsid w:val="007F4FBD"/>
    <w:rsid w:val="007F5778"/>
    <w:rsid w:val="007F588F"/>
    <w:rsid w:val="007F61E3"/>
    <w:rsid w:val="007F6A7F"/>
    <w:rsid w:val="007F6D25"/>
    <w:rsid w:val="007F776E"/>
    <w:rsid w:val="00800132"/>
    <w:rsid w:val="00800FA4"/>
    <w:rsid w:val="00801D70"/>
    <w:rsid w:val="00802094"/>
    <w:rsid w:val="0080378A"/>
    <w:rsid w:val="00803FD4"/>
    <w:rsid w:val="00804748"/>
    <w:rsid w:val="008048B5"/>
    <w:rsid w:val="00804AC9"/>
    <w:rsid w:val="0080516D"/>
    <w:rsid w:val="008051C1"/>
    <w:rsid w:val="00805BA1"/>
    <w:rsid w:val="00805E04"/>
    <w:rsid w:val="00810490"/>
    <w:rsid w:val="008106CE"/>
    <w:rsid w:val="00810725"/>
    <w:rsid w:val="00811064"/>
    <w:rsid w:val="00811105"/>
    <w:rsid w:val="00812037"/>
    <w:rsid w:val="008135F9"/>
    <w:rsid w:val="00814250"/>
    <w:rsid w:val="00814417"/>
    <w:rsid w:val="00814756"/>
    <w:rsid w:val="00816029"/>
    <w:rsid w:val="00816888"/>
    <w:rsid w:val="0081740E"/>
    <w:rsid w:val="0082039F"/>
    <w:rsid w:val="008211C0"/>
    <w:rsid w:val="00821872"/>
    <w:rsid w:val="00821AA7"/>
    <w:rsid w:val="00821FEF"/>
    <w:rsid w:val="00822061"/>
    <w:rsid w:val="008243C2"/>
    <w:rsid w:val="00824721"/>
    <w:rsid w:val="00824A85"/>
    <w:rsid w:val="0082597B"/>
    <w:rsid w:val="00827709"/>
    <w:rsid w:val="008279FD"/>
    <w:rsid w:val="008318FC"/>
    <w:rsid w:val="00831E53"/>
    <w:rsid w:val="00832357"/>
    <w:rsid w:val="008329F5"/>
    <w:rsid w:val="00833D8E"/>
    <w:rsid w:val="00833EBE"/>
    <w:rsid w:val="0083418E"/>
    <w:rsid w:val="00835A36"/>
    <w:rsid w:val="00835FA0"/>
    <w:rsid w:val="008368EA"/>
    <w:rsid w:val="00837A36"/>
    <w:rsid w:val="00840486"/>
    <w:rsid w:val="00840996"/>
    <w:rsid w:val="008410A5"/>
    <w:rsid w:val="008417D8"/>
    <w:rsid w:val="008417DD"/>
    <w:rsid w:val="00842440"/>
    <w:rsid w:val="00842C9E"/>
    <w:rsid w:val="00843C1C"/>
    <w:rsid w:val="00844E6E"/>
    <w:rsid w:val="00845681"/>
    <w:rsid w:val="008456C5"/>
    <w:rsid w:val="008458B1"/>
    <w:rsid w:val="00845D9D"/>
    <w:rsid w:val="0084610E"/>
    <w:rsid w:val="00846697"/>
    <w:rsid w:val="00846E1C"/>
    <w:rsid w:val="00851ED8"/>
    <w:rsid w:val="00852130"/>
    <w:rsid w:val="00852BC2"/>
    <w:rsid w:val="008530E6"/>
    <w:rsid w:val="008537A2"/>
    <w:rsid w:val="0085410D"/>
    <w:rsid w:val="00855FA7"/>
    <w:rsid w:val="00857C7B"/>
    <w:rsid w:val="008602D7"/>
    <w:rsid w:val="008612C4"/>
    <w:rsid w:val="008614CF"/>
    <w:rsid w:val="00861568"/>
    <w:rsid w:val="00861CD7"/>
    <w:rsid w:val="00861F94"/>
    <w:rsid w:val="00862838"/>
    <w:rsid w:val="00862952"/>
    <w:rsid w:val="00863552"/>
    <w:rsid w:val="008635EB"/>
    <w:rsid w:val="00863A13"/>
    <w:rsid w:val="00865980"/>
    <w:rsid w:val="00867688"/>
    <w:rsid w:val="00867FD2"/>
    <w:rsid w:val="008702A8"/>
    <w:rsid w:val="008703DE"/>
    <w:rsid w:val="0087088E"/>
    <w:rsid w:val="00871318"/>
    <w:rsid w:val="0087147E"/>
    <w:rsid w:val="00872581"/>
    <w:rsid w:val="008728CA"/>
    <w:rsid w:val="00873AB3"/>
    <w:rsid w:val="00875D00"/>
    <w:rsid w:val="00875D7C"/>
    <w:rsid w:val="00876000"/>
    <w:rsid w:val="008760CE"/>
    <w:rsid w:val="00876FCD"/>
    <w:rsid w:val="00877B77"/>
    <w:rsid w:val="00877EF5"/>
    <w:rsid w:val="008811E1"/>
    <w:rsid w:val="00881E4E"/>
    <w:rsid w:val="00881E6D"/>
    <w:rsid w:val="00881ED5"/>
    <w:rsid w:val="008824D1"/>
    <w:rsid w:val="00883C4F"/>
    <w:rsid w:val="00884933"/>
    <w:rsid w:val="0088583B"/>
    <w:rsid w:val="00885887"/>
    <w:rsid w:val="00885BBF"/>
    <w:rsid w:val="008862B4"/>
    <w:rsid w:val="008865ED"/>
    <w:rsid w:val="00886D47"/>
    <w:rsid w:val="008871DC"/>
    <w:rsid w:val="00887CAB"/>
    <w:rsid w:val="00887E13"/>
    <w:rsid w:val="008902F1"/>
    <w:rsid w:val="008912EC"/>
    <w:rsid w:val="00893240"/>
    <w:rsid w:val="0089357C"/>
    <w:rsid w:val="00893C6F"/>
    <w:rsid w:val="00893DB1"/>
    <w:rsid w:val="00894609"/>
    <w:rsid w:val="00894640"/>
    <w:rsid w:val="008951FD"/>
    <w:rsid w:val="0089620E"/>
    <w:rsid w:val="00897A9E"/>
    <w:rsid w:val="00897CCB"/>
    <w:rsid w:val="008A0635"/>
    <w:rsid w:val="008A10F8"/>
    <w:rsid w:val="008A2854"/>
    <w:rsid w:val="008A2DAB"/>
    <w:rsid w:val="008A2E65"/>
    <w:rsid w:val="008A3285"/>
    <w:rsid w:val="008A3332"/>
    <w:rsid w:val="008A5368"/>
    <w:rsid w:val="008A6627"/>
    <w:rsid w:val="008A7350"/>
    <w:rsid w:val="008A7D48"/>
    <w:rsid w:val="008B1093"/>
    <w:rsid w:val="008B25A6"/>
    <w:rsid w:val="008B3220"/>
    <w:rsid w:val="008B3303"/>
    <w:rsid w:val="008B5BB2"/>
    <w:rsid w:val="008B5C3C"/>
    <w:rsid w:val="008B6EDF"/>
    <w:rsid w:val="008C009A"/>
    <w:rsid w:val="008C0388"/>
    <w:rsid w:val="008C0690"/>
    <w:rsid w:val="008C0BA1"/>
    <w:rsid w:val="008C0CD2"/>
    <w:rsid w:val="008C1128"/>
    <w:rsid w:val="008C2597"/>
    <w:rsid w:val="008C4AE6"/>
    <w:rsid w:val="008C4F50"/>
    <w:rsid w:val="008C71EC"/>
    <w:rsid w:val="008D0060"/>
    <w:rsid w:val="008D03C8"/>
    <w:rsid w:val="008D06F2"/>
    <w:rsid w:val="008D10A5"/>
    <w:rsid w:val="008D32BB"/>
    <w:rsid w:val="008D525C"/>
    <w:rsid w:val="008D5777"/>
    <w:rsid w:val="008D65E6"/>
    <w:rsid w:val="008D6DE7"/>
    <w:rsid w:val="008D6EDD"/>
    <w:rsid w:val="008D73E2"/>
    <w:rsid w:val="008E1849"/>
    <w:rsid w:val="008E1BBC"/>
    <w:rsid w:val="008E1BCF"/>
    <w:rsid w:val="008E3568"/>
    <w:rsid w:val="008E412C"/>
    <w:rsid w:val="008E49FC"/>
    <w:rsid w:val="008E4A87"/>
    <w:rsid w:val="008E5220"/>
    <w:rsid w:val="008E5DDC"/>
    <w:rsid w:val="008E6797"/>
    <w:rsid w:val="008E688D"/>
    <w:rsid w:val="008F0564"/>
    <w:rsid w:val="008F06C8"/>
    <w:rsid w:val="008F1460"/>
    <w:rsid w:val="008F1ABC"/>
    <w:rsid w:val="008F1EFE"/>
    <w:rsid w:val="008F2B49"/>
    <w:rsid w:val="008F2C5E"/>
    <w:rsid w:val="008F2F74"/>
    <w:rsid w:val="008F45A7"/>
    <w:rsid w:val="008F47B0"/>
    <w:rsid w:val="008F4E48"/>
    <w:rsid w:val="008F4F4B"/>
    <w:rsid w:val="008F5D14"/>
    <w:rsid w:val="008F5F1D"/>
    <w:rsid w:val="008F6327"/>
    <w:rsid w:val="008F781B"/>
    <w:rsid w:val="008F7CCB"/>
    <w:rsid w:val="008F7FA0"/>
    <w:rsid w:val="009000F9"/>
    <w:rsid w:val="00900760"/>
    <w:rsid w:val="00900A6A"/>
    <w:rsid w:val="009010BC"/>
    <w:rsid w:val="009017B4"/>
    <w:rsid w:val="00901AA7"/>
    <w:rsid w:val="0090209B"/>
    <w:rsid w:val="00903271"/>
    <w:rsid w:val="00903408"/>
    <w:rsid w:val="0090422A"/>
    <w:rsid w:val="00904926"/>
    <w:rsid w:val="00904A57"/>
    <w:rsid w:val="00905CDC"/>
    <w:rsid w:val="009069B2"/>
    <w:rsid w:val="00906F94"/>
    <w:rsid w:val="009076B6"/>
    <w:rsid w:val="0090792B"/>
    <w:rsid w:val="00907B4F"/>
    <w:rsid w:val="00910742"/>
    <w:rsid w:val="00911160"/>
    <w:rsid w:val="0091142B"/>
    <w:rsid w:val="009116DF"/>
    <w:rsid w:val="0091254A"/>
    <w:rsid w:val="00912E66"/>
    <w:rsid w:val="00914BD9"/>
    <w:rsid w:val="00915CE8"/>
    <w:rsid w:val="00915D35"/>
    <w:rsid w:val="00915E92"/>
    <w:rsid w:val="009163DE"/>
    <w:rsid w:val="00917067"/>
    <w:rsid w:val="00920399"/>
    <w:rsid w:val="00920782"/>
    <w:rsid w:val="00921119"/>
    <w:rsid w:val="0092167B"/>
    <w:rsid w:val="00922452"/>
    <w:rsid w:val="00922490"/>
    <w:rsid w:val="00922828"/>
    <w:rsid w:val="00922A81"/>
    <w:rsid w:val="009231AF"/>
    <w:rsid w:val="00925651"/>
    <w:rsid w:val="00926127"/>
    <w:rsid w:val="00926643"/>
    <w:rsid w:val="009277CB"/>
    <w:rsid w:val="00927AE7"/>
    <w:rsid w:val="00931A0E"/>
    <w:rsid w:val="00931A51"/>
    <w:rsid w:val="00932199"/>
    <w:rsid w:val="0093260A"/>
    <w:rsid w:val="0093318F"/>
    <w:rsid w:val="00933624"/>
    <w:rsid w:val="009336A3"/>
    <w:rsid w:val="00933B1E"/>
    <w:rsid w:val="00933D2F"/>
    <w:rsid w:val="0093415E"/>
    <w:rsid w:val="009347AB"/>
    <w:rsid w:val="009353FF"/>
    <w:rsid w:val="0093549B"/>
    <w:rsid w:val="00937108"/>
    <w:rsid w:val="00940527"/>
    <w:rsid w:val="00940B45"/>
    <w:rsid w:val="00940B6B"/>
    <w:rsid w:val="00942564"/>
    <w:rsid w:val="00942A5B"/>
    <w:rsid w:val="00943087"/>
    <w:rsid w:val="009432A1"/>
    <w:rsid w:val="009438F8"/>
    <w:rsid w:val="009459D0"/>
    <w:rsid w:val="009460B9"/>
    <w:rsid w:val="009461F2"/>
    <w:rsid w:val="00946852"/>
    <w:rsid w:val="00946E2C"/>
    <w:rsid w:val="00946FB6"/>
    <w:rsid w:val="00947618"/>
    <w:rsid w:val="009513CA"/>
    <w:rsid w:val="00951B28"/>
    <w:rsid w:val="00951E29"/>
    <w:rsid w:val="00952B48"/>
    <w:rsid w:val="00952FA0"/>
    <w:rsid w:val="00953329"/>
    <w:rsid w:val="00953C47"/>
    <w:rsid w:val="00953C96"/>
    <w:rsid w:val="0095402D"/>
    <w:rsid w:val="00954DBD"/>
    <w:rsid w:val="0095627E"/>
    <w:rsid w:val="009566DC"/>
    <w:rsid w:val="009570B8"/>
    <w:rsid w:val="0096022F"/>
    <w:rsid w:val="0096082F"/>
    <w:rsid w:val="00960FB8"/>
    <w:rsid w:val="009613D1"/>
    <w:rsid w:val="00961CC3"/>
    <w:rsid w:val="00961DE1"/>
    <w:rsid w:val="00963B8E"/>
    <w:rsid w:val="00963CCA"/>
    <w:rsid w:val="00965782"/>
    <w:rsid w:val="0096586C"/>
    <w:rsid w:val="009664E7"/>
    <w:rsid w:val="00966679"/>
    <w:rsid w:val="00966821"/>
    <w:rsid w:val="00970037"/>
    <w:rsid w:val="009705B7"/>
    <w:rsid w:val="0097066F"/>
    <w:rsid w:val="009706E0"/>
    <w:rsid w:val="00970AAD"/>
    <w:rsid w:val="00971921"/>
    <w:rsid w:val="00972834"/>
    <w:rsid w:val="009739C7"/>
    <w:rsid w:val="009752AE"/>
    <w:rsid w:val="00975384"/>
    <w:rsid w:val="009757E6"/>
    <w:rsid w:val="009758A1"/>
    <w:rsid w:val="00975B56"/>
    <w:rsid w:val="00975FE3"/>
    <w:rsid w:val="00976137"/>
    <w:rsid w:val="00977B1E"/>
    <w:rsid w:val="00977E0D"/>
    <w:rsid w:val="00977EBF"/>
    <w:rsid w:val="00980222"/>
    <w:rsid w:val="009805ED"/>
    <w:rsid w:val="009809B1"/>
    <w:rsid w:val="00980E06"/>
    <w:rsid w:val="00980E85"/>
    <w:rsid w:val="0098120B"/>
    <w:rsid w:val="0098153E"/>
    <w:rsid w:val="00981991"/>
    <w:rsid w:val="00981D07"/>
    <w:rsid w:val="00981FFD"/>
    <w:rsid w:val="0098200C"/>
    <w:rsid w:val="00982206"/>
    <w:rsid w:val="009822C2"/>
    <w:rsid w:val="009826C9"/>
    <w:rsid w:val="00982C22"/>
    <w:rsid w:val="009835BA"/>
    <w:rsid w:val="009847EB"/>
    <w:rsid w:val="00984EE0"/>
    <w:rsid w:val="00985316"/>
    <w:rsid w:val="009856F3"/>
    <w:rsid w:val="00985B0F"/>
    <w:rsid w:val="00986EDA"/>
    <w:rsid w:val="00987BC7"/>
    <w:rsid w:val="00990006"/>
    <w:rsid w:val="00990350"/>
    <w:rsid w:val="009905AC"/>
    <w:rsid w:val="0099073B"/>
    <w:rsid w:val="0099091B"/>
    <w:rsid w:val="00990BDF"/>
    <w:rsid w:val="00990CD3"/>
    <w:rsid w:val="00990FF0"/>
    <w:rsid w:val="00991783"/>
    <w:rsid w:val="00991D48"/>
    <w:rsid w:val="00992288"/>
    <w:rsid w:val="009924B9"/>
    <w:rsid w:val="00993098"/>
    <w:rsid w:val="00993841"/>
    <w:rsid w:val="00993926"/>
    <w:rsid w:val="0099393B"/>
    <w:rsid w:val="00993EE8"/>
    <w:rsid w:val="009948A7"/>
    <w:rsid w:val="009950BF"/>
    <w:rsid w:val="009953AA"/>
    <w:rsid w:val="00995423"/>
    <w:rsid w:val="009A0045"/>
    <w:rsid w:val="009A2328"/>
    <w:rsid w:val="009A24A8"/>
    <w:rsid w:val="009A341F"/>
    <w:rsid w:val="009A34D9"/>
    <w:rsid w:val="009A35CB"/>
    <w:rsid w:val="009A4B1F"/>
    <w:rsid w:val="009A4B31"/>
    <w:rsid w:val="009A50E0"/>
    <w:rsid w:val="009A53B1"/>
    <w:rsid w:val="009A6A0A"/>
    <w:rsid w:val="009A71C9"/>
    <w:rsid w:val="009A7485"/>
    <w:rsid w:val="009B030D"/>
    <w:rsid w:val="009B14F9"/>
    <w:rsid w:val="009B2603"/>
    <w:rsid w:val="009B341B"/>
    <w:rsid w:val="009B3D9B"/>
    <w:rsid w:val="009B4235"/>
    <w:rsid w:val="009B43B4"/>
    <w:rsid w:val="009B4770"/>
    <w:rsid w:val="009B4D54"/>
    <w:rsid w:val="009B4F0D"/>
    <w:rsid w:val="009B532F"/>
    <w:rsid w:val="009B57CB"/>
    <w:rsid w:val="009B59EE"/>
    <w:rsid w:val="009B5CA7"/>
    <w:rsid w:val="009B658F"/>
    <w:rsid w:val="009B6CEB"/>
    <w:rsid w:val="009B7093"/>
    <w:rsid w:val="009B7371"/>
    <w:rsid w:val="009B7E22"/>
    <w:rsid w:val="009B7EEC"/>
    <w:rsid w:val="009C270C"/>
    <w:rsid w:val="009C295A"/>
    <w:rsid w:val="009C329B"/>
    <w:rsid w:val="009C4823"/>
    <w:rsid w:val="009C4BF6"/>
    <w:rsid w:val="009C500E"/>
    <w:rsid w:val="009C5291"/>
    <w:rsid w:val="009C6110"/>
    <w:rsid w:val="009C75C8"/>
    <w:rsid w:val="009C7CBF"/>
    <w:rsid w:val="009D0F7E"/>
    <w:rsid w:val="009D1711"/>
    <w:rsid w:val="009D18CC"/>
    <w:rsid w:val="009D1FAA"/>
    <w:rsid w:val="009D55C2"/>
    <w:rsid w:val="009D59B8"/>
    <w:rsid w:val="009D5BE8"/>
    <w:rsid w:val="009D63EA"/>
    <w:rsid w:val="009D6889"/>
    <w:rsid w:val="009D6C28"/>
    <w:rsid w:val="009D6D7D"/>
    <w:rsid w:val="009D7160"/>
    <w:rsid w:val="009E078F"/>
    <w:rsid w:val="009E0C91"/>
    <w:rsid w:val="009E0E6F"/>
    <w:rsid w:val="009E223C"/>
    <w:rsid w:val="009E2345"/>
    <w:rsid w:val="009E2F22"/>
    <w:rsid w:val="009E58E6"/>
    <w:rsid w:val="009E5915"/>
    <w:rsid w:val="009E594F"/>
    <w:rsid w:val="009E5A13"/>
    <w:rsid w:val="009E5EF2"/>
    <w:rsid w:val="009E5F08"/>
    <w:rsid w:val="009E65D5"/>
    <w:rsid w:val="009E6F0D"/>
    <w:rsid w:val="009E778C"/>
    <w:rsid w:val="009F0783"/>
    <w:rsid w:val="009F31BF"/>
    <w:rsid w:val="009F4929"/>
    <w:rsid w:val="009F50EF"/>
    <w:rsid w:val="009F56FF"/>
    <w:rsid w:val="009F58A0"/>
    <w:rsid w:val="009F5F31"/>
    <w:rsid w:val="009F7F1F"/>
    <w:rsid w:val="00A00089"/>
    <w:rsid w:val="00A02562"/>
    <w:rsid w:val="00A02FA8"/>
    <w:rsid w:val="00A02FDE"/>
    <w:rsid w:val="00A053AC"/>
    <w:rsid w:val="00A05CB5"/>
    <w:rsid w:val="00A063B1"/>
    <w:rsid w:val="00A06E56"/>
    <w:rsid w:val="00A1012A"/>
    <w:rsid w:val="00A106AD"/>
    <w:rsid w:val="00A11040"/>
    <w:rsid w:val="00A12499"/>
    <w:rsid w:val="00A1254C"/>
    <w:rsid w:val="00A12670"/>
    <w:rsid w:val="00A12F0E"/>
    <w:rsid w:val="00A1361F"/>
    <w:rsid w:val="00A13922"/>
    <w:rsid w:val="00A13BA9"/>
    <w:rsid w:val="00A14018"/>
    <w:rsid w:val="00A14DC0"/>
    <w:rsid w:val="00A14DFB"/>
    <w:rsid w:val="00A1526C"/>
    <w:rsid w:val="00A16267"/>
    <w:rsid w:val="00A16C04"/>
    <w:rsid w:val="00A206FE"/>
    <w:rsid w:val="00A2182F"/>
    <w:rsid w:val="00A218B6"/>
    <w:rsid w:val="00A22C5E"/>
    <w:rsid w:val="00A23592"/>
    <w:rsid w:val="00A240B7"/>
    <w:rsid w:val="00A2414F"/>
    <w:rsid w:val="00A243F9"/>
    <w:rsid w:val="00A247A7"/>
    <w:rsid w:val="00A24E66"/>
    <w:rsid w:val="00A25939"/>
    <w:rsid w:val="00A25CA4"/>
    <w:rsid w:val="00A25DE0"/>
    <w:rsid w:val="00A2630B"/>
    <w:rsid w:val="00A27726"/>
    <w:rsid w:val="00A279C4"/>
    <w:rsid w:val="00A31059"/>
    <w:rsid w:val="00A31CDA"/>
    <w:rsid w:val="00A322BC"/>
    <w:rsid w:val="00A32525"/>
    <w:rsid w:val="00A3318A"/>
    <w:rsid w:val="00A33B43"/>
    <w:rsid w:val="00A341B9"/>
    <w:rsid w:val="00A34ACB"/>
    <w:rsid w:val="00A34FEF"/>
    <w:rsid w:val="00A3526B"/>
    <w:rsid w:val="00A35752"/>
    <w:rsid w:val="00A372CD"/>
    <w:rsid w:val="00A373EC"/>
    <w:rsid w:val="00A37759"/>
    <w:rsid w:val="00A37F5A"/>
    <w:rsid w:val="00A4047C"/>
    <w:rsid w:val="00A40BBE"/>
    <w:rsid w:val="00A4116E"/>
    <w:rsid w:val="00A417D6"/>
    <w:rsid w:val="00A41C3E"/>
    <w:rsid w:val="00A41ECC"/>
    <w:rsid w:val="00A42885"/>
    <w:rsid w:val="00A429AE"/>
    <w:rsid w:val="00A435C0"/>
    <w:rsid w:val="00A43D56"/>
    <w:rsid w:val="00A441DD"/>
    <w:rsid w:val="00A448F1"/>
    <w:rsid w:val="00A44964"/>
    <w:rsid w:val="00A45B85"/>
    <w:rsid w:val="00A45D85"/>
    <w:rsid w:val="00A45FA0"/>
    <w:rsid w:val="00A46588"/>
    <w:rsid w:val="00A46A1D"/>
    <w:rsid w:val="00A47284"/>
    <w:rsid w:val="00A47761"/>
    <w:rsid w:val="00A479DE"/>
    <w:rsid w:val="00A47D21"/>
    <w:rsid w:val="00A47DFF"/>
    <w:rsid w:val="00A50E18"/>
    <w:rsid w:val="00A517F7"/>
    <w:rsid w:val="00A51CC8"/>
    <w:rsid w:val="00A53054"/>
    <w:rsid w:val="00A534AF"/>
    <w:rsid w:val="00A53ED2"/>
    <w:rsid w:val="00A545C3"/>
    <w:rsid w:val="00A5535A"/>
    <w:rsid w:val="00A55832"/>
    <w:rsid w:val="00A55F0B"/>
    <w:rsid w:val="00A565B2"/>
    <w:rsid w:val="00A572DC"/>
    <w:rsid w:val="00A60201"/>
    <w:rsid w:val="00A6042B"/>
    <w:rsid w:val="00A60ADA"/>
    <w:rsid w:val="00A60B2A"/>
    <w:rsid w:val="00A6133A"/>
    <w:rsid w:val="00A618FC"/>
    <w:rsid w:val="00A61EEC"/>
    <w:rsid w:val="00A62751"/>
    <w:rsid w:val="00A63599"/>
    <w:rsid w:val="00A63B6C"/>
    <w:rsid w:val="00A65D65"/>
    <w:rsid w:val="00A667D3"/>
    <w:rsid w:val="00A674BB"/>
    <w:rsid w:val="00A6766B"/>
    <w:rsid w:val="00A67791"/>
    <w:rsid w:val="00A67820"/>
    <w:rsid w:val="00A703AB"/>
    <w:rsid w:val="00A705AA"/>
    <w:rsid w:val="00A7112A"/>
    <w:rsid w:val="00A72112"/>
    <w:rsid w:val="00A72B3C"/>
    <w:rsid w:val="00A72BEC"/>
    <w:rsid w:val="00A7317F"/>
    <w:rsid w:val="00A73241"/>
    <w:rsid w:val="00A73748"/>
    <w:rsid w:val="00A737FB"/>
    <w:rsid w:val="00A73EDE"/>
    <w:rsid w:val="00A740F7"/>
    <w:rsid w:val="00A74AB0"/>
    <w:rsid w:val="00A74CEC"/>
    <w:rsid w:val="00A7502D"/>
    <w:rsid w:val="00A75298"/>
    <w:rsid w:val="00A758D5"/>
    <w:rsid w:val="00A75A20"/>
    <w:rsid w:val="00A763D2"/>
    <w:rsid w:val="00A77032"/>
    <w:rsid w:val="00A771E4"/>
    <w:rsid w:val="00A804B2"/>
    <w:rsid w:val="00A808C3"/>
    <w:rsid w:val="00A82914"/>
    <w:rsid w:val="00A84717"/>
    <w:rsid w:val="00A84C99"/>
    <w:rsid w:val="00A84F2E"/>
    <w:rsid w:val="00A85222"/>
    <w:rsid w:val="00A86A1D"/>
    <w:rsid w:val="00A87840"/>
    <w:rsid w:val="00A90010"/>
    <w:rsid w:val="00A90C64"/>
    <w:rsid w:val="00A90DA2"/>
    <w:rsid w:val="00A91363"/>
    <w:rsid w:val="00A914EA"/>
    <w:rsid w:val="00A91616"/>
    <w:rsid w:val="00A91B71"/>
    <w:rsid w:val="00A91D58"/>
    <w:rsid w:val="00A92357"/>
    <w:rsid w:val="00A92415"/>
    <w:rsid w:val="00A92472"/>
    <w:rsid w:val="00A92939"/>
    <w:rsid w:val="00A95A26"/>
    <w:rsid w:val="00A95A8D"/>
    <w:rsid w:val="00A95B9D"/>
    <w:rsid w:val="00AA1158"/>
    <w:rsid w:val="00AA16CD"/>
    <w:rsid w:val="00AA349D"/>
    <w:rsid w:val="00AA368F"/>
    <w:rsid w:val="00AA4B07"/>
    <w:rsid w:val="00AA532A"/>
    <w:rsid w:val="00AA5568"/>
    <w:rsid w:val="00AA5FAA"/>
    <w:rsid w:val="00AA63E7"/>
    <w:rsid w:val="00AA7507"/>
    <w:rsid w:val="00AB0862"/>
    <w:rsid w:val="00AB0A7C"/>
    <w:rsid w:val="00AB0E48"/>
    <w:rsid w:val="00AB14A5"/>
    <w:rsid w:val="00AB1B69"/>
    <w:rsid w:val="00AB24F0"/>
    <w:rsid w:val="00AB25BB"/>
    <w:rsid w:val="00AB2D64"/>
    <w:rsid w:val="00AB47F8"/>
    <w:rsid w:val="00AB4D7E"/>
    <w:rsid w:val="00AB4FAB"/>
    <w:rsid w:val="00AB53EC"/>
    <w:rsid w:val="00AB54ED"/>
    <w:rsid w:val="00AB5F74"/>
    <w:rsid w:val="00AB6C00"/>
    <w:rsid w:val="00AB7DE2"/>
    <w:rsid w:val="00AC0ECB"/>
    <w:rsid w:val="00AC0FD0"/>
    <w:rsid w:val="00AC161E"/>
    <w:rsid w:val="00AC2BE5"/>
    <w:rsid w:val="00AC3D78"/>
    <w:rsid w:val="00AC49EC"/>
    <w:rsid w:val="00AC49EF"/>
    <w:rsid w:val="00AC50E9"/>
    <w:rsid w:val="00AC5BAB"/>
    <w:rsid w:val="00AC72C3"/>
    <w:rsid w:val="00AD0BC4"/>
    <w:rsid w:val="00AD0D77"/>
    <w:rsid w:val="00AD1B46"/>
    <w:rsid w:val="00AD2A19"/>
    <w:rsid w:val="00AD3019"/>
    <w:rsid w:val="00AD36C4"/>
    <w:rsid w:val="00AD5354"/>
    <w:rsid w:val="00AD5A2D"/>
    <w:rsid w:val="00AD6B1C"/>
    <w:rsid w:val="00AD6BB1"/>
    <w:rsid w:val="00AD6F4B"/>
    <w:rsid w:val="00AD7C1B"/>
    <w:rsid w:val="00AD7CA7"/>
    <w:rsid w:val="00AD7E56"/>
    <w:rsid w:val="00AE093A"/>
    <w:rsid w:val="00AE2F46"/>
    <w:rsid w:val="00AE32F2"/>
    <w:rsid w:val="00AE3A28"/>
    <w:rsid w:val="00AE3C10"/>
    <w:rsid w:val="00AE4798"/>
    <w:rsid w:val="00AE5B41"/>
    <w:rsid w:val="00AE5F55"/>
    <w:rsid w:val="00AE6012"/>
    <w:rsid w:val="00AE664C"/>
    <w:rsid w:val="00AE76A1"/>
    <w:rsid w:val="00AF04CC"/>
    <w:rsid w:val="00AF0BD6"/>
    <w:rsid w:val="00AF0CF7"/>
    <w:rsid w:val="00AF1CAD"/>
    <w:rsid w:val="00AF1DF6"/>
    <w:rsid w:val="00AF2385"/>
    <w:rsid w:val="00AF26FD"/>
    <w:rsid w:val="00AF29CC"/>
    <w:rsid w:val="00AF2CB4"/>
    <w:rsid w:val="00AF3260"/>
    <w:rsid w:val="00AF37D8"/>
    <w:rsid w:val="00AF3858"/>
    <w:rsid w:val="00AF3A30"/>
    <w:rsid w:val="00AF3CF7"/>
    <w:rsid w:val="00AF4766"/>
    <w:rsid w:val="00AF47C7"/>
    <w:rsid w:val="00AF4B2D"/>
    <w:rsid w:val="00AF4B2F"/>
    <w:rsid w:val="00AF5192"/>
    <w:rsid w:val="00AF51A3"/>
    <w:rsid w:val="00AF5A20"/>
    <w:rsid w:val="00AF6163"/>
    <w:rsid w:val="00AF68B8"/>
    <w:rsid w:val="00AF6E9E"/>
    <w:rsid w:val="00B001E8"/>
    <w:rsid w:val="00B002D8"/>
    <w:rsid w:val="00B00C28"/>
    <w:rsid w:val="00B00D9C"/>
    <w:rsid w:val="00B01C51"/>
    <w:rsid w:val="00B01CC4"/>
    <w:rsid w:val="00B027F5"/>
    <w:rsid w:val="00B02BF5"/>
    <w:rsid w:val="00B03880"/>
    <w:rsid w:val="00B03B2B"/>
    <w:rsid w:val="00B04B60"/>
    <w:rsid w:val="00B04C28"/>
    <w:rsid w:val="00B05415"/>
    <w:rsid w:val="00B05B4F"/>
    <w:rsid w:val="00B061C7"/>
    <w:rsid w:val="00B06622"/>
    <w:rsid w:val="00B069C7"/>
    <w:rsid w:val="00B06AA6"/>
    <w:rsid w:val="00B10289"/>
    <w:rsid w:val="00B105E9"/>
    <w:rsid w:val="00B10B7A"/>
    <w:rsid w:val="00B1216B"/>
    <w:rsid w:val="00B152A5"/>
    <w:rsid w:val="00B15637"/>
    <w:rsid w:val="00B15AB4"/>
    <w:rsid w:val="00B15AED"/>
    <w:rsid w:val="00B16190"/>
    <w:rsid w:val="00B16E74"/>
    <w:rsid w:val="00B200F2"/>
    <w:rsid w:val="00B20AB3"/>
    <w:rsid w:val="00B21B3F"/>
    <w:rsid w:val="00B223B9"/>
    <w:rsid w:val="00B227E1"/>
    <w:rsid w:val="00B24235"/>
    <w:rsid w:val="00B24C21"/>
    <w:rsid w:val="00B256FE"/>
    <w:rsid w:val="00B259EE"/>
    <w:rsid w:val="00B25B40"/>
    <w:rsid w:val="00B25EC0"/>
    <w:rsid w:val="00B25F1D"/>
    <w:rsid w:val="00B26769"/>
    <w:rsid w:val="00B26813"/>
    <w:rsid w:val="00B26AC6"/>
    <w:rsid w:val="00B26EA3"/>
    <w:rsid w:val="00B2724C"/>
    <w:rsid w:val="00B27540"/>
    <w:rsid w:val="00B27EC2"/>
    <w:rsid w:val="00B30D3B"/>
    <w:rsid w:val="00B30EEF"/>
    <w:rsid w:val="00B33A25"/>
    <w:rsid w:val="00B343DF"/>
    <w:rsid w:val="00B3479E"/>
    <w:rsid w:val="00B3511F"/>
    <w:rsid w:val="00B3523E"/>
    <w:rsid w:val="00B3531F"/>
    <w:rsid w:val="00B35479"/>
    <w:rsid w:val="00B3668D"/>
    <w:rsid w:val="00B36C15"/>
    <w:rsid w:val="00B36E44"/>
    <w:rsid w:val="00B36EEE"/>
    <w:rsid w:val="00B37483"/>
    <w:rsid w:val="00B410BB"/>
    <w:rsid w:val="00B41C18"/>
    <w:rsid w:val="00B41DF0"/>
    <w:rsid w:val="00B428D3"/>
    <w:rsid w:val="00B429CD"/>
    <w:rsid w:val="00B42A02"/>
    <w:rsid w:val="00B42E08"/>
    <w:rsid w:val="00B43B38"/>
    <w:rsid w:val="00B4477B"/>
    <w:rsid w:val="00B4478D"/>
    <w:rsid w:val="00B44EA1"/>
    <w:rsid w:val="00B45F59"/>
    <w:rsid w:val="00B47574"/>
    <w:rsid w:val="00B50353"/>
    <w:rsid w:val="00B508AD"/>
    <w:rsid w:val="00B50F86"/>
    <w:rsid w:val="00B53268"/>
    <w:rsid w:val="00B53323"/>
    <w:rsid w:val="00B53EDC"/>
    <w:rsid w:val="00B547B0"/>
    <w:rsid w:val="00B555FA"/>
    <w:rsid w:val="00B56240"/>
    <w:rsid w:val="00B576E1"/>
    <w:rsid w:val="00B60B78"/>
    <w:rsid w:val="00B60F95"/>
    <w:rsid w:val="00B61034"/>
    <w:rsid w:val="00B614F6"/>
    <w:rsid w:val="00B6206A"/>
    <w:rsid w:val="00B62148"/>
    <w:rsid w:val="00B62580"/>
    <w:rsid w:val="00B6260D"/>
    <w:rsid w:val="00B628CB"/>
    <w:rsid w:val="00B62A12"/>
    <w:rsid w:val="00B62ECE"/>
    <w:rsid w:val="00B63C92"/>
    <w:rsid w:val="00B63DA7"/>
    <w:rsid w:val="00B6477E"/>
    <w:rsid w:val="00B6700B"/>
    <w:rsid w:val="00B67538"/>
    <w:rsid w:val="00B70069"/>
    <w:rsid w:val="00B70ED6"/>
    <w:rsid w:val="00B7123E"/>
    <w:rsid w:val="00B718D2"/>
    <w:rsid w:val="00B72015"/>
    <w:rsid w:val="00B724F6"/>
    <w:rsid w:val="00B729ED"/>
    <w:rsid w:val="00B72D12"/>
    <w:rsid w:val="00B73136"/>
    <w:rsid w:val="00B739B0"/>
    <w:rsid w:val="00B739CB"/>
    <w:rsid w:val="00B766D1"/>
    <w:rsid w:val="00B76933"/>
    <w:rsid w:val="00B76A20"/>
    <w:rsid w:val="00B76F55"/>
    <w:rsid w:val="00B77E34"/>
    <w:rsid w:val="00B802DF"/>
    <w:rsid w:val="00B802F1"/>
    <w:rsid w:val="00B81219"/>
    <w:rsid w:val="00B8208F"/>
    <w:rsid w:val="00B83C5B"/>
    <w:rsid w:val="00B83D3E"/>
    <w:rsid w:val="00B841C9"/>
    <w:rsid w:val="00B84229"/>
    <w:rsid w:val="00B84250"/>
    <w:rsid w:val="00B846BA"/>
    <w:rsid w:val="00B868F4"/>
    <w:rsid w:val="00B87824"/>
    <w:rsid w:val="00B90107"/>
    <w:rsid w:val="00B90DCA"/>
    <w:rsid w:val="00B913F1"/>
    <w:rsid w:val="00B915D3"/>
    <w:rsid w:val="00B927B5"/>
    <w:rsid w:val="00B92C66"/>
    <w:rsid w:val="00B9375C"/>
    <w:rsid w:val="00B93971"/>
    <w:rsid w:val="00B941B2"/>
    <w:rsid w:val="00B94987"/>
    <w:rsid w:val="00B95378"/>
    <w:rsid w:val="00B9542F"/>
    <w:rsid w:val="00B95535"/>
    <w:rsid w:val="00B962C1"/>
    <w:rsid w:val="00B96C4A"/>
    <w:rsid w:val="00B97A40"/>
    <w:rsid w:val="00BA02F3"/>
    <w:rsid w:val="00BA08BE"/>
    <w:rsid w:val="00BA20EE"/>
    <w:rsid w:val="00BA29CC"/>
    <w:rsid w:val="00BA2C84"/>
    <w:rsid w:val="00BA3445"/>
    <w:rsid w:val="00BA39D3"/>
    <w:rsid w:val="00BA3D94"/>
    <w:rsid w:val="00BA4631"/>
    <w:rsid w:val="00BA4A31"/>
    <w:rsid w:val="00BA4BA2"/>
    <w:rsid w:val="00BA5B06"/>
    <w:rsid w:val="00BA5F15"/>
    <w:rsid w:val="00BA6A58"/>
    <w:rsid w:val="00BB03D1"/>
    <w:rsid w:val="00BB0893"/>
    <w:rsid w:val="00BB0913"/>
    <w:rsid w:val="00BB0D1E"/>
    <w:rsid w:val="00BB1559"/>
    <w:rsid w:val="00BB2323"/>
    <w:rsid w:val="00BB2756"/>
    <w:rsid w:val="00BB38E1"/>
    <w:rsid w:val="00BB3DF1"/>
    <w:rsid w:val="00BB47F6"/>
    <w:rsid w:val="00BB4E68"/>
    <w:rsid w:val="00BB510A"/>
    <w:rsid w:val="00BB76FB"/>
    <w:rsid w:val="00BC006C"/>
    <w:rsid w:val="00BC0289"/>
    <w:rsid w:val="00BC029F"/>
    <w:rsid w:val="00BC0726"/>
    <w:rsid w:val="00BC0CB8"/>
    <w:rsid w:val="00BC1942"/>
    <w:rsid w:val="00BC1E23"/>
    <w:rsid w:val="00BC2662"/>
    <w:rsid w:val="00BC332A"/>
    <w:rsid w:val="00BC3AA4"/>
    <w:rsid w:val="00BC4206"/>
    <w:rsid w:val="00BC4D0A"/>
    <w:rsid w:val="00BC599D"/>
    <w:rsid w:val="00BC5F53"/>
    <w:rsid w:val="00BC6556"/>
    <w:rsid w:val="00BC7019"/>
    <w:rsid w:val="00BC7494"/>
    <w:rsid w:val="00BC7815"/>
    <w:rsid w:val="00BD0B74"/>
    <w:rsid w:val="00BD0C2E"/>
    <w:rsid w:val="00BD1062"/>
    <w:rsid w:val="00BD10E2"/>
    <w:rsid w:val="00BD142D"/>
    <w:rsid w:val="00BD15FF"/>
    <w:rsid w:val="00BD2127"/>
    <w:rsid w:val="00BD2284"/>
    <w:rsid w:val="00BD293D"/>
    <w:rsid w:val="00BD2DB6"/>
    <w:rsid w:val="00BD2EB8"/>
    <w:rsid w:val="00BD39B1"/>
    <w:rsid w:val="00BD40FA"/>
    <w:rsid w:val="00BD49CA"/>
    <w:rsid w:val="00BD4FB2"/>
    <w:rsid w:val="00BD5A74"/>
    <w:rsid w:val="00BD64C1"/>
    <w:rsid w:val="00BD6FF5"/>
    <w:rsid w:val="00BD7028"/>
    <w:rsid w:val="00BD79F5"/>
    <w:rsid w:val="00BD7EEC"/>
    <w:rsid w:val="00BE0273"/>
    <w:rsid w:val="00BE02DE"/>
    <w:rsid w:val="00BE0CAA"/>
    <w:rsid w:val="00BE21A6"/>
    <w:rsid w:val="00BE2E5B"/>
    <w:rsid w:val="00BE4BE1"/>
    <w:rsid w:val="00BE52D3"/>
    <w:rsid w:val="00BE5677"/>
    <w:rsid w:val="00BE6A3E"/>
    <w:rsid w:val="00BE6BDC"/>
    <w:rsid w:val="00BE7BF5"/>
    <w:rsid w:val="00BE7C06"/>
    <w:rsid w:val="00BE7F53"/>
    <w:rsid w:val="00BE7FD6"/>
    <w:rsid w:val="00BF0179"/>
    <w:rsid w:val="00BF0801"/>
    <w:rsid w:val="00BF0C04"/>
    <w:rsid w:val="00BF2329"/>
    <w:rsid w:val="00BF284F"/>
    <w:rsid w:val="00BF2C85"/>
    <w:rsid w:val="00BF2EB5"/>
    <w:rsid w:val="00BF3093"/>
    <w:rsid w:val="00BF3135"/>
    <w:rsid w:val="00BF3826"/>
    <w:rsid w:val="00BF3936"/>
    <w:rsid w:val="00BF4872"/>
    <w:rsid w:val="00BF4AB4"/>
    <w:rsid w:val="00BF5199"/>
    <w:rsid w:val="00BF626B"/>
    <w:rsid w:val="00BF73E4"/>
    <w:rsid w:val="00BF7674"/>
    <w:rsid w:val="00BF776C"/>
    <w:rsid w:val="00BF7A75"/>
    <w:rsid w:val="00C00085"/>
    <w:rsid w:val="00C0040D"/>
    <w:rsid w:val="00C011A8"/>
    <w:rsid w:val="00C01A24"/>
    <w:rsid w:val="00C01A71"/>
    <w:rsid w:val="00C01D5E"/>
    <w:rsid w:val="00C027F2"/>
    <w:rsid w:val="00C034B7"/>
    <w:rsid w:val="00C03B95"/>
    <w:rsid w:val="00C0465F"/>
    <w:rsid w:val="00C04926"/>
    <w:rsid w:val="00C04F82"/>
    <w:rsid w:val="00C06C54"/>
    <w:rsid w:val="00C06C56"/>
    <w:rsid w:val="00C07439"/>
    <w:rsid w:val="00C07C73"/>
    <w:rsid w:val="00C07CB1"/>
    <w:rsid w:val="00C07DE7"/>
    <w:rsid w:val="00C11966"/>
    <w:rsid w:val="00C11B47"/>
    <w:rsid w:val="00C124FB"/>
    <w:rsid w:val="00C12C8B"/>
    <w:rsid w:val="00C12E36"/>
    <w:rsid w:val="00C1376D"/>
    <w:rsid w:val="00C13B9B"/>
    <w:rsid w:val="00C13E06"/>
    <w:rsid w:val="00C14391"/>
    <w:rsid w:val="00C1449C"/>
    <w:rsid w:val="00C152CF"/>
    <w:rsid w:val="00C16331"/>
    <w:rsid w:val="00C16968"/>
    <w:rsid w:val="00C16CB3"/>
    <w:rsid w:val="00C170CB"/>
    <w:rsid w:val="00C21D4C"/>
    <w:rsid w:val="00C21DC1"/>
    <w:rsid w:val="00C21E81"/>
    <w:rsid w:val="00C22183"/>
    <w:rsid w:val="00C23D0B"/>
    <w:rsid w:val="00C23D72"/>
    <w:rsid w:val="00C253DB"/>
    <w:rsid w:val="00C253EA"/>
    <w:rsid w:val="00C27099"/>
    <w:rsid w:val="00C2787E"/>
    <w:rsid w:val="00C30085"/>
    <w:rsid w:val="00C317AC"/>
    <w:rsid w:val="00C3219C"/>
    <w:rsid w:val="00C32D2B"/>
    <w:rsid w:val="00C32F2E"/>
    <w:rsid w:val="00C33655"/>
    <w:rsid w:val="00C3379E"/>
    <w:rsid w:val="00C341B9"/>
    <w:rsid w:val="00C349E7"/>
    <w:rsid w:val="00C34A97"/>
    <w:rsid w:val="00C367CC"/>
    <w:rsid w:val="00C369D2"/>
    <w:rsid w:val="00C37394"/>
    <w:rsid w:val="00C37A73"/>
    <w:rsid w:val="00C37DEA"/>
    <w:rsid w:val="00C403C9"/>
    <w:rsid w:val="00C410A1"/>
    <w:rsid w:val="00C411BC"/>
    <w:rsid w:val="00C41CA8"/>
    <w:rsid w:val="00C428E9"/>
    <w:rsid w:val="00C429CA"/>
    <w:rsid w:val="00C43326"/>
    <w:rsid w:val="00C43651"/>
    <w:rsid w:val="00C437F3"/>
    <w:rsid w:val="00C449B2"/>
    <w:rsid w:val="00C44B64"/>
    <w:rsid w:val="00C44F3F"/>
    <w:rsid w:val="00C4591D"/>
    <w:rsid w:val="00C45C7C"/>
    <w:rsid w:val="00C463C7"/>
    <w:rsid w:val="00C47EB0"/>
    <w:rsid w:val="00C523DA"/>
    <w:rsid w:val="00C52401"/>
    <w:rsid w:val="00C52A99"/>
    <w:rsid w:val="00C53115"/>
    <w:rsid w:val="00C55264"/>
    <w:rsid w:val="00C5684B"/>
    <w:rsid w:val="00C56ADB"/>
    <w:rsid w:val="00C571BC"/>
    <w:rsid w:val="00C5749F"/>
    <w:rsid w:val="00C60382"/>
    <w:rsid w:val="00C6057D"/>
    <w:rsid w:val="00C61242"/>
    <w:rsid w:val="00C61270"/>
    <w:rsid w:val="00C6134E"/>
    <w:rsid w:val="00C614FF"/>
    <w:rsid w:val="00C631CE"/>
    <w:rsid w:val="00C63F63"/>
    <w:rsid w:val="00C6438A"/>
    <w:rsid w:val="00C645DB"/>
    <w:rsid w:val="00C64DE2"/>
    <w:rsid w:val="00C651E9"/>
    <w:rsid w:val="00C656B8"/>
    <w:rsid w:val="00C661EC"/>
    <w:rsid w:val="00C66B5D"/>
    <w:rsid w:val="00C70A8B"/>
    <w:rsid w:val="00C71978"/>
    <w:rsid w:val="00C72155"/>
    <w:rsid w:val="00C73D57"/>
    <w:rsid w:val="00C740D9"/>
    <w:rsid w:val="00C74343"/>
    <w:rsid w:val="00C75456"/>
    <w:rsid w:val="00C75F83"/>
    <w:rsid w:val="00C7748E"/>
    <w:rsid w:val="00C775DF"/>
    <w:rsid w:val="00C77D76"/>
    <w:rsid w:val="00C80420"/>
    <w:rsid w:val="00C80AED"/>
    <w:rsid w:val="00C81F78"/>
    <w:rsid w:val="00C82753"/>
    <w:rsid w:val="00C82FA1"/>
    <w:rsid w:val="00C84EEC"/>
    <w:rsid w:val="00C850BE"/>
    <w:rsid w:val="00C8577D"/>
    <w:rsid w:val="00C87E69"/>
    <w:rsid w:val="00C90558"/>
    <w:rsid w:val="00C905BA"/>
    <w:rsid w:val="00C907E6"/>
    <w:rsid w:val="00C90CF0"/>
    <w:rsid w:val="00C91599"/>
    <w:rsid w:val="00C9244C"/>
    <w:rsid w:val="00C9283A"/>
    <w:rsid w:val="00C94037"/>
    <w:rsid w:val="00C946A9"/>
    <w:rsid w:val="00C94F9B"/>
    <w:rsid w:val="00C95A93"/>
    <w:rsid w:val="00C95E20"/>
    <w:rsid w:val="00C965DA"/>
    <w:rsid w:val="00C96FFB"/>
    <w:rsid w:val="00C97A8F"/>
    <w:rsid w:val="00C97B2E"/>
    <w:rsid w:val="00CA0003"/>
    <w:rsid w:val="00CA030A"/>
    <w:rsid w:val="00CA13A6"/>
    <w:rsid w:val="00CA213D"/>
    <w:rsid w:val="00CA21A7"/>
    <w:rsid w:val="00CA25DC"/>
    <w:rsid w:val="00CA28A1"/>
    <w:rsid w:val="00CA2F28"/>
    <w:rsid w:val="00CA337C"/>
    <w:rsid w:val="00CA3A57"/>
    <w:rsid w:val="00CA3BB2"/>
    <w:rsid w:val="00CA5F54"/>
    <w:rsid w:val="00CA7611"/>
    <w:rsid w:val="00CA7864"/>
    <w:rsid w:val="00CA7D44"/>
    <w:rsid w:val="00CB0544"/>
    <w:rsid w:val="00CB05ED"/>
    <w:rsid w:val="00CB0B7B"/>
    <w:rsid w:val="00CB0B9F"/>
    <w:rsid w:val="00CB0E5D"/>
    <w:rsid w:val="00CB21A6"/>
    <w:rsid w:val="00CB3F03"/>
    <w:rsid w:val="00CB42C3"/>
    <w:rsid w:val="00CB491D"/>
    <w:rsid w:val="00CB4CFE"/>
    <w:rsid w:val="00CB5AC5"/>
    <w:rsid w:val="00CB5E72"/>
    <w:rsid w:val="00CB5FED"/>
    <w:rsid w:val="00CC1066"/>
    <w:rsid w:val="00CC1880"/>
    <w:rsid w:val="00CC1C60"/>
    <w:rsid w:val="00CC2AEE"/>
    <w:rsid w:val="00CC3128"/>
    <w:rsid w:val="00CC32C4"/>
    <w:rsid w:val="00CC33B2"/>
    <w:rsid w:val="00CC4335"/>
    <w:rsid w:val="00CC4660"/>
    <w:rsid w:val="00CC46C6"/>
    <w:rsid w:val="00CC4BB6"/>
    <w:rsid w:val="00CC4FE3"/>
    <w:rsid w:val="00CC70F7"/>
    <w:rsid w:val="00CC74AC"/>
    <w:rsid w:val="00CD10B9"/>
    <w:rsid w:val="00CD1381"/>
    <w:rsid w:val="00CD13C8"/>
    <w:rsid w:val="00CD154F"/>
    <w:rsid w:val="00CD1556"/>
    <w:rsid w:val="00CD2897"/>
    <w:rsid w:val="00CD2AF4"/>
    <w:rsid w:val="00CD36E2"/>
    <w:rsid w:val="00CD3800"/>
    <w:rsid w:val="00CD4D17"/>
    <w:rsid w:val="00CD5090"/>
    <w:rsid w:val="00CD5D22"/>
    <w:rsid w:val="00CD5E7E"/>
    <w:rsid w:val="00CD6E8B"/>
    <w:rsid w:val="00CD7281"/>
    <w:rsid w:val="00CD736A"/>
    <w:rsid w:val="00CD7AC6"/>
    <w:rsid w:val="00CD7ED8"/>
    <w:rsid w:val="00CE0423"/>
    <w:rsid w:val="00CE0830"/>
    <w:rsid w:val="00CE0BC6"/>
    <w:rsid w:val="00CE1C89"/>
    <w:rsid w:val="00CE288B"/>
    <w:rsid w:val="00CE3A32"/>
    <w:rsid w:val="00CE3A89"/>
    <w:rsid w:val="00CE5A83"/>
    <w:rsid w:val="00CE64DB"/>
    <w:rsid w:val="00CE6CE2"/>
    <w:rsid w:val="00CE7513"/>
    <w:rsid w:val="00CE7E1A"/>
    <w:rsid w:val="00CF08F7"/>
    <w:rsid w:val="00CF0C99"/>
    <w:rsid w:val="00CF0FE2"/>
    <w:rsid w:val="00CF108D"/>
    <w:rsid w:val="00CF10B9"/>
    <w:rsid w:val="00CF1163"/>
    <w:rsid w:val="00CF17DE"/>
    <w:rsid w:val="00CF24B9"/>
    <w:rsid w:val="00CF421D"/>
    <w:rsid w:val="00CF444B"/>
    <w:rsid w:val="00CF46F4"/>
    <w:rsid w:val="00CF4B99"/>
    <w:rsid w:val="00CF4CB3"/>
    <w:rsid w:val="00CF57A8"/>
    <w:rsid w:val="00CF5E69"/>
    <w:rsid w:val="00CF5FC4"/>
    <w:rsid w:val="00CF6EFD"/>
    <w:rsid w:val="00CF7428"/>
    <w:rsid w:val="00CF7552"/>
    <w:rsid w:val="00D0048E"/>
    <w:rsid w:val="00D00EC2"/>
    <w:rsid w:val="00D01244"/>
    <w:rsid w:val="00D0178F"/>
    <w:rsid w:val="00D01B2C"/>
    <w:rsid w:val="00D01FF6"/>
    <w:rsid w:val="00D02274"/>
    <w:rsid w:val="00D02A97"/>
    <w:rsid w:val="00D02E06"/>
    <w:rsid w:val="00D035DD"/>
    <w:rsid w:val="00D04151"/>
    <w:rsid w:val="00D0484A"/>
    <w:rsid w:val="00D04EBF"/>
    <w:rsid w:val="00D05133"/>
    <w:rsid w:val="00D05F01"/>
    <w:rsid w:val="00D0696B"/>
    <w:rsid w:val="00D06A64"/>
    <w:rsid w:val="00D06B3E"/>
    <w:rsid w:val="00D075D7"/>
    <w:rsid w:val="00D07D28"/>
    <w:rsid w:val="00D116E9"/>
    <w:rsid w:val="00D1176C"/>
    <w:rsid w:val="00D11E6A"/>
    <w:rsid w:val="00D137B9"/>
    <w:rsid w:val="00D14FCB"/>
    <w:rsid w:val="00D1529E"/>
    <w:rsid w:val="00D16192"/>
    <w:rsid w:val="00D201E5"/>
    <w:rsid w:val="00D20B09"/>
    <w:rsid w:val="00D20B7A"/>
    <w:rsid w:val="00D20DC8"/>
    <w:rsid w:val="00D20F6C"/>
    <w:rsid w:val="00D21378"/>
    <w:rsid w:val="00D22295"/>
    <w:rsid w:val="00D2293E"/>
    <w:rsid w:val="00D22AA4"/>
    <w:rsid w:val="00D234D3"/>
    <w:rsid w:val="00D24543"/>
    <w:rsid w:val="00D24920"/>
    <w:rsid w:val="00D2578C"/>
    <w:rsid w:val="00D25FD2"/>
    <w:rsid w:val="00D27FEF"/>
    <w:rsid w:val="00D30434"/>
    <w:rsid w:val="00D305F0"/>
    <w:rsid w:val="00D30B78"/>
    <w:rsid w:val="00D30F97"/>
    <w:rsid w:val="00D328EB"/>
    <w:rsid w:val="00D33AAB"/>
    <w:rsid w:val="00D340E3"/>
    <w:rsid w:val="00D34E39"/>
    <w:rsid w:val="00D34EC2"/>
    <w:rsid w:val="00D35C14"/>
    <w:rsid w:val="00D3702B"/>
    <w:rsid w:val="00D3715B"/>
    <w:rsid w:val="00D3738F"/>
    <w:rsid w:val="00D37499"/>
    <w:rsid w:val="00D3795B"/>
    <w:rsid w:val="00D40BE3"/>
    <w:rsid w:val="00D40D5A"/>
    <w:rsid w:val="00D4104C"/>
    <w:rsid w:val="00D41A3A"/>
    <w:rsid w:val="00D41ACC"/>
    <w:rsid w:val="00D41F8C"/>
    <w:rsid w:val="00D442CC"/>
    <w:rsid w:val="00D44A5C"/>
    <w:rsid w:val="00D44C07"/>
    <w:rsid w:val="00D44C1B"/>
    <w:rsid w:val="00D45544"/>
    <w:rsid w:val="00D45815"/>
    <w:rsid w:val="00D45FF3"/>
    <w:rsid w:val="00D462F0"/>
    <w:rsid w:val="00D46749"/>
    <w:rsid w:val="00D4678D"/>
    <w:rsid w:val="00D46F89"/>
    <w:rsid w:val="00D4767C"/>
    <w:rsid w:val="00D47C3A"/>
    <w:rsid w:val="00D50032"/>
    <w:rsid w:val="00D515F8"/>
    <w:rsid w:val="00D5198F"/>
    <w:rsid w:val="00D51D44"/>
    <w:rsid w:val="00D5224F"/>
    <w:rsid w:val="00D52724"/>
    <w:rsid w:val="00D52F2C"/>
    <w:rsid w:val="00D532A4"/>
    <w:rsid w:val="00D53584"/>
    <w:rsid w:val="00D54D2D"/>
    <w:rsid w:val="00D54DBA"/>
    <w:rsid w:val="00D55B9F"/>
    <w:rsid w:val="00D567B0"/>
    <w:rsid w:val="00D56888"/>
    <w:rsid w:val="00D56C25"/>
    <w:rsid w:val="00D56F4F"/>
    <w:rsid w:val="00D606D6"/>
    <w:rsid w:val="00D60EF6"/>
    <w:rsid w:val="00D610A2"/>
    <w:rsid w:val="00D62CD7"/>
    <w:rsid w:val="00D63441"/>
    <w:rsid w:val="00D63E19"/>
    <w:rsid w:val="00D6410B"/>
    <w:rsid w:val="00D649C1"/>
    <w:rsid w:val="00D64A4A"/>
    <w:rsid w:val="00D64BA9"/>
    <w:rsid w:val="00D64E2D"/>
    <w:rsid w:val="00D64E9D"/>
    <w:rsid w:val="00D654DE"/>
    <w:rsid w:val="00D6559F"/>
    <w:rsid w:val="00D65A36"/>
    <w:rsid w:val="00D66D5C"/>
    <w:rsid w:val="00D67A8A"/>
    <w:rsid w:val="00D67F77"/>
    <w:rsid w:val="00D70460"/>
    <w:rsid w:val="00D70688"/>
    <w:rsid w:val="00D71374"/>
    <w:rsid w:val="00D71D36"/>
    <w:rsid w:val="00D72561"/>
    <w:rsid w:val="00D72B52"/>
    <w:rsid w:val="00D72F1D"/>
    <w:rsid w:val="00D7318F"/>
    <w:rsid w:val="00D7372C"/>
    <w:rsid w:val="00D73B20"/>
    <w:rsid w:val="00D7403D"/>
    <w:rsid w:val="00D743FC"/>
    <w:rsid w:val="00D74A16"/>
    <w:rsid w:val="00D74D5E"/>
    <w:rsid w:val="00D755DC"/>
    <w:rsid w:val="00D75895"/>
    <w:rsid w:val="00D76162"/>
    <w:rsid w:val="00D762E1"/>
    <w:rsid w:val="00D76820"/>
    <w:rsid w:val="00D76B04"/>
    <w:rsid w:val="00D77000"/>
    <w:rsid w:val="00D773AB"/>
    <w:rsid w:val="00D775B7"/>
    <w:rsid w:val="00D77BC6"/>
    <w:rsid w:val="00D77DC5"/>
    <w:rsid w:val="00D803E6"/>
    <w:rsid w:val="00D804E3"/>
    <w:rsid w:val="00D8087E"/>
    <w:rsid w:val="00D81943"/>
    <w:rsid w:val="00D81E33"/>
    <w:rsid w:val="00D822FD"/>
    <w:rsid w:val="00D826E9"/>
    <w:rsid w:val="00D84997"/>
    <w:rsid w:val="00D84F6D"/>
    <w:rsid w:val="00D85050"/>
    <w:rsid w:val="00D865A9"/>
    <w:rsid w:val="00D86643"/>
    <w:rsid w:val="00D86C2D"/>
    <w:rsid w:val="00D87543"/>
    <w:rsid w:val="00D87749"/>
    <w:rsid w:val="00D904A5"/>
    <w:rsid w:val="00D90DA0"/>
    <w:rsid w:val="00D90F8D"/>
    <w:rsid w:val="00D915D3"/>
    <w:rsid w:val="00D915D9"/>
    <w:rsid w:val="00D9189E"/>
    <w:rsid w:val="00D92700"/>
    <w:rsid w:val="00D92955"/>
    <w:rsid w:val="00D92B38"/>
    <w:rsid w:val="00D92F9B"/>
    <w:rsid w:val="00D93A90"/>
    <w:rsid w:val="00D93E0F"/>
    <w:rsid w:val="00D94821"/>
    <w:rsid w:val="00D95366"/>
    <w:rsid w:val="00D95DD5"/>
    <w:rsid w:val="00D97309"/>
    <w:rsid w:val="00D97447"/>
    <w:rsid w:val="00D9759A"/>
    <w:rsid w:val="00D97D9A"/>
    <w:rsid w:val="00DA0415"/>
    <w:rsid w:val="00DA093B"/>
    <w:rsid w:val="00DA1983"/>
    <w:rsid w:val="00DA1F66"/>
    <w:rsid w:val="00DA2472"/>
    <w:rsid w:val="00DA25E1"/>
    <w:rsid w:val="00DA2C15"/>
    <w:rsid w:val="00DA33AC"/>
    <w:rsid w:val="00DA3592"/>
    <w:rsid w:val="00DA3D85"/>
    <w:rsid w:val="00DA4277"/>
    <w:rsid w:val="00DA4573"/>
    <w:rsid w:val="00DA5B35"/>
    <w:rsid w:val="00DA6211"/>
    <w:rsid w:val="00DA6B3E"/>
    <w:rsid w:val="00DA6C1A"/>
    <w:rsid w:val="00DA6C35"/>
    <w:rsid w:val="00DA71C3"/>
    <w:rsid w:val="00DA77FA"/>
    <w:rsid w:val="00DB0527"/>
    <w:rsid w:val="00DB08CE"/>
    <w:rsid w:val="00DB0CFE"/>
    <w:rsid w:val="00DB1F22"/>
    <w:rsid w:val="00DB27EE"/>
    <w:rsid w:val="00DB2D88"/>
    <w:rsid w:val="00DB2EC1"/>
    <w:rsid w:val="00DB3589"/>
    <w:rsid w:val="00DB3E8C"/>
    <w:rsid w:val="00DB46B9"/>
    <w:rsid w:val="00DB5D30"/>
    <w:rsid w:val="00DB619F"/>
    <w:rsid w:val="00DB6422"/>
    <w:rsid w:val="00DB67B9"/>
    <w:rsid w:val="00DB6AE7"/>
    <w:rsid w:val="00DB6DB3"/>
    <w:rsid w:val="00DB6F2C"/>
    <w:rsid w:val="00DB7BF2"/>
    <w:rsid w:val="00DC0C2A"/>
    <w:rsid w:val="00DC1080"/>
    <w:rsid w:val="00DC1459"/>
    <w:rsid w:val="00DC1B80"/>
    <w:rsid w:val="00DC1CB6"/>
    <w:rsid w:val="00DC4094"/>
    <w:rsid w:val="00DC4F7B"/>
    <w:rsid w:val="00DC5C84"/>
    <w:rsid w:val="00DC6041"/>
    <w:rsid w:val="00DC71D4"/>
    <w:rsid w:val="00DC7BAC"/>
    <w:rsid w:val="00DC7E3D"/>
    <w:rsid w:val="00DC7E73"/>
    <w:rsid w:val="00DD0455"/>
    <w:rsid w:val="00DD108C"/>
    <w:rsid w:val="00DD1586"/>
    <w:rsid w:val="00DD201A"/>
    <w:rsid w:val="00DD3F17"/>
    <w:rsid w:val="00DD49A5"/>
    <w:rsid w:val="00DD6BB8"/>
    <w:rsid w:val="00DD7259"/>
    <w:rsid w:val="00DD74CA"/>
    <w:rsid w:val="00DD757B"/>
    <w:rsid w:val="00DE0257"/>
    <w:rsid w:val="00DE0CB9"/>
    <w:rsid w:val="00DE16CD"/>
    <w:rsid w:val="00DE2048"/>
    <w:rsid w:val="00DE2823"/>
    <w:rsid w:val="00DE2CB8"/>
    <w:rsid w:val="00DE3F4F"/>
    <w:rsid w:val="00DE42EB"/>
    <w:rsid w:val="00DE57AF"/>
    <w:rsid w:val="00DE59F3"/>
    <w:rsid w:val="00DE5A2A"/>
    <w:rsid w:val="00DE622D"/>
    <w:rsid w:val="00DE6810"/>
    <w:rsid w:val="00DF1BA2"/>
    <w:rsid w:val="00DF2974"/>
    <w:rsid w:val="00DF35CC"/>
    <w:rsid w:val="00DF38C3"/>
    <w:rsid w:val="00DF3A42"/>
    <w:rsid w:val="00DF4867"/>
    <w:rsid w:val="00DF492E"/>
    <w:rsid w:val="00DF4E10"/>
    <w:rsid w:val="00DF4E73"/>
    <w:rsid w:val="00DF62F4"/>
    <w:rsid w:val="00DF65A3"/>
    <w:rsid w:val="00DF68FB"/>
    <w:rsid w:val="00E00699"/>
    <w:rsid w:val="00E00D6B"/>
    <w:rsid w:val="00E01761"/>
    <w:rsid w:val="00E02127"/>
    <w:rsid w:val="00E02282"/>
    <w:rsid w:val="00E02B97"/>
    <w:rsid w:val="00E03113"/>
    <w:rsid w:val="00E0340E"/>
    <w:rsid w:val="00E03664"/>
    <w:rsid w:val="00E03C16"/>
    <w:rsid w:val="00E03F38"/>
    <w:rsid w:val="00E044C0"/>
    <w:rsid w:val="00E046F8"/>
    <w:rsid w:val="00E06766"/>
    <w:rsid w:val="00E070FA"/>
    <w:rsid w:val="00E07298"/>
    <w:rsid w:val="00E07742"/>
    <w:rsid w:val="00E106E5"/>
    <w:rsid w:val="00E12330"/>
    <w:rsid w:val="00E124AB"/>
    <w:rsid w:val="00E131D5"/>
    <w:rsid w:val="00E13B82"/>
    <w:rsid w:val="00E15C19"/>
    <w:rsid w:val="00E16003"/>
    <w:rsid w:val="00E16D53"/>
    <w:rsid w:val="00E16E56"/>
    <w:rsid w:val="00E173A6"/>
    <w:rsid w:val="00E1759F"/>
    <w:rsid w:val="00E178A8"/>
    <w:rsid w:val="00E17E4F"/>
    <w:rsid w:val="00E20AD3"/>
    <w:rsid w:val="00E20C3F"/>
    <w:rsid w:val="00E215BE"/>
    <w:rsid w:val="00E216C0"/>
    <w:rsid w:val="00E219BE"/>
    <w:rsid w:val="00E21A39"/>
    <w:rsid w:val="00E21FA9"/>
    <w:rsid w:val="00E220A9"/>
    <w:rsid w:val="00E22734"/>
    <w:rsid w:val="00E2300D"/>
    <w:rsid w:val="00E232E9"/>
    <w:rsid w:val="00E23EB0"/>
    <w:rsid w:val="00E247AA"/>
    <w:rsid w:val="00E24EA2"/>
    <w:rsid w:val="00E25355"/>
    <w:rsid w:val="00E25629"/>
    <w:rsid w:val="00E257DD"/>
    <w:rsid w:val="00E25FFC"/>
    <w:rsid w:val="00E268B9"/>
    <w:rsid w:val="00E26E85"/>
    <w:rsid w:val="00E26EED"/>
    <w:rsid w:val="00E275B8"/>
    <w:rsid w:val="00E27F25"/>
    <w:rsid w:val="00E31E9E"/>
    <w:rsid w:val="00E32779"/>
    <w:rsid w:val="00E32992"/>
    <w:rsid w:val="00E33643"/>
    <w:rsid w:val="00E344E7"/>
    <w:rsid w:val="00E34A4C"/>
    <w:rsid w:val="00E34E41"/>
    <w:rsid w:val="00E3543B"/>
    <w:rsid w:val="00E35902"/>
    <w:rsid w:val="00E35A57"/>
    <w:rsid w:val="00E35AF0"/>
    <w:rsid w:val="00E3636B"/>
    <w:rsid w:val="00E36898"/>
    <w:rsid w:val="00E40688"/>
    <w:rsid w:val="00E423DB"/>
    <w:rsid w:val="00E42F2B"/>
    <w:rsid w:val="00E433F9"/>
    <w:rsid w:val="00E4343F"/>
    <w:rsid w:val="00E4358B"/>
    <w:rsid w:val="00E445F0"/>
    <w:rsid w:val="00E4586E"/>
    <w:rsid w:val="00E45C70"/>
    <w:rsid w:val="00E46169"/>
    <w:rsid w:val="00E46392"/>
    <w:rsid w:val="00E464D2"/>
    <w:rsid w:val="00E477B6"/>
    <w:rsid w:val="00E47894"/>
    <w:rsid w:val="00E50204"/>
    <w:rsid w:val="00E50D49"/>
    <w:rsid w:val="00E51113"/>
    <w:rsid w:val="00E523A6"/>
    <w:rsid w:val="00E533A3"/>
    <w:rsid w:val="00E53455"/>
    <w:rsid w:val="00E53900"/>
    <w:rsid w:val="00E53C3F"/>
    <w:rsid w:val="00E544E0"/>
    <w:rsid w:val="00E54B19"/>
    <w:rsid w:val="00E54EA4"/>
    <w:rsid w:val="00E56AAC"/>
    <w:rsid w:val="00E56EE2"/>
    <w:rsid w:val="00E5744B"/>
    <w:rsid w:val="00E602F7"/>
    <w:rsid w:val="00E60A6F"/>
    <w:rsid w:val="00E60E57"/>
    <w:rsid w:val="00E611DD"/>
    <w:rsid w:val="00E615D7"/>
    <w:rsid w:val="00E619D7"/>
    <w:rsid w:val="00E61DC7"/>
    <w:rsid w:val="00E61DFB"/>
    <w:rsid w:val="00E62266"/>
    <w:rsid w:val="00E62EF9"/>
    <w:rsid w:val="00E63850"/>
    <w:rsid w:val="00E63B32"/>
    <w:rsid w:val="00E65CCE"/>
    <w:rsid w:val="00E67353"/>
    <w:rsid w:val="00E67D4C"/>
    <w:rsid w:val="00E70FA4"/>
    <w:rsid w:val="00E7270A"/>
    <w:rsid w:val="00E7584A"/>
    <w:rsid w:val="00E763D0"/>
    <w:rsid w:val="00E76D02"/>
    <w:rsid w:val="00E77CB0"/>
    <w:rsid w:val="00E80911"/>
    <w:rsid w:val="00E80E2D"/>
    <w:rsid w:val="00E82D8D"/>
    <w:rsid w:val="00E82DCC"/>
    <w:rsid w:val="00E83D88"/>
    <w:rsid w:val="00E845F5"/>
    <w:rsid w:val="00E8667C"/>
    <w:rsid w:val="00E914DE"/>
    <w:rsid w:val="00E9174C"/>
    <w:rsid w:val="00E91BFF"/>
    <w:rsid w:val="00E92281"/>
    <w:rsid w:val="00E922DE"/>
    <w:rsid w:val="00E928CF"/>
    <w:rsid w:val="00E9292E"/>
    <w:rsid w:val="00E93D92"/>
    <w:rsid w:val="00E94085"/>
    <w:rsid w:val="00E94271"/>
    <w:rsid w:val="00E945D3"/>
    <w:rsid w:val="00E9460B"/>
    <w:rsid w:val="00E954CE"/>
    <w:rsid w:val="00E9597A"/>
    <w:rsid w:val="00E96088"/>
    <w:rsid w:val="00E966D7"/>
    <w:rsid w:val="00E97DE6"/>
    <w:rsid w:val="00E97E87"/>
    <w:rsid w:val="00EA0257"/>
    <w:rsid w:val="00EA04B7"/>
    <w:rsid w:val="00EA1EA9"/>
    <w:rsid w:val="00EA1ECC"/>
    <w:rsid w:val="00EA226A"/>
    <w:rsid w:val="00EA2347"/>
    <w:rsid w:val="00EA2416"/>
    <w:rsid w:val="00EA2454"/>
    <w:rsid w:val="00EA2458"/>
    <w:rsid w:val="00EA307E"/>
    <w:rsid w:val="00EA338A"/>
    <w:rsid w:val="00EA45B6"/>
    <w:rsid w:val="00EA5C29"/>
    <w:rsid w:val="00EA6FDD"/>
    <w:rsid w:val="00EA782E"/>
    <w:rsid w:val="00EA7B71"/>
    <w:rsid w:val="00EA7EA6"/>
    <w:rsid w:val="00EB0090"/>
    <w:rsid w:val="00EB05BC"/>
    <w:rsid w:val="00EB0F55"/>
    <w:rsid w:val="00EB2295"/>
    <w:rsid w:val="00EB2B82"/>
    <w:rsid w:val="00EB2E10"/>
    <w:rsid w:val="00EB37E1"/>
    <w:rsid w:val="00EB4182"/>
    <w:rsid w:val="00EB58F2"/>
    <w:rsid w:val="00EB634C"/>
    <w:rsid w:val="00EB704A"/>
    <w:rsid w:val="00EB7C17"/>
    <w:rsid w:val="00EC02D1"/>
    <w:rsid w:val="00EC0DB3"/>
    <w:rsid w:val="00EC13CF"/>
    <w:rsid w:val="00EC1677"/>
    <w:rsid w:val="00EC2026"/>
    <w:rsid w:val="00EC2CBE"/>
    <w:rsid w:val="00EC48EB"/>
    <w:rsid w:val="00EC4E8D"/>
    <w:rsid w:val="00EC50A8"/>
    <w:rsid w:val="00EC50BB"/>
    <w:rsid w:val="00EC5845"/>
    <w:rsid w:val="00EC7548"/>
    <w:rsid w:val="00EC7D2D"/>
    <w:rsid w:val="00EC7E30"/>
    <w:rsid w:val="00ED02DC"/>
    <w:rsid w:val="00ED0B17"/>
    <w:rsid w:val="00ED24C4"/>
    <w:rsid w:val="00ED294E"/>
    <w:rsid w:val="00ED29CB"/>
    <w:rsid w:val="00ED2DE9"/>
    <w:rsid w:val="00ED3F7B"/>
    <w:rsid w:val="00ED48CB"/>
    <w:rsid w:val="00ED66CB"/>
    <w:rsid w:val="00ED6CEA"/>
    <w:rsid w:val="00ED7C61"/>
    <w:rsid w:val="00EE10A3"/>
    <w:rsid w:val="00EE1125"/>
    <w:rsid w:val="00EE154D"/>
    <w:rsid w:val="00EE1C7D"/>
    <w:rsid w:val="00EE2545"/>
    <w:rsid w:val="00EE29B0"/>
    <w:rsid w:val="00EE4D4D"/>
    <w:rsid w:val="00EE505B"/>
    <w:rsid w:val="00EE5B3A"/>
    <w:rsid w:val="00EE5E8B"/>
    <w:rsid w:val="00EE5FCC"/>
    <w:rsid w:val="00EE690F"/>
    <w:rsid w:val="00EE775F"/>
    <w:rsid w:val="00EE77BA"/>
    <w:rsid w:val="00EE7E74"/>
    <w:rsid w:val="00EF0382"/>
    <w:rsid w:val="00EF1659"/>
    <w:rsid w:val="00EF1779"/>
    <w:rsid w:val="00EF2548"/>
    <w:rsid w:val="00EF281B"/>
    <w:rsid w:val="00EF2F21"/>
    <w:rsid w:val="00EF2FA0"/>
    <w:rsid w:val="00EF34EF"/>
    <w:rsid w:val="00EF34F2"/>
    <w:rsid w:val="00EF38DD"/>
    <w:rsid w:val="00EF44EB"/>
    <w:rsid w:val="00EF4A31"/>
    <w:rsid w:val="00EF626A"/>
    <w:rsid w:val="00EF64BF"/>
    <w:rsid w:val="00EF6814"/>
    <w:rsid w:val="00EF6F5E"/>
    <w:rsid w:val="00F002A2"/>
    <w:rsid w:val="00F01892"/>
    <w:rsid w:val="00F01C24"/>
    <w:rsid w:val="00F02E13"/>
    <w:rsid w:val="00F02F0F"/>
    <w:rsid w:val="00F02FF6"/>
    <w:rsid w:val="00F034CD"/>
    <w:rsid w:val="00F03559"/>
    <w:rsid w:val="00F03ED4"/>
    <w:rsid w:val="00F04C0A"/>
    <w:rsid w:val="00F06A26"/>
    <w:rsid w:val="00F071D9"/>
    <w:rsid w:val="00F075CE"/>
    <w:rsid w:val="00F07740"/>
    <w:rsid w:val="00F07C09"/>
    <w:rsid w:val="00F07C1D"/>
    <w:rsid w:val="00F104FE"/>
    <w:rsid w:val="00F10A5B"/>
    <w:rsid w:val="00F10CBD"/>
    <w:rsid w:val="00F132C7"/>
    <w:rsid w:val="00F13C23"/>
    <w:rsid w:val="00F14531"/>
    <w:rsid w:val="00F1458D"/>
    <w:rsid w:val="00F14681"/>
    <w:rsid w:val="00F14858"/>
    <w:rsid w:val="00F153C4"/>
    <w:rsid w:val="00F15F23"/>
    <w:rsid w:val="00F17DF2"/>
    <w:rsid w:val="00F203C6"/>
    <w:rsid w:val="00F209A4"/>
    <w:rsid w:val="00F21F6A"/>
    <w:rsid w:val="00F23DBD"/>
    <w:rsid w:val="00F241B3"/>
    <w:rsid w:val="00F24996"/>
    <w:rsid w:val="00F24B02"/>
    <w:rsid w:val="00F24EAE"/>
    <w:rsid w:val="00F24ECC"/>
    <w:rsid w:val="00F261E9"/>
    <w:rsid w:val="00F26464"/>
    <w:rsid w:val="00F304F6"/>
    <w:rsid w:val="00F31654"/>
    <w:rsid w:val="00F33D6A"/>
    <w:rsid w:val="00F3459A"/>
    <w:rsid w:val="00F34A5D"/>
    <w:rsid w:val="00F34D71"/>
    <w:rsid w:val="00F362B3"/>
    <w:rsid w:val="00F3655D"/>
    <w:rsid w:val="00F36826"/>
    <w:rsid w:val="00F36DF0"/>
    <w:rsid w:val="00F37269"/>
    <w:rsid w:val="00F37796"/>
    <w:rsid w:val="00F37B31"/>
    <w:rsid w:val="00F37CAE"/>
    <w:rsid w:val="00F410F9"/>
    <w:rsid w:val="00F42636"/>
    <w:rsid w:val="00F42851"/>
    <w:rsid w:val="00F43029"/>
    <w:rsid w:val="00F44429"/>
    <w:rsid w:val="00F4445B"/>
    <w:rsid w:val="00F4453A"/>
    <w:rsid w:val="00F44607"/>
    <w:rsid w:val="00F448F1"/>
    <w:rsid w:val="00F45344"/>
    <w:rsid w:val="00F4620E"/>
    <w:rsid w:val="00F46451"/>
    <w:rsid w:val="00F46B3E"/>
    <w:rsid w:val="00F511D9"/>
    <w:rsid w:val="00F51784"/>
    <w:rsid w:val="00F517F7"/>
    <w:rsid w:val="00F5197D"/>
    <w:rsid w:val="00F51F8B"/>
    <w:rsid w:val="00F520EF"/>
    <w:rsid w:val="00F52743"/>
    <w:rsid w:val="00F5291E"/>
    <w:rsid w:val="00F53DB3"/>
    <w:rsid w:val="00F545B5"/>
    <w:rsid w:val="00F5483E"/>
    <w:rsid w:val="00F555A4"/>
    <w:rsid w:val="00F565E6"/>
    <w:rsid w:val="00F56931"/>
    <w:rsid w:val="00F56F6E"/>
    <w:rsid w:val="00F572F1"/>
    <w:rsid w:val="00F577D6"/>
    <w:rsid w:val="00F60555"/>
    <w:rsid w:val="00F60E11"/>
    <w:rsid w:val="00F6116B"/>
    <w:rsid w:val="00F61D2F"/>
    <w:rsid w:val="00F61DB3"/>
    <w:rsid w:val="00F62078"/>
    <w:rsid w:val="00F63003"/>
    <w:rsid w:val="00F642E3"/>
    <w:rsid w:val="00F64C88"/>
    <w:rsid w:val="00F64D47"/>
    <w:rsid w:val="00F65B4D"/>
    <w:rsid w:val="00F65E9F"/>
    <w:rsid w:val="00F675D6"/>
    <w:rsid w:val="00F67A6A"/>
    <w:rsid w:val="00F7023E"/>
    <w:rsid w:val="00F70385"/>
    <w:rsid w:val="00F705C8"/>
    <w:rsid w:val="00F7070D"/>
    <w:rsid w:val="00F71B39"/>
    <w:rsid w:val="00F72A3D"/>
    <w:rsid w:val="00F72B0F"/>
    <w:rsid w:val="00F73608"/>
    <w:rsid w:val="00F73B95"/>
    <w:rsid w:val="00F73CF2"/>
    <w:rsid w:val="00F74507"/>
    <w:rsid w:val="00F760BA"/>
    <w:rsid w:val="00F768FF"/>
    <w:rsid w:val="00F77192"/>
    <w:rsid w:val="00F773A5"/>
    <w:rsid w:val="00F77456"/>
    <w:rsid w:val="00F77867"/>
    <w:rsid w:val="00F816DB"/>
    <w:rsid w:val="00F818FC"/>
    <w:rsid w:val="00F823F8"/>
    <w:rsid w:val="00F82515"/>
    <w:rsid w:val="00F833C1"/>
    <w:rsid w:val="00F8342D"/>
    <w:rsid w:val="00F8387E"/>
    <w:rsid w:val="00F85704"/>
    <w:rsid w:val="00F85825"/>
    <w:rsid w:val="00F85D56"/>
    <w:rsid w:val="00F8675C"/>
    <w:rsid w:val="00F86C96"/>
    <w:rsid w:val="00F92924"/>
    <w:rsid w:val="00F92B00"/>
    <w:rsid w:val="00F936DC"/>
    <w:rsid w:val="00F939D0"/>
    <w:rsid w:val="00F93A9D"/>
    <w:rsid w:val="00F9420C"/>
    <w:rsid w:val="00F96E5D"/>
    <w:rsid w:val="00F979C4"/>
    <w:rsid w:val="00F97AC3"/>
    <w:rsid w:val="00F97C03"/>
    <w:rsid w:val="00F97CB6"/>
    <w:rsid w:val="00FA0C41"/>
    <w:rsid w:val="00FA0DEF"/>
    <w:rsid w:val="00FA0E7B"/>
    <w:rsid w:val="00FA2BC7"/>
    <w:rsid w:val="00FA2F3A"/>
    <w:rsid w:val="00FA3350"/>
    <w:rsid w:val="00FA377E"/>
    <w:rsid w:val="00FA3F8A"/>
    <w:rsid w:val="00FA41A1"/>
    <w:rsid w:val="00FA4770"/>
    <w:rsid w:val="00FA4A90"/>
    <w:rsid w:val="00FA4BEB"/>
    <w:rsid w:val="00FA4C77"/>
    <w:rsid w:val="00FA5706"/>
    <w:rsid w:val="00FA69FB"/>
    <w:rsid w:val="00FB0251"/>
    <w:rsid w:val="00FB09A6"/>
    <w:rsid w:val="00FB0F59"/>
    <w:rsid w:val="00FB103B"/>
    <w:rsid w:val="00FB17E6"/>
    <w:rsid w:val="00FB2091"/>
    <w:rsid w:val="00FB20F9"/>
    <w:rsid w:val="00FB30E8"/>
    <w:rsid w:val="00FB325C"/>
    <w:rsid w:val="00FB414E"/>
    <w:rsid w:val="00FB473E"/>
    <w:rsid w:val="00FB5168"/>
    <w:rsid w:val="00FB559F"/>
    <w:rsid w:val="00FB64CE"/>
    <w:rsid w:val="00FB6C65"/>
    <w:rsid w:val="00FB6EED"/>
    <w:rsid w:val="00FB74F4"/>
    <w:rsid w:val="00FB78E7"/>
    <w:rsid w:val="00FB79BA"/>
    <w:rsid w:val="00FB7E98"/>
    <w:rsid w:val="00FC0155"/>
    <w:rsid w:val="00FC1497"/>
    <w:rsid w:val="00FC14F0"/>
    <w:rsid w:val="00FC16D4"/>
    <w:rsid w:val="00FC1725"/>
    <w:rsid w:val="00FC20DE"/>
    <w:rsid w:val="00FC2DE4"/>
    <w:rsid w:val="00FC37E2"/>
    <w:rsid w:val="00FC4325"/>
    <w:rsid w:val="00FC4B27"/>
    <w:rsid w:val="00FC4CA4"/>
    <w:rsid w:val="00FC513E"/>
    <w:rsid w:val="00FC5897"/>
    <w:rsid w:val="00FC5C04"/>
    <w:rsid w:val="00FC5E66"/>
    <w:rsid w:val="00FC6054"/>
    <w:rsid w:val="00FC71D3"/>
    <w:rsid w:val="00FC7AE8"/>
    <w:rsid w:val="00FD064D"/>
    <w:rsid w:val="00FD1565"/>
    <w:rsid w:val="00FD1EF8"/>
    <w:rsid w:val="00FD2026"/>
    <w:rsid w:val="00FD2473"/>
    <w:rsid w:val="00FD2FC2"/>
    <w:rsid w:val="00FD3AD5"/>
    <w:rsid w:val="00FD436F"/>
    <w:rsid w:val="00FD49AB"/>
    <w:rsid w:val="00FD4A12"/>
    <w:rsid w:val="00FD525D"/>
    <w:rsid w:val="00FD5423"/>
    <w:rsid w:val="00FD7B3E"/>
    <w:rsid w:val="00FD7E08"/>
    <w:rsid w:val="00FD7E8F"/>
    <w:rsid w:val="00FD7E9B"/>
    <w:rsid w:val="00FE011A"/>
    <w:rsid w:val="00FE0813"/>
    <w:rsid w:val="00FE09EB"/>
    <w:rsid w:val="00FE1DE7"/>
    <w:rsid w:val="00FE20A2"/>
    <w:rsid w:val="00FE2468"/>
    <w:rsid w:val="00FE27A3"/>
    <w:rsid w:val="00FE2B8A"/>
    <w:rsid w:val="00FE2D13"/>
    <w:rsid w:val="00FE34C1"/>
    <w:rsid w:val="00FE447A"/>
    <w:rsid w:val="00FE4A50"/>
    <w:rsid w:val="00FE4B5E"/>
    <w:rsid w:val="00FE51EA"/>
    <w:rsid w:val="00FE61E3"/>
    <w:rsid w:val="00FE6C44"/>
    <w:rsid w:val="00FE6CAC"/>
    <w:rsid w:val="00FE701E"/>
    <w:rsid w:val="00FE7CBE"/>
    <w:rsid w:val="00FE7D1B"/>
    <w:rsid w:val="00FE7E4B"/>
    <w:rsid w:val="00FF01DD"/>
    <w:rsid w:val="00FF0B9A"/>
    <w:rsid w:val="00FF1170"/>
    <w:rsid w:val="00FF1AC4"/>
    <w:rsid w:val="00FF3011"/>
    <w:rsid w:val="00FF4514"/>
    <w:rsid w:val="00FF4AFC"/>
    <w:rsid w:val="00FF4F6F"/>
    <w:rsid w:val="00FF54B2"/>
    <w:rsid w:val="00FF6692"/>
    <w:rsid w:val="00FF75BD"/>
    <w:rsid w:val="00FF7881"/>
    <w:rsid w:val="00FF7FCF"/>
    <w:rsid w:val="0102A67B"/>
    <w:rsid w:val="013EE57F"/>
    <w:rsid w:val="019A841E"/>
    <w:rsid w:val="019DDC0C"/>
    <w:rsid w:val="024805D2"/>
    <w:rsid w:val="02586364"/>
    <w:rsid w:val="0293C926"/>
    <w:rsid w:val="02960000"/>
    <w:rsid w:val="02A0959F"/>
    <w:rsid w:val="02AA7CFB"/>
    <w:rsid w:val="02C6D72B"/>
    <w:rsid w:val="02F69F4F"/>
    <w:rsid w:val="03384532"/>
    <w:rsid w:val="037610A5"/>
    <w:rsid w:val="037E461F"/>
    <w:rsid w:val="03914A96"/>
    <w:rsid w:val="03AF6AC2"/>
    <w:rsid w:val="0412632C"/>
    <w:rsid w:val="042EB503"/>
    <w:rsid w:val="04370F00"/>
    <w:rsid w:val="04454734"/>
    <w:rsid w:val="04777748"/>
    <w:rsid w:val="049593A2"/>
    <w:rsid w:val="04EE940A"/>
    <w:rsid w:val="05569552"/>
    <w:rsid w:val="05612FA5"/>
    <w:rsid w:val="059F1CA3"/>
    <w:rsid w:val="0607DA3C"/>
    <w:rsid w:val="0637ADFB"/>
    <w:rsid w:val="06A2B0C9"/>
    <w:rsid w:val="06CB1603"/>
    <w:rsid w:val="078D2407"/>
    <w:rsid w:val="07A3B8C9"/>
    <w:rsid w:val="07DF161D"/>
    <w:rsid w:val="07E37B37"/>
    <w:rsid w:val="07E449CC"/>
    <w:rsid w:val="080A706A"/>
    <w:rsid w:val="080F9129"/>
    <w:rsid w:val="08231349"/>
    <w:rsid w:val="086960D4"/>
    <w:rsid w:val="08BFE860"/>
    <w:rsid w:val="0907B359"/>
    <w:rsid w:val="0982B9A1"/>
    <w:rsid w:val="09B3EC36"/>
    <w:rsid w:val="09B4A62A"/>
    <w:rsid w:val="09D950F0"/>
    <w:rsid w:val="0A10205F"/>
    <w:rsid w:val="0A11BADB"/>
    <w:rsid w:val="0AA36061"/>
    <w:rsid w:val="0AAB1FC3"/>
    <w:rsid w:val="0ABE9E98"/>
    <w:rsid w:val="0AC1353E"/>
    <w:rsid w:val="0AC5D833"/>
    <w:rsid w:val="0B5BCBDF"/>
    <w:rsid w:val="0B8663D9"/>
    <w:rsid w:val="0B866667"/>
    <w:rsid w:val="0B87C864"/>
    <w:rsid w:val="0B90E9DB"/>
    <w:rsid w:val="0B9BE637"/>
    <w:rsid w:val="0BD4FBDC"/>
    <w:rsid w:val="0C1CFC0D"/>
    <w:rsid w:val="0C5B5B12"/>
    <w:rsid w:val="0CA2A74B"/>
    <w:rsid w:val="0CACEAA6"/>
    <w:rsid w:val="0CAEFD18"/>
    <w:rsid w:val="0CF06F77"/>
    <w:rsid w:val="0D116B40"/>
    <w:rsid w:val="0D3C811B"/>
    <w:rsid w:val="0DD51009"/>
    <w:rsid w:val="0DEDA953"/>
    <w:rsid w:val="0E101EFC"/>
    <w:rsid w:val="0E4303E9"/>
    <w:rsid w:val="0EA2593D"/>
    <w:rsid w:val="0EFD30BD"/>
    <w:rsid w:val="0F014FCD"/>
    <w:rsid w:val="0F069B70"/>
    <w:rsid w:val="0F0DE912"/>
    <w:rsid w:val="0F4B7570"/>
    <w:rsid w:val="0FA4025E"/>
    <w:rsid w:val="0FE0A621"/>
    <w:rsid w:val="100ED370"/>
    <w:rsid w:val="104ACF99"/>
    <w:rsid w:val="105F164D"/>
    <w:rsid w:val="106EE0FB"/>
    <w:rsid w:val="1076ADD8"/>
    <w:rsid w:val="1098EEF2"/>
    <w:rsid w:val="10D88581"/>
    <w:rsid w:val="1110FEAE"/>
    <w:rsid w:val="113FEF20"/>
    <w:rsid w:val="1146E678"/>
    <w:rsid w:val="117BA1F9"/>
    <w:rsid w:val="11D16297"/>
    <w:rsid w:val="121819C7"/>
    <w:rsid w:val="12251812"/>
    <w:rsid w:val="124D7AD4"/>
    <w:rsid w:val="1260DD92"/>
    <w:rsid w:val="12801DF1"/>
    <w:rsid w:val="128A0586"/>
    <w:rsid w:val="128DCB7E"/>
    <w:rsid w:val="12BD456E"/>
    <w:rsid w:val="12C220FF"/>
    <w:rsid w:val="12D5B39A"/>
    <w:rsid w:val="12EE3726"/>
    <w:rsid w:val="131B9741"/>
    <w:rsid w:val="131E2DFA"/>
    <w:rsid w:val="1376DA75"/>
    <w:rsid w:val="13D9292D"/>
    <w:rsid w:val="13EF6469"/>
    <w:rsid w:val="140743A4"/>
    <w:rsid w:val="1435CFF9"/>
    <w:rsid w:val="14531DAB"/>
    <w:rsid w:val="1455D88A"/>
    <w:rsid w:val="145C9666"/>
    <w:rsid w:val="14671222"/>
    <w:rsid w:val="14BF64BD"/>
    <w:rsid w:val="15428C2C"/>
    <w:rsid w:val="157647DE"/>
    <w:rsid w:val="158F05E0"/>
    <w:rsid w:val="15B8E366"/>
    <w:rsid w:val="15FBC141"/>
    <w:rsid w:val="160977DD"/>
    <w:rsid w:val="16970EB8"/>
    <w:rsid w:val="16A52C7D"/>
    <w:rsid w:val="16ABB16B"/>
    <w:rsid w:val="16BE1EA7"/>
    <w:rsid w:val="16CF6690"/>
    <w:rsid w:val="17003348"/>
    <w:rsid w:val="170A6FC5"/>
    <w:rsid w:val="17EF7C64"/>
    <w:rsid w:val="17F220DA"/>
    <w:rsid w:val="1810A396"/>
    <w:rsid w:val="1815297F"/>
    <w:rsid w:val="1836D544"/>
    <w:rsid w:val="184F6D68"/>
    <w:rsid w:val="1874E074"/>
    <w:rsid w:val="18A2F629"/>
    <w:rsid w:val="18B7D261"/>
    <w:rsid w:val="193405B3"/>
    <w:rsid w:val="195BB9D2"/>
    <w:rsid w:val="198D728A"/>
    <w:rsid w:val="199919CD"/>
    <w:rsid w:val="19E68B29"/>
    <w:rsid w:val="19EFD451"/>
    <w:rsid w:val="1A020097"/>
    <w:rsid w:val="1A6E311A"/>
    <w:rsid w:val="1A6FE3BB"/>
    <w:rsid w:val="1B20157D"/>
    <w:rsid w:val="1B235A4B"/>
    <w:rsid w:val="1B353EE8"/>
    <w:rsid w:val="1B90983A"/>
    <w:rsid w:val="1BE4E8D8"/>
    <w:rsid w:val="1C00A50A"/>
    <w:rsid w:val="1C035190"/>
    <w:rsid w:val="1C2DDD58"/>
    <w:rsid w:val="1C461B12"/>
    <w:rsid w:val="1C6D5D44"/>
    <w:rsid w:val="1C760DCD"/>
    <w:rsid w:val="1C80374A"/>
    <w:rsid w:val="1C806EED"/>
    <w:rsid w:val="1CFF9229"/>
    <w:rsid w:val="1D14706B"/>
    <w:rsid w:val="1D249C7B"/>
    <w:rsid w:val="1D47FF69"/>
    <w:rsid w:val="1D49EC55"/>
    <w:rsid w:val="1D995B36"/>
    <w:rsid w:val="1DB1F501"/>
    <w:rsid w:val="1DDA0C98"/>
    <w:rsid w:val="1DE8BD9A"/>
    <w:rsid w:val="1E5606DE"/>
    <w:rsid w:val="1E9713D0"/>
    <w:rsid w:val="1E9D4DCF"/>
    <w:rsid w:val="1E9D5D9B"/>
    <w:rsid w:val="1EB2DFDF"/>
    <w:rsid w:val="1EC5C1DE"/>
    <w:rsid w:val="1ECA35FD"/>
    <w:rsid w:val="1EDC5FC2"/>
    <w:rsid w:val="1F0CA5A1"/>
    <w:rsid w:val="1F1113A0"/>
    <w:rsid w:val="1F3A9DB9"/>
    <w:rsid w:val="1F9776F7"/>
    <w:rsid w:val="1FA3A75E"/>
    <w:rsid w:val="1FC3DBE3"/>
    <w:rsid w:val="1FD4AAD8"/>
    <w:rsid w:val="1FFE81FD"/>
    <w:rsid w:val="20142825"/>
    <w:rsid w:val="20181478"/>
    <w:rsid w:val="2026BEFD"/>
    <w:rsid w:val="203CEEE5"/>
    <w:rsid w:val="206D610D"/>
    <w:rsid w:val="20C67D94"/>
    <w:rsid w:val="217B51B0"/>
    <w:rsid w:val="218A48EA"/>
    <w:rsid w:val="21D0DD05"/>
    <w:rsid w:val="21E67A8E"/>
    <w:rsid w:val="21F66F7D"/>
    <w:rsid w:val="21FAD400"/>
    <w:rsid w:val="221D700E"/>
    <w:rsid w:val="2276217A"/>
    <w:rsid w:val="22A6C3C7"/>
    <w:rsid w:val="22D4A008"/>
    <w:rsid w:val="22DD5606"/>
    <w:rsid w:val="2312268D"/>
    <w:rsid w:val="239C9EB7"/>
    <w:rsid w:val="23D10C72"/>
    <w:rsid w:val="242B74BF"/>
    <w:rsid w:val="24590278"/>
    <w:rsid w:val="245F898E"/>
    <w:rsid w:val="246F558D"/>
    <w:rsid w:val="248C2985"/>
    <w:rsid w:val="24B4526A"/>
    <w:rsid w:val="24F8597F"/>
    <w:rsid w:val="2577770B"/>
    <w:rsid w:val="2602BD59"/>
    <w:rsid w:val="263836AA"/>
    <w:rsid w:val="2639965E"/>
    <w:rsid w:val="2676D0E5"/>
    <w:rsid w:val="26A4CB58"/>
    <w:rsid w:val="270CDE2F"/>
    <w:rsid w:val="271483B4"/>
    <w:rsid w:val="273CA064"/>
    <w:rsid w:val="2745F586"/>
    <w:rsid w:val="27631610"/>
    <w:rsid w:val="27EC0E4B"/>
    <w:rsid w:val="282230AE"/>
    <w:rsid w:val="282F6CA5"/>
    <w:rsid w:val="2841351F"/>
    <w:rsid w:val="286A0F7B"/>
    <w:rsid w:val="286C2363"/>
    <w:rsid w:val="287AEDA6"/>
    <w:rsid w:val="28C3E287"/>
    <w:rsid w:val="29186D41"/>
    <w:rsid w:val="296324E8"/>
    <w:rsid w:val="29734EBC"/>
    <w:rsid w:val="2981DB54"/>
    <w:rsid w:val="29847E3F"/>
    <w:rsid w:val="29C16B74"/>
    <w:rsid w:val="29E36B81"/>
    <w:rsid w:val="2A027647"/>
    <w:rsid w:val="2A1C07BE"/>
    <w:rsid w:val="2A33ABBC"/>
    <w:rsid w:val="2A42D4C8"/>
    <w:rsid w:val="2A4D2BA9"/>
    <w:rsid w:val="2A6C010C"/>
    <w:rsid w:val="2A7CEBDE"/>
    <w:rsid w:val="2A865FD1"/>
    <w:rsid w:val="2AA13374"/>
    <w:rsid w:val="2AFF1748"/>
    <w:rsid w:val="2B0EC66B"/>
    <w:rsid w:val="2B2067FB"/>
    <w:rsid w:val="2B51FF7E"/>
    <w:rsid w:val="2B7F8D09"/>
    <w:rsid w:val="2BA108FF"/>
    <w:rsid w:val="2BD9E086"/>
    <w:rsid w:val="2BF1F290"/>
    <w:rsid w:val="2BF8B622"/>
    <w:rsid w:val="2C9FE153"/>
    <w:rsid w:val="2CEF3FDC"/>
    <w:rsid w:val="2D46CF64"/>
    <w:rsid w:val="2D98172C"/>
    <w:rsid w:val="2DFBA6F4"/>
    <w:rsid w:val="2DFBE3D6"/>
    <w:rsid w:val="2E06BE60"/>
    <w:rsid w:val="2E0FE917"/>
    <w:rsid w:val="2E1089CC"/>
    <w:rsid w:val="2E14D333"/>
    <w:rsid w:val="2E924C48"/>
    <w:rsid w:val="2E9D67C1"/>
    <w:rsid w:val="2EA831E2"/>
    <w:rsid w:val="2EBFFE6A"/>
    <w:rsid w:val="2EED3EE8"/>
    <w:rsid w:val="2F5B2699"/>
    <w:rsid w:val="2FAFA7F6"/>
    <w:rsid w:val="30040B70"/>
    <w:rsid w:val="3007DBAE"/>
    <w:rsid w:val="3015CADF"/>
    <w:rsid w:val="3041FD4D"/>
    <w:rsid w:val="3056EEFD"/>
    <w:rsid w:val="30DAC989"/>
    <w:rsid w:val="30DD0C14"/>
    <w:rsid w:val="3139C740"/>
    <w:rsid w:val="3144FA60"/>
    <w:rsid w:val="31D1EEE7"/>
    <w:rsid w:val="31D8D030"/>
    <w:rsid w:val="31E8A0B7"/>
    <w:rsid w:val="3214EF5C"/>
    <w:rsid w:val="32188F45"/>
    <w:rsid w:val="323CDD28"/>
    <w:rsid w:val="323DA09C"/>
    <w:rsid w:val="32452ADB"/>
    <w:rsid w:val="32621421"/>
    <w:rsid w:val="329C3B88"/>
    <w:rsid w:val="33004AD2"/>
    <w:rsid w:val="330C554D"/>
    <w:rsid w:val="33D4C4F2"/>
    <w:rsid w:val="340648A7"/>
    <w:rsid w:val="342F8378"/>
    <w:rsid w:val="3434BD58"/>
    <w:rsid w:val="3437AAA4"/>
    <w:rsid w:val="34644AD8"/>
    <w:rsid w:val="34B4719E"/>
    <w:rsid w:val="34BE6DAE"/>
    <w:rsid w:val="3512D801"/>
    <w:rsid w:val="35593F05"/>
    <w:rsid w:val="360A2958"/>
    <w:rsid w:val="369C1378"/>
    <w:rsid w:val="36A9CAB7"/>
    <w:rsid w:val="36D598FF"/>
    <w:rsid w:val="373EFBD6"/>
    <w:rsid w:val="37465181"/>
    <w:rsid w:val="37C967F4"/>
    <w:rsid w:val="37D4BB83"/>
    <w:rsid w:val="37DCD781"/>
    <w:rsid w:val="37E6FF8C"/>
    <w:rsid w:val="38024F46"/>
    <w:rsid w:val="381D7AD1"/>
    <w:rsid w:val="382324BF"/>
    <w:rsid w:val="38254245"/>
    <w:rsid w:val="38B30BD0"/>
    <w:rsid w:val="38F1EF7C"/>
    <w:rsid w:val="39224471"/>
    <w:rsid w:val="392CDBD2"/>
    <w:rsid w:val="393B37D4"/>
    <w:rsid w:val="39449876"/>
    <w:rsid w:val="39686D3E"/>
    <w:rsid w:val="39AFDF90"/>
    <w:rsid w:val="39BB32C5"/>
    <w:rsid w:val="39C387E2"/>
    <w:rsid w:val="39D1037D"/>
    <w:rsid w:val="39DD0B59"/>
    <w:rsid w:val="3A5AF121"/>
    <w:rsid w:val="3A61E7CC"/>
    <w:rsid w:val="3A6A069C"/>
    <w:rsid w:val="3AD44ECD"/>
    <w:rsid w:val="3ADB06B7"/>
    <w:rsid w:val="3AFF16E8"/>
    <w:rsid w:val="3B4D8F0F"/>
    <w:rsid w:val="3BB9D3FC"/>
    <w:rsid w:val="3C24C24F"/>
    <w:rsid w:val="3C4D9D0C"/>
    <w:rsid w:val="3C5DD417"/>
    <w:rsid w:val="3C757491"/>
    <w:rsid w:val="3CE15B13"/>
    <w:rsid w:val="3CEE8BBC"/>
    <w:rsid w:val="3D498017"/>
    <w:rsid w:val="3D736B44"/>
    <w:rsid w:val="3DC3317D"/>
    <w:rsid w:val="3DF51656"/>
    <w:rsid w:val="3DF8DDFE"/>
    <w:rsid w:val="3E0792CA"/>
    <w:rsid w:val="3E135EBD"/>
    <w:rsid w:val="3EDAF09F"/>
    <w:rsid w:val="3EE098B0"/>
    <w:rsid w:val="3F14BD59"/>
    <w:rsid w:val="3F1B0A32"/>
    <w:rsid w:val="3F64FBCD"/>
    <w:rsid w:val="3FB5504F"/>
    <w:rsid w:val="400AB5C5"/>
    <w:rsid w:val="402817D2"/>
    <w:rsid w:val="40E39BBC"/>
    <w:rsid w:val="40F037E6"/>
    <w:rsid w:val="41073A54"/>
    <w:rsid w:val="410D4339"/>
    <w:rsid w:val="413AE531"/>
    <w:rsid w:val="413BF79B"/>
    <w:rsid w:val="4140BF01"/>
    <w:rsid w:val="4144300B"/>
    <w:rsid w:val="414F3DBE"/>
    <w:rsid w:val="417C6DB1"/>
    <w:rsid w:val="420EF30B"/>
    <w:rsid w:val="429799ED"/>
    <w:rsid w:val="4299F16C"/>
    <w:rsid w:val="42DEFFF5"/>
    <w:rsid w:val="430B7F68"/>
    <w:rsid w:val="4326821C"/>
    <w:rsid w:val="432B35EF"/>
    <w:rsid w:val="433069ED"/>
    <w:rsid w:val="434D8DE4"/>
    <w:rsid w:val="4362DB65"/>
    <w:rsid w:val="4413DF7A"/>
    <w:rsid w:val="441C5CFE"/>
    <w:rsid w:val="446A2D53"/>
    <w:rsid w:val="4471A706"/>
    <w:rsid w:val="44783017"/>
    <w:rsid w:val="449AC937"/>
    <w:rsid w:val="44B67684"/>
    <w:rsid w:val="44C3464F"/>
    <w:rsid w:val="452997B1"/>
    <w:rsid w:val="455DF7E0"/>
    <w:rsid w:val="45600FAC"/>
    <w:rsid w:val="45FD3892"/>
    <w:rsid w:val="460B631D"/>
    <w:rsid w:val="46943BFD"/>
    <w:rsid w:val="471C28A5"/>
    <w:rsid w:val="4724F7B8"/>
    <w:rsid w:val="474FACB2"/>
    <w:rsid w:val="479194B6"/>
    <w:rsid w:val="47AC6D73"/>
    <w:rsid w:val="47C18E66"/>
    <w:rsid w:val="47FB385E"/>
    <w:rsid w:val="48296742"/>
    <w:rsid w:val="482B6706"/>
    <w:rsid w:val="488BC7D6"/>
    <w:rsid w:val="4897F37D"/>
    <w:rsid w:val="48ACC82C"/>
    <w:rsid w:val="48B195F6"/>
    <w:rsid w:val="48D3E507"/>
    <w:rsid w:val="49277530"/>
    <w:rsid w:val="495131ED"/>
    <w:rsid w:val="495C2501"/>
    <w:rsid w:val="49D01D9F"/>
    <w:rsid w:val="49ED3E14"/>
    <w:rsid w:val="4A53A1F6"/>
    <w:rsid w:val="4A736409"/>
    <w:rsid w:val="4A98AED3"/>
    <w:rsid w:val="4B0219AD"/>
    <w:rsid w:val="4B134ACF"/>
    <w:rsid w:val="4B205321"/>
    <w:rsid w:val="4B456A71"/>
    <w:rsid w:val="4B5DCA53"/>
    <w:rsid w:val="4BA7214B"/>
    <w:rsid w:val="4BAE9E96"/>
    <w:rsid w:val="4BB6CC80"/>
    <w:rsid w:val="4BFE54F1"/>
    <w:rsid w:val="4C162ACD"/>
    <w:rsid w:val="4C3D2463"/>
    <w:rsid w:val="4CB3B19E"/>
    <w:rsid w:val="4CB77F5D"/>
    <w:rsid w:val="4D0DE3C2"/>
    <w:rsid w:val="4D241718"/>
    <w:rsid w:val="4D363C2C"/>
    <w:rsid w:val="4D6E6D81"/>
    <w:rsid w:val="4DCAC21D"/>
    <w:rsid w:val="4E093846"/>
    <w:rsid w:val="4E179221"/>
    <w:rsid w:val="4E780412"/>
    <w:rsid w:val="4EA21D4B"/>
    <w:rsid w:val="4ED372E1"/>
    <w:rsid w:val="4ED66932"/>
    <w:rsid w:val="4ED7D796"/>
    <w:rsid w:val="4F5D3974"/>
    <w:rsid w:val="4F6D151C"/>
    <w:rsid w:val="4F949304"/>
    <w:rsid w:val="4FC9299A"/>
    <w:rsid w:val="4FC9C0AF"/>
    <w:rsid w:val="4FE57547"/>
    <w:rsid w:val="50213300"/>
    <w:rsid w:val="503DEDAC"/>
    <w:rsid w:val="5061CACB"/>
    <w:rsid w:val="508337E7"/>
    <w:rsid w:val="50C923C3"/>
    <w:rsid w:val="51284765"/>
    <w:rsid w:val="517099EA"/>
    <w:rsid w:val="52217253"/>
    <w:rsid w:val="52386806"/>
    <w:rsid w:val="52697ACC"/>
    <w:rsid w:val="52789D2D"/>
    <w:rsid w:val="5288D8FA"/>
    <w:rsid w:val="53B23353"/>
    <w:rsid w:val="53C5FF2C"/>
    <w:rsid w:val="53E8D4C6"/>
    <w:rsid w:val="545CFAAE"/>
    <w:rsid w:val="547C5F6D"/>
    <w:rsid w:val="54A3BF78"/>
    <w:rsid w:val="54A64C21"/>
    <w:rsid w:val="54AF21CE"/>
    <w:rsid w:val="54E8AC86"/>
    <w:rsid w:val="550A6B95"/>
    <w:rsid w:val="553E9D41"/>
    <w:rsid w:val="55513F7F"/>
    <w:rsid w:val="5561D4BA"/>
    <w:rsid w:val="558B53BC"/>
    <w:rsid w:val="55ABD513"/>
    <w:rsid w:val="55C0573F"/>
    <w:rsid w:val="5604BB9C"/>
    <w:rsid w:val="5632CE82"/>
    <w:rsid w:val="565AD110"/>
    <w:rsid w:val="565AF35E"/>
    <w:rsid w:val="566055B1"/>
    <w:rsid w:val="56735033"/>
    <w:rsid w:val="56A6EE0B"/>
    <w:rsid w:val="56B529AE"/>
    <w:rsid w:val="576E1AE5"/>
    <w:rsid w:val="5787274F"/>
    <w:rsid w:val="57A063F6"/>
    <w:rsid w:val="57A494D6"/>
    <w:rsid w:val="57BA8D4C"/>
    <w:rsid w:val="5836F678"/>
    <w:rsid w:val="583F6F76"/>
    <w:rsid w:val="5855CD54"/>
    <w:rsid w:val="586BAEC5"/>
    <w:rsid w:val="58875957"/>
    <w:rsid w:val="5898C6CD"/>
    <w:rsid w:val="589D6E1E"/>
    <w:rsid w:val="58A23978"/>
    <w:rsid w:val="58D441EC"/>
    <w:rsid w:val="590E7B52"/>
    <w:rsid w:val="592FF41F"/>
    <w:rsid w:val="5937CF0A"/>
    <w:rsid w:val="5994D103"/>
    <w:rsid w:val="59E37578"/>
    <w:rsid w:val="59F1AD10"/>
    <w:rsid w:val="59FC5A58"/>
    <w:rsid w:val="5A15E46D"/>
    <w:rsid w:val="5A33078A"/>
    <w:rsid w:val="5A4242A7"/>
    <w:rsid w:val="5A546F8C"/>
    <w:rsid w:val="5A5FD84E"/>
    <w:rsid w:val="5A69FA40"/>
    <w:rsid w:val="5A755030"/>
    <w:rsid w:val="5A941B01"/>
    <w:rsid w:val="5AA0E0F5"/>
    <w:rsid w:val="5ABE0566"/>
    <w:rsid w:val="5AC3F34D"/>
    <w:rsid w:val="5AD46B1C"/>
    <w:rsid w:val="5AD5F07B"/>
    <w:rsid w:val="5B17FCD9"/>
    <w:rsid w:val="5B7E3C50"/>
    <w:rsid w:val="5BA64DFF"/>
    <w:rsid w:val="5BA8CE03"/>
    <w:rsid w:val="5BDE4487"/>
    <w:rsid w:val="5C0192C5"/>
    <w:rsid w:val="5C1C4CB1"/>
    <w:rsid w:val="5C1E6C5A"/>
    <w:rsid w:val="5C6ED89C"/>
    <w:rsid w:val="5C81CAA6"/>
    <w:rsid w:val="5C98D027"/>
    <w:rsid w:val="5CBE7114"/>
    <w:rsid w:val="5CCAEEC4"/>
    <w:rsid w:val="5CE5210D"/>
    <w:rsid w:val="5CF10F14"/>
    <w:rsid w:val="5CF86780"/>
    <w:rsid w:val="5D00860D"/>
    <w:rsid w:val="5D051EC8"/>
    <w:rsid w:val="5D76A8DB"/>
    <w:rsid w:val="5D7A2D6A"/>
    <w:rsid w:val="5DC4EA01"/>
    <w:rsid w:val="5DC749CB"/>
    <w:rsid w:val="5DE63766"/>
    <w:rsid w:val="5E016C17"/>
    <w:rsid w:val="5E184C3F"/>
    <w:rsid w:val="5E39BE7F"/>
    <w:rsid w:val="5E506850"/>
    <w:rsid w:val="5E510AAE"/>
    <w:rsid w:val="5E64E86D"/>
    <w:rsid w:val="5E6D8542"/>
    <w:rsid w:val="5E897656"/>
    <w:rsid w:val="5EE8E126"/>
    <w:rsid w:val="5F2B8189"/>
    <w:rsid w:val="5F483A68"/>
    <w:rsid w:val="5F52BEAF"/>
    <w:rsid w:val="5F77AD63"/>
    <w:rsid w:val="5F84A68C"/>
    <w:rsid w:val="5F92F478"/>
    <w:rsid w:val="5F95AACB"/>
    <w:rsid w:val="5F9D5FD3"/>
    <w:rsid w:val="605B035C"/>
    <w:rsid w:val="60E0A696"/>
    <w:rsid w:val="61C943AB"/>
    <w:rsid w:val="61C9CAA9"/>
    <w:rsid w:val="61FCE0F6"/>
    <w:rsid w:val="6251ABED"/>
    <w:rsid w:val="628C96A5"/>
    <w:rsid w:val="62B1657C"/>
    <w:rsid w:val="63115A7B"/>
    <w:rsid w:val="633FC2CD"/>
    <w:rsid w:val="6365140C"/>
    <w:rsid w:val="63BE0038"/>
    <w:rsid w:val="6459A510"/>
    <w:rsid w:val="645A7362"/>
    <w:rsid w:val="6476D352"/>
    <w:rsid w:val="64FF7B72"/>
    <w:rsid w:val="6559DFCA"/>
    <w:rsid w:val="658E691C"/>
    <w:rsid w:val="65D28B3E"/>
    <w:rsid w:val="65F9E106"/>
    <w:rsid w:val="66462FB5"/>
    <w:rsid w:val="665DC6C3"/>
    <w:rsid w:val="669CB4CE"/>
    <w:rsid w:val="669E5371"/>
    <w:rsid w:val="66C223EE"/>
    <w:rsid w:val="66CC69C0"/>
    <w:rsid w:val="671C1A82"/>
    <w:rsid w:val="671FE31B"/>
    <w:rsid w:val="67598378"/>
    <w:rsid w:val="676F4577"/>
    <w:rsid w:val="67786A5C"/>
    <w:rsid w:val="67E5944F"/>
    <w:rsid w:val="6863BCC0"/>
    <w:rsid w:val="68E87439"/>
    <w:rsid w:val="68F8761F"/>
    <w:rsid w:val="694B6EE9"/>
    <w:rsid w:val="694C9D64"/>
    <w:rsid w:val="69790F7A"/>
    <w:rsid w:val="69FC48E3"/>
    <w:rsid w:val="6A84B6C9"/>
    <w:rsid w:val="6A8BEF9A"/>
    <w:rsid w:val="6A9AEE11"/>
    <w:rsid w:val="6A9D6FB4"/>
    <w:rsid w:val="6AB1A494"/>
    <w:rsid w:val="6B06A7A5"/>
    <w:rsid w:val="6B095638"/>
    <w:rsid w:val="6B1FADD1"/>
    <w:rsid w:val="6B579246"/>
    <w:rsid w:val="6B628BA2"/>
    <w:rsid w:val="6B63B736"/>
    <w:rsid w:val="6B78AA43"/>
    <w:rsid w:val="6CC88879"/>
    <w:rsid w:val="6D1AD604"/>
    <w:rsid w:val="6D23F088"/>
    <w:rsid w:val="6D391723"/>
    <w:rsid w:val="6D43D793"/>
    <w:rsid w:val="6D4B8607"/>
    <w:rsid w:val="6D5B4A09"/>
    <w:rsid w:val="6D9DFA22"/>
    <w:rsid w:val="6DDB43D7"/>
    <w:rsid w:val="6DDF96F0"/>
    <w:rsid w:val="6DE0ECA7"/>
    <w:rsid w:val="6DEFAEC3"/>
    <w:rsid w:val="6DF9E46B"/>
    <w:rsid w:val="6DFE601F"/>
    <w:rsid w:val="6E173F2E"/>
    <w:rsid w:val="6E5A05DE"/>
    <w:rsid w:val="6E9A2F3E"/>
    <w:rsid w:val="6EA33ACF"/>
    <w:rsid w:val="6EE8BEEB"/>
    <w:rsid w:val="6F321C28"/>
    <w:rsid w:val="6F46EA0D"/>
    <w:rsid w:val="6F70E577"/>
    <w:rsid w:val="6F740D13"/>
    <w:rsid w:val="6F797486"/>
    <w:rsid w:val="6F8DAEEB"/>
    <w:rsid w:val="6FCBCCE2"/>
    <w:rsid w:val="6FD8F764"/>
    <w:rsid w:val="6FDABB89"/>
    <w:rsid w:val="6FE52C4B"/>
    <w:rsid w:val="700411ED"/>
    <w:rsid w:val="7048CD91"/>
    <w:rsid w:val="70603B20"/>
    <w:rsid w:val="70851638"/>
    <w:rsid w:val="709EDFDF"/>
    <w:rsid w:val="70C6070B"/>
    <w:rsid w:val="70C879C7"/>
    <w:rsid w:val="7103C755"/>
    <w:rsid w:val="712B4A14"/>
    <w:rsid w:val="71533E32"/>
    <w:rsid w:val="715B0DC6"/>
    <w:rsid w:val="718F2D92"/>
    <w:rsid w:val="71C36B1F"/>
    <w:rsid w:val="71CCC48F"/>
    <w:rsid w:val="71D8A307"/>
    <w:rsid w:val="71E6C254"/>
    <w:rsid w:val="72522AB2"/>
    <w:rsid w:val="7256BABC"/>
    <w:rsid w:val="726E5354"/>
    <w:rsid w:val="72C5C561"/>
    <w:rsid w:val="72D7A6F4"/>
    <w:rsid w:val="72E0C197"/>
    <w:rsid w:val="73090998"/>
    <w:rsid w:val="7313743C"/>
    <w:rsid w:val="7314039F"/>
    <w:rsid w:val="7316EAAB"/>
    <w:rsid w:val="7325197A"/>
    <w:rsid w:val="733AB43B"/>
    <w:rsid w:val="735BC6CF"/>
    <w:rsid w:val="73EE206C"/>
    <w:rsid w:val="7400C0F4"/>
    <w:rsid w:val="7405324E"/>
    <w:rsid w:val="74224697"/>
    <w:rsid w:val="748187F3"/>
    <w:rsid w:val="7498950A"/>
    <w:rsid w:val="74B577B0"/>
    <w:rsid w:val="74D05A50"/>
    <w:rsid w:val="74FBA379"/>
    <w:rsid w:val="7530E07B"/>
    <w:rsid w:val="7551C2A5"/>
    <w:rsid w:val="757A430E"/>
    <w:rsid w:val="75A71239"/>
    <w:rsid w:val="75AE8834"/>
    <w:rsid w:val="75CC58E6"/>
    <w:rsid w:val="76124014"/>
    <w:rsid w:val="761E4C61"/>
    <w:rsid w:val="763249C6"/>
    <w:rsid w:val="76A4FC30"/>
    <w:rsid w:val="76BFF50B"/>
    <w:rsid w:val="76F14E04"/>
    <w:rsid w:val="770A534D"/>
    <w:rsid w:val="772A2DA1"/>
    <w:rsid w:val="7732F537"/>
    <w:rsid w:val="77400025"/>
    <w:rsid w:val="77A836B9"/>
    <w:rsid w:val="78A91375"/>
    <w:rsid w:val="78D77BC6"/>
    <w:rsid w:val="795EEDAE"/>
    <w:rsid w:val="7961B26C"/>
    <w:rsid w:val="7992421F"/>
    <w:rsid w:val="79FB6C22"/>
    <w:rsid w:val="7A26EEA3"/>
    <w:rsid w:val="7A394693"/>
    <w:rsid w:val="7A4F432A"/>
    <w:rsid w:val="7ABC105F"/>
    <w:rsid w:val="7B5CB2BB"/>
    <w:rsid w:val="7B9FEF05"/>
    <w:rsid w:val="7C30F29F"/>
    <w:rsid w:val="7C40B1A7"/>
    <w:rsid w:val="7C98E9D5"/>
    <w:rsid w:val="7CE6F6F3"/>
    <w:rsid w:val="7CEDAACE"/>
    <w:rsid w:val="7D3AA5E6"/>
    <w:rsid w:val="7D6637B9"/>
    <w:rsid w:val="7DD0DEB9"/>
    <w:rsid w:val="7E015D49"/>
    <w:rsid w:val="7E1E895B"/>
    <w:rsid w:val="7E29FC5C"/>
    <w:rsid w:val="7E2E93AD"/>
    <w:rsid w:val="7E33ECEE"/>
    <w:rsid w:val="7E474229"/>
    <w:rsid w:val="7E824BF2"/>
    <w:rsid w:val="7E9BD6B0"/>
    <w:rsid w:val="7ECA7F3F"/>
    <w:rsid w:val="7EE299AB"/>
    <w:rsid w:val="7EEE822E"/>
    <w:rsid w:val="7F082B86"/>
    <w:rsid w:val="7F32EF11"/>
    <w:rsid w:val="7F80EED5"/>
    <w:rsid w:val="7F829442"/>
    <w:rsid w:val="7FC1E562"/>
    <w:rsid w:val="7FCCCEBF"/>
    <w:rsid w:val="7FD15A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0C7BF"/>
  <w15:docId w15:val="{80DA6CD7-4856-4FEC-96D1-5C15FE5FAB8E}"/>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6"/>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numPr>
        <w:numId w:val="6"/>
      </w:numPr>
      <w:spacing w:after="240"/>
    </w:pPr>
    <w:rPr>
      <w:sz w:val="24"/>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4"/>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5"/>
      </w:numPr>
      <w:ind w:left="1080"/>
    </w:pPr>
  </w:style>
  <w:style w:type="character" w:styleId="FootnoteReference">
    <w:name w:val="footnote reference"/>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ListParagraph">
    <w:name w:val="List Paragraph"/>
    <w:basedOn w:val="Normal"/>
    <w:uiPriority w:val="34"/>
    <w:qFormat/>
    <w:rsid w:val="003F6E5A"/>
    <w:pPr>
      <w:ind w:left="720"/>
      <w:contextualSpacing/>
    </w:pPr>
  </w:style>
  <w:style w:type="paragraph" w:styleId="BalloonText">
    <w:name w:val="Balloon Text"/>
    <w:basedOn w:val="Normal"/>
    <w:link w:val="BalloonTextChar"/>
    <w:rsid w:val="00D822FD"/>
    <w:rPr>
      <w:rFonts w:ascii="Segoe UI" w:hAnsi="Segoe UI" w:cs="Segoe UI"/>
      <w:sz w:val="18"/>
      <w:szCs w:val="18"/>
    </w:rPr>
  </w:style>
  <w:style w:type="character" w:customStyle="1" w:styleId="BalloonTextChar">
    <w:name w:val="Balloon Text Char"/>
    <w:basedOn w:val="DefaultParagraphFont"/>
    <w:link w:val="BalloonText"/>
    <w:rsid w:val="00D822FD"/>
    <w:rPr>
      <w:rFonts w:ascii="Segoe UI" w:hAnsi="Segoe UI" w:cs="Segoe UI"/>
      <w:sz w:val="18"/>
      <w:szCs w:val="18"/>
    </w:rPr>
  </w:style>
  <w:style w:type="character" w:styleId="Hyperlink">
    <w:name w:val="Hyperlink"/>
    <w:basedOn w:val="DefaultParagraphFont"/>
    <w:unhideWhenUsed/>
    <w:rsid w:val="009D63EA"/>
    <w:rPr>
      <w:color w:val="0000FF" w:themeColor="hyperlink"/>
      <w:u w:val="single"/>
    </w:rPr>
  </w:style>
  <w:style w:type="character" w:styleId="UnresolvedMention">
    <w:name w:val="Unresolved Mention"/>
    <w:basedOn w:val="DefaultParagraphFont"/>
    <w:uiPriority w:val="99"/>
    <w:semiHidden/>
    <w:unhideWhenUsed/>
    <w:rsid w:val="009D63EA"/>
    <w:rPr>
      <w:color w:val="605E5C"/>
      <w:shd w:val="clear" w:color="auto" w:fill="E1DFDD"/>
    </w:rPr>
  </w:style>
  <w:style w:type="character" w:styleId="FollowedHyperlink">
    <w:name w:val="FollowedHyperlink"/>
    <w:basedOn w:val="DefaultParagraphFont"/>
    <w:semiHidden/>
    <w:unhideWhenUsed/>
    <w:rsid w:val="00D515F8"/>
    <w:rPr>
      <w:color w:val="800080" w:themeColor="followedHyperlink"/>
      <w:u w:val="single"/>
    </w:rPr>
  </w:style>
  <w:style w:type="paragraph" w:customStyle="1" w:styleId="xres-caption">
    <w:name w:val="x_res-caption"/>
    <w:basedOn w:val="Normal"/>
    <w:rsid w:val="003B28DC"/>
    <w:pPr>
      <w:spacing w:before="100" w:beforeAutospacing="1" w:after="100" w:afterAutospacing="1"/>
    </w:pPr>
    <w:rPr>
      <w:rFonts w:ascii="Times New Roman" w:hAnsi="Times New Roman"/>
      <w:sz w:val="24"/>
      <w:szCs w:val="24"/>
    </w:rPr>
  </w:style>
  <w:style w:type="character" w:customStyle="1" w:styleId="FooterChar">
    <w:name w:val="Footer Char"/>
    <w:basedOn w:val="DefaultParagraphFont"/>
    <w:link w:val="Footer"/>
    <w:uiPriority w:val="99"/>
    <w:rsid w:val="00B913F1"/>
    <w:rPr>
      <w:rFonts w:ascii="Palatino" w:hAnsi="Palatino"/>
      <w:sz w:val="26"/>
    </w:rPr>
  </w:style>
  <w:style w:type="character" w:styleId="CommentReference">
    <w:name w:val="annotation reference"/>
    <w:basedOn w:val="DefaultParagraphFont"/>
    <w:semiHidden/>
    <w:unhideWhenUsed/>
    <w:rsid w:val="00241017"/>
    <w:rPr>
      <w:sz w:val="16"/>
      <w:szCs w:val="16"/>
    </w:rPr>
  </w:style>
  <w:style w:type="paragraph" w:styleId="CommentText">
    <w:name w:val="annotation text"/>
    <w:basedOn w:val="Normal"/>
    <w:link w:val="CommentTextChar"/>
    <w:unhideWhenUsed/>
    <w:rsid w:val="00241017"/>
    <w:rPr>
      <w:sz w:val="20"/>
    </w:rPr>
  </w:style>
  <w:style w:type="character" w:customStyle="1" w:styleId="CommentTextChar">
    <w:name w:val="Comment Text Char"/>
    <w:basedOn w:val="DefaultParagraphFont"/>
    <w:link w:val="CommentText"/>
    <w:rsid w:val="00241017"/>
    <w:rPr>
      <w:rFonts w:ascii="Palatino" w:hAnsi="Palatino"/>
    </w:rPr>
  </w:style>
  <w:style w:type="paragraph" w:styleId="CommentSubject">
    <w:name w:val="annotation subject"/>
    <w:basedOn w:val="CommentText"/>
    <w:next w:val="CommentText"/>
    <w:link w:val="CommentSubjectChar"/>
    <w:semiHidden/>
    <w:unhideWhenUsed/>
    <w:rsid w:val="00241017"/>
    <w:rPr>
      <w:b/>
      <w:bCs/>
    </w:rPr>
  </w:style>
  <w:style w:type="character" w:customStyle="1" w:styleId="CommentSubjectChar">
    <w:name w:val="Comment Subject Char"/>
    <w:basedOn w:val="CommentTextChar"/>
    <w:link w:val="CommentSubject"/>
    <w:semiHidden/>
    <w:rsid w:val="00241017"/>
    <w:rPr>
      <w:rFonts w:ascii="Palatino" w:hAnsi="Palatino"/>
      <w:b/>
      <w:bCs/>
    </w:rPr>
  </w:style>
  <w:style w:type="paragraph" w:styleId="Revision">
    <w:name w:val="Revision"/>
    <w:hidden/>
    <w:uiPriority w:val="99"/>
    <w:semiHidden/>
    <w:rsid w:val="00E544E0"/>
    <w:rPr>
      <w:rFonts w:ascii="Palatino" w:hAnsi="Palatino"/>
      <w:sz w:val="26"/>
    </w:rPr>
  </w:style>
  <w:style w:type="table" w:styleId="TableGrid">
    <w:name w:val="Table Grid"/>
    <w:basedOn w:val="TableNormal"/>
    <w:rsid w:val="00A2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744CC5"/>
    <w:rPr>
      <w:rFonts w:ascii="Segoe UI" w:hAnsi="Segoe UI" w:cs="Segoe UI" w:hint="default"/>
      <w:sz w:val="18"/>
      <w:szCs w:val="18"/>
    </w:rPr>
  </w:style>
  <w:style w:type="character" w:styleId="Mention">
    <w:name w:val="Mention"/>
    <w:basedOn w:val="DefaultParagraphFont"/>
    <w:uiPriority w:val="99"/>
    <w:unhideWhenUsed/>
    <w:rsid w:val="00835FA0"/>
    <w:rPr>
      <w:color w:val="2B579A"/>
      <w:shd w:val="clear" w:color="auto" w:fill="E6E6E6"/>
    </w:rPr>
  </w:style>
  <w:style w:type="paragraph" w:styleId="NormalWeb">
    <w:name w:val="Normal (Web)"/>
    <w:basedOn w:val="Normal"/>
    <w:semiHidden/>
    <w:unhideWhenUsed/>
    <w:rsid w:val="00071FB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27587">
      <w:bodyDiv w:val="1"/>
      <w:marLeft w:val="0"/>
      <w:marRight w:val="0"/>
      <w:marTop w:val="0"/>
      <w:marBottom w:val="0"/>
      <w:divBdr>
        <w:top w:val="none" w:sz="0" w:space="0" w:color="auto"/>
        <w:left w:val="none" w:sz="0" w:space="0" w:color="auto"/>
        <w:bottom w:val="none" w:sz="0" w:space="0" w:color="auto"/>
        <w:right w:val="none" w:sz="0" w:space="0" w:color="auto"/>
      </w:divBdr>
    </w:div>
    <w:div w:id="291524528">
      <w:bodyDiv w:val="1"/>
      <w:marLeft w:val="0"/>
      <w:marRight w:val="0"/>
      <w:marTop w:val="0"/>
      <w:marBottom w:val="0"/>
      <w:divBdr>
        <w:top w:val="none" w:sz="0" w:space="0" w:color="auto"/>
        <w:left w:val="none" w:sz="0" w:space="0" w:color="auto"/>
        <w:bottom w:val="none" w:sz="0" w:space="0" w:color="auto"/>
        <w:right w:val="none" w:sz="0" w:space="0" w:color="auto"/>
      </w:divBdr>
    </w:div>
    <w:div w:id="346491164">
      <w:bodyDiv w:val="1"/>
      <w:marLeft w:val="0"/>
      <w:marRight w:val="0"/>
      <w:marTop w:val="0"/>
      <w:marBottom w:val="0"/>
      <w:divBdr>
        <w:top w:val="none" w:sz="0" w:space="0" w:color="auto"/>
        <w:left w:val="none" w:sz="0" w:space="0" w:color="auto"/>
        <w:bottom w:val="none" w:sz="0" w:space="0" w:color="auto"/>
        <w:right w:val="none" w:sz="0" w:space="0" w:color="auto"/>
      </w:divBdr>
    </w:div>
    <w:div w:id="368341101">
      <w:bodyDiv w:val="1"/>
      <w:marLeft w:val="0"/>
      <w:marRight w:val="0"/>
      <w:marTop w:val="0"/>
      <w:marBottom w:val="0"/>
      <w:divBdr>
        <w:top w:val="none" w:sz="0" w:space="0" w:color="auto"/>
        <w:left w:val="none" w:sz="0" w:space="0" w:color="auto"/>
        <w:bottom w:val="none" w:sz="0" w:space="0" w:color="auto"/>
        <w:right w:val="none" w:sz="0" w:space="0" w:color="auto"/>
      </w:divBdr>
      <w:divsChild>
        <w:div w:id="1434352265">
          <w:marLeft w:val="0"/>
          <w:marRight w:val="0"/>
          <w:marTop w:val="75"/>
          <w:marBottom w:val="75"/>
          <w:divBdr>
            <w:top w:val="none" w:sz="0" w:space="0" w:color="auto"/>
            <w:left w:val="none" w:sz="0" w:space="0" w:color="auto"/>
            <w:bottom w:val="none" w:sz="0" w:space="0" w:color="auto"/>
            <w:right w:val="none" w:sz="0" w:space="0" w:color="auto"/>
          </w:divBdr>
        </w:div>
      </w:divsChild>
    </w:div>
    <w:div w:id="515853241">
      <w:bodyDiv w:val="1"/>
      <w:marLeft w:val="0"/>
      <w:marRight w:val="0"/>
      <w:marTop w:val="0"/>
      <w:marBottom w:val="0"/>
      <w:divBdr>
        <w:top w:val="none" w:sz="0" w:space="0" w:color="auto"/>
        <w:left w:val="none" w:sz="0" w:space="0" w:color="auto"/>
        <w:bottom w:val="none" w:sz="0" w:space="0" w:color="auto"/>
        <w:right w:val="none" w:sz="0" w:space="0" w:color="auto"/>
      </w:divBdr>
    </w:div>
    <w:div w:id="584609483">
      <w:bodyDiv w:val="1"/>
      <w:marLeft w:val="0"/>
      <w:marRight w:val="0"/>
      <w:marTop w:val="0"/>
      <w:marBottom w:val="0"/>
      <w:divBdr>
        <w:top w:val="none" w:sz="0" w:space="0" w:color="auto"/>
        <w:left w:val="none" w:sz="0" w:space="0" w:color="auto"/>
        <w:bottom w:val="none" w:sz="0" w:space="0" w:color="auto"/>
        <w:right w:val="none" w:sz="0" w:space="0" w:color="auto"/>
      </w:divBdr>
    </w:div>
    <w:div w:id="658271390">
      <w:bodyDiv w:val="1"/>
      <w:marLeft w:val="0"/>
      <w:marRight w:val="0"/>
      <w:marTop w:val="0"/>
      <w:marBottom w:val="0"/>
      <w:divBdr>
        <w:top w:val="none" w:sz="0" w:space="0" w:color="auto"/>
        <w:left w:val="none" w:sz="0" w:space="0" w:color="auto"/>
        <w:bottom w:val="none" w:sz="0" w:space="0" w:color="auto"/>
        <w:right w:val="none" w:sz="0" w:space="0" w:color="auto"/>
      </w:divBdr>
    </w:div>
    <w:div w:id="992178709">
      <w:bodyDiv w:val="1"/>
      <w:marLeft w:val="0"/>
      <w:marRight w:val="0"/>
      <w:marTop w:val="0"/>
      <w:marBottom w:val="0"/>
      <w:divBdr>
        <w:top w:val="none" w:sz="0" w:space="0" w:color="auto"/>
        <w:left w:val="none" w:sz="0" w:space="0" w:color="auto"/>
        <w:bottom w:val="none" w:sz="0" w:space="0" w:color="auto"/>
        <w:right w:val="none" w:sz="0" w:space="0" w:color="auto"/>
      </w:divBdr>
    </w:div>
    <w:div w:id="1164974470">
      <w:bodyDiv w:val="1"/>
      <w:marLeft w:val="0"/>
      <w:marRight w:val="0"/>
      <w:marTop w:val="0"/>
      <w:marBottom w:val="0"/>
      <w:divBdr>
        <w:top w:val="none" w:sz="0" w:space="0" w:color="auto"/>
        <w:left w:val="none" w:sz="0" w:space="0" w:color="auto"/>
        <w:bottom w:val="none" w:sz="0" w:space="0" w:color="auto"/>
        <w:right w:val="none" w:sz="0" w:space="0" w:color="auto"/>
      </w:divBdr>
    </w:div>
    <w:div w:id="1232153165">
      <w:bodyDiv w:val="1"/>
      <w:marLeft w:val="0"/>
      <w:marRight w:val="0"/>
      <w:marTop w:val="0"/>
      <w:marBottom w:val="0"/>
      <w:divBdr>
        <w:top w:val="none" w:sz="0" w:space="0" w:color="auto"/>
        <w:left w:val="none" w:sz="0" w:space="0" w:color="auto"/>
        <w:bottom w:val="none" w:sz="0" w:space="0" w:color="auto"/>
        <w:right w:val="none" w:sz="0" w:space="0" w:color="auto"/>
      </w:divBdr>
      <w:divsChild>
        <w:div w:id="123813467">
          <w:marLeft w:val="0"/>
          <w:marRight w:val="0"/>
          <w:marTop w:val="75"/>
          <w:marBottom w:val="75"/>
          <w:divBdr>
            <w:top w:val="none" w:sz="0" w:space="0" w:color="auto"/>
            <w:left w:val="none" w:sz="0" w:space="0" w:color="auto"/>
            <w:bottom w:val="none" w:sz="0" w:space="0" w:color="auto"/>
            <w:right w:val="none" w:sz="0" w:space="0" w:color="auto"/>
          </w:divBdr>
        </w:div>
      </w:divsChild>
    </w:div>
    <w:div w:id="1344361221">
      <w:bodyDiv w:val="1"/>
      <w:marLeft w:val="0"/>
      <w:marRight w:val="0"/>
      <w:marTop w:val="0"/>
      <w:marBottom w:val="0"/>
      <w:divBdr>
        <w:top w:val="none" w:sz="0" w:space="0" w:color="auto"/>
        <w:left w:val="none" w:sz="0" w:space="0" w:color="auto"/>
        <w:bottom w:val="none" w:sz="0" w:space="0" w:color="auto"/>
        <w:right w:val="none" w:sz="0" w:space="0" w:color="auto"/>
      </w:divBdr>
    </w:div>
    <w:div w:id="205017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rs.gov/instructions/i5695"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irs.gov/pub/taxpros/fs-2024-15.pdf" TargetMode="External"/><Relationship Id="rId13" Type="http://schemas.openxmlformats.org/officeDocument/2006/relationships/hyperlink" Target="https://www.californiadgstats.ca.gov/downloads/" TargetMode="External"/><Relationship Id="rId3" Type="http://schemas.openxmlformats.org/officeDocument/2006/relationships/hyperlink" Target="https://docs.cpuc.ca.gov/PublishedDocs/Published/G000/M527/K963/527963349.PDF" TargetMode="External"/><Relationship Id="rId7" Type="http://schemas.openxmlformats.org/officeDocument/2006/relationships/hyperlink" Target="https://www.irs.gov/instructions/i3468" TargetMode="External"/><Relationship Id="rId12" Type="http://schemas.openxmlformats.org/officeDocument/2006/relationships/hyperlink" Target="https://www.irs.gov/credits-deductions/elective-pay-and-transferability-frequently-asked-questions-transferability" TargetMode="External"/><Relationship Id="rId2" Type="http://schemas.openxmlformats.org/officeDocument/2006/relationships/hyperlink" Target="https://ww2.arb.ca.gov/ourwork/programs/california-climate-investments/about" TargetMode="External"/><Relationship Id="rId1" Type="http://schemas.openxmlformats.org/officeDocument/2006/relationships/hyperlink" Target="https://leginfo.legislature.ca.gov/faces/billNavClient.xhtml?bill_id=202320240AB102" TargetMode="External"/><Relationship Id="rId6" Type="http://schemas.openxmlformats.org/officeDocument/2006/relationships/hyperlink" Target="https://www.irs.gov/credits-deductions/residential-clean-energy-credit" TargetMode="External"/><Relationship Id="rId11" Type="http://schemas.openxmlformats.org/officeDocument/2006/relationships/hyperlink" Target="https://www.irs.gov/instructions/i3468" TargetMode="External"/><Relationship Id="rId5" Type="http://schemas.openxmlformats.org/officeDocument/2006/relationships/hyperlink" Target="https://www.californiadgstats.ca.gov/downloads/" TargetMode="External"/><Relationship Id="rId10" Type="http://schemas.openxmlformats.org/officeDocument/2006/relationships/hyperlink" Target="https://www.selfgenca.com/home/program_metrics/" TargetMode="External"/><Relationship Id="rId4" Type="http://schemas.openxmlformats.org/officeDocument/2006/relationships/hyperlink" Target="https://www.cpuc.ca.gov/-/media/cpuc-website/divisions/energy-division/documents/solar-in-disadvantaged-communities/dac-sash-evaluation-report-final.pdf" TargetMode="External"/><Relationship Id="rId9" Type="http://schemas.openxmlformats.org/officeDocument/2006/relationships/hyperlink" Target="https://www.irs.gov/pub/taxpros/fs-2024-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acfb97-b211-45c7-8243-1d2d0849a543">
      <Terms xmlns="http://schemas.microsoft.com/office/infopath/2007/PartnerControls"/>
    </lcf76f155ced4ddcb4097134ff3c332f>
    <TaxCatchAll xmlns="502a3142-df8d-4560-8aaf-77fd2646a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F8E0C48F2D4244B303AC556DC5783C" ma:contentTypeVersion="16" ma:contentTypeDescription="Create a new document." ma:contentTypeScope="" ma:versionID="6f2f70294e4125a7de0b13f67872a96b">
  <xsd:schema xmlns:xsd="http://www.w3.org/2001/XMLSchema" xmlns:xs="http://www.w3.org/2001/XMLSchema" xmlns:p="http://schemas.microsoft.com/office/2006/metadata/properties" xmlns:ns2="d5acfb97-b211-45c7-8243-1d2d0849a543" xmlns:ns3="502a3142-df8d-4560-8aaf-77fd2646a3b6" targetNamespace="http://schemas.microsoft.com/office/2006/metadata/properties" ma:root="true" ma:fieldsID="52ad8fcca4d1ab04b3210a84e7425015" ns2:_="" ns3:_="">
    <xsd:import namespace="d5acfb97-b211-45c7-8243-1d2d0849a543"/>
    <xsd:import namespace="502a3142-df8d-4560-8aaf-77fd2646a3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cfb97-b211-45c7-8243-1d2d0849a5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2a3142-df8d-4560-8aaf-77fd2646a3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abc6818-705b-47d7-85dd-82249151a4fc}" ma:internalName="TaxCatchAll" ma:showField="CatchAllData" ma:web="502a3142-df8d-4560-8aaf-77fd2646a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54526-F973-479E-9E6C-9A17D746A63C}">
  <ds:schemaRefs>
    <ds:schemaRef ds:uri="http://schemas.microsoft.com/office/2006/metadata/properties"/>
    <ds:schemaRef ds:uri="http://schemas.microsoft.com/office/infopath/2007/PartnerControls"/>
    <ds:schemaRef ds:uri="d5acfb97-b211-45c7-8243-1d2d0849a543"/>
    <ds:schemaRef ds:uri="502a3142-df8d-4560-8aaf-77fd2646a3b6"/>
  </ds:schemaRefs>
</ds:datastoreItem>
</file>

<file path=customXml/itemProps2.xml><?xml version="1.0" encoding="utf-8"?>
<ds:datastoreItem xmlns:ds="http://schemas.openxmlformats.org/officeDocument/2006/customXml" ds:itemID="{6126743D-17D4-448F-A3A0-B2FCFCA611FF}">
  <ds:schemaRefs>
    <ds:schemaRef ds:uri="http://schemas.microsoft.com/sharepoint/v3/contenttype/forms"/>
  </ds:schemaRefs>
</ds:datastoreItem>
</file>

<file path=customXml/itemProps3.xml><?xml version="1.0" encoding="utf-8"?>
<ds:datastoreItem xmlns:ds="http://schemas.openxmlformats.org/officeDocument/2006/customXml" ds:itemID="{218A33BC-EBD1-485A-9595-012904DDA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cfb97-b211-45c7-8243-1d2d0849a543"/>
    <ds:schemaRef ds:uri="502a3142-df8d-4560-8aaf-77fd2646a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995425-280A-47AE-88D0-D9B292CD73F0}">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19</ap:Pages>
  <ap:Words>5270</ap:Words>
  <ap:Characters>30045</ap:Characters>
  <ap:Application>Microsoft Office Word</ap:Application>
  <ap:DocSecurity>0</ap:DocSecurity>
  <ap:Lines>250</ap:Lines>
  <ap:Paragraphs>70</ap:Paragraphs>
  <ap:ScaleCrop>false</ap:ScaleCrop>
  <ap:Company/>
  <ap:LinksUpToDate>false</ap:LinksUpToDate>
  <ap:CharactersWithSpaces>35245</ap:CharactersWithSpaces>
  <ap:SharedDoc>false</ap:SharedDoc>
  <ap:HLinks>
    <vt:vector baseType="variant" size="84">
      <vt:variant>
        <vt:i4>3735652</vt:i4>
      </vt:variant>
      <vt:variant>
        <vt:i4>0</vt:i4>
      </vt:variant>
      <vt:variant>
        <vt:i4>0</vt:i4>
      </vt:variant>
      <vt:variant>
        <vt:i4>5</vt:i4>
      </vt:variant>
      <vt:variant>
        <vt:lpwstr>https://www.irs.gov/instructions/i5695</vt:lpwstr>
      </vt:variant>
      <vt:variant>
        <vt:lpwstr/>
      </vt:variant>
      <vt:variant>
        <vt:i4>7602224</vt:i4>
      </vt:variant>
      <vt:variant>
        <vt:i4>36</vt:i4>
      </vt:variant>
      <vt:variant>
        <vt:i4>0</vt:i4>
      </vt:variant>
      <vt:variant>
        <vt:i4>5</vt:i4>
      </vt:variant>
      <vt:variant>
        <vt:lpwstr>https://www.californiadgstats.ca.gov/downloads/</vt:lpwstr>
      </vt:variant>
      <vt:variant>
        <vt:lpwstr/>
      </vt:variant>
      <vt:variant>
        <vt:i4>8257588</vt:i4>
      </vt:variant>
      <vt:variant>
        <vt:i4>33</vt:i4>
      </vt:variant>
      <vt:variant>
        <vt:i4>0</vt:i4>
      </vt:variant>
      <vt:variant>
        <vt:i4>5</vt:i4>
      </vt:variant>
      <vt:variant>
        <vt:lpwstr>https://www.irs.gov/credits-deductions/elective-pay-and-transferability-frequently-asked-questions-transferability</vt:lpwstr>
      </vt:variant>
      <vt:variant>
        <vt:lpwstr/>
      </vt:variant>
      <vt:variant>
        <vt:i4>3539053</vt:i4>
      </vt:variant>
      <vt:variant>
        <vt:i4>30</vt:i4>
      </vt:variant>
      <vt:variant>
        <vt:i4>0</vt:i4>
      </vt:variant>
      <vt:variant>
        <vt:i4>5</vt:i4>
      </vt:variant>
      <vt:variant>
        <vt:lpwstr>https://www.irs.gov/instructions/i3468</vt:lpwstr>
      </vt:variant>
      <vt:variant>
        <vt:lpwstr/>
      </vt:variant>
      <vt:variant>
        <vt:i4>2752588</vt:i4>
      </vt:variant>
      <vt:variant>
        <vt:i4>27</vt:i4>
      </vt:variant>
      <vt:variant>
        <vt:i4>0</vt:i4>
      </vt:variant>
      <vt:variant>
        <vt:i4>5</vt:i4>
      </vt:variant>
      <vt:variant>
        <vt:lpwstr>https://www.selfgenca.com/home/program_metrics/</vt:lpwstr>
      </vt:variant>
      <vt:variant>
        <vt:lpwstr/>
      </vt:variant>
      <vt:variant>
        <vt:i4>2228320</vt:i4>
      </vt:variant>
      <vt:variant>
        <vt:i4>24</vt:i4>
      </vt:variant>
      <vt:variant>
        <vt:i4>0</vt:i4>
      </vt:variant>
      <vt:variant>
        <vt:i4>5</vt:i4>
      </vt:variant>
      <vt:variant>
        <vt:lpwstr>https://www.irs.gov/pub/taxpros/fs-2024-15.pdf</vt:lpwstr>
      </vt:variant>
      <vt:variant>
        <vt:lpwstr/>
      </vt:variant>
      <vt:variant>
        <vt:i4>2228320</vt:i4>
      </vt:variant>
      <vt:variant>
        <vt:i4>21</vt:i4>
      </vt:variant>
      <vt:variant>
        <vt:i4>0</vt:i4>
      </vt:variant>
      <vt:variant>
        <vt:i4>5</vt:i4>
      </vt:variant>
      <vt:variant>
        <vt:lpwstr>https://www.irs.gov/pub/taxpros/fs-2024-15.pdf</vt:lpwstr>
      </vt:variant>
      <vt:variant>
        <vt:lpwstr/>
      </vt:variant>
      <vt:variant>
        <vt:i4>5767229</vt:i4>
      </vt:variant>
      <vt:variant>
        <vt:i4>18</vt:i4>
      </vt:variant>
      <vt:variant>
        <vt:i4>0</vt:i4>
      </vt:variant>
      <vt:variant>
        <vt:i4>5</vt:i4>
      </vt:variant>
      <vt:variant>
        <vt:lpwstr>https://www.irs.gov/instructions/i3468</vt:lpwstr>
      </vt:variant>
      <vt:variant>
        <vt:lpwstr>en_US_2023_publink1000111800</vt:lpwstr>
      </vt:variant>
      <vt:variant>
        <vt:i4>2949223</vt:i4>
      </vt:variant>
      <vt:variant>
        <vt:i4>15</vt:i4>
      </vt:variant>
      <vt:variant>
        <vt:i4>0</vt:i4>
      </vt:variant>
      <vt:variant>
        <vt:i4>5</vt:i4>
      </vt:variant>
      <vt:variant>
        <vt:lpwstr>https://www.irs.gov/credits-deductions/residential-clean-energy-credit</vt:lpwstr>
      </vt:variant>
      <vt:variant>
        <vt:lpwstr/>
      </vt:variant>
      <vt:variant>
        <vt:i4>7602224</vt:i4>
      </vt:variant>
      <vt:variant>
        <vt:i4>12</vt:i4>
      </vt:variant>
      <vt:variant>
        <vt:i4>0</vt:i4>
      </vt:variant>
      <vt:variant>
        <vt:i4>5</vt:i4>
      </vt:variant>
      <vt:variant>
        <vt:lpwstr>https://www.californiadgstats.ca.gov/downloads/</vt:lpwstr>
      </vt:variant>
      <vt:variant>
        <vt:lpwstr/>
      </vt:variant>
      <vt:variant>
        <vt:i4>5963802</vt:i4>
      </vt:variant>
      <vt:variant>
        <vt:i4>9</vt:i4>
      </vt:variant>
      <vt:variant>
        <vt:i4>0</vt:i4>
      </vt:variant>
      <vt:variant>
        <vt:i4>5</vt:i4>
      </vt:variant>
      <vt:variant>
        <vt:lpwstr>https://www.cpuc.ca.gov/-/media/cpuc-website/divisions/energy-division/documents/solar-in-disadvantaged-communities/dac-sash-evaluation-report-final.pdf</vt:lpwstr>
      </vt:variant>
      <vt:variant>
        <vt:lpwstr/>
      </vt:variant>
      <vt:variant>
        <vt:i4>1507396</vt:i4>
      </vt:variant>
      <vt:variant>
        <vt:i4>6</vt:i4>
      </vt:variant>
      <vt:variant>
        <vt:i4>0</vt:i4>
      </vt:variant>
      <vt:variant>
        <vt:i4>5</vt:i4>
      </vt:variant>
      <vt:variant>
        <vt:lpwstr>https://docs.cpuc.ca.gov/PublishedDocs/Published/G000/M527/K963/527963349.PDF</vt:lpwstr>
      </vt:variant>
      <vt:variant>
        <vt:lpwstr/>
      </vt:variant>
      <vt:variant>
        <vt:i4>5373954</vt:i4>
      </vt:variant>
      <vt:variant>
        <vt:i4>3</vt:i4>
      </vt:variant>
      <vt:variant>
        <vt:i4>0</vt:i4>
      </vt:variant>
      <vt:variant>
        <vt:i4>5</vt:i4>
      </vt:variant>
      <vt:variant>
        <vt:lpwstr>https://ww2.arb.ca.gov/ourwork/programs/california-climate-investments/about</vt:lpwstr>
      </vt:variant>
      <vt:variant>
        <vt:lpwstr/>
      </vt:variant>
      <vt:variant>
        <vt:i4>4653175</vt:i4>
      </vt:variant>
      <vt:variant>
        <vt:i4>0</vt:i4>
      </vt:variant>
      <vt:variant>
        <vt:i4>0</vt:i4>
      </vt:variant>
      <vt:variant>
        <vt:i4>5</vt:i4>
      </vt:variant>
      <vt:variant>
        <vt:lpwstr>https://leginfo.legislature.ca.gov/faces/billNavClient.xhtml?bill_id=202320240AB102</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2019-02-28T22:11:00Z</cp:lastPrinted>
  <dcterms:created xsi:type="dcterms:W3CDTF">2025-01-14T16:11:05Z</dcterms:created>
  <dcterms:modified xsi:type="dcterms:W3CDTF">2025-01-14T16:11:05Z</dcterms:modified>
</cp:coreProperties>
</file>