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5B19" w:rsidR="00CD4CF8" w:rsidP="00CD4CF8" w:rsidRDefault="00CD4CF8" w14:paraId="6535AD01" w14:textId="77777777">
      <w:pPr>
        <w:pStyle w:val="titlebar"/>
        <w:rPr>
          <w:szCs w:val="26"/>
        </w:rPr>
      </w:pPr>
      <w:r w:rsidRPr="00375B19">
        <w:rPr>
          <w:szCs w:val="26"/>
        </w:rPr>
        <w:t>PUBLIC UTILITIES COMMISSION OF THE STATE OF CALIFORNIA</w:t>
      </w:r>
    </w:p>
    <w:p w:rsidRPr="000F0635" w:rsidR="00CD4CF8" w:rsidP="00CD4CF8" w:rsidRDefault="00CD4CF8" w14:paraId="573AF5C0" w14:textId="77777777">
      <w:pPr>
        <w:suppressAutoHyphens/>
        <w:rPr>
          <w:sz w:val="16"/>
          <w:szCs w:val="16"/>
        </w:rPr>
      </w:pPr>
    </w:p>
    <w:p w:rsidRPr="000F0635" w:rsidR="00C312FA" w:rsidP="00CD4CF8" w:rsidRDefault="00C312FA" w14:paraId="5275396A" w14:textId="77777777">
      <w:pPr>
        <w:tabs>
          <w:tab w:val="right" w:pos="8820"/>
        </w:tabs>
        <w:rPr>
          <w:rFonts w:ascii="Palatino Linotype" w:hAnsi="Palatino Linotype" w:eastAsia="Palatino Linotype"/>
          <w:b/>
          <w:sz w:val="16"/>
          <w:szCs w:val="16"/>
        </w:rPr>
      </w:pPr>
    </w:p>
    <w:p w:rsidR="00C6289F" w:rsidP="00616953" w:rsidRDefault="00C6289F" w14:paraId="46BEB948" w14:textId="45D77C35">
      <w:pPr>
        <w:tabs>
          <w:tab w:val="right" w:pos="9270"/>
        </w:tabs>
        <w:rPr>
          <w:rFonts w:ascii="Palatino Linotype" w:hAnsi="Palatino Linotype" w:eastAsia="Palatino Linotype"/>
          <w:b/>
          <w:sz w:val="24"/>
          <w:szCs w:val="24"/>
        </w:rPr>
      </w:pPr>
      <w:r>
        <w:rPr>
          <w:rFonts w:ascii="Palatino Linotype" w:hAnsi="Palatino Linotype" w:eastAsia="Palatino Linotype"/>
          <w:b/>
          <w:sz w:val="24"/>
          <w:szCs w:val="24"/>
        </w:rPr>
        <w:tab/>
        <w:t>Agenda ID #</w:t>
      </w:r>
      <w:r w:rsidRPr="00AD0930" w:rsidR="00AD0930">
        <w:rPr>
          <w:rFonts w:ascii="Palatino Linotype" w:hAnsi="Palatino Linotype" w:eastAsia="Palatino Linotype"/>
          <w:b/>
          <w:bCs/>
          <w:sz w:val="24"/>
          <w:szCs w:val="24"/>
        </w:rPr>
        <w:t>23258</w:t>
      </w:r>
    </w:p>
    <w:p w:rsidR="00CD4CF8" w:rsidP="00616953" w:rsidRDefault="00CD4CF8" w14:paraId="627376DE" w14:textId="156E6253">
      <w:pPr>
        <w:tabs>
          <w:tab w:val="right" w:pos="9270"/>
        </w:tabs>
        <w:rPr>
          <w:rFonts w:ascii="Palatino Linotype" w:hAnsi="Palatino Linotype" w:eastAsia="Palatino Linotype"/>
          <w:b/>
          <w:sz w:val="24"/>
          <w:szCs w:val="24"/>
        </w:rPr>
      </w:pPr>
      <w:r w:rsidRPr="00D865A9">
        <w:rPr>
          <w:rFonts w:ascii="Palatino Linotype" w:hAnsi="Palatino Linotype" w:eastAsia="Palatino Linotype"/>
          <w:b/>
          <w:sz w:val="24"/>
          <w:szCs w:val="24"/>
        </w:rPr>
        <w:t>ENERGY DIVISION</w:t>
      </w:r>
      <w:r w:rsidRPr="00D865A9">
        <w:rPr>
          <w:rFonts w:ascii="Palatino Linotype" w:hAnsi="Palatino Linotype"/>
          <w:b/>
          <w:sz w:val="24"/>
          <w:szCs w:val="24"/>
        </w:rPr>
        <w:tab/>
      </w:r>
      <w:r w:rsidRPr="00D865A9">
        <w:rPr>
          <w:rFonts w:ascii="Palatino Linotype" w:hAnsi="Palatino Linotype" w:eastAsia="Palatino Linotype"/>
          <w:b/>
          <w:sz w:val="24"/>
          <w:szCs w:val="24"/>
        </w:rPr>
        <w:t xml:space="preserve">RESOLUTION </w:t>
      </w:r>
      <w:r w:rsidRPr="00E66670">
        <w:rPr>
          <w:rFonts w:ascii="Palatino Linotype" w:hAnsi="Palatino Linotype" w:eastAsia="Palatino Linotype"/>
          <w:b/>
          <w:sz w:val="24"/>
          <w:szCs w:val="24"/>
        </w:rPr>
        <w:t>E-</w:t>
      </w:r>
      <w:r w:rsidR="000D7739">
        <w:rPr>
          <w:rFonts w:ascii="Palatino Linotype" w:hAnsi="Palatino Linotype" w:eastAsia="Palatino Linotype"/>
          <w:b/>
          <w:sz w:val="24"/>
          <w:szCs w:val="24"/>
        </w:rPr>
        <w:t>5363</w:t>
      </w:r>
    </w:p>
    <w:p w:rsidRPr="000D7739" w:rsidR="00CD4CF8" w:rsidP="00616953" w:rsidRDefault="00CD4CF8" w14:paraId="02A415D1" w14:textId="285FFD9E">
      <w:pPr>
        <w:tabs>
          <w:tab w:val="right" w:pos="9270"/>
        </w:tabs>
        <w:rPr>
          <w:rFonts w:ascii="Palatino Linotype" w:hAnsi="Palatino Linotype"/>
          <w:b/>
          <w:sz w:val="24"/>
          <w:szCs w:val="24"/>
        </w:rPr>
      </w:pPr>
      <w:r w:rsidRPr="00DD66A6">
        <w:rPr>
          <w:rFonts w:ascii="Palatino Linotype" w:hAnsi="Palatino Linotype"/>
          <w:b/>
          <w:color w:val="FF0000"/>
          <w:sz w:val="24"/>
          <w:szCs w:val="24"/>
        </w:rPr>
        <w:tab/>
      </w:r>
      <w:r w:rsidR="00FC20E4">
        <w:rPr>
          <w:rFonts w:ascii="Palatino Linotype" w:hAnsi="Palatino Linotype"/>
          <w:b/>
          <w:sz w:val="24"/>
          <w:szCs w:val="24"/>
        </w:rPr>
        <w:t>February</w:t>
      </w:r>
      <w:r w:rsidRPr="000D7739" w:rsidR="00E94B1B">
        <w:rPr>
          <w:rFonts w:ascii="Palatino Linotype" w:hAnsi="Palatino Linotype"/>
          <w:b/>
          <w:sz w:val="24"/>
          <w:szCs w:val="24"/>
        </w:rPr>
        <w:t xml:space="preserve"> </w:t>
      </w:r>
      <w:r w:rsidR="0074055B">
        <w:rPr>
          <w:rFonts w:ascii="Palatino Linotype" w:hAnsi="Palatino Linotype"/>
          <w:b/>
          <w:sz w:val="24"/>
          <w:szCs w:val="24"/>
        </w:rPr>
        <w:t>20</w:t>
      </w:r>
      <w:r w:rsidRPr="000D7739" w:rsidR="00DD66A6">
        <w:rPr>
          <w:rFonts w:ascii="Palatino Linotype" w:hAnsi="Palatino Linotype"/>
          <w:b/>
          <w:sz w:val="24"/>
          <w:szCs w:val="24"/>
        </w:rPr>
        <w:t>, 202</w:t>
      </w:r>
      <w:r w:rsidR="00FC20E4">
        <w:rPr>
          <w:rFonts w:ascii="Palatino Linotype" w:hAnsi="Palatino Linotype"/>
          <w:b/>
          <w:sz w:val="24"/>
          <w:szCs w:val="24"/>
        </w:rPr>
        <w:t>5</w:t>
      </w:r>
    </w:p>
    <w:p w:rsidRPr="00ED4B88" w:rsidR="00CD4CF8" w:rsidP="00ED4B88" w:rsidRDefault="00CD4CF8" w14:paraId="6538E310" w14:textId="10D1E257">
      <w:pPr>
        <w:tabs>
          <w:tab w:val="right" w:pos="8910"/>
        </w:tabs>
        <w:ind w:left="1440" w:firstLine="720"/>
        <w:rPr>
          <w:rFonts w:ascii="Palatino Linotype" w:hAnsi="Palatino Linotype"/>
          <w:b/>
          <w:sz w:val="16"/>
          <w:szCs w:val="16"/>
        </w:rPr>
      </w:pPr>
      <w:r w:rsidRPr="00D865A9">
        <w:rPr>
          <w:rFonts w:ascii="Palatino Linotype" w:hAnsi="Palatino Linotype"/>
          <w:b/>
          <w:sz w:val="24"/>
          <w:szCs w:val="24"/>
        </w:rPr>
        <w:tab/>
      </w:r>
    </w:p>
    <w:p w:rsidR="003F3E35" w:rsidP="00967C9D" w:rsidRDefault="00967C9D" w14:paraId="286F5ECE" w14:textId="727FF991">
      <w:pPr>
        <w:pStyle w:val="mainex"/>
        <w:spacing w:after="120"/>
        <w:rPr>
          <w:rFonts w:cs="Helvetica"/>
          <w:szCs w:val="26"/>
          <w:u w:val="single"/>
        </w:rPr>
      </w:pPr>
      <w:bookmarkStart w:name="_Ref404993683" w:id="0"/>
      <w:r>
        <w:rPr>
          <w:rFonts w:cs="Helvetica"/>
          <w:szCs w:val="26"/>
          <w:u w:val="single"/>
        </w:rPr>
        <w:t>REDACTED</w:t>
      </w:r>
      <w:r w:rsidRPr="001B3426" w:rsidR="007323CD">
        <w:rPr>
          <w:rFonts w:cs="Helvetica"/>
          <w:szCs w:val="26"/>
          <w:u w:val="single"/>
        </w:rPr>
        <w:t xml:space="preserve"> </w:t>
      </w:r>
    </w:p>
    <w:p w:rsidRPr="001B3426" w:rsidR="003F3E35" w:rsidP="003F3E35" w:rsidRDefault="003F3E35" w14:paraId="5394BF5B" w14:textId="77777777">
      <w:pPr>
        <w:pStyle w:val="mainex"/>
        <w:rPr>
          <w:rFonts w:cs="Helvetica"/>
          <w:szCs w:val="26"/>
          <w:u w:val="single"/>
        </w:rPr>
      </w:pPr>
      <w:r w:rsidRPr="001B3426">
        <w:rPr>
          <w:rFonts w:cs="Helvetica"/>
          <w:szCs w:val="26"/>
          <w:u w:val="single"/>
        </w:rPr>
        <w:t>RESOLUTION</w:t>
      </w:r>
    </w:p>
    <w:p w:rsidRPr="00AF635D" w:rsidR="00CD4CF8" w:rsidP="00CD4CF8" w:rsidRDefault="00CD4CF8" w14:paraId="0CBA8EC5" w14:textId="77777777">
      <w:pPr>
        <w:rPr>
          <w:rFonts w:eastAsia="Palatino Linotype"/>
          <w:sz w:val="16"/>
          <w:szCs w:val="16"/>
        </w:rPr>
      </w:pPr>
    </w:p>
    <w:p w:rsidRPr="006A0603" w:rsidR="00CD4CF8" w:rsidP="00B45D50" w:rsidRDefault="00CD4CF8" w14:paraId="6C03D389" w14:textId="049E9BAC">
      <w:pPr>
        <w:pStyle w:val="Res-Caption"/>
        <w:rPr>
          <w:rFonts w:ascii="Palatino Linotype" w:hAnsi="Palatino Linotype"/>
          <w:sz w:val="24"/>
          <w:szCs w:val="24"/>
        </w:rPr>
      </w:pPr>
      <w:r w:rsidRPr="006A0603">
        <w:rPr>
          <w:rFonts w:ascii="Palatino Linotype" w:hAnsi="Palatino Linotype"/>
          <w:sz w:val="24"/>
          <w:szCs w:val="24"/>
        </w:rPr>
        <w:t>Resolution E</w:t>
      </w:r>
      <w:r w:rsidRPr="006A0603" w:rsidR="000D7739">
        <w:rPr>
          <w:rFonts w:ascii="Palatino Linotype" w:hAnsi="Palatino Linotype"/>
          <w:sz w:val="24"/>
          <w:szCs w:val="24"/>
        </w:rPr>
        <w:t>-5363.</w:t>
      </w:r>
      <w:r w:rsidRPr="006A0603">
        <w:rPr>
          <w:rFonts w:ascii="Palatino Linotype" w:hAnsi="Palatino Linotype"/>
          <w:sz w:val="24"/>
          <w:szCs w:val="24"/>
        </w:rPr>
        <w:t xml:space="preserve">  </w:t>
      </w:r>
      <w:r w:rsidRPr="006A0603" w:rsidR="00313DEC">
        <w:rPr>
          <w:rFonts w:ascii="Palatino Linotype" w:hAnsi="Palatino Linotype"/>
          <w:sz w:val="24"/>
          <w:szCs w:val="24"/>
        </w:rPr>
        <w:t>Pacific Gas and Electric Company</w:t>
      </w:r>
      <w:r w:rsidRPr="006A0603" w:rsidR="008F1878">
        <w:rPr>
          <w:rFonts w:ascii="Palatino Linotype" w:hAnsi="Palatino Linotype"/>
          <w:sz w:val="24"/>
          <w:szCs w:val="24"/>
        </w:rPr>
        <w:t xml:space="preserve"> Central Procurement Entity 2024 Local Resource Adequacy </w:t>
      </w:r>
      <w:r w:rsidRPr="006A0603" w:rsidR="000D7739">
        <w:rPr>
          <w:rFonts w:ascii="Palatino Linotype" w:hAnsi="Palatino Linotype"/>
          <w:sz w:val="24"/>
          <w:szCs w:val="24"/>
        </w:rPr>
        <w:t>Procurement.</w:t>
      </w:r>
    </w:p>
    <w:p w:rsidRPr="008D4D5E" w:rsidR="00CD4CF8" w:rsidP="00B45D50" w:rsidRDefault="00CD4CF8" w14:paraId="69D722E8" w14:textId="77777777">
      <w:pPr>
        <w:pStyle w:val="Res-Caption"/>
        <w:rPr>
          <w:rFonts w:ascii="Palatino Linotype" w:hAnsi="Palatino Linotype" w:eastAsia="Palatino Linotype"/>
          <w:sz w:val="16"/>
          <w:szCs w:val="16"/>
        </w:rPr>
      </w:pPr>
    </w:p>
    <w:p w:rsidRPr="007F4BEC" w:rsidR="00CD4CF8" w:rsidP="00657C88" w:rsidRDefault="00CD4CF8" w14:paraId="7D630D19" w14:textId="77777777">
      <w:pPr>
        <w:pStyle w:val="Res-Caption"/>
        <w:spacing w:after="120"/>
        <w:rPr>
          <w:rFonts w:ascii="Palatino Linotype" w:hAnsi="Palatino Linotype" w:eastAsia="Palatino Linotype"/>
          <w:sz w:val="24"/>
          <w:szCs w:val="24"/>
        </w:rPr>
      </w:pPr>
      <w:r w:rsidRPr="007F4BEC">
        <w:rPr>
          <w:rFonts w:ascii="Palatino Linotype" w:hAnsi="Palatino Linotype" w:eastAsia="Palatino Linotype"/>
          <w:sz w:val="24"/>
          <w:szCs w:val="24"/>
        </w:rPr>
        <w:t xml:space="preserve">PROPOSED OUTCOME: </w:t>
      </w:r>
    </w:p>
    <w:p w:rsidRPr="007F4BEC" w:rsidR="00CD4CF8" w:rsidP="00B45D50" w:rsidRDefault="00CD4CF8" w14:paraId="5BFA6AB9" w14:textId="66FD0E50">
      <w:pPr>
        <w:pStyle w:val="ListParagraph"/>
        <w:numPr>
          <w:ilvl w:val="0"/>
          <w:numId w:val="5"/>
        </w:numPr>
        <w:ind w:right="720"/>
        <w:rPr>
          <w:rFonts w:ascii="Palatino Linotype" w:hAnsi="Palatino Linotype"/>
          <w:sz w:val="24"/>
          <w:szCs w:val="24"/>
        </w:rPr>
      </w:pPr>
      <w:r w:rsidRPr="0651BFCA">
        <w:rPr>
          <w:rFonts w:ascii="Palatino Linotype" w:hAnsi="Palatino Linotype"/>
          <w:sz w:val="24"/>
          <w:szCs w:val="24"/>
        </w:rPr>
        <w:t xml:space="preserve">Approves </w:t>
      </w:r>
      <w:r w:rsidRPr="0651BFCA" w:rsidR="00672679">
        <w:rPr>
          <w:rFonts w:ascii="Palatino Linotype" w:hAnsi="Palatino Linotype"/>
          <w:sz w:val="24"/>
          <w:szCs w:val="24"/>
        </w:rPr>
        <w:t xml:space="preserve">one </w:t>
      </w:r>
      <w:r w:rsidRPr="0651BFCA" w:rsidR="00313DEC">
        <w:rPr>
          <w:rFonts w:ascii="Palatino Linotype" w:hAnsi="Palatino Linotype"/>
          <w:sz w:val="24"/>
          <w:szCs w:val="24"/>
        </w:rPr>
        <w:t xml:space="preserve">Pacific Gas and Electric Company </w:t>
      </w:r>
      <w:r w:rsidRPr="0651BFCA" w:rsidR="00F145CF">
        <w:rPr>
          <w:rFonts w:ascii="Palatino Linotype" w:hAnsi="Palatino Linotype"/>
          <w:sz w:val="24"/>
          <w:szCs w:val="24"/>
        </w:rPr>
        <w:t xml:space="preserve">Central Procurement Entity </w:t>
      </w:r>
      <w:r w:rsidRPr="0651BFCA" w:rsidR="008F3011">
        <w:rPr>
          <w:rFonts w:ascii="Palatino Linotype" w:hAnsi="Palatino Linotype"/>
          <w:sz w:val="24"/>
          <w:szCs w:val="24"/>
        </w:rPr>
        <w:t xml:space="preserve">Agreement </w:t>
      </w:r>
      <w:r w:rsidRPr="0651BFCA" w:rsidR="00F145CF">
        <w:rPr>
          <w:rFonts w:ascii="Palatino Linotype" w:hAnsi="Palatino Linotype"/>
          <w:sz w:val="24"/>
          <w:szCs w:val="24"/>
        </w:rPr>
        <w:t xml:space="preserve">and related costs </w:t>
      </w:r>
      <w:r w:rsidRPr="0651BFCA" w:rsidR="008F3011">
        <w:rPr>
          <w:rFonts w:ascii="Palatino Linotype" w:hAnsi="Palatino Linotype"/>
          <w:sz w:val="24"/>
          <w:szCs w:val="24"/>
        </w:rPr>
        <w:t xml:space="preserve">for </w:t>
      </w:r>
      <w:r w:rsidRPr="0651BFCA" w:rsidR="009E57C4">
        <w:rPr>
          <w:rFonts w:ascii="Palatino Linotype" w:hAnsi="Palatino Linotype"/>
          <w:sz w:val="24"/>
          <w:szCs w:val="24"/>
        </w:rPr>
        <w:t xml:space="preserve">a </w:t>
      </w:r>
      <w:r w:rsidRPr="0651BFCA" w:rsidR="00FD58E9">
        <w:rPr>
          <w:rFonts w:ascii="Palatino Linotype" w:hAnsi="Palatino Linotype"/>
          <w:sz w:val="24"/>
          <w:szCs w:val="24"/>
        </w:rPr>
        <w:t>ten</w:t>
      </w:r>
      <w:r w:rsidRPr="0651BFCA" w:rsidR="00F02A12">
        <w:rPr>
          <w:rFonts w:ascii="Palatino Linotype" w:hAnsi="Palatino Linotype"/>
          <w:sz w:val="24"/>
          <w:szCs w:val="24"/>
        </w:rPr>
        <w:t>-year</w:t>
      </w:r>
      <w:r w:rsidRPr="0651BFCA" w:rsidR="00F145CF">
        <w:rPr>
          <w:rFonts w:ascii="Palatino Linotype" w:hAnsi="Palatino Linotype"/>
          <w:sz w:val="24"/>
          <w:szCs w:val="24"/>
        </w:rPr>
        <w:t xml:space="preserve"> new build </w:t>
      </w:r>
      <w:r w:rsidRPr="0651BFCA" w:rsidR="009E57C4">
        <w:rPr>
          <w:rFonts w:ascii="Palatino Linotype" w:hAnsi="Palatino Linotype"/>
          <w:sz w:val="24"/>
          <w:szCs w:val="24"/>
        </w:rPr>
        <w:t>energy storage contract.</w:t>
      </w:r>
      <w:r w:rsidRPr="0651BFCA">
        <w:rPr>
          <w:rFonts w:ascii="Palatino Linotype" w:hAnsi="Palatino Linotype"/>
          <w:sz w:val="24"/>
          <w:szCs w:val="24"/>
        </w:rPr>
        <w:t xml:space="preserve"> </w:t>
      </w:r>
    </w:p>
    <w:p w:rsidRPr="008D4D5E" w:rsidR="00CD4CF8" w:rsidP="00CD4CF8" w:rsidRDefault="00CD4CF8" w14:paraId="30DD11C0" w14:textId="77777777">
      <w:pPr>
        <w:pStyle w:val="Res-Caption"/>
        <w:rPr>
          <w:rFonts w:ascii="Palatino Linotype" w:hAnsi="Palatino Linotype" w:eastAsia="Palatino Linotype"/>
          <w:sz w:val="16"/>
          <w:szCs w:val="16"/>
        </w:rPr>
      </w:pPr>
    </w:p>
    <w:p w:rsidRPr="007F4BEC" w:rsidR="00CD4CF8" w:rsidP="00657C88" w:rsidRDefault="00CD4CF8" w14:paraId="2BFEC4B9" w14:textId="77777777">
      <w:pPr>
        <w:pStyle w:val="Res-Caption"/>
        <w:spacing w:after="120"/>
        <w:rPr>
          <w:rFonts w:ascii="Palatino Linotype" w:hAnsi="Palatino Linotype" w:eastAsia="Palatino Linotype"/>
          <w:sz w:val="24"/>
          <w:szCs w:val="24"/>
        </w:rPr>
      </w:pPr>
      <w:r w:rsidRPr="007F4BEC">
        <w:rPr>
          <w:rFonts w:ascii="Palatino Linotype" w:hAnsi="Palatino Linotype" w:eastAsia="Palatino Linotype"/>
          <w:sz w:val="24"/>
          <w:szCs w:val="24"/>
        </w:rPr>
        <w:t>SAFETY CONSIDERATIONS:</w:t>
      </w:r>
    </w:p>
    <w:p w:rsidRPr="007F4BEC" w:rsidR="009E57C4" w:rsidP="00657C88" w:rsidRDefault="00211709" w14:paraId="783FC217" w14:textId="0F6D5E67">
      <w:pPr>
        <w:pStyle w:val="ListParagraph"/>
        <w:numPr>
          <w:ilvl w:val="0"/>
          <w:numId w:val="4"/>
        </w:numPr>
        <w:spacing w:after="120"/>
        <w:ind w:right="720"/>
        <w:contextualSpacing w:val="0"/>
        <w:rPr>
          <w:rFonts w:ascii="Palatino Linotype" w:hAnsi="Palatino Linotype" w:eastAsia="Palatino Linotype" w:cs="Palatino Linotype"/>
          <w:sz w:val="24"/>
          <w:szCs w:val="24"/>
        </w:rPr>
      </w:pPr>
      <w:r w:rsidRPr="007F4BEC">
        <w:rPr>
          <w:rFonts w:ascii="Palatino Linotype" w:hAnsi="Palatino Linotype" w:eastAsia="Palatino Linotype" w:cs="Palatino Linotype"/>
          <w:sz w:val="24"/>
          <w:szCs w:val="24"/>
        </w:rPr>
        <w:t>P</w:t>
      </w:r>
      <w:r w:rsidRPr="007F4BEC" w:rsidR="00E6125B">
        <w:rPr>
          <w:rFonts w:ascii="Palatino Linotype" w:hAnsi="Palatino Linotype" w:eastAsia="Palatino Linotype" w:cs="Palatino Linotype"/>
          <w:sz w:val="24"/>
          <w:szCs w:val="24"/>
        </w:rPr>
        <w:t>acific Gas and Electric Company</w:t>
      </w:r>
      <w:r w:rsidR="00D337C2">
        <w:rPr>
          <w:rFonts w:ascii="Palatino Linotype" w:hAnsi="Palatino Linotype" w:eastAsia="Palatino Linotype" w:cs="Palatino Linotype"/>
          <w:sz w:val="24"/>
          <w:szCs w:val="24"/>
        </w:rPr>
        <w:t xml:space="preserve"> Central Procurement Entity</w:t>
      </w:r>
      <w:r w:rsidRPr="007F4BEC">
        <w:rPr>
          <w:rFonts w:ascii="Palatino Linotype" w:hAnsi="Palatino Linotype" w:eastAsia="Palatino Linotype" w:cs="Palatino Linotype"/>
          <w:sz w:val="24"/>
          <w:szCs w:val="24"/>
        </w:rPr>
        <w:t xml:space="preserve"> </w:t>
      </w:r>
      <w:r w:rsidR="00D337C2">
        <w:rPr>
          <w:rFonts w:ascii="Palatino Linotype" w:hAnsi="Palatino Linotype" w:eastAsia="Palatino Linotype" w:cs="Palatino Linotype"/>
          <w:sz w:val="24"/>
          <w:szCs w:val="24"/>
        </w:rPr>
        <w:t xml:space="preserve">contract terms </w:t>
      </w:r>
      <w:r w:rsidRPr="007F4BEC">
        <w:rPr>
          <w:rFonts w:ascii="Palatino Linotype" w:hAnsi="Palatino Linotype" w:eastAsia="Palatino Linotype" w:cs="Palatino Linotype"/>
          <w:sz w:val="24"/>
          <w:szCs w:val="24"/>
        </w:rPr>
        <w:t xml:space="preserve">require </w:t>
      </w:r>
      <w:r w:rsidRPr="007F4BEC" w:rsidR="002545FC">
        <w:rPr>
          <w:rFonts w:ascii="Palatino Linotype" w:hAnsi="Palatino Linotype"/>
          <w:sz w:val="24"/>
          <w:szCs w:val="24"/>
        </w:rPr>
        <w:t>participants offering new build resources to provide information about their technology as well as the safety history of the participant and/or contractors and</w:t>
      </w:r>
      <w:r w:rsidRPr="007F4BEC">
        <w:rPr>
          <w:rFonts w:ascii="Palatino Linotype" w:hAnsi="Palatino Linotype" w:eastAsia="Palatino Linotype" w:cs="Palatino Linotype"/>
          <w:sz w:val="24"/>
          <w:szCs w:val="24"/>
        </w:rPr>
        <w:t xml:space="preserve"> </w:t>
      </w:r>
      <w:r w:rsidR="00D337C2">
        <w:rPr>
          <w:rFonts w:ascii="Palatino Linotype" w:hAnsi="Palatino Linotype" w:eastAsia="Palatino Linotype" w:cs="Palatino Linotype"/>
          <w:sz w:val="24"/>
          <w:szCs w:val="24"/>
        </w:rPr>
        <w:t xml:space="preserve">the </w:t>
      </w:r>
      <w:r w:rsidR="00FC6AF7">
        <w:rPr>
          <w:rFonts w:ascii="Palatino Linotype" w:hAnsi="Palatino Linotype"/>
          <w:sz w:val="24"/>
          <w:szCs w:val="24"/>
        </w:rPr>
        <w:t xml:space="preserve">seller </w:t>
      </w:r>
      <w:r w:rsidRPr="007F4BEC">
        <w:rPr>
          <w:rFonts w:ascii="Palatino Linotype" w:hAnsi="Palatino Linotype" w:eastAsia="Palatino Linotype" w:cs="Palatino Linotype"/>
          <w:sz w:val="24"/>
          <w:szCs w:val="24"/>
        </w:rPr>
        <w:t>to 1) practice responsible safety management enforced by contractual terms and conditions based on standards for Prudent Electrical Practices and all applicable laws and regulations and 2) have a project safety plan that demonstrates responsible safety management during all phases of the project lifecycle.</w:t>
      </w:r>
    </w:p>
    <w:p w:rsidRPr="007F4BEC" w:rsidR="00CD4CF8" w:rsidP="00B45D50" w:rsidRDefault="002545FC" w14:paraId="67CDBC1B" w14:textId="13AF0981">
      <w:pPr>
        <w:pStyle w:val="ListParagraph"/>
        <w:numPr>
          <w:ilvl w:val="0"/>
          <w:numId w:val="4"/>
        </w:numPr>
        <w:ind w:right="720"/>
        <w:rPr>
          <w:rFonts w:ascii="Palatino Linotype" w:hAnsi="Palatino Linotype" w:eastAsia="Palatino Linotype" w:cs="Palatino Linotype"/>
          <w:sz w:val="24"/>
          <w:szCs w:val="24"/>
        </w:rPr>
      </w:pPr>
      <w:r w:rsidRPr="007F4BEC">
        <w:rPr>
          <w:rFonts w:ascii="Palatino Linotype" w:hAnsi="Palatino Linotype"/>
          <w:sz w:val="24"/>
          <w:szCs w:val="24"/>
        </w:rPr>
        <w:t xml:space="preserve">The </w:t>
      </w:r>
      <w:r w:rsidR="00D337C2">
        <w:rPr>
          <w:rFonts w:ascii="Palatino Linotype" w:hAnsi="Palatino Linotype"/>
          <w:sz w:val="24"/>
          <w:szCs w:val="24"/>
        </w:rPr>
        <w:t>contract</w:t>
      </w:r>
      <w:r w:rsidRPr="007F4BEC" w:rsidR="00D337C2">
        <w:rPr>
          <w:rFonts w:ascii="Palatino Linotype" w:hAnsi="Palatino Linotype"/>
          <w:sz w:val="24"/>
          <w:szCs w:val="24"/>
        </w:rPr>
        <w:t xml:space="preserve"> </w:t>
      </w:r>
      <w:r w:rsidRPr="007F4BEC">
        <w:rPr>
          <w:rFonts w:ascii="Palatino Linotype" w:hAnsi="Palatino Linotype"/>
          <w:sz w:val="24"/>
          <w:szCs w:val="24"/>
        </w:rPr>
        <w:t xml:space="preserve">terms also provide </w:t>
      </w:r>
      <w:r w:rsidRPr="00FC058D" w:rsidR="00D337C2">
        <w:rPr>
          <w:rFonts w:ascii="Palatino Linotype" w:hAnsi="Palatino Linotype" w:eastAsia="Palatino Linotype" w:cs="Palatino Linotype"/>
          <w:sz w:val="24"/>
          <w:szCs w:val="24"/>
        </w:rPr>
        <w:t>Pacific Gas and Electric Company</w:t>
      </w:r>
      <w:r w:rsidR="00D337C2">
        <w:rPr>
          <w:rFonts w:ascii="Palatino Linotype" w:hAnsi="Palatino Linotype" w:eastAsia="Palatino Linotype" w:cs="Palatino Linotype"/>
          <w:sz w:val="24"/>
          <w:szCs w:val="24"/>
        </w:rPr>
        <w:t xml:space="preserve"> Central Procurement Entity</w:t>
      </w:r>
      <w:r w:rsidRPr="00FC058D" w:rsidR="00D337C2">
        <w:rPr>
          <w:rFonts w:ascii="Palatino Linotype" w:hAnsi="Palatino Linotype" w:eastAsia="Palatino Linotype" w:cs="Palatino Linotype"/>
          <w:sz w:val="24"/>
          <w:szCs w:val="24"/>
        </w:rPr>
        <w:t xml:space="preserve"> </w:t>
      </w:r>
      <w:r w:rsidRPr="007F4BEC">
        <w:rPr>
          <w:rFonts w:ascii="Palatino Linotype" w:hAnsi="Palatino Linotype"/>
          <w:sz w:val="24"/>
          <w:szCs w:val="24"/>
        </w:rPr>
        <w:t xml:space="preserve">with the ability to enforce </w:t>
      </w:r>
      <w:r w:rsidRPr="007F4BEC" w:rsidR="009E57C4">
        <w:rPr>
          <w:rFonts w:ascii="Palatino Linotype" w:hAnsi="Palatino Linotype"/>
          <w:sz w:val="24"/>
          <w:szCs w:val="24"/>
        </w:rPr>
        <w:t>these</w:t>
      </w:r>
      <w:r w:rsidRPr="007F4BEC">
        <w:rPr>
          <w:rFonts w:ascii="Palatino Linotype" w:hAnsi="Palatino Linotype"/>
          <w:sz w:val="24"/>
          <w:szCs w:val="24"/>
        </w:rPr>
        <w:t xml:space="preserve"> requirements or, in certain cases, terminate the Agreement in the case of non-compliance.</w:t>
      </w:r>
    </w:p>
    <w:p w:rsidRPr="00F666A2" w:rsidR="00CD4CF8" w:rsidP="00334126" w:rsidRDefault="00CD4CF8" w14:paraId="5AB63BE9" w14:textId="77777777">
      <w:pPr>
        <w:pStyle w:val="Res-Caption"/>
        <w:rPr>
          <w:rFonts w:ascii="Palatino Linotype" w:hAnsi="Palatino Linotype" w:eastAsia="Palatino Linotype"/>
          <w:sz w:val="16"/>
          <w:szCs w:val="16"/>
        </w:rPr>
      </w:pPr>
    </w:p>
    <w:p w:rsidRPr="007F4BEC" w:rsidR="00CD4CF8" w:rsidP="00B45D50" w:rsidRDefault="00CD4CF8" w14:paraId="1C254D43" w14:textId="77777777">
      <w:pPr>
        <w:pStyle w:val="Res-Caption"/>
        <w:rPr>
          <w:rFonts w:ascii="Palatino Linotype" w:hAnsi="Palatino Linotype" w:eastAsia="Palatino Linotype"/>
          <w:sz w:val="24"/>
          <w:szCs w:val="24"/>
        </w:rPr>
      </w:pPr>
      <w:r w:rsidRPr="007F4BEC">
        <w:rPr>
          <w:rFonts w:ascii="Palatino Linotype" w:hAnsi="Palatino Linotype" w:eastAsia="Palatino Linotype"/>
          <w:sz w:val="24"/>
          <w:szCs w:val="24"/>
        </w:rPr>
        <w:t xml:space="preserve">ESTIMATED COST:  </w:t>
      </w:r>
    </w:p>
    <w:p w:rsidRPr="007F4BEC" w:rsidR="00CD4CF8" w:rsidP="00657C88" w:rsidRDefault="00CD4CF8" w14:paraId="5E11C13B" w14:textId="77777777">
      <w:pPr>
        <w:pStyle w:val="ListParagraph"/>
        <w:numPr>
          <w:ilvl w:val="0"/>
          <w:numId w:val="4"/>
        </w:numPr>
        <w:spacing w:after="120"/>
        <w:ind w:right="720"/>
        <w:contextualSpacing w:val="0"/>
        <w:rPr>
          <w:rFonts w:ascii="Palatino Linotype" w:hAnsi="Palatino Linotype" w:eastAsia="Palatino Linotype" w:cs="Palatino Linotype"/>
          <w:sz w:val="24"/>
          <w:szCs w:val="24"/>
        </w:rPr>
      </w:pPr>
      <w:r w:rsidRPr="007F4BEC">
        <w:rPr>
          <w:rFonts w:ascii="Palatino Linotype" w:hAnsi="Palatino Linotype" w:eastAsia="Palatino Linotype" w:cs="Palatino Linotype"/>
          <w:sz w:val="24"/>
          <w:szCs w:val="24"/>
        </w:rPr>
        <w:t xml:space="preserve">Contract costs are confidential </w:t>
      </w:r>
      <w:proofErr w:type="gramStart"/>
      <w:r w:rsidRPr="007F4BEC">
        <w:rPr>
          <w:rFonts w:ascii="Palatino Linotype" w:hAnsi="Palatino Linotype" w:eastAsia="Palatino Linotype" w:cs="Palatino Linotype"/>
          <w:sz w:val="24"/>
          <w:szCs w:val="24"/>
        </w:rPr>
        <w:t>at this time</w:t>
      </w:r>
      <w:proofErr w:type="gramEnd"/>
      <w:r w:rsidRPr="007F4BEC">
        <w:rPr>
          <w:rFonts w:ascii="Palatino Linotype" w:hAnsi="Palatino Linotype" w:eastAsia="Palatino Linotype" w:cs="Palatino Linotype"/>
          <w:sz w:val="24"/>
          <w:szCs w:val="24"/>
        </w:rPr>
        <w:t>.</w:t>
      </w:r>
    </w:p>
    <w:p w:rsidRPr="00F666A2" w:rsidR="00CD4CF8" w:rsidP="00CD4CF8" w:rsidRDefault="00CD4CF8" w14:paraId="20DFE2C7" w14:textId="77777777">
      <w:pPr>
        <w:pStyle w:val="Res-Caption"/>
        <w:rPr>
          <w:rFonts w:ascii="Palatino Linotype" w:hAnsi="Palatino Linotype" w:eastAsia="Palatino Linotype"/>
          <w:sz w:val="16"/>
          <w:szCs w:val="16"/>
        </w:rPr>
      </w:pPr>
    </w:p>
    <w:p w:rsidRPr="007F4BEC" w:rsidR="00CD4CF8" w:rsidP="00B45D50" w:rsidRDefault="00CD4CF8" w14:paraId="480BA1DE" w14:textId="5FC7CD32">
      <w:pPr>
        <w:pStyle w:val="Res-Caption"/>
        <w:rPr>
          <w:rFonts w:ascii="Palatino Linotype" w:hAnsi="Palatino Linotype" w:eastAsia="Palatino Linotype"/>
          <w:sz w:val="24"/>
          <w:szCs w:val="24"/>
        </w:rPr>
      </w:pPr>
      <w:r w:rsidRPr="007F4BEC">
        <w:rPr>
          <w:rFonts w:ascii="Palatino Linotype" w:hAnsi="Palatino Linotype" w:eastAsia="Palatino Linotype"/>
          <w:sz w:val="24"/>
          <w:szCs w:val="24"/>
        </w:rPr>
        <w:t xml:space="preserve">By Advice Letter </w:t>
      </w:r>
      <w:r w:rsidRPr="007F4BEC" w:rsidR="00E42AC6">
        <w:rPr>
          <w:rFonts w:ascii="Palatino Linotype" w:hAnsi="Palatino Linotype" w:eastAsia="Palatino Linotype"/>
          <w:sz w:val="24"/>
          <w:szCs w:val="24"/>
        </w:rPr>
        <w:t>7381</w:t>
      </w:r>
      <w:r w:rsidRPr="007F4BEC">
        <w:rPr>
          <w:rFonts w:ascii="Palatino Linotype" w:hAnsi="Palatino Linotype" w:eastAsia="Palatino Linotype"/>
          <w:sz w:val="24"/>
          <w:szCs w:val="24"/>
        </w:rPr>
        <w:t xml:space="preserve">-E, Filed on </w:t>
      </w:r>
      <w:r w:rsidRPr="007F4BEC" w:rsidR="00E42AC6">
        <w:rPr>
          <w:rFonts w:ascii="Palatino Linotype" w:hAnsi="Palatino Linotype" w:eastAsia="Palatino Linotype"/>
          <w:sz w:val="24"/>
          <w:szCs w:val="24"/>
        </w:rPr>
        <w:t>October 8</w:t>
      </w:r>
      <w:r w:rsidRPr="007F4BEC">
        <w:rPr>
          <w:rFonts w:ascii="Palatino Linotype" w:hAnsi="Palatino Linotype" w:eastAsia="Palatino Linotype"/>
          <w:sz w:val="24"/>
          <w:szCs w:val="24"/>
        </w:rPr>
        <w:t>, 202</w:t>
      </w:r>
      <w:r w:rsidRPr="007F4BEC" w:rsidR="00463A04">
        <w:rPr>
          <w:rFonts w:ascii="Palatino Linotype" w:hAnsi="Palatino Linotype" w:eastAsia="Palatino Linotype"/>
          <w:sz w:val="24"/>
          <w:szCs w:val="24"/>
        </w:rPr>
        <w:t>4</w:t>
      </w:r>
      <w:r w:rsidRPr="007F4BEC">
        <w:rPr>
          <w:rFonts w:ascii="Palatino Linotype" w:hAnsi="Palatino Linotype" w:eastAsia="Palatino Linotype"/>
          <w:sz w:val="24"/>
          <w:szCs w:val="24"/>
        </w:rPr>
        <w:t xml:space="preserve">. </w:t>
      </w:r>
    </w:p>
    <w:p w:rsidRPr="006A0603" w:rsidR="00CD4CF8" w:rsidP="004D3B3D" w:rsidRDefault="00CD4CF8" w14:paraId="1898047E" w14:textId="7AFD7D19">
      <w:pPr>
        <w:jc w:val="center"/>
        <w:rPr>
          <w:rFonts w:ascii="Palatino Linotype" w:hAnsi="Palatino Linotype" w:eastAsia="Palatino Linotype"/>
          <w:sz w:val="24"/>
          <w:szCs w:val="24"/>
        </w:rPr>
      </w:pPr>
      <w:r w:rsidRPr="006A0603">
        <w:rPr>
          <w:rFonts w:ascii="Palatino Linotype" w:hAnsi="Palatino Linotype" w:eastAsia="Palatino Linotype"/>
          <w:sz w:val="24"/>
          <w:szCs w:val="24"/>
        </w:rPr>
        <w:t>__________________________________________________________</w:t>
      </w:r>
    </w:p>
    <w:p w:rsidRPr="006A0603" w:rsidR="00CD4CF8" w:rsidP="0066269B" w:rsidRDefault="00CD4CF8" w14:paraId="1AF10821" w14:textId="1F0679DC">
      <w:pPr>
        <w:pStyle w:val="Heading1"/>
        <w:spacing w:before="360" w:after="120"/>
        <w:rPr>
          <w:rFonts w:ascii="Palatino Linotype" w:hAnsi="Palatino Linotype" w:eastAsia="Palatino Linotype"/>
          <w:sz w:val="24"/>
          <w:szCs w:val="24"/>
        </w:rPr>
      </w:pPr>
      <w:r w:rsidRPr="006A0603">
        <w:rPr>
          <w:rFonts w:ascii="Palatino Linotype" w:hAnsi="Palatino Linotype" w:eastAsia="Palatino Linotype"/>
          <w:sz w:val="24"/>
          <w:szCs w:val="24"/>
        </w:rPr>
        <w:lastRenderedPageBreak/>
        <w:t>Summary</w:t>
      </w:r>
      <w:bookmarkEnd w:id="0"/>
    </w:p>
    <w:p w:rsidR="00CD4CF8" w:rsidP="00D337C2" w:rsidRDefault="009D1FC6" w14:paraId="234217EA" w14:textId="4CD070CB">
      <w:pPr>
        <w:rPr>
          <w:sz w:val="24"/>
          <w:szCs w:val="24"/>
        </w:rPr>
      </w:pPr>
      <w:r w:rsidRPr="00CE75CC">
        <w:rPr>
          <w:rFonts w:ascii="Palatino Linotype" w:hAnsi="Palatino Linotype"/>
          <w:sz w:val="24"/>
          <w:szCs w:val="24"/>
        </w:rPr>
        <w:t xml:space="preserve">This Resolution </w:t>
      </w:r>
      <w:r w:rsidR="00D337C2">
        <w:rPr>
          <w:rFonts w:ascii="Palatino Linotype" w:hAnsi="Palatino Linotype"/>
          <w:sz w:val="24"/>
          <w:szCs w:val="24"/>
        </w:rPr>
        <w:t>a</w:t>
      </w:r>
      <w:r w:rsidRPr="00FD58E9">
        <w:rPr>
          <w:rFonts w:ascii="Palatino Linotype" w:hAnsi="Palatino Linotype"/>
          <w:sz w:val="24"/>
          <w:szCs w:val="24"/>
        </w:rPr>
        <w:t xml:space="preserve">pproves </w:t>
      </w:r>
      <w:r w:rsidRPr="00FD58E9" w:rsidR="009E57C4">
        <w:rPr>
          <w:rFonts w:ascii="Palatino Linotype" w:hAnsi="Palatino Linotype"/>
          <w:sz w:val="24"/>
          <w:szCs w:val="24"/>
        </w:rPr>
        <w:t>Pacific Gas and Electric Company’s (PG&amp;E)</w:t>
      </w:r>
      <w:r w:rsidRPr="00FD58E9">
        <w:rPr>
          <w:rFonts w:ascii="Palatino Linotype" w:hAnsi="Palatino Linotype"/>
          <w:sz w:val="24"/>
          <w:szCs w:val="24"/>
        </w:rPr>
        <w:t xml:space="preserve"> </w:t>
      </w:r>
      <w:r w:rsidR="00D337C2">
        <w:rPr>
          <w:rFonts w:ascii="Palatino Linotype" w:hAnsi="Palatino Linotype"/>
          <w:sz w:val="24"/>
          <w:szCs w:val="24"/>
        </w:rPr>
        <w:t>Central Procurement Entity (</w:t>
      </w:r>
      <w:r w:rsidR="00B268CD">
        <w:rPr>
          <w:rFonts w:ascii="Palatino Linotype" w:hAnsi="Palatino Linotype"/>
          <w:sz w:val="24"/>
          <w:szCs w:val="24"/>
        </w:rPr>
        <w:t xml:space="preserve">CPE) </w:t>
      </w:r>
      <w:r w:rsidRPr="00B45D50" w:rsidR="00B268CD">
        <w:rPr>
          <w:rFonts w:ascii="Palatino Linotype" w:hAnsi="Palatino Linotype"/>
          <w:sz w:val="24"/>
          <w:szCs w:val="24"/>
        </w:rPr>
        <w:t>resource</w:t>
      </w:r>
      <w:r w:rsidRPr="00D337C2" w:rsidR="00D337C2">
        <w:rPr>
          <w:rFonts w:ascii="Palatino Linotype" w:hAnsi="Palatino Linotype"/>
          <w:sz w:val="24"/>
          <w:szCs w:val="24"/>
        </w:rPr>
        <w:t xml:space="preserve"> adequacy</w:t>
      </w:r>
      <w:r w:rsidR="00D337C2">
        <w:rPr>
          <w:rFonts w:ascii="Palatino Linotype" w:hAnsi="Palatino Linotype"/>
          <w:sz w:val="24"/>
          <w:szCs w:val="24"/>
        </w:rPr>
        <w:t xml:space="preserve"> </w:t>
      </w:r>
      <w:r w:rsidRPr="00D337C2" w:rsidR="00D337C2">
        <w:rPr>
          <w:rFonts w:ascii="Palatino Linotype" w:hAnsi="Palatino Linotype"/>
          <w:sz w:val="24"/>
          <w:szCs w:val="24"/>
        </w:rPr>
        <w:t>(RA) agreement (CPE RA Agreement or Agreement)</w:t>
      </w:r>
      <w:r w:rsidR="002148C6">
        <w:rPr>
          <w:rFonts w:ascii="Palatino Linotype" w:hAnsi="Palatino Linotype"/>
          <w:sz w:val="24"/>
          <w:szCs w:val="24"/>
        </w:rPr>
        <w:t>,</w:t>
      </w:r>
      <w:r w:rsidRPr="002148C6" w:rsidR="002148C6">
        <w:rPr>
          <w:rFonts w:ascii="Palatino Linotype" w:hAnsi="Palatino Linotype"/>
          <w:sz w:val="24"/>
          <w:szCs w:val="24"/>
        </w:rPr>
        <w:t xml:space="preserve"> </w:t>
      </w:r>
      <w:r w:rsidRPr="00FC058D" w:rsidR="002148C6">
        <w:rPr>
          <w:rFonts w:ascii="Palatino Linotype" w:hAnsi="Palatino Linotype"/>
          <w:sz w:val="24"/>
          <w:szCs w:val="24"/>
        </w:rPr>
        <w:t>resulting from the 2024 PG&amp;E-CPE Local RA Request for Offer (RFO)</w:t>
      </w:r>
      <w:r w:rsidR="002148C6">
        <w:rPr>
          <w:rFonts w:ascii="Palatino Linotype" w:hAnsi="Palatino Linotype"/>
          <w:sz w:val="24"/>
          <w:szCs w:val="24"/>
        </w:rPr>
        <w:t>,</w:t>
      </w:r>
      <w:r w:rsidRPr="00D337C2" w:rsidR="00D337C2">
        <w:rPr>
          <w:rFonts w:ascii="Palatino Linotype" w:hAnsi="Palatino Linotype"/>
          <w:sz w:val="24"/>
          <w:szCs w:val="24"/>
        </w:rPr>
        <w:t xml:space="preserve"> </w:t>
      </w:r>
      <w:r w:rsidRPr="00CE75CC" w:rsidR="00672679">
        <w:rPr>
          <w:rFonts w:ascii="Palatino Linotype" w:hAnsi="Palatino Linotype"/>
          <w:sz w:val="24"/>
          <w:szCs w:val="24"/>
        </w:rPr>
        <w:t>for a new build energy storage facility</w:t>
      </w:r>
      <w:r w:rsidRPr="00CE75CC" w:rsidR="00C131EC">
        <w:rPr>
          <w:rFonts w:ascii="Palatino Linotype" w:hAnsi="Palatino Linotype"/>
          <w:sz w:val="24"/>
          <w:szCs w:val="24"/>
        </w:rPr>
        <w:t xml:space="preserve"> </w:t>
      </w:r>
      <w:r w:rsidR="00A031FD">
        <w:rPr>
          <w:rFonts w:ascii="Palatino Linotype" w:hAnsi="Palatino Linotype"/>
          <w:sz w:val="24"/>
          <w:szCs w:val="24"/>
        </w:rPr>
        <w:t>with a</w:t>
      </w:r>
      <w:r w:rsidRPr="00CE75CC" w:rsidR="00A031FD">
        <w:rPr>
          <w:rFonts w:ascii="Palatino Linotype" w:hAnsi="Palatino Linotype"/>
          <w:sz w:val="24"/>
          <w:szCs w:val="24"/>
        </w:rPr>
        <w:t xml:space="preserve"> </w:t>
      </w:r>
      <w:r w:rsidRPr="00FD58E9" w:rsidR="00FD58E9">
        <w:rPr>
          <w:rFonts w:ascii="Palatino Linotype" w:hAnsi="Palatino Linotype"/>
          <w:sz w:val="24"/>
          <w:szCs w:val="24"/>
        </w:rPr>
        <w:t>ten-year</w:t>
      </w:r>
      <w:r w:rsidR="00A031FD">
        <w:rPr>
          <w:rFonts w:ascii="Palatino Linotype" w:hAnsi="Palatino Linotype"/>
          <w:sz w:val="24"/>
          <w:szCs w:val="24"/>
        </w:rPr>
        <w:t xml:space="preserve"> duration. This contract will help</w:t>
      </w:r>
      <w:r w:rsidRPr="00CE75CC">
        <w:rPr>
          <w:rFonts w:ascii="Palatino Linotype" w:hAnsi="Palatino Linotype"/>
          <w:sz w:val="24"/>
          <w:szCs w:val="24"/>
        </w:rPr>
        <w:t xml:space="preserve"> PG&amp;E-CPE</w:t>
      </w:r>
      <w:r w:rsidR="002148C6">
        <w:rPr>
          <w:rFonts w:ascii="Palatino Linotype" w:hAnsi="Palatino Linotype"/>
          <w:sz w:val="24"/>
          <w:szCs w:val="24"/>
        </w:rPr>
        <w:t xml:space="preserve"> satisfy </w:t>
      </w:r>
      <w:r w:rsidR="00CE75CC">
        <w:rPr>
          <w:rFonts w:ascii="Palatino Linotype" w:hAnsi="Palatino Linotype"/>
          <w:sz w:val="24"/>
          <w:szCs w:val="24"/>
        </w:rPr>
        <w:t>its</w:t>
      </w:r>
      <w:r w:rsidR="00A031FD">
        <w:rPr>
          <w:rFonts w:ascii="Palatino Linotype" w:hAnsi="Palatino Linotype"/>
          <w:sz w:val="24"/>
          <w:szCs w:val="24"/>
        </w:rPr>
        <w:t xml:space="preserve"> </w:t>
      </w:r>
      <w:r w:rsidRPr="00CE75CC">
        <w:rPr>
          <w:rFonts w:ascii="Palatino Linotype" w:hAnsi="Palatino Linotype"/>
          <w:sz w:val="24"/>
          <w:szCs w:val="24"/>
        </w:rPr>
        <w:t xml:space="preserve">procurement obligations </w:t>
      </w:r>
      <w:r w:rsidRPr="002148C6">
        <w:rPr>
          <w:rFonts w:ascii="Palatino Linotype" w:hAnsi="Palatino Linotype"/>
          <w:sz w:val="23"/>
          <w:szCs w:val="23"/>
        </w:rPr>
        <w:t xml:space="preserve">towards the </w:t>
      </w:r>
      <w:r w:rsidR="00B90783">
        <w:rPr>
          <w:rFonts w:ascii="Palatino Linotype" w:hAnsi="Palatino Linotype"/>
          <w:sz w:val="23"/>
          <w:szCs w:val="23"/>
        </w:rPr>
        <w:t>California Public Utility Commission’s (</w:t>
      </w:r>
      <w:r w:rsidR="00276E39">
        <w:rPr>
          <w:rFonts w:ascii="Palatino Linotype" w:hAnsi="Palatino Linotype"/>
          <w:sz w:val="23"/>
          <w:szCs w:val="23"/>
        </w:rPr>
        <w:t>C</w:t>
      </w:r>
      <w:r w:rsidR="00B90783">
        <w:rPr>
          <w:rFonts w:ascii="Palatino Linotype" w:hAnsi="Palatino Linotype"/>
          <w:sz w:val="23"/>
          <w:szCs w:val="23"/>
        </w:rPr>
        <w:t>PUC)</w:t>
      </w:r>
      <w:r w:rsidRPr="002148C6">
        <w:rPr>
          <w:rFonts w:ascii="Palatino Linotype" w:hAnsi="Palatino Linotype"/>
          <w:sz w:val="23"/>
          <w:szCs w:val="23"/>
        </w:rPr>
        <w:t xml:space="preserve"> multi-year local </w:t>
      </w:r>
      <w:r w:rsidRPr="002148C6" w:rsidR="003C080F">
        <w:rPr>
          <w:rFonts w:ascii="Palatino Linotype" w:hAnsi="Palatino Linotype"/>
          <w:sz w:val="23"/>
          <w:szCs w:val="23"/>
        </w:rPr>
        <w:t>RA</w:t>
      </w:r>
      <w:r w:rsidRPr="002148C6">
        <w:rPr>
          <w:rFonts w:ascii="Palatino Linotype" w:hAnsi="Palatino Linotype"/>
          <w:sz w:val="23"/>
          <w:szCs w:val="23"/>
        </w:rPr>
        <w:t xml:space="preserve"> program for </w:t>
      </w:r>
      <w:r w:rsidRPr="00CE75CC">
        <w:rPr>
          <w:rFonts w:ascii="Palatino Linotype" w:hAnsi="Palatino Linotype"/>
          <w:sz w:val="24"/>
          <w:szCs w:val="24"/>
        </w:rPr>
        <w:t xml:space="preserve">the 2025, 2026, and 2027 </w:t>
      </w:r>
      <w:r w:rsidRPr="00CE75CC" w:rsidR="00C131EC">
        <w:rPr>
          <w:rFonts w:ascii="Palatino Linotype" w:hAnsi="Palatino Linotype"/>
          <w:sz w:val="24"/>
          <w:szCs w:val="24"/>
        </w:rPr>
        <w:t>c</w:t>
      </w:r>
      <w:r w:rsidRPr="00CE75CC">
        <w:rPr>
          <w:rFonts w:ascii="Palatino Linotype" w:hAnsi="Palatino Linotype"/>
          <w:sz w:val="24"/>
          <w:szCs w:val="24"/>
        </w:rPr>
        <w:t xml:space="preserve">ompliance </w:t>
      </w:r>
      <w:r w:rsidRPr="00CE75CC" w:rsidR="003C080F">
        <w:rPr>
          <w:rFonts w:ascii="Palatino Linotype" w:hAnsi="Palatino Linotype"/>
          <w:sz w:val="24"/>
          <w:szCs w:val="24"/>
        </w:rPr>
        <w:t>years</w:t>
      </w:r>
      <w:r w:rsidRPr="00CE75CC">
        <w:rPr>
          <w:rFonts w:ascii="Palatino Linotype" w:hAnsi="Palatino Linotype"/>
          <w:sz w:val="24"/>
          <w:szCs w:val="24"/>
        </w:rPr>
        <w:t>.</w:t>
      </w:r>
      <w:r w:rsidRPr="00CE75CC" w:rsidR="00672679">
        <w:rPr>
          <w:sz w:val="24"/>
          <w:szCs w:val="24"/>
        </w:rPr>
        <w:t xml:space="preserve"> </w:t>
      </w:r>
    </w:p>
    <w:p w:rsidRPr="00CE75CC" w:rsidR="00EC697D" w:rsidP="00D337C2" w:rsidRDefault="00EC697D" w14:paraId="4A979535" w14:textId="77777777">
      <w:pPr>
        <w:rPr>
          <w:rFonts w:ascii="Palatino Linotype" w:hAnsi="Palatino Linotype"/>
          <w:sz w:val="24"/>
          <w:szCs w:val="24"/>
        </w:rPr>
      </w:pPr>
    </w:p>
    <w:p w:rsidRPr="006A0603" w:rsidR="00CD4CF8" w:rsidP="00EB579B" w:rsidRDefault="00CD4CF8" w14:paraId="399C3507" w14:textId="77777777">
      <w:pPr>
        <w:pStyle w:val="Heading1"/>
        <w:spacing w:before="240" w:after="120"/>
        <w:rPr>
          <w:rFonts w:ascii="Palatino Linotype" w:hAnsi="Palatino Linotype" w:eastAsia="Palatino Linotype"/>
          <w:sz w:val="24"/>
          <w:szCs w:val="24"/>
        </w:rPr>
      </w:pPr>
      <w:r w:rsidRPr="006A0603">
        <w:rPr>
          <w:rFonts w:ascii="Palatino Linotype" w:hAnsi="Palatino Linotype" w:eastAsia="Palatino Linotype"/>
          <w:sz w:val="24"/>
          <w:szCs w:val="24"/>
        </w:rPr>
        <w:t>Background</w:t>
      </w:r>
    </w:p>
    <w:p w:rsidRPr="00057AF3" w:rsidR="00763601" w:rsidP="00763601" w:rsidRDefault="0068334A" w14:paraId="6CC0AB3C" w14:textId="215BD84D">
      <w:pPr>
        <w:rPr>
          <w:rFonts w:ascii="Palatino Linotype" w:hAnsi="Palatino Linotype"/>
          <w:sz w:val="24"/>
          <w:szCs w:val="24"/>
        </w:rPr>
      </w:pPr>
      <w:bookmarkStart w:name="_Hlk186703851" w:id="1"/>
      <w:r w:rsidRPr="00057AF3">
        <w:rPr>
          <w:rFonts w:ascii="Palatino Linotype" w:hAnsi="Palatino Linotype"/>
          <w:sz w:val="24"/>
          <w:szCs w:val="24"/>
        </w:rPr>
        <w:t xml:space="preserve">On June 17, 2020, the Commission adopted </w:t>
      </w:r>
      <w:r w:rsidRPr="00057AF3" w:rsidR="005F17C7">
        <w:rPr>
          <w:rFonts w:ascii="Palatino Linotype" w:hAnsi="Palatino Linotype"/>
          <w:sz w:val="24"/>
          <w:szCs w:val="24"/>
        </w:rPr>
        <w:t>Decision (D.) 20-06-002</w:t>
      </w:r>
      <w:r w:rsidR="0060249C">
        <w:rPr>
          <w:rFonts w:ascii="Palatino Linotype" w:hAnsi="Palatino Linotype"/>
          <w:sz w:val="24"/>
          <w:szCs w:val="24"/>
        </w:rPr>
        <w:t xml:space="preserve"> (CPE Decision)</w:t>
      </w:r>
      <w:r w:rsidRPr="00057AF3" w:rsidR="005F17C7">
        <w:rPr>
          <w:rFonts w:ascii="Palatino Linotype" w:hAnsi="Palatino Linotype"/>
          <w:sz w:val="24"/>
          <w:szCs w:val="24"/>
        </w:rPr>
        <w:t xml:space="preserve">, which implemented </w:t>
      </w:r>
      <w:r w:rsidRPr="00057AF3">
        <w:rPr>
          <w:rFonts w:ascii="Palatino Linotype" w:hAnsi="Palatino Linotype"/>
          <w:sz w:val="24"/>
          <w:szCs w:val="24"/>
        </w:rPr>
        <w:t xml:space="preserve">a hybrid </w:t>
      </w:r>
      <w:r w:rsidRPr="00057AF3" w:rsidR="00CE1985">
        <w:rPr>
          <w:rFonts w:ascii="Palatino Linotype" w:hAnsi="Palatino Linotype"/>
          <w:sz w:val="24"/>
          <w:szCs w:val="24"/>
        </w:rPr>
        <w:t xml:space="preserve">CPE </w:t>
      </w:r>
      <w:r w:rsidRPr="00057AF3">
        <w:rPr>
          <w:rFonts w:ascii="Palatino Linotype" w:hAnsi="Palatino Linotype"/>
          <w:sz w:val="24"/>
          <w:szCs w:val="24"/>
        </w:rPr>
        <w:t xml:space="preserve">framework and designated PG&amp;E and </w:t>
      </w:r>
      <w:r w:rsidR="0060249C">
        <w:rPr>
          <w:rFonts w:ascii="Palatino Linotype" w:hAnsi="Palatino Linotype"/>
          <w:sz w:val="24"/>
          <w:szCs w:val="24"/>
        </w:rPr>
        <w:t>Southern California Edison (</w:t>
      </w:r>
      <w:r w:rsidRPr="00057AF3">
        <w:rPr>
          <w:rFonts w:ascii="Palatino Linotype" w:hAnsi="Palatino Linotype"/>
          <w:sz w:val="24"/>
          <w:szCs w:val="24"/>
        </w:rPr>
        <w:t>SCE</w:t>
      </w:r>
      <w:r w:rsidR="0060249C">
        <w:rPr>
          <w:rFonts w:ascii="Palatino Linotype" w:hAnsi="Palatino Linotype"/>
          <w:sz w:val="24"/>
          <w:szCs w:val="24"/>
        </w:rPr>
        <w:t>)</w:t>
      </w:r>
      <w:r w:rsidRPr="00057AF3">
        <w:rPr>
          <w:rFonts w:ascii="Palatino Linotype" w:hAnsi="Palatino Linotype"/>
          <w:sz w:val="24"/>
          <w:szCs w:val="24"/>
        </w:rPr>
        <w:t xml:space="preserve"> to serve as the </w:t>
      </w:r>
      <w:r w:rsidRPr="00057AF3" w:rsidR="00CE1985">
        <w:rPr>
          <w:rFonts w:ascii="Palatino Linotype" w:hAnsi="Palatino Linotype"/>
          <w:sz w:val="24"/>
          <w:szCs w:val="24"/>
        </w:rPr>
        <w:t xml:space="preserve">CPEs </w:t>
      </w:r>
      <w:r w:rsidRPr="00057AF3">
        <w:rPr>
          <w:rFonts w:ascii="Palatino Linotype" w:hAnsi="Palatino Linotype"/>
          <w:sz w:val="24"/>
          <w:szCs w:val="24"/>
        </w:rPr>
        <w:t>to procure local RA capacity to meet the multi-year local RA requirements on behalf of all</w:t>
      </w:r>
      <w:r w:rsidR="0060249C">
        <w:rPr>
          <w:rFonts w:ascii="Palatino Linotype" w:hAnsi="Palatino Linotype"/>
          <w:sz w:val="24"/>
          <w:szCs w:val="24"/>
        </w:rPr>
        <w:t xml:space="preserve"> load serving entities</w:t>
      </w:r>
      <w:r w:rsidR="00CE75CC">
        <w:rPr>
          <w:rFonts w:ascii="Palatino Linotype" w:hAnsi="Palatino Linotype"/>
          <w:sz w:val="24"/>
          <w:szCs w:val="24"/>
        </w:rPr>
        <w:t xml:space="preserve"> </w:t>
      </w:r>
      <w:r w:rsidR="0060249C">
        <w:rPr>
          <w:rFonts w:ascii="Palatino Linotype" w:hAnsi="Palatino Linotype"/>
          <w:sz w:val="24"/>
          <w:szCs w:val="24"/>
        </w:rPr>
        <w:t>(</w:t>
      </w:r>
      <w:r w:rsidRPr="00CE75CC">
        <w:rPr>
          <w:rFonts w:ascii="Palatino Linotype" w:hAnsi="Palatino Linotype"/>
          <w:sz w:val="24"/>
          <w:szCs w:val="24"/>
        </w:rPr>
        <w:t>LSEs</w:t>
      </w:r>
      <w:r w:rsidR="0060249C">
        <w:rPr>
          <w:rFonts w:ascii="Palatino Linotype" w:hAnsi="Palatino Linotype"/>
          <w:sz w:val="24"/>
          <w:szCs w:val="24"/>
        </w:rPr>
        <w:t>)</w:t>
      </w:r>
      <w:r w:rsidRPr="00CE75CC">
        <w:rPr>
          <w:rFonts w:ascii="Palatino Linotype" w:hAnsi="Palatino Linotype"/>
          <w:sz w:val="24"/>
          <w:szCs w:val="24"/>
        </w:rPr>
        <w:t xml:space="preserve"> </w:t>
      </w:r>
      <w:r w:rsidRPr="00057AF3">
        <w:rPr>
          <w:rFonts w:ascii="Palatino Linotype" w:hAnsi="Palatino Linotype"/>
          <w:sz w:val="24"/>
          <w:szCs w:val="24"/>
        </w:rPr>
        <w:t>in their respective electric distribution service areas beginning in 2021 for the 2023 RA compliance year.</w:t>
      </w:r>
      <w:r w:rsidRPr="00057AF3" w:rsidR="00054C71">
        <w:rPr>
          <w:rStyle w:val="FootnoteReference"/>
          <w:rFonts w:ascii="Palatino Linotype" w:hAnsi="Palatino Linotype"/>
          <w:sz w:val="24"/>
          <w:szCs w:val="24"/>
        </w:rPr>
        <w:footnoteReference w:id="2"/>
      </w:r>
      <w:r w:rsidRPr="00057AF3">
        <w:rPr>
          <w:rFonts w:ascii="Palatino Linotype" w:hAnsi="Palatino Linotype"/>
          <w:sz w:val="24"/>
          <w:szCs w:val="24"/>
        </w:rPr>
        <w:t xml:space="preserve"> </w:t>
      </w:r>
      <w:r w:rsidRPr="00057AF3" w:rsidR="0060249C">
        <w:rPr>
          <w:rFonts w:ascii="Palatino Linotype" w:hAnsi="Palatino Linotype"/>
          <w:sz w:val="24"/>
          <w:szCs w:val="24"/>
        </w:rPr>
        <w:t>Th</w:t>
      </w:r>
      <w:r w:rsidR="0060249C">
        <w:rPr>
          <w:rFonts w:ascii="Palatino Linotype" w:hAnsi="Palatino Linotype"/>
          <w:sz w:val="24"/>
          <w:szCs w:val="24"/>
        </w:rPr>
        <w:t>e CPE</w:t>
      </w:r>
      <w:r w:rsidRPr="00057AF3" w:rsidR="0060249C">
        <w:rPr>
          <w:rFonts w:ascii="Palatino Linotype" w:hAnsi="Palatino Linotype"/>
          <w:sz w:val="24"/>
          <w:szCs w:val="24"/>
        </w:rPr>
        <w:t xml:space="preserve"> </w:t>
      </w:r>
      <w:r w:rsidRPr="00057AF3">
        <w:rPr>
          <w:rFonts w:ascii="Palatino Linotype" w:hAnsi="Palatino Linotype"/>
          <w:sz w:val="24"/>
          <w:szCs w:val="24"/>
        </w:rPr>
        <w:t>Decision instructs the CPEs to conduct competitive, all-source solicitations for local RA procurement with specified requirements, and utilize certain specified criteria and methodologies</w:t>
      </w:r>
      <w:r w:rsidRPr="00057AF3" w:rsidR="004D3B3D">
        <w:rPr>
          <w:rFonts w:ascii="Palatino Linotype" w:hAnsi="Palatino Linotype"/>
          <w:sz w:val="24"/>
          <w:szCs w:val="24"/>
        </w:rPr>
        <w:t xml:space="preserve">, </w:t>
      </w:r>
      <w:r w:rsidR="007A6108">
        <w:rPr>
          <w:rFonts w:ascii="Palatino Linotype" w:hAnsi="Palatino Linotype"/>
          <w:sz w:val="24"/>
          <w:szCs w:val="24"/>
        </w:rPr>
        <w:t>that</w:t>
      </w:r>
      <w:r w:rsidRPr="00057AF3" w:rsidR="007A6108">
        <w:rPr>
          <w:rFonts w:ascii="Palatino Linotype" w:hAnsi="Palatino Linotype"/>
          <w:sz w:val="24"/>
          <w:szCs w:val="24"/>
        </w:rPr>
        <w:t xml:space="preserve"> </w:t>
      </w:r>
      <w:r w:rsidRPr="00057AF3">
        <w:rPr>
          <w:rFonts w:ascii="Palatino Linotype" w:hAnsi="Palatino Linotype"/>
          <w:sz w:val="24"/>
          <w:szCs w:val="24"/>
        </w:rPr>
        <w:t xml:space="preserve">guide the selection of local resources. </w:t>
      </w:r>
      <w:r w:rsidR="00CC0D23">
        <w:rPr>
          <w:rFonts w:ascii="Palatino Linotype" w:hAnsi="Palatino Linotype"/>
          <w:sz w:val="23"/>
          <w:szCs w:val="23"/>
        </w:rPr>
        <w:t xml:space="preserve">The </w:t>
      </w:r>
      <w:r w:rsidR="007A5240">
        <w:rPr>
          <w:rFonts w:ascii="Palatino Linotype" w:hAnsi="Palatino Linotype"/>
          <w:sz w:val="23"/>
          <w:szCs w:val="23"/>
        </w:rPr>
        <w:t>CPE</w:t>
      </w:r>
      <w:r w:rsidRPr="00CC0D23" w:rsidR="007A5240">
        <w:rPr>
          <w:rFonts w:ascii="Palatino Linotype" w:hAnsi="Palatino Linotype"/>
          <w:sz w:val="23"/>
          <w:szCs w:val="23"/>
        </w:rPr>
        <w:t xml:space="preserve"> </w:t>
      </w:r>
      <w:r w:rsidRPr="00CC0D23" w:rsidR="004D3B3D">
        <w:rPr>
          <w:rFonts w:ascii="Palatino Linotype" w:hAnsi="Palatino Linotype"/>
          <w:sz w:val="23"/>
          <w:szCs w:val="23"/>
        </w:rPr>
        <w:t>Decision</w:t>
      </w:r>
      <w:r w:rsidR="00CC0D23">
        <w:rPr>
          <w:rFonts w:ascii="Palatino Linotype" w:hAnsi="Palatino Linotype"/>
          <w:sz w:val="23"/>
          <w:szCs w:val="23"/>
        </w:rPr>
        <w:t xml:space="preserve"> further</w:t>
      </w:r>
      <w:r w:rsidRPr="00CC0D23" w:rsidR="004D3B3D">
        <w:rPr>
          <w:rFonts w:ascii="Palatino Linotype" w:hAnsi="Palatino Linotype"/>
          <w:sz w:val="23"/>
          <w:szCs w:val="23"/>
        </w:rPr>
        <w:t xml:space="preserve"> </w:t>
      </w:r>
      <w:r w:rsidRPr="00CC0D23">
        <w:rPr>
          <w:rFonts w:ascii="Palatino Linotype" w:hAnsi="Palatino Linotype"/>
          <w:sz w:val="23"/>
          <w:szCs w:val="23"/>
        </w:rPr>
        <w:t xml:space="preserve">adopts </w:t>
      </w:r>
      <w:r w:rsidRPr="00057AF3">
        <w:rPr>
          <w:rFonts w:ascii="Palatino Linotype" w:hAnsi="Palatino Linotype"/>
          <w:sz w:val="24"/>
          <w:szCs w:val="24"/>
        </w:rPr>
        <w:t xml:space="preserve">a </w:t>
      </w:r>
      <w:r w:rsidR="002754F5">
        <w:rPr>
          <w:rFonts w:ascii="Palatino Linotype" w:hAnsi="Palatino Linotype"/>
          <w:sz w:val="24"/>
          <w:szCs w:val="24"/>
        </w:rPr>
        <w:t xml:space="preserve">procurement approval </w:t>
      </w:r>
      <w:r w:rsidRPr="00057AF3">
        <w:rPr>
          <w:rFonts w:ascii="Palatino Linotype" w:hAnsi="Palatino Linotype"/>
          <w:sz w:val="24"/>
          <w:szCs w:val="24"/>
        </w:rPr>
        <w:t>process whereby</w:t>
      </w:r>
      <w:r w:rsidRPr="00057AF3" w:rsidR="008060F3">
        <w:rPr>
          <w:rFonts w:ascii="Palatino Linotype" w:hAnsi="Palatino Linotype"/>
          <w:sz w:val="24"/>
          <w:szCs w:val="24"/>
        </w:rPr>
        <w:t>, for</w:t>
      </w:r>
      <w:r w:rsidRPr="00057AF3">
        <w:rPr>
          <w:rFonts w:ascii="Palatino Linotype" w:hAnsi="Palatino Linotype"/>
          <w:sz w:val="24"/>
          <w:szCs w:val="24"/>
        </w:rPr>
        <w:t xml:space="preserve"> executed contract</w:t>
      </w:r>
      <w:r w:rsidR="00783419">
        <w:rPr>
          <w:rFonts w:ascii="Palatino Linotype" w:hAnsi="Palatino Linotype"/>
          <w:sz w:val="24"/>
          <w:szCs w:val="24"/>
        </w:rPr>
        <w:t>s</w:t>
      </w:r>
      <w:r w:rsidRPr="00057AF3">
        <w:rPr>
          <w:rFonts w:ascii="Palatino Linotype" w:hAnsi="Palatino Linotype"/>
          <w:sz w:val="24"/>
          <w:szCs w:val="24"/>
        </w:rPr>
        <w:t xml:space="preserve"> that exceed a five-year</w:t>
      </w:r>
      <w:r w:rsidR="002754F5">
        <w:rPr>
          <w:rFonts w:ascii="Palatino Linotype" w:hAnsi="Palatino Linotype"/>
          <w:sz w:val="24"/>
          <w:szCs w:val="24"/>
        </w:rPr>
        <w:t xml:space="preserve"> term</w:t>
      </w:r>
      <w:r w:rsidRPr="00057AF3">
        <w:rPr>
          <w:rFonts w:ascii="Palatino Linotype" w:hAnsi="Palatino Linotype"/>
          <w:sz w:val="24"/>
          <w:szCs w:val="24"/>
        </w:rPr>
        <w:t xml:space="preserve">, the CPEs are </w:t>
      </w:r>
      <w:r w:rsidR="00783419">
        <w:rPr>
          <w:rFonts w:ascii="Palatino Linotype" w:hAnsi="Palatino Linotype"/>
          <w:sz w:val="24"/>
          <w:szCs w:val="24"/>
        </w:rPr>
        <w:t>required</w:t>
      </w:r>
      <w:r w:rsidRPr="00057AF3" w:rsidR="00783419">
        <w:rPr>
          <w:rFonts w:ascii="Palatino Linotype" w:hAnsi="Palatino Linotype"/>
          <w:sz w:val="24"/>
          <w:szCs w:val="24"/>
        </w:rPr>
        <w:t xml:space="preserve"> </w:t>
      </w:r>
      <w:r w:rsidRPr="00057AF3">
        <w:rPr>
          <w:rFonts w:ascii="Palatino Linotype" w:hAnsi="Palatino Linotype"/>
          <w:sz w:val="24"/>
          <w:szCs w:val="24"/>
        </w:rPr>
        <w:t>to file Tier 3 advice letters for approval.</w:t>
      </w:r>
      <w:r w:rsidRPr="00057AF3" w:rsidR="00054C71">
        <w:rPr>
          <w:rStyle w:val="FootnoteReference"/>
          <w:rFonts w:ascii="Palatino Linotype" w:hAnsi="Palatino Linotype"/>
          <w:sz w:val="24"/>
          <w:szCs w:val="24"/>
        </w:rPr>
        <w:footnoteReference w:id="3"/>
      </w:r>
      <w:r w:rsidRPr="00057AF3" w:rsidR="005F17C7">
        <w:rPr>
          <w:rFonts w:ascii="Palatino Linotype" w:hAnsi="Palatino Linotype"/>
          <w:sz w:val="24"/>
          <w:szCs w:val="24"/>
        </w:rPr>
        <w:t xml:space="preserve"> </w:t>
      </w:r>
    </w:p>
    <w:bookmarkEnd w:id="1"/>
    <w:p w:rsidRPr="008D4D5E" w:rsidR="00763601" w:rsidP="00763601" w:rsidRDefault="00763601" w14:paraId="68F640C4" w14:textId="77777777">
      <w:pPr>
        <w:rPr>
          <w:rFonts w:ascii="Palatino Linotype" w:hAnsi="Palatino Linotype"/>
          <w:sz w:val="16"/>
          <w:szCs w:val="16"/>
        </w:rPr>
      </w:pPr>
    </w:p>
    <w:p w:rsidRPr="00FC5A15" w:rsidR="00E6340F" w:rsidP="00763601" w:rsidRDefault="008F3DEC" w14:paraId="63650665" w14:textId="248010F8">
      <w:pPr>
        <w:rPr>
          <w:rFonts w:ascii="Palatino Linotype" w:hAnsi="Palatino Linotype"/>
          <w:sz w:val="24"/>
          <w:szCs w:val="24"/>
        </w:rPr>
      </w:pPr>
      <w:r w:rsidRPr="00057AF3">
        <w:rPr>
          <w:rFonts w:ascii="Palatino Linotype" w:hAnsi="Palatino Linotype"/>
          <w:sz w:val="24"/>
          <w:szCs w:val="24"/>
        </w:rPr>
        <w:t>On</w:t>
      </w:r>
      <w:r w:rsidRPr="00057AF3" w:rsidR="0068334A">
        <w:rPr>
          <w:rFonts w:ascii="Palatino Linotype" w:hAnsi="Palatino Linotype"/>
          <w:sz w:val="24"/>
          <w:szCs w:val="24"/>
        </w:rPr>
        <w:t xml:space="preserve"> February </w:t>
      </w:r>
      <w:r w:rsidRPr="00057AF3" w:rsidR="004000E2">
        <w:rPr>
          <w:rFonts w:ascii="Palatino Linotype" w:hAnsi="Palatino Linotype"/>
          <w:sz w:val="24"/>
          <w:szCs w:val="24"/>
        </w:rPr>
        <w:t xml:space="preserve">22, </w:t>
      </w:r>
      <w:r w:rsidRPr="00057AF3" w:rsidR="0068334A">
        <w:rPr>
          <w:rFonts w:ascii="Palatino Linotype" w:hAnsi="Palatino Linotype"/>
          <w:sz w:val="24"/>
          <w:szCs w:val="24"/>
        </w:rPr>
        <w:t xml:space="preserve">2024, PG&amp;E-CPE </w:t>
      </w:r>
      <w:r w:rsidRPr="00057AF3" w:rsidR="002619E4">
        <w:rPr>
          <w:rFonts w:ascii="Palatino Linotype" w:hAnsi="Palatino Linotype"/>
          <w:sz w:val="24"/>
          <w:szCs w:val="24"/>
        </w:rPr>
        <w:t>issued</w:t>
      </w:r>
      <w:r w:rsidRPr="00057AF3" w:rsidR="0068334A">
        <w:rPr>
          <w:rFonts w:ascii="Palatino Linotype" w:hAnsi="Palatino Linotype"/>
          <w:sz w:val="24"/>
          <w:szCs w:val="24"/>
        </w:rPr>
        <w:t xml:space="preserve"> its fourth annual Local RA </w:t>
      </w:r>
      <w:r w:rsidR="00BE2F78">
        <w:rPr>
          <w:rFonts w:ascii="Palatino Linotype" w:hAnsi="Palatino Linotype"/>
          <w:sz w:val="24"/>
          <w:szCs w:val="24"/>
        </w:rPr>
        <w:t>request for offer (</w:t>
      </w:r>
      <w:r w:rsidRPr="00057AF3" w:rsidR="0068334A">
        <w:rPr>
          <w:rFonts w:ascii="Palatino Linotype" w:hAnsi="Palatino Linotype"/>
          <w:sz w:val="24"/>
          <w:szCs w:val="24"/>
        </w:rPr>
        <w:t>RFO</w:t>
      </w:r>
      <w:r w:rsidR="00BE2F78">
        <w:rPr>
          <w:rFonts w:ascii="Palatino Linotype" w:hAnsi="Palatino Linotype"/>
          <w:sz w:val="24"/>
          <w:szCs w:val="24"/>
        </w:rPr>
        <w:t>)</w:t>
      </w:r>
      <w:r w:rsidRPr="00057AF3" w:rsidR="0068334A">
        <w:rPr>
          <w:rFonts w:ascii="Palatino Linotype" w:hAnsi="Palatino Linotype"/>
          <w:sz w:val="24"/>
          <w:szCs w:val="24"/>
        </w:rPr>
        <w:t xml:space="preserve"> to procure </w:t>
      </w:r>
      <w:r w:rsidR="00BE2F78">
        <w:rPr>
          <w:rFonts w:ascii="Palatino Linotype" w:hAnsi="Palatino Linotype"/>
          <w:sz w:val="24"/>
          <w:szCs w:val="24"/>
        </w:rPr>
        <w:t xml:space="preserve">local RA </w:t>
      </w:r>
      <w:r w:rsidRPr="00057AF3" w:rsidR="0068334A">
        <w:rPr>
          <w:rFonts w:ascii="Palatino Linotype" w:hAnsi="Palatino Linotype"/>
          <w:sz w:val="24"/>
          <w:szCs w:val="24"/>
        </w:rPr>
        <w:t xml:space="preserve">capacity </w:t>
      </w:r>
      <w:r w:rsidR="00BE2F78">
        <w:rPr>
          <w:rFonts w:ascii="Palatino Linotype" w:hAnsi="Palatino Linotype"/>
          <w:sz w:val="24"/>
          <w:szCs w:val="24"/>
        </w:rPr>
        <w:t>for the 2025-2027 compliance period</w:t>
      </w:r>
      <w:r w:rsidRPr="00FC5A15" w:rsidR="002619E4">
        <w:rPr>
          <w:rFonts w:ascii="Palatino Linotype" w:hAnsi="Palatino Linotype"/>
          <w:sz w:val="24"/>
          <w:szCs w:val="24"/>
        </w:rPr>
        <w:t>.</w:t>
      </w:r>
      <w:r w:rsidRPr="00FC5A15" w:rsidR="00023210">
        <w:rPr>
          <w:rFonts w:ascii="Palatino Linotype" w:hAnsi="Palatino Linotype"/>
          <w:sz w:val="24"/>
          <w:szCs w:val="24"/>
        </w:rPr>
        <w:t xml:space="preserve"> </w:t>
      </w:r>
      <w:r w:rsidRPr="00FC5A15" w:rsidR="004000E2">
        <w:rPr>
          <w:rFonts w:ascii="Palatino Linotype" w:hAnsi="Palatino Linotype"/>
          <w:sz w:val="24"/>
          <w:szCs w:val="24"/>
        </w:rPr>
        <w:t>The RFO was announced via e-mail to 2,700 recipients, along with subsequent outreach calls to 27 LSEs, Independent Power Producers</w:t>
      </w:r>
      <w:r w:rsidRPr="00FC5A15" w:rsidR="00C76E9E">
        <w:rPr>
          <w:rFonts w:ascii="Palatino Linotype" w:hAnsi="Palatino Linotype"/>
          <w:sz w:val="24"/>
          <w:szCs w:val="24"/>
        </w:rPr>
        <w:t xml:space="preserve"> (IPP)</w:t>
      </w:r>
      <w:r w:rsidRPr="00FC5A15" w:rsidR="004000E2">
        <w:rPr>
          <w:rFonts w:ascii="Palatino Linotype" w:hAnsi="Palatino Linotype"/>
          <w:sz w:val="24"/>
          <w:szCs w:val="24"/>
        </w:rPr>
        <w:t xml:space="preserve">, and developers. </w:t>
      </w:r>
      <w:r w:rsidRPr="00FC5A15" w:rsidR="00A47D0A">
        <w:rPr>
          <w:rFonts w:ascii="Palatino Linotype" w:hAnsi="Palatino Linotype"/>
          <w:sz w:val="24"/>
          <w:szCs w:val="24"/>
        </w:rPr>
        <w:t xml:space="preserve">The RFO included two separate targeted execution deadlines, the first of which was set for June 28, </w:t>
      </w:r>
      <w:r w:rsidRPr="00FC5A15" w:rsidR="004000E2">
        <w:rPr>
          <w:rFonts w:ascii="Palatino Linotype" w:hAnsi="Palatino Linotype"/>
          <w:sz w:val="24"/>
          <w:szCs w:val="24"/>
        </w:rPr>
        <w:t>2024,</w:t>
      </w:r>
      <w:r w:rsidRPr="00FC5A15" w:rsidR="00A47D0A">
        <w:rPr>
          <w:rFonts w:ascii="Palatino Linotype" w:hAnsi="Palatino Linotype"/>
          <w:sz w:val="24"/>
          <w:szCs w:val="24"/>
        </w:rPr>
        <w:t xml:space="preserve"> for competitive offers </w:t>
      </w:r>
      <w:r w:rsidRPr="00FC5A15" w:rsidR="001D49B2">
        <w:rPr>
          <w:rFonts w:ascii="Palatino Linotype" w:hAnsi="Palatino Linotype"/>
          <w:sz w:val="24"/>
          <w:szCs w:val="24"/>
        </w:rPr>
        <w:t>for deliveries in</w:t>
      </w:r>
      <w:r w:rsidRPr="00FC5A15" w:rsidR="00A47D0A">
        <w:rPr>
          <w:rFonts w:ascii="Palatino Linotype" w:hAnsi="Palatino Linotype"/>
          <w:sz w:val="24"/>
          <w:szCs w:val="24"/>
        </w:rPr>
        <w:t xml:space="preserve"> the 2025 </w:t>
      </w:r>
      <w:r w:rsidRPr="00FC5A15" w:rsidR="001D49B2">
        <w:rPr>
          <w:rFonts w:ascii="Palatino Linotype" w:hAnsi="Palatino Linotype"/>
          <w:sz w:val="24"/>
          <w:szCs w:val="24"/>
        </w:rPr>
        <w:t>c</w:t>
      </w:r>
      <w:r w:rsidRPr="00FC5A15" w:rsidR="00A47D0A">
        <w:rPr>
          <w:rFonts w:ascii="Palatino Linotype" w:hAnsi="Palatino Linotype"/>
          <w:sz w:val="24"/>
          <w:szCs w:val="24"/>
        </w:rPr>
        <w:t xml:space="preserve">ompliance </w:t>
      </w:r>
      <w:r w:rsidRPr="00FC5A15" w:rsidR="001D49B2">
        <w:rPr>
          <w:rFonts w:ascii="Palatino Linotype" w:hAnsi="Palatino Linotype"/>
          <w:sz w:val="24"/>
          <w:szCs w:val="24"/>
        </w:rPr>
        <w:t>y</w:t>
      </w:r>
      <w:r w:rsidRPr="00FC5A15" w:rsidR="00A47D0A">
        <w:rPr>
          <w:rFonts w:ascii="Palatino Linotype" w:hAnsi="Palatino Linotype"/>
          <w:sz w:val="24"/>
          <w:szCs w:val="24"/>
        </w:rPr>
        <w:t xml:space="preserve">ear (Track 1), </w:t>
      </w:r>
      <w:r w:rsidRPr="00FC5A15" w:rsidR="001D49B2">
        <w:rPr>
          <w:rFonts w:ascii="Palatino Linotype" w:hAnsi="Palatino Linotype"/>
          <w:sz w:val="24"/>
          <w:szCs w:val="24"/>
        </w:rPr>
        <w:t>and early August 2024 for</w:t>
      </w:r>
      <w:r w:rsidRPr="00FC5A15" w:rsidR="00A47D0A">
        <w:rPr>
          <w:rFonts w:ascii="Palatino Linotype" w:hAnsi="Palatino Linotype"/>
          <w:sz w:val="24"/>
          <w:szCs w:val="24"/>
        </w:rPr>
        <w:t xml:space="preserve"> all other competitive offers received (Track 2). </w:t>
      </w:r>
      <w:r w:rsidRPr="00FC5A15" w:rsidR="004000E2">
        <w:rPr>
          <w:rFonts w:ascii="Palatino Linotype" w:hAnsi="Palatino Linotype"/>
          <w:sz w:val="24"/>
          <w:szCs w:val="24"/>
        </w:rPr>
        <w:t xml:space="preserve">On February 29, </w:t>
      </w:r>
      <w:r w:rsidRPr="00FC5A15">
        <w:rPr>
          <w:rFonts w:ascii="Palatino Linotype" w:hAnsi="Palatino Linotype"/>
          <w:sz w:val="24"/>
          <w:szCs w:val="24"/>
        </w:rPr>
        <w:t>2024,</w:t>
      </w:r>
      <w:r w:rsidRPr="00FC5A15" w:rsidR="004000E2">
        <w:rPr>
          <w:rFonts w:ascii="Palatino Linotype" w:hAnsi="Palatino Linotype"/>
          <w:sz w:val="24"/>
          <w:szCs w:val="24"/>
        </w:rPr>
        <w:t xml:space="preserve"> PG&amp;E-CPE conducted a participants’ conference instructing participants that non-compensated self-shown commitments </w:t>
      </w:r>
      <w:r w:rsidRPr="00FC5A15" w:rsidR="001D49B2">
        <w:rPr>
          <w:rFonts w:ascii="Palatino Linotype" w:hAnsi="Palatino Linotype"/>
          <w:sz w:val="24"/>
          <w:szCs w:val="24"/>
        </w:rPr>
        <w:t>are</w:t>
      </w:r>
      <w:r w:rsidRPr="00FC5A15" w:rsidR="004000E2">
        <w:rPr>
          <w:rFonts w:ascii="Palatino Linotype" w:hAnsi="Palatino Linotype"/>
          <w:sz w:val="24"/>
          <w:szCs w:val="24"/>
        </w:rPr>
        <w:t xml:space="preserve"> due March 22, </w:t>
      </w:r>
      <w:r w:rsidRPr="00FC5A15" w:rsidR="001D49B2">
        <w:rPr>
          <w:rFonts w:ascii="Palatino Linotype" w:hAnsi="Palatino Linotype"/>
          <w:sz w:val="24"/>
          <w:szCs w:val="24"/>
        </w:rPr>
        <w:t xml:space="preserve">2024; </w:t>
      </w:r>
      <w:r w:rsidRPr="00FC5A15" w:rsidR="004000E2">
        <w:rPr>
          <w:rFonts w:ascii="Palatino Linotype" w:hAnsi="Palatino Linotype"/>
          <w:sz w:val="24"/>
          <w:szCs w:val="24"/>
        </w:rPr>
        <w:t xml:space="preserve">compensated self-shown commitments and bundled RA (or bundled RA with energy settlement) </w:t>
      </w:r>
      <w:r w:rsidRPr="00FC5A15" w:rsidR="001D49B2">
        <w:rPr>
          <w:rFonts w:ascii="Palatino Linotype" w:hAnsi="Palatino Linotype"/>
          <w:sz w:val="24"/>
          <w:szCs w:val="24"/>
        </w:rPr>
        <w:t>offers are</w:t>
      </w:r>
      <w:r w:rsidRPr="00FC5A15" w:rsidR="004000E2">
        <w:rPr>
          <w:rFonts w:ascii="Palatino Linotype" w:hAnsi="Palatino Linotype"/>
          <w:sz w:val="24"/>
          <w:szCs w:val="24"/>
        </w:rPr>
        <w:t xml:space="preserve"> due March 26</w:t>
      </w:r>
      <w:r w:rsidRPr="00FC5A15" w:rsidR="001D49B2">
        <w:rPr>
          <w:rFonts w:ascii="Palatino Linotype" w:hAnsi="Palatino Linotype"/>
          <w:sz w:val="24"/>
          <w:szCs w:val="24"/>
        </w:rPr>
        <w:t xml:space="preserve">, </w:t>
      </w:r>
      <w:r w:rsidRPr="00FC5A15" w:rsidR="00D22A4B">
        <w:rPr>
          <w:rFonts w:ascii="Palatino Linotype" w:hAnsi="Palatino Linotype"/>
          <w:sz w:val="24"/>
          <w:szCs w:val="24"/>
        </w:rPr>
        <w:t>2024,</w:t>
      </w:r>
      <w:r w:rsidRPr="00FC5A15" w:rsidR="001D49B2">
        <w:rPr>
          <w:rFonts w:ascii="Palatino Linotype" w:hAnsi="Palatino Linotype"/>
          <w:sz w:val="24"/>
          <w:szCs w:val="24"/>
        </w:rPr>
        <w:t xml:space="preserve"> </w:t>
      </w:r>
      <w:r w:rsidRPr="00FC5A15" w:rsidR="004000E2">
        <w:rPr>
          <w:rFonts w:ascii="Palatino Linotype" w:hAnsi="Palatino Linotype"/>
          <w:sz w:val="24"/>
          <w:szCs w:val="24"/>
        </w:rPr>
        <w:t>for PG&amp;E participants and March 27</w:t>
      </w:r>
      <w:r w:rsidRPr="00FC5A15" w:rsidR="001E7EBE">
        <w:rPr>
          <w:rFonts w:ascii="Palatino Linotype" w:hAnsi="Palatino Linotype"/>
          <w:sz w:val="24"/>
          <w:szCs w:val="24"/>
        </w:rPr>
        <w:t xml:space="preserve">, </w:t>
      </w:r>
      <w:r w:rsidRPr="00FC5A15" w:rsidR="0051165F">
        <w:rPr>
          <w:rFonts w:ascii="Palatino Linotype" w:hAnsi="Palatino Linotype"/>
          <w:sz w:val="24"/>
          <w:szCs w:val="24"/>
        </w:rPr>
        <w:t>2024,</w:t>
      </w:r>
      <w:r w:rsidRPr="00FC5A15" w:rsidR="004000E2">
        <w:rPr>
          <w:rFonts w:ascii="Palatino Linotype" w:hAnsi="Palatino Linotype"/>
          <w:sz w:val="24"/>
          <w:szCs w:val="24"/>
        </w:rPr>
        <w:t xml:space="preserve"> for CPUC-jurisdictional LSEs and all market participants. </w:t>
      </w:r>
    </w:p>
    <w:p w:rsidRPr="008D4D5E" w:rsidR="003A2D72" w:rsidP="00CD4CF8" w:rsidRDefault="003A2D72" w14:paraId="0272D565" w14:textId="77777777">
      <w:pPr>
        <w:rPr>
          <w:rFonts w:ascii="Palatino Linotype" w:hAnsi="Palatino Linotype"/>
          <w:sz w:val="16"/>
          <w:szCs w:val="16"/>
        </w:rPr>
      </w:pPr>
    </w:p>
    <w:p w:rsidRPr="00FC5A15" w:rsidR="00F66AF0" w:rsidP="00CD4CF8" w:rsidRDefault="00F66AF0" w14:paraId="7C3F9ADC" w14:textId="446AC1FD">
      <w:pPr>
        <w:rPr>
          <w:rFonts w:ascii="Palatino Linotype" w:hAnsi="Palatino Linotype"/>
          <w:sz w:val="24"/>
          <w:szCs w:val="24"/>
        </w:rPr>
      </w:pPr>
      <w:r w:rsidRPr="00FC5A15">
        <w:rPr>
          <w:rFonts w:ascii="Palatino Linotype" w:hAnsi="Palatino Linotype"/>
          <w:sz w:val="24"/>
          <w:szCs w:val="24"/>
        </w:rPr>
        <w:t xml:space="preserve">PG&amp;E-CPE states that after providing an opportunity to revise offers that were missing information or required clarification, most participants were able to rectify their non-conforming issues according to </w:t>
      </w:r>
      <w:r w:rsidRPr="00FC5A15" w:rsidR="008F1878">
        <w:rPr>
          <w:rFonts w:ascii="Palatino Linotype" w:hAnsi="Palatino Linotype"/>
          <w:sz w:val="24"/>
          <w:szCs w:val="24"/>
        </w:rPr>
        <w:t xml:space="preserve">the </w:t>
      </w:r>
      <w:r w:rsidRPr="00FC5A15">
        <w:rPr>
          <w:rFonts w:ascii="Palatino Linotype" w:hAnsi="Palatino Linotype"/>
          <w:sz w:val="24"/>
          <w:szCs w:val="24"/>
        </w:rPr>
        <w:t xml:space="preserve">solicitation protocols. Offers </w:t>
      </w:r>
      <w:r w:rsidRPr="00FC5A15" w:rsidR="0000314E">
        <w:rPr>
          <w:rFonts w:ascii="Palatino Linotype" w:hAnsi="Palatino Linotype"/>
          <w:sz w:val="24"/>
          <w:szCs w:val="24"/>
        </w:rPr>
        <w:t>were</w:t>
      </w:r>
      <w:r w:rsidRPr="00FC5A15">
        <w:rPr>
          <w:rFonts w:ascii="Palatino Linotype" w:hAnsi="Palatino Linotype"/>
          <w:sz w:val="24"/>
          <w:szCs w:val="24"/>
        </w:rPr>
        <w:t xml:space="preserve"> then assessed </w:t>
      </w:r>
      <w:r w:rsidRPr="00FC5A15" w:rsidR="00397DA6">
        <w:rPr>
          <w:rFonts w:ascii="Palatino Linotype" w:hAnsi="Palatino Linotype"/>
          <w:sz w:val="24"/>
          <w:szCs w:val="24"/>
        </w:rPr>
        <w:t xml:space="preserve">for </w:t>
      </w:r>
      <w:r w:rsidRPr="00FC5A15" w:rsidR="00397DA6">
        <w:rPr>
          <w:rFonts w:ascii="Palatino Linotype" w:hAnsi="Palatino Linotype"/>
          <w:sz w:val="24"/>
          <w:szCs w:val="24"/>
        </w:rPr>
        <w:lastRenderedPageBreak/>
        <w:t>qualification</w:t>
      </w:r>
      <w:r w:rsidRPr="00FC5A15">
        <w:rPr>
          <w:rFonts w:ascii="Palatino Linotype" w:hAnsi="Palatino Linotype"/>
          <w:sz w:val="24"/>
          <w:szCs w:val="24"/>
        </w:rPr>
        <w:t xml:space="preserve"> using the same guidelines and all-source selection criteria – including loading order and least cost best fit (LCBF) methodology</w:t>
      </w:r>
      <w:r w:rsidRPr="00FC5A15" w:rsidR="00DF0E32">
        <w:rPr>
          <w:rFonts w:ascii="Palatino Linotype" w:hAnsi="Palatino Linotype"/>
          <w:sz w:val="24"/>
          <w:szCs w:val="24"/>
        </w:rPr>
        <w:t>.</w:t>
      </w:r>
    </w:p>
    <w:p w:rsidRPr="008D4D5E" w:rsidR="008060F3" w:rsidP="00CD4CF8" w:rsidRDefault="008060F3" w14:paraId="3CBDA2AB" w14:textId="77777777">
      <w:pPr>
        <w:rPr>
          <w:rFonts w:ascii="Palatino Linotype" w:hAnsi="Palatino Linotype"/>
          <w:sz w:val="16"/>
          <w:szCs w:val="16"/>
        </w:rPr>
      </w:pPr>
    </w:p>
    <w:p w:rsidRPr="006A0603" w:rsidR="00397DA6" w:rsidP="00CD4CF8" w:rsidRDefault="007D6A29" w14:paraId="4F106077" w14:textId="685C479A">
      <w:pPr>
        <w:rPr>
          <w:rFonts w:ascii="Palatino Linotype" w:hAnsi="Palatino Linotype"/>
          <w:sz w:val="24"/>
          <w:szCs w:val="24"/>
        </w:rPr>
      </w:pPr>
      <w:r w:rsidRPr="006A0603">
        <w:rPr>
          <w:rFonts w:ascii="Palatino Linotype" w:hAnsi="Palatino Linotype"/>
          <w:sz w:val="24"/>
          <w:szCs w:val="24"/>
        </w:rPr>
        <w:t>PG&amp;E</w:t>
      </w:r>
      <w:r w:rsidRPr="006A0603" w:rsidR="00397DA6">
        <w:rPr>
          <w:rFonts w:ascii="Palatino Linotype" w:hAnsi="Palatino Linotype"/>
          <w:sz w:val="24"/>
          <w:szCs w:val="24"/>
        </w:rPr>
        <w:t xml:space="preserve">-CPE employed </w:t>
      </w:r>
      <w:r w:rsidRPr="006A0603">
        <w:rPr>
          <w:rFonts w:ascii="Palatino Linotype" w:hAnsi="Palatino Linotype"/>
          <w:sz w:val="24"/>
          <w:szCs w:val="24"/>
        </w:rPr>
        <w:t>both quantitative and qualitative criteria</w:t>
      </w:r>
      <w:r w:rsidRPr="006A0603" w:rsidR="00B5580B">
        <w:rPr>
          <w:rFonts w:ascii="Palatino Linotype" w:hAnsi="Palatino Linotype"/>
          <w:sz w:val="24"/>
          <w:szCs w:val="24"/>
        </w:rPr>
        <w:t xml:space="preserve"> to achieve a shortlisted portfolio </w:t>
      </w:r>
      <w:r w:rsidRPr="006A0603" w:rsidR="00397DA6">
        <w:rPr>
          <w:rFonts w:ascii="Palatino Linotype" w:hAnsi="Palatino Linotype"/>
          <w:sz w:val="24"/>
          <w:szCs w:val="24"/>
        </w:rPr>
        <w:t xml:space="preserve">including </w:t>
      </w:r>
      <w:r w:rsidRPr="006A0603" w:rsidR="001D49B2">
        <w:rPr>
          <w:rFonts w:ascii="Palatino Linotype" w:hAnsi="Palatino Linotype"/>
          <w:sz w:val="24"/>
          <w:szCs w:val="24"/>
        </w:rPr>
        <w:t>assessing future</w:t>
      </w:r>
      <w:r w:rsidRPr="006A0603" w:rsidR="00E54D63">
        <w:rPr>
          <w:rFonts w:ascii="Palatino Linotype" w:hAnsi="Palatino Linotype"/>
          <w:sz w:val="24"/>
          <w:szCs w:val="24"/>
        </w:rPr>
        <w:t xml:space="preserve"> needs in local and sub-local areas, resource costs, operational characteristics of the resources, location of the facility, costs of potential alternatives, Greenhouse Gas (GHG) adders, energy-use limitations, and procurement of preferred resources and energy storage (which are prioritized over fossil generation). PG&amp;E-CPE evaluated offers based on net market value (NMV), which compares an offer’s costs</w:t>
      </w:r>
      <w:r w:rsidR="007A6108">
        <w:rPr>
          <w:rFonts w:ascii="Palatino Linotype" w:hAnsi="Palatino Linotype"/>
          <w:sz w:val="24"/>
          <w:szCs w:val="24"/>
        </w:rPr>
        <w:t>;</w:t>
      </w:r>
      <w:r w:rsidRPr="006A0603" w:rsidR="00E54D63">
        <w:rPr>
          <w:rFonts w:ascii="Palatino Linotype" w:hAnsi="Palatino Linotype"/>
          <w:sz w:val="24"/>
          <w:szCs w:val="24"/>
        </w:rPr>
        <w:t xml:space="preserve"> consisting of contract fixed cost, variable cost, and transmission network upgrade cost</w:t>
      </w:r>
      <w:r w:rsidR="007A6108">
        <w:rPr>
          <w:rFonts w:ascii="Palatino Linotype" w:hAnsi="Palatino Linotype"/>
          <w:sz w:val="24"/>
          <w:szCs w:val="24"/>
        </w:rPr>
        <w:t>;</w:t>
      </w:r>
      <w:r w:rsidRPr="006A0603" w:rsidR="00E54D63">
        <w:rPr>
          <w:rFonts w:ascii="Palatino Linotype" w:hAnsi="Palatino Linotype"/>
          <w:sz w:val="24"/>
          <w:szCs w:val="24"/>
        </w:rPr>
        <w:t xml:space="preserve"> against the benefits of capacity and energy value.</w:t>
      </w:r>
    </w:p>
    <w:p w:rsidRPr="008D4D5E" w:rsidR="00397DA6" w:rsidP="00CD4CF8" w:rsidRDefault="00397DA6" w14:paraId="4CD3A3C1" w14:textId="77777777">
      <w:pPr>
        <w:rPr>
          <w:rFonts w:ascii="Palatino Linotype" w:hAnsi="Palatino Linotype"/>
          <w:sz w:val="16"/>
          <w:szCs w:val="16"/>
        </w:rPr>
      </w:pPr>
    </w:p>
    <w:p w:rsidR="00B5580B" w:rsidP="00CD4CF8" w:rsidRDefault="007A6108" w14:paraId="1CED199B" w14:textId="5111A1A1">
      <w:pPr>
        <w:rPr>
          <w:rFonts w:ascii="Palatino Linotype" w:hAnsi="Palatino Linotype"/>
          <w:sz w:val="24"/>
          <w:szCs w:val="24"/>
        </w:rPr>
      </w:pPr>
      <w:r>
        <w:rPr>
          <w:rFonts w:ascii="Palatino Linotype" w:hAnsi="Palatino Linotype"/>
          <w:sz w:val="24"/>
          <w:szCs w:val="24"/>
        </w:rPr>
        <w:t>PG&amp;E CPE asserts that o</w:t>
      </w:r>
      <w:r w:rsidRPr="006A0603" w:rsidR="008F3DEC">
        <w:rPr>
          <w:rFonts w:ascii="Palatino Linotype" w:hAnsi="Palatino Linotype"/>
          <w:sz w:val="24"/>
          <w:szCs w:val="24"/>
        </w:rPr>
        <w:t xml:space="preserve">n April 23, 2024, </w:t>
      </w:r>
      <w:r>
        <w:rPr>
          <w:rFonts w:ascii="Palatino Linotype" w:hAnsi="Palatino Linotype"/>
          <w:sz w:val="24"/>
          <w:szCs w:val="24"/>
        </w:rPr>
        <w:t xml:space="preserve">it </w:t>
      </w:r>
      <w:r w:rsidRPr="006A0603" w:rsidR="008F3DEC">
        <w:rPr>
          <w:rFonts w:ascii="Palatino Linotype" w:hAnsi="Palatino Linotype"/>
          <w:sz w:val="24"/>
          <w:szCs w:val="24"/>
        </w:rPr>
        <w:t>sent qualification notices to o</w:t>
      </w:r>
      <w:r w:rsidRPr="006A0603" w:rsidR="005E242C">
        <w:rPr>
          <w:rFonts w:ascii="Palatino Linotype" w:hAnsi="Palatino Linotype"/>
          <w:sz w:val="24"/>
          <w:szCs w:val="24"/>
        </w:rPr>
        <w:t xml:space="preserve">ffers that met these criteria. Thereafter, PG&amp;E-CPE initiated negotiations with </w:t>
      </w:r>
      <w:r w:rsidR="001D6E0B">
        <w:rPr>
          <w:rFonts w:ascii="Palatino Linotype" w:hAnsi="Palatino Linotype"/>
          <w:sz w:val="24"/>
          <w:szCs w:val="24"/>
        </w:rPr>
        <w:t xml:space="preserve">each </w:t>
      </w:r>
      <w:r w:rsidRPr="006A0603" w:rsidR="005E242C">
        <w:rPr>
          <w:rFonts w:ascii="Palatino Linotype" w:hAnsi="Palatino Linotype"/>
          <w:sz w:val="24"/>
          <w:szCs w:val="24"/>
        </w:rPr>
        <w:t xml:space="preserve">participant with a </w:t>
      </w:r>
      <w:r w:rsidR="001D6E0B">
        <w:rPr>
          <w:rFonts w:ascii="Palatino Linotype" w:hAnsi="Palatino Linotype"/>
          <w:sz w:val="24"/>
          <w:szCs w:val="24"/>
        </w:rPr>
        <w:t>qualified</w:t>
      </w:r>
      <w:r w:rsidRPr="006A0603" w:rsidR="001D6E0B">
        <w:rPr>
          <w:rFonts w:ascii="Palatino Linotype" w:hAnsi="Palatino Linotype"/>
          <w:sz w:val="24"/>
          <w:szCs w:val="24"/>
        </w:rPr>
        <w:t xml:space="preserve"> </w:t>
      </w:r>
      <w:r w:rsidRPr="006A0603" w:rsidR="005E242C">
        <w:rPr>
          <w:rFonts w:ascii="Palatino Linotype" w:hAnsi="Palatino Linotype"/>
          <w:sz w:val="24"/>
          <w:szCs w:val="24"/>
        </w:rPr>
        <w:t>offer and presented</w:t>
      </w:r>
      <w:r w:rsidR="001D6E0B">
        <w:rPr>
          <w:rFonts w:ascii="Palatino Linotype" w:hAnsi="Palatino Linotype"/>
          <w:sz w:val="24"/>
          <w:szCs w:val="24"/>
        </w:rPr>
        <w:t xml:space="preserve"> the results of its RFO to </w:t>
      </w:r>
      <w:r w:rsidRPr="006A0603" w:rsidR="005E242C">
        <w:rPr>
          <w:rFonts w:ascii="Palatino Linotype" w:hAnsi="Palatino Linotype"/>
          <w:sz w:val="24"/>
          <w:szCs w:val="24"/>
        </w:rPr>
        <w:t xml:space="preserve">the Cost Allocation Mechanism Procurement Review Group (CAM PRG), </w:t>
      </w:r>
      <w:r w:rsidRPr="006A0603" w:rsidR="008F3DEC">
        <w:rPr>
          <w:rFonts w:ascii="Palatino Linotype" w:hAnsi="Palatino Linotype"/>
          <w:sz w:val="24"/>
          <w:szCs w:val="24"/>
        </w:rPr>
        <w:t>including</w:t>
      </w:r>
      <w:r w:rsidRPr="006A0603" w:rsidR="005E242C">
        <w:rPr>
          <w:rFonts w:ascii="Palatino Linotype" w:hAnsi="Palatino Linotype"/>
          <w:sz w:val="24"/>
          <w:szCs w:val="24"/>
        </w:rPr>
        <w:t xml:space="preserve"> a review of </w:t>
      </w:r>
      <w:r w:rsidRPr="006A0603" w:rsidR="00281D5A">
        <w:rPr>
          <w:rFonts w:ascii="Palatino Linotype" w:hAnsi="Palatino Linotype"/>
          <w:sz w:val="24"/>
          <w:szCs w:val="24"/>
        </w:rPr>
        <w:t>the</w:t>
      </w:r>
      <w:r w:rsidRPr="006A0603" w:rsidR="005E242C">
        <w:rPr>
          <w:rFonts w:ascii="Palatino Linotype" w:hAnsi="Palatino Linotype"/>
          <w:sz w:val="24"/>
          <w:szCs w:val="24"/>
        </w:rPr>
        <w:t xml:space="preserve"> proposed offers. </w:t>
      </w:r>
      <w:r w:rsidRPr="006A0603" w:rsidR="008E3D55">
        <w:rPr>
          <w:rFonts w:ascii="Palatino Linotype" w:hAnsi="Palatino Linotype"/>
          <w:sz w:val="24"/>
          <w:szCs w:val="24"/>
        </w:rPr>
        <w:t xml:space="preserve">PG&amp;E-CPE also </w:t>
      </w:r>
      <w:r>
        <w:rPr>
          <w:rFonts w:ascii="Palatino Linotype" w:hAnsi="Palatino Linotype"/>
          <w:sz w:val="24"/>
          <w:szCs w:val="24"/>
        </w:rPr>
        <w:t>state</w:t>
      </w:r>
      <w:r w:rsidR="00FC190A">
        <w:rPr>
          <w:rFonts w:ascii="Palatino Linotype" w:hAnsi="Palatino Linotype"/>
          <w:sz w:val="24"/>
          <w:szCs w:val="24"/>
        </w:rPr>
        <w:t>s</w:t>
      </w:r>
      <w:r>
        <w:rPr>
          <w:rFonts w:ascii="Palatino Linotype" w:hAnsi="Palatino Linotype"/>
          <w:sz w:val="24"/>
          <w:szCs w:val="24"/>
        </w:rPr>
        <w:t xml:space="preserve"> it </w:t>
      </w:r>
      <w:r w:rsidRPr="006A0603" w:rsidR="008E3D55">
        <w:rPr>
          <w:rFonts w:ascii="Palatino Linotype" w:hAnsi="Palatino Linotype"/>
          <w:sz w:val="24"/>
          <w:szCs w:val="24"/>
        </w:rPr>
        <w:t xml:space="preserve">engaged an Independent Evaluator </w:t>
      </w:r>
      <w:r w:rsidRPr="006A0603" w:rsidR="00DF0E32">
        <w:rPr>
          <w:rFonts w:ascii="Palatino Linotype" w:hAnsi="Palatino Linotype"/>
          <w:sz w:val="24"/>
          <w:szCs w:val="24"/>
        </w:rPr>
        <w:t xml:space="preserve">(IE) </w:t>
      </w:r>
      <w:r w:rsidRPr="006A0603" w:rsidR="008E3D55">
        <w:rPr>
          <w:rFonts w:ascii="Palatino Linotype" w:hAnsi="Palatino Linotype"/>
          <w:sz w:val="24"/>
          <w:szCs w:val="24"/>
        </w:rPr>
        <w:t>throughout the process and notified the IE, along with t</w:t>
      </w:r>
      <w:r w:rsidRPr="006A0603" w:rsidR="00B5580B">
        <w:rPr>
          <w:rFonts w:ascii="Palatino Linotype" w:hAnsi="Palatino Linotype"/>
          <w:sz w:val="24"/>
          <w:szCs w:val="24"/>
        </w:rPr>
        <w:t xml:space="preserve">he </w:t>
      </w:r>
      <w:r w:rsidRPr="006A0603" w:rsidR="002A6E13">
        <w:rPr>
          <w:rFonts w:ascii="Palatino Linotype" w:hAnsi="Palatino Linotype"/>
          <w:sz w:val="24"/>
          <w:szCs w:val="24"/>
        </w:rPr>
        <w:t xml:space="preserve">CAM </w:t>
      </w:r>
      <w:r w:rsidRPr="006A0603" w:rsidR="00B5580B">
        <w:rPr>
          <w:rFonts w:ascii="Palatino Linotype" w:hAnsi="Palatino Linotype"/>
          <w:sz w:val="24"/>
          <w:szCs w:val="24"/>
        </w:rPr>
        <w:t>PRG</w:t>
      </w:r>
      <w:r w:rsidRPr="006A0603" w:rsidR="00607036">
        <w:rPr>
          <w:rFonts w:ascii="Palatino Linotype" w:hAnsi="Palatino Linotype"/>
          <w:sz w:val="24"/>
          <w:szCs w:val="24"/>
        </w:rPr>
        <w:t xml:space="preserve">, </w:t>
      </w:r>
      <w:r w:rsidRPr="006A0603" w:rsidR="00B5580B">
        <w:rPr>
          <w:rFonts w:ascii="Palatino Linotype" w:hAnsi="Palatino Linotype"/>
          <w:sz w:val="24"/>
          <w:szCs w:val="24"/>
        </w:rPr>
        <w:t>of PG&amp;E</w:t>
      </w:r>
      <w:r w:rsidRPr="006A0603" w:rsidR="00DF0E32">
        <w:rPr>
          <w:rFonts w:ascii="Palatino Linotype" w:hAnsi="Palatino Linotype"/>
          <w:sz w:val="24"/>
          <w:szCs w:val="24"/>
        </w:rPr>
        <w:t>-CPE’s</w:t>
      </w:r>
      <w:r w:rsidRPr="006A0603" w:rsidR="00B5580B">
        <w:rPr>
          <w:rFonts w:ascii="Palatino Linotype" w:hAnsi="Palatino Linotype"/>
          <w:sz w:val="24"/>
          <w:szCs w:val="24"/>
        </w:rPr>
        <w:t xml:space="preserve"> intent to execute the </w:t>
      </w:r>
      <w:r w:rsidR="001D6E0B">
        <w:rPr>
          <w:rFonts w:ascii="Palatino Linotype" w:hAnsi="Palatino Linotype"/>
          <w:sz w:val="24"/>
          <w:szCs w:val="24"/>
        </w:rPr>
        <w:t>CPE RA Agreement</w:t>
      </w:r>
      <w:r w:rsidRPr="006A0603" w:rsidR="008E3D55">
        <w:rPr>
          <w:rFonts w:ascii="Palatino Linotype" w:hAnsi="Palatino Linotype"/>
          <w:sz w:val="24"/>
          <w:szCs w:val="24"/>
        </w:rPr>
        <w:t xml:space="preserve">. </w:t>
      </w:r>
      <w:r w:rsidRPr="006A0603" w:rsidR="00DF0E32">
        <w:rPr>
          <w:rFonts w:ascii="Palatino Linotype" w:hAnsi="Palatino Linotype"/>
          <w:sz w:val="24"/>
          <w:szCs w:val="24"/>
        </w:rPr>
        <w:t>The IE reviewed t</w:t>
      </w:r>
      <w:r w:rsidRPr="006A0603" w:rsidR="00B5580B">
        <w:rPr>
          <w:rFonts w:ascii="Palatino Linotype" w:hAnsi="Palatino Linotype"/>
          <w:sz w:val="24"/>
          <w:szCs w:val="24"/>
        </w:rPr>
        <w:t>he</w:t>
      </w:r>
      <w:r w:rsidRPr="006A0603" w:rsidR="00DF0E32">
        <w:rPr>
          <w:rFonts w:ascii="Palatino Linotype" w:hAnsi="Palatino Linotype"/>
          <w:sz w:val="24"/>
          <w:szCs w:val="24"/>
        </w:rPr>
        <w:t xml:space="preserve"> solicitation planning and material drafting process; provided feedback on </w:t>
      </w:r>
      <w:r w:rsidRPr="006A0603" w:rsidR="00B5580B">
        <w:rPr>
          <w:rFonts w:ascii="Palatino Linotype" w:hAnsi="Palatino Linotype"/>
          <w:sz w:val="24"/>
          <w:szCs w:val="24"/>
        </w:rPr>
        <w:t>documentation</w:t>
      </w:r>
      <w:r w:rsidRPr="006A0603" w:rsidR="00DF0E32">
        <w:rPr>
          <w:rFonts w:ascii="Palatino Linotype" w:hAnsi="Palatino Linotype"/>
          <w:sz w:val="24"/>
          <w:szCs w:val="24"/>
        </w:rPr>
        <w:t>;</w:t>
      </w:r>
      <w:r w:rsidRPr="006A0603" w:rsidR="00B5580B">
        <w:rPr>
          <w:rFonts w:ascii="Palatino Linotype" w:hAnsi="Palatino Linotype"/>
          <w:sz w:val="24"/>
          <w:szCs w:val="24"/>
        </w:rPr>
        <w:t xml:space="preserve"> evaluated offers received and assisted in shortlist</w:t>
      </w:r>
      <w:r w:rsidRPr="006A0603" w:rsidR="00681D84">
        <w:rPr>
          <w:rFonts w:ascii="Palatino Linotype" w:hAnsi="Palatino Linotype"/>
          <w:sz w:val="24"/>
          <w:szCs w:val="24"/>
        </w:rPr>
        <w:t xml:space="preserve"> </w:t>
      </w:r>
      <w:r w:rsidRPr="006A0603" w:rsidR="00B5580B">
        <w:rPr>
          <w:rFonts w:ascii="Palatino Linotype" w:hAnsi="Palatino Linotype"/>
          <w:sz w:val="24"/>
          <w:szCs w:val="24"/>
        </w:rPr>
        <w:t>development</w:t>
      </w:r>
      <w:r w:rsidRPr="006A0603" w:rsidR="00607036">
        <w:rPr>
          <w:rFonts w:ascii="Palatino Linotype" w:hAnsi="Palatino Linotype"/>
          <w:sz w:val="24"/>
          <w:szCs w:val="24"/>
        </w:rPr>
        <w:t>;</w:t>
      </w:r>
      <w:r w:rsidRPr="006A0603" w:rsidR="00B5580B">
        <w:rPr>
          <w:rFonts w:ascii="Palatino Linotype" w:hAnsi="Palatino Linotype"/>
          <w:sz w:val="24"/>
          <w:szCs w:val="24"/>
        </w:rPr>
        <w:t xml:space="preserve"> discussed the reasons the offers were considered non-conforming</w:t>
      </w:r>
      <w:r w:rsidRPr="006A0603" w:rsidR="00607036">
        <w:rPr>
          <w:rFonts w:ascii="Palatino Linotype" w:hAnsi="Palatino Linotype"/>
          <w:sz w:val="24"/>
          <w:szCs w:val="24"/>
        </w:rPr>
        <w:t>;</w:t>
      </w:r>
      <w:r w:rsidRPr="006A0603" w:rsidR="00B5580B">
        <w:rPr>
          <w:rFonts w:ascii="Palatino Linotype" w:hAnsi="Palatino Linotype"/>
          <w:sz w:val="24"/>
          <w:szCs w:val="24"/>
        </w:rPr>
        <w:t xml:space="preserve"> participated in feedback calls with participants that were not selected to be on the shortlist</w:t>
      </w:r>
      <w:r w:rsidRPr="006A0603" w:rsidR="00607036">
        <w:rPr>
          <w:rFonts w:ascii="Palatino Linotype" w:hAnsi="Palatino Linotype"/>
          <w:sz w:val="24"/>
          <w:szCs w:val="24"/>
        </w:rPr>
        <w:t>;</w:t>
      </w:r>
      <w:r w:rsidRPr="006A0603" w:rsidR="00B5580B">
        <w:rPr>
          <w:rFonts w:ascii="Palatino Linotype" w:hAnsi="Palatino Linotype"/>
          <w:sz w:val="24"/>
          <w:szCs w:val="24"/>
        </w:rPr>
        <w:t xml:space="preserve"> and participated in contract negotiations that were held for each shortlisted participant.</w:t>
      </w:r>
    </w:p>
    <w:p w:rsidRPr="006A0603" w:rsidR="00EC697D" w:rsidP="00CD4CF8" w:rsidRDefault="00EC697D" w14:paraId="58453EF8" w14:textId="77777777">
      <w:pPr>
        <w:rPr>
          <w:rFonts w:ascii="Palatino Linotype" w:hAnsi="Palatino Linotype"/>
          <w:sz w:val="24"/>
          <w:szCs w:val="24"/>
        </w:rPr>
      </w:pPr>
    </w:p>
    <w:p w:rsidRPr="006A0603" w:rsidR="00CD4CF8" w:rsidP="00E908F5" w:rsidRDefault="00CD4CF8" w14:paraId="767F6526" w14:textId="77777777">
      <w:pPr>
        <w:pStyle w:val="Heading1"/>
        <w:spacing w:before="240" w:after="120"/>
        <w:rPr>
          <w:rFonts w:ascii="Palatino Linotype" w:hAnsi="Palatino Linotype" w:eastAsia="Palatino Linotype"/>
          <w:sz w:val="24"/>
          <w:szCs w:val="24"/>
        </w:rPr>
      </w:pPr>
      <w:bookmarkStart w:name="_Hlk138925361" w:id="2"/>
      <w:r w:rsidRPr="006A0603">
        <w:rPr>
          <w:rFonts w:ascii="Palatino Linotype" w:hAnsi="Palatino Linotype" w:eastAsia="Palatino Linotype"/>
          <w:sz w:val="24"/>
          <w:szCs w:val="24"/>
        </w:rPr>
        <w:t>Notice</w:t>
      </w:r>
    </w:p>
    <w:p w:rsidR="00CD4CF8" w:rsidP="00E908F5" w:rsidRDefault="00CD4CF8" w14:paraId="29FAB421" w14:textId="44530E8E">
      <w:pPr>
        <w:rPr>
          <w:rFonts w:ascii="Palatino Linotype" w:hAnsi="Palatino Linotype" w:eastAsia="Palatino Linotype"/>
          <w:sz w:val="24"/>
          <w:szCs w:val="24"/>
        </w:rPr>
      </w:pPr>
      <w:r w:rsidRPr="006A0603">
        <w:rPr>
          <w:rFonts w:ascii="Palatino Linotype" w:hAnsi="Palatino Linotype" w:eastAsia="Palatino Linotype"/>
          <w:sz w:val="24"/>
          <w:szCs w:val="24"/>
        </w:rPr>
        <w:t xml:space="preserve">Notice of </w:t>
      </w:r>
      <w:r w:rsidRPr="006A0603" w:rsidR="00057494">
        <w:rPr>
          <w:rFonts w:ascii="Palatino Linotype" w:hAnsi="Palatino Linotype" w:eastAsia="Palatino Linotype"/>
          <w:sz w:val="24"/>
          <w:szCs w:val="24"/>
        </w:rPr>
        <w:t>P</w:t>
      </w:r>
      <w:r w:rsidRPr="006A0603" w:rsidR="00457CDD">
        <w:rPr>
          <w:rFonts w:ascii="Palatino Linotype" w:hAnsi="Palatino Linotype" w:eastAsia="Palatino Linotype"/>
          <w:sz w:val="24"/>
          <w:szCs w:val="24"/>
        </w:rPr>
        <w:t xml:space="preserve">G&amp;E </w:t>
      </w:r>
      <w:r w:rsidRPr="006A0603">
        <w:rPr>
          <w:rFonts w:ascii="Palatino Linotype" w:hAnsi="Palatino Linotype" w:eastAsia="Palatino Linotype"/>
          <w:sz w:val="24"/>
          <w:szCs w:val="24"/>
        </w:rPr>
        <w:t xml:space="preserve">AL </w:t>
      </w:r>
      <w:r w:rsidRPr="006A0603" w:rsidR="00281D5A">
        <w:rPr>
          <w:rFonts w:ascii="Palatino Linotype" w:hAnsi="Palatino Linotype" w:eastAsia="Palatino Linotype"/>
          <w:sz w:val="24"/>
          <w:szCs w:val="24"/>
        </w:rPr>
        <w:t>7381</w:t>
      </w:r>
      <w:r w:rsidRPr="006A0603">
        <w:rPr>
          <w:rFonts w:ascii="Palatino Linotype" w:hAnsi="Palatino Linotype" w:eastAsia="Palatino Linotype"/>
          <w:sz w:val="24"/>
          <w:szCs w:val="24"/>
        </w:rPr>
        <w:t xml:space="preserve">-E was made by publication in the Commission’s Daily Calendar.  </w:t>
      </w:r>
      <w:r w:rsidRPr="006A0603" w:rsidR="00057494">
        <w:rPr>
          <w:rFonts w:ascii="Palatino Linotype" w:hAnsi="Palatino Linotype" w:eastAsia="Palatino Linotype"/>
          <w:sz w:val="24"/>
          <w:szCs w:val="24"/>
        </w:rPr>
        <w:t>P</w:t>
      </w:r>
      <w:r w:rsidRPr="006A0603" w:rsidR="00457CDD">
        <w:rPr>
          <w:rFonts w:ascii="Palatino Linotype" w:hAnsi="Palatino Linotype" w:eastAsia="Palatino Linotype"/>
          <w:sz w:val="24"/>
          <w:szCs w:val="24"/>
        </w:rPr>
        <w:t>G&amp;E</w:t>
      </w:r>
      <w:r w:rsidRPr="006A0603">
        <w:rPr>
          <w:rFonts w:ascii="Palatino Linotype" w:hAnsi="Palatino Linotype" w:eastAsia="Palatino Linotype"/>
          <w:sz w:val="24"/>
          <w:szCs w:val="24"/>
        </w:rPr>
        <w:t xml:space="preserve"> states that a copy of the </w:t>
      </w:r>
      <w:r w:rsidRPr="006A0603" w:rsidR="00457CDD">
        <w:rPr>
          <w:rFonts w:ascii="Palatino Linotype" w:hAnsi="Palatino Linotype" w:eastAsia="Palatino Linotype"/>
          <w:sz w:val="24"/>
          <w:szCs w:val="24"/>
        </w:rPr>
        <w:t>AL</w:t>
      </w:r>
      <w:r w:rsidRPr="006A0603">
        <w:rPr>
          <w:rFonts w:ascii="Palatino Linotype" w:hAnsi="Palatino Linotype" w:eastAsia="Palatino Linotype"/>
          <w:sz w:val="24"/>
          <w:szCs w:val="24"/>
        </w:rPr>
        <w:t xml:space="preserve"> was mailed and distributed in accordance with </w:t>
      </w:r>
      <w:r w:rsidR="001E4DD9">
        <w:rPr>
          <w:rFonts w:ascii="Palatino Linotype" w:hAnsi="Palatino Linotype" w:eastAsia="Palatino Linotype"/>
          <w:sz w:val="24"/>
          <w:szCs w:val="24"/>
        </w:rPr>
        <w:br/>
      </w:r>
      <w:r w:rsidRPr="006A0603">
        <w:rPr>
          <w:rFonts w:ascii="Palatino Linotype" w:hAnsi="Palatino Linotype" w:eastAsia="Palatino Linotype"/>
          <w:sz w:val="24"/>
          <w:szCs w:val="24"/>
        </w:rPr>
        <w:t>Section 4 of General Order 96-B.</w:t>
      </w:r>
    </w:p>
    <w:p w:rsidRPr="006A0603" w:rsidR="00EC697D" w:rsidP="00E908F5" w:rsidRDefault="00EC697D" w14:paraId="17CEE90D" w14:textId="77777777">
      <w:pPr>
        <w:rPr>
          <w:rFonts w:ascii="Palatino Linotype" w:hAnsi="Palatino Linotype" w:eastAsia="Palatino Linotype"/>
          <w:sz w:val="24"/>
          <w:szCs w:val="24"/>
        </w:rPr>
      </w:pPr>
    </w:p>
    <w:p w:rsidRPr="006A0603" w:rsidR="00CD4CF8" w:rsidP="004D3B3D" w:rsidRDefault="00CD4CF8" w14:paraId="11DD0FFC" w14:textId="77777777">
      <w:pPr>
        <w:pStyle w:val="Heading1"/>
        <w:spacing w:before="200" w:after="120"/>
        <w:rPr>
          <w:rFonts w:ascii="Palatino Linotype" w:hAnsi="Palatino Linotype" w:eastAsia="Palatino Linotype"/>
          <w:sz w:val="24"/>
          <w:szCs w:val="24"/>
        </w:rPr>
      </w:pPr>
      <w:r w:rsidRPr="006A0603">
        <w:rPr>
          <w:rFonts w:ascii="Palatino Linotype" w:hAnsi="Palatino Linotype" w:eastAsia="Palatino Linotype"/>
          <w:sz w:val="24"/>
          <w:szCs w:val="24"/>
        </w:rPr>
        <w:t>Protests</w:t>
      </w:r>
    </w:p>
    <w:p w:rsidR="00990761" w:rsidP="00CD4CF8" w:rsidRDefault="00057494" w14:paraId="6914D2CB" w14:textId="09765A9F">
      <w:pPr>
        <w:rPr>
          <w:rFonts w:ascii="Palatino Linotype" w:hAnsi="Palatino Linotype" w:eastAsia="Palatino Linotype"/>
          <w:sz w:val="24"/>
          <w:szCs w:val="24"/>
        </w:rPr>
      </w:pPr>
      <w:r w:rsidRPr="006A0603">
        <w:rPr>
          <w:rFonts w:ascii="Palatino Linotype" w:hAnsi="Palatino Linotype" w:eastAsia="Palatino Linotype"/>
          <w:sz w:val="24"/>
          <w:szCs w:val="24"/>
        </w:rPr>
        <w:t xml:space="preserve">PG&amp;E AL </w:t>
      </w:r>
      <w:r w:rsidRPr="006A0603" w:rsidR="00281D5A">
        <w:rPr>
          <w:rFonts w:ascii="Palatino Linotype" w:hAnsi="Palatino Linotype" w:eastAsia="Palatino Linotype"/>
          <w:sz w:val="24"/>
          <w:szCs w:val="24"/>
        </w:rPr>
        <w:t>7381</w:t>
      </w:r>
      <w:r w:rsidRPr="006A0603">
        <w:rPr>
          <w:rFonts w:ascii="Palatino Linotype" w:hAnsi="Palatino Linotype" w:eastAsia="Palatino Linotype"/>
          <w:sz w:val="24"/>
          <w:szCs w:val="24"/>
        </w:rPr>
        <w:t>-E was not protested.</w:t>
      </w:r>
    </w:p>
    <w:p w:rsidRPr="006A0603" w:rsidR="00EC697D" w:rsidP="00CD4CF8" w:rsidRDefault="00EC697D" w14:paraId="36B83141" w14:textId="77777777">
      <w:pPr>
        <w:rPr>
          <w:rFonts w:ascii="Palatino Linotype" w:hAnsi="Palatino Linotype" w:eastAsia="Palatino Linotype"/>
          <w:sz w:val="24"/>
          <w:szCs w:val="24"/>
        </w:rPr>
      </w:pPr>
    </w:p>
    <w:p w:rsidRPr="006A0603" w:rsidR="00CD4CF8" w:rsidP="004D3B3D" w:rsidRDefault="00CD4CF8" w14:paraId="5EE7A490" w14:textId="77777777">
      <w:pPr>
        <w:pStyle w:val="Heading1"/>
        <w:spacing w:before="200" w:after="120"/>
        <w:rPr>
          <w:rFonts w:ascii="Palatino Linotype" w:hAnsi="Palatino Linotype" w:eastAsia="Palatino Linotype"/>
          <w:sz w:val="24"/>
          <w:szCs w:val="24"/>
        </w:rPr>
      </w:pPr>
      <w:r w:rsidRPr="006A0603">
        <w:rPr>
          <w:rFonts w:ascii="Palatino Linotype" w:hAnsi="Palatino Linotype" w:eastAsia="Palatino Linotype"/>
          <w:sz w:val="24"/>
          <w:szCs w:val="24"/>
        </w:rPr>
        <w:t>Discussion</w:t>
      </w:r>
    </w:p>
    <w:p w:rsidRPr="006A0603" w:rsidR="004D3B3D" w:rsidP="004D3B3D" w:rsidRDefault="00CD4CF8" w14:paraId="4C90345B" w14:textId="77777777">
      <w:pPr>
        <w:rPr>
          <w:rFonts w:ascii="Palatino Linotype" w:hAnsi="Palatino Linotype" w:eastAsia="Palatino Linotype"/>
          <w:sz w:val="24"/>
          <w:szCs w:val="24"/>
        </w:rPr>
      </w:pPr>
      <w:r w:rsidRPr="006A0603">
        <w:rPr>
          <w:rFonts w:ascii="Palatino Linotype" w:hAnsi="Palatino Linotype" w:eastAsia="Palatino Linotype"/>
          <w:sz w:val="24"/>
          <w:szCs w:val="24"/>
        </w:rPr>
        <w:t xml:space="preserve">The Commission has reviewed </w:t>
      </w:r>
      <w:r w:rsidRPr="006A0603" w:rsidR="006130DC">
        <w:rPr>
          <w:rFonts w:ascii="Palatino Linotype" w:hAnsi="Palatino Linotype" w:eastAsia="Palatino Linotype"/>
          <w:sz w:val="24"/>
          <w:szCs w:val="24"/>
        </w:rPr>
        <w:t>P</w:t>
      </w:r>
      <w:r w:rsidRPr="006A0603" w:rsidR="002B2053">
        <w:rPr>
          <w:rFonts w:ascii="Palatino Linotype" w:hAnsi="Palatino Linotype" w:eastAsia="Palatino Linotype"/>
          <w:sz w:val="24"/>
          <w:szCs w:val="24"/>
        </w:rPr>
        <w:t xml:space="preserve">G&amp;E AL </w:t>
      </w:r>
      <w:r w:rsidRPr="006A0603" w:rsidR="00281D5A">
        <w:rPr>
          <w:rFonts w:ascii="Palatino Linotype" w:hAnsi="Palatino Linotype" w:eastAsia="Palatino Linotype"/>
          <w:sz w:val="24"/>
          <w:szCs w:val="24"/>
        </w:rPr>
        <w:t>7381</w:t>
      </w:r>
      <w:r w:rsidRPr="006A0603" w:rsidR="002B2053">
        <w:rPr>
          <w:rFonts w:ascii="Palatino Linotype" w:hAnsi="Palatino Linotype" w:eastAsia="Palatino Linotype"/>
          <w:sz w:val="24"/>
          <w:szCs w:val="24"/>
        </w:rPr>
        <w:t>-E</w:t>
      </w:r>
      <w:r w:rsidRPr="006A0603">
        <w:rPr>
          <w:rFonts w:ascii="Palatino Linotype" w:hAnsi="Palatino Linotype" w:eastAsia="Palatino Linotype"/>
          <w:sz w:val="24"/>
          <w:szCs w:val="24"/>
        </w:rPr>
        <w:t xml:space="preserve"> and finds that </w:t>
      </w:r>
      <w:r w:rsidRPr="006A0603" w:rsidR="006130DC">
        <w:rPr>
          <w:rFonts w:ascii="Palatino Linotype" w:hAnsi="Palatino Linotype" w:eastAsia="Palatino Linotype"/>
          <w:sz w:val="24"/>
          <w:szCs w:val="24"/>
        </w:rPr>
        <w:t>P</w:t>
      </w:r>
      <w:r w:rsidRPr="006A0603" w:rsidR="00DA70AC">
        <w:rPr>
          <w:rFonts w:ascii="Palatino Linotype" w:hAnsi="Palatino Linotype" w:eastAsia="Palatino Linotype"/>
          <w:sz w:val="24"/>
          <w:szCs w:val="24"/>
        </w:rPr>
        <w:t>G&amp;E</w:t>
      </w:r>
      <w:r w:rsidRPr="006A0603">
        <w:rPr>
          <w:rFonts w:ascii="Palatino Linotype" w:hAnsi="Palatino Linotype" w:eastAsia="Palatino Linotype"/>
          <w:sz w:val="24"/>
          <w:szCs w:val="24"/>
        </w:rPr>
        <w:t xml:space="preserve">’s request for approval of the </w:t>
      </w:r>
      <w:r w:rsidRPr="006A0603" w:rsidR="00281D5A">
        <w:rPr>
          <w:rFonts w:ascii="Palatino Linotype" w:hAnsi="Palatino Linotype" w:eastAsia="Palatino Linotype"/>
          <w:sz w:val="24"/>
          <w:szCs w:val="24"/>
        </w:rPr>
        <w:t>PG&amp;E-CPE</w:t>
      </w:r>
      <w:r w:rsidRPr="006A0603">
        <w:rPr>
          <w:rFonts w:ascii="Palatino Linotype" w:hAnsi="Palatino Linotype" w:eastAsia="Palatino Linotype"/>
          <w:sz w:val="24"/>
          <w:szCs w:val="24"/>
        </w:rPr>
        <w:t xml:space="preserve"> contract</w:t>
      </w:r>
      <w:r w:rsidRPr="006A0603" w:rsidR="006130DC">
        <w:rPr>
          <w:rFonts w:ascii="Palatino Linotype" w:hAnsi="Palatino Linotype" w:eastAsia="Palatino Linotype"/>
          <w:sz w:val="24"/>
          <w:szCs w:val="24"/>
        </w:rPr>
        <w:t xml:space="preserve"> </w:t>
      </w:r>
      <w:r w:rsidRPr="006A0603">
        <w:rPr>
          <w:rFonts w:ascii="Palatino Linotype" w:hAnsi="Palatino Linotype" w:eastAsia="Palatino Linotype"/>
          <w:sz w:val="24"/>
          <w:szCs w:val="24"/>
        </w:rPr>
        <w:t xml:space="preserve">presented in AL </w:t>
      </w:r>
      <w:r w:rsidRPr="006A0603" w:rsidR="00281D5A">
        <w:rPr>
          <w:rFonts w:ascii="Palatino Linotype" w:hAnsi="Palatino Linotype" w:eastAsia="Palatino Linotype"/>
          <w:sz w:val="24"/>
          <w:szCs w:val="24"/>
        </w:rPr>
        <w:t>7381</w:t>
      </w:r>
      <w:r w:rsidRPr="006A0603">
        <w:rPr>
          <w:rFonts w:ascii="Palatino Linotype" w:hAnsi="Palatino Linotype" w:eastAsia="Palatino Linotype"/>
          <w:sz w:val="24"/>
          <w:szCs w:val="24"/>
        </w:rPr>
        <w:t xml:space="preserve">-E </w:t>
      </w:r>
      <w:r w:rsidRPr="006A0603" w:rsidR="0080245E">
        <w:rPr>
          <w:rFonts w:ascii="Palatino Linotype" w:hAnsi="Palatino Linotype" w:eastAsia="Palatino Linotype"/>
          <w:sz w:val="24"/>
          <w:szCs w:val="24"/>
        </w:rPr>
        <w:t>to be</w:t>
      </w:r>
      <w:r w:rsidRPr="006A0603">
        <w:rPr>
          <w:rFonts w:ascii="Palatino Linotype" w:hAnsi="Palatino Linotype" w:eastAsia="Palatino Linotype"/>
          <w:sz w:val="24"/>
          <w:szCs w:val="24"/>
        </w:rPr>
        <w:t xml:space="preserve"> reasonable</w:t>
      </w:r>
      <w:r w:rsidRPr="006A0603" w:rsidR="003B29A4">
        <w:rPr>
          <w:rFonts w:ascii="Palatino Linotype" w:hAnsi="Palatino Linotype" w:eastAsia="Palatino Linotype"/>
          <w:sz w:val="24"/>
          <w:szCs w:val="24"/>
        </w:rPr>
        <w:t>, as discussed below</w:t>
      </w:r>
      <w:r w:rsidRPr="006A0603">
        <w:rPr>
          <w:rFonts w:ascii="Palatino Linotype" w:hAnsi="Palatino Linotype" w:eastAsia="Palatino Linotype"/>
          <w:sz w:val="24"/>
          <w:szCs w:val="24"/>
        </w:rPr>
        <w:t xml:space="preserve">. </w:t>
      </w:r>
    </w:p>
    <w:p w:rsidRPr="008D4D5E" w:rsidR="004D3B3D" w:rsidP="004D3B3D" w:rsidRDefault="004D3B3D" w14:paraId="40ED3393" w14:textId="77777777">
      <w:pPr>
        <w:rPr>
          <w:rFonts w:ascii="Palatino Linotype" w:hAnsi="Palatino Linotype" w:eastAsia="Palatino Linotype"/>
          <w:sz w:val="16"/>
          <w:szCs w:val="16"/>
        </w:rPr>
      </w:pPr>
    </w:p>
    <w:p w:rsidR="00F666A2" w:rsidP="00E11042" w:rsidRDefault="00CD4CF8" w14:paraId="3451A42F" w14:textId="77777777">
      <w:pPr>
        <w:keepNext/>
        <w:spacing w:after="120"/>
        <w:rPr>
          <w:rFonts w:ascii="Palatino Linotype" w:hAnsi="Palatino Linotype" w:eastAsia="Palatino Linotype"/>
          <w:sz w:val="24"/>
          <w:szCs w:val="24"/>
        </w:rPr>
      </w:pPr>
      <w:r w:rsidRPr="006A0603">
        <w:rPr>
          <w:rFonts w:ascii="Palatino Linotype" w:hAnsi="Palatino Linotype"/>
          <w:b/>
          <w:sz w:val="24"/>
          <w:szCs w:val="24"/>
        </w:rPr>
        <w:lastRenderedPageBreak/>
        <w:t>Consistency with</w:t>
      </w:r>
      <w:r w:rsidRPr="006A0603" w:rsidR="009E57C4">
        <w:rPr>
          <w:rFonts w:ascii="Palatino Linotype" w:hAnsi="Palatino Linotype"/>
          <w:b/>
          <w:sz w:val="24"/>
          <w:szCs w:val="24"/>
        </w:rPr>
        <w:t xml:space="preserve"> </w:t>
      </w:r>
      <w:r w:rsidR="001D4960">
        <w:rPr>
          <w:rFonts w:ascii="Palatino Linotype" w:hAnsi="Palatino Linotype"/>
          <w:b/>
          <w:sz w:val="24"/>
          <w:szCs w:val="24"/>
        </w:rPr>
        <w:t xml:space="preserve">CPE Decision(s) </w:t>
      </w:r>
      <w:r w:rsidRPr="006A0603" w:rsidR="009E57C4">
        <w:rPr>
          <w:rFonts w:ascii="Palatino Linotype" w:hAnsi="Palatino Linotype"/>
          <w:b/>
          <w:sz w:val="24"/>
          <w:szCs w:val="24"/>
        </w:rPr>
        <w:t xml:space="preserve">Requirements </w:t>
      </w:r>
    </w:p>
    <w:p w:rsidRPr="00F666A2" w:rsidR="009279B2" w:rsidP="00E11042" w:rsidRDefault="00AA4E9E" w14:paraId="4B8CEF85" w14:textId="58F03C2A">
      <w:pPr>
        <w:keepNext/>
        <w:rPr>
          <w:rFonts w:ascii="Palatino Linotype" w:hAnsi="Palatino Linotype" w:eastAsia="Palatino Linotype"/>
          <w:sz w:val="24"/>
          <w:szCs w:val="24"/>
        </w:rPr>
      </w:pPr>
      <w:r>
        <w:rPr>
          <w:rFonts w:ascii="Palatino Linotype" w:hAnsi="Palatino Linotype"/>
          <w:sz w:val="24"/>
          <w:szCs w:val="24"/>
        </w:rPr>
        <w:t>The</w:t>
      </w:r>
      <w:r w:rsidR="00742EC5">
        <w:rPr>
          <w:rFonts w:ascii="Palatino Linotype" w:hAnsi="Palatino Linotype"/>
          <w:sz w:val="24"/>
          <w:szCs w:val="24"/>
        </w:rPr>
        <w:t xml:space="preserve"> CPE</w:t>
      </w:r>
      <w:r>
        <w:rPr>
          <w:rFonts w:ascii="Palatino Linotype" w:hAnsi="Palatino Linotype"/>
          <w:sz w:val="24"/>
          <w:szCs w:val="24"/>
        </w:rPr>
        <w:t xml:space="preserve"> Decision</w:t>
      </w:r>
      <w:r w:rsidR="00A92E65">
        <w:rPr>
          <w:rFonts w:ascii="Palatino Linotype" w:hAnsi="Palatino Linotype"/>
          <w:sz w:val="24"/>
          <w:szCs w:val="24"/>
        </w:rPr>
        <w:t xml:space="preserve"> (</w:t>
      </w:r>
      <w:r>
        <w:rPr>
          <w:rFonts w:ascii="Palatino Linotype" w:hAnsi="Palatino Linotype"/>
          <w:sz w:val="24"/>
          <w:szCs w:val="24"/>
        </w:rPr>
        <w:t>D.</w:t>
      </w:r>
      <w:r w:rsidR="00A92E65">
        <w:rPr>
          <w:rFonts w:ascii="Palatino Linotype" w:hAnsi="Palatino Linotype"/>
          <w:sz w:val="24"/>
          <w:szCs w:val="24"/>
        </w:rPr>
        <w:t>)</w:t>
      </w:r>
      <w:r>
        <w:rPr>
          <w:rFonts w:ascii="Palatino Linotype" w:hAnsi="Palatino Linotype"/>
          <w:sz w:val="24"/>
          <w:szCs w:val="24"/>
        </w:rPr>
        <w:t xml:space="preserve"> 20-06-022</w:t>
      </w:r>
      <w:r w:rsidR="00742EC5">
        <w:rPr>
          <w:rFonts w:ascii="Palatino Linotype" w:hAnsi="Palatino Linotype"/>
          <w:sz w:val="24"/>
          <w:szCs w:val="24"/>
        </w:rPr>
        <w:t>,</w:t>
      </w:r>
      <w:r>
        <w:rPr>
          <w:rFonts w:ascii="Palatino Linotype" w:hAnsi="Palatino Linotype"/>
          <w:sz w:val="24"/>
          <w:szCs w:val="24"/>
        </w:rPr>
        <w:t xml:space="preserve"> require</w:t>
      </w:r>
      <w:r w:rsidR="00742EC5">
        <w:rPr>
          <w:rFonts w:ascii="Palatino Linotype" w:hAnsi="Palatino Linotype"/>
          <w:sz w:val="24"/>
          <w:szCs w:val="24"/>
        </w:rPr>
        <w:t>s</w:t>
      </w:r>
      <w:r>
        <w:rPr>
          <w:rFonts w:ascii="Palatino Linotype" w:hAnsi="Palatino Linotype"/>
          <w:sz w:val="24"/>
          <w:szCs w:val="24"/>
        </w:rPr>
        <w:t xml:space="preserve"> IOU-CPEs to</w:t>
      </w:r>
      <w:r w:rsidR="009279B2">
        <w:rPr>
          <w:rFonts w:ascii="Palatino Linotype" w:hAnsi="Palatino Linotype"/>
          <w:sz w:val="24"/>
          <w:szCs w:val="24"/>
        </w:rPr>
        <w:t xml:space="preserve"> c</w:t>
      </w:r>
      <w:r w:rsidR="0097532C">
        <w:rPr>
          <w:rFonts w:ascii="Palatino Linotype" w:hAnsi="Palatino Linotype"/>
          <w:sz w:val="24"/>
          <w:szCs w:val="24"/>
        </w:rPr>
        <w:t xml:space="preserve">onduct a competitive, all-source solicitation for local RA </w:t>
      </w:r>
      <w:r w:rsidR="00D1396E">
        <w:rPr>
          <w:rFonts w:ascii="Palatino Linotype" w:hAnsi="Palatino Linotype"/>
          <w:sz w:val="24"/>
          <w:szCs w:val="24"/>
        </w:rPr>
        <w:t>using specific requirements</w:t>
      </w:r>
      <w:r w:rsidR="009279B2">
        <w:rPr>
          <w:rFonts w:ascii="Palatino Linotype" w:hAnsi="Palatino Linotype"/>
          <w:sz w:val="24"/>
          <w:szCs w:val="24"/>
        </w:rPr>
        <w:t>.</w:t>
      </w:r>
      <w:r w:rsidR="009279B2">
        <w:rPr>
          <w:rStyle w:val="FootnoteReference"/>
          <w:rFonts w:ascii="Palatino Linotype" w:hAnsi="Palatino Linotype"/>
          <w:sz w:val="24"/>
          <w:szCs w:val="24"/>
        </w:rPr>
        <w:footnoteReference w:id="4"/>
      </w:r>
      <w:r w:rsidR="00DE5B31">
        <w:rPr>
          <w:rFonts w:ascii="Palatino Linotype" w:hAnsi="Palatino Linotype"/>
          <w:sz w:val="24"/>
          <w:szCs w:val="24"/>
        </w:rPr>
        <w:t xml:space="preserve"> Subsequently, </w:t>
      </w:r>
      <w:r w:rsidR="003442E7">
        <w:rPr>
          <w:rFonts w:ascii="Palatino Linotype" w:hAnsi="Palatino Linotype"/>
          <w:sz w:val="24"/>
          <w:szCs w:val="24"/>
        </w:rPr>
        <w:t>D.22-0</w:t>
      </w:r>
      <w:r w:rsidR="000F5C3C">
        <w:rPr>
          <w:rFonts w:ascii="Palatino Linotype" w:hAnsi="Palatino Linotype"/>
          <w:sz w:val="24"/>
          <w:szCs w:val="24"/>
        </w:rPr>
        <w:t>3</w:t>
      </w:r>
      <w:r w:rsidR="003442E7">
        <w:rPr>
          <w:rFonts w:ascii="Palatino Linotype" w:hAnsi="Palatino Linotype"/>
          <w:sz w:val="24"/>
          <w:szCs w:val="24"/>
        </w:rPr>
        <w:t>-034</w:t>
      </w:r>
      <w:r w:rsidR="003B1975">
        <w:rPr>
          <w:rFonts w:ascii="Palatino Linotype" w:hAnsi="Palatino Linotype"/>
          <w:sz w:val="24"/>
          <w:szCs w:val="24"/>
        </w:rPr>
        <w:t>,</w:t>
      </w:r>
      <w:r w:rsidR="003442E7">
        <w:rPr>
          <w:rFonts w:ascii="Palatino Linotype" w:hAnsi="Palatino Linotype"/>
          <w:sz w:val="24"/>
          <w:szCs w:val="24"/>
        </w:rPr>
        <w:t xml:space="preserve"> require</w:t>
      </w:r>
      <w:r w:rsidR="003B1975">
        <w:rPr>
          <w:rFonts w:ascii="Palatino Linotype" w:hAnsi="Palatino Linotype"/>
          <w:sz w:val="24"/>
          <w:szCs w:val="24"/>
        </w:rPr>
        <w:t>s</w:t>
      </w:r>
      <w:r w:rsidR="003442E7">
        <w:rPr>
          <w:rFonts w:ascii="Palatino Linotype" w:hAnsi="Palatino Linotype"/>
          <w:sz w:val="24"/>
          <w:szCs w:val="24"/>
        </w:rPr>
        <w:t xml:space="preserve"> IOU</w:t>
      </w:r>
      <w:r w:rsidR="00B70895">
        <w:rPr>
          <w:rFonts w:ascii="Palatino Linotype" w:hAnsi="Palatino Linotype"/>
          <w:sz w:val="24"/>
          <w:szCs w:val="24"/>
        </w:rPr>
        <w:t>-</w:t>
      </w:r>
      <w:r w:rsidR="003442E7">
        <w:rPr>
          <w:rFonts w:ascii="Palatino Linotype" w:hAnsi="Palatino Linotype"/>
          <w:sz w:val="24"/>
          <w:szCs w:val="24"/>
        </w:rPr>
        <w:t>CPEs to</w:t>
      </w:r>
      <w:r w:rsidR="00A1406D">
        <w:rPr>
          <w:rFonts w:ascii="Palatino Linotype" w:hAnsi="Palatino Linotype"/>
          <w:sz w:val="24"/>
          <w:szCs w:val="24"/>
        </w:rPr>
        <w:t xml:space="preserve"> u</w:t>
      </w:r>
      <w:r w:rsidR="00292F7D">
        <w:rPr>
          <w:rFonts w:ascii="Palatino Linotype" w:hAnsi="Palatino Linotype"/>
          <w:sz w:val="24"/>
          <w:szCs w:val="24"/>
        </w:rPr>
        <w:t xml:space="preserve">se </w:t>
      </w:r>
      <w:r w:rsidR="00D534B4">
        <w:rPr>
          <w:rFonts w:ascii="Palatino Linotype" w:hAnsi="Palatino Linotype"/>
          <w:sz w:val="24"/>
          <w:szCs w:val="24"/>
        </w:rPr>
        <w:t xml:space="preserve">specific </w:t>
      </w:r>
      <w:r w:rsidR="00D02E53">
        <w:rPr>
          <w:rFonts w:ascii="Palatino Linotype" w:hAnsi="Palatino Linotype"/>
          <w:sz w:val="24"/>
          <w:szCs w:val="24"/>
        </w:rPr>
        <w:t xml:space="preserve">selection </w:t>
      </w:r>
      <w:r w:rsidR="00D534B4">
        <w:rPr>
          <w:rFonts w:ascii="Palatino Linotype" w:hAnsi="Palatino Linotype"/>
          <w:sz w:val="24"/>
          <w:szCs w:val="24"/>
        </w:rPr>
        <w:t>criteria</w:t>
      </w:r>
      <w:r w:rsidR="007A6108">
        <w:rPr>
          <w:rFonts w:ascii="Palatino Linotype" w:hAnsi="Palatino Linotype"/>
          <w:sz w:val="24"/>
          <w:szCs w:val="24"/>
        </w:rPr>
        <w:t>;</w:t>
      </w:r>
      <w:r w:rsidR="005C724D">
        <w:rPr>
          <w:rFonts w:ascii="Palatino Linotype" w:hAnsi="Palatino Linotype"/>
          <w:sz w:val="24"/>
          <w:szCs w:val="24"/>
        </w:rPr>
        <w:t xml:space="preserve"> such as consideration of future needs in local and sub-local areas, resource costs, operational characteristics, facility location, costs of potential alternatives, GHG adders, energy-use limitations, and procurement of preferred resources and energy storage over fossil generation</w:t>
      </w:r>
      <w:r w:rsidR="007A6108">
        <w:rPr>
          <w:rFonts w:ascii="Palatino Linotype" w:hAnsi="Palatino Linotype"/>
          <w:sz w:val="24"/>
          <w:szCs w:val="24"/>
        </w:rPr>
        <w:t>;</w:t>
      </w:r>
      <w:r w:rsidR="005C724D">
        <w:rPr>
          <w:rFonts w:ascii="Palatino Linotype" w:hAnsi="Palatino Linotype"/>
          <w:sz w:val="24"/>
          <w:szCs w:val="24"/>
        </w:rPr>
        <w:t xml:space="preserve"> </w:t>
      </w:r>
      <w:r w:rsidR="00D534B4">
        <w:rPr>
          <w:rFonts w:ascii="Palatino Linotype" w:hAnsi="Palatino Linotype"/>
          <w:sz w:val="24"/>
          <w:szCs w:val="24"/>
        </w:rPr>
        <w:t xml:space="preserve"> in making their selections</w:t>
      </w:r>
      <w:r w:rsidR="00A1406D">
        <w:rPr>
          <w:rFonts w:ascii="Palatino Linotype" w:hAnsi="Palatino Linotype"/>
          <w:sz w:val="24"/>
          <w:szCs w:val="24"/>
        </w:rPr>
        <w:t>; and to c</w:t>
      </w:r>
      <w:r w:rsidR="009279B2">
        <w:rPr>
          <w:rFonts w:ascii="Palatino Linotype" w:hAnsi="Palatino Linotype"/>
          <w:sz w:val="24"/>
          <w:szCs w:val="24"/>
        </w:rPr>
        <w:t>onsider bids of any contract term length greater than or equal to one month</w:t>
      </w:r>
      <w:r w:rsidR="00A1406D">
        <w:rPr>
          <w:rFonts w:ascii="Palatino Linotype" w:hAnsi="Palatino Linotype"/>
          <w:sz w:val="24"/>
          <w:szCs w:val="24"/>
        </w:rPr>
        <w:t>.</w:t>
      </w:r>
      <w:r w:rsidR="00A1406D">
        <w:rPr>
          <w:rStyle w:val="FootnoteReference"/>
          <w:rFonts w:ascii="Palatino Linotype" w:hAnsi="Palatino Linotype"/>
          <w:sz w:val="24"/>
          <w:szCs w:val="24"/>
        </w:rPr>
        <w:footnoteReference w:id="5"/>
      </w:r>
      <w:r w:rsidR="00D209DF">
        <w:rPr>
          <w:rFonts w:ascii="Palatino Linotype" w:hAnsi="Palatino Linotype"/>
          <w:sz w:val="24"/>
          <w:szCs w:val="24"/>
        </w:rPr>
        <w:t xml:space="preserve"> The CPE Decision also requires that the IOU-CPE file a Tier 3 Advice Letter seeking contract approval and cost recover</w:t>
      </w:r>
      <w:r w:rsidR="00EE3F48">
        <w:rPr>
          <w:rFonts w:ascii="Palatino Linotype" w:hAnsi="Palatino Linotype"/>
          <w:sz w:val="24"/>
          <w:szCs w:val="24"/>
        </w:rPr>
        <w:t>y</w:t>
      </w:r>
      <w:r w:rsidR="00D209DF">
        <w:rPr>
          <w:rFonts w:ascii="Palatino Linotype" w:hAnsi="Palatino Linotype"/>
          <w:sz w:val="24"/>
          <w:szCs w:val="24"/>
        </w:rPr>
        <w:t xml:space="preserve"> for contracts that exceed a five-year term.</w:t>
      </w:r>
    </w:p>
    <w:p w:rsidRPr="008D4D5E" w:rsidR="009279B2" w:rsidP="001D6E0B" w:rsidRDefault="009279B2" w14:paraId="4ABB679F" w14:textId="77777777">
      <w:pPr>
        <w:keepNext/>
        <w:keepLines/>
        <w:rPr>
          <w:rFonts w:ascii="Palatino Linotype" w:hAnsi="Palatino Linotype"/>
          <w:sz w:val="16"/>
          <w:szCs w:val="16"/>
        </w:rPr>
      </w:pPr>
    </w:p>
    <w:p w:rsidRPr="006A0603" w:rsidR="00B5719B" w:rsidP="001D6E0B" w:rsidRDefault="00F5327A" w14:paraId="2E6A6963" w14:textId="0FF23779">
      <w:pPr>
        <w:keepNext/>
        <w:keepLines/>
        <w:rPr>
          <w:rFonts w:ascii="Palatino Linotype" w:hAnsi="Palatino Linotype"/>
          <w:sz w:val="24"/>
          <w:szCs w:val="24"/>
        </w:rPr>
      </w:pPr>
      <w:r w:rsidRPr="006A0603">
        <w:rPr>
          <w:rFonts w:ascii="Palatino Linotype" w:hAnsi="Palatino Linotype"/>
          <w:sz w:val="24"/>
          <w:szCs w:val="24"/>
        </w:rPr>
        <w:t>P</w:t>
      </w:r>
      <w:r w:rsidRPr="006A0603" w:rsidR="00161628">
        <w:rPr>
          <w:rFonts w:ascii="Palatino Linotype" w:hAnsi="Palatino Linotype"/>
          <w:sz w:val="24"/>
          <w:szCs w:val="24"/>
        </w:rPr>
        <w:t>G&amp;E</w:t>
      </w:r>
      <w:r w:rsidRPr="006A0603" w:rsidR="00CD4CF8">
        <w:rPr>
          <w:rFonts w:ascii="Palatino Linotype" w:hAnsi="Palatino Linotype"/>
          <w:sz w:val="24"/>
          <w:szCs w:val="24"/>
        </w:rPr>
        <w:t xml:space="preserve"> filed a Tier 3 AL seeking </w:t>
      </w:r>
      <w:r w:rsidRPr="006A0603" w:rsidR="00161628">
        <w:rPr>
          <w:rFonts w:ascii="Palatino Linotype" w:hAnsi="Palatino Linotype"/>
          <w:sz w:val="24"/>
          <w:szCs w:val="24"/>
        </w:rPr>
        <w:t xml:space="preserve">approval for </w:t>
      </w:r>
      <w:r w:rsidRPr="006A0603" w:rsidR="00CD4CF8">
        <w:rPr>
          <w:rFonts w:ascii="Palatino Linotype" w:hAnsi="Palatino Linotype"/>
          <w:sz w:val="24"/>
          <w:szCs w:val="24"/>
        </w:rPr>
        <w:t>cost recovery for the contract</w:t>
      </w:r>
      <w:r w:rsidRPr="006A0603">
        <w:rPr>
          <w:rFonts w:ascii="Palatino Linotype" w:hAnsi="Palatino Linotype"/>
          <w:sz w:val="24"/>
          <w:szCs w:val="24"/>
        </w:rPr>
        <w:t xml:space="preserve"> </w:t>
      </w:r>
      <w:r w:rsidRPr="006A0603" w:rsidR="00161628">
        <w:rPr>
          <w:rFonts w:ascii="Palatino Linotype" w:hAnsi="Palatino Linotype"/>
          <w:sz w:val="24"/>
          <w:szCs w:val="24"/>
        </w:rPr>
        <w:t>described herein</w:t>
      </w:r>
      <w:r w:rsidR="00827C67">
        <w:rPr>
          <w:rFonts w:ascii="Palatino Linotype" w:hAnsi="Palatino Linotype"/>
          <w:sz w:val="24"/>
          <w:szCs w:val="24"/>
        </w:rPr>
        <w:t xml:space="preserve"> consistent with </w:t>
      </w:r>
      <w:r w:rsidR="00433EB5">
        <w:rPr>
          <w:rFonts w:ascii="Palatino Linotype" w:hAnsi="Palatino Linotype"/>
          <w:sz w:val="24"/>
          <w:szCs w:val="24"/>
        </w:rPr>
        <w:t>the CPE Decision</w:t>
      </w:r>
      <w:r w:rsidR="00827C67">
        <w:rPr>
          <w:rFonts w:ascii="Palatino Linotype" w:hAnsi="Palatino Linotype"/>
          <w:sz w:val="24"/>
          <w:szCs w:val="24"/>
        </w:rPr>
        <w:t>.</w:t>
      </w:r>
      <w:r w:rsidR="000C0990">
        <w:rPr>
          <w:rFonts w:ascii="Palatino Linotype" w:hAnsi="Palatino Linotype"/>
          <w:sz w:val="24"/>
          <w:szCs w:val="24"/>
        </w:rPr>
        <w:t xml:space="preserve"> </w:t>
      </w:r>
      <w:bookmarkStart w:name="_Hlk186717038" w:id="3"/>
      <w:r w:rsidR="00433EB5">
        <w:rPr>
          <w:rFonts w:ascii="Palatino Linotype" w:hAnsi="Palatino Linotype"/>
          <w:sz w:val="24"/>
          <w:szCs w:val="24"/>
        </w:rPr>
        <w:t>T</w:t>
      </w:r>
      <w:r w:rsidRPr="006A0603" w:rsidR="00607036">
        <w:rPr>
          <w:rFonts w:ascii="Palatino Linotype" w:hAnsi="Palatino Linotype"/>
          <w:sz w:val="24"/>
          <w:szCs w:val="24"/>
        </w:rPr>
        <w:t>his contract is intended meet compliance towards O</w:t>
      </w:r>
      <w:r w:rsidR="007A6108">
        <w:rPr>
          <w:rFonts w:ascii="Palatino Linotype" w:hAnsi="Palatino Linotype"/>
          <w:sz w:val="24"/>
          <w:szCs w:val="24"/>
        </w:rPr>
        <w:t>rdering Paragraph (O</w:t>
      </w:r>
      <w:r w:rsidRPr="006A0603" w:rsidR="00607036">
        <w:rPr>
          <w:rFonts w:ascii="Palatino Linotype" w:hAnsi="Palatino Linotype"/>
          <w:sz w:val="24"/>
          <w:szCs w:val="24"/>
        </w:rPr>
        <w:t>P</w:t>
      </w:r>
      <w:r w:rsidR="007A6108">
        <w:rPr>
          <w:rFonts w:ascii="Palatino Linotype" w:hAnsi="Palatino Linotype"/>
          <w:sz w:val="24"/>
          <w:szCs w:val="24"/>
        </w:rPr>
        <w:t>)</w:t>
      </w:r>
      <w:r w:rsidRPr="006A0603" w:rsidR="00607036">
        <w:rPr>
          <w:rFonts w:ascii="Palatino Linotype" w:hAnsi="Palatino Linotype"/>
          <w:sz w:val="24"/>
          <w:szCs w:val="24"/>
        </w:rPr>
        <w:t xml:space="preserve"> 12 of D.20-06-022, which requires PG&amp;E to satisfy its procurement obligations towards the multi-year local RA program for the 2025, 2026, and 2027 RA compliance years.</w:t>
      </w:r>
      <w:r w:rsidRPr="006A0603" w:rsidR="00EB579B">
        <w:rPr>
          <w:rFonts w:ascii="Palatino Linotype" w:hAnsi="Palatino Linotype"/>
          <w:sz w:val="24"/>
          <w:szCs w:val="24"/>
        </w:rPr>
        <w:t xml:space="preserve"> </w:t>
      </w:r>
      <w:r w:rsidRPr="006A0603" w:rsidR="00ED5E04">
        <w:rPr>
          <w:rFonts w:ascii="Palatino Linotype" w:hAnsi="Palatino Linotype"/>
          <w:sz w:val="24"/>
          <w:szCs w:val="24"/>
        </w:rPr>
        <w:t xml:space="preserve"> </w:t>
      </w:r>
      <w:bookmarkEnd w:id="3"/>
      <w:r w:rsidR="00C801BD">
        <w:rPr>
          <w:rFonts w:ascii="Palatino Linotype" w:hAnsi="Palatino Linotype"/>
          <w:sz w:val="24"/>
          <w:szCs w:val="24"/>
        </w:rPr>
        <w:t xml:space="preserve">In launching and executing its </w:t>
      </w:r>
      <w:r w:rsidR="00A410E3">
        <w:rPr>
          <w:rFonts w:ascii="Palatino Linotype" w:hAnsi="Palatino Linotype"/>
          <w:sz w:val="24"/>
          <w:szCs w:val="24"/>
        </w:rPr>
        <w:t>solicitation</w:t>
      </w:r>
      <w:r w:rsidR="00D42967">
        <w:rPr>
          <w:rFonts w:ascii="Palatino Linotype" w:hAnsi="Palatino Linotype"/>
          <w:sz w:val="24"/>
          <w:szCs w:val="24"/>
        </w:rPr>
        <w:t xml:space="preserve"> as </w:t>
      </w:r>
      <w:r w:rsidR="006C761F">
        <w:rPr>
          <w:rFonts w:ascii="Palatino Linotype" w:hAnsi="Palatino Linotype"/>
          <w:sz w:val="24"/>
          <w:szCs w:val="24"/>
        </w:rPr>
        <w:t xml:space="preserve">described </w:t>
      </w:r>
      <w:r w:rsidR="00CB2A57">
        <w:rPr>
          <w:rFonts w:ascii="Palatino Linotype" w:hAnsi="Palatino Linotype"/>
          <w:sz w:val="24"/>
          <w:szCs w:val="24"/>
        </w:rPr>
        <w:t xml:space="preserve">in </w:t>
      </w:r>
      <w:r w:rsidR="00E11042">
        <w:rPr>
          <w:rFonts w:ascii="Palatino Linotype" w:hAnsi="Palatino Linotype"/>
          <w:sz w:val="24"/>
          <w:szCs w:val="24"/>
        </w:rPr>
        <w:br/>
      </w:r>
      <w:r w:rsidR="00CB2A57">
        <w:rPr>
          <w:rFonts w:ascii="Palatino Linotype" w:hAnsi="Palatino Linotype"/>
          <w:sz w:val="24"/>
          <w:szCs w:val="24"/>
        </w:rPr>
        <w:t>AL 7381-E</w:t>
      </w:r>
      <w:r w:rsidR="00A410E3">
        <w:rPr>
          <w:rFonts w:ascii="Palatino Linotype" w:hAnsi="Palatino Linotype"/>
          <w:sz w:val="24"/>
          <w:szCs w:val="24"/>
        </w:rPr>
        <w:t xml:space="preserve">, </w:t>
      </w:r>
      <w:r w:rsidR="003B0CCD">
        <w:rPr>
          <w:rFonts w:ascii="Palatino Linotype" w:hAnsi="Palatino Linotype"/>
          <w:sz w:val="24"/>
          <w:szCs w:val="24"/>
        </w:rPr>
        <w:t xml:space="preserve">PG&amp;E-CPE </w:t>
      </w:r>
      <w:r w:rsidR="001964B3">
        <w:rPr>
          <w:rFonts w:ascii="Palatino Linotype" w:hAnsi="Palatino Linotype"/>
          <w:sz w:val="24"/>
          <w:szCs w:val="24"/>
        </w:rPr>
        <w:t>is consistent with the</w:t>
      </w:r>
      <w:r w:rsidR="005C724D">
        <w:rPr>
          <w:rFonts w:ascii="Palatino Linotype" w:hAnsi="Palatino Linotype"/>
          <w:sz w:val="24"/>
          <w:szCs w:val="24"/>
        </w:rPr>
        <w:t xml:space="preserve"> criteria </w:t>
      </w:r>
      <w:r w:rsidR="00A410E3">
        <w:rPr>
          <w:rFonts w:ascii="Palatino Linotype" w:hAnsi="Palatino Linotype"/>
          <w:sz w:val="24"/>
          <w:szCs w:val="24"/>
        </w:rPr>
        <w:t xml:space="preserve">as </w:t>
      </w:r>
      <w:r w:rsidR="005C724D">
        <w:rPr>
          <w:rFonts w:ascii="Palatino Linotype" w:hAnsi="Palatino Linotype"/>
          <w:sz w:val="24"/>
          <w:szCs w:val="24"/>
        </w:rPr>
        <w:t xml:space="preserve">ordered in </w:t>
      </w:r>
      <w:r w:rsidR="000C0990">
        <w:rPr>
          <w:rFonts w:ascii="Palatino Linotype" w:hAnsi="Palatino Linotype"/>
          <w:sz w:val="24"/>
          <w:szCs w:val="24"/>
        </w:rPr>
        <w:t>the CPE Decision</w:t>
      </w:r>
      <w:r w:rsidR="00A410E3">
        <w:rPr>
          <w:rFonts w:ascii="Palatino Linotype" w:hAnsi="Palatino Linotype"/>
          <w:sz w:val="24"/>
          <w:szCs w:val="24"/>
        </w:rPr>
        <w:t>; moreover, PG&amp;E-CPE met the requirements of D.22-03-034 in</w:t>
      </w:r>
      <w:r w:rsidR="00D42967">
        <w:rPr>
          <w:rFonts w:ascii="Palatino Linotype" w:hAnsi="Palatino Linotype"/>
          <w:sz w:val="24"/>
          <w:szCs w:val="24"/>
        </w:rPr>
        <w:t xml:space="preserve"> applying the specific</w:t>
      </w:r>
      <w:r w:rsidR="00D02E53">
        <w:rPr>
          <w:rFonts w:ascii="Palatino Linotype" w:hAnsi="Palatino Linotype"/>
          <w:sz w:val="24"/>
          <w:szCs w:val="24"/>
        </w:rPr>
        <w:t xml:space="preserve"> selection</w:t>
      </w:r>
      <w:r w:rsidR="00D42967">
        <w:rPr>
          <w:rFonts w:ascii="Palatino Linotype" w:hAnsi="Palatino Linotype"/>
          <w:sz w:val="24"/>
          <w:szCs w:val="24"/>
        </w:rPr>
        <w:t xml:space="preserve"> criteria ordered in that decision. </w:t>
      </w:r>
    </w:p>
    <w:p w:rsidRPr="006A0603" w:rsidR="00E908F5" w:rsidP="001D6E0B" w:rsidRDefault="00CD4CF8" w14:paraId="7C1A56D8" w14:textId="1A336142">
      <w:pPr>
        <w:spacing w:before="240" w:after="120"/>
        <w:rPr>
          <w:rFonts w:ascii="Palatino Linotype" w:hAnsi="Palatino Linotype"/>
          <w:b/>
          <w:bCs/>
          <w:sz w:val="24"/>
          <w:szCs w:val="24"/>
        </w:rPr>
      </w:pPr>
      <w:r w:rsidRPr="006A0603">
        <w:rPr>
          <w:rFonts w:ascii="Palatino Linotype" w:hAnsi="Palatino Linotype"/>
          <w:b/>
          <w:bCs/>
          <w:sz w:val="24"/>
          <w:szCs w:val="24"/>
        </w:rPr>
        <w:t>Procurement Methodology, Evaluation, and Cost Reasonableness</w:t>
      </w:r>
    </w:p>
    <w:p w:rsidRPr="006A0603" w:rsidR="002C3A70" w:rsidP="00C774F2" w:rsidRDefault="00E925BA" w14:paraId="5D342B17" w14:textId="75E6B6CE">
      <w:pPr>
        <w:rPr>
          <w:rFonts w:ascii="Palatino Linotype" w:hAnsi="Palatino Linotype"/>
          <w:sz w:val="24"/>
          <w:szCs w:val="24"/>
        </w:rPr>
      </w:pPr>
      <w:r>
        <w:rPr>
          <w:rFonts w:ascii="Palatino Linotype" w:hAnsi="Palatino Linotype"/>
          <w:sz w:val="24"/>
          <w:szCs w:val="24"/>
        </w:rPr>
        <w:t>PGE-</w:t>
      </w:r>
      <w:r w:rsidR="00DA53FE">
        <w:rPr>
          <w:rFonts w:ascii="Palatino Linotype" w:hAnsi="Palatino Linotype"/>
          <w:sz w:val="24"/>
          <w:szCs w:val="24"/>
        </w:rPr>
        <w:t>CPE</w:t>
      </w:r>
      <w:r>
        <w:rPr>
          <w:rFonts w:ascii="Palatino Linotype" w:hAnsi="Palatino Linotype"/>
          <w:sz w:val="24"/>
          <w:szCs w:val="24"/>
        </w:rPr>
        <w:t xml:space="preserve"> developed its</w:t>
      </w:r>
      <w:r w:rsidRPr="00AB1EF8" w:rsidR="0062245B">
        <w:rPr>
          <w:rFonts w:ascii="Palatino Linotype" w:hAnsi="Palatino Linotype"/>
          <w:sz w:val="24"/>
          <w:szCs w:val="24"/>
        </w:rPr>
        <w:t xml:space="preserve"> </w:t>
      </w:r>
      <w:r w:rsidR="0062245B">
        <w:rPr>
          <w:rFonts w:ascii="Palatino Linotype" w:hAnsi="Palatino Linotype"/>
          <w:sz w:val="24"/>
          <w:szCs w:val="24"/>
        </w:rPr>
        <w:t xml:space="preserve">2025-2027 </w:t>
      </w:r>
      <w:r w:rsidRPr="00AB1EF8" w:rsidR="0062245B">
        <w:rPr>
          <w:rFonts w:ascii="Palatino Linotype" w:hAnsi="Palatino Linotype"/>
          <w:sz w:val="24"/>
          <w:szCs w:val="24"/>
        </w:rPr>
        <w:t>local RA positions</w:t>
      </w:r>
      <w:r>
        <w:rPr>
          <w:rFonts w:ascii="Palatino Linotype" w:hAnsi="Palatino Linotype"/>
          <w:sz w:val="24"/>
          <w:szCs w:val="24"/>
        </w:rPr>
        <w:t xml:space="preserve"> and </w:t>
      </w:r>
      <w:r w:rsidRPr="00AB1EF8" w:rsidR="0062245B">
        <w:rPr>
          <w:rFonts w:ascii="Palatino Linotype" w:hAnsi="Palatino Linotype"/>
          <w:sz w:val="24"/>
          <w:szCs w:val="24"/>
        </w:rPr>
        <w:t>identified a</w:t>
      </w:r>
      <w:r w:rsidR="00335ED5">
        <w:rPr>
          <w:rFonts w:ascii="Palatino Linotype" w:hAnsi="Palatino Linotype"/>
          <w:sz w:val="24"/>
          <w:szCs w:val="24"/>
        </w:rPr>
        <w:t xml:space="preserve">n </w:t>
      </w:r>
      <w:r w:rsidRPr="00AB1EF8" w:rsidR="0062245B">
        <w:rPr>
          <w:rFonts w:ascii="Palatino Linotype" w:hAnsi="Palatino Linotype"/>
          <w:sz w:val="24"/>
          <w:szCs w:val="24"/>
        </w:rPr>
        <w:t xml:space="preserve">overall short </w:t>
      </w:r>
      <w:r w:rsidR="00C774F2">
        <w:rPr>
          <w:rFonts w:ascii="Palatino Linotype" w:hAnsi="Palatino Linotype"/>
          <w:sz w:val="24"/>
          <w:szCs w:val="24"/>
        </w:rPr>
        <w:t>in all three years.</w:t>
      </w:r>
      <w:r w:rsidRPr="00AB1EF8" w:rsidR="0062245B">
        <w:rPr>
          <w:rFonts w:ascii="Palatino Linotype" w:hAnsi="Palatino Linotype"/>
          <w:sz w:val="24"/>
          <w:szCs w:val="24"/>
        </w:rPr>
        <w:t xml:space="preserve"> </w:t>
      </w:r>
      <w:r w:rsidRPr="006A0603" w:rsidR="00752AD3">
        <w:rPr>
          <w:rFonts w:ascii="Palatino Linotype" w:hAnsi="Palatino Linotype"/>
          <w:sz w:val="24"/>
          <w:szCs w:val="24"/>
        </w:rPr>
        <w:t>P</w:t>
      </w:r>
      <w:r w:rsidRPr="006A0603" w:rsidR="002C3A70">
        <w:rPr>
          <w:rFonts w:ascii="Palatino Linotype" w:hAnsi="Palatino Linotype"/>
          <w:sz w:val="24"/>
          <w:szCs w:val="24"/>
        </w:rPr>
        <w:t>G&amp;E</w:t>
      </w:r>
      <w:r w:rsidRPr="006A0603" w:rsidR="00752AD3">
        <w:rPr>
          <w:rFonts w:ascii="Palatino Linotype" w:hAnsi="Palatino Linotype"/>
          <w:sz w:val="24"/>
          <w:szCs w:val="24"/>
        </w:rPr>
        <w:t xml:space="preserve"> </w:t>
      </w:r>
      <w:r>
        <w:rPr>
          <w:rFonts w:ascii="Palatino Linotype" w:hAnsi="Palatino Linotype"/>
          <w:sz w:val="24"/>
          <w:szCs w:val="24"/>
        </w:rPr>
        <w:t xml:space="preserve">subsequently </w:t>
      </w:r>
      <w:r w:rsidRPr="006A0603" w:rsidR="00752AD3">
        <w:rPr>
          <w:rFonts w:ascii="Palatino Linotype" w:hAnsi="Palatino Linotype"/>
          <w:sz w:val="24"/>
          <w:szCs w:val="24"/>
        </w:rPr>
        <w:t>issued</w:t>
      </w:r>
      <w:r w:rsidRPr="006A0603" w:rsidR="002C3A70">
        <w:rPr>
          <w:rFonts w:ascii="Palatino Linotype" w:hAnsi="Palatino Linotype"/>
          <w:sz w:val="24"/>
          <w:szCs w:val="24"/>
        </w:rPr>
        <w:t xml:space="preserve"> its </w:t>
      </w:r>
      <w:r w:rsidRPr="006A0603" w:rsidR="00BE0311">
        <w:rPr>
          <w:rFonts w:ascii="Palatino Linotype" w:hAnsi="Palatino Linotype"/>
          <w:sz w:val="24"/>
          <w:szCs w:val="24"/>
        </w:rPr>
        <w:t>2024 CPE RFO on February 22, 2024,</w:t>
      </w:r>
      <w:r w:rsidRPr="006A0603" w:rsidR="00752AD3">
        <w:rPr>
          <w:rFonts w:ascii="Palatino Linotype" w:hAnsi="Palatino Linotype"/>
          <w:sz w:val="24"/>
          <w:szCs w:val="24"/>
        </w:rPr>
        <w:t xml:space="preserve"> to solicit offers for</w:t>
      </w:r>
      <w:r w:rsidRPr="006A0603" w:rsidR="002C3A70">
        <w:rPr>
          <w:rFonts w:ascii="Palatino Linotype" w:hAnsi="Palatino Linotype"/>
          <w:sz w:val="24"/>
          <w:szCs w:val="24"/>
        </w:rPr>
        <w:t xml:space="preserve"> resources to meet </w:t>
      </w:r>
      <w:r w:rsidRPr="006A0603" w:rsidR="00BE0311">
        <w:rPr>
          <w:rFonts w:ascii="Palatino Linotype" w:hAnsi="Palatino Linotype"/>
          <w:sz w:val="24"/>
          <w:szCs w:val="24"/>
        </w:rPr>
        <w:t>100% of its</w:t>
      </w:r>
      <w:r w:rsidRPr="006A0603" w:rsidR="002C3A70">
        <w:rPr>
          <w:rFonts w:ascii="Palatino Linotype" w:hAnsi="Palatino Linotype"/>
          <w:sz w:val="24"/>
          <w:szCs w:val="24"/>
        </w:rPr>
        <w:t xml:space="preserve"> </w:t>
      </w:r>
      <w:r w:rsidRPr="006A0603" w:rsidR="00BE0311">
        <w:rPr>
          <w:rFonts w:ascii="Palatino Linotype" w:hAnsi="Palatino Linotype"/>
          <w:sz w:val="24"/>
          <w:szCs w:val="24"/>
        </w:rPr>
        <w:t>2025 and 2026</w:t>
      </w:r>
      <w:r w:rsidR="00D26707">
        <w:rPr>
          <w:rFonts w:ascii="Palatino Linotype" w:hAnsi="Palatino Linotype"/>
          <w:sz w:val="24"/>
          <w:szCs w:val="24"/>
        </w:rPr>
        <w:t xml:space="preserve"> local RA requirements</w:t>
      </w:r>
      <w:r w:rsidRPr="006A0603" w:rsidR="00BE0311">
        <w:rPr>
          <w:rFonts w:ascii="Palatino Linotype" w:hAnsi="Palatino Linotype"/>
          <w:sz w:val="24"/>
          <w:szCs w:val="24"/>
        </w:rPr>
        <w:t>, and 50% of its 2027 local RA requirements</w:t>
      </w:r>
      <w:r w:rsidRPr="006A0603" w:rsidR="002C3A70">
        <w:rPr>
          <w:rFonts w:ascii="Palatino Linotype" w:hAnsi="Palatino Linotype"/>
          <w:sz w:val="24"/>
          <w:szCs w:val="24"/>
        </w:rPr>
        <w:t>.</w:t>
      </w:r>
      <w:r w:rsidRPr="006A0603" w:rsidR="00BE0311">
        <w:rPr>
          <w:rFonts w:ascii="Palatino Linotype" w:hAnsi="Palatino Linotype"/>
          <w:sz w:val="24"/>
          <w:szCs w:val="24"/>
        </w:rPr>
        <w:t xml:space="preserve"> PG&amp;E-CPE set June 28, </w:t>
      </w:r>
      <w:r w:rsidRPr="006A0603" w:rsidR="00B175DE">
        <w:rPr>
          <w:rFonts w:ascii="Palatino Linotype" w:hAnsi="Palatino Linotype"/>
          <w:sz w:val="24"/>
          <w:szCs w:val="24"/>
        </w:rPr>
        <w:t>2024,</w:t>
      </w:r>
      <w:r w:rsidRPr="006A0603" w:rsidR="00BE0311">
        <w:rPr>
          <w:rFonts w:ascii="Palatino Linotype" w:hAnsi="Palatino Linotype"/>
          <w:sz w:val="24"/>
          <w:szCs w:val="24"/>
        </w:rPr>
        <w:t xml:space="preserve"> as its first targeted execution deadline for the 2025 compliance year delivery (Track 1) and early August 2024 for all other competitive offers (Track 2). As required by the Commission, PG&amp;E-CPE aimed to meet its local RA requirements by first using self-shown non-compensated resources, followed by new and existing resources. </w:t>
      </w:r>
    </w:p>
    <w:p w:rsidRPr="008D4D5E" w:rsidR="002C3A70" w:rsidP="00CD4CF8" w:rsidRDefault="002C3A70" w14:paraId="3565EE44" w14:textId="77777777">
      <w:pPr>
        <w:rPr>
          <w:rFonts w:ascii="Palatino Linotype" w:hAnsi="Palatino Linotype"/>
          <w:sz w:val="16"/>
          <w:szCs w:val="16"/>
        </w:rPr>
      </w:pPr>
    </w:p>
    <w:p w:rsidRPr="006A0603" w:rsidR="00D22A4B" w:rsidP="00737047" w:rsidRDefault="00752AD3" w14:paraId="333C4BB9" w14:textId="6A95A2AB">
      <w:pPr>
        <w:rPr>
          <w:rFonts w:ascii="Palatino Linotype" w:hAnsi="Palatino Linotype"/>
          <w:sz w:val="24"/>
          <w:szCs w:val="24"/>
        </w:rPr>
      </w:pPr>
      <w:r w:rsidRPr="006A0603">
        <w:rPr>
          <w:rFonts w:ascii="Palatino Linotype" w:hAnsi="Palatino Linotype"/>
          <w:sz w:val="24"/>
          <w:szCs w:val="24"/>
        </w:rPr>
        <w:t>P</w:t>
      </w:r>
      <w:r w:rsidRPr="006A0603" w:rsidR="002C3A70">
        <w:rPr>
          <w:rFonts w:ascii="Palatino Linotype" w:hAnsi="Palatino Linotype"/>
          <w:sz w:val="24"/>
          <w:szCs w:val="24"/>
        </w:rPr>
        <w:t xml:space="preserve">G&amp;E retained </w:t>
      </w:r>
      <w:r w:rsidRPr="006A0603" w:rsidR="00BE0311">
        <w:rPr>
          <w:rFonts w:ascii="Palatino Linotype" w:hAnsi="Palatino Linotype"/>
          <w:sz w:val="24"/>
          <w:szCs w:val="24"/>
        </w:rPr>
        <w:t>PA Consulting Group, Inc. (PA)</w:t>
      </w:r>
      <w:r w:rsidRPr="006A0603" w:rsidR="002C3A70">
        <w:rPr>
          <w:rFonts w:ascii="Palatino Linotype" w:hAnsi="Palatino Linotype"/>
          <w:sz w:val="24"/>
          <w:szCs w:val="24"/>
        </w:rPr>
        <w:t xml:space="preserve"> as the IE for its </w:t>
      </w:r>
      <w:r w:rsidR="001D4960">
        <w:rPr>
          <w:rFonts w:ascii="Palatino Linotype" w:hAnsi="Palatino Linotype"/>
          <w:sz w:val="24"/>
          <w:szCs w:val="24"/>
        </w:rPr>
        <w:t>CPE</w:t>
      </w:r>
      <w:r w:rsidRPr="006A0603" w:rsidR="001D4960">
        <w:rPr>
          <w:rFonts w:ascii="Palatino Linotype" w:hAnsi="Palatino Linotype"/>
          <w:sz w:val="24"/>
          <w:szCs w:val="24"/>
        </w:rPr>
        <w:t xml:space="preserve"> </w:t>
      </w:r>
      <w:r w:rsidRPr="006A0603" w:rsidR="002C3A70">
        <w:rPr>
          <w:rFonts w:ascii="Palatino Linotype" w:hAnsi="Palatino Linotype"/>
          <w:sz w:val="24"/>
          <w:szCs w:val="24"/>
        </w:rPr>
        <w:t>solicitation efforts</w:t>
      </w:r>
      <w:r w:rsidR="001D4960">
        <w:rPr>
          <w:rFonts w:ascii="Palatino Linotype" w:hAnsi="Palatino Linotype"/>
          <w:sz w:val="24"/>
          <w:szCs w:val="24"/>
        </w:rPr>
        <w:t>.</w:t>
      </w:r>
      <w:r w:rsidRPr="006A0603" w:rsidR="007D0499">
        <w:rPr>
          <w:rFonts w:ascii="Palatino Linotype" w:hAnsi="Palatino Linotype"/>
          <w:sz w:val="24"/>
          <w:szCs w:val="24"/>
        </w:rPr>
        <w:t xml:space="preserve"> </w:t>
      </w:r>
      <w:r w:rsidR="001D4960">
        <w:rPr>
          <w:rFonts w:ascii="Palatino Linotype" w:hAnsi="Palatino Linotype"/>
          <w:sz w:val="24"/>
          <w:szCs w:val="24"/>
        </w:rPr>
        <w:t>The IE</w:t>
      </w:r>
      <w:r w:rsidRPr="006A0603" w:rsidR="001D4960">
        <w:rPr>
          <w:rFonts w:ascii="Palatino Linotype" w:hAnsi="Palatino Linotype"/>
          <w:sz w:val="24"/>
          <w:szCs w:val="24"/>
        </w:rPr>
        <w:t xml:space="preserve"> </w:t>
      </w:r>
      <w:r w:rsidRPr="006A0603" w:rsidR="007D0499">
        <w:rPr>
          <w:rFonts w:ascii="Palatino Linotype" w:hAnsi="Palatino Linotype"/>
          <w:sz w:val="24"/>
          <w:szCs w:val="24"/>
        </w:rPr>
        <w:t xml:space="preserve">participated in and undertook </w:t>
      </w:r>
      <w:proofErr w:type="gramStart"/>
      <w:r w:rsidRPr="006A0603" w:rsidR="007D0499">
        <w:rPr>
          <w:rFonts w:ascii="Palatino Linotype" w:hAnsi="Palatino Linotype"/>
          <w:sz w:val="24"/>
          <w:szCs w:val="24"/>
        </w:rPr>
        <w:t>a number of</w:t>
      </w:r>
      <w:proofErr w:type="gramEnd"/>
      <w:r w:rsidRPr="006A0603" w:rsidR="007D0499">
        <w:rPr>
          <w:rFonts w:ascii="Palatino Linotype" w:hAnsi="Palatino Linotype"/>
          <w:sz w:val="24"/>
          <w:szCs w:val="24"/>
        </w:rPr>
        <w:t xml:space="preserve"> activities in connection with the </w:t>
      </w:r>
      <w:r w:rsidR="001D4960">
        <w:rPr>
          <w:rFonts w:ascii="Palatino Linotype" w:hAnsi="Palatino Linotype"/>
          <w:sz w:val="24"/>
          <w:szCs w:val="24"/>
        </w:rPr>
        <w:t xml:space="preserve">CPE </w:t>
      </w:r>
      <w:r w:rsidRPr="006A0603" w:rsidR="007D0499">
        <w:rPr>
          <w:rFonts w:ascii="Palatino Linotype" w:hAnsi="Palatino Linotype"/>
          <w:sz w:val="24"/>
          <w:szCs w:val="24"/>
        </w:rPr>
        <w:t>solicitation process</w:t>
      </w:r>
      <w:r w:rsidRPr="006A0603" w:rsidR="002C3A70">
        <w:rPr>
          <w:rFonts w:ascii="Palatino Linotype" w:hAnsi="Palatino Linotype"/>
          <w:sz w:val="24"/>
          <w:szCs w:val="24"/>
        </w:rPr>
        <w:t>.</w:t>
      </w:r>
      <w:r w:rsidRPr="006A0603" w:rsidR="007D0499">
        <w:rPr>
          <w:rStyle w:val="FootnoteReference"/>
          <w:rFonts w:ascii="Palatino Linotype" w:hAnsi="Palatino Linotype"/>
          <w:sz w:val="24"/>
          <w:szCs w:val="24"/>
        </w:rPr>
        <w:t xml:space="preserve"> </w:t>
      </w:r>
      <w:r w:rsidRPr="006A0603" w:rsidR="007D0499">
        <w:rPr>
          <w:rFonts w:ascii="Palatino Linotype" w:hAnsi="Palatino Linotype"/>
          <w:sz w:val="24"/>
          <w:szCs w:val="24"/>
        </w:rPr>
        <w:t>In the IE Report</w:t>
      </w:r>
      <w:r w:rsidR="001D4960">
        <w:rPr>
          <w:rFonts w:ascii="Palatino Linotype" w:hAnsi="Palatino Linotype"/>
          <w:sz w:val="24"/>
          <w:szCs w:val="24"/>
        </w:rPr>
        <w:t>,</w:t>
      </w:r>
      <w:r w:rsidRPr="006A0603" w:rsidR="007D0499">
        <w:rPr>
          <w:rFonts w:ascii="Palatino Linotype" w:hAnsi="Palatino Linotype"/>
          <w:sz w:val="24"/>
          <w:szCs w:val="24"/>
        </w:rPr>
        <w:t xml:space="preserve"> attached to AL </w:t>
      </w:r>
      <w:r w:rsidRPr="006A0603" w:rsidR="00ED5E04">
        <w:rPr>
          <w:rFonts w:ascii="Palatino Linotype" w:hAnsi="Palatino Linotype"/>
          <w:sz w:val="24"/>
          <w:szCs w:val="24"/>
        </w:rPr>
        <w:t>7381</w:t>
      </w:r>
      <w:r w:rsidRPr="006A0603" w:rsidR="007D0499">
        <w:rPr>
          <w:rFonts w:ascii="Palatino Linotype" w:hAnsi="Palatino Linotype"/>
          <w:sz w:val="24"/>
          <w:szCs w:val="24"/>
        </w:rPr>
        <w:t xml:space="preserve">-E, </w:t>
      </w:r>
      <w:r w:rsidRPr="006A0603" w:rsidR="00BE0311">
        <w:rPr>
          <w:rFonts w:ascii="Palatino Linotype" w:hAnsi="Palatino Linotype"/>
          <w:sz w:val="24"/>
          <w:szCs w:val="24"/>
        </w:rPr>
        <w:t xml:space="preserve">PA </w:t>
      </w:r>
      <w:r w:rsidRPr="006A0603" w:rsidR="007D0499">
        <w:rPr>
          <w:rFonts w:ascii="Palatino Linotype" w:hAnsi="Palatino Linotype"/>
          <w:sz w:val="24"/>
          <w:szCs w:val="24"/>
        </w:rPr>
        <w:t>provides an evaluation of the outreach activities and solicitation robustness, bid evaluation and selection methodology, administration of the solicitation process, and fairness of the solicitation administration.</w:t>
      </w:r>
      <w:r w:rsidRPr="006A0603" w:rsidR="00B175DE">
        <w:rPr>
          <w:rFonts w:ascii="Palatino Linotype" w:hAnsi="Palatino Linotype"/>
          <w:sz w:val="24"/>
          <w:szCs w:val="24"/>
        </w:rPr>
        <w:t xml:space="preserve"> </w:t>
      </w:r>
    </w:p>
    <w:p w:rsidRPr="008D4D5E" w:rsidR="00D22A4B" w:rsidP="00737047" w:rsidRDefault="00D22A4B" w14:paraId="3128C9F9" w14:textId="77777777">
      <w:pPr>
        <w:rPr>
          <w:rFonts w:ascii="Palatino Linotype" w:hAnsi="Palatino Linotype"/>
          <w:sz w:val="16"/>
          <w:szCs w:val="16"/>
        </w:rPr>
      </w:pPr>
    </w:p>
    <w:p w:rsidRPr="00D26707" w:rsidR="00D26707" w:rsidP="00D26707" w:rsidRDefault="00D26707" w14:paraId="1B76D3F6" w14:textId="5E2A9CA5">
      <w:pPr>
        <w:rPr>
          <w:rFonts w:ascii="Palatino Linotype" w:hAnsi="Palatino Linotype"/>
          <w:sz w:val="24"/>
          <w:szCs w:val="24"/>
        </w:rPr>
      </w:pPr>
      <w:r>
        <w:rPr>
          <w:rFonts w:ascii="Palatino Linotype" w:hAnsi="Palatino Linotype"/>
          <w:sz w:val="24"/>
          <w:szCs w:val="24"/>
        </w:rPr>
        <w:lastRenderedPageBreak/>
        <w:t xml:space="preserve">In its’s report </w:t>
      </w:r>
      <w:r w:rsidRPr="006A0603" w:rsidR="00B175DE">
        <w:rPr>
          <w:rFonts w:ascii="Palatino Linotype" w:hAnsi="Palatino Linotype"/>
          <w:sz w:val="24"/>
          <w:szCs w:val="24"/>
        </w:rPr>
        <w:t>PA states that,</w:t>
      </w:r>
      <w:r>
        <w:rPr>
          <w:rFonts w:ascii="Palatino Linotype" w:hAnsi="Palatino Linotype"/>
          <w:sz w:val="24"/>
          <w:szCs w:val="24"/>
        </w:rPr>
        <w:t xml:space="preserve"> “</w:t>
      </w:r>
      <w:r w:rsidRPr="00D26707">
        <w:rPr>
          <w:rFonts w:ascii="Palatino Linotype" w:hAnsi="Palatino Linotype"/>
          <w:sz w:val="24"/>
          <w:szCs w:val="24"/>
        </w:rPr>
        <w:t>it believes the PG&amp;E CPE followed all relevant CPUC</w:t>
      </w:r>
    </w:p>
    <w:p w:rsidRPr="006A0603" w:rsidR="00B175DE" w:rsidP="00256CF2" w:rsidRDefault="00D26707" w14:paraId="44DBE1F0" w14:textId="6A9E2DCA">
      <w:pPr>
        <w:rPr>
          <w:rFonts w:ascii="Palatino Linotype" w:hAnsi="Palatino Linotype"/>
          <w:sz w:val="24"/>
          <w:szCs w:val="24"/>
        </w:rPr>
      </w:pPr>
      <w:r w:rsidRPr="00D26707">
        <w:rPr>
          <w:rFonts w:ascii="Palatino Linotype" w:hAnsi="Palatino Linotype"/>
          <w:sz w:val="24"/>
          <w:szCs w:val="24"/>
        </w:rPr>
        <w:t>guidance and requirements in its conduction of the 2024 CPE RFO, including utilizing a least cost best fit</w:t>
      </w:r>
      <w:r>
        <w:rPr>
          <w:rFonts w:ascii="Palatino Linotype" w:hAnsi="Palatino Linotype"/>
          <w:sz w:val="24"/>
          <w:szCs w:val="24"/>
        </w:rPr>
        <w:t xml:space="preserve"> </w:t>
      </w:r>
      <w:r w:rsidRPr="00D26707">
        <w:rPr>
          <w:rFonts w:ascii="Palatino Linotype" w:hAnsi="Palatino Linotype"/>
          <w:sz w:val="24"/>
          <w:szCs w:val="24"/>
        </w:rPr>
        <w:t>methodology within its quantitative evaluation methodology, as well as evaluating resources against other</w:t>
      </w:r>
      <w:r>
        <w:rPr>
          <w:rFonts w:ascii="Palatino Linotype" w:hAnsi="Palatino Linotype"/>
          <w:sz w:val="24"/>
          <w:szCs w:val="24"/>
        </w:rPr>
        <w:t xml:space="preserve"> </w:t>
      </w:r>
      <w:r w:rsidRPr="00D26707">
        <w:rPr>
          <w:rFonts w:ascii="Palatino Linotype" w:hAnsi="Palatino Linotype"/>
          <w:sz w:val="24"/>
          <w:szCs w:val="24"/>
        </w:rPr>
        <w:t>qualitative criteria</w:t>
      </w:r>
      <w:r>
        <w:rPr>
          <w:rFonts w:ascii="Palatino Linotype" w:hAnsi="Palatino Linotype"/>
          <w:sz w:val="24"/>
          <w:szCs w:val="24"/>
        </w:rPr>
        <w:t>”</w:t>
      </w:r>
      <w:r w:rsidR="00256CF2">
        <w:rPr>
          <w:rStyle w:val="FootnoteReference"/>
          <w:rFonts w:ascii="Palatino Linotype" w:hAnsi="Palatino Linotype"/>
          <w:sz w:val="24"/>
          <w:szCs w:val="24"/>
        </w:rPr>
        <w:footnoteReference w:id="6"/>
      </w:r>
      <w:r w:rsidRPr="00D26707">
        <w:rPr>
          <w:rFonts w:ascii="Palatino Linotype" w:hAnsi="Palatino Linotype"/>
          <w:sz w:val="24"/>
          <w:szCs w:val="24"/>
        </w:rPr>
        <w:t>.</w:t>
      </w:r>
      <w:r w:rsidR="00256CF2">
        <w:rPr>
          <w:rFonts w:ascii="Palatino Linotype" w:hAnsi="Palatino Linotype"/>
          <w:sz w:val="24"/>
          <w:szCs w:val="24"/>
        </w:rPr>
        <w:t xml:space="preserve"> </w:t>
      </w:r>
      <w:r>
        <w:rPr>
          <w:rFonts w:ascii="Palatino Linotype" w:hAnsi="Palatino Linotype"/>
          <w:sz w:val="24"/>
          <w:szCs w:val="24"/>
        </w:rPr>
        <w:t xml:space="preserve"> Further PA notes that </w:t>
      </w:r>
      <w:r w:rsidR="00256CF2">
        <w:rPr>
          <w:rFonts w:ascii="Palatino Linotype" w:hAnsi="Palatino Linotype"/>
          <w:sz w:val="24"/>
          <w:szCs w:val="24"/>
        </w:rPr>
        <w:t>“[i]</w:t>
      </w:r>
      <w:r w:rsidRPr="00256CF2" w:rsidR="00256CF2">
        <w:rPr>
          <w:rFonts w:ascii="Palatino Linotype" w:hAnsi="Palatino Linotype"/>
          <w:sz w:val="24"/>
          <w:szCs w:val="24"/>
        </w:rPr>
        <w:t>n its quantitative evaluation, the PG&amp;E CPE selected the highest ranked Competitive Offers that would meet</w:t>
      </w:r>
      <w:r w:rsidR="00256CF2">
        <w:rPr>
          <w:rFonts w:ascii="Palatino Linotype" w:hAnsi="Palatino Linotype"/>
          <w:sz w:val="24"/>
          <w:szCs w:val="24"/>
        </w:rPr>
        <w:t xml:space="preserve"> </w:t>
      </w:r>
      <w:r w:rsidRPr="00256CF2" w:rsidR="00256CF2">
        <w:rPr>
          <w:rFonts w:ascii="Palatino Linotype" w:hAnsi="Palatino Linotype"/>
          <w:sz w:val="24"/>
          <w:szCs w:val="24"/>
        </w:rPr>
        <w:t>its need and that would be online in time to count toward the PG&amp;E CPE’s procurement need as identified in</w:t>
      </w:r>
      <w:r w:rsidR="00256CF2">
        <w:rPr>
          <w:rFonts w:ascii="Palatino Linotype" w:hAnsi="Palatino Linotype"/>
          <w:sz w:val="24"/>
          <w:szCs w:val="24"/>
        </w:rPr>
        <w:t xml:space="preserve"> </w:t>
      </w:r>
      <w:r w:rsidRPr="00256CF2" w:rsidR="00256CF2">
        <w:rPr>
          <w:rFonts w:ascii="Palatino Linotype" w:hAnsi="Palatino Linotype"/>
          <w:sz w:val="24"/>
          <w:szCs w:val="24"/>
        </w:rPr>
        <w:t>its position</w:t>
      </w:r>
      <w:r w:rsidR="00256CF2">
        <w:rPr>
          <w:rFonts w:ascii="Palatino Linotype" w:hAnsi="Palatino Linotype"/>
          <w:sz w:val="24"/>
          <w:szCs w:val="24"/>
        </w:rPr>
        <w:t>”</w:t>
      </w:r>
      <w:r w:rsidR="009A5AE7">
        <w:rPr>
          <w:rStyle w:val="FootnoteReference"/>
          <w:rFonts w:ascii="Palatino Linotype" w:hAnsi="Palatino Linotype"/>
          <w:sz w:val="24"/>
          <w:szCs w:val="24"/>
        </w:rPr>
        <w:footnoteReference w:id="7"/>
      </w:r>
      <w:r w:rsidRPr="00256CF2" w:rsidR="00256CF2">
        <w:rPr>
          <w:rFonts w:ascii="Palatino Linotype" w:hAnsi="Palatino Linotype"/>
          <w:sz w:val="24"/>
          <w:szCs w:val="24"/>
        </w:rPr>
        <w:t>.</w:t>
      </w:r>
      <w:r w:rsidR="00357E91">
        <w:rPr>
          <w:rFonts w:ascii="Palatino Linotype" w:hAnsi="Palatino Linotype"/>
          <w:sz w:val="24"/>
          <w:szCs w:val="24"/>
        </w:rPr>
        <w:t xml:space="preserve"> </w:t>
      </w:r>
      <w:r w:rsidR="009A5AE7">
        <w:rPr>
          <w:rFonts w:ascii="Palatino Linotype" w:hAnsi="Palatino Linotype"/>
          <w:sz w:val="24"/>
          <w:szCs w:val="24"/>
        </w:rPr>
        <w:t>Finally</w:t>
      </w:r>
      <w:r w:rsidRPr="006A0603" w:rsidR="004A6521">
        <w:rPr>
          <w:rFonts w:ascii="Palatino Linotype" w:hAnsi="Palatino Linotype"/>
          <w:sz w:val="24"/>
          <w:szCs w:val="24"/>
        </w:rPr>
        <w:t xml:space="preserve">, </w:t>
      </w:r>
      <w:r w:rsidRPr="006A0603" w:rsidR="00BE0311">
        <w:rPr>
          <w:rFonts w:ascii="Palatino Linotype" w:hAnsi="Palatino Linotype"/>
          <w:sz w:val="24"/>
          <w:szCs w:val="24"/>
        </w:rPr>
        <w:t>PA</w:t>
      </w:r>
      <w:r w:rsidRPr="006A0603" w:rsidR="004A6521">
        <w:rPr>
          <w:rFonts w:ascii="Palatino Linotype" w:hAnsi="Palatino Linotype"/>
          <w:sz w:val="24"/>
          <w:szCs w:val="24"/>
        </w:rPr>
        <w:t xml:space="preserve"> </w:t>
      </w:r>
      <w:r w:rsidR="009A5AE7">
        <w:rPr>
          <w:rFonts w:ascii="Palatino Linotype" w:hAnsi="Palatino Linotype"/>
          <w:sz w:val="24"/>
          <w:szCs w:val="24"/>
        </w:rPr>
        <w:t>notes</w:t>
      </w:r>
      <w:r w:rsidRPr="006A0603" w:rsidR="009A5AE7">
        <w:rPr>
          <w:rFonts w:ascii="Palatino Linotype" w:hAnsi="Palatino Linotype"/>
          <w:sz w:val="24"/>
          <w:szCs w:val="24"/>
        </w:rPr>
        <w:t xml:space="preserve"> </w:t>
      </w:r>
      <w:r w:rsidRPr="006A0603" w:rsidR="00BE0311">
        <w:rPr>
          <w:rFonts w:ascii="Palatino Linotype" w:hAnsi="Palatino Linotype"/>
          <w:sz w:val="24"/>
          <w:szCs w:val="24"/>
        </w:rPr>
        <w:t>PG&amp;E-CPE conducted a</w:t>
      </w:r>
      <w:r w:rsidRPr="006A0603" w:rsidR="004A6521">
        <w:rPr>
          <w:rFonts w:ascii="Palatino Linotype" w:hAnsi="Palatino Linotype"/>
          <w:sz w:val="24"/>
          <w:szCs w:val="24"/>
        </w:rPr>
        <w:t xml:space="preserve"> “fair and equitable </w:t>
      </w:r>
      <w:r w:rsidRPr="006A0603" w:rsidR="00BE0311">
        <w:rPr>
          <w:rFonts w:ascii="Palatino Linotype" w:hAnsi="Palatino Linotype"/>
          <w:sz w:val="24"/>
          <w:szCs w:val="24"/>
        </w:rPr>
        <w:t>solicitation</w:t>
      </w:r>
      <w:r w:rsidRPr="006A0603" w:rsidR="004A6521">
        <w:rPr>
          <w:rFonts w:ascii="Palatino Linotype" w:hAnsi="Palatino Linotype"/>
          <w:sz w:val="24"/>
          <w:szCs w:val="24"/>
        </w:rPr>
        <w:t>”</w:t>
      </w:r>
      <w:r w:rsidRPr="006A0603" w:rsidR="00BE0311">
        <w:rPr>
          <w:rFonts w:ascii="Palatino Linotype" w:hAnsi="Palatino Linotype"/>
          <w:sz w:val="24"/>
          <w:szCs w:val="24"/>
        </w:rPr>
        <w:t xml:space="preserve">, finding that PG&amp;E-CPE’s outreach was adequate, the solicitation materials </w:t>
      </w:r>
      <w:r w:rsidR="00E23BEF">
        <w:rPr>
          <w:rFonts w:ascii="Palatino Linotype" w:hAnsi="Palatino Linotype"/>
          <w:sz w:val="24"/>
          <w:szCs w:val="24"/>
        </w:rPr>
        <w:t>transparent</w:t>
      </w:r>
      <w:r w:rsidRPr="006A0603" w:rsidR="00BE0311">
        <w:rPr>
          <w:rFonts w:ascii="Palatino Linotype" w:hAnsi="Palatino Linotype"/>
          <w:sz w:val="24"/>
          <w:szCs w:val="24"/>
        </w:rPr>
        <w:t xml:space="preserve"> and concise, and </w:t>
      </w:r>
      <w:r w:rsidRPr="006A0603" w:rsidR="00F63619">
        <w:rPr>
          <w:rFonts w:ascii="Palatino Linotype" w:hAnsi="Palatino Linotype"/>
          <w:sz w:val="24"/>
          <w:szCs w:val="24"/>
        </w:rPr>
        <w:t>that its</w:t>
      </w:r>
      <w:r w:rsidRPr="006A0603" w:rsidR="00BE0311">
        <w:rPr>
          <w:rFonts w:ascii="Palatino Linotype" w:hAnsi="Palatino Linotype"/>
          <w:sz w:val="24"/>
          <w:szCs w:val="24"/>
        </w:rPr>
        <w:t xml:space="preserve"> follow-up </w:t>
      </w:r>
      <w:r w:rsidRPr="006A0603" w:rsidR="00F63619">
        <w:rPr>
          <w:rFonts w:ascii="Palatino Linotype" w:hAnsi="Palatino Linotype"/>
          <w:sz w:val="24"/>
          <w:szCs w:val="24"/>
        </w:rPr>
        <w:t>bidder communications</w:t>
      </w:r>
      <w:r w:rsidRPr="006A0603" w:rsidR="00BE0311">
        <w:rPr>
          <w:rFonts w:ascii="Palatino Linotype" w:hAnsi="Palatino Linotype"/>
          <w:sz w:val="24"/>
          <w:szCs w:val="24"/>
        </w:rPr>
        <w:t xml:space="preserve"> were clear</w:t>
      </w:r>
      <w:r w:rsidR="009A5AE7">
        <w:rPr>
          <w:rStyle w:val="FootnoteReference"/>
          <w:rFonts w:ascii="Palatino Linotype" w:hAnsi="Palatino Linotype"/>
          <w:sz w:val="24"/>
          <w:szCs w:val="24"/>
        </w:rPr>
        <w:footnoteReference w:id="8"/>
      </w:r>
      <w:r w:rsidRPr="006A0603" w:rsidR="00BE0311">
        <w:rPr>
          <w:rFonts w:ascii="Palatino Linotype" w:hAnsi="Palatino Linotype"/>
          <w:sz w:val="24"/>
          <w:szCs w:val="24"/>
        </w:rPr>
        <w:t>.</w:t>
      </w:r>
      <w:r w:rsidRPr="006A0603" w:rsidR="00B175DE">
        <w:rPr>
          <w:rFonts w:ascii="Palatino Linotype" w:hAnsi="Palatino Linotype"/>
          <w:sz w:val="24"/>
          <w:szCs w:val="24"/>
        </w:rPr>
        <w:t xml:space="preserve"> </w:t>
      </w:r>
    </w:p>
    <w:p w:rsidRPr="00ED4B88" w:rsidR="00737047" w:rsidP="00737047" w:rsidRDefault="00737047" w14:paraId="1F1316A7" w14:textId="77777777">
      <w:pPr>
        <w:rPr>
          <w:rFonts w:ascii="Palatino Linotype" w:hAnsi="Palatino Linotype"/>
          <w:sz w:val="16"/>
          <w:szCs w:val="16"/>
        </w:rPr>
      </w:pPr>
    </w:p>
    <w:p w:rsidRPr="00FC5A15" w:rsidR="002E658E" w:rsidP="00357E91" w:rsidRDefault="00737047" w14:paraId="61413793" w14:textId="4D1DB511">
      <w:pPr>
        <w:rPr>
          <w:rFonts w:ascii="Palatino Linotype" w:hAnsi="Palatino Linotype"/>
          <w:sz w:val="24"/>
          <w:szCs w:val="24"/>
        </w:rPr>
      </w:pPr>
      <w:r w:rsidRPr="006A0603">
        <w:rPr>
          <w:rFonts w:ascii="Palatino Linotype" w:hAnsi="Palatino Linotype"/>
          <w:sz w:val="24"/>
          <w:szCs w:val="24"/>
        </w:rPr>
        <w:t xml:space="preserve">We have reviewed </w:t>
      </w:r>
      <w:r w:rsidRPr="006A0603" w:rsidR="004A6521">
        <w:rPr>
          <w:rFonts w:ascii="Palatino Linotype" w:hAnsi="Palatino Linotype"/>
          <w:sz w:val="24"/>
          <w:szCs w:val="24"/>
        </w:rPr>
        <w:t>P</w:t>
      </w:r>
      <w:r w:rsidRPr="006A0603">
        <w:rPr>
          <w:rFonts w:ascii="Palatino Linotype" w:hAnsi="Palatino Linotype"/>
          <w:sz w:val="24"/>
          <w:szCs w:val="24"/>
        </w:rPr>
        <w:t xml:space="preserve">G&amp;E’s </w:t>
      </w:r>
      <w:r w:rsidRPr="006A0603" w:rsidR="00BA2918">
        <w:rPr>
          <w:rFonts w:ascii="Palatino Linotype" w:hAnsi="Palatino Linotype"/>
          <w:sz w:val="24"/>
          <w:szCs w:val="24"/>
        </w:rPr>
        <w:t>evaluation methodology</w:t>
      </w:r>
      <w:r w:rsidR="00CA0C11">
        <w:rPr>
          <w:rFonts w:ascii="Palatino Linotype" w:hAnsi="Palatino Linotype"/>
          <w:sz w:val="24"/>
          <w:szCs w:val="24"/>
        </w:rPr>
        <w:t xml:space="preserve">, </w:t>
      </w:r>
      <w:r w:rsidRPr="006A0603" w:rsidR="00BA2918">
        <w:rPr>
          <w:rFonts w:ascii="Palatino Linotype" w:hAnsi="Palatino Linotype"/>
          <w:sz w:val="24"/>
          <w:szCs w:val="24"/>
        </w:rPr>
        <w:t>the IE Report</w:t>
      </w:r>
      <w:r w:rsidR="00CA0C11">
        <w:rPr>
          <w:rFonts w:ascii="Palatino Linotype" w:hAnsi="Palatino Linotype"/>
          <w:sz w:val="24"/>
          <w:szCs w:val="24"/>
        </w:rPr>
        <w:t xml:space="preserve">, and market prices for </w:t>
      </w:r>
      <w:r w:rsidR="00941A8D">
        <w:rPr>
          <w:rFonts w:ascii="Palatino Linotype" w:hAnsi="Palatino Linotype"/>
          <w:sz w:val="24"/>
          <w:szCs w:val="24"/>
        </w:rPr>
        <w:t xml:space="preserve">comparable </w:t>
      </w:r>
      <w:r w:rsidR="00CA0C11">
        <w:rPr>
          <w:rFonts w:ascii="Palatino Linotype" w:hAnsi="Palatino Linotype"/>
          <w:sz w:val="24"/>
          <w:szCs w:val="24"/>
        </w:rPr>
        <w:t>energy storage contracts</w:t>
      </w:r>
      <w:r w:rsidRPr="006A0603" w:rsidR="00BA2918">
        <w:rPr>
          <w:rFonts w:ascii="Palatino Linotype" w:hAnsi="Palatino Linotype"/>
          <w:sz w:val="24"/>
          <w:szCs w:val="24"/>
        </w:rPr>
        <w:t xml:space="preserve">. </w:t>
      </w:r>
      <w:r w:rsidR="00A0438C">
        <w:rPr>
          <w:rFonts w:ascii="Palatino Linotype" w:hAnsi="Palatino Linotype"/>
          <w:sz w:val="24"/>
          <w:szCs w:val="24"/>
        </w:rPr>
        <w:t xml:space="preserve">The Commission agrees with PA’s findings that </w:t>
      </w:r>
      <w:r w:rsidR="005232E3">
        <w:rPr>
          <w:rFonts w:ascii="Palatino Linotype" w:hAnsi="Palatino Linotype"/>
          <w:sz w:val="24"/>
          <w:szCs w:val="24"/>
        </w:rPr>
        <w:t>-- the</w:t>
      </w:r>
      <w:r w:rsidRPr="00D26707" w:rsidR="009A5AE7">
        <w:rPr>
          <w:rFonts w:ascii="Palatino Linotype" w:hAnsi="Palatino Linotype"/>
          <w:sz w:val="24"/>
          <w:szCs w:val="24"/>
        </w:rPr>
        <w:t xml:space="preserve"> PG&amp;E CPE followed relevant CPUC</w:t>
      </w:r>
      <w:r w:rsidR="009A5AE7">
        <w:rPr>
          <w:rFonts w:ascii="Palatino Linotype" w:hAnsi="Palatino Linotype"/>
          <w:sz w:val="24"/>
          <w:szCs w:val="24"/>
        </w:rPr>
        <w:t xml:space="preserve"> </w:t>
      </w:r>
      <w:r w:rsidRPr="00D26707" w:rsidR="009A5AE7">
        <w:rPr>
          <w:rFonts w:ascii="Palatino Linotype" w:hAnsi="Palatino Linotype"/>
          <w:sz w:val="24"/>
          <w:szCs w:val="24"/>
        </w:rPr>
        <w:t>requirements in its conduction of the 2024 CPE RFO, including utilizing a least cost best fit</w:t>
      </w:r>
      <w:r w:rsidR="009A5AE7">
        <w:rPr>
          <w:rFonts w:ascii="Palatino Linotype" w:hAnsi="Palatino Linotype"/>
          <w:sz w:val="24"/>
          <w:szCs w:val="24"/>
        </w:rPr>
        <w:t xml:space="preserve"> </w:t>
      </w:r>
      <w:r w:rsidRPr="00D26707" w:rsidR="009A5AE7">
        <w:rPr>
          <w:rFonts w:ascii="Palatino Linotype" w:hAnsi="Palatino Linotype"/>
          <w:sz w:val="24"/>
          <w:szCs w:val="24"/>
        </w:rPr>
        <w:t>methodology within its quantitative evaluation methodology</w:t>
      </w:r>
      <w:r w:rsidR="009A5AE7">
        <w:rPr>
          <w:rFonts w:ascii="Palatino Linotype" w:hAnsi="Palatino Linotype"/>
          <w:sz w:val="24"/>
          <w:szCs w:val="24"/>
        </w:rPr>
        <w:t>.</w:t>
      </w:r>
      <w:r w:rsidR="00357E91">
        <w:rPr>
          <w:rFonts w:ascii="Palatino Linotype" w:hAnsi="Palatino Linotype"/>
          <w:sz w:val="24"/>
          <w:szCs w:val="24"/>
        </w:rPr>
        <w:t xml:space="preserve"> </w:t>
      </w:r>
      <w:r w:rsidR="00F46824">
        <w:rPr>
          <w:rFonts w:ascii="Palatino Linotype" w:hAnsi="Palatino Linotype"/>
          <w:sz w:val="24"/>
          <w:szCs w:val="24"/>
        </w:rPr>
        <w:t xml:space="preserve">We find the contract’s </w:t>
      </w:r>
      <w:r w:rsidR="00BA33DC">
        <w:rPr>
          <w:rFonts w:ascii="Palatino Linotype" w:hAnsi="Palatino Linotype"/>
          <w:sz w:val="24"/>
          <w:szCs w:val="24"/>
        </w:rPr>
        <w:t>cost</w:t>
      </w:r>
      <w:r w:rsidR="00F46824">
        <w:rPr>
          <w:rFonts w:ascii="Palatino Linotype" w:hAnsi="Palatino Linotype"/>
          <w:sz w:val="24"/>
          <w:szCs w:val="24"/>
        </w:rPr>
        <w:t xml:space="preserve"> to be</w:t>
      </w:r>
      <w:r w:rsidR="000D209A">
        <w:rPr>
          <w:rFonts w:ascii="Palatino Linotype" w:hAnsi="Palatino Linotype"/>
          <w:sz w:val="24"/>
          <w:szCs w:val="24"/>
        </w:rPr>
        <w:t xml:space="preserve"> reasonable</w:t>
      </w:r>
      <w:r w:rsidR="008A2DBC">
        <w:rPr>
          <w:rFonts w:ascii="Palatino Linotype" w:hAnsi="Palatino Linotype"/>
          <w:sz w:val="24"/>
          <w:szCs w:val="24"/>
        </w:rPr>
        <w:t xml:space="preserve">, </w:t>
      </w:r>
      <w:r w:rsidR="00635C77">
        <w:rPr>
          <w:rFonts w:ascii="Palatino Linotype" w:hAnsi="Palatino Linotype"/>
          <w:sz w:val="24"/>
          <w:szCs w:val="24"/>
        </w:rPr>
        <w:t>as it</w:t>
      </w:r>
      <w:r w:rsidR="00357E91">
        <w:rPr>
          <w:rFonts w:ascii="Palatino Linotype" w:hAnsi="Palatino Linotype"/>
          <w:sz w:val="24"/>
          <w:szCs w:val="24"/>
        </w:rPr>
        <w:t xml:space="preserve"> is competitive with market prices and r</w:t>
      </w:r>
      <w:r w:rsidR="00F45727">
        <w:rPr>
          <w:rFonts w:ascii="Palatino Linotype" w:hAnsi="Palatino Linotype"/>
          <w:sz w:val="24"/>
          <w:szCs w:val="24"/>
        </w:rPr>
        <w:t xml:space="preserve">epresents </w:t>
      </w:r>
      <w:r w:rsidR="004F5703">
        <w:rPr>
          <w:rFonts w:ascii="Palatino Linotype" w:hAnsi="Palatino Linotype"/>
          <w:sz w:val="24"/>
          <w:szCs w:val="24"/>
        </w:rPr>
        <w:t xml:space="preserve">a </w:t>
      </w:r>
      <w:r w:rsidRPr="00635C77" w:rsidR="00635C77">
        <w:rPr>
          <w:rFonts w:ascii="Palatino Linotype" w:hAnsi="Palatino Linotype"/>
          <w:sz w:val="24"/>
          <w:szCs w:val="24"/>
        </w:rPr>
        <w:t>high</w:t>
      </w:r>
      <w:r w:rsidR="004F5703">
        <w:rPr>
          <w:rFonts w:ascii="Palatino Linotype" w:hAnsi="Palatino Linotype"/>
          <w:sz w:val="24"/>
          <w:szCs w:val="24"/>
        </w:rPr>
        <w:t>ly</w:t>
      </w:r>
      <w:r w:rsidRPr="00635C77" w:rsidR="00635C77">
        <w:rPr>
          <w:rFonts w:ascii="Palatino Linotype" w:hAnsi="Palatino Linotype"/>
          <w:sz w:val="24"/>
          <w:szCs w:val="24"/>
        </w:rPr>
        <w:t xml:space="preserve"> ranked </w:t>
      </w:r>
      <w:r w:rsidR="00357E91">
        <w:rPr>
          <w:rFonts w:ascii="Palatino Linotype" w:hAnsi="Palatino Linotype"/>
          <w:sz w:val="24"/>
          <w:szCs w:val="24"/>
        </w:rPr>
        <w:t xml:space="preserve">RFO </w:t>
      </w:r>
      <w:r w:rsidR="00F45727">
        <w:rPr>
          <w:rFonts w:ascii="Palatino Linotype" w:hAnsi="Palatino Linotype"/>
          <w:sz w:val="24"/>
          <w:szCs w:val="24"/>
        </w:rPr>
        <w:t>c</w:t>
      </w:r>
      <w:r w:rsidRPr="00635C77" w:rsidR="00635C77">
        <w:rPr>
          <w:rFonts w:ascii="Palatino Linotype" w:hAnsi="Palatino Linotype"/>
          <w:sz w:val="24"/>
          <w:szCs w:val="24"/>
        </w:rPr>
        <w:t xml:space="preserve">ompetitive </w:t>
      </w:r>
      <w:r w:rsidR="00F45727">
        <w:rPr>
          <w:rFonts w:ascii="Palatino Linotype" w:hAnsi="Palatino Linotype"/>
          <w:sz w:val="24"/>
          <w:szCs w:val="24"/>
        </w:rPr>
        <w:t>o</w:t>
      </w:r>
      <w:r w:rsidRPr="00635C77" w:rsidR="00635C77">
        <w:rPr>
          <w:rFonts w:ascii="Palatino Linotype" w:hAnsi="Palatino Linotype"/>
          <w:sz w:val="24"/>
          <w:szCs w:val="24"/>
        </w:rPr>
        <w:t xml:space="preserve">ffer that would </w:t>
      </w:r>
      <w:r w:rsidR="00F45727">
        <w:rPr>
          <w:rFonts w:ascii="Palatino Linotype" w:hAnsi="Palatino Linotype"/>
          <w:sz w:val="24"/>
          <w:szCs w:val="24"/>
        </w:rPr>
        <w:t xml:space="preserve">help to </w:t>
      </w:r>
      <w:r w:rsidRPr="00635C77" w:rsidR="00635C77">
        <w:rPr>
          <w:rFonts w:ascii="Palatino Linotype" w:hAnsi="Palatino Linotype"/>
          <w:sz w:val="24"/>
          <w:szCs w:val="24"/>
        </w:rPr>
        <w:t>meet</w:t>
      </w:r>
      <w:r w:rsidR="00F45727">
        <w:rPr>
          <w:rFonts w:ascii="Palatino Linotype" w:hAnsi="Palatino Linotype"/>
          <w:sz w:val="24"/>
          <w:szCs w:val="24"/>
        </w:rPr>
        <w:t xml:space="preserve"> the </w:t>
      </w:r>
      <w:r w:rsidR="00357E91">
        <w:rPr>
          <w:rFonts w:ascii="Palatino Linotype" w:hAnsi="Palatino Linotype"/>
          <w:sz w:val="24"/>
          <w:szCs w:val="24"/>
        </w:rPr>
        <w:t>PG&amp;E CPE local RA requirements</w:t>
      </w:r>
      <w:r w:rsidR="00F45727">
        <w:rPr>
          <w:rFonts w:ascii="Palatino Linotype" w:hAnsi="Palatino Linotype"/>
          <w:sz w:val="24"/>
          <w:szCs w:val="24"/>
        </w:rPr>
        <w:t xml:space="preserve">. </w:t>
      </w:r>
      <w:r w:rsidRPr="00635C77" w:rsidR="00635C77">
        <w:rPr>
          <w:rFonts w:ascii="Palatino Linotype" w:hAnsi="Palatino Linotype"/>
          <w:sz w:val="24"/>
          <w:szCs w:val="24"/>
        </w:rPr>
        <w:t xml:space="preserve"> </w:t>
      </w:r>
    </w:p>
    <w:p w:rsidRPr="006A0603" w:rsidR="002E658E" w:rsidP="00726FE1" w:rsidRDefault="002E658E" w14:paraId="6A0CBB4C" w14:textId="30293C30">
      <w:pPr>
        <w:spacing w:before="240" w:after="120"/>
        <w:ind w:right="634"/>
        <w:rPr>
          <w:rFonts w:ascii="Palatino Linotype" w:hAnsi="Palatino Linotype"/>
          <w:b/>
          <w:bCs/>
          <w:sz w:val="24"/>
          <w:szCs w:val="24"/>
        </w:rPr>
      </w:pPr>
      <w:r w:rsidRPr="006A0603">
        <w:rPr>
          <w:rFonts w:ascii="Palatino Linotype" w:hAnsi="Palatino Linotype"/>
          <w:b/>
          <w:bCs/>
          <w:sz w:val="24"/>
          <w:szCs w:val="24"/>
        </w:rPr>
        <w:t>Safety</w:t>
      </w:r>
    </w:p>
    <w:p w:rsidRPr="006A0603" w:rsidR="002E658E" w:rsidP="002E658E" w:rsidRDefault="002E658E" w14:paraId="6AE1BAAD" w14:textId="509F7733">
      <w:pPr>
        <w:rPr>
          <w:rFonts w:ascii="Palatino Linotype" w:hAnsi="Palatino Linotype"/>
          <w:sz w:val="24"/>
          <w:szCs w:val="24"/>
        </w:rPr>
      </w:pPr>
      <w:r w:rsidRPr="006A0603">
        <w:rPr>
          <w:rFonts w:ascii="Palatino Linotype" w:hAnsi="Palatino Linotype"/>
          <w:sz w:val="24"/>
          <w:szCs w:val="24"/>
        </w:rPr>
        <w:t xml:space="preserve">PG&amp;E-CPE states that as a condition of remaining on its shortlist for negotiations, it required all shortlisted participants to provide information about their technology as well as the safety history of the participant and/or contractors, if known. PG&amp;E-CPE used enhanced safety provisions within the proposed agreements </w:t>
      </w:r>
      <w:proofErr w:type="gramStart"/>
      <w:r w:rsidRPr="006A0603">
        <w:rPr>
          <w:rFonts w:ascii="Palatino Linotype" w:hAnsi="Palatino Linotype"/>
          <w:sz w:val="24"/>
          <w:szCs w:val="24"/>
        </w:rPr>
        <w:t>similar to</w:t>
      </w:r>
      <w:proofErr w:type="gramEnd"/>
      <w:r w:rsidRPr="006A0603">
        <w:rPr>
          <w:rFonts w:ascii="Palatino Linotype" w:hAnsi="Palatino Linotype"/>
          <w:sz w:val="24"/>
          <w:szCs w:val="24"/>
        </w:rPr>
        <w:t xml:space="preserve"> those previously included in PG&amp;E RFOs with </w:t>
      </w:r>
      <w:r w:rsidR="00447DF7">
        <w:rPr>
          <w:rFonts w:ascii="Palatino Linotype" w:hAnsi="Palatino Linotype"/>
          <w:sz w:val="24"/>
          <w:szCs w:val="24"/>
        </w:rPr>
        <w:t xml:space="preserve">energy </w:t>
      </w:r>
      <w:r w:rsidRPr="006A0603">
        <w:rPr>
          <w:rFonts w:ascii="Palatino Linotype" w:hAnsi="Palatino Linotype"/>
          <w:sz w:val="24"/>
          <w:szCs w:val="24"/>
        </w:rPr>
        <w:t>storage contracts, requiring sellers to practice “responsible safety management enforced by contractual terms and conditions” based on standards for Prudent Electrical Practices and all applicable laws and regulations. Under these provisions, the seller is required to have a project safety plan that demonstrates responsible safety management during all phases of the project lifecycle—including project design, construction, operation, and maintenance.</w:t>
      </w:r>
    </w:p>
    <w:p w:rsidRPr="00ED4B88" w:rsidR="002E658E" w:rsidP="002E658E" w:rsidRDefault="002E658E" w14:paraId="13FFA94D" w14:textId="77777777">
      <w:pPr>
        <w:rPr>
          <w:rFonts w:ascii="Palatino Linotype" w:hAnsi="Palatino Linotype"/>
          <w:sz w:val="16"/>
          <w:szCs w:val="16"/>
        </w:rPr>
      </w:pPr>
    </w:p>
    <w:p w:rsidRPr="006A0603" w:rsidR="002E658E" w:rsidP="002E658E" w:rsidRDefault="002E658E" w14:paraId="1DEED929" w14:textId="70C36B7E">
      <w:pPr>
        <w:rPr>
          <w:rFonts w:ascii="Palatino Linotype" w:hAnsi="Palatino Linotype"/>
          <w:sz w:val="24"/>
          <w:szCs w:val="24"/>
        </w:rPr>
      </w:pPr>
      <w:r w:rsidRPr="006A0603">
        <w:rPr>
          <w:rFonts w:ascii="Palatino Linotype" w:hAnsi="Palatino Linotype"/>
          <w:sz w:val="24"/>
          <w:szCs w:val="24"/>
        </w:rPr>
        <w:t xml:space="preserve">Further, the seller must describe potential hazards and include risk mitigations and safeguards, such as operating procedures, incident response, and recovery plans. PG&amp;E states that as additional project details become available during project development, it will continue to monitor and perform additional safety checks of the seller’s project safety plans for consistency with the safety requirements of the agreement. The contract’s </w:t>
      </w:r>
      <w:r w:rsidRPr="006A0603">
        <w:rPr>
          <w:rFonts w:ascii="Palatino Linotype" w:hAnsi="Palatino Linotype"/>
          <w:sz w:val="24"/>
          <w:szCs w:val="24"/>
        </w:rPr>
        <w:lastRenderedPageBreak/>
        <w:t>Agreement terms provide PG&amp;E the ability to enforce those requirements or, in certain cases, terminate the Agreement in the case of non-compliance.</w:t>
      </w:r>
    </w:p>
    <w:p w:rsidRPr="006A0603" w:rsidR="002E658E" w:rsidP="00872051" w:rsidRDefault="002E658E" w14:paraId="45337484" w14:textId="77777777">
      <w:pPr>
        <w:spacing w:before="240" w:after="120"/>
        <w:rPr>
          <w:rFonts w:ascii="Palatino Linotype" w:hAnsi="Palatino Linotype"/>
          <w:b/>
          <w:bCs/>
          <w:sz w:val="24"/>
          <w:szCs w:val="24"/>
        </w:rPr>
      </w:pPr>
      <w:r w:rsidRPr="006A0603">
        <w:rPr>
          <w:rFonts w:ascii="Palatino Linotype" w:hAnsi="Palatino Linotype"/>
          <w:b/>
          <w:bCs/>
          <w:sz w:val="24"/>
          <w:szCs w:val="24"/>
        </w:rPr>
        <w:t>Cost Recovery</w:t>
      </w:r>
    </w:p>
    <w:p w:rsidRPr="006A0603" w:rsidR="002E658E" w:rsidP="002E658E" w:rsidRDefault="002E658E" w14:paraId="6209D633" w14:textId="5CBC4615">
      <w:pPr>
        <w:ind w:right="630"/>
        <w:rPr>
          <w:rFonts w:ascii="Palatino Linotype" w:hAnsi="Palatino Linotype"/>
          <w:sz w:val="24"/>
          <w:szCs w:val="24"/>
        </w:rPr>
      </w:pPr>
      <w:r w:rsidRPr="006A0603">
        <w:rPr>
          <w:rFonts w:ascii="Palatino Linotype" w:hAnsi="Palatino Linotype"/>
          <w:sz w:val="24"/>
          <w:szCs w:val="24"/>
        </w:rPr>
        <w:t xml:space="preserve">D.20-06-022 authorizes PG&amp;E to recover procurement and administrative costs incurred by the CPE through </w:t>
      </w:r>
      <w:r w:rsidR="00F46539">
        <w:rPr>
          <w:rFonts w:ascii="Palatino Linotype" w:hAnsi="Palatino Linotype"/>
          <w:sz w:val="24"/>
          <w:szCs w:val="24"/>
        </w:rPr>
        <w:t>the Cost Allocation Mechanism (CAM)</w:t>
      </w:r>
      <w:r w:rsidR="007A6108">
        <w:rPr>
          <w:rStyle w:val="FootnoteReference"/>
          <w:rFonts w:ascii="Palatino Linotype" w:hAnsi="Palatino Linotype"/>
          <w:sz w:val="24"/>
          <w:szCs w:val="24"/>
        </w:rPr>
        <w:footnoteReference w:id="9"/>
      </w:r>
      <w:r w:rsidR="00F46539">
        <w:rPr>
          <w:rFonts w:ascii="Palatino Linotype" w:hAnsi="Palatino Linotype"/>
          <w:sz w:val="24"/>
          <w:szCs w:val="24"/>
        </w:rPr>
        <w:t xml:space="preserve">. </w:t>
      </w:r>
      <w:r w:rsidRPr="006A0603">
        <w:rPr>
          <w:rFonts w:ascii="Palatino Linotype" w:hAnsi="Palatino Linotype"/>
          <w:sz w:val="24"/>
          <w:szCs w:val="24"/>
        </w:rPr>
        <w:t xml:space="preserve">CAM-eligible expenses are recovered from all retail customers including community choice aggregation (CCA) and direct access (DA) customers. Costs recovered may include procurement costs for PG&amp;E-CPE-procured resources, CAISO market and administrative charges, including cost allocation caused by CAISO’s backstop procurement, costs related to the IE, and all administrative costs associated with implementation and operations of the PG&amp;E-CPE function. </w:t>
      </w:r>
    </w:p>
    <w:p w:rsidRPr="00ED4B88" w:rsidR="002E658E" w:rsidP="002E658E" w:rsidRDefault="002E658E" w14:paraId="2E6B5219" w14:textId="77777777">
      <w:pPr>
        <w:ind w:right="630"/>
        <w:rPr>
          <w:rFonts w:ascii="Palatino Linotype" w:hAnsi="Palatino Linotype"/>
          <w:sz w:val="16"/>
          <w:szCs w:val="16"/>
        </w:rPr>
      </w:pPr>
    </w:p>
    <w:p w:rsidR="0098091B" w:rsidP="00E908F5" w:rsidRDefault="002E658E" w14:paraId="250AE90A" w14:textId="7FDE8499">
      <w:pPr>
        <w:ind w:right="630"/>
        <w:rPr>
          <w:rFonts w:ascii="Palatino Linotype" w:hAnsi="Palatino Linotype"/>
          <w:sz w:val="24"/>
          <w:szCs w:val="24"/>
        </w:rPr>
      </w:pPr>
      <w:r w:rsidRPr="006A0603">
        <w:rPr>
          <w:rFonts w:ascii="Palatino Linotype" w:hAnsi="Palatino Linotype"/>
          <w:sz w:val="24"/>
          <w:szCs w:val="24"/>
        </w:rPr>
        <w:t xml:space="preserve">Additionally, OP 19 of D.22-03-034 authorizes CPE procurement costs to be forecasted and implemented in rates through the annual Energy Resource Recovery Account (ERRA) forecast proceeding; these costs will be handled in a separate confidential chapter in ERRA forecast testimony. </w:t>
      </w:r>
      <w:r w:rsidRPr="006A0603">
        <w:rPr>
          <w:rFonts w:ascii="Palatino Linotype" w:hAnsi="Palatino Linotype"/>
          <w:bCs/>
          <w:sz w:val="24"/>
          <w:szCs w:val="24"/>
        </w:rPr>
        <w:t xml:space="preserve">We find PG&amp;E’s proposed cost recovery </w:t>
      </w:r>
      <w:r w:rsidRPr="006A0603" w:rsidR="00A206E9">
        <w:rPr>
          <w:rFonts w:ascii="Palatino Linotype" w:hAnsi="Palatino Linotype"/>
          <w:bCs/>
          <w:sz w:val="24"/>
          <w:szCs w:val="24"/>
        </w:rPr>
        <w:t xml:space="preserve">request </w:t>
      </w:r>
      <w:r w:rsidRPr="006A0603">
        <w:rPr>
          <w:rFonts w:ascii="Palatino Linotype" w:hAnsi="Palatino Linotype"/>
          <w:bCs/>
          <w:sz w:val="24"/>
          <w:szCs w:val="24"/>
        </w:rPr>
        <w:t xml:space="preserve">consistent with </w:t>
      </w:r>
      <w:r w:rsidRPr="006A0603">
        <w:rPr>
          <w:rFonts w:ascii="Palatino Linotype" w:hAnsi="Palatino Linotype"/>
          <w:sz w:val="24"/>
          <w:szCs w:val="24"/>
        </w:rPr>
        <w:t>D.20-06-022 and D.22-03-034.</w:t>
      </w:r>
    </w:p>
    <w:p w:rsidR="003F3E35" w:rsidP="00E908F5" w:rsidRDefault="003F3E35" w14:paraId="423289FE" w14:textId="77777777">
      <w:pPr>
        <w:ind w:right="630"/>
        <w:rPr>
          <w:rFonts w:ascii="Palatino Linotype" w:hAnsi="Palatino Linotype"/>
          <w:sz w:val="24"/>
          <w:szCs w:val="24"/>
        </w:rPr>
      </w:pPr>
    </w:p>
    <w:p w:rsidRPr="006A0603" w:rsidR="00CD4CF8" w:rsidP="004D3B3D" w:rsidRDefault="00CD4CF8" w14:paraId="04B92A22" w14:textId="77777777">
      <w:pPr>
        <w:pStyle w:val="Heading1"/>
        <w:spacing w:before="200" w:after="120"/>
        <w:rPr>
          <w:rFonts w:ascii="Palatino Linotype" w:hAnsi="Palatino Linotype" w:eastAsia="Palatino Linotype"/>
          <w:sz w:val="24"/>
          <w:szCs w:val="24"/>
        </w:rPr>
      </w:pPr>
      <w:r w:rsidRPr="006A0603">
        <w:rPr>
          <w:rFonts w:ascii="Palatino Linotype" w:hAnsi="Palatino Linotype" w:eastAsia="Palatino Linotype"/>
          <w:sz w:val="24"/>
          <w:szCs w:val="24"/>
        </w:rPr>
        <w:t>Comments</w:t>
      </w:r>
    </w:p>
    <w:p w:rsidRPr="006A0603" w:rsidR="00CD4CF8" w:rsidP="00CD4CF8" w:rsidRDefault="00CD4CF8" w14:paraId="4E921A1D" w14:textId="1DE972FD">
      <w:pPr>
        <w:rPr>
          <w:rFonts w:ascii="Palatino Linotype" w:hAnsi="Palatino Linotype" w:eastAsia="Palatino Linotype"/>
          <w:sz w:val="24"/>
          <w:szCs w:val="24"/>
        </w:rPr>
      </w:pPr>
      <w:r w:rsidRPr="006A0603">
        <w:rPr>
          <w:rFonts w:ascii="Palatino Linotype" w:hAnsi="Palatino Linotype" w:eastAsia="Palatino Linotype"/>
          <w:sz w:val="24"/>
          <w:szCs w:val="24"/>
        </w:rPr>
        <w:t xml:space="preserve">Public Utilities Code section 311(g)(1) provides that this Resolution must be served on all parties and subject to at least 30 days public review.  Any comments are due within </w:t>
      </w:r>
      <w:r w:rsidR="00726FE1">
        <w:rPr>
          <w:rFonts w:ascii="Palatino Linotype" w:hAnsi="Palatino Linotype" w:eastAsia="Palatino Linotype"/>
          <w:sz w:val="24"/>
          <w:szCs w:val="24"/>
        </w:rPr>
        <w:br/>
      </w:r>
      <w:r w:rsidRPr="006A0603">
        <w:rPr>
          <w:rFonts w:ascii="Palatino Linotype" w:hAnsi="Palatino Linotype" w:eastAsia="Palatino Linotype"/>
          <w:sz w:val="24"/>
          <w:szCs w:val="24"/>
        </w:rPr>
        <w:t xml:space="preserve">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ED4B88" w:rsidR="00CD4CF8" w:rsidP="00CD4CF8" w:rsidRDefault="00CD4CF8" w14:paraId="5600BA7A" w14:textId="77777777">
      <w:pPr>
        <w:rPr>
          <w:rFonts w:ascii="Palatino Linotype" w:hAnsi="Palatino Linotype" w:eastAsia="Palatino Linotype"/>
          <w:sz w:val="16"/>
          <w:szCs w:val="16"/>
        </w:rPr>
      </w:pPr>
    </w:p>
    <w:p w:rsidRPr="00DF3C00" w:rsidR="008466D9" w:rsidP="008466D9" w:rsidRDefault="00CD4CF8" w14:paraId="557E1916" w14:textId="333E2BAF">
      <w:pPr>
        <w:rPr>
          <w:rFonts w:ascii="Palatino Linotype" w:hAnsi="Palatino Linotype"/>
          <w:sz w:val="24"/>
          <w:szCs w:val="24"/>
        </w:rPr>
      </w:pPr>
      <w:r w:rsidRPr="006A0603">
        <w:rPr>
          <w:rFonts w:ascii="Palatino Linotype" w:hAnsi="Palatino Linotype" w:eastAsia="Palatino Linotype"/>
          <w:sz w:val="24"/>
          <w:szCs w:val="24"/>
        </w:rPr>
        <w:t xml:space="preserve">The 30-day review and 20-day comment period for the draft of this resolution was neither waived nor reduced.  Accordingly, this draft resolution was mailed to parties for </w:t>
      </w:r>
      <w:r w:rsidRPr="006A0603" w:rsidR="00281D5A">
        <w:rPr>
          <w:rFonts w:ascii="Palatino Linotype" w:hAnsi="Palatino Linotype" w:eastAsia="Palatino Linotype"/>
          <w:sz w:val="24"/>
          <w:szCs w:val="24"/>
        </w:rPr>
        <w:t>comments and</w:t>
      </w:r>
      <w:r w:rsidRPr="006A0603">
        <w:rPr>
          <w:rFonts w:ascii="Palatino Linotype" w:hAnsi="Palatino Linotype" w:eastAsia="Palatino Linotype"/>
          <w:sz w:val="24"/>
          <w:szCs w:val="24"/>
        </w:rPr>
        <w:t xml:space="preserve"> will be placed on the Commission's agenda no earlier than 30 days from today.</w:t>
      </w:r>
      <w:r w:rsidR="00346884">
        <w:rPr>
          <w:rFonts w:ascii="Palatino Linotype" w:hAnsi="Palatino Linotype" w:eastAsia="Palatino Linotype"/>
          <w:sz w:val="24"/>
          <w:szCs w:val="24"/>
        </w:rPr>
        <w:t xml:space="preserve"> </w:t>
      </w:r>
    </w:p>
    <w:p w:rsidRPr="000B3192" w:rsidR="008466D9" w:rsidP="008466D9" w:rsidRDefault="008466D9" w14:paraId="61955594" w14:textId="77777777">
      <w:pPr>
        <w:rPr>
          <w:rFonts w:ascii="Palatino Linotype" w:hAnsi="Palatino Linotype"/>
          <w:sz w:val="16"/>
          <w:szCs w:val="16"/>
        </w:rPr>
      </w:pPr>
    </w:p>
    <w:p w:rsidRPr="00ED4B88" w:rsidR="00CD4CF8" w:rsidP="00CD4CF8" w:rsidRDefault="00CD4CF8" w14:paraId="6C7481FE" w14:textId="77777777">
      <w:pPr>
        <w:rPr>
          <w:rFonts w:ascii="Palatino Linotype" w:hAnsi="Palatino Linotype" w:eastAsia="Palatino Linotype"/>
          <w:sz w:val="16"/>
          <w:szCs w:val="16"/>
        </w:rPr>
      </w:pPr>
    </w:p>
    <w:p w:rsidRPr="006A0603" w:rsidR="001C59C2" w:rsidP="00CD4CF8" w:rsidRDefault="001C59C2" w14:paraId="6B3CD677" w14:textId="77777777">
      <w:pPr>
        <w:rPr>
          <w:rFonts w:ascii="Palatino Linotype" w:hAnsi="Palatino Linotype" w:eastAsia="Palatino Linotype"/>
          <w:sz w:val="24"/>
          <w:szCs w:val="24"/>
        </w:rPr>
      </w:pPr>
    </w:p>
    <w:p w:rsidRPr="006A0603" w:rsidR="00AC2625" w:rsidP="004D3B3D" w:rsidRDefault="00CD4CF8" w14:paraId="2D199D9E" w14:textId="5C984EB8">
      <w:pPr>
        <w:pStyle w:val="Heading1"/>
        <w:spacing w:before="0" w:after="120"/>
        <w:rPr>
          <w:rFonts w:ascii="Palatino Linotype" w:hAnsi="Palatino Linotype" w:eastAsia="Palatino Linotype"/>
          <w:sz w:val="24"/>
          <w:szCs w:val="24"/>
        </w:rPr>
      </w:pPr>
      <w:r w:rsidRPr="006A0603">
        <w:rPr>
          <w:rFonts w:ascii="Palatino Linotype" w:hAnsi="Palatino Linotype" w:eastAsia="Palatino Linotype"/>
          <w:sz w:val="24"/>
          <w:szCs w:val="24"/>
        </w:rPr>
        <w:lastRenderedPageBreak/>
        <w:t>Findings</w:t>
      </w:r>
    </w:p>
    <w:p w:rsidRPr="004F5703" w:rsidR="00276E39" w:rsidP="00134D3B" w:rsidRDefault="00BB1239" w14:paraId="75DACD3A" w14:textId="5C56CB8E">
      <w:pPr>
        <w:numPr>
          <w:ilvl w:val="0"/>
          <w:numId w:val="6"/>
        </w:numPr>
        <w:spacing w:before="240"/>
        <w:rPr>
          <w:rFonts w:ascii="Palatino Linotype" w:hAnsi="Palatino Linotype" w:eastAsia="Palatino Linotype"/>
          <w:sz w:val="16"/>
          <w:szCs w:val="16"/>
        </w:rPr>
      </w:pPr>
      <w:r w:rsidRPr="00134D3B">
        <w:rPr>
          <w:rFonts w:ascii="Palatino Linotype" w:hAnsi="Palatino Linotype" w:eastAsia="Palatino Linotype" w:cs="Palatino Linotype"/>
          <w:sz w:val="24"/>
          <w:szCs w:val="24"/>
        </w:rPr>
        <w:t>P</w:t>
      </w:r>
      <w:r w:rsidRPr="00134D3B" w:rsidR="00F1393D">
        <w:rPr>
          <w:rFonts w:ascii="Palatino Linotype" w:hAnsi="Palatino Linotype" w:eastAsia="Palatino Linotype" w:cs="Palatino Linotype"/>
          <w:sz w:val="24"/>
          <w:szCs w:val="24"/>
        </w:rPr>
        <w:t>G&amp;E</w:t>
      </w:r>
      <w:r w:rsidR="005F0E95">
        <w:rPr>
          <w:rFonts w:ascii="Palatino Linotype" w:hAnsi="Palatino Linotype" w:eastAsia="Palatino Linotype" w:cs="Palatino Linotype"/>
          <w:sz w:val="24"/>
          <w:szCs w:val="24"/>
        </w:rPr>
        <w:t xml:space="preserve"> filed AL 7381-E on October 8, 2024, </w:t>
      </w:r>
      <w:r w:rsidR="00276E39">
        <w:rPr>
          <w:rFonts w:ascii="Palatino Linotype" w:hAnsi="Palatino Linotype" w:eastAsia="Palatino Linotype" w:cs="Palatino Linotype"/>
          <w:sz w:val="24"/>
          <w:szCs w:val="24"/>
        </w:rPr>
        <w:t xml:space="preserve">in </w:t>
      </w:r>
      <w:r w:rsidR="00B90783">
        <w:rPr>
          <w:rFonts w:ascii="Palatino Linotype" w:hAnsi="Palatino Linotype" w:eastAsia="Palatino Linotype" w:cs="Palatino Linotype"/>
          <w:sz w:val="24"/>
          <w:szCs w:val="24"/>
        </w:rPr>
        <w:t>its</w:t>
      </w:r>
      <w:r w:rsidR="00276E39">
        <w:rPr>
          <w:rFonts w:ascii="Palatino Linotype" w:hAnsi="Palatino Linotype" w:eastAsia="Palatino Linotype" w:cs="Palatino Linotype"/>
          <w:sz w:val="24"/>
          <w:szCs w:val="24"/>
        </w:rPr>
        <w:t xml:space="preserve"> capacity as the </w:t>
      </w:r>
      <w:r w:rsidRPr="00134D3B" w:rsidR="00276E39">
        <w:rPr>
          <w:rFonts w:ascii="Palatino Linotype" w:hAnsi="Palatino Linotype" w:eastAsia="Palatino Linotype" w:cs="Palatino Linotype"/>
          <w:sz w:val="24"/>
          <w:szCs w:val="24"/>
        </w:rPr>
        <w:t>Central Procurement Entity (CPE) for its service territory</w:t>
      </w:r>
      <w:r w:rsidR="00B90783">
        <w:rPr>
          <w:rFonts w:ascii="Palatino Linotype" w:hAnsi="Palatino Linotype" w:eastAsia="Palatino Linotype" w:cs="Palatino Linotype"/>
          <w:sz w:val="24"/>
          <w:szCs w:val="24"/>
        </w:rPr>
        <w:t>, pursuant to D.20-06-022.</w:t>
      </w:r>
      <w:r w:rsidR="00276E39">
        <w:rPr>
          <w:rFonts w:ascii="Palatino Linotype" w:hAnsi="Palatino Linotype" w:eastAsia="Palatino Linotype" w:cs="Palatino Linotype"/>
          <w:sz w:val="24"/>
          <w:szCs w:val="24"/>
        </w:rPr>
        <w:t xml:space="preserve"> </w:t>
      </w:r>
    </w:p>
    <w:p w:rsidRPr="004F5703" w:rsidR="000455A7" w:rsidP="00134D3B" w:rsidRDefault="00276E39" w14:paraId="4822C59B" w14:textId="40AF2FC0">
      <w:pPr>
        <w:numPr>
          <w:ilvl w:val="0"/>
          <w:numId w:val="6"/>
        </w:numPr>
        <w:spacing w:before="240"/>
        <w:rPr>
          <w:rFonts w:ascii="Palatino Linotype" w:hAnsi="Palatino Linotype" w:eastAsia="Palatino Linotype"/>
          <w:sz w:val="16"/>
          <w:szCs w:val="16"/>
        </w:rPr>
      </w:pPr>
      <w:r>
        <w:rPr>
          <w:rFonts w:ascii="Palatino Linotype" w:hAnsi="Palatino Linotype" w:eastAsia="Palatino Linotype" w:cs="Palatino Linotype"/>
          <w:sz w:val="24"/>
          <w:szCs w:val="24"/>
        </w:rPr>
        <w:t>In PG&amp;E AL 7381- E, PG&amp;E</w:t>
      </w:r>
      <w:r w:rsidR="00B90783">
        <w:rPr>
          <w:rFonts w:ascii="Palatino Linotype" w:hAnsi="Palatino Linotype" w:eastAsia="Palatino Linotype" w:cs="Palatino Linotype"/>
          <w:sz w:val="24"/>
          <w:szCs w:val="24"/>
        </w:rPr>
        <w:t>-</w:t>
      </w:r>
      <w:r>
        <w:rPr>
          <w:rFonts w:ascii="Palatino Linotype" w:hAnsi="Palatino Linotype" w:eastAsia="Palatino Linotype" w:cs="Palatino Linotype"/>
          <w:sz w:val="24"/>
          <w:szCs w:val="24"/>
        </w:rPr>
        <w:t xml:space="preserve">CPE </w:t>
      </w:r>
      <w:r w:rsidR="000455A7">
        <w:rPr>
          <w:rFonts w:ascii="Palatino Linotype" w:hAnsi="Palatino Linotype" w:eastAsia="Palatino Linotype" w:cs="Palatino Linotype"/>
          <w:sz w:val="24"/>
          <w:szCs w:val="24"/>
        </w:rPr>
        <w:t>seek</w:t>
      </w:r>
      <w:r>
        <w:rPr>
          <w:rFonts w:ascii="Palatino Linotype" w:hAnsi="Palatino Linotype" w:eastAsia="Palatino Linotype" w:cs="Palatino Linotype"/>
          <w:sz w:val="24"/>
          <w:szCs w:val="24"/>
        </w:rPr>
        <w:t>s</w:t>
      </w:r>
      <w:r w:rsidR="005F0E95">
        <w:rPr>
          <w:rFonts w:ascii="Palatino Linotype" w:hAnsi="Palatino Linotype" w:eastAsia="Palatino Linotype" w:cs="Palatino Linotype"/>
          <w:sz w:val="24"/>
          <w:szCs w:val="24"/>
        </w:rPr>
        <w:t xml:space="preserve"> contract approval and cost recovery for </w:t>
      </w:r>
      <w:r w:rsidR="00B90783">
        <w:rPr>
          <w:rFonts w:ascii="Palatino Linotype" w:hAnsi="Palatino Linotype" w:eastAsia="Palatino Linotype" w:cs="Palatino Linotype"/>
          <w:sz w:val="24"/>
          <w:szCs w:val="24"/>
        </w:rPr>
        <w:t>a</w:t>
      </w:r>
      <w:r w:rsidR="000455A7">
        <w:rPr>
          <w:rFonts w:ascii="Palatino Linotype" w:hAnsi="Palatino Linotype"/>
          <w:sz w:val="24"/>
          <w:szCs w:val="24"/>
        </w:rPr>
        <w:t xml:space="preserve"> </w:t>
      </w:r>
      <w:r w:rsidRPr="00B45D50" w:rsidR="000455A7">
        <w:rPr>
          <w:rFonts w:ascii="Palatino Linotype" w:hAnsi="Palatino Linotype"/>
          <w:sz w:val="24"/>
          <w:szCs w:val="24"/>
        </w:rPr>
        <w:t>resource</w:t>
      </w:r>
      <w:r w:rsidRPr="00D337C2" w:rsidR="000455A7">
        <w:rPr>
          <w:rFonts w:ascii="Palatino Linotype" w:hAnsi="Palatino Linotype"/>
          <w:sz w:val="24"/>
          <w:szCs w:val="24"/>
        </w:rPr>
        <w:t xml:space="preserve"> adequacy</w:t>
      </w:r>
      <w:r>
        <w:rPr>
          <w:rFonts w:ascii="Palatino Linotype" w:hAnsi="Palatino Linotype"/>
          <w:sz w:val="24"/>
          <w:szCs w:val="24"/>
        </w:rPr>
        <w:t xml:space="preserve"> (RA)</w:t>
      </w:r>
      <w:r w:rsidR="000455A7">
        <w:rPr>
          <w:rFonts w:ascii="Palatino Linotype" w:hAnsi="Palatino Linotype"/>
          <w:sz w:val="24"/>
          <w:szCs w:val="24"/>
        </w:rPr>
        <w:t xml:space="preserve"> </w:t>
      </w:r>
      <w:r w:rsidR="00B90783">
        <w:rPr>
          <w:rFonts w:ascii="Palatino Linotype" w:hAnsi="Palatino Linotype"/>
          <w:sz w:val="24"/>
          <w:szCs w:val="24"/>
        </w:rPr>
        <w:t>A</w:t>
      </w:r>
      <w:r w:rsidRPr="00D337C2" w:rsidR="000455A7">
        <w:rPr>
          <w:rFonts w:ascii="Palatino Linotype" w:hAnsi="Palatino Linotype"/>
          <w:sz w:val="24"/>
          <w:szCs w:val="24"/>
        </w:rPr>
        <w:t>greement</w:t>
      </w:r>
      <w:r w:rsidR="000455A7">
        <w:rPr>
          <w:rFonts w:ascii="Palatino Linotype" w:hAnsi="Palatino Linotype"/>
          <w:sz w:val="24"/>
          <w:szCs w:val="24"/>
        </w:rPr>
        <w:t xml:space="preserve">, </w:t>
      </w:r>
      <w:r w:rsidRPr="00FC058D">
        <w:rPr>
          <w:rFonts w:ascii="Palatino Linotype" w:hAnsi="Palatino Linotype"/>
          <w:sz w:val="24"/>
          <w:szCs w:val="24"/>
        </w:rPr>
        <w:t xml:space="preserve">resulting from the 2024 PG&amp;E-CPE Local RA </w:t>
      </w:r>
      <w:r>
        <w:rPr>
          <w:rFonts w:ascii="Palatino Linotype" w:hAnsi="Palatino Linotype"/>
          <w:sz w:val="24"/>
          <w:szCs w:val="24"/>
        </w:rPr>
        <w:t>r</w:t>
      </w:r>
      <w:r w:rsidRPr="00FC058D">
        <w:rPr>
          <w:rFonts w:ascii="Palatino Linotype" w:hAnsi="Palatino Linotype"/>
          <w:sz w:val="24"/>
          <w:szCs w:val="24"/>
        </w:rPr>
        <w:t xml:space="preserve">equest for </w:t>
      </w:r>
      <w:r>
        <w:rPr>
          <w:rFonts w:ascii="Palatino Linotype" w:hAnsi="Palatino Linotype"/>
          <w:sz w:val="24"/>
          <w:szCs w:val="24"/>
        </w:rPr>
        <w:t>o</w:t>
      </w:r>
      <w:r w:rsidRPr="00FC058D">
        <w:rPr>
          <w:rFonts w:ascii="Palatino Linotype" w:hAnsi="Palatino Linotype"/>
          <w:sz w:val="24"/>
          <w:szCs w:val="24"/>
        </w:rPr>
        <w:t>ffer</w:t>
      </w:r>
      <w:r>
        <w:rPr>
          <w:rFonts w:ascii="Palatino Linotype" w:hAnsi="Palatino Linotype"/>
          <w:sz w:val="24"/>
          <w:szCs w:val="24"/>
        </w:rPr>
        <w:t xml:space="preserve"> (RFO)</w:t>
      </w:r>
      <w:r w:rsidR="00B90783">
        <w:rPr>
          <w:rFonts w:ascii="Palatino Linotype" w:hAnsi="Palatino Linotype"/>
          <w:sz w:val="24"/>
          <w:szCs w:val="24"/>
        </w:rPr>
        <w:t>, to meet a portion of its local requirements</w:t>
      </w:r>
      <w:r>
        <w:rPr>
          <w:rFonts w:ascii="Palatino Linotype" w:hAnsi="Palatino Linotype"/>
          <w:sz w:val="24"/>
          <w:szCs w:val="24"/>
        </w:rPr>
        <w:t>.</w:t>
      </w:r>
    </w:p>
    <w:p w:rsidRPr="004F5703" w:rsidR="005F0E95" w:rsidP="00134D3B" w:rsidRDefault="00276E39" w14:paraId="1A1D5E9F" w14:textId="1578F288">
      <w:pPr>
        <w:numPr>
          <w:ilvl w:val="0"/>
          <w:numId w:val="6"/>
        </w:numPr>
        <w:spacing w:before="240"/>
        <w:rPr>
          <w:rFonts w:ascii="Palatino Linotype" w:hAnsi="Palatino Linotype" w:eastAsia="Palatino Linotype"/>
          <w:sz w:val="16"/>
          <w:szCs w:val="16"/>
        </w:rPr>
      </w:pPr>
      <w:r>
        <w:rPr>
          <w:rFonts w:ascii="Palatino Linotype" w:hAnsi="Palatino Linotype"/>
          <w:sz w:val="24"/>
          <w:szCs w:val="24"/>
        </w:rPr>
        <w:t xml:space="preserve">The RA Agreement is </w:t>
      </w:r>
      <w:r w:rsidRPr="00CE75CC" w:rsidR="000455A7">
        <w:rPr>
          <w:rFonts w:ascii="Palatino Linotype" w:hAnsi="Palatino Linotype"/>
          <w:sz w:val="24"/>
          <w:szCs w:val="24"/>
        </w:rPr>
        <w:t xml:space="preserve">for a new build energy storage facility </w:t>
      </w:r>
      <w:r w:rsidR="000455A7">
        <w:rPr>
          <w:rFonts w:ascii="Palatino Linotype" w:hAnsi="Palatino Linotype"/>
          <w:sz w:val="24"/>
          <w:szCs w:val="24"/>
        </w:rPr>
        <w:t>with a</w:t>
      </w:r>
      <w:r w:rsidRPr="00CE75CC" w:rsidR="000455A7">
        <w:rPr>
          <w:rFonts w:ascii="Palatino Linotype" w:hAnsi="Palatino Linotype"/>
          <w:sz w:val="24"/>
          <w:szCs w:val="24"/>
        </w:rPr>
        <w:t xml:space="preserve"> </w:t>
      </w:r>
      <w:r w:rsidRPr="00FD58E9" w:rsidR="000455A7">
        <w:rPr>
          <w:rFonts w:ascii="Palatino Linotype" w:hAnsi="Palatino Linotype"/>
          <w:sz w:val="24"/>
          <w:szCs w:val="24"/>
        </w:rPr>
        <w:t>ten-year</w:t>
      </w:r>
      <w:r w:rsidR="000455A7">
        <w:rPr>
          <w:rFonts w:ascii="Palatino Linotype" w:hAnsi="Palatino Linotype"/>
          <w:sz w:val="24"/>
          <w:szCs w:val="24"/>
        </w:rPr>
        <w:t xml:space="preserve"> duration. </w:t>
      </w:r>
      <w:r w:rsidR="00E37F52">
        <w:rPr>
          <w:rFonts w:ascii="Palatino Linotype" w:hAnsi="Palatino Linotype" w:eastAsia="Palatino Linotype" w:cs="Palatino Linotype"/>
          <w:sz w:val="24"/>
          <w:szCs w:val="24"/>
        </w:rPr>
        <w:t xml:space="preserve"> </w:t>
      </w:r>
    </w:p>
    <w:p w:rsidRPr="007A6108" w:rsidR="00D02E53" w:rsidP="00D02E53" w:rsidRDefault="00357E91" w14:paraId="46831C44" w14:textId="4FF21375">
      <w:pPr>
        <w:numPr>
          <w:ilvl w:val="0"/>
          <w:numId w:val="6"/>
        </w:numPr>
        <w:spacing w:before="240"/>
        <w:rPr>
          <w:rFonts w:ascii="Palatino Linotype" w:hAnsi="Palatino Linotype"/>
          <w:sz w:val="24"/>
          <w:szCs w:val="24"/>
        </w:rPr>
      </w:pPr>
      <w:r w:rsidRPr="007A6108">
        <w:rPr>
          <w:rFonts w:ascii="Palatino Linotype" w:hAnsi="Palatino Linotype"/>
          <w:sz w:val="24"/>
          <w:szCs w:val="24"/>
        </w:rPr>
        <w:t xml:space="preserve">In launching and executing its solicitation as described in AL 7381-E, PG&amp;E-CPE </w:t>
      </w:r>
      <w:r w:rsidR="00E37F52">
        <w:rPr>
          <w:rFonts w:ascii="Palatino Linotype" w:hAnsi="Palatino Linotype"/>
          <w:sz w:val="24"/>
          <w:szCs w:val="24"/>
        </w:rPr>
        <w:t xml:space="preserve">acted </w:t>
      </w:r>
      <w:r w:rsidRPr="007A6108">
        <w:rPr>
          <w:rFonts w:ascii="Palatino Linotype" w:hAnsi="Palatino Linotype"/>
          <w:sz w:val="24"/>
          <w:szCs w:val="24"/>
        </w:rPr>
        <w:t>consistent</w:t>
      </w:r>
      <w:r w:rsidR="00E37F52">
        <w:rPr>
          <w:rFonts w:ascii="Palatino Linotype" w:hAnsi="Palatino Linotype"/>
          <w:sz w:val="24"/>
          <w:szCs w:val="24"/>
        </w:rPr>
        <w:t>ly</w:t>
      </w:r>
      <w:r w:rsidRPr="007A6108">
        <w:rPr>
          <w:rFonts w:ascii="Palatino Linotype" w:hAnsi="Palatino Linotype"/>
          <w:sz w:val="24"/>
          <w:szCs w:val="24"/>
        </w:rPr>
        <w:t xml:space="preserve"> with the criteria as ordered in </w:t>
      </w:r>
      <w:r w:rsidRPr="007A6108" w:rsidR="00D02E53">
        <w:rPr>
          <w:rFonts w:ascii="Palatino Linotype" w:hAnsi="Palatino Linotype"/>
          <w:sz w:val="24"/>
          <w:szCs w:val="24"/>
        </w:rPr>
        <w:t>D.20-06-022</w:t>
      </w:r>
      <w:r w:rsidRPr="007A6108">
        <w:rPr>
          <w:rFonts w:ascii="Palatino Linotype" w:hAnsi="Palatino Linotype"/>
          <w:sz w:val="24"/>
          <w:szCs w:val="24"/>
        </w:rPr>
        <w:t xml:space="preserve">; moreover, PG&amp;E-CPE met the requirements of D.22-03-034 in applying the specific </w:t>
      </w:r>
      <w:r w:rsidRPr="007A6108" w:rsidR="00D02E53">
        <w:rPr>
          <w:rFonts w:ascii="Palatino Linotype" w:hAnsi="Palatino Linotype"/>
          <w:sz w:val="24"/>
          <w:szCs w:val="24"/>
        </w:rPr>
        <w:t xml:space="preserve">selection </w:t>
      </w:r>
      <w:r w:rsidRPr="007A6108">
        <w:rPr>
          <w:rFonts w:ascii="Palatino Linotype" w:hAnsi="Palatino Linotype"/>
          <w:sz w:val="24"/>
          <w:szCs w:val="24"/>
        </w:rPr>
        <w:t>criteria ordered in that decision.</w:t>
      </w:r>
    </w:p>
    <w:p w:rsidRPr="00D02E53" w:rsidR="00D02E53" w:rsidP="00D02E53" w:rsidRDefault="00E37F52" w14:paraId="77DF245E" w14:textId="485184A9">
      <w:pPr>
        <w:numPr>
          <w:ilvl w:val="0"/>
          <w:numId w:val="6"/>
        </w:numPr>
        <w:spacing w:before="240"/>
        <w:rPr>
          <w:rFonts w:ascii="Palatino Linotype" w:hAnsi="Palatino Linotype"/>
          <w:sz w:val="24"/>
          <w:szCs w:val="24"/>
        </w:rPr>
      </w:pPr>
      <w:r>
        <w:rPr>
          <w:rFonts w:ascii="Palatino Linotype" w:hAnsi="Palatino Linotype"/>
          <w:sz w:val="24"/>
          <w:szCs w:val="24"/>
        </w:rPr>
        <w:t>Prior to executing the</w:t>
      </w:r>
      <w:r w:rsidR="00B90783">
        <w:rPr>
          <w:rFonts w:ascii="Palatino Linotype" w:hAnsi="Palatino Linotype"/>
          <w:sz w:val="24"/>
          <w:szCs w:val="24"/>
        </w:rPr>
        <w:t xml:space="preserve"> RA Agreement,</w:t>
      </w:r>
      <w:r w:rsidR="004F5703">
        <w:rPr>
          <w:rFonts w:ascii="Palatino Linotype" w:hAnsi="Palatino Linotype"/>
          <w:sz w:val="24"/>
          <w:szCs w:val="24"/>
        </w:rPr>
        <w:t xml:space="preserve"> </w:t>
      </w:r>
      <w:r>
        <w:rPr>
          <w:rFonts w:ascii="Palatino Linotype" w:hAnsi="Palatino Linotype"/>
          <w:sz w:val="24"/>
          <w:szCs w:val="24"/>
        </w:rPr>
        <w:t xml:space="preserve">presented in PG&amp;E AL 7381-E, </w:t>
      </w:r>
      <w:r w:rsidRPr="00B45D50" w:rsidR="00D02E53">
        <w:rPr>
          <w:rFonts w:ascii="Palatino Linotype" w:hAnsi="Palatino Linotype"/>
          <w:sz w:val="24"/>
          <w:szCs w:val="24"/>
        </w:rPr>
        <w:t>PG&amp;E</w:t>
      </w:r>
      <w:r>
        <w:rPr>
          <w:rFonts w:ascii="Palatino Linotype" w:hAnsi="Palatino Linotype"/>
          <w:sz w:val="24"/>
          <w:szCs w:val="24"/>
        </w:rPr>
        <w:t>-</w:t>
      </w:r>
      <w:r w:rsidRPr="00B45D50" w:rsidR="00D02E53">
        <w:rPr>
          <w:rFonts w:ascii="Palatino Linotype" w:hAnsi="Palatino Linotype"/>
          <w:sz w:val="24"/>
          <w:szCs w:val="24"/>
        </w:rPr>
        <w:t xml:space="preserve">CPE followed relevant CPUC </w:t>
      </w:r>
      <w:r w:rsidRPr="00D26707" w:rsidR="00D02E53">
        <w:rPr>
          <w:rFonts w:ascii="Palatino Linotype" w:hAnsi="Palatino Linotype"/>
          <w:sz w:val="24"/>
          <w:szCs w:val="24"/>
        </w:rPr>
        <w:t>requirements in its conduction of the 2024 CPE RFO, including utilizing a least cost best fit</w:t>
      </w:r>
      <w:r w:rsidRPr="00B45D50" w:rsidR="00D02E53">
        <w:rPr>
          <w:rFonts w:ascii="Palatino Linotype" w:hAnsi="Palatino Linotype"/>
          <w:sz w:val="24"/>
          <w:szCs w:val="24"/>
        </w:rPr>
        <w:t xml:space="preserve"> </w:t>
      </w:r>
      <w:r w:rsidRPr="00D26707" w:rsidR="00D02E53">
        <w:rPr>
          <w:rFonts w:ascii="Palatino Linotype" w:hAnsi="Palatino Linotype"/>
          <w:sz w:val="24"/>
          <w:szCs w:val="24"/>
        </w:rPr>
        <w:t>methodology within its quantitative evaluation methodology</w:t>
      </w:r>
      <w:r w:rsidRPr="00B45D50" w:rsidR="00D02E53">
        <w:rPr>
          <w:rFonts w:ascii="Palatino Linotype" w:hAnsi="Palatino Linotype" w:eastAsia="Palatino Linotype"/>
          <w:sz w:val="24"/>
          <w:szCs w:val="24"/>
        </w:rPr>
        <w:t xml:space="preserve">. </w:t>
      </w:r>
    </w:p>
    <w:p w:rsidRPr="00357E91" w:rsidR="00AC2625" w:rsidP="00357E91" w:rsidRDefault="00CD4CF8" w14:paraId="21FD0AF2" w14:textId="0B949378">
      <w:pPr>
        <w:numPr>
          <w:ilvl w:val="0"/>
          <w:numId w:val="6"/>
        </w:numPr>
        <w:spacing w:before="240"/>
        <w:rPr>
          <w:rFonts w:ascii="Palatino Linotype" w:hAnsi="Palatino Linotype" w:eastAsia="Palatino Linotype"/>
          <w:sz w:val="24"/>
          <w:szCs w:val="24"/>
        </w:rPr>
      </w:pPr>
      <w:r w:rsidRPr="00B45D50">
        <w:rPr>
          <w:rFonts w:ascii="Palatino Linotype" w:hAnsi="Palatino Linotype"/>
          <w:sz w:val="24"/>
          <w:szCs w:val="24"/>
        </w:rPr>
        <w:t>The contract</w:t>
      </w:r>
      <w:r w:rsidRPr="00B45D50" w:rsidR="00BB1239">
        <w:rPr>
          <w:rFonts w:ascii="Palatino Linotype" w:hAnsi="Palatino Linotype"/>
          <w:sz w:val="24"/>
          <w:szCs w:val="24"/>
        </w:rPr>
        <w:t xml:space="preserve"> </w:t>
      </w:r>
      <w:r w:rsidRPr="00B45D50" w:rsidR="00121680">
        <w:rPr>
          <w:rFonts w:ascii="Palatino Linotype" w:hAnsi="Palatino Linotype"/>
          <w:sz w:val="24"/>
          <w:szCs w:val="24"/>
        </w:rPr>
        <w:t>cost</w:t>
      </w:r>
      <w:r w:rsidR="00166044">
        <w:rPr>
          <w:rFonts w:ascii="Palatino Linotype" w:hAnsi="Palatino Linotype"/>
          <w:sz w:val="24"/>
          <w:szCs w:val="24"/>
        </w:rPr>
        <w:t>s</w:t>
      </w:r>
      <w:r w:rsidR="00D02E53">
        <w:rPr>
          <w:rFonts w:ascii="Palatino Linotype" w:hAnsi="Palatino Linotype"/>
          <w:sz w:val="24"/>
          <w:szCs w:val="24"/>
        </w:rPr>
        <w:t>,</w:t>
      </w:r>
      <w:r w:rsidRPr="00B45D50" w:rsidR="00121680">
        <w:rPr>
          <w:rFonts w:ascii="Palatino Linotype" w:hAnsi="Palatino Linotype"/>
          <w:sz w:val="24"/>
          <w:szCs w:val="24"/>
        </w:rPr>
        <w:t xml:space="preserve"> </w:t>
      </w:r>
      <w:r w:rsidRPr="00B45D50">
        <w:rPr>
          <w:rFonts w:ascii="Palatino Linotype" w:hAnsi="Palatino Linotype"/>
          <w:sz w:val="24"/>
          <w:szCs w:val="24"/>
        </w:rPr>
        <w:t xml:space="preserve">presented in </w:t>
      </w:r>
      <w:r w:rsidRPr="00B45D50" w:rsidR="00BB1239">
        <w:rPr>
          <w:rFonts w:ascii="Palatino Linotype" w:hAnsi="Palatino Linotype"/>
          <w:sz w:val="24"/>
          <w:szCs w:val="24"/>
        </w:rPr>
        <w:t>P</w:t>
      </w:r>
      <w:r w:rsidRPr="00B45D50" w:rsidR="00783B57">
        <w:rPr>
          <w:rFonts w:ascii="Palatino Linotype" w:hAnsi="Palatino Linotype"/>
          <w:sz w:val="24"/>
          <w:szCs w:val="24"/>
        </w:rPr>
        <w:t>G&amp;</w:t>
      </w:r>
      <w:r w:rsidRPr="00B45D50">
        <w:rPr>
          <w:rFonts w:ascii="Palatino Linotype" w:hAnsi="Palatino Linotype"/>
          <w:sz w:val="24"/>
          <w:szCs w:val="24"/>
        </w:rPr>
        <w:t xml:space="preserve">E AL </w:t>
      </w:r>
      <w:r w:rsidRPr="00B45D50" w:rsidR="00144BD1">
        <w:rPr>
          <w:rFonts w:ascii="Palatino Linotype" w:hAnsi="Palatino Linotype"/>
          <w:sz w:val="24"/>
          <w:szCs w:val="24"/>
        </w:rPr>
        <w:t>7381</w:t>
      </w:r>
      <w:r w:rsidRPr="00B45D50">
        <w:rPr>
          <w:rFonts w:ascii="Palatino Linotype" w:hAnsi="Palatino Linotype"/>
          <w:sz w:val="24"/>
          <w:szCs w:val="24"/>
        </w:rPr>
        <w:t>-E</w:t>
      </w:r>
      <w:r w:rsidR="00BA33DC">
        <w:rPr>
          <w:rFonts w:ascii="Palatino Linotype" w:hAnsi="Palatino Linotype"/>
          <w:sz w:val="24"/>
          <w:szCs w:val="24"/>
        </w:rPr>
        <w:t>,</w:t>
      </w:r>
      <w:r w:rsidRPr="00B45D50">
        <w:rPr>
          <w:rFonts w:ascii="Palatino Linotype" w:hAnsi="Palatino Linotype"/>
          <w:sz w:val="24"/>
          <w:szCs w:val="24"/>
        </w:rPr>
        <w:t xml:space="preserve"> </w:t>
      </w:r>
      <w:r w:rsidRPr="00B45D50" w:rsidR="001060F4">
        <w:rPr>
          <w:rFonts w:ascii="Palatino Linotype" w:hAnsi="Palatino Linotype"/>
          <w:sz w:val="24"/>
          <w:szCs w:val="24"/>
        </w:rPr>
        <w:t>are reasonable</w:t>
      </w:r>
      <w:r w:rsidRPr="00B45D50" w:rsidR="00BB1239">
        <w:rPr>
          <w:rFonts w:ascii="Palatino Linotype" w:hAnsi="Palatino Linotype"/>
          <w:sz w:val="24"/>
          <w:szCs w:val="24"/>
        </w:rPr>
        <w:t xml:space="preserve"> </w:t>
      </w:r>
      <w:r w:rsidRPr="00B45D50" w:rsidR="001060F4">
        <w:rPr>
          <w:rFonts w:ascii="Palatino Linotype" w:hAnsi="Palatino Linotype"/>
          <w:sz w:val="24"/>
          <w:szCs w:val="24"/>
        </w:rPr>
        <w:t xml:space="preserve">as </w:t>
      </w:r>
      <w:r w:rsidR="00357E91">
        <w:rPr>
          <w:rFonts w:ascii="Palatino Linotype" w:hAnsi="Palatino Linotype"/>
          <w:sz w:val="24"/>
          <w:szCs w:val="24"/>
        </w:rPr>
        <w:t>it is competitive with market prices</w:t>
      </w:r>
      <w:r w:rsidRPr="00B45D50" w:rsidR="001060F4">
        <w:rPr>
          <w:rFonts w:ascii="Palatino Linotype" w:hAnsi="Palatino Linotype"/>
          <w:sz w:val="24"/>
          <w:szCs w:val="24"/>
        </w:rPr>
        <w:t xml:space="preserve"> </w:t>
      </w:r>
      <w:r w:rsidR="00357E91">
        <w:rPr>
          <w:rFonts w:ascii="Palatino Linotype" w:hAnsi="Palatino Linotype"/>
          <w:sz w:val="24"/>
          <w:szCs w:val="24"/>
        </w:rPr>
        <w:t xml:space="preserve">and represents </w:t>
      </w:r>
      <w:r w:rsidR="00E37F52">
        <w:rPr>
          <w:rFonts w:ascii="Palatino Linotype" w:hAnsi="Palatino Linotype"/>
          <w:sz w:val="24"/>
          <w:szCs w:val="24"/>
        </w:rPr>
        <w:t>a</w:t>
      </w:r>
      <w:r w:rsidRPr="00635C77" w:rsidR="00357E91">
        <w:rPr>
          <w:rFonts w:ascii="Palatino Linotype" w:hAnsi="Palatino Linotype"/>
          <w:sz w:val="24"/>
          <w:szCs w:val="24"/>
        </w:rPr>
        <w:t xml:space="preserve"> high</w:t>
      </w:r>
      <w:r w:rsidR="00E37F52">
        <w:rPr>
          <w:rFonts w:ascii="Palatino Linotype" w:hAnsi="Palatino Linotype"/>
          <w:sz w:val="24"/>
          <w:szCs w:val="24"/>
        </w:rPr>
        <w:t xml:space="preserve">ly </w:t>
      </w:r>
      <w:r w:rsidRPr="00635C77" w:rsidR="00357E91">
        <w:rPr>
          <w:rFonts w:ascii="Palatino Linotype" w:hAnsi="Palatino Linotype"/>
          <w:sz w:val="24"/>
          <w:szCs w:val="24"/>
        </w:rPr>
        <w:t xml:space="preserve">ranked </w:t>
      </w:r>
      <w:r w:rsidR="00357E91">
        <w:rPr>
          <w:rFonts w:ascii="Palatino Linotype" w:hAnsi="Palatino Linotype"/>
          <w:sz w:val="24"/>
          <w:szCs w:val="24"/>
        </w:rPr>
        <w:t>RFO c</w:t>
      </w:r>
      <w:r w:rsidRPr="00635C77" w:rsidR="00357E91">
        <w:rPr>
          <w:rFonts w:ascii="Palatino Linotype" w:hAnsi="Palatino Linotype"/>
          <w:sz w:val="24"/>
          <w:szCs w:val="24"/>
        </w:rPr>
        <w:t xml:space="preserve">ompetitive </w:t>
      </w:r>
      <w:r w:rsidR="00357E91">
        <w:rPr>
          <w:rFonts w:ascii="Palatino Linotype" w:hAnsi="Palatino Linotype"/>
          <w:sz w:val="24"/>
          <w:szCs w:val="24"/>
        </w:rPr>
        <w:t>o</w:t>
      </w:r>
      <w:r w:rsidRPr="00635C77" w:rsidR="00357E91">
        <w:rPr>
          <w:rFonts w:ascii="Palatino Linotype" w:hAnsi="Palatino Linotype"/>
          <w:sz w:val="24"/>
          <w:szCs w:val="24"/>
        </w:rPr>
        <w:t xml:space="preserve">ffer that would </w:t>
      </w:r>
      <w:r w:rsidR="00357E91">
        <w:rPr>
          <w:rFonts w:ascii="Palatino Linotype" w:hAnsi="Palatino Linotype"/>
          <w:sz w:val="24"/>
          <w:szCs w:val="24"/>
        </w:rPr>
        <w:t xml:space="preserve">help to </w:t>
      </w:r>
      <w:r w:rsidRPr="00635C77" w:rsidR="00357E91">
        <w:rPr>
          <w:rFonts w:ascii="Palatino Linotype" w:hAnsi="Palatino Linotype"/>
          <w:sz w:val="24"/>
          <w:szCs w:val="24"/>
        </w:rPr>
        <w:t>meet</w:t>
      </w:r>
      <w:r w:rsidR="00357E91">
        <w:rPr>
          <w:rFonts w:ascii="Palatino Linotype" w:hAnsi="Palatino Linotype"/>
          <w:sz w:val="24"/>
          <w:szCs w:val="24"/>
        </w:rPr>
        <w:t xml:space="preserve"> the PG&amp;E CPE local RA requirements. </w:t>
      </w:r>
    </w:p>
    <w:p w:rsidR="00B92ED2" w:rsidP="00134D3B" w:rsidRDefault="00B92ED2" w14:paraId="74531099" w14:textId="6767068F">
      <w:pPr>
        <w:numPr>
          <w:ilvl w:val="0"/>
          <w:numId w:val="6"/>
        </w:numPr>
        <w:spacing w:before="240"/>
        <w:rPr>
          <w:rFonts w:ascii="Palatino Linotype" w:hAnsi="Palatino Linotype"/>
          <w:sz w:val="24"/>
          <w:szCs w:val="24"/>
        </w:rPr>
      </w:pPr>
      <w:r w:rsidRPr="006A0603">
        <w:rPr>
          <w:rFonts w:ascii="Palatino Linotype" w:hAnsi="Palatino Linotype"/>
          <w:sz w:val="24"/>
          <w:szCs w:val="24"/>
        </w:rPr>
        <w:t xml:space="preserve">D.20-06-022 authorizes PG&amp;E to recover </w:t>
      </w:r>
      <w:r w:rsidR="00E37F52">
        <w:rPr>
          <w:rFonts w:ascii="Palatino Linotype" w:hAnsi="Palatino Linotype"/>
          <w:sz w:val="24"/>
          <w:szCs w:val="24"/>
        </w:rPr>
        <w:t xml:space="preserve">both contract </w:t>
      </w:r>
      <w:r w:rsidRPr="006A0603">
        <w:rPr>
          <w:rFonts w:ascii="Palatino Linotype" w:hAnsi="Palatino Linotype"/>
          <w:sz w:val="24"/>
          <w:szCs w:val="24"/>
        </w:rPr>
        <w:t xml:space="preserve">procurement and administrative costs incurred by the </w:t>
      </w:r>
      <w:r w:rsidR="00E37F52">
        <w:rPr>
          <w:rFonts w:ascii="Palatino Linotype" w:hAnsi="Palatino Linotype"/>
          <w:sz w:val="24"/>
          <w:szCs w:val="24"/>
        </w:rPr>
        <w:t>PG&amp;E-</w:t>
      </w:r>
      <w:r w:rsidRPr="006A0603">
        <w:rPr>
          <w:rFonts w:ascii="Palatino Linotype" w:hAnsi="Palatino Linotype"/>
          <w:sz w:val="24"/>
          <w:szCs w:val="24"/>
        </w:rPr>
        <w:t xml:space="preserve">CPE through </w:t>
      </w:r>
      <w:r>
        <w:rPr>
          <w:rFonts w:ascii="Palatino Linotype" w:hAnsi="Palatino Linotype"/>
          <w:sz w:val="24"/>
          <w:szCs w:val="24"/>
        </w:rPr>
        <w:t xml:space="preserve">the Cost Allocation Mechanism (CAM). </w:t>
      </w:r>
    </w:p>
    <w:p w:rsidR="00B92ED2" w:rsidP="00134D3B" w:rsidRDefault="001060F4" w14:paraId="7162292E" w14:textId="5B26DC48">
      <w:pPr>
        <w:numPr>
          <w:ilvl w:val="0"/>
          <w:numId w:val="6"/>
        </w:numPr>
        <w:spacing w:before="240"/>
        <w:rPr>
          <w:rFonts w:ascii="Palatino Linotype" w:hAnsi="Palatino Linotype"/>
          <w:sz w:val="24"/>
          <w:szCs w:val="24"/>
        </w:rPr>
      </w:pPr>
      <w:r w:rsidRPr="006A0603">
        <w:rPr>
          <w:rFonts w:ascii="Palatino Linotype" w:hAnsi="Palatino Linotype"/>
          <w:bCs/>
          <w:sz w:val="24"/>
          <w:szCs w:val="24"/>
        </w:rPr>
        <w:t>PG&amp;E’s</w:t>
      </w:r>
      <w:r w:rsidR="00E37F52">
        <w:rPr>
          <w:rFonts w:ascii="Palatino Linotype" w:hAnsi="Palatino Linotype"/>
          <w:bCs/>
          <w:sz w:val="24"/>
          <w:szCs w:val="24"/>
        </w:rPr>
        <w:t xml:space="preserve"> AL 7381-E </w:t>
      </w:r>
      <w:r w:rsidRPr="006A0603">
        <w:rPr>
          <w:rFonts w:ascii="Palatino Linotype" w:hAnsi="Palatino Linotype"/>
          <w:bCs/>
          <w:sz w:val="24"/>
          <w:szCs w:val="24"/>
        </w:rPr>
        <w:t xml:space="preserve">proposed cost recovery </w:t>
      </w:r>
      <w:r w:rsidR="004D79A8">
        <w:rPr>
          <w:rFonts w:ascii="Palatino Linotype" w:hAnsi="Palatino Linotype"/>
          <w:bCs/>
          <w:sz w:val="24"/>
          <w:szCs w:val="24"/>
        </w:rPr>
        <w:t xml:space="preserve">of the RA Agreement </w:t>
      </w:r>
      <w:r w:rsidR="00B92ED2">
        <w:rPr>
          <w:rFonts w:ascii="Palatino Linotype" w:hAnsi="Palatino Linotype"/>
          <w:bCs/>
          <w:sz w:val="24"/>
          <w:szCs w:val="24"/>
        </w:rPr>
        <w:t>is consistent with</w:t>
      </w:r>
      <w:r>
        <w:rPr>
          <w:rFonts w:ascii="Palatino Linotype" w:hAnsi="Palatino Linotype"/>
          <w:bCs/>
          <w:sz w:val="24"/>
          <w:szCs w:val="24"/>
        </w:rPr>
        <w:t xml:space="preserve"> </w:t>
      </w:r>
      <w:r w:rsidRPr="006A0603">
        <w:rPr>
          <w:rFonts w:ascii="Palatino Linotype" w:hAnsi="Palatino Linotype"/>
          <w:sz w:val="24"/>
          <w:szCs w:val="24"/>
        </w:rPr>
        <w:t>D.20-06-022</w:t>
      </w:r>
      <w:r w:rsidR="00B92ED2">
        <w:rPr>
          <w:rFonts w:ascii="Palatino Linotype" w:hAnsi="Palatino Linotype"/>
          <w:sz w:val="24"/>
          <w:szCs w:val="24"/>
        </w:rPr>
        <w:t>.</w:t>
      </w:r>
    </w:p>
    <w:p w:rsidR="00134D3B" w:rsidP="0066269B" w:rsidRDefault="00134D3B" w14:paraId="76FD4CC5" w14:textId="77777777">
      <w:pPr>
        <w:rPr>
          <w:rFonts w:ascii="Palatino Linotype" w:hAnsi="Palatino Linotype"/>
          <w:sz w:val="24"/>
          <w:szCs w:val="24"/>
        </w:rPr>
      </w:pPr>
    </w:p>
    <w:p w:rsidRPr="006A0603" w:rsidR="00CD4CF8" w:rsidP="00872051" w:rsidRDefault="002E3E94" w14:paraId="26699061" w14:textId="44021C2F">
      <w:pPr>
        <w:pStyle w:val="Heading1"/>
        <w:spacing w:before="240" w:after="120"/>
        <w:rPr>
          <w:rFonts w:ascii="Palatino Linotype" w:hAnsi="Palatino Linotype" w:eastAsia="Palatino Linotype"/>
          <w:sz w:val="24"/>
          <w:szCs w:val="24"/>
        </w:rPr>
      </w:pPr>
      <w:r w:rsidRPr="006A0603">
        <w:rPr>
          <w:rFonts w:ascii="Palatino Linotype" w:hAnsi="Palatino Linotype" w:eastAsia="Palatino Linotype"/>
          <w:sz w:val="24"/>
          <w:szCs w:val="24"/>
        </w:rPr>
        <w:t>THEREFORE,</w:t>
      </w:r>
      <w:r w:rsidRPr="006A0603" w:rsidR="00CD4CF8">
        <w:rPr>
          <w:rFonts w:ascii="Palatino Linotype" w:hAnsi="Palatino Linotype" w:eastAsia="Palatino Linotype"/>
          <w:sz w:val="24"/>
          <w:szCs w:val="24"/>
        </w:rPr>
        <w:t xml:space="preserve"> it is ordered that:</w:t>
      </w:r>
    </w:p>
    <w:p w:rsidR="00005177" w:rsidP="004D79A8" w:rsidRDefault="00CD4CF8" w14:paraId="16CB10B7" w14:textId="0FEA2924">
      <w:pPr>
        <w:numPr>
          <w:ilvl w:val="0"/>
          <w:numId w:val="3"/>
        </w:numPr>
        <w:spacing w:before="240"/>
        <w:rPr>
          <w:rFonts w:ascii="Palatino Linotype" w:hAnsi="Palatino Linotype" w:eastAsia="Palatino Linotype"/>
          <w:snapToGrid w:val="0"/>
          <w:sz w:val="24"/>
          <w:szCs w:val="24"/>
        </w:rPr>
      </w:pPr>
      <w:r w:rsidRPr="006A0603">
        <w:rPr>
          <w:rFonts w:ascii="Palatino Linotype" w:hAnsi="Palatino Linotype" w:eastAsia="Palatino Linotype"/>
          <w:snapToGrid w:val="0"/>
          <w:sz w:val="24"/>
          <w:szCs w:val="24"/>
        </w:rPr>
        <w:t xml:space="preserve">The request of </w:t>
      </w:r>
      <w:r w:rsidRPr="006A0603" w:rsidR="00BB1239">
        <w:rPr>
          <w:rFonts w:ascii="Palatino Linotype" w:hAnsi="Palatino Linotype" w:eastAsia="Palatino Linotype"/>
          <w:snapToGrid w:val="0"/>
          <w:sz w:val="24"/>
          <w:szCs w:val="24"/>
        </w:rPr>
        <w:t xml:space="preserve">Pacific </w:t>
      </w:r>
      <w:r w:rsidRPr="006A0603" w:rsidR="007F4110">
        <w:rPr>
          <w:rFonts w:ascii="Palatino Linotype" w:hAnsi="Palatino Linotype" w:eastAsia="Palatino Linotype"/>
          <w:snapToGrid w:val="0"/>
          <w:sz w:val="24"/>
          <w:szCs w:val="24"/>
        </w:rPr>
        <w:t xml:space="preserve">Gas </w:t>
      </w:r>
      <w:r w:rsidRPr="006A0603" w:rsidR="00BB1239">
        <w:rPr>
          <w:rFonts w:ascii="Palatino Linotype" w:hAnsi="Palatino Linotype" w:eastAsia="Palatino Linotype"/>
          <w:snapToGrid w:val="0"/>
          <w:sz w:val="24"/>
          <w:szCs w:val="24"/>
        </w:rPr>
        <w:t xml:space="preserve">and </w:t>
      </w:r>
      <w:r w:rsidRPr="006A0603" w:rsidR="007F4110">
        <w:rPr>
          <w:rFonts w:ascii="Palatino Linotype" w:hAnsi="Palatino Linotype" w:eastAsia="Palatino Linotype"/>
          <w:snapToGrid w:val="0"/>
          <w:sz w:val="24"/>
          <w:szCs w:val="24"/>
        </w:rPr>
        <w:t>Electric</w:t>
      </w:r>
      <w:r w:rsidRPr="006A0603">
        <w:rPr>
          <w:rFonts w:ascii="Palatino Linotype" w:hAnsi="Palatino Linotype" w:eastAsia="Palatino Linotype"/>
          <w:snapToGrid w:val="0"/>
          <w:sz w:val="24"/>
          <w:szCs w:val="24"/>
        </w:rPr>
        <w:t xml:space="preserve"> </w:t>
      </w:r>
      <w:r w:rsidRPr="006A0603" w:rsidR="00BB1239">
        <w:rPr>
          <w:rFonts w:ascii="Palatino Linotype" w:hAnsi="Palatino Linotype" w:eastAsia="Palatino Linotype"/>
          <w:snapToGrid w:val="0"/>
          <w:sz w:val="24"/>
          <w:szCs w:val="24"/>
        </w:rPr>
        <w:t xml:space="preserve">Company </w:t>
      </w:r>
      <w:r w:rsidRPr="006A0603">
        <w:rPr>
          <w:rFonts w:ascii="Palatino Linotype" w:hAnsi="Palatino Linotype" w:eastAsia="Palatino Linotype"/>
          <w:snapToGrid w:val="0"/>
          <w:sz w:val="24"/>
          <w:szCs w:val="24"/>
        </w:rPr>
        <w:t xml:space="preserve">for </w:t>
      </w:r>
      <w:r w:rsidR="0033519B">
        <w:rPr>
          <w:rFonts w:ascii="Palatino Linotype" w:hAnsi="Palatino Linotype" w:eastAsia="Palatino Linotype"/>
          <w:snapToGrid w:val="0"/>
          <w:sz w:val="24"/>
          <w:szCs w:val="24"/>
        </w:rPr>
        <w:t>approval of the RA Agreement and associated costs, as requested in Advice Letter 7381-E</w:t>
      </w:r>
      <w:r w:rsidR="00E37F52">
        <w:rPr>
          <w:rFonts w:ascii="Palatino Linotype" w:hAnsi="Palatino Linotype" w:eastAsia="Palatino Linotype"/>
          <w:snapToGrid w:val="0"/>
          <w:sz w:val="24"/>
          <w:szCs w:val="24"/>
        </w:rPr>
        <w:t>,</w:t>
      </w:r>
      <w:r w:rsidRPr="006A0603">
        <w:rPr>
          <w:rFonts w:ascii="Palatino Linotype" w:hAnsi="Palatino Linotype" w:eastAsia="Palatino Linotype"/>
          <w:sz w:val="24"/>
          <w:szCs w:val="24"/>
        </w:rPr>
        <w:t xml:space="preserve"> </w:t>
      </w:r>
      <w:r w:rsidRPr="006A0603">
        <w:rPr>
          <w:rFonts w:ascii="Palatino Linotype" w:hAnsi="Palatino Linotype" w:eastAsia="Palatino Linotype"/>
          <w:snapToGrid w:val="0"/>
          <w:sz w:val="24"/>
          <w:szCs w:val="24"/>
        </w:rPr>
        <w:t>is approved.</w:t>
      </w:r>
    </w:p>
    <w:p w:rsidRPr="00185A28" w:rsidR="00E523C9" w:rsidP="004D79A8" w:rsidRDefault="00E523C9" w14:paraId="3B7E7022" w14:textId="5CC05DFF">
      <w:pPr>
        <w:pStyle w:val="NormalWeb"/>
        <w:numPr>
          <w:ilvl w:val="0"/>
          <w:numId w:val="3"/>
        </w:numPr>
        <w:spacing w:before="240" w:beforeAutospacing="0"/>
        <w:rPr>
          <w:rFonts w:ascii="Palatino Linotype" w:hAnsi="Palatino Linotype"/>
          <w:color w:val="000000"/>
          <w:sz w:val="24"/>
          <w:szCs w:val="24"/>
        </w:rPr>
      </w:pPr>
      <w:r w:rsidRPr="006A0603">
        <w:rPr>
          <w:rFonts w:ascii="Palatino Linotype" w:hAnsi="Palatino Linotype" w:eastAsia="Palatino Linotype"/>
          <w:snapToGrid w:val="0"/>
          <w:sz w:val="24"/>
          <w:szCs w:val="24"/>
        </w:rPr>
        <w:t>Pacific Gas and Electric Company</w:t>
      </w:r>
      <w:r>
        <w:rPr>
          <w:rFonts w:ascii="Palatino Linotype" w:hAnsi="Palatino Linotype" w:eastAsia="Palatino Linotype"/>
          <w:snapToGrid w:val="0"/>
          <w:sz w:val="24"/>
          <w:szCs w:val="24"/>
        </w:rPr>
        <w:t xml:space="preserve">’s </w:t>
      </w:r>
      <w:r w:rsidRPr="00185A28">
        <w:rPr>
          <w:rFonts w:ascii="Palatino Linotype" w:hAnsi="Palatino Linotype"/>
          <w:color w:val="000000" w:themeColor="text1"/>
          <w:sz w:val="24"/>
          <w:szCs w:val="24"/>
        </w:rPr>
        <w:t xml:space="preserve">request to allocate the costs of the </w:t>
      </w:r>
      <w:r>
        <w:rPr>
          <w:rFonts w:ascii="Palatino Linotype" w:hAnsi="Palatino Linotype"/>
          <w:color w:val="000000" w:themeColor="text1"/>
          <w:sz w:val="24"/>
          <w:szCs w:val="24"/>
        </w:rPr>
        <w:t xml:space="preserve">RA Agreement, including </w:t>
      </w:r>
      <w:r w:rsidRPr="006A0603">
        <w:rPr>
          <w:rFonts w:ascii="Palatino Linotype" w:hAnsi="Palatino Linotype"/>
          <w:sz w:val="24"/>
          <w:szCs w:val="24"/>
        </w:rPr>
        <w:t>administrative costs</w:t>
      </w:r>
      <w:r>
        <w:rPr>
          <w:rFonts w:ascii="Palatino Linotype" w:hAnsi="Palatino Linotype"/>
          <w:sz w:val="24"/>
          <w:szCs w:val="24"/>
        </w:rPr>
        <w:t>,</w:t>
      </w:r>
      <w:r w:rsidRPr="006A0603">
        <w:rPr>
          <w:rFonts w:ascii="Palatino Linotype" w:hAnsi="Palatino Linotype"/>
          <w:sz w:val="24"/>
          <w:szCs w:val="24"/>
        </w:rPr>
        <w:t xml:space="preserve"> </w:t>
      </w:r>
      <w:r>
        <w:rPr>
          <w:rFonts w:ascii="Palatino Linotype" w:hAnsi="Palatino Linotype"/>
          <w:color w:val="000000" w:themeColor="text1"/>
          <w:sz w:val="24"/>
          <w:szCs w:val="24"/>
        </w:rPr>
        <w:t>via the Cost Allocation Mechanism for the term of the Agreement</w:t>
      </w:r>
      <w:r w:rsidRPr="00185A28">
        <w:rPr>
          <w:rFonts w:ascii="Palatino Linotype" w:hAnsi="Palatino Linotype"/>
          <w:color w:val="000000" w:themeColor="text1"/>
          <w:sz w:val="24"/>
          <w:szCs w:val="24"/>
        </w:rPr>
        <w:t>, is approved.</w:t>
      </w:r>
    </w:p>
    <w:p w:rsidRPr="006A0603" w:rsidR="0033519B" w:rsidP="004F5703" w:rsidRDefault="0033519B" w14:paraId="5E7D7124" w14:textId="0E93999B">
      <w:pPr>
        <w:rPr>
          <w:rFonts w:ascii="Palatino Linotype" w:hAnsi="Palatino Linotype" w:eastAsia="Palatino Linotype"/>
          <w:snapToGrid w:val="0"/>
          <w:sz w:val="24"/>
          <w:szCs w:val="24"/>
        </w:rPr>
      </w:pPr>
    </w:p>
    <w:p w:rsidRPr="00ED4B88" w:rsidR="00005177" w:rsidP="00005177" w:rsidRDefault="00005177" w14:paraId="6ED8C96B" w14:textId="77777777">
      <w:pPr>
        <w:rPr>
          <w:rFonts w:ascii="Palatino Linotype" w:hAnsi="Palatino Linotype" w:eastAsia="Palatino Linotype"/>
          <w:snapToGrid w:val="0"/>
          <w:sz w:val="16"/>
          <w:szCs w:val="16"/>
        </w:rPr>
      </w:pPr>
    </w:p>
    <w:p w:rsidRPr="006A0603" w:rsidR="00CD4CF8" w:rsidP="00005177" w:rsidRDefault="00CD4CF8" w14:paraId="24DD8B82" w14:textId="0080F8E3">
      <w:pPr>
        <w:rPr>
          <w:rFonts w:ascii="Palatino Linotype" w:hAnsi="Palatino Linotype" w:eastAsia="Palatino Linotype"/>
          <w:snapToGrid w:val="0"/>
          <w:sz w:val="24"/>
          <w:szCs w:val="24"/>
        </w:rPr>
      </w:pPr>
      <w:r w:rsidRPr="006A0603">
        <w:rPr>
          <w:rFonts w:ascii="Palatino Linotype" w:hAnsi="Palatino Linotype" w:eastAsia="Palatino Linotype"/>
          <w:sz w:val="24"/>
          <w:szCs w:val="24"/>
        </w:rPr>
        <w:lastRenderedPageBreak/>
        <w:t>This Resolution is effective today.</w:t>
      </w:r>
    </w:p>
    <w:p w:rsidRPr="00ED4B88" w:rsidR="00CD4CF8" w:rsidP="00CD4CF8" w:rsidRDefault="00CD4CF8" w14:paraId="623DC561"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16"/>
          <w:szCs w:val="16"/>
        </w:rPr>
      </w:pPr>
    </w:p>
    <w:p w:rsidRPr="006A0603" w:rsidR="00CD4CF8" w:rsidP="00CD4CF8" w:rsidRDefault="00CD4CF8" w14:paraId="76C9FB31" w14:textId="032354FC">
      <w:pPr>
        <w:keepNext/>
        <w:rPr>
          <w:rFonts w:ascii="Palatino Linotype" w:hAnsi="Palatino Linotype" w:eastAsia="Palatino Linotype"/>
          <w:snapToGrid w:val="0"/>
          <w:sz w:val="24"/>
          <w:szCs w:val="24"/>
        </w:rPr>
      </w:pPr>
      <w:r w:rsidRPr="006A0603">
        <w:rPr>
          <w:rFonts w:ascii="Palatino Linotype" w:hAnsi="Palatino Linotype" w:eastAsia="Palatino Linotype"/>
          <w:snapToGrid w:val="0"/>
          <w:sz w:val="24"/>
          <w:szCs w:val="24"/>
        </w:rPr>
        <w:t xml:space="preserve">I certify that the foregoing resolution was duly introduced, passed, and adopted at a conference of the Public Utilities Commission of the State of California held on </w:t>
      </w:r>
      <w:r w:rsidRPr="006A0603" w:rsidR="003556B4">
        <w:rPr>
          <w:rFonts w:ascii="Palatino Linotype" w:hAnsi="Palatino Linotype" w:eastAsia="Palatino Linotype"/>
          <w:snapToGrid w:val="0"/>
          <w:sz w:val="24"/>
          <w:szCs w:val="24"/>
        </w:rPr>
        <w:br/>
      </w:r>
      <w:r w:rsidR="00B26C32">
        <w:rPr>
          <w:rFonts w:ascii="Palatino Linotype" w:hAnsi="Palatino Linotype" w:eastAsia="Palatino Linotype"/>
          <w:snapToGrid w:val="0"/>
          <w:sz w:val="24"/>
          <w:szCs w:val="24"/>
        </w:rPr>
        <w:t>February</w:t>
      </w:r>
      <w:r w:rsidRPr="00666AED" w:rsidR="00E94B1B">
        <w:rPr>
          <w:rFonts w:ascii="Palatino Linotype" w:hAnsi="Palatino Linotype" w:eastAsia="Palatino Linotype"/>
          <w:snapToGrid w:val="0"/>
          <w:sz w:val="24"/>
          <w:szCs w:val="24"/>
        </w:rPr>
        <w:t xml:space="preserve"> </w:t>
      </w:r>
      <w:r w:rsidRPr="00666AED" w:rsidR="00666AED">
        <w:rPr>
          <w:rFonts w:ascii="Palatino Linotype" w:hAnsi="Palatino Linotype" w:eastAsia="Palatino Linotype"/>
          <w:snapToGrid w:val="0"/>
          <w:sz w:val="24"/>
          <w:szCs w:val="24"/>
        </w:rPr>
        <w:t>20</w:t>
      </w:r>
      <w:r w:rsidRPr="00666AED" w:rsidR="00E94B1B">
        <w:rPr>
          <w:rFonts w:ascii="Palatino Linotype" w:hAnsi="Palatino Linotype" w:eastAsia="Palatino Linotype"/>
          <w:snapToGrid w:val="0"/>
          <w:sz w:val="24"/>
          <w:szCs w:val="24"/>
        </w:rPr>
        <w:t>, 2025</w:t>
      </w:r>
      <w:r w:rsidRPr="00666AED">
        <w:rPr>
          <w:rFonts w:ascii="Palatino Linotype" w:hAnsi="Palatino Linotype" w:eastAsia="Palatino Linotype"/>
          <w:snapToGrid w:val="0"/>
          <w:sz w:val="24"/>
          <w:szCs w:val="24"/>
        </w:rPr>
        <w:t>; the following Commissioners voting favorably thereon:</w:t>
      </w:r>
    </w:p>
    <w:p w:rsidRPr="006A0603" w:rsidR="00CD4CF8" w:rsidP="00CD4CF8" w:rsidRDefault="00CD4CF8" w14:paraId="449F4320"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bookmarkEnd w:id="2"/>
    <w:p w:rsidR="00B26C32" w:rsidP="00C312FA" w:rsidRDefault="00B26C32" w14:paraId="2EDCC8BD" w14:textId="77777777">
      <w:pPr>
        <w:tabs>
          <w:tab w:val="left" w:pos="720"/>
          <w:tab w:val="left" w:pos="1152"/>
          <w:tab w:val="left" w:pos="1728"/>
          <w:tab w:val="left" w:pos="3168"/>
          <w:tab w:val="left" w:pos="5040"/>
        </w:tabs>
        <w:ind w:left="4950" w:right="144"/>
        <w:rPr>
          <w:rFonts w:ascii="Palatino Linotype" w:hAnsi="Palatino Linotype"/>
          <w:sz w:val="24"/>
          <w:szCs w:val="24"/>
          <w:u w:val="single"/>
        </w:rPr>
      </w:pPr>
    </w:p>
    <w:p w:rsidRPr="006A0603" w:rsidR="00C312FA" w:rsidP="00C312FA" w:rsidRDefault="00B26C32" w14:paraId="045FFF7B" w14:textId="7D7FE763">
      <w:pPr>
        <w:tabs>
          <w:tab w:val="left" w:pos="720"/>
          <w:tab w:val="left" w:pos="1152"/>
          <w:tab w:val="left" w:pos="1728"/>
          <w:tab w:val="left" w:pos="3168"/>
          <w:tab w:val="left" w:pos="5040"/>
        </w:tabs>
        <w:ind w:left="4950" w:right="144"/>
        <w:rPr>
          <w:rFonts w:ascii="Palatino Linotype" w:hAnsi="Palatino Linotype"/>
          <w:sz w:val="24"/>
          <w:szCs w:val="24"/>
          <w:u w:val="single"/>
        </w:rPr>
      </w:pPr>
      <w:r>
        <w:rPr>
          <w:rFonts w:ascii="Palatino Linotype" w:hAnsi="Palatino Linotype"/>
          <w:sz w:val="24"/>
          <w:szCs w:val="24"/>
          <w:u w:val="single"/>
        </w:rPr>
        <w:t>______________________</w:t>
      </w:r>
    </w:p>
    <w:p w:rsidRPr="006A0603" w:rsidR="00C312FA" w:rsidP="00C312FA" w:rsidRDefault="00C312FA" w14:paraId="71D8CE00" w14:textId="4F75CD39">
      <w:pPr>
        <w:tabs>
          <w:tab w:val="left" w:pos="720"/>
          <w:tab w:val="left" w:pos="1152"/>
          <w:tab w:val="left" w:pos="1728"/>
          <w:tab w:val="left" w:pos="3168"/>
          <w:tab w:val="left" w:pos="5040"/>
        </w:tabs>
        <w:ind w:left="5130" w:right="144"/>
        <w:rPr>
          <w:rFonts w:ascii="Palatino Linotype" w:hAnsi="Palatino Linotype"/>
          <w:sz w:val="24"/>
          <w:szCs w:val="24"/>
        </w:rPr>
      </w:pPr>
      <w:r w:rsidRPr="006A0603">
        <w:rPr>
          <w:rFonts w:ascii="Palatino Linotype" w:hAnsi="Palatino Linotype"/>
          <w:sz w:val="24"/>
          <w:szCs w:val="24"/>
        </w:rPr>
        <w:t xml:space="preserve">  Rachel Peterson</w:t>
      </w:r>
    </w:p>
    <w:p w:rsidRPr="006A0603" w:rsidR="00C312FA" w:rsidP="00005177" w:rsidRDefault="00C312FA" w14:paraId="7DA26E29" w14:textId="754EDD9E">
      <w:pPr>
        <w:tabs>
          <w:tab w:val="left" w:pos="720"/>
          <w:tab w:val="left" w:pos="1152"/>
          <w:tab w:val="left" w:pos="1728"/>
          <w:tab w:val="left" w:pos="3168"/>
          <w:tab w:val="left" w:pos="5040"/>
        </w:tabs>
        <w:ind w:left="5130" w:right="144"/>
        <w:rPr>
          <w:rFonts w:ascii="Palatino Linotype" w:hAnsi="Palatino Linotype"/>
          <w:sz w:val="24"/>
          <w:szCs w:val="24"/>
        </w:rPr>
      </w:pPr>
      <w:r w:rsidRPr="006A0603">
        <w:rPr>
          <w:rFonts w:ascii="Palatino Linotype" w:hAnsi="Palatino Linotype"/>
          <w:sz w:val="24"/>
          <w:szCs w:val="24"/>
        </w:rPr>
        <w:t xml:space="preserve">  Executive Director</w:t>
      </w:r>
    </w:p>
    <w:p w:rsidRPr="00FC5A15" w:rsidR="00C312FA" w:rsidP="00C312FA" w:rsidRDefault="00C312FA" w14:paraId="5B691553" w14:textId="77777777">
      <w:pPr>
        <w:tabs>
          <w:tab w:val="left" w:pos="720"/>
          <w:tab w:val="left" w:pos="1152"/>
          <w:tab w:val="left" w:pos="1728"/>
          <w:tab w:val="left" w:pos="3168"/>
          <w:tab w:val="left" w:pos="5040"/>
        </w:tabs>
        <w:ind w:left="5130" w:right="144"/>
        <w:rPr>
          <w:rFonts w:ascii="Palatino Linotype" w:hAnsi="Palatino Linotype"/>
          <w:sz w:val="24"/>
          <w:szCs w:val="24"/>
        </w:rPr>
      </w:pPr>
    </w:p>
    <w:sectPr w:rsidRPr="00FC5A15" w:rsidR="00C312FA" w:rsidSect="00005177">
      <w:headerReference w:type="default" r:id="rId11"/>
      <w:footerReference w:type="default" r:id="rId12"/>
      <w:headerReference w:type="first" r:id="rId13"/>
      <w:footerReference w:type="first" r:id="rId14"/>
      <w:pgSz w:w="12240" w:h="15840" w:code="1"/>
      <w:pgMar w:top="1296" w:right="1296" w:bottom="1296" w:left="1296"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5136F" w14:textId="77777777" w:rsidR="006B4613" w:rsidRDefault="006B4613" w:rsidP="00CD4CF8">
      <w:r>
        <w:separator/>
      </w:r>
    </w:p>
  </w:endnote>
  <w:endnote w:type="continuationSeparator" w:id="0">
    <w:p w14:paraId="5AC9935B" w14:textId="77777777" w:rsidR="006B4613" w:rsidRDefault="006B4613" w:rsidP="00CD4CF8">
      <w:r>
        <w:continuationSeparator/>
      </w:r>
    </w:p>
  </w:endnote>
  <w:endnote w:type="continuationNotice" w:id="1">
    <w:p w14:paraId="2988DA26" w14:textId="77777777" w:rsidR="006B4613" w:rsidRDefault="006B4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auto"/>
    <w:pitch w:val="variable"/>
    <w:sig w:usb0="20000A87" w:usb1="08000000" w:usb2="00000008" w:usb3="00000000" w:csb0="0000011F" w:csb1="00000000"/>
  </w:font>
  <w:font w:name="Helvetica">
    <w:panose1 w:val="020B0604020202020204"/>
    <w:charset w:val="00"/>
    <w:family w:val="swiss"/>
    <w:pitch w:val="variable"/>
    <w:sig w:usb0="E0002AFF" w:usb1="5000785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573816544"/>
      <w:docPartObj>
        <w:docPartGallery w:val="Page Numbers (Bottom of Page)"/>
        <w:docPartUnique/>
      </w:docPartObj>
    </w:sdtPr>
    <w:sdtContent>
      <w:p w14:paraId="2221195E" w14:textId="77777777" w:rsidR="007D3362" w:rsidRPr="00E11042" w:rsidRDefault="00CD4CF8">
        <w:pPr>
          <w:pStyle w:val="Footer"/>
          <w:rPr>
            <w:rFonts w:ascii="Palatino Linotype" w:hAnsi="Palatino Linotype"/>
            <w:sz w:val="24"/>
            <w:szCs w:val="24"/>
          </w:rPr>
        </w:pPr>
        <w:r w:rsidRPr="00E11042">
          <w:rPr>
            <w:rFonts w:ascii="Palatino Linotype" w:hAnsi="Palatino Linotype"/>
            <w:sz w:val="24"/>
            <w:szCs w:val="24"/>
          </w:rPr>
          <w:fldChar w:fldCharType="begin"/>
        </w:r>
        <w:r w:rsidRPr="00E11042">
          <w:rPr>
            <w:rFonts w:ascii="Palatino Linotype" w:hAnsi="Palatino Linotype"/>
            <w:sz w:val="24"/>
            <w:szCs w:val="24"/>
          </w:rPr>
          <w:instrText xml:space="preserve"> PAGE   \* MERGEFORMAT </w:instrText>
        </w:r>
        <w:r w:rsidRPr="00E11042">
          <w:rPr>
            <w:rFonts w:ascii="Palatino Linotype" w:hAnsi="Palatino Linotype"/>
            <w:sz w:val="24"/>
            <w:szCs w:val="24"/>
          </w:rPr>
          <w:fldChar w:fldCharType="separate"/>
        </w:r>
        <w:r w:rsidRPr="00E11042">
          <w:rPr>
            <w:rFonts w:ascii="Palatino Linotype" w:hAnsi="Palatino Linotype"/>
            <w:sz w:val="24"/>
            <w:szCs w:val="24"/>
          </w:rPr>
          <w:t>2</w:t>
        </w:r>
        <w:r w:rsidRPr="00E11042">
          <w:rPr>
            <w:rFonts w:ascii="Palatino Linotype" w:hAnsi="Palatino Linotype"/>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8CA7" w14:textId="448C0A4F" w:rsidR="007D3362" w:rsidRPr="00AF635D" w:rsidRDefault="00F41FAE" w:rsidP="005D273F">
    <w:pPr>
      <w:pStyle w:val="Footer"/>
      <w:tabs>
        <w:tab w:val="clear" w:pos="4320"/>
        <w:tab w:val="center" w:pos="4680"/>
      </w:tabs>
      <w:jc w:val="left"/>
      <w:rPr>
        <w:rFonts w:ascii="Palatino Linotype" w:hAnsi="Palatino Linotype"/>
        <w:sz w:val="20"/>
      </w:rPr>
    </w:pPr>
    <w:r w:rsidRPr="00F41FAE">
      <w:rPr>
        <w:rStyle w:val="PageNumber"/>
        <w:rFonts w:ascii="Tahoma" w:hAnsi="Tahoma" w:cs="Tahoma"/>
        <w:sz w:val="18"/>
        <w:szCs w:val="18"/>
      </w:rPr>
      <w:t>554654644</w:t>
    </w:r>
    <w:r w:rsidR="005D273F">
      <w:rPr>
        <w:rStyle w:val="PageNumber"/>
        <w:rFonts w:ascii="Palatino Linotype" w:hAnsi="Palatino Linotype"/>
        <w:sz w:val="24"/>
        <w:szCs w:val="18"/>
      </w:rPr>
      <w:tab/>
    </w:r>
    <w:r w:rsidR="00CD4CF8" w:rsidRPr="00AF635D">
      <w:rPr>
        <w:rStyle w:val="PageNumber"/>
        <w:rFonts w:ascii="Palatino Linotype" w:hAnsi="Palatino Linotype"/>
        <w:sz w:val="20"/>
      </w:rPr>
      <w:fldChar w:fldCharType="begin"/>
    </w:r>
    <w:r w:rsidR="00CD4CF8" w:rsidRPr="00AF635D">
      <w:rPr>
        <w:rStyle w:val="PageNumber"/>
        <w:rFonts w:ascii="Palatino Linotype" w:hAnsi="Palatino Linotype"/>
        <w:sz w:val="20"/>
      </w:rPr>
      <w:instrText xml:space="preserve"> PAGE </w:instrText>
    </w:r>
    <w:r w:rsidR="00CD4CF8" w:rsidRPr="00AF635D">
      <w:rPr>
        <w:rStyle w:val="PageNumber"/>
        <w:rFonts w:ascii="Palatino Linotype" w:hAnsi="Palatino Linotype"/>
        <w:sz w:val="20"/>
      </w:rPr>
      <w:fldChar w:fldCharType="separate"/>
    </w:r>
    <w:r w:rsidR="00CD4CF8" w:rsidRPr="00AF635D">
      <w:rPr>
        <w:rStyle w:val="PageNumber"/>
        <w:rFonts w:ascii="Palatino Linotype" w:hAnsi="Palatino Linotype"/>
        <w:sz w:val="20"/>
      </w:rPr>
      <w:t>1</w:t>
    </w:r>
    <w:r w:rsidR="00CD4CF8" w:rsidRPr="00AF635D">
      <w:rPr>
        <w:rStyle w:val="PageNumber"/>
        <w:rFonts w:ascii="Palatino Linotype" w:hAnsi="Palatino Linotyp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C191B" w14:textId="77777777" w:rsidR="006B4613" w:rsidRDefault="006B4613" w:rsidP="00CD4CF8">
      <w:r>
        <w:separator/>
      </w:r>
    </w:p>
  </w:footnote>
  <w:footnote w:type="continuationSeparator" w:id="0">
    <w:p w14:paraId="5B0DA2E6" w14:textId="77777777" w:rsidR="006B4613" w:rsidRDefault="006B4613" w:rsidP="00CD4CF8">
      <w:r>
        <w:continuationSeparator/>
      </w:r>
    </w:p>
  </w:footnote>
  <w:footnote w:type="continuationNotice" w:id="1">
    <w:p w14:paraId="726EDC02" w14:textId="77777777" w:rsidR="006B4613" w:rsidRDefault="006B4613"/>
  </w:footnote>
  <w:footnote w:id="2">
    <w:p w14:paraId="77C87056" w14:textId="2D271ADC" w:rsidR="00054C71" w:rsidRPr="00EC6029" w:rsidRDefault="00054C71" w:rsidP="00054C71">
      <w:pPr>
        <w:pStyle w:val="FootnoteText"/>
        <w:numPr>
          <w:ilvl w:val="0"/>
          <w:numId w:val="0"/>
        </w:numPr>
        <w:spacing w:after="0"/>
        <w:ind w:left="360" w:hanging="360"/>
        <w:rPr>
          <w:rFonts w:ascii="Palatino Linotype" w:hAnsi="Palatino Linotype"/>
          <w:sz w:val="18"/>
          <w:szCs w:val="18"/>
        </w:rPr>
      </w:pPr>
      <w:r w:rsidRPr="00EC6029">
        <w:rPr>
          <w:rStyle w:val="FootnoteReference"/>
          <w:rFonts w:ascii="Palatino Linotype" w:hAnsi="Palatino Linotype"/>
          <w:sz w:val="18"/>
          <w:szCs w:val="18"/>
        </w:rPr>
        <w:footnoteRef/>
      </w:r>
      <w:r w:rsidRPr="00EC6029">
        <w:rPr>
          <w:rFonts w:ascii="Palatino Linotype" w:hAnsi="Palatino Linotype"/>
          <w:sz w:val="18"/>
          <w:szCs w:val="18"/>
        </w:rPr>
        <w:t xml:space="preserve"> D.20-06-002 at </w:t>
      </w:r>
      <w:r w:rsidR="005E6F72" w:rsidRPr="00EC6029">
        <w:rPr>
          <w:rFonts w:ascii="Palatino Linotype" w:hAnsi="Palatino Linotype"/>
          <w:sz w:val="18"/>
          <w:szCs w:val="18"/>
        </w:rPr>
        <w:t>9</w:t>
      </w:r>
      <w:r w:rsidR="00EC6029" w:rsidRPr="00EC6029">
        <w:rPr>
          <w:rFonts w:ascii="Palatino Linotype" w:hAnsi="Palatino Linotype"/>
          <w:sz w:val="18"/>
          <w:szCs w:val="18"/>
        </w:rPr>
        <w:t>.</w:t>
      </w:r>
    </w:p>
  </w:footnote>
  <w:footnote w:id="3">
    <w:p w14:paraId="4E2E19B8" w14:textId="42D81DB0" w:rsidR="00054C71" w:rsidRPr="00761C69" w:rsidRDefault="00054C71" w:rsidP="00054C71">
      <w:pPr>
        <w:pStyle w:val="FootnoteText"/>
        <w:numPr>
          <w:ilvl w:val="0"/>
          <w:numId w:val="0"/>
        </w:numPr>
        <w:spacing w:after="0"/>
        <w:rPr>
          <w:rFonts w:ascii="Palatino Linotype" w:hAnsi="Palatino Linotype"/>
          <w:sz w:val="18"/>
          <w:szCs w:val="18"/>
        </w:rPr>
      </w:pPr>
      <w:r w:rsidRPr="00EC6029">
        <w:rPr>
          <w:rStyle w:val="FootnoteReference"/>
          <w:rFonts w:ascii="Palatino Linotype" w:hAnsi="Palatino Linotype"/>
          <w:sz w:val="18"/>
          <w:szCs w:val="18"/>
        </w:rPr>
        <w:footnoteRef/>
      </w:r>
      <w:r w:rsidRPr="00EC6029">
        <w:rPr>
          <w:rFonts w:ascii="Palatino Linotype" w:hAnsi="Palatino Linotype"/>
          <w:sz w:val="18"/>
          <w:szCs w:val="18"/>
        </w:rPr>
        <w:t xml:space="preserve"> </w:t>
      </w:r>
      <w:r w:rsidR="00761C69" w:rsidRPr="00EC6029">
        <w:rPr>
          <w:rFonts w:ascii="Palatino Linotype" w:hAnsi="Palatino Linotype"/>
          <w:sz w:val="18"/>
          <w:szCs w:val="18"/>
        </w:rPr>
        <w:t>O</w:t>
      </w:r>
      <w:r w:rsidR="007A6108">
        <w:rPr>
          <w:rFonts w:ascii="Palatino Linotype" w:hAnsi="Palatino Linotype"/>
          <w:sz w:val="18"/>
          <w:szCs w:val="18"/>
        </w:rPr>
        <w:t xml:space="preserve">rdering </w:t>
      </w:r>
      <w:r w:rsidR="00761C69" w:rsidRPr="00EC6029">
        <w:rPr>
          <w:rFonts w:ascii="Palatino Linotype" w:hAnsi="Palatino Linotype"/>
          <w:sz w:val="18"/>
          <w:szCs w:val="18"/>
        </w:rPr>
        <w:t>P</w:t>
      </w:r>
      <w:r w:rsidR="007A6108">
        <w:rPr>
          <w:rFonts w:ascii="Palatino Linotype" w:hAnsi="Palatino Linotype"/>
          <w:sz w:val="18"/>
          <w:szCs w:val="18"/>
        </w:rPr>
        <w:t>aragraph (OP)</w:t>
      </w:r>
      <w:r w:rsidR="00761C69" w:rsidRPr="00EC6029">
        <w:rPr>
          <w:rFonts w:ascii="Palatino Linotype" w:hAnsi="Palatino Linotype"/>
          <w:sz w:val="18"/>
          <w:szCs w:val="18"/>
        </w:rPr>
        <w:t xml:space="preserve"> 12</w:t>
      </w:r>
      <w:r w:rsidRPr="00EC6029">
        <w:rPr>
          <w:rFonts w:ascii="Palatino Linotype" w:hAnsi="Palatino Linotype"/>
          <w:sz w:val="18"/>
          <w:szCs w:val="18"/>
        </w:rPr>
        <w:t xml:space="preserve"> in D.22-03-034 at </w:t>
      </w:r>
      <w:r w:rsidR="00761C69" w:rsidRPr="00EC6029">
        <w:rPr>
          <w:rFonts w:ascii="Palatino Linotype" w:hAnsi="Palatino Linotype"/>
          <w:sz w:val="18"/>
          <w:szCs w:val="18"/>
        </w:rPr>
        <w:t>74.</w:t>
      </w:r>
    </w:p>
  </w:footnote>
  <w:footnote w:id="4">
    <w:p w14:paraId="18CB5F55" w14:textId="48CBD115" w:rsidR="009279B2" w:rsidRPr="00DA53FE" w:rsidRDefault="009279B2" w:rsidP="00D94BFB">
      <w:pPr>
        <w:pStyle w:val="FootnoteText"/>
        <w:numPr>
          <w:ilvl w:val="0"/>
          <w:numId w:val="0"/>
        </w:numPr>
        <w:spacing w:after="0"/>
        <w:ind w:left="360" w:hanging="360"/>
        <w:rPr>
          <w:sz w:val="20"/>
        </w:rPr>
      </w:pPr>
      <w:r w:rsidRPr="00DA53FE">
        <w:rPr>
          <w:rStyle w:val="FootnoteReference"/>
          <w:sz w:val="20"/>
        </w:rPr>
        <w:footnoteRef/>
      </w:r>
      <w:r w:rsidRPr="00DA53FE">
        <w:rPr>
          <w:sz w:val="20"/>
        </w:rPr>
        <w:t xml:space="preserve"> OP 8 of D.20-06-022</w:t>
      </w:r>
      <w:r w:rsidR="00D94BFB" w:rsidRPr="00DA53FE">
        <w:rPr>
          <w:sz w:val="20"/>
        </w:rPr>
        <w:t>.</w:t>
      </w:r>
    </w:p>
  </w:footnote>
  <w:footnote w:id="5">
    <w:p w14:paraId="4214E0D3" w14:textId="5DACC9EF" w:rsidR="00A1406D" w:rsidRPr="00DA53FE" w:rsidRDefault="00A1406D" w:rsidP="00D94BFB">
      <w:pPr>
        <w:pStyle w:val="FootnoteText"/>
        <w:numPr>
          <w:ilvl w:val="0"/>
          <w:numId w:val="0"/>
        </w:numPr>
        <w:spacing w:after="0"/>
        <w:ind w:left="360" w:hanging="360"/>
      </w:pPr>
      <w:r w:rsidRPr="00DA53FE">
        <w:rPr>
          <w:rStyle w:val="FootnoteReference"/>
          <w:sz w:val="20"/>
        </w:rPr>
        <w:footnoteRef/>
      </w:r>
      <w:r w:rsidRPr="00DA53FE">
        <w:rPr>
          <w:sz w:val="20"/>
        </w:rPr>
        <w:t xml:space="preserve"> OPs 8 and 10 of D.</w:t>
      </w:r>
      <w:r w:rsidR="00D94BFB" w:rsidRPr="00DA53FE">
        <w:rPr>
          <w:sz w:val="20"/>
        </w:rPr>
        <w:t>22-03-034.</w:t>
      </w:r>
    </w:p>
  </w:footnote>
  <w:footnote w:id="6">
    <w:p w14:paraId="2CBA67E1" w14:textId="7A52C1B3" w:rsidR="00256CF2" w:rsidRDefault="00256CF2" w:rsidP="00B45D50">
      <w:pPr>
        <w:pStyle w:val="FootnoteText"/>
        <w:numPr>
          <w:ilvl w:val="0"/>
          <w:numId w:val="0"/>
        </w:numPr>
        <w:spacing w:after="0"/>
        <w:ind w:left="360" w:hanging="360"/>
      </w:pPr>
      <w:r>
        <w:rPr>
          <w:rStyle w:val="FootnoteReference"/>
        </w:rPr>
        <w:footnoteRef/>
      </w:r>
      <w:r>
        <w:t xml:space="preserve"> </w:t>
      </w:r>
      <w:r w:rsidRPr="00EF226A">
        <w:rPr>
          <w:rFonts w:ascii="Palatino Linotype" w:hAnsi="Palatino Linotype"/>
          <w:sz w:val="22"/>
          <w:szCs w:val="22"/>
        </w:rPr>
        <w:t>PG&amp;E AL 7381-E, “Independent Evaluator Report, PG&amp;E 2024 CPE RFO,”</w:t>
      </w:r>
      <w:r>
        <w:rPr>
          <w:rFonts w:ascii="Palatino Linotype" w:hAnsi="Palatino Linotype"/>
          <w:sz w:val="22"/>
          <w:szCs w:val="22"/>
        </w:rPr>
        <w:t xml:space="preserve"> at 42</w:t>
      </w:r>
    </w:p>
  </w:footnote>
  <w:footnote w:id="7">
    <w:p w14:paraId="32051F56" w14:textId="0BFCEDEC" w:rsidR="009A5AE7" w:rsidRDefault="009A5AE7" w:rsidP="00B45D50">
      <w:pPr>
        <w:pStyle w:val="FootnoteText"/>
        <w:numPr>
          <w:ilvl w:val="0"/>
          <w:numId w:val="0"/>
        </w:numPr>
        <w:spacing w:after="0"/>
        <w:ind w:left="360" w:hanging="360"/>
      </w:pPr>
      <w:r>
        <w:rPr>
          <w:rStyle w:val="FootnoteReference"/>
        </w:rPr>
        <w:footnoteRef/>
      </w:r>
      <w:r>
        <w:t xml:space="preserve"> </w:t>
      </w:r>
      <w:r w:rsidRPr="00EF226A">
        <w:rPr>
          <w:rFonts w:ascii="Palatino Linotype" w:hAnsi="Palatino Linotype"/>
          <w:sz w:val="22"/>
          <w:szCs w:val="22"/>
        </w:rPr>
        <w:t>PG&amp;E AL 7381-E, “Independent Evaluator Report, PG&amp;E 2024 CPE RFO,”</w:t>
      </w:r>
      <w:r>
        <w:rPr>
          <w:rFonts w:ascii="Palatino Linotype" w:hAnsi="Palatino Linotype"/>
          <w:sz w:val="22"/>
          <w:szCs w:val="22"/>
        </w:rPr>
        <w:t xml:space="preserve"> at 38</w:t>
      </w:r>
    </w:p>
  </w:footnote>
  <w:footnote w:id="8">
    <w:p w14:paraId="53C75C6C" w14:textId="164B5022" w:rsidR="009A5AE7" w:rsidRDefault="009A5AE7" w:rsidP="00B45D50">
      <w:pPr>
        <w:pStyle w:val="FootnoteText"/>
        <w:numPr>
          <w:ilvl w:val="0"/>
          <w:numId w:val="0"/>
        </w:numPr>
        <w:spacing w:after="0"/>
        <w:ind w:left="360" w:hanging="360"/>
      </w:pPr>
      <w:r>
        <w:rPr>
          <w:rStyle w:val="FootnoteReference"/>
        </w:rPr>
        <w:footnoteRef/>
      </w:r>
      <w:r>
        <w:t xml:space="preserve"> </w:t>
      </w:r>
      <w:r w:rsidRPr="00EF226A">
        <w:rPr>
          <w:rFonts w:ascii="Palatino Linotype" w:hAnsi="Palatino Linotype"/>
          <w:sz w:val="22"/>
          <w:szCs w:val="22"/>
        </w:rPr>
        <w:t>PG&amp;E AL 7381-E, “Independent Evaluator Report, PG&amp;E 2024 CPE RFO,”</w:t>
      </w:r>
      <w:r>
        <w:rPr>
          <w:rFonts w:ascii="Palatino Linotype" w:hAnsi="Palatino Linotype"/>
          <w:sz w:val="22"/>
          <w:szCs w:val="22"/>
        </w:rPr>
        <w:t xml:space="preserve"> at 2</w:t>
      </w:r>
    </w:p>
  </w:footnote>
  <w:footnote w:id="9">
    <w:p w14:paraId="3DD97A82" w14:textId="050B9AA4" w:rsidR="007A6108" w:rsidRPr="007A6108" w:rsidRDefault="007A6108" w:rsidP="007A6108">
      <w:pPr>
        <w:pStyle w:val="FootnoteText"/>
        <w:numPr>
          <w:ilvl w:val="0"/>
          <w:numId w:val="0"/>
        </w:numPr>
        <w:rPr>
          <w:i/>
          <w:iCs/>
        </w:rPr>
      </w:pPr>
      <w:r w:rsidRPr="007A6108">
        <w:rPr>
          <w:rStyle w:val="FootnoteReference"/>
          <w:i/>
          <w:iCs/>
        </w:rPr>
        <w:footnoteRef/>
      </w:r>
      <w:r w:rsidRPr="007A6108">
        <w:rPr>
          <w:i/>
          <w:iCs/>
        </w:rPr>
        <w:t xml:space="preserve"> </w:t>
      </w:r>
      <w:r w:rsidRPr="007A6108">
        <w:rPr>
          <w:rFonts w:ascii="Palatino Linotype" w:hAnsi="Palatino Linotype"/>
          <w:sz w:val="22"/>
          <w:szCs w:val="22"/>
        </w:rPr>
        <w:t>D.20-06-022 OP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0B17" w14:textId="1FEC4E15" w:rsidR="007D3362" w:rsidRPr="0066269B" w:rsidRDefault="00CD4CF8">
    <w:pPr>
      <w:pStyle w:val="Header"/>
      <w:tabs>
        <w:tab w:val="clear" w:pos="4320"/>
        <w:tab w:val="clear" w:pos="8640"/>
        <w:tab w:val="center" w:pos="4680"/>
        <w:tab w:val="right" w:pos="9180"/>
      </w:tabs>
      <w:rPr>
        <w:rFonts w:ascii="Palatino Linotype" w:hAnsi="Palatino Linotype"/>
        <w:sz w:val="24"/>
        <w:szCs w:val="24"/>
      </w:rPr>
    </w:pPr>
    <w:r w:rsidRPr="0066269B">
      <w:rPr>
        <w:rFonts w:ascii="Palatino Linotype" w:hAnsi="Palatino Linotype"/>
        <w:sz w:val="24"/>
        <w:szCs w:val="24"/>
      </w:rPr>
      <w:t>Resolution E-</w:t>
    </w:r>
    <w:r w:rsidR="000D7739" w:rsidRPr="0066269B">
      <w:rPr>
        <w:rFonts w:ascii="Palatino Linotype" w:hAnsi="Palatino Linotype"/>
        <w:sz w:val="24"/>
        <w:szCs w:val="24"/>
      </w:rPr>
      <w:t>5363</w:t>
    </w:r>
    <w:r w:rsidRPr="0066269B">
      <w:rPr>
        <w:rFonts w:ascii="Palatino Linotype" w:hAnsi="Palatino Linotype"/>
        <w:sz w:val="24"/>
        <w:szCs w:val="24"/>
      </w:rPr>
      <w:tab/>
    </w:r>
    <w:r w:rsidR="006E11F2" w:rsidRPr="0066269B">
      <w:rPr>
        <w:rFonts w:ascii="Palatino Linotype" w:hAnsi="Palatino Linotype"/>
        <w:sz w:val="24"/>
        <w:szCs w:val="24"/>
      </w:rPr>
      <w:t>DRAFT</w:t>
    </w:r>
    <w:r w:rsidRPr="0066269B">
      <w:rPr>
        <w:rFonts w:ascii="Palatino Linotype" w:hAnsi="Palatino Linotype"/>
        <w:sz w:val="24"/>
        <w:szCs w:val="24"/>
      </w:rPr>
      <w:tab/>
    </w:r>
    <w:r w:rsidR="006E11F2" w:rsidRPr="0066269B">
      <w:rPr>
        <w:rFonts w:ascii="Palatino Linotype" w:hAnsi="Palatino Linotype"/>
        <w:sz w:val="24"/>
        <w:szCs w:val="24"/>
      </w:rPr>
      <w:t>February 20, 2025</w:t>
    </w:r>
  </w:p>
  <w:p w14:paraId="71382FC5" w14:textId="1C335182" w:rsidR="007D3362" w:rsidRPr="0066269B" w:rsidRDefault="00562D66">
    <w:pPr>
      <w:pStyle w:val="Header"/>
      <w:tabs>
        <w:tab w:val="clear" w:pos="4320"/>
        <w:tab w:val="clear" w:pos="8640"/>
        <w:tab w:val="center" w:pos="4680"/>
        <w:tab w:val="right" w:pos="9180"/>
      </w:tabs>
      <w:rPr>
        <w:rFonts w:ascii="Palatino Linotype" w:hAnsi="Palatino Linotype"/>
        <w:sz w:val="24"/>
        <w:szCs w:val="24"/>
      </w:rPr>
    </w:pPr>
    <w:r w:rsidRPr="0066269B">
      <w:rPr>
        <w:rFonts w:ascii="Palatino Linotype" w:hAnsi="Palatino Linotype"/>
        <w:sz w:val="24"/>
        <w:szCs w:val="24"/>
      </w:rPr>
      <w:t>PG&amp;E</w:t>
    </w:r>
    <w:r w:rsidR="00CD4CF8" w:rsidRPr="0066269B">
      <w:rPr>
        <w:rFonts w:ascii="Palatino Linotype" w:hAnsi="Palatino Linotype"/>
        <w:sz w:val="24"/>
        <w:szCs w:val="24"/>
      </w:rPr>
      <w:t xml:space="preserve"> AL </w:t>
    </w:r>
    <w:r w:rsidR="00EB579B" w:rsidRPr="0066269B">
      <w:rPr>
        <w:rFonts w:ascii="Palatino Linotype" w:hAnsi="Palatino Linotype"/>
        <w:sz w:val="24"/>
        <w:szCs w:val="24"/>
      </w:rPr>
      <w:t>7381</w:t>
    </w:r>
    <w:r w:rsidR="00CD4CF8" w:rsidRPr="0066269B">
      <w:rPr>
        <w:rFonts w:ascii="Palatino Linotype" w:hAnsi="Palatino Linotype"/>
        <w:sz w:val="24"/>
        <w:szCs w:val="24"/>
      </w:rPr>
      <w:t>-E/</w:t>
    </w:r>
    <w:r w:rsidR="00172019" w:rsidRPr="0066269B">
      <w:rPr>
        <w:rFonts w:ascii="Palatino Linotype" w:hAnsi="Palatino Linotype"/>
        <w:sz w:val="24"/>
        <w:szCs w:val="24"/>
      </w:rPr>
      <w:t>NG3</w:t>
    </w:r>
  </w:p>
  <w:p w14:paraId="138D7E2C" w14:textId="77777777" w:rsidR="007D3362" w:rsidRPr="00D865A9" w:rsidRDefault="007D3362">
    <w:pPr>
      <w:pStyle w:val="Header"/>
      <w:rPr>
        <w:rFonts w:ascii="Palatino Linotype" w:hAnsi="Palatino Linotype"/>
        <w:sz w:val="2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A289" w14:textId="41D1A802" w:rsidR="007D3362" w:rsidRPr="0066269B" w:rsidRDefault="009C0F47" w:rsidP="004E65F4">
    <w:pPr>
      <w:pStyle w:val="Header"/>
      <w:tabs>
        <w:tab w:val="clear" w:pos="4320"/>
        <w:tab w:val="clear" w:pos="8640"/>
        <w:tab w:val="center" w:pos="4680"/>
        <w:tab w:val="right" w:pos="9360"/>
      </w:tabs>
      <w:rPr>
        <w:rFonts w:ascii="Palatino Linotype" w:hAnsi="Palatino Linotype"/>
        <w:sz w:val="24"/>
        <w:szCs w:val="24"/>
      </w:rPr>
    </w:pPr>
    <w:r w:rsidRPr="0066269B">
      <w:rPr>
        <w:rFonts w:ascii="Palatino Linotype" w:hAnsi="Palatino Linotype"/>
        <w:sz w:val="24"/>
        <w:szCs w:val="24"/>
      </w:rPr>
      <w:tab/>
    </w:r>
    <w:r w:rsidR="00B9014E" w:rsidRPr="0066269B">
      <w:rPr>
        <w:rFonts w:ascii="Palatino Linotype" w:hAnsi="Palatino Linotype"/>
        <w:sz w:val="24"/>
        <w:szCs w:val="24"/>
      </w:rPr>
      <w:t>D</w:t>
    </w:r>
    <w:r w:rsidRPr="0066269B">
      <w:rPr>
        <w:rFonts w:ascii="Palatino Linotype" w:hAnsi="Palatino Linotype"/>
        <w:sz w:val="24"/>
        <w:szCs w:val="24"/>
      </w:rPr>
      <w:t>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26F8414F"/>
    <w:multiLevelType w:val="hybridMultilevel"/>
    <w:tmpl w:val="84BC8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CC14CF"/>
    <w:multiLevelType w:val="singleLevel"/>
    <w:tmpl w:val="BAACFDD6"/>
    <w:lvl w:ilvl="0">
      <w:start w:val="1"/>
      <w:numFmt w:val="decimal"/>
      <w:lvlText w:val="%1."/>
      <w:lvlJc w:val="left"/>
      <w:pPr>
        <w:ind w:left="360" w:hanging="360"/>
      </w:pPr>
      <w:rPr>
        <w:rFonts w:hint="default"/>
        <w:sz w:val="24"/>
        <w:szCs w:val="24"/>
      </w:rPr>
    </w:lvl>
  </w:abstractNum>
  <w:abstractNum w:abstractNumId="4" w15:restartNumberingAfterBreak="0">
    <w:nsid w:val="572565C7"/>
    <w:multiLevelType w:val="singleLevel"/>
    <w:tmpl w:val="0409000F"/>
    <w:lvl w:ilvl="0">
      <w:start w:val="1"/>
      <w:numFmt w:val="decimal"/>
      <w:lvlText w:val="%1."/>
      <w:lvlJc w:val="left"/>
      <w:pPr>
        <w:ind w:left="360" w:hanging="360"/>
      </w:pPr>
      <w:rPr>
        <w:rFonts w:hint="default"/>
      </w:rPr>
    </w:lvl>
  </w:abstractNum>
  <w:abstractNum w:abstractNumId="5"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0786290">
    <w:abstractNumId w:val="1"/>
  </w:num>
  <w:num w:numId="2" w16cid:durableId="1366978907">
    <w:abstractNumId w:val="4"/>
  </w:num>
  <w:num w:numId="3" w16cid:durableId="20673991">
    <w:abstractNumId w:val="0"/>
  </w:num>
  <w:num w:numId="4" w16cid:durableId="653070105">
    <w:abstractNumId w:val="2"/>
  </w:num>
  <w:num w:numId="5" w16cid:durableId="1592202785">
    <w:abstractNumId w:val="5"/>
  </w:num>
  <w:num w:numId="6" w16cid:durableId="1946646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F8"/>
    <w:rsid w:val="00002A3A"/>
    <w:rsid w:val="00002DFA"/>
    <w:rsid w:val="0000314E"/>
    <w:rsid w:val="0000373B"/>
    <w:rsid w:val="00005177"/>
    <w:rsid w:val="000071AB"/>
    <w:rsid w:val="000102E3"/>
    <w:rsid w:val="00012B86"/>
    <w:rsid w:val="00021BAF"/>
    <w:rsid w:val="00023210"/>
    <w:rsid w:val="000301FF"/>
    <w:rsid w:val="00031280"/>
    <w:rsid w:val="00035AE1"/>
    <w:rsid w:val="00035B03"/>
    <w:rsid w:val="000372F6"/>
    <w:rsid w:val="000455A7"/>
    <w:rsid w:val="00047BD9"/>
    <w:rsid w:val="00054C71"/>
    <w:rsid w:val="000564B9"/>
    <w:rsid w:val="00057494"/>
    <w:rsid w:val="00057AF3"/>
    <w:rsid w:val="00066C9D"/>
    <w:rsid w:val="00071C14"/>
    <w:rsid w:val="000777E0"/>
    <w:rsid w:val="00082564"/>
    <w:rsid w:val="00086FEE"/>
    <w:rsid w:val="000958A9"/>
    <w:rsid w:val="00096933"/>
    <w:rsid w:val="000A26A5"/>
    <w:rsid w:val="000A5A55"/>
    <w:rsid w:val="000B1727"/>
    <w:rsid w:val="000B6728"/>
    <w:rsid w:val="000B780E"/>
    <w:rsid w:val="000C00B4"/>
    <w:rsid w:val="000C0887"/>
    <w:rsid w:val="000C0990"/>
    <w:rsid w:val="000C40ED"/>
    <w:rsid w:val="000C4F9E"/>
    <w:rsid w:val="000D011A"/>
    <w:rsid w:val="000D209A"/>
    <w:rsid w:val="000D7739"/>
    <w:rsid w:val="000D7A1A"/>
    <w:rsid w:val="000F0635"/>
    <w:rsid w:val="000F172A"/>
    <w:rsid w:val="000F24BE"/>
    <w:rsid w:val="000F585F"/>
    <w:rsid w:val="000F5C3C"/>
    <w:rsid w:val="0010253F"/>
    <w:rsid w:val="00102F47"/>
    <w:rsid w:val="001033E1"/>
    <w:rsid w:val="001060F4"/>
    <w:rsid w:val="00106309"/>
    <w:rsid w:val="00113B28"/>
    <w:rsid w:val="001146D2"/>
    <w:rsid w:val="00121680"/>
    <w:rsid w:val="001222ED"/>
    <w:rsid w:val="00123A52"/>
    <w:rsid w:val="00127AB7"/>
    <w:rsid w:val="00127FDB"/>
    <w:rsid w:val="00134446"/>
    <w:rsid w:val="00134D3B"/>
    <w:rsid w:val="001354AF"/>
    <w:rsid w:val="00135831"/>
    <w:rsid w:val="00144BD1"/>
    <w:rsid w:val="00146703"/>
    <w:rsid w:val="00156BE7"/>
    <w:rsid w:val="00161628"/>
    <w:rsid w:val="00162587"/>
    <w:rsid w:val="00162E81"/>
    <w:rsid w:val="00163CD4"/>
    <w:rsid w:val="00164210"/>
    <w:rsid w:val="00166044"/>
    <w:rsid w:val="00171C87"/>
    <w:rsid w:val="00172019"/>
    <w:rsid w:val="00172820"/>
    <w:rsid w:val="00176EFB"/>
    <w:rsid w:val="001835D2"/>
    <w:rsid w:val="001907E9"/>
    <w:rsid w:val="00190A63"/>
    <w:rsid w:val="00190DA4"/>
    <w:rsid w:val="001964B3"/>
    <w:rsid w:val="001A0A5B"/>
    <w:rsid w:val="001B2267"/>
    <w:rsid w:val="001C0194"/>
    <w:rsid w:val="001C01C9"/>
    <w:rsid w:val="001C1F8F"/>
    <w:rsid w:val="001C2D60"/>
    <w:rsid w:val="001C42E0"/>
    <w:rsid w:val="001C59C2"/>
    <w:rsid w:val="001D1656"/>
    <w:rsid w:val="001D3C76"/>
    <w:rsid w:val="001D4462"/>
    <w:rsid w:val="001D4960"/>
    <w:rsid w:val="001D49B2"/>
    <w:rsid w:val="001D5221"/>
    <w:rsid w:val="001D6E0B"/>
    <w:rsid w:val="001D6E78"/>
    <w:rsid w:val="001E0DBE"/>
    <w:rsid w:val="001E1A3C"/>
    <w:rsid w:val="001E24A1"/>
    <w:rsid w:val="001E2BEA"/>
    <w:rsid w:val="001E3744"/>
    <w:rsid w:val="001E3A5F"/>
    <w:rsid w:val="001E46A5"/>
    <w:rsid w:val="001E4DD9"/>
    <w:rsid w:val="001E7EBE"/>
    <w:rsid w:val="001F00C9"/>
    <w:rsid w:val="001F090C"/>
    <w:rsid w:val="001F22C0"/>
    <w:rsid w:val="001F4365"/>
    <w:rsid w:val="001F6DD0"/>
    <w:rsid w:val="00201EB3"/>
    <w:rsid w:val="00204992"/>
    <w:rsid w:val="00210C40"/>
    <w:rsid w:val="00211709"/>
    <w:rsid w:val="002148C6"/>
    <w:rsid w:val="00216983"/>
    <w:rsid w:val="002172EC"/>
    <w:rsid w:val="00217B97"/>
    <w:rsid w:val="002208D8"/>
    <w:rsid w:val="00221FE6"/>
    <w:rsid w:val="002248CD"/>
    <w:rsid w:val="0022732A"/>
    <w:rsid w:val="00227828"/>
    <w:rsid w:val="00234EAA"/>
    <w:rsid w:val="002360BD"/>
    <w:rsid w:val="002404C8"/>
    <w:rsid w:val="00245585"/>
    <w:rsid w:val="002545FC"/>
    <w:rsid w:val="002555D8"/>
    <w:rsid w:val="00256CF2"/>
    <w:rsid w:val="00257DD5"/>
    <w:rsid w:val="002619E4"/>
    <w:rsid w:val="002620BA"/>
    <w:rsid w:val="002754F5"/>
    <w:rsid w:val="002755EC"/>
    <w:rsid w:val="00276E39"/>
    <w:rsid w:val="002808A1"/>
    <w:rsid w:val="00281D5A"/>
    <w:rsid w:val="00290020"/>
    <w:rsid w:val="002917AB"/>
    <w:rsid w:val="00292F7D"/>
    <w:rsid w:val="002A26C0"/>
    <w:rsid w:val="002A6E13"/>
    <w:rsid w:val="002B2053"/>
    <w:rsid w:val="002B6DF1"/>
    <w:rsid w:val="002C3A70"/>
    <w:rsid w:val="002C4D3A"/>
    <w:rsid w:val="002D0955"/>
    <w:rsid w:val="002D4ED4"/>
    <w:rsid w:val="002D59A1"/>
    <w:rsid w:val="002D7C42"/>
    <w:rsid w:val="002E2283"/>
    <w:rsid w:val="002E3510"/>
    <w:rsid w:val="002E3E94"/>
    <w:rsid w:val="002E658E"/>
    <w:rsid w:val="00310742"/>
    <w:rsid w:val="00310DD2"/>
    <w:rsid w:val="0031350F"/>
    <w:rsid w:val="00313DEC"/>
    <w:rsid w:val="00314E4A"/>
    <w:rsid w:val="003216CD"/>
    <w:rsid w:val="00323861"/>
    <w:rsid w:val="003246B5"/>
    <w:rsid w:val="003269BF"/>
    <w:rsid w:val="003269D7"/>
    <w:rsid w:val="0033188C"/>
    <w:rsid w:val="00333CFD"/>
    <w:rsid w:val="00334126"/>
    <w:rsid w:val="00334727"/>
    <w:rsid w:val="0033519B"/>
    <w:rsid w:val="00335ED5"/>
    <w:rsid w:val="003371AC"/>
    <w:rsid w:val="00337AD7"/>
    <w:rsid w:val="00337AFA"/>
    <w:rsid w:val="00342BC8"/>
    <w:rsid w:val="0034342B"/>
    <w:rsid w:val="003442E7"/>
    <w:rsid w:val="00345626"/>
    <w:rsid w:val="00346884"/>
    <w:rsid w:val="003474A1"/>
    <w:rsid w:val="003476C5"/>
    <w:rsid w:val="003550A5"/>
    <w:rsid w:val="003556B4"/>
    <w:rsid w:val="00355DE9"/>
    <w:rsid w:val="00356109"/>
    <w:rsid w:val="00356683"/>
    <w:rsid w:val="00357E91"/>
    <w:rsid w:val="00363660"/>
    <w:rsid w:val="00366917"/>
    <w:rsid w:val="00366A49"/>
    <w:rsid w:val="0037504A"/>
    <w:rsid w:val="00375B19"/>
    <w:rsid w:val="003833DA"/>
    <w:rsid w:val="003838B7"/>
    <w:rsid w:val="00385F5C"/>
    <w:rsid w:val="00395E54"/>
    <w:rsid w:val="00397DA6"/>
    <w:rsid w:val="003A0739"/>
    <w:rsid w:val="003A2D72"/>
    <w:rsid w:val="003A588A"/>
    <w:rsid w:val="003B0CCD"/>
    <w:rsid w:val="003B1975"/>
    <w:rsid w:val="003B2331"/>
    <w:rsid w:val="003B29A4"/>
    <w:rsid w:val="003B5741"/>
    <w:rsid w:val="003B6404"/>
    <w:rsid w:val="003C0290"/>
    <w:rsid w:val="003C080F"/>
    <w:rsid w:val="003C1223"/>
    <w:rsid w:val="003C34A2"/>
    <w:rsid w:val="003C428E"/>
    <w:rsid w:val="003C5B50"/>
    <w:rsid w:val="003D1F12"/>
    <w:rsid w:val="003D2C10"/>
    <w:rsid w:val="003D3A91"/>
    <w:rsid w:val="003D3E68"/>
    <w:rsid w:val="003E1879"/>
    <w:rsid w:val="003E5ABF"/>
    <w:rsid w:val="003E5AC0"/>
    <w:rsid w:val="003F0C2F"/>
    <w:rsid w:val="003F14DB"/>
    <w:rsid w:val="003F2FCC"/>
    <w:rsid w:val="003F3E35"/>
    <w:rsid w:val="003F568E"/>
    <w:rsid w:val="003F6540"/>
    <w:rsid w:val="004000E2"/>
    <w:rsid w:val="00402A16"/>
    <w:rsid w:val="00406399"/>
    <w:rsid w:val="00406F70"/>
    <w:rsid w:val="00407978"/>
    <w:rsid w:val="00412853"/>
    <w:rsid w:val="0041726F"/>
    <w:rsid w:val="0042067D"/>
    <w:rsid w:val="0042536B"/>
    <w:rsid w:val="00425A18"/>
    <w:rsid w:val="00433EB5"/>
    <w:rsid w:val="004430E9"/>
    <w:rsid w:val="004454EF"/>
    <w:rsid w:val="004471E4"/>
    <w:rsid w:val="00447DF7"/>
    <w:rsid w:val="00451D67"/>
    <w:rsid w:val="0045759C"/>
    <w:rsid w:val="00457CDD"/>
    <w:rsid w:val="00463057"/>
    <w:rsid w:val="00463A04"/>
    <w:rsid w:val="00466050"/>
    <w:rsid w:val="00467834"/>
    <w:rsid w:val="0046793C"/>
    <w:rsid w:val="00470E5B"/>
    <w:rsid w:val="00471BE6"/>
    <w:rsid w:val="00476E62"/>
    <w:rsid w:val="004826F1"/>
    <w:rsid w:val="00492A6C"/>
    <w:rsid w:val="00496CFB"/>
    <w:rsid w:val="004A6521"/>
    <w:rsid w:val="004B3346"/>
    <w:rsid w:val="004B7C79"/>
    <w:rsid w:val="004D3B3D"/>
    <w:rsid w:val="004D6FD5"/>
    <w:rsid w:val="004D79A8"/>
    <w:rsid w:val="004E1619"/>
    <w:rsid w:val="004E3B6F"/>
    <w:rsid w:val="004E4005"/>
    <w:rsid w:val="004E4546"/>
    <w:rsid w:val="004E65F4"/>
    <w:rsid w:val="004F5495"/>
    <w:rsid w:val="004F5703"/>
    <w:rsid w:val="0050282F"/>
    <w:rsid w:val="00506306"/>
    <w:rsid w:val="005107F4"/>
    <w:rsid w:val="00510DEA"/>
    <w:rsid w:val="0051151F"/>
    <w:rsid w:val="0051165F"/>
    <w:rsid w:val="005118D3"/>
    <w:rsid w:val="00516754"/>
    <w:rsid w:val="00516F2D"/>
    <w:rsid w:val="005201EB"/>
    <w:rsid w:val="005232E3"/>
    <w:rsid w:val="005235CE"/>
    <w:rsid w:val="00533C28"/>
    <w:rsid w:val="0053433B"/>
    <w:rsid w:val="00534F4A"/>
    <w:rsid w:val="00541695"/>
    <w:rsid w:val="00544014"/>
    <w:rsid w:val="00545368"/>
    <w:rsid w:val="00547DDB"/>
    <w:rsid w:val="00554A23"/>
    <w:rsid w:val="005601AA"/>
    <w:rsid w:val="00562D66"/>
    <w:rsid w:val="00564A2E"/>
    <w:rsid w:val="0056765D"/>
    <w:rsid w:val="00575BE8"/>
    <w:rsid w:val="00583348"/>
    <w:rsid w:val="0059075A"/>
    <w:rsid w:val="00590F6E"/>
    <w:rsid w:val="00597863"/>
    <w:rsid w:val="005A5977"/>
    <w:rsid w:val="005A6755"/>
    <w:rsid w:val="005A6901"/>
    <w:rsid w:val="005A6DA0"/>
    <w:rsid w:val="005A7A64"/>
    <w:rsid w:val="005B4697"/>
    <w:rsid w:val="005B47CB"/>
    <w:rsid w:val="005C44A9"/>
    <w:rsid w:val="005C65E2"/>
    <w:rsid w:val="005C724D"/>
    <w:rsid w:val="005D273F"/>
    <w:rsid w:val="005D3B83"/>
    <w:rsid w:val="005D7B93"/>
    <w:rsid w:val="005E242C"/>
    <w:rsid w:val="005E377E"/>
    <w:rsid w:val="005E3AD5"/>
    <w:rsid w:val="005E5A90"/>
    <w:rsid w:val="005E6F72"/>
    <w:rsid w:val="005E7E65"/>
    <w:rsid w:val="005F0E95"/>
    <w:rsid w:val="005F17C7"/>
    <w:rsid w:val="005F2F97"/>
    <w:rsid w:val="005F6B58"/>
    <w:rsid w:val="005F7D0E"/>
    <w:rsid w:val="0060105D"/>
    <w:rsid w:val="006019F3"/>
    <w:rsid w:val="0060249C"/>
    <w:rsid w:val="00603DC4"/>
    <w:rsid w:val="00607036"/>
    <w:rsid w:val="006130DC"/>
    <w:rsid w:val="00614C55"/>
    <w:rsid w:val="00615103"/>
    <w:rsid w:val="006162A9"/>
    <w:rsid w:val="00616953"/>
    <w:rsid w:val="00617605"/>
    <w:rsid w:val="0062245B"/>
    <w:rsid w:val="00624EAB"/>
    <w:rsid w:val="00625496"/>
    <w:rsid w:val="00635C77"/>
    <w:rsid w:val="00636C42"/>
    <w:rsid w:val="00641592"/>
    <w:rsid w:val="00641679"/>
    <w:rsid w:val="006445D5"/>
    <w:rsid w:val="006463FB"/>
    <w:rsid w:val="00651B7A"/>
    <w:rsid w:val="0065711A"/>
    <w:rsid w:val="00657C88"/>
    <w:rsid w:val="0066269B"/>
    <w:rsid w:val="00665069"/>
    <w:rsid w:val="00666AED"/>
    <w:rsid w:val="006701CA"/>
    <w:rsid w:val="00672056"/>
    <w:rsid w:val="00672679"/>
    <w:rsid w:val="00675CC3"/>
    <w:rsid w:val="00680FB6"/>
    <w:rsid w:val="00681D84"/>
    <w:rsid w:val="00682B11"/>
    <w:rsid w:val="00682B34"/>
    <w:rsid w:val="0068334A"/>
    <w:rsid w:val="006838BC"/>
    <w:rsid w:val="006839DF"/>
    <w:rsid w:val="00691ADA"/>
    <w:rsid w:val="006941FF"/>
    <w:rsid w:val="006962B2"/>
    <w:rsid w:val="006965A0"/>
    <w:rsid w:val="006A0603"/>
    <w:rsid w:val="006A1887"/>
    <w:rsid w:val="006A6798"/>
    <w:rsid w:val="006A76EC"/>
    <w:rsid w:val="006B32BB"/>
    <w:rsid w:val="006B4613"/>
    <w:rsid w:val="006B48EF"/>
    <w:rsid w:val="006B4983"/>
    <w:rsid w:val="006B4FE2"/>
    <w:rsid w:val="006B55C0"/>
    <w:rsid w:val="006B6A69"/>
    <w:rsid w:val="006C2630"/>
    <w:rsid w:val="006C28F4"/>
    <w:rsid w:val="006C67A6"/>
    <w:rsid w:val="006C761F"/>
    <w:rsid w:val="006D0F9A"/>
    <w:rsid w:val="006D48BD"/>
    <w:rsid w:val="006D5387"/>
    <w:rsid w:val="006D587D"/>
    <w:rsid w:val="006E11F2"/>
    <w:rsid w:val="006E13A7"/>
    <w:rsid w:val="006E1686"/>
    <w:rsid w:val="006E629B"/>
    <w:rsid w:val="006F2913"/>
    <w:rsid w:val="006F68C9"/>
    <w:rsid w:val="00700237"/>
    <w:rsid w:val="00700F08"/>
    <w:rsid w:val="007016D4"/>
    <w:rsid w:val="007050AC"/>
    <w:rsid w:val="00712DD9"/>
    <w:rsid w:val="00714626"/>
    <w:rsid w:val="00726AAA"/>
    <w:rsid w:val="00726FE1"/>
    <w:rsid w:val="00732003"/>
    <w:rsid w:val="007323CD"/>
    <w:rsid w:val="00734990"/>
    <w:rsid w:val="007364AE"/>
    <w:rsid w:val="00737047"/>
    <w:rsid w:val="0074055B"/>
    <w:rsid w:val="007408B4"/>
    <w:rsid w:val="00742EC5"/>
    <w:rsid w:val="007475AC"/>
    <w:rsid w:val="00752AD3"/>
    <w:rsid w:val="007537D9"/>
    <w:rsid w:val="00761C69"/>
    <w:rsid w:val="00763601"/>
    <w:rsid w:val="00772BC2"/>
    <w:rsid w:val="0077467B"/>
    <w:rsid w:val="00782CCE"/>
    <w:rsid w:val="00783419"/>
    <w:rsid w:val="007834DF"/>
    <w:rsid w:val="00783B57"/>
    <w:rsid w:val="00791F9C"/>
    <w:rsid w:val="007A515E"/>
    <w:rsid w:val="007A5240"/>
    <w:rsid w:val="007A6108"/>
    <w:rsid w:val="007A6DC0"/>
    <w:rsid w:val="007C09B3"/>
    <w:rsid w:val="007C5D81"/>
    <w:rsid w:val="007C5F90"/>
    <w:rsid w:val="007D0499"/>
    <w:rsid w:val="007D3362"/>
    <w:rsid w:val="007D33C0"/>
    <w:rsid w:val="007D5958"/>
    <w:rsid w:val="007D6A29"/>
    <w:rsid w:val="007E58BD"/>
    <w:rsid w:val="007F09BE"/>
    <w:rsid w:val="007F4110"/>
    <w:rsid w:val="007F4BEC"/>
    <w:rsid w:val="00800D6B"/>
    <w:rsid w:val="00801A61"/>
    <w:rsid w:val="0080245E"/>
    <w:rsid w:val="00803F51"/>
    <w:rsid w:val="008060F3"/>
    <w:rsid w:val="00806BF1"/>
    <w:rsid w:val="00812761"/>
    <w:rsid w:val="0081729C"/>
    <w:rsid w:val="00817B63"/>
    <w:rsid w:val="0082151E"/>
    <w:rsid w:val="00827C67"/>
    <w:rsid w:val="00831225"/>
    <w:rsid w:val="00837B0F"/>
    <w:rsid w:val="0084077F"/>
    <w:rsid w:val="00842052"/>
    <w:rsid w:val="00845D4B"/>
    <w:rsid w:val="008466D9"/>
    <w:rsid w:val="00850F1A"/>
    <w:rsid w:val="00852B9F"/>
    <w:rsid w:val="0086230B"/>
    <w:rsid w:val="008626AB"/>
    <w:rsid w:val="00862FC5"/>
    <w:rsid w:val="00865653"/>
    <w:rsid w:val="00870EE0"/>
    <w:rsid w:val="0087141A"/>
    <w:rsid w:val="00872051"/>
    <w:rsid w:val="008726A0"/>
    <w:rsid w:val="00872FE8"/>
    <w:rsid w:val="00873AA3"/>
    <w:rsid w:val="00877A98"/>
    <w:rsid w:val="008808B9"/>
    <w:rsid w:val="00884C1A"/>
    <w:rsid w:val="00884F44"/>
    <w:rsid w:val="008851C9"/>
    <w:rsid w:val="008877E6"/>
    <w:rsid w:val="00890547"/>
    <w:rsid w:val="008922AA"/>
    <w:rsid w:val="00894626"/>
    <w:rsid w:val="00894B63"/>
    <w:rsid w:val="00895F38"/>
    <w:rsid w:val="008A00D4"/>
    <w:rsid w:val="008A2DBC"/>
    <w:rsid w:val="008A3FEA"/>
    <w:rsid w:val="008A5546"/>
    <w:rsid w:val="008B0170"/>
    <w:rsid w:val="008C0FBD"/>
    <w:rsid w:val="008C158A"/>
    <w:rsid w:val="008C2103"/>
    <w:rsid w:val="008C25B2"/>
    <w:rsid w:val="008C4980"/>
    <w:rsid w:val="008C71B3"/>
    <w:rsid w:val="008C737C"/>
    <w:rsid w:val="008D4D5E"/>
    <w:rsid w:val="008D4DA9"/>
    <w:rsid w:val="008D7819"/>
    <w:rsid w:val="008E3738"/>
    <w:rsid w:val="008E3D55"/>
    <w:rsid w:val="008F0351"/>
    <w:rsid w:val="008F13AB"/>
    <w:rsid w:val="008F1878"/>
    <w:rsid w:val="008F24D8"/>
    <w:rsid w:val="008F3011"/>
    <w:rsid w:val="008F3DEC"/>
    <w:rsid w:val="008F4AF0"/>
    <w:rsid w:val="008F57CF"/>
    <w:rsid w:val="008F63EA"/>
    <w:rsid w:val="008F6B15"/>
    <w:rsid w:val="0090092F"/>
    <w:rsid w:val="00903488"/>
    <w:rsid w:val="0090602B"/>
    <w:rsid w:val="0090729A"/>
    <w:rsid w:val="00911CA1"/>
    <w:rsid w:val="00920A8A"/>
    <w:rsid w:val="00922433"/>
    <w:rsid w:val="009248DD"/>
    <w:rsid w:val="009279B2"/>
    <w:rsid w:val="0093210E"/>
    <w:rsid w:val="00933F74"/>
    <w:rsid w:val="00941A8D"/>
    <w:rsid w:val="00942009"/>
    <w:rsid w:val="00943079"/>
    <w:rsid w:val="009433B6"/>
    <w:rsid w:val="0094711C"/>
    <w:rsid w:val="00953CC7"/>
    <w:rsid w:val="009605D7"/>
    <w:rsid w:val="00960B91"/>
    <w:rsid w:val="0096205E"/>
    <w:rsid w:val="0096347F"/>
    <w:rsid w:val="00967C9D"/>
    <w:rsid w:val="0097532C"/>
    <w:rsid w:val="00976590"/>
    <w:rsid w:val="00976FF3"/>
    <w:rsid w:val="009802BA"/>
    <w:rsid w:val="0098091B"/>
    <w:rsid w:val="00982075"/>
    <w:rsid w:val="009824CB"/>
    <w:rsid w:val="00985B8D"/>
    <w:rsid w:val="00990761"/>
    <w:rsid w:val="009A4B75"/>
    <w:rsid w:val="009A5AE7"/>
    <w:rsid w:val="009B2B17"/>
    <w:rsid w:val="009B3074"/>
    <w:rsid w:val="009B3AEC"/>
    <w:rsid w:val="009B4F0C"/>
    <w:rsid w:val="009C0F47"/>
    <w:rsid w:val="009C6D45"/>
    <w:rsid w:val="009C7513"/>
    <w:rsid w:val="009D1FC6"/>
    <w:rsid w:val="009D5557"/>
    <w:rsid w:val="009E0FCB"/>
    <w:rsid w:val="009E104B"/>
    <w:rsid w:val="009E57C4"/>
    <w:rsid w:val="009F07D4"/>
    <w:rsid w:val="009F09D9"/>
    <w:rsid w:val="009F4A18"/>
    <w:rsid w:val="00A005A5"/>
    <w:rsid w:val="00A02D07"/>
    <w:rsid w:val="00A031FD"/>
    <w:rsid w:val="00A0438C"/>
    <w:rsid w:val="00A13897"/>
    <w:rsid w:val="00A1406D"/>
    <w:rsid w:val="00A206E9"/>
    <w:rsid w:val="00A26746"/>
    <w:rsid w:val="00A33BCC"/>
    <w:rsid w:val="00A34D55"/>
    <w:rsid w:val="00A379C9"/>
    <w:rsid w:val="00A410E3"/>
    <w:rsid w:val="00A417DA"/>
    <w:rsid w:val="00A41D32"/>
    <w:rsid w:val="00A47D0A"/>
    <w:rsid w:val="00A51E3B"/>
    <w:rsid w:val="00A535AF"/>
    <w:rsid w:val="00A60361"/>
    <w:rsid w:val="00A66524"/>
    <w:rsid w:val="00A80DE0"/>
    <w:rsid w:val="00A82487"/>
    <w:rsid w:val="00A83014"/>
    <w:rsid w:val="00A8568D"/>
    <w:rsid w:val="00A904A8"/>
    <w:rsid w:val="00A91F8A"/>
    <w:rsid w:val="00A92527"/>
    <w:rsid w:val="00A92E65"/>
    <w:rsid w:val="00AA0885"/>
    <w:rsid w:val="00AA3A8A"/>
    <w:rsid w:val="00AA4E9E"/>
    <w:rsid w:val="00AA74D1"/>
    <w:rsid w:val="00AB0CA6"/>
    <w:rsid w:val="00AB1EF8"/>
    <w:rsid w:val="00AB3E7D"/>
    <w:rsid w:val="00AB4948"/>
    <w:rsid w:val="00AB6CB8"/>
    <w:rsid w:val="00AC0A66"/>
    <w:rsid w:val="00AC2625"/>
    <w:rsid w:val="00AC274E"/>
    <w:rsid w:val="00AC33DA"/>
    <w:rsid w:val="00AD0930"/>
    <w:rsid w:val="00AD598B"/>
    <w:rsid w:val="00AE11EF"/>
    <w:rsid w:val="00AE20F5"/>
    <w:rsid w:val="00AE68E2"/>
    <w:rsid w:val="00AE7570"/>
    <w:rsid w:val="00AE7CDF"/>
    <w:rsid w:val="00AF245E"/>
    <w:rsid w:val="00AF4DFD"/>
    <w:rsid w:val="00AF50D6"/>
    <w:rsid w:val="00AF635D"/>
    <w:rsid w:val="00B0466C"/>
    <w:rsid w:val="00B06507"/>
    <w:rsid w:val="00B071A4"/>
    <w:rsid w:val="00B116F4"/>
    <w:rsid w:val="00B11852"/>
    <w:rsid w:val="00B175DE"/>
    <w:rsid w:val="00B2070A"/>
    <w:rsid w:val="00B268CD"/>
    <w:rsid w:val="00B26B95"/>
    <w:rsid w:val="00B26C32"/>
    <w:rsid w:val="00B31BF3"/>
    <w:rsid w:val="00B3304A"/>
    <w:rsid w:val="00B33ED5"/>
    <w:rsid w:val="00B348D3"/>
    <w:rsid w:val="00B41BE2"/>
    <w:rsid w:val="00B432D1"/>
    <w:rsid w:val="00B44472"/>
    <w:rsid w:val="00B45D50"/>
    <w:rsid w:val="00B4600F"/>
    <w:rsid w:val="00B51C9B"/>
    <w:rsid w:val="00B540C6"/>
    <w:rsid w:val="00B554DE"/>
    <w:rsid w:val="00B5580B"/>
    <w:rsid w:val="00B55FD8"/>
    <w:rsid w:val="00B5719B"/>
    <w:rsid w:val="00B70895"/>
    <w:rsid w:val="00B722BB"/>
    <w:rsid w:val="00B742F3"/>
    <w:rsid w:val="00B74C0D"/>
    <w:rsid w:val="00B77CA6"/>
    <w:rsid w:val="00B82A21"/>
    <w:rsid w:val="00B87ED1"/>
    <w:rsid w:val="00B9014E"/>
    <w:rsid w:val="00B90783"/>
    <w:rsid w:val="00B9222F"/>
    <w:rsid w:val="00B92ED2"/>
    <w:rsid w:val="00B930D4"/>
    <w:rsid w:val="00B93340"/>
    <w:rsid w:val="00B97D47"/>
    <w:rsid w:val="00BA1291"/>
    <w:rsid w:val="00BA12F7"/>
    <w:rsid w:val="00BA1C24"/>
    <w:rsid w:val="00BA2918"/>
    <w:rsid w:val="00BA2D81"/>
    <w:rsid w:val="00BA33DC"/>
    <w:rsid w:val="00BB03AA"/>
    <w:rsid w:val="00BB1239"/>
    <w:rsid w:val="00BB6402"/>
    <w:rsid w:val="00BB6F68"/>
    <w:rsid w:val="00BC1413"/>
    <w:rsid w:val="00BC14F0"/>
    <w:rsid w:val="00BC6306"/>
    <w:rsid w:val="00BC798D"/>
    <w:rsid w:val="00BE0311"/>
    <w:rsid w:val="00BE235F"/>
    <w:rsid w:val="00BE2F78"/>
    <w:rsid w:val="00BE2FA6"/>
    <w:rsid w:val="00BE3A51"/>
    <w:rsid w:val="00BE61A5"/>
    <w:rsid w:val="00BF5318"/>
    <w:rsid w:val="00BF7524"/>
    <w:rsid w:val="00C03C3B"/>
    <w:rsid w:val="00C131EC"/>
    <w:rsid w:val="00C160FF"/>
    <w:rsid w:val="00C215DA"/>
    <w:rsid w:val="00C312FA"/>
    <w:rsid w:val="00C43050"/>
    <w:rsid w:val="00C51DA0"/>
    <w:rsid w:val="00C53087"/>
    <w:rsid w:val="00C57CA9"/>
    <w:rsid w:val="00C61A4D"/>
    <w:rsid w:val="00C6289F"/>
    <w:rsid w:val="00C654B3"/>
    <w:rsid w:val="00C70210"/>
    <w:rsid w:val="00C7295D"/>
    <w:rsid w:val="00C76E9E"/>
    <w:rsid w:val="00C774F2"/>
    <w:rsid w:val="00C801BD"/>
    <w:rsid w:val="00C81BCB"/>
    <w:rsid w:val="00C870D9"/>
    <w:rsid w:val="00C9019A"/>
    <w:rsid w:val="00C9047D"/>
    <w:rsid w:val="00C90666"/>
    <w:rsid w:val="00C92D0D"/>
    <w:rsid w:val="00CA09BF"/>
    <w:rsid w:val="00CA0C11"/>
    <w:rsid w:val="00CA2982"/>
    <w:rsid w:val="00CA5A55"/>
    <w:rsid w:val="00CA66EE"/>
    <w:rsid w:val="00CB0D92"/>
    <w:rsid w:val="00CB24DC"/>
    <w:rsid w:val="00CB2A57"/>
    <w:rsid w:val="00CB377B"/>
    <w:rsid w:val="00CB3FFA"/>
    <w:rsid w:val="00CB47D3"/>
    <w:rsid w:val="00CB7C8F"/>
    <w:rsid w:val="00CC0D23"/>
    <w:rsid w:val="00CC214C"/>
    <w:rsid w:val="00CC5649"/>
    <w:rsid w:val="00CD052F"/>
    <w:rsid w:val="00CD3085"/>
    <w:rsid w:val="00CD3BC1"/>
    <w:rsid w:val="00CD4CF8"/>
    <w:rsid w:val="00CD51C9"/>
    <w:rsid w:val="00CE04D6"/>
    <w:rsid w:val="00CE1985"/>
    <w:rsid w:val="00CE26A5"/>
    <w:rsid w:val="00CE75CC"/>
    <w:rsid w:val="00CF1107"/>
    <w:rsid w:val="00CF5CFA"/>
    <w:rsid w:val="00D00BB5"/>
    <w:rsid w:val="00D02E53"/>
    <w:rsid w:val="00D12EE9"/>
    <w:rsid w:val="00D1396E"/>
    <w:rsid w:val="00D1528B"/>
    <w:rsid w:val="00D209DF"/>
    <w:rsid w:val="00D22A4B"/>
    <w:rsid w:val="00D24555"/>
    <w:rsid w:val="00D24593"/>
    <w:rsid w:val="00D26707"/>
    <w:rsid w:val="00D337C2"/>
    <w:rsid w:val="00D33F00"/>
    <w:rsid w:val="00D34138"/>
    <w:rsid w:val="00D36A99"/>
    <w:rsid w:val="00D42967"/>
    <w:rsid w:val="00D429DD"/>
    <w:rsid w:val="00D44D43"/>
    <w:rsid w:val="00D45572"/>
    <w:rsid w:val="00D50A92"/>
    <w:rsid w:val="00D534B4"/>
    <w:rsid w:val="00D575F9"/>
    <w:rsid w:val="00D60C92"/>
    <w:rsid w:val="00D63002"/>
    <w:rsid w:val="00D67E68"/>
    <w:rsid w:val="00D7249E"/>
    <w:rsid w:val="00D77AE3"/>
    <w:rsid w:val="00D84A81"/>
    <w:rsid w:val="00D90E37"/>
    <w:rsid w:val="00D94BFB"/>
    <w:rsid w:val="00D9573F"/>
    <w:rsid w:val="00D97336"/>
    <w:rsid w:val="00D97E8A"/>
    <w:rsid w:val="00DA53FE"/>
    <w:rsid w:val="00DA7058"/>
    <w:rsid w:val="00DA70AC"/>
    <w:rsid w:val="00DB6CD3"/>
    <w:rsid w:val="00DC1DAC"/>
    <w:rsid w:val="00DC27E6"/>
    <w:rsid w:val="00DC291F"/>
    <w:rsid w:val="00DC6709"/>
    <w:rsid w:val="00DC6A5E"/>
    <w:rsid w:val="00DD4C5E"/>
    <w:rsid w:val="00DD4F3D"/>
    <w:rsid w:val="00DD53BA"/>
    <w:rsid w:val="00DD66A6"/>
    <w:rsid w:val="00DE0788"/>
    <w:rsid w:val="00DE5B31"/>
    <w:rsid w:val="00DE6251"/>
    <w:rsid w:val="00DF0E32"/>
    <w:rsid w:val="00DF49AE"/>
    <w:rsid w:val="00E10543"/>
    <w:rsid w:val="00E11042"/>
    <w:rsid w:val="00E119BF"/>
    <w:rsid w:val="00E122F1"/>
    <w:rsid w:val="00E1382C"/>
    <w:rsid w:val="00E140E7"/>
    <w:rsid w:val="00E1790D"/>
    <w:rsid w:val="00E23BEF"/>
    <w:rsid w:val="00E26ADA"/>
    <w:rsid w:val="00E32C5F"/>
    <w:rsid w:val="00E37F52"/>
    <w:rsid w:val="00E408BB"/>
    <w:rsid w:val="00E42AC6"/>
    <w:rsid w:val="00E46F77"/>
    <w:rsid w:val="00E506C8"/>
    <w:rsid w:val="00E50D17"/>
    <w:rsid w:val="00E523C9"/>
    <w:rsid w:val="00E54D63"/>
    <w:rsid w:val="00E55E31"/>
    <w:rsid w:val="00E6125B"/>
    <w:rsid w:val="00E626F3"/>
    <w:rsid w:val="00E6340F"/>
    <w:rsid w:val="00E64BF8"/>
    <w:rsid w:val="00E66670"/>
    <w:rsid w:val="00E75907"/>
    <w:rsid w:val="00E761EF"/>
    <w:rsid w:val="00E77441"/>
    <w:rsid w:val="00E778B4"/>
    <w:rsid w:val="00E77D6C"/>
    <w:rsid w:val="00E83922"/>
    <w:rsid w:val="00E908F5"/>
    <w:rsid w:val="00E925BA"/>
    <w:rsid w:val="00E93ADE"/>
    <w:rsid w:val="00E94B1B"/>
    <w:rsid w:val="00EA0FC2"/>
    <w:rsid w:val="00EA13CD"/>
    <w:rsid w:val="00EA1905"/>
    <w:rsid w:val="00EB4EBC"/>
    <w:rsid w:val="00EB579B"/>
    <w:rsid w:val="00EC46C0"/>
    <w:rsid w:val="00EC6029"/>
    <w:rsid w:val="00EC697D"/>
    <w:rsid w:val="00ED0495"/>
    <w:rsid w:val="00ED4150"/>
    <w:rsid w:val="00ED4B88"/>
    <w:rsid w:val="00ED5E04"/>
    <w:rsid w:val="00EE04AC"/>
    <w:rsid w:val="00EE06E4"/>
    <w:rsid w:val="00EE3F48"/>
    <w:rsid w:val="00EE5131"/>
    <w:rsid w:val="00EE5CFE"/>
    <w:rsid w:val="00EE647A"/>
    <w:rsid w:val="00EF226A"/>
    <w:rsid w:val="00EF5435"/>
    <w:rsid w:val="00EF5F81"/>
    <w:rsid w:val="00EF68BB"/>
    <w:rsid w:val="00F015FC"/>
    <w:rsid w:val="00F0165A"/>
    <w:rsid w:val="00F02A12"/>
    <w:rsid w:val="00F04D94"/>
    <w:rsid w:val="00F05773"/>
    <w:rsid w:val="00F072E4"/>
    <w:rsid w:val="00F12934"/>
    <w:rsid w:val="00F1393D"/>
    <w:rsid w:val="00F145CF"/>
    <w:rsid w:val="00F20F79"/>
    <w:rsid w:val="00F22066"/>
    <w:rsid w:val="00F2360A"/>
    <w:rsid w:val="00F31A97"/>
    <w:rsid w:val="00F33BF0"/>
    <w:rsid w:val="00F352E0"/>
    <w:rsid w:val="00F41FAE"/>
    <w:rsid w:val="00F44001"/>
    <w:rsid w:val="00F45727"/>
    <w:rsid w:val="00F46539"/>
    <w:rsid w:val="00F46573"/>
    <w:rsid w:val="00F46824"/>
    <w:rsid w:val="00F47EC7"/>
    <w:rsid w:val="00F516A7"/>
    <w:rsid w:val="00F52E7D"/>
    <w:rsid w:val="00F5327A"/>
    <w:rsid w:val="00F63619"/>
    <w:rsid w:val="00F666A2"/>
    <w:rsid w:val="00F66AF0"/>
    <w:rsid w:val="00F67797"/>
    <w:rsid w:val="00F70800"/>
    <w:rsid w:val="00F726AE"/>
    <w:rsid w:val="00F743BE"/>
    <w:rsid w:val="00F7649F"/>
    <w:rsid w:val="00F84EA4"/>
    <w:rsid w:val="00F8783B"/>
    <w:rsid w:val="00F9212E"/>
    <w:rsid w:val="00F96496"/>
    <w:rsid w:val="00FA212C"/>
    <w:rsid w:val="00FB4DC6"/>
    <w:rsid w:val="00FC190A"/>
    <w:rsid w:val="00FC20E4"/>
    <w:rsid w:val="00FC5A15"/>
    <w:rsid w:val="00FC6AF7"/>
    <w:rsid w:val="00FC7E59"/>
    <w:rsid w:val="00FD2596"/>
    <w:rsid w:val="00FD43FF"/>
    <w:rsid w:val="00FD58E9"/>
    <w:rsid w:val="00FD669D"/>
    <w:rsid w:val="00FE659F"/>
    <w:rsid w:val="00FE705F"/>
    <w:rsid w:val="00FF2246"/>
    <w:rsid w:val="00FF4151"/>
    <w:rsid w:val="0651B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C069D"/>
  <w15:chartTrackingRefBased/>
  <w15:docId w15:val="{ACA791F7-6FE6-433F-B8D5-AA599A17A51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CF8"/>
    <w:pPr>
      <w:spacing w:after="0" w:line="240" w:lineRule="auto"/>
    </w:pPr>
    <w:rPr>
      <w:rFonts w:ascii="Palatino" w:eastAsia="Times New Roman" w:hAnsi="Palatino" w:cs="Times New Roman"/>
      <w:sz w:val="26"/>
      <w:szCs w:val="20"/>
    </w:rPr>
  </w:style>
  <w:style w:type="paragraph" w:styleId="Heading1">
    <w:name w:val="heading 1"/>
    <w:basedOn w:val="Normal"/>
    <w:next w:val="Normal"/>
    <w:link w:val="Heading1Char"/>
    <w:qFormat/>
    <w:rsid w:val="00CD4CF8"/>
    <w:pPr>
      <w:keepNext/>
      <w:spacing w:before="120" w:after="240"/>
      <w:outlineLvl w:val="0"/>
    </w:pPr>
    <w:rPr>
      <w:rFonts w:ascii="Helvetica" w:hAnsi="Helvetica"/>
      <w:b/>
      <w:caps/>
      <w:kern w:val="28"/>
      <w:u w:val="single"/>
    </w:rPr>
  </w:style>
  <w:style w:type="paragraph" w:styleId="Heading2">
    <w:name w:val="heading 2"/>
    <w:basedOn w:val="Normal"/>
    <w:next w:val="Normal"/>
    <w:link w:val="Heading2Char"/>
    <w:qFormat/>
    <w:rsid w:val="00CD4CF8"/>
    <w:pPr>
      <w:keepNext/>
      <w:numPr>
        <w:ilvl w:val="1"/>
        <w:numId w:val="1"/>
      </w:numPr>
      <w:spacing w:before="120" w:after="120"/>
      <w:outlineLvl w:val="1"/>
    </w:pPr>
    <w:rPr>
      <w:rFonts w:ascii="Helvetica" w:hAnsi="Helvetica"/>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CF8"/>
    <w:rPr>
      <w:rFonts w:ascii="Helvetica" w:eastAsia="Times New Roman" w:hAnsi="Helvetica" w:cs="Times New Roman"/>
      <w:b/>
      <w:caps/>
      <w:kern w:val="28"/>
      <w:sz w:val="26"/>
      <w:szCs w:val="20"/>
      <w:u w:val="single"/>
    </w:rPr>
  </w:style>
  <w:style w:type="character" w:customStyle="1" w:styleId="Heading2Char">
    <w:name w:val="Heading 2 Char"/>
    <w:basedOn w:val="DefaultParagraphFont"/>
    <w:link w:val="Heading2"/>
    <w:rsid w:val="00CD4CF8"/>
    <w:rPr>
      <w:rFonts w:ascii="Helvetica" w:eastAsia="Times New Roman" w:hAnsi="Helvetica" w:cs="Times New Roman"/>
      <w:b/>
      <w:i/>
      <w:sz w:val="26"/>
      <w:szCs w:val="20"/>
    </w:rPr>
  </w:style>
  <w:style w:type="paragraph" w:styleId="FootnoteText">
    <w:name w:val="footnote text"/>
    <w:basedOn w:val="Normal"/>
    <w:link w:val="FootnoteTextChar"/>
    <w:semiHidden/>
    <w:rsid w:val="00CD4CF8"/>
    <w:pPr>
      <w:numPr>
        <w:numId w:val="1"/>
      </w:numPr>
      <w:spacing w:after="240"/>
    </w:pPr>
    <w:rPr>
      <w:sz w:val="24"/>
    </w:rPr>
  </w:style>
  <w:style w:type="character" w:customStyle="1" w:styleId="FootnoteTextChar">
    <w:name w:val="Footnote Text Char"/>
    <w:basedOn w:val="DefaultParagraphFont"/>
    <w:link w:val="FootnoteText"/>
    <w:semiHidden/>
    <w:rsid w:val="00CD4CF8"/>
    <w:rPr>
      <w:rFonts w:ascii="Palatino" w:eastAsia="Times New Roman" w:hAnsi="Palatino" w:cs="Times New Roman"/>
      <w:sz w:val="24"/>
      <w:szCs w:val="20"/>
    </w:rPr>
  </w:style>
  <w:style w:type="paragraph" w:customStyle="1" w:styleId="mainex">
    <w:name w:val="mainex"/>
    <w:basedOn w:val="Normal"/>
    <w:rsid w:val="00CD4CF8"/>
    <w:pPr>
      <w:keepNext/>
      <w:jc w:val="center"/>
    </w:pPr>
    <w:rPr>
      <w:rFonts w:ascii="Helvetica" w:hAnsi="Helvetica"/>
      <w:b/>
      <w:spacing w:val="120"/>
    </w:rPr>
  </w:style>
  <w:style w:type="paragraph" w:styleId="Header">
    <w:name w:val="header"/>
    <w:basedOn w:val="Normal"/>
    <w:link w:val="HeaderChar"/>
    <w:rsid w:val="00CD4CF8"/>
    <w:pPr>
      <w:widowControl w:val="0"/>
      <w:tabs>
        <w:tab w:val="center" w:pos="4320"/>
        <w:tab w:val="right" w:pos="8640"/>
      </w:tabs>
    </w:pPr>
  </w:style>
  <w:style w:type="character" w:customStyle="1" w:styleId="HeaderChar">
    <w:name w:val="Header Char"/>
    <w:basedOn w:val="DefaultParagraphFont"/>
    <w:link w:val="Header"/>
    <w:rsid w:val="00CD4CF8"/>
    <w:rPr>
      <w:rFonts w:ascii="Palatino" w:eastAsia="Times New Roman" w:hAnsi="Palatino" w:cs="Times New Roman"/>
      <w:sz w:val="26"/>
      <w:szCs w:val="20"/>
    </w:rPr>
  </w:style>
  <w:style w:type="paragraph" w:styleId="Footer">
    <w:name w:val="footer"/>
    <w:basedOn w:val="Normal"/>
    <w:link w:val="FooterChar"/>
    <w:uiPriority w:val="99"/>
    <w:rsid w:val="00CD4CF8"/>
    <w:pPr>
      <w:tabs>
        <w:tab w:val="center" w:pos="4320"/>
        <w:tab w:val="right" w:pos="8640"/>
      </w:tabs>
      <w:jc w:val="center"/>
    </w:pPr>
  </w:style>
  <w:style w:type="character" w:customStyle="1" w:styleId="FooterChar">
    <w:name w:val="Footer Char"/>
    <w:basedOn w:val="DefaultParagraphFont"/>
    <w:link w:val="Footer"/>
    <w:uiPriority w:val="99"/>
    <w:rsid w:val="00CD4CF8"/>
    <w:rPr>
      <w:rFonts w:ascii="Palatino" w:eastAsia="Times New Roman" w:hAnsi="Palatino" w:cs="Times New Roman"/>
      <w:sz w:val="26"/>
      <w:szCs w:val="20"/>
    </w:rPr>
  </w:style>
  <w:style w:type="paragraph" w:customStyle="1" w:styleId="titlebar">
    <w:name w:val="title bar"/>
    <w:basedOn w:val="Normal"/>
    <w:rsid w:val="00CD4CF8"/>
    <w:pPr>
      <w:keepNext/>
      <w:suppressAutoHyphens/>
      <w:jc w:val="center"/>
    </w:pPr>
    <w:rPr>
      <w:rFonts w:ascii="Helvetica" w:hAnsi="Helvetica"/>
      <w:b/>
    </w:rPr>
  </w:style>
  <w:style w:type="character" w:styleId="PageNumber">
    <w:name w:val="page number"/>
    <w:basedOn w:val="DefaultParagraphFont"/>
    <w:rsid w:val="00CD4CF8"/>
  </w:style>
  <w:style w:type="character" w:styleId="FootnoteReference">
    <w:name w:val="footnote reference"/>
    <w:semiHidden/>
    <w:rsid w:val="00CD4CF8"/>
    <w:rPr>
      <w:vertAlign w:val="superscript"/>
    </w:rPr>
  </w:style>
  <w:style w:type="paragraph" w:customStyle="1" w:styleId="Res-Caption">
    <w:name w:val="Res-Caption"/>
    <w:basedOn w:val="Normal"/>
    <w:rsid w:val="00CD4CF8"/>
    <w:pPr>
      <w:ind w:left="720" w:right="720"/>
    </w:pPr>
  </w:style>
  <w:style w:type="paragraph" w:styleId="ListParagraph">
    <w:name w:val="List Paragraph"/>
    <w:basedOn w:val="Normal"/>
    <w:uiPriority w:val="34"/>
    <w:qFormat/>
    <w:rsid w:val="00CD4CF8"/>
    <w:pPr>
      <w:ind w:left="720"/>
      <w:contextualSpacing/>
    </w:pPr>
  </w:style>
  <w:style w:type="table" w:styleId="TableGrid">
    <w:name w:val="Table Grid"/>
    <w:basedOn w:val="TableNormal"/>
    <w:rsid w:val="00CD4C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6F2D"/>
    <w:rPr>
      <w:sz w:val="16"/>
      <w:szCs w:val="16"/>
    </w:rPr>
  </w:style>
  <w:style w:type="paragraph" w:styleId="CommentText">
    <w:name w:val="annotation text"/>
    <w:basedOn w:val="Normal"/>
    <w:link w:val="CommentTextChar"/>
    <w:uiPriority w:val="99"/>
    <w:unhideWhenUsed/>
    <w:rsid w:val="00516F2D"/>
    <w:rPr>
      <w:sz w:val="20"/>
    </w:rPr>
  </w:style>
  <w:style w:type="character" w:customStyle="1" w:styleId="CommentTextChar">
    <w:name w:val="Comment Text Char"/>
    <w:basedOn w:val="DefaultParagraphFont"/>
    <w:link w:val="CommentText"/>
    <w:uiPriority w:val="99"/>
    <w:rsid w:val="00516F2D"/>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516F2D"/>
    <w:rPr>
      <w:b/>
      <w:bCs/>
    </w:rPr>
  </w:style>
  <w:style w:type="character" w:customStyle="1" w:styleId="CommentSubjectChar">
    <w:name w:val="Comment Subject Char"/>
    <w:basedOn w:val="CommentTextChar"/>
    <w:link w:val="CommentSubject"/>
    <w:uiPriority w:val="99"/>
    <w:semiHidden/>
    <w:rsid w:val="00516F2D"/>
    <w:rPr>
      <w:rFonts w:ascii="Palatino" w:eastAsia="Times New Roman" w:hAnsi="Palatino" w:cs="Times New Roman"/>
      <w:b/>
      <w:bCs/>
      <w:sz w:val="20"/>
      <w:szCs w:val="20"/>
    </w:rPr>
  </w:style>
  <w:style w:type="paragraph" w:styleId="Revision">
    <w:name w:val="Revision"/>
    <w:hidden/>
    <w:uiPriority w:val="99"/>
    <w:semiHidden/>
    <w:rsid w:val="009605D7"/>
    <w:pPr>
      <w:spacing w:after="0" w:line="240" w:lineRule="auto"/>
    </w:pPr>
    <w:rPr>
      <w:rFonts w:ascii="Palatino" w:eastAsia="Times New Roman" w:hAnsi="Palatino" w:cs="Times New Roman"/>
      <w:sz w:val="26"/>
      <w:szCs w:val="20"/>
    </w:rPr>
  </w:style>
  <w:style w:type="paragraph" w:styleId="NormalWeb">
    <w:name w:val="Normal (Web)"/>
    <w:basedOn w:val="Normal"/>
    <w:uiPriority w:val="99"/>
    <w:unhideWhenUsed/>
    <w:rsid w:val="00E523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95f576-ac1d-41e6-9609-5e83155ee812">
      <Terms xmlns="http://schemas.microsoft.com/office/infopath/2007/PartnerControls"/>
    </lcf76f155ced4ddcb4097134ff3c332f>
    <TaxCatchAll xmlns="76be18ba-3f21-4542-9cb1-4070a1d5be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6BC3AB7D76A4C95100ABA517F5E83" ma:contentTypeVersion="13" ma:contentTypeDescription="Create a new document." ma:contentTypeScope="" ma:versionID="9baac76f15324f92c542607238742584">
  <xsd:schema xmlns:xsd="http://www.w3.org/2001/XMLSchema" xmlns:xs="http://www.w3.org/2001/XMLSchema" xmlns:p="http://schemas.microsoft.com/office/2006/metadata/properties" xmlns:ns2="76be18ba-3f21-4542-9cb1-4070a1d5beb6" xmlns:ns3="1b95f576-ac1d-41e6-9609-5e83155ee812" targetNamespace="http://schemas.microsoft.com/office/2006/metadata/properties" ma:root="true" ma:fieldsID="ac3e4def6835a2cadd3b482b7d81b338" ns2:_="" ns3:_="">
    <xsd:import namespace="76be18ba-3f21-4542-9cb1-4070a1d5beb6"/>
    <xsd:import namespace="1b95f576-ac1d-41e6-9609-5e83155ee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e18ba-3f21-4542-9cb1-4070a1d5be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ad91bc-5df5-4177-b239-83290d7e6c2a}" ma:internalName="TaxCatchAll" ma:showField="CatchAllData" ma:web="76be18ba-3f21-4542-9cb1-4070a1d5be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95f576-ac1d-41e6-9609-5e83155ee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F6E9-3C66-4668-9128-41178F9D4BA1}">
  <ds:schemaRefs>
    <ds:schemaRef ds:uri="http://schemas.microsoft.com/sharepoint/v3/contenttype/forms"/>
  </ds:schemaRefs>
</ds:datastoreItem>
</file>

<file path=customXml/itemProps2.xml><?xml version="1.0" encoding="utf-8"?>
<ds:datastoreItem xmlns:ds="http://schemas.openxmlformats.org/officeDocument/2006/customXml" ds:itemID="{5E3389DD-260A-4EA1-A7B9-58D88550D874}">
  <ds:schemaRefs>
    <ds:schemaRef ds:uri="http://schemas.microsoft.com/office/2006/metadata/properties"/>
    <ds:schemaRef ds:uri="http://schemas.microsoft.com/office/infopath/2007/PartnerControls"/>
    <ds:schemaRef ds:uri="1b95f576-ac1d-41e6-9609-5e83155ee812"/>
    <ds:schemaRef ds:uri="76be18ba-3f21-4542-9cb1-4070a1d5beb6"/>
  </ds:schemaRefs>
</ds:datastoreItem>
</file>

<file path=customXml/itemProps3.xml><?xml version="1.0" encoding="utf-8"?>
<ds:datastoreItem xmlns:ds="http://schemas.openxmlformats.org/officeDocument/2006/customXml" ds:itemID="{D5A8B3BF-9385-4C5D-87C4-888D159FF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e18ba-3f21-4542-9cb1-4070a1d5beb6"/>
    <ds:schemaRef ds:uri="1b95f576-ac1d-41e6-9609-5e83155e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C0EF3-CF77-4A9D-BB95-04D3DEF7EA0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2332</ap:Words>
  <ap:Characters>13296</ap:Characters>
  <ap:Application>Microsoft Office Word</ap:Application>
  <ap:DocSecurity>0</ap:DocSecurity>
  <ap:Lines>110</ap:Lines>
  <ap:Paragraphs>31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15597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2025-01-14T14:34:16Z</dcterms:created>
  <dcterms:modified xsi:type="dcterms:W3CDTF">2025-01-14T14:34:16Z</dcterms:modified>
</cp:coreProperties>
</file>