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0C29" w:rsidP="00B01834" w:rsidRDefault="00EB7C9E" w14:paraId="4617FF59" w14:textId="2F73CC23">
      <w:pPr>
        <w:pStyle w:val="titlebar"/>
      </w:pPr>
      <w:r>
        <w:t>PUBLIC UTILITIES COMMISSION OF THE STATE OF CALIFORNIA</w:t>
      </w:r>
    </w:p>
    <w:p w:rsidRPr="00B01834" w:rsidR="003E0C29" w:rsidP="00B01834" w:rsidRDefault="003E0C29" w14:paraId="21ABC264" w14:textId="0052C7F2">
      <w:pPr>
        <w:suppressAutoHyphens/>
      </w:pPr>
    </w:p>
    <w:p w:rsidRPr="0078711F" w:rsidR="0078711F" w:rsidP="0078711F" w:rsidRDefault="001F2E9E" w14:paraId="65E165A2" w14:textId="67751208">
      <w:pPr>
        <w:tabs>
          <w:tab w:val="left" w:pos="270"/>
          <w:tab w:val="right" w:pos="9360"/>
        </w:tabs>
        <w:spacing w:after="0"/>
        <w:rPr>
          <w:b/>
          <w:bCs/>
        </w:rPr>
      </w:pPr>
      <w:r>
        <w:rPr>
          <w:b/>
        </w:rPr>
        <w:tab/>
      </w:r>
      <w:r>
        <w:rPr>
          <w:b/>
        </w:rPr>
        <w:tab/>
      </w:r>
      <w:r w:rsidRPr="0078711F" w:rsidR="0078711F">
        <w:rPr>
          <w:b/>
          <w:bCs/>
        </w:rPr>
        <w:t>Agenda ID# 23262</w:t>
      </w:r>
    </w:p>
    <w:p w:rsidRPr="00B01834" w:rsidR="003E0C29" w:rsidP="00ED3504" w:rsidRDefault="00704422" w14:paraId="554D2DA0" w14:textId="1304F74F">
      <w:pPr>
        <w:tabs>
          <w:tab w:val="left" w:pos="270"/>
          <w:tab w:val="right" w:pos="9360"/>
        </w:tabs>
        <w:spacing w:after="0"/>
        <w:rPr>
          <w:b/>
        </w:rPr>
      </w:pPr>
      <w:r>
        <w:rPr>
          <w:b/>
        </w:rPr>
        <w:tab/>
      </w:r>
      <w:r w:rsidRPr="00B01834" w:rsidR="00EB7C9E">
        <w:rPr>
          <w:b/>
        </w:rPr>
        <w:t>ENERGY DIVISION</w:t>
      </w:r>
      <w:r w:rsidRPr="00B01834" w:rsidR="00EB7C9E">
        <w:tab/>
      </w:r>
      <w:r w:rsidRPr="00B01834" w:rsidR="00EB7C9E">
        <w:rPr>
          <w:b/>
        </w:rPr>
        <w:t xml:space="preserve">RESOLUTION </w:t>
      </w:r>
      <w:r w:rsidRPr="00394F22" w:rsidR="00394F22">
        <w:rPr>
          <w:rFonts w:eastAsia="Palatino Linotype" w:cs="Palatino"/>
          <w:b/>
          <w:bCs/>
          <w:szCs w:val="24"/>
        </w:rPr>
        <w:t>E-5371</w:t>
      </w:r>
    </w:p>
    <w:p w:rsidRPr="00F13CEB" w:rsidR="0020108F" w:rsidP="00704422" w:rsidRDefault="00704422" w14:paraId="07E3BC64" w14:textId="57A31FE1">
      <w:pPr>
        <w:tabs>
          <w:tab w:val="left" w:pos="270"/>
          <w:tab w:val="right" w:pos="9360"/>
        </w:tabs>
        <w:rPr>
          <w:rFonts w:eastAsia="Palatino Linotype" w:cs="Palatino"/>
          <w:b/>
          <w:bCs/>
          <w:szCs w:val="24"/>
        </w:rPr>
      </w:pPr>
      <w:r>
        <w:rPr>
          <w:rFonts w:cs="Palatino"/>
          <w:b/>
          <w:bCs/>
          <w:szCs w:val="24"/>
        </w:rPr>
        <w:tab/>
      </w:r>
      <w:r>
        <w:rPr>
          <w:rFonts w:cs="Palatino"/>
          <w:b/>
          <w:bCs/>
          <w:szCs w:val="24"/>
        </w:rPr>
        <w:tab/>
      </w:r>
      <w:r w:rsidR="00BD141D">
        <w:rPr>
          <w:rFonts w:cs="Palatino"/>
          <w:b/>
          <w:bCs/>
          <w:szCs w:val="24"/>
        </w:rPr>
        <w:t>February 20, 2025</w:t>
      </w:r>
    </w:p>
    <w:p w:rsidRPr="00F438EB" w:rsidR="00CF17DE" w:rsidRDefault="00CF17DE" w14:paraId="46BF0758" w14:textId="77777777">
      <w:pPr>
        <w:tabs>
          <w:tab w:val="right" w:pos="8910"/>
        </w:tabs>
        <w:ind w:left="1440" w:firstLine="720"/>
        <w:rPr>
          <w:rFonts w:cs="Palatino"/>
          <w:b/>
          <w:szCs w:val="24"/>
        </w:rPr>
      </w:pPr>
      <w:r w:rsidRPr="00F438EB">
        <w:rPr>
          <w:rFonts w:cs="Palatino"/>
          <w:b/>
          <w:szCs w:val="24"/>
        </w:rPr>
        <w:tab/>
      </w:r>
    </w:p>
    <w:p w:rsidRPr="00406EBD" w:rsidR="00CF17DE" w:rsidRDefault="00CF17DE" w14:paraId="29898B98" w14:textId="77777777">
      <w:pPr>
        <w:pStyle w:val="mainex"/>
        <w:rPr>
          <w:rFonts w:cs="Helvetica"/>
          <w:szCs w:val="26"/>
          <w:u w:val="single"/>
        </w:rPr>
      </w:pPr>
      <w:bookmarkStart w:name="_Ref404993683" w:id="0"/>
      <w:r w:rsidRPr="00406EBD">
        <w:rPr>
          <w:rFonts w:cs="Helvetica"/>
          <w:szCs w:val="26"/>
          <w:u w:val="single"/>
        </w:rPr>
        <w:t>RESOLUTION</w:t>
      </w:r>
    </w:p>
    <w:p w:rsidRPr="00ED103B" w:rsidR="00CF17DE" w:rsidP="4BA7214B" w:rsidRDefault="00CF17DE" w14:paraId="1CBD0AC8" w14:textId="77777777">
      <w:pPr>
        <w:rPr>
          <w:rFonts w:eastAsia="Palatino Linotype" w:cs="Palatino"/>
          <w:sz w:val="16"/>
          <w:szCs w:val="16"/>
        </w:rPr>
      </w:pPr>
    </w:p>
    <w:p w:rsidRPr="00B01834" w:rsidR="003E0C29" w:rsidP="006D0CEF" w:rsidRDefault="00EB7C9E" w14:paraId="05C22F22" w14:textId="691A7AF7">
      <w:r w:rsidRPr="00B01834">
        <w:t xml:space="preserve">Resolution </w:t>
      </w:r>
      <w:r w:rsidRPr="00394F22" w:rsidR="00394F22">
        <w:t>E-5371</w:t>
      </w:r>
      <w:r w:rsidR="00394F22">
        <w:t xml:space="preserve"> </w:t>
      </w:r>
      <w:r w:rsidRPr="00B01834">
        <w:t>Southern California Edison Company’s Mid-Term Reliability Energy Storage Contracts</w:t>
      </w:r>
    </w:p>
    <w:p w:rsidR="00E82874" w:rsidP="00E82874" w:rsidRDefault="00E82874" w14:paraId="240FB954" w14:textId="77777777">
      <w:pPr>
        <w:pStyle w:val="Res-Caption"/>
        <w:spacing w:after="0"/>
        <w:ind w:left="187" w:right="547"/>
      </w:pPr>
    </w:p>
    <w:p w:rsidRPr="00B01834" w:rsidR="003E0C29" w:rsidP="00B01834" w:rsidRDefault="00EB7C9E" w14:paraId="0A987E0A" w14:textId="1CEBFB2D">
      <w:pPr>
        <w:pStyle w:val="Res-Caption"/>
        <w:ind w:left="180" w:right="540"/>
      </w:pPr>
      <w:r w:rsidRPr="00B01834">
        <w:t xml:space="preserve">PROPOSED OUTCOME: </w:t>
      </w:r>
    </w:p>
    <w:p w:rsidRPr="00536508" w:rsidR="004E292C" w:rsidP="5BD0D93F" w:rsidRDefault="00EB7C9E" w14:paraId="61F311DA" w14:textId="4741C71F">
      <w:pPr>
        <w:pStyle w:val="Res-Caption"/>
        <w:numPr>
          <w:ilvl w:val="0"/>
          <w:numId w:val="19"/>
        </w:numPr>
        <w:ind w:left="720"/>
        <w:rPr>
          <w:rFonts w:eastAsia="Palatino" w:cs="Palatino"/>
        </w:rPr>
      </w:pPr>
      <w:r w:rsidRPr="00B01834">
        <w:t xml:space="preserve">Approves </w:t>
      </w:r>
      <w:r w:rsidRPr="5BD0D93F" w:rsidR="38DE4366">
        <w:rPr>
          <w:rFonts w:cs="Palatino"/>
        </w:rPr>
        <w:t>two</w:t>
      </w:r>
      <w:r w:rsidRPr="5BD0D93F" w:rsidR="006D4729">
        <w:rPr>
          <w:rFonts w:cs="Palatino"/>
        </w:rPr>
        <w:t xml:space="preserve"> </w:t>
      </w:r>
      <w:r w:rsidRPr="00B01834">
        <w:t xml:space="preserve">Southern California Edison’s </w:t>
      </w:r>
      <w:r w:rsidR="004A0500">
        <w:t>M</w:t>
      </w:r>
      <w:r w:rsidRPr="00B01834">
        <w:t>id-</w:t>
      </w:r>
      <w:r w:rsidR="004A0500">
        <w:t>T</w:t>
      </w:r>
      <w:r w:rsidRPr="00B01834">
        <w:t xml:space="preserve">erm </w:t>
      </w:r>
      <w:r w:rsidR="004B6B44">
        <w:t>R</w:t>
      </w:r>
      <w:r w:rsidRPr="00B01834">
        <w:t xml:space="preserve">eliability </w:t>
      </w:r>
      <w:r w:rsidR="4041A574">
        <w:t>4</w:t>
      </w:r>
      <w:r w:rsidR="675104BC">
        <w:t>-</w:t>
      </w:r>
      <w:r w:rsidR="4041A574">
        <w:t xml:space="preserve">hour </w:t>
      </w:r>
      <w:r w:rsidRPr="00B01834">
        <w:t>energy storage contracts</w:t>
      </w:r>
      <w:r w:rsidR="00064DD7">
        <w:t xml:space="preserve"> for a </w:t>
      </w:r>
      <w:r w:rsidRPr="5BD0D93F" w:rsidR="00064DD7">
        <w:rPr>
          <w:rFonts w:eastAsia="Palatino" w:cs="Palatino"/>
        </w:rPr>
        <w:t xml:space="preserve">total of </w:t>
      </w:r>
      <w:r w:rsidRPr="5BD0D93F" w:rsidR="0A3BB6BB">
        <w:rPr>
          <w:rFonts w:cs="Palatino"/>
        </w:rPr>
        <w:t>2</w:t>
      </w:r>
      <w:r w:rsidRPr="5BD0D93F" w:rsidR="7492954C">
        <w:rPr>
          <w:rFonts w:cs="Palatino"/>
        </w:rPr>
        <w:t>20</w:t>
      </w:r>
      <w:r w:rsidRPr="5BD0D93F" w:rsidR="00064DD7">
        <w:rPr>
          <w:rFonts w:cs="Palatino"/>
        </w:rPr>
        <w:t xml:space="preserve"> MW nameplate capacity, </w:t>
      </w:r>
      <w:r w:rsidRPr="5BD0D93F" w:rsidR="00064DD7">
        <w:rPr>
          <w:rFonts w:eastAsia="Palatino" w:cs="Palatino"/>
        </w:rPr>
        <w:t>expected to come online June 1, 2026</w:t>
      </w:r>
      <w:r w:rsidRPr="5BD0D93F" w:rsidR="5A0DEFE2">
        <w:rPr>
          <w:rFonts w:eastAsia="Palatino" w:cs="Palatino"/>
        </w:rPr>
        <w:t xml:space="preserve"> and </w:t>
      </w:r>
      <w:r w:rsidRPr="5BD0D93F" w:rsidR="00064DD7">
        <w:rPr>
          <w:rFonts w:eastAsia="Palatino" w:cs="Palatino"/>
        </w:rPr>
        <w:t>April 1, 2027</w:t>
      </w:r>
      <w:r w:rsidRPr="5BD0D93F" w:rsidR="093EB3C6">
        <w:rPr>
          <w:rFonts w:eastAsia="Palatino" w:cs="Palatino"/>
        </w:rPr>
        <w:t>.</w:t>
      </w:r>
    </w:p>
    <w:p w:rsidRPr="00536508" w:rsidR="004E292C" w:rsidP="5BD0D93F" w:rsidRDefault="093EB3C6" w14:paraId="49D19069" w14:textId="244C47AC">
      <w:pPr>
        <w:pStyle w:val="Res-Caption"/>
        <w:numPr>
          <w:ilvl w:val="0"/>
          <w:numId w:val="19"/>
        </w:numPr>
        <w:ind w:left="720"/>
        <w:rPr>
          <w:rFonts w:eastAsia="Palatino" w:cs="Palatino"/>
        </w:rPr>
      </w:pPr>
      <w:r>
        <w:t xml:space="preserve">Approves one Southern California Edison’s Mid-Term Reliability 8-hour energy storage contract for a </w:t>
      </w:r>
      <w:r w:rsidRPr="5BD0D93F">
        <w:rPr>
          <w:rFonts w:eastAsia="Palatino" w:cs="Palatino"/>
        </w:rPr>
        <w:t xml:space="preserve">total of </w:t>
      </w:r>
      <w:r w:rsidRPr="5BD0D93F" w:rsidR="0CB16962">
        <w:rPr>
          <w:rFonts w:eastAsia="Palatino" w:cs="Palatino"/>
        </w:rPr>
        <w:t xml:space="preserve">400 </w:t>
      </w:r>
      <w:r w:rsidRPr="5BD0D93F">
        <w:rPr>
          <w:rFonts w:cs="Palatino"/>
        </w:rPr>
        <w:t xml:space="preserve">MW nameplate capacity, </w:t>
      </w:r>
      <w:r w:rsidRPr="5BD0D93F">
        <w:rPr>
          <w:rFonts w:eastAsia="Palatino" w:cs="Palatino"/>
        </w:rPr>
        <w:t>expected to come online June 1, 202</w:t>
      </w:r>
      <w:r w:rsidRPr="5BD0D93F" w:rsidR="527F1964">
        <w:rPr>
          <w:rFonts w:eastAsia="Palatino" w:cs="Palatino"/>
        </w:rPr>
        <w:t xml:space="preserve">8. </w:t>
      </w:r>
    </w:p>
    <w:p w:rsidR="00B271E5" w:rsidP="00E82874" w:rsidRDefault="00B271E5" w14:paraId="3999BD6C" w14:textId="77777777">
      <w:pPr>
        <w:pStyle w:val="Res-Caption"/>
        <w:spacing w:after="0"/>
        <w:ind w:left="187" w:right="547"/>
      </w:pPr>
    </w:p>
    <w:p w:rsidRPr="00B01834" w:rsidR="003E0C29" w:rsidP="00B01834" w:rsidRDefault="00EB7C9E" w14:paraId="2B8EE83B" w14:textId="32426E99">
      <w:pPr>
        <w:pStyle w:val="Res-Caption"/>
        <w:ind w:left="180" w:right="540"/>
      </w:pPr>
      <w:r w:rsidRPr="00B01834">
        <w:t>SAFETY CONSIDERATIONS:</w:t>
      </w:r>
    </w:p>
    <w:p w:rsidR="003E0C29" w:rsidP="001F2E9E" w:rsidRDefault="00EB7C9E" w14:paraId="246FE019" w14:textId="1EF6C740">
      <w:pPr>
        <w:pStyle w:val="Default"/>
        <w:numPr>
          <w:ilvl w:val="0"/>
          <w:numId w:val="19"/>
        </w:numPr>
        <w:spacing w:after="120"/>
        <w:ind w:left="720"/>
      </w:pPr>
      <w:r>
        <w:t>SCE’s Technology Neutral Pro Forma Contract requires the Seller to operate the energy storage facility in accordance with “Prudent Electrical Practices.” See Section 6.01(a) of SCE’s Technology Neutral Pro Forma Contract</w:t>
      </w:r>
      <w:r w:rsidR="00BA2A16">
        <w:t xml:space="preserve">.  </w:t>
      </w:r>
    </w:p>
    <w:p w:rsidR="003E0C29" w:rsidP="00E82874" w:rsidRDefault="00EB7C9E" w14:paraId="72F4EF8D" w14:textId="02112419">
      <w:pPr>
        <w:pStyle w:val="Default"/>
        <w:numPr>
          <w:ilvl w:val="0"/>
          <w:numId w:val="19"/>
        </w:numPr>
        <w:spacing w:after="120"/>
        <w:ind w:left="720"/>
      </w:pPr>
      <w:r>
        <w:t>SCE’s Technology Neutral Pro Forma Contract also includes a provision providing that, prior to commencement of any construction activities on the project site, the seller must provide to SCE a report from an independent engineer certifying that the seller has a written plan for the safe construction and operation of the project in accordance with Prudent Electrical Practices</w:t>
      </w:r>
      <w:r w:rsidR="00BA2A16">
        <w:t xml:space="preserve">.  </w:t>
      </w:r>
    </w:p>
    <w:p w:rsidR="004E292C" w:rsidP="004E292C" w:rsidRDefault="004E292C" w14:paraId="327B4641" w14:textId="77777777">
      <w:pPr>
        <w:pStyle w:val="Default"/>
        <w:ind w:left="720"/>
      </w:pPr>
    </w:p>
    <w:p w:rsidRPr="00B01834" w:rsidR="003E0C29" w:rsidP="00B01834" w:rsidRDefault="00EB7C9E" w14:paraId="6FA485E9" w14:textId="0D80F04E">
      <w:pPr>
        <w:pStyle w:val="Res-Caption"/>
        <w:ind w:left="180"/>
      </w:pPr>
      <w:r w:rsidRPr="00B01834">
        <w:t xml:space="preserve">ESTIMATED COST:  </w:t>
      </w:r>
    </w:p>
    <w:p w:rsidR="003E0C29" w:rsidP="00B01834" w:rsidRDefault="00EB7C9E" w14:paraId="15B22EBD" w14:textId="1E8705CA">
      <w:pPr>
        <w:pStyle w:val="Res-Caption"/>
        <w:numPr>
          <w:ilvl w:val="0"/>
          <w:numId w:val="11"/>
        </w:numPr>
        <w:ind w:left="720"/>
      </w:pPr>
      <w:r w:rsidRPr="00B01834">
        <w:t>Contract costs are confidential at this time.</w:t>
      </w:r>
    </w:p>
    <w:p w:rsidRPr="00B01834" w:rsidR="001F2E9E" w:rsidP="002D31A3" w:rsidRDefault="001F2E9E" w14:paraId="31D430E3" w14:textId="77777777">
      <w:pPr>
        <w:pStyle w:val="Res-Caption"/>
        <w:spacing w:after="0"/>
      </w:pPr>
    </w:p>
    <w:p w:rsidRPr="00B01834" w:rsidR="003E0C29" w:rsidP="00B01834" w:rsidRDefault="00EB7C9E" w14:paraId="76B95C62" w14:textId="1B5A0433">
      <w:pPr>
        <w:pStyle w:val="Res-Caption"/>
        <w:ind w:left="180"/>
      </w:pPr>
      <w:r w:rsidRPr="00B01834">
        <w:t xml:space="preserve">By Advice Letter </w:t>
      </w:r>
      <w:r w:rsidRPr="00F438EB" w:rsidR="0017789D">
        <w:rPr>
          <w:rFonts w:eastAsia="Palatino Linotype" w:cs="Palatino"/>
          <w:szCs w:val="24"/>
        </w:rPr>
        <w:t>5</w:t>
      </w:r>
      <w:r w:rsidR="00516D11">
        <w:rPr>
          <w:rFonts w:eastAsia="Palatino Linotype" w:cs="Palatino"/>
          <w:szCs w:val="24"/>
        </w:rPr>
        <w:t>431</w:t>
      </w:r>
      <w:r w:rsidRPr="00B01834">
        <w:t xml:space="preserve">-E, filed on </w:t>
      </w:r>
      <w:r w:rsidR="00F316C3">
        <w:rPr>
          <w:rFonts w:eastAsia="Palatino Linotype" w:cs="Palatino"/>
          <w:szCs w:val="24"/>
        </w:rPr>
        <w:t>December 5, 2024</w:t>
      </w:r>
      <w:r w:rsidR="00BA2A16">
        <w:rPr>
          <w:rFonts w:eastAsia="Palatino Linotype" w:cs="Palatino"/>
          <w:szCs w:val="24"/>
        </w:rPr>
        <w:t xml:space="preserve">.  </w:t>
      </w:r>
    </w:p>
    <w:p w:rsidRPr="00B01834" w:rsidR="003E0C29" w:rsidP="00B01834" w:rsidRDefault="00EB7C9E" w14:paraId="401A1B81" w14:textId="7210D6B8">
      <w:pPr>
        <w:jc w:val="center"/>
      </w:pPr>
      <w:r w:rsidRPr="00B01834">
        <w:t>__________________________________________________________</w:t>
      </w:r>
    </w:p>
    <w:p w:rsidRPr="0037718F" w:rsidR="00CF17DE" w:rsidP="4BA7214B" w:rsidRDefault="00CF17DE" w14:paraId="2BF044F3" w14:textId="77777777">
      <w:pPr>
        <w:rPr>
          <w:rFonts w:eastAsia="Palatino Linotype" w:cs="Palatino"/>
          <w:b/>
          <w:sz w:val="16"/>
          <w:szCs w:val="16"/>
        </w:rPr>
      </w:pPr>
    </w:p>
    <w:p w:rsidRPr="00F438EB" w:rsidR="00CF17DE" w:rsidP="00560B9D" w:rsidRDefault="00CF17DE" w14:paraId="3B91E0BD" w14:textId="77777777">
      <w:pPr>
        <w:pStyle w:val="Heading1"/>
        <w:spacing w:before="240" w:after="160"/>
      </w:pPr>
      <w:r w:rsidRPr="00F438EB">
        <w:lastRenderedPageBreak/>
        <w:t>Summary</w:t>
      </w:r>
      <w:bookmarkEnd w:id="0"/>
    </w:p>
    <w:p w:rsidR="003E0C29" w:rsidP="00543E78" w:rsidRDefault="00EB7C9E" w14:paraId="7047DFB3" w14:textId="6E880278">
      <w:pPr>
        <w:ind w:right="-144"/>
      </w:pPr>
      <w:r w:rsidRPr="00B01834">
        <w:t xml:space="preserve">This Resolution approves </w:t>
      </w:r>
      <w:r w:rsidRPr="7619423B" w:rsidR="00F316C3">
        <w:rPr>
          <w:rFonts w:cs="Palatino"/>
        </w:rPr>
        <w:t>three</w:t>
      </w:r>
      <w:r w:rsidRPr="7619423B" w:rsidR="002F1BD9">
        <w:rPr>
          <w:rFonts w:cs="Palatino"/>
        </w:rPr>
        <w:t xml:space="preserve"> </w:t>
      </w:r>
      <w:r w:rsidRPr="7619423B" w:rsidR="002F1BD9">
        <w:t xml:space="preserve">Southern California Edison Company (SCE) </w:t>
      </w:r>
      <w:r w:rsidRPr="00B01834">
        <w:t xml:space="preserve">Mid-Term Reliability (MTR) </w:t>
      </w:r>
      <w:r w:rsidRPr="7619423B" w:rsidR="002F33C7">
        <w:rPr>
          <w:rFonts w:cs="Palatino"/>
        </w:rPr>
        <w:t xml:space="preserve">energy storage </w:t>
      </w:r>
      <w:r w:rsidRPr="00B01834">
        <w:t xml:space="preserve">contracts </w:t>
      </w:r>
      <w:r w:rsidR="007D0DF3">
        <w:t xml:space="preserve">(MTR Contracts) </w:t>
      </w:r>
      <w:r w:rsidRPr="7619423B" w:rsidR="00CA0942">
        <w:rPr>
          <w:rFonts w:cs="Palatino"/>
        </w:rPr>
        <w:t>totaling</w:t>
      </w:r>
      <w:r w:rsidRPr="7619423B" w:rsidR="00765394">
        <w:rPr>
          <w:rFonts w:cs="Palatino"/>
        </w:rPr>
        <w:t xml:space="preserve"> </w:t>
      </w:r>
      <w:r w:rsidRPr="7619423B" w:rsidR="00A800DF">
        <w:rPr>
          <w:rFonts w:cs="Palatino"/>
        </w:rPr>
        <w:t>620</w:t>
      </w:r>
      <w:r w:rsidRPr="00B01834">
        <w:t xml:space="preserve"> megawatts (MW) </w:t>
      </w:r>
      <w:r w:rsidR="00543E78">
        <w:br/>
      </w:r>
      <w:r w:rsidRPr="00B01834">
        <w:t xml:space="preserve">of nameplate capacity for delivery periods </w:t>
      </w:r>
      <w:r w:rsidRPr="7619423B" w:rsidR="00A800DF">
        <w:rPr>
          <w:rFonts w:cs="Palatino"/>
        </w:rPr>
        <w:t>of</w:t>
      </w:r>
      <w:r w:rsidRPr="00B01834">
        <w:t xml:space="preserve"> 15 years</w:t>
      </w:r>
      <w:r w:rsidR="00BA2A16">
        <w:t xml:space="preserve">.  </w:t>
      </w:r>
      <w:r w:rsidRPr="00B01834">
        <w:t xml:space="preserve">These </w:t>
      </w:r>
      <w:r w:rsidRPr="7619423B" w:rsidR="000C217C">
        <w:rPr>
          <w:rFonts w:cs="Palatino"/>
        </w:rPr>
        <w:t>three</w:t>
      </w:r>
      <w:r w:rsidRPr="00B01834">
        <w:t xml:space="preserve"> contracts </w:t>
      </w:r>
      <w:r w:rsidRPr="7619423B" w:rsidR="00AC5F90">
        <w:rPr>
          <w:rFonts w:cs="Palatino"/>
        </w:rPr>
        <w:t>are</w:t>
      </w:r>
      <w:r w:rsidRPr="7619423B" w:rsidR="00DF49FB">
        <w:rPr>
          <w:rFonts w:cs="Palatino"/>
        </w:rPr>
        <w:t xml:space="preserve"> </w:t>
      </w:r>
      <w:r w:rsidRPr="7619423B" w:rsidR="00F110D7">
        <w:rPr>
          <w:rFonts w:cs="Palatino"/>
        </w:rPr>
        <w:t>RA</w:t>
      </w:r>
      <w:r w:rsidRPr="7619423B" w:rsidR="00DF49FB">
        <w:rPr>
          <w:rFonts w:cs="Palatino"/>
        </w:rPr>
        <w:t xml:space="preserve"> </w:t>
      </w:r>
      <w:r w:rsidRPr="7619423B" w:rsidR="00AC5F90">
        <w:rPr>
          <w:rFonts w:cs="Palatino"/>
        </w:rPr>
        <w:t>capacity</w:t>
      </w:r>
      <w:r w:rsidRPr="00B01834">
        <w:t xml:space="preserve"> with financial settlement for new in-front-of-</w:t>
      </w:r>
      <w:r w:rsidRPr="7619423B" w:rsidR="00E018ED">
        <w:rPr>
          <w:rFonts w:cs="Palatino"/>
        </w:rPr>
        <w:t>the-meter</w:t>
      </w:r>
      <w:r w:rsidRPr="00B01834">
        <w:t xml:space="preserve"> (IFOM) </w:t>
      </w:r>
      <w:r w:rsidR="009117C0">
        <w:t xml:space="preserve">storage </w:t>
      </w:r>
      <w:r w:rsidRPr="00B01834">
        <w:t>projects</w:t>
      </w:r>
      <w:r w:rsidR="00064DD7">
        <w:t xml:space="preserve">, </w:t>
      </w:r>
      <w:r w:rsidRPr="7619423B" w:rsidR="00064DD7">
        <w:rPr>
          <w:rFonts w:eastAsia="Palatino" w:cs="Palatino"/>
        </w:rPr>
        <w:t>expected</w:t>
      </w:r>
      <w:r w:rsidRPr="7619423B" w:rsidR="00EA2BD9">
        <w:rPr>
          <w:rFonts w:eastAsia="Palatino" w:cs="Palatino"/>
        </w:rPr>
        <w:t xml:space="preserve"> </w:t>
      </w:r>
      <w:r w:rsidRPr="7619423B" w:rsidR="00064DD7">
        <w:rPr>
          <w:rFonts w:eastAsia="Palatino" w:cs="Palatino"/>
        </w:rPr>
        <w:t>to come online June 1, 2026, April 1, 2027, and June 1, 2028, respectively</w:t>
      </w:r>
      <w:r w:rsidRPr="00F438EB" w:rsidR="00064DD7">
        <w:rPr>
          <w:snapToGrid w:val="0"/>
          <w:szCs w:val="24"/>
        </w:rPr>
        <w:t>.</w:t>
      </w:r>
      <w:r w:rsidR="00EA2BD9">
        <w:rPr>
          <w:snapToGrid w:val="0"/>
          <w:szCs w:val="24"/>
        </w:rPr>
        <w:t xml:space="preserve">  </w:t>
      </w:r>
      <w:r w:rsidRPr="00B01834">
        <w:t xml:space="preserve">This </w:t>
      </w:r>
      <w:r w:rsidR="009117C0">
        <w:t>R</w:t>
      </w:r>
      <w:r w:rsidRPr="00B01834">
        <w:t xml:space="preserve">esolution approves the requested </w:t>
      </w:r>
      <w:r w:rsidR="00284498">
        <w:t>contracts and cost recovery</w:t>
      </w:r>
      <w:r w:rsidRPr="00B01834" w:rsidR="002664B2">
        <w:t xml:space="preserve"> </w:t>
      </w:r>
      <w:r w:rsidRPr="00B01834">
        <w:t xml:space="preserve">in Advice Letter (AL) </w:t>
      </w:r>
      <w:r w:rsidRPr="7619423B" w:rsidR="000144EF">
        <w:rPr>
          <w:rFonts w:cs="Palatino"/>
        </w:rPr>
        <w:t>5431</w:t>
      </w:r>
      <w:r w:rsidRPr="00B01834">
        <w:t>-E</w:t>
      </w:r>
      <w:r w:rsidR="00C34029">
        <w:t>.</w:t>
      </w:r>
    </w:p>
    <w:p w:rsidR="00041C1E" w:rsidP="00041C1E" w:rsidRDefault="00041C1E" w14:paraId="3D23AD29" w14:textId="3E34BF90">
      <w:pPr>
        <w:rPr>
          <w:szCs w:val="24"/>
        </w:rPr>
      </w:pPr>
      <w:r w:rsidRPr="00901BC8">
        <w:rPr>
          <w:szCs w:val="24"/>
        </w:rPr>
        <w:t xml:space="preserve">The </w:t>
      </w:r>
      <w:r w:rsidR="007D0DF3">
        <w:rPr>
          <w:szCs w:val="24"/>
        </w:rPr>
        <w:t xml:space="preserve">three </w:t>
      </w:r>
      <w:r w:rsidR="00A840B1">
        <w:rPr>
          <w:szCs w:val="24"/>
        </w:rPr>
        <w:t>MTR C</w:t>
      </w:r>
      <w:r w:rsidR="007D0DF3">
        <w:rPr>
          <w:szCs w:val="24"/>
        </w:rPr>
        <w:t>ontracts</w:t>
      </w:r>
      <w:r w:rsidRPr="00901BC8">
        <w:rPr>
          <w:szCs w:val="24"/>
        </w:rPr>
        <w:t xml:space="preserve"> are summarized in the table below:</w:t>
      </w:r>
    </w:p>
    <w:tbl>
      <w:tblPr>
        <w:tblW w:w="8840" w:type="dxa"/>
        <w:tblLook w:val="04A0" w:firstRow="1" w:lastRow="0" w:firstColumn="1" w:lastColumn="0" w:noHBand="0" w:noVBand="1"/>
      </w:tblPr>
      <w:tblGrid>
        <w:gridCol w:w="1272"/>
        <w:gridCol w:w="1402"/>
        <w:gridCol w:w="1379"/>
        <w:gridCol w:w="1568"/>
        <w:gridCol w:w="1316"/>
        <w:gridCol w:w="1903"/>
      </w:tblGrid>
      <w:tr w:rsidRPr="00A840B1" w:rsidR="00A840B1" w:rsidTr="00A840B1" w14:paraId="267D7676" w14:textId="77777777">
        <w:trPr>
          <w:trHeight w:val="720"/>
        </w:trPr>
        <w:tc>
          <w:tcPr>
            <w:tcW w:w="1280" w:type="dxa"/>
            <w:tcBorders>
              <w:top w:val="single" w:color="auto" w:sz="4" w:space="0"/>
              <w:left w:val="single" w:color="auto" w:sz="4" w:space="0"/>
              <w:bottom w:val="single" w:color="000000" w:sz="4" w:space="0"/>
              <w:right w:val="single" w:color="000000" w:sz="4" w:space="0"/>
            </w:tcBorders>
            <w:shd w:val="clear" w:color="000000" w:fill="BFBFBF"/>
            <w:hideMark/>
          </w:tcPr>
          <w:p w:rsidRPr="00A840B1" w:rsidR="00A840B1" w:rsidP="00A840B1" w:rsidRDefault="00A840B1" w14:paraId="032ADF1B" w14:textId="77777777">
            <w:pPr>
              <w:spacing w:after="0"/>
              <w:jc w:val="center"/>
              <w:rPr>
                <w:b/>
                <w:bCs/>
                <w:color w:val="000000"/>
                <w:sz w:val="22"/>
                <w:szCs w:val="22"/>
              </w:rPr>
            </w:pPr>
            <w:r w:rsidRPr="00A840B1">
              <w:rPr>
                <w:b/>
                <w:bCs/>
                <w:color w:val="000000"/>
                <w:sz w:val="22"/>
                <w:szCs w:val="22"/>
              </w:rPr>
              <w:t>Project Name</w:t>
            </w:r>
          </w:p>
        </w:tc>
        <w:tc>
          <w:tcPr>
            <w:tcW w:w="1240" w:type="dxa"/>
            <w:tcBorders>
              <w:top w:val="single" w:color="auto" w:sz="4" w:space="0"/>
              <w:left w:val="nil"/>
              <w:bottom w:val="single" w:color="000000" w:sz="4" w:space="0"/>
              <w:right w:val="single" w:color="000000" w:sz="4" w:space="0"/>
            </w:tcBorders>
            <w:shd w:val="clear" w:color="000000" w:fill="BFBFBF"/>
            <w:hideMark/>
          </w:tcPr>
          <w:p w:rsidRPr="00A840B1" w:rsidR="00A840B1" w:rsidP="00A840B1" w:rsidRDefault="00A840B1" w14:paraId="1EBDBEEA" w14:textId="77777777">
            <w:pPr>
              <w:spacing w:after="0"/>
              <w:jc w:val="center"/>
              <w:rPr>
                <w:b/>
                <w:bCs/>
                <w:color w:val="000000"/>
                <w:sz w:val="22"/>
                <w:szCs w:val="22"/>
              </w:rPr>
            </w:pPr>
            <w:r w:rsidRPr="00A840B1">
              <w:rPr>
                <w:b/>
                <w:bCs/>
                <w:color w:val="000000"/>
                <w:sz w:val="22"/>
                <w:szCs w:val="22"/>
              </w:rPr>
              <w:t>Technology Type</w:t>
            </w:r>
          </w:p>
        </w:tc>
        <w:tc>
          <w:tcPr>
            <w:tcW w:w="1400" w:type="dxa"/>
            <w:tcBorders>
              <w:top w:val="single" w:color="auto" w:sz="4" w:space="0"/>
              <w:left w:val="nil"/>
              <w:bottom w:val="single" w:color="000000" w:sz="4" w:space="0"/>
              <w:right w:val="single" w:color="000000" w:sz="4" w:space="0"/>
            </w:tcBorders>
            <w:shd w:val="clear" w:color="000000" w:fill="BFBFBF"/>
            <w:hideMark/>
          </w:tcPr>
          <w:p w:rsidRPr="00A840B1" w:rsidR="00A840B1" w:rsidP="00A840B1" w:rsidRDefault="00A840B1" w14:paraId="7051E203" w14:textId="77777777">
            <w:pPr>
              <w:spacing w:after="0"/>
              <w:jc w:val="center"/>
              <w:rPr>
                <w:b/>
                <w:bCs/>
                <w:color w:val="000000"/>
                <w:sz w:val="22"/>
                <w:szCs w:val="22"/>
              </w:rPr>
            </w:pPr>
            <w:r w:rsidRPr="00A840B1">
              <w:rPr>
                <w:b/>
                <w:bCs/>
                <w:color w:val="000000"/>
                <w:sz w:val="22"/>
                <w:szCs w:val="22"/>
              </w:rPr>
              <w:t>Contract Type</w:t>
            </w:r>
          </w:p>
        </w:tc>
        <w:tc>
          <w:tcPr>
            <w:tcW w:w="1640" w:type="dxa"/>
            <w:tcBorders>
              <w:top w:val="single" w:color="auto" w:sz="4" w:space="0"/>
              <w:left w:val="nil"/>
              <w:bottom w:val="single" w:color="000000" w:sz="4" w:space="0"/>
              <w:right w:val="single" w:color="000000" w:sz="4" w:space="0"/>
            </w:tcBorders>
            <w:shd w:val="clear" w:color="000000" w:fill="BFBFBF"/>
            <w:hideMark/>
          </w:tcPr>
          <w:p w:rsidRPr="00A840B1" w:rsidR="00A840B1" w:rsidP="00A840B1" w:rsidRDefault="00A840B1" w14:paraId="1058771E" w14:textId="77777777">
            <w:pPr>
              <w:spacing w:after="0"/>
              <w:jc w:val="center"/>
              <w:rPr>
                <w:b/>
                <w:bCs/>
                <w:color w:val="000000"/>
                <w:sz w:val="22"/>
                <w:szCs w:val="22"/>
              </w:rPr>
            </w:pPr>
            <w:r w:rsidRPr="00A840B1">
              <w:rPr>
                <w:b/>
                <w:bCs/>
                <w:color w:val="000000"/>
                <w:sz w:val="22"/>
                <w:szCs w:val="22"/>
              </w:rPr>
              <w:t>Expected</w:t>
            </w:r>
            <w:r w:rsidRPr="00A840B1">
              <w:rPr>
                <w:b/>
                <w:bCs/>
                <w:color w:val="000000"/>
                <w:sz w:val="22"/>
                <w:szCs w:val="22"/>
              </w:rPr>
              <w:br/>
              <w:t>Delivery Period</w:t>
            </w:r>
          </w:p>
        </w:tc>
        <w:tc>
          <w:tcPr>
            <w:tcW w:w="1300" w:type="dxa"/>
            <w:tcBorders>
              <w:top w:val="single" w:color="auto" w:sz="4" w:space="0"/>
              <w:left w:val="nil"/>
              <w:bottom w:val="single" w:color="000000" w:sz="4" w:space="0"/>
              <w:right w:val="single" w:color="000000" w:sz="4" w:space="0"/>
            </w:tcBorders>
            <w:shd w:val="clear" w:color="000000" w:fill="BFBFBF"/>
            <w:hideMark/>
          </w:tcPr>
          <w:p w:rsidRPr="00A840B1" w:rsidR="00A840B1" w:rsidP="00A840B1" w:rsidRDefault="00A840B1" w14:paraId="2CDE6E46" w14:textId="77777777">
            <w:pPr>
              <w:spacing w:after="0"/>
              <w:jc w:val="center"/>
              <w:rPr>
                <w:b/>
                <w:bCs/>
                <w:color w:val="000000"/>
                <w:sz w:val="22"/>
                <w:szCs w:val="22"/>
              </w:rPr>
            </w:pPr>
            <w:r w:rsidRPr="00A840B1">
              <w:rPr>
                <w:b/>
                <w:bCs/>
                <w:color w:val="000000"/>
                <w:sz w:val="22"/>
                <w:szCs w:val="22"/>
              </w:rPr>
              <w:t>Nameplate Capacity</w:t>
            </w:r>
          </w:p>
        </w:tc>
        <w:tc>
          <w:tcPr>
            <w:tcW w:w="1980" w:type="dxa"/>
            <w:tcBorders>
              <w:top w:val="single" w:color="auto" w:sz="4" w:space="0"/>
              <w:left w:val="nil"/>
              <w:bottom w:val="single" w:color="000000" w:sz="4" w:space="0"/>
              <w:right w:val="single" w:color="auto" w:sz="4" w:space="0"/>
            </w:tcBorders>
            <w:shd w:val="clear" w:color="000000" w:fill="BFBFBF"/>
            <w:hideMark/>
          </w:tcPr>
          <w:p w:rsidRPr="00A840B1" w:rsidR="00A840B1" w:rsidP="00A840B1" w:rsidRDefault="00A840B1" w14:paraId="6C394BFE" w14:textId="77777777">
            <w:pPr>
              <w:spacing w:after="0"/>
              <w:jc w:val="center"/>
              <w:rPr>
                <w:b/>
                <w:bCs/>
                <w:color w:val="000000"/>
                <w:sz w:val="22"/>
                <w:szCs w:val="22"/>
              </w:rPr>
            </w:pPr>
            <w:r w:rsidRPr="00A840B1">
              <w:rPr>
                <w:b/>
                <w:bCs/>
                <w:color w:val="000000"/>
                <w:sz w:val="22"/>
                <w:szCs w:val="22"/>
              </w:rPr>
              <w:t>ELCC Value for MTR Compliance</w:t>
            </w:r>
          </w:p>
        </w:tc>
      </w:tr>
      <w:tr w:rsidRPr="00A840B1" w:rsidR="00A840B1" w:rsidTr="00A840B1" w14:paraId="34935551" w14:textId="77777777">
        <w:trPr>
          <w:trHeight w:val="936"/>
        </w:trPr>
        <w:tc>
          <w:tcPr>
            <w:tcW w:w="1280" w:type="dxa"/>
            <w:tcBorders>
              <w:top w:val="nil"/>
              <w:left w:val="single" w:color="auto" w:sz="4" w:space="0"/>
              <w:bottom w:val="single" w:color="000000" w:sz="4" w:space="0"/>
              <w:right w:val="single" w:color="000000" w:sz="4" w:space="0"/>
            </w:tcBorders>
            <w:shd w:val="clear" w:color="auto" w:fill="auto"/>
            <w:hideMark/>
          </w:tcPr>
          <w:p w:rsidRPr="00A840B1" w:rsidR="00A840B1" w:rsidP="00A840B1" w:rsidRDefault="00A840B1" w14:paraId="49AC20FC" w14:textId="77777777">
            <w:pPr>
              <w:spacing w:after="0"/>
              <w:rPr>
                <w:color w:val="000000"/>
                <w:sz w:val="22"/>
                <w:szCs w:val="22"/>
              </w:rPr>
            </w:pPr>
            <w:r w:rsidRPr="00A840B1">
              <w:rPr>
                <w:color w:val="000000"/>
                <w:sz w:val="22"/>
                <w:szCs w:val="22"/>
              </w:rPr>
              <w:t>Pier S Energy Storage</w:t>
            </w:r>
          </w:p>
        </w:tc>
        <w:tc>
          <w:tcPr>
            <w:tcW w:w="124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6B7A3272" w14:textId="77777777">
            <w:pPr>
              <w:spacing w:after="0"/>
              <w:rPr>
                <w:color w:val="000000"/>
                <w:sz w:val="22"/>
                <w:szCs w:val="22"/>
              </w:rPr>
            </w:pPr>
            <w:r w:rsidRPr="00A840B1">
              <w:rPr>
                <w:color w:val="000000"/>
                <w:sz w:val="22"/>
                <w:szCs w:val="22"/>
              </w:rPr>
              <w:t>4‐Hr Lithium- Ion Battery</w:t>
            </w:r>
          </w:p>
        </w:tc>
        <w:tc>
          <w:tcPr>
            <w:tcW w:w="140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49EE2385" w14:textId="77777777">
            <w:pPr>
              <w:spacing w:after="0"/>
              <w:jc w:val="center"/>
              <w:rPr>
                <w:color w:val="000000"/>
                <w:sz w:val="22"/>
                <w:szCs w:val="22"/>
              </w:rPr>
            </w:pPr>
            <w:r w:rsidRPr="00A840B1">
              <w:rPr>
                <w:color w:val="000000"/>
                <w:sz w:val="22"/>
                <w:szCs w:val="22"/>
              </w:rPr>
              <w:t>RA w/ Financial Settlement</w:t>
            </w:r>
          </w:p>
        </w:tc>
        <w:tc>
          <w:tcPr>
            <w:tcW w:w="164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4FD57291" w14:textId="77777777">
            <w:pPr>
              <w:spacing w:after="0"/>
              <w:jc w:val="center"/>
              <w:rPr>
                <w:color w:val="000000"/>
                <w:sz w:val="22"/>
                <w:szCs w:val="22"/>
              </w:rPr>
            </w:pPr>
            <w:r w:rsidRPr="00A840B1">
              <w:rPr>
                <w:color w:val="000000"/>
                <w:sz w:val="22"/>
                <w:szCs w:val="22"/>
              </w:rPr>
              <w:t>6/1/2026 –</w:t>
            </w:r>
            <w:r w:rsidRPr="00A840B1">
              <w:rPr>
                <w:color w:val="000000"/>
                <w:sz w:val="22"/>
                <w:szCs w:val="22"/>
              </w:rPr>
              <w:br/>
              <w:t>5/31/41</w:t>
            </w:r>
          </w:p>
        </w:tc>
        <w:tc>
          <w:tcPr>
            <w:tcW w:w="130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4A9908EE" w14:textId="77777777">
            <w:pPr>
              <w:spacing w:after="0"/>
              <w:jc w:val="center"/>
              <w:rPr>
                <w:color w:val="000000"/>
                <w:sz w:val="22"/>
                <w:szCs w:val="22"/>
              </w:rPr>
            </w:pPr>
            <w:r w:rsidRPr="00A840B1">
              <w:rPr>
                <w:color w:val="000000"/>
                <w:sz w:val="22"/>
                <w:szCs w:val="22"/>
              </w:rPr>
              <w:t>70 MW</w:t>
            </w:r>
          </w:p>
        </w:tc>
        <w:tc>
          <w:tcPr>
            <w:tcW w:w="1980" w:type="dxa"/>
            <w:tcBorders>
              <w:top w:val="nil"/>
              <w:left w:val="nil"/>
              <w:bottom w:val="single" w:color="000000" w:sz="4" w:space="0"/>
              <w:right w:val="single" w:color="auto" w:sz="4" w:space="0"/>
            </w:tcBorders>
            <w:shd w:val="clear" w:color="auto" w:fill="auto"/>
            <w:hideMark/>
          </w:tcPr>
          <w:p w:rsidRPr="00A840B1" w:rsidR="00A840B1" w:rsidP="00A840B1" w:rsidRDefault="00A840B1" w14:paraId="6BF86DA5" w14:textId="77777777">
            <w:pPr>
              <w:spacing w:after="0"/>
              <w:jc w:val="center"/>
              <w:rPr>
                <w:color w:val="000000"/>
                <w:sz w:val="22"/>
                <w:szCs w:val="22"/>
              </w:rPr>
            </w:pPr>
            <w:r w:rsidRPr="00A840B1">
              <w:rPr>
                <w:color w:val="000000"/>
                <w:sz w:val="22"/>
                <w:szCs w:val="22"/>
              </w:rPr>
              <w:t>54 MW</w:t>
            </w:r>
          </w:p>
        </w:tc>
      </w:tr>
      <w:tr w:rsidRPr="00A840B1" w:rsidR="00A840B1" w:rsidTr="00A840B1" w14:paraId="20F51837" w14:textId="77777777">
        <w:trPr>
          <w:trHeight w:val="1560"/>
        </w:trPr>
        <w:tc>
          <w:tcPr>
            <w:tcW w:w="1280" w:type="dxa"/>
            <w:tcBorders>
              <w:top w:val="nil"/>
              <w:left w:val="single" w:color="auto" w:sz="4" w:space="0"/>
              <w:bottom w:val="single" w:color="000000" w:sz="4" w:space="0"/>
              <w:right w:val="single" w:color="000000" w:sz="4" w:space="0"/>
            </w:tcBorders>
            <w:shd w:val="clear" w:color="auto" w:fill="auto"/>
            <w:hideMark/>
          </w:tcPr>
          <w:p w:rsidRPr="00A840B1" w:rsidR="00A840B1" w:rsidP="00A840B1" w:rsidRDefault="00A840B1" w14:paraId="133CE05E" w14:textId="77777777">
            <w:pPr>
              <w:spacing w:after="0"/>
              <w:rPr>
                <w:color w:val="000000"/>
                <w:sz w:val="22"/>
                <w:szCs w:val="22"/>
              </w:rPr>
            </w:pPr>
            <w:r w:rsidRPr="00A840B1">
              <w:rPr>
                <w:color w:val="000000"/>
                <w:sz w:val="22"/>
                <w:szCs w:val="22"/>
              </w:rPr>
              <w:t>Overnight Storage</w:t>
            </w:r>
          </w:p>
        </w:tc>
        <w:tc>
          <w:tcPr>
            <w:tcW w:w="124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217824C2" w14:textId="77777777">
            <w:pPr>
              <w:spacing w:after="0"/>
              <w:rPr>
                <w:color w:val="000000"/>
                <w:sz w:val="22"/>
                <w:szCs w:val="22"/>
              </w:rPr>
            </w:pPr>
            <w:r w:rsidRPr="00A840B1">
              <w:rPr>
                <w:color w:val="000000"/>
                <w:sz w:val="22"/>
                <w:szCs w:val="22"/>
              </w:rPr>
              <w:t>4‐Hr Lithium- Ion Battery</w:t>
            </w:r>
          </w:p>
        </w:tc>
        <w:tc>
          <w:tcPr>
            <w:tcW w:w="140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1926D935" w14:textId="77777777">
            <w:pPr>
              <w:spacing w:after="0"/>
              <w:jc w:val="center"/>
              <w:rPr>
                <w:color w:val="000000"/>
                <w:sz w:val="22"/>
                <w:szCs w:val="22"/>
              </w:rPr>
            </w:pPr>
            <w:r w:rsidRPr="00A840B1">
              <w:rPr>
                <w:color w:val="000000"/>
                <w:sz w:val="22"/>
                <w:szCs w:val="22"/>
              </w:rPr>
              <w:t>RA w/ Financial Settlement</w:t>
            </w:r>
          </w:p>
        </w:tc>
        <w:tc>
          <w:tcPr>
            <w:tcW w:w="164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0267789C" w14:textId="77777777">
            <w:pPr>
              <w:spacing w:after="0"/>
              <w:jc w:val="center"/>
              <w:rPr>
                <w:color w:val="000000"/>
                <w:sz w:val="22"/>
                <w:szCs w:val="22"/>
              </w:rPr>
            </w:pPr>
            <w:r w:rsidRPr="00A840B1">
              <w:rPr>
                <w:color w:val="000000"/>
                <w:sz w:val="22"/>
                <w:szCs w:val="22"/>
              </w:rPr>
              <w:t>4/1/2027 –</w:t>
            </w:r>
            <w:r w:rsidRPr="00A840B1">
              <w:rPr>
                <w:color w:val="000000"/>
                <w:sz w:val="22"/>
                <w:szCs w:val="22"/>
              </w:rPr>
              <w:br/>
              <w:t>3/31/42</w:t>
            </w:r>
          </w:p>
        </w:tc>
        <w:tc>
          <w:tcPr>
            <w:tcW w:w="130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568AAE8B" w14:textId="77777777">
            <w:pPr>
              <w:spacing w:after="0"/>
              <w:jc w:val="center"/>
              <w:rPr>
                <w:color w:val="000000"/>
                <w:sz w:val="22"/>
                <w:szCs w:val="22"/>
              </w:rPr>
            </w:pPr>
            <w:r w:rsidRPr="00A840B1">
              <w:rPr>
                <w:color w:val="000000"/>
                <w:sz w:val="22"/>
                <w:szCs w:val="22"/>
              </w:rPr>
              <w:t>150 MW</w:t>
            </w:r>
          </w:p>
        </w:tc>
        <w:tc>
          <w:tcPr>
            <w:tcW w:w="1980" w:type="dxa"/>
            <w:tcBorders>
              <w:top w:val="nil"/>
              <w:left w:val="nil"/>
              <w:bottom w:val="single" w:color="000000" w:sz="4" w:space="0"/>
              <w:right w:val="single" w:color="auto" w:sz="4" w:space="0"/>
            </w:tcBorders>
            <w:shd w:val="clear" w:color="auto" w:fill="auto"/>
            <w:hideMark/>
          </w:tcPr>
          <w:p w:rsidRPr="00A840B1" w:rsidR="00A840B1" w:rsidP="00A840B1" w:rsidRDefault="00A840B1" w14:paraId="2156FB58" w14:textId="77777777">
            <w:pPr>
              <w:spacing w:after="0"/>
              <w:jc w:val="center"/>
              <w:rPr>
                <w:color w:val="000000"/>
                <w:sz w:val="22"/>
                <w:szCs w:val="22"/>
              </w:rPr>
            </w:pPr>
            <w:r w:rsidRPr="00A840B1">
              <w:rPr>
                <w:color w:val="000000"/>
                <w:sz w:val="22"/>
                <w:szCs w:val="22"/>
              </w:rPr>
              <w:t>111 MW</w:t>
            </w:r>
          </w:p>
        </w:tc>
      </w:tr>
      <w:tr w:rsidRPr="00A840B1" w:rsidR="00A840B1" w:rsidTr="00A840B1" w14:paraId="27416482" w14:textId="77777777">
        <w:trPr>
          <w:trHeight w:val="1560"/>
        </w:trPr>
        <w:tc>
          <w:tcPr>
            <w:tcW w:w="1280" w:type="dxa"/>
            <w:tcBorders>
              <w:top w:val="nil"/>
              <w:left w:val="single" w:color="auto" w:sz="4" w:space="0"/>
              <w:bottom w:val="single" w:color="000000" w:sz="4" w:space="0"/>
              <w:right w:val="single" w:color="000000" w:sz="4" w:space="0"/>
            </w:tcBorders>
            <w:shd w:val="clear" w:color="auto" w:fill="auto"/>
            <w:hideMark/>
          </w:tcPr>
          <w:p w:rsidRPr="00A840B1" w:rsidR="00A840B1" w:rsidP="00A840B1" w:rsidRDefault="00A840B1" w14:paraId="75AEC720" w14:textId="77777777">
            <w:pPr>
              <w:spacing w:after="0"/>
              <w:rPr>
                <w:color w:val="000000"/>
                <w:sz w:val="22"/>
                <w:szCs w:val="22"/>
              </w:rPr>
            </w:pPr>
            <w:r w:rsidRPr="00A840B1">
              <w:rPr>
                <w:color w:val="000000"/>
                <w:sz w:val="22"/>
                <w:szCs w:val="22"/>
              </w:rPr>
              <w:t>Euismod</w:t>
            </w:r>
          </w:p>
        </w:tc>
        <w:tc>
          <w:tcPr>
            <w:tcW w:w="124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4D1A0BF6" w14:textId="77777777">
            <w:pPr>
              <w:spacing w:after="0"/>
              <w:rPr>
                <w:color w:val="000000"/>
                <w:sz w:val="22"/>
                <w:szCs w:val="22"/>
              </w:rPr>
            </w:pPr>
            <w:r w:rsidRPr="00A840B1">
              <w:rPr>
                <w:color w:val="000000"/>
                <w:sz w:val="22"/>
                <w:szCs w:val="22"/>
              </w:rPr>
              <w:t>8-Hr Lithium- Ion Battery</w:t>
            </w:r>
          </w:p>
        </w:tc>
        <w:tc>
          <w:tcPr>
            <w:tcW w:w="140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7B49C796" w14:textId="77777777">
            <w:pPr>
              <w:spacing w:after="0"/>
              <w:jc w:val="center"/>
              <w:rPr>
                <w:color w:val="000000"/>
                <w:sz w:val="22"/>
                <w:szCs w:val="22"/>
              </w:rPr>
            </w:pPr>
            <w:r w:rsidRPr="00A840B1">
              <w:rPr>
                <w:color w:val="000000"/>
                <w:sz w:val="22"/>
                <w:szCs w:val="22"/>
              </w:rPr>
              <w:t>RA w/ Financial Settlement</w:t>
            </w:r>
          </w:p>
        </w:tc>
        <w:tc>
          <w:tcPr>
            <w:tcW w:w="164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587AC2EC" w14:textId="77777777">
            <w:pPr>
              <w:spacing w:after="0"/>
              <w:jc w:val="center"/>
              <w:rPr>
                <w:color w:val="000000"/>
                <w:sz w:val="22"/>
                <w:szCs w:val="22"/>
              </w:rPr>
            </w:pPr>
            <w:r w:rsidRPr="00A840B1">
              <w:rPr>
                <w:color w:val="000000"/>
                <w:sz w:val="22"/>
                <w:szCs w:val="22"/>
              </w:rPr>
              <w:t>6/1/2028 –</w:t>
            </w:r>
            <w:r w:rsidRPr="00A840B1">
              <w:rPr>
                <w:color w:val="000000"/>
                <w:sz w:val="22"/>
                <w:szCs w:val="22"/>
              </w:rPr>
              <w:br/>
              <w:t>5/31/43</w:t>
            </w:r>
          </w:p>
        </w:tc>
        <w:tc>
          <w:tcPr>
            <w:tcW w:w="1300" w:type="dxa"/>
            <w:tcBorders>
              <w:top w:val="nil"/>
              <w:left w:val="nil"/>
              <w:bottom w:val="single" w:color="000000" w:sz="4" w:space="0"/>
              <w:right w:val="single" w:color="000000" w:sz="4" w:space="0"/>
            </w:tcBorders>
            <w:shd w:val="clear" w:color="auto" w:fill="auto"/>
            <w:hideMark/>
          </w:tcPr>
          <w:p w:rsidRPr="00A840B1" w:rsidR="00A840B1" w:rsidP="00A840B1" w:rsidRDefault="00A840B1" w14:paraId="7894B445" w14:textId="77777777">
            <w:pPr>
              <w:spacing w:after="0"/>
              <w:jc w:val="center"/>
              <w:rPr>
                <w:color w:val="000000"/>
                <w:sz w:val="22"/>
                <w:szCs w:val="22"/>
              </w:rPr>
            </w:pPr>
            <w:r w:rsidRPr="00A840B1">
              <w:rPr>
                <w:color w:val="000000"/>
                <w:sz w:val="22"/>
                <w:szCs w:val="22"/>
              </w:rPr>
              <w:t>400 MW</w:t>
            </w:r>
          </w:p>
        </w:tc>
        <w:tc>
          <w:tcPr>
            <w:tcW w:w="1980" w:type="dxa"/>
            <w:tcBorders>
              <w:top w:val="nil"/>
              <w:left w:val="nil"/>
              <w:bottom w:val="single" w:color="000000" w:sz="4" w:space="0"/>
              <w:right w:val="single" w:color="auto" w:sz="4" w:space="0"/>
            </w:tcBorders>
            <w:shd w:val="clear" w:color="auto" w:fill="auto"/>
            <w:hideMark/>
          </w:tcPr>
          <w:p w:rsidRPr="00A840B1" w:rsidR="00A840B1" w:rsidP="00A840B1" w:rsidRDefault="00A840B1" w14:paraId="7BD4A16A" w14:textId="77777777">
            <w:pPr>
              <w:spacing w:after="0"/>
              <w:jc w:val="center"/>
              <w:rPr>
                <w:color w:val="000000"/>
                <w:sz w:val="22"/>
                <w:szCs w:val="22"/>
              </w:rPr>
            </w:pPr>
            <w:r w:rsidRPr="00A840B1">
              <w:rPr>
                <w:color w:val="000000"/>
                <w:sz w:val="22"/>
                <w:szCs w:val="22"/>
              </w:rPr>
              <w:t>360 MW</w:t>
            </w:r>
          </w:p>
        </w:tc>
      </w:tr>
      <w:tr w:rsidRPr="00A840B1" w:rsidR="00A840B1" w:rsidTr="00A840B1" w14:paraId="02227CC7" w14:textId="77777777">
        <w:trPr>
          <w:trHeight w:val="936"/>
        </w:trPr>
        <w:tc>
          <w:tcPr>
            <w:tcW w:w="1280" w:type="dxa"/>
            <w:tcBorders>
              <w:top w:val="nil"/>
              <w:left w:val="single" w:color="auto" w:sz="4" w:space="0"/>
              <w:bottom w:val="single" w:color="auto" w:sz="4" w:space="0"/>
              <w:right w:val="single" w:color="000000" w:sz="4" w:space="0"/>
            </w:tcBorders>
            <w:shd w:val="clear" w:color="auto" w:fill="auto"/>
            <w:hideMark/>
          </w:tcPr>
          <w:p w:rsidRPr="00A840B1" w:rsidR="00A840B1" w:rsidP="00A840B1" w:rsidRDefault="00A840B1" w14:paraId="12B99297" w14:textId="77777777">
            <w:pPr>
              <w:spacing w:after="0"/>
              <w:rPr>
                <w:b/>
                <w:bCs/>
                <w:color w:val="000000"/>
                <w:sz w:val="22"/>
                <w:szCs w:val="22"/>
              </w:rPr>
            </w:pPr>
            <w:r w:rsidRPr="00A840B1">
              <w:rPr>
                <w:b/>
                <w:bCs/>
                <w:color w:val="000000"/>
                <w:sz w:val="22"/>
                <w:szCs w:val="22"/>
              </w:rPr>
              <w:t>Total Capacity</w:t>
            </w:r>
          </w:p>
        </w:tc>
        <w:tc>
          <w:tcPr>
            <w:tcW w:w="1240" w:type="dxa"/>
            <w:tcBorders>
              <w:top w:val="nil"/>
              <w:left w:val="nil"/>
              <w:bottom w:val="single" w:color="auto" w:sz="4" w:space="0"/>
              <w:right w:val="single" w:color="000000" w:sz="4" w:space="0"/>
            </w:tcBorders>
            <w:shd w:val="clear" w:color="auto" w:fill="auto"/>
            <w:vAlign w:val="center"/>
            <w:hideMark/>
          </w:tcPr>
          <w:p w:rsidRPr="00A840B1" w:rsidR="00A840B1" w:rsidP="00A840B1" w:rsidRDefault="00A840B1" w14:paraId="743969A4" w14:textId="77777777">
            <w:pPr>
              <w:spacing w:after="0"/>
              <w:rPr>
                <w:sz w:val="20"/>
              </w:rPr>
            </w:pPr>
            <w:r w:rsidRPr="00A840B1">
              <w:rPr>
                <w:sz w:val="20"/>
              </w:rPr>
              <w:t> </w:t>
            </w:r>
          </w:p>
        </w:tc>
        <w:tc>
          <w:tcPr>
            <w:tcW w:w="1400" w:type="dxa"/>
            <w:tcBorders>
              <w:top w:val="nil"/>
              <w:left w:val="nil"/>
              <w:bottom w:val="single" w:color="auto" w:sz="4" w:space="0"/>
              <w:right w:val="single" w:color="000000" w:sz="4" w:space="0"/>
            </w:tcBorders>
            <w:shd w:val="clear" w:color="auto" w:fill="auto"/>
            <w:vAlign w:val="center"/>
            <w:hideMark/>
          </w:tcPr>
          <w:p w:rsidRPr="00A840B1" w:rsidR="00A840B1" w:rsidP="00A840B1" w:rsidRDefault="00A840B1" w14:paraId="5996C105" w14:textId="77777777">
            <w:pPr>
              <w:spacing w:after="0"/>
              <w:rPr>
                <w:sz w:val="20"/>
              </w:rPr>
            </w:pPr>
            <w:r w:rsidRPr="00A840B1">
              <w:rPr>
                <w:sz w:val="20"/>
              </w:rPr>
              <w:t> </w:t>
            </w:r>
          </w:p>
        </w:tc>
        <w:tc>
          <w:tcPr>
            <w:tcW w:w="1640" w:type="dxa"/>
            <w:tcBorders>
              <w:top w:val="nil"/>
              <w:left w:val="nil"/>
              <w:bottom w:val="single" w:color="auto" w:sz="4" w:space="0"/>
              <w:right w:val="single" w:color="000000" w:sz="4" w:space="0"/>
            </w:tcBorders>
            <w:shd w:val="clear" w:color="auto" w:fill="auto"/>
            <w:vAlign w:val="center"/>
            <w:hideMark/>
          </w:tcPr>
          <w:p w:rsidRPr="00A840B1" w:rsidR="00A840B1" w:rsidP="00A840B1" w:rsidRDefault="00A840B1" w14:paraId="0777D42E" w14:textId="77777777">
            <w:pPr>
              <w:spacing w:after="0"/>
              <w:rPr>
                <w:sz w:val="20"/>
              </w:rPr>
            </w:pPr>
            <w:r w:rsidRPr="00A840B1">
              <w:rPr>
                <w:sz w:val="20"/>
              </w:rPr>
              <w:t> </w:t>
            </w:r>
          </w:p>
        </w:tc>
        <w:tc>
          <w:tcPr>
            <w:tcW w:w="1300" w:type="dxa"/>
            <w:tcBorders>
              <w:top w:val="nil"/>
              <w:left w:val="nil"/>
              <w:bottom w:val="single" w:color="auto" w:sz="4" w:space="0"/>
              <w:right w:val="single" w:color="000000" w:sz="4" w:space="0"/>
            </w:tcBorders>
            <w:shd w:val="clear" w:color="auto" w:fill="auto"/>
            <w:hideMark/>
          </w:tcPr>
          <w:p w:rsidRPr="00A840B1" w:rsidR="00A840B1" w:rsidP="00A840B1" w:rsidRDefault="00A840B1" w14:paraId="1B13A9C0" w14:textId="77777777">
            <w:pPr>
              <w:spacing w:after="0"/>
              <w:jc w:val="center"/>
              <w:rPr>
                <w:b/>
                <w:bCs/>
                <w:color w:val="000000"/>
                <w:sz w:val="22"/>
                <w:szCs w:val="22"/>
              </w:rPr>
            </w:pPr>
            <w:r w:rsidRPr="00A840B1">
              <w:rPr>
                <w:b/>
                <w:bCs/>
                <w:color w:val="000000"/>
                <w:sz w:val="22"/>
                <w:szCs w:val="22"/>
              </w:rPr>
              <w:t>620 MW</w:t>
            </w:r>
          </w:p>
        </w:tc>
        <w:tc>
          <w:tcPr>
            <w:tcW w:w="1980" w:type="dxa"/>
            <w:tcBorders>
              <w:top w:val="nil"/>
              <w:left w:val="nil"/>
              <w:bottom w:val="single" w:color="auto" w:sz="4" w:space="0"/>
              <w:right w:val="single" w:color="auto" w:sz="4" w:space="0"/>
            </w:tcBorders>
            <w:shd w:val="clear" w:color="auto" w:fill="auto"/>
            <w:hideMark/>
          </w:tcPr>
          <w:p w:rsidRPr="00A840B1" w:rsidR="00A840B1" w:rsidP="00A840B1" w:rsidRDefault="00A840B1" w14:paraId="5C63F7B3" w14:textId="77777777">
            <w:pPr>
              <w:spacing w:after="0"/>
              <w:jc w:val="center"/>
              <w:rPr>
                <w:b/>
                <w:bCs/>
                <w:color w:val="000000"/>
                <w:sz w:val="22"/>
                <w:szCs w:val="22"/>
              </w:rPr>
            </w:pPr>
            <w:r w:rsidRPr="00A840B1">
              <w:rPr>
                <w:b/>
                <w:bCs/>
                <w:color w:val="000000"/>
                <w:sz w:val="22"/>
                <w:szCs w:val="22"/>
              </w:rPr>
              <w:t>525 MW</w:t>
            </w:r>
          </w:p>
        </w:tc>
      </w:tr>
    </w:tbl>
    <w:p w:rsidRPr="00901BC8" w:rsidR="00A840B1" w:rsidP="00560B9D" w:rsidRDefault="00A840B1" w14:paraId="4279D743" w14:textId="77777777">
      <w:pPr>
        <w:spacing w:after="0"/>
        <w:rPr>
          <w:szCs w:val="24"/>
        </w:rPr>
      </w:pPr>
    </w:p>
    <w:p w:rsidRPr="00F438EB" w:rsidR="00031829" w:rsidP="00560B9D" w:rsidRDefault="00CF17DE" w14:paraId="0C312900" w14:textId="77777777">
      <w:pPr>
        <w:pStyle w:val="Heading1"/>
        <w:spacing w:before="240" w:after="160"/>
      </w:pPr>
      <w:r w:rsidRPr="00F438EB">
        <w:t>Background</w:t>
      </w:r>
    </w:p>
    <w:p w:rsidRPr="00B01834" w:rsidR="003E0C29" w:rsidP="008477B0" w:rsidRDefault="00EB7C9E" w14:paraId="56134E48" w14:textId="60376104">
      <w:pPr>
        <w:pStyle w:val="Heading2"/>
      </w:pPr>
      <w:r w:rsidRPr="00B01834">
        <w:t xml:space="preserve">Overview of </w:t>
      </w:r>
      <w:r w:rsidRPr="009A3519">
        <w:t>Midterm</w:t>
      </w:r>
      <w:r w:rsidRPr="00B01834">
        <w:t xml:space="preserve"> Reliability Procurement Requirements</w:t>
      </w:r>
    </w:p>
    <w:p w:rsidRPr="00B01834" w:rsidR="003E0C29" w:rsidP="00D65F4E" w:rsidRDefault="00EB7C9E" w14:paraId="56728814" w14:textId="72D3993F">
      <w:pPr>
        <w:autoSpaceDE w:val="0"/>
        <w:autoSpaceDN w:val="0"/>
        <w:adjustRightInd w:val="0"/>
        <w:spacing w:before="240"/>
      </w:pPr>
      <w:r w:rsidRPr="00B01834">
        <w:t>On June 30, 2021, the Commission issued (D.) 21-06-035</w:t>
      </w:r>
      <w:r w:rsidR="009117C0">
        <w:t xml:space="preserve"> (</w:t>
      </w:r>
      <w:r w:rsidR="000D4E0C">
        <w:t xml:space="preserve">2021 </w:t>
      </w:r>
      <w:r w:rsidR="009117C0">
        <w:t>MTR Decision)</w:t>
      </w:r>
      <w:r w:rsidRPr="00B01834">
        <w:t>, which takes steps to address the MTR needs of the electricity system for years 2023 through 2026</w:t>
      </w:r>
      <w:r w:rsidR="00BA2A16">
        <w:t xml:space="preserve">.  </w:t>
      </w:r>
      <w:r w:rsidR="00543E78">
        <w:br/>
      </w:r>
      <w:r w:rsidRPr="00B01834">
        <w:t xml:space="preserve">D.21-06-035 requires CPUC jurisdictional Load Serving Entities (LSEs) to undertake incremental procurement of 11,500 MW of additional September </w:t>
      </w:r>
      <w:r w:rsidR="00E4269F">
        <w:t xml:space="preserve">net qualifying capacity </w:t>
      </w:r>
      <w:r w:rsidR="00E4269F">
        <w:lastRenderedPageBreak/>
        <w:t>(</w:t>
      </w:r>
      <w:r w:rsidRPr="00B01834">
        <w:t>NQC</w:t>
      </w:r>
      <w:r w:rsidR="00E4269F">
        <w:t>)</w:t>
      </w:r>
      <w:r w:rsidR="00D6642B">
        <w:rPr>
          <w:rStyle w:val="FootnoteReference"/>
        </w:rPr>
        <w:footnoteReference w:id="2"/>
      </w:r>
      <w:r w:rsidR="00E4269F">
        <w:t xml:space="preserve">. </w:t>
      </w:r>
      <w:r w:rsidRPr="00B01834">
        <w:t xml:space="preserve"> To replace the current supply of energy from Diablo Canyon Nuclear Power Plant and ensure th</w:t>
      </w:r>
      <w:r w:rsidR="009117C0">
        <w:t xml:space="preserve">at it would </w:t>
      </w:r>
      <w:r w:rsidRPr="00B01834">
        <w:t>no</w:t>
      </w:r>
      <w:r w:rsidR="009117C0">
        <w:t>t</w:t>
      </w:r>
      <w:r w:rsidRPr="00B01834">
        <w:t xml:space="preserve"> result</w:t>
      </w:r>
      <w:r w:rsidR="009117C0">
        <w:t xml:space="preserve"> in an </w:t>
      </w:r>
      <w:r w:rsidRPr="00B01834">
        <w:t xml:space="preserve">increase in greenhouse gas (GHG) emissions with its retirement, D.21-06-035 also requires that at least 2,500 MW of the total procured </w:t>
      </w:r>
      <w:r w:rsidR="009117C0">
        <w:t xml:space="preserve">capacity </w:t>
      </w:r>
      <w:r w:rsidRPr="00B01834">
        <w:t>be either from zero-emission resources that generate electricity, generation resources paired with storage, or demand response</w:t>
      </w:r>
      <w:r w:rsidR="00B82E9B">
        <w:t xml:space="preserve"> (Diablo Canyon Replacement Requirement)</w:t>
      </w:r>
      <w:r w:rsidRPr="00B01834">
        <w:t>.</w:t>
      </w:r>
      <w:r w:rsidRPr="7619423B" w:rsidR="00FF5754">
        <w:rPr>
          <w:rStyle w:val="FootnoteReference"/>
          <w:rFonts w:cs="Palatino"/>
        </w:rPr>
        <w:footnoteReference w:id="3"/>
      </w:r>
      <w:r w:rsidRPr="7619423B" w:rsidR="007E1C12">
        <w:rPr>
          <w:rFonts w:cs="Palatino"/>
        </w:rPr>
        <w:t xml:space="preserve"> </w:t>
      </w:r>
      <w:r w:rsidRPr="00B01834">
        <w:t xml:space="preserve"> Specifically, the </w:t>
      </w:r>
      <w:r w:rsidR="009117C0">
        <w:t>d</w:t>
      </w:r>
      <w:r w:rsidRPr="00B01834">
        <w:t>ecision requires that the “zero-emitting capacity</w:t>
      </w:r>
      <w:r w:rsidR="009117C0">
        <w:t>”</w:t>
      </w:r>
      <w:r w:rsidRPr="00B01834">
        <w:t xml:space="preserve"> shall have the following characteristics:</w:t>
      </w:r>
    </w:p>
    <w:p w:rsidRPr="00B01834" w:rsidR="003E0C29" w:rsidP="00B01834" w:rsidRDefault="00EB7C9E" w14:paraId="7507A921" w14:textId="58BC862E">
      <w:pPr>
        <w:pStyle w:val="ListParagraph"/>
        <w:numPr>
          <w:ilvl w:val="0"/>
          <w:numId w:val="16"/>
        </w:numPr>
        <w:ind w:left="900"/>
      </w:pPr>
      <w:r w:rsidRPr="00B01834">
        <w:t>Be from a generation resource, a generation resource paired with storage (physically or contractually), or a demand response resource;</w:t>
      </w:r>
    </w:p>
    <w:p w:rsidRPr="00B01834" w:rsidR="003E0C29" w:rsidP="00B01834" w:rsidRDefault="00EB7C9E" w14:paraId="3CA6E09D" w14:textId="39ABF037">
      <w:pPr>
        <w:ind w:left="900" w:hanging="360"/>
      </w:pPr>
      <w:r w:rsidRPr="00B01834">
        <w:t>(b) Be available every day from 5 p.m</w:t>
      </w:r>
      <w:r w:rsidR="00BA2A16">
        <w:t xml:space="preserve">. </w:t>
      </w:r>
      <w:r w:rsidRPr="00B01834">
        <w:t>to 10 p.m</w:t>
      </w:r>
      <w:r w:rsidR="00BA2A16">
        <w:t xml:space="preserve">. </w:t>
      </w:r>
      <w:r w:rsidRPr="00B01834">
        <w:t xml:space="preserve">(the beginning of hour ending </w:t>
      </w:r>
      <w:r w:rsidR="009079EB">
        <w:rPr>
          <w:szCs w:val="24"/>
        </w:rPr>
        <w:br/>
      </w:r>
      <w:r w:rsidRPr="00B01834">
        <w:t>1800 through the end of hour ending 2200), Pacific Time, at a minimum; and</w:t>
      </w:r>
    </w:p>
    <w:p w:rsidRPr="00B01834" w:rsidR="003E0C29" w:rsidP="00B01834" w:rsidRDefault="00EB7C9E" w14:paraId="6903C1B2" w14:textId="2CD26D39">
      <w:pPr>
        <w:ind w:left="900" w:hanging="360"/>
      </w:pPr>
      <w:r w:rsidRPr="00B01834">
        <w:t>(c) Be able to deliver at least 5 megawatt-hours of energy during each of these daily periods for every megawatt of incremental capacity claimed.”</w:t>
      </w:r>
      <w:r w:rsidRPr="00F438EB" w:rsidR="00D10CC1">
        <w:rPr>
          <w:rStyle w:val="FootnoteReference"/>
          <w:szCs w:val="24"/>
        </w:rPr>
        <w:footnoteReference w:id="4"/>
      </w:r>
    </w:p>
    <w:p w:rsidR="0017696D" w:rsidP="00B01834" w:rsidRDefault="00EB7C9E" w14:paraId="1EA60C4F" w14:textId="324BFFDD">
      <w:r w:rsidRPr="00B01834">
        <w:t xml:space="preserve">As documented in Table 6 of </w:t>
      </w:r>
      <w:r w:rsidR="009117C0">
        <w:t xml:space="preserve">the </w:t>
      </w:r>
      <w:r w:rsidR="000D4E0C">
        <w:t xml:space="preserve">2021 </w:t>
      </w:r>
      <w:r w:rsidR="009117C0">
        <w:t xml:space="preserve">MTR Decision, </w:t>
      </w:r>
      <w:r w:rsidRPr="00B01834">
        <w:t>of the 11,500 MW</w:t>
      </w:r>
      <w:r w:rsidR="009858F5">
        <w:rPr>
          <w:rStyle w:val="FootnoteReference"/>
        </w:rPr>
        <w:footnoteReference w:id="5"/>
      </w:r>
      <w:r w:rsidRPr="00B01834">
        <w:t xml:space="preserve"> procurement order, SCE is assigned 3,948 MWs for its bundled service customer portion, with</w:t>
      </w:r>
      <w:r w:rsidR="0017696D">
        <w:t xml:space="preserve"> </w:t>
      </w:r>
      <w:r w:rsidRPr="00774C77">
        <w:t xml:space="preserve">687 MW to be online by August 1, 2023; 2,070 MW by June 1, 2024; 515 MW by June 1, 2025; and </w:t>
      </w:r>
      <w:r w:rsidR="001B517C">
        <w:br/>
      </w:r>
      <w:r w:rsidRPr="00774C77">
        <w:t>687 MW of long-lead time (LLT) resources by 2026</w:t>
      </w:r>
      <w:r w:rsidR="000B4149">
        <w:rPr>
          <w:rStyle w:val="FootnoteReference"/>
        </w:rPr>
        <w:footnoteReference w:id="6"/>
      </w:r>
      <w:r w:rsidR="00BA2A16">
        <w:t xml:space="preserve">.  </w:t>
      </w:r>
      <w:r w:rsidRPr="00B01834">
        <w:t>Due to the deregistration of two community choice aggregators (CCAs); Western Community Energy (WCE) and the City of Baldwin Park; SCE’s total procurement requirement increased to 4,052 MW, with</w:t>
      </w:r>
      <w:r w:rsidR="0017696D">
        <w:t>:</w:t>
      </w:r>
    </w:p>
    <w:p w:rsidRPr="0017696D" w:rsidR="0017696D" w:rsidP="0017696D" w:rsidRDefault="00EB7C9E" w14:paraId="73CD9497" w14:textId="130E9C66">
      <w:pPr>
        <w:pStyle w:val="ListParagraph"/>
        <w:numPr>
          <w:ilvl w:val="0"/>
          <w:numId w:val="39"/>
        </w:numPr>
        <w:ind w:left="900"/>
      </w:pPr>
      <w:r w:rsidRPr="0017696D">
        <w:t xml:space="preserve">705 MW to be online by August 1, 2023; </w:t>
      </w:r>
    </w:p>
    <w:p w:rsidRPr="0017696D" w:rsidR="0017696D" w:rsidP="0017696D" w:rsidRDefault="00EB7C9E" w14:paraId="5EDBCA79" w14:textId="3292A995">
      <w:pPr>
        <w:pStyle w:val="ListParagraph"/>
        <w:numPr>
          <w:ilvl w:val="0"/>
          <w:numId w:val="39"/>
        </w:numPr>
        <w:ind w:left="900"/>
      </w:pPr>
      <w:r w:rsidRPr="0017696D">
        <w:t xml:space="preserve">2,114 MW by June 1, 2024; </w:t>
      </w:r>
    </w:p>
    <w:p w:rsidRPr="0017696D" w:rsidR="0017696D" w:rsidP="0017696D" w:rsidRDefault="00EB7C9E" w14:paraId="03A449D0" w14:textId="3F807945">
      <w:pPr>
        <w:pStyle w:val="ListParagraph"/>
        <w:numPr>
          <w:ilvl w:val="0"/>
          <w:numId w:val="39"/>
        </w:numPr>
        <w:ind w:left="900"/>
      </w:pPr>
      <w:r w:rsidRPr="0017696D">
        <w:t xml:space="preserve">529 MW by June 1, 2025; and </w:t>
      </w:r>
    </w:p>
    <w:p w:rsidRPr="0017696D" w:rsidR="0017696D" w:rsidP="0017696D" w:rsidRDefault="00EB7C9E" w14:paraId="09A634B9" w14:textId="3EB91220">
      <w:pPr>
        <w:pStyle w:val="ListParagraph"/>
        <w:numPr>
          <w:ilvl w:val="0"/>
          <w:numId w:val="39"/>
        </w:numPr>
        <w:ind w:left="900"/>
      </w:pPr>
      <w:r w:rsidRPr="0017696D">
        <w:t>705 MW LLT resources</w:t>
      </w:r>
      <w:r w:rsidRPr="0017696D" w:rsidR="0017696D">
        <w:t xml:space="preserve"> by</w:t>
      </w:r>
      <w:r w:rsidRPr="0017696D">
        <w:t xml:space="preserve"> 2026</w:t>
      </w:r>
      <w:r w:rsidR="00134660">
        <w:t xml:space="preserve"> [Extended to 2028</w:t>
      </w:r>
      <w:r w:rsidR="004C2CB1">
        <w:rPr>
          <w:rStyle w:val="FootnoteReference"/>
        </w:rPr>
        <w:footnoteReference w:id="7"/>
      </w:r>
      <w:r w:rsidR="00A7629B">
        <w:t>]</w:t>
      </w:r>
      <w:r w:rsidR="00BA2A16">
        <w:t xml:space="preserve">.  </w:t>
      </w:r>
    </w:p>
    <w:p w:rsidRPr="00B01834" w:rsidR="003E0C29" w:rsidP="00B01834" w:rsidRDefault="00EB7C9E" w14:paraId="6ED67234" w14:textId="4D5E360A">
      <w:r w:rsidRPr="00B01834">
        <w:t xml:space="preserve">These revised totals include a minimum of 880 MW </w:t>
      </w:r>
      <w:r w:rsidR="009117C0">
        <w:t xml:space="preserve">of </w:t>
      </w:r>
      <w:r w:rsidRPr="00B01834">
        <w:t>zero-emitting</w:t>
      </w:r>
      <w:r w:rsidR="000B4149">
        <w:t xml:space="preserve"> generating</w:t>
      </w:r>
      <w:r w:rsidRPr="00B01834">
        <w:t xml:space="preserve"> capacity by 2025</w:t>
      </w:r>
      <w:r w:rsidR="00BA2A16">
        <w:t xml:space="preserve">.  </w:t>
      </w:r>
      <w:r w:rsidRPr="00B01834">
        <w:t xml:space="preserve">The </w:t>
      </w:r>
      <w:r w:rsidR="00C23E1A">
        <w:t xml:space="preserve">2021 </w:t>
      </w:r>
      <w:r w:rsidRPr="00B01834">
        <w:t xml:space="preserve">MTR Decision also requires that all contracts with resources (including imports), used to satisfy the MTR requirements shall have a minimum duration of </w:t>
      </w:r>
      <w:r w:rsidR="001B517C">
        <w:br/>
      </w:r>
      <w:r w:rsidRPr="00B01834">
        <w:t xml:space="preserve">10 years, and provides that the Investor-Owned Utilities (IOUs) are authorized to seek cost </w:t>
      </w:r>
      <w:r w:rsidRPr="00B01834">
        <w:lastRenderedPageBreak/>
        <w:t>recovery for most of their MTR procurement capacity (with the exception of pumped storage or utility-owned resources) through Tier 3 ALs.</w:t>
      </w:r>
      <w:r w:rsidRPr="00B01834">
        <w:rPr>
          <w:rStyle w:val="FootnoteReference"/>
        </w:rPr>
        <w:footnoteReference w:id="8"/>
      </w:r>
    </w:p>
    <w:p w:rsidR="00AD15B2" w:rsidP="00B01834" w:rsidRDefault="00EB7C9E" w14:paraId="266E71B1" w14:textId="22B53836">
      <w:r w:rsidRPr="00B01834">
        <w:t>On February 23, 2023, the Commission subsequently adopted D.23-02-040, which required supplemental MTR procurement of 4,000 MW of September NQC, with 2,000 MW to be procured by June 1, 2026</w:t>
      </w:r>
      <w:r w:rsidR="00B56D03">
        <w:rPr>
          <w:szCs w:val="24"/>
        </w:rPr>
        <w:t>,</w:t>
      </w:r>
      <w:r w:rsidRPr="00B01834">
        <w:t xml:space="preserve"> and another 2,000 MW by June 1, 2027</w:t>
      </w:r>
      <w:r w:rsidR="00BA2A16">
        <w:t xml:space="preserve">.  </w:t>
      </w:r>
      <w:r w:rsidRPr="00B01834">
        <w:t xml:space="preserve">SCE’s share of this </w:t>
      </w:r>
      <w:r w:rsidR="00AD15B2">
        <w:t xml:space="preserve">supplemental </w:t>
      </w:r>
      <w:r w:rsidRPr="00B01834">
        <w:t>procurement is</w:t>
      </w:r>
      <w:r w:rsidR="00AD15B2">
        <w:t>:</w:t>
      </w:r>
      <w:r w:rsidRPr="00B01834">
        <w:t xml:space="preserve"> </w:t>
      </w:r>
    </w:p>
    <w:p w:rsidRPr="00AD15B2" w:rsidR="00AD15B2" w:rsidP="00AD15B2" w:rsidRDefault="00EB7C9E" w14:paraId="59F6D38F" w14:textId="1F735BCA">
      <w:pPr>
        <w:pStyle w:val="ListParagraph"/>
        <w:numPr>
          <w:ilvl w:val="0"/>
          <w:numId w:val="40"/>
        </w:numPr>
        <w:ind w:left="1080"/>
      </w:pPr>
      <w:r w:rsidRPr="00AD15B2">
        <w:t>684 MW for 2026</w:t>
      </w:r>
      <w:r w:rsidRPr="00AD15B2" w:rsidR="00AD15B2">
        <w:t>;</w:t>
      </w:r>
      <w:r w:rsidRPr="00AD15B2">
        <w:t xml:space="preserve"> and </w:t>
      </w:r>
    </w:p>
    <w:p w:rsidRPr="00AD15B2" w:rsidR="00AD15B2" w:rsidP="00AD15B2" w:rsidRDefault="00EB7C9E" w14:paraId="585C5A4D" w14:textId="279512A6">
      <w:pPr>
        <w:pStyle w:val="ListParagraph"/>
        <w:numPr>
          <w:ilvl w:val="0"/>
          <w:numId w:val="40"/>
        </w:numPr>
        <w:ind w:left="1080"/>
      </w:pPr>
      <w:r w:rsidRPr="00AD15B2">
        <w:t xml:space="preserve">684 </w:t>
      </w:r>
      <w:r w:rsidR="00AD15B2">
        <w:t xml:space="preserve">MW </w:t>
      </w:r>
      <w:r w:rsidRPr="00AD15B2">
        <w:t>for 2027</w:t>
      </w:r>
      <w:r w:rsidR="00BA2A16">
        <w:t xml:space="preserve">.  </w:t>
      </w:r>
    </w:p>
    <w:p w:rsidR="00D6642B" w:rsidP="00B01834" w:rsidRDefault="00EB7C9E" w14:paraId="3178A245" w14:textId="5C2DFDA9">
      <w:r w:rsidRPr="00B01834">
        <w:t xml:space="preserve">The Commission extended the online date for LLT resource procurement from </w:t>
      </w:r>
      <w:r w:rsidR="00B557A0">
        <w:br/>
      </w:r>
      <w:r w:rsidRPr="00B01834">
        <w:t>June 1, 2026</w:t>
      </w:r>
      <w:r w:rsidR="00463490">
        <w:t>,</w:t>
      </w:r>
      <w:r w:rsidRPr="00B01834">
        <w:t xml:space="preserve"> to June 1, 2028.</w:t>
      </w:r>
      <w:r w:rsidRPr="00B01834">
        <w:rPr>
          <w:rStyle w:val="FootnoteReference"/>
        </w:rPr>
        <w:footnoteReference w:id="9"/>
      </w:r>
      <w:r w:rsidRPr="00B01834">
        <w:t xml:space="preserve"> </w:t>
      </w:r>
    </w:p>
    <w:p w:rsidR="00D6642B" w:rsidP="00B01834" w:rsidRDefault="00D6642B" w14:paraId="619EBAC5" w14:textId="42F66126">
      <w:pPr>
        <w:rPr>
          <w:rFonts w:cs="Arial" w:eastAsiaTheme="minorHAnsi"/>
          <w:szCs w:val="24"/>
        </w:rPr>
      </w:pPr>
      <w:r>
        <w:rPr>
          <w:rFonts w:cs="Arial" w:eastAsiaTheme="minorHAnsi"/>
          <w:szCs w:val="24"/>
        </w:rPr>
        <w:t xml:space="preserve">The Table below reflects the total ordered MTR procurement requirement and SCE’s initial and adjusted share of that procurement requirement. The adjusted requirement accounts for deregistered CCAs and the extension of LLT procurement timelines granted in </w:t>
      </w:r>
      <w:r w:rsidR="001741C4">
        <w:rPr>
          <w:rFonts w:cs="Arial" w:eastAsiaTheme="minorHAnsi"/>
          <w:szCs w:val="24"/>
        </w:rPr>
        <w:br/>
      </w:r>
      <w:r>
        <w:rPr>
          <w:rFonts w:cs="Arial" w:eastAsiaTheme="minorHAnsi"/>
          <w:szCs w:val="24"/>
        </w:rPr>
        <w:t>D.23-02-040.</w:t>
      </w:r>
    </w:p>
    <w:tbl>
      <w:tblPr>
        <w:tblW w:w="8760" w:type="dxa"/>
        <w:tblLook w:val="04A0" w:firstRow="1" w:lastRow="0" w:firstColumn="1" w:lastColumn="0" w:noHBand="0" w:noVBand="1"/>
      </w:tblPr>
      <w:tblGrid>
        <w:gridCol w:w="1161"/>
        <w:gridCol w:w="945"/>
        <w:gridCol w:w="945"/>
        <w:gridCol w:w="945"/>
        <w:gridCol w:w="945"/>
        <w:gridCol w:w="945"/>
        <w:gridCol w:w="1107"/>
        <w:gridCol w:w="1107"/>
        <w:gridCol w:w="1221"/>
      </w:tblGrid>
      <w:tr w:rsidRPr="00D6642B" w:rsidR="00D6642B" w:rsidTr="001741C4" w14:paraId="4C3E3167" w14:textId="77777777">
        <w:trPr>
          <w:trHeight w:val="300"/>
        </w:trPr>
        <w:tc>
          <w:tcPr>
            <w:tcW w:w="8760" w:type="dxa"/>
            <w:gridSpan w:val="9"/>
            <w:tcBorders>
              <w:top w:val="single" w:color="000000" w:sz="4" w:space="0"/>
              <w:left w:val="single" w:color="000000" w:sz="4" w:space="0"/>
              <w:bottom w:val="single" w:color="000000" w:sz="4" w:space="0"/>
              <w:right w:val="single" w:color="000000" w:sz="4" w:space="0"/>
            </w:tcBorders>
            <w:shd w:val="clear" w:color="auto" w:fill="auto"/>
            <w:hideMark/>
          </w:tcPr>
          <w:p w:rsidRPr="00DE0502" w:rsidR="00D6642B" w:rsidP="00D6642B" w:rsidRDefault="00D6642B" w14:paraId="799B0C92" w14:textId="77777777">
            <w:pPr>
              <w:spacing w:after="0"/>
              <w:jc w:val="center"/>
              <w:rPr>
                <w:rFonts w:cs="Arial"/>
                <w:color w:val="000000"/>
                <w:szCs w:val="24"/>
              </w:rPr>
            </w:pPr>
            <w:r w:rsidRPr="00DE0502">
              <w:rPr>
                <w:rFonts w:cs="Arial"/>
                <w:color w:val="000000"/>
                <w:szCs w:val="24"/>
              </w:rPr>
              <w:t>D.21-06-035 Ordered Procurement as Adjusted by D.23-02-040</w:t>
            </w:r>
          </w:p>
        </w:tc>
      </w:tr>
      <w:tr w:rsidRPr="00D6642B" w:rsidR="00D6642B" w:rsidTr="001741C4" w14:paraId="5F9D8FA9" w14:textId="77777777">
        <w:trPr>
          <w:trHeight w:val="912"/>
        </w:trPr>
        <w:tc>
          <w:tcPr>
            <w:tcW w:w="1066" w:type="dxa"/>
            <w:tcBorders>
              <w:top w:val="nil"/>
              <w:left w:val="single" w:color="000000" w:sz="4" w:space="0"/>
              <w:bottom w:val="single" w:color="000000" w:sz="4" w:space="0"/>
              <w:right w:val="single" w:color="000000" w:sz="4" w:space="0"/>
            </w:tcBorders>
            <w:shd w:val="clear" w:color="auto" w:fill="auto"/>
            <w:hideMark/>
          </w:tcPr>
          <w:p w:rsidRPr="001741C4" w:rsidR="00D6642B" w:rsidP="00D6642B" w:rsidRDefault="00D6642B" w14:paraId="08FA19B5" w14:textId="77777777">
            <w:pPr>
              <w:spacing w:after="0"/>
              <w:jc w:val="center"/>
              <w:rPr>
                <w:rFonts w:cs="Arial"/>
                <w:color w:val="000000"/>
                <w:sz w:val="20"/>
                <w:u w:val="single"/>
              </w:rPr>
            </w:pPr>
            <w:r w:rsidRPr="001741C4">
              <w:rPr>
                <w:rFonts w:cs="Arial"/>
                <w:color w:val="000000"/>
                <w:sz w:val="20"/>
                <w:u w:val="single"/>
              </w:rPr>
              <w:t>MW</w:t>
            </w:r>
            <w:r w:rsidRPr="001741C4">
              <w:rPr>
                <w:rFonts w:cs="Arial"/>
                <w:color w:val="000000"/>
                <w:sz w:val="20"/>
                <w:u w:val="single"/>
              </w:rPr>
              <w:br/>
              <w:t>September</w:t>
            </w:r>
            <w:r w:rsidRPr="001741C4">
              <w:rPr>
                <w:rFonts w:cs="Arial"/>
                <w:color w:val="000000"/>
                <w:sz w:val="20"/>
              </w:rPr>
              <w:t xml:space="preserve"> </w:t>
            </w:r>
            <w:r w:rsidRPr="001741C4">
              <w:rPr>
                <w:rFonts w:cs="Arial"/>
                <w:color w:val="000000"/>
                <w:sz w:val="20"/>
                <w:u w:val="single"/>
              </w:rPr>
              <w:t>NQC</w:t>
            </w:r>
          </w:p>
        </w:tc>
        <w:tc>
          <w:tcPr>
            <w:tcW w:w="872" w:type="dxa"/>
            <w:tcBorders>
              <w:top w:val="nil"/>
              <w:left w:val="nil"/>
              <w:bottom w:val="single" w:color="000000" w:sz="4" w:space="0"/>
              <w:right w:val="single" w:color="000000" w:sz="4" w:space="0"/>
            </w:tcBorders>
            <w:shd w:val="clear" w:color="auto" w:fill="auto"/>
            <w:noWrap/>
            <w:vAlign w:val="center"/>
            <w:hideMark/>
          </w:tcPr>
          <w:p w:rsidRPr="001741C4" w:rsidR="00D6642B" w:rsidP="00D6642B" w:rsidRDefault="00D6642B" w14:paraId="7DB8EDB2" w14:textId="77777777">
            <w:pPr>
              <w:spacing w:after="0"/>
              <w:jc w:val="center"/>
              <w:rPr>
                <w:rFonts w:cs="Arial"/>
                <w:color w:val="000000"/>
                <w:sz w:val="20"/>
              </w:rPr>
            </w:pPr>
            <w:r w:rsidRPr="001741C4">
              <w:rPr>
                <w:rFonts w:cs="Arial"/>
                <w:color w:val="000000"/>
                <w:sz w:val="20"/>
              </w:rPr>
              <w:t>8/1/2023</w:t>
            </w:r>
          </w:p>
        </w:tc>
        <w:tc>
          <w:tcPr>
            <w:tcW w:w="872" w:type="dxa"/>
            <w:tcBorders>
              <w:top w:val="nil"/>
              <w:left w:val="nil"/>
              <w:bottom w:val="single" w:color="000000" w:sz="4" w:space="0"/>
              <w:right w:val="single" w:color="000000" w:sz="4" w:space="0"/>
            </w:tcBorders>
            <w:shd w:val="clear" w:color="auto" w:fill="auto"/>
            <w:noWrap/>
            <w:vAlign w:val="center"/>
            <w:hideMark/>
          </w:tcPr>
          <w:p w:rsidRPr="001741C4" w:rsidR="00D6642B" w:rsidP="00D6642B" w:rsidRDefault="00D6642B" w14:paraId="3A83C7AA" w14:textId="77777777">
            <w:pPr>
              <w:spacing w:after="0"/>
              <w:jc w:val="center"/>
              <w:rPr>
                <w:rFonts w:cs="Arial"/>
                <w:color w:val="000000"/>
                <w:sz w:val="20"/>
              </w:rPr>
            </w:pPr>
            <w:r w:rsidRPr="001741C4">
              <w:rPr>
                <w:rFonts w:cs="Arial"/>
                <w:color w:val="000000"/>
                <w:sz w:val="20"/>
              </w:rPr>
              <w:t>6/1/2024</w:t>
            </w:r>
          </w:p>
        </w:tc>
        <w:tc>
          <w:tcPr>
            <w:tcW w:w="872" w:type="dxa"/>
            <w:tcBorders>
              <w:top w:val="nil"/>
              <w:left w:val="nil"/>
              <w:bottom w:val="single" w:color="000000" w:sz="4" w:space="0"/>
              <w:right w:val="single" w:color="000000" w:sz="4" w:space="0"/>
            </w:tcBorders>
            <w:shd w:val="clear" w:color="auto" w:fill="auto"/>
            <w:noWrap/>
            <w:vAlign w:val="center"/>
            <w:hideMark/>
          </w:tcPr>
          <w:p w:rsidRPr="001741C4" w:rsidR="00D6642B" w:rsidP="00D6642B" w:rsidRDefault="00D6642B" w14:paraId="6C8FA44A" w14:textId="77777777">
            <w:pPr>
              <w:spacing w:after="0"/>
              <w:jc w:val="center"/>
              <w:rPr>
                <w:rFonts w:cs="Arial"/>
                <w:color w:val="000000"/>
                <w:sz w:val="20"/>
              </w:rPr>
            </w:pPr>
            <w:r w:rsidRPr="001741C4">
              <w:rPr>
                <w:rFonts w:cs="Arial"/>
                <w:color w:val="000000"/>
                <w:sz w:val="20"/>
              </w:rPr>
              <w:t>6/1/2025</w:t>
            </w:r>
          </w:p>
        </w:tc>
        <w:tc>
          <w:tcPr>
            <w:tcW w:w="872" w:type="dxa"/>
            <w:tcBorders>
              <w:top w:val="nil"/>
              <w:left w:val="nil"/>
              <w:bottom w:val="single" w:color="000000" w:sz="4" w:space="0"/>
              <w:right w:val="single" w:color="000000" w:sz="4" w:space="0"/>
            </w:tcBorders>
            <w:shd w:val="clear" w:color="auto" w:fill="auto"/>
            <w:noWrap/>
            <w:vAlign w:val="center"/>
            <w:hideMark/>
          </w:tcPr>
          <w:p w:rsidRPr="001741C4" w:rsidR="00D6642B" w:rsidP="00D6642B" w:rsidRDefault="00D6642B" w14:paraId="5D9E9B6C" w14:textId="77777777">
            <w:pPr>
              <w:spacing w:after="0"/>
              <w:jc w:val="center"/>
              <w:rPr>
                <w:rFonts w:cs="Arial"/>
                <w:color w:val="000000"/>
                <w:sz w:val="20"/>
              </w:rPr>
            </w:pPr>
            <w:r w:rsidRPr="001741C4">
              <w:rPr>
                <w:rFonts w:cs="Arial"/>
                <w:color w:val="000000"/>
                <w:sz w:val="20"/>
              </w:rPr>
              <w:t>6/1/2026</w:t>
            </w:r>
          </w:p>
        </w:tc>
        <w:tc>
          <w:tcPr>
            <w:tcW w:w="872" w:type="dxa"/>
            <w:tcBorders>
              <w:top w:val="nil"/>
              <w:left w:val="nil"/>
              <w:bottom w:val="single" w:color="000000" w:sz="4" w:space="0"/>
              <w:right w:val="single" w:color="000000" w:sz="4" w:space="0"/>
            </w:tcBorders>
            <w:shd w:val="clear" w:color="auto" w:fill="auto"/>
            <w:noWrap/>
            <w:vAlign w:val="center"/>
            <w:hideMark/>
          </w:tcPr>
          <w:p w:rsidRPr="001741C4" w:rsidR="00D6642B" w:rsidP="00D6642B" w:rsidRDefault="00D6642B" w14:paraId="28BD77D8" w14:textId="77777777">
            <w:pPr>
              <w:spacing w:after="0"/>
              <w:jc w:val="center"/>
              <w:rPr>
                <w:rFonts w:cs="Arial"/>
                <w:color w:val="000000"/>
                <w:sz w:val="20"/>
              </w:rPr>
            </w:pPr>
            <w:r w:rsidRPr="001741C4">
              <w:rPr>
                <w:rFonts w:cs="Arial"/>
                <w:color w:val="000000"/>
                <w:sz w:val="20"/>
              </w:rPr>
              <w:t>6/1/2027</w:t>
            </w:r>
          </w:p>
        </w:tc>
        <w:tc>
          <w:tcPr>
            <w:tcW w:w="1107" w:type="dxa"/>
            <w:tcBorders>
              <w:top w:val="nil"/>
              <w:left w:val="nil"/>
              <w:bottom w:val="single" w:color="000000" w:sz="4" w:space="0"/>
              <w:right w:val="single" w:color="000000" w:sz="4" w:space="0"/>
            </w:tcBorders>
            <w:shd w:val="clear" w:color="auto" w:fill="auto"/>
            <w:hideMark/>
          </w:tcPr>
          <w:p w:rsidRPr="001741C4" w:rsidR="00CA3417" w:rsidP="00DE0502" w:rsidRDefault="00CA3417" w14:paraId="159BC1AC" w14:textId="77777777">
            <w:pPr>
              <w:spacing w:after="0"/>
              <w:jc w:val="center"/>
              <w:rPr>
                <w:rFonts w:cs="Arial"/>
                <w:color w:val="000000"/>
                <w:sz w:val="20"/>
                <w:u w:val="single"/>
              </w:rPr>
            </w:pPr>
          </w:p>
          <w:p w:rsidRPr="001741C4" w:rsidR="00D6642B" w:rsidP="00DE0502" w:rsidRDefault="00D6642B" w14:paraId="07AB6BBE" w14:textId="16960DCA">
            <w:pPr>
              <w:spacing w:after="0"/>
              <w:jc w:val="center"/>
              <w:rPr>
                <w:rFonts w:cs="Arial"/>
                <w:color w:val="000000"/>
                <w:sz w:val="20"/>
                <w:u w:val="single"/>
              </w:rPr>
            </w:pPr>
            <w:r w:rsidRPr="001741C4">
              <w:rPr>
                <w:rFonts w:cs="Arial"/>
                <w:color w:val="000000"/>
                <w:sz w:val="20"/>
                <w:u w:val="single"/>
              </w:rPr>
              <w:t>LLT</w:t>
            </w:r>
            <w:r w:rsidRPr="001741C4">
              <w:rPr>
                <w:rFonts w:cs="Arial"/>
                <w:color w:val="000000"/>
                <w:sz w:val="20"/>
              </w:rPr>
              <w:t xml:space="preserve"> </w:t>
            </w:r>
            <w:r w:rsidRPr="001741C4">
              <w:rPr>
                <w:rFonts w:cs="Arial"/>
                <w:color w:val="000000"/>
                <w:sz w:val="20"/>
                <w:u w:val="single"/>
              </w:rPr>
              <w:t>6/1/2028</w:t>
            </w:r>
          </w:p>
        </w:tc>
        <w:tc>
          <w:tcPr>
            <w:tcW w:w="1107" w:type="dxa"/>
            <w:tcBorders>
              <w:top w:val="nil"/>
              <w:left w:val="nil"/>
              <w:bottom w:val="single" w:color="000000" w:sz="4" w:space="0"/>
              <w:right w:val="single" w:color="000000" w:sz="4" w:space="0"/>
            </w:tcBorders>
            <w:shd w:val="clear" w:color="auto" w:fill="auto"/>
            <w:vAlign w:val="center"/>
            <w:hideMark/>
          </w:tcPr>
          <w:p w:rsidRPr="001741C4" w:rsidR="00D6642B" w:rsidP="00D6642B" w:rsidRDefault="00D6642B" w14:paraId="56511C6F" w14:textId="77777777">
            <w:pPr>
              <w:spacing w:after="0"/>
              <w:jc w:val="center"/>
              <w:rPr>
                <w:rFonts w:cs="Arial"/>
                <w:color w:val="000000"/>
                <w:sz w:val="20"/>
                <w:u w:val="single"/>
              </w:rPr>
            </w:pPr>
            <w:r w:rsidRPr="001741C4">
              <w:rPr>
                <w:rFonts w:cs="Arial"/>
                <w:color w:val="000000"/>
                <w:sz w:val="20"/>
                <w:u w:val="single"/>
              </w:rPr>
              <w:t>Tota</w:t>
            </w:r>
            <w:r w:rsidRPr="001741C4">
              <w:rPr>
                <w:rFonts w:cs="Arial"/>
                <w:color w:val="000000"/>
                <w:sz w:val="20"/>
              </w:rPr>
              <w:t>l</w:t>
            </w:r>
          </w:p>
        </w:tc>
        <w:tc>
          <w:tcPr>
            <w:tcW w:w="1120" w:type="dxa"/>
            <w:tcBorders>
              <w:top w:val="nil"/>
              <w:left w:val="nil"/>
              <w:bottom w:val="single" w:color="000000" w:sz="4" w:space="0"/>
              <w:right w:val="single" w:color="000000" w:sz="4" w:space="0"/>
            </w:tcBorders>
            <w:shd w:val="clear" w:color="auto" w:fill="auto"/>
            <w:hideMark/>
          </w:tcPr>
          <w:p w:rsidRPr="001741C4" w:rsidR="00D6642B" w:rsidP="00D6642B" w:rsidRDefault="00D6642B" w14:paraId="00BCA1F3" w14:textId="77777777">
            <w:pPr>
              <w:spacing w:after="0"/>
              <w:jc w:val="center"/>
              <w:rPr>
                <w:rFonts w:cs="Arial"/>
                <w:color w:val="000000"/>
                <w:sz w:val="20"/>
                <w:u w:val="single"/>
              </w:rPr>
            </w:pPr>
            <w:r w:rsidRPr="001741C4">
              <w:rPr>
                <w:rFonts w:cs="Arial"/>
                <w:color w:val="000000"/>
                <w:sz w:val="20"/>
                <w:u w:val="single"/>
              </w:rPr>
              <w:t>Min. zero-</w:t>
            </w:r>
            <w:r w:rsidRPr="001741C4">
              <w:rPr>
                <w:rFonts w:cs="Arial"/>
                <w:color w:val="000000"/>
                <w:sz w:val="20"/>
              </w:rPr>
              <w:t xml:space="preserve"> </w:t>
            </w:r>
            <w:r w:rsidRPr="001741C4">
              <w:rPr>
                <w:rFonts w:cs="Arial"/>
                <w:color w:val="000000"/>
                <w:sz w:val="20"/>
                <w:u w:val="single"/>
              </w:rPr>
              <w:t>emitting</w:t>
            </w:r>
            <w:r w:rsidRPr="001741C4">
              <w:rPr>
                <w:rFonts w:cs="Arial"/>
                <w:color w:val="000000"/>
                <w:sz w:val="20"/>
              </w:rPr>
              <w:t xml:space="preserve"> </w:t>
            </w:r>
            <w:r w:rsidRPr="001741C4">
              <w:rPr>
                <w:rFonts w:cs="Arial"/>
                <w:color w:val="000000"/>
                <w:sz w:val="20"/>
                <w:u w:val="single"/>
              </w:rPr>
              <w:t>capacity by</w:t>
            </w:r>
            <w:r w:rsidRPr="001741C4">
              <w:rPr>
                <w:rFonts w:cs="Arial"/>
                <w:color w:val="000000"/>
                <w:sz w:val="20"/>
                <w:u w:val="single"/>
              </w:rPr>
              <w:br/>
              <w:t>2025</w:t>
            </w:r>
          </w:p>
        </w:tc>
      </w:tr>
      <w:tr w:rsidRPr="00D6642B" w:rsidR="00D6642B" w:rsidTr="001741C4" w14:paraId="778DC077" w14:textId="77777777">
        <w:trPr>
          <w:trHeight w:val="288"/>
        </w:trPr>
        <w:tc>
          <w:tcPr>
            <w:tcW w:w="1066" w:type="dxa"/>
            <w:tcBorders>
              <w:top w:val="nil"/>
              <w:left w:val="single" w:color="000000" w:sz="4" w:space="0"/>
              <w:bottom w:val="single" w:color="000000" w:sz="4" w:space="0"/>
              <w:right w:val="single" w:color="000000" w:sz="4" w:space="0"/>
            </w:tcBorders>
            <w:shd w:val="clear" w:color="auto" w:fill="auto"/>
            <w:hideMark/>
          </w:tcPr>
          <w:p w:rsidRPr="001741C4" w:rsidR="00D6642B" w:rsidP="00D6642B" w:rsidRDefault="00D6642B" w14:paraId="3A9D42ED" w14:textId="77777777">
            <w:pPr>
              <w:spacing w:after="0"/>
              <w:jc w:val="center"/>
              <w:rPr>
                <w:rFonts w:cs="Arial"/>
                <w:color w:val="000000"/>
                <w:sz w:val="20"/>
              </w:rPr>
            </w:pPr>
            <w:r w:rsidRPr="001741C4">
              <w:rPr>
                <w:rFonts w:cs="Arial"/>
                <w:color w:val="000000"/>
                <w:sz w:val="20"/>
              </w:rPr>
              <w:t>All LSEs</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3E1D5F0E" w14:textId="77777777">
            <w:pPr>
              <w:spacing w:after="0"/>
              <w:jc w:val="center"/>
              <w:rPr>
                <w:rFonts w:cs="Arial"/>
                <w:color w:val="000000"/>
                <w:sz w:val="20"/>
              </w:rPr>
            </w:pPr>
            <w:r w:rsidRPr="001741C4">
              <w:rPr>
                <w:rFonts w:cs="Arial"/>
                <w:color w:val="000000"/>
                <w:sz w:val="20"/>
              </w:rPr>
              <w:t>2,000</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07D47794" w14:textId="77777777">
            <w:pPr>
              <w:spacing w:after="0"/>
              <w:jc w:val="center"/>
              <w:rPr>
                <w:rFonts w:cs="Arial"/>
                <w:color w:val="000000"/>
                <w:sz w:val="20"/>
              </w:rPr>
            </w:pPr>
            <w:r w:rsidRPr="001741C4">
              <w:rPr>
                <w:rFonts w:cs="Arial"/>
                <w:color w:val="000000"/>
                <w:sz w:val="20"/>
              </w:rPr>
              <w:t>6,000</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7CFC13EC" w14:textId="77777777">
            <w:pPr>
              <w:spacing w:after="0"/>
              <w:jc w:val="center"/>
              <w:rPr>
                <w:rFonts w:cs="Arial"/>
                <w:color w:val="000000"/>
                <w:sz w:val="20"/>
              </w:rPr>
            </w:pPr>
            <w:r w:rsidRPr="001741C4">
              <w:rPr>
                <w:rFonts w:cs="Arial"/>
                <w:color w:val="000000"/>
                <w:sz w:val="20"/>
              </w:rPr>
              <w:t>1,500</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6D95368C" w14:textId="77777777">
            <w:pPr>
              <w:spacing w:after="0"/>
              <w:jc w:val="center"/>
              <w:rPr>
                <w:rFonts w:cs="Arial"/>
                <w:color w:val="000000"/>
                <w:sz w:val="20"/>
              </w:rPr>
            </w:pPr>
            <w:r w:rsidRPr="001741C4">
              <w:rPr>
                <w:rFonts w:cs="Arial"/>
                <w:color w:val="000000"/>
                <w:sz w:val="20"/>
              </w:rPr>
              <w:t>2,000</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105A95C5" w14:textId="77777777">
            <w:pPr>
              <w:spacing w:after="0"/>
              <w:jc w:val="center"/>
              <w:rPr>
                <w:rFonts w:cs="Arial"/>
                <w:color w:val="000000"/>
                <w:sz w:val="20"/>
              </w:rPr>
            </w:pPr>
            <w:r w:rsidRPr="001741C4">
              <w:rPr>
                <w:rFonts w:cs="Arial"/>
                <w:color w:val="000000"/>
                <w:sz w:val="20"/>
              </w:rPr>
              <w:t>2,000</w:t>
            </w:r>
          </w:p>
        </w:tc>
        <w:tc>
          <w:tcPr>
            <w:tcW w:w="1107"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7E30523F" w14:textId="77777777">
            <w:pPr>
              <w:spacing w:after="0"/>
              <w:jc w:val="center"/>
              <w:rPr>
                <w:rFonts w:cs="Arial"/>
                <w:color w:val="000000"/>
                <w:sz w:val="20"/>
              </w:rPr>
            </w:pPr>
            <w:r w:rsidRPr="001741C4">
              <w:rPr>
                <w:rFonts w:cs="Arial"/>
                <w:color w:val="000000"/>
                <w:sz w:val="20"/>
              </w:rPr>
              <w:t>2,000</w:t>
            </w:r>
          </w:p>
        </w:tc>
        <w:tc>
          <w:tcPr>
            <w:tcW w:w="1107"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1ED0371F" w14:textId="77777777">
            <w:pPr>
              <w:spacing w:after="0"/>
              <w:jc w:val="center"/>
              <w:rPr>
                <w:rFonts w:cs="Arial"/>
                <w:color w:val="000000"/>
                <w:sz w:val="20"/>
              </w:rPr>
            </w:pPr>
            <w:r w:rsidRPr="001741C4">
              <w:rPr>
                <w:rFonts w:cs="Arial"/>
                <w:color w:val="000000"/>
                <w:sz w:val="20"/>
              </w:rPr>
              <w:t>15,500</w:t>
            </w:r>
          </w:p>
        </w:tc>
        <w:tc>
          <w:tcPr>
            <w:tcW w:w="1120"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34DF5A08" w14:textId="77777777">
            <w:pPr>
              <w:spacing w:after="0"/>
              <w:jc w:val="center"/>
              <w:rPr>
                <w:rFonts w:cs="Arial"/>
                <w:color w:val="000000"/>
                <w:sz w:val="20"/>
              </w:rPr>
            </w:pPr>
            <w:r w:rsidRPr="001741C4">
              <w:rPr>
                <w:rFonts w:cs="Arial"/>
                <w:color w:val="000000"/>
                <w:sz w:val="20"/>
              </w:rPr>
              <w:t>2,500</w:t>
            </w:r>
          </w:p>
        </w:tc>
      </w:tr>
      <w:tr w:rsidRPr="00D6642B" w:rsidR="00D6642B" w:rsidTr="001741C4" w14:paraId="5A37B91D" w14:textId="77777777">
        <w:trPr>
          <w:trHeight w:val="456"/>
        </w:trPr>
        <w:tc>
          <w:tcPr>
            <w:tcW w:w="1066" w:type="dxa"/>
            <w:tcBorders>
              <w:top w:val="nil"/>
              <w:left w:val="single" w:color="000000" w:sz="4" w:space="0"/>
              <w:bottom w:val="single" w:color="000000" w:sz="4" w:space="0"/>
              <w:right w:val="single" w:color="000000" w:sz="4" w:space="0"/>
            </w:tcBorders>
            <w:shd w:val="clear" w:color="auto" w:fill="auto"/>
            <w:hideMark/>
          </w:tcPr>
          <w:p w:rsidRPr="001741C4" w:rsidR="00D6642B" w:rsidP="00D6642B" w:rsidRDefault="00D6642B" w14:paraId="141D9416" w14:textId="77777777">
            <w:pPr>
              <w:spacing w:after="0"/>
              <w:jc w:val="center"/>
              <w:rPr>
                <w:rFonts w:cs="Arial"/>
                <w:color w:val="000000"/>
                <w:sz w:val="20"/>
              </w:rPr>
            </w:pPr>
            <w:r w:rsidRPr="001741C4">
              <w:rPr>
                <w:rFonts w:cs="Arial"/>
                <w:color w:val="000000"/>
                <w:sz w:val="20"/>
              </w:rPr>
              <w:t>SCE’s Share</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4DC6D766" w14:textId="77777777">
            <w:pPr>
              <w:spacing w:after="0"/>
              <w:jc w:val="center"/>
              <w:rPr>
                <w:rFonts w:cs="Arial"/>
                <w:color w:val="000000"/>
                <w:sz w:val="20"/>
              </w:rPr>
            </w:pPr>
            <w:r w:rsidRPr="001741C4">
              <w:rPr>
                <w:rFonts w:cs="Arial"/>
                <w:color w:val="000000"/>
                <w:sz w:val="20"/>
              </w:rPr>
              <w:t>687</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604241DD" w14:textId="77777777">
            <w:pPr>
              <w:spacing w:after="0"/>
              <w:jc w:val="center"/>
              <w:rPr>
                <w:rFonts w:cs="Arial"/>
                <w:color w:val="000000"/>
                <w:sz w:val="20"/>
              </w:rPr>
            </w:pPr>
            <w:r w:rsidRPr="001741C4">
              <w:rPr>
                <w:rFonts w:cs="Arial"/>
                <w:color w:val="000000"/>
                <w:sz w:val="20"/>
              </w:rPr>
              <w:t>2,060</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68E5A502" w14:textId="77777777">
            <w:pPr>
              <w:spacing w:after="0"/>
              <w:jc w:val="center"/>
              <w:rPr>
                <w:rFonts w:cs="Arial"/>
                <w:color w:val="000000"/>
                <w:sz w:val="20"/>
              </w:rPr>
            </w:pPr>
            <w:r w:rsidRPr="001741C4">
              <w:rPr>
                <w:rFonts w:cs="Arial"/>
                <w:color w:val="000000"/>
                <w:sz w:val="20"/>
              </w:rPr>
              <w:t>515</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4CF822E1" w14:textId="77777777">
            <w:pPr>
              <w:spacing w:after="0"/>
              <w:jc w:val="center"/>
              <w:rPr>
                <w:rFonts w:cs="Arial"/>
                <w:color w:val="000000"/>
                <w:sz w:val="20"/>
              </w:rPr>
            </w:pPr>
            <w:r w:rsidRPr="001741C4">
              <w:rPr>
                <w:rFonts w:cs="Arial"/>
                <w:color w:val="000000"/>
                <w:sz w:val="20"/>
              </w:rPr>
              <w:t>684</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665EF3D1" w14:textId="77777777">
            <w:pPr>
              <w:spacing w:after="0"/>
              <w:jc w:val="center"/>
              <w:rPr>
                <w:rFonts w:cs="Arial"/>
                <w:color w:val="000000"/>
                <w:sz w:val="20"/>
              </w:rPr>
            </w:pPr>
            <w:r w:rsidRPr="001741C4">
              <w:rPr>
                <w:rFonts w:cs="Arial"/>
                <w:color w:val="000000"/>
                <w:sz w:val="20"/>
              </w:rPr>
              <w:t>684</w:t>
            </w:r>
          </w:p>
        </w:tc>
        <w:tc>
          <w:tcPr>
            <w:tcW w:w="1107"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63BC9036" w14:textId="77777777">
            <w:pPr>
              <w:spacing w:after="0"/>
              <w:jc w:val="center"/>
              <w:rPr>
                <w:rFonts w:cs="Arial"/>
                <w:color w:val="000000"/>
                <w:sz w:val="20"/>
              </w:rPr>
            </w:pPr>
            <w:r w:rsidRPr="001741C4">
              <w:rPr>
                <w:rFonts w:cs="Arial"/>
                <w:color w:val="000000"/>
                <w:sz w:val="20"/>
              </w:rPr>
              <w:t>687</w:t>
            </w:r>
          </w:p>
        </w:tc>
        <w:tc>
          <w:tcPr>
            <w:tcW w:w="1107"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53F5480D" w14:textId="77777777">
            <w:pPr>
              <w:spacing w:after="0"/>
              <w:jc w:val="center"/>
              <w:rPr>
                <w:rFonts w:cs="Arial"/>
                <w:color w:val="000000"/>
                <w:sz w:val="20"/>
              </w:rPr>
            </w:pPr>
            <w:r w:rsidRPr="001741C4">
              <w:rPr>
                <w:rFonts w:cs="Arial"/>
                <w:color w:val="000000"/>
                <w:sz w:val="20"/>
              </w:rPr>
              <w:t>5,317</w:t>
            </w:r>
          </w:p>
        </w:tc>
        <w:tc>
          <w:tcPr>
            <w:tcW w:w="1120"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03D9EBCD" w14:textId="77777777">
            <w:pPr>
              <w:spacing w:after="0"/>
              <w:jc w:val="center"/>
              <w:rPr>
                <w:rFonts w:cs="Arial"/>
                <w:color w:val="000000"/>
                <w:sz w:val="20"/>
              </w:rPr>
            </w:pPr>
            <w:r w:rsidRPr="001741C4">
              <w:rPr>
                <w:rFonts w:cs="Arial"/>
                <w:color w:val="000000"/>
                <w:sz w:val="20"/>
              </w:rPr>
              <w:t>858</w:t>
            </w:r>
          </w:p>
        </w:tc>
      </w:tr>
      <w:tr w:rsidRPr="00D6642B" w:rsidR="00D6642B" w:rsidTr="001741C4" w14:paraId="4A1CB87D" w14:textId="77777777">
        <w:trPr>
          <w:trHeight w:val="684"/>
        </w:trPr>
        <w:tc>
          <w:tcPr>
            <w:tcW w:w="1066" w:type="dxa"/>
            <w:tcBorders>
              <w:top w:val="nil"/>
              <w:left w:val="single" w:color="000000" w:sz="4" w:space="0"/>
              <w:bottom w:val="single" w:color="000000" w:sz="4" w:space="0"/>
              <w:right w:val="single" w:color="000000" w:sz="4" w:space="0"/>
            </w:tcBorders>
            <w:shd w:val="clear" w:color="auto" w:fill="auto"/>
            <w:hideMark/>
          </w:tcPr>
          <w:p w:rsidRPr="001741C4" w:rsidR="00D6642B" w:rsidP="00D6642B" w:rsidRDefault="00D6642B" w14:paraId="26C57CBB" w14:textId="77777777">
            <w:pPr>
              <w:spacing w:after="0"/>
              <w:jc w:val="center"/>
              <w:rPr>
                <w:rFonts w:cs="Arial"/>
                <w:color w:val="000000"/>
                <w:sz w:val="20"/>
              </w:rPr>
            </w:pPr>
            <w:r w:rsidRPr="001741C4">
              <w:rPr>
                <w:rFonts w:cs="Arial"/>
                <w:color w:val="000000"/>
                <w:sz w:val="20"/>
              </w:rPr>
              <w:t>SCE’s</w:t>
            </w:r>
            <w:r w:rsidRPr="001741C4">
              <w:rPr>
                <w:rFonts w:cs="Arial"/>
                <w:color w:val="000000"/>
                <w:sz w:val="20"/>
              </w:rPr>
              <w:br/>
              <w:t>Adjusted Share</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014EDAB1" w14:textId="77777777">
            <w:pPr>
              <w:spacing w:after="0"/>
              <w:jc w:val="center"/>
              <w:rPr>
                <w:rFonts w:cs="Arial"/>
                <w:color w:val="000000"/>
                <w:sz w:val="20"/>
              </w:rPr>
            </w:pPr>
            <w:r w:rsidRPr="001741C4">
              <w:rPr>
                <w:rFonts w:cs="Arial"/>
                <w:color w:val="000000"/>
                <w:sz w:val="20"/>
              </w:rPr>
              <w:t>705</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49287A16" w14:textId="77777777">
            <w:pPr>
              <w:spacing w:after="0"/>
              <w:jc w:val="center"/>
              <w:rPr>
                <w:rFonts w:cs="Arial"/>
                <w:color w:val="000000"/>
                <w:sz w:val="20"/>
              </w:rPr>
            </w:pPr>
            <w:r w:rsidRPr="001741C4">
              <w:rPr>
                <w:rFonts w:cs="Arial"/>
                <w:color w:val="000000"/>
                <w:sz w:val="20"/>
              </w:rPr>
              <w:t>2,114</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30E08A44" w14:textId="77777777">
            <w:pPr>
              <w:spacing w:after="0"/>
              <w:jc w:val="center"/>
              <w:rPr>
                <w:rFonts w:cs="Arial"/>
                <w:color w:val="000000"/>
                <w:sz w:val="20"/>
              </w:rPr>
            </w:pPr>
            <w:r w:rsidRPr="001741C4">
              <w:rPr>
                <w:rFonts w:cs="Arial"/>
                <w:color w:val="000000"/>
                <w:sz w:val="20"/>
              </w:rPr>
              <w:t>529</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312523B4" w14:textId="77777777">
            <w:pPr>
              <w:spacing w:after="0"/>
              <w:jc w:val="center"/>
              <w:rPr>
                <w:rFonts w:cs="Arial"/>
                <w:color w:val="000000"/>
                <w:sz w:val="20"/>
              </w:rPr>
            </w:pPr>
            <w:r w:rsidRPr="001741C4">
              <w:rPr>
                <w:rFonts w:cs="Arial"/>
                <w:color w:val="000000"/>
                <w:sz w:val="20"/>
              </w:rPr>
              <w:t>684</w:t>
            </w:r>
          </w:p>
        </w:tc>
        <w:tc>
          <w:tcPr>
            <w:tcW w:w="872"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78D7716D" w14:textId="77777777">
            <w:pPr>
              <w:spacing w:after="0"/>
              <w:jc w:val="center"/>
              <w:rPr>
                <w:rFonts w:cs="Arial"/>
                <w:color w:val="000000"/>
                <w:sz w:val="20"/>
              </w:rPr>
            </w:pPr>
            <w:r w:rsidRPr="001741C4">
              <w:rPr>
                <w:rFonts w:cs="Arial"/>
                <w:color w:val="000000"/>
                <w:sz w:val="20"/>
              </w:rPr>
              <w:t>684</w:t>
            </w:r>
          </w:p>
        </w:tc>
        <w:tc>
          <w:tcPr>
            <w:tcW w:w="1107"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7C2755E9" w14:textId="77777777">
            <w:pPr>
              <w:spacing w:after="0"/>
              <w:jc w:val="center"/>
              <w:rPr>
                <w:rFonts w:cs="Arial"/>
                <w:color w:val="000000"/>
                <w:sz w:val="20"/>
              </w:rPr>
            </w:pPr>
            <w:r w:rsidRPr="001741C4">
              <w:rPr>
                <w:rFonts w:cs="Arial"/>
                <w:color w:val="000000"/>
                <w:sz w:val="20"/>
              </w:rPr>
              <w:t>705</w:t>
            </w:r>
          </w:p>
        </w:tc>
        <w:tc>
          <w:tcPr>
            <w:tcW w:w="1107"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0C17BA78" w14:textId="77777777">
            <w:pPr>
              <w:spacing w:after="0"/>
              <w:jc w:val="center"/>
              <w:rPr>
                <w:rFonts w:cs="Arial"/>
                <w:color w:val="000000"/>
                <w:sz w:val="20"/>
              </w:rPr>
            </w:pPr>
            <w:r w:rsidRPr="001741C4">
              <w:rPr>
                <w:rFonts w:cs="Arial"/>
                <w:color w:val="000000"/>
                <w:sz w:val="20"/>
              </w:rPr>
              <w:t>5,421</w:t>
            </w:r>
          </w:p>
        </w:tc>
        <w:tc>
          <w:tcPr>
            <w:tcW w:w="1120" w:type="dxa"/>
            <w:tcBorders>
              <w:top w:val="nil"/>
              <w:left w:val="nil"/>
              <w:bottom w:val="single" w:color="000000" w:sz="4" w:space="0"/>
              <w:right w:val="single" w:color="000000" w:sz="4" w:space="0"/>
            </w:tcBorders>
            <w:shd w:val="clear" w:color="auto" w:fill="auto"/>
            <w:noWrap/>
            <w:hideMark/>
          </w:tcPr>
          <w:p w:rsidRPr="001741C4" w:rsidR="00D6642B" w:rsidP="00D6642B" w:rsidRDefault="00D6642B" w14:paraId="05593396" w14:textId="77777777">
            <w:pPr>
              <w:spacing w:after="0"/>
              <w:jc w:val="center"/>
              <w:rPr>
                <w:rFonts w:cs="Arial"/>
                <w:color w:val="000000"/>
                <w:sz w:val="20"/>
              </w:rPr>
            </w:pPr>
            <w:r w:rsidRPr="001741C4">
              <w:rPr>
                <w:rFonts w:cs="Arial"/>
                <w:color w:val="000000"/>
                <w:sz w:val="20"/>
              </w:rPr>
              <w:t>880</w:t>
            </w:r>
          </w:p>
        </w:tc>
      </w:tr>
    </w:tbl>
    <w:p w:rsidR="003E0C29" w:rsidP="00B01834" w:rsidRDefault="003E0C29" w14:paraId="755BADAB" w14:textId="0154729E">
      <w:pPr>
        <w:pStyle w:val="Default"/>
      </w:pPr>
    </w:p>
    <w:p w:rsidRPr="00B01834" w:rsidR="003E0C29" w:rsidP="008477B0" w:rsidRDefault="00EB7C9E" w14:paraId="592269E3" w14:textId="348B3A1C">
      <w:pPr>
        <w:pStyle w:val="Heading2"/>
        <w:contextualSpacing w:val="0"/>
      </w:pPr>
      <w:r w:rsidRPr="00B01834">
        <w:t xml:space="preserve">Overview of SCE’s Midterm Reliability Procurement Process </w:t>
      </w:r>
    </w:p>
    <w:p w:rsidRPr="00B01834" w:rsidR="003E0C29" w:rsidP="005D5F51" w:rsidRDefault="00EB7C9E" w14:paraId="2CBEC070" w14:textId="255F630A">
      <w:pPr>
        <w:spacing w:before="120"/>
      </w:pPr>
      <w:r w:rsidRPr="00B01834">
        <w:t xml:space="preserve">SCE launched its MTR Request for Offers (RFO) on July 30, </w:t>
      </w:r>
      <w:r w:rsidRPr="00B01834" w:rsidR="009F1ED3">
        <w:t>2021,</w:t>
      </w:r>
      <w:r w:rsidRPr="00B01834">
        <w:t xml:space="preserve"> for incremental resources that can come online in the 2023 through 2024 timeframe</w:t>
      </w:r>
      <w:r w:rsidR="00BA2A16">
        <w:t xml:space="preserve">.  </w:t>
      </w:r>
      <w:r w:rsidRPr="00B01834">
        <w:t>SCE’s MTR RFO sought incremental zero-emitting resources or resources that otherwise meet Renewable Portfolio Standard (RPS) eligibility requirements that provide RA benefits</w:t>
      </w:r>
      <w:r w:rsidR="00BA2A16">
        <w:t xml:space="preserve">.  </w:t>
      </w:r>
    </w:p>
    <w:p w:rsidRPr="00B01834" w:rsidR="003E0C29" w:rsidP="00B01834" w:rsidRDefault="00EB7C9E" w14:paraId="01E60AFF" w14:textId="32A89B36">
      <w:r w:rsidRPr="00B01834">
        <w:t>On October 20, 2022, SCE launched Phase 2 of its MTR RFO for third-party incremental resource offers to come online in the years 2025 through 2026 timeframe</w:t>
      </w:r>
      <w:r w:rsidR="00BA2A16">
        <w:t xml:space="preserve">.  </w:t>
      </w:r>
      <w:r w:rsidRPr="00B01834">
        <w:t>The RFO sought incremental zero-emitting resources and/or resources that otherwise meet RPS eligibility requirements that also provide RA benefits</w:t>
      </w:r>
      <w:r w:rsidR="00BA2A16">
        <w:t xml:space="preserve">.  </w:t>
      </w:r>
      <w:r w:rsidRPr="00B01834">
        <w:t xml:space="preserve">SCE also provided specific guidance for </w:t>
      </w:r>
      <w:r w:rsidRPr="00B01834">
        <w:lastRenderedPageBreak/>
        <w:t>procurement of resources eligible to meet its Diablo Canyon Replacement</w:t>
      </w:r>
      <w:r w:rsidR="00B82E9B">
        <w:t xml:space="preserve"> Requirement</w:t>
      </w:r>
      <w:r w:rsidRPr="00B01834">
        <w:t>, including RA only and RA with Financial Settlement contracts for energy storage projects and RPS contracts, including RPS contracts for firm zero-emitting resources.</w:t>
      </w:r>
      <w:r w:rsidRPr="00B01834">
        <w:rPr>
          <w:rStyle w:val="FootnoteReference"/>
        </w:rPr>
        <w:footnoteReference w:id="10"/>
      </w:r>
      <w:r w:rsidRPr="00B01834">
        <w:t xml:space="preserve"> </w:t>
      </w:r>
    </w:p>
    <w:p w:rsidRPr="00B01834" w:rsidR="003E0C29" w:rsidP="00B01834" w:rsidRDefault="00EB7C9E" w14:paraId="534671FA" w14:textId="2FEE86DC">
      <w:r w:rsidRPr="00B01834">
        <w:t xml:space="preserve">The following </w:t>
      </w:r>
      <w:r w:rsidR="00E24293">
        <w:rPr>
          <w:szCs w:val="24"/>
        </w:rPr>
        <w:t>T</w:t>
      </w:r>
      <w:r w:rsidRPr="00F438EB" w:rsidR="21D580F5">
        <w:rPr>
          <w:szCs w:val="24"/>
        </w:rPr>
        <w:t>able</w:t>
      </w:r>
      <w:r w:rsidR="00E24293">
        <w:rPr>
          <w:szCs w:val="24"/>
        </w:rPr>
        <w:t xml:space="preserve"> </w:t>
      </w:r>
      <w:r w:rsidR="00F64A84">
        <w:rPr>
          <w:szCs w:val="24"/>
        </w:rPr>
        <w:t>1</w:t>
      </w:r>
      <w:r w:rsidRPr="00B01834">
        <w:t xml:space="preserve"> documents SCE’s Phase 2 MTR RFO schedule.</w:t>
      </w:r>
      <w:r w:rsidRPr="00F438EB" w:rsidR="00DD0CCC">
        <w:rPr>
          <w:rStyle w:val="FootnoteReference"/>
          <w:szCs w:val="24"/>
        </w:rPr>
        <w:footnoteReference w:id="11"/>
      </w:r>
    </w:p>
    <w:p w:rsidRPr="00B01834" w:rsidR="003E0C29" w:rsidP="00AC287A" w:rsidRDefault="00EB7C9E" w14:paraId="291F9603" w14:textId="3E103EAE">
      <w:pPr>
        <w:spacing w:after="0"/>
        <w:rPr>
          <w:i/>
        </w:rPr>
      </w:pPr>
      <w:r w:rsidRPr="00B01834">
        <w:rPr>
          <w:i/>
        </w:rPr>
        <w:t xml:space="preserve">Table </w:t>
      </w:r>
      <w:r w:rsidR="00F64A84">
        <w:rPr>
          <w:i/>
        </w:rPr>
        <w:t>1</w:t>
      </w:r>
      <w:r w:rsidRPr="00B01834">
        <w:rPr>
          <w:i/>
        </w:rPr>
        <w:t>.</w:t>
      </w:r>
    </w:p>
    <w:tbl>
      <w:tblPr>
        <w:tblW w:w="0" w:type="auto"/>
        <w:tblLayout w:type="fixed"/>
        <w:tblCellMar>
          <w:left w:w="0" w:type="dxa"/>
          <w:right w:w="0" w:type="dxa"/>
        </w:tblCellMar>
        <w:tblLook w:val="0000" w:firstRow="0" w:lastRow="0" w:firstColumn="0" w:lastColumn="0" w:noHBand="0" w:noVBand="0"/>
      </w:tblPr>
      <w:tblGrid>
        <w:gridCol w:w="2335"/>
        <w:gridCol w:w="6210"/>
      </w:tblGrid>
      <w:tr w:rsidR="003E0C29" w:rsidTr="7B1865F5" w14:paraId="67086322" w14:textId="77777777">
        <w:trPr>
          <w:trHeight w:val="70"/>
          <w:tblHeader/>
        </w:trPr>
        <w:tc>
          <w:tcPr>
            <w:tcW w:w="2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3CAEB" w:themeFill="accent1" w:themeFillTint="66"/>
          </w:tcPr>
          <w:p w:rsidRPr="00B01834" w:rsidR="003E0C29" w:rsidP="00B01834" w:rsidRDefault="00EB7C9E" w14:paraId="6DE35D9D" w14:textId="67B71B39">
            <w:pPr>
              <w:tabs>
                <w:tab w:val="left" w:pos="-180"/>
              </w:tabs>
              <w:kinsoku w:val="0"/>
              <w:overflowPunct w:val="0"/>
              <w:autoSpaceDE w:val="0"/>
              <w:autoSpaceDN w:val="0"/>
              <w:adjustRightInd w:val="0"/>
              <w:ind w:left="-180" w:right="1530"/>
              <w:jc w:val="center"/>
              <w:rPr>
                <w:b/>
                <w:spacing w:val="-4"/>
              </w:rPr>
            </w:pPr>
            <w:r w:rsidRPr="00B01834">
              <w:rPr>
                <w:b/>
                <w:spacing w:val="-4"/>
              </w:rPr>
              <w:t>Date</w:t>
            </w:r>
          </w:p>
        </w:tc>
        <w:tc>
          <w:tcPr>
            <w:tcW w:w="62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3CAEB" w:themeFill="accent1" w:themeFillTint="66"/>
          </w:tcPr>
          <w:p w:rsidRPr="00B01834" w:rsidR="003E0C29" w:rsidP="00B01834" w:rsidRDefault="00EB7C9E" w14:paraId="468B3F4E" w14:textId="769C58EF">
            <w:pPr>
              <w:kinsoku w:val="0"/>
              <w:overflowPunct w:val="0"/>
              <w:autoSpaceDE w:val="0"/>
              <w:autoSpaceDN w:val="0"/>
              <w:adjustRightInd w:val="0"/>
              <w:ind w:left="120" w:right="2338"/>
              <w:rPr>
                <w:b/>
              </w:rPr>
            </w:pPr>
            <w:r w:rsidRPr="00B01834">
              <w:rPr>
                <w:b/>
              </w:rPr>
              <w:t>Phase 2 RFO Event</w:t>
            </w:r>
          </w:p>
        </w:tc>
      </w:tr>
      <w:tr w:rsidR="003E0C29" w:rsidTr="7B1865F5" w14:paraId="4CC78A4F" w14:textId="77777777">
        <w:trPr>
          <w:trHeight w:val="70"/>
        </w:trPr>
        <w:tc>
          <w:tcPr>
            <w:tcW w:w="2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01834" w:rsidR="003E0C29" w:rsidP="00B01834" w:rsidRDefault="00EB7C9E" w14:paraId="47CFFA59" w14:textId="670CB2FF">
            <w:pPr>
              <w:kinsoku w:val="0"/>
              <w:overflowPunct w:val="0"/>
              <w:autoSpaceDE w:val="0"/>
              <w:autoSpaceDN w:val="0"/>
              <w:adjustRightInd w:val="0"/>
              <w:ind w:left="107"/>
            </w:pPr>
            <w:r w:rsidRPr="00B01834">
              <w:t>October 20, 2022</w:t>
            </w:r>
          </w:p>
        </w:tc>
        <w:tc>
          <w:tcPr>
            <w:tcW w:w="62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01834" w:rsidR="003E0C29" w:rsidP="00B01834" w:rsidRDefault="00EB7C9E" w14:paraId="10C410DC" w14:textId="6D3BC94F">
            <w:pPr>
              <w:kinsoku w:val="0"/>
              <w:overflowPunct w:val="0"/>
              <w:autoSpaceDE w:val="0"/>
              <w:autoSpaceDN w:val="0"/>
              <w:adjustRightInd w:val="0"/>
              <w:ind w:left="107"/>
            </w:pPr>
            <w:r w:rsidRPr="00B01834">
              <w:t>RFO Launch</w:t>
            </w:r>
          </w:p>
        </w:tc>
      </w:tr>
      <w:tr w:rsidR="003E0C29" w:rsidTr="7B1865F5" w14:paraId="50B053F1" w14:textId="77777777">
        <w:trPr>
          <w:trHeight w:val="287"/>
        </w:trPr>
        <w:tc>
          <w:tcPr>
            <w:tcW w:w="2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01834" w:rsidR="003E0C29" w:rsidP="00B01834" w:rsidRDefault="00EB7C9E" w14:paraId="689D8166" w14:textId="7FE1EF03">
            <w:pPr>
              <w:kinsoku w:val="0"/>
              <w:overflowPunct w:val="0"/>
              <w:autoSpaceDE w:val="0"/>
              <w:autoSpaceDN w:val="0"/>
              <w:adjustRightInd w:val="0"/>
              <w:ind w:left="107"/>
            </w:pPr>
            <w:r w:rsidRPr="00B01834">
              <w:t xml:space="preserve">November </w:t>
            </w:r>
            <w:r w:rsidR="00B419B5">
              <w:rPr>
                <w:rFonts w:cs="Arial"/>
                <w:szCs w:val="24"/>
              </w:rPr>
              <w:t>1</w:t>
            </w:r>
            <w:r w:rsidRPr="00F438EB" w:rsidR="00B419B5">
              <w:rPr>
                <w:rFonts w:cs="Arial"/>
                <w:szCs w:val="24"/>
              </w:rPr>
              <w:t>8</w:t>
            </w:r>
            <w:r w:rsidRPr="00B01834">
              <w:t>, 2022</w:t>
            </w:r>
          </w:p>
        </w:tc>
        <w:tc>
          <w:tcPr>
            <w:tcW w:w="62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01834" w:rsidR="003E0C29" w:rsidP="00B01834" w:rsidRDefault="00EB7C9E" w14:paraId="7D7A1CD0" w14:textId="199B3822">
            <w:pPr>
              <w:kinsoku w:val="0"/>
              <w:overflowPunct w:val="0"/>
              <w:autoSpaceDE w:val="0"/>
              <w:autoSpaceDN w:val="0"/>
              <w:adjustRightInd w:val="0"/>
              <w:ind w:left="107"/>
            </w:pPr>
            <w:r w:rsidRPr="00B01834">
              <w:t>Offer Submittal Due</w:t>
            </w:r>
          </w:p>
        </w:tc>
      </w:tr>
      <w:tr w:rsidR="003E0C29" w:rsidTr="7B1865F5" w14:paraId="0C881817" w14:textId="77777777">
        <w:trPr>
          <w:trHeight w:val="287"/>
        </w:trPr>
        <w:tc>
          <w:tcPr>
            <w:tcW w:w="2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17913279" w14:textId="72C53582">
            <w:pPr>
              <w:kinsoku w:val="0"/>
              <w:overflowPunct w:val="0"/>
              <w:autoSpaceDE w:val="0"/>
              <w:autoSpaceDN w:val="0"/>
              <w:adjustRightInd w:val="0"/>
              <w:ind w:left="107"/>
            </w:pPr>
            <w:r w:rsidRPr="00B01834">
              <w:t>December 16, 2022</w:t>
            </w:r>
          </w:p>
        </w:tc>
        <w:tc>
          <w:tcPr>
            <w:tcW w:w="62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384A1157" w14:textId="12A2AF2B">
            <w:pPr>
              <w:kinsoku w:val="0"/>
              <w:overflowPunct w:val="0"/>
              <w:autoSpaceDE w:val="0"/>
              <w:autoSpaceDN w:val="0"/>
              <w:adjustRightInd w:val="0"/>
              <w:ind w:left="107"/>
            </w:pPr>
            <w:r w:rsidRPr="00B01834">
              <w:t>Offeror Redline Comments on MTR Pro-Forma Due</w:t>
            </w:r>
          </w:p>
        </w:tc>
      </w:tr>
      <w:tr w:rsidR="003E0C29" w:rsidTr="7B1865F5" w14:paraId="180C9283" w14:textId="77777777">
        <w:trPr>
          <w:trHeight w:val="70"/>
        </w:trPr>
        <w:tc>
          <w:tcPr>
            <w:tcW w:w="2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5C10E9E5" w14:textId="1A203E56">
            <w:pPr>
              <w:kinsoku w:val="0"/>
              <w:overflowPunct w:val="0"/>
              <w:autoSpaceDE w:val="0"/>
              <w:autoSpaceDN w:val="0"/>
              <w:adjustRightInd w:val="0"/>
              <w:ind w:left="107"/>
            </w:pPr>
            <w:r w:rsidRPr="00B01834">
              <w:t xml:space="preserve">January </w:t>
            </w:r>
            <w:r w:rsidR="00FC5843">
              <w:rPr>
                <w:rFonts w:cs="Arial"/>
                <w:szCs w:val="24"/>
              </w:rPr>
              <w:t>27</w:t>
            </w:r>
            <w:r w:rsidRPr="00B01834">
              <w:t>, 2023</w:t>
            </w:r>
          </w:p>
        </w:tc>
        <w:tc>
          <w:tcPr>
            <w:tcW w:w="62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FC5843" w14:paraId="0FE9D13C" w14:textId="620439A3">
            <w:pPr>
              <w:kinsoku w:val="0"/>
              <w:overflowPunct w:val="0"/>
              <w:autoSpaceDE w:val="0"/>
              <w:autoSpaceDN w:val="0"/>
              <w:adjustRightInd w:val="0"/>
              <w:ind w:left="108"/>
            </w:pPr>
            <w:r w:rsidRPr="00F438EB">
              <w:rPr>
                <w:rFonts w:cs="Arial"/>
                <w:szCs w:val="24"/>
              </w:rPr>
              <w:t>Shortlist</w:t>
            </w:r>
            <w:r>
              <w:rPr>
                <w:rFonts w:cs="Arial"/>
                <w:szCs w:val="24"/>
              </w:rPr>
              <w:t xml:space="preserve"> </w:t>
            </w:r>
            <w:r w:rsidRPr="00F438EB">
              <w:rPr>
                <w:rFonts w:cs="Arial"/>
                <w:szCs w:val="24"/>
              </w:rPr>
              <w:t>Notification</w:t>
            </w:r>
          </w:p>
        </w:tc>
      </w:tr>
      <w:tr w:rsidR="003E0C29" w:rsidTr="7B1865F5" w14:paraId="5FF7D322" w14:textId="77777777">
        <w:trPr>
          <w:trHeight w:val="70"/>
        </w:trPr>
        <w:tc>
          <w:tcPr>
            <w:tcW w:w="2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355D6968" w14:textId="1FB69B24">
            <w:pPr>
              <w:kinsoku w:val="0"/>
              <w:overflowPunct w:val="0"/>
              <w:autoSpaceDE w:val="0"/>
              <w:autoSpaceDN w:val="0"/>
              <w:adjustRightInd w:val="0"/>
              <w:ind w:left="107"/>
            </w:pPr>
            <w:r w:rsidRPr="00B01834">
              <w:t xml:space="preserve">February </w:t>
            </w:r>
            <w:r w:rsidR="00D95F51">
              <w:rPr>
                <w:rFonts w:cs="Arial"/>
                <w:szCs w:val="24"/>
              </w:rPr>
              <w:t>3</w:t>
            </w:r>
            <w:r w:rsidRPr="00B01834">
              <w:t>, 2023</w:t>
            </w:r>
          </w:p>
        </w:tc>
        <w:tc>
          <w:tcPr>
            <w:tcW w:w="62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D95F51" w14:paraId="5BA18F00" w14:textId="3B6A7976">
            <w:pPr>
              <w:kinsoku w:val="0"/>
              <w:overflowPunct w:val="0"/>
              <w:autoSpaceDE w:val="0"/>
              <w:autoSpaceDN w:val="0"/>
              <w:adjustRightInd w:val="0"/>
              <w:ind w:left="108"/>
            </w:pPr>
            <w:r w:rsidRPr="00D95F51">
              <w:rPr>
                <w:rFonts w:cs="Arial"/>
                <w:szCs w:val="24"/>
              </w:rPr>
              <w:t>Shortlist Deliverables Deadline</w:t>
            </w:r>
          </w:p>
        </w:tc>
      </w:tr>
      <w:tr w:rsidR="00FC5843" w:rsidTr="7B1865F5" w14:paraId="0A01E66B" w14:textId="77777777">
        <w:trPr>
          <w:trHeight w:val="70"/>
        </w:trPr>
        <w:tc>
          <w:tcPr>
            <w:tcW w:w="2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035F8E" w:rsidR="00FC5843" w:rsidP="00035F8E" w:rsidRDefault="00FC5843" w14:paraId="62459E4E" w14:textId="77777777">
            <w:pPr>
              <w:kinsoku w:val="0"/>
              <w:overflowPunct w:val="0"/>
              <w:autoSpaceDE w:val="0"/>
              <w:autoSpaceDN w:val="0"/>
              <w:adjustRightInd w:val="0"/>
              <w:ind w:left="107"/>
              <w:rPr>
                <w:rFonts w:cs="Arial"/>
                <w:szCs w:val="24"/>
              </w:rPr>
            </w:pPr>
            <w:r w:rsidRPr="00F438EB">
              <w:rPr>
                <w:rFonts w:cs="Arial"/>
                <w:szCs w:val="24"/>
              </w:rPr>
              <w:t>May 19, 2023</w:t>
            </w:r>
          </w:p>
        </w:tc>
        <w:tc>
          <w:tcPr>
            <w:tcW w:w="62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F438EB" w:rsidR="00FC5843" w:rsidP="000E1E55" w:rsidRDefault="00FC5843" w14:paraId="23D6FF03" w14:textId="77777777">
            <w:pPr>
              <w:kinsoku w:val="0"/>
              <w:overflowPunct w:val="0"/>
              <w:autoSpaceDE w:val="0"/>
              <w:autoSpaceDN w:val="0"/>
              <w:adjustRightInd w:val="0"/>
              <w:ind w:left="120" w:right="2338"/>
              <w:rPr>
                <w:rFonts w:cs="Arial"/>
                <w:b/>
                <w:bCs/>
                <w:szCs w:val="24"/>
              </w:rPr>
            </w:pPr>
            <w:r w:rsidRPr="00F438EB">
              <w:rPr>
                <w:rFonts w:cs="Arial"/>
                <w:szCs w:val="24"/>
              </w:rPr>
              <w:t>Commercial Lockdown</w:t>
            </w:r>
          </w:p>
        </w:tc>
      </w:tr>
      <w:tr w:rsidR="00FC5843" w:rsidTr="7B1865F5" w14:paraId="51F7117F" w14:textId="77777777">
        <w:trPr>
          <w:trHeight w:val="70"/>
        </w:trPr>
        <w:tc>
          <w:tcPr>
            <w:tcW w:w="2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F438EB" w:rsidR="00FC5843" w:rsidRDefault="00FC5843" w14:paraId="05F13F90" w14:textId="77777777">
            <w:pPr>
              <w:kinsoku w:val="0"/>
              <w:overflowPunct w:val="0"/>
              <w:autoSpaceDE w:val="0"/>
              <w:autoSpaceDN w:val="0"/>
              <w:adjustRightInd w:val="0"/>
              <w:ind w:left="107"/>
              <w:rPr>
                <w:rFonts w:cs="Arial"/>
                <w:szCs w:val="24"/>
              </w:rPr>
            </w:pPr>
            <w:r w:rsidRPr="00F438EB">
              <w:rPr>
                <w:rFonts w:cs="Arial"/>
                <w:szCs w:val="24"/>
              </w:rPr>
              <w:t>May 26, 2023</w:t>
            </w:r>
          </w:p>
        </w:tc>
        <w:tc>
          <w:tcPr>
            <w:tcW w:w="62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F438EB" w:rsidR="00FC5843" w:rsidRDefault="00FC5843" w14:paraId="13201CA1" w14:textId="77777777">
            <w:pPr>
              <w:kinsoku w:val="0"/>
              <w:overflowPunct w:val="0"/>
              <w:autoSpaceDE w:val="0"/>
              <w:autoSpaceDN w:val="0"/>
              <w:adjustRightInd w:val="0"/>
              <w:ind w:left="108"/>
              <w:rPr>
                <w:rFonts w:cs="Arial"/>
                <w:szCs w:val="24"/>
              </w:rPr>
            </w:pPr>
            <w:r w:rsidRPr="00F438EB">
              <w:rPr>
                <w:rFonts w:cs="Arial"/>
                <w:szCs w:val="24"/>
              </w:rPr>
              <w:t>Final Offer Submittal Deadline</w:t>
            </w:r>
          </w:p>
        </w:tc>
      </w:tr>
      <w:tr w:rsidR="00FC5843" w:rsidTr="7B1865F5" w14:paraId="784F82DE" w14:textId="77777777">
        <w:trPr>
          <w:trHeight w:val="70"/>
        </w:trPr>
        <w:tc>
          <w:tcPr>
            <w:tcW w:w="2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F438EB" w:rsidR="00FC5843" w:rsidP="009C721C" w:rsidRDefault="00FC5843" w14:paraId="0E671A25" w14:textId="77777777">
            <w:pPr>
              <w:kinsoku w:val="0"/>
              <w:overflowPunct w:val="0"/>
              <w:autoSpaceDE w:val="0"/>
              <w:autoSpaceDN w:val="0"/>
              <w:adjustRightInd w:val="0"/>
              <w:ind w:left="107"/>
              <w:rPr>
                <w:rFonts w:cs="Arial"/>
                <w:szCs w:val="24"/>
              </w:rPr>
            </w:pPr>
            <w:r w:rsidRPr="00F438EB">
              <w:rPr>
                <w:rFonts w:cs="Arial"/>
                <w:szCs w:val="24"/>
              </w:rPr>
              <w:t>June 30, 2023</w:t>
            </w:r>
          </w:p>
        </w:tc>
        <w:tc>
          <w:tcPr>
            <w:tcW w:w="62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F438EB" w:rsidR="00FC5843" w:rsidP="009C721C" w:rsidRDefault="00FC5843" w14:paraId="2462AB39" w14:textId="77777777">
            <w:pPr>
              <w:kinsoku w:val="0"/>
              <w:overflowPunct w:val="0"/>
              <w:autoSpaceDE w:val="0"/>
              <w:autoSpaceDN w:val="0"/>
              <w:adjustRightInd w:val="0"/>
              <w:ind w:left="107"/>
              <w:rPr>
                <w:rFonts w:cs="Arial"/>
                <w:szCs w:val="24"/>
              </w:rPr>
            </w:pPr>
            <w:r w:rsidRPr="00F438EB">
              <w:rPr>
                <w:rFonts w:cs="Arial"/>
                <w:szCs w:val="24"/>
              </w:rPr>
              <w:t>Contract Execution Deadline</w:t>
            </w:r>
          </w:p>
        </w:tc>
      </w:tr>
    </w:tbl>
    <w:p w:rsidRPr="00B01834" w:rsidR="003E0C29" w:rsidP="00B01834" w:rsidRDefault="003E0C29" w14:paraId="6E1099EE" w14:textId="367111D6">
      <w:pPr>
        <w:kinsoku w:val="0"/>
        <w:overflowPunct w:val="0"/>
        <w:autoSpaceDE w:val="0"/>
        <w:autoSpaceDN w:val="0"/>
        <w:adjustRightInd w:val="0"/>
        <w:spacing w:line="230" w:lineRule="exact"/>
      </w:pPr>
    </w:p>
    <w:p w:rsidRPr="00B01834" w:rsidR="003E0C29" w:rsidP="00B01834" w:rsidRDefault="00EB7C9E" w14:paraId="0DEE3FAB" w14:textId="2AC60CD2">
      <w:r w:rsidRPr="00B01834">
        <w:t>SCE launched Phase 3 of its MTR RFO on February 23, 2023 for supplemental incremental resources to come online during years 2026 and/or 2027 and for LLT resources, in accordance with D.23-02-040.</w:t>
      </w:r>
    </w:p>
    <w:p w:rsidRPr="00B01834" w:rsidR="003E0C29" w:rsidP="00B01834" w:rsidRDefault="00E24293" w14:paraId="7CBDEB38" w14:textId="322DB560">
      <w:r>
        <w:rPr>
          <w:szCs w:val="24"/>
        </w:rPr>
        <w:t>T</w:t>
      </w:r>
      <w:r w:rsidRPr="00F438EB" w:rsidR="00F41920">
        <w:rPr>
          <w:szCs w:val="24"/>
        </w:rPr>
        <w:t xml:space="preserve">able </w:t>
      </w:r>
      <w:r w:rsidR="009D6B89">
        <w:rPr>
          <w:szCs w:val="24"/>
        </w:rPr>
        <w:t>2</w:t>
      </w:r>
      <w:r w:rsidRPr="00B01834" w:rsidR="00EB7C9E">
        <w:t xml:space="preserve"> documents SCE’s Phase </w:t>
      </w:r>
      <w:r w:rsidRPr="00D95F51" w:rsidR="009A4AD5">
        <w:rPr>
          <w:szCs w:val="24"/>
        </w:rPr>
        <w:t>3</w:t>
      </w:r>
      <w:r w:rsidRPr="00B01834" w:rsidR="00EB7C9E">
        <w:t xml:space="preserve"> MTR RFO schedule.</w:t>
      </w:r>
      <w:r w:rsidRPr="00B01834" w:rsidR="00EB7C9E">
        <w:rPr>
          <w:rStyle w:val="FootnoteReference"/>
        </w:rPr>
        <w:footnoteReference w:id="12"/>
      </w:r>
    </w:p>
    <w:p w:rsidRPr="00B01834" w:rsidR="003E0C29" w:rsidP="00AC287A" w:rsidRDefault="001C0FEB" w14:paraId="18FFFEC4" w14:textId="29AFEF2D">
      <w:pPr>
        <w:spacing w:after="0" w:line="278" w:lineRule="auto"/>
        <w:rPr>
          <w:i/>
        </w:rPr>
      </w:pPr>
      <w:r>
        <w:rPr>
          <w:i/>
        </w:rPr>
        <w:br w:type="page"/>
      </w:r>
      <w:r w:rsidRPr="00B01834" w:rsidR="00EB7C9E">
        <w:rPr>
          <w:i/>
        </w:rPr>
        <w:lastRenderedPageBreak/>
        <w:t xml:space="preserve">Table </w:t>
      </w:r>
      <w:r w:rsidR="009D6B89">
        <w:rPr>
          <w:i/>
        </w:rPr>
        <w:t>2</w:t>
      </w:r>
      <w:r w:rsidRPr="00B01834" w:rsidR="00EB7C9E">
        <w:rPr>
          <w:i/>
        </w:rPr>
        <w:t>.</w:t>
      </w:r>
    </w:p>
    <w:tbl>
      <w:tblPr>
        <w:tblW w:w="0" w:type="auto"/>
        <w:tblLayout w:type="fixed"/>
        <w:tblCellMar>
          <w:left w:w="0" w:type="dxa"/>
          <w:right w:w="0" w:type="dxa"/>
        </w:tblCellMar>
        <w:tblLook w:val="0000" w:firstRow="0" w:lastRow="0" w:firstColumn="0" w:lastColumn="0" w:noHBand="0" w:noVBand="0"/>
      </w:tblPr>
      <w:tblGrid>
        <w:gridCol w:w="2760"/>
        <w:gridCol w:w="6865"/>
      </w:tblGrid>
      <w:tr w:rsidR="003E0C29" w:rsidTr="005A07B1" w14:paraId="4062C2A1" w14:textId="77777777">
        <w:trPr>
          <w:trHeight w:val="70"/>
          <w:tblHeader/>
        </w:trPr>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3CAEB" w:themeFill="accent1" w:themeFillTint="66"/>
          </w:tcPr>
          <w:p w:rsidRPr="00B01834" w:rsidR="003E0C29" w:rsidP="00B01834" w:rsidRDefault="00EB7C9E" w14:paraId="5DD00CA5" w14:textId="1F3203E0">
            <w:pPr>
              <w:kinsoku w:val="0"/>
              <w:overflowPunct w:val="0"/>
              <w:autoSpaceDE w:val="0"/>
              <w:autoSpaceDN w:val="0"/>
              <w:adjustRightInd w:val="0"/>
              <w:ind w:left="-180" w:right="1775"/>
              <w:jc w:val="center"/>
              <w:rPr>
                <w:b/>
                <w:spacing w:val="-4"/>
              </w:rPr>
            </w:pPr>
            <w:r w:rsidRPr="00B01834">
              <w:rPr>
                <w:b/>
                <w:spacing w:val="-4"/>
              </w:rPr>
              <w:t>Date</w:t>
            </w:r>
          </w:p>
        </w:tc>
        <w:tc>
          <w:tcPr>
            <w:tcW w:w="6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3CAEB" w:themeFill="accent1" w:themeFillTint="66"/>
          </w:tcPr>
          <w:p w:rsidRPr="00B01834" w:rsidR="003E0C29" w:rsidP="00B01834" w:rsidRDefault="00EB7C9E" w14:paraId="1181ECB6" w14:textId="023338FD">
            <w:pPr>
              <w:kinsoku w:val="0"/>
              <w:overflowPunct w:val="0"/>
              <w:autoSpaceDE w:val="0"/>
              <w:autoSpaceDN w:val="0"/>
              <w:adjustRightInd w:val="0"/>
              <w:ind w:left="120" w:right="2338"/>
              <w:rPr>
                <w:b/>
              </w:rPr>
            </w:pPr>
            <w:r w:rsidRPr="00B01834">
              <w:rPr>
                <w:b/>
              </w:rPr>
              <w:t xml:space="preserve">Phase </w:t>
            </w:r>
            <w:r w:rsidRPr="00F438EB" w:rsidR="00F41920">
              <w:rPr>
                <w:rFonts w:cs="Arial"/>
                <w:b/>
                <w:bCs/>
                <w:szCs w:val="24"/>
              </w:rPr>
              <w:t>3</w:t>
            </w:r>
            <w:r w:rsidRPr="00B01834">
              <w:rPr>
                <w:b/>
              </w:rPr>
              <w:t xml:space="preserve"> RFO Event</w:t>
            </w:r>
          </w:p>
        </w:tc>
      </w:tr>
      <w:tr w:rsidR="003E0C29" w:rsidTr="00B01834" w14:paraId="40200ADA" w14:textId="77777777">
        <w:trPr>
          <w:trHeight w:val="70"/>
        </w:trPr>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01834" w:rsidR="003E0C29" w:rsidP="00B01834" w:rsidRDefault="00EB7C9E" w14:paraId="27D18364" w14:textId="021E0114">
            <w:pPr>
              <w:kinsoku w:val="0"/>
              <w:overflowPunct w:val="0"/>
              <w:autoSpaceDE w:val="0"/>
              <w:autoSpaceDN w:val="0"/>
              <w:adjustRightInd w:val="0"/>
              <w:ind w:left="107"/>
            </w:pPr>
            <w:r w:rsidRPr="00B01834">
              <w:t>February 23, 2023</w:t>
            </w:r>
          </w:p>
        </w:tc>
        <w:tc>
          <w:tcPr>
            <w:tcW w:w="68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01834" w:rsidR="003E0C29" w:rsidP="00B01834" w:rsidRDefault="00EB7C9E" w14:paraId="2BAA5232" w14:textId="541C1477">
            <w:pPr>
              <w:kinsoku w:val="0"/>
              <w:overflowPunct w:val="0"/>
              <w:autoSpaceDE w:val="0"/>
              <w:autoSpaceDN w:val="0"/>
              <w:adjustRightInd w:val="0"/>
              <w:ind w:left="107"/>
            </w:pPr>
            <w:r w:rsidRPr="00B01834">
              <w:t>RFO Launch</w:t>
            </w:r>
          </w:p>
        </w:tc>
      </w:tr>
      <w:tr w:rsidR="003E0C29" w:rsidTr="00B01834" w14:paraId="71103A9D" w14:textId="77777777">
        <w:trPr>
          <w:trHeight w:val="287"/>
        </w:trPr>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01834" w:rsidR="003E0C29" w:rsidP="00B01834" w:rsidRDefault="003E0C29" w14:paraId="284D1A00" w14:textId="5449EC8C">
            <w:pPr>
              <w:kinsoku w:val="0"/>
              <w:overflowPunct w:val="0"/>
              <w:autoSpaceDE w:val="0"/>
              <w:autoSpaceDN w:val="0"/>
              <w:adjustRightInd w:val="0"/>
              <w:ind w:left="107"/>
              <w:rPr>
                <w:sz w:val="8"/>
              </w:rPr>
            </w:pPr>
          </w:p>
          <w:p w:rsidRPr="00B01834" w:rsidR="003E0C29" w:rsidP="00B01834" w:rsidRDefault="00EB7C9E" w14:paraId="30EB2C72" w14:textId="33048875">
            <w:pPr>
              <w:kinsoku w:val="0"/>
              <w:overflowPunct w:val="0"/>
              <w:autoSpaceDE w:val="0"/>
              <w:autoSpaceDN w:val="0"/>
              <w:adjustRightInd w:val="0"/>
              <w:ind w:left="107"/>
            </w:pPr>
            <w:r w:rsidRPr="00B01834">
              <w:t>March 8</w:t>
            </w:r>
            <w:r w:rsidRPr="67198A83" w:rsidR="00C04F37">
              <w:rPr>
                <w:rFonts w:cs="Arial"/>
                <w:szCs w:val="24"/>
              </w:rPr>
              <w:t>,</w:t>
            </w:r>
            <w:r w:rsidRPr="00B01834">
              <w:t xml:space="preserve"> 2023</w:t>
            </w:r>
          </w:p>
          <w:p w:rsidRPr="00B01834" w:rsidR="003E0C29" w:rsidP="00B01834" w:rsidRDefault="003E0C29" w14:paraId="4914DEF7" w14:textId="4FF3C2ED">
            <w:pPr>
              <w:kinsoku w:val="0"/>
              <w:overflowPunct w:val="0"/>
              <w:autoSpaceDE w:val="0"/>
              <w:autoSpaceDN w:val="0"/>
              <w:adjustRightInd w:val="0"/>
              <w:ind w:left="107"/>
              <w:rPr>
                <w:sz w:val="8"/>
              </w:rPr>
            </w:pPr>
          </w:p>
        </w:tc>
        <w:tc>
          <w:tcPr>
            <w:tcW w:w="68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01834" w:rsidR="003E0C29" w:rsidP="00B01834" w:rsidRDefault="00EB7C9E" w14:paraId="4E5369D7" w14:textId="230E70CB">
            <w:pPr>
              <w:kinsoku w:val="0"/>
              <w:overflowPunct w:val="0"/>
              <w:autoSpaceDE w:val="0"/>
              <w:autoSpaceDN w:val="0"/>
              <w:adjustRightInd w:val="0"/>
              <w:ind w:left="107"/>
            </w:pPr>
            <w:r w:rsidRPr="00B01834">
              <w:t>Bidders’ Conference Webinar; 10 MW Minimum Capacity for RPS and 30-Year Collateral Requirement Updated</w:t>
            </w:r>
          </w:p>
        </w:tc>
      </w:tr>
      <w:tr w:rsidR="005F23F6" w:rsidTr="67198A83" w14:paraId="381E68C5" w14:textId="77777777">
        <w:trPr>
          <w:trHeight w:val="70"/>
        </w:trPr>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F438EB" w:rsidR="005F23F6" w:rsidRDefault="005F23F6" w14:paraId="106F8F2A" w14:textId="77777777">
            <w:pPr>
              <w:kinsoku w:val="0"/>
              <w:overflowPunct w:val="0"/>
              <w:autoSpaceDE w:val="0"/>
              <w:autoSpaceDN w:val="0"/>
              <w:adjustRightInd w:val="0"/>
              <w:ind w:left="107"/>
              <w:rPr>
                <w:rFonts w:cs="Arial"/>
                <w:szCs w:val="24"/>
              </w:rPr>
            </w:pPr>
            <w:r>
              <w:rPr>
                <w:rFonts w:cs="Arial"/>
                <w:szCs w:val="24"/>
              </w:rPr>
              <w:t>March 31, 2023</w:t>
            </w:r>
          </w:p>
        </w:tc>
        <w:tc>
          <w:tcPr>
            <w:tcW w:w="6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F438EB" w:rsidR="005F23F6" w:rsidRDefault="005F23F6" w14:paraId="22D3F302" w14:textId="77777777">
            <w:pPr>
              <w:kinsoku w:val="0"/>
              <w:overflowPunct w:val="0"/>
              <w:autoSpaceDE w:val="0"/>
              <w:autoSpaceDN w:val="0"/>
              <w:adjustRightInd w:val="0"/>
              <w:ind w:left="108"/>
              <w:rPr>
                <w:rFonts w:cs="Arial"/>
                <w:szCs w:val="24"/>
              </w:rPr>
            </w:pPr>
            <w:r>
              <w:rPr>
                <w:rFonts w:cs="Arial"/>
                <w:szCs w:val="24"/>
              </w:rPr>
              <w:t xml:space="preserve">Update </w:t>
            </w:r>
            <w:r w:rsidR="00BA611A">
              <w:rPr>
                <w:rFonts w:cs="Arial"/>
                <w:szCs w:val="24"/>
              </w:rPr>
              <w:t>P</w:t>
            </w:r>
            <w:r>
              <w:rPr>
                <w:rFonts w:cs="Arial"/>
                <w:szCs w:val="24"/>
              </w:rPr>
              <w:t xml:space="preserve">ricing </w:t>
            </w:r>
            <w:r w:rsidR="00BA611A">
              <w:rPr>
                <w:rFonts w:cs="Arial"/>
                <w:szCs w:val="24"/>
              </w:rPr>
              <w:t>Due</w:t>
            </w:r>
          </w:p>
        </w:tc>
      </w:tr>
      <w:tr w:rsidR="003E0C29" w:rsidTr="00B01834" w14:paraId="797F9821" w14:textId="77777777">
        <w:trPr>
          <w:trHeight w:val="70"/>
        </w:trPr>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16A58D40" w14:textId="7C09EB3E">
            <w:pPr>
              <w:kinsoku w:val="0"/>
              <w:overflowPunct w:val="0"/>
              <w:autoSpaceDE w:val="0"/>
              <w:autoSpaceDN w:val="0"/>
              <w:adjustRightInd w:val="0"/>
              <w:ind w:left="107"/>
            </w:pPr>
            <w:r w:rsidRPr="00B01834">
              <w:t>April 3, 2023</w:t>
            </w:r>
          </w:p>
        </w:tc>
        <w:tc>
          <w:tcPr>
            <w:tcW w:w="6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68289F99" w14:textId="23929F03">
            <w:pPr>
              <w:kinsoku w:val="0"/>
              <w:overflowPunct w:val="0"/>
              <w:autoSpaceDE w:val="0"/>
              <w:autoSpaceDN w:val="0"/>
              <w:adjustRightInd w:val="0"/>
              <w:ind w:left="108"/>
            </w:pPr>
            <w:r w:rsidRPr="00B01834">
              <w:t>Offer Submittal Due</w:t>
            </w:r>
          </w:p>
        </w:tc>
      </w:tr>
      <w:tr w:rsidR="003E0C29" w:rsidTr="00B01834" w14:paraId="5C6384AF" w14:textId="77777777">
        <w:trPr>
          <w:trHeight w:val="70"/>
        </w:trPr>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2EFC2B3E" w14:textId="4AEB08BC">
            <w:pPr>
              <w:kinsoku w:val="0"/>
              <w:overflowPunct w:val="0"/>
              <w:autoSpaceDE w:val="0"/>
              <w:autoSpaceDN w:val="0"/>
              <w:adjustRightInd w:val="0"/>
              <w:ind w:left="107"/>
            </w:pPr>
            <w:r w:rsidRPr="00B01834">
              <w:t>April 24, 2023</w:t>
            </w:r>
          </w:p>
        </w:tc>
        <w:tc>
          <w:tcPr>
            <w:tcW w:w="6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1B13A9BD" w14:textId="35BAFB8D">
            <w:pPr>
              <w:kinsoku w:val="0"/>
              <w:overflowPunct w:val="0"/>
              <w:autoSpaceDE w:val="0"/>
              <w:autoSpaceDN w:val="0"/>
              <w:adjustRightInd w:val="0"/>
              <w:ind w:left="108"/>
            </w:pPr>
            <w:r w:rsidRPr="00B01834">
              <w:t>Offer Redline Comments on MTR Pro Forma Due</w:t>
            </w:r>
          </w:p>
        </w:tc>
      </w:tr>
      <w:tr w:rsidR="003E0C29" w:rsidTr="00B01834" w14:paraId="26518094" w14:textId="77777777">
        <w:trPr>
          <w:trHeight w:val="70"/>
        </w:trPr>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70E62349" w14:textId="7DC267C8">
            <w:pPr>
              <w:kinsoku w:val="0"/>
              <w:overflowPunct w:val="0"/>
              <w:autoSpaceDE w:val="0"/>
              <w:autoSpaceDN w:val="0"/>
              <w:adjustRightInd w:val="0"/>
              <w:ind w:left="107"/>
            </w:pPr>
            <w:r w:rsidRPr="00B01834">
              <w:t xml:space="preserve">June </w:t>
            </w:r>
            <w:r w:rsidR="00264E19">
              <w:rPr>
                <w:rFonts w:cs="Arial"/>
                <w:szCs w:val="24"/>
              </w:rPr>
              <w:t>2</w:t>
            </w:r>
            <w:r w:rsidRPr="00B01834">
              <w:t>, 2023</w:t>
            </w:r>
          </w:p>
        </w:tc>
        <w:tc>
          <w:tcPr>
            <w:tcW w:w="6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47E48F12" w14:textId="26144E95">
            <w:pPr>
              <w:kinsoku w:val="0"/>
              <w:overflowPunct w:val="0"/>
              <w:autoSpaceDE w:val="0"/>
              <w:autoSpaceDN w:val="0"/>
              <w:adjustRightInd w:val="0"/>
              <w:ind w:left="108"/>
            </w:pPr>
            <w:r w:rsidRPr="00B01834">
              <w:t>Shortlist Notification</w:t>
            </w:r>
          </w:p>
        </w:tc>
      </w:tr>
      <w:tr w:rsidR="003E0C29" w:rsidTr="00B01834" w14:paraId="7F0083BC" w14:textId="77777777">
        <w:trPr>
          <w:trHeight w:val="70"/>
        </w:trPr>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1FBE7BD8" w14:textId="74176565">
            <w:pPr>
              <w:kinsoku w:val="0"/>
              <w:overflowPunct w:val="0"/>
              <w:autoSpaceDE w:val="0"/>
              <w:autoSpaceDN w:val="0"/>
              <w:adjustRightInd w:val="0"/>
              <w:ind w:left="107"/>
            </w:pPr>
            <w:r w:rsidRPr="00B01834">
              <w:t>June 9, 2023</w:t>
            </w:r>
          </w:p>
        </w:tc>
        <w:tc>
          <w:tcPr>
            <w:tcW w:w="6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69A1CB48" w14:textId="4099C788">
            <w:pPr>
              <w:kinsoku w:val="0"/>
              <w:overflowPunct w:val="0"/>
              <w:autoSpaceDE w:val="0"/>
              <w:autoSpaceDN w:val="0"/>
              <w:adjustRightInd w:val="0"/>
              <w:ind w:left="107"/>
            </w:pPr>
            <w:r w:rsidRPr="00B01834">
              <w:t>Shortlist Deliverables Due</w:t>
            </w:r>
          </w:p>
        </w:tc>
      </w:tr>
      <w:tr w:rsidR="003E0C29" w:rsidTr="00B01834" w14:paraId="4BFB2B0F" w14:textId="77777777">
        <w:trPr>
          <w:trHeight w:val="70"/>
        </w:trPr>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51CAC9CB" w14:textId="66887F5A">
            <w:pPr>
              <w:kinsoku w:val="0"/>
              <w:overflowPunct w:val="0"/>
              <w:autoSpaceDE w:val="0"/>
              <w:autoSpaceDN w:val="0"/>
              <w:adjustRightInd w:val="0"/>
              <w:ind w:left="107"/>
            </w:pPr>
            <w:r w:rsidRPr="00B01834">
              <w:t>Q4 2023</w:t>
            </w:r>
          </w:p>
        </w:tc>
        <w:tc>
          <w:tcPr>
            <w:tcW w:w="6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01834" w:rsidR="003E0C29" w:rsidP="00B01834" w:rsidRDefault="00EB7C9E" w14:paraId="6BAC4C62" w14:textId="1D8A7C75">
            <w:pPr>
              <w:kinsoku w:val="0"/>
              <w:overflowPunct w:val="0"/>
              <w:autoSpaceDE w:val="0"/>
              <w:autoSpaceDN w:val="0"/>
              <w:adjustRightInd w:val="0"/>
              <w:ind w:left="108"/>
            </w:pPr>
            <w:r w:rsidRPr="00B01834">
              <w:t>Contract Execution Deadline</w:t>
            </w:r>
          </w:p>
        </w:tc>
      </w:tr>
    </w:tbl>
    <w:p w:rsidR="00CF34C0" w:rsidP="00B01834" w:rsidRDefault="00CF34C0" w14:paraId="56E0D54E" w14:textId="77777777"/>
    <w:p w:rsidR="003E0C29" w:rsidP="00B01834" w:rsidRDefault="00EB7C9E" w14:paraId="5B9F2523" w14:textId="0615E36C">
      <w:r w:rsidRPr="00B01834">
        <w:t xml:space="preserve">SCE states that since launching the MTR RFO Phase 2, bidders </w:t>
      </w:r>
      <w:r w:rsidR="00B82E9B">
        <w:t>were</w:t>
      </w:r>
      <w:r w:rsidRPr="00B01834" w:rsidR="00B82E9B">
        <w:t xml:space="preserve"> </w:t>
      </w:r>
      <w:r w:rsidRPr="00B01834">
        <w:t>requested to update potentially outdated pricing by March 31, 2023, because offers were originally received in November 2022</w:t>
      </w:r>
      <w:r w:rsidR="00BA2A16">
        <w:t xml:space="preserve">.  </w:t>
      </w:r>
      <w:r w:rsidRPr="00B01834">
        <w:t>SCE adds that Phases 2 and 3 of SCE’s MTR RFO were combined into one single solicitation schedule, with contracts executed on a “first come first served basis” when ready.</w:t>
      </w:r>
      <w:r w:rsidR="00BA611A">
        <w:rPr>
          <w:rStyle w:val="FootnoteReference"/>
          <w:szCs w:val="24"/>
        </w:rPr>
        <w:footnoteReference w:id="13"/>
      </w:r>
    </w:p>
    <w:p w:rsidR="00B82E9B" w:rsidP="00B82E9B" w:rsidRDefault="00B82E9B" w14:paraId="5096B7FE" w14:textId="2D7BD337">
      <w:r>
        <w:t xml:space="preserve">Earlier contracts yielded from these two RFOs have been approved for the 2025, 2026, 2027, </w:t>
      </w:r>
      <w:r w:rsidR="00E01C40">
        <w:t>Diablo Canyon Replacement</w:t>
      </w:r>
      <w:r w:rsidR="00AE6231">
        <w:t xml:space="preserve"> Requirement</w:t>
      </w:r>
      <w:r w:rsidR="00E01C40">
        <w:t>,</w:t>
      </w:r>
      <w:r>
        <w:t xml:space="preserve"> and LLT MTR procurement requirements.</w:t>
      </w:r>
    </w:p>
    <w:p w:rsidRPr="00B01834" w:rsidR="00B82E9B" w:rsidP="00B82E9B" w:rsidRDefault="00B82E9B" w14:paraId="411D7D64" w14:textId="300E4D9B">
      <w:r>
        <w:t>Appendix A includes SCE’s MTR contracts filed and approved to date.</w:t>
      </w:r>
    </w:p>
    <w:p w:rsidRPr="00B01834" w:rsidR="003E0C29" w:rsidP="008477B0" w:rsidRDefault="00145E93" w14:paraId="5D0C98BE" w14:textId="6D81DA68">
      <w:pPr>
        <w:pStyle w:val="Heading2"/>
        <w:spacing w:before="120"/>
        <w:contextualSpacing w:val="0"/>
      </w:pPr>
      <w:r>
        <w:t>M</w:t>
      </w:r>
      <w:r w:rsidR="009A075C">
        <w:t>id-Term Reliability</w:t>
      </w:r>
      <w:r w:rsidRPr="00B01834" w:rsidR="00EB7C9E">
        <w:t xml:space="preserve"> Contracts</w:t>
      </w:r>
      <w:r>
        <w:t xml:space="preserve"> That Require Approval</w:t>
      </w:r>
      <w:r w:rsidR="009A075C">
        <w:t xml:space="preserve"> </w:t>
      </w:r>
    </w:p>
    <w:p w:rsidRPr="00536508" w:rsidR="00552602" w:rsidP="002B23E9" w:rsidRDefault="00CF7D20" w14:paraId="4C79A268" w14:textId="15DCEEB0">
      <w:pPr>
        <w:pStyle w:val="Res-Caption"/>
        <w:ind w:left="0"/>
      </w:pPr>
      <w:r>
        <w:rPr>
          <w:rFonts w:cs="Palatino"/>
          <w:szCs w:val="24"/>
        </w:rPr>
        <w:t xml:space="preserve">On December 5, 2024, SCE Submitted AL 5431-E seeking approval of three energy storage contracts </w:t>
      </w:r>
      <w:r w:rsidR="00552602">
        <w:rPr>
          <w:rFonts w:cs="Palatino"/>
          <w:szCs w:val="24"/>
        </w:rPr>
        <w:t>selected as part of its</w:t>
      </w:r>
      <w:r>
        <w:rPr>
          <w:rFonts w:cs="Palatino"/>
          <w:szCs w:val="24"/>
        </w:rPr>
        <w:t xml:space="preserve"> MTR Phase 2 and 3 </w:t>
      </w:r>
      <w:r w:rsidR="00552602">
        <w:rPr>
          <w:rFonts w:cs="Palatino"/>
          <w:szCs w:val="24"/>
        </w:rPr>
        <w:t xml:space="preserve">RFO efforts.  The MTR contract total </w:t>
      </w:r>
      <w:r>
        <w:rPr>
          <w:rFonts w:cs="Palatino"/>
          <w:szCs w:val="24"/>
        </w:rPr>
        <w:t>620 MW of nameplate capacity</w:t>
      </w:r>
      <w:r w:rsidR="00552602">
        <w:rPr>
          <w:rFonts w:cs="Palatino"/>
          <w:szCs w:val="24"/>
        </w:rPr>
        <w:t xml:space="preserve"> and are</w:t>
      </w:r>
      <w:r w:rsidRPr="00552602" w:rsidR="00552602">
        <w:rPr>
          <w:rFonts w:eastAsia="Palatino" w:cs="Palatino"/>
          <w:szCs w:val="24"/>
        </w:rPr>
        <w:t xml:space="preserve"> </w:t>
      </w:r>
      <w:r w:rsidRPr="00F438EB" w:rsidR="00552602">
        <w:rPr>
          <w:rFonts w:eastAsia="Palatino" w:cs="Palatino"/>
          <w:szCs w:val="24"/>
        </w:rPr>
        <w:t xml:space="preserve">expected to come online </w:t>
      </w:r>
      <w:r w:rsidR="00552602">
        <w:rPr>
          <w:rFonts w:eastAsia="Palatino" w:cs="Palatino"/>
          <w:szCs w:val="24"/>
        </w:rPr>
        <w:t>June</w:t>
      </w:r>
      <w:r w:rsidRPr="00F438EB" w:rsidR="00552602">
        <w:rPr>
          <w:rFonts w:eastAsia="Palatino" w:cs="Palatino"/>
          <w:szCs w:val="24"/>
        </w:rPr>
        <w:t xml:space="preserve"> 1, 202</w:t>
      </w:r>
      <w:r w:rsidR="00552602">
        <w:rPr>
          <w:rFonts w:eastAsia="Palatino" w:cs="Palatino"/>
          <w:szCs w:val="24"/>
        </w:rPr>
        <w:t>6</w:t>
      </w:r>
      <w:r w:rsidRPr="00F438EB" w:rsidR="00552602">
        <w:rPr>
          <w:rFonts w:eastAsia="Palatino" w:cs="Palatino"/>
          <w:szCs w:val="24"/>
        </w:rPr>
        <w:t xml:space="preserve">, </w:t>
      </w:r>
      <w:r w:rsidR="00552602">
        <w:rPr>
          <w:rFonts w:eastAsia="Palatino" w:cs="Palatino"/>
          <w:szCs w:val="24"/>
        </w:rPr>
        <w:t>April</w:t>
      </w:r>
      <w:r w:rsidRPr="00F438EB" w:rsidR="00552602">
        <w:rPr>
          <w:rFonts w:eastAsia="Palatino" w:cs="Palatino"/>
          <w:szCs w:val="24"/>
        </w:rPr>
        <w:t xml:space="preserve"> 1, 202</w:t>
      </w:r>
      <w:r w:rsidR="00552602">
        <w:rPr>
          <w:rFonts w:eastAsia="Palatino" w:cs="Palatino"/>
          <w:szCs w:val="24"/>
        </w:rPr>
        <w:t>7</w:t>
      </w:r>
      <w:r w:rsidRPr="00F438EB" w:rsidR="00552602">
        <w:rPr>
          <w:rFonts w:eastAsia="Palatino" w:cs="Palatino"/>
          <w:szCs w:val="24"/>
        </w:rPr>
        <w:t>, and June 1, 202</w:t>
      </w:r>
      <w:r w:rsidR="00552602">
        <w:rPr>
          <w:rFonts w:eastAsia="Palatino" w:cs="Palatino"/>
          <w:szCs w:val="24"/>
        </w:rPr>
        <w:t xml:space="preserve">8. </w:t>
      </w:r>
    </w:p>
    <w:p w:rsidRPr="00B01834" w:rsidR="00CF7D20" w:rsidP="00CF7D20" w:rsidRDefault="00CF7D20" w14:paraId="12E0B781" w14:textId="7BF82496">
      <w:pPr>
        <w:autoSpaceDE w:val="0"/>
        <w:autoSpaceDN w:val="0"/>
        <w:adjustRightInd w:val="0"/>
      </w:pPr>
      <w:r w:rsidRPr="00B01834">
        <w:t xml:space="preserve">SCE requests approval for the following </w:t>
      </w:r>
      <w:r w:rsidR="00560D28">
        <w:t>three</w:t>
      </w:r>
      <w:r w:rsidRPr="00B01834">
        <w:t xml:space="preserve"> </w:t>
      </w:r>
      <w:r w:rsidR="00552602">
        <w:t>MTR Contracts</w:t>
      </w:r>
      <w:r w:rsidRPr="00B01834">
        <w:t>:</w:t>
      </w:r>
    </w:p>
    <w:p w:rsidRPr="00AC74C4" w:rsidR="008F5D95" w:rsidP="00AC74C4" w:rsidRDefault="00EA4A08" w14:paraId="0611B07B" w14:textId="62589391">
      <w:pPr>
        <w:pStyle w:val="ListParagraph"/>
        <w:numPr>
          <w:ilvl w:val="0"/>
          <w:numId w:val="26"/>
        </w:numPr>
        <w:autoSpaceDE w:val="0"/>
        <w:autoSpaceDN w:val="0"/>
        <w:adjustRightInd w:val="0"/>
        <w:ind w:left="810"/>
        <w:rPr>
          <w:b/>
        </w:rPr>
      </w:pPr>
      <w:r w:rsidRPr="008F5D95">
        <w:rPr>
          <w:b/>
          <w:bCs/>
          <w:color w:val="161719"/>
          <w:shd w:val="clear" w:color="auto" w:fill="FFFFFF"/>
        </w:rPr>
        <w:t>Pier S Energy Storage</w:t>
      </w:r>
      <w:r w:rsidRPr="008F5D95" w:rsidR="000566CE">
        <w:rPr>
          <w:color w:val="161719"/>
          <w:shd w:val="clear" w:color="auto" w:fill="FFFFFF"/>
        </w:rPr>
        <w:t xml:space="preserve">, developed by </w:t>
      </w:r>
      <w:r w:rsidRPr="0059724A" w:rsidR="0059724A">
        <w:rPr>
          <w:color w:val="161719"/>
          <w:shd w:val="clear" w:color="auto" w:fill="FFFFFF"/>
        </w:rPr>
        <w:t>Pier S Energy Storage</w:t>
      </w:r>
      <w:r w:rsidR="0077705A">
        <w:rPr>
          <w:color w:val="161719"/>
          <w:shd w:val="clear" w:color="auto" w:fill="FFFFFF"/>
        </w:rPr>
        <w:t>, LLC, a project owned by</w:t>
      </w:r>
      <w:r w:rsidRPr="0059724A" w:rsidR="0059724A">
        <w:rPr>
          <w:color w:val="161719"/>
          <w:shd w:val="clear" w:color="auto" w:fill="FFFFFF"/>
        </w:rPr>
        <w:t xml:space="preserve"> </w:t>
      </w:r>
      <w:r w:rsidRPr="008F5D95" w:rsidR="000566CE">
        <w:rPr>
          <w:color w:val="161719"/>
          <w:shd w:val="clear" w:color="auto" w:fill="FFFFFF"/>
        </w:rPr>
        <w:t>Elevate Renewables</w:t>
      </w:r>
      <w:r w:rsidR="006E53E7">
        <w:rPr>
          <w:color w:val="161719"/>
          <w:shd w:val="clear" w:color="auto" w:fill="FFFFFF"/>
        </w:rPr>
        <w:t xml:space="preserve">, which is owned by </w:t>
      </w:r>
      <w:r w:rsidRPr="008F5D95" w:rsidR="000566CE">
        <w:rPr>
          <w:color w:val="161719"/>
          <w:shd w:val="clear" w:color="auto" w:fill="FFFFFF"/>
        </w:rPr>
        <w:t>ArcLight Capital company</w:t>
      </w:r>
      <w:r w:rsidR="006E53E7">
        <w:rPr>
          <w:color w:val="161719"/>
          <w:shd w:val="clear" w:color="auto" w:fill="FFFFFF"/>
        </w:rPr>
        <w:t xml:space="preserve">, a major </w:t>
      </w:r>
      <w:r w:rsidR="006E53E7">
        <w:rPr>
          <w:color w:val="161719"/>
          <w:shd w:val="clear" w:color="auto" w:fill="FFFFFF"/>
        </w:rPr>
        <w:lastRenderedPageBreak/>
        <w:t xml:space="preserve">energy </w:t>
      </w:r>
      <w:r w:rsidRPr="00AC203C" w:rsidR="00AC203C">
        <w:rPr>
          <w:color w:val="161719"/>
          <w:shd w:val="clear" w:color="auto" w:fill="FFFFFF"/>
        </w:rPr>
        <w:t>infrastructure investor</w:t>
      </w:r>
      <w:r w:rsidR="00BA2A16">
        <w:rPr>
          <w:color w:val="161719"/>
          <w:shd w:val="clear" w:color="auto" w:fill="FFFFFF"/>
        </w:rPr>
        <w:t xml:space="preserve">.  </w:t>
      </w:r>
      <w:r w:rsidR="00AC203C">
        <w:rPr>
          <w:color w:val="161719"/>
          <w:shd w:val="clear" w:color="auto" w:fill="FFFFFF"/>
        </w:rPr>
        <w:t xml:space="preserve">The project </w:t>
      </w:r>
      <w:r w:rsidR="00CA3035">
        <w:rPr>
          <w:color w:val="161719"/>
          <w:shd w:val="clear" w:color="auto" w:fill="FFFFFF"/>
        </w:rPr>
        <w:t>h</w:t>
      </w:r>
      <w:r w:rsidR="00AC203C">
        <w:rPr>
          <w:color w:val="161719"/>
          <w:shd w:val="clear" w:color="auto" w:fill="FFFFFF"/>
        </w:rPr>
        <w:t>as a Generator Interconnection Agreement</w:t>
      </w:r>
      <w:r w:rsidR="00AC74C4">
        <w:rPr>
          <w:color w:val="161719"/>
          <w:shd w:val="clear" w:color="auto" w:fill="FFFFFF"/>
        </w:rPr>
        <w:t xml:space="preserve"> and would connect to SCE’s </w:t>
      </w:r>
      <w:r w:rsidR="00945124">
        <w:rPr>
          <w:color w:val="161719"/>
          <w:shd w:val="clear" w:color="auto" w:fill="FFFFFF"/>
        </w:rPr>
        <w:t xml:space="preserve">distribution </w:t>
      </w:r>
      <w:r w:rsidR="00AC74C4">
        <w:rPr>
          <w:color w:val="161719"/>
          <w:shd w:val="clear" w:color="auto" w:fill="FFFFFF"/>
        </w:rPr>
        <w:t>system</w:t>
      </w:r>
      <w:r w:rsidRPr="00AC74C4" w:rsidR="00AC203C">
        <w:rPr>
          <w:color w:val="161719"/>
          <w:shd w:val="clear" w:color="auto" w:fill="FFFFFF"/>
        </w:rPr>
        <w:t>.</w:t>
      </w:r>
    </w:p>
    <w:p w:rsidR="00840187" w:rsidP="000E1E55" w:rsidRDefault="008F5D95" w14:paraId="54FADE9D" w14:textId="395726EA">
      <w:pPr>
        <w:pStyle w:val="ListParagraph"/>
        <w:numPr>
          <w:ilvl w:val="0"/>
          <w:numId w:val="26"/>
        </w:numPr>
        <w:autoSpaceDE w:val="0"/>
        <w:autoSpaceDN w:val="0"/>
        <w:adjustRightInd w:val="0"/>
        <w:rPr>
          <w:color w:val="161719"/>
          <w:shd w:val="clear" w:color="auto" w:fill="FFFFFF"/>
        </w:rPr>
      </w:pPr>
      <w:r w:rsidRPr="00840187">
        <w:rPr>
          <w:color w:val="161719"/>
          <w:shd w:val="clear" w:color="auto" w:fill="FFFFFF"/>
        </w:rPr>
        <w:t>O</w:t>
      </w:r>
      <w:r w:rsidRPr="00840187" w:rsidR="002A3D55">
        <w:rPr>
          <w:b/>
        </w:rPr>
        <w:t>vernight Storage,</w:t>
      </w:r>
      <w:r w:rsidRPr="00840187" w:rsidR="002A3D55">
        <w:rPr>
          <w:bCs/>
        </w:rPr>
        <w:t xml:space="preserve"> </w:t>
      </w:r>
      <w:r w:rsidRPr="00840187" w:rsidR="006A2097">
        <w:rPr>
          <w:bCs/>
        </w:rPr>
        <w:t>developed by ASHUSA Inc., a subsidiary of Atlantica North America LLC</w:t>
      </w:r>
      <w:r w:rsidR="00BA2A16">
        <w:rPr>
          <w:bCs/>
        </w:rPr>
        <w:t xml:space="preserve">.  </w:t>
      </w:r>
      <w:r w:rsidRPr="00840187" w:rsidR="006A2097">
        <w:rPr>
          <w:bCs/>
        </w:rPr>
        <w:t>The Seller, Overnight Solar LLC, is the same entity as the Seller under the solar photovoltaic MTR contract for the Overnight Solar project</w:t>
      </w:r>
      <w:r w:rsidRPr="00840187">
        <w:rPr>
          <w:bCs/>
        </w:rPr>
        <w:t xml:space="preserve"> </w:t>
      </w:r>
      <w:r w:rsidRPr="00840187" w:rsidR="006A2097">
        <w:rPr>
          <w:bCs/>
        </w:rPr>
        <w:t>that was approved by the Commission under Advice 5248-E</w:t>
      </w:r>
      <w:r w:rsidR="00BA2A16">
        <w:rPr>
          <w:bCs/>
        </w:rPr>
        <w:t xml:space="preserve">.  </w:t>
      </w:r>
      <w:r w:rsidRPr="00840187" w:rsidR="006A2097">
        <w:rPr>
          <w:bCs/>
        </w:rPr>
        <w:t>The Overnight Storage</w:t>
      </w:r>
      <w:r w:rsidRPr="00840187">
        <w:rPr>
          <w:bCs/>
        </w:rPr>
        <w:t xml:space="preserve"> </w:t>
      </w:r>
      <w:r w:rsidRPr="00840187" w:rsidR="006A2097">
        <w:rPr>
          <w:bCs/>
        </w:rPr>
        <w:t>project will be co-located with the Overnight Solar project</w:t>
      </w:r>
      <w:r w:rsidR="00BA2A16">
        <w:rPr>
          <w:bCs/>
        </w:rPr>
        <w:t xml:space="preserve">.  </w:t>
      </w:r>
      <w:r w:rsidRPr="00840187" w:rsidR="006A2097">
        <w:rPr>
          <w:bCs/>
        </w:rPr>
        <w:t>The</w:t>
      </w:r>
      <w:r w:rsidRPr="00840187">
        <w:rPr>
          <w:bCs/>
        </w:rPr>
        <w:t xml:space="preserve"> </w:t>
      </w:r>
      <w:r w:rsidRPr="00840187" w:rsidR="005E49D9">
        <w:rPr>
          <w:bCs/>
        </w:rPr>
        <w:t>project has a</w:t>
      </w:r>
      <w:r w:rsidRPr="00840187" w:rsidR="003F35FF">
        <w:rPr>
          <w:bCs/>
        </w:rPr>
        <w:t xml:space="preserve"> Large </w:t>
      </w:r>
      <w:r w:rsidRPr="00840187" w:rsidR="003F35FF">
        <w:rPr>
          <w:color w:val="161719"/>
          <w:shd w:val="clear" w:color="auto" w:fill="FFFFFF"/>
        </w:rPr>
        <w:t>Generator Interconnection Agreement</w:t>
      </w:r>
      <w:r w:rsidRPr="00840187" w:rsidR="7356BB68">
        <w:rPr>
          <w:color w:val="161719"/>
          <w:shd w:val="clear" w:color="auto" w:fill="FFFFFF"/>
        </w:rPr>
        <w:t>, and would interconnect to the SCE transmission system</w:t>
      </w:r>
      <w:r w:rsidR="2474E07B">
        <w:rPr>
          <w:color w:val="161719"/>
          <w:shd w:val="clear" w:color="auto" w:fill="FFFFFF"/>
        </w:rPr>
        <w:t xml:space="preserve">.  </w:t>
      </w:r>
    </w:p>
    <w:p w:rsidR="003E0C29" w:rsidP="00840187" w:rsidRDefault="001454D5" w14:paraId="7E1A3160" w14:textId="16455E66">
      <w:pPr>
        <w:pStyle w:val="ListParagraph"/>
        <w:numPr>
          <w:ilvl w:val="0"/>
          <w:numId w:val="26"/>
        </w:numPr>
        <w:autoSpaceDE w:val="0"/>
        <w:autoSpaceDN w:val="0"/>
        <w:adjustRightInd w:val="0"/>
        <w:rPr>
          <w:color w:val="161719"/>
          <w:shd w:val="clear" w:color="auto" w:fill="FFFFFF"/>
        </w:rPr>
      </w:pPr>
      <w:r w:rsidRPr="00840187">
        <w:rPr>
          <w:b/>
          <w:bCs/>
          <w:color w:val="161719"/>
          <w:shd w:val="clear" w:color="auto" w:fill="FFFFFF"/>
        </w:rPr>
        <w:t>Eui</w:t>
      </w:r>
      <w:r w:rsidRPr="00840187" w:rsidR="009F6DE9">
        <w:rPr>
          <w:b/>
          <w:bCs/>
          <w:color w:val="161719"/>
          <w:shd w:val="clear" w:color="auto" w:fill="FFFFFF"/>
        </w:rPr>
        <w:t>smod</w:t>
      </w:r>
      <w:r w:rsidRPr="00840187" w:rsidR="009F6DE9">
        <w:rPr>
          <w:color w:val="161719"/>
          <w:shd w:val="clear" w:color="auto" w:fill="FFFFFF"/>
        </w:rPr>
        <w:t xml:space="preserve">, developed by </w:t>
      </w:r>
      <w:r w:rsidRPr="00840187" w:rsidR="00E72F80">
        <w:rPr>
          <w:color w:val="161719"/>
          <w:shd w:val="clear" w:color="auto" w:fill="FFFFFF"/>
        </w:rPr>
        <w:t>Euismod Project LLC</w:t>
      </w:r>
      <w:r w:rsidR="00BA2A16">
        <w:rPr>
          <w:color w:val="161719"/>
          <w:shd w:val="clear" w:color="auto" w:fill="FFFFFF"/>
        </w:rPr>
        <w:t xml:space="preserve">.  </w:t>
      </w:r>
      <w:r w:rsidRPr="00840187" w:rsidR="00E72F80">
        <w:rPr>
          <w:color w:val="161719"/>
          <w:shd w:val="clear" w:color="auto" w:fill="FFFFFF"/>
        </w:rPr>
        <w:t>The project was developed by Aypa Power, which is a portfolio company of Blackstone, a major energy infrastructure investor</w:t>
      </w:r>
      <w:r w:rsidR="00BA2A16">
        <w:rPr>
          <w:color w:val="161719"/>
          <w:shd w:val="clear" w:color="auto" w:fill="FFFFFF"/>
        </w:rPr>
        <w:t xml:space="preserve">.  </w:t>
      </w:r>
      <w:r w:rsidR="005821A4">
        <w:rPr>
          <w:color w:val="161719"/>
          <w:shd w:val="clear" w:color="auto" w:fill="FFFFFF"/>
        </w:rPr>
        <w:t>This is an 8-hour energy storage contract that would fulfill SCE’s long duration energy storage requirement</w:t>
      </w:r>
      <w:r w:rsidR="00BA2A16">
        <w:rPr>
          <w:color w:val="161719"/>
          <w:shd w:val="clear" w:color="auto" w:fill="FFFFFF"/>
        </w:rPr>
        <w:t xml:space="preserve">.  </w:t>
      </w:r>
      <w:r w:rsidRPr="00840187" w:rsidR="00E72F80">
        <w:rPr>
          <w:color w:val="161719"/>
          <w:shd w:val="clear" w:color="auto" w:fill="FFFFFF"/>
        </w:rPr>
        <w:t xml:space="preserve">The project </w:t>
      </w:r>
      <w:r w:rsidR="009C28A3">
        <w:rPr>
          <w:color w:val="161719"/>
          <w:shd w:val="clear" w:color="auto" w:fill="FFFFFF"/>
        </w:rPr>
        <w:t>is negotiating</w:t>
      </w:r>
      <w:r w:rsidRPr="00840187" w:rsidR="00E72F80">
        <w:rPr>
          <w:color w:val="161719"/>
          <w:shd w:val="clear" w:color="auto" w:fill="FFFFFF"/>
        </w:rPr>
        <w:t xml:space="preserve"> a Large Generator Interconnection Agreement</w:t>
      </w:r>
      <w:r w:rsidR="00A34D37">
        <w:rPr>
          <w:color w:val="161719"/>
          <w:shd w:val="clear" w:color="auto" w:fill="FFFFFF"/>
        </w:rPr>
        <w:t xml:space="preserve"> with SCE</w:t>
      </w:r>
      <w:r w:rsidR="229243B8">
        <w:rPr>
          <w:color w:val="161719"/>
          <w:shd w:val="clear" w:color="auto" w:fill="FFFFFF"/>
        </w:rPr>
        <w:t xml:space="preserve"> to connect to the SCE transmission system</w:t>
      </w:r>
      <w:r w:rsidRPr="00840187" w:rsidR="231700AE">
        <w:rPr>
          <w:color w:val="161719"/>
          <w:shd w:val="clear" w:color="auto" w:fill="FFFFFF"/>
        </w:rPr>
        <w:t>.</w:t>
      </w:r>
    </w:p>
    <w:p w:rsidRPr="00840187" w:rsidR="00840187" w:rsidP="00840187" w:rsidRDefault="00840187" w14:paraId="6F77329F" w14:textId="4B72BCE4">
      <w:pPr>
        <w:autoSpaceDE w:val="0"/>
        <w:autoSpaceDN w:val="0"/>
        <w:adjustRightInd w:val="0"/>
        <w:ind w:left="360"/>
        <w:rPr>
          <w:color w:val="161719"/>
          <w:shd w:val="clear" w:color="auto" w:fill="FFFFFF"/>
        </w:rPr>
      </w:pPr>
      <w:r>
        <w:rPr>
          <w:color w:val="161719"/>
          <w:shd w:val="clear" w:color="auto" w:fill="FFFFFF"/>
        </w:rPr>
        <w:t xml:space="preserve">Table </w:t>
      </w:r>
      <w:r w:rsidRPr="4320C6DD" w:rsidR="1A37A2D4">
        <w:rPr>
          <w:color w:val="161719"/>
        </w:rPr>
        <w:t xml:space="preserve">4 </w:t>
      </w:r>
      <w:r>
        <w:rPr>
          <w:color w:val="161719"/>
          <w:shd w:val="clear" w:color="auto" w:fill="FFFFFF"/>
        </w:rPr>
        <w:t xml:space="preserve">below </w:t>
      </w:r>
      <w:r w:rsidR="00552602">
        <w:rPr>
          <w:color w:val="161719"/>
          <w:shd w:val="clear" w:color="auto" w:fill="FFFFFF"/>
        </w:rPr>
        <w:t xml:space="preserve">provides a detailed </w:t>
      </w:r>
      <w:r>
        <w:rPr>
          <w:color w:val="161719"/>
          <w:shd w:val="clear" w:color="auto" w:fill="FFFFFF"/>
        </w:rPr>
        <w:t>summar</w:t>
      </w:r>
      <w:r w:rsidR="00552602">
        <w:rPr>
          <w:color w:val="161719"/>
          <w:shd w:val="clear" w:color="auto" w:fill="FFFFFF"/>
        </w:rPr>
        <w:t>y</w:t>
      </w:r>
      <w:r>
        <w:rPr>
          <w:color w:val="161719"/>
          <w:shd w:val="clear" w:color="auto" w:fill="FFFFFF"/>
        </w:rPr>
        <w:t xml:space="preserve"> of the three </w:t>
      </w:r>
      <w:r w:rsidR="00552602">
        <w:rPr>
          <w:color w:val="161719"/>
          <w:shd w:val="clear" w:color="auto" w:fill="FFFFFF"/>
        </w:rPr>
        <w:t>MTR C</w:t>
      </w:r>
      <w:r>
        <w:rPr>
          <w:color w:val="161719"/>
          <w:shd w:val="clear" w:color="auto" w:fill="FFFFFF"/>
        </w:rPr>
        <w:t>ontracts.</w:t>
      </w:r>
    </w:p>
    <w:p w:rsidRPr="00B01834" w:rsidR="003E0C29" w:rsidP="00B01834" w:rsidRDefault="00EB7C9E" w14:paraId="4DE53493" w14:textId="5161CBD0">
      <w:pPr>
        <w:tabs>
          <w:tab w:val="left" w:pos="450"/>
        </w:tabs>
        <w:autoSpaceDE w:val="0"/>
        <w:autoSpaceDN w:val="0"/>
        <w:adjustRightInd w:val="0"/>
        <w:rPr>
          <w:i/>
        </w:rPr>
      </w:pPr>
      <w:r w:rsidRPr="00B01834">
        <w:rPr>
          <w:i/>
        </w:rPr>
        <w:t>Table 4.</w:t>
      </w:r>
    </w:p>
    <w:tbl>
      <w:tblPr>
        <w:tblStyle w:val="TableGrid0"/>
        <w:tblW w:w="0" w:type="auto"/>
        <w:tblInd w:w="-5" w:type="dxa"/>
        <w:tblLook w:val="00A0" w:firstRow="1" w:lastRow="0" w:firstColumn="1" w:lastColumn="0" w:noHBand="0" w:noVBand="0"/>
      </w:tblPr>
      <w:tblGrid>
        <w:gridCol w:w="2966"/>
        <w:gridCol w:w="2569"/>
        <w:gridCol w:w="2042"/>
        <w:gridCol w:w="2084"/>
      </w:tblGrid>
      <w:tr w:rsidRPr="00313590" w:rsidR="008F6351" w:rsidTr="0026061A" w14:paraId="09B2DD5A" w14:textId="77777777">
        <w:trPr>
          <w:tblHeader/>
        </w:trPr>
        <w:tc>
          <w:tcPr>
            <w:tcW w:w="0" w:type="auto"/>
            <w:shd w:val="clear" w:color="auto" w:fill="D9D9D9" w:themeFill="background1" w:themeFillShade="D9"/>
          </w:tcPr>
          <w:p w:rsidRPr="00313590" w:rsidR="00840187" w:rsidP="00313590" w:rsidRDefault="00840187" w14:paraId="2DDC0233" w14:textId="06D937AD">
            <w:pPr>
              <w:kinsoku w:val="0"/>
              <w:overflowPunct w:val="0"/>
              <w:autoSpaceDE w:val="0"/>
              <w:autoSpaceDN w:val="0"/>
              <w:adjustRightInd w:val="0"/>
              <w:spacing w:before="40" w:after="40"/>
              <w:ind w:right="97"/>
              <w:jc w:val="center"/>
              <w:rPr>
                <w:rFonts w:cs="Arial"/>
                <w:b/>
                <w:bCs/>
                <w:spacing w:val="-2"/>
                <w:sz w:val="22"/>
                <w:szCs w:val="22"/>
              </w:rPr>
            </w:pPr>
          </w:p>
        </w:tc>
        <w:tc>
          <w:tcPr>
            <w:tcW w:w="0" w:type="auto"/>
            <w:shd w:val="clear" w:color="auto" w:fill="D9D9D9" w:themeFill="background1" w:themeFillShade="D9"/>
          </w:tcPr>
          <w:p w:rsidRPr="00313590" w:rsidR="00840187" w:rsidP="00313590" w:rsidRDefault="00E236F1" w14:paraId="6C4D251B" w14:textId="64F7E072">
            <w:pPr>
              <w:kinsoku w:val="0"/>
              <w:overflowPunct w:val="0"/>
              <w:autoSpaceDE w:val="0"/>
              <w:autoSpaceDN w:val="0"/>
              <w:adjustRightInd w:val="0"/>
              <w:spacing w:before="40" w:after="40"/>
              <w:ind w:right="97"/>
              <w:jc w:val="center"/>
              <w:rPr>
                <w:rFonts w:cs="Arial"/>
                <w:b/>
                <w:bCs/>
                <w:spacing w:val="-2"/>
                <w:sz w:val="22"/>
                <w:szCs w:val="22"/>
              </w:rPr>
            </w:pPr>
            <w:r w:rsidRPr="00313590">
              <w:rPr>
                <w:rFonts w:cs="Arial"/>
                <w:b/>
                <w:bCs/>
                <w:spacing w:val="-2"/>
                <w:sz w:val="22"/>
                <w:szCs w:val="22"/>
              </w:rPr>
              <w:t>Pier S Energy Storage</w:t>
            </w:r>
          </w:p>
        </w:tc>
        <w:tc>
          <w:tcPr>
            <w:tcW w:w="0" w:type="auto"/>
            <w:shd w:val="clear" w:color="auto" w:fill="D9D9D9" w:themeFill="background1" w:themeFillShade="D9"/>
          </w:tcPr>
          <w:p w:rsidRPr="00313590" w:rsidR="00840187" w:rsidP="00313590" w:rsidRDefault="00E236F1" w14:paraId="1084E6DB" w14:textId="239EF76C">
            <w:pPr>
              <w:kinsoku w:val="0"/>
              <w:overflowPunct w:val="0"/>
              <w:autoSpaceDE w:val="0"/>
              <w:autoSpaceDN w:val="0"/>
              <w:adjustRightInd w:val="0"/>
              <w:spacing w:before="40" w:after="40"/>
              <w:ind w:right="97"/>
              <w:jc w:val="center"/>
              <w:rPr>
                <w:rFonts w:cs="Arial"/>
                <w:b/>
                <w:bCs/>
                <w:spacing w:val="-2"/>
                <w:sz w:val="22"/>
                <w:szCs w:val="22"/>
              </w:rPr>
            </w:pPr>
            <w:r w:rsidRPr="00313590">
              <w:rPr>
                <w:rFonts w:cs="Arial"/>
                <w:b/>
                <w:bCs/>
                <w:spacing w:val="-2"/>
                <w:sz w:val="22"/>
                <w:szCs w:val="22"/>
              </w:rPr>
              <w:t>Overnight Storage</w:t>
            </w:r>
          </w:p>
        </w:tc>
        <w:tc>
          <w:tcPr>
            <w:tcW w:w="0" w:type="auto"/>
            <w:shd w:val="clear" w:color="auto" w:fill="D9D9D9" w:themeFill="background1" w:themeFillShade="D9"/>
          </w:tcPr>
          <w:p w:rsidRPr="00313590" w:rsidR="00840187" w:rsidP="00313590" w:rsidRDefault="00E236F1" w14:paraId="6E9B597F" w14:textId="216D1092">
            <w:pPr>
              <w:kinsoku w:val="0"/>
              <w:overflowPunct w:val="0"/>
              <w:autoSpaceDE w:val="0"/>
              <w:autoSpaceDN w:val="0"/>
              <w:adjustRightInd w:val="0"/>
              <w:spacing w:before="40" w:after="40"/>
              <w:ind w:right="97"/>
              <w:jc w:val="center"/>
              <w:rPr>
                <w:rFonts w:cs="Arial"/>
                <w:b/>
                <w:bCs/>
                <w:spacing w:val="-2"/>
                <w:sz w:val="22"/>
                <w:szCs w:val="22"/>
              </w:rPr>
            </w:pPr>
            <w:r w:rsidRPr="00313590">
              <w:rPr>
                <w:rFonts w:cs="Arial"/>
                <w:b/>
                <w:bCs/>
                <w:spacing w:val="-2"/>
                <w:sz w:val="22"/>
                <w:szCs w:val="22"/>
              </w:rPr>
              <w:t>Euismod</w:t>
            </w:r>
          </w:p>
        </w:tc>
      </w:tr>
      <w:tr w:rsidR="00D10D08" w:rsidTr="005554CC" w14:paraId="33FDAC27" w14:textId="77777777">
        <w:tc>
          <w:tcPr>
            <w:tcW w:w="0" w:type="auto"/>
            <w:shd w:val="clear" w:color="auto" w:fill="D9D9D9" w:themeFill="background1" w:themeFillShade="D9"/>
          </w:tcPr>
          <w:p w:rsidRPr="00D10D08" w:rsidR="00D10D08" w:rsidP="000E1E55" w:rsidRDefault="00D10D08" w14:paraId="6BE76AEB" w14:textId="77777777">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Parent Company</w:t>
            </w:r>
          </w:p>
        </w:tc>
        <w:tc>
          <w:tcPr>
            <w:tcW w:w="0" w:type="auto"/>
          </w:tcPr>
          <w:p w:rsidRPr="00B56F99" w:rsidR="00D10D08" w:rsidP="000E1E55" w:rsidRDefault="00D10D08" w14:paraId="27FDB0F5" w14:textId="77777777">
            <w:pPr>
              <w:autoSpaceDE w:val="0"/>
              <w:autoSpaceDN w:val="0"/>
              <w:adjustRightInd w:val="0"/>
              <w:rPr>
                <w:color w:val="161719"/>
                <w:shd w:val="clear" w:color="auto" w:fill="FFFFFF"/>
              </w:rPr>
            </w:pPr>
            <w:r w:rsidRPr="00313590">
              <w:rPr>
                <w:color w:val="161719"/>
                <w:shd w:val="clear" w:color="auto" w:fill="FFFFFF"/>
              </w:rPr>
              <w:t>Elevate</w:t>
            </w:r>
            <w:r>
              <w:rPr>
                <w:color w:val="161719"/>
                <w:shd w:val="clear" w:color="auto" w:fill="FFFFFF"/>
              </w:rPr>
              <w:t xml:space="preserve"> </w:t>
            </w:r>
            <w:r w:rsidRPr="00313590">
              <w:rPr>
                <w:color w:val="161719"/>
                <w:shd w:val="clear" w:color="auto" w:fill="FFFFFF"/>
              </w:rPr>
              <w:t>Renewables, an ArcLight Capital</w:t>
            </w:r>
            <w:r>
              <w:rPr>
                <w:color w:val="161719"/>
                <w:shd w:val="clear" w:color="auto" w:fill="FFFFFF"/>
              </w:rPr>
              <w:t xml:space="preserve"> </w:t>
            </w:r>
            <w:r w:rsidRPr="00313590">
              <w:rPr>
                <w:color w:val="161719"/>
                <w:shd w:val="clear" w:color="auto" w:fill="FFFFFF"/>
              </w:rPr>
              <w:t>Company</w:t>
            </w:r>
          </w:p>
        </w:tc>
        <w:tc>
          <w:tcPr>
            <w:tcW w:w="0" w:type="auto"/>
          </w:tcPr>
          <w:p w:rsidRPr="00B56F99" w:rsidR="00D10D08" w:rsidP="000E1E55" w:rsidRDefault="00D10D08" w14:paraId="4A7A7CF2" w14:textId="77777777">
            <w:pPr>
              <w:autoSpaceDE w:val="0"/>
              <w:autoSpaceDN w:val="0"/>
              <w:adjustRightInd w:val="0"/>
              <w:rPr>
                <w:color w:val="161719"/>
                <w:shd w:val="clear" w:color="auto" w:fill="FFFFFF"/>
              </w:rPr>
            </w:pPr>
            <w:r w:rsidRPr="00313590">
              <w:rPr>
                <w:color w:val="161719"/>
                <w:shd w:val="clear" w:color="auto" w:fill="FFFFFF"/>
              </w:rPr>
              <w:t>ASHUSA Inc</w:t>
            </w:r>
          </w:p>
        </w:tc>
        <w:tc>
          <w:tcPr>
            <w:tcW w:w="0" w:type="auto"/>
          </w:tcPr>
          <w:p w:rsidRPr="00B56F99" w:rsidR="00D10D08" w:rsidP="000E1E55" w:rsidRDefault="00D10D08" w14:paraId="581836DD" w14:textId="77777777">
            <w:pPr>
              <w:autoSpaceDE w:val="0"/>
              <w:autoSpaceDN w:val="0"/>
              <w:adjustRightInd w:val="0"/>
              <w:rPr>
                <w:color w:val="161719"/>
                <w:shd w:val="clear" w:color="auto" w:fill="FFFFFF"/>
              </w:rPr>
            </w:pPr>
            <w:r w:rsidRPr="00313590">
              <w:rPr>
                <w:color w:val="161719"/>
                <w:shd w:val="clear" w:color="auto" w:fill="FFFFFF"/>
              </w:rPr>
              <w:t>Aypa Power</w:t>
            </w:r>
          </w:p>
        </w:tc>
      </w:tr>
      <w:tr w:rsidR="008F6351" w:rsidTr="00D10D08" w14:paraId="39940F8A" w14:textId="77777777">
        <w:tc>
          <w:tcPr>
            <w:tcW w:w="0" w:type="auto"/>
            <w:shd w:val="clear" w:color="auto" w:fill="D9D9D9" w:themeFill="background1" w:themeFillShade="D9"/>
          </w:tcPr>
          <w:p w:rsidRPr="00D10D08" w:rsidR="00840187" w:rsidP="00D10D08" w:rsidRDefault="00840187" w14:paraId="65BC6E3B" w14:textId="0D5D06E7">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Storage Technology and Discharge Duration</w:t>
            </w:r>
          </w:p>
        </w:tc>
        <w:tc>
          <w:tcPr>
            <w:tcW w:w="0" w:type="auto"/>
          </w:tcPr>
          <w:p w:rsidRPr="00B56F99" w:rsidR="00840187" w:rsidP="00B01834" w:rsidRDefault="00840187" w14:paraId="08DDB48A" w14:textId="164890D5">
            <w:pPr>
              <w:autoSpaceDE w:val="0"/>
              <w:autoSpaceDN w:val="0"/>
              <w:adjustRightInd w:val="0"/>
              <w:rPr>
                <w:color w:val="161719"/>
                <w:shd w:val="clear" w:color="auto" w:fill="FFFFFF"/>
              </w:rPr>
            </w:pPr>
            <w:r w:rsidRPr="00B56F99">
              <w:rPr>
                <w:color w:val="161719"/>
                <w:shd w:val="clear" w:color="auto" w:fill="FFFFFF"/>
              </w:rPr>
              <w:t>Li-ion</w:t>
            </w:r>
            <w:r w:rsidRPr="00B56F99" w:rsidR="009A2699">
              <w:rPr>
                <w:color w:val="161719"/>
                <w:shd w:val="clear" w:color="auto" w:fill="FFFFFF"/>
              </w:rPr>
              <w:t xml:space="preserve"> Battery</w:t>
            </w:r>
            <w:r w:rsidRPr="00B56F99">
              <w:rPr>
                <w:color w:val="161719"/>
                <w:shd w:val="clear" w:color="auto" w:fill="FFFFFF"/>
              </w:rPr>
              <w:t>, 4-hr.</w:t>
            </w:r>
          </w:p>
        </w:tc>
        <w:tc>
          <w:tcPr>
            <w:tcW w:w="0" w:type="auto"/>
          </w:tcPr>
          <w:p w:rsidRPr="00B56F99" w:rsidR="00840187" w:rsidP="00B01834" w:rsidRDefault="00840187" w14:paraId="3C63C336" w14:textId="780CD816">
            <w:pPr>
              <w:autoSpaceDE w:val="0"/>
              <w:autoSpaceDN w:val="0"/>
              <w:adjustRightInd w:val="0"/>
              <w:rPr>
                <w:color w:val="161719"/>
                <w:shd w:val="clear" w:color="auto" w:fill="FFFFFF"/>
              </w:rPr>
            </w:pPr>
            <w:r w:rsidRPr="00B56F99">
              <w:rPr>
                <w:color w:val="161719"/>
                <w:shd w:val="clear" w:color="auto" w:fill="FFFFFF"/>
              </w:rPr>
              <w:t>Li-ion</w:t>
            </w:r>
            <w:r w:rsidRPr="00B56F99" w:rsidR="009A2699">
              <w:rPr>
                <w:color w:val="161719"/>
                <w:shd w:val="clear" w:color="auto" w:fill="FFFFFF"/>
              </w:rPr>
              <w:t xml:space="preserve"> Battery</w:t>
            </w:r>
            <w:r w:rsidRPr="00B56F99">
              <w:rPr>
                <w:color w:val="161719"/>
                <w:shd w:val="clear" w:color="auto" w:fill="FFFFFF"/>
              </w:rPr>
              <w:t>, 4-hr.</w:t>
            </w:r>
          </w:p>
        </w:tc>
        <w:tc>
          <w:tcPr>
            <w:tcW w:w="0" w:type="auto"/>
          </w:tcPr>
          <w:p w:rsidRPr="00B56F99" w:rsidR="00840187" w:rsidP="00B01834" w:rsidRDefault="00840187" w14:paraId="5A44C77B" w14:textId="0BFEDE2D">
            <w:pPr>
              <w:autoSpaceDE w:val="0"/>
              <w:autoSpaceDN w:val="0"/>
              <w:adjustRightInd w:val="0"/>
              <w:rPr>
                <w:color w:val="161719"/>
                <w:shd w:val="clear" w:color="auto" w:fill="FFFFFF"/>
              </w:rPr>
            </w:pPr>
            <w:r w:rsidRPr="00B56F99">
              <w:rPr>
                <w:color w:val="161719"/>
                <w:shd w:val="clear" w:color="auto" w:fill="FFFFFF"/>
              </w:rPr>
              <w:t>Li-ion</w:t>
            </w:r>
            <w:r w:rsidRPr="00B56F99" w:rsidR="009A2699">
              <w:rPr>
                <w:color w:val="161719"/>
                <w:shd w:val="clear" w:color="auto" w:fill="FFFFFF"/>
              </w:rPr>
              <w:t xml:space="preserve"> Battery</w:t>
            </w:r>
            <w:r w:rsidRPr="00B56F99">
              <w:rPr>
                <w:color w:val="161719"/>
                <w:shd w:val="clear" w:color="auto" w:fill="FFFFFF"/>
              </w:rPr>
              <w:t xml:space="preserve">, </w:t>
            </w:r>
            <w:r w:rsidRPr="00B56F99" w:rsidR="00E236F1">
              <w:rPr>
                <w:color w:val="161719"/>
                <w:shd w:val="clear" w:color="auto" w:fill="FFFFFF"/>
              </w:rPr>
              <w:t>8</w:t>
            </w:r>
            <w:r w:rsidRPr="00B56F99">
              <w:rPr>
                <w:rFonts w:cs="Arial"/>
                <w:color w:val="161719"/>
                <w:shd w:val="clear" w:color="auto" w:fill="FFFFFF"/>
              </w:rPr>
              <w:t>-hr</w:t>
            </w:r>
            <w:r w:rsidR="00BA2A16">
              <w:rPr>
                <w:rFonts w:cs="Arial"/>
                <w:color w:val="161719"/>
                <w:shd w:val="clear" w:color="auto" w:fill="FFFFFF"/>
              </w:rPr>
              <w:t xml:space="preserve">.  </w:t>
            </w:r>
          </w:p>
        </w:tc>
      </w:tr>
      <w:tr w:rsidR="008F6351" w:rsidTr="00D10D08" w14:paraId="643D8BBC" w14:textId="77777777">
        <w:tc>
          <w:tcPr>
            <w:tcW w:w="0" w:type="auto"/>
            <w:shd w:val="clear" w:color="auto" w:fill="D9D9D9" w:themeFill="background1" w:themeFillShade="D9"/>
          </w:tcPr>
          <w:p w:rsidRPr="00D10D08" w:rsidR="00B559B9" w:rsidP="00D10D08" w:rsidRDefault="00C71780" w14:paraId="054AD97E" w14:textId="49ADFB5E">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Co-located</w:t>
            </w:r>
          </w:p>
        </w:tc>
        <w:tc>
          <w:tcPr>
            <w:tcW w:w="0" w:type="auto"/>
          </w:tcPr>
          <w:p w:rsidRPr="00B56F99" w:rsidR="00B559B9" w:rsidP="00B01834" w:rsidRDefault="00C71780" w14:paraId="23866322" w14:textId="06C0062B">
            <w:pPr>
              <w:autoSpaceDE w:val="0"/>
              <w:autoSpaceDN w:val="0"/>
              <w:adjustRightInd w:val="0"/>
              <w:rPr>
                <w:color w:val="161719"/>
                <w:shd w:val="clear" w:color="auto" w:fill="FFFFFF"/>
              </w:rPr>
            </w:pPr>
            <w:r w:rsidRPr="00B56F99">
              <w:rPr>
                <w:color w:val="161719"/>
                <w:shd w:val="clear" w:color="auto" w:fill="FFFFFF"/>
              </w:rPr>
              <w:t>No</w:t>
            </w:r>
          </w:p>
        </w:tc>
        <w:tc>
          <w:tcPr>
            <w:tcW w:w="0" w:type="auto"/>
          </w:tcPr>
          <w:p w:rsidRPr="00B56F99" w:rsidR="00B559B9" w:rsidP="00B01834" w:rsidRDefault="00691347" w14:paraId="7595D734" w14:textId="1E19B7D9">
            <w:pPr>
              <w:autoSpaceDE w:val="0"/>
              <w:autoSpaceDN w:val="0"/>
              <w:adjustRightInd w:val="0"/>
              <w:rPr>
                <w:color w:val="161719"/>
                <w:shd w:val="clear" w:color="auto" w:fill="FFFFFF"/>
              </w:rPr>
            </w:pPr>
            <w:r w:rsidRPr="00B56F99">
              <w:rPr>
                <w:color w:val="161719"/>
                <w:shd w:val="clear" w:color="auto" w:fill="FFFFFF"/>
              </w:rPr>
              <w:t>With Overnight Solar PV project</w:t>
            </w:r>
          </w:p>
        </w:tc>
        <w:tc>
          <w:tcPr>
            <w:tcW w:w="0" w:type="auto"/>
          </w:tcPr>
          <w:p w:rsidRPr="00B56F99" w:rsidR="00B559B9" w:rsidP="00B01834" w:rsidRDefault="00691347" w14:paraId="106DED84" w14:textId="5A9281B2">
            <w:pPr>
              <w:autoSpaceDE w:val="0"/>
              <w:autoSpaceDN w:val="0"/>
              <w:adjustRightInd w:val="0"/>
              <w:rPr>
                <w:color w:val="161719"/>
                <w:shd w:val="clear" w:color="auto" w:fill="FFFFFF"/>
              </w:rPr>
            </w:pPr>
            <w:r w:rsidRPr="00B56F99">
              <w:rPr>
                <w:color w:val="161719"/>
                <w:shd w:val="clear" w:color="auto" w:fill="FFFFFF"/>
              </w:rPr>
              <w:t>No</w:t>
            </w:r>
          </w:p>
        </w:tc>
      </w:tr>
      <w:tr w:rsidR="008F6351" w:rsidTr="00D10D08" w14:paraId="1DE133F8" w14:textId="77777777">
        <w:tc>
          <w:tcPr>
            <w:tcW w:w="0" w:type="auto"/>
            <w:shd w:val="clear" w:color="auto" w:fill="D9D9D9" w:themeFill="background1" w:themeFillShade="D9"/>
          </w:tcPr>
          <w:p w:rsidRPr="00D10D08" w:rsidR="00840187" w:rsidP="00D10D08" w:rsidRDefault="00840187" w14:paraId="2324F201" w14:textId="1530A3A5">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Nameplate Capacity</w:t>
            </w:r>
          </w:p>
        </w:tc>
        <w:tc>
          <w:tcPr>
            <w:tcW w:w="0" w:type="auto"/>
          </w:tcPr>
          <w:p w:rsidRPr="00B56F99" w:rsidR="00840187" w:rsidP="00B01834" w:rsidRDefault="00E236F1" w14:paraId="5B64E2A2" w14:textId="2D4E95B8">
            <w:pPr>
              <w:autoSpaceDE w:val="0"/>
              <w:autoSpaceDN w:val="0"/>
              <w:adjustRightInd w:val="0"/>
              <w:rPr>
                <w:color w:val="161719"/>
                <w:shd w:val="clear" w:color="auto" w:fill="FFFFFF"/>
              </w:rPr>
            </w:pPr>
            <w:r w:rsidRPr="00B56F99">
              <w:rPr>
                <w:color w:val="161719"/>
                <w:shd w:val="clear" w:color="auto" w:fill="FFFFFF"/>
              </w:rPr>
              <w:t>70 MW</w:t>
            </w:r>
          </w:p>
        </w:tc>
        <w:tc>
          <w:tcPr>
            <w:tcW w:w="0" w:type="auto"/>
          </w:tcPr>
          <w:p w:rsidRPr="00B56F99" w:rsidR="00840187" w:rsidP="00B01834" w:rsidRDefault="009A2699" w14:paraId="48575A03" w14:textId="294C69D1">
            <w:pPr>
              <w:autoSpaceDE w:val="0"/>
              <w:autoSpaceDN w:val="0"/>
              <w:adjustRightInd w:val="0"/>
              <w:rPr>
                <w:color w:val="161719"/>
                <w:shd w:val="clear" w:color="auto" w:fill="FFFFFF"/>
              </w:rPr>
            </w:pPr>
            <w:r w:rsidRPr="00B56F99">
              <w:rPr>
                <w:color w:val="161719"/>
                <w:shd w:val="clear" w:color="auto" w:fill="FFFFFF"/>
              </w:rPr>
              <w:t>150 MW</w:t>
            </w:r>
          </w:p>
        </w:tc>
        <w:tc>
          <w:tcPr>
            <w:tcW w:w="0" w:type="auto"/>
          </w:tcPr>
          <w:p w:rsidRPr="00B56F99" w:rsidR="00840187" w:rsidP="00B01834" w:rsidRDefault="00691347" w14:paraId="5A24F3EA" w14:textId="738B8FCF">
            <w:pPr>
              <w:autoSpaceDE w:val="0"/>
              <w:autoSpaceDN w:val="0"/>
              <w:adjustRightInd w:val="0"/>
              <w:rPr>
                <w:color w:val="161719"/>
                <w:shd w:val="clear" w:color="auto" w:fill="FFFFFF"/>
              </w:rPr>
            </w:pPr>
            <w:r w:rsidRPr="00B56F99">
              <w:rPr>
                <w:color w:val="161719"/>
                <w:shd w:val="clear" w:color="auto" w:fill="FFFFFF"/>
              </w:rPr>
              <w:t>400 MW</w:t>
            </w:r>
          </w:p>
        </w:tc>
      </w:tr>
      <w:tr w:rsidR="008F6351" w:rsidTr="00D10D08" w14:paraId="1277BF45" w14:textId="77777777">
        <w:tc>
          <w:tcPr>
            <w:tcW w:w="0" w:type="auto"/>
            <w:shd w:val="clear" w:color="auto" w:fill="D9D9D9" w:themeFill="background1" w:themeFillShade="D9"/>
          </w:tcPr>
          <w:p w:rsidRPr="00D10D08" w:rsidR="00840187" w:rsidP="00D10D08" w:rsidRDefault="00840187" w14:paraId="7F75F7E8" w14:textId="6A422670">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Incremental ELCC Value</w:t>
            </w:r>
            <w:r w:rsidR="00D10D08">
              <w:rPr>
                <w:rFonts w:cs="Arial"/>
                <w:b/>
                <w:bCs/>
                <w:spacing w:val="-2"/>
                <w:sz w:val="22"/>
                <w:szCs w:val="22"/>
              </w:rPr>
              <w:t xml:space="preserve"> for MTR Compliance</w:t>
            </w:r>
          </w:p>
        </w:tc>
        <w:tc>
          <w:tcPr>
            <w:tcW w:w="0" w:type="auto"/>
          </w:tcPr>
          <w:p w:rsidRPr="00B56F99" w:rsidR="00840187" w:rsidP="00B01834" w:rsidRDefault="00A838EE" w14:paraId="6BB468B4" w14:textId="728468A1">
            <w:pPr>
              <w:autoSpaceDE w:val="0"/>
              <w:autoSpaceDN w:val="0"/>
              <w:adjustRightInd w:val="0"/>
              <w:rPr>
                <w:color w:val="161719"/>
                <w:shd w:val="clear" w:color="auto" w:fill="FFFFFF"/>
              </w:rPr>
            </w:pPr>
            <w:r w:rsidRPr="00B56F99">
              <w:rPr>
                <w:color w:val="161719"/>
                <w:shd w:val="clear" w:color="auto" w:fill="FFFFFF"/>
              </w:rPr>
              <w:t>54</w:t>
            </w:r>
            <w:r w:rsidRPr="00B56F99" w:rsidR="00E236F1">
              <w:rPr>
                <w:color w:val="161719"/>
                <w:shd w:val="clear" w:color="auto" w:fill="FFFFFF"/>
              </w:rPr>
              <w:t xml:space="preserve"> MW</w:t>
            </w:r>
          </w:p>
        </w:tc>
        <w:tc>
          <w:tcPr>
            <w:tcW w:w="0" w:type="auto"/>
          </w:tcPr>
          <w:p w:rsidRPr="00B56F99" w:rsidR="00840187" w:rsidP="00B01834" w:rsidRDefault="009A2699" w14:paraId="0321B11D" w14:textId="43F2E7D5">
            <w:pPr>
              <w:autoSpaceDE w:val="0"/>
              <w:autoSpaceDN w:val="0"/>
              <w:adjustRightInd w:val="0"/>
              <w:rPr>
                <w:color w:val="161719"/>
                <w:shd w:val="clear" w:color="auto" w:fill="FFFFFF"/>
              </w:rPr>
            </w:pPr>
            <w:r w:rsidRPr="00B56F99">
              <w:rPr>
                <w:color w:val="161719"/>
                <w:shd w:val="clear" w:color="auto" w:fill="FFFFFF"/>
              </w:rPr>
              <w:t>111 MW</w:t>
            </w:r>
          </w:p>
        </w:tc>
        <w:tc>
          <w:tcPr>
            <w:tcW w:w="0" w:type="auto"/>
          </w:tcPr>
          <w:p w:rsidRPr="00B56F99" w:rsidR="00840187" w:rsidP="00B01834" w:rsidRDefault="00691347" w14:paraId="3E94526B" w14:textId="2EB8EE7A">
            <w:pPr>
              <w:autoSpaceDE w:val="0"/>
              <w:autoSpaceDN w:val="0"/>
              <w:adjustRightInd w:val="0"/>
              <w:rPr>
                <w:color w:val="161719"/>
                <w:shd w:val="clear" w:color="auto" w:fill="FFFFFF"/>
              </w:rPr>
            </w:pPr>
            <w:r w:rsidRPr="00B56F99">
              <w:rPr>
                <w:color w:val="161719"/>
                <w:shd w:val="clear" w:color="auto" w:fill="FFFFFF"/>
              </w:rPr>
              <w:t>360 MW</w:t>
            </w:r>
          </w:p>
        </w:tc>
      </w:tr>
      <w:tr w:rsidR="008F6351" w:rsidTr="00D10D08" w14:paraId="48F5F3AD" w14:textId="77777777">
        <w:tc>
          <w:tcPr>
            <w:tcW w:w="0" w:type="auto"/>
            <w:shd w:val="clear" w:color="auto" w:fill="D9D9D9" w:themeFill="background1" w:themeFillShade="D9"/>
          </w:tcPr>
          <w:p w:rsidRPr="00D10D08" w:rsidR="00840187" w:rsidP="00D10D08" w:rsidRDefault="00840187" w14:paraId="088C3FBC" w14:textId="293965CB">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Initial Delivery Date (IDD)</w:t>
            </w:r>
            <w:r w:rsidRPr="00D10D08" w:rsidR="00313590">
              <w:rPr>
                <w:rFonts w:cs="Arial"/>
                <w:b/>
                <w:bCs/>
                <w:spacing w:val="-2"/>
                <w:sz w:val="22"/>
                <w:szCs w:val="22"/>
              </w:rPr>
              <w:t xml:space="preserve"> and period</w:t>
            </w:r>
          </w:p>
        </w:tc>
        <w:tc>
          <w:tcPr>
            <w:tcW w:w="0" w:type="auto"/>
          </w:tcPr>
          <w:p w:rsidRPr="00B56F99" w:rsidR="00840187" w:rsidP="00B01834" w:rsidRDefault="00840187" w14:paraId="0775CC4B" w14:textId="192EE0DD">
            <w:pPr>
              <w:autoSpaceDE w:val="0"/>
              <w:autoSpaceDN w:val="0"/>
              <w:adjustRightInd w:val="0"/>
              <w:rPr>
                <w:color w:val="161719"/>
                <w:shd w:val="clear" w:color="auto" w:fill="FFFFFF"/>
              </w:rPr>
            </w:pPr>
            <w:r w:rsidRPr="00B56F99">
              <w:rPr>
                <w:color w:val="161719"/>
                <w:shd w:val="clear" w:color="auto" w:fill="FFFFFF"/>
              </w:rPr>
              <w:t>June 1, 202</w:t>
            </w:r>
            <w:r w:rsidRPr="00B56F99" w:rsidR="00A838EE">
              <w:rPr>
                <w:color w:val="161719"/>
                <w:shd w:val="clear" w:color="auto" w:fill="FFFFFF"/>
              </w:rPr>
              <w:t>6</w:t>
            </w:r>
            <w:r w:rsidR="00313590">
              <w:rPr>
                <w:color w:val="161719"/>
                <w:shd w:val="clear" w:color="auto" w:fill="FFFFFF"/>
              </w:rPr>
              <w:t xml:space="preserve"> – May 31, 2041</w:t>
            </w:r>
          </w:p>
        </w:tc>
        <w:tc>
          <w:tcPr>
            <w:tcW w:w="0" w:type="auto"/>
          </w:tcPr>
          <w:p w:rsidRPr="00B56F99" w:rsidR="00840187" w:rsidP="00B01834" w:rsidRDefault="001F19B8" w14:paraId="4D2B072D" w14:textId="428A1989">
            <w:pPr>
              <w:autoSpaceDE w:val="0"/>
              <w:autoSpaceDN w:val="0"/>
              <w:adjustRightInd w:val="0"/>
              <w:rPr>
                <w:color w:val="161719"/>
                <w:shd w:val="clear" w:color="auto" w:fill="FFFFFF"/>
              </w:rPr>
            </w:pPr>
            <w:r w:rsidRPr="00B56F99">
              <w:rPr>
                <w:color w:val="161719"/>
                <w:shd w:val="clear" w:color="auto" w:fill="FFFFFF"/>
              </w:rPr>
              <w:t>April 1, 2027</w:t>
            </w:r>
            <w:r w:rsidR="00313590">
              <w:rPr>
                <w:color w:val="161719"/>
                <w:shd w:val="clear" w:color="auto" w:fill="FFFFFF"/>
              </w:rPr>
              <w:t xml:space="preserve"> -– March 31, 2042</w:t>
            </w:r>
          </w:p>
        </w:tc>
        <w:tc>
          <w:tcPr>
            <w:tcW w:w="0" w:type="auto"/>
          </w:tcPr>
          <w:p w:rsidRPr="00B56F99" w:rsidR="00840187" w:rsidP="00B01834" w:rsidRDefault="008F6351" w14:paraId="6FB28337" w14:textId="6F1D179D">
            <w:pPr>
              <w:autoSpaceDE w:val="0"/>
              <w:autoSpaceDN w:val="0"/>
              <w:adjustRightInd w:val="0"/>
              <w:rPr>
                <w:color w:val="161719"/>
                <w:shd w:val="clear" w:color="auto" w:fill="FFFFFF"/>
              </w:rPr>
            </w:pPr>
            <w:r w:rsidRPr="00B56F99">
              <w:rPr>
                <w:color w:val="161719"/>
                <w:shd w:val="clear" w:color="auto" w:fill="FFFFFF"/>
              </w:rPr>
              <w:t>June 1, 2028</w:t>
            </w:r>
            <w:r w:rsidR="00313590">
              <w:rPr>
                <w:color w:val="161719"/>
                <w:shd w:val="clear" w:color="auto" w:fill="FFFFFF"/>
              </w:rPr>
              <w:t xml:space="preserve"> – May 31, 2043</w:t>
            </w:r>
          </w:p>
        </w:tc>
      </w:tr>
      <w:tr w:rsidR="008F6351" w:rsidTr="00D10D08" w14:paraId="36F7C142" w14:textId="77777777">
        <w:tc>
          <w:tcPr>
            <w:tcW w:w="0" w:type="auto"/>
            <w:shd w:val="clear" w:color="auto" w:fill="D9D9D9" w:themeFill="background1" w:themeFillShade="D9"/>
          </w:tcPr>
          <w:p w:rsidRPr="00D10D08" w:rsidR="00840187" w:rsidP="00D10D08" w:rsidRDefault="00840187" w14:paraId="50940C08" w14:textId="028BB2DC">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Contract Terms (Years)</w:t>
            </w:r>
          </w:p>
        </w:tc>
        <w:tc>
          <w:tcPr>
            <w:tcW w:w="0" w:type="auto"/>
          </w:tcPr>
          <w:p w:rsidRPr="00B56F99" w:rsidR="00840187" w:rsidP="00B01834" w:rsidRDefault="00840187" w14:paraId="5A9E758F" w14:textId="550D38C9">
            <w:pPr>
              <w:autoSpaceDE w:val="0"/>
              <w:autoSpaceDN w:val="0"/>
              <w:adjustRightInd w:val="0"/>
              <w:rPr>
                <w:color w:val="161719"/>
                <w:shd w:val="clear" w:color="auto" w:fill="FFFFFF"/>
              </w:rPr>
            </w:pPr>
            <w:r w:rsidRPr="00B56F99">
              <w:rPr>
                <w:color w:val="161719"/>
                <w:shd w:val="clear" w:color="auto" w:fill="FFFFFF"/>
              </w:rPr>
              <w:t xml:space="preserve">15 </w:t>
            </w:r>
            <w:r w:rsidRPr="00B56F99" w:rsidR="001F19B8">
              <w:rPr>
                <w:color w:val="161719"/>
                <w:shd w:val="clear" w:color="auto" w:fill="FFFFFF"/>
              </w:rPr>
              <w:t>years</w:t>
            </w:r>
          </w:p>
        </w:tc>
        <w:tc>
          <w:tcPr>
            <w:tcW w:w="0" w:type="auto"/>
          </w:tcPr>
          <w:p w:rsidRPr="00B56F99" w:rsidR="00840187" w:rsidP="00B01834" w:rsidRDefault="001F19B8" w14:paraId="0C10C2F3" w14:textId="1F92980F">
            <w:pPr>
              <w:autoSpaceDE w:val="0"/>
              <w:autoSpaceDN w:val="0"/>
              <w:adjustRightInd w:val="0"/>
              <w:rPr>
                <w:color w:val="161719"/>
                <w:shd w:val="clear" w:color="auto" w:fill="FFFFFF"/>
              </w:rPr>
            </w:pPr>
            <w:r w:rsidRPr="00B56F99">
              <w:rPr>
                <w:color w:val="161719"/>
                <w:shd w:val="clear" w:color="auto" w:fill="FFFFFF"/>
              </w:rPr>
              <w:t>15 years</w:t>
            </w:r>
          </w:p>
        </w:tc>
        <w:tc>
          <w:tcPr>
            <w:tcW w:w="0" w:type="auto"/>
          </w:tcPr>
          <w:p w:rsidRPr="00B56F99" w:rsidR="00840187" w:rsidP="00B01834" w:rsidRDefault="008F6351" w14:paraId="7A138924" w14:textId="2D133C71">
            <w:pPr>
              <w:autoSpaceDE w:val="0"/>
              <w:autoSpaceDN w:val="0"/>
              <w:adjustRightInd w:val="0"/>
              <w:rPr>
                <w:color w:val="161719"/>
                <w:shd w:val="clear" w:color="auto" w:fill="FFFFFF"/>
              </w:rPr>
            </w:pPr>
            <w:r w:rsidRPr="00B56F99">
              <w:rPr>
                <w:color w:val="161719"/>
                <w:shd w:val="clear" w:color="auto" w:fill="FFFFFF"/>
              </w:rPr>
              <w:t>15 years</w:t>
            </w:r>
          </w:p>
        </w:tc>
      </w:tr>
      <w:tr w:rsidR="00313590" w:rsidTr="00D10D08" w14:paraId="0ABE21C3" w14:textId="77777777">
        <w:tc>
          <w:tcPr>
            <w:tcW w:w="0" w:type="auto"/>
            <w:shd w:val="clear" w:color="auto" w:fill="D9D9D9" w:themeFill="background1" w:themeFillShade="D9"/>
          </w:tcPr>
          <w:p w:rsidRPr="00D10D08" w:rsidR="00313590" w:rsidP="00D10D08" w:rsidRDefault="00313590" w14:paraId="66DC44E2" w14:textId="11AAC908">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Contract Type</w:t>
            </w:r>
          </w:p>
        </w:tc>
        <w:tc>
          <w:tcPr>
            <w:tcW w:w="0" w:type="auto"/>
          </w:tcPr>
          <w:p w:rsidRPr="00B56F99" w:rsidR="00313590" w:rsidP="00313590" w:rsidRDefault="00313590" w14:paraId="2B4B72C3" w14:textId="5FEEE370">
            <w:pPr>
              <w:autoSpaceDE w:val="0"/>
              <w:autoSpaceDN w:val="0"/>
              <w:adjustRightInd w:val="0"/>
              <w:rPr>
                <w:color w:val="161719"/>
                <w:shd w:val="clear" w:color="auto" w:fill="FFFFFF"/>
              </w:rPr>
            </w:pPr>
            <w:r w:rsidRPr="00B56F99">
              <w:rPr>
                <w:color w:val="161719"/>
                <w:shd w:val="clear" w:color="auto" w:fill="FFFFFF"/>
              </w:rPr>
              <w:t>RA w/ Financial Settlement</w:t>
            </w:r>
          </w:p>
        </w:tc>
        <w:tc>
          <w:tcPr>
            <w:tcW w:w="0" w:type="auto"/>
          </w:tcPr>
          <w:p w:rsidRPr="00B56F99" w:rsidR="00313590" w:rsidP="00313590" w:rsidRDefault="00313590" w14:paraId="087E6275" w14:textId="6A982DFB">
            <w:pPr>
              <w:autoSpaceDE w:val="0"/>
              <w:autoSpaceDN w:val="0"/>
              <w:adjustRightInd w:val="0"/>
              <w:rPr>
                <w:color w:val="161719"/>
                <w:shd w:val="clear" w:color="auto" w:fill="FFFFFF"/>
              </w:rPr>
            </w:pPr>
            <w:r w:rsidRPr="00B56F99">
              <w:rPr>
                <w:color w:val="161719"/>
                <w:shd w:val="clear" w:color="auto" w:fill="FFFFFF"/>
              </w:rPr>
              <w:t>RA w/ Financial Settlement</w:t>
            </w:r>
          </w:p>
        </w:tc>
        <w:tc>
          <w:tcPr>
            <w:tcW w:w="0" w:type="auto"/>
          </w:tcPr>
          <w:p w:rsidRPr="00B56F99" w:rsidR="00313590" w:rsidP="00313590" w:rsidRDefault="00313590" w14:paraId="7393DE25" w14:textId="6B28DE68">
            <w:pPr>
              <w:autoSpaceDE w:val="0"/>
              <w:autoSpaceDN w:val="0"/>
              <w:adjustRightInd w:val="0"/>
              <w:rPr>
                <w:color w:val="161719"/>
                <w:shd w:val="clear" w:color="auto" w:fill="FFFFFF"/>
              </w:rPr>
            </w:pPr>
            <w:r w:rsidRPr="00B56F99">
              <w:rPr>
                <w:color w:val="161719"/>
                <w:shd w:val="clear" w:color="auto" w:fill="FFFFFF"/>
              </w:rPr>
              <w:t>RA w/ Financial Settlement</w:t>
            </w:r>
          </w:p>
        </w:tc>
      </w:tr>
      <w:tr w:rsidR="00313590" w:rsidTr="00D10D08" w14:paraId="6D417BAF" w14:textId="77777777">
        <w:tc>
          <w:tcPr>
            <w:tcW w:w="0" w:type="auto"/>
            <w:shd w:val="clear" w:color="auto" w:fill="D9D9D9" w:themeFill="background1" w:themeFillShade="D9"/>
          </w:tcPr>
          <w:p w:rsidRPr="00D10D08" w:rsidR="00313590" w:rsidP="00D10D08" w:rsidRDefault="00D10D08" w14:paraId="59BDE4B4" w14:textId="7D447FD9">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 xml:space="preserve">Interconnection </w:t>
            </w:r>
            <w:r w:rsidRPr="00D10D08" w:rsidR="00313590">
              <w:rPr>
                <w:rFonts w:cs="Arial"/>
                <w:b/>
                <w:bCs/>
                <w:spacing w:val="-2"/>
                <w:sz w:val="22"/>
                <w:szCs w:val="22"/>
              </w:rPr>
              <w:t xml:space="preserve">Type and Point </w:t>
            </w:r>
          </w:p>
        </w:tc>
        <w:tc>
          <w:tcPr>
            <w:tcW w:w="0" w:type="auto"/>
          </w:tcPr>
          <w:p w:rsidRPr="00B56F99" w:rsidR="00313590" w:rsidP="00313590" w:rsidRDefault="00313590" w14:paraId="7E998424" w14:textId="64835263">
            <w:pPr>
              <w:autoSpaceDE w:val="0"/>
              <w:autoSpaceDN w:val="0"/>
              <w:adjustRightInd w:val="0"/>
              <w:rPr>
                <w:color w:val="161719"/>
                <w:shd w:val="clear" w:color="auto" w:fill="FFFFFF"/>
              </w:rPr>
            </w:pPr>
            <w:r w:rsidRPr="00B56F99">
              <w:rPr>
                <w:color w:val="161719"/>
                <w:shd w:val="clear" w:color="auto" w:fill="FFFFFF"/>
              </w:rPr>
              <w:t>Distribution</w:t>
            </w:r>
            <w:r w:rsidR="00BA2A16">
              <w:rPr>
                <w:color w:val="161719"/>
                <w:shd w:val="clear" w:color="auto" w:fill="FFFFFF"/>
              </w:rPr>
              <w:t xml:space="preserve">.  </w:t>
            </w:r>
            <w:r>
              <w:rPr>
                <w:color w:val="161719"/>
                <w:shd w:val="clear" w:color="auto" w:fill="FFFFFF"/>
              </w:rPr>
              <w:br/>
            </w:r>
            <w:r w:rsidRPr="00B56F99">
              <w:rPr>
                <w:color w:val="161719"/>
                <w:shd w:val="clear" w:color="auto" w:fill="FFFFFF"/>
              </w:rPr>
              <w:t xml:space="preserve">SCE Long Beach 66 </w:t>
            </w:r>
            <w:r w:rsidR="005211E9">
              <w:rPr>
                <w:color w:val="161719"/>
                <w:shd w:val="clear" w:color="auto" w:fill="FFFFFF"/>
              </w:rPr>
              <w:t>kV</w:t>
            </w:r>
            <w:r w:rsidRPr="00B56F99">
              <w:rPr>
                <w:color w:val="161719"/>
                <w:shd w:val="clear" w:color="auto" w:fill="FFFFFF"/>
              </w:rPr>
              <w:t xml:space="preserve"> substation</w:t>
            </w:r>
          </w:p>
        </w:tc>
        <w:tc>
          <w:tcPr>
            <w:tcW w:w="0" w:type="auto"/>
          </w:tcPr>
          <w:p w:rsidRPr="00B56F99" w:rsidR="00313590" w:rsidP="00313590" w:rsidRDefault="00313590" w14:paraId="32151D5F" w14:textId="64C3B27B">
            <w:pPr>
              <w:autoSpaceDE w:val="0"/>
              <w:autoSpaceDN w:val="0"/>
              <w:adjustRightInd w:val="0"/>
              <w:rPr>
                <w:color w:val="161719"/>
                <w:shd w:val="clear" w:color="auto" w:fill="FFFFFF"/>
              </w:rPr>
            </w:pPr>
            <w:r w:rsidRPr="00B56F99">
              <w:rPr>
                <w:color w:val="161719"/>
                <w:shd w:val="clear" w:color="auto" w:fill="FFFFFF"/>
              </w:rPr>
              <w:t>Transmission</w:t>
            </w:r>
            <w:r w:rsidR="00BA2A16">
              <w:rPr>
                <w:color w:val="161719"/>
                <w:shd w:val="clear" w:color="auto" w:fill="FFFFFF"/>
              </w:rPr>
              <w:t xml:space="preserve">.  </w:t>
            </w:r>
            <w:r>
              <w:rPr>
                <w:color w:val="161719"/>
                <w:shd w:val="clear" w:color="auto" w:fill="FFFFFF"/>
              </w:rPr>
              <w:br/>
            </w:r>
            <w:r w:rsidRPr="00B56F99">
              <w:rPr>
                <w:color w:val="161719"/>
                <w:shd w:val="clear" w:color="auto" w:fill="FFFFFF"/>
              </w:rPr>
              <w:t>SCE Kramer 220 kV station</w:t>
            </w:r>
          </w:p>
        </w:tc>
        <w:tc>
          <w:tcPr>
            <w:tcW w:w="0" w:type="auto"/>
          </w:tcPr>
          <w:p w:rsidRPr="00B56F99" w:rsidR="00313590" w:rsidP="00313590" w:rsidRDefault="00313590" w14:paraId="5A4EEF19" w14:textId="027AD69F">
            <w:pPr>
              <w:autoSpaceDE w:val="0"/>
              <w:autoSpaceDN w:val="0"/>
              <w:adjustRightInd w:val="0"/>
              <w:rPr>
                <w:color w:val="161719"/>
                <w:shd w:val="clear" w:color="auto" w:fill="FFFFFF"/>
              </w:rPr>
            </w:pPr>
            <w:r w:rsidRPr="00B56F99">
              <w:rPr>
                <w:color w:val="161719"/>
                <w:shd w:val="clear" w:color="auto" w:fill="FFFFFF"/>
              </w:rPr>
              <w:t>Transmission</w:t>
            </w:r>
            <w:r w:rsidR="00BA2A16">
              <w:rPr>
                <w:color w:val="161719"/>
                <w:shd w:val="clear" w:color="auto" w:fill="FFFFFF"/>
              </w:rPr>
              <w:t xml:space="preserve">.  </w:t>
            </w:r>
            <w:r>
              <w:rPr>
                <w:color w:val="161719"/>
                <w:shd w:val="clear" w:color="auto" w:fill="FFFFFF"/>
              </w:rPr>
              <w:br/>
            </w:r>
            <w:r w:rsidRPr="00B56F99">
              <w:rPr>
                <w:color w:val="161719"/>
                <w:shd w:val="clear" w:color="auto" w:fill="FFFFFF"/>
              </w:rPr>
              <w:t>SCE Whirlwind 220 kV station</w:t>
            </w:r>
          </w:p>
        </w:tc>
      </w:tr>
      <w:tr w:rsidR="00313590" w:rsidTr="00D10D08" w14:paraId="43808B8E" w14:textId="77777777">
        <w:tc>
          <w:tcPr>
            <w:tcW w:w="0" w:type="auto"/>
            <w:shd w:val="clear" w:color="auto" w:fill="D9D9D9" w:themeFill="background1" w:themeFillShade="D9"/>
          </w:tcPr>
          <w:p w:rsidRPr="00D10D08" w:rsidR="00313590" w:rsidP="00D10D08" w:rsidRDefault="00313590" w14:paraId="04010A0E" w14:textId="53ABEB30">
            <w:pPr>
              <w:kinsoku w:val="0"/>
              <w:overflowPunct w:val="0"/>
              <w:autoSpaceDE w:val="0"/>
              <w:autoSpaceDN w:val="0"/>
              <w:adjustRightInd w:val="0"/>
              <w:spacing w:before="40" w:after="40"/>
              <w:ind w:right="97"/>
              <w:jc w:val="center"/>
              <w:rPr>
                <w:rFonts w:cs="Arial"/>
                <w:b/>
                <w:bCs/>
                <w:spacing w:val="-2"/>
                <w:sz w:val="22"/>
                <w:szCs w:val="22"/>
              </w:rPr>
            </w:pPr>
            <w:r w:rsidRPr="00D10D08">
              <w:rPr>
                <w:rFonts w:cs="Arial"/>
                <w:b/>
                <w:bCs/>
                <w:spacing w:val="-2"/>
                <w:sz w:val="22"/>
                <w:szCs w:val="22"/>
              </w:rPr>
              <w:t>Location</w:t>
            </w:r>
          </w:p>
        </w:tc>
        <w:tc>
          <w:tcPr>
            <w:tcW w:w="0" w:type="auto"/>
          </w:tcPr>
          <w:p w:rsidRPr="00B56F99" w:rsidR="00313590" w:rsidP="00313590" w:rsidRDefault="00313590" w14:paraId="7E0F1DBC" w14:textId="39425E91">
            <w:pPr>
              <w:autoSpaceDE w:val="0"/>
              <w:autoSpaceDN w:val="0"/>
              <w:adjustRightInd w:val="0"/>
              <w:rPr>
                <w:color w:val="161719"/>
                <w:shd w:val="clear" w:color="auto" w:fill="FFFFFF"/>
              </w:rPr>
            </w:pPr>
            <w:r w:rsidRPr="00B56F99">
              <w:rPr>
                <w:color w:val="161719"/>
                <w:shd w:val="clear" w:color="auto" w:fill="FFFFFF"/>
              </w:rPr>
              <w:t>Long Beach, CA</w:t>
            </w:r>
          </w:p>
        </w:tc>
        <w:tc>
          <w:tcPr>
            <w:tcW w:w="0" w:type="auto"/>
          </w:tcPr>
          <w:p w:rsidRPr="00B56F99" w:rsidR="00313590" w:rsidP="00313590" w:rsidRDefault="00313590" w14:paraId="5B091F7D" w14:textId="364A1E2B">
            <w:pPr>
              <w:autoSpaceDE w:val="0"/>
              <w:autoSpaceDN w:val="0"/>
              <w:adjustRightInd w:val="0"/>
              <w:rPr>
                <w:color w:val="161719"/>
                <w:shd w:val="clear" w:color="auto" w:fill="FFFFFF"/>
              </w:rPr>
            </w:pPr>
            <w:r w:rsidRPr="00B56F99">
              <w:rPr>
                <w:color w:val="161719"/>
                <w:shd w:val="clear" w:color="auto" w:fill="FFFFFF"/>
              </w:rPr>
              <w:t>Hinkley, CA</w:t>
            </w:r>
          </w:p>
        </w:tc>
        <w:tc>
          <w:tcPr>
            <w:tcW w:w="0" w:type="auto"/>
          </w:tcPr>
          <w:p w:rsidRPr="00B56F99" w:rsidR="00313590" w:rsidP="00313590" w:rsidRDefault="00313590" w14:paraId="0020D9BE" w14:textId="17B46D57">
            <w:pPr>
              <w:autoSpaceDE w:val="0"/>
              <w:autoSpaceDN w:val="0"/>
              <w:adjustRightInd w:val="0"/>
              <w:rPr>
                <w:color w:val="161719"/>
                <w:shd w:val="clear" w:color="auto" w:fill="FFFFFF"/>
              </w:rPr>
            </w:pPr>
            <w:r w:rsidRPr="00B56F99">
              <w:rPr>
                <w:color w:val="161719"/>
                <w:shd w:val="clear" w:color="auto" w:fill="FFFFFF"/>
              </w:rPr>
              <w:t>Rosamond, CA</w:t>
            </w:r>
          </w:p>
        </w:tc>
      </w:tr>
      <w:tr w:rsidR="002F7B4B" w:rsidTr="00D10D08" w14:paraId="45365927" w14:textId="77777777">
        <w:tc>
          <w:tcPr>
            <w:tcW w:w="0" w:type="auto"/>
            <w:shd w:val="clear" w:color="auto" w:fill="D9D9D9" w:themeFill="background1" w:themeFillShade="D9"/>
          </w:tcPr>
          <w:p w:rsidRPr="00D10D08" w:rsidR="002F7B4B" w:rsidP="00D10D08" w:rsidRDefault="002F7B4B" w14:paraId="7111BF5F" w14:textId="7A892413">
            <w:pPr>
              <w:kinsoku w:val="0"/>
              <w:overflowPunct w:val="0"/>
              <w:autoSpaceDE w:val="0"/>
              <w:autoSpaceDN w:val="0"/>
              <w:adjustRightInd w:val="0"/>
              <w:spacing w:before="40" w:after="40"/>
              <w:ind w:right="97"/>
              <w:jc w:val="center"/>
              <w:rPr>
                <w:rFonts w:cs="Arial"/>
                <w:b/>
                <w:bCs/>
                <w:spacing w:val="-2"/>
                <w:sz w:val="22"/>
                <w:szCs w:val="22"/>
              </w:rPr>
            </w:pPr>
            <w:r>
              <w:rPr>
                <w:rFonts w:cs="Arial"/>
                <w:b/>
                <w:bCs/>
                <w:spacing w:val="-2"/>
                <w:sz w:val="22"/>
                <w:szCs w:val="22"/>
              </w:rPr>
              <w:lastRenderedPageBreak/>
              <w:t>Procurement</w:t>
            </w:r>
          </w:p>
        </w:tc>
        <w:tc>
          <w:tcPr>
            <w:tcW w:w="0" w:type="auto"/>
          </w:tcPr>
          <w:p w:rsidRPr="00B56F99" w:rsidR="002F7B4B" w:rsidP="00313590" w:rsidRDefault="00ED35F5" w14:paraId="50E786FD" w14:textId="48AB8A2D">
            <w:pPr>
              <w:autoSpaceDE w:val="0"/>
              <w:autoSpaceDN w:val="0"/>
              <w:adjustRightInd w:val="0"/>
              <w:rPr>
                <w:color w:val="161719"/>
                <w:shd w:val="clear" w:color="auto" w:fill="FFFFFF"/>
              </w:rPr>
            </w:pPr>
            <w:r>
              <w:rPr>
                <w:color w:val="161719"/>
                <w:shd w:val="clear" w:color="auto" w:fill="FFFFFF"/>
              </w:rPr>
              <w:t xml:space="preserve">2023 </w:t>
            </w:r>
            <w:r w:rsidR="002F7B4B">
              <w:rPr>
                <w:color w:val="161719"/>
                <w:shd w:val="clear" w:color="auto" w:fill="FFFFFF"/>
              </w:rPr>
              <w:t>MTR</w:t>
            </w:r>
            <w:r>
              <w:rPr>
                <w:color w:val="161719"/>
                <w:shd w:val="clear" w:color="auto" w:fill="FFFFFF"/>
              </w:rPr>
              <w:t xml:space="preserve"> </w:t>
            </w:r>
            <w:r w:rsidR="00475CF6">
              <w:rPr>
                <w:color w:val="161719"/>
                <w:shd w:val="clear" w:color="auto" w:fill="FFFFFF"/>
              </w:rPr>
              <w:t>Tranche</w:t>
            </w:r>
            <w:r w:rsidR="004919B8">
              <w:rPr>
                <w:color w:val="161719"/>
                <w:shd w:val="clear" w:color="auto" w:fill="FFFFFF"/>
              </w:rPr>
              <w:t xml:space="preserve"> 4</w:t>
            </w:r>
          </w:p>
        </w:tc>
        <w:tc>
          <w:tcPr>
            <w:tcW w:w="0" w:type="auto"/>
          </w:tcPr>
          <w:p w:rsidRPr="00B56F99" w:rsidR="002F7B4B" w:rsidP="00313590" w:rsidRDefault="00ED35F5" w14:paraId="5D326BE7" w14:textId="3FAABD2D">
            <w:pPr>
              <w:autoSpaceDE w:val="0"/>
              <w:autoSpaceDN w:val="0"/>
              <w:adjustRightInd w:val="0"/>
              <w:rPr>
                <w:color w:val="161719"/>
                <w:shd w:val="clear" w:color="auto" w:fill="FFFFFF"/>
              </w:rPr>
            </w:pPr>
            <w:r>
              <w:rPr>
                <w:color w:val="161719"/>
                <w:shd w:val="clear" w:color="auto" w:fill="FFFFFF"/>
              </w:rPr>
              <w:t xml:space="preserve">2023 </w:t>
            </w:r>
            <w:r w:rsidR="00475CF6">
              <w:rPr>
                <w:color w:val="161719"/>
                <w:shd w:val="clear" w:color="auto" w:fill="FFFFFF"/>
              </w:rPr>
              <w:t>MTR Tranche 5</w:t>
            </w:r>
          </w:p>
        </w:tc>
        <w:tc>
          <w:tcPr>
            <w:tcW w:w="0" w:type="auto"/>
          </w:tcPr>
          <w:p w:rsidRPr="00B56F99" w:rsidR="002F7B4B" w:rsidP="00313590" w:rsidRDefault="00ED35F5" w14:paraId="72626E82" w14:textId="20B5BB35">
            <w:pPr>
              <w:autoSpaceDE w:val="0"/>
              <w:autoSpaceDN w:val="0"/>
              <w:adjustRightInd w:val="0"/>
              <w:rPr>
                <w:color w:val="161719"/>
                <w:shd w:val="clear" w:color="auto" w:fill="FFFFFF"/>
              </w:rPr>
            </w:pPr>
            <w:r>
              <w:rPr>
                <w:color w:val="161719"/>
                <w:shd w:val="clear" w:color="auto" w:fill="FFFFFF"/>
              </w:rPr>
              <w:t xml:space="preserve">2021 </w:t>
            </w:r>
            <w:r w:rsidR="00475CF6">
              <w:rPr>
                <w:color w:val="161719"/>
                <w:shd w:val="clear" w:color="auto" w:fill="FFFFFF"/>
              </w:rPr>
              <w:t>MTR-Long Duration Storage</w:t>
            </w:r>
          </w:p>
        </w:tc>
      </w:tr>
    </w:tbl>
    <w:p w:rsidRPr="00D10D08" w:rsidR="00D10D08" w:rsidP="00D10D08" w:rsidRDefault="00D10D08" w14:paraId="0EA466AA" w14:textId="77777777"/>
    <w:p w:rsidRPr="00B01834" w:rsidR="003E0C29" w:rsidP="008477B0" w:rsidRDefault="00EB7C9E" w14:paraId="206304E3" w14:textId="7376CB4D">
      <w:pPr>
        <w:pStyle w:val="Heading2"/>
      </w:pPr>
      <w:r w:rsidRPr="00B01834">
        <w:t xml:space="preserve">SCE </w:t>
      </w:r>
      <w:r w:rsidRPr="009A3519">
        <w:t>Advice</w:t>
      </w:r>
      <w:r w:rsidRPr="00B01834">
        <w:t xml:space="preserve"> </w:t>
      </w:r>
      <w:r w:rsidRPr="001524F2">
        <w:t>Letter</w:t>
      </w:r>
      <w:r w:rsidRPr="00B01834">
        <w:t xml:space="preserve"> </w:t>
      </w:r>
      <w:r w:rsidR="00CA3035">
        <w:t>543</w:t>
      </w:r>
      <w:r w:rsidR="005821A4">
        <w:t>1</w:t>
      </w:r>
      <w:r w:rsidR="00CA3035">
        <w:t xml:space="preserve">-E </w:t>
      </w:r>
      <w:r w:rsidRPr="00B01834">
        <w:t>Request</w:t>
      </w:r>
    </w:p>
    <w:p w:rsidR="003E0C29" w:rsidP="00B01834" w:rsidRDefault="00EB7C9E" w14:paraId="7166C74B" w14:textId="04CD14DA">
      <w:pPr>
        <w:keepNext/>
      </w:pPr>
      <w:r w:rsidRPr="00B01834">
        <w:t xml:space="preserve">In AL </w:t>
      </w:r>
      <w:r w:rsidR="000144EF">
        <w:rPr>
          <w:bCs/>
          <w:szCs w:val="24"/>
        </w:rPr>
        <w:t>5431</w:t>
      </w:r>
      <w:r w:rsidRPr="00B01834">
        <w:t xml:space="preserve">-E, SCE requests that the Commission adopt a </w:t>
      </w:r>
      <w:r w:rsidR="00552602">
        <w:t>R</w:t>
      </w:r>
      <w:r w:rsidRPr="00B01834">
        <w:t xml:space="preserve">esolution no later than February </w:t>
      </w:r>
      <w:r w:rsidR="00911E66">
        <w:t>20</w:t>
      </w:r>
      <w:r w:rsidRPr="00B01834">
        <w:t>, 202</w:t>
      </w:r>
      <w:r w:rsidR="00911E66">
        <w:t>5</w:t>
      </w:r>
      <w:r w:rsidR="00BA2A16">
        <w:t xml:space="preserve">.  </w:t>
      </w:r>
      <w:r w:rsidRPr="00B01834">
        <w:t xml:space="preserve">In its request for relief, SCE specifically urges that the </w:t>
      </w:r>
      <w:r w:rsidR="00552602">
        <w:t>R</w:t>
      </w:r>
      <w:r w:rsidRPr="00B01834">
        <w:t>esolution contain the following:</w:t>
      </w:r>
      <w:r w:rsidR="00A2474C">
        <w:rPr>
          <w:rStyle w:val="FootnoteReference"/>
        </w:rPr>
        <w:footnoteReference w:id="14"/>
      </w:r>
    </w:p>
    <w:p w:rsidRPr="009F5915" w:rsidR="009F5915" w:rsidP="006B302B" w:rsidRDefault="009F5915" w14:paraId="5B2E425C" w14:textId="03F63130">
      <w:pPr>
        <w:pStyle w:val="ListParagraph"/>
        <w:numPr>
          <w:ilvl w:val="0"/>
          <w:numId w:val="33"/>
        </w:numPr>
      </w:pPr>
      <w:r w:rsidRPr="009F5915">
        <w:t>Approval of the MTR Contracts in their entirety;</w:t>
      </w:r>
    </w:p>
    <w:p w:rsidRPr="009F5915" w:rsidR="009F5915" w:rsidP="006B302B" w:rsidRDefault="009F5915" w14:paraId="18B4B3E4" w14:textId="17D98230">
      <w:pPr>
        <w:pStyle w:val="ListParagraph"/>
        <w:numPr>
          <w:ilvl w:val="0"/>
          <w:numId w:val="33"/>
        </w:numPr>
      </w:pPr>
      <w:r w:rsidRPr="009F5915">
        <w:t>A finding that the MTR Contracts are consistent with the Decisions;</w:t>
      </w:r>
    </w:p>
    <w:p w:rsidR="008C4B85" w:rsidP="006B302B" w:rsidRDefault="009F5915" w14:paraId="2EDF1FB0" w14:textId="0F99DD1F">
      <w:pPr>
        <w:pStyle w:val="ListParagraph"/>
        <w:numPr>
          <w:ilvl w:val="0"/>
          <w:numId w:val="33"/>
        </w:numPr>
      </w:pPr>
      <w:r w:rsidRPr="009F5915">
        <w:t>A finding that the MTR Contracts are for a total of 525 MW of expected</w:t>
      </w:r>
      <w:r>
        <w:t xml:space="preserve"> </w:t>
      </w:r>
      <w:r w:rsidRPr="009F5915">
        <w:t>incremental September NQC for purposes of MTR compliance;</w:t>
      </w:r>
    </w:p>
    <w:p w:rsidRPr="004663EC" w:rsidR="004663EC" w:rsidP="006B302B" w:rsidRDefault="004663EC" w14:paraId="3EFA27A0" w14:textId="58B44B93">
      <w:pPr>
        <w:pStyle w:val="ListParagraph"/>
        <w:numPr>
          <w:ilvl w:val="0"/>
          <w:numId w:val="33"/>
        </w:numPr>
      </w:pPr>
      <w:r w:rsidRPr="004663EC">
        <w:t>A finding that, of the 525 MW, the Euismod Contract is for a total of 360 MW of expected incremental September NQC for purposes of LLT compliance toward the LDES procurement requirement;</w:t>
      </w:r>
    </w:p>
    <w:p w:rsidRPr="00A2474C" w:rsidR="004663EC" w:rsidP="006B302B" w:rsidRDefault="004663EC" w14:paraId="3FBB0514" w14:textId="1DE1112C">
      <w:pPr>
        <w:pStyle w:val="ListParagraph"/>
        <w:numPr>
          <w:ilvl w:val="0"/>
          <w:numId w:val="33"/>
        </w:numPr>
      </w:pPr>
      <w:r w:rsidRPr="00A2474C">
        <w:t>A finding that the MTR Contracts and SCE's entry into them, are reasonable and prudent for all purposes, and that any payments to be made by SCE</w:t>
      </w:r>
      <w:r w:rsidRPr="00A2474C" w:rsidR="00A2474C">
        <w:t xml:space="preserve"> </w:t>
      </w:r>
      <w:r w:rsidRPr="00A2474C">
        <w:t>pursuant to the MTR Contracts are recoverable in full by SCE through the</w:t>
      </w:r>
      <w:r w:rsidRPr="00A2474C" w:rsidR="00A2474C">
        <w:t xml:space="preserve"> </w:t>
      </w:r>
      <w:r w:rsidRPr="00F8226E" w:rsidR="00F8226E">
        <w:t xml:space="preserve">Portfolio Allocation Balancing Account </w:t>
      </w:r>
      <w:r w:rsidR="00F8226E">
        <w:t>(</w:t>
      </w:r>
      <w:r w:rsidRPr="00A2474C">
        <w:t>PABA</w:t>
      </w:r>
      <w:r w:rsidR="00F8226E">
        <w:t>)</w:t>
      </w:r>
      <w:r w:rsidRPr="00A2474C">
        <w:t>, subject only to SCE's prudent administration of the MTR Contracts;</w:t>
      </w:r>
    </w:p>
    <w:p w:rsidRPr="00A2474C" w:rsidR="004663EC" w:rsidP="006B302B" w:rsidRDefault="004663EC" w14:paraId="222EB85F" w14:textId="4F4E50AD">
      <w:pPr>
        <w:pStyle w:val="ListParagraph"/>
        <w:numPr>
          <w:ilvl w:val="0"/>
          <w:numId w:val="33"/>
        </w:numPr>
      </w:pPr>
      <w:r w:rsidRPr="00A2474C">
        <w:t>Authorization for SCE to allocate the benefits and costs of the MTR Contracts</w:t>
      </w:r>
      <w:r w:rsidRPr="00A2474C" w:rsidR="00A2474C">
        <w:t xml:space="preserve"> </w:t>
      </w:r>
      <w:r w:rsidRPr="00A2474C">
        <w:t>to all applicable customers</w:t>
      </w:r>
      <w:r w:rsidR="009C0A41">
        <w:rPr>
          <w:rStyle w:val="FootnoteReference"/>
        </w:rPr>
        <w:footnoteReference w:id="15"/>
      </w:r>
      <w:r w:rsidRPr="00A2474C">
        <w:t xml:space="preserve"> as described herein via the PABA;</w:t>
      </w:r>
    </w:p>
    <w:p w:rsidRPr="00A2474C" w:rsidR="004663EC" w:rsidP="006B302B" w:rsidRDefault="004663EC" w14:paraId="4E2083BA" w14:textId="5D4BC3E5">
      <w:pPr>
        <w:pStyle w:val="ListParagraph"/>
        <w:numPr>
          <w:ilvl w:val="0"/>
          <w:numId w:val="33"/>
        </w:numPr>
      </w:pPr>
      <w:r w:rsidRPr="00A2474C">
        <w:t>Authorization for SCE to shift the allocation of the benefits and costs the MTR</w:t>
      </w:r>
      <w:r w:rsidRPr="00A2474C" w:rsidR="00A2474C">
        <w:t xml:space="preserve"> </w:t>
      </w:r>
      <w:r w:rsidRPr="00A2474C">
        <w:t>Contracts between the 2021 and 2023 PABA sub-accounts based on whether</w:t>
      </w:r>
      <w:r w:rsidRPr="00A2474C" w:rsidR="00A2474C">
        <w:t xml:space="preserve"> </w:t>
      </w:r>
      <w:r w:rsidRPr="00A2474C">
        <w:t>SCE is counting the contract toward the MTR procurement requirements in</w:t>
      </w:r>
      <w:r w:rsidRPr="00A2474C" w:rsidR="00A2474C">
        <w:t xml:space="preserve"> </w:t>
      </w:r>
      <w:r w:rsidRPr="00A2474C">
        <w:t>D.21-06-035 or D.23-02-040; and</w:t>
      </w:r>
    </w:p>
    <w:p w:rsidRPr="009F5915" w:rsidR="009F5915" w:rsidP="006B302B" w:rsidRDefault="004663EC" w14:paraId="3ED0FD95" w14:textId="651EFDEF">
      <w:pPr>
        <w:pStyle w:val="ListParagraph"/>
        <w:numPr>
          <w:ilvl w:val="0"/>
          <w:numId w:val="33"/>
        </w:numPr>
      </w:pPr>
      <w:r w:rsidRPr="004663EC">
        <w:t>Any other and further relief as the Commission finds just and reasonable.</w:t>
      </w:r>
    </w:p>
    <w:p w:rsidRPr="00B01834" w:rsidR="003E0C29" w:rsidP="008477B0" w:rsidRDefault="00EB7C9E" w14:paraId="66B6D3B6" w14:textId="31DF673C">
      <w:pPr>
        <w:pStyle w:val="Heading1"/>
        <w:spacing w:before="240" w:after="160"/>
      </w:pPr>
      <w:r w:rsidRPr="00B01834">
        <w:t>NOTICE</w:t>
      </w:r>
    </w:p>
    <w:p w:rsidRPr="00B01834" w:rsidR="003E0C29" w:rsidP="00B01834" w:rsidRDefault="00EB7C9E" w14:paraId="7EDBBB2F" w14:textId="6FE17FA5">
      <w:r w:rsidRPr="00B01834">
        <w:t xml:space="preserve">Notice of AL </w:t>
      </w:r>
      <w:r w:rsidR="000144EF">
        <w:rPr>
          <w:rFonts w:eastAsia="Palatino Linotype" w:cs="Palatino"/>
          <w:szCs w:val="24"/>
        </w:rPr>
        <w:t>5431</w:t>
      </w:r>
      <w:r w:rsidRPr="00B01834">
        <w:t>-E was made by publication in the Commission’s Daily Calendar</w:t>
      </w:r>
      <w:r w:rsidR="00BA2A16">
        <w:t xml:space="preserve">.  </w:t>
      </w:r>
      <w:r w:rsidRPr="00B01834">
        <w:t xml:space="preserve">Southern California Edison Company states that a copy of AL </w:t>
      </w:r>
      <w:r w:rsidR="000144EF">
        <w:rPr>
          <w:rFonts w:eastAsia="Palatino Linotype" w:cs="Palatino"/>
          <w:szCs w:val="24"/>
        </w:rPr>
        <w:t>5431</w:t>
      </w:r>
      <w:r w:rsidRPr="00B01834">
        <w:t>-E was mailed and distributed in accordance with Section 4 of General Order 96-B</w:t>
      </w:r>
      <w:r w:rsidR="00BA2A16">
        <w:t xml:space="preserve">.  </w:t>
      </w:r>
    </w:p>
    <w:p w:rsidRPr="009C0A41" w:rsidR="00CF17DE" w:rsidP="008477B0" w:rsidRDefault="00CF17DE" w14:paraId="5F2EA781" w14:textId="77777777">
      <w:pPr>
        <w:pStyle w:val="Heading1"/>
        <w:spacing w:before="240" w:after="160"/>
      </w:pPr>
      <w:r w:rsidRPr="009C0A41">
        <w:lastRenderedPageBreak/>
        <w:t>Protests</w:t>
      </w:r>
    </w:p>
    <w:p w:rsidRPr="00B01834" w:rsidR="003E0C29" w:rsidP="00B01834" w:rsidRDefault="00EB7C9E" w14:paraId="0F4D2D54" w14:textId="75B32AAD">
      <w:r w:rsidRPr="00B01834">
        <w:t xml:space="preserve">No protests were </w:t>
      </w:r>
      <w:r w:rsidRPr="0EC0FA15" w:rsidR="19F02FE6">
        <w:t>received</w:t>
      </w:r>
      <w:r w:rsidRPr="00B01834">
        <w:t xml:space="preserve"> </w:t>
      </w:r>
      <w:r w:rsidRPr="095FD6F1" w:rsidR="0938B4D4">
        <w:t xml:space="preserve">for </w:t>
      </w:r>
      <w:r w:rsidRPr="00B01834">
        <w:t xml:space="preserve">AL </w:t>
      </w:r>
      <w:r w:rsidRPr="4DDAA904" w:rsidR="000144EF">
        <w:rPr>
          <w:rFonts w:eastAsia="Palatino Linotype" w:cs="Palatino"/>
        </w:rPr>
        <w:t>5431</w:t>
      </w:r>
      <w:r w:rsidRPr="00B01834">
        <w:t>-E.</w:t>
      </w:r>
    </w:p>
    <w:p w:rsidRPr="00F438EB" w:rsidR="00CF17DE" w:rsidP="008477B0" w:rsidRDefault="00CF17DE" w14:paraId="53896BF9" w14:textId="77777777">
      <w:pPr>
        <w:pStyle w:val="Heading1"/>
        <w:spacing w:before="240" w:after="160"/>
      </w:pPr>
      <w:r w:rsidRPr="00F438EB">
        <w:t>Discussion</w:t>
      </w:r>
    </w:p>
    <w:p w:rsidRPr="00B01834" w:rsidR="003E0C29" w:rsidP="00B01834" w:rsidRDefault="00EB7C9E" w14:paraId="4A65AA80" w14:textId="521AF8D1">
      <w:pPr>
        <w:autoSpaceDE w:val="0"/>
        <w:autoSpaceDN w:val="0"/>
        <w:adjustRightInd w:val="0"/>
      </w:pPr>
      <w:r w:rsidRPr="00B01834">
        <w:t xml:space="preserve">The Commission has reviewed AL </w:t>
      </w:r>
      <w:r w:rsidR="000144EF">
        <w:rPr>
          <w:szCs w:val="24"/>
        </w:rPr>
        <w:t>5431</w:t>
      </w:r>
      <w:r w:rsidRPr="00B01834">
        <w:t xml:space="preserve">-E and finds that SCE’s request for approval and cost recovery of the </w:t>
      </w:r>
      <w:r w:rsidR="00CA4E69">
        <w:t>three</w:t>
      </w:r>
      <w:r w:rsidRPr="00B01834">
        <w:t xml:space="preserve"> MTR Contracts and the form and substance of the </w:t>
      </w:r>
      <w:r w:rsidR="00552602">
        <w:t>MTR C</w:t>
      </w:r>
      <w:r w:rsidRPr="00B01834">
        <w:t>ontracts to be reasonable</w:t>
      </w:r>
      <w:r w:rsidR="00BA2A16">
        <w:t xml:space="preserve">.  </w:t>
      </w:r>
    </w:p>
    <w:p w:rsidRPr="00400F45" w:rsidR="003E0C29" w:rsidP="00EE25F2" w:rsidRDefault="00EB7C9E" w14:paraId="3FB87781" w14:textId="5DA7F8F9">
      <w:pPr>
        <w:pStyle w:val="Heading3"/>
      </w:pPr>
      <w:r w:rsidRPr="00400F45">
        <w:t>Procurement Methodology, Evaluation, and Cost Reasonableness</w:t>
      </w:r>
    </w:p>
    <w:p w:rsidR="0055213B" w:rsidP="00B01834" w:rsidRDefault="00EB7C9E" w14:paraId="7E958F5D" w14:textId="2803331D">
      <w:pPr>
        <w:autoSpaceDE w:val="0"/>
        <w:autoSpaceDN w:val="0"/>
        <w:adjustRightInd w:val="0"/>
      </w:pPr>
      <w:r w:rsidRPr="00B01834">
        <w:t xml:space="preserve">SCE issued its Phase 2 MTR RFO on October 20, 2022, to solicit offers </w:t>
      </w:r>
      <w:r w:rsidR="00552602">
        <w:t>for</w:t>
      </w:r>
      <w:r w:rsidRPr="00B01834" w:rsidR="00552602">
        <w:t xml:space="preserve"> </w:t>
      </w:r>
      <w:r w:rsidRPr="00B01834">
        <w:t xml:space="preserve">incremental resources that </w:t>
      </w:r>
      <w:r w:rsidR="00552602">
        <w:t>could</w:t>
      </w:r>
      <w:r w:rsidRPr="00B01834" w:rsidR="00552602">
        <w:t xml:space="preserve"> </w:t>
      </w:r>
      <w:r w:rsidRPr="00B01834">
        <w:t xml:space="preserve">meet its </w:t>
      </w:r>
      <w:r w:rsidR="00552602">
        <w:t>MTR requirements</w:t>
      </w:r>
      <w:r w:rsidRPr="00B01834">
        <w:t xml:space="preserve"> for the years 2025 through 2026</w:t>
      </w:r>
      <w:r w:rsidR="00BA2A16">
        <w:t xml:space="preserve">.  </w:t>
      </w:r>
      <w:r w:rsidRPr="00B01834">
        <w:t>SCE launched its Phase 3 RFO on February 23, 2023</w:t>
      </w:r>
      <w:r w:rsidR="00FB4C86">
        <w:t xml:space="preserve">, for </w:t>
      </w:r>
      <w:r w:rsidR="00552602">
        <w:t xml:space="preserve">resources with </w:t>
      </w:r>
      <w:r w:rsidR="00FB4C86">
        <w:t xml:space="preserve">deliveries </w:t>
      </w:r>
      <w:r w:rsidR="00860388">
        <w:t>in</w:t>
      </w:r>
      <w:r w:rsidR="00FB4C86">
        <w:t xml:space="preserve"> 2026 and 2027</w:t>
      </w:r>
      <w:r w:rsidR="00BA2A16">
        <w:t xml:space="preserve">.  </w:t>
      </w:r>
      <w:r w:rsidRPr="00B01834">
        <w:t>SCE consulted the Procurement Review Group (PRG) regularly throughout the MTR RFO process, beginning with its announcement to the PRG on October 19, 2022 regarding the MTR RFO launch</w:t>
      </w:r>
      <w:r w:rsidR="00BA2A16">
        <w:t xml:space="preserve">.  </w:t>
      </w:r>
      <w:r w:rsidRPr="00FB4C86">
        <w:t>SCE consulted with the PRG on March 3, 2023 and June 8, 2023, on its recommended shortlists for Phases 2 and 3, respectively.</w:t>
      </w:r>
      <w:r w:rsidRPr="00FB4C86" w:rsidR="00FB4C86">
        <w:rPr>
          <w:rStyle w:val="FootnoteReference"/>
        </w:rPr>
        <w:footnoteReference w:id="16"/>
      </w:r>
      <w:r w:rsidRPr="00FB4C86" w:rsidR="00FB4C86">
        <w:t xml:space="preserve"> </w:t>
      </w:r>
      <w:r w:rsidRPr="00FB4C86">
        <w:t xml:space="preserve"> SCE subsequently consulted with the PRG on </w:t>
      </w:r>
      <w:r w:rsidR="00FB4C86">
        <w:t>September 5, 2024</w:t>
      </w:r>
      <w:r w:rsidRPr="00FB4C86">
        <w:t xml:space="preserve">, </w:t>
      </w:r>
      <w:r w:rsidR="00552602">
        <w:t xml:space="preserve">regarding </w:t>
      </w:r>
      <w:r w:rsidR="00FB4C86">
        <w:t>the Pier S and Eu</w:t>
      </w:r>
      <w:r w:rsidR="00C54F75">
        <w:t>i</w:t>
      </w:r>
      <w:r w:rsidR="00FB4C86">
        <w:t>smod contracts</w:t>
      </w:r>
      <w:r w:rsidR="00BF7CBE">
        <w:t>, and October 9, 2024, for the Overnight Storage contract</w:t>
      </w:r>
      <w:r w:rsidRPr="00FB4C86">
        <w:t>.</w:t>
      </w:r>
      <w:r w:rsidR="00BF7CBE">
        <w:rPr>
          <w:rStyle w:val="FootnoteReference"/>
        </w:rPr>
        <w:footnoteReference w:id="17"/>
      </w:r>
      <w:r w:rsidRPr="00B01834">
        <w:t xml:space="preserve"> </w:t>
      </w:r>
    </w:p>
    <w:p w:rsidRPr="000271C5" w:rsidR="00794936" w:rsidP="00275B87" w:rsidRDefault="00794936" w14:paraId="4FADE806" w14:textId="798B2AD2">
      <w:r w:rsidRPr="00DA17D3">
        <w:t xml:space="preserve">To evaluate </w:t>
      </w:r>
      <w:r>
        <w:t xml:space="preserve">the </w:t>
      </w:r>
      <w:r w:rsidRPr="00DA17D3">
        <w:t>Phase 2 and Phase 3 MTR offers, SCE used its least-cost best-fit (LCBF) methodology, which incorporated a conformance screen, a Net Present Value (NPV) calculation, and a selection of offers with consideration of qualitative factors into its evaluation.</w:t>
      </w:r>
      <w:r w:rsidRPr="00C71E14">
        <w:t xml:space="preserve"> </w:t>
      </w:r>
      <w:r w:rsidRPr="00DA17D3">
        <w:t xml:space="preserve">The conformance screen required resources to meet D.21-06-035 requirements and other project variability criteria. The NPV calculations were based on a cost/benefit analysis, where </w:t>
      </w:r>
      <w:r w:rsidR="00552602">
        <w:t xml:space="preserve">NPV </w:t>
      </w:r>
      <w:r w:rsidRPr="00DA17D3">
        <w:t xml:space="preserve">benefits were measured in value streams from resource adequacy, energy, ancillary services, renewable energy credits attributes, and a financial energy settlement. The NPV costs were measured in cost streams from contract payments, debt equivalence, energy, variable operations &amp; maintenance expenses, and transmission upgrade attributes. After the NPV analysis was completed, viable projects were further selected </w:t>
      </w:r>
      <w:r>
        <w:t xml:space="preserve">based </w:t>
      </w:r>
      <w:r w:rsidRPr="00DA17D3">
        <w:t>on their ability to meet the procurement required by D.21-06-035, as modified by D.23-02-040, which was implemented nearly one week after SCE’s launch</w:t>
      </w:r>
      <w:r w:rsidR="00552602">
        <w:t>ed</w:t>
      </w:r>
      <w:r w:rsidRPr="00DA17D3">
        <w:t xml:space="preserve"> its Phase 3 MTR</w:t>
      </w:r>
      <w:r>
        <w:t xml:space="preserve"> </w:t>
      </w:r>
      <w:r w:rsidRPr="00DA17D3">
        <w:t>RFO.</w:t>
      </w:r>
      <w:r>
        <w:t xml:space="preserve"> </w:t>
      </w:r>
    </w:p>
    <w:p w:rsidR="00CA3035" w:rsidP="00B01834" w:rsidRDefault="00EB7C9E" w14:paraId="04ED02AD" w14:textId="5E99EF1E">
      <w:pPr>
        <w:autoSpaceDE w:val="0"/>
        <w:autoSpaceDN w:val="0"/>
        <w:adjustRightInd w:val="0"/>
      </w:pPr>
      <w:r w:rsidRPr="00B01834">
        <w:t>SCE retained Sedway Consulting Inc</w:t>
      </w:r>
      <w:r w:rsidR="00BA2A16">
        <w:t xml:space="preserve">. </w:t>
      </w:r>
      <w:r w:rsidRPr="00B01834">
        <w:t>(Sedway) as the Independent Evaluator (IE) to oversee the MTR RFO</w:t>
      </w:r>
      <w:r w:rsidR="00BA2A16">
        <w:t xml:space="preserve">.  </w:t>
      </w:r>
      <w:r w:rsidRPr="00B01834">
        <w:t xml:space="preserve">Sedway was involved in the review of MTR RFO documents, reviewed SCE’s offer valuation process, participated in communications, conference calls and negotiation sessions; and reviewed email exchanges and other documents exchanged </w:t>
      </w:r>
      <w:r w:rsidRPr="00B01834">
        <w:lastRenderedPageBreak/>
        <w:t>by SCE and bidders</w:t>
      </w:r>
      <w:r w:rsidR="00BA2A16">
        <w:t xml:space="preserve">.  </w:t>
      </w:r>
      <w:r w:rsidRPr="00B01834">
        <w:t>Sedway also participated in the PRG communications and conducted its own independent parallel evaluation of the offers</w:t>
      </w:r>
      <w:r w:rsidR="00BA2A16">
        <w:t xml:space="preserve">.  </w:t>
      </w:r>
    </w:p>
    <w:p w:rsidRPr="00B01834" w:rsidR="003E0C29" w:rsidP="00B01834" w:rsidRDefault="00EB7C9E" w14:paraId="6250F871" w14:textId="12CE0E98">
      <w:pPr>
        <w:autoSpaceDE w:val="0"/>
        <w:autoSpaceDN w:val="0"/>
        <w:adjustRightInd w:val="0"/>
      </w:pPr>
      <w:r w:rsidRPr="00B01834">
        <w:t xml:space="preserve">In its </w:t>
      </w:r>
      <w:r w:rsidR="00552602">
        <w:t>IE R</w:t>
      </w:r>
      <w:r w:rsidRPr="00B01834">
        <w:t>eport, Sedway offered several conclusions</w:t>
      </w:r>
      <w:r w:rsidR="00B34A30">
        <w:t xml:space="preserve"> to the following questions</w:t>
      </w:r>
      <w:r w:rsidR="00CA3035">
        <w:t xml:space="preserve">, with the respective </w:t>
      </w:r>
      <w:r w:rsidR="005D0890">
        <w:t xml:space="preserve">summarized </w:t>
      </w:r>
      <w:r w:rsidR="00CA3035">
        <w:t>responses</w:t>
      </w:r>
      <w:r w:rsidRPr="00B01834">
        <w:t>:</w:t>
      </w:r>
    </w:p>
    <w:p w:rsidR="00B34A30" w:rsidP="00B34A30" w:rsidRDefault="00B34A30" w14:paraId="01B3DF5C" w14:textId="530532A0">
      <w:pPr>
        <w:pStyle w:val="ListParagraph"/>
        <w:numPr>
          <w:ilvl w:val="0"/>
          <w:numId w:val="35"/>
        </w:numPr>
      </w:pPr>
      <w:r>
        <w:t xml:space="preserve">Was The IOU’s Methodology For Bid Evaluation and Selection Designed Fairly? </w:t>
      </w:r>
    </w:p>
    <w:p w:rsidR="005D0890" w:rsidP="00C71E14" w:rsidRDefault="005D0890" w14:paraId="445F98EA" w14:textId="7069AE91">
      <w:pPr>
        <w:pStyle w:val="ListParagraph"/>
        <w:ind w:left="1080"/>
      </w:pPr>
      <w:r w:rsidRPr="00FE510D">
        <w:rPr>
          <w:i/>
          <w:iCs/>
        </w:rPr>
        <w:t xml:space="preserve">Sedway Consulting concluded that the SCE evaluation design was </w:t>
      </w:r>
      <w:r w:rsidRPr="00FE510D" w:rsidR="00A61A9D">
        <w:rPr>
          <w:i/>
          <w:iCs/>
        </w:rPr>
        <w:t>rigorous and fa</w:t>
      </w:r>
      <w:r w:rsidRPr="00FE510D" w:rsidR="00AB7568">
        <w:rPr>
          <w:i/>
          <w:iCs/>
        </w:rPr>
        <w:t>ir and did not</w:t>
      </w:r>
      <w:r w:rsidRPr="00FE510D" w:rsidR="004975BB">
        <w:rPr>
          <w:i/>
          <w:iCs/>
        </w:rPr>
        <w:t xml:space="preserve"> favor</w:t>
      </w:r>
      <w:r w:rsidRPr="00FE510D" w:rsidR="00BD69C0">
        <w:rPr>
          <w:i/>
          <w:iCs/>
        </w:rPr>
        <w:t xml:space="preserve"> or disadvantage any bidder or technology</w:t>
      </w:r>
      <w:r w:rsidRPr="00FE510D" w:rsidR="007C4E88">
        <w:rPr>
          <w:i/>
          <w:iCs/>
        </w:rPr>
        <w:t>.</w:t>
      </w:r>
      <w:r w:rsidRPr="00FE510D" w:rsidR="00C1096F">
        <w:rPr>
          <w:i/>
          <w:iCs/>
        </w:rPr>
        <w:t xml:space="preserve">  In addition, </w:t>
      </w:r>
      <w:r w:rsidRPr="00FE510D" w:rsidR="00231DE9">
        <w:rPr>
          <w:i/>
          <w:iCs/>
        </w:rPr>
        <w:t>to the best of Sedway’s understanding, SCE</w:t>
      </w:r>
      <w:r w:rsidRPr="00FE510D" w:rsidR="0090702D">
        <w:rPr>
          <w:i/>
          <w:iCs/>
        </w:rPr>
        <w:t xml:space="preserve"> methodologies</w:t>
      </w:r>
      <w:r w:rsidRPr="00FE510D" w:rsidR="00452C74">
        <w:rPr>
          <w:i/>
          <w:iCs/>
        </w:rPr>
        <w:t xml:space="preserve"> were consistent with CPUC direction.</w:t>
      </w:r>
      <w:r w:rsidRPr="00452C74" w:rsidR="00452C74">
        <w:rPr>
          <w:rStyle w:val="FootnoteReference"/>
        </w:rPr>
        <w:t xml:space="preserve"> </w:t>
      </w:r>
      <w:r w:rsidR="00452C74">
        <w:rPr>
          <w:rStyle w:val="FootnoteReference"/>
        </w:rPr>
        <w:footnoteReference w:id="18"/>
      </w:r>
    </w:p>
    <w:p w:rsidR="005D0890" w:rsidP="005D0890" w:rsidRDefault="005D0890" w14:paraId="2169C646" w14:textId="77777777">
      <w:pPr>
        <w:pStyle w:val="ListParagraph"/>
        <w:ind w:left="1080"/>
      </w:pPr>
    </w:p>
    <w:p w:rsidR="00B34A30" w:rsidP="00B34A30" w:rsidRDefault="00B34A30" w14:paraId="472E4BF7" w14:textId="529886EF">
      <w:pPr>
        <w:pStyle w:val="ListParagraph"/>
        <w:numPr>
          <w:ilvl w:val="0"/>
          <w:numId w:val="35"/>
        </w:numPr>
      </w:pPr>
      <w:r w:rsidRPr="00B34A30">
        <w:t xml:space="preserve">Was The </w:t>
      </w:r>
      <w:r>
        <w:t>Least Cost Best Fit</w:t>
      </w:r>
      <w:r w:rsidRPr="00B34A30">
        <w:t xml:space="preserve"> </w:t>
      </w:r>
      <w:r w:rsidR="005176EC">
        <w:t xml:space="preserve">(LCBF) </w:t>
      </w:r>
      <w:r w:rsidRPr="00B34A30">
        <w:t>Evaluation Process Fairly Administered?</w:t>
      </w:r>
    </w:p>
    <w:p w:rsidR="00A710CA" w:rsidP="00C71E14" w:rsidRDefault="00182E23" w14:paraId="7F8C324A" w14:textId="74FC9593">
      <w:pPr>
        <w:pStyle w:val="ListParagraph"/>
        <w:ind w:left="1080"/>
      </w:pPr>
      <w:r w:rsidRPr="00FE510D">
        <w:rPr>
          <w:i/>
          <w:iCs/>
        </w:rPr>
        <w:t>Se</w:t>
      </w:r>
      <w:r w:rsidRPr="00FE510D" w:rsidR="00C53110">
        <w:rPr>
          <w:i/>
          <w:iCs/>
        </w:rPr>
        <w:t>d</w:t>
      </w:r>
      <w:r w:rsidRPr="00FE510D">
        <w:rPr>
          <w:i/>
          <w:iCs/>
        </w:rPr>
        <w:t>way consulting believes that SCE’s LCBF was</w:t>
      </w:r>
      <w:r w:rsidRPr="00FE510D" w:rsidR="00AB5109">
        <w:rPr>
          <w:i/>
          <w:iCs/>
        </w:rPr>
        <w:t xml:space="preserve"> also fair and </w:t>
      </w:r>
      <w:r w:rsidRPr="00FE510D" w:rsidR="007F311C">
        <w:rPr>
          <w:i/>
          <w:iCs/>
        </w:rPr>
        <w:t>rigorous</w:t>
      </w:r>
      <w:r w:rsidRPr="00FE510D" w:rsidR="00AB5109">
        <w:rPr>
          <w:i/>
          <w:iCs/>
        </w:rPr>
        <w:t xml:space="preserve"> and consistent with evaluation approaches at it has seen applied in other </w:t>
      </w:r>
      <w:r w:rsidRPr="00FE510D" w:rsidR="007F311C">
        <w:rPr>
          <w:i/>
          <w:iCs/>
        </w:rPr>
        <w:t xml:space="preserve">utilities’ </w:t>
      </w:r>
      <w:r w:rsidRPr="00FE510D" w:rsidR="00E13424">
        <w:rPr>
          <w:i/>
          <w:iCs/>
        </w:rPr>
        <w:t xml:space="preserve">solicitations </w:t>
      </w:r>
      <w:r w:rsidRPr="00FE510D" w:rsidR="003D2BDF">
        <w:rPr>
          <w:i/>
          <w:iCs/>
        </w:rPr>
        <w:t xml:space="preserve">and it complied with </w:t>
      </w:r>
      <w:r w:rsidRPr="00FE510D" w:rsidR="00E13424">
        <w:rPr>
          <w:i/>
          <w:iCs/>
        </w:rPr>
        <w:t>t</w:t>
      </w:r>
      <w:r w:rsidRPr="00FE510D" w:rsidR="003D2BDF">
        <w:rPr>
          <w:i/>
          <w:iCs/>
        </w:rPr>
        <w:t>he LCBF criteria.</w:t>
      </w:r>
      <w:r w:rsidRPr="00FE510D" w:rsidR="00E00B8A">
        <w:rPr>
          <w:i/>
          <w:iCs/>
        </w:rPr>
        <w:t xml:space="preserve">  Furthermore, </w:t>
      </w:r>
      <w:r w:rsidRPr="00FE510D" w:rsidR="00204E37">
        <w:rPr>
          <w:i/>
          <w:iCs/>
        </w:rPr>
        <w:t>Segway</w:t>
      </w:r>
      <w:r w:rsidRPr="00FE510D" w:rsidR="00E00B8A">
        <w:rPr>
          <w:i/>
          <w:iCs/>
        </w:rPr>
        <w:t xml:space="preserve"> believes SCE’s evaluation </w:t>
      </w:r>
      <w:r w:rsidRPr="00FE510D" w:rsidR="001157D0">
        <w:rPr>
          <w:i/>
          <w:iCs/>
        </w:rPr>
        <w:t>using the LCBF was fair to</w:t>
      </w:r>
      <w:r w:rsidRPr="00FE510D" w:rsidR="00BC2FA6">
        <w:rPr>
          <w:i/>
          <w:iCs/>
        </w:rPr>
        <w:t xml:space="preserve"> </w:t>
      </w:r>
      <w:r w:rsidRPr="00FE510D" w:rsidR="001157D0">
        <w:rPr>
          <w:i/>
          <w:iCs/>
        </w:rPr>
        <w:t xml:space="preserve">all bidders and product types were treated consistently and had equal opportunity </w:t>
      </w:r>
      <w:r w:rsidRPr="00FE510D" w:rsidR="0011401D">
        <w:rPr>
          <w:i/>
          <w:iCs/>
        </w:rPr>
        <w:t xml:space="preserve">to make it on the short list and complete the </w:t>
      </w:r>
      <w:r w:rsidRPr="00FE510D" w:rsidR="001157D0">
        <w:rPr>
          <w:i/>
          <w:iCs/>
        </w:rPr>
        <w:t>negotiation process</w:t>
      </w:r>
      <w:r w:rsidR="0011401D">
        <w:t>.</w:t>
      </w:r>
      <w:r w:rsidR="0011401D">
        <w:rPr>
          <w:rStyle w:val="FootnoteReference"/>
        </w:rPr>
        <w:footnoteReference w:id="19"/>
      </w:r>
    </w:p>
    <w:p w:rsidR="00B34A30" w:rsidP="000E1E55" w:rsidRDefault="00B34A30" w14:paraId="60DDD5F6" w14:textId="48043898">
      <w:pPr>
        <w:pStyle w:val="ListParagraph"/>
        <w:numPr>
          <w:ilvl w:val="0"/>
          <w:numId w:val="35"/>
        </w:numPr>
      </w:pPr>
      <w:r w:rsidRPr="00B34A30">
        <w:t xml:space="preserve">How Did the </w:t>
      </w:r>
      <w:r>
        <w:t>IOU</w:t>
      </w:r>
      <w:r w:rsidRPr="00B34A30">
        <w:t xml:space="preserve"> Conduct Outreach </w:t>
      </w:r>
      <w:r w:rsidRPr="00B34A30" w:rsidR="00E23C58">
        <w:t>to</w:t>
      </w:r>
      <w:r w:rsidRPr="00B34A30">
        <w:t xml:space="preserve"> Bidders, </w:t>
      </w:r>
      <w:r w:rsidR="00E23C58">
        <w:t>a</w:t>
      </w:r>
      <w:r w:rsidRPr="00B34A30">
        <w:t xml:space="preserve">nd Was </w:t>
      </w:r>
      <w:r w:rsidRPr="00B34A30" w:rsidR="00E23C58">
        <w:t>the</w:t>
      </w:r>
      <w:r w:rsidRPr="00B34A30">
        <w:t xml:space="preserve"> Solicitation Robust?</w:t>
      </w:r>
    </w:p>
    <w:p w:rsidRPr="002C3503" w:rsidR="002C3503" w:rsidP="00FC6372" w:rsidRDefault="00A10798" w14:paraId="6FD322AE" w14:textId="6BC122F6">
      <w:pPr>
        <w:pStyle w:val="ListParagraph"/>
        <w:ind w:left="1080"/>
      </w:pPr>
      <w:r w:rsidRPr="00FE510D">
        <w:rPr>
          <w:i/>
          <w:iCs/>
        </w:rPr>
        <w:t>Se</w:t>
      </w:r>
      <w:r w:rsidRPr="00FE510D" w:rsidR="00C53110">
        <w:rPr>
          <w:i/>
          <w:iCs/>
        </w:rPr>
        <w:t>d</w:t>
      </w:r>
      <w:r w:rsidRPr="00FE510D">
        <w:rPr>
          <w:i/>
          <w:iCs/>
        </w:rPr>
        <w:t>way</w:t>
      </w:r>
      <w:r w:rsidRPr="00FE510D" w:rsidR="00FC6372">
        <w:rPr>
          <w:i/>
          <w:iCs/>
        </w:rPr>
        <w:t xml:space="preserve"> noted that </w:t>
      </w:r>
      <w:r w:rsidRPr="00FE510D" w:rsidR="00793BAE">
        <w:rPr>
          <w:i/>
          <w:iCs/>
        </w:rPr>
        <w:t>SCE used the PowerAd</w:t>
      </w:r>
      <w:r w:rsidRPr="00FE510D" w:rsidR="00930CAE">
        <w:rPr>
          <w:i/>
          <w:iCs/>
        </w:rPr>
        <w:t>vocate website and SCE issued emails to over 2,500 industry contacts</w:t>
      </w:r>
      <w:r w:rsidRPr="00FE510D" w:rsidR="00CC3BDA">
        <w:rPr>
          <w:i/>
          <w:iCs/>
        </w:rPr>
        <w:t xml:space="preserve"> of the MTR RFO</w:t>
      </w:r>
      <w:r w:rsidR="00CC3BDA">
        <w:t>.</w:t>
      </w:r>
      <w:r w:rsidR="00CC7F05">
        <w:rPr>
          <w:rStyle w:val="FootnoteReference"/>
        </w:rPr>
        <w:footnoteReference w:id="20"/>
      </w:r>
      <w:r w:rsidR="00CC3BDA">
        <w:t xml:space="preserve">  </w:t>
      </w:r>
    </w:p>
    <w:p w:rsidR="000F2FCB" w:rsidP="000F2FCB" w:rsidRDefault="000F2FCB" w14:paraId="0AED4791" w14:textId="77777777">
      <w:pPr>
        <w:pStyle w:val="ListParagraph"/>
        <w:numPr>
          <w:ilvl w:val="0"/>
          <w:numId w:val="35"/>
        </w:numPr>
      </w:pPr>
      <w:r w:rsidRPr="00B34A30">
        <w:t xml:space="preserve">Does The Contract Merit </w:t>
      </w:r>
      <w:r>
        <w:t>CPUC</w:t>
      </w:r>
      <w:r w:rsidRPr="00B34A30">
        <w:t xml:space="preserve"> Approval? Is The Contract Reasonably Priced and Needed </w:t>
      </w:r>
      <w:r>
        <w:t>a</w:t>
      </w:r>
      <w:r w:rsidRPr="00B34A30">
        <w:t xml:space="preserve">nd Does It Reflect </w:t>
      </w:r>
      <w:r>
        <w:t>a</w:t>
      </w:r>
      <w:r w:rsidRPr="00B34A30">
        <w:t xml:space="preserve"> Functioning Market?</w:t>
      </w:r>
    </w:p>
    <w:p w:rsidR="00EB7C9E" w:rsidP="00153298" w:rsidRDefault="001C42DA" w14:paraId="3CFD2DD8" w14:textId="54CD51BB">
      <w:pPr>
        <w:pStyle w:val="ListParagraph"/>
        <w:ind w:left="1080"/>
      </w:pPr>
      <w:r w:rsidRPr="00FE510D">
        <w:rPr>
          <w:i/>
          <w:iCs/>
        </w:rPr>
        <w:t>Sedway concluded the above contracts merit CPUC approval</w:t>
      </w:r>
      <w:r w:rsidRPr="00FE510D" w:rsidR="0079079C">
        <w:rPr>
          <w:i/>
          <w:iCs/>
        </w:rPr>
        <w:t xml:space="preserve"> and the </w:t>
      </w:r>
      <w:r w:rsidRPr="00FE510D" w:rsidR="00EB7C9E">
        <w:rPr>
          <w:i/>
          <w:iCs/>
        </w:rPr>
        <w:t>contracts’ economics and their general terms and conditions represent least-cost/best-fit projects for the Phase 2/3 MTR RFOs</w:t>
      </w:r>
      <w:r w:rsidRPr="00EB7C9E" w:rsidR="00EB7C9E">
        <w:t>.</w:t>
      </w:r>
      <w:r w:rsidR="00EB7C9E">
        <w:rPr>
          <w:rStyle w:val="FootnoteReference"/>
        </w:rPr>
        <w:footnoteReference w:id="21"/>
      </w:r>
      <w:r w:rsidR="00DB1718">
        <w:t xml:space="preserve"> </w:t>
      </w:r>
    </w:p>
    <w:p w:rsidR="00E23C58" w:rsidP="00E23C58" w:rsidRDefault="00E23C58" w14:paraId="06AA8CDA" w14:textId="77777777">
      <w:pPr>
        <w:pStyle w:val="ListParagraph"/>
        <w:ind w:left="1080"/>
      </w:pPr>
    </w:p>
    <w:p w:rsidR="003E0C29" w:rsidP="00EE47A0" w:rsidRDefault="00EB7C9E" w14:paraId="2A6356DC" w14:textId="4328622B">
      <w:r w:rsidRPr="00B01834">
        <w:t>The Commission has reviewed SCE ’s bid evaluation analysis and the IE Report</w:t>
      </w:r>
      <w:r w:rsidR="00BA2A16">
        <w:t xml:space="preserve">.  </w:t>
      </w:r>
      <w:r w:rsidRPr="00B01834">
        <w:t>We agree with</w:t>
      </w:r>
      <w:r w:rsidR="004C7D88">
        <w:t xml:space="preserve"> the</w:t>
      </w:r>
      <w:r w:rsidRPr="00B01834">
        <w:t xml:space="preserve"> IE</w:t>
      </w:r>
      <w:r w:rsidR="00DB1718">
        <w:t xml:space="preserve"> </w:t>
      </w:r>
      <w:r w:rsidRPr="00B01834">
        <w:t>finding</w:t>
      </w:r>
      <w:r w:rsidR="004C7D88">
        <w:t>s</w:t>
      </w:r>
      <w:r w:rsidRPr="00B01834">
        <w:t xml:space="preserve"> that SCE procured the best resources for addressing </w:t>
      </w:r>
      <w:r w:rsidR="004C7D88">
        <w:t>its</w:t>
      </w:r>
      <w:r w:rsidRPr="00B01834" w:rsidR="004C7D88">
        <w:t xml:space="preserve"> </w:t>
      </w:r>
      <w:r w:rsidRPr="00B01834">
        <w:t>MTR needs</w:t>
      </w:r>
      <w:r w:rsidR="00BA2A16">
        <w:t xml:space="preserve">.  </w:t>
      </w:r>
      <w:r w:rsidRPr="00B01834">
        <w:t>We find that SCE has conducted a robust, competitive solicitation with reasonable bid evaluation methodology and appropriately consulted the PRG and the IE throughout the MTR RFO process</w:t>
      </w:r>
      <w:r w:rsidR="00BA2A16">
        <w:t xml:space="preserve">.  </w:t>
      </w:r>
      <w:bookmarkStart w:name="_Hlk99445646" w:id="1"/>
      <w:r w:rsidRPr="00B01834">
        <w:t>The Commission finds the costs to be reasonable based on the competitive solicitation and bid evaluation methodology.</w:t>
      </w:r>
      <w:bookmarkEnd w:id="1"/>
    </w:p>
    <w:p w:rsidR="000547AD" w:rsidP="00193699" w:rsidRDefault="000547AD" w14:paraId="598FA10E" w14:textId="52A71880">
      <w:pPr>
        <w:pStyle w:val="Heading3"/>
      </w:pPr>
      <w:r w:rsidRPr="00686170">
        <w:lastRenderedPageBreak/>
        <w:t>Consistency with D.21-06-035 and D.23-02-040</w:t>
      </w:r>
      <w:r w:rsidR="00A25109">
        <w:t xml:space="preserve"> (MTR Decisions)</w:t>
      </w:r>
    </w:p>
    <w:p w:rsidR="00CC6764" w:rsidP="00686170" w:rsidRDefault="00FC6E14" w14:paraId="6ADEA17A" w14:textId="3B476A93">
      <w:pPr>
        <w:rPr>
          <w:rFonts w:eastAsiaTheme="minorEastAsia"/>
        </w:rPr>
      </w:pPr>
      <w:r w:rsidRPr="00686170">
        <w:rPr>
          <w:rFonts w:eastAsiaTheme="minorEastAsia"/>
        </w:rPr>
        <w:t xml:space="preserve">We </w:t>
      </w:r>
      <w:r w:rsidRPr="00A25109" w:rsidR="00A25109">
        <w:rPr>
          <w:rFonts w:eastAsiaTheme="minorEastAsia"/>
        </w:rPr>
        <w:t>find</w:t>
      </w:r>
      <w:r w:rsidRPr="00686170">
        <w:rPr>
          <w:rFonts w:eastAsiaTheme="minorEastAsia"/>
        </w:rPr>
        <w:t xml:space="preserve"> SCE's AL 5</w:t>
      </w:r>
      <w:r w:rsidR="00A25109">
        <w:rPr>
          <w:rFonts w:eastAsiaTheme="minorEastAsia"/>
        </w:rPr>
        <w:t>431</w:t>
      </w:r>
      <w:r w:rsidRPr="00686170">
        <w:rPr>
          <w:rFonts w:eastAsiaTheme="minorEastAsia"/>
        </w:rPr>
        <w:t>-E filin</w:t>
      </w:r>
      <w:r w:rsidR="00A25109">
        <w:rPr>
          <w:rFonts w:eastAsiaTheme="minorEastAsia"/>
        </w:rPr>
        <w:t>g</w:t>
      </w:r>
      <w:r w:rsidRPr="00686170">
        <w:rPr>
          <w:rFonts w:eastAsiaTheme="minorEastAsia"/>
        </w:rPr>
        <w:t xml:space="preserve">, </w:t>
      </w:r>
      <w:r w:rsidR="00A25109">
        <w:rPr>
          <w:rFonts w:eastAsiaTheme="minorEastAsia"/>
        </w:rPr>
        <w:t>to be</w:t>
      </w:r>
      <w:r w:rsidRPr="00686170">
        <w:rPr>
          <w:rFonts w:eastAsiaTheme="minorEastAsia"/>
        </w:rPr>
        <w:t xml:space="preserve"> consistent with the Commission’s MTR Decision, D.21-06-035</w:t>
      </w:r>
      <w:r w:rsidR="00A25109">
        <w:rPr>
          <w:rFonts w:eastAsiaTheme="minorEastAsia"/>
        </w:rPr>
        <w:t xml:space="preserve"> and D.23-02-040</w:t>
      </w:r>
      <w:r w:rsidRPr="00686170">
        <w:rPr>
          <w:rFonts w:eastAsiaTheme="minorEastAsia"/>
        </w:rPr>
        <w:t>.</w:t>
      </w:r>
      <w:r w:rsidR="00CC6764">
        <w:rPr>
          <w:rFonts w:eastAsiaTheme="minorEastAsia"/>
        </w:rPr>
        <w:t xml:space="preserve"> </w:t>
      </w:r>
      <w:r w:rsidRPr="00686170">
        <w:rPr>
          <w:rFonts w:eastAsiaTheme="minorEastAsia"/>
        </w:rPr>
        <w:t xml:space="preserve"> As directed by the MTR Decision, SCE filed a Tier 3 AL seeking cost recovery for the MTR Contract. </w:t>
      </w:r>
    </w:p>
    <w:p w:rsidRPr="00686170" w:rsidR="001F4645" w:rsidP="00CC6764" w:rsidRDefault="001F4645" w14:paraId="5B76CC03" w14:textId="13E3B257">
      <w:pPr>
        <w:rPr>
          <w:rFonts w:eastAsiaTheme="minorEastAsia"/>
          <w:sz w:val="23"/>
          <w:szCs w:val="23"/>
          <w14:ligatures w14:val="standardContextual"/>
        </w:rPr>
      </w:pPr>
      <w:r w:rsidRPr="00664C2F">
        <w:rPr>
          <w:rFonts w:eastAsiaTheme="minorHAnsi"/>
        </w:rPr>
        <w:t xml:space="preserve">The MTR contracts also </w:t>
      </w:r>
      <w:r>
        <w:rPr>
          <w:rFonts w:eastAsiaTheme="minorHAnsi"/>
        </w:rPr>
        <w:t xml:space="preserve">appear to </w:t>
      </w:r>
      <w:r w:rsidRPr="00664C2F">
        <w:rPr>
          <w:rFonts w:eastAsiaTheme="minorHAnsi"/>
        </w:rPr>
        <w:t xml:space="preserve">meet the general capacity requirements of D.21-06-035 and D.23-02-040, which dictate that all </w:t>
      </w:r>
      <w:r>
        <w:rPr>
          <w:rFonts w:eastAsiaTheme="minorHAnsi"/>
        </w:rPr>
        <w:t>resources</w:t>
      </w:r>
      <w:r w:rsidRPr="00664C2F">
        <w:rPr>
          <w:rFonts w:eastAsiaTheme="minorHAnsi"/>
        </w:rPr>
        <w:t xml:space="preserve"> used for compliance with the decisions must </w:t>
      </w:r>
      <w:r>
        <w:rPr>
          <w:rFonts w:eastAsiaTheme="minorHAnsi"/>
        </w:rPr>
        <w:t>be</w:t>
      </w:r>
      <w:r w:rsidRPr="00664C2F">
        <w:rPr>
          <w:rFonts w:eastAsiaTheme="minorHAnsi"/>
        </w:rPr>
        <w:t xml:space="preserve"> associated with a new resource, or an expansion of an existing resource, and that they</w:t>
      </w:r>
      <w:r>
        <w:rPr>
          <w:rFonts w:eastAsiaTheme="minorHAnsi"/>
        </w:rPr>
        <w:t xml:space="preserve"> are</w:t>
      </w:r>
      <w:r w:rsidRPr="00664C2F">
        <w:rPr>
          <w:rFonts w:eastAsiaTheme="minorHAnsi"/>
        </w:rPr>
        <w:t xml:space="preserve"> under a long-term contract of at least ten years.</w:t>
      </w:r>
      <w:r>
        <w:rPr>
          <w:rFonts w:eastAsiaTheme="minorHAnsi"/>
        </w:rPr>
        <w:t xml:space="preserve"> </w:t>
      </w:r>
      <w:r>
        <w:rPr>
          <w:rFonts w:eastAsiaTheme="minorEastAsia"/>
          <w:sz w:val="23"/>
          <w:szCs w:val="23"/>
          <w14:ligatures w14:val="standardContextual"/>
        </w:rPr>
        <w:t xml:space="preserve">Additionally, the MTR contracts are for 4-hour and 8-hour energy storage resources which are also consistent with the MTR Decision storage duration requirements.  </w:t>
      </w:r>
      <w:r w:rsidRPr="00664C2F">
        <w:rPr>
          <w:rFonts w:eastAsiaTheme="minorHAnsi"/>
        </w:rPr>
        <w:t xml:space="preserve"> </w:t>
      </w:r>
      <w:r>
        <w:rPr>
          <w:rFonts w:eastAsiaTheme="minorHAnsi"/>
        </w:rPr>
        <w:t xml:space="preserve">Final verification of specific resource eligibility for specific procurement categories is done via the IRP compliance process. </w:t>
      </w:r>
    </w:p>
    <w:p w:rsidRPr="00B01834" w:rsidR="003E0C29" w:rsidP="00193699" w:rsidRDefault="00EB7C9E" w14:paraId="4409F793" w14:textId="6A479595">
      <w:pPr>
        <w:pStyle w:val="Heading3"/>
      </w:pPr>
      <w:r w:rsidRPr="00193699">
        <w:t>Safety</w:t>
      </w:r>
    </w:p>
    <w:p w:rsidRPr="00B01834" w:rsidR="003E0C29" w:rsidP="00725C6D" w:rsidRDefault="00EB7C9E" w14:paraId="17CBCF51" w14:textId="2190A775">
      <w:bookmarkStart w:name="_Hlk99445758" w:id="2"/>
      <w:r w:rsidRPr="00B01834">
        <w:t xml:space="preserve">The MTR Contracts which SCE seeks approval require the seller to operate the energy storage facility in accordance with “Prudent Electrical Practices,” as a condition of </w:t>
      </w:r>
      <w:r w:rsidR="00C66A2D">
        <w:rPr>
          <w:bCs/>
          <w:szCs w:val="24"/>
        </w:rPr>
        <w:br/>
      </w:r>
      <w:r w:rsidRPr="00B01834">
        <w:t>SCE’s Technology Neutral Pro Forma Contract.</w:t>
      </w:r>
      <w:r w:rsidRPr="00B01834">
        <w:rPr>
          <w:rStyle w:val="FootnoteReference"/>
        </w:rPr>
        <w:footnoteReference w:id="22"/>
      </w:r>
      <w:r w:rsidRPr="00B01834">
        <w:rPr>
          <w:rStyle w:val="FootnoteReference"/>
        </w:rPr>
        <w:t xml:space="preserve"> </w:t>
      </w:r>
      <w:r w:rsidRPr="00B01834">
        <w:t xml:space="preserve"> The Contract also includes a provision providing that, prior to commencement of any construction activities on the project site, the seller must provide to SCE a report from an independent engineer certifying that the seller has a written plan for the safe construction and operation of the project in accordance with Prudent Electrical Practices</w:t>
      </w:r>
      <w:bookmarkEnd w:id="2"/>
      <w:r w:rsidRPr="00B01834">
        <w:t>.</w:t>
      </w:r>
      <w:r w:rsidRPr="00B01834">
        <w:rPr>
          <w:rStyle w:val="FootnoteReference"/>
        </w:rPr>
        <w:footnoteReference w:id="23"/>
      </w:r>
    </w:p>
    <w:p w:rsidRPr="00B01834" w:rsidR="003E0C29" w:rsidP="00193699" w:rsidRDefault="00EB7C9E" w14:paraId="3E7DAA4D" w14:textId="09B05AF5">
      <w:pPr>
        <w:pStyle w:val="Heading3"/>
      </w:pPr>
      <w:r w:rsidRPr="00193699">
        <w:t>Disadvantaged</w:t>
      </w:r>
      <w:r w:rsidRPr="00B01834">
        <w:t xml:space="preserve"> Community Designations</w:t>
      </w:r>
    </w:p>
    <w:p w:rsidRPr="00B01834" w:rsidR="003E0C29" w:rsidP="00B01834" w:rsidRDefault="00EB7C9E" w14:paraId="3E1A62E2" w14:textId="225D36BA">
      <w:pPr>
        <w:autoSpaceDE w:val="0"/>
        <w:autoSpaceDN w:val="0"/>
        <w:adjustRightInd w:val="0"/>
      </w:pPr>
      <w:r w:rsidRPr="00B01834">
        <w:t>Senate Bill (SB) 350 (de León, Chapter 547, Stats</w:t>
      </w:r>
      <w:r w:rsidR="00BA2A16">
        <w:t xml:space="preserve">. </w:t>
      </w:r>
      <w:r w:rsidRPr="00B01834">
        <w:t>2015) describes disadvantaged community goals that are cross-cutting and therefore will be integrated into all policy areas</w:t>
      </w:r>
      <w:r w:rsidR="00BA2A16">
        <w:t xml:space="preserve">.  </w:t>
      </w:r>
      <w:r w:rsidRPr="00B01834">
        <w:t>Thus, in evaluating SCE’s MTR Contracts, the Commission analyzes the impacts of procurement activities on such communities.</w:t>
      </w:r>
    </w:p>
    <w:p w:rsidRPr="00B01834" w:rsidR="003E0C29" w:rsidP="00B01834" w:rsidRDefault="00EB7C9E" w14:paraId="41FA838A" w14:textId="7966ACF0">
      <w:pPr>
        <w:autoSpaceDE w:val="0"/>
        <w:autoSpaceDN w:val="0"/>
        <w:adjustRightInd w:val="0"/>
      </w:pPr>
      <w:r w:rsidRPr="00B01834">
        <w:t>The California Environmental Protection Agency (CalEPA) is responsible for identifying DACs for purposes of Cap-and-Trade program funding</w:t>
      </w:r>
      <w:r w:rsidR="00BA2A16">
        <w:t xml:space="preserve">.  </w:t>
      </w:r>
      <w:r w:rsidRPr="00B01834">
        <w:t xml:space="preserve">CalEPA has defined DACs as: </w:t>
      </w:r>
    </w:p>
    <w:p w:rsidRPr="00B01834" w:rsidR="003E0C29" w:rsidP="00B01834" w:rsidRDefault="00EB7C9E" w14:paraId="6BC6DFAA" w14:textId="75613B7D">
      <w:pPr>
        <w:pStyle w:val="ListParagraph"/>
        <w:numPr>
          <w:ilvl w:val="0"/>
          <w:numId w:val="11"/>
        </w:numPr>
        <w:autoSpaceDE w:val="0"/>
        <w:autoSpaceDN w:val="0"/>
        <w:adjustRightInd w:val="0"/>
        <w:ind w:left="720"/>
      </w:pPr>
      <w:r w:rsidRPr="00B01834">
        <w:t>Census tracts receiving the highest 25% of overall scores in CalEnviroScreen 4.0</w:t>
      </w:r>
      <w:r w:rsidR="006F6691">
        <w:t>;</w:t>
      </w:r>
    </w:p>
    <w:p w:rsidRPr="00B01834" w:rsidR="003E0C29" w:rsidP="00B01834" w:rsidRDefault="00EB7C9E" w14:paraId="477F6B47" w14:textId="17FF2CC4">
      <w:pPr>
        <w:pStyle w:val="ListParagraph"/>
        <w:numPr>
          <w:ilvl w:val="0"/>
          <w:numId w:val="11"/>
        </w:numPr>
        <w:autoSpaceDE w:val="0"/>
        <w:autoSpaceDN w:val="0"/>
        <w:adjustRightInd w:val="0"/>
        <w:ind w:left="720"/>
      </w:pPr>
      <w:r w:rsidRPr="00B01834">
        <w:t>Census tracts lacking overall scores in CalEnviroScreen 4.0 due to data gaps but receiving the highest 5% of CalEnviroScreen 4.0 cumulative pollution burden score</w:t>
      </w:r>
      <w:r w:rsidR="006F6691">
        <w:t>;</w:t>
      </w:r>
      <w:r w:rsidRPr="00B01834">
        <w:t xml:space="preserve"> and</w:t>
      </w:r>
    </w:p>
    <w:p w:rsidRPr="00B01834" w:rsidR="003E0C29" w:rsidP="00B01834" w:rsidRDefault="00EB7C9E" w14:paraId="7E4359A2" w14:textId="696E8F9B">
      <w:pPr>
        <w:pStyle w:val="ListParagraph"/>
        <w:numPr>
          <w:ilvl w:val="0"/>
          <w:numId w:val="11"/>
        </w:numPr>
        <w:autoSpaceDE w:val="0"/>
        <w:autoSpaceDN w:val="0"/>
        <w:adjustRightInd w:val="0"/>
        <w:ind w:left="720"/>
      </w:pPr>
      <w:r w:rsidRPr="00B01834">
        <w:lastRenderedPageBreak/>
        <w:t>Census tracts identified under the 2017 DAC designation (i.e., tracts qualifying as DAC under CalEnviroScreen 3.0) areas under the control of federally recognized Tribes.</w:t>
      </w:r>
      <w:r w:rsidRPr="00B01834">
        <w:rPr>
          <w:vertAlign w:val="superscript"/>
        </w:rPr>
        <w:footnoteReference w:id="24"/>
      </w:r>
    </w:p>
    <w:p w:rsidRPr="00B01834" w:rsidR="003E0C29" w:rsidP="00B01834" w:rsidRDefault="00EB7C9E" w14:paraId="3FF95698" w14:textId="0AF88C88">
      <w:pPr>
        <w:autoSpaceDE w:val="0"/>
        <w:autoSpaceDN w:val="0"/>
        <w:adjustRightInd w:val="0"/>
      </w:pPr>
      <w:r w:rsidRPr="00B01834">
        <w:t>The CalEnviroScreen tool combines twenty indicators in “population” and “pollution burden” categories</w:t>
      </w:r>
      <w:r w:rsidR="00BA2A16">
        <w:t xml:space="preserve">.  </w:t>
      </w:r>
      <w:r w:rsidRPr="00B01834">
        <w:t>SB 350 directs the Commission to also use CalEPA’s tool to identify disadvantaged communities</w:t>
      </w:r>
      <w:r w:rsidR="00BA2A16">
        <w:t xml:space="preserve">.  </w:t>
      </w:r>
    </w:p>
    <w:p w:rsidR="00656CA1" w:rsidP="00B01834" w:rsidRDefault="00EB7C9E" w14:paraId="35619930" w14:textId="77777777">
      <w:pPr>
        <w:autoSpaceDE w:val="0"/>
        <w:autoSpaceDN w:val="0"/>
        <w:adjustRightInd w:val="0"/>
      </w:pPr>
      <w:r w:rsidRPr="00B01834">
        <w:t>SCE notes that consistent with Public Utilities Code Section 454.52(a)(1)(I)’s requirement to minimize localized air pollutants and other GHG emissions, with early priority on DACs, it expressed a preference in its MTR RFO for preferred and energy storage resources located in DACs</w:t>
      </w:r>
      <w:r w:rsidR="00BA2A16">
        <w:t xml:space="preserve">.  </w:t>
      </w:r>
      <w:r w:rsidR="000C379A">
        <w:t>SCE state</w:t>
      </w:r>
      <w:r w:rsidR="0055213B">
        <w:t>s that</w:t>
      </w:r>
      <w:r w:rsidR="000C379A">
        <w:t xml:space="preserve"> none of the three contracts are located in DACs.</w:t>
      </w:r>
      <w:r w:rsidR="000C379A">
        <w:rPr>
          <w:rStyle w:val="FootnoteReference"/>
        </w:rPr>
        <w:footnoteReference w:id="25"/>
      </w:r>
      <w:r w:rsidR="008243D3">
        <w:t xml:space="preserve">  </w:t>
      </w:r>
    </w:p>
    <w:p w:rsidR="000C379A" w:rsidP="00B01834" w:rsidRDefault="00351CC1" w14:paraId="541ABEAB" w14:textId="01E47B7A">
      <w:pPr>
        <w:autoSpaceDE w:val="0"/>
        <w:autoSpaceDN w:val="0"/>
        <w:adjustRightInd w:val="0"/>
        <w:rPr>
          <w:szCs w:val="24"/>
        </w:rPr>
      </w:pPr>
      <w:r>
        <w:t xml:space="preserve">Staff notes that Overnight Storage is located in Hinkley, CA, which is recognized in </w:t>
      </w:r>
      <w:r w:rsidRPr="00B94C1C">
        <w:rPr>
          <w:szCs w:val="24"/>
        </w:rPr>
        <w:t>CalEnviroScreen tool as being significantly burdened</w:t>
      </w:r>
      <w:r w:rsidRPr="00B94C1C">
        <w:rPr>
          <w:rStyle w:val="FootnoteReference"/>
          <w:szCs w:val="24"/>
        </w:rPr>
        <w:footnoteReference w:id="26"/>
      </w:r>
      <w:r w:rsidRPr="00B94C1C">
        <w:rPr>
          <w:szCs w:val="24"/>
        </w:rPr>
        <w:t xml:space="preserve"> by environmental and socioeconomic factors due to the prevalence of hexavalent chromium in its groundwater.</w:t>
      </w:r>
      <w:r w:rsidRPr="00B94C1C">
        <w:rPr>
          <w:rStyle w:val="FootnoteReference"/>
          <w:szCs w:val="24"/>
        </w:rPr>
        <w:footnoteReference w:id="27"/>
      </w:r>
    </w:p>
    <w:p w:rsidRPr="00B01834" w:rsidR="003E0C29" w:rsidP="00193699" w:rsidRDefault="00EB7C9E" w14:paraId="4924ACD4" w14:textId="085EEAD8">
      <w:pPr>
        <w:pStyle w:val="Heading3"/>
      </w:pPr>
      <w:r w:rsidRPr="00B01834">
        <w:t>Cost Recovery</w:t>
      </w:r>
    </w:p>
    <w:p w:rsidRPr="00B01834" w:rsidR="003E0C29" w:rsidP="00725C6D" w:rsidRDefault="00EB7C9E" w14:paraId="41259FA1" w14:textId="493BF4D9">
      <w:r w:rsidRPr="00B01834">
        <w:t>SCE proposes to allocate the costs associated with the MTR Contract to applicable customers,</w:t>
      </w:r>
      <w:r w:rsidRPr="00B01834">
        <w:rPr>
          <w:rStyle w:val="FootnoteReference"/>
        </w:rPr>
        <w:footnoteReference w:id="28"/>
      </w:r>
      <w:r w:rsidRPr="00B01834">
        <w:rPr>
          <w:rStyle w:val="FootnoteReference"/>
        </w:rPr>
        <w:t xml:space="preserve"> </w:t>
      </w:r>
      <w:r w:rsidRPr="00B01834">
        <w:t>using the Portfolio Allocation Balancing Account (PABA)</w:t>
      </w:r>
      <w:r w:rsidR="00BA2A16">
        <w:t xml:space="preserve">.  </w:t>
      </w:r>
      <w:r w:rsidRPr="00B01834">
        <w:t xml:space="preserve">Pursuant to </w:t>
      </w:r>
      <w:r w:rsidR="00C66A2D">
        <w:rPr>
          <w:bCs/>
          <w:szCs w:val="24"/>
        </w:rPr>
        <w:br/>
      </w:r>
      <w:r w:rsidRPr="00B01834">
        <w:t>AL 4589-E, costs and benefits associated with procurement complying with the MTR Decision will be recovered from applicable customers through the 2021 and/or 2023 vintage sub-account of the PABA and include incremental administrative costs.</w:t>
      </w:r>
      <w:r w:rsidRPr="00B01834">
        <w:rPr>
          <w:rStyle w:val="FootnoteReference"/>
        </w:rPr>
        <w:footnoteReference w:id="29"/>
      </w:r>
      <w:r w:rsidRPr="00B01834">
        <w:t xml:space="preserve"> </w:t>
      </w:r>
    </w:p>
    <w:p w:rsidRPr="00AB682B" w:rsidR="00AB682B" w:rsidP="00E71E08" w:rsidRDefault="00AB682B" w14:paraId="4F78DFA9" w14:textId="0C6F653C">
      <w:pPr>
        <w:pStyle w:val="ListParagraph"/>
        <w:keepNext/>
        <w:numPr>
          <w:ilvl w:val="0"/>
          <w:numId w:val="36"/>
        </w:numPr>
        <w:ind w:right="634"/>
      </w:pPr>
      <w:r w:rsidRPr="00AB682B">
        <w:t>Pier S and Overnight Storage Contracts Cost Recovery</w:t>
      </w:r>
    </w:p>
    <w:p w:rsidR="00AB682B" w:rsidP="00295595" w:rsidRDefault="00AB682B" w14:paraId="043500E7" w14:textId="3381B4EB">
      <w:pPr>
        <w:ind w:left="1800"/>
      </w:pPr>
      <w:r w:rsidRPr="00AB682B">
        <w:t>In accordance with D.23-02-040, SCE proposes to allocate the costs associated with</w:t>
      </w:r>
      <w:r>
        <w:t xml:space="preserve"> </w:t>
      </w:r>
      <w:r w:rsidRPr="00AB682B">
        <w:t>the Pier S and Overnight Storage Contracts to applicable customers, which includes</w:t>
      </w:r>
      <w:r>
        <w:t xml:space="preserve"> </w:t>
      </w:r>
      <w:r w:rsidRPr="00AB682B">
        <w:t>bundled service customers and departing load customers with 2023 vintage cost</w:t>
      </w:r>
      <w:r>
        <w:t xml:space="preserve"> </w:t>
      </w:r>
      <w:r w:rsidRPr="00AB682B">
        <w:t>responsibility, using the PABA in accordance with SCE’s Advice 5019-E.</w:t>
      </w:r>
      <w:r w:rsidR="00F02310">
        <w:t xml:space="preserve">  </w:t>
      </w:r>
      <w:r w:rsidRPr="00AB682B">
        <w:t>Pursuant</w:t>
      </w:r>
      <w:r>
        <w:t xml:space="preserve"> </w:t>
      </w:r>
      <w:r w:rsidRPr="00AB682B">
        <w:t>to Advice 5019-E, costs and benefits associated with procurement complying with</w:t>
      </w:r>
      <w:r>
        <w:t xml:space="preserve"> </w:t>
      </w:r>
      <w:r w:rsidRPr="00AB682B">
        <w:t xml:space="preserve">D.23-02-040 </w:t>
      </w:r>
      <w:r w:rsidRPr="00AB682B">
        <w:lastRenderedPageBreak/>
        <w:t>will be recovered from applicable customers through the 2023 vintage</w:t>
      </w:r>
      <w:r>
        <w:t xml:space="preserve"> </w:t>
      </w:r>
      <w:r w:rsidRPr="00AB682B">
        <w:t>sub-account of the PABA and include incremental administrative costs, which</w:t>
      </w:r>
      <w:r>
        <w:t xml:space="preserve"> </w:t>
      </w:r>
      <w:r w:rsidRPr="00AB682B">
        <w:t>include, but are not limited to, the IE costs.</w:t>
      </w:r>
      <w:r>
        <w:rPr>
          <w:rStyle w:val="FootnoteReference"/>
        </w:rPr>
        <w:footnoteReference w:id="30"/>
      </w:r>
    </w:p>
    <w:p w:rsidRPr="00AB682B" w:rsidR="00AB682B" w:rsidP="00D10D08" w:rsidRDefault="005779FA" w14:paraId="39E44D24" w14:textId="28A3BF5B">
      <w:pPr>
        <w:pStyle w:val="ListParagraph"/>
        <w:keepNext/>
        <w:numPr>
          <w:ilvl w:val="0"/>
          <w:numId w:val="36"/>
        </w:numPr>
        <w:ind w:right="634"/>
      </w:pPr>
      <w:bookmarkStart w:name="_Hlk186535362" w:id="3"/>
      <w:r>
        <w:t>Euismod</w:t>
      </w:r>
      <w:r w:rsidRPr="00AB682B" w:rsidR="00AB682B">
        <w:t xml:space="preserve"> </w:t>
      </w:r>
      <w:bookmarkEnd w:id="3"/>
      <w:r w:rsidRPr="00AB682B" w:rsidR="00AB682B">
        <w:t>Storage Contracts Cost Recovery</w:t>
      </w:r>
    </w:p>
    <w:p w:rsidR="00A15253" w:rsidP="004917B9" w:rsidRDefault="00AB682B" w14:paraId="577F6DE6" w14:textId="2D1A85C8">
      <w:pPr>
        <w:ind w:left="1800"/>
      </w:pPr>
      <w:r>
        <w:t>SCE intends to recover costs from the Euismod Contract through the 2021 vintage sub-account of the PABA.</w:t>
      </w:r>
      <w:r>
        <w:rPr>
          <w:rStyle w:val="FootnoteReference"/>
        </w:rPr>
        <w:footnoteReference w:id="31"/>
      </w:r>
      <w:r w:rsidR="005E3C08">
        <w:t xml:space="preserve">  This is c</w:t>
      </w:r>
      <w:r w:rsidR="00465C49">
        <w:t xml:space="preserve">onsistent with meeting the requirement in the </w:t>
      </w:r>
      <w:r w:rsidR="006517CE">
        <w:t>D.21-06-</w:t>
      </w:r>
      <w:r w:rsidR="00084F0A">
        <w:t>035</w:t>
      </w:r>
      <w:r w:rsidR="00465C49">
        <w:t xml:space="preserve"> to acquire long duration energy storage</w:t>
      </w:r>
      <w:r w:rsidR="00A15253">
        <w:t>.</w:t>
      </w:r>
      <w:r>
        <w:t xml:space="preserve"> </w:t>
      </w:r>
    </w:p>
    <w:p w:rsidR="004917B9" w:rsidP="004917B9" w:rsidRDefault="004917B9" w14:paraId="42071241" w14:textId="2697CA1D">
      <w:pPr>
        <w:pStyle w:val="ListParagraph"/>
        <w:keepNext/>
        <w:numPr>
          <w:ilvl w:val="0"/>
          <w:numId w:val="36"/>
        </w:numPr>
        <w:ind w:right="634"/>
      </w:pPr>
      <w:r>
        <w:t>Cost Recovery and Vintage Accounts</w:t>
      </w:r>
    </w:p>
    <w:p w:rsidR="00AB682B" w:rsidP="004917B9" w:rsidRDefault="002031C8" w14:paraId="08DB162A" w14:textId="729B1E04">
      <w:pPr>
        <w:ind w:left="1800"/>
      </w:pPr>
      <w:r>
        <w:t>SCE is requesting that the Commission provide SCE the authority to shift the cost recovery for the MTR Contracts between the 2021 vintage sub-account of the PABA and the 2023 vintage sub-account of the PABA based on what MTR compliance tranche the contracts are actually counting toward</w:t>
      </w:r>
      <w:r w:rsidR="00BA2A16">
        <w:t xml:space="preserve">.  </w:t>
      </w:r>
      <w:r>
        <w:t xml:space="preserve">SCE explains that </w:t>
      </w:r>
      <w:r w:rsidR="00AB682B">
        <w:t xml:space="preserve">contracted projects to meet its MTR compliance requirements </w:t>
      </w:r>
      <w:r>
        <w:t xml:space="preserve">may be </w:t>
      </w:r>
      <w:r w:rsidR="00AB682B">
        <w:t>delayed or terminated, SCE may be required to shift which MTR compliance tranche certain projects count toward</w:t>
      </w:r>
      <w:r w:rsidR="00BA2A16">
        <w:t xml:space="preserve">.  </w:t>
      </w:r>
      <w:r w:rsidR="00AB682B">
        <w:t>This may include moving MTR projects originally contracted to meet the MTR procurement requirements in D.21-06-035 (with cost recovery through the 2021 vintage sub-account of the PABA) to count towards the MTR procurement requirements in D.23-03-040 (with cost recovery through the 2023 vintage sub-account of the PABA) and vice versa</w:t>
      </w:r>
      <w:r w:rsidR="00BA2A16">
        <w:t xml:space="preserve">.  </w:t>
      </w:r>
    </w:p>
    <w:p w:rsidR="00705F36" w:rsidP="00705F36" w:rsidRDefault="00705F36" w14:paraId="37CD3E88" w14:textId="06153777">
      <w:r w:rsidRPr="00562DB3">
        <w:t xml:space="preserve">Staff find </w:t>
      </w:r>
      <w:r w:rsidR="004C7D88">
        <w:t>that the</w:t>
      </w:r>
      <w:r w:rsidRPr="00562DB3">
        <w:t xml:space="preserve"> cost associated with the</w:t>
      </w:r>
      <w:r w:rsidR="00FB6ABB">
        <w:t xml:space="preserve"> MTR</w:t>
      </w:r>
      <w:r w:rsidRPr="00562DB3">
        <w:t xml:space="preserve"> Contracts are PCIA-eligible with an assigned vintage of 2021 for purposes of D.21-06-035 procurement requirements and vintage of 2023 for purposes of D.23-02-040 procurement requirements for the duration of their term. </w:t>
      </w:r>
      <w:r>
        <w:t xml:space="preserve"> </w:t>
      </w:r>
    </w:p>
    <w:p w:rsidRPr="00F438EB" w:rsidR="00CF17DE" w:rsidP="003334D3" w:rsidRDefault="00CF17DE" w14:paraId="66E433AC" w14:textId="77777777">
      <w:pPr>
        <w:pStyle w:val="Heading1"/>
        <w:spacing w:before="240" w:after="160"/>
      </w:pPr>
      <w:r w:rsidRPr="00F438EB">
        <w:t>Comments</w:t>
      </w:r>
    </w:p>
    <w:p w:rsidRPr="00B01834" w:rsidR="003E0C29" w:rsidP="002031C8" w:rsidRDefault="00EB7C9E" w14:paraId="7D99FB18" w14:textId="567824E1">
      <w:r w:rsidRPr="00B01834">
        <w:t>Public Utilities Code section 311(g)(1) provides that this Resolution must be served on all parties and subject to at least 30 days’ public review</w:t>
      </w:r>
      <w:r w:rsidR="00BA2A16">
        <w:t xml:space="preserve">.  </w:t>
      </w:r>
      <w:r w:rsidRPr="00B01834">
        <w:t xml:space="preserve">Any comments are due within </w:t>
      </w:r>
      <w:r w:rsidR="00AA1C82">
        <w:rPr>
          <w:rFonts w:eastAsia="Palatino Linotype"/>
        </w:rPr>
        <w:br/>
      </w:r>
      <w:r w:rsidRPr="00B01834">
        <w:t>20 days of the date of its mailing and publication on the Commission’s website and in accordance with any instructions accompanying the notice</w:t>
      </w:r>
      <w:r w:rsidR="00BA2A16">
        <w:t xml:space="preserve">.  </w:t>
      </w:r>
      <w:r w:rsidRPr="00B01834">
        <w:t>Section 311(g)(2) provides that this 30-day review period and 20-day comment period may be reduced or waived upon the stipulation of all parties in the proceeding</w:t>
      </w:r>
      <w:r w:rsidR="00BA2A16">
        <w:t xml:space="preserve">.  </w:t>
      </w:r>
    </w:p>
    <w:p w:rsidR="003E0C29" w:rsidP="00B01834" w:rsidRDefault="00EB7C9E" w14:paraId="75F9F18D" w14:textId="416C02B9">
      <w:r w:rsidRPr="00B01834">
        <w:lastRenderedPageBreak/>
        <w:t>The 30-day review and 20-day comment period for the draft of this resolution were neither waived nor reduced</w:t>
      </w:r>
      <w:r w:rsidR="00BA2A16">
        <w:t xml:space="preserve">.  </w:t>
      </w:r>
      <w:r w:rsidRPr="00B01834">
        <w:t>Accordingly, comments on this draft resolution may be submitted no later than 20 days from the mailing date</w:t>
      </w:r>
      <w:r w:rsidR="00BA2A16">
        <w:t xml:space="preserve">.  </w:t>
      </w:r>
      <w:r w:rsidRPr="00B01834">
        <w:t>This draft resolution will be placed on the Commission’s agenda no earlier than 30 days from today</w:t>
      </w:r>
      <w:r w:rsidR="00BA2A16">
        <w:t xml:space="preserve">.  </w:t>
      </w:r>
      <w:r w:rsidRPr="00B01834">
        <w:t>If adopted by the Commission, the final resolution will be posted and available on the Commission’s website.</w:t>
      </w:r>
    </w:p>
    <w:p w:rsidRPr="00F438EB" w:rsidR="00CF17DE" w:rsidP="00F114CB" w:rsidRDefault="00CF17DE" w14:paraId="36A234B7" w14:textId="77777777">
      <w:pPr>
        <w:pStyle w:val="Heading1"/>
        <w:spacing w:before="240" w:after="160"/>
      </w:pPr>
      <w:r w:rsidRPr="00F438EB">
        <w:t>Findings</w:t>
      </w:r>
    </w:p>
    <w:p w:rsidRPr="00B01834" w:rsidR="003E0C29" w:rsidP="00C07654" w:rsidRDefault="00EB7C9E" w14:paraId="32C3067D" w14:textId="3B88D8ED">
      <w:pPr>
        <w:numPr>
          <w:ilvl w:val="0"/>
          <w:numId w:val="9"/>
        </w:numPr>
        <w:spacing w:before="240"/>
      </w:pPr>
      <w:r w:rsidRPr="00B01834">
        <w:t xml:space="preserve">D.21-06-035 directed LSEs to procure 11,500 MW of incremental September NQC under the Commission’s Integrated Resource Planning purview over the course of four years, with 2,000 MW to be online by August 1, 2023; an additional 6,000 MW online by June 1, 2024; an additional 1,500 MW online by June 1, 2025; and an additional </w:t>
      </w:r>
      <w:r w:rsidR="00413B00">
        <w:br/>
      </w:r>
      <w:r w:rsidRPr="00B01834">
        <w:t>2,000 MW online by June 1, 2026</w:t>
      </w:r>
      <w:r w:rsidR="00BA2A16">
        <w:t xml:space="preserve">. </w:t>
      </w:r>
    </w:p>
    <w:p w:rsidRPr="00B01834" w:rsidR="003E0C29" w:rsidP="00C07654" w:rsidRDefault="00EB7C9E" w14:paraId="7EDCC139" w14:textId="14504431">
      <w:pPr>
        <w:numPr>
          <w:ilvl w:val="0"/>
          <w:numId w:val="9"/>
        </w:numPr>
        <w:spacing w:before="240"/>
      </w:pPr>
      <w:r w:rsidRPr="00B01834">
        <w:t xml:space="preserve">D.21-06-035 ordered the three large IOUs to file Tier 3 ALs to request cost recovery for any procurement conducted </w:t>
      </w:r>
      <w:r w:rsidRPr="00B01834" w:rsidR="00BD20CF">
        <w:t>because of</w:t>
      </w:r>
      <w:r w:rsidRPr="00B01834">
        <w:t xml:space="preserve"> that decision, except if the procurement is associated with a pumped storage resource or a utility-owned resource, for which full applications are required.</w:t>
      </w:r>
    </w:p>
    <w:p w:rsidR="003E0C29" w:rsidP="00C07654" w:rsidRDefault="00EB7C9E" w14:paraId="75EDA369" w14:textId="5BD35D1F">
      <w:pPr>
        <w:numPr>
          <w:ilvl w:val="0"/>
          <w:numId w:val="9"/>
        </w:numPr>
        <w:spacing w:before="240"/>
      </w:pPr>
      <w:r w:rsidRPr="00B01834">
        <w:t xml:space="preserve">D.23-02-040 directed LSEs to procure an additional combined total of </w:t>
      </w:r>
      <w:r w:rsidR="00844729">
        <w:t>4</w:t>
      </w:r>
      <w:r w:rsidRPr="00B01834">
        <w:t>,000 MW of September NQC from non-emitting, storage, and/or renewable resources in 2026 and 2027, with resources required to be online by June 1 of each year.</w:t>
      </w:r>
    </w:p>
    <w:p w:rsidRPr="00B01834" w:rsidR="00FB6ABB" w:rsidP="00C07654" w:rsidRDefault="00FB6ABB" w14:paraId="6D466FE9" w14:textId="518BEF35">
      <w:pPr>
        <w:numPr>
          <w:ilvl w:val="0"/>
          <w:numId w:val="9"/>
        </w:numPr>
        <w:spacing w:before="240"/>
      </w:pPr>
      <w:r>
        <w:t>D.21-06-035 originally directed LSEs to procure 2,000 MW LLT resources (which includes long duration storage resources) by June 1,2026. D.23-02-040 extended the LLT resource online deadline to June 1, 2028.</w:t>
      </w:r>
    </w:p>
    <w:p w:rsidRPr="00B01834" w:rsidR="00844729" w:rsidP="00C07654" w:rsidRDefault="00EB7C9E" w14:paraId="66E99A49" w14:textId="7A3D1F06">
      <w:pPr>
        <w:pStyle w:val="Res-Caption"/>
        <w:keepNext w:val="0"/>
        <w:numPr>
          <w:ilvl w:val="0"/>
          <w:numId w:val="9"/>
        </w:numPr>
        <w:spacing w:before="240"/>
        <w:ind w:left="418" w:hanging="418"/>
      </w:pPr>
      <w:r>
        <w:t xml:space="preserve">By AL </w:t>
      </w:r>
      <w:r w:rsidRPr="7619423B" w:rsidR="000144EF">
        <w:rPr>
          <w:rFonts w:eastAsia="Palatino Linotype" w:cs="Palatino Linotype"/>
        </w:rPr>
        <w:t>5431</w:t>
      </w:r>
      <w:r>
        <w:t xml:space="preserve">-E, filed on </w:t>
      </w:r>
      <w:r w:rsidR="00B16777">
        <w:t>December 5, 2024</w:t>
      </w:r>
      <w:r>
        <w:t xml:space="preserve">, SCE has submitted for approval </w:t>
      </w:r>
      <w:r w:rsidR="00FB4C86">
        <w:t>three</w:t>
      </w:r>
      <w:r>
        <w:t xml:space="preserve"> </w:t>
      </w:r>
      <w:r w:rsidR="00844729">
        <w:t>MTR C</w:t>
      </w:r>
      <w:r>
        <w:t>ontracts intended to</w:t>
      </w:r>
      <w:r w:rsidR="0064312A">
        <w:t xml:space="preserve"> </w:t>
      </w:r>
      <w:r w:rsidR="00844729">
        <w:t>partially meet</w:t>
      </w:r>
      <w:r w:rsidR="00360960">
        <w:t xml:space="preserve"> </w:t>
      </w:r>
      <w:r>
        <w:t>SCE</w:t>
      </w:r>
      <w:r w:rsidR="0064312A">
        <w:t xml:space="preserve"> </w:t>
      </w:r>
      <w:r w:rsidR="00844729">
        <w:t xml:space="preserve">portion of </w:t>
      </w:r>
      <w:r w:rsidR="002E33BA">
        <w:t xml:space="preserve">the </w:t>
      </w:r>
      <w:r w:rsidR="00844729">
        <w:t xml:space="preserve">MTR requirements established by </w:t>
      </w:r>
      <w:r>
        <w:t xml:space="preserve">D.21-06-035 </w:t>
      </w:r>
      <w:r w:rsidR="00B16777">
        <w:t>and D.23-02-040</w:t>
      </w:r>
      <w:r w:rsidR="1F6E8263">
        <w:t>.</w:t>
      </w:r>
      <w:r w:rsidR="00B16777">
        <w:t xml:space="preserve"> </w:t>
      </w:r>
    </w:p>
    <w:p w:rsidRPr="00997D55" w:rsidR="00844729" w:rsidP="00C07654" w:rsidRDefault="47688D1A" w14:paraId="7A5A3628" w14:textId="5CA00917">
      <w:pPr>
        <w:pStyle w:val="Res-Caption"/>
        <w:keepNext w:val="0"/>
        <w:numPr>
          <w:ilvl w:val="0"/>
          <w:numId w:val="9"/>
        </w:numPr>
        <w:spacing w:before="240"/>
        <w:ind w:left="418" w:hanging="418"/>
      </w:pPr>
      <w:r>
        <w:t xml:space="preserve">The AL 5431-E </w:t>
      </w:r>
      <w:r w:rsidR="00844729">
        <w:t>MTR contracts are for a total of 620 MW of in-front-of-the-meter</w:t>
      </w:r>
      <w:r w:rsidR="002E33BA">
        <w:t xml:space="preserve"> energy storage</w:t>
      </w:r>
      <w:r w:rsidR="00844729">
        <w:t xml:space="preserve"> nameplate capacity. </w:t>
      </w:r>
    </w:p>
    <w:p w:rsidR="003F54CF" w:rsidP="00C07654" w:rsidRDefault="00EB7C9E" w14:paraId="255A497B" w14:textId="635C0413">
      <w:pPr>
        <w:pStyle w:val="Res-Caption"/>
        <w:keepNext w:val="0"/>
        <w:numPr>
          <w:ilvl w:val="0"/>
          <w:numId w:val="9"/>
        </w:numPr>
        <w:spacing w:before="240"/>
      </w:pPr>
      <w:r w:rsidRPr="00D51FD6">
        <w:t xml:space="preserve">The </w:t>
      </w:r>
      <w:r w:rsidRPr="00D51FD6" w:rsidR="00B16777">
        <w:t>Pier S</w:t>
      </w:r>
      <w:r w:rsidRPr="00D51FD6">
        <w:t xml:space="preserve"> </w:t>
      </w:r>
      <w:r w:rsidR="003F54CF">
        <w:t xml:space="preserve">and Overnight Storage </w:t>
      </w:r>
      <w:r w:rsidR="00844729">
        <w:t xml:space="preserve">MTR </w:t>
      </w:r>
      <w:r w:rsidR="002E33BA">
        <w:t>C</w:t>
      </w:r>
      <w:r w:rsidRPr="00D51FD6">
        <w:t xml:space="preserve">ontracts for </w:t>
      </w:r>
      <w:r w:rsidR="003F54CF">
        <w:t>70 and 150</w:t>
      </w:r>
      <w:r w:rsidRPr="00D51FD6">
        <w:t xml:space="preserve"> MW of nameplate capacity</w:t>
      </w:r>
      <w:r w:rsidR="003F54CF">
        <w:t xml:space="preserve">, 4-hour duration energy storage, </w:t>
      </w:r>
      <w:r w:rsidR="00DF3BAC">
        <w:t xml:space="preserve">and </w:t>
      </w:r>
      <w:r w:rsidR="005D2B0C">
        <w:t>15-year term</w:t>
      </w:r>
      <w:r w:rsidR="00DF3BAC">
        <w:t xml:space="preserve"> are </w:t>
      </w:r>
      <w:r w:rsidR="003F54CF">
        <w:t>expected to come online June 1, 2026 and April 1, 2027</w:t>
      </w:r>
      <w:r w:rsidR="00DF3BAC">
        <w:t>, respectively</w:t>
      </w:r>
      <w:r w:rsidR="003F54CF">
        <w:t>, are intended to help SCE meet its general MTR requirement</w:t>
      </w:r>
      <w:r w:rsidR="002E33BA">
        <w:t>s</w:t>
      </w:r>
      <w:r w:rsidR="003F54CF">
        <w:t>.</w:t>
      </w:r>
    </w:p>
    <w:p w:rsidRPr="00B01834" w:rsidR="00B16777" w:rsidP="00C07654" w:rsidRDefault="00B16777" w14:paraId="0CEB91D4" w14:textId="0BF6D7BD">
      <w:pPr>
        <w:pStyle w:val="Res-Caption"/>
        <w:keepNext w:val="0"/>
        <w:numPr>
          <w:ilvl w:val="0"/>
          <w:numId w:val="9"/>
        </w:numPr>
        <w:spacing w:before="240"/>
      </w:pPr>
      <w:r>
        <w:t xml:space="preserve">The Euismod </w:t>
      </w:r>
      <w:r w:rsidR="003F54CF">
        <w:t>MTR C</w:t>
      </w:r>
      <w:r>
        <w:t>ontract</w:t>
      </w:r>
      <w:r w:rsidR="008332CE">
        <w:t>,</w:t>
      </w:r>
      <w:r>
        <w:t xml:space="preserve"> </w:t>
      </w:r>
      <w:r w:rsidR="0064312A">
        <w:t>for</w:t>
      </w:r>
      <w:r>
        <w:t xml:space="preserve"> 400 MW of nameplate capacity</w:t>
      </w:r>
      <w:r w:rsidR="003F54CF">
        <w:t>, 8-hour duration energy storage,</w:t>
      </w:r>
      <w:r w:rsidR="00DF3BAC">
        <w:t xml:space="preserve"> and 15-year term is</w:t>
      </w:r>
      <w:r>
        <w:t xml:space="preserve"> </w:t>
      </w:r>
      <w:r w:rsidR="0064312A">
        <w:t xml:space="preserve">expected to come online </w:t>
      </w:r>
      <w:r w:rsidR="00413B00">
        <w:br/>
      </w:r>
      <w:r w:rsidR="0064312A">
        <w:t>June 1, 2028</w:t>
      </w:r>
      <w:r w:rsidR="003F54CF">
        <w:t>,</w:t>
      </w:r>
      <w:r w:rsidR="00CA77CF">
        <w:t xml:space="preserve"> </w:t>
      </w:r>
      <w:r>
        <w:t xml:space="preserve">is </w:t>
      </w:r>
      <w:r w:rsidR="0064312A">
        <w:t xml:space="preserve">intended </w:t>
      </w:r>
      <w:r>
        <w:t>to</w:t>
      </w:r>
      <w:r w:rsidR="0064312A">
        <w:t xml:space="preserve"> help</w:t>
      </w:r>
      <w:r>
        <w:t xml:space="preserve"> SCE</w:t>
      </w:r>
      <w:r w:rsidR="0064312A">
        <w:t xml:space="preserve"> meet</w:t>
      </w:r>
      <w:r w:rsidR="00CA77CF">
        <w:t xml:space="preserve"> its</w:t>
      </w:r>
      <w:r w:rsidR="002E33BA">
        <w:t xml:space="preserve"> LLT resource</w:t>
      </w:r>
      <w:r w:rsidR="0064312A">
        <w:t xml:space="preserve"> </w:t>
      </w:r>
      <w:r w:rsidR="003F54CF">
        <w:t>MTR</w:t>
      </w:r>
      <w:r>
        <w:t xml:space="preserve"> requirement</w:t>
      </w:r>
      <w:r w:rsidR="00794E4B">
        <w:t>.</w:t>
      </w:r>
      <w:r w:rsidR="006E5216">
        <w:t xml:space="preserve"> </w:t>
      </w:r>
    </w:p>
    <w:p w:rsidRPr="00EE46B7" w:rsidR="008332CE" w:rsidP="00C07654" w:rsidRDefault="008332CE" w14:paraId="56A7589E" w14:textId="2F535D49">
      <w:pPr>
        <w:pStyle w:val="Res-Caption"/>
        <w:keepNext w:val="0"/>
        <w:numPr>
          <w:ilvl w:val="0"/>
          <w:numId w:val="9"/>
        </w:numPr>
        <w:spacing w:before="240"/>
      </w:pPr>
      <w:r w:rsidRPr="00EE46B7">
        <w:lastRenderedPageBreak/>
        <w:t>SCE’s methodology used to evaluate the bids in its competitive solicitation that resulted in the selection of the MTR Contracts was reasonable.</w:t>
      </w:r>
    </w:p>
    <w:p w:rsidRPr="00B01834" w:rsidR="003E0C29" w:rsidP="00C07654" w:rsidRDefault="00EB7C9E" w14:paraId="336962E0" w14:textId="12C3713E">
      <w:pPr>
        <w:pStyle w:val="Res-Caption"/>
        <w:keepNext w:val="0"/>
        <w:numPr>
          <w:ilvl w:val="0"/>
          <w:numId w:val="9"/>
        </w:numPr>
        <w:spacing w:before="240"/>
      </w:pPr>
      <w:r w:rsidRPr="00B01834">
        <w:t xml:space="preserve">The cost of the </w:t>
      </w:r>
      <w:r w:rsidR="006E5216">
        <w:t xml:space="preserve">three </w:t>
      </w:r>
      <w:r w:rsidR="008332CE">
        <w:t>MTR C</w:t>
      </w:r>
      <w:r w:rsidR="006E5216">
        <w:t>ontracts</w:t>
      </w:r>
      <w:r w:rsidRPr="00B01834">
        <w:t xml:space="preserve"> presented in SCE AL </w:t>
      </w:r>
      <w:r w:rsidRPr="00EE46B7" w:rsidR="000144EF">
        <w:t>5431</w:t>
      </w:r>
      <w:r w:rsidRPr="00B01834">
        <w:t>-E are reasonable based on the robust competitive solicitation and bid evaluation methodology.</w:t>
      </w:r>
    </w:p>
    <w:p w:rsidR="003E0C29" w:rsidP="00C07654" w:rsidRDefault="00EB7C9E" w14:paraId="4E8E5645" w14:textId="4FA35588">
      <w:pPr>
        <w:numPr>
          <w:ilvl w:val="0"/>
          <w:numId w:val="9"/>
        </w:numPr>
        <w:spacing w:before="240"/>
      </w:pPr>
      <w:r w:rsidRPr="006E5216">
        <w:t xml:space="preserve">SCE’s request to allocate the benefits and costs of the </w:t>
      </w:r>
      <w:r w:rsidRPr="006E5216" w:rsidR="006E5216">
        <w:t xml:space="preserve">Pier S and Overnight storage </w:t>
      </w:r>
      <w:r w:rsidR="00064DD7">
        <w:t>MTR C</w:t>
      </w:r>
      <w:r w:rsidRPr="006E5216" w:rsidR="006E5216">
        <w:t xml:space="preserve">ontacts to all applicable customers </w:t>
      </w:r>
      <w:r w:rsidR="00064DD7">
        <w:t>using</w:t>
      </w:r>
      <w:r w:rsidRPr="006E5216" w:rsidR="00064DD7">
        <w:t xml:space="preserve"> </w:t>
      </w:r>
      <w:r w:rsidRPr="006E5216" w:rsidR="006E5216">
        <w:t>the</w:t>
      </w:r>
      <w:r w:rsidR="00FF2537">
        <w:t xml:space="preserve"> 2021 or</w:t>
      </w:r>
      <w:r w:rsidRPr="006E5216">
        <w:t xml:space="preserve"> 2023 vintage PABA sub</w:t>
      </w:r>
      <w:r w:rsidR="008332CE">
        <w:t>-</w:t>
      </w:r>
      <w:r w:rsidRPr="006E5216">
        <w:t>account</w:t>
      </w:r>
      <w:r w:rsidR="008332CE">
        <w:t xml:space="preserve">, </w:t>
      </w:r>
      <w:r w:rsidRPr="00F70562" w:rsidR="008332CE">
        <w:rPr>
          <w:szCs w:val="24"/>
        </w:rPr>
        <w:t>including incremental administrative costs</w:t>
      </w:r>
      <w:r w:rsidR="008332CE">
        <w:rPr>
          <w:szCs w:val="24"/>
        </w:rPr>
        <w:t>,</w:t>
      </w:r>
      <w:r w:rsidRPr="006E5216" w:rsidR="006E5216">
        <w:t xml:space="preserve"> </w:t>
      </w:r>
      <w:r w:rsidRPr="006E5216">
        <w:t>is reasonable</w:t>
      </w:r>
      <w:r w:rsidR="008332CE">
        <w:t xml:space="preserve">. </w:t>
      </w:r>
      <w:r w:rsidRPr="006E5216" w:rsidR="006E5216">
        <w:t xml:space="preserve"> </w:t>
      </w:r>
    </w:p>
    <w:p w:rsidR="006E5216" w:rsidP="00FB6ABB" w:rsidRDefault="006E5216" w14:paraId="2739C5C9" w14:textId="6B7D2C04">
      <w:pPr>
        <w:numPr>
          <w:ilvl w:val="0"/>
          <w:numId w:val="9"/>
        </w:numPr>
        <w:spacing w:before="240"/>
      </w:pPr>
      <w:r w:rsidRPr="006E5216">
        <w:t>SCE’s request to allocate the</w:t>
      </w:r>
      <w:r w:rsidR="002E33BA">
        <w:t xml:space="preserve"> benefits and</w:t>
      </w:r>
      <w:r w:rsidRPr="006E5216">
        <w:t xml:space="preserve"> costs of the </w:t>
      </w:r>
      <w:r>
        <w:t xml:space="preserve">Euismod </w:t>
      </w:r>
      <w:r w:rsidR="00064DD7">
        <w:t>MTR C</w:t>
      </w:r>
      <w:r>
        <w:t xml:space="preserve">ontract </w:t>
      </w:r>
      <w:r w:rsidRPr="006E5216">
        <w:t>to all applicable customers</w:t>
      </w:r>
      <w:r w:rsidR="00064DD7">
        <w:t xml:space="preserve"> using</w:t>
      </w:r>
      <w:r w:rsidRPr="006E5216">
        <w:t xml:space="preserve"> the 202</w:t>
      </w:r>
      <w:r>
        <w:t>1</w:t>
      </w:r>
      <w:r w:rsidRPr="006E5216">
        <w:t xml:space="preserve"> vintage PABA subaccount</w:t>
      </w:r>
      <w:r w:rsidR="002E33BA">
        <w:t>,</w:t>
      </w:r>
      <w:r w:rsidRPr="002E33BA" w:rsidR="002E33BA">
        <w:rPr>
          <w:szCs w:val="24"/>
        </w:rPr>
        <w:t xml:space="preserve"> </w:t>
      </w:r>
      <w:r w:rsidRPr="00F70562" w:rsidR="002E33BA">
        <w:rPr>
          <w:szCs w:val="24"/>
        </w:rPr>
        <w:t>including incremental administrative costs</w:t>
      </w:r>
      <w:r w:rsidR="002E33BA">
        <w:rPr>
          <w:szCs w:val="24"/>
        </w:rPr>
        <w:t>,</w:t>
      </w:r>
      <w:r w:rsidRPr="006E5216">
        <w:t xml:space="preserve"> is reasonable</w:t>
      </w:r>
      <w:r w:rsidR="00064DD7">
        <w:t>.</w:t>
      </w:r>
      <w:r w:rsidRPr="006E5216">
        <w:t xml:space="preserve"> </w:t>
      </w:r>
    </w:p>
    <w:p w:rsidR="00C673FD" w:rsidRDefault="00C673FD" w14:paraId="682FDEC1" w14:textId="5160E730">
      <w:pPr>
        <w:numPr>
          <w:ilvl w:val="0"/>
          <w:numId w:val="9"/>
        </w:numPr>
        <w:spacing w:before="240"/>
      </w:pPr>
      <w:r>
        <w:t>SCE’s proposed cost recovery of the MTR Contracts is consistent with D.21-06-035, D.23-02-040 and Energy Division’s approval of AL 4589-E and AL 5019-E.</w:t>
      </w:r>
    </w:p>
    <w:p w:rsidRPr="00B01834" w:rsidR="003E0C29" w:rsidP="006347BF" w:rsidRDefault="00EB7C9E" w14:paraId="22537A83" w14:textId="006DD0CA">
      <w:pPr>
        <w:pStyle w:val="Heading1"/>
        <w:spacing w:before="240" w:after="160"/>
      </w:pPr>
      <w:r w:rsidRPr="00B01834">
        <w:t xml:space="preserve">THEREFORE, </w:t>
      </w:r>
      <w:r w:rsidRPr="00F438EB" w:rsidR="00A538B3">
        <w:t>it is ordered that:</w:t>
      </w:r>
    </w:p>
    <w:p w:rsidRPr="00B01834" w:rsidR="003E0C29" w:rsidP="004319EB" w:rsidRDefault="00EB7C9E" w14:paraId="778FC0D6" w14:textId="0D17507B">
      <w:pPr>
        <w:pStyle w:val="Res-Caption"/>
        <w:keepNext w:val="0"/>
        <w:numPr>
          <w:ilvl w:val="0"/>
          <w:numId w:val="10"/>
        </w:numPr>
        <w:spacing w:before="240"/>
      </w:pPr>
      <w:r w:rsidRPr="00B01834">
        <w:t xml:space="preserve">Southern California Edison's request in SCE AL </w:t>
      </w:r>
      <w:r w:rsidR="000144EF">
        <w:rPr>
          <w:szCs w:val="24"/>
        </w:rPr>
        <w:t>5431</w:t>
      </w:r>
      <w:r w:rsidRPr="00B01834">
        <w:t xml:space="preserve">-E for approval of </w:t>
      </w:r>
      <w:r w:rsidR="00F5713F">
        <w:t xml:space="preserve">Pier </w:t>
      </w:r>
      <w:r w:rsidR="0022374D">
        <w:t>S</w:t>
      </w:r>
      <w:r w:rsidR="001B46E3">
        <w:t>, Overnight, and Eusimod</w:t>
      </w:r>
      <w:r w:rsidR="0022374D">
        <w:t xml:space="preserve"> MTR Contracts </w:t>
      </w:r>
      <w:r w:rsidRPr="00B01834">
        <w:t xml:space="preserve">and related costs </w:t>
      </w:r>
      <w:r w:rsidRPr="00F438EB" w:rsidR="00A538B3">
        <w:rPr>
          <w:rFonts w:eastAsia="Palatino" w:cs="Palatino"/>
          <w:szCs w:val="24"/>
        </w:rPr>
        <w:t xml:space="preserve">for a total of </w:t>
      </w:r>
      <w:r w:rsidR="00AC2331">
        <w:rPr>
          <w:rFonts w:cs="Palatino"/>
          <w:szCs w:val="24"/>
        </w:rPr>
        <w:t>6</w:t>
      </w:r>
      <w:r w:rsidR="00064DD7">
        <w:rPr>
          <w:rFonts w:cs="Palatino"/>
          <w:szCs w:val="24"/>
        </w:rPr>
        <w:t>2</w:t>
      </w:r>
      <w:r w:rsidR="00AC2331">
        <w:rPr>
          <w:rFonts w:cs="Palatino"/>
          <w:szCs w:val="24"/>
        </w:rPr>
        <w:t>0</w:t>
      </w:r>
      <w:r w:rsidRPr="00F438EB" w:rsidR="00402FFB">
        <w:rPr>
          <w:rFonts w:cs="Palatino"/>
          <w:szCs w:val="24"/>
        </w:rPr>
        <w:t xml:space="preserve"> MW </w:t>
      </w:r>
      <w:r w:rsidR="00A6328E">
        <w:rPr>
          <w:rFonts w:cs="Palatino"/>
          <w:szCs w:val="24"/>
        </w:rPr>
        <w:t>nameplate capacity</w:t>
      </w:r>
      <w:r w:rsidRPr="00F438EB" w:rsidR="00402FFB">
        <w:rPr>
          <w:rFonts w:cs="Palatino"/>
          <w:szCs w:val="24"/>
        </w:rPr>
        <w:t xml:space="preserve">, </w:t>
      </w:r>
      <w:r w:rsidRPr="00F438EB" w:rsidR="00A538B3">
        <w:rPr>
          <w:rFonts w:eastAsia="Palatino" w:cs="Palatino"/>
          <w:szCs w:val="24"/>
        </w:rPr>
        <w:t>expected to come online</w:t>
      </w:r>
      <w:r w:rsidRPr="00F438EB" w:rsidR="00062F9B">
        <w:rPr>
          <w:rFonts w:eastAsia="Palatino" w:cs="Palatino"/>
          <w:szCs w:val="24"/>
        </w:rPr>
        <w:t xml:space="preserve"> </w:t>
      </w:r>
      <w:r w:rsidR="00AC2331">
        <w:rPr>
          <w:rFonts w:eastAsia="Palatino" w:cs="Palatino"/>
          <w:szCs w:val="24"/>
        </w:rPr>
        <w:t>June</w:t>
      </w:r>
      <w:r w:rsidRPr="00F438EB" w:rsidR="00062F9B">
        <w:rPr>
          <w:rFonts w:eastAsia="Palatino" w:cs="Palatino"/>
          <w:szCs w:val="24"/>
        </w:rPr>
        <w:t xml:space="preserve"> 1, 202</w:t>
      </w:r>
      <w:r w:rsidR="00AC2331">
        <w:rPr>
          <w:rFonts w:eastAsia="Palatino" w:cs="Palatino"/>
          <w:szCs w:val="24"/>
        </w:rPr>
        <w:t>6</w:t>
      </w:r>
      <w:r w:rsidRPr="00F438EB" w:rsidR="00062F9B">
        <w:rPr>
          <w:rFonts w:eastAsia="Palatino" w:cs="Palatino"/>
          <w:szCs w:val="24"/>
        </w:rPr>
        <w:t>,</w:t>
      </w:r>
      <w:r w:rsidRPr="00F438EB" w:rsidR="00A538B3">
        <w:rPr>
          <w:rFonts w:eastAsia="Palatino" w:cs="Palatino"/>
          <w:szCs w:val="24"/>
        </w:rPr>
        <w:t xml:space="preserve"> </w:t>
      </w:r>
      <w:r w:rsidR="00AC2331">
        <w:rPr>
          <w:rFonts w:eastAsia="Palatino" w:cs="Palatino"/>
          <w:szCs w:val="24"/>
        </w:rPr>
        <w:t>April</w:t>
      </w:r>
      <w:r w:rsidRPr="00F438EB" w:rsidR="00430161">
        <w:rPr>
          <w:rFonts w:eastAsia="Palatino" w:cs="Palatino"/>
          <w:szCs w:val="24"/>
        </w:rPr>
        <w:t xml:space="preserve"> 1, 202</w:t>
      </w:r>
      <w:r w:rsidR="001A20F0">
        <w:rPr>
          <w:rFonts w:eastAsia="Palatino" w:cs="Palatino"/>
          <w:szCs w:val="24"/>
        </w:rPr>
        <w:t>7</w:t>
      </w:r>
      <w:r w:rsidRPr="00F438EB" w:rsidR="00430161">
        <w:rPr>
          <w:rFonts w:eastAsia="Palatino" w:cs="Palatino"/>
          <w:szCs w:val="24"/>
        </w:rPr>
        <w:t>,</w:t>
      </w:r>
      <w:r w:rsidRPr="00F438EB" w:rsidR="00062F9B">
        <w:rPr>
          <w:rFonts w:eastAsia="Palatino" w:cs="Palatino"/>
          <w:szCs w:val="24"/>
        </w:rPr>
        <w:t xml:space="preserve"> and June 1, 202</w:t>
      </w:r>
      <w:r w:rsidR="001A20F0">
        <w:rPr>
          <w:rFonts w:eastAsia="Palatino" w:cs="Palatino"/>
          <w:szCs w:val="24"/>
        </w:rPr>
        <w:t>8, respectively</w:t>
      </w:r>
      <w:r w:rsidRPr="00F438EB" w:rsidR="00902BCB">
        <w:rPr>
          <w:rFonts w:eastAsia="Palatino" w:cs="Palatino"/>
          <w:szCs w:val="24"/>
        </w:rPr>
        <w:t>,</w:t>
      </w:r>
      <w:r w:rsidRPr="00F438EB" w:rsidR="00A538B3">
        <w:rPr>
          <w:rFonts w:eastAsia="Palatino" w:cs="Palatino"/>
          <w:szCs w:val="24"/>
        </w:rPr>
        <w:t xml:space="preserve"> </w:t>
      </w:r>
      <w:r w:rsidRPr="00F438EB" w:rsidR="00A538B3">
        <w:rPr>
          <w:snapToGrid w:val="0"/>
          <w:szCs w:val="24"/>
        </w:rPr>
        <w:t>is approved.</w:t>
      </w:r>
    </w:p>
    <w:p w:rsidR="003E0C29" w:rsidP="004319EB" w:rsidRDefault="00EB7C9E" w14:paraId="6D4390C2" w14:textId="00944414">
      <w:pPr>
        <w:numPr>
          <w:ilvl w:val="0"/>
          <w:numId w:val="10"/>
        </w:numPr>
        <w:spacing w:before="240"/>
      </w:pPr>
      <w:r w:rsidRPr="00B01834">
        <w:t xml:space="preserve">Southern California Edison’s request in SCE AL </w:t>
      </w:r>
      <w:r w:rsidR="000144EF">
        <w:t>5431</w:t>
      </w:r>
      <w:r w:rsidRPr="00B01834">
        <w:t>-E, to allocate the benefits and costs of the</w:t>
      </w:r>
      <w:r w:rsidR="00C85C92">
        <w:t xml:space="preserve"> Pier S and Overnight </w:t>
      </w:r>
      <w:r w:rsidR="00064DD7">
        <w:t xml:space="preserve">Storage </w:t>
      </w:r>
      <w:r w:rsidR="002E33BA">
        <w:t>MTR Contracts</w:t>
      </w:r>
      <w:r w:rsidRPr="00B01834">
        <w:t xml:space="preserve"> to all applicable customers via the</w:t>
      </w:r>
      <w:r w:rsidR="00A34888">
        <w:t xml:space="preserve"> 2021 or</w:t>
      </w:r>
      <w:r w:rsidRPr="00B01834">
        <w:t xml:space="preserve"> 2023 vintage sub-account of SCE’s Portfolio Allocation Balancing Account, including incremental administrative costs, is approved</w:t>
      </w:r>
      <w:r w:rsidR="00BA2A16">
        <w:t xml:space="preserve">.  </w:t>
      </w:r>
    </w:p>
    <w:p w:rsidRPr="002B45F2" w:rsidR="002B45F2" w:rsidP="00930AA2" w:rsidRDefault="002B45F2" w14:paraId="64795DF4" w14:textId="60AB53F2">
      <w:pPr>
        <w:numPr>
          <w:ilvl w:val="0"/>
          <w:numId w:val="10"/>
        </w:numPr>
        <w:spacing w:before="240"/>
      </w:pPr>
      <w:r w:rsidRPr="00B01834">
        <w:t xml:space="preserve">Southern California Edison’s request in SCE AL </w:t>
      </w:r>
      <w:r>
        <w:rPr>
          <w:szCs w:val="24"/>
        </w:rPr>
        <w:t>5431</w:t>
      </w:r>
      <w:r w:rsidRPr="00B01834">
        <w:t>-E, to allocate the benefits and costs of the</w:t>
      </w:r>
      <w:r>
        <w:t xml:space="preserve"> Euismod </w:t>
      </w:r>
      <w:r w:rsidR="00064DD7">
        <w:t>MTR</w:t>
      </w:r>
      <w:r>
        <w:t xml:space="preserve"> </w:t>
      </w:r>
      <w:r w:rsidR="00064DD7">
        <w:t>C</w:t>
      </w:r>
      <w:r w:rsidRPr="00B01834">
        <w:t>ontract to all applicable customers via the 202</w:t>
      </w:r>
      <w:r>
        <w:t>1</w:t>
      </w:r>
      <w:r w:rsidRPr="00B01834">
        <w:t xml:space="preserve"> vintage sub-account of SCE’s Portfolio Allocation Balancing Account, including incremental administrative costs, is approved</w:t>
      </w:r>
      <w:r>
        <w:t xml:space="preserve">.  </w:t>
      </w:r>
    </w:p>
    <w:p w:rsidR="002E33BA" w:rsidP="00B01834" w:rsidRDefault="002E33BA" w14:paraId="266621F7" w14:textId="77777777">
      <w:pPr>
        <w:tabs>
          <w:tab w:val="left" w:pos="720"/>
          <w:tab w:val="left" w:pos="1296"/>
          <w:tab w:val="left" w:pos="2016"/>
          <w:tab w:val="left" w:pos="2736"/>
          <w:tab w:val="left" w:pos="3456"/>
          <w:tab w:val="left" w:pos="4176"/>
          <w:tab w:val="left" w:pos="5760"/>
        </w:tabs>
      </w:pPr>
    </w:p>
    <w:p w:rsidR="004170BB" w:rsidRDefault="004170BB" w14:paraId="2E6A71B2" w14:textId="77777777">
      <w:pPr>
        <w:spacing w:after="160" w:line="278" w:lineRule="auto"/>
      </w:pPr>
      <w:r>
        <w:br w:type="page"/>
      </w:r>
    </w:p>
    <w:p w:rsidRPr="00B01834" w:rsidR="003E0C29" w:rsidP="00B01834" w:rsidRDefault="00EB7C9E" w14:paraId="3AA063B5" w14:textId="0872927D">
      <w:pPr>
        <w:tabs>
          <w:tab w:val="left" w:pos="720"/>
          <w:tab w:val="left" w:pos="1296"/>
          <w:tab w:val="left" w:pos="2016"/>
          <w:tab w:val="left" w:pos="2736"/>
          <w:tab w:val="left" w:pos="3456"/>
          <w:tab w:val="left" w:pos="4176"/>
          <w:tab w:val="left" w:pos="5760"/>
        </w:tabs>
      </w:pPr>
      <w:r w:rsidRPr="00B01834">
        <w:lastRenderedPageBreak/>
        <w:t>This Resolution is effective today.</w:t>
      </w:r>
    </w:p>
    <w:p w:rsidRPr="00B01834" w:rsidR="003E0C29" w:rsidP="00B01834" w:rsidRDefault="00EB7C9E" w14:paraId="333CA491" w14:textId="44987A8D">
      <w:r w:rsidRPr="00B01834">
        <w:t xml:space="preserve">I certify that the foregoing resolution was duly introduced, passed, and adopted at a conference of the Public Utilities Commission of the State of California held on </w:t>
      </w:r>
      <w:r w:rsidR="004170BB">
        <w:br/>
      </w:r>
      <w:r w:rsidR="006E5216">
        <w:t>February 20, 2025</w:t>
      </w:r>
      <w:r w:rsidRPr="00B01834">
        <w:t>; the following Commissioners voting favorably thereon:</w:t>
      </w:r>
    </w:p>
    <w:p w:rsidRPr="00F438EB" w:rsidR="00C96923" w:rsidP="00A538B3" w:rsidRDefault="00C96923" w14:paraId="6EEC1A90" w14:textId="77777777">
      <w:pPr>
        <w:tabs>
          <w:tab w:val="left" w:pos="720"/>
          <w:tab w:val="left" w:pos="1296"/>
          <w:tab w:val="left" w:pos="2016"/>
          <w:tab w:val="left" w:pos="2736"/>
          <w:tab w:val="left" w:pos="3456"/>
          <w:tab w:val="left" w:pos="4176"/>
          <w:tab w:val="left" w:pos="5760"/>
        </w:tabs>
        <w:rPr>
          <w:rFonts w:eastAsia="Palatino,Times New Roman"/>
          <w:szCs w:val="24"/>
        </w:rPr>
      </w:pPr>
    </w:p>
    <w:p w:rsidR="00285FF2" w:rsidP="005954AE" w:rsidRDefault="00285FF2" w14:paraId="60BCFB6E" w14:textId="77777777">
      <w:pPr>
        <w:tabs>
          <w:tab w:val="left" w:pos="720"/>
          <w:tab w:val="left" w:pos="1152"/>
          <w:tab w:val="left" w:pos="1728"/>
          <w:tab w:val="left" w:pos="3168"/>
          <w:tab w:val="left" w:pos="5040"/>
        </w:tabs>
        <w:spacing w:after="0"/>
        <w:ind w:right="144"/>
        <w:rPr>
          <w:rFonts w:eastAsia="Palatino Linotype" w:cs="Palatino"/>
          <w:szCs w:val="24"/>
        </w:rPr>
      </w:pPr>
    </w:p>
    <w:p w:rsidRPr="00006EE9" w:rsidR="008332CE" w:rsidP="005954AE" w:rsidRDefault="00E7499F" w14:paraId="417E9682" w14:textId="17FC92A7">
      <w:pPr>
        <w:tabs>
          <w:tab w:val="left" w:pos="720"/>
          <w:tab w:val="left" w:pos="1152"/>
          <w:tab w:val="left" w:pos="1728"/>
          <w:tab w:val="left" w:pos="3168"/>
          <w:tab w:val="left" w:pos="5040"/>
        </w:tabs>
        <w:spacing w:after="0"/>
        <w:ind w:left="4950" w:right="144"/>
        <w:rPr>
          <w:szCs w:val="24"/>
          <w:u w:val="single"/>
        </w:rPr>
      </w:pPr>
      <w:r>
        <w:rPr>
          <w:szCs w:val="24"/>
          <w:u w:val="single"/>
        </w:rPr>
        <w:t>_____________________</w:t>
      </w:r>
    </w:p>
    <w:p w:rsidRPr="00006EE9" w:rsidR="008332CE" w:rsidP="005954AE" w:rsidRDefault="008332CE" w14:paraId="3060D53D" w14:textId="77777777">
      <w:pPr>
        <w:tabs>
          <w:tab w:val="left" w:pos="720"/>
          <w:tab w:val="left" w:pos="1152"/>
          <w:tab w:val="left" w:pos="1728"/>
          <w:tab w:val="left" w:pos="3168"/>
          <w:tab w:val="left" w:pos="5040"/>
        </w:tabs>
        <w:spacing w:after="0"/>
        <w:ind w:left="5130" w:right="144"/>
        <w:rPr>
          <w:szCs w:val="24"/>
        </w:rPr>
      </w:pPr>
      <w:r w:rsidRPr="00006EE9">
        <w:rPr>
          <w:szCs w:val="24"/>
        </w:rPr>
        <w:t xml:space="preserve">  Rachel Peterson</w:t>
      </w:r>
    </w:p>
    <w:p w:rsidRPr="00006EE9" w:rsidR="008332CE" w:rsidP="005954AE" w:rsidRDefault="008332CE" w14:paraId="0DE1611A" w14:textId="77777777">
      <w:pPr>
        <w:tabs>
          <w:tab w:val="left" w:pos="720"/>
          <w:tab w:val="left" w:pos="1152"/>
          <w:tab w:val="left" w:pos="1728"/>
          <w:tab w:val="left" w:pos="3168"/>
          <w:tab w:val="left" w:pos="5040"/>
        </w:tabs>
        <w:spacing w:after="0"/>
        <w:ind w:left="5130" w:right="144"/>
        <w:rPr>
          <w:szCs w:val="24"/>
        </w:rPr>
      </w:pPr>
      <w:r w:rsidRPr="00006EE9">
        <w:rPr>
          <w:szCs w:val="24"/>
        </w:rPr>
        <w:t xml:space="preserve">  Executive Director</w:t>
      </w:r>
    </w:p>
    <w:p w:rsidR="003E0C29" w:rsidP="00B01834" w:rsidRDefault="00EB7C9E" w14:paraId="03DD45FC" w14:textId="15BA2E86">
      <w:pPr>
        <w:ind w:hanging="270"/>
      </w:pPr>
      <w:r w:rsidRPr="00B01834">
        <w:t xml:space="preserve">    </w:t>
      </w:r>
      <w:r w:rsidR="008A0F48">
        <w:rPr>
          <w:rFonts w:eastAsia="Palatino Linotype" w:cs="Palatino"/>
          <w:szCs w:val="24"/>
        </w:rPr>
        <w:tab/>
      </w:r>
      <w:r w:rsidR="008A0F48">
        <w:rPr>
          <w:rFonts w:eastAsia="Palatino Linotype" w:cs="Palatino"/>
          <w:szCs w:val="24"/>
        </w:rPr>
        <w:tab/>
      </w:r>
      <w:r w:rsidR="008A0F48">
        <w:rPr>
          <w:rFonts w:eastAsia="Palatino Linotype" w:cs="Palatino"/>
          <w:szCs w:val="24"/>
        </w:rPr>
        <w:tab/>
      </w:r>
      <w:r w:rsidR="008A0F48">
        <w:rPr>
          <w:rFonts w:eastAsia="Palatino Linotype" w:cs="Palatino"/>
          <w:szCs w:val="24"/>
        </w:rPr>
        <w:tab/>
      </w:r>
      <w:r w:rsidR="008A0F48">
        <w:rPr>
          <w:rFonts w:eastAsia="Palatino Linotype" w:cs="Palatino"/>
          <w:szCs w:val="24"/>
        </w:rPr>
        <w:tab/>
      </w:r>
      <w:r w:rsidR="008A0F48">
        <w:rPr>
          <w:rFonts w:eastAsia="Palatino Linotype" w:cs="Palatino"/>
          <w:szCs w:val="24"/>
        </w:rPr>
        <w:tab/>
      </w:r>
      <w:r w:rsidR="008A0F48">
        <w:rPr>
          <w:rFonts w:eastAsia="Palatino Linotype" w:cs="Palatino"/>
          <w:szCs w:val="24"/>
        </w:rPr>
        <w:tab/>
      </w:r>
      <w:r w:rsidR="008A0F48">
        <w:rPr>
          <w:rFonts w:eastAsia="Palatino Linotype" w:cs="Palatino"/>
          <w:szCs w:val="24"/>
        </w:rPr>
        <w:tab/>
      </w:r>
      <w:r w:rsidRPr="00B01834">
        <w:tab/>
        <w:t xml:space="preserve">       </w:t>
      </w:r>
    </w:p>
    <w:p w:rsidR="00B35F10" w:rsidP="00B01834" w:rsidRDefault="00B35F10" w14:paraId="3B26E4D5" w14:textId="77777777">
      <w:pPr>
        <w:ind w:hanging="270"/>
      </w:pPr>
    </w:p>
    <w:p w:rsidR="00B35F10" w:rsidP="00B01834" w:rsidRDefault="00B35F10" w14:paraId="63684B88" w14:textId="77777777">
      <w:pPr>
        <w:ind w:hanging="270"/>
      </w:pPr>
    </w:p>
    <w:p w:rsidRPr="00B01834" w:rsidR="00B35F10" w:rsidP="00B01834" w:rsidRDefault="00B35F10" w14:paraId="6893B8E1" w14:textId="77777777">
      <w:pPr>
        <w:ind w:hanging="270"/>
      </w:pPr>
    </w:p>
    <w:p w:rsidR="00B35F10" w:rsidP="00207B04" w:rsidRDefault="00B35F10" w14:paraId="119BDF8B" w14:textId="77777777">
      <w:pPr>
        <w:rPr>
          <w:rFonts w:eastAsia="Palatino Linotype" w:cs="Palatino"/>
          <w:b/>
          <w:bCs/>
          <w:szCs w:val="24"/>
        </w:rPr>
        <w:sectPr w:rsidR="00B35F10" w:rsidSect="00B01834">
          <w:headerReference w:type="default" r:id="rId11"/>
          <w:footerReference w:type="default" r:id="rId12"/>
          <w:headerReference w:type="first" r:id="rId13"/>
          <w:footerReference w:type="first" r:id="rId14"/>
          <w:type w:val="continuous"/>
          <w:pgSz w:w="12240" w:h="15840" w:code="1"/>
          <w:pgMar w:top="1224" w:right="1350" w:bottom="1224" w:left="1224" w:header="720" w:footer="720" w:gutter="0"/>
          <w:pgNumType w:start="1"/>
          <w:cols w:space="720"/>
          <w:titlePg/>
          <w:docGrid w:linePitch="354"/>
        </w:sectPr>
      </w:pPr>
    </w:p>
    <w:p w:rsidR="00CB52E1" w:rsidP="00207B04" w:rsidRDefault="00CB52E1" w14:paraId="392B1E51" w14:textId="7123CABC">
      <w:pPr>
        <w:rPr>
          <w:rFonts w:eastAsia="Palatino Linotype" w:cs="Palatino"/>
          <w:b/>
          <w:bCs/>
          <w:szCs w:val="24"/>
        </w:rPr>
      </w:pPr>
    </w:p>
    <w:p w:rsidR="003641F0" w:rsidP="00207B04" w:rsidRDefault="003641F0" w14:paraId="2733A29D" w14:textId="77777777">
      <w:pPr>
        <w:rPr>
          <w:rFonts w:eastAsia="Palatino Linotype" w:cs="Palatino"/>
          <w:b/>
          <w:bCs/>
          <w:szCs w:val="24"/>
        </w:rPr>
      </w:pPr>
    </w:p>
    <w:p w:rsidR="003641F0" w:rsidP="00207B04" w:rsidRDefault="003641F0" w14:paraId="202B87AC" w14:textId="77777777">
      <w:pPr>
        <w:rPr>
          <w:rFonts w:eastAsia="Palatino Linotype" w:cs="Palatino"/>
          <w:b/>
          <w:bCs/>
          <w:szCs w:val="24"/>
        </w:rPr>
      </w:pPr>
    </w:p>
    <w:p w:rsidR="003641F0" w:rsidP="00207B04" w:rsidRDefault="003641F0" w14:paraId="4E9A5BC7" w14:textId="77777777">
      <w:pPr>
        <w:rPr>
          <w:rFonts w:eastAsia="Palatino Linotype" w:cs="Palatino"/>
          <w:b/>
          <w:bCs/>
          <w:szCs w:val="24"/>
        </w:rPr>
      </w:pPr>
    </w:p>
    <w:p w:rsidR="003641F0" w:rsidP="00207B04" w:rsidRDefault="003641F0" w14:paraId="64045049" w14:textId="77777777">
      <w:pPr>
        <w:rPr>
          <w:rFonts w:eastAsia="Palatino Linotype" w:cs="Palatino"/>
          <w:b/>
          <w:bCs/>
          <w:szCs w:val="24"/>
        </w:rPr>
      </w:pPr>
    </w:p>
    <w:p w:rsidR="003641F0" w:rsidP="00207B04" w:rsidRDefault="003641F0" w14:paraId="620B2322" w14:textId="77777777">
      <w:pPr>
        <w:rPr>
          <w:rFonts w:eastAsia="Palatino Linotype" w:cs="Palatino"/>
          <w:b/>
          <w:bCs/>
          <w:szCs w:val="24"/>
        </w:rPr>
      </w:pPr>
    </w:p>
    <w:p w:rsidR="003641F0" w:rsidP="00207B04" w:rsidRDefault="003641F0" w14:paraId="6F397F02" w14:textId="77777777">
      <w:pPr>
        <w:rPr>
          <w:rFonts w:eastAsia="Palatino Linotype" w:cs="Palatino"/>
          <w:b/>
          <w:bCs/>
          <w:szCs w:val="24"/>
        </w:rPr>
      </w:pPr>
    </w:p>
    <w:p w:rsidR="003641F0" w:rsidP="00207B04" w:rsidRDefault="003641F0" w14:paraId="6DB3CBF8" w14:textId="77777777">
      <w:pPr>
        <w:rPr>
          <w:rFonts w:eastAsia="Palatino Linotype" w:cs="Palatino"/>
          <w:b/>
          <w:bCs/>
          <w:szCs w:val="24"/>
        </w:rPr>
      </w:pPr>
    </w:p>
    <w:p w:rsidRPr="003641F0" w:rsidR="003641F0" w:rsidP="00B01834" w:rsidRDefault="00EB7C9E" w14:paraId="5DCBDAF6" w14:textId="1BDB8E0D">
      <w:pPr>
        <w:jc w:val="center"/>
        <w:rPr>
          <w:b/>
          <w:sz w:val="56"/>
          <w:szCs w:val="56"/>
        </w:rPr>
      </w:pPr>
      <w:r w:rsidRPr="003641F0">
        <w:rPr>
          <w:b/>
          <w:sz w:val="56"/>
          <w:szCs w:val="56"/>
        </w:rPr>
        <w:t>A</w:t>
      </w:r>
      <w:r w:rsidR="003641F0">
        <w:rPr>
          <w:b/>
          <w:sz w:val="56"/>
          <w:szCs w:val="56"/>
        </w:rPr>
        <w:t>PPENDIX</w:t>
      </w:r>
      <w:r w:rsidRPr="003641F0">
        <w:rPr>
          <w:b/>
          <w:sz w:val="56"/>
          <w:szCs w:val="56"/>
        </w:rPr>
        <w:t xml:space="preserve"> A</w:t>
      </w:r>
    </w:p>
    <w:p w:rsidR="003641F0" w:rsidRDefault="003641F0" w14:paraId="2EA5F662" w14:textId="77777777">
      <w:pPr>
        <w:spacing w:after="160" w:line="278" w:lineRule="auto"/>
        <w:rPr>
          <w:b/>
        </w:rPr>
      </w:pPr>
      <w:r>
        <w:rPr>
          <w:b/>
        </w:rPr>
        <w:br w:type="page"/>
      </w:r>
    </w:p>
    <w:p w:rsidRPr="00B01834" w:rsidR="003E0C29" w:rsidP="00B01834" w:rsidRDefault="003E0C29" w14:paraId="2F2B86FE" w14:textId="77777777">
      <w:pPr>
        <w:jc w:val="center"/>
        <w:rPr>
          <w:b/>
        </w:rPr>
      </w:pPr>
    </w:p>
    <w:tbl>
      <w:tblPr>
        <w:tblW w:w="10260" w:type="dxa"/>
        <w:tblInd w:w="-188"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522"/>
        <w:gridCol w:w="1178"/>
        <w:gridCol w:w="1080"/>
        <w:gridCol w:w="1350"/>
        <w:gridCol w:w="1080"/>
        <w:gridCol w:w="1170"/>
        <w:gridCol w:w="1350"/>
        <w:gridCol w:w="1530"/>
      </w:tblGrid>
      <w:tr w:rsidRPr="00C035BE" w:rsidR="00627E5B" w:rsidTr="7619423B" w14:paraId="026C1DBD" w14:textId="77777777">
        <w:trPr>
          <w:trHeight w:val="405"/>
          <w:tblHeader/>
        </w:trPr>
        <w:tc>
          <w:tcPr>
            <w:tcW w:w="10260" w:type="dxa"/>
            <w:gridSpan w:val="8"/>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hideMark/>
          </w:tcPr>
          <w:p w:rsidRPr="00C035BE" w:rsidR="00627E5B" w:rsidP="000E1E55" w:rsidRDefault="00627E5B" w14:paraId="5EA53196" w14:textId="77777777">
            <w:pPr>
              <w:jc w:val="center"/>
              <w:textAlignment w:val="baseline"/>
              <w:rPr>
                <w:rFonts w:ascii="Times New Roman" w:hAnsi="Times New Roman"/>
                <w:sz w:val="23"/>
                <w:szCs w:val="23"/>
              </w:rPr>
            </w:pPr>
            <w:r w:rsidRPr="00C035BE">
              <w:rPr>
                <w:b/>
                <w:bCs/>
                <w:sz w:val="23"/>
                <w:szCs w:val="23"/>
              </w:rPr>
              <w:t>SCE Mid-Term Reliability Contracts Filed to Date</w:t>
            </w:r>
            <w:r w:rsidRPr="00C035BE">
              <w:rPr>
                <w:sz w:val="23"/>
                <w:szCs w:val="23"/>
              </w:rPr>
              <w:t> </w:t>
            </w:r>
          </w:p>
        </w:tc>
      </w:tr>
      <w:tr w:rsidRPr="00C035BE" w:rsidR="00627E5B" w:rsidTr="00CF4FFE" w14:paraId="4AA57D93" w14:textId="77777777">
        <w:trPr>
          <w:trHeight w:val="930"/>
          <w:tblHeader/>
        </w:trPr>
        <w:tc>
          <w:tcPr>
            <w:tcW w:w="1522"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BFBFBF" w:themeFill="background1" w:themeFillShade="BF"/>
            <w:hideMark/>
          </w:tcPr>
          <w:p w:rsidRPr="00C035BE" w:rsidR="00627E5B" w:rsidP="000E1E55" w:rsidRDefault="00627E5B" w14:paraId="08BD91C3" w14:textId="77777777">
            <w:pPr>
              <w:ind w:right="90"/>
              <w:jc w:val="center"/>
              <w:textAlignment w:val="baseline"/>
              <w:rPr>
                <w:rFonts w:ascii="Times New Roman" w:hAnsi="Times New Roman"/>
                <w:sz w:val="23"/>
                <w:szCs w:val="23"/>
              </w:rPr>
            </w:pPr>
            <w:r w:rsidRPr="00C035BE">
              <w:rPr>
                <w:b/>
                <w:bCs/>
                <w:sz w:val="23"/>
                <w:szCs w:val="23"/>
              </w:rPr>
              <w:t>Advice Letter (AL) and Resolution</w:t>
            </w:r>
            <w:r w:rsidRPr="00C035BE">
              <w:rPr>
                <w:sz w:val="23"/>
                <w:szCs w:val="23"/>
              </w:rPr>
              <w:t> </w:t>
            </w:r>
          </w:p>
        </w:tc>
        <w:tc>
          <w:tcPr>
            <w:tcW w:w="1178"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BFBFBF" w:themeFill="background1" w:themeFillShade="BF"/>
            <w:hideMark/>
          </w:tcPr>
          <w:p w:rsidRPr="00C035BE" w:rsidR="00627E5B" w:rsidP="000E1E55" w:rsidRDefault="00627E5B" w14:paraId="6B8D9EDC" w14:textId="77777777">
            <w:pPr>
              <w:ind w:right="90"/>
              <w:jc w:val="center"/>
              <w:textAlignment w:val="baseline"/>
              <w:rPr>
                <w:rFonts w:ascii="Times New Roman" w:hAnsi="Times New Roman"/>
                <w:sz w:val="23"/>
                <w:szCs w:val="23"/>
              </w:rPr>
            </w:pPr>
            <w:r w:rsidRPr="00C035BE">
              <w:rPr>
                <w:b/>
                <w:bCs/>
                <w:sz w:val="23"/>
                <w:szCs w:val="23"/>
              </w:rPr>
              <w:t>AL Approval Date</w:t>
            </w:r>
            <w:r w:rsidRPr="00C035BE">
              <w:rPr>
                <w:sz w:val="23"/>
                <w:szCs w:val="23"/>
              </w:rPr>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hideMark/>
          </w:tcPr>
          <w:p w:rsidRPr="00C035BE" w:rsidR="00627E5B" w:rsidP="000E1E55" w:rsidRDefault="00627E5B" w14:paraId="33145786" w14:textId="77777777">
            <w:pPr>
              <w:ind w:right="90"/>
              <w:jc w:val="center"/>
              <w:textAlignment w:val="baseline"/>
              <w:rPr>
                <w:rFonts w:ascii="Times New Roman" w:hAnsi="Times New Roman"/>
                <w:sz w:val="23"/>
                <w:szCs w:val="23"/>
              </w:rPr>
            </w:pPr>
            <w:r w:rsidRPr="00C035BE">
              <w:rPr>
                <w:b/>
                <w:bCs/>
                <w:sz w:val="23"/>
                <w:szCs w:val="23"/>
              </w:rPr>
              <w:t>Seller, Project Name</w:t>
            </w:r>
            <w:r w:rsidRPr="00C035BE">
              <w:rPr>
                <w:sz w:val="23"/>
                <w:szCs w:val="23"/>
              </w:rPr>
              <w:t>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hideMark/>
          </w:tcPr>
          <w:p w:rsidRPr="00C035BE" w:rsidR="00627E5B" w:rsidP="000E1E55" w:rsidRDefault="00627E5B" w14:paraId="2E6E72BE" w14:textId="77777777">
            <w:pPr>
              <w:jc w:val="center"/>
              <w:textAlignment w:val="baseline"/>
              <w:rPr>
                <w:rFonts w:ascii="Times New Roman" w:hAnsi="Times New Roman"/>
                <w:sz w:val="23"/>
                <w:szCs w:val="23"/>
              </w:rPr>
            </w:pPr>
            <w:r w:rsidRPr="00C035BE">
              <w:rPr>
                <w:b/>
                <w:bCs/>
                <w:sz w:val="23"/>
                <w:szCs w:val="23"/>
              </w:rPr>
              <w:t>Technology Type</w:t>
            </w:r>
            <w:r w:rsidRPr="00C035BE">
              <w:rPr>
                <w:sz w:val="23"/>
                <w:szCs w:val="23"/>
              </w:rPr>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hideMark/>
          </w:tcPr>
          <w:p w:rsidRPr="00C035BE" w:rsidR="00627E5B" w:rsidP="000E1E55" w:rsidRDefault="00627E5B" w14:paraId="5E34AC4D" w14:textId="77777777">
            <w:pPr>
              <w:ind w:right="60"/>
              <w:jc w:val="center"/>
              <w:textAlignment w:val="baseline"/>
              <w:rPr>
                <w:rFonts w:ascii="Times New Roman" w:hAnsi="Times New Roman"/>
                <w:sz w:val="23"/>
                <w:szCs w:val="23"/>
              </w:rPr>
            </w:pPr>
            <w:r w:rsidRPr="00C035BE">
              <w:rPr>
                <w:b/>
                <w:bCs/>
                <w:sz w:val="23"/>
                <w:szCs w:val="23"/>
              </w:rPr>
              <w:t>Contract Type</w:t>
            </w:r>
            <w:r w:rsidRPr="00C035BE">
              <w:rPr>
                <w:sz w:val="23"/>
                <w:szCs w:val="23"/>
              </w:rPr>
              <w:t>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hideMark/>
          </w:tcPr>
          <w:p w:rsidRPr="00C035BE" w:rsidR="00627E5B" w:rsidP="000E1E55" w:rsidRDefault="00627E5B" w14:paraId="25C2F88A" w14:textId="77777777">
            <w:pPr>
              <w:jc w:val="center"/>
              <w:textAlignment w:val="baseline"/>
              <w:rPr>
                <w:rFonts w:ascii="Times New Roman" w:hAnsi="Times New Roman"/>
                <w:sz w:val="23"/>
                <w:szCs w:val="23"/>
              </w:rPr>
            </w:pPr>
            <w:r w:rsidRPr="00C035BE">
              <w:rPr>
                <w:b/>
                <w:bCs/>
                <w:sz w:val="23"/>
                <w:szCs w:val="23"/>
              </w:rPr>
              <w:t>Expected Delivery Period</w:t>
            </w:r>
            <w:r w:rsidRPr="00C035BE">
              <w:rPr>
                <w:sz w:val="23"/>
                <w:szCs w:val="23"/>
              </w:rPr>
              <w:t>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hideMark/>
          </w:tcPr>
          <w:p w:rsidRPr="00C035BE" w:rsidR="00627E5B" w:rsidP="000E1E55" w:rsidRDefault="00627E5B" w14:paraId="43C5958F" w14:textId="77777777">
            <w:pPr>
              <w:ind w:left="16" w:right="90" w:hanging="16"/>
              <w:jc w:val="center"/>
              <w:textAlignment w:val="baseline"/>
              <w:rPr>
                <w:rFonts w:ascii="Times New Roman" w:hAnsi="Times New Roman"/>
                <w:sz w:val="23"/>
                <w:szCs w:val="23"/>
              </w:rPr>
            </w:pPr>
            <w:r w:rsidRPr="00C035BE">
              <w:rPr>
                <w:b/>
                <w:bCs/>
                <w:sz w:val="23"/>
                <w:szCs w:val="23"/>
              </w:rPr>
              <w:t xml:space="preserve">Name Plate Capacity or Expected Generation </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hideMark/>
          </w:tcPr>
          <w:p w:rsidRPr="00C035BE" w:rsidR="00627E5B" w:rsidP="000E1E55" w:rsidRDefault="00627E5B" w14:paraId="0E07571C" w14:textId="77777777">
            <w:pPr>
              <w:ind w:left="90"/>
              <w:jc w:val="center"/>
              <w:textAlignment w:val="baseline"/>
              <w:rPr>
                <w:rFonts w:ascii="Times New Roman" w:hAnsi="Times New Roman"/>
                <w:sz w:val="23"/>
                <w:szCs w:val="23"/>
              </w:rPr>
            </w:pPr>
            <w:r w:rsidRPr="00C035BE">
              <w:rPr>
                <w:b/>
                <w:bCs/>
                <w:sz w:val="23"/>
                <w:szCs w:val="23"/>
              </w:rPr>
              <w:t xml:space="preserve">Contract ELCC Value for MTR Compliance </w:t>
            </w:r>
          </w:p>
        </w:tc>
      </w:tr>
      <w:tr w:rsidRPr="00C035BE" w:rsidR="00627E5B" w:rsidTr="00CF4FFE" w14:paraId="2276C287" w14:textId="77777777">
        <w:trPr>
          <w:trHeight w:val="825"/>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49CF5747" w14:textId="77777777">
            <w:pPr>
              <w:jc w:val="center"/>
              <w:textAlignment w:val="baseline"/>
              <w:rPr>
                <w:sz w:val="22"/>
                <w:szCs w:val="22"/>
              </w:rPr>
            </w:pPr>
            <w:r w:rsidRPr="00C035BE">
              <w:rPr>
                <w:sz w:val="22"/>
                <w:szCs w:val="22"/>
              </w:rPr>
              <w:t>AL 4739-E, Resolution E-5205 </w:t>
            </w:r>
          </w:p>
        </w:tc>
        <w:tc>
          <w:tcPr>
            <w:tcW w:w="1178"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325427B2" w14:textId="77777777">
            <w:pPr>
              <w:jc w:val="center"/>
              <w:textAlignment w:val="baseline"/>
              <w:rPr>
                <w:sz w:val="22"/>
                <w:szCs w:val="22"/>
              </w:rPr>
            </w:pPr>
            <w:r w:rsidRPr="00C035BE">
              <w:rPr>
                <w:sz w:val="22"/>
                <w:szCs w:val="22"/>
              </w:rPr>
              <w:t>May 19, 2022 </w:t>
            </w:r>
          </w:p>
        </w:tc>
        <w:tc>
          <w:tcPr>
            <w:tcW w:w="1080" w:type="dxa"/>
            <w:tcBorders>
              <w:top w:val="single" w:color="000000" w:themeColor="text1" w:sz="6" w:space="0"/>
              <w:left w:val="single" w:color="auto" w:sz="4" w:space="0"/>
              <w:bottom w:val="single" w:color="000000" w:themeColor="text1" w:sz="6" w:space="0"/>
              <w:right w:val="single" w:color="000000" w:themeColor="text1" w:sz="6" w:space="0"/>
            </w:tcBorders>
            <w:shd w:val="clear" w:color="auto" w:fill="auto"/>
            <w:hideMark/>
          </w:tcPr>
          <w:p w:rsidRPr="00C035BE" w:rsidR="00627E5B" w:rsidP="000E1E55" w:rsidRDefault="00627E5B" w14:paraId="61839687" w14:textId="77777777">
            <w:pPr>
              <w:jc w:val="center"/>
              <w:textAlignment w:val="baseline"/>
              <w:rPr>
                <w:sz w:val="22"/>
                <w:szCs w:val="22"/>
              </w:rPr>
            </w:pPr>
            <w:r w:rsidRPr="00C035BE">
              <w:rPr>
                <w:sz w:val="22"/>
                <w:szCs w:val="22"/>
              </w:rPr>
              <w:t>AES Alamitos BESS II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1032A218" w14:textId="77777777">
            <w:pPr>
              <w:jc w:val="center"/>
              <w:textAlignment w:val="baseline"/>
              <w:rPr>
                <w:sz w:val="22"/>
                <w:szCs w:val="22"/>
              </w:rPr>
            </w:pPr>
            <w:r w:rsidRPr="00C035BE">
              <w:rPr>
                <w:sz w:val="22"/>
                <w:szCs w:val="22"/>
              </w:rPr>
              <w:t>Energy Storage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01813F86" w14:textId="77777777">
            <w:pPr>
              <w:jc w:val="center"/>
              <w:textAlignment w:val="baseline"/>
              <w:rPr>
                <w:sz w:val="22"/>
                <w:szCs w:val="22"/>
              </w:rPr>
            </w:pPr>
            <w:r w:rsidRPr="00C035BE">
              <w:rPr>
                <w:sz w:val="22"/>
                <w:szCs w:val="22"/>
              </w:rPr>
              <w:t>RA w/Put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566EB21F" w14:textId="77777777">
            <w:pPr>
              <w:jc w:val="center"/>
              <w:textAlignment w:val="baseline"/>
              <w:rPr>
                <w:sz w:val="22"/>
                <w:szCs w:val="22"/>
              </w:rPr>
            </w:pPr>
            <w:r w:rsidRPr="00C035BE">
              <w:rPr>
                <w:sz w:val="22"/>
                <w:szCs w:val="22"/>
              </w:rPr>
              <w:t>8/1/2023-7/31/2043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6FB4432D" w14:textId="77777777">
            <w:pPr>
              <w:ind w:left="16"/>
              <w:jc w:val="center"/>
              <w:textAlignment w:val="baseline"/>
              <w:rPr>
                <w:sz w:val="22"/>
                <w:szCs w:val="22"/>
              </w:rPr>
            </w:pPr>
            <w:r w:rsidRPr="00C035BE">
              <w:rPr>
                <w:sz w:val="22"/>
                <w:szCs w:val="22"/>
              </w:rPr>
              <w:t>82 MW </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7181FA93" w14:textId="77777777">
            <w:pPr>
              <w:ind w:right="90"/>
              <w:jc w:val="center"/>
              <w:textAlignment w:val="baseline"/>
              <w:rPr>
                <w:sz w:val="22"/>
                <w:szCs w:val="22"/>
              </w:rPr>
            </w:pPr>
            <w:r w:rsidRPr="00C035BE">
              <w:rPr>
                <w:sz w:val="22"/>
                <w:szCs w:val="22"/>
              </w:rPr>
              <w:t>79 MW </w:t>
            </w:r>
          </w:p>
        </w:tc>
      </w:tr>
      <w:tr w:rsidRPr="00C035BE" w:rsidR="00627E5B" w:rsidTr="00CF4FFE" w14:paraId="182E80BC" w14:textId="77777777">
        <w:trPr>
          <w:trHeight w:val="825"/>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11188E3"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58BD501E" w14:textId="77777777">
            <w:pPr>
              <w:rPr>
                <w:sz w:val="22"/>
                <w:szCs w:val="22"/>
              </w:rPr>
            </w:pPr>
          </w:p>
        </w:tc>
        <w:tc>
          <w:tcPr>
            <w:tcW w:w="1080" w:type="dxa"/>
            <w:tcBorders>
              <w:top w:val="single" w:color="000000" w:themeColor="text1" w:sz="6" w:space="0"/>
              <w:left w:val="single" w:color="auto" w:sz="4" w:space="0"/>
              <w:bottom w:val="single" w:color="000000" w:themeColor="text1" w:sz="6" w:space="0"/>
              <w:right w:val="single" w:color="000000" w:themeColor="text1" w:sz="6" w:space="0"/>
            </w:tcBorders>
            <w:shd w:val="clear" w:color="auto" w:fill="auto"/>
            <w:hideMark/>
          </w:tcPr>
          <w:p w:rsidRPr="00C035BE" w:rsidR="00627E5B" w:rsidP="000E1E55" w:rsidRDefault="00627E5B" w14:paraId="71B77F10" w14:textId="77777777">
            <w:pPr>
              <w:jc w:val="center"/>
              <w:textAlignment w:val="baseline"/>
              <w:rPr>
                <w:sz w:val="22"/>
                <w:szCs w:val="22"/>
              </w:rPr>
            </w:pPr>
            <w:r w:rsidRPr="00C035BE">
              <w:rPr>
                <w:sz w:val="22"/>
                <w:szCs w:val="22"/>
              </w:rPr>
              <w:t>Calpine Santa Ana III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279285CB" w14:textId="77777777">
            <w:pPr>
              <w:jc w:val="center"/>
              <w:textAlignment w:val="baseline"/>
              <w:rPr>
                <w:sz w:val="22"/>
                <w:szCs w:val="22"/>
              </w:rPr>
            </w:pPr>
            <w:r w:rsidRPr="00C035BE">
              <w:rPr>
                <w:sz w:val="22"/>
                <w:szCs w:val="22"/>
              </w:rPr>
              <w:t>Energy Storage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3B2395B0" w14:textId="77777777">
            <w:pPr>
              <w:jc w:val="center"/>
              <w:textAlignment w:val="baseline"/>
              <w:rPr>
                <w:sz w:val="22"/>
                <w:szCs w:val="22"/>
              </w:rPr>
            </w:pPr>
            <w:r w:rsidRPr="00C035BE">
              <w:rPr>
                <w:sz w:val="22"/>
                <w:szCs w:val="22"/>
              </w:rPr>
              <w:t>RA Only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5F324BB7" w14:textId="77777777">
            <w:pPr>
              <w:ind w:left="90" w:right="60"/>
              <w:jc w:val="center"/>
              <w:textAlignment w:val="baseline"/>
              <w:rPr>
                <w:sz w:val="22"/>
                <w:szCs w:val="22"/>
              </w:rPr>
            </w:pPr>
            <w:r w:rsidRPr="00C035BE">
              <w:rPr>
                <w:sz w:val="22"/>
                <w:szCs w:val="22"/>
              </w:rPr>
              <w:t>8/1/2023-7/31/2038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278F8FF6" w14:textId="77777777">
            <w:pPr>
              <w:ind w:left="16"/>
              <w:jc w:val="center"/>
              <w:textAlignment w:val="baseline"/>
              <w:rPr>
                <w:sz w:val="22"/>
                <w:szCs w:val="22"/>
              </w:rPr>
            </w:pPr>
            <w:r w:rsidRPr="00C035BE">
              <w:rPr>
                <w:sz w:val="22"/>
                <w:szCs w:val="22"/>
              </w:rPr>
              <w:t>40 MW </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49929A19" w14:textId="77777777">
            <w:pPr>
              <w:ind w:right="90"/>
              <w:jc w:val="center"/>
              <w:textAlignment w:val="baseline"/>
              <w:rPr>
                <w:sz w:val="22"/>
                <w:szCs w:val="22"/>
              </w:rPr>
            </w:pPr>
            <w:r w:rsidRPr="00C035BE">
              <w:rPr>
                <w:sz w:val="22"/>
                <w:szCs w:val="22"/>
              </w:rPr>
              <w:t>39 MW </w:t>
            </w:r>
          </w:p>
        </w:tc>
      </w:tr>
      <w:tr w:rsidRPr="00C035BE" w:rsidR="00627E5B" w:rsidTr="00CF4FFE" w14:paraId="4E5480A0" w14:textId="77777777">
        <w:trPr>
          <w:trHeight w:val="825"/>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B0D62FF"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5B9B9B0A" w14:textId="77777777">
            <w:pPr>
              <w:rPr>
                <w:sz w:val="22"/>
                <w:szCs w:val="22"/>
              </w:rPr>
            </w:pPr>
          </w:p>
        </w:tc>
        <w:tc>
          <w:tcPr>
            <w:tcW w:w="1080" w:type="dxa"/>
            <w:tcBorders>
              <w:top w:val="single" w:color="000000" w:themeColor="text1" w:sz="6" w:space="0"/>
              <w:left w:val="single" w:color="auto" w:sz="4" w:space="0"/>
              <w:bottom w:val="single" w:color="000000" w:themeColor="text1" w:sz="6" w:space="0"/>
              <w:right w:val="single" w:color="000000" w:themeColor="text1" w:sz="6" w:space="0"/>
            </w:tcBorders>
            <w:shd w:val="clear" w:color="auto" w:fill="auto"/>
            <w:hideMark/>
          </w:tcPr>
          <w:p w:rsidRPr="00C035BE" w:rsidR="00627E5B" w:rsidP="000E1E55" w:rsidRDefault="00627E5B" w14:paraId="7B97B6A1" w14:textId="77777777">
            <w:pPr>
              <w:jc w:val="center"/>
              <w:textAlignment w:val="baseline"/>
              <w:rPr>
                <w:sz w:val="22"/>
                <w:szCs w:val="22"/>
              </w:rPr>
            </w:pPr>
            <w:r w:rsidRPr="00C035BE">
              <w:rPr>
                <w:sz w:val="22"/>
                <w:szCs w:val="22"/>
              </w:rPr>
              <w:t>LS Power Gateway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06464331" w14:textId="77777777">
            <w:pPr>
              <w:jc w:val="center"/>
              <w:textAlignment w:val="baseline"/>
              <w:rPr>
                <w:sz w:val="22"/>
                <w:szCs w:val="22"/>
              </w:rPr>
            </w:pPr>
            <w:r w:rsidRPr="00C035BE">
              <w:rPr>
                <w:sz w:val="22"/>
                <w:szCs w:val="22"/>
              </w:rPr>
              <w:t>Energy Storage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508C564A" w14:textId="77777777">
            <w:pPr>
              <w:jc w:val="center"/>
              <w:textAlignment w:val="baseline"/>
              <w:rPr>
                <w:sz w:val="22"/>
                <w:szCs w:val="22"/>
              </w:rPr>
            </w:pPr>
            <w:r w:rsidRPr="00C035BE">
              <w:rPr>
                <w:sz w:val="22"/>
                <w:szCs w:val="22"/>
              </w:rPr>
              <w:t>RA Only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32D72428" w14:textId="77777777">
            <w:pPr>
              <w:jc w:val="center"/>
              <w:textAlignment w:val="baseline"/>
              <w:rPr>
                <w:sz w:val="22"/>
                <w:szCs w:val="22"/>
              </w:rPr>
            </w:pPr>
            <w:r w:rsidRPr="00C035BE">
              <w:rPr>
                <w:sz w:val="22"/>
                <w:szCs w:val="22"/>
              </w:rPr>
              <w:t>8/1/2023-7/31/2038</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0292F31E" w14:textId="77777777">
            <w:pPr>
              <w:ind w:left="16"/>
              <w:jc w:val="center"/>
              <w:textAlignment w:val="baseline"/>
              <w:rPr>
                <w:sz w:val="22"/>
                <w:szCs w:val="22"/>
              </w:rPr>
            </w:pPr>
            <w:r w:rsidRPr="00C035BE">
              <w:rPr>
                <w:sz w:val="22"/>
                <w:szCs w:val="22"/>
              </w:rPr>
              <w:t>75 MW </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5A857E8B" w14:textId="77777777">
            <w:pPr>
              <w:ind w:right="90"/>
              <w:jc w:val="center"/>
              <w:textAlignment w:val="baseline"/>
              <w:rPr>
                <w:sz w:val="22"/>
                <w:szCs w:val="22"/>
              </w:rPr>
            </w:pPr>
            <w:r w:rsidRPr="00C035BE">
              <w:rPr>
                <w:sz w:val="22"/>
                <w:szCs w:val="22"/>
              </w:rPr>
              <w:t>72 MW </w:t>
            </w:r>
          </w:p>
        </w:tc>
      </w:tr>
      <w:tr w:rsidRPr="00C035BE" w:rsidR="00627E5B" w:rsidTr="00CF4FFE" w14:paraId="28D6C4B8" w14:textId="77777777">
        <w:trPr>
          <w:trHeight w:val="825"/>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1AD75AB6"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52BFB0C3" w14:textId="77777777">
            <w:pPr>
              <w:rPr>
                <w:sz w:val="22"/>
                <w:szCs w:val="22"/>
              </w:rPr>
            </w:pPr>
          </w:p>
        </w:tc>
        <w:tc>
          <w:tcPr>
            <w:tcW w:w="1080" w:type="dxa"/>
            <w:tcBorders>
              <w:top w:val="single" w:color="000000" w:themeColor="text1" w:sz="6" w:space="0"/>
              <w:left w:val="single" w:color="auto" w:sz="4" w:space="0"/>
              <w:bottom w:val="single" w:color="000000" w:themeColor="text1" w:sz="6" w:space="0"/>
              <w:right w:val="single" w:color="000000" w:themeColor="text1" w:sz="6" w:space="0"/>
            </w:tcBorders>
            <w:shd w:val="clear" w:color="auto" w:fill="auto"/>
            <w:hideMark/>
          </w:tcPr>
          <w:p w:rsidRPr="00C035BE" w:rsidR="00627E5B" w:rsidP="000E1E55" w:rsidRDefault="00627E5B" w14:paraId="1EED0EF8" w14:textId="77777777">
            <w:pPr>
              <w:jc w:val="center"/>
              <w:textAlignment w:val="baseline"/>
              <w:rPr>
                <w:sz w:val="22"/>
                <w:szCs w:val="22"/>
              </w:rPr>
            </w:pPr>
            <w:r w:rsidRPr="00C035BE">
              <w:rPr>
                <w:sz w:val="22"/>
                <w:szCs w:val="22"/>
              </w:rPr>
              <w:t>Tenaska/ </w:t>
            </w:r>
            <w:r w:rsidRPr="00C035BE">
              <w:rPr>
                <w:sz w:val="22"/>
                <w:szCs w:val="22"/>
              </w:rPr>
              <w:br/>
              <w:t>Facon Energy Condor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076409AD" w14:textId="77777777">
            <w:pPr>
              <w:jc w:val="center"/>
              <w:textAlignment w:val="baseline"/>
              <w:rPr>
                <w:sz w:val="22"/>
                <w:szCs w:val="22"/>
              </w:rPr>
            </w:pPr>
            <w:r w:rsidRPr="00C035BE">
              <w:rPr>
                <w:sz w:val="22"/>
                <w:szCs w:val="22"/>
              </w:rPr>
              <w:t>Energy Storage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23D3F390" w14:textId="77777777">
            <w:pPr>
              <w:jc w:val="center"/>
              <w:textAlignment w:val="baseline"/>
              <w:rPr>
                <w:sz w:val="22"/>
                <w:szCs w:val="22"/>
              </w:rPr>
            </w:pPr>
            <w:r w:rsidRPr="00C035BE">
              <w:rPr>
                <w:sz w:val="22"/>
                <w:szCs w:val="22"/>
              </w:rPr>
              <w:t>RA Only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15339A41" w14:textId="77777777">
            <w:pPr>
              <w:jc w:val="center"/>
              <w:textAlignment w:val="baseline"/>
              <w:rPr>
                <w:sz w:val="22"/>
                <w:szCs w:val="22"/>
              </w:rPr>
            </w:pPr>
            <w:r w:rsidRPr="00C035BE">
              <w:rPr>
                <w:sz w:val="22"/>
                <w:szCs w:val="22"/>
              </w:rPr>
              <w:t>6/1/2024-5/31/2039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77B17944" w14:textId="77777777">
            <w:pPr>
              <w:ind w:left="16"/>
              <w:jc w:val="center"/>
              <w:textAlignment w:val="baseline"/>
              <w:rPr>
                <w:sz w:val="22"/>
                <w:szCs w:val="22"/>
              </w:rPr>
            </w:pPr>
            <w:r w:rsidRPr="00C035BE">
              <w:rPr>
                <w:sz w:val="22"/>
                <w:szCs w:val="22"/>
              </w:rPr>
              <w:t>200 MW </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6E8614BF" w14:textId="77777777">
            <w:pPr>
              <w:ind w:right="90"/>
              <w:jc w:val="center"/>
              <w:textAlignment w:val="baseline"/>
              <w:rPr>
                <w:sz w:val="22"/>
                <w:szCs w:val="22"/>
              </w:rPr>
            </w:pPr>
            <w:r w:rsidRPr="00C035BE">
              <w:rPr>
                <w:sz w:val="22"/>
                <w:szCs w:val="22"/>
              </w:rPr>
              <w:t>181 MW </w:t>
            </w:r>
          </w:p>
        </w:tc>
      </w:tr>
      <w:tr w:rsidRPr="00C035BE" w:rsidR="00627E5B" w:rsidTr="00CF4FFE" w14:paraId="3089EF56" w14:textId="77777777">
        <w:trPr>
          <w:trHeight w:val="6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52459EE2"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53ED2E59" w14:textId="77777777">
            <w:pPr>
              <w:rPr>
                <w:sz w:val="22"/>
                <w:szCs w:val="22"/>
              </w:rPr>
            </w:pPr>
          </w:p>
        </w:tc>
        <w:tc>
          <w:tcPr>
            <w:tcW w:w="1080" w:type="dxa"/>
            <w:tcBorders>
              <w:top w:val="single" w:color="000000" w:themeColor="text1" w:sz="6" w:space="0"/>
              <w:left w:val="single" w:color="auto" w:sz="4" w:space="0"/>
              <w:bottom w:val="single" w:color="000000" w:themeColor="text1" w:sz="6" w:space="0"/>
              <w:right w:val="single" w:color="000000" w:themeColor="text1" w:sz="6" w:space="0"/>
            </w:tcBorders>
            <w:shd w:val="clear" w:color="auto" w:fill="auto"/>
            <w:hideMark/>
          </w:tcPr>
          <w:p w:rsidRPr="00C035BE" w:rsidR="00627E5B" w:rsidP="000E1E55" w:rsidRDefault="00627E5B" w14:paraId="4D17FBE6" w14:textId="77777777">
            <w:pPr>
              <w:jc w:val="center"/>
              <w:textAlignment w:val="baseline"/>
              <w:rPr>
                <w:sz w:val="22"/>
                <w:szCs w:val="22"/>
              </w:rPr>
            </w:pPr>
            <w:r w:rsidRPr="00C035BE">
              <w:rPr>
                <w:sz w:val="22"/>
                <w:szCs w:val="22"/>
              </w:rPr>
              <w:t>Tenaska/ </w:t>
            </w:r>
            <w:r w:rsidRPr="00C035BE">
              <w:rPr>
                <w:sz w:val="22"/>
                <w:szCs w:val="22"/>
              </w:rPr>
              <w:br/>
              <w:t>Falcon Energy Peregrine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2C279227" w14:textId="77777777">
            <w:pPr>
              <w:jc w:val="center"/>
              <w:textAlignment w:val="baseline"/>
              <w:rPr>
                <w:sz w:val="22"/>
                <w:szCs w:val="22"/>
              </w:rPr>
            </w:pPr>
            <w:r w:rsidRPr="00C035BE">
              <w:rPr>
                <w:sz w:val="22"/>
                <w:szCs w:val="22"/>
              </w:rPr>
              <w:t>Energy Storage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051EB5B8" w14:textId="77777777">
            <w:pPr>
              <w:jc w:val="center"/>
              <w:textAlignment w:val="baseline"/>
              <w:rPr>
                <w:sz w:val="22"/>
                <w:szCs w:val="22"/>
              </w:rPr>
            </w:pPr>
            <w:r w:rsidRPr="00C035BE">
              <w:rPr>
                <w:sz w:val="22"/>
                <w:szCs w:val="22"/>
              </w:rPr>
              <w:t>RA Only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062DF544" w14:textId="77777777">
            <w:pPr>
              <w:jc w:val="center"/>
              <w:textAlignment w:val="baseline"/>
              <w:rPr>
                <w:sz w:val="22"/>
                <w:szCs w:val="22"/>
              </w:rPr>
            </w:pPr>
            <w:r w:rsidRPr="00C035BE">
              <w:rPr>
                <w:sz w:val="22"/>
                <w:szCs w:val="22"/>
              </w:rPr>
              <w:t>6/1/2024-5/31/2039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2C26E5A1" w14:textId="77777777">
            <w:pPr>
              <w:ind w:left="16"/>
              <w:jc w:val="center"/>
              <w:textAlignment w:val="baseline"/>
              <w:rPr>
                <w:sz w:val="22"/>
                <w:szCs w:val="22"/>
              </w:rPr>
            </w:pPr>
            <w:r w:rsidRPr="00C035BE">
              <w:rPr>
                <w:sz w:val="22"/>
                <w:szCs w:val="22"/>
              </w:rPr>
              <w:t>100 MW </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6B44269B" w14:textId="77777777">
            <w:pPr>
              <w:ind w:right="90"/>
              <w:jc w:val="center"/>
              <w:textAlignment w:val="baseline"/>
              <w:rPr>
                <w:sz w:val="22"/>
                <w:szCs w:val="22"/>
              </w:rPr>
            </w:pPr>
            <w:r w:rsidRPr="00C035BE">
              <w:rPr>
                <w:sz w:val="22"/>
                <w:szCs w:val="22"/>
              </w:rPr>
              <w:t>91 MW </w:t>
            </w:r>
          </w:p>
        </w:tc>
      </w:tr>
      <w:tr w:rsidRPr="00C035BE" w:rsidR="00627E5B" w:rsidTr="00D13029" w14:paraId="06D2820C" w14:textId="77777777">
        <w:trPr>
          <w:trHeight w:val="360"/>
        </w:trPr>
        <w:tc>
          <w:tcPr>
            <w:tcW w:w="1522" w:type="dxa"/>
            <w:tcBorders>
              <w:top w:val="single" w:color="auto" w:sz="4" w:space="0"/>
              <w:left w:val="single" w:color="000000" w:themeColor="text1" w:sz="6" w:space="0"/>
              <w:bottom w:val="single" w:color="auto" w:sz="4" w:space="0"/>
              <w:right w:val="single" w:color="000000" w:themeColor="text1" w:sz="6" w:space="0"/>
            </w:tcBorders>
            <w:shd w:val="clear" w:color="auto" w:fill="auto"/>
            <w:hideMark/>
          </w:tcPr>
          <w:p w:rsidRPr="00C035BE" w:rsidR="00627E5B" w:rsidP="000E1E55" w:rsidRDefault="00627E5B" w14:paraId="36AF86CA" w14:textId="77777777">
            <w:pPr>
              <w:jc w:val="center"/>
              <w:textAlignment w:val="baseline"/>
              <w:rPr>
                <w:sz w:val="22"/>
                <w:szCs w:val="22"/>
              </w:rPr>
            </w:pPr>
            <w:r w:rsidRPr="00C035BE">
              <w:rPr>
                <w:sz w:val="22"/>
                <w:szCs w:val="22"/>
              </w:rPr>
              <w:t>AL 4800-E, Resolution E-5225 </w:t>
            </w:r>
          </w:p>
        </w:tc>
        <w:tc>
          <w:tcPr>
            <w:tcW w:w="1178" w:type="dxa"/>
            <w:tcBorders>
              <w:top w:val="single" w:color="auto" w:sz="4" w:space="0"/>
              <w:left w:val="single" w:color="000000" w:themeColor="text1" w:sz="6" w:space="0"/>
              <w:bottom w:val="single" w:color="auto" w:sz="4" w:space="0"/>
              <w:right w:val="single" w:color="000000" w:themeColor="text1" w:sz="6" w:space="0"/>
            </w:tcBorders>
            <w:shd w:val="clear" w:color="auto" w:fill="auto"/>
            <w:hideMark/>
          </w:tcPr>
          <w:p w:rsidRPr="00C035BE" w:rsidR="00627E5B" w:rsidP="000E1E55" w:rsidRDefault="00627E5B" w14:paraId="06D2D757" w14:textId="77777777">
            <w:pPr>
              <w:jc w:val="center"/>
              <w:textAlignment w:val="baseline"/>
              <w:rPr>
                <w:sz w:val="22"/>
                <w:szCs w:val="22"/>
              </w:rPr>
            </w:pPr>
            <w:r w:rsidRPr="00C035BE">
              <w:rPr>
                <w:sz w:val="22"/>
                <w:szCs w:val="22"/>
              </w:rPr>
              <w:t>August 25, 2022 </w:t>
            </w:r>
          </w:p>
        </w:tc>
        <w:tc>
          <w:tcPr>
            <w:tcW w:w="1080"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auto"/>
            <w:hideMark/>
          </w:tcPr>
          <w:p w:rsidRPr="00C035BE" w:rsidR="00627E5B" w:rsidP="000E1E55" w:rsidRDefault="00627E5B" w14:paraId="619BE3EB" w14:textId="77777777">
            <w:pPr>
              <w:jc w:val="center"/>
              <w:textAlignment w:val="baseline"/>
              <w:rPr>
                <w:sz w:val="22"/>
                <w:szCs w:val="22"/>
              </w:rPr>
            </w:pPr>
            <w:r w:rsidRPr="00C035BE">
              <w:rPr>
                <w:sz w:val="22"/>
                <w:szCs w:val="22"/>
              </w:rPr>
              <w:t>NextEra Desert Peak Energy Storage II</w:t>
            </w:r>
          </w:p>
        </w:tc>
        <w:tc>
          <w:tcPr>
            <w:tcW w:w="1350"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auto"/>
            <w:hideMark/>
          </w:tcPr>
          <w:p w:rsidRPr="00C035BE" w:rsidR="00627E5B" w:rsidP="000E1E55" w:rsidRDefault="00627E5B" w14:paraId="34839ADE" w14:textId="77777777">
            <w:pPr>
              <w:jc w:val="center"/>
              <w:textAlignment w:val="baseline"/>
              <w:rPr>
                <w:sz w:val="22"/>
                <w:szCs w:val="22"/>
              </w:rPr>
            </w:pPr>
            <w:r w:rsidRPr="00C035BE">
              <w:rPr>
                <w:sz w:val="22"/>
                <w:szCs w:val="22"/>
              </w:rPr>
              <w:t>Energy Storage  </w:t>
            </w:r>
          </w:p>
        </w:tc>
        <w:tc>
          <w:tcPr>
            <w:tcW w:w="1080"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auto"/>
            <w:hideMark/>
          </w:tcPr>
          <w:p w:rsidRPr="00C035BE" w:rsidR="00627E5B" w:rsidP="000E1E55" w:rsidRDefault="00627E5B" w14:paraId="37D91116" w14:textId="77777777">
            <w:pPr>
              <w:jc w:val="center"/>
              <w:textAlignment w:val="baseline"/>
              <w:rPr>
                <w:sz w:val="22"/>
                <w:szCs w:val="22"/>
              </w:rPr>
            </w:pPr>
            <w:r w:rsidRPr="00C035BE">
              <w:rPr>
                <w:sz w:val="22"/>
                <w:szCs w:val="22"/>
              </w:rPr>
              <w:t>RA w/Put </w:t>
            </w:r>
          </w:p>
        </w:tc>
        <w:tc>
          <w:tcPr>
            <w:tcW w:w="117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1D715C0D" w14:textId="77777777">
            <w:pPr>
              <w:jc w:val="center"/>
              <w:textAlignment w:val="baseline"/>
              <w:rPr>
                <w:sz w:val="22"/>
                <w:szCs w:val="22"/>
              </w:rPr>
            </w:pPr>
            <w:r w:rsidRPr="00C035BE">
              <w:rPr>
                <w:sz w:val="22"/>
                <w:szCs w:val="22"/>
              </w:rPr>
              <w:t>8/1/2023-7/31/2038 </w:t>
            </w:r>
          </w:p>
        </w:tc>
        <w:tc>
          <w:tcPr>
            <w:tcW w:w="135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20E51725" w14:textId="77777777">
            <w:pPr>
              <w:ind w:left="16"/>
              <w:jc w:val="center"/>
              <w:textAlignment w:val="baseline"/>
              <w:rPr>
                <w:sz w:val="22"/>
                <w:szCs w:val="22"/>
              </w:rPr>
            </w:pPr>
            <w:r w:rsidRPr="00C035BE">
              <w:rPr>
                <w:sz w:val="22"/>
                <w:szCs w:val="22"/>
              </w:rPr>
              <w:t>75 MW </w:t>
            </w:r>
          </w:p>
        </w:tc>
        <w:tc>
          <w:tcPr>
            <w:tcW w:w="153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0FB5B7AB" w14:textId="77777777">
            <w:pPr>
              <w:ind w:right="90"/>
              <w:jc w:val="center"/>
              <w:textAlignment w:val="baseline"/>
              <w:rPr>
                <w:sz w:val="22"/>
                <w:szCs w:val="22"/>
              </w:rPr>
            </w:pPr>
            <w:r w:rsidRPr="00C035BE">
              <w:rPr>
                <w:sz w:val="22"/>
                <w:szCs w:val="22"/>
              </w:rPr>
              <w:t>72 MW </w:t>
            </w:r>
          </w:p>
          <w:p w:rsidRPr="00C035BE" w:rsidR="00627E5B" w:rsidP="000E1E55" w:rsidRDefault="00627E5B" w14:paraId="4953CAB3" w14:textId="77777777">
            <w:pPr>
              <w:ind w:right="90"/>
              <w:jc w:val="center"/>
              <w:textAlignment w:val="baseline"/>
              <w:rPr>
                <w:sz w:val="22"/>
                <w:szCs w:val="22"/>
              </w:rPr>
            </w:pPr>
            <w:r w:rsidRPr="00C035BE">
              <w:rPr>
                <w:sz w:val="22"/>
                <w:szCs w:val="22"/>
              </w:rPr>
              <w:t> </w:t>
            </w:r>
          </w:p>
          <w:p w:rsidRPr="00C035BE" w:rsidR="00627E5B" w:rsidP="000E1E55" w:rsidRDefault="00627E5B" w14:paraId="2E941BFB" w14:textId="77777777">
            <w:pPr>
              <w:ind w:right="90"/>
              <w:jc w:val="center"/>
              <w:textAlignment w:val="baseline"/>
              <w:rPr>
                <w:sz w:val="22"/>
                <w:szCs w:val="22"/>
              </w:rPr>
            </w:pPr>
            <w:r w:rsidRPr="00C035BE">
              <w:rPr>
                <w:sz w:val="22"/>
                <w:szCs w:val="22"/>
              </w:rPr>
              <w:t> </w:t>
            </w:r>
          </w:p>
          <w:p w:rsidRPr="00C035BE" w:rsidR="00627E5B" w:rsidP="000E1E55" w:rsidRDefault="00627E5B" w14:paraId="030235B1" w14:textId="77777777">
            <w:pPr>
              <w:ind w:right="90"/>
              <w:textAlignment w:val="baseline"/>
              <w:rPr>
                <w:sz w:val="22"/>
                <w:szCs w:val="22"/>
              </w:rPr>
            </w:pPr>
            <w:r w:rsidRPr="00C035BE">
              <w:rPr>
                <w:sz w:val="22"/>
                <w:szCs w:val="22"/>
              </w:rPr>
              <w:t> </w:t>
            </w:r>
          </w:p>
        </w:tc>
      </w:tr>
      <w:tr w:rsidRPr="00C035BE" w:rsidR="00627E5B" w:rsidTr="00D13029" w14:paraId="5FC0EBD3" w14:textId="77777777">
        <w:trPr>
          <w:trHeight w:val="420"/>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54D3C96C" w14:textId="77777777">
            <w:pPr>
              <w:jc w:val="center"/>
              <w:textAlignment w:val="baseline"/>
              <w:rPr>
                <w:sz w:val="22"/>
                <w:szCs w:val="22"/>
              </w:rPr>
            </w:pPr>
            <w:r w:rsidRPr="00C035BE">
              <w:rPr>
                <w:sz w:val="22"/>
                <w:szCs w:val="22"/>
              </w:rPr>
              <w:t>AL 4850-E, Resolution E-5234 </w:t>
            </w:r>
          </w:p>
        </w:tc>
        <w:tc>
          <w:tcPr>
            <w:tcW w:w="1178"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5BE31482" w14:textId="77777777">
            <w:pPr>
              <w:jc w:val="center"/>
              <w:textAlignment w:val="baseline"/>
              <w:rPr>
                <w:sz w:val="22"/>
                <w:szCs w:val="22"/>
              </w:rPr>
            </w:pPr>
            <w:r w:rsidRPr="00C035BE">
              <w:rPr>
                <w:sz w:val="22"/>
                <w:szCs w:val="22"/>
              </w:rPr>
              <w:t>November 4, 2022 </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31969971" w14:textId="77777777">
            <w:pPr>
              <w:jc w:val="center"/>
              <w:textAlignment w:val="baseline"/>
              <w:rPr>
                <w:sz w:val="22"/>
                <w:szCs w:val="22"/>
              </w:rPr>
            </w:pPr>
            <w:r w:rsidRPr="00C035BE">
              <w:rPr>
                <w:sz w:val="22"/>
                <w:szCs w:val="22"/>
              </w:rPr>
              <w:t>174 Power/ </w:t>
            </w:r>
            <w:r w:rsidRPr="00C035BE">
              <w:rPr>
                <w:sz w:val="22"/>
                <w:szCs w:val="22"/>
              </w:rPr>
              <w:br/>
              <w:t>Total Energies Silver Peak Solar– Silver Peak II Project </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hideMark/>
          </w:tcPr>
          <w:p w:rsidR="00627E5B" w:rsidP="000E1E55" w:rsidRDefault="00627E5B" w14:paraId="7C049A23" w14:textId="77777777">
            <w:pPr>
              <w:jc w:val="center"/>
              <w:textAlignment w:val="baseline"/>
              <w:rPr>
                <w:sz w:val="22"/>
                <w:szCs w:val="22"/>
              </w:rPr>
            </w:pPr>
            <w:r w:rsidRPr="00C035BE">
              <w:rPr>
                <w:sz w:val="22"/>
                <w:szCs w:val="22"/>
              </w:rPr>
              <w:t>Energy Storage </w:t>
            </w:r>
          </w:p>
          <w:p w:rsidRPr="00162B39" w:rsidR="00162B39" w:rsidP="00162B39" w:rsidRDefault="00162B39" w14:paraId="4E009F66" w14:textId="77777777">
            <w:pPr>
              <w:rPr>
                <w:sz w:val="22"/>
                <w:szCs w:val="22"/>
              </w:rPr>
            </w:pPr>
          </w:p>
          <w:p w:rsidRPr="00162B39" w:rsidR="00162B39" w:rsidP="00162B39" w:rsidRDefault="00162B39" w14:paraId="7622760F" w14:textId="77777777">
            <w:pPr>
              <w:rPr>
                <w:sz w:val="22"/>
                <w:szCs w:val="22"/>
              </w:rPr>
            </w:pPr>
          </w:p>
          <w:p w:rsidRPr="00162B39" w:rsidR="00162B39" w:rsidP="00162B39" w:rsidRDefault="00162B39" w14:paraId="6E254DA0" w14:textId="77777777">
            <w:pPr>
              <w:rPr>
                <w:sz w:val="22"/>
                <w:szCs w:val="22"/>
              </w:rPr>
            </w:pPr>
          </w:p>
          <w:p w:rsidRPr="00162B39" w:rsidR="00162B39" w:rsidP="00162B39" w:rsidRDefault="00162B39" w14:paraId="682384BF" w14:textId="77777777">
            <w:pPr>
              <w:rPr>
                <w:sz w:val="22"/>
                <w:szCs w:val="22"/>
              </w:rPr>
            </w:pPr>
          </w:p>
          <w:p w:rsidRPr="00162B39" w:rsidR="00162B39" w:rsidP="00162B39" w:rsidRDefault="00162B39" w14:paraId="79895233" w14:textId="35A888BA">
            <w:pPr>
              <w:tabs>
                <w:tab w:val="left" w:pos="1260"/>
              </w:tabs>
              <w:rPr>
                <w:sz w:val="22"/>
                <w:szCs w:val="22"/>
              </w:rPr>
            </w:pPr>
            <w:r>
              <w:rPr>
                <w:sz w:val="22"/>
                <w:szCs w:val="22"/>
              </w:rPr>
              <w:tab/>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242359AD" w14:textId="77777777">
            <w:pPr>
              <w:jc w:val="center"/>
              <w:textAlignment w:val="baseline"/>
              <w:rPr>
                <w:sz w:val="22"/>
                <w:szCs w:val="22"/>
              </w:rPr>
            </w:pPr>
            <w:r w:rsidRPr="00C035BE">
              <w:rPr>
                <w:sz w:val="22"/>
                <w:szCs w:val="22"/>
              </w:rPr>
              <w:t>RA w/Put </w:t>
            </w:r>
          </w:p>
        </w:tc>
        <w:tc>
          <w:tcPr>
            <w:tcW w:w="1170" w:type="dxa"/>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7B341218" w14:textId="77777777">
            <w:pPr>
              <w:jc w:val="center"/>
              <w:textAlignment w:val="baseline"/>
              <w:rPr>
                <w:sz w:val="22"/>
                <w:szCs w:val="22"/>
              </w:rPr>
            </w:pPr>
            <w:r w:rsidRPr="00C035BE">
              <w:rPr>
                <w:sz w:val="22"/>
                <w:szCs w:val="22"/>
              </w:rPr>
              <w:t>8/1/2023-7/31/203 </w:t>
            </w:r>
          </w:p>
        </w:tc>
        <w:tc>
          <w:tcPr>
            <w:tcW w:w="1350"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7A7112A" w14:textId="77777777">
            <w:pPr>
              <w:ind w:left="16"/>
              <w:jc w:val="center"/>
              <w:textAlignment w:val="baseline"/>
              <w:rPr>
                <w:sz w:val="22"/>
                <w:szCs w:val="22"/>
              </w:rPr>
            </w:pPr>
            <w:r w:rsidRPr="00C035BE">
              <w:rPr>
                <w:sz w:val="22"/>
                <w:szCs w:val="22"/>
              </w:rPr>
              <w:t>109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F4A4834" w14:textId="77777777">
            <w:pPr>
              <w:ind w:right="90"/>
              <w:jc w:val="center"/>
              <w:textAlignment w:val="baseline"/>
              <w:rPr>
                <w:sz w:val="22"/>
                <w:szCs w:val="22"/>
              </w:rPr>
            </w:pPr>
            <w:r w:rsidRPr="00C035BE">
              <w:rPr>
                <w:sz w:val="22"/>
                <w:szCs w:val="22"/>
              </w:rPr>
              <w:t>105 MW </w:t>
            </w:r>
          </w:p>
        </w:tc>
      </w:tr>
      <w:tr w:rsidRPr="00C035BE" w:rsidR="00627E5B" w:rsidTr="00D13029" w14:paraId="362498E0" w14:textId="77777777">
        <w:trPr>
          <w:trHeight w:val="42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0723DE17"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060BC312" w14:textId="77777777">
            <w:pPr>
              <w:rPr>
                <w:sz w:val="22"/>
                <w:szCs w:val="22"/>
              </w:rPr>
            </w:pPr>
          </w:p>
        </w:tc>
        <w:tc>
          <w:tcPr>
            <w:tcW w:w="1080"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0C472B2F" w14:textId="77777777">
            <w:pPr>
              <w:rPr>
                <w:sz w:val="22"/>
                <w:szCs w:val="22"/>
              </w:rPr>
            </w:pPr>
          </w:p>
        </w:tc>
        <w:tc>
          <w:tcPr>
            <w:tcW w:w="1350"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215072E8" w14:textId="77777777">
            <w:pPr>
              <w:rPr>
                <w:sz w:val="22"/>
                <w:szCs w:val="22"/>
              </w:rPr>
            </w:pPr>
          </w:p>
        </w:tc>
        <w:tc>
          <w:tcPr>
            <w:tcW w:w="1080"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2654F70A" w14:textId="77777777">
            <w:pPr>
              <w:rPr>
                <w:sz w:val="22"/>
                <w:szCs w:val="22"/>
              </w:rPr>
            </w:pPr>
          </w:p>
        </w:tc>
        <w:tc>
          <w:tcPr>
            <w:tcW w:w="1170" w:type="dxa"/>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2495FC6C" w14:textId="77777777">
            <w:pPr>
              <w:jc w:val="center"/>
              <w:textAlignment w:val="baseline"/>
              <w:rPr>
                <w:sz w:val="22"/>
                <w:szCs w:val="22"/>
              </w:rPr>
            </w:pPr>
            <w:r w:rsidRPr="00C035BE">
              <w:rPr>
                <w:sz w:val="22"/>
                <w:szCs w:val="22"/>
              </w:rPr>
              <w:t>6/1/2024-5/31/2034 </w:t>
            </w:r>
          </w:p>
        </w:tc>
        <w:tc>
          <w:tcPr>
            <w:tcW w:w="1350" w:type="dxa"/>
            <w:vMerge/>
            <w:vAlign w:val="center"/>
            <w:hideMark/>
          </w:tcPr>
          <w:p w:rsidRPr="00C035BE" w:rsidR="00627E5B" w:rsidP="000E1E55" w:rsidRDefault="00627E5B" w14:paraId="29018125" w14:textId="77777777">
            <w:pPr>
              <w:rPr>
                <w:sz w:val="22"/>
                <w:szCs w:val="22"/>
              </w:rPr>
            </w:pP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9C42DFA" w14:textId="77777777">
            <w:pPr>
              <w:ind w:right="90"/>
              <w:jc w:val="center"/>
              <w:textAlignment w:val="baseline"/>
              <w:rPr>
                <w:sz w:val="22"/>
                <w:szCs w:val="22"/>
              </w:rPr>
            </w:pPr>
            <w:r w:rsidRPr="00C035BE">
              <w:rPr>
                <w:sz w:val="22"/>
                <w:szCs w:val="22"/>
              </w:rPr>
              <w:t>99 MW </w:t>
            </w:r>
          </w:p>
        </w:tc>
      </w:tr>
      <w:tr w:rsidRPr="00C035BE" w:rsidR="00627E5B" w:rsidTr="00CF4FFE" w14:paraId="2C7199B4" w14:textId="77777777">
        <w:trPr>
          <w:trHeight w:val="30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3509A709"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E59E00E" w14:textId="77777777">
            <w:pPr>
              <w:rPr>
                <w:sz w:val="22"/>
                <w:szCs w:val="22"/>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68F5667B" w14:textId="77777777">
            <w:pPr>
              <w:jc w:val="center"/>
              <w:textAlignment w:val="baseline"/>
              <w:rPr>
                <w:sz w:val="22"/>
                <w:szCs w:val="22"/>
              </w:rPr>
            </w:pPr>
            <w:r w:rsidRPr="00C035BE">
              <w:rPr>
                <w:sz w:val="22"/>
                <w:szCs w:val="22"/>
              </w:rPr>
              <w:t>174 Power/ </w:t>
            </w:r>
            <w:r w:rsidRPr="00C035BE">
              <w:rPr>
                <w:sz w:val="22"/>
                <w:szCs w:val="22"/>
              </w:rPr>
              <w:br/>
              <w:t>Total Energies Silver Peak Solar– Silver Peak III Project </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29695E04" w14:textId="77777777">
            <w:pPr>
              <w:jc w:val="center"/>
              <w:textAlignment w:val="baseline"/>
              <w:rPr>
                <w:sz w:val="22"/>
                <w:szCs w:val="22"/>
              </w:rPr>
            </w:pPr>
            <w:r w:rsidRPr="00C035BE">
              <w:rPr>
                <w:sz w:val="22"/>
                <w:szCs w:val="22"/>
              </w:rPr>
              <w:t>Energy Storage </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4A48976B"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5DE5C726" w14:textId="77777777">
            <w:pPr>
              <w:ind w:right="90"/>
              <w:jc w:val="center"/>
              <w:textAlignment w:val="baseline"/>
              <w:rPr>
                <w:sz w:val="22"/>
                <w:szCs w:val="22"/>
              </w:rPr>
            </w:pPr>
            <w:r w:rsidRPr="00C035BE">
              <w:rPr>
                <w:sz w:val="22"/>
                <w:szCs w:val="22"/>
              </w:rPr>
              <w:t>8/1/2023-7/31/2033 </w:t>
            </w:r>
          </w:p>
        </w:tc>
        <w:tc>
          <w:tcPr>
            <w:tcW w:w="1350"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315F07E" w14:textId="77777777">
            <w:pPr>
              <w:ind w:left="16"/>
              <w:jc w:val="center"/>
              <w:textAlignment w:val="baseline"/>
              <w:rPr>
                <w:sz w:val="22"/>
                <w:szCs w:val="22"/>
              </w:rPr>
            </w:pPr>
            <w:r w:rsidRPr="00C035BE">
              <w:rPr>
                <w:sz w:val="22"/>
                <w:szCs w:val="22"/>
              </w:rPr>
              <w:t>110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BB7FD00" w14:textId="77777777">
            <w:pPr>
              <w:ind w:right="90"/>
              <w:jc w:val="center"/>
              <w:textAlignment w:val="baseline"/>
              <w:rPr>
                <w:sz w:val="22"/>
                <w:szCs w:val="22"/>
              </w:rPr>
            </w:pPr>
            <w:r w:rsidRPr="00C035BE">
              <w:rPr>
                <w:sz w:val="22"/>
                <w:szCs w:val="22"/>
              </w:rPr>
              <w:t>106 MW </w:t>
            </w:r>
          </w:p>
        </w:tc>
      </w:tr>
      <w:tr w:rsidRPr="00C035BE" w:rsidR="00627E5B" w:rsidTr="00CF4FFE" w14:paraId="66799ECE" w14:textId="77777777">
        <w:trPr>
          <w:trHeight w:val="30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1D226AC8"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C672CB5" w14:textId="77777777">
            <w:pPr>
              <w:rPr>
                <w:sz w:val="22"/>
                <w:szCs w:val="22"/>
              </w:rPr>
            </w:pPr>
          </w:p>
        </w:tc>
        <w:tc>
          <w:tcPr>
            <w:tcW w:w="1080"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2D2B027B" w14:textId="77777777">
            <w:pPr>
              <w:rPr>
                <w:sz w:val="22"/>
                <w:szCs w:val="22"/>
              </w:rPr>
            </w:pPr>
          </w:p>
        </w:tc>
        <w:tc>
          <w:tcPr>
            <w:tcW w:w="1350"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660B03A5" w14:textId="77777777">
            <w:pPr>
              <w:rPr>
                <w:sz w:val="22"/>
                <w:szCs w:val="22"/>
              </w:rPr>
            </w:pPr>
          </w:p>
        </w:tc>
        <w:tc>
          <w:tcPr>
            <w:tcW w:w="1080"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F97BE69" w14:textId="77777777">
            <w:pPr>
              <w:rPr>
                <w:sz w:val="22"/>
                <w:szCs w:val="22"/>
              </w:rPr>
            </w:pPr>
          </w:p>
        </w:tc>
        <w:tc>
          <w:tcPr>
            <w:tcW w:w="1170" w:type="dxa"/>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0B70AA73" w14:textId="77777777">
            <w:pPr>
              <w:ind w:right="90"/>
              <w:jc w:val="center"/>
              <w:textAlignment w:val="baseline"/>
              <w:rPr>
                <w:sz w:val="22"/>
                <w:szCs w:val="22"/>
              </w:rPr>
            </w:pPr>
            <w:r w:rsidRPr="00C035BE">
              <w:rPr>
                <w:sz w:val="22"/>
                <w:szCs w:val="22"/>
              </w:rPr>
              <w:t>6/1/2024-5/31/2034</w:t>
            </w:r>
          </w:p>
        </w:tc>
        <w:tc>
          <w:tcPr>
            <w:tcW w:w="1350" w:type="dxa"/>
            <w:vMerge/>
            <w:vAlign w:val="center"/>
            <w:hideMark/>
          </w:tcPr>
          <w:p w:rsidRPr="00C035BE" w:rsidR="00627E5B" w:rsidP="000E1E55" w:rsidRDefault="00627E5B" w14:paraId="7C47AB41" w14:textId="77777777">
            <w:pPr>
              <w:rPr>
                <w:sz w:val="22"/>
                <w:szCs w:val="22"/>
              </w:rPr>
            </w:pP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481E6A1" w14:textId="77777777">
            <w:pPr>
              <w:ind w:right="90"/>
              <w:jc w:val="center"/>
              <w:textAlignment w:val="baseline"/>
              <w:rPr>
                <w:sz w:val="22"/>
                <w:szCs w:val="22"/>
              </w:rPr>
            </w:pPr>
            <w:r w:rsidRPr="00C035BE">
              <w:rPr>
                <w:sz w:val="22"/>
                <w:szCs w:val="22"/>
              </w:rPr>
              <w:t>100 MW </w:t>
            </w:r>
          </w:p>
        </w:tc>
      </w:tr>
      <w:tr w:rsidRPr="00C035BE" w:rsidR="00627E5B" w:rsidTr="00CF4FFE" w14:paraId="3B3B1B8E"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62CE2963"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1A16B207" w14:textId="77777777">
            <w:pPr>
              <w:rPr>
                <w:sz w:val="22"/>
                <w:szCs w:val="22"/>
              </w:rPr>
            </w:pPr>
          </w:p>
        </w:tc>
        <w:tc>
          <w:tcPr>
            <w:tcW w:w="1080" w:type="dxa"/>
            <w:tcBorders>
              <w:top w:val="single" w:color="auto" w:sz="4" w:space="0"/>
              <w:left w:val="single" w:color="auto" w:sz="4" w:space="0"/>
              <w:bottom w:val="single" w:color="auto" w:sz="6" w:space="0"/>
              <w:right w:val="single" w:color="auto" w:sz="6" w:space="0"/>
            </w:tcBorders>
            <w:shd w:val="clear" w:color="auto" w:fill="auto"/>
            <w:hideMark/>
          </w:tcPr>
          <w:p w:rsidRPr="00C035BE" w:rsidR="00627E5B" w:rsidP="000E1E55" w:rsidRDefault="00627E5B" w14:paraId="73B88211" w14:textId="77777777">
            <w:pPr>
              <w:jc w:val="center"/>
              <w:textAlignment w:val="baseline"/>
              <w:rPr>
                <w:sz w:val="22"/>
                <w:szCs w:val="22"/>
              </w:rPr>
            </w:pPr>
            <w:r w:rsidRPr="00C035BE">
              <w:rPr>
                <w:sz w:val="22"/>
                <w:szCs w:val="22"/>
              </w:rPr>
              <w:t>174 Power/ </w:t>
            </w:r>
            <w:r w:rsidRPr="00C035BE">
              <w:rPr>
                <w:sz w:val="22"/>
                <w:szCs w:val="22"/>
              </w:rPr>
              <w:br/>
              <w:t>Total Energies Silver Peak Solar, LLC – Silver Peak PV Project </w:t>
            </w:r>
          </w:p>
        </w:tc>
        <w:tc>
          <w:tcPr>
            <w:tcW w:w="1350" w:type="dxa"/>
            <w:tcBorders>
              <w:top w:val="single" w:color="auto" w:sz="4"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862C9FA" w14:textId="77777777">
            <w:pPr>
              <w:jc w:val="center"/>
              <w:textAlignment w:val="baseline"/>
              <w:rPr>
                <w:sz w:val="22"/>
                <w:szCs w:val="22"/>
              </w:rPr>
            </w:pPr>
            <w:r w:rsidRPr="00C035BE">
              <w:rPr>
                <w:sz w:val="22"/>
                <w:szCs w:val="22"/>
              </w:rPr>
              <w:t>Solar PV </w:t>
            </w:r>
          </w:p>
        </w:tc>
        <w:tc>
          <w:tcPr>
            <w:tcW w:w="1080" w:type="dxa"/>
            <w:tcBorders>
              <w:top w:val="single" w:color="auto" w:sz="4"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0EB42C7" w14:textId="77777777">
            <w:pPr>
              <w:jc w:val="center"/>
              <w:textAlignment w:val="baseline"/>
              <w:rPr>
                <w:sz w:val="22"/>
                <w:szCs w:val="22"/>
              </w:rPr>
            </w:pPr>
            <w:r w:rsidRPr="00C035BE">
              <w:rPr>
                <w:sz w:val="22"/>
                <w:szCs w:val="22"/>
              </w:rPr>
              <w:t>Entire Output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C6DA6A7" w14:textId="77777777">
            <w:pPr>
              <w:ind w:right="90"/>
              <w:jc w:val="center"/>
              <w:textAlignment w:val="baseline"/>
              <w:rPr>
                <w:sz w:val="22"/>
                <w:szCs w:val="22"/>
              </w:rPr>
            </w:pPr>
            <w:r w:rsidRPr="00C035BE">
              <w:rPr>
                <w:sz w:val="22"/>
                <w:szCs w:val="22"/>
              </w:rPr>
              <w:t>6/1/2024-5/31/2034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59F571E" w14:textId="77777777">
            <w:pPr>
              <w:ind w:right="90"/>
              <w:jc w:val="center"/>
              <w:textAlignment w:val="baseline"/>
              <w:rPr>
                <w:sz w:val="22"/>
                <w:szCs w:val="22"/>
              </w:rPr>
            </w:pPr>
            <w:r w:rsidRPr="00C035BE">
              <w:rPr>
                <w:sz w:val="22"/>
                <w:szCs w:val="22"/>
              </w:rPr>
              <w:t>7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CDDFCE2" w14:textId="77777777">
            <w:pPr>
              <w:ind w:right="90"/>
              <w:jc w:val="center"/>
              <w:textAlignment w:val="baseline"/>
              <w:rPr>
                <w:sz w:val="22"/>
                <w:szCs w:val="22"/>
              </w:rPr>
            </w:pPr>
            <w:r w:rsidRPr="00C035BE">
              <w:rPr>
                <w:sz w:val="22"/>
                <w:szCs w:val="22"/>
              </w:rPr>
              <w:t>N/A </w:t>
            </w:r>
          </w:p>
        </w:tc>
      </w:tr>
      <w:tr w:rsidRPr="00C035BE" w:rsidR="00627E5B" w:rsidTr="00CF4FFE" w14:paraId="5705654F"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659CEBED"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5013DF07" w14:textId="77777777">
            <w:pPr>
              <w:rPr>
                <w:sz w:val="22"/>
                <w:szCs w:val="22"/>
              </w:rPr>
            </w:pPr>
          </w:p>
        </w:tc>
        <w:tc>
          <w:tcPr>
            <w:tcW w:w="1080" w:type="dxa"/>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255FFA05" w14:textId="77777777">
            <w:pPr>
              <w:jc w:val="center"/>
              <w:textAlignment w:val="baseline"/>
              <w:rPr>
                <w:sz w:val="22"/>
                <w:szCs w:val="22"/>
              </w:rPr>
            </w:pPr>
            <w:r w:rsidRPr="00C035BE">
              <w:rPr>
                <w:sz w:val="22"/>
                <w:szCs w:val="22"/>
              </w:rPr>
              <w:t>AES McFarland Solar A, LLC – McFarland Solar A Project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E074990"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89DF88C"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F54E79A" w14:textId="77777777">
            <w:pPr>
              <w:ind w:right="90"/>
              <w:jc w:val="center"/>
              <w:textAlignment w:val="baseline"/>
              <w:rPr>
                <w:sz w:val="22"/>
                <w:szCs w:val="22"/>
              </w:rPr>
            </w:pPr>
            <w:r w:rsidRPr="00C035BE">
              <w:rPr>
                <w:sz w:val="22"/>
                <w:szCs w:val="22"/>
              </w:rPr>
              <w:t>6/1/2024-5/31/2038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745E97F" w14:textId="77777777">
            <w:pPr>
              <w:ind w:right="90"/>
              <w:jc w:val="center"/>
              <w:textAlignment w:val="baseline"/>
              <w:rPr>
                <w:sz w:val="22"/>
                <w:szCs w:val="22"/>
              </w:rPr>
            </w:pPr>
            <w:r w:rsidRPr="00C035BE">
              <w:rPr>
                <w:sz w:val="22"/>
                <w:szCs w:val="22"/>
              </w:rPr>
              <w:t>100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01B6BDB" w14:textId="77777777">
            <w:pPr>
              <w:ind w:right="90"/>
              <w:jc w:val="center"/>
              <w:textAlignment w:val="baseline"/>
              <w:rPr>
                <w:sz w:val="22"/>
                <w:szCs w:val="22"/>
              </w:rPr>
            </w:pPr>
            <w:r w:rsidRPr="00C035BE">
              <w:rPr>
                <w:sz w:val="22"/>
                <w:szCs w:val="22"/>
              </w:rPr>
              <w:t>91 MW </w:t>
            </w:r>
          </w:p>
        </w:tc>
      </w:tr>
      <w:tr w:rsidRPr="00C035BE" w:rsidR="00627E5B" w:rsidTr="00CF4FFE" w14:paraId="7FA8B8C8" w14:textId="77777777">
        <w:trPr>
          <w:trHeight w:val="1038"/>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050C5CBF" w14:textId="77777777">
            <w:pPr>
              <w:rPr>
                <w:sz w:val="22"/>
                <w:szCs w:val="22"/>
              </w:rPr>
            </w:pPr>
          </w:p>
        </w:tc>
        <w:tc>
          <w:tcPr>
            <w:tcW w:w="1178"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64EC515" w14:textId="77777777">
            <w:pPr>
              <w:rPr>
                <w:sz w:val="22"/>
                <w:szCs w:val="22"/>
              </w:rPr>
            </w:pPr>
          </w:p>
        </w:tc>
        <w:tc>
          <w:tcPr>
            <w:tcW w:w="1080" w:type="dxa"/>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56EB8B39" w14:textId="77777777">
            <w:pPr>
              <w:jc w:val="center"/>
              <w:textAlignment w:val="baseline"/>
              <w:rPr>
                <w:sz w:val="22"/>
                <w:szCs w:val="22"/>
              </w:rPr>
            </w:pPr>
            <w:r w:rsidRPr="00C035BE">
              <w:rPr>
                <w:sz w:val="22"/>
                <w:szCs w:val="22"/>
              </w:rPr>
              <w:t>Hecate Grid Humidor Storage 115 LLC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548E652" w14:textId="77777777">
            <w:pPr>
              <w:jc w:val="center"/>
              <w:textAlignment w:val="baseline"/>
              <w:rPr>
                <w:sz w:val="22"/>
                <w:szCs w:val="22"/>
              </w:rPr>
            </w:pPr>
            <w:r w:rsidRPr="00C035BE">
              <w:rPr>
                <w:sz w:val="22"/>
                <w:szCs w:val="22"/>
              </w:rPr>
              <w:t>Energy Storage </w:t>
            </w:r>
          </w:p>
          <w:p w:rsidRPr="00C035BE" w:rsidR="00627E5B" w:rsidP="000E1E55" w:rsidRDefault="00627E5B" w14:paraId="78B89EBE" w14:textId="77777777">
            <w:pPr>
              <w:jc w:val="center"/>
              <w:textAlignment w:val="baseline"/>
              <w:rPr>
                <w:sz w:val="22"/>
                <w:szCs w:val="22"/>
              </w:rPr>
            </w:pPr>
            <w:r w:rsidRPr="00C035BE">
              <w:rPr>
                <w:sz w:val="22"/>
                <w:szCs w:val="22"/>
              </w:rPr>
              <w:t> </w:t>
            </w:r>
          </w:p>
          <w:p w:rsidRPr="00C035BE" w:rsidR="00627E5B" w:rsidP="000E1E55" w:rsidRDefault="00627E5B" w14:paraId="5DAEDFC0" w14:textId="77777777">
            <w:pPr>
              <w:jc w:val="center"/>
              <w:textAlignment w:val="baseline"/>
              <w:rPr>
                <w:sz w:val="22"/>
                <w:szCs w:val="22"/>
              </w:rPr>
            </w:pPr>
            <w:r w:rsidRPr="00C035BE">
              <w:rPr>
                <w:sz w:val="22"/>
                <w:szCs w:val="22"/>
              </w:rPr>
              <w:t>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8CAA4FD"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1284864" w14:textId="77777777">
            <w:pPr>
              <w:ind w:right="90"/>
              <w:jc w:val="center"/>
              <w:textAlignment w:val="baseline"/>
              <w:rPr>
                <w:sz w:val="22"/>
                <w:szCs w:val="22"/>
              </w:rPr>
            </w:pPr>
            <w:r w:rsidRPr="00C035BE">
              <w:rPr>
                <w:sz w:val="22"/>
                <w:szCs w:val="22"/>
              </w:rPr>
              <w:t>6/1/2024-5/31/2039</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16DECEE" w14:textId="77777777">
            <w:pPr>
              <w:ind w:right="90"/>
              <w:jc w:val="center"/>
              <w:textAlignment w:val="baseline"/>
              <w:rPr>
                <w:sz w:val="22"/>
                <w:szCs w:val="22"/>
              </w:rPr>
            </w:pPr>
            <w:r w:rsidRPr="00C035BE">
              <w:rPr>
                <w:sz w:val="22"/>
                <w:szCs w:val="22"/>
              </w:rPr>
              <w:t>115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127670A" w14:textId="77777777">
            <w:pPr>
              <w:ind w:right="90"/>
              <w:jc w:val="center"/>
              <w:textAlignment w:val="baseline"/>
              <w:rPr>
                <w:sz w:val="22"/>
                <w:szCs w:val="22"/>
              </w:rPr>
            </w:pPr>
            <w:r w:rsidRPr="00C035BE">
              <w:rPr>
                <w:sz w:val="22"/>
                <w:szCs w:val="22"/>
              </w:rPr>
              <w:t>104 MW </w:t>
            </w:r>
          </w:p>
        </w:tc>
      </w:tr>
      <w:tr w:rsidRPr="00C035BE" w:rsidR="00627E5B" w:rsidTr="00CF4FFE" w14:paraId="314FDB71" w14:textId="77777777">
        <w:trPr>
          <w:trHeight w:val="360"/>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06C5BBCF" w14:textId="77777777">
            <w:pPr>
              <w:jc w:val="center"/>
              <w:textAlignment w:val="baseline"/>
              <w:rPr>
                <w:sz w:val="22"/>
                <w:szCs w:val="22"/>
              </w:rPr>
            </w:pPr>
            <w:r w:rsidRPr="00C035BE">
              <w:rPr>
                <w:sz w:val="22"/>
                <w:szCs w:val="22"/>
              </w:rPr>
              <w:t> AL 4885-E, Resolution E-5251 </w:t>
            </w:r>
          </w:p>
        </w:tc>
        <w:tc>
          <w:tcPr>
            <w:tcW w:w="1178" w:type="dxa"/>
            <w:vMerge w:val="restart"/>
            <w:tcBorders>
              <w:top w:val="single" w:color="auto" w:sz="4" w:space="0"/>
              <w:left w:val="single" w:color="auto" w:sz="4" w:space="0"/>
              <w:bottom w:val="single" w:color="auto" w:sz="6" w:space="0"/>
              <w:right w:val="single" w:color="auto" w:sz="6" w:space="0"/>
            </w:tcBorders>
            <w:shd w:val="clear" w:color="auto" w:fill="auto"/>
            <w:hideMark/>
          </w:tcPr>
          <w:p w:rsidRPr="00C035BE" w:rsidR="00627E5B" w:rsidP="000E1E55" w:rsidRDefault="00627E5B" w14:paraId="6AC29E15" w14:textId="77777777">
            <w:pPr>
              <w:jc w:val="center"/>
              <w:textAlignment w:val="baseline"/>
              <w:rPr>
                <w:sz w:val="22"/>
                <w:szCs w:val="22"/>
              </w:rPr>
            </w:pPr>
            <w:r w:rsidRPr="00C035BE">
              <w:rPr>
                <w:sz w:val="22"/>
                <w:szCs w:val="22"/>
              </w:rPr>
              <w:t> December 9, 2022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7377A13" w14:textId="77777777">
            <w:pPr>
              <w:jc w:val="center"/>
              <w:textAlignment w:val="baseline"/>
              <w:rPr>
                <w:sz w:val="22"/>
                <w:szCs w:val="22"/>
              </w:rPr>
            </w:pPr>
            <w:r w:rsidRPr="00C035BE">
              <w:rPr>
                <w:sz w:val="22"/>
                <w:szCs w:val="22"/>
              </w:rPr>
              <w:t>Calpine Nova I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652FAB4"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8689007" w14:textId="77777777">
            <w:pPr>
              <w:jc w:val="center"/>
              <w:textAlignment w:val="baseline"/>
              <w:rPr>
                <w:sz w:val="22"/>
                <w:szCs w:val="22"/>
              </w:rPr>
            </w:pPr>
            <w:r w:rsidRPr="00C035BE">
              <w:rPr>
                <w:sz w:val="22"/>
                <w:szCs w:val="22"/>
              </w:rPr>
              <w:t>RA w/ Put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E6A1EB4" w14:textId="77777777">
            <w:pPr>
              <w:ind w:right="90"/>
              <w:jc w:val="center"/>
              <w:textAlignment w:val="baseline"/>
              <w:rPr>
                <w:sz w:val="22"/>
                <w:szCs w:val="22"/>
              </w:rPr>
            </w:pPr>
            <w:r w:rsidRPr="00C035BE">
              <w:rPr>
                <w:sz w:val="22"/>
                <w:szCs w:val="22"/>
              </w:rPr>
              <w:t>6/1/2024-5/31/2039</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828C824" w14:textId="77777777">
            <w:pPr>
              <w:ind w:right="90"/>
              <w:jc w:val="center"/>
              <w:textAlignment w:val="baseline"/>
              <w:rPr>
                <w:sz w:val="22"/>
                <w:szCs w:val="22"/>
              </w:rPr>
            </w:pPr>
            <w:r w:rsidRPr="00C035BE">
              <w:rPr>
                <w:sz w:val="22"/>
                <w:szCs w:val="22"/>
              </w:rPr>
              <w:t>230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F92E45F" w14:textId="77777777">
            <w:pPr>
              <w:ind w:right="90"/>
              <w:jc w:val="center"/>
              <w:textAlignment w:val="baseline"/>
              <w:rPr>
                <w:sz w:val="22"/>
                <w:szCs w:val="22"/>
              </w:rPr>
            </w:pPr>
            <w:r w:rsidRPr="00C035BE">
              <w:rPr>
                <w:sz w:val="22"/>
                <w:szCs w:val="22"/>
              </w:rPr>
              <w:t>208.6 MW </w:t>
            </w:r>
          </w:p>
        </w:tc>
      </w:tr>
      <w:tr w:rsidRPr="00C035BE" w:rsidR="00627E5B" w:rsidTr="00CF4FFE" w14:paraId="7D3182EB"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5FA24A1A"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7001AF4B" w14:textId="77777777">
            <w:pPr>
              <w:rPr>
                <w:sz w:val="22"/>
                <w:szCs w:val="22"/>
              </w:rPr>
            </w:pPr>
          </w:p>
        </w:tc>
        <w:tc>
          <w:tcPr>
            <w:tcW w:w="108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0BAEC703" w14:textId="77777777">
            <w:pPr>
              <w:jc w:val="center"/>
              <w:textAlignment w:val="baseline"/>
              <w:rPr>
                <w:sz w:val="22"/>
                <w:szCs w:val="22"/>
              </w:rPr>
            </w:pPr>
            <w:r w:rsidRPr="00C035BE">
              <w:rPr>
                <w:sz w:val="22"/>
                <w:szCs w:val="22"/>
              </w:rPr>
              <w:t>Calpine Nova II </w:t>
            </w:r>
          </w:p>
        </w:tc>
        <w:tc>
          <w:tcPr>
            <w:tcW w:w="135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4B156DD2"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1022DFD1" w14:textId="77777777">
            <w:pPr>
              <w:jc w:val="center"/>
              <w:textAlignment w:val="baseline"/>
              <w:rPr>
                <w:sz w:val="22"/>
                <w:szCs w:val="22"/>
              </w:rPr>
            </w:pPr>
            <w:r w:rsidRPr="00C035BE">
              <w:rPr>
                <w:sz w:val="22"/>
                <w:szCs w:val="22"/>
              </w:rPr>
              <w:t>RA w/ Put </w:t>
            </w:r>
          </w:p>
        </w:tc>
        <w:tc>
          <w:tcPr>
            <w:tcW w:w="117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24F11631" w14:textId="77777777">
            <w:pPr>
              <w:ind w:right="90"/>
              <w:jc w:val="center"/>
              <w:textAlignment w:val="baseline"/>
              <w:rPr>
                <w:sz w:val="22"/>
                <w:szCs w:val="22"/>
              </w:rPr>
            </w:pPr>
            <w:r w:rsidRPr="00C035BE">
              <w:rPr>
                <w:sz w:val="22"/>
                <w:szCs w:val="22"/>
              </w:rPr>
              <w:t>6/1/2024-5/31/2039</w:t>
            </w:r>
          </w:p>
        </w:tc>
        <w:tc>
          <w:tcPr>
            <w:tcW w:w="135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4FED114B" w14:textId="77777777">
            <w:pPr>
              <w:ind w:right="90"/>
              <w:jc w:val="center"/>
              <w:textAlignment w:val="baseline"/>
              <w:rPr>
                <w:sz w:val="22"/>
                <w:szCs w:val="22"/>
              </w:rPr>
            </w:pPr>
            <w:r w:rsidRPr="00C035BE">
              <w:rPr>
                <w:sz w:val="22"/>
                <w:szCs w:val="22"/>
              </w:rPr>
              <w:t>230 MW </w:t>
            </w:r>
          </w:p>
        </w:tc>
        <w:tc>
          <w:tcPr>
            <w:tcW w:w="153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54BD4CA0" w14:textId="77777777">
            <w:pPr>
              <w:ind w:right="90"/>
              <w:jc w:val="center"/>
              <w:textAlignment w:val="baseline"/>
              <w:rPr>
                <w:sz w:val="22"/>
                <w:szCs w:val="22"/>
              </w:rPr>
            </w:pPr>
            <w:r w:rsidRPr="00C035BE">
              <w:rPr>
                <w:sz w:val="22"/>
                <w:szCs w:val="22"/>
              </w:rPr>
              <w:t>208.6 MW </w:t>
            </w:r>
          </w:p>
        </w:tc>
      </w:tr>
      <w:tr w:rsidRPr="00C035BE" w:rsidR="00627E5B" w:rsidTr="00CF4FFE" w14:paraId="705D6C9E"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6F7867AE"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792E7738" w14:textId="77777777">
            <w:pPr>
              <w:rPr>
                <w:sz w:val="22"/>
                <w:szCs w:val="22"/>
              </w:rPr>
            </w:pP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06A086AC" w14:textId="77777777">
            <w:pPr>
              <w:jc w:val="center"/>
              <w:textAlignment w:val="baseline"/>
              <w:rPr>
                <w:sz w:val="22"/>
                <w:szCs w:val="22"/>
              </w:rPr>
            </w:pPr>
            <w:r w:rsidRPr="00C035BE">
              <w:rPr>
                <w:sz w:val="22"/>
                <w:szCs w:val="22"/>
              </w:rPr>
              <w:t>Next Era Proxima RA Storage </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575B3A8B" w14:textId="77777777">
            <w:pPr>
              <w:jc w:val="center"/>
              <w:textAlignment w:val="baseline"/>
              <w:rPr>
                <w:sz w:val="22"/>
                <w:szCs w:val="22"/>
              </w:rPr>
            </w:pPr>
            <w:r w:rsidRPr="00C035BE">
              <w:rPr>
                <w:sz w:val="22"/>
                <w:szCs w:val="22"/>
              </w:rPr>
              <w:t>Energy Storage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61E1B9F7" w14:textId="77777777">
            <w:pPr>
              <w:jc w:val="center"/>
              <w:textAlignment w:val="baseline"/>
              <w:rPr>
                <w:sz w:val="22"/>
                <w:szCs w:val="22"/>
              </w:rPr>
            </w:pPr>
            <w:r w:rsidRPr="00C035BE">
              <w:rPr>
                <w:sz w:val="22"/>
                <w:szCs w:val="22"/>
              </w:rPr>
              <w:t>RA Only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2BA81FE9" w14:textId="77777777">
            <w:pPr>
              <w:ind w:right="90"/>
              <w:jc w:val="center"/>
              <w:textAlignment w:val="baseline"/>
              <w:rPr>
                <w:sz w:val="22"/>
                <w:szCs w:val="22"/>
              </w:rPr>
            </w:pPr>
            <w:r w:rsidRPr="00C035BE">
              <w:rPr>
                <w:sz w:val="22"/>
                <w:szCs w:val="22"/>
              </w:rPr>
              <w:t>6/1/2024-5/31/2039</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6BDCE5B0" w14:textId="77777777">
            <w:pPr>
              <w:ind w:right="90"/>
              <w:jc w:val="center"/>
              <w:textAlignment w:val="baseline"/>
              <w:rPr>
                <w:sz w:val="22"/>
                <w:szCs w:val="22"/>
              </w:rPr>
            </w:pPr>
            <w:r w:rsidRPr="00C035BE">
              <w:rPr>
                <w:sz w:val="22"/>
                <w:szCs w:val="22"/>
              </w:rPr>
              <w:t>90 MW </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C035BE" w:rsidR="00627E5B" w:rsidP="000E1E55" w:rsidRDefault="00627E5B" w14:paraId="14648C0C" w14:textId="77777777">
            <w:pPr>
              <w:ind w:right="90"/>
              <w:jc w:val="center"/>
              <w:textAlignment w:val="baseline"/>
              <w:rPr>
                <w:sz w:val="22"/>
                <w:szCs w:val="22"/>
              </w:rPr>
            </w:pPr>
            <w:r w:rsidRPr="00C035BE">
              <w:rPr>
                <w:sz w:val="22"/>
                <w:szCs w:val="22"/>
              </w:rPr>
              <w:t>82 MW </w:t>
            </w:r>
          </w:p>
        </w:tc>
      </w:tr>
      <w:tr w:rsidRPr="00C035BE" w:rsidR="00627E5B" w:rsidTr="00CF4FFE" w14:paraId="6965403F"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B1CD572"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2C354D8F" w14:textId="77777777">
            <w:pPr>
              <w:rPr>
                <w:sz w:val="22"/>
                <w:szCs w:val="22"/>
              </w:rPr>
            </w:pPr>
          </w:p>
        </w:tc>
        <w:tc>
          <w:tcPr>
            <w:tcW w:w="108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13ED23F2" w14:textId="77777777">
            <w:pPr>
              <w:jc w:val="center"/>
              <w:textAlignment w:val="baseline"/>
              <w:rPr>
                <w:sz w:val="22"/>
                <w:szCs w:val="22"/>
              </w:rPr>
            </w:pPr>
            <w:r w:rsidRPr="00C035BE">
              <w:rPr>
                <w:sz w:val="22"/>
                <w:szCs w:val="22"/>
              </w:rPr>
              <w:t>WPower Stanton </w:t>
            </w:r>
          </w:p>
        </w:tc>
        <w:tc>
          <w:tcPr>
            <w:tcW w:w="135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0B88A8D9" w14:textId="77777777">
            <w:pPr>
              <w:jc w:val="center"/>
              <w:textAlignment w:val="baseline"/>
              <w:rPr>
                <w:sz w:val="22"/>
                <w:szCs w:val="22"/>
              </w:rPr>
            </w:pPr>
            <w:r w:rsidRPr="00C035BE">
              <w:rPr>
                <w:sz w:val="22"/>
                <w:szCs w:val="22"/>
              </w:rPr>
              <w:t>Energy Storage </w:t>
            </w:r>
          </w:p>
        </w:tc>
        <w:tc>
          <w:tcPr>
            <w:tcW w:w="108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14C24D93" w14:textId="77777777">
            <w:pPr>
              <w:jc w:val="center"/>
              <w:textAlignment w:val="baseline"/>
              <w:rPr>
                <w:sz w:val="22"/>
                <w:szCs w:val="22"/>
              </w:rPr>
            </w:pPr>
            <w:r w:rsidRPr="00C035BE">
              <w:rPr>
                <w:sz w:val="22"/>
                <w:szCs w:val="22"/>
              </w:rPr>
              <w:t>RA Only </w:t>
            </w:r>
          </w:p>
        </w:tc>
        <w:tc>
          <w:tcPr>
            <w:tcW w:w="117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7D26B17A" w14:textId="77777777">
            <w:pPr>
              <w:ind w:right="90"/>
              <w:jc w:val="center"/>
              <w:textAlignment w:val="baseline"/>
              <w:rPr>
                <w:sz w:val="22"/>
                <w:szCs w:val="22"/>
              </w:rPr>
            </w:pPr>
            <w:r w:rsidRPr="00C035BE">
              <w:rPr>
                <w:sz w:val="22"/>
                <w:szCs w:val="22"/>
              </w:rPr>
              <w:t>8/1/2023-7/30/203 </w:t>
            </w:r>
          </w:p>
        </w:tc>
        <w:tc>
          <w:tcPr>
            <w:tcW w:w="135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5073948C" w14:textId="77777777">
            <w:pPr>
              <w:ind w:right="90"/>
              <w:jc w:val="center"/>
              <w:textAlignment w:val="baseline"/>
              <w:rPr>
                <w:sz w:val="22"/>
                <w:szCs w:val="22"/>
              </w:rPr>
            </w:pPr>
            <w:r w:rsidRPr="00C035BE">
              <w:rPr>
                <w:sz w:val="22"/>
                <w:szCs w:val="22"/>
              </w:rPr>
              <w:t>69 MW </w:t>
            </w:r>
          </w:p>
        </w:tc>
        <w:tc>
          <w:tcPr>
            <w:tcW w:w="153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7D16A92E" w14:textId="77777777">
            <w:pPr>
              <w:ind w:right="90"/>
              <w:jc w:val="center"/>
              <w:textAlignment w:val="baseline"/>
              <w:rPr>
                <w:sz w:val="22"/>
                <w:szCs w:val="22"/>
              </w:rPr>
            </w:pPr>
            <w:r w:rsidRPr="00C035BE">
              <w:rPr>
                <w:sz w:val="22"/>
                <w:szCs w:val="22"/>
              </w:rPr>
              <w:t>66 MW </w:t>
            </w:r>
          </w:p>
        </w:tc>
      </w:tr>
      <w:tr w:rsidRPr="00C035BE" w:rsidR="00627E5B" w:rsidTr="00CF4FFE" w14:paraId="14259E83" w14:textId="77777777">
        <w:trPr>
          <w:trHeight w:val="615"/>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6C5E9883" w14:textId="77777777">
            <w:pPr>
              <w:jc w:val="center"/>
              <w:textAlignment w:val="baseline"/>
              <w:rPr>
                <w:sz w:val="22"/>
                <w:szCs w:val="22"/>
              </w:rPr>
            </w:pPr>
            <w:r w:rsidRPr="00C035BE">
              <w:rPr>
                <w:sz w:val="22"/>
                <w:szCs w:val="22"/>
              </w:rPr>
              <w:t>AL 4920-E, Resolution E-5253</w:t>
            </w:r>
          </w:p>
        </w:tc>
        <w:tc>
          <w:tcPr>
            <w:tcW w:w="1178" w:type="dxa"/>
            <w:vMerge w:val="restart"/>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040DBB73" w14:textId="77777777">
            <w:pPr>
              <w:jc w:val="center"/>
              <w:textAlignment w:val="baseline"/>
              <w:rPr>
                <w:sz w:val="22"/>
                <w:szCs w:val="22"/>
              </w:rPr>
            </w:pPr>
            <w:r w:rsidRPr="00C035BE">
              <w:rPr>
                <w:sz w:val="22"/>
                <w:szCs w:val="22"/>
              </w:rPr>
              <w:t>February 23, 2023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DDCE6F2" w14:textId="77777777">
            <w:pPr>
              <w:jc w:val="center"/>
              <w:textAlignment w:val="baseline"/>
              <w:rPr>
                <w:sz w:val="22"/>
                <w:szCs w:val="22"/>
              </w:rPr>
            </w:pPr>
            <w:r w:rsidRPr="00C035BE">
              <w:rPr>
                <w:sz w:val="22"/>
                <w:szCs w:val="22"/>
              </w:rPr>
              <w:t>Clearway Arica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E94A649"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7BC0639"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347B264" w14:textId="77777777">
            <w:pPr>
              <w:ind w:right="90"/>
              <w:jc w:val="center"/>
              <w:textAlignment w:val="baseline"/>
              <w:rPr>
                <w:sz w:val="22"/>
                <w:szCs w:val="22"/>
              </w:rPr>
            </w:pPr>
            <w:r w:rsidRPr="00C035BE">
              <w:rPr>
                <w:sz w:val="22"/>
                <w:szCs w:val="22"/>
              </w:rPr>
              <w:t>6/1/2024-5/31/203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0937F91" w14:textId="77777777">
            <w:pPr>
              <w:ind w:right="90"/>
              <w:jc w:val="center"/>
              <w:textAlignment w:val="baseline"/>
              <w:rPr>
                <w:sz w:val="22"/>
                <w:szCs w:val="22"/>
              </w:rPr>
            </w:pPr>
            <w:r w:rsidRPr="00C035BE">
              <w:rPr>
                <w:sz w:val="22"/>
                <w:szCs w:val="22"/>
              </w:rPr>
              <w:t>15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591C455" w14:textId="77777777">
            <w:pPr>
              <w:ind w:right="90"/>
              <w:jc w:val="center"/>
              <w:textAlignment w:val="baseline"/>
              <w:rPr>
                <w:sz w:val="22"/>
                <w:szCs w:val="22"/>
              </w:rPr>
            </w:pPr>
            <w:r w:rsidRPr="00C035BE">
              <w:rPr>
                <w:sz w:val="22"/>
                <w:szCs w:val="22"/>
              </w:rPr>
              <w:t>14 MW </w:t>
            </w:r>
          </w:p>
        </w:tc>
      </w:tr>
      <w:tr w:rsidRPr="00C035BE" w:rsidR="00627E5B" w:rsidTr="00CF4FFE" w14:paraId="4C7B468C"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023ED2D2"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3F2A83DA"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D111990" w14:textId="77777777">
            <w:pPr>
              <w:jc w:val="center"/>
              <w:textAlignment w:val="baseline"/>
              <w:rPr>
                <w:sz w:val="22"/>
                <w:szCs w:val="22"/>
              </w:rPr>
            </w:pPr>
            <w:r w:rsidRPr="00C035BE">
              <w:rPr>
                <w:sz w:val="22"/>
                <w:szCs w:val="22"/>
              </w:rPr>
              <w:t>Clearway Rosamond</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40E9236"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E0C06D8"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E6F7597" w14:textId="77777777">
            <w:pPr>
              <w:ind w:right="90"/>
              <w:jc w:val="center"/>
              <w:textAlignment w:val="baseline"/>
              <w:rPr>
                <w:sz w:val="22"/>
                <w:szCs w:val="22"/>
              </w:rPr>
            </w:pPr>
            <w:r w:rsidRPr="00C035BE">
              <w:rPr>
                <w:sz w:val="22"/>
                <w:szCs w:val="22"/>
              </w:rPr>
              <w:t>6/1/2024-5/31/203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4FF1C10" w14:textId="77777777">
            <w:pPr>
              <w:ind w:right="90"/>
              <w:jc w:val="center"/>
              <w:textAlignment w:val="baseline"/>
              <w:rPr>
                <w:sz w:val="22"/>
                <w:szCs w:val="22"/>
              </w:rPr>
            </w:pPr>
            <w:r w:rsidRPr="00C035BE">
              <w:rPr>
                <w:sz w:val="22"/>
                <w:szCs w:val="22"/>
              </w:rPr>
              <w:t>147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9E47577" w14:textId="77777777">
            <w:pPr>
              <w:ind w:right="90"/>
              <w:jc w:val="center"/>
              <w:textAlignment w:val="baseline"/>
              <w:rPr>
                <w:sz w:val="22"/>
                <w:szCs w:val="22"/>
              </w:rPr>
            </w:pPr>
            <w:r w:rsidRPr="00C035BE">
              <w:rPr>
                <w:sz w:val="22"/>
                <w:szCs w:val="22"/>
              </w:rPr>
              <w:t>133 MW </w:t>
            </w:r>
          </w:p>
        </w:tc>
      </w:tr>
      <w:tr w:rsidRPr="00C035BE" w:rsidR="00627E5B" w:rsidTr="00CF4FFE" w14:paraId="690601E3"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304E4D7D"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46FF8C13"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4ADA2AC" w14:textId="77777777">
            <w:pPr>
              <w:jc w:val="center"/>
              <w:textAlignment w:val="baseline"/>
              <w:rPr>
                <w:sz w:val="22"/>
                <w:szCs w:val="22"/>
              </w:rPr>
            </w:pPr>
            <w:r w:rsidRPr="00C035BE">
              <w:rPr>
                <w:sz w:val="22"/>
                <w:szCs w:val="22"/>
              </w:rPr>
              <w:t>Gridstor Santa Fe Springs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4467E4C"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F67ECF8"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0FACB40" w14:textId="77777777">
            <w:pPr>
              <w:ind w:right="90"/>
              <w:jc w:val="center"/>
              <w:textAlignment w:val="baseline"/>
              <w:rPr>
                <w:sz w:val="22"/>
                <w:szCs w:val="22"/>
              </w:rPr>
            </w:pPr>
            <w:r w:rsidRPr="00C035BE">
              <w:rPr>
                <w:sz w:val="22"/>
                <w:szCs w:val="22"/>
              </w:rPr>
              <w:t>6/1/2024-5/31/2039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05411F9" w14:textId="77777777">
            <w:pPr>
              <w:ind w:right="90"/>
              <w:jc w:val="center"/>
              <w:textAlignment w:val="baseline"/>
              <w:rPr>
                <w:sz w:val="22"/>
                <w:szCs w:val="22"/>
              </w:rPr>
            </w:pPr>
            <w:r w:rsidRPr="00C035BE">
              <w:rPr>
                <w:sz w:val="22"/>
                <w:szCs w:val="22"/>
              </w:rPr>
              <w:t>90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4422804" w14:textId="77777777">
            <w:pPr>
              <w:ind w:right="90"/>
              <w:jc w:val="center"/>
              <w:textAlignment w:val="baseline"/>
              <w:rPr>
                <w:sz w:val="22"/>
                <w:szCs w:val="22"/>
              </w:rPr>
            </w:pPr>
            <w:r w:rsidRPr="00C035BE">
              <w:rPr>
                <w:sz w:val="22"/>
                <w:szCs w:val="22"/>
              </w:rPr>
              <w:t>82 MW </w:t>
            </w:r>
          </w:p>
        </w:tc>
      </w:tr>
      <w:tr w:rsidRPr="00C035BE" w:rsidR="00627E5B" w:rsidTr="00CF4FFE" w14:paraId="13F23352"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268340ED"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145E8750"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979B8EB" w14:textId="77777777">
            <w:pPr>
              <w:jc w:val="center"/>
              <w:textAlignment w:val="baseline"/>
              <w:rPr>
                <w:sz w:val="22"/>
                <w:szCs w:val="22"/>
              </w:rPr>
            </w:pPr>
            <w:r w:rsidRPr="00C035BE">
              <w:rPr>
                <w:sz w:val="22"/>
                <w:szCs w:val="22"/>
              </w:rPr>
              <w:t>Gridstor Upland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DB7D355"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033340E"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760BE33" w14:textId="77777777">
            <w:pPr>
              <w:ind w:right="90"/>
              <w:jc w:val="center"/>
              <w:textAlignment w:val="baseline"/>
              <w:rPr>
                <w:sz w:val="22"/>
                <w:szCs w:val="22"/>
              </w:rPr>
            </w:pPr>
            <w:r w:rsidRPr="00C035BE">
              <w:rPr>
                <w:sz w:val="22"/>
                <w:szCs w:val="22"/>
              </w:rPr>
              <w:t>6/1/2024-5/31/2039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56D7E73" w14:textId="77777777">
            <w:pPr>
              <w:ind w:right="90"/>
              <w:jc w:val="center"/>
              <w:textAlignment w:val="baseline"/>
              <w:rPr>
                <w:sz w:val="22"/>
                <w:szCs w:val="22"/>
              </w:rPr>
            </w:pPr>
            <w:r w:rsidRPr="00C035BE">
              <w:rPr>
                <w:sz w:val="22"/>
                <w:szCs w:val="22"/>
              </w:rPr>
              <w:t>120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498C60A" w14:textId="77777777">
            <w:pPr>
              <w:ind w:right="90"/>
              <w:jc w:val="center"/>
              <w:textAlignment w:val="baseline"/>
              <w:rPr>
                <w:sz w:val="22"/>
                <w:szCs w:val="22"/>
              </w:rPr>
            </w:pPr>
            <w:r w:rsidRPr="00C035BE">
              <w:rPr>
                <w:sz w:val="22"/>
                <w:szCs w:val="22"/>
              </w:rPr>
              <w:t>109 MW </w:t>
            </w:r>
          </w:p>
        </w:tc>
      </w:tr>
      <w:tr w:rsidRPr="00C035BE" w:rsidR="00627E5B" w:rsidTr="00CF4FFE" w14:paraId="276AF0F8"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DA7816B"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2E1CBB4A"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F49E26C" w14:textId="77777777">
            <w:pPr>
              <w:jc w:val="center"/>
              <w:textAlignment w:val="baseline"/>
              <w:rPr>
                <w:sz w:val="22"/>
                <w:szCs w:val="22"/>
              </w:rPr>
            </w:pPr>
            <w:r w:rsidRPr="00C035BE">
              <w:rPr>
                <w:sz w:val="22"/>
                <w:szCs w:val="22"/>
              </w:rPr>
              <w:t>Tenaska/</w:t>
            </w:r>
            <w:r>
              <w:rPr>
                <w:sz w:val="22"/>
                <w:szCs w:val="22"/>
              </w:rPr>
              <w:br/>
            </w:r>
            <w:r w:rsidRPr="00C035BE">
              <w:rPr>
                <w:sz w:val="22"/>
                <w:szCs w:val="22"/>
              </w:rPr>
              <w:t>Falcon Energy Condor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0800938"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AEEAE30"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19D6997" w14:textId="77777777">
            <w:pPr>
              <w:ind w:left="90" w:right="60"/>
              <w:jc w:val="center"/>
              <w:textAlignment w:val="baseline"/>
              <w:rPr>
                <w:sz w:val="22"/>
                <w:szCs w:val="22"/>
              </w:rPr>
            </w:pPr>
            <w:r w:rsidRPr="00C035BE">
              <w:rPr>
                <w:sz w:val="22"/>
                <w:szCs w:val="22"/>
              </w:rPr>
              <w:t>6/1/2024-5/31/2039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EE88CF5" w14:textId="77777777">
            <w:pPr>
              <w:ind w:right="90"/>
              <w:jc w:val="center"/>
              <w:textAlignment w:val="baseline"/>
              <w:rPr>
                <w:sz w:val="22"/>
                <w:szCs w:val="22"/>
              </w:rPr>
            </w:pPr>
            <w:r w:rsidRPr="00C035BE">
              <w:rPr>
                <w:sz w:val="22"/>
                <w:szCs w:val="22"/>
              </w:rPr>
              <w:t>200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A74A1AB" w14:textId="77777777">
            <w:pPr>
              <w:ind w:right="90"/>
              <w:jc w:val="center"/>
              <w:textAlignment w:val="baseline"/>
              <w:rPr>
                <w:sz w:val="22"/>
                <w:szCs w:val="22"/>
              </w:rPr>
            </w:pPr>
            <w:r w:rsidRPr="00C035BE">
              <w:rPr>
                <w:sz w:val="22"/>
                <w:szCs w:val="22"/>
              </w:rPr>
              <w:t>181.4 MW </w:t>
            </w:r>
          </w:p>
        </w:tc>
      </w:tr>
      <w:tr w:rsidRPr="00C035BE" w:rsidR="00627E5B" w:rsidTr="00CF4FFE" w14:paraId="565D14C2"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CAB1762"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5AACFAC5"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91D2E2F" w14:textId="77777777">
            <w:pPr>
              <w:jc w:val="center"/>
              <w:textAlignment w:val="baseline"/>
              <w:rPr>
                <w:sz w:val="22"/>
                <w:szCs w:val="22"/>
              </w:rPr>
            </w:pPr>
            <w:r w:rsidRPr="00C035BE">
              <w:rPr>
                <w:sz w:val="22"/>
                <w:szCs w:val="22"/>
              </w:rPr>
              <w:t>Tenaska/Falcon Energy Peregrine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F819A04"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9FE563C"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D3EF9E9" w14:textId="77777777">
            <w:pPr>
              <w:ind w:left="90" w:right="60"/>
              <w:jc w:val="center"/>
              <w:textAlignment w:val="baseline"/>
              <w:rPr>
                <w:sz w:val="22"/>
                <w:szCs w:val="22"/>
              </w:rPr>
            </w:pPr>
            <w:r w:rsidRPr="00C035BE">
              <w:rPr>
                <w:sz w:val="22"/>
                <w:szCs w:val="22"/>
              </w:rPr>
              <w:t>6/1/2024-5/31/2039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4064FBE" w14:textId="77777777">
            <w:pPr>
              <w:ind w:right="90"/>
              <w:jc w:val="center"/>
              <w:textAlignment w:val="baseline"/>
              <w:rPr>
                <w:sz w:val="22"/>
                <w:szCs w:val="22"/>
              </w:rPr>
            </w:pPr>
            <w:r w:rsidRPr="00C035BE">
              <w:rPr>
                <w:sz w:val="22"/>
                <w:szCs w:val="22"/>
              </w:rPr>
              <w:t>100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12DD550" w14:textId="77777777">
            <w:pPr>
              <w:ind w:right="90"/>
              <w:jc w:val="center"/>
              <w:textAlignment w:val="baseline"/>
              <w:rPr>
                <w:sz w:val="22"/>
                <w:szCs w:val="22"/>
              </w:rPr>
            </w:pPr>
            <w:r w:rsidRPr="00C035BE">
              <w:rPr>
                <w:sz w:val="22"/>
                <w:szCs w:val="22"/>
              </w:rPr>
              <w:t>90.7 MW </w:t>
            </w:r>
          </w:p>
        </w:tc>
      </w:tr>
      <w:tr w:rsidRPr="00C035BE" w:rsidR="00627E5B" w:rsidTr="00CF4FFE" w14:paraId="274FE6E3" w14:textId="77777777">
        <w:trPr>
          <w:trHeight w:val="360"/>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4BF2473F" w14:textId="77777777">
            <w:pPr>
              <w:jc w:val="center"/>
              <w:textAlignment w:val="baseline"/>
              <w:rPr>
                <w:sz w:val="22"/>
                <w:szCs w:val="22"/>
              </w:rPr>
            </w:pPr>
            <w:r w:rsidRPr="00C035BE">
              <w:rPr>
                <w:sz w:val="22"/>
                <w:szCs w:val="22"/>
              </w:rPr>
              <w:t>AL 4990-E, Resolution</w:t>
            </w:r>
            <w:r>
              <w:rPr>
                <w:sz w:val="22"/>
                <w:szCs w:val="22"/>
              </w:rPr>
              <w:br/>
            </w:r>
            <w:r w:rsidRPr="00C035BE">
              <w:rPr>
                <w:sz w:val="22"/>
                <w:szCs w:val="22"/>
              </w:rPr>
              <w:t>E-5271 </w:t>
            </w:r>
          </w:p>
        </w:tc>
        <w:tc>
          <w:tcPr>
            <w:tcW w:w="1178" w:type="dxa"/>
            <w:vMerge w:val="restart"/>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28A408FD" w14:textId="77777777">
            <w:pPr>
              <w:jc w:val="center"/>
              <w:textAlignment w:val="baseline"/>
              <w:rPr>
                <w:sz w:val="22"/>
                <w:szCs w:val="22"/>
              </w:rPr>
            </w:pPr>
            <w:r w:rsidRPr="00C035BE">
              <w:rPr>
                <w:sz w:val="22"/>
                <w:szCs w:val="22"/>
              </w:rPr>
              <w:t>June 8, 2023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7F9A83A" w14:textId="77777777">
            <w:pPr>
              <w:jc w:val="center"/>
              <w:textAlignment w:val="baseline"/>
              <w:rPr>
                <w:sz w:val="22"/>
                <w:szCs w:val="22"/>
              </w:rPr>
            </w:pPr>
            <w:r w:rsidRPr="00C035BE">
              <w:rPr>
                <w:sz w:val="22"/>
                <w:szCs w:val="22"/>
              </w:rPr>
              <w:t>Leeward AVEP BESS, LLC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FB79C7F"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1FBB5C3" w14:textId="77777777">
            <w:pPr>
              <w:jc w:val="center"/>
              <w:textAlignment w:val="baseline"/>
              <w:rPr>
                <w:sz w:val="22"/>
                <w:szCs w:val="22"/>
              </w:rPr>
            </w:pPr>
            <w:r w:rsidRPr="00C035BE">
              <w:rPr>
                <w:sz w:val="22"/>
                <w:szCs w:val="22"/>
              </w:rPr>
              <w:t>RA w/ Put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078DCF8" w14:textId="77777777">
            <w:pPr>
              <w:ind w:left="90" w:right="60"/>
              <w:jc w:val="center"/>
              <w:textAlignment w:val="baseline"/>
              <w:rPr>
                <w:sz w:val="22"/>
                <w:szCs w:val="22"/>
              </w:rPr>
            </w:pPr>
            <w:r w:rsidRPr="00C035BE">
              <w:rPr>
                <w:sz w:val="22"/>
                <w:szCs w:val="22"/>
              </w:rPr>
              <w:t>6/1/2024-5/31/2039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7C1FBD8" w14:textId="77777777">
            <w:pPr>
              <w:ind w:right="90"/>
              <w:jc w:val="center"/>
              <w:textAlignment w:val="baseline"/>
              <w:rPr>
                <w:sz w:val="22"/>
                <w:szCs w:val="22"/>
              </w:rPr>
            </w:pPr>
            <w:r w:rsidRPr="00C035BE">
              <w:rPr>
                <w:sz w:val="22"/>
                <w:szCs w:val="22"/>
              </w:rPr>
              <w:t>126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7E78116" w14:textId="77777777">
            <w:pPr>
              <w:ind w:right="90"/>
              <w:jc w:val="center"/>
              <w:textAlignment w:val="baseline"/>
              <w:rPr>
                <w:sz w:val="22"/>
                <w:szCs w:val="22"/>
              </w:rPr>
            </w:pPr>
            <w:r w:rsidRPr="00C035BE">
              <w:rPr>
                <w:sz w:val="22"/>
                <w:szCs w:val="22"/>
              </w:rPr>
              <w:t>114 MW </w:t>
            </w:r>
          </w:p>
        </w:tc>
      </w:tr>
      <w:tr w:rsidRPr="00C035BE" w:rsidR="00627E5B" w:rsidTr="00CF4FFE" w14:paraId="51D091A1"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3F59474A"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5F10BDE5" w14:textId="77777777">
            <w:pPr>
              <w:rPr>
                <w:sz w:val="22"/>
                <w:szCs w:val="22"/>
              </w:rPr>
            </w:pPr>
          </w:p>
        </w:tc>
        <w:tc>
          <w:tcPr>
            <w:tcW w:w="108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2051D621" w14:textId="77777777">
            <w:pPr>
              <w:jc w:val="center"/>
              <w:textAlignment w:val="baseline"/>
              <w:rPr>
                <w:sz w:val="22"/>
                <w:szCs w:val="22"/>
              </w:rPr>
            </w:pPr>
            <w:r w:rsidRPr="00C035BE">
              <w:rPr>
                <w:sz w:val="22"/>
                <w:szCs w:val="22"/>
              </w:rPr>
              <w:t xml:space="preserve">MN8 Energy </w:t>
            </w:r>
            <w:r w:rsidRPr="00C035BE">
              <w:rPr>
                <w:sz w:val="22"/>
                <w:szCs w:val="22"/>
              </w:rPr>
              <w:lastRenderedPageBreak/>
              <w:t>American Kings </w:t>
            </w:r>
          </w:p>
        </w:tc>
        <w:tc>
          <w:tcPr>
            <w:tcW w:w="135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7E9084F4" w14:textId="77777777">
            <w:pPr>
              <w:jc w:val="center"/>
              <w:textAlignment w:val="baseline"/>
              <w:rPr>
                <w:sz w:val="22"/>
                <w:szCs w:val="22"/>
              </w:rPr>
            </w:pPr>
            <w:r w:rsidRPr="00C035BE">
              <w:rPr>
                <w:sz w:val="22"/>
                <w:szCs w:val="22"/>
              </w:rPr>
              <w:lastRenderedPageBreak/>
              <w:t>Energy Storage </w:t>
            </w:r>
          </w:p>
        </w:tc>
        <w:tc>
          <w:tcPr>
            <w:tcW w:w="108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09498419"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645D6582" w14:textId="77777777">
            <w:pPr>
              <w:ind w:left="90" w:right="60"/>
              <w:jc w:val="center"/>
              <w:textAlignment w:val="baseline"/>
              <w:rPr>
                <w:sz w:val="22"/>
                <w:szCs w:val="22"/>
              </w:rPr>
            </w:pPr>
            <w:r w:rsidRPr="00C035BE">
              <w:rPr>
                <w:sz w:val="22"/>
                <w:szCs w:val="22"/>
              </w:rPr>
              <w:t>6/1/2024-5/31/2039 </w:t>
            </w:r>
          </w:p>
        </w:tc>
        <w:tc>
          <w:tcPr>
            <w:tcW w:w="135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6E0C0F6E" w14:textId="77777777">
            <w:pPr>
              <w:ind w:right="90"/>
              <w:jc w:val="center"/>
              <w:textAlignment w:val="baseline"/>
              <w:rPr>
                <w:sz w:val="22"/>
                <w:szCs w:val="22"/>
              </w:rPr>
            </w:pPr>
            <w:r w:rsidRPr="00C035BE">
              <w:rPr>
                <w:sz w:val="22"/>
                <w:szCs w:val="22"/>
              </w:rPr>
              <w:t>73.8 MW </w:t>
            </w:r>
          </w:p>
        </w:tc>
        <w:tc>
          <w:tcPr>
            <w:tcW w:w="153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5FB8DBAE" w14:textId="77777777">
            <w:pPr>
              <w:ind w:right="90"/>
              <w:jc w:val="center"/>
              <w:textAlignment w:val="baseline"/>
              <w:rPr>
                <w:sz w:val="22"/>
                <w:szCs w:val="22"/>
              </w:rPr>
            </w:pPr>
            <w:r w:rsidRPr="00C035BE">
              <w:rPr>
                <w:sz w:val="22"/>
                <w:szCs w:val="22"/>
              </w:rPr>
              <w:t>67 MW </w:t>
            </w:r>
          </w:p>
        </w:tc>
      </w:tr>
      <w:tr w:rsidRPr="00C035BE" w:rsidR="00627E5B" w:rsidTr="00CF4FFE" w14:paraId="4398A486"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496FAB26"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5C05AC97"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0BB0A40" w14:textId="77777777">
            <w:pPr>
              <w:jc w:val="center"/>
              <w:textAlignment w:val="baseline"/>
              <w:rPr>
                <w:sz w:val="22"/>
                <w:szCs w:val="22"/>
              </w:rPr>
            </w:pPr>
            <w:r w:rsidRPr="00C035BE">
              <w:rPr>
                <w:sz w:val="22"/>
                <w:szCs w:val="22"/>
              </w:rPr>
              <w:t>AES McFarland Solar B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2851A96"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7599E18"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412E200" w14:textId="77777777">
            <w:pPr>
              <w:ind w:left="90" w:right="60"/>
              <w:jc w:val="center"/>
              <w:textAlignment w:val="baseline"/>
              <w:rPr>
                <w:sz w:val="22"/>
                <w:szCs w:val="22"/>
              </w:rPr>
            </w:pPr>
            <w:r w:rsidRPr="00C035BE">
              <w:rPr>
                <w:sz w:val="22"/>
                <w:szCs w:val="22"/>
              </w:rPr>
              <w:t>6/1/2024-5/31/2034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374FE53" w14:textId="77777777">
            <w:pPr>
              <w:ind w:right="90"/>
              <w:jc w:val="center"/>
              <w:textAlignment w:val="baseline"/>
              <w:rPr>
                <w:sz w:val="22"/>
                <w:szCs w:val="22"/>
              </w:rPr>
            </w:pPr>
            <w:r w:rsidRPr="00C035BE">
              <w:rPr>
                <w:sz w:val="22"/>
                <w:szCs w:val="22"/>
              </w:rPr>
              <w:t>150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A4DBEAB" w14:textId="77777777">
            <w:pPr>
              <w:ind w:right="90"/>
              <w:jc w:val="center"/>
              <w:textAlignment w:val="baseline"/>
              <w:rPr>
                <w:sz w:val="22"/>
                <w:szCs w:val="22"/>
              </w:rPr>
            </w:pPr>
            <w:r w:rsidRPr="00C035BE">
              <w:rPr>
                <w:sz w:val="22"/>
                <w:szCs w:val="22"/>
              </w:rPr>
              <w:t>136 MW </w:t>
            </w:r>
          </w:p>
        </w:tc>
      </w:tr>
      <w:tr w:rsidRPr="00C035BE" w:rsidR="00627E5B" w:rsidTr="00CF4FFE" w14:paraId="549EA7DE"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51EC92ED"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7BCD7DAA" w14:textId="77777777">
            <w:pPr>
              <w:rPr>
                <w:sz w:val="22"/>
                <w:szCs w:val="22"/>
              </w:rPr>
            </w:pPr>
          </w:p>
        </w:tc>
        <w:tc>
          <w:tcPr>
            <w:tcW w:w="108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155ACE5C" w14:textId="77777777">
            <w:pPr>
              <w:jc w:val="center"/>
              <w:textAlignment w:val="baseline"/>
              <w:rPr>
                <w:sz w:val="22"/>
                <w:szCs w:val="22"/>
              </w:rPr>
            </w:pPr>
            <w:r w:rsidRPr="00C035BE">
              <w:rPr>
                <w:sz w:val="22"/>
                <w:szCs w:val="22"/>
              </w:rPr>
              <w:t>AES Raceway </w:t>
            </w:r>
          </w:p>
        </w:tc>
        <w:tc>
          <w:tcPr>
            <w:tcW w:w="135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57AB4C9A"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61A69E17"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500BB2A5" w14:textId="77777777">
            <w:pPr>
              <w:ind w:left="90" w:right="60"/>
              <w:jc w:val="center"/>
              <w:textAlignment w:val="baseline"/>
              <w:rPr>
                <w:sz w:val="22"/>
                <w:szCs w:val="22"/>
              </w:rPr>
            </w:pPr>
            <w:r w:rsidRPr="00C035BE">
              <w:rPr>
                <w:sz w:val="22"/>
                <w:szCs w:val="22"/>
              </w:rPr>
              <w:t>6/1/2024-5/31/2037</w:t>
            </w:r>
          </w:p>
        </w:tc>
        <w:tc>
          <w:tcPr>
            <w:tcW w:w="135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6BD1390F" w14:textId="77777777">
            <w:pPr>
              <w:ind w:right="90"/>
              <w:jc w:val="center"/>
              <w:textAlignment w:val="baseline"/>
              <w:rPr>
                <w:sz w:val="22"/>
                <w:szCs w:val="22"/>
              </w:rPr>
            </w:pPr>
            <w:r w:rsidRPr="00C035BE">
              <w:rPr>
                <w:sz w:val="22"/>
                <w:szCs w:val="22"/>
              </w:rPr>
              <w:t>80 MW </w:t>
            </w:r>
          </w:p>
        </w:tc>
        <w:tc>
          <w:tcPr>
            <w:tcW w:w="153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5486DB7A" w14:textId="77777777">
            <w:pPr>
              <w:ind w:right="90"/>
              <w:jc w:val="center"/>
              <w:textAlignment w:val="baseline"/>
              <w:rPr>
                <w:sz w:val="22"/>
                <w:szCs w:val="22"/>
              </w:rPr>
            </w:pPr>
            <w:r w:rsidRPr="00C035BE">
              <w:rPr>
                <w:sz w:val="22"/>
                <w:szCs w:val="22"/>
              </w:rPr>
              <w:t>73 MW </w:t>
            </w:r>
          </w:p>
        </w:tc>
      </w:tr>
      <w:tr w:rsidRPr="00C035BE" w:rsidR="00627E5B" w:rsidTr="00CF4FFE" w14:paraId="6BB90CE9"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659AD39A"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7FB4A09F" w14:textId="77777777">
            <w:pPr>
              <w:rPr>
                <w:sz w:val="22"/>
                <w:szCs w:val="22"/>
              </w:rPr>
            </w:pPr>
          </w:p>
        </w:tc>
        <w:tc>
          <w:tcPr>
            <w:tcW w:w="108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4F82E042" w14:textId="77777777">
            <w:pPr>
              <w:jc w:val="center"/>
              <w:textAlignment w:val="baseline"/>
              <w:rPr>
                <w:sz w:val="22"/>
                <w:szCs w:val="22"/>
              </w:rPr>
            </w:pPr>
            <w:r w:rsidRPr="00C035BE">
              <w:rPr>
                <w:sz w:val="22"/>
                <w:szCs w:val="22"/>
              </w:rPr>
              <w:t>Calpine Nova IV </w:t>
            </w:r>
          </w:p>
        </w:tc>
        <w:tc>
          <w:tcPr>
            <w:tcW w:w="135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6AE21E6A" w14:textId="77777777">
            <w:pPr>
              <w:jc w:val="center"/>
              <w:textAlignment w:val="baseline"/>
              <w:rPr>
                <w:sz w:val="22"/>
                <w:szCs w:val="22"/>
              </w:rPr>
            </w:pPr>
            <w:r w:rsidRPr="00C035BE">
              <w:rPr>
                <w:sz w:val="22"/>
                <w:szCs w:val="22"/>
              </w:rPr>
              <w:t>Energy Storage </w:t>
            </w:r>
          </w:p>
        </w:tc>
        <w:tc>
          <w:tcPr>
            <w:tcW w:w="108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7FB5AB8F" w14:textId="77777777">
            <w:pPr>
              <w:jc w:val="center"/>
              <w:textAlignment w:val="baseline"/>
              <w:rPr>
                <w:sz w:val="22"/>
                <w:szCs w:val="22"/>
              </w:rPr>
            </w:pPr>
            <w:r w:rsidRPr="00C035BE">
              <w:rPr>
                <w:sz w:val="22"/>
                <w:szCs w:val="22"/>
              </w:rPr>
              <w:t>RA w/Put </w:t>
            </w:r>
          </w:p>
        </w:tc>
        <w:tc>
          <w:tcPr>
            <w:tcW w:w="117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7783923E" w14:textId="77777777">
            <w:pPr>
              <w:ind w:left="90" w:right="60"/>
              <w:jc w:val="center"/>
              <w:textAlignment w:val="baseline"/>
              <w:rPr>
                <w:sz w:val="22"/>
                <w:szCs w:val="22"/>
              </w:rPr>
            </w:pPr>
            <w:r w:rsidRPr="00C035BE">
              <w:rPr>
                <w:sz w:val="22"/>
                <w:szCs w:val="22"/>
              </w:rPr>
              <w:t>9/1/2024-8/31/2039</w:t>
            </w:r>
          </w:p>
        </w:tc>
        <w:tc>
          <w:tcPr>
            <w:tcW w:w="135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0D8E5A20" w14:textId="77777777">
            <w:pPr>
              <w:ind w:right="90"/>
              <w:jc w:val="center"/>
              <w:textAlignment w:val="baseline"/>
              <w:rPr>
                <w:sz w:val="22"/>
                <w:szCs w:val="22"/>
              </w:rPr>
            </w:pPr>
            <w:r w:rsidRPr="00C035BE">
              <w:rPr>
                <w:sz w:val="22"/>
                <w:szCs w:val="22"/>
              </w:rPr>
              <w:t>110 MW </w:t>
            </w:r>
          </w:p>
        </w:tc>
        <w:tc>
          <w:tcPr>
            <w:tcW w:w="153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29242C02" w14:textId="77777777">
            <w:pPr>
              <w:ind w:right="90"/>
              <w:jc w:val="center"/>
              <w:textAlignment w:val="baseline"/>
              <w:rPr>
                <w:sz w:val="22"/>
                <w:szCs w:val="22"/>
              </w:rPr>
            </w:pPr>
            <w:r w:rsidRPr="00C035BE">
              <w:rPr>
                <w:sz w:val="22"/>
                <w:szCs w:val="22"/>
              </w:rPr>
              <w:t>100 MW </w:t>
            </w:r>
          </w:p>
        </w:tc>
      </w:tr>
      <w:tr w:rsidRPr="00C035BE" w:rsidR="00627E5B" w:rsidTr="00CF4FFE" w14:paraId="35F32502"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35312BB9"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3A673365" w14:textId="77777777">
            <w:pPr>
              <w:rPr>
                <w:sz w:val="22"/>
                <w:szCs w:val="22"/>
              </w:rPr>
            </w:pPr>
          </w:p>
        </w:tc>
        <w:tc>
          <w:tcPr>
            <w:tcW w:w="108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242B85B5" w14:textId="77777777">
            <w:pPr>
              <w:jc w:val="center"/>
              <w:textAlignment w:val="baseline"/>
              <w:rPr>
                <w:sz w:val="22"/>
                <w:szCs w:val="22"/>
              </w:rPr>
            </w:pPr>
            <w:r w:rsidRPr="00C035BE">
              <w:rPr>
                <w:sz w:val="22"/>
                <w:szCs w:val="22"/>
              </w:rPr>
              <w:t>TerraGen Sanborn </w:t>
            </w:r>
          </w:p>
        </w:tc>
        <w:tc>
          <w:tcPr>
            <w:tcW w:w="135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34B52654"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248C397C"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32862323" w14:textId="77777777">
            <w:pPr>
              <w:ind w:left="90" w:right="60"/>
              <w:jc w:val="center"/>
              <w:textAlignment w:val="baseline"/>
              <w:rPr>
                <w:sz w:val="22"/>
                <w:szCs w:val="22"/>
              </w:rPr>
            </w:pPr>
            <w:r w:rsidRPr="00C035BE">
              <w:rPr>
                <w:sz w:val="22"/>
                <w:szCs w:val="22"/>
              </w:rPr>
              <w:t>8/1/2023-7/31/2038</w:t>
            </w:r>
          </w:p>
        </w:tc>
        <w:tc>
          <w:tcPr>
            <w:tcW w:w="135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5EFECE6E" w14:textId="77777777">
            <w:pPr>
              <w:ind w:right="90"/>
              <w:jc w:val="center"/>
              <w:textAlignment w:val="baseline"/>
              <w:rPr>
                <w:sz w:val="22"/>
                <w:szCs w:val="22"/>
              </w:rPr>
            </w:pPr>
            <w:r w:rsidRPr="00C035BE">
              <w:rPr>
                <w:sz w:val="22"/>
                <w:szCs w:val="22"/>
              </w:rPr>
              <w:t> 85 MW </w:t>
            </w:r>
          </w:p>
        </w:tc>
        <w:tc>
          <w:tcPr>
            <w:tcW w:w="153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70422E32" w14:textId="77777777">
            <w:pPr>
              <w:ind w:right="90"/>
              <w:jc w:val="center"/>
              <w:textAlignment w:val="baseline"/>
              <w:rPr>
                <w:sz w:val="22"/>
                <w:szCs w:val="22"/>
              </w:rPr>
            </w:pPr>
            <w:r w:rsidRPr="00C035BE">
              <w:rPr>
                <w:sz w:val="22"/>
                <w:szCs w:val="22"/>
              </w:rPr>
              <w:t>82 MW </w:t>
            </w:r>
          </w:p>
        </w:tc>
      </w:tr>
      <w:tr w:rsidRPr="00C035BE" w:rsidR="00627E5B" w:rsidTr="00CF4FFE" w14:paraId="37C498A5" w14:textId="77777777">
        <w:trPr>
          <w:trHeight w:val="360"/>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4BDF867B" w14:textId="77777777">
            <w:pPr>
              <w:jc w:val="center"/>
              <w:textAlignment w:val="baseline"/>
              <w:rPr>
                <w:sz w:val="22"/>
                <w:szCs w:val="22"/>
              </w:rPr>
            </w:pPr>
            <w:r w:rsidRPr="00C035BE">
              <w:rPr>
                <w:sz w:val="22"/>
                <w:szCs w:val="22"/>
              </w:rPr>
              <w:t>AL 5127-E, Resolution E-5307 </w:t>
            </w:r>
          </w:p>
        </w:tc>
        <w:tc>
          <w:tcPr>
            <w:tcW w:w="1178" w:type="dxa"/>
            <w:vMerge w:val="restart"/>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593704D5" w14:textId="77777777">
            <w:pPr>
              <w:ind w:right="90"/>
              <w:jc w:val="center"/>
              <w:textAlignment w:val="baseline"/>
              <w:rPr>
                <w:sz w:val="22"/>
                <w:szCs w:val="22"/>
              </w:rPr>
            </w:pPr>
            <w:r w:rsidRPr="00C035BE">
              <w:rPr>
                <w:sz w:val="22"/>
                <w:szCs w:val="22"/>
              </w:rPr>
              <w:t>February 15, 2024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EC14BA7" w14:textId="77777777">
            <w:pPr>
              <w:jc w:val="center"/>
              <w:textAlignment w:val="baseline"/>
              <w:rPr>
                <w:sz w:val="22"/>
                <w:szCs w:val="22"/>
              </w:rPr>
            </w:pPr>
            <w:r w:rsidRPr="00C035BE">
              <w:rPr>
                <w:sz w:val="22"/>
                <w:szCs w:val="22"/>
              </w:rPr>
              <w:t>AES Alamitos 2 Amendment</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8800B34"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33A92F1"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9242B93" w14:textId="77777777">
            <w:pPr>
              <w:ind w:left="90" w:right="60"/>
              <w:jc w:val="center"/>
              <w:textAlignment w:val="baseline"/>
              <w:rPr>
                <w:sz w:val="22"/>
                <w:szCs w:val="22"/>
              </w:rPr>
            </w:pPr>
            <w:r w:rsidRPr="00C035BE">
              <w:rPr>
                <w:sz w:val="22"/>
                <w:szCs w:val="22"/>
              </w:rPr>
              <w:t>6/1/2024-5/31/2044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BA88256" w14:textId="77777777">
            <w:pPr>
              <w:ind w:right="90"/>
              <w:jc w:val="center"/>
              <w:textAlignment w:val="baseline"/>
              <w:rPr>
                <w:sz w:val="22"/>
                <w:szCs w:val="22"/>
              </w:rPr>
            </w:pPr>
            <w:r w:rsidRPr="00C035BE">
              <w:rPr>
                <w:sz w:val="22"/>
                <w:szCs w:val="22"/>
              </w:rPr>
              <w:t>82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A9D1893" w14:textId="77777777">
            <w:pPr>
              <w:ind w:right="90"/>
              <w:jc w:val="center"/>
              <w:textAlignment w:val="baseline"/>
              <w:rPr>
                <w:sz w:val="22"/>
                <w:szCs w:val="22"/>
              </w:rPr>
            </w:pPr>
            <w:r w:rsidRPr="00C035BE">
              <w:rPr>
                <w:sz w:val="22"/>
                <w:szCs w:val="22"/>
              </w:rPr>
              <w:t>78.97 MW </w:t>
            </w:r>
          </w:p>
        </w:tc>
      </w:tr>
      <w:tr w:rsidRPr="00C035BE" w:rsidR="00627E5B" w:rsidTr="00CF4FFE" w14:paraId="31A0654A" w14:textId="77777777">
        <w:trPr>
          <w:trHeight w:val="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0C20B23C"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5D62556D" w14:textId="77777777">
            <w:pPr>
              <w:rPr>
                <w:sz w:val="22"/>
                <w:szCs w:val="22"/>
              </w:rPr>
            </w:pPr>
          </w:p>
        </w:tc>
        <w:tc>
          <w:tcPr>
            <w:tcW w:w="1080" w:type="dxa"/>
            <w:tcBorders>
              <w:top w:val="single" w:color="auto" w:sz="6" w:space="0"/>
              <w:left w:val="single" w:color="auto" w:sz="6" w:space="0"/>
              <w:bottom w:val="single" w:color="auto" w:sz="6" w:space="0"/>
              <w:right w:val="single" w:color="000000" w:themeColor="text1" w:sz="6" w:space="0"/>
            </w:tcBorders>
            <w:shd w:val="clear" w:color="auto" w:fill="auto"/>
            <w:hideMark/>
          </w:tcPr>
          <w:p w:rsidRPr="00C035BE" w:rsidR="00627E5B" w:rsidP="000E1E55" w:rsidRDefault="00627E5B" w14:paraId="20742831" w14:textId="77777777">
            <w:pPr>
              <w:jc w:val="center"/>
              <w:textAlignment w:val="baseline"/>
              <w:rPr>
                <w:sz w:val="22"/>
                <w:szCs w:val="22"/>
              </w:rPr>
            </w:pPr>
            <w:r w:rsidRPr="00C035BE">
              <w:rPr>
                <w:sz w:val="22"/>
                <w:szCs w:val="22"/>
              </w:rPr>
              <w:t>RWE Ventasso Contract </w:t>
            </w:r>
          </w:p>
        </w:tc>
        <w:tc>
          <w:tcPr>
            <w:tcW w:w="135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2336A15D"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01D94428"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07185E12" w14:textId="77777777">
            <w:pPr>
              <w:ind w:left="90" w:right="60"/>
              <w:jc w:val="center"/>
              <w:textAlignment w:val="baseline"/>
              <w:rPr>
                <w:sz w:val="22"/>
                <w:szCs w:val="22"/>
              </w:rPr>
            </w:pPr>
            <w:r w:rsidRPr="00C035BE">
              <w:rPr>
                <w:sz w:val="22"/>
                <w:szCs w:val="22"/>
              </w:rPr>
              <w:t>6/1/2024-5/31/2039</w:t>
            </w:r>
          </w:p>
        </w:tc>
        <w:tc>
          <w:tcPr>
            <w:tcW w:w="135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4CDD7A1C" w14:textId="77777777">
            <w:pPr>
              <w:ind w:right="90"/>
              <w:jc w:val="center"/>
              <w:textAlignment w:val="baseline"/>
              <w:rPr>
                <w:sz w:val="22"/>
                <w:szCs w:val="22"/>
              </w:rPr>
            </w:pPr>
            <w:r w:rsidRPr="00C035BE">
              <w:rPr>
                <w:sz w:val="22"/>
                <w:szCs w:val="22"/>
              </w:rPr>
              <w:t>50 MW </w:t>
            </w:r>
          </w:p>
        </w:tc>
        <w:tc>
          <w:tcPr>
            <w:tcW w:w="1530" w:type="dxa"/>
            <w:tcBorders>
              <w:top w:val="single" w:color="auto" w:sz="6" w:space="0"/>
              <w:left w:val="single" w:color="000000" w:themeColor="text1" w:sz="6" w:space="0"/>
              <w:bottom w:val="single" w:color="auto" w:sz="6" w:space="0"/>
              <w:right w:val="single" w:color="000000" w:themeColor="text1" w:sz="6" w:space="0"/>
            </w:tcBorders>
            <w:shd w:val="clear" w:color="auto" w:fill="auto"/>
            <w:hideMark/>
          </w:tcPr>
          <w:p w:rsidRPr="00C035BE" w:rsidR="00627E5B" w:rsidP="000E1E55" w:rsidRDefault="00627E5B" w14:paraId="67A25D06" w14:textId="77777777">
            <w:pPr>
              <w:ind w:right="90"/>
              <w:jc w:val="center"/>
              <w:textAlignment w:val="baseline"/>
              <w:rPr>
                <w:sz w:val="22"/>
                <w:szCs w:val="22"/>
              </w:rPr>
            </w:pPr>
            <w:r w:rsidRPr="00C035BE">
              <w:rPr>
                <w:sz w:val="22"/>
                <w:szCs w:val="22"/>
              </w:rPr>
              <w:t>45 MW </w:t>
            </w:r>
          </w:p>
          <w:p w:rsidRPr="00C035BE" w:rsidR="00627E5B" w:rsidP="000E1E55" w:rsidRDefault="00627E5B" w14:paraId="5AD7B06E" w14:textId="77777777">
            <w:pPr>
              <w:ind w:right="90"/>
              <w:jc w:val="center"/>
              <w:textAlignment w:val="baseline"/>
              <w:rPr>
                <w:sz w:val="22"/>
                <w:szCs w:val="22"/>
              </w:rPr>
            </w:pPr>
            <w:r w:rsidRPr="00C035BE">
              <w:rPr>
                <w:sz w:val="22"/>
                <w:szCs w:val="22"/>
              </w:rPr>
              <w:t> </w:t>
            </w:r>
          </w:p>
          <w:p w:rsidRPr="00C035BE" w:rsidR="00627E5B" w:rsidP="000E1E55" w:rsidRDefault="00627E5B" w14:paraId="1F985277" w14:textId="77777777">
            <w:pPr>
              <w:ind w:right="90"/>
              <w:textAlignment w:val="baseline"/>
              <w:rPr>
                <w:sz w:val="22"/>
                <w:szCs w:val="22"/>
              </w:rPr>
            </w:pPr>
          </w:p>
        </w:tc>
      </w:tr>
      <w:tr w:rsidRPr="00C035BE" w:rsidR="00627E5B" w:rsidTr="00CF4FFE" w14:paraId="350C051D" w14:textId="77777777">
        <w:trPr>
          <w:trHeight w:val="360"/>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715A9B5A" w14:textId="77777777">
            <w:pPr>
              <w:jc w:val="center"/>
              <w:textAlignment w:val="baseline"/>
              <w:rPr>
                <w:sz w:val="22"/>
                <w:szCs w:val="22"/>
              </w:rPr>
            </w:pPr>
            <w:r w:rsidRPr="00C035BE">
              <w:rPr>
                <w:sz w:val="22"/>
                <w:szCs w:val="22"/>
              </w:rPr>
              <w:t>AL 5155-E, Resolution E-5309 </w:t>
            </w:r>
          </w:p>
        </w:tc>
        <w:tc>
          <w:tcPr>
            <w:tcW w:w="1178" w:type="dxa"/>
            <w:vMerge w:val="restart"/>
            <w:tcBorders>
              <w:top w:val="single" w:color="auto" w:sz="6" w:space="0"/>
              <w:left w:val="single" w:color="auto" w:sz="4" w:space="0"/>
              <w:bottom w:val="single" w:color="auto" w:sz="6" w:space="0"/>
              <w:right w:val="single" w:color="auto" w:sz="6" w:space="0"/>
            </w:tcBorders>
            <w:shd w:val="clear" w:color="auto" w:fill="auto"/>
            <w:hideMark/>
          </w:tcPr>
          <w:p w:rsidRPr="00C035BE" w:rsidR="00627E5B" w:rsidP="000E1E55" w:rsidRDefault="00627E5B" w14:paraId="3C06B2DF" w14:textId="77777777">
            <w:pPr>
              <w:ind w:right="90"/>
              <w:jc w:val="center"/>
              <w:textAlignment w:val="baseline"/>
              <w:rPr>
                <w:sz w:val="22"/>
                <w:szCs w:val="22"/>
              </w:rPr>
            </w:pPr>
            <w:r w:rsidRPr="00C035BE">
              <w:rPr>
                <w:sz w:val="22"/>
                <w:szCs w:val="22"/>
              </w:rPr>
              <w:t>March 21, 2024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808F37F" w14:textId="77777777">
            <w:pPr>
              <w:jc w:val="center"/>
              <w:textAlignment w:val="baseline"/>
              <w:rPr>
                <w:sz w:val="22"/>
                <w:szCs w:val="22"/>
              </w:rPr>
            </w:pPr>
            <w:r w:rsidRPr="00C035BE">
              <w:rPr>
                <w:sz w:val="22"/>
                <w:szCs w:val="22"/>
              </w:rPr>
              <w:t>AES McFarland Storage C</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A722ADA"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8E2AD42" w14:textId="77777777">
            <w:pPr>
              <w:jc w:val="center"/>
              <w:textAlignment w:val="baseline"/>
              <w:rPr>
                <w:sz w:val="22"/>
                <w:szCs w:val="22"/>
              </w:rPr>
            </w:pPr>
            <w:r w:rsidRPr="00C035BE">
              <w:rPr>
                <w:sz w:val="22"/>
                <w:szCs w:val="22"/>
              </w:rPr>
              <w:t>RA w/ </w:t>
            </w:r>
            <w:r w:rsidRPr="00C035BE">
              <w:rPr>
                <w:sz w:val="22"/>
                <w:szCs w:val="22"/>
              </w:rPr>
              <w:br/>
              <w:t>Financial Settlement</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B1DA26E" w14:textId="77777777">
            <w:pPr>
              <w:ind w:left="90" w:right="90"/>
              <w:jc w:val="center"/>
              <w:textAlignment w:val="baseline"/>
              <w:rPr>
                <w:sz w:val="22"/>
                <w:szCs w:val="22"/>
              </w:rPr>
            </w:pPr>
            <w:r w:rsidRPr="00C035BE">
              <w:rPr>
                <w:sz w:val="22"/>
                <w:szCs w:val="22"/>
              </w:rPr>
              <w:t>6/1/2025-5/31/2045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AED2D8D" w14:textId="77777777">
            <w:pPr>
              <w:ind w:right="90"/>
              <w:jc w:val="center"/>
              <w:textAlignment w:val="baseline"/>
              <w:rPr>
                <w:sz w:val="22"/>
                <w:szCs w:val="22"/>
              </w:rPr>
            </w:pPr>
            <w:r w:rsidRPr="00C035BE">
              <w:rPr>
                <w:sz w:val="22"/>
                <w:szCs w:val="22"/>
              </w:rPr>
              <w:t>185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7F96105" w14:textId="77777777">
            <w:pPr>
              <w:ind w:right="90"/>
              <w:jc w:val="center"/>
              <w:textAlignment w:val="baseline"/>
              <w:rPr>
                <w:sz w:val="22"/>
                <w:szCs w:val="22"/>
              </w:rPr>
            </w:pPr>
            <w:r w:rsidRPr="00C035BE">
              <w:rPr>
                <w:sz w:val="22"/>
                <w:szCs w:val="22"/>
              </w:rPr>
              <w:t>139 MW </w:t>
            </w:r>
          </w:p>
        </w:tc>
      </w:tr>
      <w:tr w:rsidRPr="00C035BE" w:rsidR="00627E5B" w:rsidTr="00CF4FFE" w14:paraId="2C420143"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292CEC99"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3B7D72DD"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6AC547C" w14:textId="77777777">
            <w:pPr>
              <w:jc w:val="center"/>
              <w:textAlignment w:val="baseline"/>
              <w:rPr>
                <w:sz w:val="22"/>
                <w:szCs w:val="22"/>
              </w:rPr>
            </w:pPr>
            <w:r w:rsidRPr="00C035BE">
              <w:rPr>
                <w:sz w:val="22"/>
                <w:szCs w:val="22"/>
              </w:rPr>
              <w:t>ASHUSA Mordor ES1</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C320ED6"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76FEFE7" w14:textId="77777777">
            <w:pPr>
              <w:jc w:val="center"/>
              <w:textAlignment w:val="baseline"/>
              <w:rPr>
                <w:sz w:val="22"/>
                <w:szCs w:val="22"/>
              </w:rPr>
            </w:pPr>
            <w:r w:rsidRPr="00C035BE">
              <w:rPr>
                <w:sz w:val="22"/>
                <w:szCs w:val="22"/>
              </w:rPr>
              <w:t>RA w/ </w:t>
            </w:r>
            <w:r w:rsidRPr="00C035BE">
              <w:rPr>
                <w:sz w:val="22"/>
                <w:szCs w:val="22"/>
              </w:rPr>
              <w:br/>
              <w:t>Financial Settlement</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C532152" w14:textId="77777777">
            <w:pPr>
              <w:ind w:left="90" w:right="90"/>
              <w:jc w:val="center"/>
              <w:textAlignment w:val="baseline"/>
              <w:rPr>
                <w:sz w:val="22"/>
                <w:szCs w:val="22"/>
              </w:rPr>
            </w:pPr>
            <w:r w:rsidRPr="00C035BE">
              <w:rPr>
                <w:sz w:val="22"/>
                <w:szCs w:val="22"/>
              </w:rPr>
              <w:t>4/1/2025-3/31/2040</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C322DAA" w14:textId="77777777">
            <w:pPr>
              <w:ind w:right="90"/>
              <w:jc w:val="center"/>
              <w:textAlignment w:val="baseline"/>
              <w:rPr>
                <w:sz w:val="22"/>
                <w:szCs w:val="22"/>
              </w:rPr>
            </w:pPr>
            <w:r w:rsidRPr="00C035BE">
              <w:rPr>
                <w:sz w:val="22"/>
                <w:szCs w:val="22"/>
              </w:rPr>
              <w:t>25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C0EBBA9" w14:textId="77777777">
            <w:pPr>
              <w:ind w:right="90"/>
              <w:jc w:val="center"/>
              <w:textAlignment w:val="baseline"/>
              <w:rPr>
                <w:sz w:val="22"/>
                <w:szCs w:val="22"/>
              </w:rPr>
            </w:pPr>
            <w:r w:rsidRPr="00C035BE">
              <w:rPr>
                <w:sz w:val="22"/>
                <w:szCs w:val="22"/>
              </w:rPr>
              <w:t>19 MW </w:t>
            </w:r>
          </w:p>
        </w:tc>
      </w:tr>
      <w:tr w:rsidRPr="00C035BE" w:rsidR="00627E5B" w:rsidTr="00CF4FFE" w14:paraId="3547C6C3" w14:textId="77777777">
        <w:trPr>
          <w:trHeight w:val="534"/>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7B372A06"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0E541B59"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BA9DFDA" w14:textId="77777777">
            <w:pPr>
              <w:jc w:val="center"/>
              <w:textAlignment w:val="baseline"/>
              <w:rPr>
                <w:sz w:val="22"/>
                <w:szCs w:val="22"/>
              </w:rPr>
            </w:pPr>
            <w:r w:rsidRPr="00C035BE">
              <w:rPr>
                <w:sz w:val="22"/>
                <w:szCs w:val="22"/>
              </w:rPr>
              <w:t>ASHUSA Mordor ES2</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4EFD82B7"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6E8C7C1F" w14:textId="77777777">
            <w:pPr>
              <w:jc w:val="center"/>
              <w:textAlignment w:val="baseline"/>
              <w:rPr>
                <w:sz w:val="22"/>
                <w:szCs w:val="22"/>
              </w:rPr>
            </w:pPr>
            <w:r w:rsidRPr="00C035BE">
              <w:rPr>
                <w:sz w:val="22"/>
                <w:szCs w:val="22"/>
              </w:rPr>
              <w:t>RA w/ </w:t>
            </w:r>
            <w:r w:rsidRPr="00C035BE">
              <w:rPr>
                <w:sz w:val="22"/>
                <w:szCs w:val="22"/>
              </w:rPr>
              <w:br/>
              <w:t>Financial Settlement</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E82A2B5" w14:textId="77777777">
            <w:pPr>
              <w:ind w:left="90" w:right="90"/>
              <w:jc w:val="center"/>
              <w:textAlignment w:val="baseline"/>
              <w:rPr>
                <w:sz w:val="22"/>
                <w:szCs w:val="22"/>
              </w:rPr>
            </w:pPr>
            <w:r w:rsidRPr="00C035BE">
              <w:rPr>
                <w:sz w:val="22"/>
                <w:szCs w:val="22"/>
              </w:rPr>
              <w:t>4/1/2025-3/31/2040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4A8AD88" w14:textId="77777777">
            <w:pPr>
              <w:ind w:right="90"/>
              <w:jc w:val="center"/>
              <w:textAlignment w:val="baseline"/>
              <w:rPr>
                <w:sz w:val="22"/>
                <w:szCs w:val="22"/>
              </w:rPr>
            </w:pPr>
            <w:r w:rsidRPr="00C035BE">
              <w:rPr>
                <w:sz w:val="22"/>
                <w:szCs w:val="22"/>
              </w:rPr>
              <w:t>20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6160197" w14:textId="77777777">
            <w:pPr>
              <w:ind w:right="90"/>
              <w:jc w:val="center"/>
              <w:textAlignment w:val="baseline"/>
              <w:rPr>
                <w:sz w:val="22"/>
                <w:szCs w:val="22"/>
              </w:rPr>
            </w:pPr>
            <w:r w:rsidRPr="00C035BE">
              <w:rPr>
                <w:sz w:val="22"/>
                <w:szCs w:val="22"/>
              </w:rPr>
              <w:t>15 MW </w:t>
            </w:r>
          </w:p>
        </w:tc>
      </w:tr>
      <w:tr w:rsidRPr="00C035BE" w:rsidR="00627E5B" w:rsidTr="00CF4FFE" w14:paraId="5E6592F6"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1DA0F691"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431FD658"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76EB441" w14:textId="77777777">
            <w:pPr>
              <w:jc w:val="center"/>
              <w:textAlignment w:val="baseline"/>
              <w:rPr>
                <w:sz w:val="22"/>
                <w:szCs w:val="22"/>
              </w:rPr>
            </w:pPr>
            <w:r w:rsidRPr="00C035BE">
              <w:rPr>
                <w:sz w:val="22"/>
                <w:szCs w:val="22"/>
              </w:rPr>
              <w:t>TransGrid Atlas VII</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D05E3A0"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5FA4BF0"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E4015B8" w14:textId="77777777">
            <w:pPr>
              <w:ind w:right="90"/>
              <w:jc w:val="center"/>
              <w:textAlignment w:val="baseline"/>
              <w:rPr>
                <w:sz w:val="22"/>
                <w:szCs w:val="22"/>
              </w:rPr>
            </w:pPr>
            <w:r w:rsidRPr="00C035BE">
              <w:rPr>
                <w:sz w:val="22"/>
                <w:szCs w:val="22"/>
              </w:rPr>
              <w:t>6/1/2025-5/31/2040</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B8E2462" w14:textId="77777777">
            <w:pPr>
              <w:ind w:right="90"/>
              <w:jc w:val="center"/>
              <w:textAlignment w:val="baseline"/>
              <w:rPr>
                <w:sz w:val="22"/>
                <w:szCs w:val="22"/>
              </w:rPr>
            </w:pPr>
            <w:r w:rsidRPr="00C035BE">
              <w:rPr>
                <w:sz w:val="22"/>
                <w:szCs w:val="22"/>
              </w:rPr>
              <w:t>300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716BD37" w14:textId="77777777">
            <w:pPr>
              <w:ind w:right="90"/>
              <w:jc w:val="center"/>
              <w:textAlignment w:val="baseline"/>
              <w:rPr>
                <w:sz w:val="22"/>
                <w:szCs w:val="22"/>
              </w:rPr>
            </w:pPr>
            <w:r w:rsidRPr="00C035BE">
              <w:rPr>
                <w:sz w:val="22"/>
                <w:szCs w:val="22"/>
              </w:rPr>
              <w:t>225 MW </w:t>
            </w:r>
          </w:p>
        </w:tc>
      </w:tr>
      <w:tr w:rsidRPr="00C035BE" w:rsidR="00627E5B" w:rsidTr="00CF4FFE" w14:paraId="1DBC68A0" w14:textId="77777777">
        <w:trPr>
          <w:trHeight w:val="174"/>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79C3D91B"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696CD6AB"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F7453B0" w14:textId="77777777">
            <w:pPr>
              <w:jc w:val="center"/>
              <w:textAlignment w:val="baseline"/>
              <w:rPr>
                <w:sz w:val="22"/>
                <w:szCs w:val="22"/>
              </w:rPr>
            </w:pPr>
            <w:r w:rsidRPr="00C035BE">
              <w:rPr>
                <w:sz w:val="22"/>
                <w:szCs w:val="22"/>
              </w:rPr>
              <w:t>TransGrid Atlas VIII</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7CBB3A2F"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35B42692"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B386E81" w14:textId="77777777">
            <w:pPr>
              <w:ind w:right="90"/>
              <w:jc w:val="center"/>
              <w:textAlignment w:val="baseline"/>
              <w:rPr>
                <w:sz w:val="22"/>
                <w:szCs w:val="22"/>
              </w:rPr>
            </w:pPr>
            <w:r w:rsidRPr="00C035BE">
              <w:rPr>
                <w:sz w:val="22"/>
                <w:szCs w:val="22"/>
              </w:rPr>
              <w:t>6/1/2026-5/31/2046</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EF41EEF" w14:textId="77777777">
            <w:pPr>
              <w:ind w:right="90"/>
              <w:jc w:val="center"/>
              <w:textAlignment w:val="baseline"/>
              <w:rPr>
                <w:sz w:val="22"/>
                <w:szCs w:val="22"/>
              </w:rPr>
            </w:pPr>
            <w:r w:rsidRPr="00C035BE">
              <w:rPr>
                <w:sz w:val="22"/>
                <w:szCs w:val="22"/>
              </w:rPr>
              <w:t>382.4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16538906" w14:textId="77777777">
            <w:pPr>
              <w:ind w:right="90"/>
              <w:jc w:val="center"/>
              <w:textAlignment w:val="baseline"/>
              <w:rPr>
                <w:sz w:val="22"/>
                <w:szCs w:val="22"/>
              </w:rPr>
            </w:pPr>
            <w:r w:rsidRPr="00C035BE">
              <w:rPr>
                <w:sz w:val="22"/>
                <w:szCs w:val="22"/>
              </w:rPr>
              <w:t>293 MW </w:t>
            </w:r>
          </w:p>
        </w:tc>
      </w:tr>
      <w:tr w:rsidRPr="00C035BE" w:rsidR="00627E5B" w:rsidTr="00CF4FFE" w14:paraId="6C1BCAD7" w14:textId="77777777">
        <w:trPr>
          <w:trHeight w:val="309"/>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60067380"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7289EA3C"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FEBFFDA" w14:textId="77777777">
            <w:pPr>
              <w:jc w:val="center"/>
              <w:textAlignment w:val="baseline"/>
              <w:rPr>
                <w:sz w:val="22"/>
                <w:szCs w:val="22"/>
              </w:rPr>
            </w:pPr>
            <w:r w:rsidRPr="00C035BE">
              <w:rPr>
                <w:sz w:val="22"/>
                <w:szCs w:val="22"/>
              </w:rPr>
              <w:t>TransGrid Atlas IX</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BC31202"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559698F6"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D770517" w14:textId="77777777">
            <w:pPr>
              <w:ind w:right="90"/>
              <w:jc w:val="center"/>
              <w:textAlignment w:val="baseline"/>
              <w:rPr>
                <w:sz w:val="22"/>
                <w:szCs w:val="22"/>
              </w:rPr>
            </w:pPr>
            <w:r w:rsidRPr="00C035BE">
              <w:rPr>
                <w:sz w:val="22"/>
                <w:szCs w:val="22"/>
              </w:rPr>
              <w:t>6/1/2025-5/31/2040</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2A0AF02A" w14:textId="77777777">
            <w:pPr>
              <w:ind w:right="90"/>
              <w:jc w:val="center"/>
              <w:textAlignment w:val="baseline"/>
              <w:rPr>
                <w:sz w:val="22"/>
                <w:szCs w:val="22"/>
              </w:rPr>
            </w:pPr>
            <w:r w:rsidRPr="00C035BE">
              <w:rPr>
                <w:sz w:val="22"/>
                <w:szCs w:val="22"/>
              </w:rPr>
              <w:t>150 MW </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0AC4691" w14:textId="77777777">
            <w:pPr>
              <w:ind w:right="90"/>
              <w:jc w:val="center"/>
              <w:textAlignment w:val="baseline"/>
              <w:rPr>
                <w:sz w:val="22"/>
                <w:szCs w:val="22"/>
              </w:rPr>
            </w:pPr>
            <w:r w:rsidRPr="00C035BE">
              <w:rPr>
                <w:sz w:val="22"/>
                <w:szCs w:val="22"/>
              </w:rPr>
              <w:t>113 MW </w:t>
            </w:r>
          </w:p>
        </w:tc>
      </w:tr>
      <w:tr w:rsidRPr="00C035BE" w:rsidR="00627E5B" w:rsidTr="00CF4FFE" w14:paraId="20A329AB" w14:textId="77777777">
        <w:trPr>
          <w:trHeight w:val="360"/>
        </w:trPr>
        <w:tc>
          <w:tcPr>
            <w:tcW w:w="1522" w:type="dxa"/>
            <w:vMerge/>
            <w:tcBorders>
              <w:top w:val="single" w:color="auto" w:sz="4" w:space="0"/>
              <w:left w:val="single" w:color="auto" w:sz="4" w:space="0"/>
              <w:bottom w:val="single" w:color="auto" w:sz="4" w:space="0"/>
              <w:right w:val="single" w:color="auto" w:sz="4" w:space="0"/>
            </w:tcBorders>
            <w:vAlign w:val="center"/>
            <w:hideMark/>
          </w:tcPr>
          <w:p w:rsidRPr="00C035BE" w:rsidR="00627E5B" w:rsidP="000E1E55" w:rsidRDefault="00627E5B" w14:paraId="014193B8" w14:textId="77777777">
            <w:pPr>
              <w:rPr>
                <w:sz w:val="22"/>
                <w:szCs w:val="22"/>
              </w:rPr>
            </w:pPr>
          </w:p>
        </w:tc>
        <w:tc>
          <w:tcPr>
            <w:tcW w:w="1178" w:type="dxa"/>
            <w:vMerge/>
            <w:tcBorders>
              <w:left w:val="single" w:color="auto" w:sz="4" w:space="0"/>
            </w:tcBorders>
            <w:vAlign w:val="center"/>
            <w:hideMark/>
          </w:tcPr>
          <w:p w:rsidRPr="00C035BE" w:rsidR="00627E5B" w:rsidP="000E1E55" w:rsidRDefault="00627E5B" w14:paraId="4BCCB15D" w14:textId="77777777">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C035BE" w:rsidR="00627E5B" w:rsidP="000E1E55" w:rsidRDefault="00627E5B" w14:paraId="06BD2D7B" w14:textId="77777777">
            <w:pPr>
              <w:jc w:val="center"/>
              <w:textAlignment w:val="baseline"/>
              <w:rPr>
                <w:sz w:val="22"/>
                <w:szCs w:val="22"/>
              </w:rPr>
            </w:pPr>
            <w:r w:rsidRPr="00C035BE">
              <w:rPr>
                <w:sz w:val="22"/>
                <w:szCs w:val="22"/>
              </w:rPr>
              <w:t>AES Bellefield 1 </w:t>
            </w:r>
          </w:p>
        </w:tc>
        <w:tc>
          <w:tcPr>
            <w:tcW w:w="1350" w:type="dxa"/>
            <w:tcBorders>
              <w:top w:val="single" w:color="auto" w:sz="6" w:space="0"/>
              <w:left w:val="single" w:color="auto" w:sz="6" w:space="0"/>
              <w:bottom w:val="single" w:color="auto" w:sz="4" w:space="0"/>
              <w:right w:val="single" w:color="auto" w:sz="6" w:space="0"/>
            </w:tcBorders>
            <w:shd w:val="clear" w:color="auto" w:fill="auto"/>
            <w:hideMark/>
          </w:tcPr>
          <w:p w:rsidRPr="00C035BE" w:rsidR="00627E5B" w:rsidP="000E1E55" w:rsidRDefault="00627E5B" w14:paraId="22868DD2" w14:textId="77777777">
            <w:pPr>
              <w:jc w:val="center"/>
              <w:textAlignment w:val="baseline"/>
              <w:rPr>
                <w:sz w:val="22"/>
                <w:szCs w:val="22"/>
              </w:rPr>
            </w:pPr>
            <w:r w:rsidRPr="00C035BE">
              <w:rPr>
                <w:sz w:val="22"/>
                <w:szCs w:val="22"/>
              </w:rPr>
              <w:t>Energy Storage </w:t>
            </w:r>
          </w:p>
        </w:tc>
        <w:tc>
          <w:tcPr>
            <w:tcW w:w="1080" w:type="dxa"/>
            <w:tcBorders>
              <w:top w:val="single" w:color="auto" w:sz="6" w:space="0"/>
              <w:left w:val="single" w:color="auto" w:sz="6" w:space="0"/>
              <w:bottom w:val="single" w:color="auto" w:sz="4" w:space="0"/>
              <w:right w:val="single" w:color="auto" w:sz="6" w:space="0"/>
            </w:tcBorders>
            <w:shd w:val="clear" w:color="auto" w:fill="auto"/>
            <w:hideMark/>
          </w:tcPr>
          <w:p w:rsidRPr="00C035BE" w:rsidR="00627E5B" w:rsidP="000E1E55" w:rsidRDefault="00627E5B" w14:paraId="1EFB655E" w14:textId="77777777">
            <w:pPr>
              <w:jc w:val="center"/>
              <w:textAlignment w:val="baseline"/>
              <w:rPr>
                <w:sz w:val="22"/>
                <w:szCs w:val="22"/>
              </w:rPr>
            </w:pPr>
            <w:r w:rsidRPr="00C035BE">
              <w:rPr>
                <w:sz w:val="22"/>
                <w:szCs w:val="22"/>
              </w:rPr>
              <w:t>RA Only </w:t>
            </w:r>
          </w:p>
        </w:tc>
        <w:tc>
          <w:tcPr>
            <w:tcW w:w="1170" w:type="dxa"/>
            <w:tcBorders>
              <w:top w:val="single" w:color="auto" w:sz="6" w:space="0"/>
              <w:left w:val="single" w:color="auto" w:sz="6" w:space="0"/>
              <w:bottom w:val="single" w:color="auto" w:sz="4" w:space="0"/>
              <w:right w:val="single" w:color="auto" w:sz="6" w:space="0"/>
            </w:tcBorders>
            <w:shd w:val="clear" w:color="auto" w:fill="auto"/>
            <w:hideMark/>
          </w:tcPr>
          <w:p w:rsidRPr="00C035BE" w:rsidR="00627E5B" w:rsidP="000E1E55" w:rsidRDefault="00627E5B" w14:paraId="2D6C83D8" w14:textId="77777777">
            <w:pPr>
              <w:ind w:right="90"/>
              <w:jc w:val="center"/>
              <w:textAlignment w:val="baseline"/>
              <w:rPr>
                <w:sz w:val="22"/>
                <w:szCs w:val="22"/>
              </w:rPr>
            </w:pPr>
            <w:r w:rsidRPr="00C035BE">
              <w:rPr>
                <w:sz w:val="22"/>
                <w:szCs w:val="22"/>
              </w:rPr>
              <w:t>6/1/2026-5/31/204 </w:t>
            </w:r>
          </w:p>
        </w:tc>
        <w:tc>
          <w:tcPr>
            <w:tcW w:w="1350" w:type="dxa"/>
            <w:tcBorders>
              <w:top w:val="single" w:color="auto" w:sz="6" w:space="0"/>
              <w:left w:val="single" w:color="auto" w:sz="6" w:space="0"/>
              <w:bottom w:val="single" w:color="auto" w:sz="4" w:space="0"/>
              <w:right w:val="single" w:color="auto" w:sz="6" w:space="0"/>
            </w:tcBorders>
            <w:shd w:val="clear" w:color="auto" w:fill="auto"/>
            <w:hideMark/>
          </w:tcPr>
          <w:p w:rsidRPr="00C035BE" w:rsidR="00627E5B" w:rsidP="000E1E55" w:rsidRDefault="00627E5B" w14:paraId="370AADE4" w14:textId="77777777">
            <w:pPr>
              <w:ind w:right="90"/>
              <w:jc w:val="center"/>
              <w:textAlignment w:val="baseline"/>
              <w:rPr>
                <w:sz w:val="22"/>
                <w:szCs w:val="22"/>
              </w:rPr>
            </w:pPr>
            <w:r w:rsidRPr="00C035BE">
              <w:rPr>
                <w:sz w:val="22"/>
                <w:szCs w:val="22"/>
              </w:rPr>
              <w:t>500 MW </w:t>
            </w:r>
          </w:p>
        </w:tc>
        <w:tc>
          <w:tcPr>
            <w:tcW w:w="1530" w:type="dxa"/>
            <w:tcBorders>
              <w:top w:val="single" w:color="auto" w:sz="6" w:space="0"/>
              <w:left w:val="single" w:color="auto" w:sz="6" w:space="0"/>
              <w:bottom w:val="single" w:color="auto" w:sz="4" w:space="0"/>
              <w:right w:val="single" w:color="auto" w:sz="6" w:space="0"/>
            </w:tcBorders>
            <w:shd w:val="clear" w:color="auto" w:fill="auto"/>
            <w:hideMark/>
          </w:tcPr>
          <w:p w:rsidRPr="00C035BE" w:rsidR="00627E5B" w:rsidP="000E1E55" w:rsidRDefault="00627E5B" w14:paraId="2FBDD50D" w14:textId="77777777">
            <w:pPr>
              <w:ind w:right="90"/>
              <w:jc w:val="center"/>
              <w:textAlignment w:val="baseline"/>
              <w:rPr>
                <w:sz w:val="22"/>
                <w:szCs w:val="22"/>
              </w:rPr>
            </w:pPr>
            <w:r w:rsidRPr="00C035BE">
              <w:rPr>
                <w:sz w:val="22"/>
                <w:szCs w:val="22"/>
              </w:rPr>
              <w:t>383 MW </w:t>
            </w:r>
          </w:p>
        </w:tc>
      </w:tr>
      <w:tr w:rsidRPr="00C035BE" w:rsidR="00627E5B" w:rsidTr="00CF4FFE" w14:paraId="69638B57" w14:textId="77777777">
        <w:trPr>
          <w:trHeight w:val="186"/>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tcPr>
          <w:p w:rsidRPr="00CE2860" w:rsidR="00627E5B" w:rsidP="000E1E55" w:rsidRDefault="00627E5B" w14:paraId="2E8245B6" w14:textId="77777777">
            <w:pPr>
              <w:ind w:left="90"/>
              <w:jc w:val="center"/>
              <w:textAlignment w:val="baseline"/>
              <w:rPr>
                <w:sz w:val="22"/>
                <w:szCs w:val="22"/>
              </w:rPr>
            </w:pPr>
            <w:r w:rsidRPr="00CE2860">
              <w:rPr>
                <w:sz w:val="22"/>
                <w:szCs w:val="22"/>
              </w:rPr>
              <w:t>AL 5207-E, Resolution E-5313</w:t>
            </w:r>
          </w:p>
        </w:tc>
        <w:tc>
          <w:tcPr>
            <w:tcW w:w="1178" w:type="dxa"/>
            <w:vMerge w:val="restart"/>
            <w:tcBorders>
              <w:top w:val="nil"/>
              <w:left w:val="single" w:color="auto" w:sz="4" w:space="0"/>
              <w:right w:val="single" w:color="auto" w:sz="6" w:space="0"/>
            </w:tcBorders>
            <w:shd w:val="clear" w:color="auto" w:fill="auto"/>
          </w:tcPr>
          <w:p w:rsidRPr="00CE2860" w:rsidR="00627E5B" w:rsidP="000E1E55" w:rsidRDefault="00627E5B" w14:paraId="56B9209F" w14:textId="77777777">
            <w:pPr>
              <w:ind w:right="90"/>
              <w:jc w:val="center"/>
              <w:textAlignment w:val="baseline"/>
              <w:rPr>
                <w:sz w:val="22"/>
                <w:szCs w:val="22"/>
              </w:rPr>
            </w:pPr>
            <w:r w:rsidRPr="00CE2860">
              <w:rPr>
                <w:sz w:val="22"/>
                <w:szCs w:val="22"/>
              </w:rPr>
              <w:t>January 26, 2024</w:t>
            </w:r>
          </w:p>
        </w:tc>
        <w:tc>
          <w:tcPr>
            <w:tcW w:w="1080" w:type="dxa"/>
            <w:tcBorders>
              <w:top w:val="single" w:color="auto" w:sz="6" w:space="0"/>
              <w:left w:val="single" w:color="auto" w:sz="6" w:space="0"/>
              <w:bottom w:val="single" w:color="auto" w:sz="6" w:space="0"/>
              <w:right w:val="single" w:color="auto" w:sz="4" w:space="0"/>
            </w:tcBorders>
            <w:shd w:val="clear" w:color="auto" w:fill="auto"/>
          </w:tcPr>
          <w:p w:rsidRPr="00CE2860" w:rsidR="00627E5B" w:rsidP="000E1E55" w:rsidRDefault="00627E5B" w14:paraId="172554DF" w14:textId="77777777">
            <w:pPr>
              <w:jc w:val="center"/>
              <w:textAlignment w:val="baseline"/>
              <w:rPr>
                <w:sz w:val="22"/>
                <w:szCs w:val="22"/>
              </w:rPr>
            </w:pPr>
            <w:r w:rsidRPr="00CE2860">
              <w:rPr>
                <w:sz w:val="22"/>
                <w:szCs w:val="22"/>
              </w:rPr>
              <w:t xml:space="preserve">Fervo Energy, </w:t>
            </w:r>
            <w:r w:rsidRPr="00CE2860">
              <w:rPr>
                <w:sz w:val="21"/>
                <w:szCs w:val="21"/>
              </w:rPr>
              <w:t>Cape Generating Station 3</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E2860" w:rsidR="00627E5B" w:rsidP="000E1E55" w:rsidRDefault="00627E5B" w14:paraId="0E35B213" w14:textId="77777777">
            <w:pPr>
              <w:jc w:val="center"/>
              <w:textAlignment w:val="baseline"/>
              <w:rPr>
                <w:sz w:val="22"/>
                <w:szCs w:val="22"/>
              </w:rPr>
            </w:pPr>
            <w:r w:rsidRPr="00CE2860">
              <w:rPr>
                <w:sz w:val="22"/>
                <w:szCs w:val="22"/>
              </w:rPr>
              <w:t>Geotermal (Binary)</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E2860" w:rsidR="00627E5B" w:rsidP="000E1E55" w:rsidRDefault="00627E5B" w14:paraId="3CFD4C2F" w14:textId="77777777">
            <w:pPr>
              <w:jc w:val="center"/>
              <w:textAlignment w:val="baseline"/>
              <w:rPr>
                <w:sz w:val="22"/>
                <w:szCs w:val="22"/>
              </w:rPr>
            </w:pPr>
            <w:r w:rsidRPr="00CE2860">
              <w:rPr>
                <w:sz w:val="22"/>
                <w:szCs w:val="22"/>
              </w:rPr>
              <w:t>RA and RPS-Eligible Energy</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E2860" w:rsidR="00627E5B" w:rsidP="000E1E55" w:rsidRDefault="00627E5B" w14:paraId="5C607346" w14:textId="77777777">
            <w:pPr>
              <w:ind w:right="90"/>
              <w:jc w:val="center"/>
              <w:textAlignment w:val="baseline"/>
              <w:rPr>
                <w:sz w:val="22"/>
                <w:szCs w:val="22"/>
              </w:rPr>
            </w:pPr>
            <w:r w:rsidRPr="00CE2860">
              <w:rPr>
                <w:sz w:val="22"/>
                <w:szCs w:val="22"/>
              </w:rPr>
              <w:t>1/1/2027-1/1/2042</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E2860" w:rsidR="00627E5B" w:rsidP="000E1E55" w:rsidRDefault="00627E5B" w14:paraId="7B333A37" w14:textId="77777777">
            <w:pPr>
              <w:ind w:right="90"/>
              <w:jc w:val="center"/>
              <w:textAlignment w:val="baseline"/>
              <w:rPr>
                <w:sz w:val="22"/>
                <w:szCs w:val="22"/>
              </w:rPr>
            </w:pPr>
            <w:r w:rsidRPr="00CE2860">
              <w:rPr>
                <w:sz w:val="22"/>
                <w:szCs w:val="22"/>
              </w:rPr>
              <w:t>70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E2860" w:rsidR="00627E5B" w:rsidP="000E1E55" w:rsidRDefault="00627E5B" w14:paraId="774D3E7F" w14:textId="77777777">
            <w:pPr>
              <w:ind w:right="90"/>
              <w:jc w:val="center"/>
              <w:textAlignment w:val="baseline"/>
              <w:rPr>
                <w:sz w:val="22"/>
                <w:szCs w:val="22"/>
              </w:rPr>
            </w:pPr>
            <w:r w:rsidRPr="00CE2860">
              <w:rPr>
                <w:sz w:val="22"/>
                <w:szCs w:val="22"/>
              </w:rPr>
              <w:t>65.1 MW</w:t>
            </w:r>
          </w:p>
        </w:tc>
      </w:tr>
      <w:tr w:rsidRPr="00C035BE" w:rsidR="00627E5B" w:rsidTr="00CF4FFE" w14:paraId="7C406FEF" w14:textId="77777777">
        <w:trPr>
          <w:trHeight w:val="186"/>
        </w:trPr>
        <w:tc>
          <w:tcPr>
            <w:tcW w:w="1522"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2AE57687" w14:textId="77777777">
            <w:pPr>
              <w:ind w:left="90"/>
              <w:jc w:val="center"/>
              <w:textAlignment w:val="baseline"/>
              <w:rPr>
                <w:sz w:val="22"/>
                <w:szCs w:val="22"/>
                <w:highlight w:val="yellow"/>
              </w:rPr>
            </w:pPr>
          </w:p>
        </w:tc>
        <w:tc>
          <w:tcPr>
            <w:tcW w:w="1178" w:type="dxa"/>
            <w:vMerge/>
            <w:tcBorders>
              <w:left w:val="single" w:color="auto" w:sz="4" w:space="0"/>
            </w:tcBorders>
          </w:tcPr>
          <w:p w:rsidRPr="00C035BE" w:rsidR="00627E5B" w:rsidP="000E1E55" w:rsidRDefault="00627E5B" w14:paraId="4000DE6D" w14:textId="77777777">
            <w:pPr>
              <w:ind w:right="90"/>
              <w:jc w:val="center"/>
              <w:textAlignment w:val="baseline"/>
              <w:rPr>
                <w:sz w:val="22"/>
                <w:szCs w:val="22"/>
                <w:highlight w:val="yellow"/>
              </w:rPr>
            </w:pPr>
          </w:p>
        </w:tc>
        <w:tc>
          <w:tcPr>
            <w:tcW w:w="1080" w:type="dxa"/>
            <w:tcBorders>
              <w:top w:val="single" w:color="auto" w:sz="6" w:space="0"/>
              <w:left w:val="single" w:color="auto" w:sz="6" w:space="0"/>
              <w:bottom w:val="single" w:color="auto" w:sz="6" w:space="0"/>
              <w:right w:val="single" w:color="auto" w:sz="4" w:space="0"/>
            </w:tcBorders>
            <w:shd w:val="clear" w:color="auto" w:fill="auto"/>
          </w:tcPr>
          <w:p w:rsidRPr="0063393F" w:rsidR="00627E5B" w:rsidP="000E1E55" w:rsidRDefault="00627E5B" w14:paraId="7C61DD13" w14:textId="77777777">
            <w:pPr>
              <w:jc w:val="center"/>
              <w:textAlignment w:val="baseline"/>
              <w:rPr>
                <w:sz w:val="22"/>
                <w:szCs w:val="22"/>
              </w:rPr>
            </w:pPr>
            <w:r w:rsidRPr="0063393F">
              <w:rPr>
                <w:sz w:val="22"/>
                <w:szCs w:val="22"/>
              </w:rPr>
              <w:t xml:space="preserve">Fervo Energy, </w:t>
            </w:r>
            <w:r w:rsidRPr="0063393F">
              <w:rPr>
                <w:sz w:val="21"/>
                <w:szCs w:val="21"/>
              </w:rPr>
              <w:t>Cape Generating Station 4</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516B2E2B" w14:textId="77777777">
            <w:pPr>
              <w:jc w:val="center"/>
              <w:textAlignment w:val="baseline"/>
              <w:rPr>
                <w:sz w:val="22"/>
                <w:szCs w:val="22"/>
              </w:rPr>
            </w:pPr>
            <w:r w:rsidRPr="0063393F">
              <w:rPr>
                <w:sz w:val="22"/>
                <w:szCs w:val="22"/>
              </w:rPr>
              <w:t>Geothermal (Binary)</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17D702A9" w14:textId="77777777">
            <w:pPr>
              <w:jc w:val="center"/>
              <w:textAlignment w:val="baseline"/>
              <w:rPr>
                <w:sz w:val="22"/>
                <w:szCs w:val="22"/>
              </w:rPr>
            </w:pPr>
            <w:r w:rsidRPr="0063393F">
              <w:rPr>
                <w:sz w:val="22"/>
                <w:szCs w:val="22"/>
              </w:rPr>
              <w:t xml:space="preserve">RA and RPS-Eligible Energy </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2E8DDB79" w14:textId="77777777">
            <w:pPr>
              <w:ind w:right="90"/>
              <w:jc w:val="center"/>
              <w:textAlignment w:val="baseline"/>
              <w:rPr>
                <w:sz w:val="22"/>
                <w:szCs w:val="22"/>
              </w:rPr>
            </w:pPr>
            <w:r w:rsidRPr="0063393F">
              <w:rPr>
                <w:sz w:val="22"/>
                <w:szCs w:val="22"/>
              </w:rPr>
              <w:t>06/01/2028-06/01/2043</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13296EC7" w14:textId="77777777">
            <w:pPr>
              <w:ind w:right="90"/>
              <w:jc w:val="center"/>
              <w:textAlignment w:val="baseline"/>
              <w:rPr>
                <w:sz w:val="22"/>
                <w:szCs w:val="22"/>
              </w:rPr>
            </w:pPr>
            <w:r w:rsidRPr="0063393F">
              <w:rPr>
                <w:sz w:val="22"/>
                <w:szCs w:val="22"/>
              </w:rPr>
              <w:t>250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378B7626" w14:textId="77777777">
            <w:pPr>
              <w:ind w:right="90"/>
              <w:jc w:val="center"/>
              <w:textAlignment w:val="baseline"/>
              <w:rPr>
                <w:sz w:val="22"/>
                <w:szCs w:val="22"/>
              </w:rPr>
            </w:pPr>
            <w:r w:rsidRPr="0063393F">
              <w:rPr>
                <w:sz w:val="22"/>
                <w:szCs w:val="22"/>
              </w:rPr>
              <w:t>232.5 MW</w:t>
            </w:r>
          </w:p>
        </w:tc>
      </w:tr>
      <w:tr w:rsidRPr="00C035BE" w:rsidR="00627E5B" w:rsidTr="00CF4FFE" w14:paraId="7C050B42" w14:textId="77777777">
        <w:trPr>
          <w:trHeight w:val="186"/>
        </w:trPr>
        <w:tc>
          <w:tcPr>
            <w:tcW w:w="1522"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4F1325C0" w14:textId="77777777">
            <w:pPr>
              <w:ind w:left="90"/>
              <w:jc w:val="center"/>
              <w:textAlignment w:val="baseline"/>
              <w:rPr>
                <w:sz w:val="22"/>
                <w:szCs w:val="22"/>
                <w:highlight w:val="yellow"/>
              </w:rPr>
            </w:pPr>
          </w:p>
        </w:tc>
        <w:tc>
          <w:tcPr>
            <w:tcW w:w="1178" w:type="dxa"/>
            <w:vMerge/>
            <w:tcBorders>
              <w:left w:val="single" w:color="auto" w:sz="4" w:space="0"/>
            </w:tcBorders>
          </w:tcPr>
          <w:p w:rsidRPr="00C035BE" w:rsidR="00627E5B" w:rsidP="000E1E55" w:rsidRDefault="00627E5B" w14:paraId="2C9C0F64" w14:textId="77777777">
            <w:pPr>
              <w:ind w:right="90"/>
              <w:jc w:val="center"/>
              <w:textAlignment w:val="baseline"/>
              <w:rPr>
                <w:sz w:val="22"/>
                <w:szCs w:val="22"/>
                <w:highlight w:val="yellow"/>
              </w:rPr>
            </w:pPr>
          </w:p>
        </w:tc>
        <w:tc>
          <w:tcPr>
            <w:tcW w:w="1080" w:type="dxa"/>
            <w:tcBorders>
              <w:top w:val="single" w:color="auto" w:sz="6" w:space="0"/>
              <w:left w:val="single" w:color="auto" w:sz="6" w:space="0"/>
              <w:bottom w:val="single" w:color="auto" w:sz="6" w:space="0"/>
              <w:right w:val="single" w:color="auto" w:sz="4" w:space="0"/>
            </w:tcBorders>
            <w:shd w:val="clear" w:color="auto" w:fill="auto"/>
          </w:tcPr>
          <w:p w:rsidRPr="0063393F" w:rsidR="00627E5B" w:rsidP="000E1E55" w:rsidRDefault="00627E5B" w14:paraId="7A074498" w14:textId="77777777">
            <w:pPr>
              <w:jc w:val="center"/>
              <w:textAlignment w:val="baseline"/>
              <w:rPr>
                <w:sz w:val="22"/>
                <w:szCs w:val="22"/>
              </w:rPr>
            </w:pPr>
            <w:r w:rsidRPr="0063393F">
              <w:rPr>
                <w:sz w:val="22"/>
                <w:szCs w:val="22"/>
              </w:rPr>
              <w:t>174 Power Global, Atlas Solar V</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03DF7030" w14:textId="77777777">
            <w:pPr>
              <w:jc w:val="center"/>
              <w:textAlignment w:val="baseline"/>
              <w:rPr>
                <w:sz w:val="22"/>
                <w:szCs w:val="22"/>
              </w:rPr>
            </w:pPr>
            <w:r w:rsidRPr="0063393F">
              <w:rPr>
                <w:sz w:val="22"/>
                <w:szCs w:val="22"/>
              </w:rPr>
              <w:t>Solar PV</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2DDF8362" w14:textId="77777777">
            <w:pPr>
              <w:jc w:val="center"/>
              <w:textAlignment w:val="baseline"/>
              <w:rPr>
                <w:sz w:val="22"/>
                <w:szCs w:val="22"/>
              </w:rPr>
            </w:pPr>
            <w:r w:rsidRPr="0063393F">
              <w:rPr>
                <w:sz w:val="22"/>
                <w:szCs w:val="22"/>
              </w:rPr>
              <w:t>RPS-Eligible Energy</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72C004F0" w14:textId="77777777">
            <w:pPr>
              <w:ind w:right="90"/>
              <w:jc w:val="center"/>
              <w:textAlignment w:val="baseline"/>
              <w:rPr>
                <w:sz w:val="22"/>
                <w:szCs w:val="22"/>
              </w:rPr>
            </w:pPr>
            <w:r w:rsidRPr="0063393F">
              <w:rPr>
                <w:sz w:val="22"/>
                <w:szCs w:val="22"/>
              </w:rPr>
              <w:t>02/01/2026-</w:t>
            </w:r>
            <w:r>
              <w:rPr>
                <w:sz w:val="22"/>
                <w:szCs w:val="22"/>
              </w:rPr>
              <w:t>02/01/</w:t>
            </w:r>
            <w:r w:rsidRPr="0063393F">
              <w:rPr>
                <w:sz w:val="22"/>
                <w:szCs w:val="22"/>
              </w:rPr>
              <w:t>2041</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4B8A702F" w14:textId="77777777">
            <w:pPr>
              <w:ind w:right="90"/>
              <w:jc w:val="center"/>
              <w:textAlignment w:val="baseline"/>
              <w:rPr>
                <w:sz w:val="22"/>
                <w:szCs w:val="22"/>
              </w:rPr>
            </w:pPr>
            <w:r w:rsidRPr="0063393F">
              <w:rPr>
                <w:sz w:val="22"/>
                <w:szCs w:val="22"/>
              </w:rPr>
              <w:t>200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63393F" w:rsidR="00627E5B" w:rsidP="000E1E55" w:rsidRDefault="00627E5B" w14:paraId="18FEA4CD" w14:textId="77777777">
            <w:pPr>
              <w:ind w:right="90"/>
              <w:jc w:val="center"/>
              <w:textAlignment w:val="baseline"/>
              <w:rPr>
                <w:sz w:val="22"/>
                <w:szCs w:val="22"/>
              </w:rPr>
            </w:pPr>
          </w:p>
        </w:tc>
      </w:tr>
      <w:tr w:rsidRPr="00C035BE" w:rsidR="00627E5B" w:rsidTr="00CF4FFE" w14:paraId="40DB06AF" w14:textId="77777777">
        <w:trPr>
          <w:trHeight w:val="186"/>
        </w:trPr>
        <w:tc>
          <w:tcPr>
            <w:tcW w:w="1522"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688DEB6B" w14:textId="77777777">
            <w:pPr>
              <w:ind w:left="90"/>
              <w:jc w:val="center"/>
              <w:textAlignment w:val="baseline"/>
              <w:rPr>
                <w:sz w:val="22"/>
                <w:szCs w:val="22"/>
                <w:highlight w:val="yellow"/>
              </w:rPr>
            </w:pPr>
          </w:p>
        </w:tc>
        <w:tc>
          <w:tcPr>
            <w:tcW w:w="1178" w:type="dxa"/>
            <w:vMerge/>
            <w:tcBorders>
              <w:left w:val="single" w:color="auto" w:sz="4" w:space="0"/>
            </w:tcBorders>
          </w:tcPr>
          <w:p w:rsidRPr="00C035BE" w:rsidR="00627E5B" w:rsidP="000E1E55" w:rsidRDefault="00627E5B" w14:paraId="278D5F3C" w14:textId="77777777">
            <w:pPr>
              <w:ind w:right="90"/>
              <w:jc w:val="center"/>
              <w:textAlignment w:val="baseline"/>
              <w:rPr>
                <w:sz w:val="22"/>
                <w:szCs w:val="22"/>
                <w:highlight w:val="yellow"/>
              </w:rPr>
            </w:pPr>
          </w:p>
        </w:tc>
        <w:tc>
          <w:tcPr>
            <w:tcW w:w="1080" w:type="dxa"/>
            <w:tcBorders>
              <w:top w:val="single" w:color="auto" w:sz="6" w:space="0"/>
              <w:left w:val="single" w:color="auto" w:sz="6" w:space="0"/>
              <w:bottom w:val="single" w:color="auto" w:sz="6" w:space="0"/>
              <w:right w:val="single" w:color="auto" w:sz="4" w:space="0"/>
            </w:tcBorders>
            <w:shd w:val="clear" w:color="auto" w:fill="auto"/>
          </w:tcPr>
          <w:p w:rsidRPr="007B2EDA" w:rsidR="00627E5B" w:rsidP="000E1E55" w:rsidRDefault="00627E5B" w14:paraId="758B41D5" w14:textId="77777777">
            <w:pPr>
              <w:jc w:val="center"/>
              <w:textAlignment w:val="baseline"/>
              <w:rPr>
                <w:sz w:val="22"/>
                <w:szCs w:val="22"/>
              </w:rPr>
            </w:pPr>
            <w:r w:rsidRPr="007B2EDA">
              <w:rPr>
                <w:sz w:val="22"/>
                <w:szCs w:val="22"/>
              </w:rPr>
              <w:t>174 Power Global, Atlas Solar VI</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2EDA" w:rsidR="00627E5B" w:rsidP="000E1E55" w:rsidRDefault="00627E5B" w14:paraId="7A697BB1" w14:textId="77777777">
            <w:pPr>
              <w:jc w:val="center"/>
              <w:textAlignment w:val="baseline"/>
              <w:rPr>
                <w:sz w:val="22"/>
                <w:szCs w:val="22"/>
              </w:rPr>
            </w:pPr>
            <w:r w:rsidRPr="007B2EDA">
              <w:rPr>
                <w:sz w:val="22"/>
                <w:szCs w:val="22"/>
              </w:rPr>
              <w:t>Solar PV</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B2EDA" w:rsidR="00627E5B" w:rsidP="000E1E55" w:rsidRDefault="00627E5B" w14:paraId="3BBB241F" w14:textId="77777777">
            <w:pPr>
              <w:jc w:val="center"/>
              <w:textAlignment w:val="baseline"/>
              <w:rPr>
                <w:sz w:val="22"/>
                <w:szCs w:val="22"/>
              </w:rPr>
            </w:pPr>
            <w:r w:rsidRPr="007B2EDA">
              <w:rPr>
                <w:sz w:val="22"/>
                <w:szCs w:val="22"/>
              </w:rPr>
              <w:t>RPS-Eligible Energy</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7B2EDA" w:rsidR="00627E5B" w:rsidP="000E1E55" w:rsidRDefault="00627E5B" w14:paraId="1565859E" w14:textId="77777777">
            <w:pPr>
              <w:ind w:right="90"/>
              <w:jc w:val="center"/>
              <w:textAlignment w:val="baseline"/>
              <w:rPr>
                <w:sz w:val="22"/>
                <w:szCs w:val="22"/>
              </w:rPr>
            </w:pPr>
            <w:r w:rsidRPr="007B2EDA">
              <w:rPr>
                <w:sz w:val="22"/>
                <w:szCs w:val="22"/>
              </w:rPr>
              <w:t>06/01/2026-</w:t>
            </w:r>
            <w:r>
              <w:rPr>
                <w:sz w:val="22"/>
                <w:szCs w:val="22"/>
              </w:rPr>
              <w:t>06/01/</w:t>
            </w:r>
            <w:r w:rsidRPr="007B2EDA">
              <w:rPr>
                <w:sz w:val="22"/>
                <w:szCs w:val="22"/>
              </w:rPr>
              <w:t>2041</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7B2EDA" w:rsidR="00627E5B" w:rsidP="000E1E55" w:rsidRDefault="00627E5B" w14:paraId="72C3B565" w14:textId="77777777">
            <w:pPr>
              <w:ind w:right="90"/>
              <w:jc w:val="center"/>
              <w:textAlignment w:val="baseline"/>
              <w:rPr>
                <w:sz w:val="22"/>
                <w:szCs w:val="22"/>
              </w:rPr>
            </w:pPr>
            <w:r w:rsidRPr="007B2EDA">
              <w:rPr>
                <w:sz w:val="22"/>
                <w:szCs w:val="22"/>
              </w:rPr>
              <w:t>100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7B2EDA" w:rsidR="00627E5B" w:rsidP="000E1E55" w:rsidRDefault="00627E5B" w14:paraId="5912C9F8" w14:textId="77777777">
            <w:pPr>
              <w:ind w:right="90"/>
              <w:jc w:val="center"/>
              <w:textAlignment w:val="baseline"/>
              <w:rPr>
                <w:sz w:val="22"/>
                <w:szCs w:val="22"/>
              </w:rPr>
            </w:pPr>
          </w:p>
        </w:tc>
      </w:tr>
      <w:tr w:rsidRPr="00C035BE" w:rsidR="00627E5B" w:rsidTr="00CF4FFE" w14:paraId="7F22A31C" w14:textId="77777777">
        <w:trPr>
          <w:trHeight w:val="186"/>
        </w:trPr>
        <w:tc>
          <w:tcPr>
            <w:tcW w:w="1522"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2D9C4E61" w14:textId="77777777">
            <w:pPr>
              <w:ind w:left="90"/>
              <w:jc w:val="center"/>
              <w:textAlignment w:val="baseline"/>
              <w:rPr>
                <w:sz w:val="22"/>
                <w:szCs w:val="22"/>
                <w:highlight w:val="yellow"/>
              </w:rPr>
            </w:pPr>
          </w:p>
        </w:tc>
        <w:tc>
          <w:tcPr>
            <w:tcW w:w="1178" w:type="dxa"/>
            <w:vMerge/>
            <w:tcBorders>
              <w:left w:val="single" w:color="auto" w:sz="4" w:space="0"/>
            </w:tcBorders>
          </w:tcPr>
          <w:p w:rsidRPr="00C035BE" w:rsidR="00627E5B" w:rsidP="000E1E55" w:rsidRDefault="00627E5B" w14:paraId="60779ACE" w14:textId="77777777">
            <w:pPr>
              <w:ind w:right="90"/>
              <w:jc w:val="center"/>
              <w:textAlignment w:val="baseline"/>
              <w:rPr>
                <w:sz w:val="22"/>
                <w:szCs w:val="22"/>
                <w:highlight w:val="yellow"/>
              </w:rPr>
            </w:pPr>
          </w:p>
        </w:tc>
        <w:tc>
          <w:tcPr>
            <w:tcW w:w="1080" w:type="dxa"/>
            <w:tcBorders>
              <w:top w:val="single" w:color="auto" w:sz="6" w:space="0"/>
              <w:left w:val="single" w:color="auto" w:sz="6" w:space="0"/>
              <w:bottom w:val="single" w:color="auto" w:sz="4" w:space="0"/>
              <w:right w:val="single" w:color="auto" w:sz="4" w:space="0"/>
            </w:tcBorders>
            <w:shd w:val="clear" w:color="auto" w:fill="auto"/>
          </w:tcPr>
          <w:p w:rsidRPr="00C035BE" w:rsidR="00627E5B" w:rsidP="000E1E55" w:rsidRDefault="00627E5B" w14:paraId="677ABA2F" w14:textId="77777777">
            <w:pPr>
              <w:jc w:val="center"/>
              <w:textAlignment w:val="baseline"/>
              <w:rPr>
                <w:sz w:val="22"/>
                <w:szCs w:val="22"/>
              </w:rPr>
            </w:pPr>
            <w:r w:rsidRPr="006421A3">
              <w:rPr>
                <w:sz w:val="22"/>
                <w:szCs w:val="22"/>
              </w:rPr>
              <w:t>174 Power Global, Atlas Solar X</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6A4585BF" w14:textId="77777777">
            <w:pPr>
              <w:jc w:val="center"/>
              <w:textAlignment w:val="baseline"/>
              <w:rPr>
                <w:sz w:val="22"/>
                <w:szCs w:val="22"/>
              </w:rPr>
            </w:pPr>
            <w:r>
              <w:rPr>
                <w:sz w:val="22"/>
                <w:szCs w:val="22"/>
              </w:rPr>
              <w:t>Solar PV</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0828E714" w14:textId="77777777">
            <w:pPr>
              <w:jc w:val="center"/>
              <w:textAlignment w:val="baseline"/>
              <w:rPr>
                <w:sz w:val="22"/>
                <w:szCs w:val="22"/>
              </w:rPr>
            </w:pPr>
            <w:r>
              <w:rPr>
                <w:sz w:val="22"/>
                <w:szCs w:val="22"/>
              </w:rPr>
              <w:t>RPS-Eligible Energy</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243592F4" w14:textId="77777777">
            <w:pPr>
              <w:ind w:right="90"/>
              <w:jc w:val="center"/>
              <w:textAlignment w:val="baseline"/>
              <w:rPr>
                <w:sz w:val="22"/>
                <w:szCs w:val="22"/>
              </w:rPr>
            </w:pPr>
            <w:r>
              <w:rPr>
                <w:sz w:val="22"/>
                <w:szCs w:val="22"/>
              </w:rPr>
              <w:t>06/01/2026-06/01/2041</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36536652" w14:textId="77777777">
            <w:pPr>
              <w:ind w:right="90"/>
              <w:jc w:val="center"/>
              <w:textAlignment w:val="baseline"/>
              <w:rPr>
                <w:sz w:val="22"/>
                <w:szCs w:val="22"/>
              </w:rPr>
            </w:pPr>
            <w:r w:rsidRPr="006421A3">
              <w:rPr>
                <w:sz w:val="22"/>
                <w:szCs w:val="22"/>
              </w:rPr>
              <w:t>225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38891CCC" w14:textId="77777777">
            <w:pPr>
              <w:ind w:right="90"/>
              <w:jc w:val="center"/>
              <w:textAlignment w:val="baseline"/>
              <w:rPr>
                <w:sz w:val="22"/>
                <w:szCs w:val="22"/>
              </w:rPr>
            </w:pPr>
          </w:p>
        </w:tc>
      </w:tr>
      <w:tr w:rsidRPr="00C035BE" w:rsidR="00627E5B" w:rsidTr="00CF4FFE" w14:paraId="52648126" w14:textId="77777777">
        <w:trPr>
          <w:trHeight w:val="360"/>
        </w:trPr>
        <w:tc>
          <w:tcPr>
            <w:tcW w:w="1522" w:type="dxa"/>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6ED863AD" w14:textId="77777777">
            <w:pPr>
              <w:jc w:val="center"/>
              <w:textAlignment w:val="baseline"/>
              <w:rPr>
                <w:sz w:val="22"/>
                <w:szCs w:val="22"/>
              </w:rPr>
            </w:pPr>
            <w:r w:rsidRPr="00C035BE">
              <w:rPr>
                <w:sz w:val="22"/>
                <w:szCs w:val="22"/>
              </w:rPr>
              <w:t>AL 5257-E, Resolution</w:t>
            </w:r>
            <w:r>
              <w:rPr>
                <w:sz w:val="22"/>
                <w:szCs w:val="22"/>
              </w:rPr>
              <w:br/>
            </w:r>
            <w:r w:rsidRPr="00C035BE">
              <w:rPr>
                <w:sz w:val="22"/>
                <w:szCs w:val="22"/>
              </w:rPr>
              <w:t>E-5334 </w:t>
            </w:r>
          </w:p>
        </w:tc>
        <w:tc>
          <w:tcPr>
            <w:tcW w:w="1178" w:type="dxa"/>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7E74E372" w14:textId="77777777">
            <w:pPr>
              <w:ind w:right="90"/>
              <w:jc w:val="center"/>
              <w:textAlignment w:val="baseline"/>
              <w:rPr>
                <w:sz w:val="22"/>
                <w:szCs w:val="22"/>
              </w:rPr>
            </w:pPr>
            <w:r w:rsidRPr="00C035BE">
              <w:rPr>
                <w:sz w:val="22"/>
                <w:szCs w:val="22"/>
              </w:rPr>
              <w:t>July 11, 2024 </w:t>
            </w:r>
          </w:p>
        </w:tc>
        <w:tc>
          <w:tcPr>
            <w:tcW w:w="1080" w:type="dxa"/>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65469981" w14:textId="77777777">
            <w:pPr>
              <w:jc w:val="center"/>
              <w:textAlignment w:val="baseline"/>
              <w:rPr>
                <w:sz w:val="22"/>
                <w:szCs w:val="22"/>
              </w:rPr>
            </w:pPr>
            <w:r w:rsidRPr="00C035BE">
              <w:rPr>
                <w:sz w:val="22"/>
                <w:szCs w:val="22"/>
              </w:rPr>
              <w:t xml:space="preserve">NextEra Energy Desert Peak Energy Silver State </w:t>
            </w:r>
            <w:r w:rsidRPr="00C035BE">
              <w:rPr>
                <w:sz w:val="22"/>
                <w:szCs w:val="22"/>
              </w:rPr>
              <w:lastRenderedPageBreak/>
              <w:t>South Storage</w:t>
            </w:r>
          </w:p>
        </w:tc>
        <w:tc>
          <w:tcPr>
            <w:tcW w:w="1350" w:type="dxa"/>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607BC4E6" w14:textId="77777777">
            <w:pPr>
              <w:jc w:val="center"/>
              <w:textAlignment w:val="baseline"/>
              <w:rPr>
                <w:sz w:val="22"/>
                <w:szCs w:val="22"/>
              </w:rPr>
            </w:pPr>
            <w:r w:rsidRPr="00C035BE">
              <w:rPr>
                <w:sz w:val="22"/>
                <w:szCs w:val="22"/>
              </w:rPr>
              <w:lastRenderedPageBreak/>
              <w:t>Energy Storage </w:t>
            </w:r>
          </w:p>
        </w:tc>
        <w:tc>
          <w:tcPr>
            <w:tcW w:w="1080" w:type="dxa"/>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073D9FFF" w14:textId="77777777">
            <w:pPr>
              <w:jc w:val="center"/>
              <w:textAlignment w:val="baseline"/>
              <w:rPr>
                <w:sz w:val="22"/>
                <w:szCs w:val="22"/>
              </w:rPr>
            </w:pPr>
            <w:r w:rsidRPr="00C035BE">
              <w:rPr>
                <w:sz w:val="22"/>
                <w:szCs w:val="22"/>
              </w:rPr>
              <w:t>RA w/ Financial Settlement </w:t>
            </w:r>
          </w:p>
        </w:tc>
        <w:tc>
          <w:tcPr>
            <w:tcW w:w="1170" w:type="dxa"/>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622FB773" w14:textId="77777777">
            <w:pPr>
              <w:ind w:right="90"/>
              <w:jc w:val="center"/>
              <w:textAlignment w:val="baseline"/>
              <w:rPr>
                <w:sz w:val="22"/>
                <w:szCs w:val="22"/>
              </w:rPr>
            </w:pPr>
            <w:r w:rsidRPr="00C035BE">
              <w:rPr>
                <w:sz w:val="22"/>
                <w:szCs w:val="22"/>
              </w:rPr>
              <w:t>6/1/2025-5/31/2040 </w:t>
            </w:r>
          </w:p>
        </w:tc>
        <w:tc>
          <w:tcPr>
            <w:tcW w:w="1350" w:type="dxa"/>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5B9DB15C" w14:textId="77777777">
            <w:pPr>
              <w:ind w:right="90"/>
              <w:jc w:val="center"/>
              <w:textAlignment w:val="baseline"/>
              <w:rPr>
                <w:sz w:val="22"/>
                <w:szCs w:val="22"/>
              </w:rPr>
            </w:pPr>
            <w:r w:rsidRPr="00C035BE">
              <w:rPr>
                <w:sz w:val="22"/>
                <w:szCs w:val="22"/>
              </w:rPr>
              <w:t>200 MW </w:t>
            </w:r>
          </w:p>
        </w:tc>
        <w:tc>
          <w:tcPr>
            <w:tcW w:w="1530" w:type="dxa"/>
            <w:tcBorders>
              <w:top w:val="single" w:color="auto" w:sz="4" w:space="0"/>
              <w:left w:val="single" w:color="auto" w:sz="4" w:space="0"/>
              <w:bottom w:val="single" w:color="auto" w:sz="4" w:space="0"/>
              <w:right w:val="single" w:color="auto" w:sz="4" w:space="0"/>
            </w:tcBorders>
            <w:shd w:val="clear" w:color="auto" w:fill="auto"/>
            <w:hideMark/>
          </w:tcPr>
          <w:p w:rsidRPr="00C035BE" w:rsidR="00627E5B" w:rsidP="000E1E55" w:rsidRDefault="00627E5B" w14:paraId="4BA9F68E" w14:textId="77777777">
            <w:pPr>
              <w:ind w:right="90"/>
              <w:jc w:val="center"/>
              <w:textAlignment w:val="baseline"/>
              <w:rPr>
                <w:sz w:val="22"/>
                <w:szCs w:val="22"/>
              </w:rPr>
            </w:pPr>
            <w:r w:rsidRPr="00C035BE">
              <w:rPr>
                <w:sz w:val="22"/>
                <w:szCs w:val="22"/>
              </w:rPr>
              <w:t>181 MW </w:t>
            </w:r>
          </w:p>
        </w:tc>
      </w:tr>
      <w:tr w:rsidRPr="00C035BE" w:rsidR="00627E5B" w:rsidTr="00CF4FFE" w14:paraId="1E0A83B5" w14:textId="77777777">
        <w:trPr>
          <w:trHeight w:val="200"/>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74BB674B" w14:textId="77777777">
            <w:pPr>
              <w:jc w:val="center"/>
              <w:textAlignment w:val="baseline"/>
              <w:rPr>
                <w:sz w:val="22"/>
                <w:szCs w:val="22"/>
              </w:rPr>
            </w:pPr>
            <w:r w:rsidRPr="00C035BE">
              <w:rPr>
                <w:sz w:val="22"/>
                <w:szCs w:val="22"/>
              </w:rPr>
              <w:t>AL 5397-E, Draft Resolution</w:t>
            </w:r>
            <w:r w:rsidRPr="00C035BE">
              <w:rPr>
                <w:sz w:val="22"/>
                <w:szCs w:val="22"/>
              </w:rPr>
              <w:br/>
              <w:t>E- 5365</w:t>
            </w:r>
          </w:p>
        </w:tc>
        <w:tc>
          <w:tcPr>
            <w:tcW w:w="1178" w:type="dxa"/>
            <w:vMerge w:val="restart"/>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4B97C40D" w14:paraId="547695F1" w14:textId="24C42AA0">
            <w:pPr>
              <w:ind w:right="90"/>
              <w:jc w:val="center"/>
              <w:textAlignment w:val="baseline"/>
              <w:rPr>
                <w:sz w:val="22"/>
                <w:szCs w:val="22"/>
              </w:rPr>
            </w:pPr>
            <w:r w:rsidRPr="7619423B">
              <w:rPr>
                <w:sz w:val="22"/>
                <w:szCs w:val="22"/>
              </w:rPr>
              <w:t>Pending</w:t>
            </w:r>
          </w:p>
        </w:tc>
        <w:tc>
          <w:tcPr>
            <w:tcW w:w="1080" w:type="dxa"/>
            <w:tcBorders>
              <w:top w:val="single" w:color="auto" w:sz="4" w:space="0"/>
              <w:left w:val="single" w:color="auto" w:sz="4" w:space="0"/>
              <w:bottom w:val="single" w:color="auto" w:sz="6" w:space="0"/>
              <w:right w:val="single" w:color="auto" w:sz="4" w:space="0"/>
            </w:tcBorders>
            <w:shd w:val="clear" w:color="auto" w:fill="auto"/>
          </w:tcPr>
          <w:p w:rsidRPr="00C035BE" w:rsidR="00627E5B" w:rsidP="000E1E55" w:rsidRDefault="00627E5B" w14:paraId="64631564" w14:textId="77777777">
            <w:pPr>
              <w:jc w:val="center"/>
              <w:textAlignment w:val="baseline"/>
              <w:rPr>
                <w:sz w:val="22"/>
                <w:szCs w:val="22"/>
              </w:rPr>
            </w:pPr>
            <w:r w:rsidRPr="00C035BE">
              <w:rPr>
                <w:sz w:val="22"/>
                <w:szCs w:val="22"/>
              </w:rPr>
              <w:t>Upstream HC-1 LLC, Copia Power/Centennial Phase 1 Solar</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48388B2C" w14:textId="77777777">
            <w:pPr>
              <w:jc w:val="center"/>
              <w:textAlignment w:val="baseline"/>
              <w:rPr>
                <w:sz w:val="22"/>
                <w:szCs w:val="22"/>
              </w:rPr>
            </w:pPr>
            <w:r w:rsidRPr="00C035BE">
              <w:rPr>
                <w:sz w:val="22"/>
                <w:szCs w:val="22"/>
              </w:rPr>
              <w:t>Solar PV</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3C3FFBC3" w14:textId="77777777">
            <w:pPr>
              <w:jc w:val="center"/>
              <w:textAlignment w:val="baseline"/>
              <w:rPr>
                <w:sz w:val="22"/>
                <w:szCs w:val="22"/>
              </w:rPr>
            </w:pPr>
            <w:r w:rsidRPr="00C035BE">
              <w:rPr>
                <w:sz w:val="22"/>
                <w:szCs w:val="22"/>
              </w:rPr>
              <w:t>RPS-Eligible Energy and Capacity</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7DAA4D70" w14:textId="77777777">
            <w:pPr>
              <w:ind w:right="90"/>
              <w:jc w:val="center"/>
              <w:textAlignment w:val="baseline"/>
              <w:rPr>
                <w:sz w:val="22"/>
                <w:szCs w:val="22"/>
              </w:rPr>
            </w:pPr>
            <w:r w:rsidRPr="00C035BE">
              <w:rPr>
                <w:sz w:val="22"/>
                <w:szCs w:val="22"/>
              </w:rPr>
              <w:t>06/01/2026-06/01/2041</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0969CD95" w14:textId="77777777">
            <w:pPr>
              <w:ind w:right="90"/>
              <w:jc w:val="center"/>
              <w:textAlignment w:val="baseline"/>
              <w:rPr>
                <w:sz w:val="22"/>
                <w:szCs w:val="22"/>
              </w:rPr>
            </w:pPr>
            <w:r w:rsidRPr="00C035BE">
              <w:rPr>
                <w:sz w:val="22"/>
                <w:szCs w:val="22"/>
              </w:rPr>
              <w:t>166.67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3B008567" w14:textId="77777777">
            <w:pPr>
              <w:ind w:right="90"/>
              <w:jc w:val="center"/>
              <w:textAlignment w:val="baseline"/>
              <w:rPr>
                <w:sz w:val="22"/>
                <w:szCs w:val="22"/>
              </w:rPr>
            </w:pPr>
            <w:r w:rsidRPr="00C035BE">
              <w:rPr>
                <w:sz w:val="22"/>
                <w:szCs w:val="22"/>
              </w:rPr>
              <w:t>N/A: Contribute energy towards DCR</w:t>
            </w:r>
          </w:p>
        </w:tc>
      </w:tr>
      <w:tr w:rsidRPr="00C035BE" w:rsidR="00627E5B" w:rsidTr="00CF4FFE" w14:paraId="3676189A" w14:textId="77777777">
        <w:trPr>
          <w:trHeight w:val="197"/>
        </w:trPr>
        <w:tc>
          <w:tcPr>
            <w:tcW w:w="1522"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146B6E94" w14:textId="77777777">
            <w:pPr>
              <w:jc w:val="center"/>
              <w:textAlignment w:val="baseline"/>
              <w:rPr>
                <w:sz w:val="22"/>
                <w:szCs w:val="22"/>
                <w:highlight w:val="yellow"/>
              </w:rPr>
            </w:pPr>
          </w:p>
        </w:tc>
        <w:tc>
          <w:tcPr>
            <w:tcW w:w="1178"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787DE39A" w14:textId="77777777">
            <w:pPr>
              <w:ind w:right="90"/>
              <w:jc w:val="center"/>
              <w:textAlignment w:val="baseline"/>
              <w:rPr>
                <w:sz w:val="22"/>
                <w:szCs w:val="22"/>
                <w:highlight w:val="yellow"/>
              </w:rPr>
            </w:pPr>
          </w:p>
        </w:tc>
        <w:tc>
          <w:tcPr>
            <w:tcW w:w="1080" w:type="dxa"/>
            <w:tcBorders>
              <w:top w:val="single" w:color="auto" w:sz="6" w:space="0"/>
              <w:left w:val="single" w:color="auto" w:sz="4" w:space="0"/>
              <w:bottom w:val="single" w:color="auto" w:sz="6" w:space="0"/>
              <w:right w:val="single" w:color="auto" w:sz="4" w:space="0"/>
            </w:tcBorders>
            <w:shd w:val="clear" w:color="auto" w:fill="auto"/>
          </w:tcPr>
          <w:p w:rsidRPr="00C035BE" w:rsidR="00627E5B" w:rsidP="000E1E55" w:rsidRDefault="00627E5B" w14:paraId="109181DC" w14:textId="77777777">
            <w:pPr>
              <w:jc w:val="center"/>
              <w:textAlignment w:val="baseline"/>
              <w:rPr>
                <w:sz w:val="22"/>
                <w:szCs w:val="22"/>
              </w:rPr>
            </w:pPr>
            <w:r w:rsidRPr="00C035BE">
              <w:rPr>
                <w:sz w:val="22"/>
                <w:szCs w:val="22"/>
              </w:rPr>
              <w:t>Upstream HC-1 LLC, Copia Power/Centennial Phase 2 Solar</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392F9297" w14:textId="77777777">
            <w:pPr>
              <w:jc w:val="center"/>
              <w:textAlignment w:val="baseline"/>
              <w:rPr>
                <w:sz w:val="22"/>
                <w:szCs w:val="22"/>
              </w:rPr>
            </w:pPr>
            <w:r w:rsidRPr="00C035BE">
              <w:rPr>
                <w:sz w:val="22"/>
                <w:szCs w:val="22"/>
              </w:rPr>
              <w:t>Solar PV</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71177123" w14:textId="77777777">
            <w:pPr>
              <w:jc w:val="center"/>
              <w:textAlignment w:val="baseline"/>
              <w:rPr>
                <w:sz w:val="22"/>
                <w:szCs w:val="22"/>
              </w:rPr>
            </w:pPr>
            <w:r w:rsidRPr="00C035BE">
              <w:rPr>
                <w:sz w:val="22"/>
                <w:szCs w:val="22"/>
              </w:rPr>
              <w:t>RPS-Eligible Energy and Capacity</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2B5C3417" w14:textId="77777777">
            <w:pPr>
              <w:ind w:right="90"/>
              <w:jc w:val="center"/>
              <w:textAlignment w:val="baseline"/>
              <w:rPr>
                <w:sz w:val="22"/>
                <w:szCs w:val="22"/>
              </w:rPr>
            </w:pPr>
            <w:r w:rsidRPr="00C035BE">
              <w:rPr>
                <w:sz w:val="22"/>
                <w:szCs w:val="22"/>
              </w:rPr>
              <w:t>08/01/2026-08/01/2041</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0B47313F" w14:textId="77777777">
            <w:pPr>
              <w:ind w:right="90"/>
              <w:jc w:val="center"/>
              <w:textAlignment w:val="baseline"/>
              <w:rPr>
                <w:sz w:val="22"/>
                <w:szCs w:val="22"/>
              </w:rPr>
            </w:pPr>
            <w:r w:rsidRPr="00C035BE">
              <w:rPr>
                <w:sz w:val="22"/>
                <w:szCs w:val="22"/>
              </w:rPr>
              <w:t>166.67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4538FE06" w14:textId="77777777">
            <w:pPr>
              <w:ind w:right="90"/>
              <w:jc w:val="center"/>
              <w:textAlignment w:val="baseline"/>
              <w:rPr>
                <w:sz w:val="22"/>
                <w:szCs w:val="22"/>
              </w:rPr>
            </w:pPr>
            <w:r w:rsidRPr="00C035BE">
              <w:rPr>
                <w:sz w:val="22"/>
                <w:szCs w:val="22"/>
              </w:rPr>
              <w:t>N/A: Contribute energy towards DCR</w:t>
            </w:r>
          </w:p>
        </w:tc>
      </w:tr>
      <w:tr w:rsidRPr="00C035BE" w:rsidR="00627E5B" w:rsidTr="00CF4FFE" w14:paraId="744C132C" w14:textId="77777777">
        <w:trPr>
          <w:trHeight w:val="197"/>
        </w:trPr>
        <w:tc>
          <w:tcPr>
            <w:tcW w:w="1522"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6B9A9F6A" w14:textId="77777777">
            <w:pPr>
              <w:jc w:val="center"/>
              <w:textAlignment w:val="baseline"/>
              <w:rPr>
                <w:sz w:val="22"/>
                <w:szCs w:val="22"/>
                <w:highlight w:val="yellow"/>
              </w:rPr>
            </w:pPr>
          </w:p>
        </w:tc>
        <w:tc>
          <w:tcPr>
            <w:tcW w:w="1178"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25E28CB0" w14:textId="77777777">
            <w:pPr>
              <w:ind w:right="90"/>
              <w:jc w:val="center"/>
              <w:textAlignment w:val="baseline"/>
              <w:rPr>
                <w:sz w:val="22"/>
                <w:szCs w:val="22"/>
                <w:highlight w:val="yellow"/>
              </w:rPr>
            </w:pPr>
          </w:p>
        </w:tc>
        <w:tc>
          <w:tcPr>
            <w:tcW w:w="1080" w:type="dxa"/>
            <w:tcBorders>
              <w:top w:val="single" w:color="auto" w:sz="6" w:space="0"/>
              <w:left w:val="single" w:color="auto" w:sz="4" w:space="0"/>
              <w:bottom w:val="single" w:color="auto" w:sz="6" w:space="0"/>
              <w:right w:val="single" w:color="auto" w:sz="4" w:space="0"/>
            </w:tcBorders>
            <w:shd w:val="clear" w:color="auto" w:fill="auto"/>
          </w:tcPr>
          <w:p w:rsidRPr="00C035BE" w:rsidR="00627E5B" w:rsidP="000E1E55" w:rsidRDefault="00627E5B" w14:paraId="7F3BF40E" w14:textId="77777777">
            <w:pPr>
              <w:jc w:val="center"/>
              <w:textAlignment w:val="baseline"/>
              <w:rPr>
                <w:sz w:val="22"/>
                <w:szCs w:val="22"/>
              </w:rPr>
            </w:pPr>
            <w:r w:rsidRPr="00C035BE">
              <w:rPr>
                <w:sz w:val="22"/>
                <w:szCs w:val="22"/>
              </w:rPr>
              <w:t>Upstream HC-1 LLC, Copia Power/Centennial Phase 3 Solar</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3A0EBF2A" w14:textId="77777777">
            <w:pPr>
              <w:jc w:val="center"/>
              <w:textAlignment w:val="baseline"/>
              <w:rPr>
                <w:sz w:val="22"/>
                <w:szCs w:val="22"/>
              </w:rPr>
            </w:pPr>
            <w:r w:rsidRPr="00C035BE">
              <w:rPr>
                <w:sz w:val="22"/>
                <w:szCs w:val="22"/>
              </w:rPr>
              <w:t>Solar PV</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62C86E52" w14:textId="77777777">
            <w:pPr>
              <w:jc w:val="center"/>
              <w:textAlignment w:val="baseline"/>
              <w:rPr>
                <w:sz w:val="22"/>
                <w:szCs w:val="22"/>
              </w:rPr>
            </w:pPr>
            <w:r w:rsidRPr="00C035BE">
              <w:rPr>
                <w:sz w:val="22"/>
                <w:szCs w:val="22"/>
              </w:rPr>
              <w:t>RPS-Eligible Energy and Capacity</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3E3D253E" w14:textId="77777777">
            <w:pPr>
              <w:ind w:right="90"/>
              <w:jc w:val="center"/>
              <w:textAlignment w:val="baseline"/>
              <w:rPr>
                <w:sz w:val="22"/>
                <w:szCs w:val="22"/>
              </w:rPr>
            </w:pPr>
            <w:r w:rsidRPr="00C035BE">
              <w:rPr>
                <w:sz w:val="22"/>
                <w:szCs w:val="22"/>
              </w:rPr>
              <w:t>09/01/2026-09/01/2041</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4ACA931D" w14:textId="77777777">
            <w:pPr>
              <w:ind w:right="90"/>
              <w:jc w:val="center"/>
              <w:textAlignment w:val="baseline"/>
              <w:rPr>
                <w:sz w:val="22"/>
                <w:szCs w:val="22"/>
              </w:rPr>
            </w:pPr>
            <w:r w:rsidRPr="00C035BE">
              <w:rPr>
                <w:sz w:val="22"/>
                <w:szCs w:val="22"/>
              </w:rPr>
              <w:t>166.67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587AA656" w14:textId="77777777">
            <w:pPr>
              <w:ind w:right="90"/>
              <w:jc w:val="center"/>
              <w:textAlignment w:val="baseline"/>
              <w:rPr>
                <w:sz w:val="22"/>
                <w:szCs w:val="22"/>
              </w:rPr>
            </w:pPr>
            <w:r w:rsidRPr="00C035BE">
              <w:rPr>
                <w:sz w:val="22"/>
                <w:szCs w:val="22"/>
              </w:rPr>
              <w:t>N/A: Contribute energy towards DCR</w:t>
            </w:r>
          </w:p>
        </w:tc>
      </w:tr>
      <w:tr w:rsidRPr="00C035BE" w:rsidR="00627E5B" w:rsidTr="00CF4FFE" w14:paraId="5C2158EF" w14:textId="77777777">
        <w:trPr>
          <w:trHeight w:val="197"/>
        </w:trPr>
        <w:tc>
          <w:tcPr>
            <w:tcW w:w="1522"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25886856" w14:textId="77777777">
            <w:pPr>
              <w:jc w:val="center"/>
              <w:textAlignment w:val="baseline"/>
              <w:rPr>
                <w:sz w:val="22"/>
                <w:szCs w:val="22"/>
                <w:highlight w:val="yellow"/>
              </w:rPr>
            </w:pPr>
          </w:p>
        </w:tc>
        <w:tc>
          <w:tcPr>
            <w:tcW w:w="1178"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7D176DB3" w14:textId="77777777">
            <w:pPr>
              <w:ind w:right="90"/>
              <w:jc w:val="center"/>
              <w:textAlignment w:val="baseline"/>
              <w:rPr>
                <w:sz w:val="22"/>
                <w:szCs w:val="22"/>
                <w:highlight w:val="yellow"/>
              </w:rPr>
            </w:pPr>
          </w:p>
        </w:tc>
        <w:tc>
          <w:tcPr>
            <w:tcW w:w="1080" w:type="dxa"/>
            <w:tcBorders>
              <w:top w:val="single" w:color="auto" w:sz="6" w:space="0"/>
              <w:left w:val="single" w:color="auto" w:sz="4" w:space="0"/>
              <w:bottom w:val="single" w:color="auto" w:sz="6" w:space="0"/>
              <w:right w:val="single" w:color="auto" w:sz="4" w:space="0"/>
            </w:tcBorders>
            <w:shd w:val="clear" w:color="auto" w:fill="auto"/>
          </w:tcPr>
          <w:p w:rsidRPr="00C035BE" w:rsidR="00627E5B" w:rsidP="000E1E55" w:rsidRDefault="00627E5B" w14:paraId="06D870A7" w14:textId="77777777">
            <w:pPr>
              <w:jc w:val="center"/>
              <w:textAlignment w:val="baseline"/>
              <w:rPr>
                <w:sz w:val="22"/>
                <w:szCs w:val="22"/>
              </w:rPr>
            </w:pPr>
            <w:r w:rsidRPr="00C035BE">
              <w:rPr>
                <w:sz w:val="22"/>
                <w:szCs w:val="22"/>
              </w:rPr>
              <w:t>Upstream HC-1 LLC, Copia Power/Centennial Phase 1 BESS</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38667DA0" w14:textId="77777777">
            <w:pPr>
              <w:jc w:val="center"/>
              <w:textAlignment w:val="baseline"/>
              <w:rPr>
                <w:sz w:val="22"/>
                <w:szCs w:val="22"/>
              </w:rPr>
            </w:pPr>
            <w:r w:rsidRPr="00C035BE">
              <w:rPr>
                <w:sz w:val="22"/>
                <w:szCs w:val="22"/>
              </w:rPr>
              <w:t>Energy Storage</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4EEE3D7D" w14:textId="77777777">
            <w:pPr>
              <w:jc w:val="center"/>
              <w:textAlignment w:val="baseline"/>
              <w:rPr>
                <w:sz w:val="22"/>
                <w:szCs w:val="22"/>
              </w:rPr>
            </w:pPr>
            <w:r w:rsidRPr="00C035BE">
              <w:rPr>
                <w:sz w:val="22"/>
                <w:szCs w:val="22"/>
              </w:rPr>
              <w:t>RA w/ Financial Settlement</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24B9C080" w14:textId="77777777">
            <w:pPr>
              <w:ind w:right="90"/>
              <w:jc w:val="center"/>
              <w:textAlignment w:val="baseline"/>
              <w:rPr>
                <w:sz w:val="22"/>
                <w:szCs w:val="22"/>
              </w:rPr>
            </w:pPr>
            <w:r w:rsidRPr="00C035BE">
              <w:rPr>
                <w:sz w:val="22"/>
                <w:szCs w:val="22"/>
              </w:rPr>
              <w:t>06/01/2026-06/01/2041</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051AAB0C" w14:textId="77777777">
            <w:pPr>
              <w:ind w:right="90"/>
              <w:jc w:val="center"/>
              <w:textAlignment w:val="baseline"/>
              <w:rPr>
                <w:sz w:val="22"/>
                <w:szCs w:val="22"/>
              </w:rPr>
            </w:pPr>
            <w:r w:rsidRPr="00C035BE">
              <w:rPr>
                <w:sz w:val="22"/>
                <w:szCs w:val="22"/>
              </w:rPr>
              <w:t>89.12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6B2095D7" w14:textId="77777777">
            <w:pPr>
              <w:ind w:right="90"/>
              <w:jc w:val="center"/>
              <w:textAlignment w:val="baseline"/>
              <w:rPr>
                <w:sz w:val="22"/>
                <w:szCs w:val="22"/>
              </w:rPr>
            </w:pPr>
            <w:r w:rsidRPr="00C035BE">
              <w:rPr>
                <w:sz w:val="22"/>
                <w:szCs w:val="22"/>
              </w:rPr>
              <w:t>68.26 MW</w:t>
            </w:r>
          </w:p>
        </w:tc>
      </w:tr>
      <w:tr w:rsidRPr="00C035BE" w:rsidR="00627E5B" w:rsidTr="00CF4FFE" w14:paraId="5D81A578" w14:textId="77777777">
        <w:trPr>
          <w:trHeight w:val="197"/>
        </w:trPr>
        <w:tc>
          <w:tcPr>
            <w:tcW w:w="1522"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065D9E2C" w14:textId="77777777">
            <w:pPr>
              <w:jc w:val="center"/>
              <w:textAlignment w:val="baseline"/>
              <w:rPr>
                <w:sz w:val="22"/>
                <w:szCs w:val="22"/>
                <w:highlight w:val="yellow"/>
              </w:rPr>
            </w:pPr>
          </w:p>
        </w:tc>
        <w:tc>
          <w:tcPr>
            <w:tcW w:w="1178"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5089AD30" w14:textId="77777777">
            <w:pPr>
              <w:ind w:right="90"/>
              <w:jc w:val="center"/>
              <w:textAlignment w:val="baseline"/>
              <w:rPr>
                <w:sz w:val="22"/>
                <w:szCs w:val="22"/>
                <w:highlight w:val="yellow"/>
              </w:rPr>
            </w:pPr>
          </w:p>
        </w:tc>
        <w:tc>
          <w:tcPr>
            <w:tcW w:w="1080" w:type="dxa"/>
            <w:tcBorders>
              <w:top w:val="single" w:color="auto" w:sz="6" w:space="0"/>
              <w:left w:val="single" w:color="auto" w:sz="4" w:space="0"/>
              <w:bottom w:val="single" w:color="auto" w:sz="6" w:space="0"/>
              <w:right w:val="single" w:color="auto" w:sz="4" w:space="0"/>
            </w:tcBorders>
            <w:shd w:val="clear" w:color="auto" w:fill="auto"/>
          </w:tcPr>
          <w:p w:rsidRPr="00C035BE" w:rsidR="00627E5B" w:rsidP="000E1E55" w:rsidRDefault="00627E5B" w14:paraId="4CC5F4E9" w14:textId="77777777">
            <w:pPr>
              <w:jc w:val="center"/>
              <w:textAlignment w:val="baseline"/>
              <w:rPr>
                <w:sz w:val="22"/>
                <w:szCs w:val="22"/>
              </w:rPr>
            </w:pPr>
            <w:r w:rsidRPr="00C035BE">
              <w:rPr>
                <w:sz w:val="22"/>
                <w:szCs w:val="22"/>
              </w:rPr>
              <w:t xml:space="preserve">Upstream HC-1 LLC, Copia Power/Centennial </w:t>
            </w:r>
            <w:r w:rsidRPr="00C035BE">
              <w:rPr>
                <w:sz w:val="22"/>
                <w:szCs w:val="22"/>
              </w:rPr>
              <w:lastRenderedPageBreak/>
              <w:t>Phase 2 BESS</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61516CC1" w14:textId="77777777">
            <w:pPr>
              <w:jc w:val="center"/>
              <w:textAlignment w:val="baseline"/>
              <w:rPr>
                <w:sz w:val="22"/>
                <w:szCs w:val="22"/>
              </w:rPr>
            </w:pPr>
            <w:r w:rsidRPr="00C035BE">
              <w:rPr>
                <w:sz w:val="22"/>
                <w:szCs w:val="22"/>
              </w:rPr>
              <w:lastRenderedPageBreak/>
              <w:t>Energy Storage</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0BC6075A" w14:textId="77777777">
            <w:pPr>
              <w:jc w:val="center"/>
              <w:textAlignment w:val="baseline"/>
              <w:rPr>
                <w:sz w:val="22"/>
                <w:szCs w:val="22"/>
              </w:rPr>
            </w:pPr>
            <w:r w:rsidRPr="00C035BE">
              <w:rPr>
                <w:sz w:val="22"/>
                <w:szCs w:val="22"/>
              </w:rPr>
              <w:t>RA w/ Financial Settlement</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4714B600" w14:textId="77777777">
            <w:pPr>
              <w:ind w:right="90"/>
              <w:jc w:val="center"/>
              <w:textAlignment w:val="baseline"/>
              <w:rPr>
                <w:sz w:val="22"/>
                <w:szCs w:val="22"/>
              </w:rPr>
            </w:pPr>
            <w:r w:rsidRPr="00C035BE">
              <w:rPr>
                <w:sz w:val="22"/>
                <w:szCs w:val="22"/>
              </w:rPr>
              <w:t>08/01/2026-08/01/2041</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00970195" w14:textId="77777777">
            <w:pPr>
              <w:ind w:right="90"/>
              <w:jc w:val="center"/>
              <w:textAlignment w:val="baseline"/>
              <w:rPr>
                <w:sz w:val="22"/>
                <w:szCs w:val="22"/>
              </w:rPr>
            </w:pPr>
            <w:r w:rsidRPr="00C035BE">
              <w:rPr>
                <w:sz w:val="22"/>
                <w:szCs w:val="22"/>
              </w:rPr>
              <w:t>89.12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3C2473F7" w14:textId="77777777">
            <w:pPr>
              <w:ind w:right="90"/>
              <w:jc w:val="center"/>
              <w:textAlignment w:val="baseline"/>
              <w:rPr>
                <w:sz w:val="22"/>
                <w:szCs w:val="22"/>
              </w:rPr>
            </w:pPr>
            <w:r w:rsidRPr="00C035BE">
              <w:rPr>
                <w:sz w:val="22"/>
                <w:szCs w:val="22"/>
              </w:rPr>
              <w:t>68.26 MW</w:t>
            </w:r>
          </w:p>
        </w:tc>
      </w:tr>
      <w:tr w:rsidRPr="00C035BE" w:rsidR="00627E5B" w:rsidTr="00CF4FFE" w14:paraId="014E06D6" w14:textId="77777777">
        <w:trPr>
          <w:trHeight w:val="197"/>
        </w:trPr>
        <w:tc>
          <w:tcPr>
            <w:tcW w:w="1522"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51B5D09F" w14:textId="77777777">
            <w:pPr>
              <w:jc w:val="center"/>
              <w:textAlignment w:val="baseline"/>
              <w:rPr>
                <w:sz w:val="22"/>
                <w:szCs w:val="22"/>
                <w:highlight w:val="yellow"/>
              </w:rPr>
            </w:pPr>
          </w:p>
        </w:tc>
        <w:tc>
          <w:tcPr>
            <w:tcW w:w="1178" w:type="dxa"/>
            <w:vMerge/>
            <w:tcBorders>
              <w:top w:val="single" w:color="auto" w:sz="4" w:space="0"/>
              <w:left w:val="single" w:color="auto" w:sz="4" w:space="0"/>
              <w:bottom w:val="single" w:color="auto" w:sz="4" w:space="0"/>
              <w:right w:val="single" w:color="auto" w:sz="4" w:space="0"/>
            </w:tcBorders>
          </w:tcPr>
          <w:p w:rsidRPr="00C035BE" w:rsidR="00627E5B" w:rsidP="000E1E55" w:rsidRDefault="00627E5B" w14:paraId="47115068" w14:textId="77777777">
            <w:pPr>
              <w:ind w:right="90"/>
              <w:jc w:val="center"/>
              <w:textAlignment w:val="baseline"/>
              <w:rPr>
                <w:sz w:val="22"/>
                <w:szCs w:val="22"/>
                <w:highlight w:val="yellow"/>
              </w:rPr>
            </w:pPr>
          </w:p>
        </w:tc>
        <w:tc>
          <w:tcPr>
            <w:tcW w:w="1080" w:type="dxa"/>
            <w:tcBorders>
              <w:top w:val="single" w:color="auto" w:sz="6" w:space="0"/>
              <w:left w:val="single" w:color="auto" w:sz="4" w:space="0"/>
              <w:bottom w:val="single" w:color="auto" w:sz="6" w:space="0"/>
              <w:right w:val="single" w:color="auto" w:sz="4" w:space="0"/>
            </w:tcBorders>
            <w:shd w:val="clear" w:color="auto" w:fill="auto"/>
          </w:tcPr>
          <w:p w:rsidRPr="00C035BE" w:rsidR="00627E5B" w:rsidP="000E1E55" w:rsidRDefault="00627E5B" w14:paraId="7E468E27" w14:textId="77777777">
            <w:pPr>
              <w:jc w:val="center"/>
              <w:textAlignment w:val="baseline"/>
              <w:rPr>
                <w:sz w:val="22"/>
                <w:szCs w:val="22"/>
              </w:rPr>
            </w:pPr>
            <w:r w:rsidRPr="00C035BE">
              <w:rPr>
                <w:sz w:val="22"/>
                <w:szCs w:val="22"/>
              </w:rPr>
              <w:t>Upstream HC-1 LLC, Copia Power/Centennial Phase 3 BESS</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73C86F57" w14:textId="77777777">
            <w:pPr>
              <w:jc w:val="center"/>
              <w:textAlignment w:val="baseline"/>
              <w:rPr>
                <w:sz w:val="22"/>
                <w:szCs w:val="22"/>
              </w:rPr>
            </w:pPr>
            <w:r w:rsidRPr="00C035BE">
              <w:rPr>
                <w:sz w:val="22"/>
                <w:szCs w:val="22"/>
              </w:rPr>
              <w:t>Energy Storage</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6B646280" w14:textId="77777777">
            <w:pPr>
              <w:jc w:val="center"/>
              <w:textAlignment w:val="baseline"/>
              <w:rPr>
                <w:sz w:val="22"/>
                <w:szCs w:val="22"/>
              </w:rPr>
            </w:pPr>
            <w:r w:rsidRPr="00C035BE">
              <w:rPr>
                <w:sz w:val="22"/>
                <w:szCs w:val="22"/>
              </w:rPr>
              <w:t>RA w/ Financial Settlement</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0523B91F" w14:textId="77777777">
            <w:pPr>
              <w:ind w:right="90"/>
              <w:jc w:val="center"/>
              <w:textAlignment w:val="baseline"/>
              <w:rPr>
                <w:sz w:val="22"/>
                <w:szCs w:val="22"/>
              </w:rPr>
            </w:pPr>
            <w:r w:rsidRPr="00C035BE">
              <w:rPr>
                <w:sz w:val="22"/>
                <w:szCs w:val="22"/>
              </w:rPr>
              <w:t>09/01/2026-09/01/2041</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46818E09" w14:textId="77777777">
            <w:pPr>
              <w:ind w:right="90"/>
              <w:jc w:val="center"/>
              <w:textAlignment w:val="baseline"/>
              <w:rPr>
                <w:sz w:val="22"/>
                <w:szCs w:val="22"/>
              </w:rPr>
            </w:pPr>
            <w:r w:rsidRPr="00C035BE">
              <w:rPr>
                <w:sz w:val="22"/>
                <w:szCs w:val="22"/>
              </w:rPr>
              <w:t>89.12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627E5B" w:rsidP="000E1E55" w:rsidRDefault="00627E5B" w14:paraId="7332DCD0" w14:textId="77777777">
            <w:pPr>
              <w:ind w:right="90"/>
              <w:jc w:val="center"/>
              <w:textAlignment w:val="baseline"/>
              <w:rPr>
                <w:sz w:val="22"/>
                <w:szCs w:val="22"/>
              </w:rPr>
            </w:pPr>
            <w:r w:rsidRPr="00C035BE">
              <w:rPr>
                <w:sz w:val="22"/>
                <w:szCs w:val="22"/>
              </w:rPr>
              <w:t>68.26 MW</w:t>
            </w:r>
          </w:p>
        </w:tc>
      </w:tr>
      <w:tr w:rsidRPr="00C035BE" w:rsidR="001223BB" w:rsidTr="00CF4FFE" w14:paraId="4A700F50" w14:textId="77777777">
        <w:trPr>
          <w:trHeight w:val="197"/>
        </w:trPr>
        <w:tc>
          <w:tcPr>
            <w:tcW w:w="1522" w:type="dxa"/>
            <w:vMerge w:val="restart"/>
            <w:tcBorders>
              <w:top w:val="single" w:color="auto" w:sz="4" w:space="0"/>
              <w:left w:val="single" w:color="auto" w:sz="4" w:space="0"/>
              <w:bottom w:val="single" w:color="auto" w:sz="4" w:space="0"/>
              <w:right w:val="single" w:color="auto" w:sz="4" w:space="0"/>
            </w:tcBorders>
            <w:shd w:val="clear" w:color="auto" w:fill="auto"/>
          </w:tcPr>
          <w:p w:rsidRPr="00C035BE" w:rsidR="001223BB" w:rsidP="000E1E55" w:rsidRDefault="001223BB" w14:paraId="000E4E62" w14:textId="5DA93BEF">
            <w:pPr>
              <w:jc w:val="center"/>
              <w:textAlignment w:val="baseline"/>
              <w:rPr>
                <w:sz w:val="22"/>
                <w:szCs w:val="22"/>
                <w:highlight w:val="yellow"/>
              </w:rPr>
            </w:pPr>
            <w:r w:rsidRPr="00C035BE">
              <w:rPr>
                <w:sz w:val="22"/>
                <w:szCs w:val="22"/>
              </w:rPr>
              <w:t xml:space="preserve">AL </w:t>
            </w:r>
            <w:r w:rsidR="006C52A8">
              <w:rPr>
                <w:sz w:val="22"/>
                <w:szCs w:val="22"/>
              </w:rPr>
              <w:t>5371</w:t>
            </w:r>
            <w:r w:rsidRPr="00C035BE">
              <w:rPr>
                <w:sz w:val="22"/>
                <w:szCs w:val="22"/>
              </w:rPr>
              <w:t>-E, Draft Resolution</w:t>
            </w:r>
            <w:r w:rsidRPr="00C035BE">
              <w:rPr>
                <w:sz w:val="22"/>
                <w:szCs w:val="22"/>
              </w:rPr>
              <w:br/>
              <w:t xml:space="preserve">E- </w:t>
            </w:r>
            <w:r w:rsidR="006C52A8">
              <w:rPr>
                <w:sz w:val="22"/>
                <w:szCs w:val="22"/>
              </w:rPr>
              <w:t>5431</w:t>
            </w:r>
          </w:p>
        </w:tc>
        <w:tc>
          <w:tcPr>
            <w:tcW w:w="1178" w:type="dxa"/>
            <w:vMerge w:val="restart"/>
            <w:tcBorders>
              <w:top w:val="single" w:color="auto" w:sz="4" w:space="0"/>
              <w:left w:val="single" w:color="auto" w:sz="4" w:space="0"/>
              <w:bottom w:val="single" w:color="auto" w:sz="4" w:space="0"/>
              <w:right w:val="single" w:color="auto" w:sz="4" w:space="0"/>
            </w:tcBorders>
            <w:shd w:val="clear" w:color="auto" w:fill="auto"/>
          </w:tcPr>
          <w:p w:rsidRPr="006C52A8" w:rsidR="001223BB" w:rsidP="000E1E55" w:rsidRDefault="001223BB" w14:paraId="3FE1A765" w14:textId="33AD48F3">
            <w:pPr>
              <w:ind w:right="90"/>
              <w:jc w:val="center"/>
              <w:textAlignment w:val="baseline"/>
              <w:rPr>
                <w:sz w:val="22"/>
                <w:szCs w:val="22"/>
              </w:rPr>
            </w:pPr>
            <w:r w:rsidRPr="006C52A8">
              <w:rPr>
                <w:sz w:val="22"/>
                <w:szCs w:val="22"/>
              </w:rPr>
              <w:t>Pending</w:t>
            </w:r>
          </w:p>
        </w:tc>
        <w:tc>
          <w:tcPr>
            <w:tcW w:w="1080" w:type="dxa"/>
            <w:tcBorders>
              <w:top w:val="single" w:color="auto" w:sz="6" w:space="0"/>
              <w:left w:val="single" w:color="auto" w:sz="4" w:space="0"/>
              <w:bottom w:val="single" w:color="auto" w:sz="6" w:space="0"/>
              <w:right w:val="single" w:color="auto" w:sz="4" w:space="0"/>
            </w:tcBorders>
            <w:shd w:val="clear" w:color="auto" w:fill="auto"/>
          </w:tcPr>
          <w:p w:rsidRPr="00C035BE" w:rsidR="001223BB" w:rsidP="000E1E55" w:rsidRDefault="001223BB" w14:paraId="4EDFA476" w14:textId="5FD1CC0C">
            <w:pPr>
              <w:jc w:val="center"/>
              <w:textAlignment w:val="baseline"/>
              <w:rPr>
                <w:sz w:val="22"/>
                <w:szCs w:val="22"/>
              </w:rPr>
            </w:pPr>
            <w:r>
              <w:rPr>
                <w:sz w:val="22"/>
                <w:szCs w:val="22"/>
              </w:rPr>
              <w:t>Pier S</w:t>
            </w:r>
            <w:r w:rsidR="003C0DD0">
              <w:rPr>
                <w:sz w:val="22"/>
                <w:szCs w:val="22"/>
              </w:rPr>
              <w:t xml:space="preserve"> </w:t>
            </w:r>
            <w:r w:rsidR="00757015">
              <w:rPr>
                <w:sz w:val="22"/>
                <w:szCs w:val="22"/>
              </w:rPr>
              <w:t xml:space="preserve">Energy </w:t>
            </w:r>
            <w:r w:rsidR="003C0DD0">
              <w:rPr>
                <w:sz w:val="22"/>
                <w:szCs w:val="22"/>
              </w:rPr>
              <w:t>Storage</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0E1E55" w:rsidRDefault="001223BB" w14:paraId="74B51104" w14:textId="4E2BBD4E">
            <w:pPr>
              <w:jc w:val="center"/>
              <w:textAlignment w:val="baseline"/>
              <w:rPr>
                <w:sz w:val="22"/>
                <w:szCs w:val="22"/>
              </w:rPr>
            </w:pPr>
            <w:r>
              <w:rPr>
                <w:sz w:val="22"/>
                <w:szCs w:val="22"/>
              </w:rPr>
              <w:t>Energy Storage</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0E1E55" w:rsidRDefault="001223BB" w14:paraId="615AB199" w14:textId="6217035A">
            <w:pPr>
              <w:jc w:val="center"/>
              <w:textAlignment w:val="baseline"/>
              <w:rPr>
                <w:sz w:val="22"/>
                <w:szCs w:val="22"/>
              </w:rPr>
            </w:pPr>
            <w:r w:rsidRPr="001223BB">
              <w:rPr>
                <w:sz w:val="22"/>
                <w:szCs w:val="22"/>
              </w:rPr>
              <w:t>RA w/ Financial Settlement</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0E1E55" w:rsidRDefault="00DC061A" w14:paraId="6F5C3131" w14:textId="0C3626AF">
            <w:pPr>
              <w:ind w:right="90"/>
              <w:jc w:val="center"/>
              <w:textAlignment w:val="baseline"/>
              <w:rPr>
                <w:sz w:val="22"/>
                <w:szCs w:val="22"/>
              </w:rPr>
            </w:pPr>
            <w:r>
              <w:rPr>
                <w:sz w:val="22"/>
                <w:szCs w:val="22"/>
              </w:rPr>
              <w:t>6</w:t>
            </w:r>
            <w:r w:rsidR="00292CAC">
              <w:rPr>
                <w:sz w:val="22"/>
                <w:szCs w:val="22"/>
              </w:rPr>
              <w:t xml:space="preserve">/1/2026 </w:t>
            </w:r>
            <w:r>
              <w:rPr>
                <w:sz w:val="22"/>
                <w:szCs w:val="22"/>
              </w:rPr>
              <w:t>– 5/31/2042</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0E1E55" w:rsidRDefault="00DC061A" w14:paraId="3ED8133F" w14:textId="36A8B9DC">
            <w:pPr>
              <w:ind w:right="90"/>
              <w:jc w:val="center"/>
              <w:textAlignment w:val="baseline"/>
              <w:rPr>
                <w:sz w:val="22"/>
                <w:szCs w:val="22"/>
              </w:rPr>
            </w:pPr>
            <w:r>
              <w:rPr>
                <w:sz w:val="22"/>
                <w:szCs w:val="22"/>
              </w:rPr>
              <w:t>70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0E1E55" w:rsidRDefault="00DC061A" w14:paraId="026727D7" w14:textId="300C3AD7">
            <w:pPr>
              <w:ind w:right="90"/>
              <w:jc w:val="center"/>
              <w:textAlignment w:val="baseline"/>
              <w:rPr>
                <w:sz w:val="22"/>
                <w:szCs w:val="22"/>
              </w:rPr>
            </w:pPr>
            <w:r>
              <w:rPr>
                <w:sz w:val="22"/>
                <w:szCs w:val="22"/>
              </w:rPr>
              <w:t>54 MW</w:t>
            </w:r>
          </w:p>
        </w:tc>
      </w:tr>
      <w:tr w:rsidRPr="00C035BE" w:rsidR="001223BB" w:rsidTr="00CF4FFE" w14:paraId="39C7F9DE" w14:textId="77777777">
        <w:trPr>
          <w:trHeight w:val="197"/>
        </w:trPr>
        <w:tc>
          <w:tcPr>
            <w:tcW w:w="1522" w:type="dxa"/>
            <w:vMerge/>
            <w:tcBorders>
              <w:top w:val="single" w:color="auto" w:sz="4" w:space="0"/>
              <w:left w:val="single" w:color="auto" w:sz="4" w:space="0"/>
              <w:bottom w:val="single" w:color="auto" w:sz="4" w:space="0"/>
              <w:right w:val="single" w:color="auto" w:sz="4" w:space="0"/>
            </w:tcBorders>
          </w:tcPr>
          <w:p w:rsidRPr="00C035BE" w:rsidR="001223BB" w:rsidP="001223BB" w:rsidRDefault="001223BB" w14:paraId="6805B715" w14:textId="77777777">
            <w:pPr>
              <w:jc w:val="center"/>
              <w:textAlignment w:val="baseline"/>
              <w:rPr>
                <w:sz w:val="22"/>
                <w:szCs w:val="22"/>
                <w:highlight w:val="yellow"/>
              </w:rPr>
            </w:pPr>
          </w:p>
        </w:tc>
        <w:tc>
          <w:tcPr>
            <w:tcW w:w="1178" w:type="dxa"/>
            <w:vMerge/>
            <w:tcBorders>
              <w:top w:val="single" w:color="auto" w:sz="4" w:space="0"/>
              <w:left w:val="single" w:color="auto" w:sz="4" w:space="0"/>
              <w:bottom w:val="single" w:color="auto" w:sz="4" w:space="0"/>
              <w:right w:val="single" w:color="auto" w:sz="4" w:space="0"/>
            </w:tcBorders>
          </w:tcPr>
          <w:p w:rsidRPr="00C035BE" w:rsidR="001223BB" w:rsidP="001223BB" w:rsidRDefault="001223BB" w14:paraId="3E4D7DC4" w14:textId="77777777">
            <w:pPr>
              <w:ind w:right="90"/>
              <w:jc w:val="center"/>
              <w:textAlignment w:val="baseline"/>
              <w:rPr>
                <w:sz w:val="22"/>
                <w:szCs w:val="22"/>
                <w:highlight w:val="yellow"/>
              </w:rPr>
            </w:pPr>
          </w:p>
        </w:tc>
        <w:tc>
          <w:tcPr>
            <w:tcW w:w="1080" w:type="dxa"/>
            <w:tcBorders>
              <w:top w:val="single" w:color="auto" w:sz="6" w:space="0"/>
              <w:left w:val="single" w:color="auto" w:sz="4" w:space="0"/>
              <w:bottom w:val="single" w:color="auto" w:sz="6" w:space="0"/>
              <w:right w:val="single" w:color="auto" w:sz="4" w:space="0"/>
            </w:tcBorders>
            <w:shd w:val="clear" w:color="auto" w:fill="auto"/>
          </w:tcPr>
          <w:p w:rsidRPr="00C035BE" w:rsidR="001223BB" w:rsidP="001223BB" w:rsidRDefault="003C0DD0" w14:paraId="3DDE9993" w14:textId="29A35189">
            <w:pPr>
              <w:jc w:val="center"/>
              <w:textAlignment w:val="baseline"/>
              <w:rPr>
                <w:sz w:val="22"/>
                <w:szCs w:val="22"/>
              </w:rPr>
            </w:pPr>
            <w:r>
              <w:rPr>
                <w:sz w:val="22"/>
                <w:szCs w:val="22"/>
              </w:rPr>
              <w:t>Overnight Storage</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1223BB" w14:paraId="1FB68049" w14:textId="51E81360">
            <w:pPr>
              <w:jc w:val="center"/>
              <w:textAlignment w:val="baseline"/>
              <w:rPr>
                <w:sz w:val="22"/>
                <w:szCs w:val="22"/>
              </w:rPr>
            </w:pPr>
            <w:r>
              <w:rPr>
                <w:sz w:val="22"/>
                <w:szCs w:val="22"/>
              </w:rPr>
              <w:t>Energy Storage</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1223BB" w14:paraId="376428DE" w14:textId="4F3C1A59">
            <w:pPr>
              <w:jc w:val="center"/>
              <w:textAlignment w:val="baseline"/>
              <w:rPr>
                <w:sz w:val="22"/>
                <w:szCs w:val="22"/>
              </w:rPr>
            </w:pPr>
            <w:r w:rsidRPr="001223BB">
              <w:rPr>
                <w:sz w:val="22"/>
                <w:szCs w:val="22"/>
              </w:rPr>
              <w:t>RA w/ Financial Settlement</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292CAC" w14:paraId="188096E8" w14:textId="6C9ABD9E">
            <w:pPr>
              <w:ind w:right="90"/>
              <w:jc w:val="center"/>
              <w:textAlignment w:val="baseline"/>
              <w:rPr>
                <w:sz w:val="22"/>
                <w:szCs w:val="22"/>
              </w:rPr>
            </w:pPr>
            <w:r>
              <w:rPr>
                <w:sz w:val="22"/>
                <w:szCs w:val="22"/>
              </w:rPr>
              <w:t xml:space="preserve">4/1/2027 </w:t>
            </w:r>
            <w:r w:rsidR="00757015">
              <w:rPr>
                <w:sz w:val="22"/>
                <w:szCs w:val="22"/>
              </w:rPr>
              <w:t>– 3/31/2043</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292CAC" w14:paraId="1829F5FC" w14:textId="74876DFE">
            <w:pPr>
              <w:ind w:right="90"/>
              <w:jc w:val="center"/>
              <w:textAlignment w:val="baseline"/>
              <w:rPr>
                <w:sz w:val="22"/>
                <w:szCs w:val="22"/>
              </w:rPr>
            </w:pPr>
            <w:r>
              <w:rPr>
                <w:sz w:val="22"/>
                <w:szCs w:val="22"/>
              </w:rPr>
              <w:t>1</w:t>
            </w:r>
            <w:r w:rsidR="0030061F">
              <w:rPr>
                <w:sz w:val="22"/>
                <w:szCs w:val="22"/>
              </w:rPr>
              <w:t>50</w:t>
            </w:r>
            <w:r>
              <w:rPr>
                <w:sz w:val="22"/>
                <w:szCs w:val="22"/>
              </w:rPr>
              <w:t xml:space="preserve">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30061F" w14:paraId="1CCE84C3" w14:textId="1D320ADB">
            <w:pPr>
              <w:ind w:right="90"/>
              <w:jc w:val="center"/>
              <w:textAlignment w:val="baseline"/>
              <w:rPr>
                <w:sz w:val="22"/>
                <w:szCs w:val="22"/>
              </w:rPr>
            </w:pPr>
            <w:r>
              <w:rPr>
                <w:sz w:val="22"/>
                <w:szCs w:val="22"/>
              </w:rPr>
              <w:t>111 MW</w:t>
            </w:r>
          </w:p>
        </w:tc>
      </w:tr>
      <w:tr w:rsidRPr="00C035BE" w:rsidR="001223BB" w:rsidTr="00CF4FFE" w14:paraId="54C54E97" w14:textId="77777777">
        <w:trPr>
          <w:trHeight w:val="197"/>
        </w:trPr>
        <w:tc>
          <w:tcPr>
            <w:tcW w:w="1522" w:type="dxa"/>
            <w:vMerge/>
            <w:tcBorders>
              <w:top w:val="single" w:color="auto" w:sz="4" w:space="0"/>
              <w:left w:val="single" w:color="auto" w:sz="4" w:space="0"/>
              <w:bottom w:val="single" w:color="auto" w:sz="4" w:space="0"/>
              <w:right w:val="single" w:color="auto" w:sz="4" w:space="0"/>
            </w:tcBorders>
          </w:tcPr>
          <w:p w:rsidRPr="00C035BE" w:rsidR="001223BB" w:rsidP="001223BB" w:rsidRDefault="001223BB" w14:paraId="600E81EA" w14:textId="77777777">
            <w:pPr>
              <w:jc w:val="center"/>
              <w:textAlignment w:val="baseline"/>
              <w:rPr>
                <w:sz w:val="22"/>
                <w:szCs w:val="22"/>
                <w:highlight w:val="yellow"/>
              </w:rPr>
            </w:pPr>
          </w:p>
        </w:tc>
        <w:tc>
          <w:tcPr>
            <w:tcW w:w="1178" w:type="dxa"/>
            <w:vMerge/>
            <w:tcBorders>
              <w:top w:val="single" w:color="auto" w:sz="4" w:space="0"/>
              <w:left w:val="single" w:color="auto" w:sz="4" w:space="0"/>
              <w:bottom w:val="single" w:color="auto" w:sz="4" w:space="0"/>
              <w:right w:val="single" w:color="auto" w:sz="4" w:space="0"/>
            </w:tcBorders>
          </w:tcPr>
          <w:p w:rsidRPr="00C035BE" w:rsidR="001223BB" w:rsidP="001223BB" w:rsidRDefault="001223BB" w14:paraId="279ADD81" w14:textId="77777777">
            <w:pPr>
              <w:ind w:right="90"/>
              <w:jc w:val="center"/>
              <w:textAlignment w:val="baseline"/>
              <w:rPr>
                <w:sz w:val="22"/>
                <w:szCs w:val="22"/>
                <w:highlight w:val="yellow"/>
              </w:rPr>
            </w:pPr>
          </w:p>
        </w:tc>
        <w:tc>
          <w:tcPr>
            <w:tcW w:w="1080" w:type="dxa"/>
            <w:tcBorders>
              <w:top w:val="single" w:color="auto" w:sz="6" w:space="0"/>
              <w:left w:val="single" w:color="auto" w:sz="4" w:space="0"/>
              <w:bottom w:val="single" w:color="auto" w:sz="6" w:space="0"/>
              <w:right w:val="single" w:color="auto" w:sz="4" w:space="0"/>
            </w:tcBorders>
            <w:shd w:val="clear" w:color="auto" w:fill="auto"/>
          </w:tcPr>
          <w:p w:rsidRPr="00C035BE" w:rsidR="001223BB" w:rsidP="001223BB" w:rsidRDefault="002B7DE1" w14:paraId="7B305C20" w14:textId="5A31A211">
            <w:pPr>
              <w:jc w:val="center"/>
              <w:textAlignment w:val="baseline"/>
              <w:rPr>
                <w:sz w:val="22"/>
                <w:szCs w:val="22"/>
              </w:rPr>
            </w:pPr>
            <w:r w:rsidRPr="002B7DE1">
              <w:rPr>
                <w:sz w:val="22"/>
                <w:szCs w:val="22"/>
              </w:rPr>
              <w:t>Euismod</w:t>
            </w:r>
            <w:r>
              <w:rPr>
                <w:sz w:val="22"/>
                <w:szCs w:val="22"/>
              </w:rPr>
              <w:t xml:space="preserve"> </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1223BB" w:rsidP="001223BB" w:rsidRDefault="001223BB" w14:paraId="100D6094" w14:textId="77777777">
            <w:pPr>
              <w:jc w:val="center"/>
              <w:textAlignment w:val="baseline"/>
              <w:rPr>
                <w:sz w:val="22"/>
                <w:szCs w:val="22"/>
              </w:rPr>
            </w:pPr>
            <w:r>
              <w:rPr>
                <w:sz w:val="22"/>
                <w:szCs w:val="22"/>
              </w:rPr>
              <w:t>Energy Storage</w:t>
            </w:r>
          </w:p>
          <w:p w:rsidRPr="00C035BE" w:rsidR="002B7DE1" w:rsidP="001223BB" w:rsidRDefault="002B7DE1" w14:paraId="094B35A8" w14:textId="239ACBDB">
            <w:pPr>
              <w:jc w:val="center"/>
              <w:textAlignment w:val="baseline"/>
              <w:rPr>
                <w:sz w:val="22"/>
                <w:szCs w:val="22"/>
              </w:rPr>
            </w:pPr>
            <w:r>
              <w:rPr>
                <w:sz w:val="22"/>
                <w:szCs w:val="22"/>
              </w:rPr>
              <w:t>8 -hour</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1223BB" w14:paraId="25563597" w14:textId="473792B0">
            <w:pPr>
              <w:jc w:val="center"/>
              <w:textAlignment w:val="baseline"/>
              <w:rPr>
                <w:sz w:val="22"/>
                <w:szCs w:val="22"/>
              </w:rPr>
            </w:pPr>
            <w:r w:rsidRPr="001223BB">
              <w:rPr>
                <w:sz w:val="22"/>
                <w:szCs w:val="22"/>
              </w:rPr>
              <w:t>RA w/ Financial Settlement</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30061F" w14:paraId="7752A73C" w14:textId="76969B15">
            <w:pPr>
              <w:ind w:right="90"/>
              <w:jc w:val="center"/>
              <w:textAlignment w:val="baseline"/>
              <w:rPr>
                <w:sz w:val="22"/>
                <w:szCs w:val="22"/>
              </w:rPr>
            </w:pPr>
            <w:r>
              <w:rPr>
                <w:sz w:val="22"/>
                <w:szCs w:val="22"/>
              </w:rPr>
              <w:t>6/1/</w:t>
            </w:r>
            <w:r w:rsidR="00757015">
              <w:rPr>
                <w:sz w:val="22"/>
                <w:szCs w:val="22"/>
              </w:rPr>
              <w:t>2028 – 5/31/2043</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30061F" w14:paraId="38E6B0A5" w14:textId="0884562E">
            <w:pPr>
              <w:ind w:right="90"/>
              <w:jc w:val="center"/>
              <w:textAlignment w:val="baseline"/>
              <w:rPr>
                <w:sz w:val="22"/>
                <w:szCs w:val="22"/>
              </w:rPr>
            </w:pPr>
            <w:r>
              <w:rPr>
                <w:sz w:val="22"/>
                <w:szCs w:val="22"/>
              </w:rPr>
              <w:t>400 MW</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30061F" w14:paraId="0513698F" w14:textId="63226A56">
            <w:pPr>
              <w:ind w:right="90"/>
              <w:jc w:val="center"/>
              <w:textAlignment w:val="baseline"/>
              <w:rPr>
                <w:sz w:val="22"/>
                <w:szCs w:val="22"/>
              </w:rPr>
            </w:pPr>
            <w:r>
              <w:rPr>
                <w:sz w:val="22"/>
                <w:szCs w:val="22"/>
              </w:rPr>
              <w:t>360 MW</w:t>
            </w:r>
          </w:p>
        </w:tc>
      </w:tr>
      <w:tr w:rsidRPr="00C035BE" w:rsidR="001223BB" w:rsidTr="00CF4FFE" w14:paraId="16477FB9" w14:textId="77777777">
        <w:trPr>
          <w:trHeight w:val="197"/>
        </w:trPr>
        <w:tc>
          <w:tcPr>
            <w:tcW w:w="1522" w:type="dxa"/>
            <w:tcBorders>
              <w:top w:val="single" w:color="auto" w:sz="4" w:space="0"/>
              <w:left w:val="single" w:color="auto" w:sz="6" w:space="0"/>
              <w:bottom w:val="single" w:color="auto" w:sz="6" w:space="0"/>
              <w:right w:val="single" w:color="auto" w:sz="6" w:space="0"/>
            </w:tcBorders>
            <w:shd w:val="clear" w:color="auto" w:fill="auto"/>
          </w:tcPr>
          <w:p w:rsidRPr="00C035BE" w:rsidR="001223BB" w:rsidP="001223BB" w:rsidRDefault="001223BB" w14:paraId="3064E72D" w14:textId="77777777">
            <w:pPr>
              <w:jc w:val="center"/>
              <w:textAlignment w:val="baseline"/>
              <w:rPr>
                <w:sz w:val="22"/>
                <w:szCs w:val="22"/>
                <w:highlight w:val="yellow"/>
              </w:rPr>
            </w:pPr>
          </w:p>
        </w:tc>
        <w:tc>
          <w:tcPr>
            <w:tcW w:w="1178" w:type="dxa"/>
            <w:tcBorders>
              <w:top w:val="single" w:color="auto" w:sz="4" w:space="0"/>
              <w:left w:val="single" w:color="auto" w:sz="6" w:space="0"/>
              <w:bottom w:val="single" w:color="auto" w:sz="6" w:space="0"/>
              <w:right w:val="single" w:color="auto" w:sz="6" w:space="0"/>
            </w:tcBorders>
            <w:shd w:val="clear" w:color="auto" w:fill="auto"/>
          </w:tcPr>
          <w:p w:rsidRPr="00C035BE" w:rsidR="001223BB" w:rsidP="001223BB" w:rsidRDefault="001223BB" w14:paraId="2A05678A" w14:textId="77777777">
            <w:pPr>
              <w:ind w:right="90"/>
              <w:jc w:val="center"/>
              <w:textAlignment w:val="baseline"/>
              <w:rPr>
                <w:sz w:val="22"/>
                <w:szCs w:val="22"/>
                <w:highlight w:val="yellow"/>
              </w:rPr>
            </w:pPr>
          </w:p>
        </w:tc>
        <w:tc>
          <w:tcPr>
            <w:tcW w:w="1080" w:type="dxa"/>
            <w:tcBorders>
              <w:top w:val="single" w:color="auto" w:sz="6" w:space="0"/>
              <w:left w:val="single" w:color="auto" w:sz="6" w:space="0"/>
              <w:bottom w:val="single" w:color="auto" w:sz="6" w:space="0"/>
              <w:right w:val="single" w:color="auto" w:sz="4" w:space="0"/>
            </w:tcBorders>
            <w:shd w:val="clear" w:color="auto" w:fill="auto"/>
          </w:tcPr>
          <w:p w:rsidRPr="00C035BE" w:rsidR="001223BB" w:rsidP="001223BB" w:rsidRDefault="001223BB" w14:paraId="2C61E9D5" w14:textId="77777777">
            <w:pPr>
              <w:jc w:val="center"/>
              <w:textAlignment w:val="baseline"/>
              <w:rPr>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1223BB" w14:paraId="43545BE8" w14:textId="77777777">
            <w:pPr>
              <w:jc w:val="center"/>
              <w:textAlignment w:val="baseline"/>
              <w:rPr>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1223BB" w14:paraId="1656B0B8" w14:textId="77777777">
            <w:pPr>
              <w:jc w:val="center"/>
              <w:textAlignment w:val="baseline"/>
              <w:rPr>
                <w:sz w:val="22"/>
                <w:szCs w:val="22"/>
              </w:rPr>
            </w:pP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1223BB" w14:paraId="16C649BB" w14:textId="77777777">
            <w:pPr>
              <w:ind w:right="90"/>
              <w:jc w:val="center"/>
              <w:textAlignment w:val="baseline"/>
              <w:rPr>
                <w:sz w:val="22"/>
                <w:szCs w:val="22"/>
              </w:rPr>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1223BB" w14:paraId="500737F7" w14:textId="77777777">
            <w:pPr>
              <w:ind w:right="90"/>
              <w:jc w:val="center"/>
              <w:textAlignment w:val="baseline"/>
              <w:rPr>
                <w:sz w:val="22"/>
                <w:szCs w:val="22"/>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035BE" w:rsidR="001223BB" w:rsidP="001223BB" w:rsidRDefault="001223BB" w14:paraId="3FFADEF0" w14:textId="77777777">
            <w:pPr>
              <w:ind w:right="90"/>
              <w:jc w:val="center"/>
              <w:textAlignment w:val="baseline"/>
              <w:rPr>
                <w:sz w:val="22"/>
                <w:szCs w:val="22"/>
              </w:rPr>
            </w:pPr>
          </w:p>
        </w:tc>
      </w:tr>
      <w:tr w:rsidRPr="005D421E" w:rsidR="001223BB" w:rsidTr="7619423B" w14:paraId="022CFCB7" w14:textId="77777777">
        <w:trPr>
          <w:trHeight w:val="360"/>
        </w:trPr>
        <w:tc>
          <w:tcPr>
            <w:tcW w:w="7380" w:type="dxa"/>
            <w:gridSpan w:val="6"/>
            <w:tcBorders>
              <w:top w:val="single" w:color="auto" w:sz="6" w:space="0"/>
              <w:left w:val="single" w:color="auto" w:sz="6" w:space="0"/>
              <w:bottom w:val="single" w:color="auto" w:sz="6" w:space="0"/>
              <w:right w:val="single" w:color="auto" w:sz="6" w:space="0"/>
            </w:tcBorders>
            <w:shd w:val="clear" w:color="auto" w:fill="auto"/>
            <w:hideMark/>
          </w:tcPr>
          <w:p w:rsidRPr="005D421E" w:rsidR="001223BB" w:rsidP="001223BB" w:rsidRDefault="001223BB" w14:paraId="2968E92E" w14:textId="77777777">
            <w:pPr>
              <w:ind w:right="90"/>
              <w:textAlignment w:val="baseline"/>
              <w:rPr>
                <w:b/>
                <w:szCs w:val="24"/>
              </w:rPr>
            </w:pPr>
            <w:r w:rsidRPr="005D421E">
              <w:rPr>
                <w:b/>
                <w:szCs w:val="24"/>
              </w:rPr>
              <w:t>Total Capacity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5D421E" w:rsidR="001223BB" w:rsidP="001223BB" w:rsidRDefault="00943326" w14:paraId="38C64E59" w14:textId="78CB6890">
            <w:pPr>
              <w:jc w:val="center"/>
              <w:textAlignment w:val="baseline"/>
              <w:rPr>
                <w:b/>
                <w:szCs w:val="24"/>
              </w:rPr>
            </w:pPr>
            <w:r>
              <w:rPr>
                <w:b/>
                <w:szCs w:val="24"/>
              </w:rPr>
              <w:t>7,055.57</w:t>
            </w:r>
          </w:p>
        </w:tc>
        <w:tc>
          <w:tcPr>
            <w:tcW w:w="1530" w:type="dxa"/>
            <w:tcBorders>
              <w:top w:val="single" w:color="auto" w:sz="6" w:space="0"/>
              <w:left w:val="single" w:color="auto" w:sz="6" w:space="0"/>
              <w:bottom w:val="single" w:color="auto" w:sz="6" w:space="0"/>
              <w:right w:val="single" w:color="auto" w:sz="6" w:space="0"/>
            </w:tcBorders>
            <w:shd w:val="clear" w:color="auto" w:fill="auto"/>
            <w:hideMark/>
          </w:tcPr>
          <w:p w:rsidRPr="005D421E" w:rsidR="001223BB" w:rsidP="001223BB" w:rsidRDefault="000369F7" w14:paraId="2AB879FF" w14:textId="54A877CC">
            <w:pPr>
              <w:jc w:val="center"/>
              <w:textAlignment w:val="baseline"/>
              <w:rPr>
                <w:b/>
                <w:szCs w:val="24"/>
              </w:rPr>
            </w:pPr>
            <w:r>
              <w:rPr>
                <w:b/>
                <w:bCs/>
                <w:szCs w:val="24"/>
              </w:rPr>
              <w:t>5</w:t>
            </w:r>
            <w:r w:rsidR="006C52A8">
              <w:rPr>
                <w:b/>
                <w:bCs/>
                <w:szCs w:val="24"/>
              </w:rPr>
              <w:t>,405</w:t>
            </w:r>
            <w:r w:rsidR="001223BB">
              <w:rPr>
                <w:b/>
                <w:bCs/>
                <w:szCs w:val="24"/>
              </w:rPr>
              <w:t>.65</w:t>
            </w:r>
          </w:p>
        </w:tc>
      </w:tr>
    </w:tbl>
    <w:p w:rsidR="003E0C29" w:rsidP="00B01834" w:rsidRDefault="003E0C29" w14:paraId="709BF1E5" w14:textId="0DDC4E0B"/>
    <w:p w:rsidR="00C342E2" w:rsidP="00B01834" w:rsidRDefault="00C342E2" w14:paraId="6413FB59" w14:textId="77777777"/>
    <w:p w:rsidR="00C342E2" w:rsidP="00B01834" w:rsidRDefault="00C342E2" w14:paraId="71D53436" w14:textId="77777777"/>
    <w:p w:rsidR="00C342E2" w:rsidP="00B01834" w:rsidRDefault="00C342E2" w14:paraId="253D8DBB" w14:textId="77777777"/>
    <w:p w:rsidR="00C342E2" w:rsidP="00C342E2" w:rsidRDefault="00C342E2" w14:paraId="67D88026" w14:textId="4EA04F9A">
      <w:pPr>
        <w:jc w:val="center"/>
      </w:pPr>
      <w:r>
        <w:t>(End of Appendix A)</w:t>
      </w:r>
    </w:p>
    <w:sectPr w:rsidR="00C342E2" w:rsidSect="00B35F10">
      <w:footerReference w:type="default" r:id="rId15"/>
      <w:headerReference w:type="first" r:id="rId16"/>
      <w:footerReference w:type="first" r:id="rId17"/>
      <w:pgSz w:w="12240" w:h="15840" w:code="1"/>
      <w:pgMar w:top="1224" w:right="1350" w:bottom="1224" w:left="1224"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C9E4D" w14:textId="77777777" w:rsidR="00DB6BBC" w:rsidRDefault="00DB6BBC" w:rsidP="00B01834">
      <w:r>
        <w:separator/>
      </w:r>
    </w:p>
  </w:endnote>
  <w:endnote w:type="continuationSeparator" w:id="0">
    <w:p w14:paraId="1371D6AC" w14:textId="77777777" w:rsidR="00DB6BBC" w:rsidRDefault="00DB6BBC" w:rsidP="00B01834">
      <w:r>
        <w:continuationSeparator/>
      </w:r>
    </w:p>
  </w:endnote>
  <w:endnote w:type="continuationNotice" w:id="1">
    <w:p w14:paraId="27472CA1" w14:textId="77777777" w:rsidR="00DB6BBC" w:rsidRDefault="00DB6BBC" w:rsidP="00B01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Palatino">
    <w:altName w:val="Palatino Linotype"/>
    <w:panose1 w:val="00000000000000000000"/>
    <w:charset w:val="00"/>
    <w:family w:val="auto"/>
    <w:pitch w:val="variable"/>
    <w:sig w:usb0="20000A87" w:usb1="08000000" w:usb2="00000008" w:usb3="00000000" w:csb0="0000011F" w:csb1="00000000"/>
  </w:font>
  <w:font w:name="Helvetica">
    <w:panose1 w:val="020B0604020202020204"/>
    <w:charset w:val="00"/>
    <w:family w:val="swiss"/>
    <w:pitch w:val="variable"/>
    <w:sig w:usb0="E0002AFF" w:usb1="5000785B" w:usb2="00000000" w:usb3="00000000" w:csb0="000001FF" w:csb1="00000000"/>
  </w:font>
  <w:font w:name="Segoe UI">
    <w:panose1 w:val="020B0502040204020203"/>
    <w:charset w:val="00"/>
    <w:family w:val="swiss"/>
    <w:pitch w:val="variable"/>
    <w:sig w:usb0="E4002EFF" w:usb1="C000E47F" w:usb2="00000009" w:usb3="00000000" w:csb0="000001FF" w:csb1="00000000"/>
  </w:font>
  <w:font w:name="Palatino,Times New Roman">
    <w:altName w:val="Palatino Linotyp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39E4" w14:textId="77777777" w:rsidR="003E0C29" w:rsidRPr="00543E78" w:rsidRDefault="00EB7C9E" w:rsidP="00543E78">
    <w:pPr>
      <w:pStyle w:val="Footer"/>
      <w:spacing w:after="0"/>
      <w:rPr>
        <w:szCs w:val="24"/>
      </w:rPr>
    </w:pPr>
    <w:r w:rsidRPr="00543E78">
      <w:rPr>
        <w:szCs w:val="24"/>
      </w:rPr>
      <w:fldChar w:fldCharType="begin"/>
    </w:r>
    <w:r w:rsidRPr="00543E78">
      <w:rPr>
        <w:szCs w:val="24"/>
      </w:rPr>
      <w:instrText xml:space="preserve"> PAGE   \* MERGEFORMAT </w:instrText>
    </w:r>
    <w:r w:rsidRPr="00543E78">
      <w:rPr>
        <w:szCs w:val="24"/>
      </w:rPr>
      <w:fldChar w:fldCharType="separate"/>
    </w:r>
    <w:r w:rsidRPr="00543E78">
      <w:rPr>
        <w:szCs w:val="24"/>
      </w:rPr>
      <w:t>2</w:t>
    </w:r>
    <w:r w:rsidRPr="00543E78">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B5B92" w14:textId="2435C2AC" w:rsidR="003E0C29" w:rsidRPr="00B01834" w:rsidRDefault="00B43DBF" w:rsidP="00A412F3">
    <w:pPr>
      <w:pStyle w:val="Footer"/>
      <w:tabs>
        <w:tab w:val="left" w:pos="180"/>
        <w:tab w:val="center" w:pos="4896"/>
      </w:tabs>
      <w:spacing w:after="0"/>
      <w:jc w:val="left"/>
      <w:rPr>
        <w:caps/>
      </w:rPr>
    </w:pPr>
    <w:r>
      <w:rPr>
        <w:caps/>
      </w:rPr>
      <w:tab/>
    </w:r>
    <w:r w:rsidR="00A412F3" w:rsidRPr="00A412F3">
      <w:rPr>
        <w:rFonts w:ascii="Tahoma" w:hAnsi="Tahoma" w:cs="Tahoma"/>
        <w:sz w:val="20"/>
      </w:rPr>
      <w:t>554849464</w:t>
    </w:r>
    <w:r>
      <w:rPr>
        <w:caps/>
      </w:rPr>
      <w:tab/>
    </w:r>
    <w:r>
      <w:rPr>
        <w:caps/>
      </w:rPr>
      <w:tab/>
    </w:r>
    <w:r w:rsidR="00EB7C9E" w:rsidRPr="00B01834">
      <w:rPr>
        <w:caps/>
      </w:rPr>
      <w:fldChar w:fldCharType="begin"/>
    </w:r>
    <w:r w:rsidR="00EB7C9E">
      <w:instrText xml:space="preserve"> PAGE   \* MERGEFORMAT </w:instrText>
    </w:r>
    <w:r w:rsidR="00EB7C9E" w:rsidRPr="00B01834">
      <w:rPr>
        <w:caps/>
      </w:rPr>
      <w:fldChar w:fldCharType="separate"/>
    </w:r>
    <w:r w:rsidR="00EB7C9E">
      <w:t>1</w:t>
    </w:r>
    <w:r w:rsidR="00EB7C9E" w:rsidRPr="00B01834">
      <w:rPr>
        <w:cap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AD7E6" w14:textId="1E44C5C3" w:rsidR="00BA64E1" w:rsidRPr="00543E78" w:rsidRDefault="00BA64E1" w:rsidP="00543E78">
    <w:pPr>
      <w:pStyle w:val="Footer"/>
      <w:spacing w:after="0"/>
      <w:rPr>
        <w:szCs w:val="24"/>
      </w:rPr>
    </w:pPr>
    <w:r>
      <w:rPr>
        <w:szCs w:val="24"/>
      </w:rPr>
      <w:t>A-</w:t>
    </w:r>
    <w:r w:rsidRPr="00543E78">
      <w:rPr>
        <w:szCs w:val="24"/>
      </w:rPr>
      <w:fldChar w:fldCharType="begin"/>
    </w:r>
    <w:r w:rsidRPr="00543E78">
      <w:rPr>
        <w:szCs w:val="24"/>
      </w:rPr>
      <w:instrText xml:space="preserve"> PAGE   \* MERGEFORMAT </w:instrText>
    </w:r>
    <w:r w:rsidRPr="00543E78">
      <w:rPr>
        <w:szCs w:val="24"/>
      </w:rPr>
      <w:fldChar w:fldCharType="separate"/>
    </w:r>
    <w:r w:rsidRPr="00543E78">
      <w:rPr>
        <w:szCs w:val="24"/>
      </w:rPr>
      <w:t>2</w:t>
    </w:r>
    <w:r w:rsidRPr="00543E78">
      <w:rPr>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BC3E0" w14:textId="7C4183FD" w:rsidR="00162B39" w:rsidRPr="00B01834" w:rsidRDefault="00162B39" w:rsidP="00984079">
    <w:pPr>
      <w:pStyle w:val="Footer"/>
      <w:tabs>
        <w:tab w:val="clear" w:pos="4320"/>
        <w:tab w:val="left" w:pos="180"/>
        <w:tab w:val="center" w:pos="4896"/>
      </w:tabs>
      <w:spacing w:after="0"/>
      <w:jc w:val="left"/>
      <w:rPr>
        <w:caps/>
      </w:rPr>
    </w:pPr>
    <w:r>
      <w:rPr>
        <w:caps/>
      </w:rPr>
      <w:tab/>
    </w:r>
    <w:r w:rsidR="00BA64E1">
      <w:rPr>
        <w:cap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D82BD" w14:textId="77777777" w:rsidR="00DB6BBC" w:rsidRDefault="00DB6BBC" w:rsidP="00B01834">
      <w:r>
        <w:separator/>
      </w:r>
    </w:p>
  </w:footnote>
  <w:footnote w:type="continuationSeparator" w:id="0">
    <w:p w14:paraId="6AD2F660" w14:textId="77777777" w:rsidR="00DB6BBC" w:rsidRDefault="00DB6BBC" w:rsidP="00B01834">
      <w:r>
        <w:continuationSeparator/>
      </w:r>
    </w:p>
  </w:footnote>
  <w:footnote w:type="continuationNotice" w:id="1">
    <w:p w14:paraId="297DEFDF" w14:textId="77777777" w:rsidR="00DB6BBC" w:rsidRDefault="00DB6BBC">
      <w:pPr>
        <w:rPr>
          <w:sz w:val="22"/>
        </w:rPr>
      </w:pPr>
    </w:p>
    <w:p w14:paraId="5F681022" w14:textId="77777777" w:rsidR="00DB6BBC" w:rsidRPr="00B01834" w:rsidRDefault="00DB6BBC" w:rsidP="00B01834">
      <w:pPr>
        <w:jc w:val="right"/>
        <w:rPr>
          <w:sz w:val="22"/>
        </w:rPr>
      </w:pPr>
      <w:r>
        <w:rPr>
          <w:i/>
          <w:sz w:val="22"/>
        </w:rPr>
        <w:t>Footnote continued on next page.</w:t>
      </w:r>
    </w:p>
  </w:footnote>
  <w:footnote w:id="2">
    <w:p w14:paraId="513E1525" w14:textId="087DC86E" w:rsidR="00D6642B" w:rsidRDefault="00D6642B" w:rsidP="00E307A0">
      <w:pPr>
        <w:pStyle w:val="FootnoteText"/>
        <w:tabs>
          <w:tab w:val="clear" w:pos="360"/>
          <w:tab w:val="num" w:pos="90"/>
        </w:tabs>
        <w:ind w:left="90" w:hanging="90"/>
      </w:pPr>
      <w:r>
        <w:rPr>
          <w:rStyle w:val="FootnoteReference"/>
        </w:rPr>
        <w:footnoteRef/>
      </w:r>
      <w:r>
        <w:t xml:space="preserve"> </w:t>
      </w:r>
      <w:r w:rsidRPr="00787FF5">
        <w:t>Compliance would be measured based on September NQC calculations using marginal Effective Load Carrying Capability (ELCCs) calculated by the Commission for each resource type for each future online year</w:t>
      </w:r>
    </w:p>
  </w:footnote>
  <w:footnote w:id="3">
    <w:p w14:paraId="7E2CE0BF" w14:textId="10519303" w:rsidR="00FF5754" w:rsidRDefault="00FF5754">
      <w:pPr>
        <w:pStyle w:val="FootnoteText"/>
      </w:pPr>
      <w:r>
        <w:rPr>
          <w:rStyle w:val="FootnoteReference"/>
        </w:rPr>
        <w:footnoteRef/>
      </w:r>
      <w:r>
        <w:t xml:space="preserve"> </w:t>
      </w:r>
      <w:r w:rsidR="00046B18" w:rsidRPr="00046B18">
        <w:t>On February 15, 2024, the Commission adopted D.24-02-047</w:t>
      </w:r>
      <w:r w:rsidR="003D1E39">
        <w:t xml:space="preserve"> which </w:t>
      </w:r>
      <w:r w:rsidR="006420A9">
        <w:t>allows LSE to request extension on long lead time procurement</w:t>
      </w:r>
      <w:r w:rsidR="00BA2A16">
        <w:t xml:space="preserve">.  </w:t>
      </w:r>
      <w:r w:rsidR="006420A9">
        <w:t>See OP</w:t>
      </w:r>
      <w:r w:rsidR="00DC7D11">
        <w:t xml:space="preserve"> 16-17.</w:t>
      </w:r>
    </w:p>
  </w:footnote>
  <w:footnote w:id="4">
    <w:p w14:paraId="5CCA63C3" w14:textId="77777777" w:rsidR="00D10CC1" w:rsidRPr="009079EB" w:rsidRDefault="00D10CC1" w:rsidP="00D23076">
      <w:pPr>
        <w:pStyle w:val="FootnoteText"/>
        <w:tabs>
          <w:tab w:val="clear" w:pos="360"/>
        </w:tabs>
      </w:pPr>
      <w:r w:rsidRPr="009079EB">
        <w:rPr>
          <w:rStyle w:val="FootnoteReference"/>
        </w:rPr>
        <w:footnoteRef/>
      </w:r>
      <w:r w:rsidR="005C3A58" w:rsidRPr="009079EB">
        <w:t xml:space="preserve"> OP</w:t>
      </w:r>
      <w:r w:rsidR="00E20428" w:rsidRPr="009079EB">
        <w:t xml:space="preserve"> 6 in</w:t>
      </w:r>
      <w:r w:rsidRPr="009079EB">
        <w:t xml:space="preserve"> </w:t>
      </w:r>
      <w:hyperlink r:id="rId1" w:history="1">
        <w:r w:rsidRPr="009079EB">
          <w:rPr>
            <w:rStyle w:val="Hyperlink"/>
          </w:rPr>
          <w:t>D.21-06-035</w:t>
        </w:r>
      </w:hyperlink>
      <w:r w:rsidR="005C3A58" w:rsidRPr="009079EB">
        <w:t xml:space="preserve"> at </w:t>
      </w:r>
      <w:r w:rsidR="006B76C9" w:rsidRPr="009079EB">
        <w:t>9</w:t>
      </w:r>
      <w:r w:rsidR="00E20428" w:rsidRPr="009079EB">
        <w:t>6</w:t>
      </w:r>
      <w:r w:rsidR="006B76C9" w:rsidRPr="009079EB">
        <w:t>.</w:t>
      </w:r>
    </w:p>
  </w:footnote>
  <w:footnote w:id="5">
    <w:p w14:paraId="5C20CD08" w14:textId="1AFA43B7" w:rsidR="009858F5" w:rsidRDefault="009858F5">
      <w:pPr>
        <w:pStyle w:val="FootnoteText"/>
      </w:pPr>
      <w:r>
        <w:rPr>
          <w:rStyle w:val="FootnoteReference"/>
        </w:rPr>
        <w:footnoteRef/>
      </w:r>
      <w:r>
        <w:t xml:space="preserve"> Requirement</w:t>
      </w:r>
      <w:r w:rsidR="00520390">
        <w:t xml:space="preserve"> MW</w:t>
      </w:r>
      <w:r>
        <w:t xml:space="preserve"> are September net qualifying capacity.</w:t>
      </w:r>
    </w:p>
  </w:footnote>
  <w:footnote w:id="6">
    <w:p w14:paraId="4821ADF9" w14:textId="712E3940" w:rsidR="000B4149" w:rsidRDefault="000B4149" w:rsidP="00C23E1A">
      <w:pPr>
        <w:pStyle w:val="FootnoteText"/>
        <w:tabs>
          <w:tab w:val="clear" w:pos="360"/>
        </w:tabs>
        <w:ind w:left="90" w:hanging="90"/>
      </w:pPr>
      <w:r>
        <w:rPr>
          <w:rStyle w:val="FootnoteReference"/>
        </w:rPr>
        <w:footnoteRef/>
      </w:r>
      <w:r>
        <w:t xml:space="preserve"> </w:t>
      </w:r>
      <w:r w:rsidR="00B22D21">
        <w:t xml:space="preserve">D.21-06-035 </w:t>
      </w:r>
      <w:r w:rsidR="002418D8">
        <w:t>at</w:t>
      </w:r>
      <w:r w:rsidR="009B53A3">
        <w:t xml:space="preserve"> </w:t>
      </w:r>
      <w:r w:rsidR="001952FE">
        <w:t>57</w:t>
      </w:r>
      <w:r w:rsidR="003C4EB8">
        <w:t xml:space="preserve"> and OP2</w:t>
      </w:r>
      <w:r w:rsidR="009B53A3">
        <w:t>:</w:t>
      </w:r>
      <w:r w:rsidR="00B22D21">
        <w:t xml:space="preserve"> </w:t>
      </w:r>
      <w:r w:rsidRPr="00787FF5">
        <w:t>The Long Lead Time (LLT) resource requirements are divided into half from long-duration storage and half from firm, zero-emitting generation resources.</w:t>
      </w:r>
    </w:p>
  </w:footnote>
  <w:footnote w:id="7">
    <w:p w14:paraId="6C94E2C6" w14:textId="025DB89A" w:rsidR="004C2CB1" w:rsidRDefault="004C2CB1">
      <w:pPr>
        <w:pStyle w:val="FootnoteText"/>
      </w:pPr>
      <w:r>
        <w:rPr>
          <w:rStyle w:val="FootnoteReference"/>
        </w:rPr>
        <w:footnoteRef/>
      </w:r>
      <w:r>
        <w:t xml:space="preserve"> </w:t>
      </w:r>
      <w:r w:rsidRPr="009079EB">
        <w:t xml:space="preserve">OP 2 </w:t>
      </w:r>
      <w:hyperlink r:id="rId2" w:history="1">
        <w:r w:rsidRPr="009079EB">
          <w:rPr>
            <w:rStyle w:val="Hyperlink"/>
          </w:rPr>
          <w:t>in D.23-02-040</w:t>
        </w:r>
      </w:hyperlink>
      <w:r w:rsidRPr="009079EB">
        <w:t xml:space="preserve"> at 87</w:t>
      </w:r>
      <w:r>
        <w:t>.</w:t>
      </w:r>
    </w:p>
  </w:footnote>
  <w:footnote w:id="8">
    <w:p w14:paraId="43030850" w14:textId="61228998" w:rsidR="003E0C29" w:rsidRPr="00B01834" w:rsidRDefault="00EB7C9E" w:rsidP="00B01834">
      <w:pPr>
        <w:pStyle w:val="FootnoteText"/>
        <w:tabs>
          <w:tab w:val="clear" w:pos="360"/>
        </w:tabs>
        <w:ind w:left="0" w:firstLine="0"/>
      </w:pPr>
      <w:r w:rsidRPr="00B01834">
        <w:rPr>
          <w:rStyle w:val="FootnoteReference"/>
          <w:rFonts w:eastAsia="Palatino Linotype"/>
        </w:rPr>
        <w:footnoteRef/>
      </w:r>
      <w:r w:rsidR="00316918" w:rsidRPr="009079EB">
        <w:rPr>
          <w:i/>
          <w:iCs/>
        </w:rPr>
        <w:t xml:space="preserve"> </w:t>
      </w:r>
      <w:r w:rsidR="006B76C9" w:rsidRPr="009079EB">
        <w:t>OP 13</w:t>
      </w:r>
      <w:r w:rsidR="00CF580A" w:rsidRPr="009079EB">
        <w:t xml:space="preserve"> in </w:t>
      </w:r>
      <w:hyperlink r:id="rId3" w:history="1">
        <w:r w:rsidR="00316918" w:rsidRPr="009079EB">
          <w:rPr>
            <w:rStyle w:val="Hyperlink"/>
          </w:rPr>
          <w:t>D.21-06-035</w:t>
        </w:r>
      </w:hyperlink>
      <w:r w:rsidR="003052E4" w:rsidRPr="009079EB">
        <w:t xml:space="preserve"> </w:t>
      </w:r>
      <w:r w:rsidR="00CF580A" w:rsidRPr="009079EB">
        <w:t>at 97</w:t>
      </w:r>
      <w:r w:rsidR="00BA2A16">
        <w:t xml:space="preserve">.  </w:t>
      </w:r>
      <w:r>
        <w:t xml:space="preserve">OP 13 in </w:t>
      </w:r>
      <w:hyperlink r:id="rId4">
        <w:r w:rsidR="003E0C29">
          <w:rPr>
            <w:color w:val="0000FF"/>
            <w:u w:val="single" w:color="0000FF"/>
          </w:rPr>
          <w:t>D.21-06-035</w:t>
        </w:r>
      </w:hyperlink>
      <w:r>
        <w:t xml:space="preserve"> at 97</w:t>
      </w:r>
      <w:r w:rsidR="00BA2A16">
        <w:t xml:space="preserve">.  </w:t>
      </w:r>
    </w:p>
  </w:footnote>
  <w:footnote w:id="9">
    <w:p w14:paraId="0379DFF8" w14:textId="37D7FF3D" w:rsidR="003E0C29" w:rsidRPr="00B01834" w:rsidRDefault="00EB7C9E" w:rsidP="00B01834">
      <w:pPr>
        <w:pStyle w:val="FootnoteText"/>
        <w:tabs>
          <w:tab w:val="clear" w:pos="360"/>
        </w:tabs>
        <w:ind w:left="0" w:firstLine="0"/>
      </w:pPr>
      <w:r w:rsidRPr="00B01834">
        <w:rPr>
          <w:rStyle w:val="FootnoteReference"/>
          <w:rFonts w:eastAsia="Palatino Linotype"/>
        </w:rPr>
        <w:footnoteRef/>
      </w:r>
      <w:r w:rsidR="00BC56D9" w:rsidRPr="009079EB">
        <w:t xml:space="preserve"> OP 2 </w:t>
      </w:r>
      <w:hyperlink r:id="rId5" w:history="1">
        <w:r w:rsidR="00BC56D9" w:rsidRPr="009079EB">
          <w:rPr>
            <w:rStyle w:val="Hyperlink"/>
          </w:rPr>
          <w:t>in D.23-02-040</w:t>
        </w:r>
      </w:hyperlink>
      <w:r w:rsidR="00BC56D9" w:rsidRPr="009079EB">
        <w:t xml:space="preserve"> at </w:t>
      </w:r>
      <w:r w:rsidR="0030666B" w:rsidRPr="009079EB">
        <w:t>87</w:t>
      </w:r>
      <w:r w:rsidR="00BA2A16">
        <w:t xml:space="preserve">. </w:t>
      </w:r>
    </w:p>
  </w:footnote>
  <w:footnote w:id="10">
    <w:p w14:paraId="7655EA3F" w14:textId="3BEC27DF" w:rsidR="003E0C29" w:rsidRPr="00B01834" w:rsidRDefault="00EB7C9E" w:rsidP="00B01834">
      <w:pPr>
        <w:pStyle w:val="FootnoteText"/>
        <w:tabs>
          <w:tab w:val="clear" w:pos="360"/>
        </w:tabs>
        <w:ind w:left="0" w:firstLine="0"/>
      </w:pPr>
      <w:r w:rsidRPr="00B01834">
        <w:rPr>
          <w:rStyle w:val="FootnoteReference"/>
          <w:rFonts w:eastAsia="Palatino Linotype"/>
        </w:rPr>
        <w:footnoteRef/>
      </w:r>
      <w:r w:rsidRPr="00B01834">
        <w:t xml:space="preserve"> The RA with Financial </w:t>
      </w:r>
      <w:r w:rsidR="008C02F7">
        <w:t xml:space="preserve">Settlement </w:t>
      </w:r>
      <w:r w:rsidRPr="00B01834">
        <w:t>contract structure provides SCE with an energy settlement payment that approximates energy arbitrage revenue (i.e., energy settlement payment that would reduce the overall payments to the bidder), accounting for the project’s round-trip efficiency factor (i.e., charging-discharging energy losses) and variable O&amp;M cost (VOM)</w:t>
      </w:r>
      <w:r w:rsidR="00BA2A16">
        <w:t xml:space="preserve">.  </w:t>
      </w:r>
      <w:r w:rsidRPr="00B01834">
        <w:t>The energy market benefits are calculated from a formula that used actual day-ahead hourly market prices and operational/pricing parameters that were set by the Seller</w:t>
      </w:r>
      <w:r w:rsidR="00BA2A16">
        <w:t xml:space="preserve">.  </w:t>
      </w:r>
      <w:r w:rsidRPr="00B01834">
        <w:t>The formula is designed to estimate the likely profits that the Seller might achieve in the daily energy markets</w:t>
      </w:r>
      <w:r w:rsidR="00BA2A16">
        <w:t xml:space="preserve">.  </w:t>
      </w:r>
      <w:r w:rsidRPr="0004104B">
        <w:t xml:space="preserve">SCE AL </w:t>
      </w:r>
      <w:r w:rsidR="0004104B">
        <w:t>5431</w:t>
      </w:r>
      <w:r w:rsidRPr="0004104B">
        <w:t>-E</w:t>
      </w:r>
      <w:r w:rsidRPr="00B01834">
        <w:t xml:space="preserve"> at </w:t>
      </w:r>
      <w:r w:rsidR="0004104B">
        <w:t>14</w:t>
      </w:r>
      <w:r w:rsidRPr="00B01834">
        <w:t xml:space="preserve">, and Appendix D at </w:t>
      </w:r>
      <w:r w:rsidR="00E236FF">
        <w:t>8</w:t>
      </w:r>
      <w:r w:rsidRPr="00B01834">
        <w:t>.</w:t>
      </w:r>
    </w:p>
  </w:footnote>
  <w:footnote w:id="11">
    <w:p w14:paraId="0C5B05C9" w14:textId="4375E72C" w:rsidR="00DD0CCC" w:rsidRPr="009079EB" w:rsidRDefault="00DD0CCC" w:rsidP="008F7AE6">
      <w:pPr>
        <w:pStyle w:val="FootnoteText"/>
        <w:tabs>
          <w:tab w:val="clear" w:pos="360"/>
        </w:tabs>
      </w:pPr>
      <w:r w:rsidRPr="009079EB">
        <w:rPr>
          <w:rStyle w:val="FootnoteReference"/>
        </w:rPr>
        <w:footnoteRef/>
      </w:r>
      <w:r w:rsidRPr="009079EB">
        <w:t xml:space="preserve"> SCE AL </w:t>
      </w:r>
      <w:r w:rsidR="005A3861">
        <w:t>5431</w:t>
      </w:r>
      <w:r w:rsidRPr="009079EB">
        <w:t xml:space="preserve">-E at </w:t>
      </w:r>
      <w:r w:rsidR="00602340" w:rsidRPr="009079EB">
        <w:t>8</w:t>
      </w:r>
      <w:r w:rsidR="00BA2A16">
        <w:t xml:space="preserve">.  </w:t>
      </w:r>
    </w:p>
  </w:footnote>
  <w:footnote w:id="12">
    <w:p w14:paraId="59086168" w14:textId="2DD576B5" w:rsidR="003E0C29" w:rsidRPr="00B01834" w:rsidRDefault="00EB7C9E" w:rsidP="00B01834">
      <w:pPr>
        <w:pStyle w:val="FootnoteText"/>
        <w:tabs>
          <w:tab w:val="clear" w:pos="360"/>
        </w:tabs>
      </w:pPr>
      <w:r w:rsidRPr="00B01834">
        <w:rPr>
          <w:rStyle w:val="FootnoteReference"/>
          <w:rFonts w:eastAsia="Palatino Linotype"/>
        </w:rPr>
        <w:footnoteRef/>
      </w:r>
      <w:r w:rsidRPr="00B01834">
        <w:t xml:space="preserve"> </w:t>
      </w:r>
      <w:r w:rsidRPr="009A3519">
        <w:rPr>
          <w:rStyle w:val="FootnotetextChar0"/>
        </w:rPr>
        <w:t xml:space="preserve">SCE AL </w:t>
      </w:r>
      <w:r w:rsidR="00F41920" w:rsidRPr="009A3519">
        <w:rPr>
          <w:rStyle w:val="FootnotetextChar0"/>
        </w:rPr>
        <w:t>5</w:t>
      </w:r>
      <w:r w:rsidR="00033B2D" w:rsidRPr="009A3519">
        <w:rPr>
          <w:rStyle w:val="FootnotetextChar0"/>
        </w:rPr>
        <w:t>431</w:t>
      </w:r>
      <w:r w:rsidRPr="009A3519">
        <w:rPr>
          <w:rStyle w:val="FootnotetextChar0"/>
        </w:rPr>
        <w:t>-E at 8</w:t>
      </w:r>
      <w:r w:rsidR="00033B2D" w:rsidRPr="009A3519">
        <w:rPr>
          <w:rStyle w:val="FootnotetextChar0"/>
        </w:rPr>
        <w:t>-9</w:t>
      </w:r>
      <w:r w:rsidR="00BA2A16">
        <w:t xml:space="preserve">.  </w:t>
      </w:r>
    </w:p>
  </w:footnote>
  <w:footnote w:id="13">
    <w:p w14:paraId="7BCD9A74" w14:textId="77777777" w:rsidR="00BA611A" w:rsidRDefault="00BA611A">
      <w:pPr>
        <w:pStyle w:val="FootnoteText"/>
      </w:pPr>
      <w:r>
        <w:rPr>
          <w:rStyle w:val="FootnoteReference"/>
        </w:rPr>
        <w:footnoteRef/>
      </w:r>
      <w:r>
        <w:t xml:space="preserve"> SCE AL</w:t>
      </w:r>
      <w:r w:rsidR="008140D0">
        <w:t>-5431 at 9.</w:t>
      </w:r>
    </w:p>
  </w:footnote>
  <w:footnote w:id="14">
    <w:p w14:paraId="405B5957" w14:textId="688EA322" w:rsidR="00A2474C" w:rsidRDefault="00A2474C">
      <w:pPr>
        <w:pStyle w:val="FootnoteText"/>
      </w:pPr>
      <w:r>
        <w:rPr>
          <w:rStyle w:val="FootnoteReference"/>
        </w:rPr>
        <w:footnoteRef/>
      </w:r>
      <w:r>
        <w:t xml:space="preserve"> SCE AL</w:t>
      </w:r>
      <w:r w:rsidR="00F80D28">
        <w:t xml:space="preserve"> 5431-E at 25-26.</w:t>
      </w:r>
    </w:p>
  </w:footnote>
  <w:footnote w:id="15">
    <w:p w14:paraId="0A79D3D8" w14:textId="29943877" w:rsidR="009C0A41" w:rsidRDefault="009C0A41" w:rsidP="009C0A41">
      <w:pPr>
        <w:pStyle w:val="FootnoteText"/>
        <w:tabs>
          <w:tab w:val="clear" w:pos="360"/>
          <w:tab w:val="num" w:pos="90"/>
        </w:tabs>
        <w:ind w:left="180" w:hanging="180"/>
      </w:pPr>
      <w:r>
        <w:rPr>
          <w:rStyle w:val="FootnoteReference"/>
        </w:rPr>
        <w:footnoteRef/>
      </w:r>
      <w:r>
        <w:t xml:space="preserve"> Per SCE Al5431-E footnote 32: “Applicable customers include all customers responsible for the 2021 sub- account of the PABA in the case of the Euismod Contract, and all customers responsible for the 2023 sub-account of the PABA in the case of the Pier S and Overnight Storage Contracts.”</w:t>
      </w:r>
    </w:p>
  </w:footnote>
  <w:footnote w:id="16">
    <w:p w14:paraId="112D31FC" w14:textId="5CD3AD6A" w:rsidR="00FB4C86" w:rsidRDefault="00FB4C86">
      <w:pPr>
        <w:pStyle w:val="FootnoteText"/>
      </w:pPr>
      <w:r>
        <w:rPr>
          <w:rStyle w:val="FootnoteReference"/>
        </w:rPr>
        <w:footnoteRef/>
      </w:r>
      <w:r>
        <w:t xml:space="preserve"> SCE AL 5432-E at 10.</w:t>
      </w:r>
    </w:p>
  </w:footnote>
  <w:footnote w:id="17">
    <w:p w14:paraId="34805E81" w14:textId="602C932D" w:rsidR="00BF7CBE" w:rsidRDefault="00BF7CBE">
      <w:pPr>
        <w:pStyle w:val="FootnoteText"/>
      </w:pPr>
      <w:r>
        <w:rPr>
          <w:rStyle w:val="FootnoteReference"/>
        </w:rPr>
        <w:footnoteRef/>
      </w:r>
      <w:r>
        <w:t xml:space="preserve"> </w:t>
      </w:r>
      <w:r w:rsidRPr="00BF7CBE">
        <w:t>SCE AL 5432-E at 1</w:t>
      </w:r>
      <w:r>
        <w:t>7</w:t>
      </w:r>
      <w:r w:rsidRPr="00BF7CBE">
        <w:t>.</w:t>
      </w:r>
    </w:p>
  </w:footnote>
  <w:footnote w:id="18">
    <w:p w14:paraId="2F7C00DB" w14:textId="16994012" w:rsidR="00452C74" w:rsidRDefault="00452C74" w:rsidP="00452C74">
      <w:pPr>
        <w:pStyle w:val="FootnoteText"/>
      </w:pPr>
      <w:r>
        <w:rPr>
          <w:rStyle w:val="FootnoteReference"/>
        </w:rPr>
        <w:footnoteRef/>
      </w:r>
      <w:r>
        <w:t xml:space="preserve"> </w:t>
      </w:r>
      <w:r w:rsidRPr="007C4702">
        <w:t xml:space="preserve">SCE AL 5431-E, </w:t>
      </w:r>
      <w:r w:rsidR="00F66035" w:rsidRPr="007C4702">
        <w:t>Attachment D</w:t>
      </w:r>
      <w:r w:rsidR="00F66035" w:rsidRPr="00F66035">
        <w:t>: Independent Evaluator Report - Public Version</w:t>
      </w:r>
      <w:r w:rsidR="00F66035" w:rsidRPr="007C4702">
        <w:t xml:space="preserve"> </w:t>
      </w:r>
      <w:r w:rsidRPr="007C4702">
        <w:t>at</w:t>
      </w:r>
      <w:r>
        <w:t xml:space="preserve"> </w:t>
      </w:r>
      <w:r w:rsidR="0081079D">
        <w:t>10-</w:t>
      </w:r>
      <w:r>
        <w:t>1</w:t>
      </w:r>
      <w:r w:rsidR="0081079D">
        <w:t>2</w:t>
      </w:r>
      <w:r>
        <w:t>.</w:t>
      </w:r>
    </w:p>
  </w:footnote>
  <w:footnote w:id="19">
    <w:p w14:paraId="51D6D6F5" w14:textId="176785B3" w:rsidR="0011401D" w:rsidRDefault="0011401D">
      <w:pPr>
        <w:pStyle w:val="FootnoteText"/>
      </w:pPr>
      <w:r>
        <w:rPr>
          <w:rStyle w:val="FootnoteReference"/>
        </w:rPr>
        <w:footnoteRef/>
      </w:r>
      <w:r>
        <w:t xml:space="preserve"> </w:t>
      </w:r>
      <w:r w:rsidRPr="007C4702">
        <w:t xml:space="preserve">SCE AL 5431-E, </w:t>
      </w:r>
      <w:r w:rsidR="00F66035" w:rsidRPr="007C4702">
        <w:t>Attachment D</w:t>
      </w:r>
      <w:r w:rsidR="00F66035" w:rsidRPr="00F66035">
        <w:t>: Independent Evaluator Report - Public Version</w:t>
      </w:r>
      <w:r w:rsidR="00F66035" w:rsidRPr="007C4702">
        <w:t xml:space="preserve"> </w:t>
      </w:r>
      <w:r w:rsidRPr="007C4702">
        <w:t>at</w:t>
      </w:r>
      <w:r>
        <w:t xml:space="preserve"> 11 and 24.</w:t>
      </w:r>
    </w:p>
  </w:footnote>
  <w:footnote w:id="20">
    <w:p w14:paraId="6D02CC4B" w14:textId="79E218A1" w:rsidR="00CC7F05" w:rsidRDefault="00CC7F05">
      <w:pPr>
        <w:pStyle w:val="FootnoteText"/>
      </w:pPr>
      <w:r>
        <w:rPr>
          <w:rStyle w:val="FootnoteReference"/>
        </w:rPr>
        <w:footnoteRef/>
      </w:r>
      <w:r>
        <w:t xml:space="preserve"> </w:t>
      </w:r>
      <w:r w:rsidRPr="007C4702">
        <w:t xml:space="preserve">SCE AL 5431-E, </w:t>
      </w:r>
      <w:r w:rsidR="00F66035" w:rsidRPr="007C4702">
        <w:t>Attachment D</w:t>
      </w:r>
      <w:r w:rsidR="00F66035" w:rsidRPr="00F66035">
        <w:t>: Independent Evaluator Report - Public Version</w:t>
      </w:r>
      <w:r w:rsidRPr="007C4702">
        <w:t xml:space="preserve"> at</w:t>
      </w:r>
      <w:r>
        <w:t xml:space="preserve"> 2</w:t>
      </w:r>
      <w:r w:rsidR="007A4BB2">
        <w:t>5.</w:t>
      </w:r>
    </w:p>
  </w:footnote>
  <w:footnote w:id="21">
    <w:p w14:paraId="482E9E12" w14:textId="0361D35E" w:rsidR="00EB7C9E" w:rsidRDefault="00EB7C9E">
      <w:pPr>
        <w:pStyle w:val="FootnoteText"/>
      </w:pPr>
      <w:r>
        <w:rPr>
          <w:rStyle w:val="FootnoteReference"/>
        </w:rPr>
        <w:footnoteRef/>
      </w:r>
      <w:r>
        <w:t xml:space="preserve"> </w:t>
      </w:r>
      <w:r w:rsidRPr="007C4702">
        <w:t>SCE AL 5431-E, Attachment D</w:t>
      </w:r>
      <w:r w:rsidR="00F66035" w:rsidRPr="00F66035">
        <w:t>: Independent Evaluator Report - Public Version</w:t>
      </w:r>
      <w:r w:rsidRPr="007C4702">
        <w:t xml:space="preserve"> at</w:t>
      </w:r>
      <w:r>
        <w:t xml:space="preserve"> 40.</w:t>
      </w:r>
    </w:p>
  </w:footnote>
  <w:footnote w:id="22">
    <w:p w14:paraId="58A804E5" w14:textId="007AF269" w:rsidR="003E0C29" w:rsidRPr="00B01834" w:rsidRDefault="00EB7C9E" w:rsidP="00B01834">
      <w:pPr>
        <w:pStyle w:val="FootnoteText"/>
        <w:tabs>
          <w:tab w:val="clear" w:pos="360"/>
        </w:tabs>
        <w:ind w:left="0" w:firstLine="0"/>
      </w:pPr>
      <w:r w:rsidRPr="00B01834">
        <w:rPr>
          <w:rStyle w:val="FootnoteReference"/>
          <w:rFonts w:eastAsia="Palatino Linotype"/>
        </w:rPr>
        <w:footnoteRef/>
      </w:r>
      <w:r w:rsidRPr="00B01834">
        <w:rPr>
          <w:rStyle w:val="FootnoteReference"/>
        </w:rPr>
        <w:t xml:space="preserve"> </w:t>
      </w:r>
      <w:r w:rsidRPr="00B01834">
        <w:t>SCE AL 5</w:t>
      </w:r>
      <w:r w:rsidR="00BD20CF">
        <w:t>431</w:t>
      </w:r>
      <w:r w:rsidRPr="00B01834">
        <w:t xml:space="preserve">-E at </w:t>
      </w:r>
      <w:r w:rsidR="00BD20CF">
        <w:t>23</w:t>
      </w:r>
      <w:r w:rsidRPr="00B01834">
        <w:t xml:space="preserve"> (describing Prudent Electrical Practices as, “those practices, methods and acts that would be implemented and followed by prudent operators of electric energy storage facilities in the Western United States, similar to the Project, during the relevant time period, which practices, methods and acts, in the exercise of prudent and responsible professional judgment in the light of the facts known or that should reasonably have been known at the time the decision was made, could reasonably have been expected to accomplish the desired result consistent with good business practices, reliability and safety”); Section 6.01(a) of SCE’s Technology Neutral Pro Forma Contract.</w:t>
      </w:r>
    </w:p>
  </w:footnote>
  <w:footnote w:id="23">
    <w:p w14:paraId="40D0B0F0" w14:textId="6BBA1CF1" w:rsidR="003E0C29" w:rsidRPr="00B01834" w:rsidRDefault="00EB7C9E" w:rsidP="00B01834">
      <w:pPr>
        <w:pStyle w:val="FootnoteText"/>
        <w:tabs>
          <w:tab w:val="clear" w:pos="360"/>
        </w:tabs>
      </w:pPr>
      <w:r w:rsidRPr="00B01834">
        <w:rPr>
          <w:rStyle w:val="FootnoteReference"/>
          <w:rFonts w:eastAsia="Palatino Linotype"/>
        </w:rPr>
        <w:footnoteRef/>
      </w:r>
      <w:r w:rsidRPr="00B01834">
        <w:t xml:space="preserve"> </w:t>
      </w:r>
      <w:r w:rsidRPr="00B01834">
        <w:rPr>
          <w:i/>
        </w:rPr>
        <w:t>Id</w:t>
      </w:r>
      <w:r w:rsidR="00BA2A16">
        <w:rPr>
          <w:i/>
        </w:rPr>
        <w:t xml:space="preserve">.  </w:t>
      </w:r>
      <w:r w:rsidRPr="00B01834">
        <w:t>at 24-25, Section 4.01(d) of SCE’s Technology Neutral Pro Forma Contract.</w:t>
      </w:r>
    </w:p>
  </w:footnote>
  <w:footnote w:id="24">
    <w:p w14:paraId="2120C8AC" w14:textId="0B507BD9" w:rsidR="003E0C29" w:rsidRPr="00B01834" w:rsidRDefault="00EB7C9E" w:rsidP="00691AF5">
      <w:pPr>
        <w:pStyle w:val="FootnoteText1"/>
      </w:pPr>
      <w:r w:rsidRPr="00B01834">
        <w:rPr>
          <w:rStyle w:val="FootnoteReference"/>
          <w:rFonts w:eastAsia="Palatino Linotype"/>
        </w:rPr>
        <w:footnoteRef/>
      </w:r>
      <w:r w:rsidR="00790AD3" w:rsidRPr="009079EB">
        <w:t xml:space="preserve"> “</w:t>
      </w:r>
      <w:hyperlink r:id="rId6" w:history="1">
        <w:r w:rsidR="00790AD3" w:rsidRPr="009079EB">
          <w:rPr>
            <w:rStyle w:val="Hyperlink"/>
          </w:rPr>
          <w:t>Final Designation of Disadvantaged Communities Pursuant to Senate Bill 535</w:t>
        </w:r>
      </w:hyperlink>
      <w:r w:rsidR="00790AD3" w:rsidRPr="009079EB">
        <w:t>,” May 2022.</w:t>
      </w:r>
    </w:p>
  </w:footnote>
  <w:footnote w:id="25">
    <w:p w14:paraId="0FD25C3B" w14:textId="02CB3F5F" w:rsidR="000C379A" w:rsidRDefault="000C379A">
      <w:pPr>
        <w:pStyle w:val="FootnoteText"/>
      </w:pPr>
      <w:r>
        <w:rPr>
          <w:rStyle w:val="FootnoteReference"/>
        </w:rPr>
        <w:footnoteRef/>
      </w:r>
      <w:r>
        <w:t xml:space="preserve"> SCE AL 5431-E</w:t>
      </w:r>
      <w:r w:rsidR="00691AF5">
        <w:t xml:space="preserve"> at 17</w:t>
      </w:r>
      <w:r>
        <w:t>.</w:t>
      </w:r>
    </w:p>
  </w:footnote>
  <w:footnote w:id="26">
    <w:p w14:paraId="57889DD6" w14:textId="7591C88B" w:rsidR="00351CC1" w:rsidRPr="00787FF5" w:rsidRDefault="00351CC1" w:rsidP="00CA7A6B">
      <w:pPr>
        <w:pStyle w:val="FootnoteText"/>
        <w:tabs>
          <w:tab w:val="clear" w:pos="360"/>
        </w:tabs>
        <w:ind w:left="180" w:hanging="180"/>
      </w:pPr>
      <w:r w:rsidRPr="00787FF5">
        <w:rPr>
          <w:rStyle w:val="FootnoteReference"/>
        </w:rPr>
        <w:footnoteRef/>
      </w:r>
      <w:r w:rsidRPr="00787FF5">
        <w:t xml:space="preserve"> Hinkley, California has an overall percentile of </w:t>
      </w:r>
      <w:r w:rsidR="00743F6A">
        <w:t>78</w:t>
      </w:r>
      <w:r w:rsidRPr="00787FF5">
        <w:t xml:space="preserve"> out of 100 (highest score) by the CalEnviroScreen tool. Retrieved </w:t>
      </w:r>
      <w:r w:rsidR="001840A6">
        <w:t xml:space="preserve">on Jan 14, 2025, </w:t>
      </w:r>
      <w:r w:rsidRPr="00787FF5">
        <w:t xml:space="preserve">from: </w:t>
      </w:r>
      <w:hyperlink r:id="rId7" w:history="1">
        <w:r w:rsidR="00106F02">
          <w:rPr>
            <w:rStyle w:val="Hyperlink"/>
          </w:rPr>
          <w:t>https://oehha.ca.gov/calenviroscreen/report/calenviroscreen-40</w:t>
        </w:r>
      </w:hyperlink>
    </w:p>
  </w:footnote>
  <w:footnote w:id="27">
    <w:p w14:paraId="2F1C0FA2" w14:textId="6F3489A7" w:rsidR="00351CC1" w:rsidRPr="00787FF5" w:rsidRDefault="00351CC1" w:rsidP="00CA7A6B">
      <w:pPr>
        <w:pStyle w:val="FootnoteText"/>
        <w:tabs>
          <w:tab w:val="clear" w:pos="360"/>
        </w:tabs>
        <w:ind w:left="180" w:hanging="180"/>
      </w:pPr>
      <w:r w:rsidRPr="00787FF5">
        <w:rPr>
          <w:rStyle w:val="FootnoteReference"/>
        </w:rPr>
        <w:footnoteRef/>
      </w:r>
      <w:r w:rsidRPr="00787FF5">
        <w:t xml:space="preserve"> Hexavalent chromium is a toxic form of chromium commonly found in industrial processes such as electroplating, welding, and pigment production. In Hinkley Valley, hexavalent chromium was used to prevent corrosion in industrial machinery during 1952-64. Retrieved from: </w:t>
      </w:r>
      <w:hyperlink r:id="rId8" w:history="1">
        <w:r w:rsidRPr="00CD6467">
          <w:rPr>
            <w:rStyle w:val="Hyperlink"/>
          </w:rPr>
          <w:t>https://www.usgs.gov/centers/california-water-science-center/science/results-hexavalent-chromium-background-study</w:t>
        </w:r>
      </w:hyperlink>
    </w:p>
  </w:footnote>
  <w:footnote w:id="28">
    <w:p w14:paraId="1E557738" w14:textId="5B2599F4" w:rsidR="003E0C29" w:rsidRPr="00B01834" w:rsidRDefault="00EB7C9E" w:rsidP="00B01834">
      <w:pPr>
        <w:pStyle w:val="FootnoteText"/>
        <w:tabs>
          <w:tab w:val="clear" w:pos="360"/>
        </w:tabs>
        <w:ind w:left="180" w:hanging="180"/>
      </w:pPr>
      <w:r w:rsidRPr="00B01834">
        <w:rPr>
          <w:rStyle w:val="FootnoteReference"/>
          <w:rFonts w:eastAsia="Palatino Linotype"/>
        </w:rPr>
        <w:footnoteRef/>
      </w:r>
      <w:r w:rsidRPr="00B01834">
        <w:t xml:space="preserve"> Includes bundled service customers and departing load customers with 2021 and/or 2023 vintage cost responsibility.</w:t>
      </w:r>
    </w:p>
  </w:footnote>
  <w:footnote w:id="29">
    <w:p w14:paraId="4FCB6D6C" w14:textId="4C900792" w:rsidR="003E0C29" w:rsidRPr="00B01834" w:rsidRDefault="00EB7C9E" w:rsidP="00B01834">
      <w:pPr>
        <w:pStyle w:val="FootnoteText"/>
        <w:tabs>
          <w:tab w:val="clear" w:pos="360"/>
        </w:tabs>
      </w:pPr>
      <w:r w:rsidRPr="00B01834">
        <w:rPr>
          <w:rStyle w:val="FootnoteReference"/>
          <w:rFonts w:eastAsia="Palatino Linotype"/>
        </w:rPr>
        <w:footnoteRef/>
      </w:r>
      <w:r w:rsidRPr="00B01834">
        <w:t xml:space="preserve"> Such costs include, but are not limited to, Independent Evaluator costs.</w:t>
      </w:r>
    </w:p>
  </w:footnote>
  <w:footnote w:id="30">
    <w:p w14:paraId="65B1964B" w14:textId="07018553" w:rsidR="00AB682B" w:rsidRDefault="00AB682B">
      <w:pPr>
        <w:pStyle w:val="FootnoteText"/>
      </w:pPr>
      <w:r>
        <w:rPr>
          <w:rStyle w:val="FootnoteReference"/>
        </w:rPr>
        <w:footnoteRef/>
      </w:r>
      <w:r>
        <w:t xml:space="preserve"> SCE AL 5431-E at 22.</w:t>
      </w:r>
    </w:p>
  </w:footnote>
  <w:footnote w:id="31">
    <w:p w14:paraId="5B8EE1CD" w14:textId="7ADCEEBB" w:rsidR="00AB682B" w:rsidRDefault="00AB682B">
      <w:pPr>
        <w:pStyle w:val="FootnoteText"/>
      </w:pPr>
      <w:r>
        <w:rPr>
          <w:rStyle w:val="FootnoteReference"/>
        </w:rPr>
        <w:footnoteRef/>
      </w:r>
      <w:r>
        <w:t xml:space="preserve"> SCE AL 5431-E at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ECF82" w14:textId="68C1F5F0" w:rsidR="003E0C29" w:rsidRPr="00B01834" w:rsidRDefault="00EB7C9E" w:rsidP="000C11A3">
    <w:pPr>
      <w:pStyle w:val="Header"/>
      <w:tabs>
        <w:tab w:val="clear" w:pos="4320"/>
        <w:tab w:val="clear" w:pos="8640"/>
        <w:tab w:val="center" w:pos="4680"/>
        <w:tab w:val="right" w:pos="9180"/>
      </w:tabs>
      <w:spacing w:after="0"/>
    </w:pPr>
    <w:r w:rsidRPr="00B01834">
      <w:t xml:space="preserve">Resolution </w:t>
    </w:r>
    <w:r w:rsidR="00394F22" w:rsidRPr="00394F22">
      <w:rPr>
        <w:rFonts w:eastAsia="Palatino Linotype" w:cs="Palatino"/>
        <w:szCs w:val="24"/>
      </w:rPr>
      <w:t>E-5371</w:t>
    </w:r>
    <w:r w:rsidR="00256A79" w:rsidRPr="00F438EB">
      <w:rPr>
        <w:szCs w:val="24"/>
      </w:rPr>
      <w:tab/>
    </w:r>
    <w:r w:rsidR="00D60508">
      <w:t>DRAFT</w:t>
    </w:r>
    <w:r w:rsidR="00256A79" w:rsidRPr="00F438EB">
      <w:rPr>
        <w:szCs w:val="24"/>
      </w:rPr>
      <w:tab/>
    </w:r>
    <w:r w:rsidR="00D60508">
      <w:rPr>
        <w:szCs w:val="24"/>
      </w:rPr>
      <w:t>February 20, 2025</w:t>
    </w:r>
  </w:p>
  <w:p w14:paraId="0A2A9D71" w14:textId="7F83EBAB" w:rsidR="00256A79" w:rsidRPr="00F438EB" w:rsidRDefault="00EB7C9E" w:rsidP="00394707">
    <w:pPr>
      <w:pStyle w:val="Header"/>
      <w:tabs>
        <w:tab w:val="clear" w:pos="4320"/>
        <w:tab w:val="clear" w:pos="8640"/>
        <w:tab w:val="center" w:pos="4680"/>
        <w:tab w:val="right" w:pos="9180"/>
      </w:tabs>
      <w:spacing w:after="0"/>
    </w:pPr>
    <w:r w:rsidRPr="00B01834">
      <w:t xml:space="preserve">SCE AL </w:t>
    </w:r>
    <w:r w:rsidR="00207B04">
      <w:t>5431</w:t>
    </w:r>
    <w:r w:rsidRPr="00B01834">
      <w:t>-E</w:t>
    </w:r>
    <w:r w:rsidR="00D54024">
      <w:t>/PN3</w:t>
    </w:r>
    <w:r w:rsidR="00256A79">
      <w:tab/>
    </w:r>
    <w:r w:rsidR="00256A79">
      <w:tab/>
    </w:r>
  </w:p>
  <w:p w14:paraId="1C5B6CCB" w14:textId="557792FE" w:rsidR="003E0C29" w:rsidRPr="00B01834" w:rsidRDefault="003E0C29" w:rsidP="00394707">
    <w:pPr>
      <w:pStyle w:val="Header"/>
      <w:tabs>
        <w:tab w:val="clear" w:pos="4320"/>
        <w:tab w:val="clear" w:pos="8640"/>
        <w:tab w:val="center" w:pos="4680"/>
        <w:tab w:val="right" w:pos="918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2339C" w14:textId="0A1D0EEA" w:rsidR="003E0C29" w:rsidRDefault="00ED3504" w:rsidP="00ED3504">
    <w:pPr>
      <w:pStyle w:val="Header"/>
    </w:pPr>
    <w:r>
      <w:tab/>
    </w:r>
    <w:r w:rsidR="00765D6B">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63CA" w14:textId="77777777" w:rsidR="00162B39" w:rsidRPr="00B01834" w:rsidRDefault="00162B39" w:rsidP="00162B39">
    <w:pPr>
      <w:pStyle w:val="Header"/>
      <w:tabs>
        <w:tab w:val="clear" w:pos="4320"/>
        <w:tab w:val="clear" w:pos="8640"/>
        <w:tab w:val="center" w:pos="4680"/>
        <w:tab w:val="right" w:pos="9180"/>
      </w:tabs>
      <w:spacing w:after="0"/>
    </w:pPr>
    <w:r w:rsidRPr="00B01834">
      <w:t xml:space="preserve">Resolution </w:t>
    </w:r>
    <w:r w:rsidRPr="00394F22">
      <w:rPr>
        <w:rFonts w:eastAsia="Palatino Linotype" w:cs="Palatino"/>
        <w:szCs w:val="24"/>
      </w:rPr>
      <w:t>E-5371</w:t>
    </w:r>
    <w:r w:rsidRPr="00F438EB">
      <w:rPr>
        <w:szCs w:val="24"/>
      </w:rPr>
      <w:tab/>
    </w:r>
    <w:r>
      <w:t>DRAFT</w:t>
    </w:r>
    <w:r w:rsidRPr="00F438EB">
      <w:rPr>
        <w:szCs w:val="24"/>
      </w:rPr>
      <w:tab/>
    </w:r>
    <w:r>
      <w:rPr>
        <w:szCs w:val="24"/>
      </w:rPr>
      <w:t>February 20, 2025</w:t>
    </w:r>
  </w:p>
  <w:p w14:paraId="0548E599" w14:textId="77777777" w:rsidR="00162B39" w:rsidRPr="00F438EB" w:rsidRDefault="00162B39" w:rsidP="00162B39">
    <w:pPr>
      <w:pStyle w:val="Header"/>
      <w:tabs>
        <w:tab w:val="clear" w:pos="4320"/>
        <w:tab w:val="clear" w:pos="8640"/>
        <w:tab w:val="center" w:pos="4680"/>
        <w:tab w:val="right" w:pos="9180"/>
      </w:tabs>
      <w:spacing w:after="0"/>
    </w:pPr>
    <w:r w:rsidRPr="00B01834">
      <w:t xml:space="preserve">SCE AL </w:t>
    </w:r>
    <w:r>
      <w:t>5431</w:t>
    </w:r>
    <w:r w:rsidRPr="00B01834">
      <w:t>-E</w:t>
    </w:r>
    <w:r>
      <w:t>/PN3</w:t>
    </w:r>
    <w:r>
      <w:tab/>
    </w:r>
    <w:r>
      <w:tab/>
    </w:r>
  </w:p>
  <w:p w14:paraId="7CAA1308" w14:textId="3B4C9477" w:rsidR="00162B39" w:rsidRPr="00162B39" w:rsidRDefault="00162B39" w:rsidP="00162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25FEEEEA"/>
    <w:lvl w:ilvl="0">
      <w:start w:val="1"/>
      <w:numFmt w:val="decimal"/>
      <w:lvlText w:val="%1."/>
      <w:lvlJc w:val="left"/>
      <w:pPr>
        <w:ind w:left="460" w:hanging="360"/>
      </w:pPr>
      <w:rPr>
        <w:rFonts w:ascii="Palatino Linotype" w:eastAsia="Times New Roman" w:hAnsi="Palatino Linotype" w:cs="Arial"/>
        <w:b w:val="0"/>
        <w:bCs w:val="0"/>
        <w:i w:val="0"/>
        <w:iCs w:val="0"/>
        <w:spacing w:val="0"/>
        <w:w w:val="100"/>
        <w:sz w:val="24"/>
        <w:szCs w:val="24"/>
      </w:rPr>
    </w:lvl>
    <w:lvl w:ilvl="1">
      <w:numFmt w:val="bullet"/>
      <w:lvlText w:val="•"/>
      <w:lvlJc w:val="left"/>
      <w:pPr>
        <w:ind w:left="1324" w:hanging="360"/>
      </w:pPr>
    </w:lvl>
    <w:lvl w:ilvl="2">
      <w:numFmt w:val="bullet"/>
      <w:lvlText w:val="•"/>
      <w:lvlJc w:val="left"/>
      <w:pPr>
        <w:ind w:left="2188" w:hanging="360"/>
      </w:pPr>
    </w:lvl>
    <w:lvl w:ilvl="3">
      <w:numFmt w:val="bullet"/>
      <w:lvlText w:val="•"/>
      <w:lvlJc w:val="left"/>
      <w:pPr>
        <w:ind w:left="3052" w:hanging="360"/>
      </w:pPr>
    </w:lvl>
    <w:lvl w:ilvl="4">
      <w:numFmt w:val="bullet"/>
      <w:lvlText w:val="•"/>
      <w:lvlJc w:val="left"/>
      <w:pPr>
        <w:ind w:left="3916" w:hanging="360"/>
      </w:pPr>
    </w:lvl>
    <w:lvl w:ilvl="5">
      <w:numFmt w:val="bullet"/>
      <w:lvlText w:val="•"/>
      <w:lvlJc w:val="left"/>
      <w:pPr>
        <w:ind w:left="4780" w:hanging="360"/>
      </w:pPr>
    </w:lvl>
    <w:lvl w:ilvl="6">
      <w:numFmt w:val="bullet"/>
      <w:lvlText w:val="•"/>
      <w:lvlJc w:val="left"/>
      <w:pPr>
        <w:ind w:left="5644" w:hanging="360"/>
      </w:pPr>
    </w:lvl>
    <w:lvl w:ilvl="7">
      <w:numFmt w:val="bullet"/>
      <w:lvlText w:val="•"/>
      <w:lvlJc w:val="left"/>
      <w:pPr>
        <w:ind w:left="6508" w:hanging="360"/>
      </w:pPr>
    </w:lvl>
    <w:lvl w:ilvl="8">
      <w:numFmt w:val="bullet"/>
      <w:lvlText w:val="•"/>
      <w:lvlJc w:val="left"/>
      <w:pPr>
        <w:ind w:left="7372" w:hanging="360"/>
      </w:pPr>
    </w:lvl>
  </w:abstractNum>
  <w:abstractNum w:abstractNumId="1" w15:restartNumberingAfterBreak="0">
    <w:nsid w:val="003640B0"/>
    <w:multiLevelType w:val="hybridMultilevel"/>
    <w:tmpl w:val="600E6158"/>
    <w:lvl w:ilvl="0" w:tplc="09CC19A4">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74A41"/>
    <w:multiLevelType w:val="hybridMultilevel"/>
    <w:tmpl w:val="7C6A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4"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FF4240B"/>
    <w:multiLevelType w:val="hybridMultilevel"/>
    <w:tmpl w:val="1272D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D7CCA"/>
    <w:multiLevelType w:val="hybridMultilevel"/>
    <w:tmpl w:val="C9509936"/>
    <w:lvl w:ilvl="0" w:tplc="54640C1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35F36"/>
    <w:multiLevelType w:val="hybridMultilevel"/>
    <w:tmpl w:val="BD8A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D5101"/>
    <w:multiLevelType w:val="hybridMultilevel"/>
    <w:tmpl w:val="078CCB9C"/>
    <w:lvl w:ilvl="0" w:tplc="AAA87482">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049BC"/>
    <w:multiLevelType w:val="hybridMultilevel"/>
    <w:tmpl w:val="F29AC2E2"/>
    <w:lvl w:ilvl="0" w:tplc="09CC19A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A153E"/>
    <w:multiLevelType w:val="hybridMultilevel"/>
    <w:tmpl w:val="61A0ABB2"/>
    <w:lvl w:ilvl="0" w:tplc="599E7804">
      <w:start w:val="1"/>
      <w:numFmt w:val="decimal"/>
      <w:lvlText w:val="%1."/>
      <w:lvlJc w:val="left"/>
      <w:pPr>
        <w:ind w:left="4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C6CE597C">
      <w:start w:val="1"/>
      <w:numFmt w:val="lowerLetter"/>
      <w:lvlText w:val="%2"/>
      <w:lvlJc w:val="left"/>
      <w:pPr>
        <w:ind w:left="11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697C475E">
      <w:start w:val="1"/>
      <w:numFmt w:val="lowerRoman"/>
      <w:lvlText w:val="%3"/>
      <w:lvlJc w:val="left"/>
      <w:pPr>
        <w:ind w:left="19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6C3A7E6C">
      <w:start w:val="1"/>
      <w:numFmt w:val="decimal"/>
      <w:lvlText w:val="%4"/>
      <w:lvlJc w:val="left"/>
      <w:pPr>
        <w:ind w:left="26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7AA8249C">
      <w:start w:val="1"/>
      <w:numFmt w:val="lowerLetter"/>
      <w:lvlText w:val="%5"/>
      <w:lvlJc w:val="left"/>
      <w:pPr>
        <w:ind w:left="33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F39EB084">
      <w:start w:val="1"/>
      <w:numFmt w:val="lowerRoman"/>
      <w:lvlText w:val="%6"/>
      <w:lvlJc w:val="left"/>
      <w:pPr>
        <w:ind w:left="40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3E0CC8E6">
      <w:start w:val="1"/>
      <w:numFmt w:val="decimal"/>
      <w:lvlText w:val="%7"/>
      <w:lvlJc w:val="left"/>
      <w:pPr>
        <w:ind w:left="47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9E5226A0">
      <w:start w:val="1"/>
      <w:numFmt w:val="lowerLetter"/>
      <w:lvlText w:val="%8"/>
      <w:lvlJc w:val="left"/>
      <w:pPr>
        <w:ind w:left="55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31F26BA0">
      <w:start w:val="1"/>
      <w:numFmt w:val="lowerRoman"/>
      <w:lvlText w:val="%9"/>
      <w:lvlJc w:val="left"/>
      <w:pPr>
        <w:ind w:left="62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127BBF"/>
    <w:multiLevelType w:val="hybridMultilevel"/>
    <w:tmpl w:val="270EB0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5D4A5B"/>
    <w:multiLevelType w:val="hybridMultilevel"/>
    <w:tmpl w:val="854A10B0"/>
    <w:lvl w:ilvl="0" w:tplc="A9C46F60">
      <w:start w:val="1"/>
      <w:numFmt w:val="decimal"/>
      <w:lvlText w:val="%1."/>
      <w:lvlJc w:val="left"/>
      <w:pPr>
        <w:ind w:left="7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0E903094">
      <w:start w:val="1"/>
      <w:numFmt w:val="lowerLetter"/>
      <w:lvlText w:val="%2"/>
      <w:lvlJc w:val="left"/>
      <w:pPr>
        <w:ind w:left="14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09D0F068">
      <w:start w:val="1"/>
      <w:numFmt w:val="lowerRoman"/>
      <w:lvlText w:val="%3"/>
      <w:lvlJc w:val="left"/>
      <w:pPr>
        <w:ind w:left="21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75303282">
      <w:start w:val="1"/>
      <w:numFmt w:val="decimal"/>
      <w:lvlText w:val="%4"/>
      <w:lvlJc w:val="left"/>
      <w:pPr>
        <w:ind w:left="28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1848065A">
      <w:start w:val="1"/>
      <w:numFmt w:val="lowerLetter"/>
      <w:lvlText w:val="%5"/>
      <w:lvlJc w:val="left"/>
      <w:pPr>
        <w:ind w:left="36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1B888C48">
      <w:start w:val="1"/>
      <w:numFmt w:val="lowerRoman"/>
      <w:lvlText w:val="%6"/>
      <w:lvlJc w:val="left"/>
      <w:pPr>
        <w:ind w:left="43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0AB2A8E0">
      <w:start w:val="1"/>
      <w:numFmt w:val="decimal"/>
      <w:lvlText w:val="%7"/>
      <w:lvlJc w:val="left"/>
      <w:pPr>
        <w:ind w:left="50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07D02014">
      <w:start w:val="1"/>
      <w:numFmt w:val="lowerLetter"/>
      <w:lvlText w:val="%8"/>
      <w:lvlJc w:val="left"/>
      <w:pPr>
        <w:ind w:left="57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ECB09A00">
      <w:start w:val="1"/>
      <w:numFmt w:val="lowerRoman"/>
      <w:lvlText w:val="%9"/>
      <w:lvlJc w:val="left"/>
      <w:pPr>
        <w:ind w:left="64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8414F"/>
    <w:multiLevelType w:val="hybridMultilevel"/>
    <w:tmpl w:val="33AE1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B52D21"/>
    <w:multiLevelType w:val="hybridMultilevel"/>
    <w:tmpl w:val="0464D1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C561878"/>
    <w:multiLevelType w:val="hybridMultilevel"/>
    <w:tmpl w:val="4A34265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03557E"/>
    <w:multiLevelType w:val="hybridMultilevel"/>
    <w:tmpl w:val="2CBC93EC"/>
    <w:lvl w:ilvl="0" w:tplc="347E37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9EEF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78BB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F448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A0C1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06FD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2C7C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E22A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BEDB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5825FC"/>
    <w:multiLevelType w:val="hybridMultilevel"/>
    <w:tmpl w:val="7A082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914B4"/>
    <w:multiLevelType w:val="hybridMultilevel"/>
    <w:tmpl w:val="CEEA86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2E07908"/>
    <w:multiLevelType w:val="hybridMultilevel"/>
    <w:tmpl w:val="D534AC0A"/>
    <w:lvl w:ilvl="0" w:tplc="8CA61F36">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E27A5"/>
    <w:multiLevelType w:val="hybridMultilevel"/>
    <w:tmpl w:val="3A18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40AFD"/>
    <w:multiLevelType w:val="hybridMultilevel"/>
    <w:tmpl w:val="79E83E84"/>
    <w:lvl w:ilvl="0" w:tplc="04090001">
      <w:start w:val="1"/>
      <w:numFmt w:val="bullet"/>
      <w:lvlText w:val=""/>
      <w:lvlJc w:val="left"/>
      <w:pPr>
        <w:ind w:left="2520" w:hanging="360"/>
      </w:pPr>
      <w:rPr>
        <w:rFonts w:ascii="Symbol" w:hAnsi="Symbol" w:hint="default"/>
        <w:b w:val="0"/>
        <w:bCs/>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15:restartNumberingAfterBreak="0">
    <w:nsid w:val="3D80097B"/>
    <w:multiLevelType w:val="hybridMultilevel"/>
    <w:tmpl w:val="C81C52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91201E"/>
    <w:multiLevelType w:val="hybridMultilevel"/>
    <w:tmpl w:val="9BF80296"/>
    <w:lvl w:ilvl="0" w:tplc="51B87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4E13252"/>
    <w:multiLevelType w:val="hybridMultilevel"/>
    <w:tmpl w:val="B55AE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94F6D"/>
    <w:multiLevelType w:val="hybridMultilevel"/>
    <w:tmpl w:val="7B68C6D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90506"/>
    <w:multiLevelType w:val="hybridMultilevel"/>
    <w:tmpl w:val="EA78BCD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1FE3E3D"/>
    <w:multiLevelType w:val="hybridMultilevel"/>
    <w:tmpl w:val="D4AC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34D2A"/>
    <w:multiLevelType w:val="multilevel"/>
    <w:tmpl w:val="F31C1E12"/>
    <w:lvl w:ilvl="0">
      <w:start w:val="78"/>
      <w:numFmt w:val="decimal"/>
      <w:lvlText w:val="%1"/>
      <w:lvlJc w:val="left"/>
      <w:pPr>
        <w:ind w:left="492" w:hanging="492"/>
      </w:pPr>
      <w:rPr>
        <w:rFonts w:hint="default"/>
      </w:rPr>
    </w:lvl>
    <w:lvl w:ilvl="1">
      <w:start w:val="97"/>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BF754E"/>
    <w:multiLevelType w:val="hybridMultilevel"/>
    <w:tmpl w:val="F84075F0"/>
    <w:lvl w:ilvl="0" w:tplc="15968E82">
      <w:start w:val="1"/>
      <w:numFmt w:val="decimal"/>
      <w:lvlText w:val="%1."/>
      <w:lvlJc w:val="left"/>
      <w:pPr>
        <w:ind w:left="450"/>
      </w:pPr>
      <w:rPr>
        <w:rFonts w:ascii="Palatino Linotype" w:eastAsia="Palatino Linotype" w:hAnsi="Palatino Linotype" w:cs="Palatino Linotype"/>
        <w:b w:val="0"/>
        <w:i w:val="0"/>
        <w:strike w:val="0"/>
        <w:dstrike w:val="0"/>
        <w:color w:val="161719"/>
        <w:sz w:val="24"/>
        <w:szCs w:val="24"/>
        <w:u w:val="none" w:color="000000"/>
        <w:bdr w:val="none" w:sz="0" w:space="0" w:color="auto"/>
        <w:shd w:val="clear" w:color="auto" w:fill="auto"/>
        <w:vertAlign w:val="baseline"/>
      </w:rPr>
    </w:lvl>
    <w:lvl w:ilvl="1" w:tplc="9E349C8A">
      <w:start w:val="1"/>
      <w:numFmt w:val="lowerLetter"/>
      <w:lvlText w:val="%2."/>
      <w:lvlJc w:val="left"/>
      <w:pPr>
        <w:ind w:left="810"/>
      </w:pPr>
      <w:rPr>
        <w:rFonts w:ascii="Palatino Linotype" w:eastAsia="Palatino Linotype" w:hAnsi="Palatino Linotype" w:cs="Palatino Linotype"/>
        <w:b w:val="0"/>
        <w:i w:val="0"/>
        <w:strike w:val="0"/>
        <w:dstrike w:val="0"/>
        <w:color w:val="161719"/>
        <w:sz w:val="24"/>
        <w:szCs w:val="24"/>
        <w:u w:val="none" w:color="000000"/>
        <w:bdr w:val="none" w:sz="0" w:space="0" w:color="auto"/>
        <w:shd w:val="clear" w:color="auto" w:fill="auto"/>
        <w:vertAlign w:val="baseline"/>
      </w:rPr>
    </w:lvl>
    <w:lvl w:ilvl="2" w:tplc="E3E09580">
      <w:start w:val="1"/>
      <w:numFmt w:val="lowerRoman"/>
      <w:lvlText w:val="%3"/>
      <w:lvlJc w:val="left"/>
      <w:pPr>
        <w:ind w:left="1440"/>
      </w:pPr>
      <w:rPr>
        <w:rFonts w:ascii="Palatino Linotype" w:eastAsia="Palatino Linotype" w:hAnsi="Palatino Linotype" w:cs="Palatino Linotype"/>
        <w:b w:val="0"/>
        <w:i w:val="0"/>
        <w:strike w:val="0"/>
        <w:dstrike w:val="0"/>
        <w:color w:val="161719"/>
        <w:sz w:val="24"/>
        <w:szCs w:val="24"/>
        <w:u w:val="none" w:color="000000"/>
        <w:bdr w:val="none" w:sz="0" w:space="0" w:color="auto"/>
        <w:shd w:val="clear" w:color="auto" w:fill="auto"/>
        <w:vertAlign w:val="baseline"/>
      </w:rPr>
    </w:lvl>
    <w:lvl w:ilvl="3" w:tplc="B76ACD9A">
      <w:start w:val="1"/>
      <w:numFmt w:val="decimal"/>
      <w:lvlText w:val="%4"/>
      <w:lvlJc w:val="left"/>
      <w:pPr>
        <w:ind w:left="2160"/>
      </w:pPr>
      <w:rPr>
        <w:rFonts w:ascii="Palatino Linotype" w:eastAsia="Palatino Linotype" w:hAnsi="Palatino Linotype" w:cs="Palatino Linotype"/>
        <w:b w:val="0"/>
        <w:i w:val="0"/>
        <w:strike w:val="0"/>
        <w:dstrike w:val="0"/>
        <w:color w:val="161719"/>
        <w:sz w:val="24"/>
        <w:szCs w:val="24"/>
        <w:u w:val="none" w:color="000000"/>
        <w:bdr w:val="none" w:sz="0" w:space="0" w:color="auto"/>
        <w:shd w:val="clear" w:color="auto" w:fill="auto"/>
        <w:vertAlign w:val="baseline"/>
      </w:rPr>
    </w:lvl>
    <w:lvl w:ilvl="4" w:tplc="2B8AC270">
      <w:start w:val="1"/>
      <w:numFmt w:val="lowerLetter"/>
      <w:lvlText w:val="%5"/>
      <w:lvlJc w:val="left"/>
      <w:pPr>
        <w:ind w:left="2880"/>
      </w:pPr>
      <w:rPr>
        <w:rFonts w:ascii="Palatino Linotype" w:eastAsia="Palatino Linotype" w:hAnsi="Palatino Linotype" w:cs="Palatino Linotype"/>
        <w:b w:val="0"/>
        <w:i w:val="0"/>
        <w:strike w:val="0"/>
        <w:dstrike w:val="0"/>
        <w:color w:val="161719"/>
        <w:sz w:val="24"/>
        <w:szCs w:val="24"/>
        <w:u w:val="none" w:color="000000"/>
        <w:bdr w:val="none" w:sz="0" w:space="0" w:color="auto"/>
        <w:shd w:val="clear" w:color="auto" w:fill="auto"/>
        <w:vertAlign w:val="baseline"/>
      </w:rPr>
    </w:lvl>
    <w:lvl w:ilvl="5" w:tplc="FF50557A">
      <w:start w:val="1"/>
      <w:numFmt w:val="lowerRoman"/>
      <w:lvlText w:val="%6"/>
      <w:lvlJc w:val="left"/>
      <w:pPr>
        <w:ind w:left="3600"/>
      </w:pPr>
      <w:rPr>
        <w:rFonts w:ascii="Palatino Linotype" w:eastAsia="Palatino Linotype" w:hAnsi="Palatino Linotype" w:cs="Palatino Linotype"/>
        <w:b w:val="0"/>
        <w:i w:val="0"/>
        <w:strike w:val="0"/>
        <w:dstrike w:val="0"/>
        <w:color w:val="161719"/>
        <w:sz w:val="24"/>
        <w:szCs w:val="24"/>
        <w:u w:val="none" w:color="000000"/>
        <w:bdr w:val="none" w:sz="0" w:space="0" w:color="auto"/>
        <w:shd w:val="clear" w:color="auto" w:fill="auto"/>
        <w:vertAlign w:val="baseline"/>
      </w:rPr>
    </w:lvl>
    <w:lvl w:ilvl="6" w:tplc="7928906A">
      <w:start w:val="1"/>
      <w:numFmt w:val="decimal"/>
      <w:lvlText w:val="%7"/>
      <w:lvlJc w:val="left"/>
      <w:pPr>
        <w:ind w:left="4320"/>
      </w:pPr>
      <w:rPr>
        <w:rFonts w:ascii="Palatino Linotype" w:eastAsia="Palatino Linotype" w:hAnsi="Palatino Linotype" w:cs="Palatino Linotype"/>
        <w:b w:val="0"/>
        <w:i w:val="0"/>
        <w:strike w:val="0"/>
        <w:dstrike w:val="0"/>
        <w:color w:val="161719"/>
        <w:sz w:val="24"/>
        <w:szCs w:val="24"/>
        <w:u w:val="none" w:color="000000"/>
        <w:bdr w:val="none" w:sz="0" w:space="0" w:color="auto"/>
        <w:shd w:val="clear" w:color="auto" w:fill="auto"/>
        <w:vertAlign w:val="baseline"/>
      </w:rPr>
    </w:lvl>
    <w:lvl w:ilvl="7" w:tplc="AB82465A">
      <w:start w:val="1"/>
      <w:numFmt w:val="lowerLetter"/>
      <w:lvlText w:val="%8"/>
      <w:lvlJc w:val="left"/>
      <w:pPr>
        <w:ind w:left="5040"/>
      </w:pPr>
      <w:rPr>
        <w:rFonts w:ascii="Palatino Linotype" w:eastAsia="Palatino Linotype" w:hAnsi="Palatino Linotype" w:cs="Palatino Linotype"/>
        <w:b w:val="0"/>
        <w:i w:val="0"/>
        <w:strike w:val="0"/>
        <w:dstrike w:val="0"/>
        <w:color w:val="161719"/>
        <w:sz w:val="24"/>
        <w:szCs w:val="24"/>
        <w:u w:val="none" w:color="000000"/>
        <w:bdr w:val="none" w:sz="0" w:space="0" w:color="auto"/>
        <w:shd w:val="clear" w:color="auto" w:fill="auto"/>
        <w:vertAlign w:val="baseline"/>
      </w:rPr>
    </w:lvl>
    <w:lvl w:ilvl="8" w:tplc="6E46DA24">
      <w:start w:val="1"/>
      <w:numFmt w:val="lowerRoman"/>
      <w:lvlText w:val="%9"/>
      <w:lvlJc w:val="left"/>
      <w:pPr>
        <w:ind w:left="5760"/>
      </w:pPr>
      <w:rPr>
        <w:rFonts w:ascii="Palatino Linotype" w:eastAsia="Palatino Linotype" w:hAnsi="Palatino Linotype" w:cs="Palatino Linotype"/>
        <w:b w:val="0"/>
        <w:i w:val="0"/>
        <w:strike w:val="0"/>
        <w:dstrike w:val="0"/>
        <w:color w:val="161719"/>
        <w:sz w:val="24"/>
        <w:szCs w:val="24"/>
        <w:u w:val="none" w:color="000000"/>
        <w:bdr w:val="none" w:sz="0" w:space="0" w:color="auto"/>
        <w:shd w:val="clear" w:color="auto" w:fill="auto"/>
        <w:vertAlign w:val="baseline"/>
      </w:rPr>
    </w:lvl>
  </w:abstractNum>
  <w:abstractNum w:abstractNumId="31" w15:restartNumberingAfterBreak="0">
    <w:nsid w:val="54C9753B"/>
    <w:multiLevelType w:val="hybridMultilevel"/>
    <w:tmpl w:val="2EE6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33" w15:restartNumberingAfterBreak="0">
    <w:nsid w:val="57581055"/>
    <w:multiLevelType w:val="hybridMultilevel"/>
    <w:tmpl w:val="ABC095C2"/>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C46DE"/>
    <w:multiLevelType w:val="hybridMultilevel"/>
    <w:tmpl w:val="82209D96"/>
    <w:lvl w:ilvl="0" w:tplc="169484AC">
      <w:start w:val="1"/>
      <w:numFmt w:val="decimal"/>
      <w:lvlText w:val="%1."/>
      <w:lvlJc w:val="left"/>
      <w:pPr>
        <w:ind w:left="720" w:hanging="360"/>
      </w:pPr>
      <w:rPr>
        <w:rFonts w:cs="Times New Roman" w:hint="default"/>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6244099D"/>
    <w:multiLevelType w:val="hybridMultilevel"/>
    <w:tmpl w:val="5F0CC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A00A1"/>
    <w:multiLevelType w:val="hybridMultilevel"/>
    <w:tmpl w:val="63C01BB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B056B34"/>
    <w:multiLevelType w:val="hybridMultilevel"/>
    <w:tmpl w:val="C81C5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B16504"/>
    <w:multiLevelType w:val="hybridMultilevel"/>
    <w:tmpl w:val="4CDC299A"/>
    <w:lvl w:ilvl="0" w:tplc="64547D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2D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7C07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66BF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CE93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86D7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AC42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A470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E6BC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10B05FB"/>
    <w:multiLevelType w:val="hybridMultilevel"/>
    <w:tmpl w:val="1D7444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13B46EE"/>
    <w:multiLevelType w:val="hybridMultilevel"/>
    <w:tmpl w:val="5B84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CB55F3"/>
    <w:multiLevelType w:val="hybridMultilevel"/>
    <w:tmpl w:val="270EB03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781165E1"/>
    <w:multiLevelType w:val="hybridMultilevel"/>
    <w:tmpl w:val="79D68EDC"/>
    <w:lvl w:ilvl="0" w:tplc="2A8A5A9E">
      <w:start w:val="1"/>
      <w:numFmt w:val="decimal"/>
      <w:lvlText w:val="%1."/>
      <w:lvlJc w:val="left"/>
      <w:pPr>
        <w:ind w:left="4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DC5EC5C8">
      <w:start w:val="1"/>
      <w:numFmt w:val="decimal"/>
      <w:lvlText w:val="%2."/>
      <w:lvlJc w:val="left"/>
      <w:pPr>
        <w:ind w:left="10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404AD708">
      <w:start w:val="1"/>
      <w:numFmt w:val="lowerRoman"/>
      <w:lvlText w:val="%3"/>
      <w:lvlJc w:val="left"/>
      <w:pPr>
        <w:ind w:left="135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ED44EA28">
      <w:start w:val="1"/>
      <w:numFmt w:val="decimal"/>
      <w:lvlText w:val="%4"/>
      <w:lvlJc w:val="left"/>
      <w:pPr>
        <w:ind w:left="207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8DC2EF32">
      <w:start w:val="1"/>
      <w:numFmt w:val="lowerLetter"/>
      <w:lvlText w:val="%5"/>
      <w:lvlJc w:val="left"/>
      <w:pPr>
        <w:ind w:left="279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DB747628">
      <w:start w:val="1"/>
      <w:numFmt w:val="lowerRoman"/>
      <w:lvlText w:val="%6"/>
      <w:lvlJc w:val="left"/>
      <w:pPr>
        <w:ind w:left="351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56AEEB52">
      <w:start w:val="1"/>
      <w:numFmt w:val="decimal"/>
      <w:lvlText w:val="%7"/>
      <w:lvlJc w:val="left"/>
      <w:pPr>
        <w:ind w:left="423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274C1C64">
      <w:start w:val="1"/>
      <w:numFmt w:val="lowerLetter"/>
      <w:lvlText w:val="%8"/>
      <w:lvlJc w:val="left"/>
      <w:pPr>
        <w:ind w:left="495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A0DE0F92">
      <w:start w:val="1"/>
      <w:numFmt w:val="lowerRoman"/>
      <w:lvlText w:val="%9"/>
      <w:lvlJc w:val="left"/>
      <w:pPr>
        <w:ind w:left="567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93654B7"/>
    <w:multiLevelType w:val="hybridMultilevel"/>
    <w:tmpl w:val="48B26994"/>
    <w:lvl w:ilvl="0" w:tplc="04090019">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730E47"/>
    <w:multiLevelType w:val="hybridMultilevel"/>
    <w:tmpl w:val="34F89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68162B"/>
    <w:multiLevelType w:val="hybridMultilevel"/>
    <w:tmpl w:val="9CB69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445843">
    <w:abstractNumId w:val="16"/>
  </w:num>
  <w:num w:numId="2" w16cid:durableId="802041998">
    <w:abstractNumId w:val="12"/>
  </w:num>
  <w:num w:numId="3" w16cid:durableId="30421833">
    <w:abstractNumId w:val="30"/>
  </w:num>
  <w:num w:numId="4" w16cid:durableId="1920014917">
    <w:abstractNumId w:val="10"/>
  </w:num>
  <w:num w:numId="5" w16cid:durableId="1068304458">
    <w:abstractNumId w:val="38"/>
  </w:num>
  <w:num w:numId="6" w16cid:durableId="616526119">
    <w:abstractNumId w:val="42"/>
  </w:num>
  <w:num w:numId="7" w16cid:durableId="963921878">
    <w:abstractNumId w:val="3"/>
  </w:num>
  <w:num w:numId="8" w16cid:durableId="1883705939">
    <w:abstractNumId w:val="24"/>
  </w:num>
  <w:num w:numId="9" w16cid:durableId="944842790">
    <w:abstractNumId w:val="32"/>
  </w:num>
  <w:num w:numId="10" w16cid:durableId="1991593136">
    <w:abstractNumId w:val="4"/>
  </w:num>
  <w:num w:numId="11" w16cid:durableId="1754620235">
    <w:abstractNumId w:val="13"/>
  </w:num>
  <w:num w:numId="12" w16cid:durableId="230426768">
    <w:abstractNumId w:val="33"/>
  </w:num>
  <w:num w:numId="13" w16cid:durableId="997465053">
    <w:abstractNumId w:val="8"/>
  </w:num>
  <w:num w:numId="14" w16cid:durableId="1035696800">
    <w:abstractNumId w:val="0"/>
  </w:num>
  <w:num w:numId="15" w16cid:durableId="1829588099">
    <w:abstractNumId w:val="5"/>
  </w:num>
  <w:num w:numId="16" w16cid:durableId="2046052554">
    <w:abstractNumId w:val="23"/>
  </w:num>
  <w:num w:numId="17" w16cid:durableId="2076313548">
    <w:abstractNumId w:val="29"/>
  </w:num>
  <w:num w:numId="18" w16cid:durableId="1139343694">
    <w:abstractNumId w:val="36"/>
  </w:num>
  <w:num w:numId="19" w16cid:durableId="1796410014">
    <w:abstractNumId w:val="27"/>
  </w:num>
  <w:num w:numId="20" w16cid:durableId="1000083037">
    <w:abstractNumId w:val="2"/>
  </w:num>
  <w:num w:numId="21" w16cid:durableId="1184322541">
    <w:abstractNumId w:val="37"/>
  </w:num>
  <w:num w:numId="22" w16cid:durableId="406611848">
    <w:abstractNumId w:val="31"/>
  </w:num>
  <w:num w:numId="23" w16cid:durableId="999508086">
    <w:abstractNumId w:val="40"/>
  </w:num>
  <w:num w:numId="24" w16cid:durableId="1806851626">
    <w:abstractNumId w:val="6"/>
  </w:num>
  <w:num w:numId="25" w16cid:durableId="357197509">
    <w:abstractNumId w:val="35"/>
  </w:num>
  <w:num w:numId="26" w16cid:durableId="1816218096">
    <w:abstractNumId w:val="1"/>
  </w:num>
  <w:num w:numId="27" w16cid:durableId="1765219796">
    <w:abstractNumId w:val="22"/>
  </w:num>
  <w:num w:numId="28" w16cid:durableId="1964995032">
    <w:abstractNumId w:val="26"/>
  </w:num>
  <w:num w:numId="29" w16cid:durableId="1213733040">
    <w:abstractNumId w:val="17"/>
  </w:num>
  <w:num w:numId="30" w16cid:durableId="680669152">
    <w:abstractNumId w:val="25"/>
  </w:num>
  <w:num w:numId="31" w16cid:durableId="772091403">
    <w:abstractNumId w:val="19"/>
  </w:num>
  <w:num w:numId="32" w16cid:durableId="272901365">
    <w:abstractNumId w:val="9"/>
  </w:num>
  <w:num w:numId="33" w16cid:durableId="789276689">
    <w:abstractNumId w:val="44"/>
  </w:num>
  <w:num w:numId="34" w16cid:durableId="622854284">
    <w:abstractNumId w:val="8"/>
    <w:lvlOverride w:ilvl="0">
      <w:startOverride w:val="1"/>
    </w:lvlOverride>
  </w:num>
  <w:num w:numId="35" w16cid:durableId="283773358">
    <w:abstractNumId w:val="43"/>
  </w:num>
  <w:num w:numId="36" w16cid:durableId="403600322">
    <w:abstractNumId w:val="11"/>
  </w:num>
  <w:num w:numId="37" w16cid:durableId="123621770">
    <w:abstractNumId w:val="41"/>
  </w:num>
  <w:num w:numId="38" w16cid:durableId="1211572166">
    <w:abstractNumId w:val="7"/>
  </w:num>
  <w:num w:numId="39" w16cid:durableId="1062367978">
    <w:abstractNumId w:val="20"/>
  </w:num>
  <w:num w:numId="40" w16cid:durableId="2132745589">
    <w:abstractNumId w:val="28"/>
  </w:num>
  <w:num w:numId="41" w16cid:durableId="991518430">
    <w:abstractNumId w:val="14"/>
  </w:num>
  <w:num w:numId="42" w16cid:durableId="851452977">
    <w:abstractNumId w:val="18"/>
  </w:num>
  <w:num w:numId="43" w16cid:durableId="875121027">
    <w:abstractNumId w:val="39"/>
  </w:num>
  <w:num w:numId="44" w16cid:durableId="1347948015">
    <w:abstractNumId w:val="21"/>
  </w:num>
  <w:num w:numId="45" w16cid:durableId="91780253">
    <w:abstractNumId w:val="45"/>
  </w:num>
  <w:num w:numId="46" w16cid:durableId="1632325382">
    <w:abstractNumId w:val="34"/>
  </w:num>
  <w:num w:numId="47" w16cid:durableId="17253301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9"/>
    <w:rsid w:val="0000013B"/>
    <w:rsid w:val="00000954"/>
    <w:rsid w:val="0000180F"/>
    <w:rsid w:val="000018A7"/>
    <w:rsid w:val="00001D7B"/>
    <w:rsid w:val="000022F0"/>
    <w:rsid w:val="000036B6"/>
    <w:rsid w:val="000038DB"/>
    <w:rsid w:val="00003DDE"/>
    <w:rsid w:val="00003E71"/>
    <w:rsid w:val="00003FF8"/>
    <w:rsid w:val="00004001"/>
    <w:rsid w:val="00004005"/>
    <w:rsid w:val="00004F02"/>
    <w:rsid w:val="00004F80"/>
    <w:rsid w:val="0000660C"/>
    <w:rsid w:val="00007FFB"/>
    <w:rsid w:val="0001069F"/>
    <w:rsid w:val="00010BC6"/>
    <w:rsid w:val="0001249B"/>
    <w:rsid w:val="00012730"/>
    <w:rsid w:val="00012AFF"/>
    <w:rsid w:val="00012D45"/>
    <w:rsid w:val="00013A59"/>
    <w:rsid w:val="000140C1"/>
    <w:rsid w:val="000144EF"/>
    <w:rsid w:val="00014946"/>
    <w:rsid w:val="000149A4"/>
    <w:rsid w:val="000153BF"/>
    <w:rsid w:val="00015DEC"/>
    <w:rsid w:val="00016C23"/>
    <w:rsid w:val="00020CD6"/>
    <w:rsid w:val="0002267A"/>
    <w:rsid w:val="00024107"/>
    <w:rsid w:val="00024335"/>
    <w:rsid w:val="00024A38"/>
    <w:rsid w:val="00024C89"/>
    <w:rsid w:val="00024C98"/>
    <w:rsid w:val="00024D94"/>
    <w:rsid w:val="00024E28"/>
    <w:rsid w:val="000255DB"/>
    <w:rsid w:val="00025975"/>
    <w:rsid w:val="00026F54"/>
    <w:rsid w:val="00030DC8"/>
    <w:rsid w:val="00031829"/>
    <w:rsid w:val="00031E98"/>
    <w:rsid w:val="00032144"/>
    <w:rsid w:val="00032F87"/>
    <w:rsid w:val="0003381E"/>
    <w:rsid w:val="00033B2D"/>
    <w:rsid w:val="00033C22"/>
    <w:rsid w:val="00033DA1"/>
    <w:rsid w:val="00034397"/>
    <w:rsid w:val="000348DB"/>
    <w:rsid w:val="00034A6F"/>
    <w:rsid w:val="00035627"/>
    <w:rsid w:val="00035F8E"/>
    <w:rsid w:val="000369F7"/>
    <w:rsid w:val="00037046"/>
    <w:rsid w:val="0003775E"/>
    <w:rsid w:val="00040286"/>
    <w:rsid w:val="000409BE"/>
    <w:rsid w:val="000409DE"/>
    <w:rsid w:val="00040A29"/>
    <w:rsid w:val="00040D1C"/>
    <w:rsid w:val="00040ED4"/>
    <w:rsid w:val="0004103C"/>
    <w:rsid w:val="0004104B"/>
    <w:rsid w:val="0004189E"/>
    <w:rsid w:val="00041C1E"/>
    <w:rsid w:val="0004219F"/>
    <w:rsid w:val="00042A08"/>
    <w:rsid w:val="00042FFC"/>
    <w:rsid w:val="000432CF"/>
    <w:rsid w:val="000435C3"/>
    <w:rsid w:val="0004378A"/>
    <w:rsid w:val="00043A5E"/>
    <w:rsid w:val="00043D9E"/>
    <w:rsid w:val="000442C9"/>
    <w:rsid w:val="0004498F"/>
    <w:rsid w:val="00044F7C"/>
    <w:rsid w:val="0004520C"/>
    <w:rsid w:val="00045B15"/>
    <w:rsid w:val="00045B65"/>
    <w:rsid w:val="00046B18"/>
    <w:rsid w:val="00047CB0"/>
    <w:rsid w:val="0005009C"/>
    <w:rsid w:val="000501FC"/>
    <w:rsid w:val="00051900"/>
    <w:rsid w:val="0005262A"/>
    <w:rsid w:val="00052877"/>
    <w:rsid w:val="00052955"/>
    <w:rsid w:val="000534FB"/>
    <w:rsid w:val="00053B43"/>
    <w:rsid w:val="00053E90"/>
    <w:rsid w:val="000547AD"/>
    <w:rsid w:val="000547E6"/>
    <w:rsid w:val="00054BD4"/>
    <w:rsid w:val="00054CA5"/>
    <w:rsid w:val="00054DDD"/>
    <w:rsid w:val="0005538A"/>
    <w:rsid w:val="00055467"/>
    <w:rsid w:val="0005640E"/>
    <w:rsid w:val="000566CE"/>
    <w:rsid w:val="00056EAE"/>
    <w:rsid w:val="00056F2F"/>
    <w:rsid w:val="000578B4"/>
    <w:rsid w:val="00057CEF"/>
    <w:rsid w:val="000603FE"/>
    <w:rsid w:val="00060608"/>
    <w:rsid w:val="00060E96"/>
    <w:rsid w:val="00060FFF"/>
    <w:rsid w:val="000617A4"/>
    <w:rsid w:val="000618FC"/>
    <w:rsid w:val="00062103"/>
    <w:rsid w:val="0006299D"/>
    <w:rsid w:val="00062F9B"/>
    <w:rsid w:val="000632D1"/>
    <w:rsid w:val="000638EF"/>
    <w:rsid w:val="00064DA4"/>
    <w:rsid w:val="00064DD7"/>
    <w:rsid w:val="00064F22"/>
    <w:rsid w:val="00067F0A"/>
    <w:rsid w:val="0007014D"/>
    <w:rsid w:val="000714EC"/>
    <w:rsid w:val="00071D5E"/>
    <w:rsid w:val="0007254C"/>
    <w:rsid w:val="000730A8"/>
    <w:rsid w:val="00073347"/>
    <w:rsid w:val="000740F2"/>
    <w:rsid w:val="0007441F"/>
    <w:rsid w:val="000744F2"/>
    <w:rsid w:val="00075FEA"/>
    <w:rsid w:val="000761C5"/>
    <w:rsid w:val="00076328"/>
    <w:rsid w:val="000774D1"/>
    <w:rsid w:val="000778E3"/>
    <w:rsid w:val="00077A32"/>
    <w:rsid w:val="00080EAF"/>
    <w:rsid w:val="00080F95"/>
    <w:rsid w:val="0008146E"/>
    <w:rsid w:val="000816A1"/>
    <w:rsid w:val="00081F4D"/>
    <w:rsid w:val="00082012"/>
    <w:rsid w:val="000825BD"/>
    <w:rsid w:val="00082D70"/>
    <w:rsid w:val="00083C73"/>
    <w:rsid w:val="00083D59"/>
    <w:rsid w:val="00084F0A"/>
    <w:rsid w:val="00085582"/>
    <w:rsid w:val="00085FFC"/>
    <w:rsid w:val="000870B1"/>
    <w:rsid w:val="00087208"/>
    <w:rsid w:val="00090457"/>
    <w:rsid w:val="0009070F"/>
    <w:rsid w:val="000909F4"/>
    <w:rsid w:val="00090C52"/>
    <w:rsid w:val="00090DEF"/>
    <w:rsid w:val="00090F3A"/>
    <w:rsid w:val="00090FF2"/>
    <w:rsid w:val="000913BE"/>
    <w:rsid w:val="00091A0A"/>
    <w:rsid w:val="000925DC"/>
    <w:rsid w:val="00093A8F"/>
    <w:rsid w:val="00093CC6"/>
    <w:rsid w:val="00093F10"/>
    <w:rsid w:val="00094658"/>
    <w:rsid w:val="00094836"/>
    <w:rsid w:val="0009521A"/>
    <w:rsid w:val="00095675"/>
    <w:rsid w:val="000A0742"/>
    <w:rsid w:val="000A1242"/>
    <w:rsid w:val="000A12AA"/>
    <w:rsid w:val="000A1319"/>
    <w:rsid w:val="000A1537"/>
    <w:rsid w:val="000A2539"/>
    <w:rsid w:val="000A25B3"/>
    <w:rsid w:val="000A3866"/>
    <w:rsid w:val="000A513E"/>
    <w:rsid w:val="000A6125"/>
    <w:rsid w:val="000A6A07"/>
    <w:rsid w:val="000B0204"/>
    <w:rsid w:val="000B125C"/>
    <w:rsid w:val="000B164F"/>
    <w:rsid w:val="000B2005"/>
    <w:rsid w:val="000B3118"/>
    <w:rsid w:val="000B4149"/>
    <w:rsid w:val="000B4363"/>
    <w:rsid w:val="000B50B9"/>
    <w:rsid w:val="000B5289"/>
    <w:rsid w:val="000B573B"/>
    <w:rsid w:val="000B5919"/>
    <w:rsid w:val="000B5D11"/>
    <w:rsid w:val="000B622D"/>
    <w:rsid w:val="000B66C8"/>
    <w:rsid w:val="000B6CB2"/>
    <w:rsid w:val="000B70B2"/>
    <w:rsid w:val="000B76F5"/>
    <w:rsid w:val="000C0F9F"/>
    <w:rsid w:val="000C11A3"/>
    <w:rsid w:val="000C12DE"/>
    <w:rsid w:val="000C217C"/>
    <w:rsid w:val="000C2EAE"/>
    <w:rsid w:val="000C379A"/>
    <w:rsid w:val="000C3BA8"/>
    <w:rsid w:val="000C3CE5"/>
    <w:rsid w:val="000C50E3"/>
    <w:rsid w:val="000C6051"/>
    <w:rsid w:val="000C6A32"/>
    <w:rsid w:val="000C6D6B"/>
    <w:rsid w:val="000C7016"/>
    <w:rsid w:val="000C72A0"/>
    <w:rsid w:val="000D0820"/>
    <w:rsid w:val="000D198C"/>
    <w:rsid w:val="000D1A0A"/>
    <w:rsid w:val="000D2D97"/>
    <w:rsid w:val="000D303A"/>
    <w:rsid w:val="000D3A75"/>
    <w:rsid w:val="000D4E0C"/>
    <w:rsid w:val="000D74AF"/>
    <w:rsid w:val="000D754B"/>
    <w:rsid w:val="000D7B0C"/>
    <w:rsid w:val="000E0B9D"/>
    <w:rsid w:val="000E1C4C"/>
    <w:rsid w:val="000E1E55"/>
    <w:rsid w:val="000E2E90"/>
    <w:rsid w:val="000E32AE"/>
    <w:rsid w:val="000E3816"/>
    <w:rsid w:val="000E48C9"/>
    <w:rsid w:val="000E4D2E"/>
    <w:rsid w:val="000E4E79"/>
    <w:rsid w:val="000E58F7"/>
    <w:rsid w:val="000E5BF4"/>
    <w:rsid w:val="000E6838"/>
    <w:rsid w:val="000E76D5"/>
    <w:rsid w:val="000E7B18"/>
    <w:rsid w:val="000F11CD"/>
    <w:rsid w:val="000F1236"/>
    <w:rsid w:val="000F170E"/>
    <w:rsid w:val="000F1B7F"/>
    <w:rsid w:val="000F1CFE"/>
    <w:rsid w:val="000F2DF9"/>
    <w:rsid w:val="000F2FCB"/>
    <w:rsid w:val="000F439B"/>
    <w:rsid w:val="000F43C7"/>
    <w:rsid w:val="000F51DC"/>
    <w:rsid w:val="000F5347"/>
    <w:rsid w:val="000F5375"/>
    <w:rsid w:val="000F5547"/>
    <w:rsid w:val="000F6176"/>
    <w:rsid w:val="000F6842"/>
    <w:rsid w:val="000F6AE1"/>
    <w:rsid w:val="000F6C15"/>
    <w:rsid w:val="000F738E"/>
    <w:rsid w:val="000F7A73"/>
    <w:rsid w:val="001003C2"/>
    <w:rsid w:val="001003DB"/>
    <w:rsid w:val="00100C77"/>
    <w:rsid w:val="001012B0"/>
    <w:rsid w:val="001014EC"/>
    <w:rsid w:val="00101AA1"/>
    <w:rsid w:val="001030E1"/>
    <w:rsid w:val="00103713"/>
    <w:rsid w:val="00103872"/>
    <w:rsid w:val="00103ADC"/>
    <w:rsid w:val="00103F8F"/>
    <w:rsid w:val="00104B2C"/>
    <w:rsid w:val="00104FDB"/>
    <w:rsid w:val="00105576"/>
    <w:rsid w:val="0010635D"/>
    <w:rsid w:val="001066CD"/>
    <w:rsid w:val="00106F02"/>
    <w:rsid w:val="00107268"/>
    <w:rsid w:val="0010727E"/>
    <w:rsid w:val="00107993"/>
    <w:rsid w:val="001079AA"/>
    <w:rsid w:val="00110950"/>
    <w:rsid w:val="00110CD7"/>
    <w:rsid w:val="00110E05"/>
    <w:rsid w:val="00110F6F"/>
    <w:rsid w:val="00110FF8"/>
    <w:rsid w:val="001112F4"/>
    <w:rsid w:val="00113F1D"/>
    <w:rsid w:val="0011401D"/>
    <w:rsid w:val="00114175"/>
    <w:rsid w:val="001145D1"/>
    <w:rsid w:val="001147F8"/>
    <w:rsid w:val="0011575A"/>
    <w:rsid w:val="001157D0"/>
    <w:rsid w:val="001158FD"/>
    <w:rsid w:val="00117492"/>
    <w:rsid w:val="0011766A"/>
    <w:rsid w:val="0012007F"/>
    <w:rsid w:val="00120184"/>
    <w:rsid w:val="00121A9E"/>
    <w:rsid w:val="00122024"/>
    <w:rsid w:val="001223BB"/>
    <w:rsid w:val="00122A2A"/>
    <w:rsid w:val="0012444E"/>
    <w:rsid w:val="00124B76"/>
    <w:rsid w:val="00124FD7"/>
    <w:rsid w:val="0012503B"/>
    <w:rsid w:val="00125199"/>
    <w:rsid w:val="00125DE8"/>
    <w:rsid w:val="00126474"/>
    <w:rsid w:val="00130990"/>
    <w:rsid w:val="00130DE9"/>
    <w:rsid w:val="00131474"/>
    <w:rsid w:val="00131924"/>
    <w:rsid w:val="00131A26"/>
    <w:rsid w:val="00132854"/>
    <w:rsid w:val="00132DCA"/>
    <w:rsid w:val="00134660"/>
    <w:rsid w:val="00134A59"/>
    <w:rsid w:val="00134D31"/>
    <w:rsid w:val="001353DC"/>
    <w:rsid w:val="00135E34"/>
    <w:rsid w:val="00135F16"/>
    <w:rsid w:val="00136066"/>
    <w:rsid w:val="00136A59"/>
    <w:rsid w:val="00137103"/>
    <w:rsid w:val="00140FA6"/>
    <w:rsid w:val="001413FD"/>
    <w:rsid w:val="00141A4A"/>
    <w:rsid w:val="001428E6"/>
    <w:rsid w:val="00142B71"/>
    <w:rsid w:val="00142DF9"/>
    <w:rsid w:val="00142FB8"/>
    <w:rsid w:val="00143D1E"/>
    <w:rsid w:val="00145084"/>
    <w:rsid w:val="001452E3"/>
    <w:rsid w:val="001454D5"/>
    <w:rsid w:val="00145E63"/>
    <w:rsid w:val="00145E93"/>
    <w:rsid w:val="001463B7"/>
    <w:rsid w:val="00146AC0"/>
    <w:rsid w:val="00146E24"/>
    <w:rsid w:val="00146E7C"/>
    <w:rsid w:val="0014705F"/>
    <w:rsid w:val="00147C06"/>
    <w:rsid w:val="00150E9C"/>
    <w:rsid w:val="00151683"/>
    <w:rsid w:val="00151B32"/>
    <w:rsid w:val="001524F2"/>
    <w:rsid w:val="00152B28"/>
    <w:rsid w:val="00152B41"/>
    <w:rsid w:val="00153298"/>
    <w:rsid w:val="001532D1"/>
    <w:rsid w:val="00154340"/>
    <w:rsid w:val="001543E6"/>
    <w:rsid w:val="0015453F"/>
    <w:rsid w:val="0015493A"/>
    <w:rsid w:val="001553CE"/>
    <w:rsid w:val="0015593C"/>
    <w:rsid w:val="00155A9F"/>
    <w:rsid w:val="001563F5"/>
    <w:rsid w:val="0015664C"/>
    <w:rsid w:val="001577B6"/>
    <w:rsid w:val="001578AF"/>
    <w:rsid w:val="00160462"/>
    <w:rsid w:val="00160753"/>
    <w:rsid w:val="00161C9C"/>
    <w:rsid w:val="001625D8"/>
    <w:rsid w:val="001626C2"/>
    <w:rsid w:val="00162B39"/>
    <w:rsid w:val="001633D3"/>
    <w:rsid w:val="001635E7"/>
    <w:rsid w:val="00164D19"/>
    <w:rsid w:val="00165280"/>
    <w:rsid w:val="001654A1"/>
    <w:rsid w:val="00166835"/>
    <w:rsid w:val="00166A12"/>
    <w:rsid w:val="00166A22"/>
    <w:rsid w:val="00167493"/>
    <w:rsid w:val="00170784"/>
    <w:rsid w:val="00170CE9"/>
    <w:rsid w:val="00170E64"/>
    <w:rsid w:val="001711B8"/>
    <w:rsid w:val="001724BF"/>
    <w:rsid w:val="001725AE"/>
    <w:rsid w:val="00172A79"/>
    <w:rsid w:val="00172AE3"/>
    <w:rsid w:val="00172EB2"/>
    <w:rsid w:val="001735CE"/>
    <w:rsid w:val="001738DE"/>
    <w:rsid w:val="00173C77"/>
    <w:rsid w:val="001741C4"/>
    <w:rsid w:val="00174BC6"/>
    <w:rsid w:val="0017696D"/>
    <w:rsid w:val="001774B3"/>
    <w:rsid w:val="0017789D"/>
    <w:rsid w:val="00177DAF"/>
    <w:rsid w:val="00180851"/>
    <w:rsid w:val="001809D3"/>
    <w:rsid w:val="00181356"/>
    <w:rsid w:val="00182135"/>
    <w:rsid w:val="001822A1"/>
    <w:rsid w:val="00182641"/>
    <w:rsid w:val="00182E23"/>
    <w:rsid w:val="00183FB9"/>
    <w:rsid w:val="001840A6"/>
    <w:rsid w:val="00184682"/>
    <w:rsid w:val="0018486B"/>
    <w:rsid w:val="00184C4C"/>
    <w:rsid w:val="00185887"/>
    <w:rsid w:val="001865D4"/>
    <w:rsid w:val="0018668C"/>
    <w:rsid w:val="00187604"/>
    <w:rsid w:val="00187FAB"/>
    <w:rsid w:val="00190207"/>
    <w:rsid w:val="00190D69"/>
    <w:rsid w:val="0019103B"/>
    <w:rsid w:val="00191E40"/>
    <w:rsid w:val="00191E8A"/>
    <w:rsid w:val="001921FB"/>
    <w:rsid w:val="00192758"/>
    <w:rsid w:val="00193699"/>
    <w:rsid w:val="00193909"/>
    <w:rsid w:val="00193BCA"/>
    <w:rsid w:val="00194BB3"/>
    <w:rsid w:val="00194D83"/>
    <w:rsid w:val="00194E79"/>
    <w:rsid w:val="001952FE"/>
    <w:rsid w:val="00195394"/>
    <w:rsid w:val="001953EE"/>
    <w:rsid w:val="00196388"/>
    <w:rsid w:val="00196600"/>
    <w:rsid w:val="001971AF"/>
    <w:rsid w:val="001973EB"/>
    <w:rsid w:val="001A0227"/>
    <w:rsid w:val="001A02EA"/>
    <w:rsid w:val="001A0AFD"/>
    <w:rsid w:val="001A10AE"/>
    <w:rsid w:val="001A133F"/>
    <w:rsid w:val="001A18FB"/>
    <w:rsid w:val="001A1DB2"/>
    <w:rsid w:val="001A1F00"/>
    <w:rsid w:val="001A1FF9"/>
    <w:rsid w:val="001A20F0"/>
    <w:rsid w:val="001A2126"/>
    <w:rsid w:val="001A25D6"/>
    <w:rsid w:val="001A2842"/>
    <w:rsid w:val="001A3444"/>
    <w:rsid w:val="001A3931"/>
    <w:rsid w:val="001A44D4"/>
    <w:rsid w:val="001A52E2"/>
    <w:rsid w:val="001A6385"/>
    <w:rsid w:val="001A6559"/>
    <w:rsid w:val="001A7551"/>
    <w:rsid w:val="001A75F7"/>
    <w:rsid w:val="001A782D"/>
    <w:rsid w:val="001A7D06"/>
    <w:rsid w:val="001A7DC0"/>
    <w:rsid w:val="001B04A6"/>
    <w:rsid w:val="001B2BC8"/>
    <w:rsid w:val="001B2F79"/>
    <w:rsid w:val="001B3F96"/>
    <w:rsid w:val="001B46E3"/>
    <w:rsid w:val="001B504C"/>
    <w:rsid w:val="001B517C"/>
    <w:rsid w:val="001B5295"/>
    <w:rsid w:val="001B60A7"/>
    <w:rsid w:val="001B6C33"/>
    <w:rsid w:val="001B732E"/>
    <w:rsid w:val="001B794C"/>
    <w:rsid w:val="001C0880"/>
    <w:rsid w:val="001C0FEB"/>
    <w:rsid w:val="001C1544"/>
    <w:rsid w:val="001C1714"/>
    <w:rsid w:val="001C17C6"/>
    <w:rsid w:val="001C1D62"/>
    <w:rsid w:val="001C2C60"/>
    <w:rsid w:val="001C2D60"/>
    <w:rsid w:val="001C2EC5"/>
    <w:rsid w:val="001C36FC"/>
    <w:rsid w:val="001C42DA"/>
    <w:rsid w:val="001C4D5D"/>
    <w:rsid w:val="001C5D1A"/>
    <w:rsid w:val="001C67DD"/>
    <w:rsid w:val="001C68B6"/>
    <w:rsid w:val="001C735A"/>
    <w:rsid w:val="001C74D3"/>
    <w:rsid w:val="001D07D0"/>
    <w:rsid w:val="001D19E1"/>
    <w:rsid w:val="001D1F38"/>
    <w:rsid w:val="001D2C3A"/>
    <w:rsid w:val="001D2D5F"/>
    <w:rsid w:val="001D38B2"/>
    <w:rsid w:val="001D3BCA"/>
    <w:rsid w:val="001D47EF"/>
    <w:rsid w:val="001D4D92"/>
    <w:rsid w:val="001D4E69"/>
    <w:rsid w:val="001D4F7B"/>
    <w:rsid w:val="001D5D13"/>
    <w:rsid w:val="001D5F62"/>
    <w:rsid w:val="001D6AB0"/>
    <w:rsid w:val="001D6AB7"/>
    <w:rsid w:val="001D6BF1"/>
    <w:rsid w:val="001D6D0B"/>
    <w:rsid w:val="001D6F14"/>
    <w:rsid w:val="001D70A4"/>
    <w:rsid w:val="001D7A85"/>
    <w:rsid w:val="001D7F67"/>
    <w:rsid w:val="001E072E"/>
    <w:rsid w:val="001E07F6"/>
    <w:rsid w:val="001E0ECE"/>
    <w:rsid w:val="001E1601"/>
    <w:rsid w:val="001E18B7"/>
    <w:rsid w:val="001E2620"/>
    <w:rsid w:val="001E327B"/>
    <w:rsid w:val="001E3EF1"/>
    <w:rsid w:val="001E5003"/>
    <w:rsid w:val="001E58A0"/>
    <w:rsid w:val="001E5FCE"/>
    <w:rsid w:val="001E6B7A"/>
    <w:rsid w:val="001E76FB"/>
    <w:rsid w:val="001F02BF"/>
    <w:rsid w:val="001F038D"/>
    <w:rsid w:val="001F10DD"/>
    <w:rsid w:val="001F1539"/>
    <w:rsid w:val="001F19B8"/>
    <w:rsid w:val="001F2A9B"/>
    <w:rsid w:val="001F2E9E"/>
    <w:rsid w:val="001F3B1E"/>
    <w:rsid w:val="001F4645"/>
    <w:rsid w:val="001F4EDE"/>
    <w:rsid w:val="001F50A8"/>
    <w:rsid w:val="001F5325"/>
    <w:rsid w:val="001F5A3D"/>
    <w:rsid w:val="001F5E28"/>
    <w:rsid w:val="001F62B1"/>
    <w:rsid w:val="001F683E"/>
    <w:rsid w:val="001F6C52"/>
    <w:rsid w:val="001F6FB2"/>
    <w:rsid w:val="001F7D67"/>
    <w:rsid w:val="00200192"/>
    <w:rsid w:val="002001C1"/>
    <w:rsid w:val="00200712"/>
    <w:rsid w:val="00200FFB"/>
    <w:rsid w:val="0020108F"/>
    <w:rsid w:val="0020147E"/>
    <w:rsid w:val="0020178E"/>
    <w:rsid w:val="00202A8F"/>
    <w:rsid w:val="002031C8"/>
    <w:rsid w:val="002040D0"/>
    <w:rsid w:val="00204E37"/>
    <w:rsid w:val="00205D87"/>
    <w:rsid w:val="00205F01"/>
    <w:rsid w:val="0020642F"/>
    <w:rsid w:val="00206A45"/>
    <w:rsid w:val="0020727B"/>
    <w:rsid w:val="002072B5"/>
    <w:rsid w:val="00207384"/>
    <w:rsid w:val="00207ABE"/>
    <w:rsid w:val="00207B04"/>
    <w:rsid w:val="00210288"/>
    <w:rsid w:val="0021043A"/>
    <w:rsid w:val="00210AC5"/>
    <w:rsid w:val="00210D40"/>
    <w:rsid w:val="0021137F"/>
    <w:rsid w:val="00211AC9"/>
    <w:rsid w:val="00212346"/>
    <w:rsid w:val="002129BB"/>
    <w:rsid w:val="00212ED2"/>
    <w:rsid w:val="002142CF"/>
    <w:rsid w:val="0021449A"/>
    <w:rsid w:val="002160DC"/>
    <w:rsid w:val="00216234"/>
    <w:rsid w:val="00216B9F"/>
    <w:rsid w:val="00216D66"/>
    <w:rsid w:val="0021EBC9"/>
    <w:rsid w:val="00220B52"/>
    <w:rsid w:val="00222CCE"/>
    <w:rsid w:val="00222ED2"/>
    <w:rsid w:val="00222F30"/>
    <w:rsid w:val="0022374D"/>
    <w:rsid w:val="002237B7"/>
    <w:rsid w:val="00223B94"/>
    <w:rsid w:val="00224F7C"/>
    <w:rsid w:val="00225160"/>
    <w:rsid w:val="00225B16"/>
    <w:rsid w:val="00225BB6"/>
    <w:rsid w:val="002300E8"/>
    <w:rsid w:val="0023090B"/>
    <w:rsid w:val="002310D2"/>
    <w:rsid w:val="00231249"/>
    <w:rsid w:val="00231347"/>
    <w:rsid w:val="00231DE9"/>
    <w:rsid w:val="0023252A"/>
    <w:rsid w:val="00233299"/>
    <w:rsid w:val="002337FF"/>
    <w:rsid w:val="00235916"/>
    <w:rsid w:val="00235A26"/>
    <w:rsid w:val="002366DA"/>
    <w:rsid w:val="002403CE"/>
    <w:rsid w:val="002405F3"/>
    <w:rsid w:val="002409CC"/>
    <w:rsid w:val="00240AE9"/>
    <w:rsid w:val="00240F9A"/>
    <w:rsid w:val="00241302"/>
    <w:rsid w:val="002418D8"/>
    <w:rsid w:val="00241D42"/>
    <w:rsid w:val="00242FF8"/>
    <w:rsid w:val="00243599"/>
    <w:rsid w:val="00243744"/>
    <w:rsid w:val="00243AB3"/>
    <w:rsid w:val="00243D85"/>
    <w:rsid w:val="0024459D"/>
    <w:rsid w:val="00244ACA"/>
    <w:rsid w:val="00244DD0"/>
    <w:rsid w:val="002451EA"/>
    <w:rsid w:val="00245551"/>
    <w:rsid w:val="00245898"/>
    <w:rsid w:val="002466D2"/>
    <w:rsid w:val="00246A46"/>
    <w:rsid w:val="00246A6B"/>
    <w:rsid w:val="0024747D"/>
    <w:rsid w:val="0024753B"/>
    <w:rsid w:val="0024755A"/>
    <w:rsid w:val="00251C36"/>
    <w:rsid w:val="0025282C"/>
    <w:rsid w:val="00252A93"/>
    <w:rsid w:val="00252F4C"/>
    <w:rsid w:val="00253270"/>
    <w:rsid w:val="0025356B"/>
    <w:rsid w:val="002535D3"/>
    <w:rsid w:val="002543D7"/>
    <w:rsid w:val="00254DE3"/>
    <w:rsid w:val="00255276"/>
    <w:rsid w:val="0025567B"/>
    <w:rsid w:val="0025582E"/>
    <w:rsid w:val="00255849"/>
    <w:rsid w:val="00255852"/>
    <w:rsid w:val="00256A79"/>
    <w:rsid w:val="0026061A"/>
    <w:rsid w:val="002608AC"/>
    <w:rsid w:val="00261217"/>
    <w:rsid w:val="00261CFF"/>
    <w:rsid w:val="00262D42"/>
    <w:rsid w:val="0026495D"/>
    <w:rsid w:val="00264A41"/>
    <w:rsid w:val="00264E19"/>
    <w:rsid w:val="00265117"/>
    <w:rsid w:val="00265477"/>
    <w:rsid w:val="00265570"/>
    <w:rsid w:val="00265D47"/>
    <w:rsid w:val="002664B2"/>
    <w:rsid w:val="0026659A"/>
    <w:rsid w:val="00266CD5"/>
    <w:rsid w:val="0026723A"/>
    <w:rsid w:val="00267A72"/>
    <w:rsid w:val="00270BC0"/>
    <w:rsid w:val="00270BF3"/>
    <w:rsid w:val="002721CF"/>
    <w:rsid w:val="00272209"/>
    <w:rsid w:val="0027287E"/>
    <w:rsid w:val="0027294C"/>
    <w:rsid w:val="002737AD"/>
    <w:rsid w:val="002739A9"/>
    <w:rsid w:val="00273C10"/>
    <w:rsid w:val="00274EF5"/>
    <w:rsid w:val="00275B87"/>
    <w:rsid w:val="00275DDB"/>
    <w:rsid w:val="002769CE"/>
    <w:rsid w:val="00276EC6"/>
    <w:rsid w:val="0027724F"/>
    <w:rsid w:val="00280758"/>
    <w:rsid w:val="00280FE8"/>
    <w:rsid w:val="00281CF8"/>
    <w:rsid w:val="00282D87"/>
    <w:rsid w:val="002832C9"/>
    <w:rsid w:val="002833AF"/>
    <w:rsid w:val="00284498"/>
    <w:rsid w:val="00284595"/>
    <w:rsid w:val="0028529C"/>
    <w:rsid w:val="002856BA"/>
    <w:rsid w:val="00285FC0"/>
    <w:rsid w:val="00285FF2"/>
    <w:rsid w:val="002860AD"/>
    <w:rsid w:val="002868DB"/>
    <w:rsid w:val="00286DFE"/>
    <w:rsid w:val="00287046"/>
    <w:rsid w:val="00287220"/>
    <w:rsid w:val="00290FA9"/>
    <w:rsid w:val="00291D4D"/>
    <w:rsid w:val="00291E43"/>
    <w:rsid w:val="00292A0B"/>
    <w:rsid w:val="00292AF3"/>
    <w:rsid w:val="00292C7A"/>
    <w:rsid w:val="00292CAC"/>
    <w:rsid w:val="00293A50"/>
    <w:rsid w:val="00293B49"/>
    <w:rsid w:val="00293D4E"/>
    <w:rsid w:val="002945F8"/>
    <w:rsid w:val="00294E8B"/>
    <w:rsid w:val="0029532F"/>
    <w:rsid w:val="00295459"/>
    <w:rsid w:val="0029556B"/>
    <w:rsid w:val="00295595"/>
    <w:rsid w:val="00295708"/>
    <w:rsid w:val="00295CD7"/>
    <w:rsid w:val="00296AB3"/>
    <w:rsid w:val="00297B25"/>
    <w:rsid w:val="002A0C4B"/>
    <w:rsid w:val="002A1832"/>
    <w:rsid w:val="002A1993"/>
    <w:rsid w:val="002A2336"/>
    <w:rsid w:val="002A2516"/>
    <w:rsid w:val="002A2C78"/>
    <w:rsid w:val="002A3B1B"/>
    <w:rsid w:val="002A3D55"/>
    <w:rsid w:val="002A4715"/>
    <w:rsid w:val="002A4CFB"/>
    <w:rsid w:val="002A5105"/>
    <w:rsid w:val="002A5338"/>
    <w:rsid w:val="002A542F"/>
    <w:rsid w:val="002A54EB"/>
    <w:rsid w:val="002A6115"/>
    <w:rsid w:val="002A786F"/>
    <w:rsid w:val="002B0F19"/>
    <w:rsid w:val="002B1182"/>
    <w:rsid w:val="002B14E7"/>
    <w:rsid w:val="002B1C74"/>
    <w:rsid w:val="002B2227"/>
    <w:rsid w:val="002B23E9"/>
    <w:rsid w:val="002B26DC"/>
    <w:rsid w:val="002B45F2"/>
    <w:rsid w:val="002B4C5B"/>
    <w:rsid w:val="002B4F42"/>
    <w:rsid w:val="002B5F6A"/>
    <w:rsid w:val="002B677A"/>
    <w:rsid w:val="002B7117"/>
    <w:rsid w:val="002B7188"/>
    <w:rsid w:val="002B7771"/>
    <w:rsid w:val="002B7B05"/>
    <w:rsid w:val="002B7BDB"/>
    <w:rsid w:val="002B7D1A"/>
    <w:rsid w:val="002B7DE1"/>
    <w:rsid w:val="002C04BF"/>
    <w:rsid w:val="002C0664"/>
    <w:rsid w:val="002C0B76"/>
    <w:rsid w:val="002C0B87"/>
    <w:rsid w:val="002C0C51"/>
    <w:rsid w:val="002C1166"/>
    <w:rsid w:val="002C1315"/>
    <w:rsid w:val="002C217E"/>
    <w:rsid w:val="002C3503"/>
    <w:rsid w:val="002C38F2"/>
    <w:rsid w:val="002C440B"/>
    <w:rsid w:val="002C479E"/>
    <w:rsid w:val="002C5244"/>
    <w:rsid w:val="002C5C21"/>
    <w:rsid w:val="002C5FAB"/>
    <w:rsid w:val="002C634C"/>
    <w:rsid w:val="002C63C7"/>
    <w:rsid w:val="002C71B8"/>
    <w:rsid w:val="002C74C5"/>
    <w:rsid w:val="002C777E"/>
    <w:rsid w:val="002C7AB3"/>
    <w:rsid w:val="002C7D3C"/>
    <w:rsid w:val="002D02A2"/>
    <w:rsid w:val="002D138B"/>
    <w:rsid w:val="002D1D85"/>
    <w:rsid w:val="002D2B66"/>
    <w:rsid w:val="002D31A3"/>
    <w:rsid w:val="002D3F0B"/>
    <w:rsid w:val="002D4141"/>
    <w:rsid w:val="002D59D8"/>
    <w:rsid w:val="002D62C1"/>
    <w:rsid w:val="002D64D7"/>
    <w:rsid w:val="002D6D16"/>
    <w:rsid w:val="002D77EB"/>
    <w:rsid w:val="002D7872"/>
    <w:rsid w:val="002D7C09"/>
    <w:rsid w:val="002E062E"/>
    <w:rsid w:val="002E1516"/>
    <w:rsid w:val="002E27B3"/>
    <w:rsid w:val="002E3002"/>
    <w:rsid w:val="002E30D3"/>
    <w:rsid w:val="002E33BA"/>
    <w:rsid w:val="002E342B"/>
    <w:rsid w:val="002E36A6"/>
    <w:rsid w:val="002E49B7"/>
    <w:rsid w:val="002E4F6A"/>
    <w:rsid w:val="002E5ACA"/>
    <w:rsid w:val="002E648C"/>
    <w:rsid w:val="002E6790"/>
    <w:rsid w:val="002E69CB"/>
    <w:rsid w:val="002E7BCF"/>
    <w:rsid w:val="002E7D63"/>
    <w:rsid w:val="002E7F9F"/>
    <w:rsid w:val="002F0B1D"/>
    <w:rsid w:val="002F1336"/>
    <w:rsid w:val="002F1BD9"/>
    <w:rsid w:val="002F27A2"/>
    <w:rsid w:val="002F2C7C"/>
    <w:rsid w:val="002F2DE9"/>
    <w:rsid w:val="002F33C7"/>
    <w:rsid w:val="002F4939"/>
    <w:rsid w:val="002F4FB4"/>
    <w:rsid w:val="002F7B4B"/>
    <w:rsid w:val="0030061F"/>
    <w:rsid w:val="00300802"/>
    <w:rsid w:val="00300D31"/>
    <w:rsid w:val="00300E91"/>
    <w:rsid w:val="00301362"/>
    <w:rsid w:val="00302469"/>
    <w:rsid w:val="0030295C"/>
    <w:rsid w:val="00302BD3"/>
    <w:rsid w:val="00304064"/>
    <w:rsid w:val="00305251"/>
    <w:rsid w:val="003052E4"/>
    <w:rsid w:val="003059E3"/>
    <w:rsid w:val="00305C21"/>
    <w:rsid w:val="0030666B"/>
    <w:rsid w:val="0030700D"/>
    <w:rsid w:val="0031014B"/>
    <w:rsid w:val="00310235"/>
    <w:rsid w:val="00311031"/>
    <w:rsid w:val="00311FD4"/>
    <w:rsid w:val="0031313A"/>
    <w:rsid w:val="003134FB"/>
    <w:rsid w:val="00313590"/>
    <w:rsid w:val="003137E3"/>
    <w:rsid w:val="00313847"/>
    <w:rsid w:val="00313F93"/>
    <w:rsid w:val="003149E2"/>
    <w:rsid w:val="003153FE"/>
    <w:rsid w:val="0031549F"/>
    <w:rsid w:val="00316918"/>
    <w:rsid w:val="0031691E"/>
    <w:rsid w:val="00317A64"/>
    <w:rsid w:val="003207F9"/>
    <w:rsid w:val="00320902"/>
    <w:rsid w:val="003217D4"/>
    <w:rsid w:val="00321FA1"/>
    <w:rsid w:val="00322182"/>
    <w:rsid w:val="00322A43"/>
    <w:rsid w:val="003239BA"/>
    <w:rsid w:val="00323B73"/>
    <w:rsid w:val="003263E6"/>
    <w:rsid w:val="0032699B"/>
    <w:rsid w:val="00327C56"/>
    <w:rsid w:val="00327D31"/>
    <w:rsid w:val="0033033B"/>
    <w:rsid w:val="00330864"/>
    <w:rsid w:val="00330883"/>
    <w:rsid w:val="00330975"/>
    <w:rsid w:val="00330F97"/>
    <w:rsid w:val="00332C3D"/>
    <w:rsid w:val="003334D3"/>
    <w:rsid w:val="00333CE3"/>
    <w:rsid w:val="003343E7"/>
    <w:rsid w:val="00334CB8"/>
    <w:rsid w:val="003351F6"/>
    <w:rsid w:val="00336F73"/>
    <w:rsid w:val="00337FE2"/>
    <w:rsid w:val="003411A8"/>
    <w:rsid w:val="00341252"/>
    <w:rsid w:val="003415F5"/>
    <w:rsid w:val="00341611"/>
    <w:rsid w:val="003418CB"/>
    <w:rsid w:val="003419D0"/>
    <w:rsid w:val="00341C02"/>
    <w:rsid w:val="00341CFF"/>
    <w:rsid w:val="00342030"/>
    <w:rsid w:val="003421E5"/>
    <w:rsid w:val="0034386F"/>
    <w:rsid w:val="00343EDE"/>
    <w:rsid w:val="00344F0C"/>
    <w:rsid w:val="0034505A"/>
    <w:rsid w:val="0034530E"/>
    <w:rsid w:val="00346090"/>
    <w:rsid w:val="00346A56"/>
    <w:rsid w:val="00347B6C"/>
    <w:rsid w:val="003502B6"/>
    <w:rsid w:val="003504E2"/>
    <w:rsid w:val="0035053C"/>
    <w:rsid w:val="00351A8A"/>
    <w:rsid w:val="00351CC1"/>
    <w:rsid w:val="00352436"/>
    <w:rsid w:val="00353319"/>
    <w:rsid w:val="003556AF"/>
    <w:rsid w:val="00355A0D"/>
    <w:rsid w:val="00356EB9"/>
    <w:rsid w:val="003573A0"/>
    <w:rsid w:val="00357562"/>
    <w:rsid w:val="003579C4"/>
    <w:rsid w:val="00357BAB"/>
    <w:rsid w:val="00360160"/>
    <w:rsid w:val="00360960"/>
    <w:rsid w:val="00360ECD"/>
    <w:rsid w:val="00360F11"/>
    <w:rsid w:val="00361256"/>
    <w:rsid w:val="0036290C"/>
    <w:rsid w:val="00363097"/>
    <w:rsid w:val="00363FEC"/>
    <w:rsid w:val="003641F0"/>
    <w:rsid w:val="00364A71"/>
    <w:rsid w:val="00364D1C"/>
    <w:rsid w:val="00364EF4"/>
    <w:rsid w:val="00365046"/>
    <w:rsid w:val="00365E35"/>
    <w:rsid w:val="003671FC"/>
    <w:rsid w:val="00370B69"/>
    <w:rsid w:val="003723C0"/>
    <w:rsid w:val="003735F6"/>
    <w:rsid w:val="0037461C"/>
    <w:rsid w:val="003755E0"/>
    <w:rsid w:val="00375E5F"/>
    <w:rsid w:val="0037706F"/>
    <w:rsid w:val="0037713E"/>
    <w:rsid w:val="0037718F"/>
    <w:rsid w:val="003774F8"/>
    <w:rsid w:val="003779D0"/>
    <w:rsid w:val="00380511"/>
    <w:rsid w:val="00380C43"/>
    <w:rsid w:val="00383445"/>
    <w:rsid w:val="00383596"/>
    <w:rsid w:val="003836CB"/>
    <w:rsid w:val="00383714"/>
    <w:rsid w:val="00384F5B"/>
    <w:rsid w:val="00385AE5"/>
    <w:rsid w:val="00386721"/>
    <w:rsid w:val="0038767E"/>
    <w:rsid w:val="0038790B"/>
    <w:rsid w:val="00387B3C"/>
    <w:rsid w:val="003907DD"/>
    <w:rsid w:val="00392B76"/>
    <w:rsid w:val="00393D20"/>
    <w:rsid w:val="00394707"/>
    <w:rsid w:val="00394B3A"/>
    <w:rsid w:val="00394F22"/>
    <w:rsid w:val="00395459"/>
    <w:rsid w:val="00395D24"/>
    <w:rsid w:val="00396777"/>
    <w:rsid w:val="003A0478"/>
    <w:rsid w:val="003A064A"/>
    <w:rsid w:val="003A250F"/>
    <w:rsid w:val="003A2AE0"/>
    <w:rsid w:val="003A2E87"/>
    <w:rsid w:val="003A3736"/>
    <w:rsid w:val="003A561C"/>
    <w:rsid w:val="003A5A0C"/>
    <w:rsid w:val="003A5F8A"/>
    <w:rsid w:val="003A61B9"/>
    <w:rsid w:val="003A62A2"/>
    <w:rsid w:val="003A6484"/>
    <w:rsid w:val="003A684D"/>
    <w:rsid w:val="003A73FC"/>
    <w:rsid w:val="003A7698"/>
    <w:rsid w:val="003A76F5"/>
    <w:rsid w:val="003B0972"/>
    <w:rsid w:val="003B0F54"/>
    <w:rsid w:val="003B1839"/>
    <w:rsid w:val="003B28DC"/>
    <w:rsid w:val="003B2A02"/>
    <w:rsid w:val="003B436C"/>
    <w:rsid w:val="003B449D"/>
    <w:rsid w:val="003B46C0"/>
    <w:rsid w:val="003B46FC"/>
    <w:rsid w:val="003B4E05"/>
    <w:rsid w:val="003B5284"/>
    <w:rsid w:val="003B5A7D"/>
    <w:rsid w:val="003B6936"/>
    <w:rsid w:val="003B6BB8"/>
    <w:rsid w:val="003C0DD0"/>
    <w:rsid w:val="003C13AD"/>
    <w:rsid w:val="003C1687"/>
    <w:rsid w:val="003C1797"/>
    <w:rsid w:val="003C17E4"/>
    <w:rsid w:val="003C1FFE"/>
    <w:rsid w:val="003C25B8"/>
    <w:rsid w:val="003C2696"/>
    <w:rsid w:val="003C364F"/>
    <w:rsid w:val="003C3987"/>
    <w:rsid w:val="003C3D74"/>
    <w:rsid w:val="003C409E"/>
    <w:rsid w:val="003C48DE"/>
    <w:rsid w:val="003C4C77"/>
    <w:rsid w:val="003C4EB8"/>
    <w:rsid w:val="003C5E89"/>
    <w:rsid w:val="003C6B09"/>
    <w:rsid w:val="003C70E3"/>
    <w:rsid w:val="003C77DD"/>
    <w:rsid w:val="003C7FC8"/>
    <w:rsid w:val="003D1335"/>
    <w:rsid w:val="003D1825"/>
    <w:rsid w:val="003D1A54"/>
    <w:rsid w:val="003D1E39"/>
    <w:rsid w:val="003D2A35"/>
    <w:rsid w:val="003D2BD2"/>
    <w:rsid w:val="003D2BDF"/>
    <w:rsid w:val="003D2C91"/>
    <w:rsid w:val="003D350B"/>
    <w:rsid w:val="003D3B67"/>
    <w:rsid w:val="003D4330"/>
    <w:rsid w:val="003D6050"/>
    <w:rsid w:val="003D606E"/>
    <w:rsid w:val="003D60E1"/>
    <w:rsid w:val="003D6969"/>
    <w:rsid w:val="003D7ABB"/>
    <w:rsid w:val="003E00F0"/>
    <w:rsid w:val="003E0C29"/>
    <w:rsid w:val="003E0DEC"/>
    <w:rsid w:val="003E1178"/>
    <w:rsid w:val="003E373D"/>
    <w:rsid w:val="003E3947"/>
    <w:rsid w:val="003E3C3E"/>
    <w:rsid w:val="003E426C"/>
    <w:rsid w:val="003E4640"/>
    <w:rsid w:val="003E479C"/>
    <w:rsid w:val="003E49AA"/>
    <w:rsid w:val="003E5F01"/>
    <w:rsid w:val="003E6395"/>
    <w:rsid w:val="003F0359"/>
    <w:rsid w:val="003F0428"/>
    <w:rsid w:val="003F06FF"/>
    <w:rsid w:val="003F1227"/>
    <w:rsid w:val="003F1583"/>
    <w:rsid w:val="003F18C9"/>
    <w:rsid w:val="003F24ED"/>
    <w:rsid w:val="003F3428"/>
    <w:rsid w:val="003F35FF"/>
    <w:rsid w:val="003F50FA"/>
    <w:rsid w:val="003F54CF"/>
    <w:rsid w:val="003F5959"/>
    <w:rsid w:val="003F6024"/>
    <w:rsid w:val="003F6E5A"/>
    <w:rsid w:val="003F7307"/>
    <w:rsid w:val="00400079"/>
    <w:rsid w:val="00400F45"/>
    <w:rsid w:val="00400F6B"/>
    <w:rsid w:val="004012F4"/>
    <w:rsid w:val="00401706"/>
    <w:rsid w:val="00401BA8"/>
    <w:rsid w:val="004023FD"/>
    <w:rsid w:val="00402965"/>
    <w:rsid w:val="00402FFB"/>
    <w:rsid w:val="0040398D"/>
    <w:rsid w:val="00404420"/>
    <w:rsid w:val="00405E06"/>
    <w:rsid w:val="0040633E"/>
    <w:rsid w:val="00406EBD"/>
    <w:rsid w:val="0040713C"/>
    <w:rsid w:val="00407BA9"/>
    <w:rsid w:val="004100D5"/>
    <w:rsid w:val="00411D6C"/>
    <w:rsid w:val="00412904"/>
    <w:rsid w:val="00412A98"/>
    <w:rsid w:val="00412AD4"/>
    <w:rsid w:val="00413361"/>
    <w:rsid w:val="00413B00"/>
    <w:rsid w:val="00413DA0"/>
    <w:rsid w:val="00414270"/>
    <w:rsid w:val="00414873"/>
    <w:rsid w:val="00414EC0"/>
    <w:rsid w:val="00415538"/>
    <w:rsid w:val="0041587E"/>
    <w:rsid w:val="00416AF5"/>
    <w:rsid w:val="004170BB"/>
    <w:rsid w:val="00417389"/>
    <w:rsid w:val="00417A7D"/>
    <w:rsid w:val="00420072"/>
    <w:rsid w:val="00420ABF"/>
    <w:rsid w:val="00420D9D"/>
    <w:rsid w:val="0042296F"/>
    <w:rsid w:val="004234ED"/>
    <w:rsid w:val="00423603"/>
    <w:rsid w:val="004238D2"/>
    <w:rsid w:val="00424DC5"/>
    <w:rsid w:val="004250AD"/>
    <w:rsid w:val="004256D4"/>
    <w:rsid w:val="00426017"/>
    <w:rsid w:val="0042641C"/>
    <w:rsid w:val="00426B30"/>
    <w:rsid w:val="00427008"/>
    <w:rsid w:val="0042727E"/>
    <w:rsid w:val="0042772C"/>
    <w:rsid w:val="0042797B"/>
    <w:rsid w:val="00427D68"/>
    <w:rsid w:val="00430020"/>
    <w:rsid w:val="00430161"/>
    <w:rsid w:val="00430276"/>
    <w:rsid w:val="00430D81"/>
    <w:rsid w:val="00430FF8"/>
    <w:rsid w:val="004319EB"/>
    <w:rsid w:val="00431BF6"/>
    <w:rsid w:val="00432BE2"/>
    <w:rsid w:val="00432FB3"/>
    <w:rsid w:val="00432FC6"/>
    <w:rsid w:val="004335E5"/>
    <w:rsid w:val="00433BA9"/>
    <w:rsid w:val="00433BFD"/>
    <w:rsid w:val="00433C28"/>
    <w:rsid w:val="00433D54"/>
    <w:rsid w:val="00433DB8"/>
    <w:rsid w:val="00433FD8"/>
    <w:rsid w:val="0043498E"/>
    <w:rsid w:val="00435562"/>
    <w:rsid w:val="00436CE0"/>
    <w:rsid w:val="00436DA8"/>
    <w:rsid w:val="00436F31"/>
    <w:rsid w:val="0043707B"/>
    <w:rsid w:val="0043742B"/>
    <w:rsid w:val="004377E7"/>
    <w:rsid w:val="00437848"/>
    <w:rsid w:val="00440094"/>
    <w:rsid w:val="00440854"/>
    <w:rsid w:val="00440AB7"/>
    <w:rsid w:val="00440B00"/>
    <w:rsid w:val="00443045"/>
    <w:rsid w:val="004441E9"/>
    <w:rsid w:val="0044494F"/>
    <w:rsid w:val="004450B0"/>
    <w:rsid w:val="00445CB7"/>
    <w:rsid w:val="00446109"/>
    <w:rsid w:val="00446231"/>
    <w:rsid w:val="00446ACC"/>
    <w:rsid w:val="0044701F"/>
    <w:rsid w:val="004477EB"/>
    <w:rsid w:val="00447CA8"/>
    <w:rsid w:val="00450B07"/>
    <w:rsid w:val="00450B6D"/>
    <w:rsid w:val="00451763"/>
    <w:rsid w:val="00451D69"/>
    <w:rsid w:val="004525C2"/>
    <w:rsid w:val="00452A7B"/>
    <w:rsid w:val="00452C74"/>
    <w:rsid w:val="00452F66"/>
    <w:rsid w:val="00453C74"/>
    <w:rsid w:val="00453D64"/>
    <w:rsid w:val="0045404D"/>
    <w:rsid w:val="004542D6"/>
    <w:rsid w:val="004544D2"/>
    <w:rsid w:val="004548B7"/>
    <w:rsid w:val="0045576D"/>
    <w:rsid w:val="0045673F"/>
    <w:rsid w:val="00456B81"/>
    <w:rsid w:val="00457738"/>
    <w:rsid w:val="00457EFC"/>
    <w:rsid w:val="00460220"/>
    <w:rsid w:val="0046191E"/>
    <w:rsid w:val="00461941"/>
    <w:rsid w:val="00461D3C"/>
    <w:rsid w:val="00462661"/>
    <w:rsid w:val="00462826"/>
    <w:rsid w:val="00462BE8"/>
    <w:rsid w:val="00463037"/>
    <w:rsid w:val="004630D2"/>
    <w:rsid w:val="00463204"/>
    <w:rsid w:val="00463490"/>
    <w:rsid w:val="0046530F"/>
    <w:rsid w:val="0046534B"/>
    <w:rsid w:val="00465C49"/>
    <w:rsid w:val="004663EC"/>
    <w:rsid w:val="00466DE6"/>
    <w:rsid w:val="004677D0"/>
    <w:rsid w:val="004678EC"/>
    <w:rsid w:val="00467956"/>
    <w:rsid w:val="00467B80"/>
    <w:rsid w:val="00470B9B"/>
    <w:rsid w:val="00470DEB"/>
    <w:rsid w:val="00471BEA"/>
    <w:rsid w:val="00471F48"/>
    <w:rsid w:val="004720FE"/>
    <w:rsid w:val="00472201"/>
    <w:rsid w:val="004722E9"/>
    <w:rsid w:val="004723F4"/>
    <w:rsid w:val="0047252E"/>
    <w:rsid w:val="00472A76"/>
    <w:rsid w:val="00472B02"/>
    <w:rsid w:val="00472B45"/>
    <w:rsid w:val="00473643"/>
    <w:rsid w:val="00474210"/>
    <w:rsid w:val="0047421A"/>
    <w:rsid w:val="0047502C"/>
    <w:rsid w:val="00475CF6"/>
    <w:rsid w:val="00475D8B"/>
    <w:rsid w:val="00475F9F"/>
    <w:rsid w:val="00476128"/>
    <w:rsid w:val="00476E13"/>
    <w:rsid w:val="00477163"/>
    <w:rsid w:val="00477261"/>
    <w:rsid w:val="00477D28"/>
    <w:rsid w:val="00477DDD"/>
    <w:rsid w:val="0048017C"/>
    <w:rsid w:val="00481F2E"/>
    <w:rsid w:val="004831B1"/>
    <w:rsid w:val="0048367B"/>
    <w:rsid w:val="00483751"/>
    <w:rsid w:val="00484074"/>
    <w:rsid w:val="0048539E"/>
    <w:rsid w:val="0048626D"/>
    <w:rsid w:val="004865C2"/>
    <w:rsid w:val="00486A66"/>
    <w:rsid w:val="00486E8F"/>
    <w:rsid w:val="0048761A"/>
    <w:rsid w:val="00487C5A"/>
    <w:rsid w:val="00487FD9"/>
    <w:rsid w:val="00490016"/>
    <w:rsid w:val="004905D3"/>
    <w:rsid w:val="00491586"/>
    <w:rsid w:val="004917B9"/>
    <w:rsid w:val="004919B8"/>
    <w:rsid w:val="00491FDE"/>
    <w:rsid w:val="004923DC"/>
    <w:rsid w:val="00492BA6"/>
    <w:rsid w:val="00493310"/>
    <w:rsid w:val="00493E0A"/>
    <w:rsid w:val="004940D0"/>
    <w:rsid w:val="004944DC"/>
    <w:rsid w:val="00494AF6"/>
    <w:rsid w:val="00494BBE"/>
    <w:rsid w:val="00494EE5"/>
    <w:rsid w:val="004952C6"/>
    <w:rsid w:val="004952DB"/>
    <w:rsid w:val="00495C9A"/>
    <w:rsid w:val="0049600F"/>
    <w:rsid w:val="004963E2"/>
    <w:rsid w:val="00496FF5"/>
    <w:rsid w:val="00497192"/>
    <w:rsid w:val="004975BB"/>
    <w:rsid w:val="004A0500"/>
    <w:rsid w:val="004A13C1"/>
    <w:rsid w:val="004A15F2"/>
    <w:rsid w:val="004A1A45"/>
    <w:rsid w:val="004A1DE1"/>
    <w:rsid w:val="004A21CF"/>
    <w:rsid w:val="004A238B"/>
    <w:rsid w:val="004A25DD"/>
    <w:rsid w:val="004A2ABC"/>
    <w:rsid w:val="004A3CAD"/>
    <w:rsid w:val="004A46EB"/>
    <w:rsid w:val="004A57D7"/>
    <w:rsid w:val="004A5D68"/>
    <w:rsid w:val="004A6489"/>
    <w:rsid w:val="004A65D0"/>
    <w:rsid w:val="004A6E8A"/>
    <w:rsid w:val="004B059D"/>
    <w:rsid w:val="004B136F"/>
    <w:rsid w:val="004B1632"/>
    <w:rsid w:val="004B1A76"/>
    <w:rsid w:val="004B21E6"/>
    <w:rsid w:val="004B2AAB"/>
    <w:rsid w:val="004B2ACB"/>
    <w:rsid w:val="004B3023"/>
    <w:rsid w:val="004B326B"/>
    <w:rsid w:val="004B4934"/>
    <w:rsid w:val="004B4A37"/>
    <w:rsid w:val="004B5669"/>
    <w:rsid w:val="004B5696"/>
    <w:rsid w:val="004B5916"/>
    <w:rsid w:val="004B595E"/>
    <w:rsid w:val="004B671C"/>
    <w:rsid w:val="004B6B44"/>
    <w:rsid w:val="004B716E"/>
    <w:rsid w:val="004B72C2"/>
    <w:rsid w:val="004B748C"/>
    <w:rsid w:val="004B7BED"/>
    <w:rsid w:val="004C0A53"/>
    <w:rsid w:val="004C1542"/>
    <w:rsid w:val="004C17B8"/>
    <w:rsid w:val="004C1AED"/>
    <w:rsid w:val="004C2451"/>
    <w:rsid w:val="004C2CB1"/>
    <w:rsid w:val="004C2F69"/>
    <w:rsid w:val="004C4003"/>
    <w:rsid w:val="004C4D47"/>
    <w:rsid w:val="004C4EB2"/>
    <w:rsid w:val="004C4F3D"/>
    <w:rsid w:val="004C53AE"/>
    <w:rsid w:val="004C56AC"/>
    <w:rsid w:val="004C56C4"/>
    <w:rsid w:val="004C5E4D"/>
    <w:rsid w:val="004C79E9"/>
    <w:rsid w:val="004C7D88"/>
    <w:rsid w:val="004D0665"/>
    <w:rsid w:val="004D0A0F"/>
    <w:rsid w:val="004D1508"/>
    <w:rsid w:val="004D1B42"/>
    <w:rsid w:val="004D1C2A"/>
    <w:rsid w:val="004D1D7A"/>
    <w:rsid w:val="004D240C"/>
    <w:rsid w:val="004D2BCF"/>
    <w:rsid w:val="004D3212"/>
    <w:rsid w:val="004D3326"/>
    <w:rsid w:val="004D4304"/>
    <w:rsid w:val="004D48D4"/>
    <w:rsid w:val="004D6194"/>
    <w:rsid w:val="004D6EDB"/>
    <w:rsid w:val="004D744A"/>
    <w:rsid w:val="004E073B"/>
    <w:rsid w:val="004E0E9A"/>
    <w:rsid w:val="004E1281"/>
    <w:rsid w:val="004E13A6"/>
    <w:rsid w:val="004E292C"/>
    <w:rsid w:val="004E2F73"/>
    <w:rsid w:val="004E3FA0"/>
    <w:rsid w:val="004E40FC"/>
    <w:rsid w:val="004E4537"/>
    <w:rsid w:val="004E47DF"/>
    <w:rsid w:val="004E49A7"/>
    <w:rsid w:val="004E6823"/>
    <w:rsid w:val="004E6B5C"/>
    <w:rsid w:val="004E7038"/>
    <w:rsid w:val="004E76AC"/>
    <w:rsid w:val="004E7CE5"/>
    <w:rsid w:val="004E7E9E"/>
    <w:rsid w:val="004F0E56"/>
    <w:rsid w:val="004F2904"/>
    <w:rsid w:val="004F3993"/>
    <w:rsid w:val="004F3BEB"/>
    <w:rsid w:val="004F4C05"/>
    <w:rsid w:val="004F64A9"/>
    <w:rsid w:val="004F6FD1"/>
    <w:rsid w:val="004F796F"/>
    <w:rsid w:val="004F7B74"/>
    <w:rsid w:val="004F7C19"/>
    <w:rsid w:val="005003A8"/>
    <w:rsid w:val="005007CB"/>
    <w:rsid w:val="005010AB"/>
    <w:rsid w:val="00501344"/>
    <w:rsid w:val="00501638"/>
    <w:rsid w:val="00501AD7"/>
    <w:rsid w:val="00502145"/>
    <w:rsid w:val="00502386"/>
    <w:rsid w:val="005024BA"/>
    <w:rsid w:val="00502D70"/>
    <w:rsid w:val="00503857"/>
    <w:rsid w:val="00503930"/>
    <w:rsid w:val="005052C0"/>
    <w:rsid w:val="00505336"/>
    <w:rsid w:val="00505542"/>
    <w:rsid w:val="00505871"/>
    <w:rsid w:val="00505B81"/>
    <w:rsid w:val="00505E35"/>
    <w:rsid w:val="00506F8C"/>
    <w:rsid w:val="00507519"/>
    <w:rsid w:val="00507983"/>
    <w:rsid w:val="00510133"/>
    <w:rsid w:val="00510316"/>
    <w:rsid w:val="005112D7"/>
    <w:rsid w:val="00511B92"/>
    <w:rsid w:val="00512628"/>
    <w:rsid w:val="00512E5D"/>
    <w:rsid w:val="00514F03"/>
    <w:rsid w:val="005154A5"/>
    <w:rsid w:val="00515E47"/>
    <w:rsid w:val="005162B4"/>
    <w:rsid w:val="0051639F"/>
    <w:rsid w:val="00516489"/>
    <w:rsid w:val="00516D11"/>
    <w:rsid w:val="005172CF"/>
    <w:rsid w:val="005176EC"/>
    <w:rsid w:val="00517D7F"/>
    <w:rsid w:val="0052010A"/>
    <w:rsid w:val="00520390"/>
    <w:rsid w:val="005203C6"/>
    <w:rsid w:val="005211E9"/>
    <w:rsid w:val="00521261"/>
    <w:rsid w:val="00522E70"/>
    <w:rsid w:val="00522EF1"/>
    <w:rsid w:val="005234B5"/>
    <w:rsid w:val="005235D8"/>
    <w:rsid w:val="005237B9"/>
    <w:rsid w:val="005249DF"/>
    <w:rsid w:val="00524A58"/>
    <w:rsid w:val="00524DC3"/>
    <w:rsid w:val="00524F31"/>
    <w:rsid w:val="005250E2"/>
    <w:rsid w:val="0052636D"/>
    <w:rsid w:val="00527415"/>
    <w:rsid w:val="005277A8"/>
    <w:rsid w:val="005314FA"/>
    <w:rsid w:val="00531F39"/>
    <w:rsid w:val="00532843"/>
    <w:rsid w:val="005329D1"/>
    <w:rsid w:val="00532FD7"/>
    <w:rsid w:val="005331E1"/>
    <w:rsid w:val="00534315"/>
    <w:rsid w:val="00535791"/>
    <w:rsid w:val="005364CC"/>
    <w:rsid w:val="00536508"/>
    <w:rsid w:val="00536CAA"/>
    <w:rsid w:val="005375A0"/>
    <w:rsid w:val="00540584"/>
    <w:rsid w:val="0054091B"/>
    <w:rsid w:val="00541320"/>
    <w:rsid w:val="0054299B"/>
    <w:rsid w:val="00542FCA"/>
    <w:rsid w:val="00543DDE"/>
    <w:rsid w:val="00543E78"/>
    <w:rsid w:val="005454D7"/>
    <w:rsid w:val="005455A3"/>
    <w:rsid w:val="005458FD"/>
    <w:rsid w:val="00545E97"/>
    <w:rsid w:val="00545FF0"/>
    <w:rsid w:val="0054637D"/>
    <w:rsid w:val="00546522"/>
    <w:rsid w:val="005466BB"/>
    <w:rsid w:val="005467BE"/>
    <w:rsid w:val="00546F62"/>
    <w:rsid w:val="00550125"/>
    <w:rsid w:val="00550DA5"/>
    <w:rsid w:val="005512F6"/>
    <w:rsid w:val="0055213B"/>
    <w:rsid w:val="0055251B"/>
    <w:rsid w:val="00552602"/>
    <w:rsid w:val="00552C0B"/>
    <w:rsid w:val="005545DC"/>
    <w:rsid w:val="00554737"/>
    <w:rsid w:val="0055501C"/>
    <w:rsid w:val="005550C7"/>
    <w:rsid w:val="005554CC"/>
    <w:rsid w:val="00556713"/>
    <w:rsid w:val="0055764D"/>
    <w:rsid w:val="00557A17"/>
    <w:rsid w:val="005605AF"/>
    <w:rsid w:val="00560B9D"/>
    <w:rsid w:val="00560D28"/>
    <w:rsid w:val="00562ADB"/>
    <w:rsid w:val="00562DB3"/>
    <w:rsid w:val="00562FE8"/>
    <w:rsid w:val="00564018"/>
    <w:rsid w:val="005643DC"/>
    <w:rsid w:val="00564400"/>
    <w:rsid w:val="00565679"/>
    <w:rsid w:val="00565CAC"/>
    <w:rsid w:val="00566A1F"/>
    <w:rsid w:val="00567375"/>
    <w:rsid w:val="00567B24"/>
    <w:rsid w:val="005708BD"/>
    <w:rsid w:val="00570B5C"/>
    <w:rsid w:val="00571356"/>
    <w:rsid w:val="00571D3B"/>
    <w:rsid w:val="00571E17"/>
    <w:rsid w:val="005729F4"/>
    <w:rsid w:val="00572D57"/>
    <w:rsid w:val="005731FC"/>
    <w:rsid w:val="00573551"/>
    <w:rsid w:val="0057398B"/>
    <w:rsid w:val="005739C9"/>
    <w:rsid w:val="005742BC"/>
    <w:rsid w:val="005750D3"/>
    <w:rsid w:val="00575772"/>
    <w:rsid w:val="00576D9A"/>
    <w:rsid w:val="0057724D"/>
    <w:rsid w:val="005779FA"/>
    <w:rsid w:val="00577C41"/>
    <w:rsid w:val="00580189"/>
    <w:rsid w:val="005805BF"/>
    <w:rsid w:val="005805DB"/>
    <w:rsid w:val="00580C02"/>
    <w:rsid w:val="00581235"/>
    <w:rsid w:val="00581457"/>
    <w:rsid w:val="00582045"/>
    <w:rsid w:val="005821A4"/>
    <w:rsid w:val="0058282F"/>
    <w:rsid w:val="00583021"/>
    <w:rsid w:val="00583891"/>
    <w:rsid w:val="005844D6"/>
    <w:rsid w:val="00585298"/>
    <w:rsid w:val="00585310"/>
    <w:rsid w:val="00585428"/>
    <w:rsid w:val="00585B56"/>
    <w:rsid w:val="00585FDD"/>
    <w:rsid w:val="00586278"/>
    <w:rsid w:val="0058659F"/>
    <w:rsid w:val="00586C15"/>
    <w:rsid w:val="00587315"/>
    <w:rsid w:val="0058737F"/>
    <w:rsid w:val="00587510"/>
    <w:rsid w:val="00587AE1"/>
    <w:rsid w:val="0059005C"/>
    <w:rsid w:val="00590A4B"/>
    <w:rsid w:val="00591BEA"/>
    <w:rsid w:val="00592B68"/>
    <w:rsid w:val="00593807"/>
    <w:rsid w:val="00593B44"/>
    <w:rsid w:val="00594875"/>
    <w:rsid w:val="005954AE"/>
    <w:rsid w:val="00595682"/>
    <w:rsid w:val="0059628C"/>
    <w:rsid w:val="00596A1D"/>
    <w:rsid w:val="00596FF3"/>
    <w:rsid w:val="0059724A"/>
    <w:rsid w:val="005974ED"/>
    <w:rsid w:val="005A07B1"/>
    <w:rsid w:val="005A0986"/>
    <w:rsid w:val="005A1AD9"/>
    <w:rsid w:val="005A1FA5"/>
    <w:rsid w:val="005A202F"/>
    <w:rsid w:val="005A3861"/>
    <w:rsid w:val="005A3A28"/>
    <w:rsid w:val="005A4119"/>
    <w:rsid w:val="005A4648"/>
    <w:rsid w:val="005A47C5"/>
    <w:rsid w:val="005A4E6F"/>
    <w:rsid w:val="005A50EB"/>
    <w:rsid w:val="005A53C0"/>
    <w:rsid w:val="005A5590"/>
    <w:rsid w:val="005A6824"/>
    <w:rsid w:val="005A6A03"/>
    <w:rsid w:val="005A6D04"/>
    <w:rsid w:val="005A6D66"/>
    <w:rsid w:val="005A7210"/>
    <w:rsid w:val="005A75CD"/>
    <w:rsid w:val="005A7DE4"/>
    <w:rsid w:val="005B0320"/>
    <w:rsid w:val="005B0EFE"/>
    <w:rsid w:val="005B1404"/>
    <w:rsid w:val="005B1990"/>
    <w:rsid w:val="005B2683"/>
    <w:rsid w:val="005B29FC"/>
    <w:rsid w:val="005B2D99"/>
    <w:rsid w:val="005B3FBB"/>
    <w:rsid w:val="005B5464"/>
    <w:rsid w:val="005B57AD"/>
    <w:rsid w:val="005B5C0E"/>
    <w:rsid w:val="005B5F89"/>
    <w:rsid w:val="005B73D1"/>
    <w:rsid w:val="005B7B6E"/>
    <w:rsid w:val="005C0DB3"/>
    <w:rsid w:val="005C1210"/>
    <w:rsid w:val="005C1F4B"/>
    <w:rsid w:val="005C34A4"/>
    <w:rsid w:val="005C37B3"/>
    <w:rsid w:val="005C3A58"/>
    <w:rsid w:val="005C3BA0"/>
    <w:rsid w:val="005C4FB8"/>
    <w:rsid w:val="005C518D"/>
    <w:rsid w:val="005C5E5B"/>
    <w:rsid w:val="005C63C9"/>
    <w:rsid w:val="005C6433"/>
    <w:rsid w:val="005C664A"/>
    <w:rsid w:val="005C6EBE"/>
    <w:rsid w:val="005C796C"/>
    <w:rsid w:val="005C7C96"/>
    <w:rsid w:val="005D02D9"/>
    <w:rsid w:val="005D0890"/>
    <w:rsid w:val="005D0D32"/>
    <w:rsid w:val="005D14D5"/>
    <w:rsid w:val="005D1A67"/>
    <w:rsid w:val="005D23AF"/>
    <w:rsid w:val="005D2469"/>
    <w:rsid w:val="005D265E"/>
    <w:rsid w:val="005D2855"/>
    <w:rsid w:val="005D2B0C"/>
    <w:rsid w:val="005D2E3A"/>
    <w:rsid w:val="005D2FB3"/>
    <w:rsid w:val="005D327E"/>
    <w:rsid w:val="005D3CE6"/>
    <w:rsid w:val="005D3D08"/>
    <w:rsid w:val="005D4B41"/>
    <w:rsid w:val="005D4FB7"/>
    <w:rsid w:val="005D5756"/>
    <w:rsid w:val="005D5F4A"/>
    <w:rsid w:val="005D5F51"/>
    <w:rsid w:val="005D7A89"/>
    <w:rsid w:val="005D7AA0"/>
    <w:rsid w:val="005E004A"/>
    <w:rsid w:val="005E03AD"/>
    <w:rsid w:val="005E0872"/>
    <w:rsid w:val="005E1A45"/>
    <w:rsid w:val="005E2BF5"/>
    <w:rsid w:val="005E31F4"/>
    <w:rsid w:val="005E3766"/>
    <w:rsid w:val="005E3C08"/>
    <w:rsid w:val="005E49D9"/>
    <w:rsid w:val="005E4BC1"/>
    <w:rsid w:val="005E565F"/>
    <w:rsid w:val="005E5E10"/>
    <w:rsid w:val="005E7264"/>
    <w:rsid w:val="005F01B1"/>
    <w:rsid w:val="005F021B"/>
    <w:rsid w:val="005F1942"/>
    <w:rsid w:val="005F2052"/>
    <w:rsid w:val="005F21C1"/>
    <w:rsid w:val="005F23F6"/>
    <w:rsid w:val="005F26C7"/>
    <w:rsid w:val="005F2C03"/>
    <w:rsid w:val="005F4009"/>
    <w:rsid w:val="005F41B2"/>
    <w:rsid w:val="005F5C9C"/>
    <w:rsid w:val="005F5E55"/>
    <w:rsid w:val="005F72AC"/>
    <w:rsid w:val="005F751A"/>
    <w:rsid w:val="0060046C"/>
    <w:rsid w:val="00600892"/>
    <w:rsid w:val="0060089D"/>
    <w:rsid w:val="00600B4D"/>
    <w:rsid w:val="006010AD"/>
    <w:rsid w:val="0060136F"/>
    <w:rsid w:val="00601B63"/>
    <w:rsid w:val="00602340"/>
    <w:rsid w:val="006034E2"/>
    <w:rsid w:val="00603533"/>
    <w:rsid w:val="00603DEC"/>
    <w:rsid w:val="00604008"/>
    <w:rsid w:val="006059E5"/>
    <w:rsid w:val="00606443"/>
    <w:rsid w:val="00606C4C"/>
    <w:rsid w:val="00606E5D"/>
    <w:rsid w:val="0060743A"/>
    <w:rsid w:val="00607A73"/>
    <w:rsid w:val="00610C85"/>
    <w:rsid w:val="00611C60"/>
    <w:rsid w:val="00612FA3"/>
    <w:rsid w:val="0061350F"/>
    <w:rsid w:val="00613549"/>
    <w:rsid w:val="00613595"/>
    <w:rsid w:val="00613C9A"/>
    <w:rsid w:val="0061415F"/>
    <w:rsid w:val="00615183"/>
    <w:rsid w:val="006155F1"/>
    <w:rsid w:val="00615600"/>
    <w:rsid w:val="00615931"/>
    <w:rsid w:val="00615CF9"/>
    <w:rsid w:val="00616AE9"/>
    <w:rsid w:val="006207DC"/>
    <w:rsid w:val="006219C1"/>
    <w:rsid w:val="00622E42"/>
    <w:rsid w:val="0062300F"/>
    <w:rsid w:val="00623580"/>
    <w:rsid w:val="00623974"/>
    <w:rsid w:val="00623AB9"/>
    <w:rsid w:val="00623B22"/>
    <w:rsid w:val="0062511F"/>
    <w:rsid w:val="006251A1"/>
    <w:rsid w:val="00625753"/>
    <w:rsid w:val="006258D5"/>
    <w:rsid w:val="006259AD"/>
    <w:rsid w:val="00626E4C"/>
    <w:rsid w:val="00626F93"/>
    <w:rsid w:val="006270DB"/>
    <w:rsid w:val="00627829"/>
    <w:rsid w:val="00627E5B"/>
    <w:rsid w:val="00630AC3"/>
    <w:rsid w:val="00630D5A"/>
    <w:rsid w:val="00631305"/>
    <w:rsid w:val="00631772"/>
    <w:rsid w:val="00631A2F"/>
    <w:rsid w:val="006325B4"/>
    <w:rsid w:val="0063267F"/>
    <w:rsid w:val="00632E26"/>
    <w:rsid w:val="00633624"/>
    <w:rsid w:val="0063414B"/>
    <w:rsid w:val="006346DE"/>
    <w:rsid w:val="006347BF"/>
    <w:rsid w:val="00635BDD"/>
    <w:rsid w:val="00635D64"/>
    <w:rsid w:val="00636615"/>
    <w:rsid w:val="006369A5"/>
    <w:rsid w:val="00636C6D"/>
    <w:rsid w:val="00637135"/>
    <w:rsid w:val="0063786B"/>
    <w:rsid w:val="00637D19"/>
    <w:rsid w:val="006400C5"/>
    <w:rsid w:val="00640EF5"/>
    <w:rsid w:val="00640FAE"/>
    <w:rsid w:val="00641256"/>
    <w:rsid w:val="006420A9"/>
    <w:rsid w:val="006426C7"/>
    <w:rsid w:val="0064299D"/>
    <w:rsid w:val="00642CA7"/>
    <w:rsid w:val="006430E0"/>
    <w:rsid w:val="0064312A"/>
    <w:rsid w:val="00643AF1"/>
    <w:rsid w:val="00645F5A"/>
    <w:rsid w:val="00646043"/>
    <w:rsid w:val="00646046"/>
    <w:rsid w:val="00646053"/>
    <w:rsid w:val="00646844"/>
    <w:rsid w:val="00646C93"/>
    <w:rsid w:val="00646D85"/>
    <w:rsid w:val="006470B2"/>
    <w:rsid w:val="0064781E"/>
    <w:rsid w:val="006478DA"/>
    <w:rsid w:val="00647CCA"/>
    <w:rsid w:val="00647D0B"/>
    <w:rsid w:val="00647FE8"/>
    <w:rsid w:val="00650113"/>
    <w:rsid w:val="006503E6"/>
    <w:rsid w:val="00650A1F"/>
    <w:rsid w:val="006517CE"/>
    <w:rsid w:val="00652183"/>
    <w:rsid w:val="006525C9"/>
    <w:rsid w:val="00653450"/>
    <w:rsid w:val="0065392E"/>
    <w:rsid w:val="00653BD2"/>
    <w:rsid w:val="0065517D"/>
    <w:rsid w:val="006559E9"/>
    <w:rsid w:val="00655E7E"/>
    <w:rsid w:val="00656606"/>
    <w:rsid w:val="00656CA1"/>
    <w:rsid w:val="00656D9D"/>
    <w:rsid w:val="0065735B"/>
    <w:rsid w:val="00657610"/>
    <w:rsid w:val="00657984"/>
    <w:rsid w:val="006604BB"/>
    <w:rsid w:val="00660A7E"/>
    <w:rsid w:val="00660AA0"/>
    <w:rsid w:val="006611F5"/>
    <w:rsid w:val="00662547"/>
    <w:rsid w:val="0066268C"/>
    <w:rsid w:val="00663148"/>
    <w:rsid w:val="006631F6"/>
    <w:rsid w:val="00663232"/>
    <w:rsid w:val="006633A0"/>
    <w:rsid w:val="006655D8"/>
    <w:rsid w:val="0066582A"/>
    <w:rsid w:val="00665D29"/>
    <w:rsid w:val="0066629F"/>
    <w:rsid w:val="006662DA"/>
    <w:rsid w:val="006663D1"/>
    <w:rsid w:val="006669E5"/>
    <w:rsid w:val="00666B90"/>
    <w:rsid w:val="00667644"/>
    <w:rsid w:val="00667AC0"/>
    <w:rsid w:val="00667B63"/>
    <w:rsid w:val="0066A0D6"/>
    <w:rsid w:val="0067090F"/>
    <w:rsid w:val="00670AE4"/>
    <w:rsid w:val="006718F3"/>
    <w:rsid w:val="00672734"/>
    <w:rsid w:val="006746D1"/>
    <w:rsid w:val="00674E61"/>
    <w:rsid w:val="00675494"/>
    <w:rsid w:val="00675A22"/>
    <w:rsid w:val="00676155"/>
    <w:rsid w:val="006762FF"/>
    <w:rsid w:val="00676731"/>
    <w:rsid w:val="00676ABA"/>
    <w:rsid w:val="00677FD9"/>
    <w:rsid w:val="0068019B"/>
    <w:rsid w:val="00680CA7"/>
    <w:rsid w:val="00681DFF"/>
    <w:rsid w:val="006833C1"/>
    <w:rsid w:val="00683AB6"/>
    <w:rsid w:val="006846C1"/>
    <w:rsid w:val="00685070"/>
    <w:rsid w:val="006858CE"/>
    <w:rsid w:val="00686170"/>
    <w:rsid w:val="00686188"/>
    <w:rsid w:val="00686D76"/>
    <w:rsid w:val="006873A6"/>
    <w:rsid w:val="00687780"/>
    <w:rsid w:val="006903A1"/>
    <w:rsid w:val="00690D9F"/>
    <w:rsid w:val="00691347"/>
    <w:rsid w:val="006914EB"/>
    <w:rsid w:val="0069190A"/>
    <w:rsid w:val="00691AF5"/>
    <w:rsid w:val="00691BEB"/>
    <w:rsid w:val="006928EE"/>
    <w:rsid w:val="00693D0A"/>
    <w:rsid w:val="00694545"/>
    <w:rsid w:val="0069499B"/>
    <w:rsid w:val="00694A54"/>
    <w:rsid w:val="00695A09"/>
    <w:rsid w:val="0069631C"/>
    <w:rsid w:val="00696A65"/>
    <w:rsid w:val="006971D8"/>
    <w:rsid w:val="006A0B89"/>
    <w:rsid w:val="006A1290"/>
    <w:rsid w:val="006A13C9"/>
    <w:rsid w:val="006A1BCE"/>
    <w:rsid w:val="006A2097"/>
    <w:rsid w:val="006A2876"/>
    <w:rsid w:val="006A293A"/>
    <w:rsid w:val="006A29EB"/>
    <w:rsid w:val="006A2FE8"/>
    <w:rsid w:val="006A38B7"/>
    <w:rsid w:val="006A42C5"/>
    <w:rsid w:val="006A4508"/>
    <w:rsid w:val="006A4549"/>
    <w:rsid w:val="006A48D8"/>
    <w:rsid w:val="006A7454"/>
    <w:rsid w:val="006A795E"/>
    <w:rsid w:val="006A7E92"/>
    <w:rsid w:val="006B05EE"/>
    <w:rsid w:val="006B0822"/>
    <w:rsid w:val="006B1608"/>
    <w:rsid w:val="006B1FF5"/>
    <w:rsid w:val="006B302B"/>
    <w:rsid w:val="006B305B"/>
    <w:rsid w:val="006B4A7F"/>
    <w:rsid w:val="006B4BAE"/>
    <w:rsid w:val="006B4C9E"/>
    <w:rsid w:val="006B5293"/>
    <w:rsid w:val="006B54DC"/>
    <w:rsid w:val="006B58A4"/>
    <w:rsid w:val="006B67DF"/>
    <w:rsid w:val="006B68DC"/>
    <w:rsid w:val="006B7669"/>
    <w:rsid w:val="006B7674"/>
    <w:rsid w:val="006B76C9"/>
    <w:rsid w:val="006C08E5"/>
    <w:rsid w:val="006C12EA"/>
    <w:rsid w:val="006C17FF"/>
    <w:rsid w:val="006C1A83"/>
    <w:rsid w:val="006C227C"/>
    <w:rsid w:val="006C2A2D"/>
    <w:rsid w:val="006C36A1"/>
    <w:rsid w:val="006C36D8"/>
    <w:rsid w:val="006C3AC8"/>
    <w:rsid w:val="006C446E"/>
    <w:rsid w:val="006C52A8"/>
    <w:rsid w:val="006C5828"/>
    <w:rsid w:val="006C5886"/>
    <w:rsid w:val="006C59E5"/>
    <w:rsid w:val="006C6051"/>
    <w:rsid w:val="006C6A8A"/>
    <w:rsid w:val="006C6D94"/>
    <w:rsid w:val="006C7544"/>
    <w:rsid w:val="006C7C15"/>
    <w:rsid w:val="006C7CFC"/>
    <w:rsid w:val="006D0218"/>
    <w:rsid w:val="006D04AB"/>
    <w:rsid w:val="006D0CEF"/>
    <w:rsid w:val="006D0E41"/>
    <w:rsid w:val="006D16B1"/>
    <w:rsid w:val="006D18B6"/>
    <w:rsid w:val="006D24ED"/>
    <w:rsid w:val="006D2B01"/>
    <w:rsid w:val="006D3C20"/>
    <w:rsid w:val="006D3D1A"/>
    <w:rsid w:val="006D3E7E"/>
    <w:rsid w:val="006D4729"/>
    <w:rsid w:val="006D55C0"/>
    <w:rsid w:val="006D5757"/>
    <w:rsid w:val="006D5827"/>
    <w:rsid w:val="006D5D05"/>
    <w:rsid w:val="006D6007"/>
    <w:rsid w:val="006D66BF"/>
    <w:rsid w:val="006D68FA"/>
    <w:rsid w:val="006D6B59"/>
    <w:rsid w:val="006E0807"/>
    <w:rsid w:val="006E0DB6"/>
    <w:rsid w:val="006E194E"/>
    <w:rsid w:val="006E1ABA"/>
    <w:rsid w:val="006E1B5D"/>
    <w:rsid w:val="006E1FC7"/>
    <w:rsid w:val="006E2E01"/>
    <w:rsid w:val="006E2E6C"/>
    <w:rsid w:val="006E3C37"/>
    <w:rsid w:val="006E41A2"/>
    <w:rsid w:val="006E490C"/>
    <w:rsid w:val="006E492A"/>
    <w:rsid w:val="006E4F28"/>
    <w:rsid w:val="006E5216"/>
    <w:rsid w:val="006E5363"/>
    <w:rsid w:val="006E53E7"/>
    <w:rsid w:val="006E5870"/>
    <w:rsid w:val="006E5D70"/>
    <w:rsid w:val="006E5EEE"/>
    <w:rsid w:val="006E6768"/>
    <w:rsid w:val="006E7656"/>
    <w:rsid w:val="006F03C9"/>
    <w:rsid w:val="006F0659"/>
    <w:rsid w:val="006F11D5"/>
    <w:rsid w:val="006F2414"/>
    <w:rsid w:val="006F2E7F"/>
    <w:rsid w:val="006F46ED"/>
    <w:rsid w:val="006F4D69"/>
    <w:rsid w:val="006F50DB"/>
    <w:rsid w:val="006F55EB"/>
    <w:rsid w:val="006F56C3"/>
    <w:rsid w:val="006F6691"/>
    <w:rsid w:val="00700204"/>
    <w:rsid w:val="00700391"/>
    <w:rsid w:val="007006CB"/>
    <w:rsid w:val="00700F8C"/>
    <w:rsid w:val="007015F9"/>
    <w:rsid w:val="00702676"/>
    <w:rsid w:val="00704212"/>
    <w:rsid w:val="00704422"/>
    <w:rsid w:val="007051CD"/>
    <w:rsid w:val="00705F36"/>
    <w:rsid w:val="00706621"/>
    <w:rsid w:val="00706B49"/>
    <w:rsid w:val="00707A86"/>
    <w:rsid w:val="007101F2"/>
    <w:rsid w:val="007111AC"/>
    <w:rsid w:val="00711424"/>
    <w:rsid w:val="007118AF"/>
    <w:rsid w:val="00711C0D"/>
    <w:rsid w:val="007130EF"/>
    <w:rsid w:val="007136D2"/>
    <w:rsid w:val="00713799"/>
    <w:rsid w:val="00714995"/>
    <w:rsid w:val="007149B7"/>
    <w:rsid w:val="00714CBA"/>
    <w:rsid w:val="00714F82"/>
    <w:rsid w:val="00717BE2"/>
    <w:rsid w:val="00717FB1"/>
    <w:rsid w:val="00720900"/>
    <w:rsid w:val="00720AD9"/>
    <w:rsid w:val="00721AD4"/>
    <w:rsid w:val="00721B23"/>
    <w:rsid w:val="00721E96"/>
    <w:rsid w:val="00722A0A"/>
    <w:rsid w:val="00722E4A"/>
    <w:rsid w:val="00724023"/>
    <w:rsid w:val="00724A1A"/>
    <w:rsid w:val="00725AA2"/>
    <w:rsid w:val="00725C6D"/>
    <w:rsid w:val="0072645C"/>
    <w:rsid w:val="007265EE"/>
    <w:rsid w:val="00727A3C"/>
    <w:rsid w:val="00727E80"/>
    <w:rsid w:val="00730CD7"/>
    <w:rsid w:val="007324FD"/>
    <w:rsid w:val="007327DF"/>
    <w:rsid w:val="00733002"/>
    <w:rsid w:val="007332E7"/>
    <w:rsid w:val="0073429E"/>
    <w:rsid w:val="00735814"/>
    <w:rsid w:val="00737108"/>
    <w:rsid w:val="007374F3"/>
    <w:rsid w:val="00737BB3"/>
    <w:rsid w:val="00740255"/>
    <w:rsid w:val="00741646"/>
    <w:rsid w:val="0074185D"/>
    <w:rsid w:val="007418DD"/>
    <w:rsid w:val="00743BA2"/>
    <w:rsid w:val="00743EEF"/>
    <w:rsid w:val="00743F6A"/>
    <w:rsid w:val="007444F5"/>
    <w:rsid w:val="0074464A"/>
    <w:rsid w:val="00744D9D"/>
    <w:rsid w:val="0074508E"/>
    <w:rsid w:val="00745A99"/>
    <w:rsid w:val="0074731B"/>
    <w:rsid w:val="007478E1"/>
    <w:rsid w:val="0075009A"/>
    <w:rsid w:val="007501AD"/>
    <w:rsid w:val="00750B0E"/>
    <w:rsid w:val="007513E8"/>
    <w:rsid w:val="00751FEC"/>
    <w:rsid w:val="00752015"/>
    <w:rsid w:val="00752271"/>
    <w:rsid w:val="00752474"/>
    <w:rsid w:val="00752B8A"/>
    <w:rsid w:val="007546A4"/>
    <w:rsid w:val="0075511F"/>
    <w:rsid w:val="007554A3"/>
    <w:rsid w:val="00757015"/>
    <w:rsid w:val="0076039C"/>
    <w:rsid w:val="00760F29"/>
    <w:rsid w:val="00763789"/>
    <w:rsid w:val="007641CB"/>
    <w:rsid w:val="0076425D"/>
    <w:rsid w:val="00764B84"/>
    <w:rsid w:val="00765394"/>
    <w:rsid w:val="00765659"/>
    <w:rsid w:val="00765D6B"/>
    <w:rsid w:val="00765EF2"/>
    <w:rsid w:val="007665EE"/>
    <w:rsid w:val="007667A5"/>
    <w:rsid w:val="00766D11"/>
    <w:rsid w:val="00766F66"/>
    <w:rsid w:val="00767D1C"/>
    <w:rsid w:val="00767F5D"/>
    <w:rsid w:val="007705AC"/>
    <w:rsid w:val="00770710"/>
    <w:rsid w:val="00772F59"/>
    <w:rsid w:val="00773E3C"/>
    <w:rsid w:val="00774670"/>
    <w:rsid w:val="0077471B"/>
    <w:rsid w:val="0077478F"/>
    <w:rsid w:val="00774C77"/>
    <w:rsid w:val="00774D65"/>
    <w:rsid w:val="00775805"/>
    <w:rsid w:val="00775994"/>
    <w:rsid w:val="00775CA8"/>
    <w:rsid w:val="00775DD7"/>
    <w:rsid w:val="00776B39"/>
    <w:rsid w:val="00776B43"/>
    <w:rsid w:val="0077705A"/>
    <w:rsid w:val="00777569"/>
    <w:rsid w:val="00777A2B"/>
    <w:rsid w:val="00777CEF"/>
    <w:rsid w:val="0078041C"/>
    <w:rsid w:val="007807B2"/>
    <w:rsid w:val="00780C6E"/>
    <w:rsid w:val="00781316"/>
    <w:rsid w:val="00781509"/>
    <w:rsid w:val="00781D25"/>
    <w:rsid w:val="007820D9"/>
    <w:rsid w:val="007823C1"/>
    <w:rsid w:val="00783975"/>
    <w:rsid w:val="00783E4D"/>
    <w:rsid w:val="007848E3"/>
    <w:rsid w:val="00784E25"/>
    <w:rsid w:val="007853FE"/>
    <w:rsid w:val="0078628F"/>
    <w:rsid w:val="0078711F"/>
    <w:rsid w:val="007901AB"/>
    <w:rsid w:val="0079079C"/>
    <w:rsid w:val="00790AD3"/>
    <w:rsid w:val="00790E96"/>
    <w:rsid w:val="00791B2F"/>
    <w:rsid w:val="00792654"/>
    <w:rsid w:val="00792AB7"/>
    <w:rsid w:val="00792FAF"/>
    <w:rsid w:val="00792FE3"/>
    <w:rsid w:val="00793542"/>
    <w:rsid w:val="00793BAE"/>
    <w:rsid w:val="0079478C"/>
    <w:rsid w:val="00794936"/>
    <w:rsid w:val="00794E4B"/>
    <w:rsid w:val="007963D3"/>
    <w:rsid w:val="007973FE"/>
    <w:rsid w:val="00797CB8"/>
    <w:rsid w:val="007A0568"/>
    <w:rsid w:val="007A0723"/>
    <w:rsid w:val="007A0B28"/>
    <w:rsid w:val="007A0C96"/>
    <w:rsid w:val="007A0E0C"/>
    <w:rsid w:val="007A14E8"/>
    <w:rsid w:val="007A166C"/>
    <w:rsid w:val="007A281A"/>
    <w:rsid w:val="007A2861"/>
    <w:rsid w:val="007A37FD"/>
    <w:rsid w:val="007A3BF1"/>
    <w:rsid w:val="007A3FF9"/>
    <w:rsid w:val="007A45F2"/>
    <w:rsid w:val="007A460F"/>
    <w:rsid w:val="007A4BB2"/>
    <w:rsid w:val="007A534A"/>
    <w:rsid w:val="007A5A08"/>
    <w:rsid w:val="007A5DD7"/>
    <w:rsid w:val="007A6B33"/>
    <w:rsid w:val="007A6E9D"/>
    <w:rsid w:val="007A722C"/>
    <w:rsid w:val="007A72B3"/>
    <w:rsid w:val="007A77F0"/>
    <w:rsid w:val="007A7E05"/>
    <w:rsid w:val="007A7F3F"/>
    <w:rsid w:val="007A7F8C"/>
    <w:rsid w:val="007B11BC"/>
    <w:rsid w:val="007B185B"/>
    <w:rsid w:val="007B1B05"/>
    <w:rsid w:val="007B1B9E"/>
    <w:rsid w:val="007B2542"/>
    <w:rsid w:val="007B2997"/>
    <w:rsid w:val="007B3559"/>
    <w:rsid w:val="007B43B3"/>
    <w:rsid w:val="007B4B39"/>
    <w:rsid w:val="007B5A37"/>
    <w:rsid w:val="007B648B"/>
    <w:rsid w:val="007B6490"/>
    <w:rsid w:val="007B7A3F"/>
    <w:rsid w:val="007C041A"/>
    <w:rsid w:val="007C11A4"/>
    <w:rsid w:val="007C1251"/>
    <w:rsid w:val="007C15E4"/>
    <w:rsid w:val="007C15FB"/>
    <w:rsid w:val="007C19C0"/>
    <w:rsid w:val="007C1C6A"/>
    <w:rsid w:val="007C23C4"/>
    <w:rsid w:val="007C26D4"/>
    <w:rsid w:val="007C29CC"/>
    <w:rsid w:val="007C2D91"/>
    <w:rsid w:val="007C33FA"/>
    <w:rsid w:val="007C35D5"/>
    <w:rsid w:val="007C40F1"/>
    <w:rsid w:val="007C4702"/>
    <w:rsid w:val="007C4E88"/>
    <w:rsid w:val="007C509C"/>
    <w:rsid w:val="007C5DA2"/>
    <w:rsid w:val="007C5F2F"/>
    <w:rsid w:val="007C609F"/>
    <w:rsid w:val="007C6B82"/>
    <w:rsid w:val="007C6F29"/>
    <w:rsid w:val="007C75B0"/>
    <w:rsid w:val="007C7DED"/>
    <w:rsid w:val="007D0DF3"/>
    <w:rsid w:val="007D10E6"/>
    <w:rsid w:val="007D210D"/>
    <w:rsid w:val="007D2CCA"/>
    <w:rsid w:val="007D3047"/>
    <w:rsid w:val="007D30E0"/>
    <w:rsid w:val="007D313A"/>
    <w:rsid w:val="007D3637"/>
    <w:rsid w:val="007D49C3"/>
    <w:rsid w:val="007D578F"/>
    <w:rsid w:val="007D61B4"/>
    <w:rsid w:val="007D6311"/>
    <w:rsid w:val="007D631F"/>
    <w:rsid w:val="007D67CA"/>
    <w:rsid w:val="007D7B49"/>
    <w:rsid w:val="007E0BB0"/>
    <w:rsid w:val="007E10E5"/>
    <w:rsid w:val="007E1C12"/>
    <w:rsid w:val="007E1EBF"/>
    <w:rsid w:val="007E2156"/>
    <w:rsid w:val="007E2582"/>
    <w:rsid w:val="007E2BDB"/>
    <w:rsid w:val="007E39B7"/>
    <w:rsid w:val="007E4262"/>
    <w:rsid w:val="007E4853"/>
    <w:rsid w:val="007E5207"/>
    <w:rsid w:val="007E585E"/>
    <w:rsid w:val="007E5D8B"/>
    <w:rsid w:val="007E6454"/>
    <w:rsid w:val="007E79AB"/>
    <w:rsid w:val="007E7F68"/>
    <w:rsid w:val="007F038F"/>
    <w:rsid w:val="007F0864"/>
    <w:rsid w:val="007F0EB7"/>
    <w:rsid w:val="007F311C"/>
    <w:rsid w:val="007F3B23"/>
    <w:rsid w:val="007F55A6"/>
    <w:rsid w:val="007F55B1"/>
    <w:rsid w:val="007F5778"/>
    <w:rsid w:val="007F624D"/>
    <w:rsid w:val="007F6A83"/>
    <w:rsid w:val="007F6E1C"/>
    <w:rsid w:val="007F7935"/>
    <w:rsid w:val="00800241"/>
    <w:rsid w:val="00801468"/>
    <w:rsid w:val="00801D70"/>
    <w:rsid w:val="008023D5"/>
    <w:rsid w:val="00803EE2"/>
    <w:rsid w:val="008059D3"/>
    <w:rsid w:val="0080687E"/>
    <w:rsid w:val="00806C7F"/>
    <w:rsid w:val="00806DC9"/>
    <w:rsid w:val="00807E2A"/>
    <w:rsid w:val="0081079D"/>
    <w:rsid w:val="008108C1"/>
    <w:rsid w:val="008119D3"/>
    <w:rsid w:val="00813AA2"/>
    <w:rsid w:val="008140D0"/>
    <w:rsid w:val="008152F3"/>
    <w:rsid w:val="00815333"/>
    <w:rsid w:val="0081673D"/>
    <w:rsid w:val="008169B8"/>
    <w:rsid w:val="008172C0"/>
    <w:rsid w:val="00817B5C"/>
    <w:rsid w:val="00817C7B"/>
    <w:rsid w:val="00820388"/>
    <w:rsid w:val="00820690"/>
    <w:rsid w:val="0082155B"/>
    <w:rsid w:val="00821702"/>
    <w:rsid w:val="00821B6C"/>
    <w:rsid w:val="00821E78"/>
    <w:rsid w:val="00822061"/>
    <w:rsid w:val="008237D6"/>
    <w:rsid w:val="00823E25"/>
    <w:rsid w:val="00824175"/>
    <w:rsid w:val="008243D3"/>
    <w:rsid w:val="00824667"/>
    <w:rsid w:val="00824B60"/>
    <w:rsid w:val="00824DE6"/>
    <w:rsid w:val="00825511"/>
    <w:rsid w:val="00825B3A"/>
    <w:rsid w:val="008277C6"/>
    <w:rsid w:val="008305EE"/>
    <w:rsid w:val="00830CE8"/>
    <w:rsid w:val="00832417"/>
    <w:rsid w:val="00832BAC"/>
    <w:rsid w:val="00832E33"/>
    <w:rsid w:val="008332CE"/>
    <w:rsid w:val="00833599"/>
    <w:rsid w:val="008335AA"/>
    <w:rsid w:val="008347DA"/>
    <w:rsid w:val="00835804"/>
    <w:rsid w:val="00837CF5"/>
    <w:rsid w:val="00837D0A"/>
    <w:rsid w:val="00837E6B"/>
    <w:rsid w:val="008400B7"/>
    <w:rsid w:val="00840187"/>
    <w:rsid w:val="00840B18"/>
    <w:rsid w:val="00840E0E"/>
    <w:rsid w:val="0084175D"/>
    <w:rsid w:val="008424D3"/>
    <w:rsid w:val="00842FF8"/>
    <w:rsid w:val="0084364B"/>
    <w:rsid w:val="0084437A"/>
    <w:rsid w:val="0084445E"/>
    <w:rsid w:val="00844674"/>
    <w:rsid w:val="00844729"/>
    <w:rsid w:val="008447A9"/>
    <w:rsid w:val="00845F92"/>
    <w:rsid w:val="00846B9D"/>
    <w:rsid w:val="0084763E"/>
    <w:rsid w:val="008477B0"/>
    <w:rsid w:val="00847ADC"/>
    <w:rsid w:val="008501F8"/>
    <w:rsid w:val="0085046D"/>
    <w:rsid w:val="0085113F"/>
    <w:rsid w:val="008511D8"/>
    <w:rsid w:val="008514EB"/>
    <w:rsid w:val="00853052"/>
    <w:rsid w:val="00853C6A"/>
    <w:rsid w:val="008542F5"/>
    <w:rsid w:val="0085498B"/>
    <w:rsid w:val="00854E7A"/>
    <w:rsid w:val="0085617B"/>
    <w:rsid w:val="00856E80"/>
    <w:rsid w:val="00856FBF"/>
    <w:rsid w:val="00857043"/>
    <w:rsid w:val="00857989"/>
    <w:rsid w:val="00860388"/>
    <w:rsid w:val="00860C3B"/>
    <w:rsid w:val="00860C48"/>
    <w:rsid w:val="00860CD0"/>
    <w:rsid w:val="008631D8"/>
    <w:rsid w:val="00864590"/>
    <w:rsid w:val="008659F4"/>
    <w:rsid w:val="00865AA4"/>
    <w:rsid w:val="008674ED"/>
    <w:rsid w:val="00867923"/>
    <w:rsid w:val="00870818"/>
    <w:rsid w:val="008709E4"/>
    <w:rsid w:val="00871C69"/>
    <w:rsid w:val="00871E47"/>
    <w:rsid w:val="00872190"/>
    <w:rsid w:val="008725C1"/>
    <w:rsid w:val="008728CF"/>
    <w:rsid w:val="00872C99"/>
    <w:rsid w:val="008730F0"/>
    <w:rsid w:val="00873451"/>
    <w:rsid w:val="0087405E"/>
    <w:rsid w:val="00874268"/>
    <w:rsid w:val="0087513A"/>
    <w:rsid w:val="0087562C"/>
    <w:rsid w:val="0087649F"/>
    <w:rsid w:val="00876505"/>
    <w:rsid w:val="0087651C"/>
    <w:rsid w:val="0087653A"/>
    <w:rsid w:val="00877175"/>
    <w:rsid w:val="00877307"/>
    <w:rsid w:val="00877393"/>
    <w:rsid w:val="008773C1"/>
    <w:rsid w:val="00880251"/>
    <w:rsid w:val="00881F61"/>
    <w:rsid w:val="00882129"/>
    <w:rsid w:val="0088255F"/>
    <w:rsid w:val="00883670"/>
    <w:rsid w:val="008839D4"/>
    <w:rsid w:val="00884399"/>
    <w:rsid w:val="00884536"/>
    <w:rsid w:val="00884B99"/>
    <w:rsid w:val="00884F64"/>
    <w:rsid w:val="00885629"/>
    <w:rsid w:val="00885AF2"/>
    <w:rsid w:val="00885BB5"/>
    <w:rsid w:val="00885EF7"/>
    <w:rsid w:val="008862CC"/>
    <w:rsid w:val="008864D0"/>
    <w:rsid w:val="00886DF2"/>
    <w:rsid w:val="008908A0"/>
    <w:rsid w:val="00890E10"/>
    <w:rsid w:val="008910E1"/>
    <w:rsid w:val="008921E9"/>
    <w:rsid w:val="0089292A"/>
    <w:rsid w:val="0089326E"/>
    <w:rsid w:val="00893FA1"/>
    <w:rsid w:val="008944F0"/>
    <w:rsid w:val="00894669"/>
    <w:rsid w:val="00894880"/>
    <w:rsid w:val="00895ABC"/>
    <w:rsid w:val="00895AE0"/>
    <w:rsid w:val="0089620E"/>
    <w:rsid w:val="008A068D"/>
    <w:rsid w:val="008A0F48"/>
    <w:rsid w:val="008A1DA8"/>
    <w:rsid w:val="008A32A5"/>
    <w:rsid w:val="008A32D7"/>
    <w:rsid w:val="008A4311"/>
    <w:rsid w:val="008A58C1"/>
    <w:rsid w:val="008A58C9"/>
    <w:rsid w:val="008A5B31"/>
    <w:rsid w:val="008A6DD0"/>
    <w:rsid w:val="008A7259"/>
    <w:rsid w:val="008A7A55"/>
    <w:rsid w:val="008B016B"/>
    <w:rsid w:val="008B0612"/>
    <w:rsid w:val="008B082F"/>
    <w:rsid w:val="008B2039"/>
    <w:rsid w:val="008B22AA"/>
    <w:rsid w:val="008B243C"/>
    <w:rsid w:val="008B2759"/>
    <w:rsid w:val="008B2EA6"/>
    <w:rsid w:val="008B31D5"/>
    <w:rsid w:val="008B329A"/>
    <w:rsid w:val="008B3C12"/>
    <w:rsid w:val="008B44E0"/>
    <w:rsid w:val="008B508A"/>
    <w:rsid w:val="008B5171"/>
    <w:rsid w:val="008B5D9C"/>
    <w:rsid w:val="008B6702"/>
    <w:rsid w:val="008B6AD8"/>
    <w:rsid w:val="008B6B1E"/>
    <w:rsid w:val="008B7352"/>
    <w:rsid w:val="008B7513"/>
    <w:rsid w:val="008B77FE"/>
    <w:rsid w:val="008B791F"/>
    <w:rsid w:val="008C02F7"/>
    <w:rsid w:val="008C0661"/>
    <w:rsid w:val="008C0FA9"/>
    <w:rsid w:val="008C126E"/>
    <w:rsid w:val="008C267E"/>
    <w:rsid w:val="008C2F0B"/>
    <w:rsid w:val="008C316D"/>
    <w:rsid w:val="008C3205"/>
    <w:rsid w:val="008C329D"/>
    <w:rsid w:val="008C33F2"/>
    <w:rsid w:val="008C3624"/>
    <w:rsid w:val="008C3772"/>
    <w:rsid w:val="008C4529"/>
    <w:rsid w:val="008C4A7D"/>
    <w:rsid w:val="008C4B85"/>
    <w:rsid w:val="008C56A8"/>
    <w:rsid w:val="008C61A1"/>
    <w:rsid w:val="008C6A48"/>
    <w:rsid w:val="008C6BF1"/>
    <w:rsid w:val="008C743E"/>
    <w:rsid w:val="008C7E6B"/>
    <w:rsid w:val="008D081B"/>
    <w:rsid w:val="008D21C1"/>
    <w:rsid w:val="008D2ACD"/>
    <w:rsid w:val="008D3465"/>
    <w:rsid w:val="008D381C"/>
    <w:rsid w:val="008D3856"/>
    <w:rsid w:val="008D3B58"/>
    <w:rsid w:val="008D40D9"/>
    <w:rsid w:val="008D42BD"/>
    <w:rsid w:val="008D5B62"/>
    <w:rsid w:val="008D60BE"/>
    <w:rsid w:val="008D652A"/>
    <w:rsid w:val="008D72EA"/>
    <w:rsid w:val="008E04FD"/>
    <w:rsid w:val="008E0625"/>
    <w:rsid w:val="008E2205"/>
    <w:rsid w:val="008E27B6"/>
    <w:rsid w:val="008E32AB"/>
    <w:rsid w:val="008E337D"/>
    <w:rsid w:val="008E3864"/>
    <w:rsid w:val="008E38E5"/>
    <w:rsid w:val="008E4235"/>
    <w:rsid w:val="008E50C3"/>
    <w:rsid w:val="008E5B09"/>
    <w:rsid w:val="008E6797"/>
    <w:rsid w:val="008E7948"/>
    <w:rsid w:val="008F05BB"/>
    <w:rsid w:val="008F1404"/>
    <w:rsid w:val="008F38F4"/>
    <w:rsid w:val="008F3DD7"/>
    <w:rsid w:val="008F4405"/>
    <w:rsid w:val="008F4F13"/>
    <w:rsid w:val="008F5367"/>
    <w:rsid w:val="008F56A1"/>
    <w:rsid w:val="008F5D95"/>
    <w:rsid w:val="008F5EDA"/>
    <w:rsid w:val="008F6351"/>
    <w:rsid w:val="008F6380"/>
    <w:rsid w:val="008F688D"/>
    <w:rsid w:val="008F6AE5"/>
    <w:rsid w:val="008F79BC"/>
    <w:rsid w:val="008F7AE6"/>
    <w:rsid w:val="00900022"/>
    <w:rsid w:val="009000BE"/>
    <w:rsid w:val="0090120A"/>
    <w:rsid w:val="00902BCB"/>
    <w:rsid w:val="00902FDD"/>
    <w:rsid w:val="00903168"/>
    <w:rsid w:val="00903A90"/>
    <w:rsid w:val="0090446A"/>
    <w:rsid w:val="0090545B"/>
    <w:rsid w:val="00905729"/>
    <w:rsid w:val="00906829"/>
    <w:rsid w:val="0090702D"/>
    <w:rsid w:val="009074EC"/>
    <w:rsid w:val="00907945"/>
    <w:rsid w:val="009079EB"/>
    <w:rsid w:val="00907FE6"/>
    <w:rsid w:val="00910391"/>
    <w:rsid w:val="00910B3A"/>
    <w:rsid w:val="00910C40"/>
    <w:rsid w:val="00911055"/>
    <w:rsid w:val="009117C0"/>
    <w:rsid w:val="00911921"/>
    <w:rsid w:val="00911E66"/>
    <w:rsid w:val="0091234A"/>
    <w:rsid w:val="00912F08"/>
    <w:rsid w:val="00912FA4"/>
    <w:rsid w:val="00913538"/>
    <w:rsid w:val="009137C2"/>
    <w:rsid w:val="009137CF"/>
    <w:rsid w:val="00913FD7"/>
    <w:rsid w:val="00914300"/>
    <w:rsid w:val="009147F0"/>
    <w:rsid w:val="0091491D"/>
    <w:rsid w:val="00914C9E"/>
    <w:rsid w:val="009155AE"/>
    <w:rsid w:val="00915E92"/>
    <w:rsid w:val="009168DE"/>
    <w:rsid w:val="00917FF8"/>
    <w:rsid w:val="00920A5C"/>
    <w:rsid w:val="00920B31"/>
    <w:rsid w:val="00921076"/>
    <w:rsid w:val="00921EB3"/>
    <w:rsid w:val="00921FA6"/>
    <w:rsid w:val="00922046"/>
    <w:rsid w:val="00922682"/>
    <w:rsid w:val="00922C4A"/>
    <w:rsid w:val="009230B6"/>
    <w:rsid w:val="00923906"/>
    <w:rsid w:val="00923D2A"/>
    <w:rsid w:val="009240F3"/>
    <w:rsid w:val="00924AF2"/>
    <w:rsid w:val="00924C65"/>
    <w:rsid w:val="00925A15"/>
    <w:rsid w:val="009268A6"/>
    <w:rsid w:val="00927003"/>
    <w:rsid w:val="0093064C"/>
    <w:rsid w:val="00930AA2"/>
    <w:rsid w:val="00930BAE"/>
    <w:rsid w:val="00930C6F"/>
    <w:rsid w:val="00930CAE"/>
    <w:rsid w:val="00930D28"/>
    <w:rsid w:val="00931207"/>
    <w:rsid w:val="009329B2"/>
    <w:rsid w:val="00932FDA"/>
    <w:rsid w:val="00933A4D"/>
    <w:rsid w:val="009342AC"/>
    <w:rsid w:val="00936936"/>
    <w:rsid w:val="00940045"/>
    <w:rsid w:val="00940379"/>
    <w:rsid w:val="00940A84"/>
    <w:rsid w:val="00940FE1"/>
    <w:rsid w:val="009415D7"/>
    <w:rsid w:val="009415E1"/>
    <w:rsid w:val="00941814"/>
    <w:rsid w:val="009421F0"/>
    <w:rsid w:val="00942813"/>
    <w:rsid w:val="00943326"/>
    <w:rsid w:val="0094429D"/>
    <w:rsid w:val="00944675"/>
    <w:rsid w:val="009446D5"/>
    <w:rsid w:val="0094511D"/>
    <w:rsid w:val="00945124"/>
    <w:rsid w:val="009457B9"/>
    <w:rsid w:val="0094589F"/>
    <w:rsid w:val="009469E9"/>
    <w:rsid w:val="00946E2C"/>
    <w:rsid w:val="0094792F"/>
    <w:rsid w:val="0095098A"/>
    <w:rsid w:val="00951BB7"/>
    <w:rsid w:val="00951D7D"/>
    <w:rsid w:val="009524F4"/>
    <w:rsid w:val="009528C5"/>
    <w:rsid w:val="00952D08"/>
    <w:rsid w:val="00952E38"/>
    <w:rsid w:val="00953168"/>
    <w:rsid w:val="00953650"/>
    <w:rsid w:val="00955C2F"/>
    <w:rsid w:val="00957568"/>
    <w:rsid w:val="0095779B"/>
    <w:rsid w:val="009603D7"/>
    <w:rsid w:val="00961733"/>
    <w:rsid w:val="009625FC"/>
    <w:rsid w:val="009626DE"/>
    <w:rsid w:val="00963721"/>
    <w:rsid w:val="00963C3E"/>
    <w:rsid w:val="00963CF8"/>
    <w:rsid w:val="00965782"/>
    <w:rsid w:val="00965B56"/>
    <w:rsid w:val="00966821"/>
    <w:rsid w:val="00966F14"/>
    <w:rsid w:val="009678D1"/>
    <w:rsid w:val="00970C02"/>
    <w:rsid w:val="00970C98"/>
    <w:rsid w:val="00970E66"/>
    <w:rsid w:val="00971A42"/>
    <w:rsid w:val="00971B8F"/>
    <w:rsid w:val="00971E42"/>
    <w:rsid w:val="00972197"/>
    <w:rsid w:val="00972834"/>
    <w:rsid w:val="0097339D"/>
    <w:rsid w:val="00974CBC"/>
    <w:rsid w:val="009755B0"/>
    <w:rsid w:val="0097576F"/>
    <w:rsid w:val="009758ED"/>
    <w:rsid w:val="00975ED6"/>
    <w:rsid w:val="0097603B"/>
    <w:rsid w:val="00976204"/>
    <w:rsid w:val="0097665C"/>
    <w:rsid w:val="00976907"/>
    <w:rsid w:val="00980302"/>
    <w:rsid w:val="009806F9"/>
    <w:rsid w:val="009809B1"/>
    <w:rsid w:val="009813E3"/>
    <w:rsid w:val="00981405"/>
    <w:rsid w:val="009817D8"/>
    <w:rsid w:val="00981F29"/>
    <w:rsid w:val="009835F8"/>
    <w:rsid w:val="00984079"/>
    <w:rsid w:val="00984812"/>
    <w:rsid w:val="00984E3B"/>
    <w:rsid w:val="00985509"/>
    <w:rsid w:val="009858F5"/>
    <w:rsid w:val="009860D9"/>
    <w:rsid w:val="009863A3"/>
    <w:rsid w:val="00986970"/>
    <w:rsid w:val="00987F14"/>
    <w:rsid w:val="00990063"/>
    <w:rsid w:val="009901E6"/>
    <w:rsid w:val="009917EA"/>
    <w:rsid w:val="00991DA1"/>
    <w:rsid w:val="0099215C"/>
    <w:rsid w:val="00993206"/>
    <w:rsid w:val="00993661"/>
    <w:rsid w:val="00993E28"/>
    <w:rsid w:val="009942A8"/>
    <w:rsid w:val="009949A6"/>
    <w:rsid w:val="00994C36"/>
    <w:rsid w:val="00995AC0"/>
    <w:rsid w:val="00995DBE"/>
    <w:rsid w:val="00995EC9"/>
    <w:rsid w:val="00996178"/>
    <w:rsid w:val="0099634C"/>
    <w:rsid w:val="009968BE"/>
    <w:rsid w:val="00996CB0"/>
    <w:rsid w:val="00997D55"/>
    <w:rsid w:val="009A026E"/>
    <w:rsid w:val="009A075C"/>
    <w:rsid w:val="009A0F24"/>
    <w:rsid w:val="009A0F57"/>
    <w:rsid w:val="009A1190"/>
    <w:rsid w:val="009A1267"/>
    <w:rsid w:val="009A1533"/>
    <w:rsid w:val="009A1E39"/>
    <w:rsid w:val="009A24A8"/>
    <w:rsid w:val="009A2699"/>
    <w:rsid w:val="009A28FE"/>
    <w:rsid w:val="009A2977"/>
    <w:rsid w:val="009A2F51"/>
    <w:rsid w:val="009A3418"/>
    <w:rsid w:val="009A3519"/>
    <w:rsid w:val="009A3618"/>
    <w:rsid w:val="009A3950"/>
    <w:rsid w:val="009A3C57"/>
    <w:rsid w:val="009A47F3"/>
    <w:rsid w:val="009A485A"/>
    <w:rsid w:val="009A492E"/>
    <w:rsid w:val="009A49E2"/>
    <w:rsid w:val="009A4AD5"/>
    <w:rsid w:val="009A50E0"/>
    <w:rsid w:val="009A5263"/>
    <w:rsid w:val="009A55CB"/>
    <w:rsid w:val="009A5677"/>
    <w:rsid w:val="009A5D96"/>
    <w:rsid w:val="009A5E69"/>
    <w:rsid w:val="009A649D"/>
    <w:rsid w:val="009A71A9"/>
    <w:rsid w:val="009A7754"/>
    <w:rsid w:val="009A78FA"/>
    <w:rsid w:val="009A7D1E"/>
    <w:rsid w:val="009B01F4"/>
    <w:rsid w:val="009B03D3"/>
    <w:rsid w:val="009B09B5"/>
    <w:rsid w:val="009B0D07"/>
    <w:rsid w:val="009B12FE"/>
    <w:rsid w:val="009B151A"/>
    <w:rsid w:val="009B2389"/>
    <w:rsid w:val="009B3801"/>
    <w:rsid w:val="009B466F"/>
    <w:rsid w:val="009B4A6F"/>
    <w:rsid w:val="009B53A3"/>
    <w:rsid w:val="009B54F4"/>
    <w:rsid w:val="009B5CA7"/>
    <w:rsid w:val="009B5CFC"/>
    <w:rsid w:val="009B5E07"/>
    <w:rsid w:val="009B616C"/>
    <w:rsid w:val="009B6B34"/>
    <w:rsid w:val="009C07FD"/>
    <w:rsid w:val="009C0A41"/>
    <w:rsid w:val="009C0D37"/>
    <w:rsid w:val="009C1212"/>
    <w:rsid w:val="009C125E"/>
    <w:rsid w:val="009C17FF"/>
    <w:rsid w:val="009C2815"/>
    <w:rsid w:val="009C28A3"/>
    <w:rsid w:val="009C4B05"/>
    <w:rsid w:val="009C53B2"/>
    <w:rsid w:val="009C61C9"/>
    <w:rsid w:val="009C64CF"/>
    <w:rsid w:val="009C719B"/>
    <w:rsid w:val="009C721C"/>
    <w:rsid w:val="009C7DCF"/>
    <w:rsid w:val="009D02DD"/>
    <w:rsid w:val="009D0421"/>
    <w:rsid w:val="009D052C"/>
    <w:rsid w:val="009D0582"/>
    <w:rsid w:val="009D3057"/>
    <w:rsid w:val="009D4434"/>
    <w:rsid w:val="009D4BBD"/>
    <w:rsid w:val="009D53AB"/>
    <w:rsid w:val="009D593A"/>
    <w:rsid w:val="009D63EA"/>
    <w:rsid w:val="009D6B89"/>
    <w:rsid w:val="009D6EC7"/>
    <w:rsid w:val="009D7160"/>
    <w:rsid w:val="009D7335"/>
    <w:rsid w:val="009D77DF"/>
    <w:rsid w:val="009E0934"/>
    <w:rsid w:val="009E14C9"/>
    <w:rsid w:val="009E186F"/>
    <w:rsid w:val="009E1A86"/>
    <w:rsid w:val="009E1A9A"/>
    <w:rsid w:val="009E1C25"/>
    <w:rsid w:val="009E2222"/>
    <w:rsid w:val="009E2CCB"/>
    <w:rsid w:val="009E3062"/>
    <w:rsid w:val="009E3C30"/>
    <w:rsid w:val="009E4A63"/>
    <w:rsid w:val="009E4F65"/>
    <w:rsid w:val="009E5AC6"/>
    <w:rsid w:val="009E5BFB"/>
    <w:rsid w:val="009E5CAC"/>
    <w:rsid w:val="009E5E00"/>
    <w:rsid w:val="009E5E75"/>
    <w:rsid w:val="009E698F"/>
    <w:rsid w:val="009E6E32"/>
    <w:rsid w:val="009E7700"/>
    <w:rsid w:val="009E7F3F"/>
    <w:rsid w:val="009F003C"/>
    <w:rsid w:val="009F1352"/>
    <w:rsid w:val="009F15B9"/>
    <w:rsid w:val="009F184E"/>
    <w:rsid w:val="009F1D70"/>
    <w:rsid w:val="009F1ED3"/>
    <w:rsid w:val="009F2435"/>
    <w:rsid w:val="009F4F70"/>
    <w:rsid w:val="009F556E"/>
    <w:rsid w:val="009F5915"/>
    <w:rsid w:val="009F5BDE"/>
    <w:rsid w:val="009F6C41"/>
    <w:rsid w:val="009F6DE9"/>
    <w:rsid w:val="009F7455"/>
    <w:rsid w:val="009F757B"/>
    <w:rsid w:val="009F7588"/>
    <w:rsid w:val="009F79FD"/>
    <w:rsid w:val="009F7FE1"/>
    <w:rsid w:val="00A019CB"/>
    <w:rsid w:val="00A0236A"/>
    <w:rsid w:val="00A02B2C"/>
    <w:rsid w:val="00A0433B"/>
    <w:rsid w:val="00A05FB4"/>
    <w:rsid w:val="00A06108"/>
    <w:rsid w:val="00A067D9"/>
    <w:rsid w:val="00A06DCD"/>
    <w:rsid w:val="00A0799C"/>
    <w:rsid w:val="00A1006F"/>
    <w:rsid w:val="00A103CA"/>
    <w:rsid w:val="00A105BD"/>
    <w:rsid w:val="00A106AD"/>
    <w:rsid w:val="00A10798"/>
    <w:rsid w:val="00A108AB"/>
    <w:rsid w:val="00A12038"/>
    <w:rsid w:val="00A12985"/>
    <w:rsid w:val="00A131AE"/>
    <w:rsid w:val="00A1376A"/>
    <w:rsid w:val="00A13E0B"/>
    <w:rsid w:val="00A140D6"/>
    <w:rsid w:val="00A14A7A"/>
    <w:rsid w:val="00A14F9B"/>
    <w:rsid w:val="00A150E3"/>
    <w:rsid w:val="00A15143"/>
    <w:rsid w:val="00A1524A"/>
    <w:rsid w:val="00A15253"/>
    <w:rsid w:val="00A1526C"/>
    <w:rsid w:val="00A1748C"/>
    <w:rsid w:val="00A17BDC"/>
    <w:rsid w:val="00A17F9B"/>
    <w:rsid w:val="00A201FE"/>
    <w:rsid w:val="00A2156E"/>
    <w:rsid w:val="00A218B6"/>
    <w:rsid w:val="00A2213A"/>
    <w:rsid w:val="00A22478"/>
    <w:rsid w:val="00A23073"/>
    <w:rsid w:val="00A235AB"/>
    <w:rsid w:val="00A23AD5"/>
    <w:rsid w:val="00A23C7E"/>
    <w:rsid w:val="00A2474C"/>
    <w:rsid w:val="00A24BCD"/>
    <w:rsid w:val="00A25109"/>
    <w:rsid w:val="00A26010"/>
    <w:rsid w:val="00A26737"/>
    <w:rsid w:val="00A26B05"/>
    <w:rsid w:val="00A27D12"/>
    <w:rsid w:val="00A30467"/>
    <w:rsid w:val="00A31EF2"/>
    <w:rsid w:val="00A3247E"/>
    <w:rsid w:val="00A32525"/>
    <w:rsid w:val="00A343DA"/>
    <w:rsid w:val="00A344CD"/>
    <w:rsid w:val="00A34888"/>
    <w:rsid w:val="00A34CE3"/>
    <w:rsid w:val="00A34D37"/>
    <w:rsid w:val="00A352AB"/>
    <w:rsid w:val="00A37BE3"/>
    <w:rsid w:val="00A4021D"/>
    <w:rsid w:val="00A412AE"/>
    <w:rsid w:val="00A412F3"/>
    <w:rsid w:val="00A42361"/>
    <w:rsid w:val="00A42F92"/>
    <w:rsid w:val="00A436E2"/>
    <w:rsid w:val="00A4414D"/>
    <w:rsid w:val="00A4503F"/>
    <w:rsid w:val="00A45185"/>
    <w:rsid w:val="00A45B85"/>
    <w:rsid w:val="00A45E23"/>
    <w:rsid w:val="00A462CD"/>
    <w:rsid w:val="00A466A6"/>
    <w:rsid w:val="00A4775F"/>
    <w:rsid w:val="00A47913"/>
    <w:rsid w:val="00A5026C"/>
    <w:rsid w:val="00A510C2"/>
    <w:rsid w:val="00A517F7"/>
    <w:rsid w:val="00A51989"/>
    <w:rsid w:val="00A51FC6"/>
    <w:rsid w:val="00A521AA"/>
    <w:rsid w:val="00A529CE"/>
    <w:rsid w:val="00A52AF6"/>
    <w:rsid w:val="00A52FCC"/>
    <w:rsid w:val="00A53265"/>
    <w:rsid w:val="00A538B3"/>
    <w:rsid w:val="00A53EAC"/>
    <w:rsid w:val="00A53F29"/>
    <w:rsid w:val="00A543C7"/>
    <w:rsid w:val="00A557E4"/>
    <w:rsid w:val="00A564CD"/>
    <w:rsid w:val="00A56980"/>
    <w:rsid w:val="00A5700C"/>
    <w:rsid w:val="00A57C4B"/>
    <w:rsid w:val="00A57F7B"/>
    <w:rsid w:val="00A60201"/>
    <w:rsid w:val="00A602B1"/>
    <w:rsid w:val="00A60592"/>
    <w:rsid w:val="00A61A9D"/>
    <w:rsid w:val="00A61AE3"/>
    <w:rsid w:val="00A62AE2"/>
    <w:rsid w:val="00A62C60"/>
    <w:rsid w:val="00A62F73"/>
    <w:rsid w:val="00A6328E"/>
    <w:rsid w:val="00A63375"/>
    <w:rsid w:val="00A6353B"/>
    <w:rsid w:val="00A6387B"/>
    <w:rsid w:val="00A63BB4"/>
    <w:rsid w:val="00A63D18"/>
    <w:rsid w:val="00A63EE9"/>
    <w:rsid w:val="00A6403F"/>
    <w:rsid w:val="00A6496B"/>
    <w:rsid w:val="00A64BC1"/>
    <w:rsid w:val="00A64C54"/>
    <w:rsid w:val="00A64D38"/>
    <w:rsid w:val="00A64DF5"/>
    <w:rsid w:val="00A65529"/>
    <w:rsid w:val="00A65843"/>
    <w:rsid w:val="00A6637C"/>
    <w:rsid w:val="00A66DC8"/>
    <w:rsid w:val="00A66F2F"/>
    <w:rsid w:val="00A67415"/>
    <w:rsid w:val="00A6773F"/>
    <w:rsid w:val="00A679A8"/>
    <w:rsid w:val="00A7049A"/>
    <w:rsid w:val="00A706E8"/>
    <w:rsid w:val="00A710CA"/>
    <w:rsid w:val="00A712AB"/>
    <w:rsid w:val="00A71538"/>
    <w:rsid w:val="00A71EA6"/>
    <w:rsid w:val="00A748C4"/>
    <w:rsid w:val="00A7629B"/>
    <w:rsid w:val="00A800DF"/>
    <w:rsid w:val="00A81306"/>
    <w:rsid w:val="00A81FB0"/>
    <w:rsid w:val="00A82002"/>
    <w:rsid w:val="00A82FC6"/>
    <w:rsid w:val="00A833E0"/>
    <w:rsid w:val="00A838EE"/>
    <w:rsid w:val="00A83CC7"/>
    <w:rsid w:val="00A840B1"/>
    <w:rsid w:val="00A84CA4"/>
    <w:rsid w:val="00A851F8"/>
    <w:rsid w:val="00A85309"/>
    <w:rsid w:val="00A857F6"/>
    <w:rsid w:val="00A85B42"/>
    <w:rsid w:val="00A8612F"/>
    <w:rsid w:val="00A86A6F"/>
    <w:rsid w:val="00A87255"/>
    <w:rsid w:val="00A87B04"/>
    <w:rsid w:val="00A907B2"/>
    <w:rsid w:val="00A909AD"/>
    <w:rsid w:val="00A91F4D"/>
    <w:rsid w:val="00A92044"/>
    <w:rsid w:val="00A921AC"/>
    <w:rsid w:val="00A921D0"/>
    <w:rsid w:val="00A92388"/>
    <w:rsid w:val="00A9415E"/>
    <w:rsid w:val="00A94A5C"/>
    <w:rsid w:val="00A953A7"/>
    <w:rsid w:val="00A958DA"/>
    <w:rsid w:val="00A95BE0"/>
    <w:rsid w:val="00A95CB0"/>
    <w:rsid w:val="00A9624B"/>
    <w:rsid w:val="00A969D4"/>
    <w:rsid w:val="00A96D23"/>
    <w:rsid w:val="00A97644"/>
    <w:rsid w:val="00A978A3"/>
    <w:rsid w:val="00A97D2C"/>
    <w:rsid w:val="00AA0377"/>
    <w:rsid w:val="00AA0407"/>
    <w:rsid w:val="00AA0448"/>
    <w:rsid w:val="00AA08C6"/>
    <w:rsid w:val="00AA09F1"/>
    <w:rsid w:val="00AA0D2E"/>
    <w:rsid w:val="00AA144F"/>
    <w:rsid w:val="00AA1C82"/>
    <w:rsid w:val="00AA1E59"/>
    <w:rsid w:val="00AA235E"/>
    <w:rsid w:val="00AA2B95"/>
    <w:rsid w:val="00AA33FD"/>
    <w:rsid w:val="00AA465C"/>
    <w:rsid w:val="00AA51AF"/>
    <w:rsid w:val="00AA556B"/>
    <w:rsid w:val="00AA5701"/>
    <w:rsid w:val="00AA59B8"/>
    <w:rsid w:val="00AA5A0C"/>
    <w:rsid w:val="00AA5C56"/>
    <w:rsid w:val="00AA6B19"/>
    <w:rsid w:val="00AA6F66"/>
    <w:rsid w:val="00AA705A"/>
    <w:rsid w:val="00AA7534"/>
    <w:rsid w:val="00AB0522"/>
    <w:rsid w:val="00AB0ADB"/>
    <w:rsid w:val="00AB0F20"/>
    <w:rsid w:val="00AB16DB"/>
    <w:rsid w:val="00AB3AC7"/>
    <w:rsid w:val="00AB413D"/>
    <w:rsid w:val="00AB45BB"/>
    <w:rsid w:val="00AB45D5"/>
    <w:rsid w:val="00AB5109"/>
    <w:rsid w:val="00AB5A9F"/>
    <w:rsid w:val="00AB5F74"/>
    <w:rsid w:val="00AB6054"/>
    <w:rsid w:val="00AB682B"/>
    <w:rsid w:val="00AB6DC8"/>
    <w:rsid w:val="00AB72AB"/>
    <w:rsid w:val="00AB7568"/>
    <w:rsid w:val="00AB772C"/>
    <w:rsid w:val="00AB79E0"/>
    <w:rsid w:val="00AC1DE5"/>
    <w:rsid w:val="00AC203C"/>
    <w:rsid w:val="00AC2331"/>
    <w:rsid w:val="00AC24EE"/>
    <w:rsid w:val="00AC27C3"/>
    <w:rsid w:val="00AC287A"/>
    <w:rsid w:val="00AC2981"/>
    <w:rsid w:val="00AC3C2E"/>
    <w:rsid w:val="00AC4B10"/>
    <w:rsid w:val="00AC4B40"/>
    <w:rsid w:val="00AC54D2"/>
    <w:rsid w:val="00AC5F90"/>
    <w:rsid w:val="00AC6360"/>
    <w:rsid w:val="00AC63DF"/>
    <w:rsid w:val="00AC64CF"/>
    <w:rsid w:val="00AC6AAB"/>
    <w:rsid w:val="00AC74C4"/>
    <w:rsid w:val="00AC7D3C"/>
    <w:rsid w:val="00AD15B2"/>
    <w:rsid w:val="00AD1840"/>
    <w:rsid w:val="00AD41ED"/>
    <w:rsid w:val="00AD42F7"/>
    <w:rsid w:val="00AD4D99"/>
    <w:rsid w:val="00AD57A1"/>
    <w:rsid w:val="00AD5995"/>
    <w:rsid w:val="00AD5D57"/>
    <w:rsid w:val="00AD5E7C"/>
    <w:rsid w:val="00AD66AE"/>
    <w:rsid w:val="00AD680F"/>
    <w:rsid w:val="00AE053E"/>
    <w:rsid w:val="00AE07D4"/>
    <w:rsid w:val="00AE0805"/>
    <w:rsid w:val="00AE2BAE"/>
    <w:rsid w:val="00AE2DC5"/>
    <w:rsid w:val="00AE346B"/>
    <w:rsid w:val="00AE3FC8"/>
    <w:rsid w:val="00AE4567"/>
    <w:rsid w:val="00AE4B0E"/>
    <w:rsid w:val="00AE4FB4"/>
    <w:rsid w:val="00AE550D"/>
    <w:rsid w:val="00AE5A11"/>
    <w:rsid w:val="00AE5BF6"/>
    <w:rsid w:val="00AE60F1"/>
    <w:rsid w:val="00AE6231"/>
    <w:rsid w:val="00AE664C"/>
    <w:rsid w:val="00AE67EC"/>
    <w:rsid w:val="00AF0A88"/>
    <w:rsid w:val="00AF0D82"/>
    <w:rsid w:val="00AF0E48"/>
    <w:rsid w:val="00AF1DF6"/>
    <w:rsid w:val="00AF1E5F"/>
    <w:rsid w:val="00AF2403"/>
    <w:rsid w:val="00AF2BA0"/>
    <w:rsid w:val="00AF2ED9"/>
    <w:rsid w:val="00AF35E9"/>
    <w:rsid w:val="00AF3A55"/>
    <w:rsid w:val="00AF47B0"/>
    <w:rsid w:val="00AF4C87"/>
    <w:rsid w:val="00AF5002"/>
    <w:rsid w:val="00AF5354"/>
    <w:rsid w:val="00AF5698"/>
    <w:rsid w:val="00AF58E2"/>
    <w:rsid w:val="00AF61CB"/>
    <w:rsid w:val="00B01834"/>
    <w:rsid w:val="00B01C73"/>
    <w:rsid w:val="00B02784"/>
    <w:rsid w:val="00B02B90"/>
    <w:rsid w:val="00B03739"/>
    <w:rsid w:val="00B05281"/>
    <w:rsid w:val="00B061C7"/>
    <w:rsid w:val="00B06968"/>
    <w:rsid w:val="00B06C9E"/>
    <w:rsid w:val="00B075EA"/>
    <w:rsid w:val="00B07C2C"/>
    <w:rsid w:val="00B10BCE"/>
    <w:rsid w:val="00B112C0"/>
    <w:rsid w:val="00B12688"/>
    <w:rsid w:val="00B1296F"/>
    <w:rsid w:val="00B12B8D"/>
    <w:rsid w:val="00B13030"/>
    <w:rsid w:val="00B13E74"/>
    <w:rsid w:val="00B13EE8"/>
    <w:rsid w:val="00B14BED"/>
    <w:rsid w:val="00B15283"/>
    <w:rsid w:val="00B15637"/>
    <w:rsid w:val="00B16777"/>
    <w:rsid w:val="00B168F6"/>
    <w:rsid w:val="00B1747A"/>
    <w:rsid w:val="00B176BB"/>
    <w:rsid w:val="00B20AB3"/>
    <w:rsid w:val="00B214FB"/>
    <w:rsid w:val="00B2197E"/>
    <w:rsid w:val="00B21D5A"/>
    <w:rsid w:val="00B22042"/>
    <w:rsid w:val="00B22699"/>
    <w:rsid w:val="00B22D21"/>
    <w:rsid w:val="00B236B4"/>
    <w:rsid w:val="00B2373C"/>
    <w:rsid w:val="00B2445A"/>
    <w:rsid w:val="00B24AED"/>
    <w:rsid w:val="00B25303"/>
    <w:rsid w:val="00B25B8C"/>
    <w:rsid w:val="00B26A00"/>
    <w:rsid w:val="00B271E5"/>
    <w:rsid w:val="00B3050E"/>
    <w:rsid w:val="00B309F2"/>
    <w:rsid w:val="00B30A5D"/>
    <w:rsid w:val="00B30E36"/>
    <w:rsid w:val="00B3113F"/>
    <w:rsid w:val="00B31924"/>
    <w:rsid w:val="00B31B1A"/>
    <w:rsid w:val="00B32BE0"/>
    <w:rsid w:val="00B3418F"/>
    <w:rsid w:val="00B34567"/>
    <w:rsid w:val="00B34A30"/>
    <w:rsid w:val="00B34AE2"/>
    <w:rsid w:val="00B35F10"/>
    <w:rsid w:val="00B36C38"/>
    <w:rsid w:val="00B36F2F"/>
    <w:rsid w:val="00B37483"/>
    <w:rsid w:val="00B37670"/>
    <w:rsid w:val="00B37944"/>
    <w:rsid w:val="00B37CFA"/>
    <w:rsid w:val="00B41131"/>
    <w:rsid w:val="00B419B5"/>
    <w:rsid w:val="00B41BAE"/>
    <w:rsid w:val="00B41C18"/>
    <w:rsid w:val="00B4277C"/>
    <w:rsid w:val="00B429AC"/>
    <w:rsid w:val="00B43163"/>
    <w:rsid w:val="00B43301"/>
    <w:rsid w:val="00B43A1E"/>
    <w:rsid w:val="00B43DBF"/>
    <w:rsid w:val="00B43FCE"/>
    <w:rsid w:val="00B444AE"/>
    <w:rsid w:val="00B44E53"/>
    <w:rsid w:val="00B44F56"/>
    <w:rsid w:val="00B45361"/>
    <w:rsid w:val="00B45A82"/>
    <w:rsid w:val="00B45D10"/>
    <w:rsid w:val="00B45E57"/>
    <w:rsid w:val="00B461F5"/>
    <w:rsid w:val="00B4623A"/>
    <w:rsid w:val="00B46641"/>
    <w:rsid w:val="00B46809"/>
    <w:rsid w:val="00B4759C"/>
    <w:rsid w:val="00B47785"/>
    <w:rsid w:val="00B507BD"/>
    <w:rsid w:val="00B5087B"/>
    <w:rsid w:val="00B52408"/>
    <w:rsid w:val="00B52D8E"/>
    <w:rsid w:val="00B53268"/>
    <w:rsid w:val="00B53894"/>
    <w:rsid w:val="00B5438D"/>
    <w:rsid w:val="00B5439D"/>
    <w:rsid w:val="00B557A0"/>
    <w:rsid w:val="00B5586C"/>
    <w:rsid w:val="00B55900"/>
    <w:rsid w:val="00B559B9"/>
    <w:rsid w:val="00B55CF9"/>
    <w:rsid w:val="00B55F56"/>
    <w:rsid w:val="00B5665B"/>
    <w:rsid w:val="00B56D03"/>
    <w:rsid w:val="00B56D65"/>
    <w:rsid w:val="00B56F44"/>
    <w:rsid w:val="00B56F99"/>
    <w:rsid w:val="00B57504"/>
    <w:rsid w:val="00B57AF1"/>
    <w:rsid w:val="00B57F06"/>
    <w:rsid w:val="00B60AA3"/>
    <w:rsid w:val="00B61034"/>
    <w:rsid w:val="00B6122B"/>
    <w:rsid w:val="00B6160F"/>
    <w:rsid w:val="00B6165D"/>
    <w:rsid w:val="00B6206A"/>
    <w:rsid w:val="00B6221C"/>
    <w:rsid w:val="00B6287C"/>
    <w:rsid w:val="00B6289C"/>
    <w:rsid w:val="00B62A12"/>
    <w:rsid w:val="00B645FA"/>
    <w:rsid w:val="00B6519D"/>
    <w:rsid w:val="00B66A26"/>
    <w:rsid w:val="00B67822"/>
    <w:rsid w:val="00B679EF"/>
    <w:rsid w:val="00B67D63"/>
    <w:rsid w:val="00B70E26"/>
    <w:rsid w:val="00B70F06"/>
    <w:rsid w:val="00B712AA"/>
    <w:rsid w:val="00B71D26"/>
    <w:rsid w:val="00B72347"/>
    <w:rsid w:val="00B72907"/>
    <w:rsid w:val="00B72925"/>
    <w:rsid w:val="00B729BD"/>
    <w:rsid w:val="00B730BA"/>
    <w:rsid w:val="00B73407"/>
    <w:rsid w:val="00B73EB8"/>
    <w:rsid w:val="00B75181"/>
    <w:rsid w:val="00B75ABE"/>
    <w:rsid w:val="00B7650E"/>
    <w:rsid w:val="00B76777"/>
    <w:rsid w:val="00B77316"/>
    <w:rsid w:val="00B77C7E"/>
    <w:rsid w:val="00B780E5"/>
    <w:rsid w:val="00B8136F"/>
    <w:rsid w:val="00B816F3"/>
    <w:rsid w:val="00B81D69"/>
    <w:rsid w:val="00B82E9B"/>
    <w:rsid w:val="00B83159"/>
    <w:rsid w:val="00B841C9"/>
    <w:rsid w:val="00B85934"/>
    <w:rsid w:val="00B8617D"/>
    <w:rsid w:val="00B863D9"/>
    <w:rsid w:val="00B86737"/>
    <w:rsid w:val="00B86829"/>
    <w:rsid w:val="00B86EA6"/>
    <w:rsid w:val="00B87866"/>
    <w:rsid w:val="00B906F4"/>
    <w:rsid w:val="00B90863"/>
    <w:rsid w:val="00B90AB1"/>
    <w:rsid w:val="00B90FD5"/>
    <w:rsid w:val="00B913F1"/>
    <w:rsid w:val="00B927B5"/>
    <w:rsid w:val="00B92F92"/>
    <w:rsid w:val="00B93324"/>
    <w:rsid w:val="00B935C9"/>
    <w:rsid w:val="00B94AE4"/>
    <w:rsid w:val="00B95024"/>
    <w:rsid w:val="00B95712"/>
    <w:rsid w:val="00B96121"/>
    <w:rsid w:val="00B9743B"/>
    <w:rsid w:val="00BA0277"/>
    <w:rsid w:val="00BA041B"/>
    <w:rsid w:val="00BA05D5"/>
    <w:rsid w:val="00BA10E1"/>
    <w:rsid w:val="00BA1AD9"/>
    <w:rsid w:val="00BA1AFA"/>
    <w:rsid w:val="00BA29D0"/>
    <w:rsid w:val="00BA2A16"/>
    <w:rsid w:val="00BA3E75"/>
    <w:rsid w:val="00BA4368"/>
    <w:rsid w:val="00BA611A"/>
    <w:rsid w:val="00BA6365"/>
    <w:rsid w:val="00BA64E1"/>
    <w:rsid w:val="00BA6CBA"/>
    <w:rsid w:val="00BA7A7A"/>
    <w:rsid w:val="00BB0893"/>
    <w:rsid w:val="00BB169C"/>
    <w:rsid w:val="00BB2432"/>
    <w:rsid w:val="00BB295F"/>
    <w:rsid w:val="00BB2989"/>
    <w:rsid w:val="00BB38C5"/>
    <w:rsid w:val="00BB479C"/>
    <w:rsid w:val="00BB48A2"/>
    <w:rsid w:val="00BB4A26"/>
    <w:rsid w:val="00BB56AC"/>
    <w:rsid w:val="00BB57A6"/>
    <w:rsid w:val="00BB5B8A"/>
    <w:rsid w:val="00BB6192"/>
    <w:rsid w:val="00BB62ED"/>
    <w:rsid w:val="00BB79F3"/>
    <w:rsid w:val="00BC04E5"/>
    <w:rsid w:val="00BC09D0"/>
    <w:rsid w:val="00BC17F0"/>
    <w:rsid w:val="00BC2D21"/>
    <w:rsid w:val="00BC2FA6"/>
    <w:rsid w:val="00BC3161"/>
    <w:rsid w:val="00BC432F"/>
    <w:rsid w:val="00BC56D9"/>
    <w:rsid w:val="00BC6354"/>
    <w:rsid w:val="00BC6C2D"/>
    <w:rsid w:val="00BC7D9F"/>
    <w:rsid w:val="00BD085A"/>
    <w:rsid w:val="00BD141D"/>
    <w:rsid w:val="00BD1E43"/>
    <w:rsid w:val="00BD20CF"/>
    <w:rsid w:val="00BD2B4B"/>
    <w:rsid w:val="00BD358A"/>
    <w:rsid w:val="00BD368E"/>
    <w:rsid w:val="00BD380C"/>
    <w:rsid w:val="00BD4BD4"/>
    <w:rsid w:val="00BD4C8D"/>
    <w:rsid w:val="00BD5A49"/>
    <w:rsid w:val="00BD5F87"/>
    <w:rsid w:val="00BD6280"/>
    <w:rsid w:val="00BD649C"/>
    <w:rsid w:val="00BD6767"/>
    <w:rsid w:val="00BD69C0"/>
    <w:rsid w:val="00BD6A35"/>
    <w:rsid w:val="00BD6CC0"/>
    <w:rsid w:val="00BD6FF5"/>
    <w:rsid w:val="00BD77B9"/>
    <w:rsid w:val="00BE0162"/>
    <w:rsid w:val="00BE0561"/>
    <w:rsid w:val="00BE111F"/>
    <w:rsid w:val="00BE13C5"/>
    <w:rsid w:val="00BE3460"/>
    <w:rsid w:val="00BE3488"/>
    <w:rsid w:val="00BE3AE7"/>
    <w:rsid w:val="00BE3D3C"/>
    <w:rsid w:val="00BE3F4B"/>
    <w:rsid w:val="00BE46EA"/>
    <w:rsid w:val="00BE5043"/>
    <w:rsid w:val="00BE5880"/>
    <w:rsid w:val="00BE5E2E"/>
    <w:rsid w:val="00BE7C66"/>
    <w:rsid w:val="00BF0AB6"/>
    <w:rsid w:val="00BF1935"/>
    <w:rsid w:val="00BF1E9B"/>
    <w:rsid w:val="00BF227D"/>
    <w:rsid w:val="00BF2B81"/>
    <w:rsid w:val="00BF2BA3"/>
    <w:rsid w:val="00BF2BE3"/>
    <w:rsid w:val="00BF2DAB"/>
    <w:rsid w:val="00BF2EE3"/>
    <w:rsid w:val="00BF34B3"/>
    <w:rsid w:val="00BF411D"/>
    <w:rsid w:val="00BF478B"/>
    <w:rsid w:val="00BF4F14"/>
    <w:rsid w:val="00BF57CB"/>
    <w:rsid w:val="00BF5E41"/>
    <w:rsid w:val="00BF6496"/>
    <w:rsid w:val="00BF667B"/>
    <w:rsid w:val="00BF68C8"/>
    <w:rsid w:val="00BF7A75"/>
    <w:rsid w:val="00BF7CBE"/>
    <w:rsid w:val="00C00341"/>
    <w:rsid w:val="00C01432"/>
    <w:rsid w:val="00C016C3"/>
    <w:rsid w:val="00C01A80"/>
    <w:rsid w:val="00C026F8"/>
    <w:rsid w:val="00C02C06"/>
    <w:rsid w:val="00C02E31"/>
    <w:rsid w:val="00C034B7"/>
    <w:rsid w:val="00C03B49"/>
    <w:rsid w:val="00C03B7F"/>
    <w:rsid w:val="00C04511"/>
    <w:rsid w:val="00C04536"/>
    <w:rsid w:val="00C04F37"/>
    <w:rsid w:val="00C055BA"/>
    <w:rsid w:val="00C05ABD"/>
    <w:rsid w:val="00C0666B"/>
    <w:rsid w:val="00C07654"/>
    <w:rsid w:val="00C07BB4"/>
    <w:rsid w:val="00C10442"/>
    <w:rsid w:val="00C104C6"/>
    <w:rsid w:val="00C1096F"/>
    <w:rsid w:val="00C117A4"/>
    <w:rsid w:val="00C1366C"/>
    <w:rsid w:val="00C14FEF"/>
    <w:rsid w:val="00C151EE"/>
    <w:rsid w:val="00C15C29"/>
    <w:rsid w:val="00C16717"/>
    <w:rsid w:val="00C201E0"/>
    <w:rsid w:val="00C217A0"/>
    <w:rsid w:val="00C22101"/>
    <w:rsid w:val="00C2236B"/>
    <w:rsid w:val="00C22471"/>
    <w:rsid w:val="00C2348B"/>
    <w:rsid w:val="00C2350A"/>
    <w:rsid w:val="00C23E1A"/>
    <w:rsid w:val="00C24E78"/>
    <w:rsid w:val="00C2539D"/>
    <w:rsid w:val="00C253EA"/>
    <w:rsid w:val="00C25A3A"/>
    <w:rsid w:val="00C25DF0"/>
    <w:rsid w:val="00C260A6"/>
    <w:rsid w:val="00C2685A"/>
    <w:rsid w:val="00C2692D"/>
    <w:rsid w:val="00C27040"/>
    <w:rsid w:val="00C276C4"/>
    <w:rsid w:val="00C2775B"/>
    <w:rsid w:val="00C30348"/>
    <w:rsid w:val="00C30D72"/>
    <w:rsid w:val="00C30DC5"/>
    <w:rsid w:val="00C31753"/>
    <w:rsid w:val="00C31C98"/>
    <w:rsid w:val="00C31F3E"/>
    <w:rsid w:val="00C32120"/>
    <w:rsid w:val="00C32672"/>
    <w:rsid w:val="00C32928"/>
    <w:rsid w:val="00C33682"/>
    <w:rsid w:val="00C3379A"/>
    <w:rsid w:val="00C34029"/>
    <w:rsid w:val="00C342E2"/>
    <w:rsid w:val="00C345DC"/>
    <w:rsid w:val="00C365F7"/>
    <w:rsid w:val="00C3735B"/>
    <w:rsid w:val="00C37AB9"/>
    <w:rsid w:val="00C40517"/>
    <w:rsid w:val="00C4059B"/>
    <w:rsid w:val="00C40E45"/>
    <w:rsid w:val="00C410A1"/>
    <w:rsid w:val="00C412A3"/>
    <w:rsid w:val="00C4141A"/>
    <w:rsid w:val="00C4188D"/>
    <w:rsid w:val="00C41986"/>
    <w:rsid w:val="00C41C70"/>
    <w:rsid w:val="00C41EFF"/>
    <w:rsid w:val="00C42809"/>
    <w:rsid w:val="00C43AB7"/>
    <w:rsid w:val="00C43DB4"/>
    <w:rsid w:val="00C43F52"/>
    <w:rsid w:val="00C43FFB"/>
    <w:rsid w:val="00C4477F"/>
    <w:rsid w:val="00C45BB8"/>
    <w:rsid w:val="00C45F92"/>
    <w:rsid w:val="00C46090"/>
    <w:rsid w:val="00C463B6"/>
    <w:rsid w:val="00C47D0A"/>
    <w:rsid w:val="00C47E48"/>
    <w:rsid w:val="00C47FA1"/>
    <w:rsid w:val="00C503C9"/>
    <w:rsid w:val="00C519B8"/>
    <w:rsid w:val="00C52907"/>
    <w:rsid w:val="00C53110"/>
    <w:rsid w:val="00C53141"/>
    <w:rsid w:val="00C535BF"/>
    <w:rsid w:val="00C54B3C"/>
    <w:rsid w:val="00C54F75"/>
    <w:rsid w:val="00C55260"/>
    <w:rsid w:val="00C55D3E"/>
    <w:rsid w:val="00C55EA0"/>
    <w:rsid w:val="00C56223"/>
    <w:rsid w:val="00C5649F"/>
    <w:rsid w:val="00C56FE0"/>
    <w:rsid w:val="00C60755"/>
    <w:rsid w:val="00C60F38"/>
    <w:rsid w:val="00C61C4B"/>
    <w:rsid w:val="00C6204C"/>
    <w:rsid w:val="00C6287F"/>
    <w:rsid w:val="00C62CDF"/>
    <w:rsid w:val="00C63941"/>
    <w:rsid w:val="00C646EF"/>
    <w:rsid w:val="00C64E48"/>
    <w:rsid w:val="00C664D7"/>
    <w:rsid w:val="00C66A2D"/>
    <w:rsid w:val="00C673FD"/>
    <w:rsid w:val="00C6795B"/>
    <w:rsid w:val="00C703FA"/>
    <w:rsid w:val="00C70871"/>
    <w:rsid w:val="00C70978"/>
    <w:rsid w:val="00C71277"/>
    <w:rsid w:val="00C712BA"/>
    <w:rsid w:val="00C713C3"/>
    <w:rsid w:val="00C71418"/>
    <w:rsid w:val="00C71488"/>
    <w:rsid w:val="00C71780"/>
    <w:rsid w:val="00C71E14"/>
    <w:rsid w:val="00C726AE"/>
    <w:rsid w:val="00C72E2E"/>
    <w:rsid w:val="00C730A3"/>
    <w:rsid w:val="00C730D7"/>
    <w:rsid w:val="00C734B1"/>
    <w:rsid w:val="00C73B4C"/>
    <w:rsid w:val="00C7407D"/>
    <w:rsid w:val="00C7428B"/>
    <w:rsid w:val="00C7473A"/>
    <w:rsid w:val="00C747CC"/>
    <w:rsid w:val="00C7574E"/>
    <w:rsid w:val="00C7684C"/>
    <w:rsid w:val="00C77039"/>
    <w:rsid w:val="00C77D76"/>
    <w:rsid w:val="00C80053"/>
    <w:rsid w:val="00C80069"/>
    <w:rsid w:val="00C810B5"/>
    <w:rsid w:val="00C81578"/>
    <w:rsid w:val="00C828C4"/>
    <w:rsid w:val="00C831A8"/>
    <w:rsid w:val="00C839BD"/>
    <w:rsid w:val="00C83CB9"/>
    <w:rsid w:val="00C84A66"/>
    <w:rsid w:val="00C85C92"/>
    <w:rsid w:val="00C85EB8"/>
    <w:rsid w:val="00C861CD"/>
    <w:rsid w:val="00C863DA"/>
    <w:rsid w:val="00C86569"/>
    <w:rsid w:val="00C865C8"/>
    <w:rsid w:val="00C903D9"/>
    <w:rsid w:val="00C91AF1"/>
    <w:rsid w:val="00C91CCD"/>
    <w:rsid w:val="00C92A1A"/>
    <w:rsid w:val="00C9373F"/>
    <w:rsid w:val="00C95325"/>
    <w:rsid w:val="00C9565B"/>
    <w:rsid w:val="00C96923"/>
    <w:rsid w:val="00C96CD8"/>
    <w:rsid w:val="00C97066"/>
    <w:rsid w:val="00C97EA2"/>
    <w:rsid w:val="00CA0482"/>
    <w:rsid w:val="00CA077E"/>
    <w:rsid w:val="00CA07DB"/>
    <w:rsid w:val="00CA0942"/>
    <w:rsid w:val="00CA0FEB"/>
    <w:rsid w:val="00CA123A"/>
    <w:rsid w:val="00CA1494"/>
    <w:rsid w:val="00CA23C7"/>
    <w:rsid w:val="00CA25DC"/>
    <w:rsid w:val="00CA28A1"/>
    <w:rsid w:val="00CA3035"/>
    <w:rsid w:val="00CA3103"/>
    <w:rsid w:val="00CA3417"/>
    <w:rsid w:val="00CA3633"/>
    <w:rsid w:val="00CA3999"/>
    <w:rsid w:val="00CA4E69"/>
    <w:rsid w:val="00CA4EAD"/>
    <w:rsid w:val="00CA55C6"/>
    <w:rsid w:val="00CA56D6"/>
    <w:rsid w:val="00CA5DCD"/>
    <w:rsid w:val="00CA6627"/>
    <w:rsid w:val="00CA676F"/>
    <w:rsid w:val="00CA6774"/>
    <w:rsid w:val="00CA684A"/>
    <w:rsid w:val="00CA6E54"/>
    <w:rsid w:val="00CA7102"/>
    <w:rsid w:val="00CA77CF"/>
    <w:rsid w:val="00CA7A6B"/>
    <w:rsid w:val="00CB0A21"/>
    <w:rsid w:val="00CB0E35"/>
    <w:rsid w:val="00CB1427"/>
    <w:rsid w:val="00CB1E06"/>
    <w:rsid w:val="00CB204E"/>
    <w:rsid w:val="00CB2212"/>
    <w:rsid w:val="00CB260D"/>
    <w:rsid w:val="00CB282C"/>
    <w:rsid w:val="00CB30C7"/>
    <w:rsid w:val="00CB42C3"/>
    <w:rsid w:val="00CB52E1"/>
    <w:rsid w:val="00CB5CBE"/>
    <w:rsid w:val="00CB6804"/>
    <w:rsid w:val="00CB6A28"/>
    <w:rsid w:val="00CC0CED"/>
    <w:rsid w:val="00CC1B72"/>
    <w:rsid w:val="00CC271D"/>
    <w:rsid w:val="00CC2EC5"/>
    <w:rsid w:val="00CC337D"/>
    <w:rsid w:val="00CC3BDA"/>
    <w:rsid w:val="00CC46B1"/>
    <w:rsid w:val="00CC6764"/>
    <w:rsid w:val="00CC7F05"/>
    <w:rsid w:val="00CC7F09"/>
    <w:rsid w:val="00CD0E75"/>
    <w:rsid w:val="00CD163D"/>
    <w:rsid w:val="00CD1828"/>
    <w:rsid w:val="00CD1998"/>
    <w:rsid w:val="00CD2C20"/>
    <w:rsid w:val="00CD4CCE"/>
    <w:rsid w:val="00CD5897"/>
    <w:rsid w:val="00CD591D"/>
    <w:rsid w:val="00CD5938"/>
    <w:rsid w:val="00CD6467"/>
    <w:rsid w:val="00CD66C3"/>
    <w:rsid w:val="00CD7E26"/>
    <w:rsid w:val="00CE0157"/>
    <w:rsid w:val="00CE07CF"/>
    <w:rsid w:val="00CE08EE"/>
    <w:rsid w:val="00CE0F88"/>
    <w:rsid w:val="00CE12E2"/>
    <w:rsid w:val="00CE155D"/>
    <w:rsid w:val="00CE169A"/>
    <w:rsid w:val="00CE1776"/>
    <w:rsid w:val="00CE310F"/>
    <w:rsid w:val="00CE5B83"/>
    <w:rsid w:val="00CE5EB0"/>
    <w:rsid w:val="00CE69AC"/>
    <w:rsid w:val="00CE6D80"/>
    <w:rsid w:val="00CE7159"/>
    <w:rsid w:val="00CE7C53"/>
    <w:rsid w:val="00CE7CDA"/>
    <w:rsid w:val="00CF0230"/>
    <w:rsid w:val="00CF0DB3"/>
    <w:rsid w:val="00CF11CE"/>
    <w:rsid w:val="00CF17DE"/>
    <w:rsid w:val="00CF2BB8"/>
    <w:rsid w:val="00CF2D75"/>
    <w:rsid w:val="00CF34C0"/>
    <w:rsid w:val="00CF3576"/>
    <w:rsid w:val="00CF3E01"/>
    <w:rsid w:val="00CF421D"/>
    <w:rsid w:val="00CF4FFE"/>
    <w:rsid w:val="00CF5034"/>
    <w:rsid w:val="00CF57A8"/>
    <w:rsid w:val="00CF580A"/>
    <w:rsid w:val="00CF5A6D"/>
    <w:rsid w:val="00CF5F80"/>
    <w:rsid w:val="00CF62F3"/>
    <w:rsid w:val="00CF7075"/>
    <w:rsid w:val="00CF7D20"/>
    <w:rsid w:val="00D017B5"/>
    <w:rsid w:val="00D019CC"/>
    <w:rsid w:val="00D0484A"/>
    <w:rsid w:val="00D05C26"/>
    <w:rsid w:val="00D07CB2"/>
    <w:rsid w:val="00D07CF2"/>
    <w:rsid w:val="00D07FAD"/>
    <w:rsid w:val="00D1052A"/>
    <w:rsid w:val="00D10BE3"/>
    <w:rsid w:val="00D10CC1"/>
    <w:rsid w:val="00D10D08"/>
    <w:rsid w:val="00D11259"/>
    <w:rsid w:val="00D11B78"/>
    <w:rsid w:val="00D11F3C"/>
    <w:rsid w:val="00D12AAB"/>
    <w:rsid w:val="00D12EA6"/>
    <w:rsid w:val="00D13029"/>
    <w:rsid w:val="00D137B9"/>
    <w:rsid w:val="00D14A52"/>
    <w:rsid w:val="00D15F13"/>
    <w:rsid w:val="00D16BFE"/>
    <w:rsid w:val="00D16DFF"/>
    <w:rsid w:val="00D170CF"/>
    <w:rsid w:val="00D174C7"/>
    <w:rsid w:val="00D2053F"/>
    <w:rsid w:val="00D20F6C"/>
    <w:rsid w:val="00D21066"/>
    <w:rsid w:val="00D2145C"/>
    <w:rsid w:val="00D223C8"/>
    <w:rsid w:val="00D22F76"/>
    <w:rsid w:val="00D23076"/>
    <w:rsid w:val="00D23C16"/>
    <w:rsid w:val="00D23D4B"/>
    <w:rsid w:val="00D23D8B"/>
    <w:rsid w:val="00D24D6F"/>
    <w:rsid w:val="00D25BA2"/>
    <w:rsid w:val="00D26911"/>
    <w:rsid w:val="00D270BD"/>
    <w:rsid w:val="00D30011"/>
    <w:rsid w:val="00D3035F"/>
    <w:rsid w:val="00D308C9"/>
    <w:rsid w:val="00D30C9B"/>
    <w:rsid w:val="00D32851"/>
    <w:rsid w:val="00D32A2D"/>
    <w:rsid w:val="00D32C80"/>
    <w:rsid w:val="00D32E49"/>
    <w:rsid w:val="00D340E3"/>
    <w:rsid w:val="00D34A56"/>
    <w:rsid w:val="00D351C7"/>
    <w:rsid w:val="00D35BA9"/>
    <w:rsid w:val="00D369F9"/>
    <w:rsid w:val="00D37235"/>
    <w:rsid w:val="00D374AA"/>
    <w:rsid w:val="00D37EEB"/>
    <w:rsid w:val="00D4151F"/>
    <w:rsid w:val="00D41688"/>
    <w:rsid w:val="00D41A11"/>
    <w:rsid w:val="00D41BB9"/>
    <w:rsid w:val="00D41C41"/>
    <w:rsid w:val="00D420A1"/>
    <w:rsid w:val="00D4238C"/>
    <w:rsid w:val="00D438B7"/>
    <w:rsid w:val="00D43A42"/>
    <w:rsid w:val="00D43EA2"/>
    <w:rsid w:val="00D43EEE"/>
    <w:rsid w:val="00D441AD"/>
    <w:rsid w:val="00D446C8"/>
    <w:rsid w:val="00D44766"/>
    <w:rsid w:val="00D44BC9"/>
    <w:rsid w:val="00D44D34"/>
    <w:rsid w:val="00D453A2"/>
    <w:rsid w:val="00D4546D"/>
    <w:rsid w:val="00D45C1D"/>
    <w:rsid w:val="00D465D3"/>
    <w:rsid w:val="00D50235"/>
    <w:rsid w:val="00D50584"/>
    <w:rsid w:val="00D51418"/>
    <w:rsid w:val="00D515F8"/>
    <w:rsid w:val="00D5190B"/>
    <w:rsid w:val="00D51A7D"/>
    <w:rsid w:val="00D51C87"/>
    <w:rsid w:val="00D51FD6"/>
    <w:rsid w:val="00D52249"/>
    <w:rsid w:val="00D52F2C"/>
    <w:rsid w:val="00D532AC"/>
    <w:rsid w:val="00D53F8D"/>
    <w:rsid w:val="00D54024"/>
    <w:rsid w:val="00D54E39"/>
    <w:rsid w:val="00D55536"/>
    <w:rsid w:val="00D55B81"/>
    <w:rsid w:val="00D55ED2"/>
    <w:rsid w:val="00D56E38"/>
    <w:rsid w:val="00D570D3"/>
    <w:rsid w:val="00D57FBD"/>
    <w:rsid w:val="00D597F5"/>
    <w:rsid w:val="00D60324"/>
    <w:rsid w:val="00D60508"/>
    <w:rsid w:val="00D60CFB"/>
    <w:rsid w:val="00D60E25"/>
    <w:rsid w:val="00D61985"/>
    <w:rsid w:val="00D62E35"/>
    <w:rsid w:val="00D62EFF"/>
    <w:rsid w:val="00D63474"/>
    <w:rsid w:val="00D6432E"/>
    <w:rsid w:val="00D64711"/>
    <w:rsid w:val="00D65F4E"/>
    <w:rsid w:val="00D662F7"/>
    <w:rsid w:val="00D6642B"/>
    <w:rsid w:val="00D668ED"/>
    <w:rsid w:val="00D6777A"/>
    <w:rsid w:val="00D67831"/>
    <w:rsid w:val="00D67991"/>
    <w:rsid w:val="00D70B98"/>
    <w:rsid w:val="00D70BBC"/>
    <w:rsid w:val="00D7261D"/>
    <w:rsid w:val="00D72781"/>
    <w:rsid w:val="00D728CE"/>
    <w:rsid w:val="00D72E78"/>
    <w:rsid w:val="00D73B55"/>
    <w:rsid w:val="00D73BE7"/>
    <w:rsid w:val="00D74E61"/>
    <w:rsid w:val="00D75E87"/>
    <w:rsid w:val="00D76282"/>
    <w:rsid w:val="00D772B7"/>
    <w:rsid w:val="00D77443"/>
    <w:rsid w:val="00D77626"/>
    <w:rsid w:val="00D806B1"/>
    <w:rsid w:val="00D8091A"/>
    <w:rsid w:val="00D81021"/>
    <w:rsid w:val="00D822FD"/>
    <w:rsid w:val="00D83040"/>
    <w:rsid w:val="00D8353C"/>
    <w:rsid w:val="00D83D91"/>
    <w:rsid w:val="00D84D80"/>
    <w:rsid w:val="00D865A9"/>
    <w:rsid w:val="00D8744C"/>
    <w:rsid w:val="00D87D28"/>
    <w:rsid w:val="00D87E11"/>
    <w:rsid w:val="00D90020"/>
    <w:rsid w:val="00D90DA0"/>
    <w:rsid w:val="00D9189E"/>
    <w:rsid w:val="00D92FBC"/>
    <w:rsid w:val="00D9423F"/>
    <w:rsid w:val="00D946A9"/>
    <w:rsid w:val="00D948C3"/>
    <w:rsid w:val="00D94C4B"/>
    <w:rsid w:val="00D95157"/>
    <w:rsid w:val="00D95F51"/>
    <w:rsid w:val="00D96906"/>
    <w:rsid w:val="00D96BBD"/>
    <w:rsid w:val="00D97601"/>
    <w:rsid w:val="00D978B3"/>
    <w:rsid w:val="00DA0A3D"/>
    <w:rsid w:val="00DA0C60"/>
    <w:rsid w:val="00DA1A05"/>
    <w:rsid w:val="00DA2143"/>
    <w:rsid w:val="00DA2A00"/>
    <w:rsid w:val="00DA2A0F"/>
    <w:rsid w:val="00DA3337"/>
    <w:rsid w:val="00DA37F3"/>
    <w:rsid w:val="00DA3AEC"/>
    <w:rsid w:val="00DA4ACD"/>
    <w:rsid w:val="00DA5F93"/>
    <w:rsid w:val="00DA6405"/>
    <w:rsid w:val="00DA6B3E"/>
    <w:rsid w:val="00DA7343"/>
    <w:rsid w:val="00DA7B41"/>
    <w:rsid w:val="00DB0702"/>
    <w:rsid w:val="00DB08CE"/>
    <w:rsid w:val="00DB0A8B"/>
    <w:rsid w:val="00DB1201"/>
    <w:rsid w:val="00DB1718"/>
    <w:rsid w:val="00DB1CCE"/>
    <w:rsid w:val="00DB30C7"/>
    <w:rsid w:val="00DB4015"/>
    <w:rsid w:val="00DB43AF"/>
    <w:rsid w:val="00DB455C"/>
    <w:rsid w:val="00DB4EC5"/>
    <w:rsid w:val="00DB515D"/>
    <w:rsid w:val="00DB52EC"/>
    <w:rsid w:val="00DB56FB"/>
    <w:rsid w:val="00DB5D30"/>
    <w:rsid w:val="00DB619F"/>
    <w:rsid w:val="00DB6442"/>
    <w:rsid w:val="00DB698E"/>
    <w:rsid w:val="00DB6BBC"/>
    <w:rsid w:val="00DB6F2C"/>
    <w:rsid w:val="00DB77B3"/>
    <w:rsid w:val="00DB7C07"/>
    <w:rsid w:val="00DB7CCF"/>
    <w:rsid w:val="00DB7D98"/>
    <w:rsid w:val="00DC024C"/>
    <w:rsid w:val="00DC061A"/>
    <w:rsid w:val="00DC1C76"/>
    <w:rsid w:val="00DC1DBC"/>
    <w:rsid w:val="00DC2DDD"/>
    <w:rsid w:val="00DC2F70"/>
    <w:rsid w:val="00DC4E9B"/>
    <w:rsid w:val="00DC521A"/>
    <w:rsid w:val="00DC528F"/>
    <w:rsid w:val="00DC5CF5"/>
    <w:rsid w:val="00DC6449"/>
    <w:rsid w:val="00DC6D1F"/>
    <w:rsid w:val="00DC6EA8"/>
    <w:rsid w:val="00DC7223"/>
    <w:rsid w:val="00DC740A"/>
    <w:rsid w:val="00DC78E6"/>
    <w:rsid w:val="00DC7B4A"/>
    <w:rsid w:val="00DC7D11"/>
    <w:rsid w:val="00DD0CCC"/>
    <w:rsid w:val="00DD14A8"/>
    <w:rsid w:val="00DD16ED"/>
    <w:rsid w:val="00DD20A9"/>
    <w:rsid w:val="00DD25B3"/>
    <w:rsid w:val="00DD3C70"/>
    <w:rsid w:val="00DD4297"/>
    <w:rsid w:val="00DD59C3"/>
    <w:rsid w:val="00DD6870"/>
    <w:rsid w:val="00DD6A00"/>
    <w:rsid w:val="00DD6CA5"/>
    <w:rsid w:val="00DD7387"/>
    <w:rsid w:val="00DE02B9"/>
    <w:rsid w:val="00DE0502"/>
    <w:rsid w:val="00DE1C50"/>
    <w:rsid w:val="00DE1C6B"/>
    <w:rsid w:val="00DE2904"/>
    <w:rsid w:val="00DE2D36"/>
    <w:rsid w:val="00DE2F52"/>
    <w:rsid w:val="00DE3D7E"/>
    <w:rsid w:val="00DE42EB"/>
    <w:rsid w:val="00DE50DD"/>
    <w:rsid w:val="00DE5D53"/>
    <w:rsid w:val="00DE631C"/>
    <w:rsid w:val="00DE6676"/>
    <w:rsid w:val="00DE6DE4"/>
    <w:rsid w:val="00DE7214"/>
    <w:rsid w:val="00DF073A"/>
    <w:rsid w:val="00DF0CCD"/>
    <w:rsid w:val="00DF12C5"/>
    <w:rsid w:val="00DF2E7B"/>
    <w:rsid w:val="00DF35CC"/>
    <w:rsid w:val="00DF3BAC"/>
    <w:rsid w:val="00DF3D17"/>
    <w:rsid w:val="00DF4275"/>
    <w:rsid w:val="00DF49FB"/>
    <w:rsid w:val="00DF4B81"/>
    <w:rsid w:val="00DF4E87"/>
    <w:rsid w:val="00DF533D"/>
    <w:rsid w:val="00DF609B"/>
    <w:rsid w:val="00DF62F4"/>
    <w:rsid w:val="00DF7932"/>
    <w:rsid w:val="00DF7CB5"/>
    <w:rsid w:val="00E00B8A"/>
    <w:rsid w:val="00E00E91"/>
    <w:rsid w:val="00E018ED"/>
    <w:rsid w:val="00E01B0D"/>
    <w:rsid w:val="00E01C40"/>
    <w:rsid w:val="00E01C5F"/>
    <w:rsid w:val="00E02127"/>
    <w:rsid w:val="00E02388"/>
    <w:rsid w:val="00E024D8"/>
    <w:rsid w:val="00E03E75"/>
    <w:rsid w:val="00E05637"/>
    <w:rsid w:val="00E05928"/>
    <w:rsid w:val="00E05A00"/>
    <w:rsid w:val="00E063DE"/>
    <w:rsid w:val="00E06E55"/>
    <w:rsid w:val="00E070FA"/>
    <w:rsid w:val="00E070FE"/>
    <w:rsid w:val="00E07A65"/>
    <w:rsid w:val="00E07B76"/>
    <w:rsid w:val="00E07E65"/>
    <w:rsid w:val="00E10207"/>
    <w:rsid w:val="00E106E5"/>
    <w:rsid w:val="00E1158D"/>
    <w:rsid w:val="00E12115"/>
    <w:rsid w:val="00E12330"/>
    <w:rsid w:val="00E12BCB"/>
    <w:rsid w:val="00E13424"/>
    <w:rsid w:val="00E134F3"/>
    <w:rsid w:val="00E13ED9"/>
    <w:rsid w:val="00E150DF"/>
    <w:rsid w:val="00E1546F"/>
    <w:rsid w:val="00E17840"/>
    <w:rsid w:val="00E178D8"/>
    <w:rsid w:val="00E20428"/>
    <w:rsid w:val="00E20FDA"/>
    <w:rsid w:val="00E214DB"/>
    <w:rsid w:val="00E22213"/>
    <w:rsid w:val="00E2223C"/>
    <w:rsid w:val="00E233AD"/>
    <w:rsid w:val="00E236F1"/>
    <w:rsid w:val="00E236FF"/>
    <w:rsid w:val="00E23C58"/>
    <w:rsid w:val="00E2428D"/>
    <w:rsid w:val="00E24293"/>
    <w:rsid w:val="00E24465"/>
    <w:rsid w:val="00E24BE5"/>
    <w:rsid w:val="00E25C3B"/>
    <w:rsid w:val="00E26030"/>
    <w:rsid w:val="00E26450"/>
    <w:rsid w:val="00E30045"/>
    <w:rsid w:val="00E307A0"/>
    <w:rsid w:val="00E30C91"/>
    <w:rsid w:val="00E317DB"/>
    <w:rsid w:val="00E338B9"/>
    <w:rsid w:val="00E35ACF"/>
    <w:rsid w:val="00E35D0E"/>
    <w:rsid w:val="00E35D58"/>
    <w:rsid w:val="00E367E2"/>
    <w:rsid w:val="00E36994"/>
    <w:rsid w:val="00E3711A"/>
    <w:rsid w:val="00E37DF5"/>
    <w:rsid w:val="00E40860"/>
    <w:rsid w:val="00E408A2"/>
    <w:rsid w:val="00E40B22"/>
    <w:rsid w:val="00E40DF4"/>
    <w:rsid w:val="00E423DB"/>
    <w:rsid w:val="00E4269F"/>
    <w:rsid w:val="00E43041"/>
    <w:rsid w:val="00E434A7"/>
    <w:rsid w:val="00E43C4A"/>
    <w:rsid w:val="00E43DF6"/>
    <w:rsid w:val="00E43FD6"/>
    <w:rsid w:val="00E45894"/>
    <w:rsid w:val="00E45EFD"/>
    <w:rsid w:val="00E4604F"/>
    <w:rsid w:val="00E46169"/>
    <w:rsid w:val="00E46765"/>
    <w:rsid w:val="00E46D9F"/>
    <w:rsid w:val="00E47475"/>
    <w:rsid w:val="00E5072A"/>
    <w:rsid w:val="00E5097D"/>
    <w:rsid w:val="00E52770"/>
    <w:rsid w:val="00E52E57"/>
    <w:rsid w:val="00E531DC"/>
    <w:rsid w:val="00E53821"/>
    <w:rsid w:val="00E54016"/>
    <w:rsid w:val="00E5479A"/>
    <w:rsid w:val="00E54A01"/>
    <w:rsid w:val="00E561C3"/>
    <w:rsid w:val="00E5620D"/>
    <w:rsid w:val="00E56649"/>
    <w:rsid w:val="00E56EE2"/>
    <w:rsid w:val="00E578AD"/>
    <w:rsid w:val="00E6075F"/>
    <w:rsid w:val="00E61A64"/>
    <w:rsid w:val="00E61E2D"/>
    <w:rsid w:val="00E645F6"/>
    <w:rsid w:val="00E650F7"/>
    <w:rsid w:val="00E655C6"/>
    <w:rsid w:val="00E659F8"/>
    <w:rsid w:val="00E65DFC"/>
    <w:rsid w:val="00E678DB"/>
    <w:rsid w:val="00E71E08"/>
    <w:rsid w:val="00E72BBF"/>
    <w:rsid w:val="00E72F80"/>
    <w:rsid w:val="00E7323F"/>
    <w:rsid w:val="00E74231"/>
    <w:rsid w:val="00E7436E"/>
    <w:rsid w:val="00E7499F"/>
    <w:rsid w:val="00E74AA7"/>
    <w:rsid w:val="00E753CD"/>
    <w:rsid w:val="00E767A7"/>
    <w:rsid w:val="00E76C3A"/>
    <w:rsid w:val="00E77849"/>
    <w:rsid w:val="00E77CB0"/>
    <w:rsid w:val="00E808C9"/>
    <w:rsid w:val="00E814DE"/>
    <w:rsid w:val="00E81756"/>
    <w:rsid w:val="00E82874"/>
    <w:rsid w:val="00E82A67"/>
    <w:rsid w:val="00E82CC5"/>
    <w:rsid w:val="00E83EF5"/>
    <w:rsid w:val="00E841C6"/>
    <w:rsid w:val="00E8662E"/>
    <w:rsid w:val="00E87CDF"/>
    <w:rsid w:val="00E9098C"/>
    <w:rsid w:val="00E916BC"/>
    <w:rsid w:val="00E91A2F"/>
    <w:rsid w:val="00E91D57"/>
    <w:rsid w:val="00E9208B"/>
    <w:rsid w:val="00E92331"/>
    <w:rsid w:val="00E92835"/>
    <w:rsid w:val="00E928CF"/>
    <w:rsid w:val="00E932C0"/>
    <w:rsid w:val="00E936E5"/>
    <w:rsid w:val="00E941A1"/>
    <w:rsid w:val="00E94963"/>
    <w:rsid w:val="00E96018"/>
    <w:rsid w:val="00E96EF8"/>
    <w:rsid w:val="00E97114"/>
    <w:rsid w:val="00E971EB"/>
    <w:rsid w:val="00E97505"/>
    <w:rsid w:val="00EA0C27"/>
    <w:rsid w:val="00EA0EA3"/>
    <w:rsid w:val="00EA1252"/>
    <w:rsid w:val="00EA1758"/>
    <w:rsid w:val="00EA1A74"/>
    <w:rsid w:val="00EA2B7D"/>
    <w:rsid w:val="00EA2BD9"/>
    <w:rsid w:val="00EA3701"/>
    <w:rsid w:val="00EA3919"/>
    <w:rsid w:val="00EA3E05"/>
    <w:rsid w:val="00EA44BC"/>
    <w:rsid w:val="00EA4A08"/>
    <w:rsid w:val="00EA53F4"/>
    <w:rsid w:val="00EA5532"/>
    <w:rsid w:val="00EA728A"/>
    <w:rsid w:val="00EA7639"/>
    <w:rsid w:val="00EB0115"/>
    <w:rsid w:val="00EB01D5"/>
    <w:rsid w:val="00EB0A76"/>
    <w:rsid w:val="00EB1C0F"/>
    <w:rsid w:val="00EB2D05"/>
    <w:rsid w:val="00EB434A"/>
    <w:rsid w:val="00EB4D30"/>
    <w:rsid w:val="00EB540F"/>
    <w:rsid w:val="00EB5A26"/>
    <w:rsid w:val="00EB638F"/>
    <w:rsid w:val="00EB67C9"/>
    <w:rsid w:val="00EB6F18"/>
    <w:rsid w:val="00EB74EA"/>
    <w:rsid w:val="00EB7C9E"/>
    <w:rsid w:val="00EB7D81"/>
    <w:rsid w:val="00EC0A03"/>
    <w:rsid w:val="00EC1983"/>
    <w:rsid w:val="00EC1F29"/>
    <w:rsid w:val="00EC378B"/>
    <w:rsid w:val="00EC4C58"/>
    <w:rsid w:val="00EC4C8A"/>
    <w:rsid w:val="00EC4DCF"/>
    <w:rsid w:val="00EC4EF6"/>
    <w:rsid w:val="00EC5DC4"/>
    <w:rsid w:val="00EC65AD"/>
    <w:rsid w:val="00EC6639"/>
    <w:rsid w:val="00EC6B76"/>
    <w:rsid w:val="00EC6E40"/>
    <w:rsid w:val="00EC70BB"/>
    <w:rsid w:val="00EC7624"/>
    <w:rsid w:val="00EC7A04"/>
    <w:rsid w:val="00EC7D83"/>
    <w:rsid w:val="00ED0D27"/>
    <w:rsid w:val="00ED103B"/>
    <w:rsid w:val="00ED16B6"/>
    <w:rsid w:val="00ED1F81"/>
    <w:rsid w:val="00ED2696"/>
    <w:rsid w:val="00ED3113"/>
    <w:rsid w:val="00ED3504"/>
    <w:rsid w:val="00ED35F5"/>
    <w:rsid w:val="00ED396B"/>
    <w:rsid w:val="00ED3D56"/>
    <w:rsid w:val="00ED46B2"/>
    <w:rsid w:val="00ED4792"/>
    <w:rsid w:val="00ED4AC7"/>
    <w:rsid w:val="00ED5165"/>
    <w:rsid w:val="00ED568E"/>
    <w:rsid w:val="00ED595E"/>
    <w:rsid w:val="00ED5A1B"/>
    <w:rsid w:val="00ED5BF4"/>
    <w:rsid w:val="00ED677B"/>
    <w:rsid w:val="00ED6E84"/>
    <w:rsid w:val="00ED7263"/>
    <w:rsid w:val="00ED7528"/>
    <w:rsid w:val="00ED76B0"/>
    <w:rsid w:val="00EE01C3"/>
    <w:rsid w:val="00EE0BBB"/>
    <w:rsid w:val="00EE19AA"/>
    <w:rsid w:val="00EE2231"/>
    <w:rsid w:val="00EE239B"/>
    <w:rsid w:val="00EE25F2"/>
    <w:rsid w:val="00EE2BB8"/>
    <w:rsid w:val="00EE3B1A"/>
    <w:rsid w:val="00EE4031"/>
    <w:rsid w:val="00EE443D"/>
    <w:rsid w:val="00EE46B7"/>
    <w:rsid w:val="00EE47A0"/>
    <w:rsid w:val="00EE4F42"/>
    <w:rsid w:val="00EE51E9"/>
    <w:rsid w:val="00EE52FA"/>
    <w:rsid w:val="00EE690F"/>
    <w:rsid w:val="00EF00D5"/>
    <w:rsid w:val="00EF0633"/>
    <w:rsid w:val="00EF0915"/>
    <w:rsid w:val="00EF0A0F"/>
    <w:rsid w:val="00EF0D55"/>
    <w:rsid w:val="00EF2204"/>
    <w:rsid w:val="00EF2891"/>
    <w:rsid w:val="00EF2A57"/>
    <w:rsid w:val="00EF2CDB"/>
    <w:rsid w:val="00EF3037"/>
    <w:rsid w:val="00EF308E"/>
    <w:rsid w:val="00EF3914"/>
    <w:rsid w:val="00EF4257"/>
    <w:rsid w:val="00EF4A31"/>
    <w:rsid w:val="00EF64C5"/>
    <w:rsid w:val="00EF6CEF"/>
    <w:rsid w:val="00EF702D"/>
    <w:rsid w:val="00EF73F0"/>
    <w:rsid w:val="00EF75F6"/>
    <w:rsid w:val="00EF798A"/>
    <w:rsid w:val="00F0143E"/>
    <w:rsid w:val="00F02310"/>
    <w:rsid w:val="00F02D1E"/>
    <w:rsid w:val="00F03FD1"/>
    <w:rsid w:val="00F044AC"/>
    <w:rsid w:val="00F05115"/>
    <w:rsid w:val="00F058E6"/>
    <w:rsid w:val="00F05F29"/>
    <w:rsid w:val="00F06529"/>
    <w:rsid w:val="00F069C0"/>
    <w:rsid w:val="00F0709A"/>
    <w:rsid w:val="00F07596"/>
    <w:rsid w:val="00F1097E"/>
    <w:rsid w:val="00F10A8F"/>
    <w:rsid w:val="00F110D7"/>
    <w:rsid w:val="00F11448"/>
    <w:rsid w:val="00F114CB"/>
    <w:rsid w:val="00F115D9"/>
    <w:rsid w:val="00F118F0"/>
    <w:rsid w:val="00F123E3"/>
    <w:rsid w:val="00F13054"/>
    <w:rsid w:val="00F13CEB"/>
    <w:rsid w:val="00F149B4"/>
    <w:rsid w:val="00F14DFB"/>
    <w:rsid w:val="00F1545D"/>
    <w:rsid w:val="00F158F9"/>
    <w:rsid w:val="00F1613C"/>
    <w:rsid w:val="00F16736"/>
    <w:rsid w:val="00F179E2"/>
    <w:rsid w:val="00F20B66"/>
    <w:rsid w:val="00F21A0F"/>
    <w:rsid w:val="00F222ED"/>
    <w:rsid w:val="00F23816"/>
    <w:rsid w:val="00F24503"/>
    <w:rsid w:val="00F2456C"/>
    <w:rsid w:val="00F24996"/>
    <w:rsid w:val="00F25A2D"/>
    <w:rsid w:val="00F2623B"/>
    <w:rsid w:val="00F2652C"/>
    <w:rsid w:val="00F26C97"/>
    <w:rsid w:val="00F309F6"/>
    <w:rsid w:val="00F30E8F"/>
    <w:rsid w:val="00F316C3"/>
    <w:rsid w:val="00F317E3"/>
    <w:rsid w:val="00F326D8"/>
    <w:rsid w:val="00F32ACF"/>
    <w:rsid w:val="00F32FBA"/>
    <w:rsid w:val="00F352E0"/>
    <w:rsid w:val="00F36070"/>
    <w:rsid w:val="00F3730D"/>
    <w:rsid w:val="00F37BCA"/>
    <w:rsid w:val="00F4028D"/>
    <w:rsid w:val="00F4059B"/>
    <w:rsid w:val="00F4079C"/>
    <w:rsid w:val="00F41374"/>
    <w:rsid w:val="00F41717"/>
    <w:rsid w:val="00F41920"/>
    <w:rsid w:val="00F4229F"/>
    <w:rsid w:val="00F4282D"/>
    <w:rsid w:val="00F4309D"/>
    <w:rsid w:val="00F430D3"/>
    <w:rsid w:val="00F43547"/>
    <w:rsid w:val="00F438EB"/>
    <w:rsid w:val="00F44687"/>
    <w:rsid w:val="00F44B84"/>
    <w:rsid w:val="00F450B8"/>
    <w:rsid w:val="00F4563D"/>
    <w:rsid w:val="00F45913"/>
    <w:rsid w:val="00F45AEC"/>
    <w:rsid w:val="00F46840"/>
    <w:rsid w:val="00F46BCB"/>
    <w:rsid w:val="00F46F64"/>
    <w:rsid w:val="00F476FA"/>
    <w:rsid w:val="00F47CD7"/>
    <w:rsid w:val="00F50500"/>
    <w:rsid w:val="00F5062D"/>
    <w:rsid w:val="00F50A84"/>
    <w:rsid w:val="00F51281"/>
    <w:rsid w:val="00F5144E"/>
    <w:rsid w:val="00F51F8B"/>
    <w:rsid w:val="00F529AF"/>
    <w:rsid w:val="00F52D79"/>
    <w:rsid w:val="00F53430"/>
    <w:rsid w:val="00F539F8"/>
    <w:rsid w:val="00F53D1C"/>
    <w:rsid w:val="00F54103"/>
    <w:rsid w:val="00F548E9"/>
    <w:rsid w:val="00F55AE1"/>
    <w:rsid w:val="00F55EC2"/>
    <w:rsid w:val="00F5625D"/>
    <w:rsid w:val="00F56B6C"/>
    <w:rsid w:val="00F5713F"/>
    <w:rsid w:val="00F572F1"/>
    <w:rsid w:val="00F57528"/>
    <w:rsid w:val="00F57A22"/>
    <w:rsid w:val="00F57EE4"/>
    <w:rsid w:val="00F6186F"/>
    <w:rsid w:val="00F61CE9"/>
    <w:rsid w:val="00F62336"/>
    <w:rsid w:val="00F62FD4"/>
    <w:rsid w:val="00F630FF"/>
    <w:rsid w:val="00F634F9"/>
    <w:rsid w:val="00F638FE"/>
    <w:rsid w:val="00F63E46"/>
    <w:rsid w:val="00F6463C"/>
    <w:rsid w:val="00F647A5"/>
    <w:rsid w:val="00F64A84"/>
    <w:rsid w:val="00F6500D"/>
    <w:rsid w:val="00F65B5F"/>
    <w:rsid w:val="00F66035"/>
    <w:rsid w:val="00F663F6"/>
    <w:rsid w:val="00F67136"/>
    <w:rsid w:val="00F679D9"/>
    <w:rsid w:val="00F67A6A"/>
    <w:rsid w:val="00F705C8"/>
    <w:rsid w:val="00F70C26"/>
    <w:rsid w:val="00F70CD2"/>
    <w:rsid w:val="00F7128B"/>
    <w:rsid w:val="00F71B58"/>
    <w:rsid w:val="00F7221D"/>
    <w:rsid w:val="00F72721"/>
    <w:rsid w:val="00F72C6C"/>
    <w:rsid w:val="00F72F42"/>
    <w:rsid w:val="00F72FB4"/>
    <w:rsid w:val="00F73325"/>
    <w:rsid w:val="00F74FBC"/>
    <w:rsid w:val="00F755CB"/>
    <w:rsid w:val="00F769B5"/>
    <w:rsid w:val="00F7745A"/>
    <w:rsid w:val="00F77464"/>
    <w:rsid w:val="00F7755A"/>
    <w:rsid w:val="00F775D6"/>
    <w:rsid w:val="00F77E71"/>
    <w:rsid w:val="00F8025C"/>
    <w:rsid w:val="00F8048C"/>
    <w:rsid w:val="00F80D28"/>
    <w:rsid w:val="00F81EFE"/>
    <w:rsid w:val="00F8226E"/>
    <w:rsid w:val="00F84EDC"/>
    <w:rsid w:val="00F856AF"/>
    <w:rsid w:val="00F8601B"/>
    <w:rsid w:val="00F86C88"/>
    <w:rsid w:val="00F876EE"/>
    <w:rsid w:val="00F90146"/>
    <w:rsid w:val="00F90713"/>
    <w:rsid w:val="00F9102D"/>
    <w:rsid w:val="00F91A86"/>
    <w:rsid w:val="00F92781"/>
    <w:rsid w:val="00F92E7F"/>
    <w:rsid w:val="00F92F22"/>
    <w:rsid w:val="00F930AF"/>
    <w:rsid w:val="00F9471C"/>
    <w:rsid w:val="00F94B67"/>
    <w:rsid w:val="00F968E7"/>
    <w:rsid w:val="00F96EE8"/>
    <w:rsid w:val="00F96F5A"/>
    <w:rsid w:val="00F976BE"/>
    <w:rsid w:val="00FA00AB"/>
    <w:rsid w:val="00FA133D"/>
    <w:rsid w:val="00FA15B0"/>
    <w:rsid w:val="00FA2FAB"/>
    <w:rsid w:val="00FA431D"/>
    <w:rsid w:val="00FA4724"/>
    <w:rsid w:val="00FA5025"/>
    <w:rsid w:val="00FA596F"/>
    <w:rsid w:val="00FA60BB"/>
    <w:rsid w:val="00FA666E"/>
    <w:rsid w:val="00FA68E2"/>
    <w:rsid w:val="00FA7A69"/>
    <w:rsid w:val="00FB02B3"/>
    <w:rsid w:val="00FB0512"/>
    <w:rsid w:val="00FB0627"/>
    <w:rsid w:val="00FB0ED4"/>
    <w:rsid w:val="00FB156F"/>
    <w:rsid w:val="00FB16E5"/>
    <w:rsid w:val="00FB2342"/>
    <w:rsid w:val="00FB2963"/>
    <w:rsid w:val="00FB3AB9"/>
    <w:rsid w:val="00FB409C"/>
    <w:rsid w:val="00FB4515"/>
    <w:rsid w:val="00FB4C86"/>
    <w:rsid w:val="00FB52C9"/>
    <w:rsid w:val="00FB542B"/>
    <w:rsid w:val="00FB57BF"/>
    <w:rsid w:val="00FB64E2"/>
    <w:rsid w:val="00FB6529"/>
    <w:rsid w:val="00FB6A93"/>
    <w:rsid w:val="00FB6ABB"/>
    <w:rsid w:val="00FB70A3"/>
    <w:rsid w:val="00FB75B0"/>
    <w:rsid w:val="00FB7672"/>
    <w:rsid w:val="00FC021C"/>
    <w:rsid w:val="00FC06F2"/>
    <w:rsid w:val="00FC1C57"/>
    <w:rsid w:val="00FC2DE4"/>
    <w:rsid w:val="00FC32D0"/>
    <w:rsid w:val="00FC366A"/>
    <w:rsid w:val="00FC3B46"/>
    <w:rsid w:val="00FC3DEE"/>
    <w:rsid w:val="00FC3E50"/>
    <w:rsid w:val="00FC48C3"/>
    <w:rsid w:val="00FC5090"/>
    <w:rsid w:val="00FC537E"/>
    <w:rsid w:val="00FC5498"/>
    <w:rsid w:val="00FC5843"/>
    <w:rsid w:val="00FC6263"/>
    <w:rsid w:val="00FC6372"/>
    <w:rsid w:val="00FC6ADC"/>
    <w:rsid w:val="00FC6E14"/>
    <w:rsid w:val="00FC7CA4"/>
    <w:rsid w:val="00FC7D19"/>
    <w:rsid w:val="00FD029E"/>
    <w:rsid w:val="00FD0D35"/>
    <w:rsid w:val="00FD2137"/>
    <w:rsid w:val="00FD2473"/>
    <w:rsid w:val="00FD2663"/>
    <w:rsid w:val="00FD2C4F"/>
    <w:rsid w:val="00FD436F"/>
    <w:rsid w:val="00FD4AB4"/>
    <w:rsid w:val="00FD574D"/>
    <w:rsid w:val="00FD5979"/>
    <w:rsid w:val="00FD59E0"/>
    <w:rsid w:val="00FD5C71"/>
    <w:rsid w:val="00FD6E60"/>
    <w:rsid w:val="00FD7206"/>
    <w:rsid w:val="00FD7310"/>
    <w:rsid w:val="00FE193A"/>
    <w:rsid w:val="00FE1BFB"/>
    <w:rsid w:val="00FE1C7D"/>
    <w:rsid w:val="00FE1DE6"/>
    <w:rsid w:val="00FE293D"/>
    <w:rsid w:val="00FE2BC5"/>
    <w:rsid w:val="00FE314C"/>
    <w:rsid w:val="00FE4005"/>
    <w:rsid w:val="00FE41C1"/>
    <w:rsid w:val="00FE4234"/>
    <w:rsid w:val="00FE510D"/>
    <w:rsid w:val="00FE595B"/>
    <w:rsid w:val="00FE5987"/>
    <w:rsid w:val="00FE59FB"/>
    <w:rsid w:val="00FE629A"/>
    <w:rsid w:val="00FE6496"/>
    <w:rsid w:val="00FE6BBF"/>
    <w:rsid w:val="00FE6C44"/>
    <w:rsid w:val="00FE6CAC"/>
    <w:rsid w:val="00FE6D3E"/>
    <w:rsid w:val="00FE6F97"/>
    <w:rsid w:val="00FE7ABE"/>
    <w:rsid w:val="00FE7F87"/>
    <w:rsid w:val="00FF0311"/>
    <w:rsid w:val="00FF0523"/>
    <w:rsid w:val="00FF0E01"/>
    <w:rsid w:val="00FF1104"/>
    <w:rsid w:val="00FF20FF"/>
    <w:rsid w:val="00FF2537"/>
    <w:rsid w:val="00FF2D9B"/>
    <w:rsid w:val="00FF428B"/>
    <w:rsid w:val="00FF4597"/>
    <w:rsid w:val="00FF4AFC"/>
    <w:rsid w:val="00FF4B20"/>
    <w:rsid w:val="00FF5754"/>
    <w:rsid w:val="00FF5C2A"/>
    <w:rsid w:val="00FF6B2D"/>
    <w:rsid w:val="00FF72FC"/>
    <w:rsid w:val="00FF7881"/>
    <w:rsid w:val="011491F2"/>
    <w:rsid w:val="01465F95"/>
    <w:rsid w:val="019FC48D"/>
    <w:rsid w:val="01C21E9D"/>
    <w:rsid w:val="01CCB770"/>
    <w:rsid w:val="01F378BD"/>
    <w:rsid w:val="020431D4"/>
    <w:rsid w:val="0204B5EF"/>
    <w:rsid w:val="02960000"/>
    <w:rsid w:val="02A3F70C"/>
    <w:rsid w:val="02C398D9"/>
    <w:rsid w:val="02D13D25"/>
    <w:rsid w:val="02EDC7CB"/>
    <w:rsid w:val="02FCF55E"/>
    <w:rsid w:val="0313095F"/>
    <w:rsid w:val="0325DE52"/>
    <w:rsid w:val="0338B50C"/>
    <w:rsid w:val="0346DB17"/>
    <w:rsid w:val="036414A2"/>
    <w:rsid w:val="038F5ED6"/>
    <w:rsid w:val="03DADCB0"/>
    <w:rsid w:val="03DB4618"/>
    <w:rsid w:val="03FDFF56"/>
    <w:rsid w:val="040ABF72"/>
    <w:rsid w:val="042C8C62"/>
    <w:rsid w:val="04384170"/>
    <w:rsid w:val="043D3CA4"/>
    <w:rsid w:val="04508F9E"/>
    <w:rsid w:val="0452B793"/>
    <w:rsid w:val="046B28FF"/>
    <w:rsid w:val="046B2FA3"/>
    <w:rsid w:val="0486DB93"/>
    <w:rsid w:val="04F2E01E"/>
    <w:rsid w:val="05229740"/>
    <w:rsid w:val="053B48AB"/>
    <w:rsid w:val="053C56B1"/>
    <w:rsid w:val="054BB4E1"/>
    <w:rsid w:val="054DBB3A"/>
    <w:rsid w:val="055DDF1F"/>
    <w:rsid w:val="05C7378F"/>
    <w:rsid w:val="0627116D"/>
    <w:rsid w:val="0643F503"/>
    <w:rsid w:val="0653ED5E"/>
    <w:rsid w:val="06638794"/>
    <w:rsid w:val="066A52B3"/>
    <w:rsid w:val="067330A7"/>
    <w:rsid w:val="06C35789"/>
    <w:rsid w:val="06EF9E34"/>
    <w:rsid w:val="06F203E1"/>
    <w:rsid w:val="06F27540"/>
    <w:rsid w:val="071291A4"/>
    <w:rsid w:val="073D03F9"/>
    <w:rsid w:val="0740A1D3"/>
    <w:rsid w:val="074E8ACE"/>
    <w:rsid w:val="07523EB5"/>
    <w:rsid w:val="07579140"/>
    <w:rsid w:val="0759C60C"/>
    <w:rsid w:val="0787BE83"/>
    <w:rsid w:val="07B4E061"/>
    <w:rsid w:val="07F00C2E"/>
    <w:rsid w:val="07F79DB2"/>
    <w:rsid w:val="07F98AFE"/>
    <w:rsid w:val="086B599B"/>
    <w:rsid w:val="0871DB7A"/>
    <w:rsid w:val="08B397E0"/>
    <w:rsid w:val="08C52AAF"/>
    <w:rsid w:val="08F0037E"/>
    <w:rsid w:val="08F506C4"/>
    <w:rsid w:val="09096568"/>
    <w:rsid w:val="0926A2E0"/>
    <w:rsid w:val="093568A2"/>
    <w:rsid w:val="0938B4D4"/>
    <w:rsid w:val="093EB3C6"/>
    <w:rsid w:val="095FD6F1"/>
    <w:rsid w:val="098F7994"/>
    <w:rsid w:val="09C66197"/>
    <w:rsid w:val="09E9F0E3"/>
    <w:rsid w:val="09FBDDD3"/>
    <w:rsid w:val="0A074035"/>
    <w:rsid w:val="0A0ABC70"/>
    <w:rsid w:val="0A39BE17"/>
    <w:rsid w:val="0A3BB6BB"/>
    <w:rsid w:val="0A48DFB2"/>
    <w:rsid w:val="0A60E2D2"/>
    <w:rsid w:val="0A9CEFB7"/>
    <w:rsid w:val="0AADABE6"/>
    <w:rsid w:val="0AEF1911"/>
    <w:rsid w:val="0AF5E458"/>
    <w:rsid w:val="0B9C6057"/>
    <w:rsid w:val="0BBA2F33"/>
    <w:rsid w:val="0BCCDF2F"/>
    <w:rsid w:val="0BCD7172"/>
    <w:rsid w:val="0BFBF797"/>
    <w:rsid w:val="0BFC199D"/>
    <w:rsid w:val="0C015C35"/>
    <w:rsid w:val="0C7BC8EC"/>
    <w:rsid w:val="0CB16962"/>
    <w:rsid w:val="0CF1E1A5"/>
    <w:rsid w:val="0CF25AB5"/>
    <w:rsid w:val="0D3CCE8E"/>
    <w:rsid w:val="0D4CEE0C"/>
    <w:rsid w:val="0D5339D6"/>
    <w:rsid w:val="0D59A91A"/>
    <w:rsid w:val="0DAAC7C1"/>
    <w:rsid w:val="0DE217C8"/>
    <w:rsid w:val="0DEDA953"/>
    <w:rsid w:val="0E1D3EAE"/>
    <w:rsid w:val="0E322352"/>
    <w:rsid w:val="0E3625A0"/>
    <w:rsid w:val="0E43CB38"/>
    <w:rsid w:val="0E8EC4F1"/>
    <w:rsid w:val="0EAD83E9"/>
    <w:rsid w:val="0EC0FA15"/>
    <w:rsid w:val="0F069B70"/>
    <w:rsid w:val="0F105140"/>
    <w:rsid w:val="0F201C09"/>
    <w:rsid w:val="0F38C256"/>
    <w:rsid w:val="0F398C46"/>
    <w:rsid w:val="0F39DAF7"/>
    <w:rsid w:val="0F7B5F8D"/>
    <w:rsid w:val="0FBA107C"/>
    <w:rsid w:val="0FBBF5AE"/>
    <w:rsid w:val="0FC06F9F"/>
    <w:rsid w:val="103386AF"/>
    <w:rsid w:val="1034E861"/>
    <w:rsid w:val="1071AEB0"/>
    <w:rsid w:val="1082BED9"/>
    <w:rsid w:val="1099403B"/>
    <w:rsid w:val="10DE71AF"/>
    <w:rsid w:val="10EF1C7C"/>
    <w:rsid w:val="11220AB7"/>
    <w:rsid w:val="112767D0"/>
    <w:rsid w:val="1138AEE0"/>
    <w:rsid w:val="113BEDCF"/>
    <w:rsid w:val="11CF6B03"/>
    <w:rsid w:val="11F48E0D"/>
    <w:rsid w:val="122301A8"/>
    <w:rsid w:val="122BE1ED"/>
    <w:rsid w:val="122C82C5"/>
    <w:rsid w:val="125BEA97"/>
    <w:rsid w:val="12D72704"/>
    <w:rsid w:val="12D7F3E4"/>
    <w:rsid w:val="12EE3726"/>
    <w:rsid w:val="12F9EFA2"/>
    <w:rsid w:val="131B8A02"/>
    <w:rsid w:val="13243C26"/>
    <w:rsid w:val="1332CF60"/>
    <w:rsid w:val="13732B93"/>
    <w:rsid w:val="140743A4"/>
    <w:rsid w:val="1434512A"/>
    <w:rsid w:val="1437BA47"/>
    <w:rsid w:val="143C5E47"/>
    <w:rsid w:val="14502A5C"/>
    <w:rsid w:val="14ABEBC8"/>
    <w:rsid w:val="14B64255"/>
    <w:rsid w:val="14BCF85D"/>
    <w:rsid w:val="14FBE65E"/>
    <w:rsid w:val="152D0971"/>
    <w:rsid w:val="155641B4"/>
    <w:rsid w:val="16154C70"/>
    <w:rsid w:val="1658E731"/>
    <w:rsid w:val="16598616"/>
    <w:rsid w:val="166A338D"/>
    <w:rsid w:val="166DC0B2"/>
    <w:rsid w:val="1677BE44"/>
    <w:rsid w:val="168F603D"/>
    <w:rsid w:val="168FFCBF"/>
    <w:rsid w:val="16A9DCBE"/>
    <w:rsid w:val="16AD1E26"/>
    <w:rsid w:val="16BA35B0"/>
    <w:rsid w:val="16C16FFB"/>
    <w:rsid w:val="170A6FC5"/>
    <w:rsid w:val="171F47F5"/>
    <w:rsid w:val="1730F82A"/>
    <w:rsid w:val="176FD4B7"/>
    <w:rsid w:val="1781EBAD"/>
    <w:rsid w:val="17B28861"/>
    <w:rsid w:val="17BEE4AA"/>
    <w:rsid w:val="17C1C330"/>
    <w:rsid w:val="17D7294A"/>
    <w:rsid w:val="17F81C10"/>
    <w:rsid w:val="17FC4F45"/>
    <w:rsid w:val="18071F76"/>
    <w:rsid w:val="181811F0"/>
    <w:rsid w:val="1819A033"/>
    <w:rsid w:val="184A1C7C"/>
    <w:rsid w:val="184BFD0C"/>
    <w:rsid w:val="187D0763"/>
    <w:rsid w:val="188F464C"/>
    <w:rsid w:val="18FFF1D8"/>
    <w:rsid w:val="19A56315"/>
    <w:rsid w:val="19CBF16E"/>
    <w:rsid w:val="19CD0204"/>
    <w:rsid w:val="19D092FC"/>
    <w:rsid w:val="19DCD092"/>
    <w:rsid w:val="19F02FE6"/>
    <w:rsid w:val="1A046577"/>
    <w:rsid w:val="1A37A2D4"/>
    <w:rsid w:val="1A469ADC"/>
    <w:rsid w:val="1A56518D"/>
    <w:rsid w:val="1A8156C2"/>
    <w:rsid w:val="1AB110FF"/>
    <w:rsid w:val="1AB77A52"/>
    <w:rsid w:val="1ABC6426"/>
    <w:rsid w:val="1ADEBB42"/>
    <w:rsid w:val="1AFC4373"/>
    <w:rsid w:val="1B4AD191"/>
    <w:rsid w:val="1B5B0ECB"/>
    <w:rsid w:val="1B6B238D"/>
    <w:rsid w:val="1B6D9792"/>
    <w:rsid w:val="1B9EADA4"/>
    <w:rsid w:val="1BA93A17"/>
    <w:rsid w:val="1BC2A476"/>
    <w:rsid w:val="1BC445E1"/>
    <w:rsid w:val="1C539EFB"/>
    <w:rsid w:val="1C54F8D9"/>
    <w:rsid w:val="1C7F0053"/>
    <w:rsid w:val="1CEAF6C4"/>
    <w:rsid w:val="1D1393E1"/>
    <w:rsid w:val="1D3DFD70"/>
    <w:rsid w:val="1D67DF5E"/>
    <w:rsid w:val="1DAC2166"/>
    <w:rsid w:val="1DB459D4"/>
    <w:rsid w:val="1DB828CA"/>
    <w:rsid w:val="1DD055B2"/>
    <w:rsid w:val="1DE7711F"/>
    <w:rsid w:val="1DF7580F"/>
    <w:rsid w:val="1DF7E89D"/>
    <w:rsid w:val="1E2C593D"/>
    <w:rsid w:val="1E58915C"/>
    <w:rsid w:val="1E645925"/>
    <w:rsid w:val="1E81C797"/>
    <w:rsid w:val="1E955F53"/>
    <w:rsid w:val="1E9D4DCF"/>
    <w:rsid w:val="1EA26018"/>
    <w:rsid w:val="1EAF1716"/>
    <w:rsid w:val="1EB45FA0"/>
    <w:rsid w:val="1EDC5FC2"/>
    <w:rsid w:val="1EDF19B3"/>
    <w:rsid w:val="1F27C927"/>
    <w:rsid w:val="1F6676F9"/>
    <w:rsid w:val="1F6BDDB4"/>
    <w:rsid w:val="1F6E8263"/>
    <w:rsid w:val="1F7519F8"/>
    <w:rsid w:val="1F94CFAD"/>
    <w:rsid w:val="20019B0C"/>
    <w:rsid w:val="202FEA44"/>
    <w:rsid w:val="205EBFC9"/>
    <w:rsid w:val="20A02CFA"/>
    <w:rsid w:val="21663CA3"/>
    <w:rsid w:val="21892921"/>
    <w:rsid w:val="21991A33"/>
    <w:rsid w:val="21C0CDE7"/>
    <w:rsid w:val="21D580F5"/>
    <w:rsid w:val="21ECAE0D"/>
    <w:rsid w:val="22045C56"/>
    <w:rsid w:val="220838F4"/>
    <w:rsid w:val="220BA8A8"/>
    <w:rsid w:val="2210BCB0"/>
    <w:rsid w:val="222BF022"/>
    <w:rsid w:val="227FAFF8"/>
    <w:rsid w:val="229243B8"/>
    <w:rsid w:val="22B90E30"/>
    <w:rsid w:val="22E9B602"/>
    <w:rsid w:val="231700AE"/>
    <w:rsid w:val="232901B8"/>
    <w:rsid w:val="237BAB3D"/>
    <w:rsid w:val="23865D00"/>
    <w:rsid w:val="23D65794"/>
    <w:rsid w:val="23FDE903"/>
    <w:rsid w:val="24131069"/>
    <w:rsid w:val="243B0050"/>
    <w:rsid w:val="245F1682"/>
    <w:rsid w:val="2474E07B"/>
    <w:rsid w:val="248DDD79"/>
    <w:rsid w:val="24AAACB8"/>
    <w:rsid w:val="24B0A828"/>
    <w:rsid w:val="24D3F815"/>
    <w:rsid w:val="24E3247A"/>
    <w:rsid w:val="251E5BBF"/>
    <w:rsid w:val="255647DB"/>
    <w:rsid w:val="255F5B8C"/>
    <w:rsid w:val="2608D730"/>
    <w:rsid w:val="263836AA"/>
    <w:rsid w:val="264E6AA1"/>
    <w:rsid w:val="2667073C"/>
    <w:rsid w:val="26D07F4C"/>
    <w:rsid w:val="2753614A"/>
    <w:rsid w:val="27563221"/>
    <w:rsid w:val="27615A9F"/>
    <w:rsid w:val="2786DD33"/>
    <w:rsid w:val="280128BB"/>
    <w:rsid w:val="2821B68A"/>
    <w:rsid w:val="28458150"/>
    <w:rsid w:val="2856DE00"/>
    <w:rsid w:val="286851F2"/>
    <w:rsid w:val="287C312C"/>
    <w:rsid w:val="2884E4FE"/>
    <w:rsid w:val="28B6F1CB"/>
    <w:rsid w:val="28BE1295"/>
    <w:rsid w:val="28C9F47C"/>
    <w:rsid w:val="291A7EFF"/>
    <w:rsid w:val="291C9DF5"/>
    <w:rsid w:val="2928E29B"/>
    <w:rsid w:val="2931EC66"/>
    <w:rsid w:val="294D1310"/>
    <w:rsid w:val="2969DB66"/>
    <w:rsid w:val="2977B06A"/>
    <w:rsid w:val="299CF432"/>
    <w:rsid w:val="29AA7AF2"/>
    <w:rsid w:val="29C8D711"/>
    <w:rsid w:val="29CCAE0E"/>
    <w:rsid w:val="2A0D21DB"/>
    <w:rsid w:val="2A1EC1B9"/>
    <w:rsid w:val="2A1F8B53"/>
    <w:rsid w:val="2A663FE1"/>
    <w:rsid w:val="2A72465A"/>
    <w:rsid w:val="2A746345"/>
    <w:rsid w:val="2A7B1A9D"/>
    <w:rsid w:val="2A7B34C2"/>
    <w:rsid w:val="2AB789E5"/>
    <w:rsid w:val="2ABCE5FB"/>
    <w:rsid w:val="2AC1BA85"/>
    <w:rsid w:val="2AE35C1B"/>
    <w:rsid w:val="2AFECEDC"/>
    <w:rsid w:val="2B49B772"/>
    <w:rsid w:val="2B87D31C"/>
    <w:rsid w:val="2BDD3F00"/>
    <w:rsid w:val="2BFD0A79"/>
    <w:rsid w:val="2C5B17A4"/>
    <w:rsid w:val="2C6C1827"/>
    <w:rsid w:val="2C95CBA9"/>
    <w:rsid w:val="2CA9A9B8"/>
    <w:rsid w:val="2CC8EAC7"/>
    <w:rsid w:val="2D058211"/>
    <w:rsid w:val="2D0E97F6"/>
    <w:rsid w:val="2D48511A"/>
    <w:rsid w:val="2D85A06E"/>
    <w:rsid w:val="2DBDBABB"/>
    <w:rsid w:val="2DC8D0F5"/>
    <w:rsid w:val="2DDC2F36"/>
    <w:rsid w:val="2DE065BB"/>
    <w:rsid w:val="2DFD3285"/>
    <w:rsid w:val="2E164621"/>
    <w:rsid w:val="2E1E396D"/>
    <w:rsid w:val="2E492FEA"/>
    <w:rsid w:val="2E675CF1"/>
    <w:rsid w:val="2E7FDF43"/>
    <w:rsid w:val="2EBB1DC0"/>
    <w:rsid w:val="2F00C08E"/>
    <w:rsid w:val="2F602C1F"/>
    <w:rsid w:val="2F7CCD94"/>
    <w:rsid w:val="2F987B4D"/>
    <w:rsid w:val="2FCB12E0"/>
    <w:rsid w:val="30115684"/>
    <w:rsid w:val="301835C0"/>
    <w:rsid w:val="305A14C8"/>
    <w:rsid w:val="3079C382"/>
    <w:rsid w:val="308DE5CE"/>
    <w:rsid w:val="309C3EE7"/>
    <w:rsid w:val="30F06964"/>
    <w:rsid w:val="314AF84C"/>
    <w:rsid w:val="31743221"/>
    <w:rsid w:val="31C52679"/>
    <w:rsid w:val="31D3DEA6"/>
    <w:rsid w:val="31DDDC3A"/>
    <w:rsid w:val="31E2FF18"/>
    <w:rsid w:val="320792C6"/>
    <w:rsid w:val="323A581A"/>
    <w:rsid w:val="324F92EB"/>
    <w:rsid w:val="327300BF"/>
    <w:rsid w:val="32FBBBDC"/>
    <w:rsid w:val="3325E516"/>
    <w:rsid w:val="33771C8C"/>
    <w:rsid w:val="338EA597"/>
    <w:rsid w:val="33B9AD9D"/>
    <w:rsid w:val="33E0AD63"/>
    <w:rsid w:val="33FF35A6"/>
    <w:rsid w:val="3416A1E9"/>
    <w:rsid w:val="34240321"/>
    <w:rsid w:val="34942569"/>
    <w:rsid w:val="3496DED6"/>
    <w:rsid w:val="34B11F26"/>
    <w:rsid w:val="34B4C5D9"/>
    <w:rsid w:val="34BE6DAE"/>
    <w:rsid w:val="34D29BEC"/>
    <w:rsid w:val="3550E663"/>
    <w:rsid w:val="3564E34E"/>
    <w:rsid w:val="35856BC9"/>
    <w:rsid w:val="365680C7"/>
    <w:rsid w:val="3672A2F7"/>
    <w:rsid w:val="36C80A74"/>
    <w:rsid w:val="36CF6082"/>
    <w:rsid w:val="36F51A72"/>
    <w:rsid w:val="36FC5F99"/>
    <w:rsid w:val="3761BF49"/>
    <w:rsid w:val="376243B7"/>
    <w:rsid w:val="376416D5"/>
    <w:rsid w:val="3789A2FD"/>
    <w:rsid w:val="37A1879F"/>
    <w:rsid w:val="37F702BB"/>
    <w:rsid w:val="38112C67"/>
    <w:rsid w:val="381DD360"/>
    <w:rsid w:val="387013AF"/>
    <w:rsid w:val="38DE4366"/>
    <w:rsid w:val="3917F14C"/>
    <w:rsid w:val="39186004"/>
    <w:rsid w:val="3929223B"/>
    <w:rsid w:val="39556D57"/>
    <w:rsid w:val="3961CD38"/>
    <w:rsid w:val="39A5A868"/>
    <w:rsid w:val="39C1AC97"/>
    <w:rsid w:val="39D9AAC7"/>
    <w:rsid w:val="39DE31A7"/>
    <w:rsid w:val="39E6AC6E"/>
    <w:rsid w:val="3A0C1087"/>
    <w:rsid w:val="3A395CD0"/>
    <w:rsid w:val="3A3C9F6F"/>
    <w:rsid w:val="3A5BC151"/>
    <w:rsid w:val="3A653487"/>
    <w:rsid w:val="3AB0EE61"/>
    <w:rsid w:val="3AD44ECD"/>
    <w:rsid w:val="3AFD09A0"/>
    <w:rsid w:val="3AFF16E8"/>
    <w:rsid w:val="3B1D44A0"/>
    <w:rsid w:val="3B2DF868"/>
    <w:rsid w:val="3B4A977B"/>
    <w:rsid w:val="3B645064"/>
    <w:rsid w:val="3BBFFE95"/>
    <w:rsid w:val="3BC5F3C5"/>
    <w:rsid w:val="3C0497C1"/>
    <w:rsid w:val="3C15E1A9"/>
    <w:rsid w:val="3C1A405A"/>
    <w:rsid w:val="3C279EC8"/>
    <w:rsid w:val="3C2A2ED2"/>
    <w:rsid w:val="3C2CE615"/>
    <w:rsid w:val="3CB76352"/>
    <w:rsid w:val="3CBDB7E7"/>
    <w:rsid w:val="3CC38EC8"/>
    <w:rsid w:val="3D2B3822"/>
    <w:rsid w:val="3D5D83B0"/>
    <w:rsid w:val="3D6B710B"/>
    <w:rsid w:val="3D708254"/>
    <w:rsid w:val="3D742B27"/>
    <w:rsid w:val="3D91E7D4"/>
    <w:rsid w:val="3DD6D9F2"/>
    <w:rsid w:val="3DE0D92C"/>
    <w:rsid w:val="3E134BE3"/>
    <w:rsid w:val="3E4708CC"/>
    <w:rsid w:val="3E6400C4"/>
    <w:rsid w:val="3E773B56"/>
    <w:rsid w:val="3E9F8865"/>
    <w:rsid w:val="3EB7CB09"/>
    <w:rsid w:val="3EE098B0"/>
    <w:rsid w:val="3F1BFCF5"/>
    <w:rsid w:val="3F29DDFE"/>
    <w:rsid w:val="3F46D4D7"/>
    <w:rsid w:val="3FAD52C4"/>
    <w:rsid w:val="3FEA907B"/>
    <w:rsid w:val="4019D8FB"/>
    <w:rsid w:val="4041A574"/>
    <w:rsid w:val="40DB98AE"/>
    <w:rsid w:val="40E8290C"/>
    <w:rsid w:val="412B2DE3"/>
    <w:rsid w:val="413AE531"/>
    <w:rsid w:val="413C673A"/>
    <w:rsid w:val="41407792"/>
    <w:rsid w:val="4187A088"/>
    <w:rsid w:val="41A2C9F5"/>
    <w:rsid w:val="41A547D5"/>
    <w:rsid w:val="41BB3489"/>
    <w:rsid w:val="41D4B80C"/>
    <w:rsid w:val="4245F5B0"/>
    <w:rsid w:val="4272E5A7"/>
    <w:rsid w:val="42867C34"/>
    <w:rsid w:val="428784C7"/>
    <w:rsid w:val="428CDBF3"/>
    <w:rsid w:val="42D8C973"/>
    <w:rsid w:val="43079912"/>
    <w:rsid w:val="4320C6DD"/>
    <w:rsid w:val="4366C2B1"/>
    <w:rsid w:val="43BF4936"/>
    <w:rsid w:val="43C50AF7"/>
    <w:rsid w:val="43EF71D9"/>
    <w:rsid w:val="44199FAE"/>
    <w:rsid w:val="44783017"/>
    <w:rsid w:val="447836C2"/>
    <w:rsid w:val="44BF037B"/>
    <w:rsid w:val="44C8C82A"/>
    <w:rsid w:val="44E12459"/>
    <w:rsid w:val="44E2E9A0"/>
    <w:rsid w:val="44F2AFA4"/>
    <w:rsid w:val="4511E962"/>
    <w:rsid w:val="4539A8E8"/>
    <w:rsid w:val="4590ABF1"/>
    <w:rsid w:val="4595213D"/>
    <w:rsid w:val="45B46836"/>
    <w:rsid w:val="45C68CAE"/>
    <w:rsid w:val="45C89717"/>
    <w:rsid w:val="45D06384"/>
    <w:rsid w:val="45D1C5FF"/>
    <w:rsid w:val="45DD9CE7"/>
    <w:rsid w:val="46008BEE"/>
    <w:rsid w:val="46236971"/>
    <w:rsid w:val="46266272"/>
    <w:rsid w:val="46724EE0"/>
    <w:rsid w:val="46C56B83"/>
    <w:rsid w:val="46CE58BC"/>
    <w:rsid w:val="470983C2"/>
    <w:rsid w:val="472698D3"/>
    <w:rsid w:val="47283D01"/>
    <w:rsid w:val="472936E9"/>
    <w:rsid w:val="472BC71A"/>
    <w:rsid w:val="473EFE2D"/>
    <w:rsid w:val="47545744"/>
    <w:rsid w:val="4754FF1B"/>
    <w:rsid w:val="47688D1A"/>
    <w:rsid w:val="478F28CA"/>
    <w:rsid w:val="47AAE7FC"/>
    <w:rsid w:val="47B9A110"/>
    <w:rsid w:val="47DB9205"/>
    <w:rsid w:val="47E2E027"/>
    <w:rsid w:val="484A4B59"/>
    <w:rsid w:val="48555BDE"/>
    <w:rsid w:val="486A291D"/>
    <w:rsid w:val="4894D436"/>
    <w:rsid w:val="490947FF"/>
    <w:rsid w:val="493B38B2"/>
    <w:rsid w:val="494318BC"/>
    <w:rsid w:val="4972F0F1"/>
    <w:rsid w:val="49B6274C"/>
    <w:rsid w:val="4A00EEE0"/>
    <w:rsid w:val="4A1CD0DD"/>
    <w:rsid w:val="4A8468C8"/>
    <w:rsid w:val="4A9D7F10"/>
    <w:rsid w:val="4AD0737E"/>
    <w:rsid w:val="4AD1FA3B"/>
    <w:rsid w:val="4ADA3A69"/>
    <w:rsid w:val="4AF4547F"/>
    <w:rsid w:val="4AFD6B26"/>
    <w:rsid w:val="4B0C2B3F"/>
    <w:rsid w:val="4B3746A4"/>
    <w:rsid w:val="4B473FB4"/>
    <w:rsid w:val="4B97C40D"/>
    <w:rsid w:val="4BA7214B"/>
    <w:rsid w:val="4BA8F407"/>
    <w:rsid w:val="4BB1FD07"/>
    <w:rsid w:val="4BCFA254"/>
    <w:rsid w:val="4BDEAD02"/>
    <w:rsid w:val="4C0F07F6"/>
    <w:rsid w:val="4C2A0B82"/>
    <w:rsid w:val="4C529B43"/>
    <w:rsid w:val="4CA8085F"/>
    <w:rsid w:val="4CB18A0C"/>
    <w:rsid w:val="4CBBCBBA"/>
    <w:rsid w:val="4CF14618"/>
    <w:rsid w:val="4D3B2196"/>
    <w:rsid w:val="4D79EC53"/>
    <w:rsid w:val="4D814949"/>
    <w:rsid w:val="4DAEC0D4"/>
    <w:rsid w:val="4DDAA904"/>
    <w:rsid w:val="4DEFEB2B"/>
    <w:rsid w:val="4E0C9B8F"/>
    <w:rsid w:val="4E14C8A6"/>
    <w:rsid w:val="4E196D1D"/>
    <w:rsid w:val="4E1DF16F"/>
    <w:rsid w:val="4E270E39"/>
    <w:rsid w:val="4E4D3DEE"/>
    <w:rsid w:val="4E5F7533"/>
    <w:rsid w:val="4E7BFC73"/>
    <w:rsid w:val="4EA21D4B"/>
    <w:rsid w:val="4EAC04CB"/>
    <w:rsid w:val="4EB9796A"/>
    <w:rsid w:val="4F0FAF4C"/>
    <w:rsid w:val="4F1D93B3"/>
    <w:rsid w:val="4F56F352"/>
    <w:rsid w:val="4F5A930A"/>
    <w:rsid w:val="4F5EA8F0"/>
    <w:rsid w:val="501A2E52"/>
    <w:rsid w:val="503DEDAC"/>
    <w:rsid w:val="50472D70"/>
    <w:rsid w:val="50646C20"/>
    <w:rsid w:val="5080F3BB"/>
    <w:rsid w:val="50A0A159"/>
    <w:rsid w:val="5119B907"/>
    <w:rsid w:val="51441CC0"/>
    <w:rsid w:val="5148F9DC"/>
    <w:rsid w:val="514E867E"/>
    <w:rsid w:val="514F3E20"/>
    <w:rsid w:val="517E8126"/>
    <w:rsid w:val="51803827"/>
    <w:rsid w:val="518DAE61"/>
    <w:rsid w:val="51EF5B56"/>
    <w:rsid w:val="523D009B"/>
    <w:rsid w:val="524D5D76"/>
    <w:rsid w:val="526FD083"/>
    <w:rsid w:val="527F1964"/>
    <w:rsid w:val="5288D8FA"/>
    <w:rsid w:val="52B63D54"/>
    <w:rsid w:val="52C9A4BB"/>
    <w:rsid w:val="52EE15D1"/>
    <w:rsid w:val="53489137"/>
    <w:rsid w:val="536632AF"/>
    <w:rsid w:val="536C3ECF"/>
    <w:rsid w:val="5374D33A"/>
    <w:rsid w:val="538F4753"/>
    <w:rsid w:val="53A37482"/>
    <w:rsid w:val="53A425AB"/>
    <w:rsid w:val="53AB21B0"/>
    <w:rsid w:val="543A8E55"/>
    <w:rsid w:val="54564DA4"/>
    <w:rsid w:val="54A3A18A"/>
    <w:rsid w:val="55021DF2"/>
    <w:rsid w:val="555442D7"/>
    <w:rsid w:val="555C9342"/>
    <w:rsid w:val="55639C48"/>
    <w:rsid w:val="556434DA"/>
    <w:rsid w:val="556E9D85"/>
    <w:rsid w:val="55A537E8"/>
    <w:rsid w:val="55A853DF"/>
    <w:rsid w:val="55BEDFC3"/>
    <w:rsid w:val="55EA7E48"/>
    <w:rsid w:val="56236BAB"/>
    <w:rsid w:val="567061C6"/>
    <w:rsid w:val="5676807E"/>
    <w:rsid w:val="56D7091E"/>
    <w:rsid w:val="56E3AFAA"/>
    <w:rsid w:val="57FC7347"/>
    <w:rsid w:val="580533A1"/>
    <w:rsid w:val="5822DEEE"/>
    <w:rsid w:val="58A2FC6A"/>
    <w:rsid w:val="58BC9EFA"/>
    <w:rsid w:val="58D781D0"/>
    <w:rsid w:val="58F8BF6B"/>
    <w:rsid w:val="59332111"/>
    <w:rsid w:val="593AB9F6"/>
    <w:rsid w:val="59542EB7"/>
    <w:rsid w:val="59BD1BB8"/>
    <w:rsid w:val="59C9F597"/>
    <w:rsid w:val="59DDEFD5"/>
    <w:rsid w:val="59E6D256"/>
    <w:rsid w:val="5A0DEFE2"/>
    <w:rsid w:val="5A4A6FDC"/>
    <w:rsid w:val="5A4FD4D1"/>
    <w:rsid w:val="5A60EE44"/>
    <w:rsid w:val="5A6FF74A"/>
    <w:rsid w:val="5AA0E0F5"/>
    <w:rsid w:val="5AC4E6B0"/>
    <w:rsid w:val="5ACA08F9"/>
    <w:rsid w:val="5B89964C"/>
    <w:rsid w:val="5BABEAEA"/>
    <w:rsid w:val="5BC456CA"/>
    <w:rsid w:val="5BD0D93F"/>
    <w:rsid w:val="5BFE254E"/>
    <w:rsid w:val="5C35E80D"/>
    <w:rsid w:val="5CB889F9"/>
    <w:rsid w:val="5CDA682D"/>
    <w:rsid w:val="5CE78781"/>
    <w:rsid w:val="5CF513EC"/>
    <w:rsid w:val="5CFBD0E9"/>
    <w:rsid w:val="5D04968B"/>
    <w:rsid w:val="5D67A527"/>
    <w:rsid w:val="5D67D5E7"/>
    <w:rsid w:val="5D76A8DB"/>
    <w:rsid w:val="5D80EF80"/>
    <w:rsid w:val="5DA1DB89"/>
    <w:rsid w:val="5DB376F6"/>
    <w:rsid w:val="5DC1BD70"/>
    <w:rsid w:val="5DF96A04"/>
    <w:rsid w:val="5DFFAE91"/>
    <w:rsid w:val="5E0FEF4E"/>
    <w:rsid w:val="5E1B2C79"/>
    <w:rsid w:val="5E218F67"/>
    <w:rsid w:val="5E295F89"/>
    <w:rsid w:val="5EDD52E6"/>
    <w:rsid w:val="5F2B8189"/>
    <w:rsid w:val="5F3B6AF5"/>
    <w:rsid w:val="5F48DC56"/>
    <w:rsid w:val="5F59EF0A"/>
    <w:rsid w:val="5F5EEA75"/>
    <w:rsid w:val="5F9AFE12"/>
    <w:rsid w:val="5FA66F84"/>
    <w:rsid w:val="606DF199"/>
    <w:rsid w:val="60AE8882"/>
    <w:rsid w:val="60CA2A63"/>
    <w:rsid w:val="61412322"/>
    <w:rsid w:val="6187656E"/>
    <w:rsid w:val="61C40200"/>
    <w:rsid w:val="61C943AB"/>
    <w:rsid w:val="61C9CAA9"/>
    <w:rsid w:val="61D2AB4A"/>
    <w:rsid w:val="61ECF454"/>
    <w:rsid w:val="61F41A6B"/>
    <w:rsid w:val="62509280"/>
    <w:rsid w:val="627CE534"/>
    <w:rsid w:val="629AA085"/>
    <w:rsid w:val="62A21854"/>
    <w:rsid w:val="62D53619"/>
    <w:rsid w:val="62E0A17B"/>
    <w:rsid w:val="6310D5F7"/>
    <w:rsid w:val="6315C013"/>
    <w:rsid w:val="6359D5E5"/>
    <w:rsid w:val="6365140C"/>
    <w:rsid w:val="636914BC"/>
    <w:rsid w:val="6399B459"/>
    <w:rsid w:val="639B33A6"/>
    <w:rsid w:val="63AB3886"/>
    <w:rsid w:val="63FE512D"/>
    <w:rsid w:val="640B0F4D"/>
    <w:rsid w:val="640C5A12"/>
    <w:rsid w:val="641A1032"/>
    <w:rsid w:val="641AF610"/>
    <w:rsid w:val="642C21D4"/>
    <w:rsid w:val="6456F37B"/>
    <w:rsid w:val="646E8B6E"/>
    <w:rsid w:val="648E8349"/>
    <w:rsid w:val="64B47DA6"/>
    <w:rsid w:val="653453C5"/>
    <w:rsid w:val="65480067"/>
    <w:rsid w:val="65656128"/>
    <w:rsid w:val="65A22461"/>
    <w:rsid w:val="65B36AD2"/>
    <w:rsid w:val="65B546BB"/>
    <w:rsid w:val="65E53F1B"/>
    <w:rsid w:val="65EA15D0"/>
    <w:rsid w:val="6610530C"/>
    <w:rsid w:val="662F323F"/>
    <w:rsid w:val="6632DFF7"/>
    <w:rsid w:val="6644E280"/>
    <w:rsid w:val="6696C1DE"/>
    <w:rsid w:val="669CB4CE"/>
    <w:rsid w:val="669D9C7E"/>
    <w:rsid w:val="6703C0C7"/>
    <w:rsid w:val="67080E84"/>
    <w:rsid w:val="67100F5C"/>
    <w:rsid w:val="67198A83"/>
    <w:rsid w:val="673DE772"/>
    <w:rsid w:val="675104BC"/>
    <w:rsid w:val="676FE4D2"/>
    <w:rsid w:val="67793666"/>
    <w:rsid w:val="67A45702"/>
    <w:rsid w:val="67B99CAE"/>
    <w:rsid w:val="67DAFEF3"/>
    <w:rsid w:val="67E15A6F"/>
    <w:rsid w:val="68179474"/>
    <w:rsid w:val="687E2F55"/>
    <w:rsid w:val="688D1BEB"/>
    <w:rsid w:val="68A11465"/>
    <w:rsid w:val="68B65259"/>
    <w:rsid w:val="68BAE065"/>
    <w:rsid w:val="68FB8741"/>
    <w:rsid w:val="692A9A9C"/>
    <w:rsid w:val="692DC412"/>
    <w:rsid w:val="694A4590"/>
    <w:rsid w:val="695CA7F3"/>
    <w:rsid w:val="698D34C3"/>
    <w:rsid w:val="69A45E29"/>
    <w:rsid w:val="6A024434"/>
    <w:rsid w:val="6A2DA392"/>
    <w:rsid w:val="6A3C52D5"/>
    <w:rsid w:val="6A61D6A0"/>
    <w:rsid w:val="6AAE124A"/>
    <w:rsid w:val="6ADC10B2"/>
    <w:rsid w:val="6B496E2A"/>
    <w:rsid w:val="6B637BFD"/>
    <w:rsid w:val="6BDE4AFC"/>
    <w:rsid w:val="6BF66E0B"/>
    <w:rsid w:val="6C2989BC"/>
    <w:rsid w:val="6C4126E6"/>
    <w:rsid w:val="6C44F492"/>
    <w:rsid w:val="6C8703F6"/>
    <w:rsid w:val="6C9ED33A"/>
    <w:rsid w:val="6CA6AFF8"/>
    <w:rsid w:val="6CBE6571"/>
    <w:rsid w:val="6CCC7793"/>
    <w:rsid w:val="6CE4BF23"/>
    <w:rsid w:val="6CF3384D"/>
    <w:rsid w:val="6D438E18"/>
    <w:rsid w:val="6D6A2BED"/>
    <w:rsid w:val="6D700655"/>
    <w:rsid w:val="6D928072"/>
    <w:rsid w:val="6DC0EF66"/>
    <w:rsid w:val="6DC21B09"/>
    <w:rsid w:val="6DE44EEA"/>
    <w:rsid w:val="6E170134"/>
    <w:rsid w:val="6E502084"/>
    <w:rsid w:val="6E7AF979"/>
    <w:rsid w:val="6E8AB2AC"/>
    <w:rsid w:val="6E8E99C9"/>
    <w:rsid w:val="6EE2F55C"/>
    <w:rsid w:val="6F2D32D2"/>
    <w:rsid w:val="6F2FDE81"/>
    <w:rsid w:val="6F740D13"/>
    <w:rsid w:val="6FA170FF"/>
    <w:rsid w:val="6FB62EF0"/>
    <w:rsid w:val="6FD241E9"/>
    <w:rsid w:val="70037E64"/>
    <w:rsid w:val="700E76D9"/>
    <w:rsid w:val="7017595D"/>
    <w:rsid w:val="7058B4F0"/>
    <w:rsid w:val="7086ADAC"/>
    <w:rsid w:val="7097CC0F"/>
    <w:rsid w:val="70A97777"/>
    <w:rsid w:val="70BF1118"/>
    <w:rsid w:val="70D35F50"/>
    <w:rsid w:val="7115FC10"/>
    <w:rsid w:val="71199878"/>
    <w:rsid w:val="7120B509"/>
    <w:rsid w:val="71347FF6"/>
    <w:rsid w:val="7147A9A9"/>
    <w:rsid w:val="714DBDBE"/>
    <w:rsid w:val="7158C43F"/>
    <w:rsid w:val="716AA8F5"/>
    <w:rsid w:val="717531F0"/>
    <w:rsid w:val="717A8DCD"/>
    <w:rsid w:val="71B5184A"/>
    <w:rsid w:val="71F27253"/>
    <w:rsid w:val="72175E6B"/>
    <w:rsid w:val="726A3A09"/>
    <w:rsid w:val="7288F18B"/>
    <w:rsid w:val="72B88589"/>
    <w:rsid w:val="72E10795"/>
    <w:rsid w:val="72E3C3FB"/>
    <w:rsid w:val="733606D3"/>
    <w:rsid w:val="73396236"/>
    <w:rsid w:val="7356BB68"/>
    <w:rsid w:val="735E06FA"/>
    <w:rsid w:val="736ADF2F"/>
    <w:rsid w:val="737F4339"/>
    <w:rsid w:val="73C3C812"/>
    <w:rsid w:val="73C3DD02"/>
    <w:rsid w:val="73C3F376"/>
    <w:rsid w:val="73D1CF85"/>
    <w:rsid w:val="73EE206C"/>
    <w:rsid w:val="7459FB1A"/>
    <w:rsid w:val="7492954C"/>
    <w:rsid w:val="751E3947"/>
    <w:rsid w:val="751FE38E"/>
    <w:rsid w:val="752287DF"/>
    <w:rsid w:val="752B3E71"/>
    <w:rsid w:val="752E07DD"/>
    <w:rsid w:val="7531E68F"/>
    <w:rsid w:val="75462471"/>
    <w:rsid w:val="7551E693"/>
    <w:rsid w:val="755F1E7C"/>
    <w:rsid w:val="75CA4DD3"/>
    <w:rsid w:val="75F01666"/>
    <w:rsid w:val="76067C73"/>
    <w:rsid w:val="7619423B"/>
    <w:rsid w:val="76259B45"/>
    <w:rsid w:val="7632B74E"/>
    <w:rsid w:val="764F2614"/>
    <w:rsid w:val="766324C6"/>
    <w:rsid w:val="7665F078"/>
    <w:rsid w:val="7676748F"/>
    <w:rsid w:val="767F835F"/>
    <w:rsid w:val="768DEEA3"/>
    <w:rsid w:val="76A4FC30"/>
    <w:rsid w:val="76C57EE3"/>
    <w:rsid w:val="76C5FD51"/>
    <w:rsid w:val="76E13C51"/>
    <w:rsid w:val="76E90EEF"/>
    <w:rsid w:val="76E95BAD"/>
    <w:rsid w:val="7728A696"/>
    <w:rsid w:val="77400025"/>
    <w:rsid w:val="775D6A2E"/>
    <w:rsid w:val="7766B5AC"/>
    <w:rsid w:val="777AB50F"/>
    <w:rsid w:val="7797547E"/>
    <w:rsid w:val="77AA2D6B"/>
    <w:rsid w:val="77C604D7"/>
    <w:rsid w:val="77DBE79A"/>
    <w:rsid w:val="780BC29B"/>
    <w:rsid w:val="782CC53B"/>
    <w:rsid w:val="784D473A"/>
    <w:rsid w:val="78528B19"/>
    <w:rsid w:val="78589870"/>
    <w:rsid w:val="786DABFB"/>
    <w:rsid w:val="7886D651"/>
    <w:rsid w:val="7891704C"/>
    <w:rsid w:val="78BC4A72"/>
    <w:rsid w:val="78FA9887"/>
    <w:rsid w:val="791F1206"/>
    <w:rsid w:val="79463644"/>
    <w:rsid w:val="794C03E4"/>
    <w:rsid w:val="794FB0BF"/>
    <w:rsid w:val="798BA9A2"/>
    <w:rsid w:val="79B57709"/>
    <w:rsid w:val="79CA7474"/>
    <w:rsid w:val="79FCBAD8"/>
    <w:rsid w:val="7A2B2740"/>
    <w:rsid w:val="7A3C3B13"/>
    <w:rsid w:val="7A670B86"/>
    <w:rsid w:val="7A76AD2E"/>
    <w:rsid w:val="7AB26315"/>
    <w:rsid w:val="7AB993F9"/>
    <w:rsid w:val="7ADD7ED7"/>
    <w:rsid w:val="7B034695"/>
    <w:rsid w:val="7B12431D"/>
    <w:rsid w:val="7B1865F5"/>
    <w:rsid w:val="7B1FA72E"/>
    <w:rsid w:val="7B4CD1B8"/>
    <w:rsid w:val="7B5E2A78"/>
    <w:rsid w:val="7B83B337"/>
    <w:rsid w:val="7B9BFE2A"/>
    <w:rsid w:val="7BC40CBC"/>
    <w:rsid w:val="7BD5E901"/>
    <w:rsid w:val="7BDB5777"/>
    <w:rsid w:val="7BF54E88"/>
    <w:rsid w:val="7C339B0A"/>
    <w:rsid w:val="7C3F60AD"/>
    <w:rsid w:val="7C5463E1"/>
    <w:rsid w:val="7C83AF21"/>
    <w:rsid w:val="7CC3F16C"/>
    <w:rsid w:val="7D1F7326"/>
    <w:rsid w:val="7D2E62D0"/>
    <w:rsid w:val="7D3BBE36"/>
    <w:rsid w:val="7D6C0493"/>
    <w:rsid w:val="7D7B988F"/>
    <w:rsid w:val="7D7C2B85"/>
    <w:rsid w:val="7DA8F4A6"/>
    <w:rsid w:val="7DD0A5F1"/>
    <w:rsid w:val="7E0E7FC0"/>
    <w:rsid w:val="7E1A3938"/>
    <w:rsid w:val="7E3729D8"/>
    <w:rsid w:val="7E45BA8C"/>
    <w:rsid w:val="7E70CFA5"/>
    <w:rsid w:val="7E7625A6"/>
    <w:rsid w:val="7E88C820"/>
    <w:rsid w:val="7EAED78C"/>
    <w:rsid w:val="7EBD3301"/>
    <w:rsid w:val="7EE7C38B"/>
    <w:rsid w:val="7EE952F6"/>
    <w:rsid w:val="7EF65203"/>
    <w:rsid w:val="7F027B06"/>
    <w:rsid w:val="7F12AE52"/>
    <w:rsid w:val="7F380723"/>
    <w:rsid w:val="7F77978D"/>
    <w:rsid w:val="7FA51E07"/>
    <w:rsid w:val="7FD9C188"/>
    <w:rsid w:val="7FE22FAC"/>
    <w:rsid w:val="7FFC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845A4"/>
  <w15:docId w15:val="{9AA665FD-AA70-470F-A1CC-970F4C201725}"/>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94E"/>
    <w:pPr>
      <w:spacing w:after="120" w:line="240" w:lineRule="auto"/>
    </w:pPr>
    <w:rPr>
      <w:rFonts w:ascii="Palatino Linotype" w:eastAsia="Times New Roman" w:hAnsi="Palatino Linotype" w:cs="Times New Roman"/>
      <w:kern w:val="0"/>
      <w:szCs w:val="20"/>
      <w14:ligatures w14:val="none"/>
    </w:rPr>
  </w:style>
  <w:style w:type="paragraph" w:styleId="Heading1">
    <w:name w:val="heading 1"/>
    <w:basedOn w:val="Normal"/>
    <w:next w:val="standard"/>
    <w:link w:val="Heading1Char"/>
    <w:qFormat/>
    <w:rsid w:val="00E71E08"/>
    <w:pPr>
      <w:keepNext/>
      <w:spacing w:before="160"/>
      <w:outlineLvl w:val="0"/>
    </w:pPr>
    <w:rPr>
      <w:rFonts w:eastAsia="Palatino Linotype" w:cs="Palatino"/>
      <w:b/>
      <w:caps/>
      <w:kern w:val="28"/>
      <w:szCs w:val="24"/>
      <w:u w:val="single"/>
    </w:rPr>
  </w:style>
  <w:style w:type="paragraph" w:styleId="Heading2">
    <w:name w:val="heading 2"/>
    <w:basedOn w:val="ListParagraph"/>
    <w:next w:val="Normal"/>
    <w:link w:val="Heading2Char"/>
    <w:qFormat/>
    <w:rsid w:val="001524F2"/>
    <w:pPr>
      <w:keepNext/>
      <w:numPr>
        <w:numId w:val="13"/>
      </w:numPr>
      <w:autoSpaceDE w:val="0"/>
      <w:autoSpaceDN w:val="0"/>
      <w:adjustRightInd w:val="0"/>
      <w:outlineLvl w:val="1"/>
    </w:pPr>
    <w:rPr>
      <w:b/>
    </w:rPr>
  </w:style>
  <w:style w:type="paragraph" w:styleId="Heading3">
    <w:name w:val="heading 3"/>
    <w:basedOn w:val="Normal"/>
    <w:next w:val="sub2"/>
    <w:link w:val="Heading3Char"/>
    <w:qFormat/>
    <w:rsid w:val="006D0CEF"/>
    <w:pPr>
      <w:keepNext/>
      <w:numPr>
        <w:numId w:val="31"/>
      </w:numPr>
      <w:spacing w:after="0"/>
      <w:ind w:left="1080"/>
      <w:outlineLvl w:val="2"/>
    </w:pPr>
    <w:rPr>
      <w:b/>
      <w:color w:val="111111"/>
      <w:szCs w:val="24"/>
    </w:rPr>
  </w:style>
  <w:style w:type="paragraph" w:styleId="Heading4">
    <w:name w:val="heading 4"/>
    <w:basedOn w:val="Normal"/>
    <w:next w:val="sub3"/>
    <w:link w:val="Heading4Char"/>
    <w:qFormat/>
    <w:pPr>
      <w:keepNext/>
      <w:spacing w:before="120"/>
      <w:ind w:firstLine="2880"/>
      <w:outlineLvl w:val="3"/>
    </w:pPr>
    <w:rPr>
      <w:rFonts w:ascii="Helvetica" w:hAnsi="Helvetica"/>
      <w:b/>
      <w:i/>
    </w:rPr>
  </w:style>
  <w:style w:type="paragraph" w:styleId="Heading5">
    <w:name w:val="heading 5"/>
    <w:basedOn w:val="Normal"/>
    <w:next w:val="sub4"/>
    <w:link w:val="Heading5Char"/>
    <w:qFormat/>
    <w:pPr>
      <w:spacing w:before="120"/>
      <w:ind w:firstLine="3600"/>
      <w:outlineLvl w:val="4"/>
    </w:pPr>
    <w:rPr>
      <w:rFonts w:ascii="Helvetica" w:hAnsi="Helvetica"/>
      <w:b/>
    </w:rPr>
  </w:style>
  <w:style w:type="paragraph" w:styleId="Heading6">
    <w:name w:val="heading 6"/>
    <w:basedOn w:val="Normal"/>
    <w:next w:val="Normal"/>
    <w:link w:val="Heading6Char"/>
    <w:qFormat/>
    <w:pPr>
      <w:keepNext/>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524F2"/>
    <w:rPr>
      <w:rFonts w:ascii="Palatino Linotype" w:eastAsia="Times New Roman" w:hAnsi="Palatino Linotype" w:cs="Times New Roman"/>
      <w:b/>
      <w:kern w:val="0"/>
      <w:szCs w:val="20"/>
      <w14:ligatures w14:val="none"/>
    </w:rPr>
  </w:style>
  <w:style w:type="character" w:customStyle="1" w:styleId="Heading1Char">
    <w:name w:val="Heading 1 Char"/>
    <w:link w:val="Heading1"/>
    <w:rsid w:val="00E71E08"/>
    <w:rPr>
      <w:rFonts w:ascii="Palatino Linotype" w:eastAsia="Palatino Linotype" w:hAnsi="Palatino Linotype" w:cs="Palatino"/>
      <w:b/>
      <w:caps/>
      <w:kern w:val="28"/>
      <w:u w:val="single"/>
      <w14:ligatures w14:val="none"/>
    </w:rPr>
  </w:style>
  <w:style w:type="paragraph" w:customStyle="1" w:styleId="footnotedescription">
    <w:name w:val="footnote description"/>
    <w:next w:val="Normal"/>
    <w:link w:val="footnotedescriptionChar"/>
    <w:hidden/>
    <w:pPr>
      <w:spacing w:after="0" w:line="259" w:lineRule="auto"/>
    </w:pPr>
    <w:rPr>
      <w:rFonts w:ascii="Palatino Linotype" w:eastAsia="Palatino Linotype" w:hAnsi="Palatino Linotype" w:cs="Palatino Linotype"/>
      <w:color w:val="000000"/>
      <w:sz w:val="20"/>
    </w:rPr>
  </w:style>
  <w:style w:type="character" w:customStyle="1" w:styleId="footnotedescriptionChar">
    <w:name w:val="footnote description Char"/>
    <w:link w:val="footnotedescription"/>
    <w:rPr>
      <w:rFonts w:ascii="Palatino Linotype" w:eastAsia="Palatino Linotype" w:hAnsi="Palatino Linotype" w:cs="Palatino Linotype"/>
      <w:color w:val="000000"/>
      <w:sz w:val="20"/>
    </w:rPr>
  </w:style>
  <w:style w:type="character" w:customStyle="1" w:styleId="Heading3Char">
    <w:name w:val="Heading 3 Char"/>
    <w:link w:val="Heading3"/>
    <w:rsid w:val="00400F45"/>
    <w:rPr>
      <w:rFonts w:ascii="Palatino Linotype" w:eastAsia="Times New Roman" w:hAnsi="Palatino Linotype" w:cs="Times New Roman"/>
      <w:b/>
      <w:color w:val="111111"/>
      <w:kern w:val="0"/>
      <w14:ligatures w14:val="none"/>
    </w:rPr>
  </w:style>
  <w:style w:type="character" w:customStyle="1" w:styleId="Heading4Char">
    <w:name w:val="Heading 4 Char"/>
    <w:link w:val="Heading4"/>
    <w:rPr>
      <w:rFonts w:ascii="Helvetica" w:eastAsia="Times New Roman" w:hAnsi="Helvetica" w:cs="Times New Roman"/>
      <w:b/>
      <w:i/>
      <w:kern w:val="0"/>
      <w:sz w:val="26"/>
      <w:szCs w:val="20"/>
      <w14:ligatures w14:val="none"/>
    </w:rPr>
  </w:style>
  <w:style w:type="character" w:customStyle="1" w:styleId="Heading5Char">
    <w:name w:val="Heading 5 Char"/>
    <w:link w:val="Heading5"/>
    <w:rPr>
      <w:rFonts w:ascii="Helvetica" w:eastAsia="Times New Roman" w:hAnsi="Helvetica" w:cs="Times New Roman"/>
      <w:b/>
      <w:kern w:val="0"/>
      <w:sz w:val="26"/>
      <w:szCs w:val="20"/>
      <w14:ligatures w14:val="none"/>
    </w:rPr>
  </w:style>
  <w:style w:type="character" w:customStyle="1" w:styleId="footnotemark">
    <w:name w:val="footnote mark"/>
    <w:hidden/>
    <w:rPr>
      <w:rFonts w:ascii="Palatino Linotype" w:eastAsia="Palatino Linotype" w:hAnsi="Palatino Linotype" w:cs="Palatino Linotype"/>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6Char">
    <w:name w:val="Heading 6 Char"/>
    <w:basedOn w:val="DefaultParagraphFont"/>
    <w:link w:val="Heading6"/>
    <w:rsid w:val="00B01834"/>
    <w:rPr>
      <w:rFonts w:ascii="Palatino" w:eastAsia="Times New Roman" w:hAnsi="Palatino" w:cs="Times New Roman"/>
      <w:b/>
      <w:kern w:val="0"/>
      <w:sz w:val="26"/>
      <w:szCs w:val="20"/>
      <w14:ligatures w14:val="none"/>
    </w:rPr>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
    <w:basedOn w:val="Normal"/>
    <w:link w:val="FootnoteTextChar"/>
    <w:rsid w:val="00320902"/>
    <w:pPr>
      <w:tabs>
        <w:tab w:val="num" w:pos="360"/>
      </w:tabs>
      <w:spacing w:after="0"/>
      <w:ind w:left="360" w:hanging="360"/>
    </w:pPr>
    <w:rPr>
      <w:sz w:val="20"/>
    </w:rPr>
  </w:style>
  <w:style w:type="character" w:customStyle="1" w:styleId="FootnoteTextChar">
    <w:name w:val="Footnote Text Char"/>
    <w:aliases w:val="Footnote Text Char1 Char1,Footnote Text Char Char Char1,Footnote Text Char1 Char Char,Footnote Text Char Char Char Char,Char Char Char,Footnote Text Char2 Char Char,Footnote Text Char2 Char Char Char Char Char"/>
    <w:basedOn w:val="DefaultParagraphFont"/>
    <w:link w:val="FootnoteText"/>
    <w:uiPriority w:val="99"/>
    <w:rsid w:val="000C6D6B"/>
    <w:rPr>
      <w:rFonts w:ascii="Palatino" w:eastAsia="Times New Roman" w:hAnsi="Palatino" w:cs="Times New Roman"/>
      <w:kern w:val="0"/>
      <w:sz w:val="20"/>
      <w:szCs w:val="20"/>
      <w14:ligatures w14:val="none"/>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sid w:val="00B01834"/>
    <w:rPr>
      <w:rFonts w:ascii="Palatino" w:eastAsia="Times New Roman" w:hAnsi="Palatino" w:cs="Times New Roman"/>
      <w:kern w:val="0"/>
      <w:sz w:val="20"/>
      <w:szCs w:val="20"/>
      <w14:ligatures w14:val="none"/>
    </w:rPr>
  </w:style>
  <w:style w:type="paragraph" w:customStyle="1" w:styleId="standard">
    <w:name w:val="standard"/>
    <w:basedOn w:val="Normal"/>
    <w:pPr>
      <w:spacing w:line="360" w:lineRule="auto"/>
      <w:ind w:firstLine="720"/>
    </w:pPr>
  </w:style>
  <w:style w:type="paragraph" w:styleId="Subtitle">
    <w:name w:val="Subtitle"/>
    <w:basedOn w:val="Normal"/>
    <w:link w:val="SubtitleChar"/>
    <w:qFormat/>
    <w:pPr>
      <w:spacing w:after="60"/>
      <w:jc w:val="center"/>
    </w:pPr>
    <w:rPr>
      <w:rFonts w:ascii="Arial" w:hAnsi="Arial"/>
    </w:rPr>
  </w:style>
  <w:style w:type="character" w:customStyle="1" w:styleId="SubtitleChar">
    <w:name w:val="Subtitle Char"/>
    <w:basedOn w:val="DefaultParagraphFont"/>
    <w:link w:val="Subtitle"/>
    <w:rsid w:val="00B01834"/>
    <w:rPr>
      <w:rFonts w:ascii="Arial" w:eastAsia="Times New Roman" w:hAnsi="Arial" w:cs="Times New Roman"/>
      <w:kern w:val="0"/>
      <w:sz w:val="26"/>
      <w:szCs w:val="20"/>
      <w14:ligatures w14:val="none"/>
    </w:rPr>
  </w:style>
  <w:style w:type="paragraph" w:customStyle="1" w:styleId="Quote1">
    <w:name w:val="Quote1"/>
    <w:basedOn w:val="standard"/>
    <w:next w:val="standard"/>
    <w:rsid w:val="00B01834"/>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rsid w:val="00B01834"/>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link w:val="HeaderChar"/>
    <w:uiPriority w:val="99"/>
    <w:pPr>
      <w:widowControl w:val="0"/>
      <w:tabs>
        <w:tab w:val="center" w:pos="4320"/>
        <w:tab w:val="right" w:pos="8640"/>
      </w:tabs>
    </w:pPr>
  </w:style>
  <w:style w:type="character" w:customStyle="1" w:styleId="HeaderChar">
    <w:name w:val="Header Char"/>
    <w:basedOn w:val="DefaultParagraphFont"/>
    <w:link w:val="Header"/>
    <w:uiPriority w:val="99"/>
    <w:rsid w:val="00B01834"/>
    <w:rPr>
      <w:rFonts w:ascii="Palatino" w:eastAsia="Times New Roman" w:hAnsi="Palatino" w:cs="Times New Roman"/>
      <w:kern w:val="0"/>
      <w:sz w:val="26"/>
      <w:szCs w:val="20"/>
      <w14:ligatures w14:val="none"/>
    </w:rPr>
  </w:style>
  <w:style w:type="paragraph" w:customStyle="1" w:styleId="num2">
    <w:name w:val="num2"/>
    <w:basedOn w:val="num1"/>
    <w:rsid w:val="00B01834"/>
    <w:pPr>
      <w:ind w:firstLine="270"/>
    </w:pPr>
  </w:style>
  <w:style w:type="paragraph" w:styleId="Footer">
    <w:name w:val="footer"/>
    <w:basedOn w:val="Normal"/>
    <w:link w:val="FooterChar"/>
    <w:uiPriority w:val="99"/>
    <w:pPr>
      <w:tabs>
        <w:tab w:val="center" w:pos="4320"/>
        <w:tab w:val="right" w:pos="8640"/>
      </w:tabs>
      <w:jc w:val="center"/>
    </w:pPr>
  </w:style>
  <w:style w:type="character" w:customStyle="1" w:styleId="FooterChar">
    <w:name w:val="Footer Char"/>
    <w:basedOn w:val="DefaultParagraphFont"/>
    <w:link w:val="Footer"/>
    <w:uiPriority w:val="99"/>
    <w:rsid w:val="00B01834"/>
    <w:rPr>
      <w:rFonts w:ascii="Palatino" w:eastAsia="Times New Roman" w:hAnsi="Palatino" w:cs="Times New Roman"/>
      <w:kern w:val="0"/>
      <w:sz w:val="26"/>
      <w:szCs w:val="20"/>
      <w14:ligatures w14:val="none"/>
    </w:rPr>
  </w:style>
  <w:style w:type="paragraph" w:customStyle="1" w:styleId="sub1">
    <w:name w:val="sub1"/>
    <w:basedOn w:val="Normal"/>
    <w:pPr>
      <w:spacing w:line="360" w:lineRule="auto"/>
      <w:ind w:firstLine="1440"/>
    </w:pPr>
  </w:style>
  <w:style w:type="paragraph" w:customStyle="1" w:styleId="titlebar">
    <w:name w:val="title bar"/>
    <w:basedOn w:val="main"/>
    <w:rsid w:val="00B01834"/>
    <w:pPr>
      <w:keepNext/>
      <w:suppressAutoHyphens/>
    </w:pPr>
  </w:style>
  <w:style w:type="character" w:styleId="PageNumber">
    <w:name w:val="page number"/>
    <w:basedOn w:val="DefaultParagraphFont"/>
    <w:rsid w:val="00B01834"/>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7"/>
      </w:numPr>
      <w:ind w:left="1440" w:hanging="720"/>
    </w:pPr>
  </w:style>
  <w:style w:type="character" w:styleId="EndnoteReference">
    <w:name w:val="endnote reference"/>
    <w:semiHidden/>
    <w:rsid w:val="00B01834"/>
    <w:rPr>
      <w:vertAlign w:val="superscript"/>
    </w:rPr>
  </w:style>
  <w:style w:type="paragraph" w:customStyle="1" w:styleId="1ListIndent">
    <w:name w:val="1. List Indent"/>
    <w:basedOn w:val="num2"/>
    <w:pPr>
      <w:numPr>
        <w:numId w:val="8"/>
      </w:numPr>
      <w:ind w:left="1080"/>
    </w:pPr>
  </w:style>
  <w:style w:type="character" w:styleId="FootnoteReference">
    <w:name w:val="footnote reference"/>
    <w:aliases w:val="o,fr,Style 3,o1,o2,o3,o4,o5,o6,o11,o21,o7,Footnote Reference1"/>
    <w:qFormat/>
    <w:rsid w:val="00B01834"/>
    <w:rPr>
      <w:vertAlign w:val="superscript"/>
    </w:rPr>
  </w:style>
  <w:style w:type="paragraph" w:styleId="List">
    <w:name w:val="List"/>
    <w:basedOn w:val="Normal"/>
    <w:pPr>
      <w:ind w:left="360" w:hanging="360"/>
    </w:pPr>
    <w:rPr>
      <w:rFonts w:ascii="Times New Roman" w:hAnsi="Times New Roman"/>
    </w:rPr>
  </w:style>
  <w:style w:type="paragraph" w:customStyle="1" w:styleId="Res-Caption">
    <w:name w:val="Res-Caption"/>
    <w:basedOn w:val="Normal"/>
    <w:rsid w:val="00212ED2"/>
    <w:pPr>
      <w:keepNext/>
      <w:ind w:left="720" w:right="720"/>
    </w:pPr>
  </w:style>
  <w:style w:type="paragraph" w:customStyle="1" w:styleId="Res-TitleResolution">
    <w:name w:val="Res-Title (Resolution)"/>
    <w:basedOn w:val="main"/>
    <w:rsid w:val="00B01834"/>
  </w:style>
  <w:style w:type="paragraph" w:customStyle="1" w:styleId="ALs">
    <w:name w:val="ALs"/>
    <w:basedOn w:val="Normal"/>
    <w:rPr>
      <w:rFonts w:ascii="Times New Roman" w:hAnsi="Times New Roman"/>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D822FD"/>
    <w:rPr>
      <w:rFonts w:ascii="Segoe UI" w:hAnsi="Segoe UI" w:cs="Segoe UI"/>
      <w:sz w:val="18"/>
      <w:szCs w:val="18"/>
    </w:rPr>
  </w:style>
  <w:style w:type="character" w:customStyle="1" w:styleId="BalloonTextChar">
    <w:name w:val="Balloon Text Char"/>
    <w:basedOn w:val="DefaultParagraphFont"/>
    <w:link w:val="BalloonText"/>
    <w:rsid w:val="00B01834"/>
    <w:rPr>
      <w:rFonts w:ascii="Segoe UI" w:eastAsia="Times New Roman" w:hAnsi="Segoe UI" w:cs="Segoe UI"/>
      <w:kern w:val="0"/>
      <w:sz w:val="18"/>
      <w:szCs w:val="18"/>
      <w14:ligatures w14:val="none"/>
    </w:rPr>
  </w:style>
  <w:style w:type="character" w:styleId="Hyperlink">
    <w:name w:val="Hyperlink"/>
    <w:basedOn w:val="DefaultParagraphFont"/>
    <w:unhideWhenUsed/>
    <w:rsid w:val="00B01834"/>
    <w:rPr>
      <w:color w:val="467886" w:themeColor="hyperlink"/>
      <w:u w:val="single"/>
    </w:rPr>
  </w:style>
  <w:style w:type="character" w:styleId="UnresolvedMention">
    <w:name w:val="Unresolved Mention"/>
    <w:basedOn w:val="DefaultParagraphFont"/>
    <w:uiPriority w:val="99"/>
    <w:semiHidden/>
    <w:unhideWhenUsed/>
    <w:rsid w:val="00B01834"/>
    <w:rPr>
      <w:color w:val="605E5C"/>
      <w:shd w:val="clear" w:color="auto" w:fill="E1DFDD"/>
    </w:rPr>
  </w:style>
  <w:style w:type="character" w:styleId="FollowedHyperlink">
    <w:name w:val="FollowedHyperlink"/>
    <w:basedOn w:val="DefaultParagraphFont"/>
    <w:semiHidden/>
    <w:unhideWhenUsed/>
    <w:rsid w:val="00B01834"/>
    <w:rPr>
      <w:color w:val="96607D" w:themeColor="followedHyperlink"/>
      <w:u w:val="single"/>
    </w:rPr>
  </w:style>
  <w:style w:type="paragraph" w:customStyle="1" w:styleId="xres-caption">
    <w:name w:val="x_res-caption"/>
    <w:basedOn w:val="Normal"/>
    <w:rsid w:val="003B28DC"/>
    <w:pPr>
      <w:spacing w:before="100" w:beforeAutospacing="1" w:after="100" w:afterAutospacing="1"/>
    </w:pPr>
    <w:rPr>
      <w:rFonts w:ascii="Times New Roman" w:hAnsi="Times New Roman"/>
      <w:szCs w:val="24"/>
    </w:rPr>
  </w:style>
  <w:style w:type="paragraph" w:customStyle="1" w:styleId="Default">
    <w:name w:val="Default"/>
    <w:rsid w:val="00545FF0"/>
    <w:pPr>
      <w:autoSpaceDE w:val="0"/>
      <w:autoSpaceDN w:val="0"/>
      <w:adjustRightInd w:val="0"/>
      <w:spacing w:after="0" w:line="240" w:lineRule="auto"/>
    </w:pPr>
    <w:rPr>
      <w:rFonts w:ascii="Palatino Linotype" w:eastAsia="Times New Roman" w:hAnsi="Palatino Linotype" w:cs="Palatino Linotype"/>
      <w:color w:val="000000"/>
      <w:kern w:val="0"/>
      <w14:ligatures w14:val="none"/>
    </w:rPr>
  </w:style>
  <w:style w:type="paragraph" w:styleId="Revision">
    <w:name w:val="Revision"/>
    <w:hidden/>
    <w:uiPriority w:val="99"/>
    <w:semiHidden/>
    <w:rsid w:val="00BA3E75"/>
    <w:pPr>
      <w:spacing w:after="0" w:line="240" w:lineRule="auto"/>
    </w:pPr>
    <w:rPr>
      <w:rFonts w:ascii="Palatino" w:eastAsia="Times New Roman" w:hAnsi="Palatino" w:cs="Times New Roman"/>
      <w:kern w:val="0"/>
      <w:sz w:val="26"/>
      <w:szCs w:val="20"/>
      <w14:ligatures w14:val="none"/>
    </w:rPr>
  </w:style>
  <w:style w:type="character" w:styleId="CommentReference">
    <w:name w:val="annotation reference"/>
    <w:basedOn w:val="DefaultParagraphFont"/>
    <w:semiHidden/>
    <w:unhideWhenUsed/>
    <w:rsid w:val="00B01834"/>
    <w:rPr>
      <w:sz w:val="16"/>
      <w:szCs w:val="16"/>
    </w:rPr>
  </w:style>
  <w:style w:type="paragraph" w:styleId="CommentText">
    <w:name w:val="annotation text"/>
    <w:basedOn w:val="Normal"/>
    <w:link w:val="CommentTextChar"/>
    <w:unhideWhenUsed/>
    <w:rsid w:val="00FC021C"/>
    <w:rPr>
      <w:sz w:val="20"/>
    </w:rPr>
  </w:style>
  <w:style w:type="character" w:customStyle="1" w:styleId="CommentTextChar">
    <w:name w:val="Comment Text Char"/>
    <w:basedOn w:val="DefaultParagraphFont"/>
    <w:link w:val="CommentText"/>
    <w:rsid w:val="00B01834"/>
    <w:rPr>
      <w:rFonts w:ascii="Palatino" w:eastAsia="Times New Roman" w:hAnsi="Palatino"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B01834"/>
    <w:rPr>
      <w:b/>
      <w:bCs/>
    </w:rPr>
  </w:style>
  <w:style w:type="character" w:customStyle="1" w:styleId="CommentSubjectChar">
    <w:name w:val="Comment Subject Char"/>
    <w:basedOn w:val="CommentTextChar"/>
    <w:link w:val="CommentSubject"/>
    <w:semiHidden/>
    <w:rsid w:val="00B01834"/>
    <w:rPr>
      <w:rFonts w:ascii="Palatino" w:eastAsia="Times New Roman" w:hAnsi="Palatino" w:cs="Times New Roman"/>
      <w:b/>
      <w:bCs/>
      <w:kern w:val="0"/>
      <w:sz w:val="20"/>
      <w:szCs w:val="20"/>
      <w14:ligatures w14:val="none"/>
    </w:rPr>
  </w:style>
  <w:style w:type="character" w:styleId="Mention">
    <w:name w:val="Mention"/>
    <w:basedOn w:val="DefaultParagraphFont"/>
    <w:uiPriority w:val="99"/>
    <w:unhideWhenUsed/>
    <w:rsid w:val="00B01834"/>
    <w:rPr>
      <w:color w:val="2B579A"/>
      <w:shd w:val="clear" w:color="auto" w:fill="E1DFDD"/>
    </w:rPr>
  </w:style>
  <w:style w:type="table" w:styleId="TableGrid0">
    <w:name w:val="Table Grid"/>
    <w:basedOn w:val="TableNormal"/>
    <w:uiPriority w:val="59"/>
    <w:rsid w:val="00B01834"/>
    <w:pPr>
      <w:spacing w:after="0" w:line="240" w:lineRule="auto"/>
    </w:pPr>
    <w:rPr>
      <w:rFonts w:ascii="Times New Roman" w:eastAsia="Times New Roman" w:hAnsi="Times New Roman"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F2456C"/>
    <w:pPr>
      <w:spacing w:before="100" w:beforeAutospacing="1" w:after="100" w:afterAutospacing="1"/>
    </w:pPr>
    <w:rPr>
      <w:rFonts w:ascii="Times New Roman" w:hAnsi="Times New Roman"/>
      <w:szCs w:val="24"/>
    </w:rPr>
  </w:style>
  <w:style w:type="character" w:customStyle="1" w:styleId="cf01">
    <w:name w:val="cf01"/>
    <w:basedOn w:val="DefaultParagraphFont"/>
    <w:rsid w:val="00B01834"/>
    <w:rPr>
      <w:rFonts w:ascii="Segoe UI" w:hAnsi="Segoe UI" w:cs="Segoe UI" w:hint="default"/>
      <w:sz w:val="18"/>
      <w:szCs w:val="18"/>
    </w:rPr>
  </w:style>
  <w:style w:type="character" w:customStyle="1" w:styleId="fs4dt9v">
    <w:name w:val="fs4dt9v"/>
    <w:basedOn w:val="DefaultParagraphFont"/>
    <w:rsid w:val="00B01834"/>
  </w:style>
  <w:style w:type="paragraph" w:customStyle="1" w:styleId="FootnoteText1">
    <w:name w:val="Footnote Text1"/>
    <w:basedOn w:val="FootnoteText"/>
    <w:link w:val="FootnotetextChar0"/>
    <w:qFormat/>
    <w:rsid w:val="009A3519"/>
    <w:pPr>
      <w:tabs>
        <w:tab w:val="clear" w:pos="360"/>
      </w:tabs>
    </w:pPr>
  </w:style>
  <w:style w:type="character" w:customStyle="1" w:styleId="FootnotetextChar0">
    <w:name w:val="Footnote text Char"/>
    <w:basedOn w:val="FootnoteTextChar"/>
    <w:link w:val="FootnoteText1"/>
    <w:rsid w:val="009A3519"/>
    <w:rPr>
      <w:rFonts w:ascii="Palatino Linotype" w:eastAsia="Times New Roman" w:hAnsi="Palatino Linotype" w:cs="Times New Roman"/>
      <w:kern w:val="0"/>
      <w:sz w:val="20"/>
      <w:szCs w:val="20"/>
      <w14:ligatures w14:val="none"/>
    </w:rPr>
  </w:style>
  <w:style w:type="paragraph" w:styleId="BodyText">
    <w:name w:val="Body Text"/>
    <w:basedOn w:val="Normal"/>
    <w:link w:val="BodyTextChar"/>
    <w:uiPriority w:val="1"/>
    <w:qFormat/>
    <w:rsid w:val="00794936"/>
    <w:pPr>
      <w:widowControl w:val="0"/>
      <w:autoSpaceDE w:val="0"/>
      <w:autoSpaceDN w:val="0"/>
      <w:spacing w:after="0"/>
    </w:pPr>
    <w:rPr>
      <w:rFonts w:ascii="Times New Roman" w:hAnsi="Times New Roman"/>
      <w:szCs w:val="24"/>
    </w:rPr>
  </w:style>
  <w:style w:type="character" w:customStyle="1" w:styleId="BodyTextChar">
    <w:name w:val="Body Text Char"/>
    <w:basedOn w:val="DefaultParagraphFont"/>
    <w:link w:val="BodyText"/>
    <w:uiPriority w:val="1"/>
    <w:rsid w:val="0079493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6832">
      <w:bodyDiv w:val="1"/>
      <w:marLeft w:val="0"/>
      <w:marRight w:val="0"/>
      <w:marTop w:val="0"/>
      <w:marBottom w:val="0"/>
      <w:divBdr>
        <w:top w:val="none" w:sz="0" w:space="0" w:color="auto"/>
        <w:left w:val="none" w:sz="0" w:space="0" w:color="auto"/>
        <w:bottom w:val="none" w:sz="0" w:space="0" w:color="auto"/>
        <w:right w:val="none" w:sz="0" w:space="0" w:color="auto"/>
      </w:divBdr>
    </w:div>
    <w:div w:id="102652076">
      <w:bodyDiv w:val="1"/>
      <w:marLeft w:val="0"/>
      <w:marRight w:val="0"/>
      <w:marTop w:val="0"/>
      <w:marBottom w:val="0"/>
      <w:divBdr>
        <w:top w:val="none" w:sz="0" w:space="0" w:color="auto"/>
        <w:left w:val="none" w:sz="0" w:space="0" w:color="auto"/>
        <w:bottom w:val="none" w:sz="0" w:space="0" w:color="auto"/>
        <w:right w:val="none" w:sz="0" w:space="0" w:color="auto"/>
      </w:divBdr>
    </w:div>
    <w:div w:id="121927587">
      <w:bodyDiv w:val="1"/>
      <w:marLeft w:val="0"/>
      <w:marRight w:val="0"/>
      <w:marTop w:val="0"/>
      <w:marBottom w:val="0"/>
      <w:divBdr>
        <w:top w:val="none" w:sz="0" w:space="0" w:color="auto"/>
        <w:left w:val="none" w:sz="0" w:space="0" w:color="auto"/>
        <w:bottom w:val="none" w:sz="0" w:space="0" w:color="auto"/>
        <w:right w:val="none" w:sz="0" w:space="0" w:color="auto"/>
      </w:divBdr>
    </w:div>
    <w:div w:id="270433448">
      <w:bodyDiv w:val="1"/>
      <w:marLeft w:val="0"/>
      <w:marRight w:val="0"/>
      <w:marTop w:val="0"/>
      <w:marBottom w:val="0"/>
      <w:divBdr>
        <w:top w:val="none" w:sz="0" w:space="0" w:color="auto"/>
        <w:left w:val="none" w:sz="0" w:space="0" w:color="auto"/>
        <w:bottom w:val="none" w:sz="0" w:space="0" w:color="auto"/>
        <w:right w:val="none" w:sz="0" w:space="0" w:color="auto"/>
      </w:divBdr>
    </w:div>
    <w:div w:id="288247277">
      <w:bodyDiv w:val="1"/>
      <w:marLeft w:val="0"/>
      <w:marRight w:val="0"/>
      <w:marTop w:val="0"/>
      <w:marBottom w:val="0"/>
      <w:divBdr>
        <w:top w:val="none" w:sz="0" w:space="0" w:color="auto"/>
        <w:left w:val="none" w:sz="0" w:space="0" w:color="auto"/>
        <w:bottom w:val="none" w:sz="0" w:space="0" w:color="auto"/>
        <w:right w:val="none" w:sz="0" w:space="0" w:color="auto"/>
      </w:divBdr>
    </w:div>
    <w:div w:id="290937814">
      <w:bodyDiv w:val="1"/>
      <w:marLeft w:val="0"/>
      <w:marRight w:val="0"/>
      <w:marTop w:val="0"/>
      <w:marBottom w:val="0"/>
      <w:divBdr>
        <w:top w:val="none" w:sz="0" w:space="0" w:color="auto"/>
        <w:left w:val="none" w:sz="0" w:space="0" w:color="auto"/>
        <w:bottom w:val="none" w:sz="0" w:space="0" w:color="auto"/>
        <w:right w:val="none" w:sz="0" w:space="0" w:color="auto"/>
      </w:divBdr>
      <w:divsChild>
        <w:div w:id="932979066">
          <w:marLeft w:val="0"/>
          <w:marRight w:val="0"/>
          <w:marTop w:val="0"/>
          <w:marBottom w:val="0"/>
          <w:divBdr>
            <w:top w:val="none" w:sz="0" w:space="0" w:color="auto"/>
            <w:left w:val="none" w:sz="0" w:space="0" w:color="auto"/>
            <w:bottom w:val="none" w:sz="0" w:space="0" w:color="auto"/>
            <w:right w:val="none" w:sz="0" w:space="0" w:color="auto"/>
          </w:divBdr>
          <w:divsChild>
            <w:div w:id="174423854">
              <w:marLeft w:val="0"/>
              <w:marRight w:val="0"/>
              <w:marTop w:val="0"/>
              <w:marBottom w:val="0"/>
              <w:divBdr>
                <w:top w:val="none" w:sz="0" w:space="0" w:color="auto"/>
                <w:left w:val="none" w:sz="0" w:space="0" w:color="auto"/>
                <w:bottom w:val="none" w:sz="0" w:space="0" w:color="auto"/>
                <w:right w:val="none" w:sz="0" w:space="0" w:color="auto"/>
              </w:divBdr>
              <w:divsChild>
                <w:div w:id="1358773289">
                  <w:marLeft w:val="0"/>
                  <w:marRight w:val="0"/>
                  <w:marTop w:val="0"/>
                  <w:marBottom w:val="0"/>
                  <w:divBdr>
                    <w:top w:val="none" w:sz="0" w:space="0" w:color="auto"/>
                    <w:left w:val="none" w:sz="0" w:space="0" w:color="auto"/>
                    <w:bottom w:val="none" w:sz="0" w:space="0" w:color="auto"/>
                    <w:right w:val="none" w:sz="0" w:space="0" w:color="auto"/>
                  </w:divBdr>
                  <w:divsChild>
                    <w:div w:id="281883887">
                      <w:marLeft w:val="0"/>
                      <w:marRight w:val="0"/>
                      <w:marTop w:val="0"/>
                      <w:marBottom w:val="0"/>
                      <w:divBdr>
                        <w:top w:val="none" w:sz="0" w:space="0" w:color="auto"/>
                        <w:left w:val="none" w:sz="0" w:space="0" w:color="auto"/>
                        <w:bottom w:val="none" w:sz="0" w:space="0" w:color="auto"/>
                        <w:right w:val="none" w:sz="0" w:space="0" w:color="auto"/>
                      </w:divBdr>
                      <w:divsChild>
                        <w:div w:id="734820721">
                          <w:marLeft w:val="0"/>
                          <w:marRight w:val="0"/>
                          <w:marTop w:val="0"/>
                          <w:marBottom w:val="0"/>
                          <w:divBdr>
                            <w:top w:val="none" w:sz="0" w:space="0" w:color="auto"/>
                            <w:left w:val="none" w:sz="0" w:space="0" w:color="auto"/>
                            <w:bottom w:val="none" w:sz="0" w:space="0" w:color="auto"/>
                            <w:right w:val="none" w:sz="0" w:space="0" w:color="auto"/>
                          </w:divBdr>
                        </w:div>
                      </w:divsChild>
                    </w:div>
                    <w:div w:id="1531989787">
                      <w:marLeft w:val="0"/>
                      <w:marRight w:val="0"/>
                      <w:marTop w:val="0"/>
                      <w:marBottom w:val="0"/>
                      <w:divBdr>
                        <w:top w:val="none" w:sz="0" w:space="0" w:color="auto"/>
                        <w:left w:val="none" w:sz="0" w:space="0" w:color="auto"/>
                        <w:bottom w:val="none" w:sz="0" w:space="0" w:color="auto"/>
                        <w:right w:val="none" w:sz="0" w:space="0" w:color="auto"/>
                      </w:divBdr>
                      <w:divsChild>
                        <w:div w:id="360857392">
                          <w:marLeft w:val="0"/>
                          <w:marRight w:val="0"/>
                          <w:marTop w:val="0"/>
                          <w:marBottom w:val="0"/>
                          <w:divBdr>
                            <w:top w:val="none" w:sz="0" w:space="0" w:color="auto"/>
                            <w:left w:val="none" w:sz="0" w:space="0" w:color="auto"/>
                            <w:bottom w:val="none" w:sz="0" w:space="0" w:color="auto"/>
                            <w:right w:val="none" w:sz="0" w:space="0" w:color="auto"/>
                          </w:divBdr>
                        </w:div>
                        <w:div w:id="526719861">
                          <w:marLeft w:val="0"/>
                          <w:marRight w:val="0"/>
                          <w:marTop w:val="0"/>
                          <w:marBottom w:val="0"/>
                          <w:divBdr>
                            <w:top w:val="none" w:sz="0" w:space="0" w:color="auto"/>
                            <w:left w:val="none" w:sz="0" w:space="0" w:color="auto"/>
                            <w:bottom w:val="none" w:sz="0" w:space="0" w:color="auto"/>
                            <w:right w:val="none" w:sz="0" w:space="0" w:color="auto"/>
                          </w:divBdr>
                        </w:div>
                        <w:div w:id="1240364401">
                          <w:marLeft w:val="0"/>
                          <w:marRight w:val="0"/>
                          <w:marTop w:val="0"/>
                          <w:marBottom w:val="0"/>
                          <w:divBdr>
                            <w:top w:val="none" w:sz="0" w:space="0" w:color="auto"/>
                            <w:left w:val="none" w:sz="0" w:space="0" w:color="auto"/>
                            <w:bottom w:val="none" w:sz="0" w:space="0" w:color="auto"/>
                            <w:right w:val="none" w:sz="0" w:space="0" w:color="auto"/>
                          </w:divBdr>
                        </w:div>
                        <w:div w:id="1688022041">
                          <w:marLeft w:val="0"/>
                          <w:marRight w:val="0"/>
                          <w:marTop w:val="0"/>
                          <w:marBottom w:val="0"/>
                          <w:divBdr>
                            <w:top w:val="none" w:sz="0" w:space="0" w:color="auto"/>
                            <w:left w:val="none" w:sz="0" w:space="0" w:color="auto"/>
                            <w:bottom w:val="none" w:sz="0" w:space="0" w:color="auto"/>
                            <w:right w:val="none" w:sz="0" w:space="0" w:color="auto"/>
                          </w:divBdr>
                        </w:div>
                      </w:divsChild>
                    </w:div>
                    <w:div w:id="20873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352851962">
      <w:bodyDiv w:val="1"/>
      <w:marLeft w:val="0"/>
      <w:marRight w:val="0"/>
      <w:marTop w:val="0"/>
      <w:marBottom w:val="0"/>
      <w:divBdr>
        <w:top w:val="none" w:sz="0" w:space="0" w:color="auto"/>
        <w:left w:val="none" w:sz="0" w:space="0" w:color="auto"/>
        <w:bottom w:val="none" w:sz="0" w:space="0" w:color="auto"/>
        <w:right w:val="none" w:sz="0" w:space="0" w:color="auto"/>
      </w:divBdr>
    </w:div>
    <w:div w:id="402724305">
      <w:bodyDiv w:val="1"/>
      <w:marLeft w:val="0"/>
      <w:marRight w:val="0"/>
      <w:marTop w:val="0"/>
      <w:marBottom w:val="0"/>
      <w:divBdr>
        <w:top w:val="none" w:sz="0" w:space="0" w:color="auto"/>
        <w:left w:val="none" w:sz="0" w:space="0" w:color="auto"/>
        <w:bottom w:val="none" w:sz="0" w:space="0" w:color="auto"/>
        <w:right w:val="none" w:sz="0" w:space="0" w:color="auto"/>
      </w:divBdr>
      <w:divsChild>
        <w:div w:id="1379090903">
          <w:marLeft w:val="0"/>
          <w:marRight w:val="0"/>
          <w:marTop w:val="0"/>
          <w:marBottom w:val="0"/>
          <w:divBdr>
            <w:top w:val="none" w:sz="0" w:space="0" w:color="auto"/>
            <w:left w:val="none" w:sz="0" w:space="0" w:color="auto"/>
            <w:bottom w:val="none" w:sz="0" w:space="0" w:color="auto"/>
            <w:right w:val="none" w:sz="0" w:space="0" w:color="auto"/>
          </w:divBdr>
          <w:divsChild>
            <w:div w:id="572934955">
              <w:marLeft w:val="0"/>
              <w:marRight w:val="0"/>
              <w:marTop w:val="0"/>
              <w:marBottom w:val="0"/>
              <w:divBdr>
                <w:top w:val="none" w:sz="0" w:space="0" w:color="auto"/>
                <w:left w:val="none" w:sz="0" w:space="0" w:color="auto"/>
                <w:bottom w:val="none" w:sz="0" w:space="0" w:color="auto"/>
                <w:right w:val="none" w:sz="0" w:space="0" w:color="auto"/>
              </w:divBdr>
              <w:divsChild>
                <w:div w:id="1965457264">
                  <w:marLeft w:val="0"/>
                  <w:marRight w:val="0"/>
                  <w:marTop w:val="0"/>
                  <w:marBottom w:val="0"/>
                  <w:divBdr>
                    <w:top w:val="none" w:sz="0" w:space="0" w:color="auto"/>
                    <w:left w:val="none" w:sz="0" w:space="0" w:color="auto"/>
                    <w:bottom w:val="none" w:sz="0" w:space="0" w:color="auto"/>
                    <w:right w:val="none" w:sz="0" w:space="0" w:color="auto"/>
                  </w:divBdr>
                  <w:divsChild>
                    <w:div w:id="1461875790">
                      <w:marLeft w:val="0"/>
                      <w:marRight w:val="0"/>
                      <w:marTop w:val="0"/>
                      <w:marBottom w:val="0"/>
                      <w:divBdr>
                        <w:top w:val="none" w:sz="0" w:space="0" w:color="auto"/>
                        <w:left w:val="none" w:sz="0" w:space="0" w:color="auto"/>
                        <w:bottom w:val="none" w:sz="0" w:space="0" w:color="auto"/>
                        <w:right w:val="none" w:sz="0" w:space="0" w:color="auto"/>
                      </w:divBdr>
                    </w:div>
                    <w:div w:id="1863588819">
                      <w:marLeft w:val="0"/>
                      <w:marRight w:val="0"/>
                      <w:marTop w:val="0"/>
                      <w:marBottom w:val="0"/>
                      <w:divBdr>
                        <w:top w:val="none" w:sz="0" w:space="0" w:color="auto"/>
                        <w:left w:val="none" w:sz="0" w:space="0" w:color="auto"/>
                        <w:bottom w:val="none" w:sz="0" w:space="0" w:color="auto"/>
                        <w:right w:val="none" w:sz="0" w:space="0" w:color="auto"/>
                      </w:divBdr>
                      <w:divsChild>
                        <w:div w:id="613946999">
                          <w:marLeft w:val="0"/>
                          <w:marRight w:val="0"/>
                          <w:marTop w:val="0"/>
                          <w:marBottom w:val="0"/>
                          <w:divBdr>
                            <w:top w:val="none" w:sz="0" w:space="0" w:color="auto"/>
                            <w:left w:val="none" w:sz="0" w:space="0" w:color="auto"/>
                            <w:bottom w:val="none" w:sz="0" w:space="0" w:color="auto"/>
                            <w:right w:val="none" w:sz="0" w:space="0" w:color="auto"/>
                          </w:divBdr>
                        </w:div>
                        <w:div w:id="642080185">
                          <w:marLeft w:val="0"/>
                          <w:marRight w:val="0"/>
                          <w:marTop w:val="0"/>
                          <w:marBottom w:val="0"/>
                          <w:divBdr>
                            <w:top w:val="none" w:sz="0" w:space="0" w:color="auto"/>
                            <w:left w:val="none" w:sz="0" w:space="0" w:color="auto"/>
                            <w:bottom w:val="none" w:sz="0" w:space="0" w:color="auto"/>
                            <w:right w:val="none" w:sz="0" w:space="0" w:color="auto"/>
                          </w:divBdr>
                        </w:div>
                        <w:div w:id="1646624349">
                          <w:marLeft w:val="0"/>
                          <w:marRight w:val="0"/>
                          <w:marTop w:val="0"/>
                          <w:marBottom w:val="0"/>
                          <w:divBdr>
                            <w:top w:val="none" w:sz="0" w:space="0" w:color="auto"/>
                            <w:left w:val="none" w:sz="0" w:space="0" w:color="auto"/>
                            <w:bottom w:val="none" w:sz="0" w:space="0" w:color="auto"/>
                            <w:right w:val="none" w:sz="0" w:space="0" w:color="auto"/>
                          </w:divBdr>
                        </w:div>
                        <w:div w:id="1686203188">
                          <w:marLeft w:val="0"/>
                          <w:marRight w:val="0"/>
                          <w:marTop w:val="0"/>
                          <w:marBottom w:val="0"/>
                          <w:divBdr>
                            <w:top w:val="none" w:sz="0" w:space="0" w:color="auto"/>
                            <w:left w:val="none" w:sz="0" w:space="0" w:color="auto"/>
                            <w:bottom w:val="none" w:sz="0" w:space="0" w:color="auto"/>
                            <w:right w:val="none" w:sz="0" w:space="0" w:color="auto"/>
                          </w:divBdr>
                        </w:div>
                      </w:divsChild>
                    </w:div>
                    <w:div w:id="1935432288">
                      <w:marLeft w:val="0"/>
                      <w:marRight w:val="0"/>
                      <w:marTop w:val="0"/>
                      <w:marBottom w:val="0"/>
                      <w:divBdr>
                        <w:top w:val="none" w:sz="0" w:space="0" w:color="auto"/>
                        <w:left w:val="none" w:sz="0" w:space="0" w:color="auto"/>
                        <w:bottom w:val="none" w:sz="0" w:space="0" w:color="auto"/>
                        <w:right w:val="none" w:sz="0" w:space="0" w:color="auto"/>
                      </w:divBdr>
                      <w:divsChild>
                        <w:div w:id="2712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298961">
      <w:bodyDiv w:val="1"/>
      <w:marLeft w:val="0"/>
      <w:marRight w:val="0"/>
      <w:marTop w:val="0"/>
      <w:marBottom w:val="0"/>
      <w:divBdr>
        <w:top w:val="none" w:sz="0" w:space="0" w:color="auto"/>
        <w:left w:val="none" w:sz="0" w:space="0" w:color="auto"/>
        <w:bottom w:val="none" w:sz="0" w:space="0" w:color="auto"/>
        <w:right w:val="none" w:sz="0" w:space="0" w:color="auto"/>
      </w:divBdr>
    </w:div>
    <w:div w:id="714625188">
      <w:bodyDiv w:val="1"/>
      <w:marLeft w:val="0"/>
      <w:marRight w:val="0"/>
      <w:marTop w:val="0"/>
      <w:marBottom w:val="0"/>
      <w:divBdr>
        <w:top w:val="none" w:sz="0" w:space="0" w:color="auto"/>
        <w:left w:val="none" w:sz="0" w:space="0" w:color="auto"/>
        <w:bottom w:val="none" w:sz="0" w:space="0" w:color="auto"/>
        <w:right w:val="none" w:sz="0" w:space="0" w:color="auto"/>
      </w:divBdr>
    </w:div>
    <w:div w:id="732503173">
      <w:bodyDiv w:val="1"/>
      <w:marLeft w:val="0"/>
      <w:marRight w:val="0"/>
      <w:marTop w:val="0"/>
      <w:marBottom w:val="0"/>
      <w:divBdr>
        <w:top w:val="none" w:sz="0" w:space="0" w:color="auto"/>
        <w:left w:val="none" w:sz="0" w:space="0" w:color="auto"/>
        <w:bottom w:val="none" w:sz="0" w:space="0" w:color="auto"/>
        <w:right w:val="none" w:sz="0" w:space="0" w:color="auto"/>
      </w:divBdr>
    </w:div>
    <w:div w:id="975453505">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 w:id="1015615386">
      <w:bodyDiv w:val="1"/>
      <w:marLeft w:val="0"/>
      <w:marRight w:val="0"/>
      <w:marTop w:val="0"/>
      <w:marBottom w:val="0"/>
      <w:divBdr>
        <w:top w:val="none" w:sz="0" w:space="0" w:color="auto"/>
        <w:left w:val="none" w:sz="0" w:space="0" w:color="auto"/>
        <w:bottom w:val="none" w:sz="0" w:space="0" w:color="auto"/>
        <w:right w:val="none" w:sz="0" w:space="0" w:color="auto"/>
      </w:divBdr>
    </w:div>
    <w:div w:id="1088649369">
      <w:bodyDiv w:val="1"/>
      <w:marLeft w:val="0"/>
      <w:marRight w:val="0"/>
      <w:marTop w:val="0"/>
      <w:marBottom w:val="0"/>
      <w:divBdr>
        <w:top w:val="none" w:sz="0" w:space="0" w:color="auto"/>
        <w:left w:val="none" w:sz="0" w:space="0" w:color="auto"/>
        <w:bottom w:val="none" w:sz="0" w:space="0" w:color="auto"/>
        <w:right w:val="none" w:sz="0" w:space="0" w:color="auto"/>
      </w:divBdr>
    </w:div>
    <w:div w:id="1088773325">
      <w:bodyDiv w:val="1"/>
      <w:marLeft w:val="0"/>
      <w:marRight w:val="0"/>
      <w:marTop w:val="0"/>
      <w:marBottom w:val="0"/>
      <w:divBdr>
        <w:top w:val="none" w:sz="0" w:space="0" w:color="auto"/>
        <w:left w:val="none" w:sz="0" w:space="0" w:color="auto"/>
        <w:bottom w:val="none" w:sz="0" w:space="0" w:color="auto"/>
        <w:right w:val="none" w:sz="0" w:space="0" w:color="auto"/>
      </w:divBdr>
    </w:div>
    <w:div w:id="1270619707">
      <w:bodyDiv w:val="1"/>
      <w:marLeft w:val="0"/>
      <w:marRight w:val="0"/>
      <w:marTop w:val="0"/>
      <w:marBottom w:val="0"/>
      <w:divBdr>
        <w:top w:val="none" w:sz="0" w:space="0" w:color="auto"/>
        <w:left w:val="none" w:sz="0" w:space="0" w:color="auto"/>
        <w:bottom w:val="none" w:sz="0" w:space="0" w:color="auto"/>
        <w:right w:val="none" w:sz="0" w:space="0" w:color="auto"/>
      </w:divBdr>
      <w:divsChild>
        <w:div w:id="635067764">
          <w:marLeft w:val="0"/>
          <w:marRight w:val="0"/>
          <w:marTop w:val="0"/>
          <w:marBottom w:val="0"/>
          <w:divBdr>
            <w:top w:val="none" w:sz="0" w:space="0" w:color="auto"/>
            <w:left w:val="none" w:sz="0" w:space="0" w:color="auto"/>
            <w:bottom w:val="none" w:sz="0" w:space="0" w:color="auto"/>
            <w:right w:val="none" w:sz="0" w:space="0" w:color="auto"/>
          </w:divBdr>
          <w:divsChild>
            <w:div w:id="285891331">
              <w:marLeft w:val="0"/>
              <w:marRight w:val="0"/>
              <w:marTop w:val="0"/>
              <w:marBottom w:val="0"/>
              <w:divBdr>
                <w:top w:val="none" w:sz="0" w:space="0" w:color="auto"/>
                <w:left w:val="none" w:sz="0" w:space="0" w:color="auto"/>
                <w:bottom w:val="none" w:sz="0" w:space="0" w:color="auto"/>
                <w:right w:val="none" w:sz="0" w:space="0" w:color="auto"/>
              </w:divBdr>
              <w:divsChild>
                <w:div w:id="570164054">
                  <w:marLeft w:val="0"/>
                  <w:marRight w:val="0"/>
                  <w:marTop w:val="0"/>
                  <w:marBottom w:val="0"/>
                  <w:divBdr>
                    <w:top w:val="none" w:sz="0" w:space="0" w:color="auto"/>
                    <w:left w:val="none" w:sz="0" w:space="0" w:color="auto"/>
                    <w:bottom w:val="none" w:sz="0" w:space="0" w:color="auto"/>
                    <w:right w:val="none" w:sz="0" w:space="0" w:color="auto"/>
                  </w:divBdr>
                  <w:divsChild>
                    <w:div w:id="48305911">
                      <w:marLeft w:val="0"/>
                      <w:marRight w:val="0"/>
                      <w:marTop w:val="0"/>
                      <w:marBottom w:val="0"/>
                      <w:divBdr>
                        <w:top w:val="none" w:sz="0" w:space="0" w:color="auto"/>
                        <w:left w:val="none" w:sz="0" w:space="0" w:color="auto"/>
                        <w:bottom w:val="none" w:sz="0" w:space="0" w:color="auto"/>
                        <w:right w:val="none" w:sz="0" w:space="0" w:color="auto"/>
                      </w:divBdr>
                      <w:divsChild>
                        <w:div w:id="114520234">
                          <w:marLeft w:val="0"/>
                          <w:marRight w:val="0"/>
                          <w:marTop w:val="0"/>
                          <w:marBottom w:val="0"/>
                          <w:divBdr>
                            <w:top w:val="none" w:sz="0" w:space="0" w:color="auto"/>
                            <w:left w:val="none" w:sz="0" w:space="0" w:color="auto"/>
                            <w:bottom w:val="none" w:sz="0" w:space="0" w:color="auto"/>
                            <w:right w:val="none" w:sz="0" w:space="0" w:color="auto"/>
                          </w:divBdr>
                        </w:div>
                        <w:div w:id="463935853">
                          <w:marLeft w:val="0"/>
                          <w:marRight w:val="0"/>
                          <w:marTop w:val="0"/>
                          <w:marBottom w:val="0"/>
                          <w:divBdr>
                            <w:top w:val="none" w:sz="0" w:space="0" w:color="auto"/>
                            <w:left w:val="none" w:sz="0" w:space="0" w:color="auto"/>
                            <w:bottom w:val="none" w:sz="0" w:space="0" w:color="auto"/>
                            <w:right w:val="none" w:sz="0" w:space="0" w:color="auto"/>
                          </w:divBdr>
                        </w:div>
                        <w:div w:id="1705907331">
                          <w:marLeft w:val="0"/>
                          <w:marRight w:val="0"/>
                          <w:marTop w:val="0"/>
                          <w:marBottom w:val="0"/>
                          <w:divBdr>
                            <w:top w:val="none" w:sz="0" w:space="0" w:color="auto"/>
                            <w:left w:val="none" w:sz="0" w:space="0" w:color="auto"/>
                            <w:bottom w:val="none" w:sz="0" w:space="0" w:color="auto"/>
                            <w:right w:val="none" w:sz="0" w:space="0" w:color="auto"/>
                          </w:divBdr>
                        </w:div>
                        <w:div w:id="1855411377">
                          <w:marLeft w:val="0"/>
                          <w:marRight w:val="0"/>
                          <w:marTop w:val="0"/>
                          <w:marBottom w:val="0"/>
                          <w:divBdr>
                            <w:top w:val="none" w:sz="0" w:space="0" w:color="auto"/>
                            <w:left w:val="none" w:sz="0" w:space="0" w:color="auto"/>
                            <w:bottom w:val="none" w:sz="0" w:space="0" w:color="auto"/>
                            <w:right w:val="none" w:sz="0" w:space="0" w:color="auto"/>
                          </w:divBdr>
                        </w:div>
                      </w:divsChild>
                    </w:div>
                    <w:div w:id="656999381">
                      <w:marLeft w:val="0"/>
                      <w:marRight w:val="0"/>
                      <w:marTop w:val="0"/>
                      <w:marBottom w:val="0"/>
                      <w:divBdr>
                        <w:top w:val="none" w:sz="0" w:space="0" w:color="auto"/>
                        <w:left w:val="none" w:sz="0" w:space="0" w:color="auto"/>
                        <w:bottom w:val="none" w:sz="0" w:space="0" w:color="auto"/>
                        <w:right w:val="none" w:sz="0" w:space="0" w:color="auto"/>
                      </w:divBdr>
                      <w:divsChild>
                        <w:div w:id="2131362056">
                          <w:marLeft w:val="0"/>
                          <w:marRight w:val="0"/>
                          <w:marTop w:val="0"/>
                          <w:marBottom w:val="0"/>
                          <w:divBdr>
                            <w:top w:val="none" w:sz="0" w:space="0" w:color="auto"/>
                            <w:left w:val="none" w:sz="0" w:space="0" w:color="auto"/>
                            <w:bottom w:val="none" w:sz="0" w:space="0" w:color="auto"/>
                            <w:right w:val="none" w:sz="0" w:space="0" w:color="auto"/>
                          </w:divBdr>
                        </w:div>
                      </w:divsChild>
                    </w:div>
                    <w:div w:id="8898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49846">
      <w:bodyDiv w:val="1"/>
      <w:marLeft w:val="0"/>
      <w:marRight w:val="0"/>
      <w:marTop w:val="0"/>
      <w:marBottom w:val="0"/>
      <w:divBdr>
        <w:top w:val="none" w:sz="0" w:space="0" w:color="auto"/>
        <w:left w:val="none" w:sz="0" w:space="0" w:color="auto"/>
        <w:bottom w:val="none" w:sz="0" w:space="0" w:color="auto"/>
        <w:right w:val="none" w:sz="0" w:space="0" w:color="auto"/>
      </w:divBdr>
    </w:div>
    <w:div w:id="1740514783">
      <w:bodyDiv w:val="1"/>
      <w:marLeft w:val="0"/>
      <w:marRight w:val="0"/>
      <w:marTop w:val="0"/>
      <w:marBottom w:val="0"/>
      <w:divBdr>
        <w:top w:val="none" w:sz="0" w:space="0" w:color="auto"/>
        <w:left w:val="none" w:sz="0" w:space="0" w:color="auto"/>
        <w:bottom w:val="none" w:sz="0" w:space="0" w:color="auto"/>
        <w:right w:val="none" w:sz="0" w:space="0" w:color="auto"/>
      </w:divBdr>
    </w:div>
    <w:div w:id="1798448851">
      <w:bodyDiv w:val="1"/>
      <w:marLeft w:val="0"/>
      <w:marRight w:val="0"/>
      <w:marTop w:val="0"/>
      <w:marBottom w:val="0"/>
      <w:divBdr>
        <w:top w:val="none" w:sz="0" w:space="0" w:color="auto"/>
        <w:left w:val="none" w:sz="0" w:space="0" w:color="auto"/>
        <w:bottom w:val="none" w:sz="0" w:space="0" w:color="auto"/>
        <w:right w:val="none" w:sz="0" w:space="0" w:color="auto"/>
      </w:divBdr>
    </w:div>
    <w:div w:id="2056156932">
      <w:bodyDiv w:val="1"/>
      <w:marLeft w:val="0"/>
      <w:marRight w:val="0"/>
      <w:marTop w:val="0"/>
      <w:marBottom w:val="0"/>
      <w:divBdr>
        <w:top w:val="none" w:sz="0" w:space="0" w:color="auto"/>
        <w:left w:val="none" w:sz="0" w:space="0" w:color="auto"/>
        <w:bottom w:val="none" w:sz="0" w:space="0" w:color="auto"/>
        <w:right w:val="none" w:sz="0" w:space="0" w:color="auto"/>
      </w:divBdr>
    </w:div>
    <w:div w:id="2068797207">
      <w:bodyDiv w:val="1"/>
      <w:marLeft w:val="0"/>
      <w:marRight w:val="0"/>
      <w:marTop w:val="0"/>
      <w:marBottom w:val="0"/>
      <w:divBdr>
        <w:top w:val="none" w:sz="0" w:space="0" w:color="auto"/>
        <w:left w:val="none" w:sz="0" w:space="0" w:color="auto"/>
        <w:bottom w:val="none" w:sz="0" w:space="0" w:color="auto"/>
        <w:right w:val="none" w:sz="0" w:space="0" w:color="auto"/>
      </w:divBdr>
    </w:div>
    <w:div w:id="2116904092">
      <w:bodyDiv w:val="1"/>
      <w:marLeft w:val="0"/>
      <w:marRight w:val="0"/>
      <w:marTop w:val="0"/>
      <w:marBottom w:val="0"/>
      <w:divBdr>
        <w:top w:val="none" w:sz="0" w:space="0" w:color="auto"/>
        <w:left w:val="none" w:sz="0" w:space="0" w:color="auto"/>
        <w:bottom w:val="none" w:sz="0" w:space="0" w:color="auto"/>
        <w:right w:val="none" w:sz="0" w:space="0" w:color="auto"/>
      </w:divBdr>
    </w:div>
    <w:div w:id="2138983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usgs.gov/centers/california-water-science-center/science/results-hexavalent-chromium-background-study" TargetMode="External"/><Relationship Id="rId3" Type="http://schemas.openxmlformats.org/officeDocument/2006/relationships/hyperlink" Target="https://docs.cpuc.ca.gov/PublishedDocs/Published/G000/M389/K603/389603637.PDF" TargetMode="External"/><Relationship Id="rId7" Type="http://schemas.openxmlformats.org/officeDocument/2006/relationships/hyperlink" Target="https://oehha.ca.gov/calenviroscreen/report/calenviroscreen-40" TargetMode="External"/><Relationship Id="rId2" Type="http://schemas.openxmlformats.org/officeDocument/2006/relationships/hyperlink" Target="https://docs.cpuc.ca.gov/PublishedDocs/Published/G000/M502/K956/502956567.PDF" TargetMode="External"/><Relationship Id="rId1" Type="http://schemas.openxmlformats.org/officeDocument/2006/relationships/hyperlink" Target="https://docs.cpuc.ca.gov/PublishedDocs/Published/G000/M389/K603/389603637.PDF" TargetMode="External"/><Relationship Id="rId6" Type="http://schemas.openxmlformats.org/officeDocument/2006/relationships/hyperlink" Target="https://calepa.ca.gov/wp-content/uploads/sites/6/2022/05/Updated-Disadvantaged-Communities-Designation-DAC-May-2022-Eng.a.hp_-1.pdf" TargetMode="External"/><Relationship Id="rId5" Type="http://schemas.openxmlformats.org/officeDocument/2006/relationships/hyperlink" Target="https://docs.cpuc.ca.gov/PublishedDocs/Published/G000/M502/K956/502956567.PDF" TargetMode="External"/><Relationship Id="rId4" Type="http://schemas.openxmlformats.org/officeDocument/2006/relationships/hyperlink" Target="https://docs.cpuc.ca.gov/PublishedDocs/Published/G000/M389/K603/3896036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95f576-ac1d-41e6-9609-5e83155ee812">
      <Terms xmlns="http://schemas.microsoft.com/office/infopath/2007/PartnerControls"/>
    </lcf76f155ced4ddcb4097134ff3c332f>
    <TaxCatchAll xmlns="76be18ba-3f21-4542-9cb1-4070a1d5beb6" xsi:nil="true"/>
    <SharedWithUsers xmlns="76be18ba-3f21-4542-9cb1-4070a1d5beb6">
      <UserInfo>
        <DisplayName>Gannon, Jaime Rose</DisplayName>
        <AccountId>15</AccountId>
        <AccountType/>
      </UserInfo>
      <UserInfo>
        <DisplayName>Sterkel, Merideth "Molly"</DisplayName>
        <AccountId>19</AccountId>
        <AccountType/>
      </UserInfo>
      <UserInfo>
        <DisplayName>Cohen, Elijah</DisplayName>
        <AccountId>74</AccountId>
        <AccountType/>
      </UserInfo>
      <UserInfo>
        <DisplayName>Guishar, Natalie</DisplayName>
        <AccountId>12</AccountId>
        <AccountType/>
      </UserInfo>
      <UserInfo>
        <DisplayName>Jimenez-Petchumrus, Narissa</DisplayName>
        <AccountId>6</AccountId>
        <AccountType/>
      </UserInfo>
      <UserInfo>
        <DisplayName>Root, Christine</DisplayName>
        <AccountId>71</AccountId>
        <AccountType/>
      </UserInfo>
      <UserInfo>
        <DisplayName>Skala, Pete</DisplayName>
        <AccountId>42</AccountId>
        <AccountType/>
      </UserInfo>
      <UserInfo>
        <DisplayName>Reiser, Lauren</DisplayName>
        <AccountId>168</AccountId>
        <AccountType/>
      </UserInfo>
      <UserInfo>
        <DisplayName>George, Simi R.</DisplayName>
        <AccountId>268</AccountId>
        <AccountType/>
      </UserInfo>
      <UserInfo>
        <DisplayName>Fleisher, Kerry</DisplayName>
        <AccountId>142</AccountId>
        <AccountType/>
      </UserInfo>
      <UserInfo>
        <DisplayName>Emelo, Josephine</DisplayName>
        <AccountId>189</AccountId>
        <AccountType/>
      </UserInfo>
      <UserInfo>
        <DisplayName>ED Tariff Unit</DisplayName>
        <AccountId>187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86BC3AB7D76A4C95100ABA517F5E83" ma:contentTypeVersion="13" ma:contentTypeDescription="Create a new document." ma:contentTypeScope="" ma:versionID="9baac76f15324f92c542607238742584">
  <xsd:schema xmlns:xsd="http://www.w3.org/2001/XMLSchema" xmlns:xs="http://www.w3.org/2001/XMLSchema" xmlns:p="http://schemas.microsoft.com/office/2006/metadata/properties" xmlns:ns2="76be18ba-3f21-4542-9cb1-4070a1d5beb6" xmlns:ns3="1b95f576-ac1d-41e6-9609-5e83155ee812" targetNamespace="http://schemas.microsoft.com/office/2006/metadata/properties" ma:root="true" ma:fieldsID="ac3e4def6835a2cadd3b482b7d81b338" ns2:_="" ns3:_="">
    <xsd:import namespace="76be18ba-3f21-4542-9cb1-4070a1d5beb6"/>
    <xsd:import namespace="1b95f576-ac1d-41e6-9609-5e83155ee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e18ba-3f21-4542-9cb1-4070a1d5be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2ad91bc-5df5-4177-b239-83290d7e6c2a}" ma:internalName="TaxCatchAll" ma:showField="CatchAllData" ma:web="76be18ba-3f21-4542-9cb1-4070a1d5be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95f576-ac1d-41e6-9609-5e83155ee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54526-F973-479E-9E6C-9A17D746A63C}">
  <ds:schemaRefs>
    <ds:schemaRef ds:uri="http://schemas.microsoft.com/office/2006/metadata/properties"/>
    <ds:schemaRef ds:uri="http://schemas.microsoft.com/office/infopath/2007/PartnerControls"/>
    <ds:schemaRef ds:uri="1b95f576-ac1d-41e6-9609-5e83155ee812"/>
    <ds:schemaRef ds:uri="76be18ba-3f21-4542-9cb1-4070a1d5beb6"/>
  </ds:schemaRefs>
</ds:datastoreItem>
</file>

<file path=customXml/itemProps2.xml><?xml version="1.0" encoding="utf-8"?>
<ds:datastoreItem xmlns:ds="http://schemas.openxmlformats.org/officeDocument/2006/customXml" ds:itemID="{6126743D-17D4-448F-A3A0-B2FCFCA611FF}">
  <ds:schemaRefs>
    <ds:schemaRef ds:uri="http://schemas.microsoft.com/sharepoint/v3/contenttype/forms"/>
  </ds:schemaRefs>
</ds:datastoreItem>
</file>

<file path=customXml/itemProps3.xml><?xml version="1.0" encoding="utf-8"?>
<ds:datastoreItem xmlns:ds="http://schemas.openxmlformats.org/officeDocument/2006/customXml" ds:itemID="{7C95BEC1-AE99-4E9E-AFAD-FF731F4C1F38}">
  <ds:schemaRefs>
    <ds:schemaRef ds:uri="http://schemas.openxmlformats.org/officeDocument/2006/bibliography"/>
  </ds:schemaRefs>
</ds:datastoreItem>
</file>

<file path=customXml/itemProps4.xml><?xml version="1.0" encoding="utf-8"?>
<ds:datastoreItem xmlns:ds="http://schemas.openxmlformats.org/officeDocument/2006/customXml" ds:itemID="{82897AC3-88F7-4B93-84E6-DAFD2584A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e18ba-3f21-4542-9cb1-4070a1d5beb6"/>
    <ds:schemaRef ds:uri="1b95f576-ac1d-41e6-9609-5e83155ee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24</ap:Pages>
  <ap:Words>5158</ap:Words>
  <ap:Characters>29403</ap:Characters>
  <ap:Application>Microsoft Office Word</ap:Application>
  <ap:DocSecurity>0</ap:DocSecurity>
  <ap:Lines>245</ap:Lines>
  <ap:Paragraphs>68</ap:Paragraphs>
  <ap:ScaleCrop>false</ap:ScaleCrop>
  <ap:Company/>
  <ap:LinksUpToDate>false</ap:LinksUpToDate>
  <ap:CharactersWithSpaces>34493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2025-01-17T08:23:25Z</dcterms:created>
  <dcterms:modified xsi:type="dcterms:W3CDTF">2025-01-17T08:23:25Z</dcterms:modified>
</cp:coreProperties>
</file>